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0C09F6" w:rsidRDefault="00F629C0" w:rsidP="00F168CB">
      <w:pPr>
        <w:tabs>
          <w:tab w:val="left" w:pos="288"/>
          <w:tab w:val="left" w:pos="5580"/>
          <w:tab w:val="left" w:pos="9270"/>
        </w:tabs>
        <w:spacing w:line="240" w:lineRule="exact"/>
        <w:jc w:val="both"/>
        <w:rPr>
          <w:rFonts w:asciiTheme="minorHAnsi" w:hAnsiTheme="minorHAnsi"/>
          <w:caps/>
          <w:color w:val="auto"/>
        </w:rPr>
      </w:pPr>
      <w:r w:rsidRPr="000C09F6">
        <w:rPr>
          <w:rFonts w:asciiTheme="minorHAnsi" w:hAnsiTheme="minorHAnsi"/>
          <w:caps/>
          <w:color w:val="auto"/>
        </w:rPr>
        <w:t xml:space="preserve">NAME:  </w:t>
      </w:r>
      <w:r w:rsidR="00884D35">
        <w:rPr>
          <w:rFonts w:asciiTheme="minorHAnsi" w:hAnsiTheme="minorHAnsi"/>
          <w:caps/>
          <w:color w:val="auto"/>
        </w:rPr>
        <w:t>XXXXXXXXXXXXX</w:t>
      </w:r>
      <w:r w:rsidR="00057019" w:rsidRPr="000C09F6">
        <w:rPr>
          <w:rFonts w:asciiTheme="minorHAnsi" w:hAnsiTheme="minorHAnsi"/>
          <w:caps/>
          <w:color w:val="auto"/>
        </w:rPr>
        <w:tab/>
      </w:r>
      <w:r w:rsidRPr="000C09F6">
        <w:rPr>
          <w:rFonts w:asciiTheme="minorHAnsi" w:hAnsiTheme="minorHAnsi"/>
          <w:caps/>
          <w:color w:val="auto"/>
        </w:rPr>
        <w:t xml:space="preserve">BRANCH OF SERVICE: </w:t>
      </w:r>
      <w:r w:rsidR="004C24C5" w:rsidRPr="000C09F6">
        <w:rPr>
          <w:rFonts w:asciiTheme="minorHAnsi" w:hAnsiTheme="minorHAnsi"/>
          <w:caps/>
          <w:color w:val="auto"/>
        </w:rPr>
        <w:t xml:space="preserve"> </w:t>
      </w:r>
      <w:r w:rsidR="00F168CB" w:rsidRPr="00F168CB">
        <w:rPr>
          <w:rFonts w:asciiTheme="minorHAnsi" w:hAnsiTheme="minorHAnsi"/>
          <w:caps/>
          <w:color w:val="auto"/>
        </w:rPr>
        <w:t>COAST GUARD</w:t>
      </w:r>
    </w:p>
    <w:p w:rsidR="00DE3AAD" w:rsidRDefault="00012733" w:rsidP="00F168CB">
      <w:pPr>
        <w:tabs>
          <w:tab w:val="left" w:pos="288"/>
          <w:tab w:val="left" w:pos="5580"/>
          <w:tab w:val="left" w:pos="9270"/>
        </w:tabs>
        <w:spacing w:line="240" w:lineRule="exact"/>
        <w:jc w:val="both"/>
        <w:rPr>
          <w:rFonts w:asciiTheme="minorHAnsi" w:hAnsiTheme="minorHAnsi"/>
          <w:caps/>
          <w:color w:val="auto"/>
        </w:rPr>
      </w:pPr>
      <w:r w:rsidRPr="000C09F6">
        <w:rPr>
          <w:rFonts w:asciiTheme="minorHAnsi" w:hAnsiTheme="minorHAnsi"/>
          <w:caps/>
          <w:color w:val="auto"/>
        </w:rPr>
        <w:t>C</w:t>
      </w:r>
      <w:r w:rsidR="00DE3AAD" w:rsidRPr="000C09F6">
        <w:rPr>
          <w:rFonts w:asciiTheme="minorHAnsi" w:hAnsiTheme="minorHAnsi"/>
          <w:caps/>
          <w:color w:val="auto"/>
        </w:rPr>
        <w:t xml:space="preserve">ASE NUMBER:  </w:t>
      </w:r>
      <w:r w:rsidR="000C09F6" w:rsidRPr="000C09F6">
        <w:rPr>
          <w:rFonts w:asciiTheme="minorHAnsi" w:hAnsiTheme="minorHAnsi"/>
          <w:caps/>
          <w:color w:val="auto"/>
        </w:rPr>
        <w:t>PD1000771</w:t>
      </w:r>
      <w:r w:rsidR="00AE54B2" w:rsidRPr="000C09F6">
        <w:rPr>
          <w:rFonts w:asciiTheme="minorHAnsi" w:hAnsiTheme="minorHAnsi"/>
          <w:color w:val="auto"/>
        </w:rPr>
        <w:tab/>
      </w:r>
      <w:r w:rsidR="00DE3AAD" w:rsidRPr="000C09F6">
        <w:rPr>
          <w:rFonts w:asciiTheme="minorHAnsi" w:hAnsiTheme="minorHAnsi"/>
          <w:color w:val="auto"/>
        </w:rPr>
        <w:t xml:space="preserve">SEPARATION DATE:  </w:t>
      </w:r>
      <w:r w:rsidR="000C09F6" w:rsidRPr="000C09F6">
        <w:rPr>
          <w:rFonts w:asciiTheme="minorHAnsi" w:hAnsiTheme="minorHAnsi"/>
          <w:color w:val="auto"/>
        </w:rPr>
        <w:t>20031119</w:t>
      </w:r>
    </w:p>
    <w:p w:rsidR="00827B29" w:rsidRPr="00784EA0" w:rsidRDefault="004F3639" w:rsidP="006B54DC">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A1274C">
        <w:rPr>
          <w:rFonts w:asciiTheme="minorHAnsi" w:hAnsiTheme="minorHAnsi"/>
          <w:caps/>
          <w:color w:val="auto"/>
        </w:rPr>
        <w:t>1129</w:t>
      </w:r>
      <w:r w:rsidR="00DC5028">
        <w:rPr>
          <w:rFonts w:asciiTheme="minorHAnsi" w:hAnsiTheme="minorHAnsi"/>
          <w:caps/>
          <w:color w:val="auto"/>
        </w:rPr>
        <w:tab/>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305856" w:rsidRDefault="00FB0E80" w:rsidP="00225CAE">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00225CAE" w:rsidRPr="00225CAE">
        <w:rPr>
          <w:rFonts w:asciiTheme="minorHAnsi" w:hAnsiTheme="minorHAnsi"/>
          <w:color w:val="auto"/>
        </w:rPr>
        <w:t xml:space="preserve">  Data extracted from the available evidence of record reflects that this covered individual (CI) was an active duty MK2/E-5 (Communications Watch Stander/Boat Engineer), medically separated from the U.S. Coast Guard in 2003</w:t>
      </w:r>
      <w:r w:rsidR="00641027">
        <w:rPr>
          <w:rFonts w:asciiTheme="minorHAnsi" w:hAnsiTheme="minorHAnsi"/>
          <w:color w:val="auto"/>
        </w:rPr>
        <w:t xml:space="preserve">. </w:t>
      </w:r>
      <w:r w:rsidR="00225CAE" w:rsidRPr="00225CAE">
        <w:rPr>
          <w:rFonts w:asciiTheme="minorHAnsi" w:hAnsiTheme="minorHAnsi"/>
          <w:color w:val="auto"/>
        </w:rPr>
        <w:t xml:space="preserve">  </w:t>
      </w:r>
      <w:r w:rsidR="00BA43A9">
        <w:rPr>
          <w:rFonts w:asciiTheme="minorHAnsi" w:hAnsiTheme="minorHAnsi"/>
          <w:color w:val="auto"/>
        </w:rPr>
        <w:t>The Medical Evaluation Board</w:t>
      </w:r>
      <w:r w:rsidR="00225CAE" w:rsidRPr="00225CAE">
        <w:rPr>
          <w:rFonts w:asciiTheme="minorHAnsi" w:hAnsiTheme="minorHAnsi"/>
          <w:color w:val="auto"/>
        </w:rPr>
        <w:t xml:space="preserve"> (</w:t>
      </w:r>
      <w:r w:rsidR="00263852">
        <w:rPr>
          <w:rFonts w:asciiTheme="minorHAnsi" w:hAnsiTheme="minorHAnsi"/>
          <w:color w:val="auto"/>
        </w:rPr>
        <w:t>MEB) narrative summary (NARSUM) indicates that</w:t>
      </w:r>
      <w:r w:rsidR="00225CAE" w:rsidRPr="00225CAE">
        <w:rPr>
          <w:rFonts w:asciiTheme="minorHAnsi" w:hAnsiTheme="minorHAnsi"/>
          <w:color w:val="auto"/>
        </w:rPr>
        <w:t xml:space="preserve"> the medical basis for the separation was </w:t>
      </w:r>
      <w:r w:rsidR="00263852">
        <w:rPr>
          <w:rFonts w:asciiTheme="minorHAnsi" w:hAnsiTheme="minorHAnsi"/>
          <w:color w:val="auto"/>
        </w:rPr>
        <w:t xml:space="preserve">neck pain subsequent to </w:t>
      </w:r>
      <w:r w:rsidR="00225CAE" w:rsidRPr="00225CAE">
        <w:rPr>
          <w:rFonts w:asciiTheme="minorHAnsi" w:hAnsiTheme="minorHAnsi"/>
          <w:color w:val="auto"/>
        </w:rPr>
        <w:t xml:space="preserve">a </w:t>
      </w:r>
      <w:r w:rsidR="00263852">
        <w:rPr>
          <w:rFonts w:asciiTheme="minorHAnsi" w:hAnsiTheme="minorHAnsi"/>
          <w:color w:val="auto"/>
        </w:rPr>
        <w:t xml:space="preserve">cervical spine fracture </w:t>
      </w:r>
      <w:r w:rsidR="00BA43A9">
        <w:rPr>
          <w:rFonts w:asciiTheme="minorHAnsi" w:hAnsiTheme="minorHAnsi"/>
          <w:color w:val="auto"/>
        </w:rPr>
        <w:t>surgically repaired after</w:t>
      </w:r>
      <w:r w:rsidR="00225CAE" w:rsidRPr="00225CAE">
        <w:rPr>
          <w:rFonts w:asciiTheme="minorHAnsi" w:hAnsiTheme="minorHAnsi"/>
          <w:color w:val="auto"/>
        </w:rPr>
        <w:t xml:space="preserve"> a snowmobiling accident </w:t>
      </w:r>
      <w:r w:rsidR="00BA43A9">
        <w:rPr>
          <w:rFonts w:asciiTheme="minorHAnsi" w:hAnsiTheme="minorHAnsi"/>
          <w:color w:val="auto"/>
        </w:rPr>
        <w:t>in 2002</w:t>
      </w:r>
      <w:r w:rsidR="00225CAE" w:rsidRPr="00225CAE">
        <w:rPr>
          <w:rFonts w:asciiTheme="minorHAnsi" w:hAnsiTheme="minorHAnsi"/>
          <w:color w:val="auto"/>
        </w:rPr>
        <w:t xml:space="preserve">. </w:t>
      </w:r>
      <w:r w:rsidR="009F4C87">
        <w:rPr>
          <w:rFonts w:asciiTheme="minorHAnsi" w:hAnsiTheme="minorHAnsi"/>
          <w:color w:val="auto"/>
        </w:rPr>
        <w:t xml:space="preserve"> </w:t>
      </w:r>
      <w:r w:rsidR="00225CAE" w:rsidRPr="00225CAE">
        <w:rPr>
          <w:rFonts w:asciiTheme="minorHAnsi" w:hAnsiTheme="minorHAnsi"/>
          <w:color w:val="auto"/>
        </w:rPr>
        <w:t xml:space="preserve">He did not respond adequately to treatment to </w:t>
      </w:r>
      <w:r w:rsidR="00A1274C">
        <w:rPr>
          <w:rFonts w:asciiTheme="minorHAnsi" w:hAnsiTheme="minorHAnsi"/>
          <w:color w:val="auto"/>
        </w:rPr>
        <w:t xml:space="preserve">fully </w:t>
      </w:r>
      <w:r w:rsidR="00225CAE" w:rsidRPr="00225CAE">
        <w:rPr>
          <w:rFonts w:asciiTheme="minorHAnsi" w:hAnsiTheme="minorHAnsi"/>
          <w:color w:val="auto"/>
        </w:rPr>
        <w:t xml:space="preserve">perform within his </w:t>
      </w:r>
      <w:r w:rsidR="00F168CB">
        <w:rPr>
          <w:rFonts w:asciiTheme="minorHAnsi" w:hAnsiTheme="minorHAnsi"/>
          <w:color w:val="auto"/>
        </w:rPr>
        <w:t>s</w:t>
      </w:r>
      <w:r w:rsidR="00225CAE" w:rsidRPr="00225CAE">
        <w:rPr>
          <w:rFonts w:asciiTheme="minorHAnsi" w:hAnsiTheme="minorHAnsi"/>
          <w:color w:val="auto"/>
        </w:rPr>
        <w:t xml:space="preserve">pecialty </w:t>
      </w:r>
      <w:r w:rsidR="00F168CB">
        <w:rPr>
          <w:rFonts w:asciiTheme="minorHAnsi" w:hAnsiTheme="minorHAnsi"/>
          <w:color w:val="auto"/>
        </w:rPr>
        <w:t>rating</w:t>
      </w:r>
      <w:r w:rsidR="00225CAE" w:rsidRPr="00225CAE">
        <w:rPr>
          <w:rFonts w:asciiTheme="minorHAnsi" w:hAnsiTheme="minorHAnsi"/>
          <w:color w:val="auto"/>
        </w:rPr>
        <w:t xml:space="preserve"> or meet physical fitness standards.   The CI underwent a MEB and</w:t>
      </w:r>
      <w:r w:rsidR="00BA43A9">
        <w:rPr>
          <w:rFonts w:asciiTheme="minorHAnsi" w:hAnsiTheme="minorHAnsi"/>
          <w:color w:val="auto"/>
        </w:rPr>
        <w:t xml:space="preserve"> was referred to</w:t>
      </w:r>
      <w:r w:rsidR="00225CAE" w:rsidRPr="00225CAE">
        <w:rPr>
          <w:rFonts w:asciiTheme="minorHAnsi" w:hAnsiTheme="minorHAnsi"/>
          <w:color w:val="auto"/>
        </w:rPr>
        <w:t xml:space="preserve"> a Physical Evaluation Board (PEB) but </w:t>
      </w:r>
      <w:r w:rsidR="00BA43A9">
        <w:rPr>
          <w:rFonts w:asciiTheme="minorHAnsi" w:hAnsiTheme="minorHAnsi"/>
          <w:color w:val="auto"/>
        </w:rPr>
        <w:t>the records of proceeding for these boards are not available</w:t>
      </w:r>
      <w:r w:rsidR="00225CAE" w:rsidRPr="00225CAE">
        <w:rPr>
          <w:rFonts w:asciiTheme="minorHAnsi" w:hAnsiTheme="minorHAnsi"/>
          <w:color w:val="auto"/>
        </w:rPr>
        <w:t xml:space="preserve"> for review.  </w:t>
      </w:r>
      <w:r w:rsidR="00BA43A9">
        <w:rPr>
          <w:rFonts w:asciiTheme="minorHAnsi" w:hAnsiTheme="minorHAnsi"/>
          <w:color w:val="auto"/>
        </w:rPr>
        <w:t>The CI’s DD Form 294 indicates that</w:t>
      </w:r>
      <w:r w:rsidR="00225CAE" w:rsidRPr="00225CAE">
        <w:rPr>
          <w:rFonts w:asciiTheme="minorHAnsi" w:hAnsiTheme="minorHAnsi"/>
          <w:color w:val="auto"/>
        </w:rPr>
        <w:t xml:space="preserve"> he was medically separated with a 10%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225CAE" w:rsidRPr="00225CAE">
        <w:rPr>
          <w:rFonts w:asciiTheme="minorHAnsi" w:hAnsiTheme="minorHAnsi"/>
          <w:color w:val="auto"/>
        </w:rPr>
        <w:t>“The U.S. Coast Guard MEB Board rated my cervical spine at 10%, however the VA has rated this same condition at 30%, therefore I feel my disability should be increased</w:t>
      </w:r>
      <w:r w:rsidR="00F168CB" w:rsidRPr="00225CAE">
        <w:rPr>
          <w:rFonts w:asciiTheme="minorHAnsi" w:hAnsiTheme="minorHAnsi"/>
          <w:color w:val="auto"/>
        </w:rPr>
        <w:t>.</w:t>
      </w:r>
      <w:r w:rsidR="00225CAE" w:rsidRPr="00225CAE">
        <w:rPr>
          <w:rFonts w:asciiTheme="minorHAnsi" w:hAnsiTheme="minorHAnsi"/>
          <w:color w:val="auto"/>
        </w:rPr>
        <w:t>”  He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198" w:type="dxa"/>
        <w:jc w:val="center"/>
        <w:tblInd w:w="378" w:type="dxa"/>
        <w:tblLayout w:type="fixed"/>
        <w:tblLook w:val="04A0"/>
      </w:tblPr>
      <w:tblGrid>
        <w:gridCol w:w="2259"/>
        <w:gridCol w:w="810"/>
        <w:gridCol w:w="810"/>
        <w:gridCol w:w="2439"/>
        <w:gridCol w:w="1062"/>
        <w:gridCol w:w="828"/>
        <w:gridCol w:w="990"/>
      </w:tblGrid>
      <w:tr w:rsidR="002B4E22" w:rsidRPr="002A4119" w:rsidTr="00CE2B18">
        <w:trPr>
          <w:trHeight w:val="107"/>
          <w:jc w:val="center"/>
        </w:trPr>
        <w:tc>
          <w:tcPr>
            <w:tcW w:w="3879" w:type="dxa"/>
            <w:gridSpan w:val="3"/>
            <w:tcBorders>
              <w:right w:val="thinThickThinSmallGap" w:sz="24" w:space="0" w:color="auto"/>
            </w:tcBorders>
            <w:shd w:val="clear" w:color="auto" w:fill="D9D9D9" w:themeFill="background1" w:themeFillShade="D9"/>
            <w:vAlign w:val="center"/>
          </w:tcPr>
          <w:p w:rsidR="002B4E22" w:rsidRPr="00B06930" w:rsidRDefault="00B731E4" w:rsidP="00F168CB">
            <w:pPr>
              <w:spacing w:line="200" w:lineRule="exact"/>
              <w:contextualSpacing/>
              <w:jc w:val="center"/>
              <w:rPr>
                <w:b/>
                <w:color w:val="auto"/>
                <w:sz w:val="20"/>
                <w:szCs w:val="20"/>
              </w:rPr>
            </w:pPr>
            <w:r w:rsidRPr="00B06930">
              <w:rPr>
                <w:b/>
                <w:color w:val="auto"/>
                <w:sz w:val="20"/>
                <w:szCs w:val="20"/>
              </w:rPr>
              <w:t xml:space="preserve">Service PEB – </w:t>
            </w:r>
            <w:r w:rsidR="00F168CB">
              <w:rPr>
                <w:b/>
                <w:color w:val="auto"/>
                <w:sz w:val="20"/>
                <w:szCs w:val="20"/>
              </w:rPr>
              <w:t>Per CI Contention</w:t>
            </w:r>
          </w:p>
        </w:tc>
        <w:tc>
          <w:tcPr>
            <w:tcW w:w="5319" w:type="dxa"/>
            <w:gridSpan w:val="4"/>
            <w:tcBorders>
              <w:left w:val="thinThickThinSmallGap" w:sz="24" w:space="0" w:color="auto"/>
            </w:tcBorders>
            <w:shd w:val="clear" w:color="auto" w:fill="D9D9D9" w:themeFill="background1" w:themeFillShade="D9"/>
            <w:vAlign w:val="center"/>
          </w:tcPr>
          <w:p w:rsidR="002B4E22" w:rsidRPr="00B06930" w:rsidRDefault="00225CAE" w:rsidP="0041620A">
            <w:pPr>
              <w:spacing w:line="200" w:lineRule="exact"/>
              <w:contextualSpacing/>
              <w:jc w:val="center"/>
              <w:rPr>
                <w:b/>
                <w:color w:val="auto"/>
                <w:sz w:val="20"/>
                <w:szCs w:val="20"/>
              </w:rPr>
            </w:pPr>
            <w:r w:rsidRPr="00225CAE">
              <w:rPr>
                <w:b/>
                <w:color w:val="auto"/>
                <w:sz w:val="20"/>
                <w:szCs w:val="20"/>
              </w:rPr>
              <w:t xml:space="preserve">VA (7 Mos. </w:t>
            </w:r>
            <w:r w:rsidR="0041620A">
              <w:rPr>
                <w:b/>
                <w:color w:val="auto"/>
                <w:sz w:val="20"/>
                <w:szCs w:val="20"/>
              </w:rPr>
              <w:t>Before</w:t>
            </w:r>
            <w:r w:rsidRPr="00225CAE">
              <w:rPr>
                <w:b/>
                <w:color w:val="auto"/>
                <w:sz w:val="20"/>
                <w:szCs w:val="20"/>
              </w:rPr>
              <w:t xml:space="preserve"> Separation) – All Effective 20031120</w:t>
            </w:r>
          </w:p>
        </w:tc>
      </w:tr>
      <w:tr w:rsidR="002B4E22" w:rsidRPr="002A4119" w:rsidTr="00CE2B18">
        <w:trPr>
          <w:trHeight w:val="170"/>
          <w:jc w:val="center"/>
        </w:trPr>
        <w:tc>
          <w:tcPr>
            <w:tcW w:w="2259"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43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CE2B18">
        <w:trPr>
          <w:trHeight w:val="134"/>
          <w:jc w:val="center"/>
        </w:trPr>
        <w:tc>
          <w:tcPr>
            <w:tcW w:w="2259" w:type="dxa"/>
            <w:tcBorders>
              <w:right w:val="single" w:sz="4" w:space="0" w:color="auto"/>
            </w:tcBorders>
            <w:shd w:val="clear" w:color="auto" w:fill="FFFFFF" w:themeFill="background1"/>
            <w:vAlign w:val="center"/>
          </w:tcPr>
          <w:p w:rsidR="002D08F3" w:rsidRPr="0086102A" w:rsidRDefault="00F168CB" w:rsidP="00B0472F">
            <w:pPr>
              <w:spacing w:line="180" w:lineRule="exact"/>
              <w:contextualSpacing/>
              <w:rPr>
                <w:color w:val="auto"/>
                <w:sz w:val="18"/>
                <w:szCs w:val="18"/>
              </w:rPr>
            </w:pPr>
            <w:r>
              <w:rPr>
                <w:color w:val="auto"/>
                <w:sz w:val="18"/>
                <w:szCs w:val="18"/>
              </w:rPr>
              <w:t>Cervical Spine Condition</w:t>
            </w:r>
          </w:p>
        </w:tc>
        <w:tc>
          <w:tcPr>
            <w:tcW w:w="810" w:type="dxa"/>
            <w:tcBorders>
              <w:left w:val="single" w:sz="4" w:space="0" w:color="auto"/>
            </w:tcBorders>
            <w:shd w:val="clear" w:color="auto" w:fill="FFFFFF" w:themeFill="background1"/>
            <w:vAlign w:val="center"/>
          </w:tcPr>
          <w:p w:rsidR="002D08F3" w:rsidRPr="0086102A" w:rsidRDefault="002D08F3" w:rsidP="00B0472F">
            <w:pPr>
              <w:spacing w:line="180" w:lineRule="exact"/>
              <w:contextualSpacing/>
              <w:jc w:val="center"/>
              <w:rPr>
                <w:color w:val="auto"/>
                <w:sz w:val="18"/>
                <w:szCs w:val="18"/>
              </w:rPr>
            </w:pPr>
          </w:p>
        </w:tc>
        <w:tc>
          <w:tcPr>
            <w:tcW w:w="810" w:type="dxa"/>
            <w:tcBorders>
              <w:right w:val="thinThickThinSmallGap" w:sz="24" w:space="0" w:color="auto"/>
            </w:tcBorders>
            <w:shd w:val="clear" w:color="auto" w:fill="FFFFFF" w:themeFill="background1"/>
            <w:vAlign w:val="center"/>
          </w:tcPr>
          <w:p w:rsidR="002D08F3" w:rsidRPr="004C2063" w:rsidRDefault="00F168CB" w:rsidP="00B0472F">
            <w:pPr>
              <w:spacing w:line="180" w:lineRule="exact"/>
              <w:contextualSpacing/>
              <w:jc w:val="center"/>
              <w:rPr>
                <w:color w:val="auto"/>
                <w:sz w:val="18"/>
                <w:szCs w:val="18"/>
                <w:highlight w:val="yellow"/>
              </w:rPr>
            </w:pPr>
            <w:r>
              <w:rPr>
                <w:color w:val="auto"/>
                <w:sz w:val="18"/>
                <w:szCs w:val="18"/>
              </w:rPr>
              <w:t>10</w:t>
            </w:r>
            <w:r w:rsidR="002D08F3" w:rsidRPr="004C2063">
              <w:rPr>
                <w:color w:val="auto"/>
                <w:sz w:val="18"/>
                <w:szCs w:val="18"/>
              </w:rPr>
              <w:t>%</w:t>
            </w:r>
          </w:p>
        </w:tc>
        <w:tc>
          <w:tcPr>
            <w:tcW w:w="2439" w:type="dxa"/>
            <w:tcBorders>
              <w:left w:val="thinThickThinSmallGap" w:sz="24" w:space="0" w:color="auto"/>
            </w:tcBorders>
            <w:shd w:val="clear" w:color="auto" w:fill="FFFFFF" w:themeFill="background1"/>
            <w:vAlign w:val="center"/>
          </w:tcPr>
          <w:p w:rsidR="002D08F3" w:rsidRPr="0086102A" w:rsidRDefault="00F168CB" w:rsidP="00B0472F">
            <w:pPr>
              <w:spacing w:line="180" w:lineRule="exact"/>
              <w:contextualSpacing/>
              <w:rPr>
                <w:color w:val="auto"/>
                <w:sz w:val="18"/>
                <w:szCs w:val="18"/>
              </w:rPr>
            </w:pPr>
            <w:r>
              <w:rPr>
                <w:color w:val="auto"/>
                <w:sz w:val="18"/>
                <w:szCs w:val="18"/>
              </w:rPr>
              <w:t>Cervical Spine Condition</w:t>
            </w:r>
          </w:p>
        </w:tc>
        <w:tc>
          <w:tcPr>
            <w:tcW w:w="1062" w:type="dxa"/>
            <w:shd w:val="clear" w:color="auto" w:fill="FFFFFF" w:themeFill="background1"/>
            <w:vAlign w:val="center"/>
          </w:tcPr>
          <w:p w:rsidR="002D08F3" w:rsidRPr="0086102A" w:rsidRDefault="00F168CB" w:rsidP="00B0472F">
            <w:pPr>
              <w:spacing w:line="180" w:lineRule="exact"/>
              <w:contextualSpacing/>
              <w:jc w:val="center"/>
              <w:rPr>
                <w:color w:val="auto"/>
                <w:sz w:val="18"/>
                <w:szCs w:val="18"/>
              </w:rPr>
            </w:pPr>
            <w:r>
              <w:rPr>
                <w:color w:val="auto"/>
                <w:sz w:val="18"/>
                <w:szCs w:val="18"/>
              </w:rPr>
              <w:t>5242</w:t>
            </w:r>
          </w:p>
        </w:tc>
        <w:tc>
          <w:tcPr>
            <w:tcW w:w="828" w:type="dxa"/>
            <w:shd w:val="clear" w:color="auto" w:fill="FFFFFF" w:themeFill="background1"/>
            <w:vAlign w:val="center"/>
          </w:tcPr>
          <w:p w:rsidR="002D08F3" w:rsidRPr="0086102A" w:rsidRDefault="00F168CB" w:rsidP="00B0472F">
            <w:pPr>
              <w:spacing w:line="180" w:lineRule="exact"/>
              <w:contextualSpacing/>
              <w:jc w:val="center"/>
              <w:rPr>
                <w:color w:val="auto"/>
                <w:sz w:val="18"/>
                <w:szCs w:val="18"/>
              </w:rPr>
            </w:pPr>
            <w:r>
              <w:rPr>
                <w:color w:val="auto"/>
                <w:sz w:val="18"/>
                <w:szCs w:val="18"/>
              </w:rPr>
              <w:t>30</w:t>
            </w:r>
            <w:r w:rsidR="002D08F3" w:rsidRPr="004C2063">
              <w:rPr>
                <w:color w:val="auto"/>
                <w:sz w:val="18"/>
                <w:szCs w:val="18"/>
              </w:rPr>
              <w:t>%</w:t>
            </w:r>
          </w:p>
        </w:tc>
        <w:tc>
          <w:tcPr>
            <w:tcW w:w="990" w:type="dxa"/>
            <w:shd w:val="clear" w:color="auto" w:fill="FFFFFF" w:themeFill="background1"/>
            <w:vAlign w:val="center"/>
          </w:tcPr>
          <w:p w:rsidR="002D08F3" w:rsidRPr="0086102A" w:rsidRDefault="00225CAE" w:rsidP="00B0472F">
            <w:pPr>
              <w:spacing w:line="180" w:lineRule="exact"/>
              <w:contextualSpacing/>
              <w:jc w:val="center"/>
              <w:rPr>
                <w:color w:val="auto"/>
                <w:sz w:val="18"/>
                <w:szCs w:val="18"/>
                <w:highlight w:val="yellow"/>
              </w:rPr>
            </w:pPr>
            <w:r w:rsidRPr="00F168CB">
              <w:rPr>
                <w:color w:val="auto"/>
                <w:sz w:val="18"/>
                <w:szCs w:val="18"/>
              </w:rPr>
              <w:t>20030404</w:t>
            </w:r>
          </w:p>
        </w:tc>
      </w:tr>
      <w:tr w:rsidR="00F168CB" w:rsidRPr="002A4119" w:rsidTr="00CE2B18">
        <w:trPr>
          <w:trHeight w:val="89"/>
          <w:jc w:val="center"/>
        </w:trPr>
        <w:tc>
          <w:tcPr>
            <w:tcW w:w="3879" w:type="dxa"/>
            <w:gridSpan w:val="3"/>
            <w:vMerge w:val="restart"/>
            <w:tcBorders>
              <w:right w:val="thinThickThinSmallGap" w:sz="24" w:space="0" w:color="auto"/>
            </w:tcBorders>
            <w:shd w:val="clear" w:color="auto" w:fill="FFFFFF" w:themeFill="background1"/>
            <w:vAlign w:val="center"/>
          </w:tcPr>
          <w:p w:rsidR="00F168CB" w:rsidRPr="0086102A" w:rsidRDefault="00F168CB"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439" w:type="dxa"/>
            <w:tcBorders>
              <w:left w:val="thinThickThinSmallGap" w:sz="24" w:space="0" w:color="auto"/>
              <w:right w:val="single" w:sz="4" w:space="0" w:color="auto"/>
            </w:tcBorders>
            <w:shd w:val="clear" w:color="auto" w:fill="FFFFFF" w:themeFill="background1"/>
            <w:vAlign w:val="center"/>
          </w:tcPr>
          <w:p w:rsidR="00F168CB" w:rsidRPr="00455FF8" w:rsidRDefault="00F168CB" w:rsidP="00F168CB">
            <w:pPr>
              <w:spacing w:line="180" w:lineRule="exact"/>
              <w:contextualSpacing/>
              <w:rPr>
                <w:color w:val="auto"/>
                <w:sz w:val="18"/>
                <w:szCs w:val="18"/>
              </w:rPr>
            </w:pPr>
            <w:r>
              <w:rPr>
                <w:color w:val="auto"/>
                <w:sz w:val="18"/>
                <w:szCs w:val="18"/>
              </w:rPr>
              <w:t>Hypertension</w:t>
            </w:r>
          </w:p>
        </w:tc>
        <w:tc>
          <w:tcPr>
            <w:tcW w:w="1062" w:type="dxa"/>
            <w:tcBorders>
              <w:left w:val="single" w:sz="4" w:space="0" w:color="auto"/>
              <w:right w:val="single" w:sz="4" w:space="0" w:color="auto"/>
            </w:tcBorders>
            <w:shd w:val="clear" w:color="auto" w:fill="FFFFFF" w:themeFill="background1"/>
            <w:vAlign w:val="center"/>
          </w:tcPr>
          <w:p w:rsidR="00F168CB" w:rsidRPr="00455FF8" w:rsidRDefault="00F168CB" w:rsidP="00F168CB">
            <w:pPr>
              <w:spacing w:line="180" w:lineRule="exact"/>
              <w:contextualSpacing/>
              <w:jc w:val="center"/>
              <w:rPr>
                <w:color w:val="auto"/>
                <w:sz w:val="18"/>
                <w:szCs w:val="18"/>
              </w:rPr>
            </w:pPr>
            <w:r>
              <w:rPr>
                <w:color w:val="auto"/>
                <w:sz w:val="18"/>
                <w:szCs w:val="18"/>
              </w:rPr>
              <w:t>7101</w:t>
            </w:r>
          </w:p>
        </w:tc>
        <w:tc>
          <w:tcPr>
            <w:tcW w:w="828" w:type="dxa"/>
            <w:tcBorders>
              <w:left w:val="single" w:sz="4" w:space="0" w:color="auto"/>
            </w:tcBorders>
            <w:shd w:val="clear" w:color="auto" w:fill="FFFFFF" w:themeFill="background1"/>
            <w:vAlign w:val="center"/>
          </w:tcPr>
          <w:p w:rsidR="00F168CB" w:rsidRPr="00455FF8" w:rsidRDefault="00F168CB" w:rsidP="00F168CB">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F168CB" w:rsidRPr="0086102A" w:rsidRDefault="00F168CB" w:rsidP="00F168CB">
            <w:pPr>
              <w:spacing w:line="180" w:lineRule="exact"/>
              <w:contextualSpacing/>
              <w:jc w:val="center"/>
              <w:rPr>
                <w:color w:val="auto"/>
                <w:sz w:val="18"/>
                <w:szCs w:val="18"/>
                <w:highlight w:val="yellow"/>
              </w:rPr>
            </w:pPr>
            <w:r w:rsidRPr="00F168CB">
              <w:rPr>
                <w:color w:val="auto"/>
                <w:sz w:val="18"/>
                <w:szCs w:val="18"/>
              </w:rPr>
              <w:t>20030403</w:t>
            </w:r>
          </w:p>
        </w:tc>
      </w:tr>
      <w:tr w:rsidR="00F168CB" w:rsidRPr="002A4119" w:rsidTr="00CE2B18">
        <w:trPr>
          <w:trHeight w:val="161"/>
          <w:jc w:val="center"/>
        </w:trPr>
        <w:tc>
          <w:tcPr>
            <w:tcW w:w="3879" w:type="dxa"/>
            <w:gridSpan w:val="3"/>
            <w:vMerge/>
            <w:tcBorders>
              <w:right w:val="thinThickThinSmallGap" w:sz="24" w:space="0" w:color="auto"/>
            </w:tcBorders>
            <w:shd w:val="clear" w:color="auto" w:fill="FFFFFF" w:themeFill="background1"/>
            <w:vAlign w:val="center"/>
          </w:tcPr>
          <w:p w:rsidR="00F168CB" w:rsidRPr="0086102A" w:rsidRDefault="00F168CB" w:rsidP="00B0472F">
            <w:pPr>
              <w:spacing w:line="180" w:lineRule="exact"/>
              <w:contextualSpacing/>
              <w:jc w:val="center"/>
              <w:rPr>
                <w:color w:val="auto"/>
                <w:sz w:val="18"/>
                <w:szCs w:val="18"/>
              </w:rPr>
            </w:pPr>
          </w:p>
        </w:tc>
        <w:tc>
          <w:tcPr>
            <w:tcW w:w="2439" w:type="dxa"/>
            <w:tcBorders>
              <w:left w:val="thinThickThinSmallGap" w:sz="24" w:space="0" w:color="auto"/>
              <w:right w:val="single" w:sz="4" w:space="0" w:color="auto"/>
            </w:tcBorders>
            <w:shd w:val="clear" w:color="auto" w:fill="FFFFFF" w:themeFill="background1"/>
            <w:vAlign w:val="center"/>
          </w:tcPr>
          <w:p w:rsidR="00F168CB" w:rsidRPr="00455FF8" w:rsidRDefault="00F168CB" w:rsidP="00F168CB">
            <w:pPr>
              <w:spacing w:line="180" w:lineRule="exact"/>
              <w:contextualSpacing/>
              <w:rPr>
                <w:color w:val="auto"/>
                <w:sz w:val="18"/>
                <w:szCs w:val="18"/>
              </w:rPr>
            </w:pPr>
            <w:r>
              <w:rPr>
                <w:color w:val="auto"/>
                <w:sz w:val="18"/>
                <w:szCs w:val="18"/>
              </w:rPr>
              <w:t>Tension Headaches</w:t>
            </w:r>
          </w:p>
        </w:tc>
        <w:tc>
          <w:tcPr>
            <w:tcW w:w="1062" w:type="dxa"/>
            <w:tcBorders>
              <w:left w:val="single" w:sz="4" w:space="0" w:color="auto"/>
            </w:tcBorders>
            <w:shd w:val="clear" w:color="auto" w:fill="FFFFFF" w:themeFill="background1"/>
            <w:vAlign w:val="center"/>
          </w:tcPr>
          <w:p w:rsidR="00F168CB" w:rsidRPr="00455FF8" w:rsidRDefault="00F168CB" w:rsidP="00F168CB">
            <w:pPr>
              <w:spacing w:line="180" w:lineRule="exact"/>
              <w:contextualSpacing/>
              <w:jc w:val="center"/>
              <w:rPr>
                <w:color w:val="auto"/>
                <w:sz w:val="18"/>
                <w:szCs w:val="18"/>
              </w:rPr>
            </w:pPr>
            <w:r>
              <w:rPr>
                <w:color w:val="auto"/>
                <w:sz w:val="18"/>
                <w:szCs w:val="18"/>
              </w:rPr>
              <w:t>8199-8100</w:t>
            </w:r>
          </w:p>
        </w:tc>
        <w:tc>
          <w:tcPr>
            <w:tcW w:w="828" w:type="dxa"/>
            <w:shd w:val="clear" w:color="auto" w:fill="FFFFFF" w:themeFill="background1"/>
            <w:vAlign w:val="center"/>
          </w:tcPr>
          <w:p w:rsidR="00F168CB" w:rsidRPr="00455FF8" w:rsidRDefault="00F168CB" w:rsidP="00F168CB">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F168CB" w:rsidRPr="0086102A" w:rsidRDefault="00F168CB" w:rsidP="00B0472F">
            <w:pPr>
              <w:spacing w:line="180" w:lineRule="exact"/>
              <w:contextualSpacing/>
              <w:jc w:val="center"/>
              <w:rPr>
                <w:color w:val="auto"/>
                <w:sz w:val="18"/>
                <w:szCs w:val="18"/>
                <w:highlight w:val="yellow"/>
              </w:rPr>
            </w:pPr>
            <w:r w:rsidRPr="00F168CB">
              <w:rPr>
                <w:color w:val="auto"/>
                <w:sz w:val="18"/>
                <w:szCs w:val="18"/>
              </w:rPr>
              <w:t>20030404</w:t>
            </w:r>
          </w:p>
        </w:tc>
      </w:tr>
      <w:tr w:rsidR="00F168CB" w:rsidRPr="002A4119" w:rsidTr="00CE2B18">
        <w:trPr>
          <w:trHeight w:val="161"/>
          <w:jc w:val="center"/>
        </w:trPr>
        <w:tc>
          <w:tcPr>
            <w:tcW w:w="3879" w:type="dxa"/>
            <w:gridSpan w:val="3"/>
            <w:vMerge/>
            <w:tcBorders>
              <w:right w:val="thinThickThinSmallGap" w:sz="24" w:space="0" w:color="auto"/>
            </w:tcBorders>
            <w:shd w:val="clear" w:color="auto" w:fill="FFFFFF" w:themeFill="background1"/>
            <w:vAlign w:val="center"/>
          </w:tcPr>
          <w:p w:rsidR="00F168CB" w:rsidRPr="0086102A" w:rsidRDefault="00F168CB" w:rsidP="00B0472F">
            <w:pPr>
              <w:spacing w:line="180" w:lineRule="exact"/>
              <w:contextualSpacing/>
              <w:jc w:val="center"/>
              <w:rPr>
                <w:color w:val="auto"/>
                <w:sz w:val="18"/>
                <w:szCs w:val="18"/>
              </w:rPr>
            </w:pPr>
          </w:p>
        </w:tc>
        <w:tc>
          <w:tcPr>
            <w:tcW w:w="2439" w:type="dxa"/>
            <w:tcBorders>
              <w:left w:val="thinThickThinSmallGap" w:sz="24" w:space="0" w:color="auto"/>
              <w:right w:val="single" w:sz="4" w:space="0" w:color="auto"/>
            </w:tcBorders>
            <w:shd w:val="clear" w:color="auto" w:fill="FFFFFF" w:themeFill="background1"/>
            <w:vAlign w:val="center"/>
          </w:tcPr>
          <w:p w:rsidR="00F168CB" w:rsidRPr="00455FF8" w:rsidRDefault="00F168CB" w:rsidP="00F168CB">
            <w:pPr>
              <w:spacing w:line="180" w:lineRule="exact"/>
              <w:contextualSpacing/>
              <w:rPr>
                <w:color w:val="auto"/>
                <w:sz w:val="18"/>
                <w:szCs w:val="18"/>
              </w:rPr>
            </w:pPr>
            <w:r>
              <w:rPr>
                <w:color w:val="auto"/>
                <w:sz w:val="18"/>
                <w:szCs w:val="18"/>
              </w:rPr>
              <w:t>Tinnitus</w:t>
            </w:r>
          </w:p>
        </w:tc>
        <w:tc>
          <w:tcPr>
            <w:tcW w:w="1062" w:type="dxa"/>
            <w:tcBorders>
              <w:left w:val="single" w:sz="4" w:space="0" w:color="auto"/>
            </w:tcBorders>
            <w:shd w:val="clear" w:color="auto" w:fill="FFFFFF" w:themeFill="background1"/>
            <w:vAlign w:val="center"/>
          </w:tcPr>
          <w:p w:rsidR="00F168CB" w:rsidRPr="00455FF8" w:rsidRDefault="00F168CB" w:rsidP="00F168CB">
            <w:pPr>
              <w:spacing w:line="180" w:lineRule="exact"/>
              <w:contextualSpacing/>
              <w:jc w:val="center"/>
              <w:rPr>
                <w:color w:val="auto"/>
                <w:sz w:val="18"/>
                <w:szCs w:val="18"/>
              </w:rPr>
            </w:pPr>
            <w:r>
              <w:rPr>
                <w:color w:val="auto"/>
                <w:sz w:val="18"/>
                <w:szCs w:val="18"/>
              </w:rPr>
              <w:t>6260</w:t>
            </w:r>
          </w:p>
        </w:tc>
        <w:tc>
          <w:tcPr>
            <w:tcW w:w="828" w:type="dxa"/>
            <w:shd w:val="clear" w:color="auto" w:fill="FFFFFF" w:themeFill="background1"/>
            <w:vAlign w:val="center"/>
          </w:tcPr>
          <w:p w:rsidR="00F168CB" w:rsidRPr="00455FF8" w:rsidRDefault="00F168CB" w:rsidP="00F168CB">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F168CB" w:rsidRPr="0086102A" w:rsidRDefault="00F168CB" w:rsidP="00B0472F">
            <w:pPr>
              <w:spacing w:line="180" w:lineRule="exact"/>
              <w:contextualSpacing/>
              <w:jc w:val="center"/>
              <w:rPr>
                <w:color w:val="auto"/>
                <w:sz w:val="18"/>
                <w:szCs w:val="18"/>
                <w:highlight w:val="yellow"/>
              </w:rPr>
            </w:pPr>
            <w:r w:rsidRPr="00F168CB">
              <w:rPr>
                <w:color w:val="auto"/>
                <w:sz w:val="18"/>
                <w:szCs w:val="18"/>
              </w:rPr>
              <w:t>STR</w:t>
            </w:r>
          </w:p>
        </w:tc>
      </w:tr>
      <w:tr w:rsidR="00F168CB" w:rsidRPr="002A4119" w:rsidTr="00CE2B18">
        <w:trPr>
          <w:trHeight w:val="54"/>
          <w:jc w:val="center"/>
        </w:trPr>
        <w:tc>
          <w:tcPr>
            <w:tcW w:w="3879" w:type="dxa"/>
            <w:gridSpan w:val="3"/>
            <w:vMerge/>
            <w:tcBorders>
              <w:right w:val="thinThickThinSmallGap" w:sz="24" w:space="0" w:color="auto"/>
            </w:tcBorders>
            <w:shd w:val="clear" w:color="auto" w:fill="FFFFFF" w:themeFill="background1"/>
          </w:tcPr>
          <w:p w:rsidR="00F168CB" w:rsidRPr="0086102A" w:rsidRDefault="00F168CB" w:rsidP="00B0472F">
            <w:pPr>
              <w:spacing w:line="180" w:lineRule="exact"/>
              <w:contextualSpacing/>
              <w:jc w:val="center"/>
              <w:rPr>
                <w:color w:val="auto"/>
                <w:sz w:val="18"/>
                <w:szCs w:val="18"/>
              </w:rPr>
            </w:pPr>
          </w:p>
        </w:tc>
        <w:tc>
          <w:tcPr>
            <w:tcW w:w="4329" w:type="dxa"/>
            <w:gridSpan w:val="3"/>
            <w:tcBorders>
              <w:left w:val="thinThickThinSmallGap" w:sz="24" w:space="0" w:color="auto"/>
            </w:tcBorders>
            <w:shd w:val="clear" w:color="auto" w:fill="FFFFFF" w:themeFill="background1"/>
            <w:vAlign w:val="center"/>
          </w:tcPr>
          <w:p w:rsidR="00F168CB" w:rsidRPr="0086102A" w:rsidRDefault="00F168CB" w:rsidP="00225CAE">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2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7</w:t>
            </w:r>
          </w:p>
        </w:tc>
        <w:tc>
          <w:tcPr>
            <w:tcW w:w="990" w:type="dxa"/>
            <w:shd w:val="clear" w:color="auto" w:fill="FFFFFF" w:themeFill="background1"/>
            <w:vAlign w:val="center"/>
          </w:tcPr>
          <w:p w:rsidR="00F168CB" w:rsidRPr="0086102A" w:rsidRDefault="00F168CB" w:rsidP="00664296">
            <w:pPr>
              <w:spacing w:line="180" w:lineRule="exact"/>
              <w:contextualSpacing/>
              <w:jc w:val="center"/>
              <w:rPr>
                <w:color w:val="auto"/>
                <w:sz w:val="18"/>
                <w:szCs w:val="18"/>
                <w:highlight w:val="yellow"/>
              </w:rPr>
            </w:pPr>
            <w:r w:rsidRPr="00F168CB">
              <w:rPr>
                <w:color w:val="auto"/>
                <w:sz w:val="18"/>
                <w:szCs w:val="18"/>
              </w:rPr>
              <w:t>20030404</w:t>
            </w:r>
          </w:p>
        </w:tc>
      </w:tr>
      <w:tr w:rsidR="00F168CB" w:rsidRPr="002A4119" w:rsidTr="00CE2B18">
        <w:trPr>
          <w:trHeight w:val="134"/>
          <w:jc w:val="center"/>
        </w:trPr>
        <w:tc>
          <w:tcPr>
            <w:tcW w:w="3879" w:type="dxa"/>
            <w:gridSpan w:val="3"/>
            <w:tcBorders>
              <w:right w:val="thinThickThinSmallGap" w:sz="24" w:space="0" w:color="auto"/>
            </w:tcBorders>
            <w:shd w:val="clear" w:color="auto" w:fill="D9D9D9" w:themeFill="background1" w:themeFillShade="D9"/>
            <w:vAlign w:val="center"/>
          </w:tcPr>
          <w:p w:rsidR="00F168CB" w:rsidRPr="00B06930" w:rsidRDefault="00F168CB" w:rsidP="00641027">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319" w:type="dxa"/>
            <w:gridSpan w:val="4"/>
            <w:tcBorders>
              <w:left w:val="thinThickThinSmallGap" w:sz="24" w:space="0" w:color="auto"/>
            </w:tcBorders>
            <w:shd w:val="clear" w:color="auto" w:fill="D9D9D9" w:themeFill="background1" w:themeFillShade="D9"/>
            <w:vAlign w:val="center"/>
          </w:tcPr>
          <w:p w:rsidR="00F168CB" w:rsidRPr="00B06930" w:rsidRDefault="00F168CB" w:rsidP="00641027">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40</w:t>
            </w:r>
            <w:r w:rsidRPr="00B06930">
              <w:rPr>
                <w:b/>
                <w:color w:val="auto"/>
                <w:sz w:val="20"/>
                <w:szCs w:val="20"/>
              </w:rPr>
              <w:t>%</w:t>
            </w:r>
            <w:r>
              <w:rPr>
                <w:b/>
                <w:color w:val="auto"/>
                <w:sz w:val="20"/>
                <w:szCs w:val="20"/>
              </w:rPr>
              <w:t>*</w:t>
            </w:r>
          </w:p>
        </w:tc>
      </w:tr>
    </w:tbl>
    <w:p w:rsidR="009818AF" w:rsidRPr="00F168CB" w:rsidRDefault="00641027" w:rsidP="00641027">
      <w:pPr>
        <w:spacing w:line="240" w:lineRule="exact"/>
        <w:rPr>
          <w:rFonts w:asciiTheme="minorHAnsi" w:hAnsiTheme="minorHAnsi"/>
          <w:color w:val="auto"/>
          <w:sz w:val="20"/>
        </w:rPr>
      </w:pPr>
      <w:r>
        <w:rPr>
          <w:rFonts w:asciiTheme="minorHAnsi" w:hAnsiTheme="minorHAnsi"/>
          <w:color w:val="auto"/>
          <w:sz w:val="20"/>
        </w:rPr>
        <w:t xml:space="preserve">  </w:t>
      </w:r>
      <w:r w:rsidR="00F168CB" w:rsidRPr="00F168CB">
        <w:rPr>
          <w:rFonts w:asciiTheme="minorHAnsi" w:hAnsiTheme="minorHAnsi"/>
          <w:color w:val="auto"/>
          <w:sz w:val="20"/>
        </w:rPr>
        <w:t>*7101 added at 10% for combined 50% effective 20041101</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2C6E5B" w:rsidRDefault="002C6E5B" w:rsidP="00A25C2C">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1620A">
        <w:rPr>
          <w:rFonts w:asciiTheme="minorHAnsi" w:hAnsiTheme="minorHAnsi"/>
          <w:color w:val="auto"/>
          <w:szCs w:val="24"/>
        </w:rPr>
        <w:t xml:space="preserve">  </w:t>
      </w:r>
      <w:r w:rsidR="0041620A" w:rsidRPr="0041620A">
        <w:rPr>
          <w:rFonts w:asciiTheme="minorHAnsi" w:hAnsiTheme="minorHAnsi"/>
          <w:color w:val="auto"/>
          <w:szCs w:val="24"/>
        </w:rPr>
        <w:t xml:space="preserve">The Board acknowledges that </w:t>
      </w:r>
      <w:r w:rsidR="00F46C2C">
        <w:rPr>
          <w:rFonts w:asciiTheme="minorHAnsi" w:hAnsiTheme="minorHAnsi"/>
          <w:color w:val="auto"/>
          <w:szCs w:val="24"/>
        </w:rPr>
        <w:t xml:space="preserve">certain Disability Evaluation System (DES) documents, including the MEB </w:t>
      </w:r>
      <w:r w:rsidR="00CE2B18">
        <w:rPr>
          <w:rFonts w:asciiTheme="minorHAnsi" w:hAnsiTheme="minorHAnsi"/>
          <w:color w:val="auto"/>
          <w:szCs w:val="24"/>
        </w:rPr>
        <w:t xml:space="preserve">and </w:t>
      </w:r>
      <w:r w:rsidR="00F46C2C">
        <w:rPr>
          <w:rFonts w:asciiTheme="minorHAnsi" w:hAnsiTheme="minorHAnsi"/>
          <w:color w:val="auto"/>
          <w:szCs w:val="24"/>
        </w:rPr>
        <w:t>PEB record</w:t>
      </w:r>
      <w:r w:rsidR="00CE2B18">
        <w:rPr>
          <w:rFonts w:asciiTheme="minorHAnsi" w:hAnsiTheme="minorHAnsi"/>
          <w:color w:val="auto"/>
          <w:szCs w:val="24"/>
        </w:rPr>
        <w:t>s</w:t>
      </w:r>
      <w:r w:rsidR="00F46C2C">
        <w:rPr>
          <w:rFonts w:asciiTheme="minorHAnsi" w:hAnsiTheme="minorHAnsi"/>
          <w:color w:val="auto"/>
          <w:szCs w:val="24"/>
        </w:rPr>
        <w:t xml:space="preserve"> of proceedings, </w:t>
      </w:r>
      <w:r w:rsidR="00CE2B18">
        <w:rPr>
          <w:rFonts w:asciiTheme="minorHAnsi" w:hAnsiTheme="minorHAnsi"/>
          <w:color w:val="auto"/>
          <w:szCs w:val="24"/>
        </w:rPr>
        <w:t>limited duty p</w:t>
      </w:r>
      <w:r w:rsidR="00F46C2C">
        <w:rPr>
          <w:rFonts w:asciiTheme="minorHAnsi" w:hAnsiTheme="minorHAnsi"/>
          <w:color w:val="auto"/>
          <w:szCs w:val="24"/>
        </w:rPr>
        <w:t>rofile, and MEB history and physical</w:t>
      </w:r>
      <w:r w:rsidR="0041620A" w:rsidRPr="0041620A">
        <w:rPr>
          <w:rFonts w:asciiTheme="minorHAnsi" w:hAnsiTheme="minorHAnsi"/>
          <w:color w:val="auto"/>
          <w:szCs w:val="24"/>
        </w:rPr>
        <w:t xml:space="preserve"> </w:t>
      </w:r>
      <w:r w:rsidR="00F46C2C">
        <w:rPr>
          <w:rFonts w:asciiTheme="minorHAnsi" w:hAnsiTheme="minorHAnsi"/>
          <w:color w:val="auto"/>
          <w:szCs w:val="24"/>
        </w:rPr>
        <w:t xml:space="preserve">are </w:t>
      </w:r>
      <w:r w:rsidR="0041620A" w:rsidRPr="0041620A">
        <w:rPr>
          <w:rFonts w:asciiTheme="minorHAnsi" w:hAnsiTheme="minorHAnsi"/>
          <w:color w:val="auto"/>
          <w:szCs w:val="24"/>
        </w:rPr>
        <w:t xml:space="preserve">not available and could not be located after the appropriate inquiries. </w:t>
      </w:r>
      <w:r w:rsidR="00F46C2C">
        <w:rPr>
          <w:rFonts w:asciiTheme="minorHAnsi" w:hAnsiTheme="minorHAnsi"/>
          <w:color w:val="auto"/>
          <w:szCs w:val="24"/>
        </w:rPr>
        <w:t xml:space="preserve"> </w:t>
      </w:r>
      <w:r w:rsidR="0041620A" w:rsidRPr="0041620A">
        <w:rPr>
          <w:rFonts w:asciiTheme="minorHAnsi" w:hAnsiTheme="minorHAnsi"/>
          <w:color w:val="auto"/>
          <w:szCs w:val="24"/>
        </w:rPr>
        <w:t xml:space="preserve">Further attempts at obtaining the relevant documentation would likely be futile and introduce additional delay in </w:t>
      </w:r>
      <w:r w:rsidR="00CE2B18">
        <w:rPr>
          <w:rFonts w:asciiTheme="minorHAnsi" w:hAnsiTheme="minorHAnsi"/>
          <w:color w:val="auto"/>
          <w:szCs w:val="24"/>
        </w:rPr>
        <w:t xml:space="preserve">case </w:t>
      </w:r>
      <w:r w:rsidR="0041620A" w:rsidRPr="0041620A">
        <w:rPr>
          <w:rFonts w:asciiTheme="minorHAnsi" w:hAnsiTheme="minorHAnsi"/>
          <w:color w:val="auto"/>
          <w:szCs w:val="24"/>
        </w:rPr>
        <w:t xml:space="preserve">processing. </w:t>
      </w:r>
      <w:r w:rsidR="00F46C2C">
        <w:rPr>
          <w:rFonts w:asciiTheme="minorHAnsi" w:hAnsiTheme="minorHAnsi"/>
          <w:color w:val="auto"/>
          <w:szCs w:val="24"/>
        </w:rPr>
        <w:t xml:space="preserve"> </w:t>
      </w:r>
      <w:r w:rsidR="0041620A" w:rsidRPr="0041620A">
        <w:rPr>
          <w:rFonts w:asciiTheme="minorHAnsi" w:hAnsiTheme="minorHAnsi"/>
          <w:color w:val="auto"/>
          <w:szCs w:val="24"/>
        </w:rPr>
        <w:t xml:space="preserve">The missing evidence will be referenced below in relevant context and it is not suspected </w:t>
      </w:r>
      <w:r w:rsidR="00CE2B18">
        <w:rPr>
          <w:rFonts w:asciiTheme="minorHAnsi" w:hAnsiTheme="minorHAnsi"/>
          <w:color w:val="auto"/>
          <w:szCs w:val="24"/>
        </w:rPr>
        <w:t xml:space="preserve">it </w:t>
      </w:r>
      <w:r w:rsidR="0041620A" w:rsidRPr="0041620A">
        <w:rPr>
          <w:rFonts w:asciiTheme="minorHAnsi" w:hAnsiTheme="minorHAnsi"/>
          <w:color w:val="auto"/>
          <w:szCs w:val="24"/>
        </w:rPr>
        <w:t>would significantly alter the Board’s recommendations.</w:t>
      </w:r>
      <w:r w:rsidR="00F46C2C">
        <w:rPr>
          <w:rFonts w:asciiTheme="minorHAnsi" w:hAnsiTheme="minorHAnsi"/>
          <w:color w:val="auto"/>
          <w:szCs w:val="24"/>
        </w:rPr>
        <w:t xml:space="preserve">  </w:t>
      </w:r>
    </w:p>
    <w:p w:rsidR="004C60A3" w:rsidRDefault="004C60A3" w:rsidP="00510F9C">
      <w:pPr>
        <w:spacing w:line="240" w:lineRule="exact"/>
        <w:rPr>
          <w:rFonts w:asciiTheme="minorHAnsi" w:hAnsiTheme="minorHAnsi"/>
          <w:color w:val="auto"/>
          <w:szCs w:val="24"/>
        </w:rPr>
      </w:pPr>
    </w:p>
    <w:p w:rsidR="00664296" w:rsidRPr="00664296" w:rsidRDefault="00664296" w:rsidP="00A25C2C">
      <w:pPr>
        <w:tabs>
          <w:tab w:val="left" w:pos="288"/>
          <w:tab w:val="left" w:pos="4752"/>
        </w:tabs>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Neck Condition</w:t>
      </w:r>
      <w:r w:rsidRPr="00664296">
        <w:rPr>
          <w:rFonts w:asciiTheme="minorHAnsi" w:hAnsiTheme="minorHAnsi"/>
          <w:color w:val="auto"/>
          <w:szCs w:val="24"/>
        </w:rPr>
        <w:t>.</w:t>
      </w:r>
      <w:proofErr w:type="gramEnd"/>
      <w:r w:rsidRPr="00664296">
        <w:rPr>
          <w:rFonts w:asciiTheme="minorHAnsi" w:hAnsiTheme="minorHAnsi"/>
          <w:color w:val="auto"/>
          <w:szCs w:val="24"/>
        </w:rPr>
        <w:t xml:space="preserve">  There were </w:t>
      </w:r>
      <w:r w:rsidR="009612D1">
        <w:rPr>
          <w:rFonts w:asciiTheme="minorHAnsi" w:hAnsiTheme="minorHAnsi"/>
          <w:color w:val="auto"/>
          <w:szCs w:val="24"/>
        </w:rPr>
        <w:t>three</w:t>
      </w:r>
      <w:r w:rsidRPr="00F46C2C">
        <w:rPr>
          <w:rFonts w:asciiTheme="minorHAnsi" w:hAnsiTheme="minorHAnsi"/>
          <w:color w:val="auto"/>
          <w:szCs w:val="24"/>
        </w:rPr>
        <w:t xml:space="preserve"> goniometric </w:t>
      </w:r>
      <w:proofErr w:type="gramStart"/>
      <w:r w:rsidRPr="00F46C2C">
        <w:rPr>
          <w:rFonts w:asciiTheme="minorHAnsi" w:hAnsiTheme="minorHAnsi"/>
          <w:color w:val="auto"/>
          <w:szCs w:val="24"/>
        </w:rPr>
        <w:t>range</w:t>
      </w:r>
      <w:proofErr w:type="gramEnd"/>
      <w:r w:rsidR="00CE2B18">
        <w:rPr>
          <w:rFonts w:asciiTheme="minorHAnsi" w:hAnsiTheme="minorHAnsi"/>
          <w:color w:val="auto"/>
          <w:szCs w:val="24"/>
        </w:rPr>
        <w:t xml:space="preserve"> </w:t>
      </w:r>
      <w:r w:rsidRPr="00664296">
        <w:rPr>
          <w:rFonts w:asciiTheme="minorHAnsi" w:hAnsiTheme="minorHAnsi"/>
          <w:color w:val="auto"/>
          <w:szCs w:val="24"/>
        </w:rPr>
        <w:t>o</w:t>
      </w:r>
      <w:r w:rsidR="00CE2B18">
        <w:rPr>
          <w:rFonts w:asciiTheme="minorHAnsi" w:hAnsiTheme="minorHAnsi"/>
          <w:color w:val="auto"/>
          <w:szCs w:val="24"/>
        </w:rPr>
        <w:t xml:space="preserve">f </w:t>
      </w:r>
      <w:r w:rsidRPr="00664296">
        <w:rPr>
          <w:rFonts w:asciiTheme="minorHAnsi" w:hAnsiTheme="minorHAnsi"/>
          <w:color w:val="auto"/>
          <w:szCs w:val="24"/>
        </w:rPr>
        <w:t>motion (ROM) evaluations in evidence which the Board weighed in arrivin</w:t>
      </w:r>
      <w:r w:rsidR="00F46C2C">
        <w:rPr>
          <w:rFonts w:asciiTheme="minorHAnsi" w:hAnsiTheme="minorHAnsi"/>
          <w:color w:val="auto"/>
          <w:szCs w:val="24"/>
        </w:rPr>
        <w:t>g at its rating recommendation</w:t>
      </w:r>
      <w:r w:rsidR="00CE2B18">
        <w:rPr>
          <w:rFonts w:asciiTheme="minorHAnsi" w:hAnsiTheme="minorHAnsi"/>
          <w:color w:val="auto"/>
          <w:szCs w:val="24"/>
        </w:rPr>
        <w:t xml:space="preserve">, </w:t>
      </w:r>
      <w:r w:rsidRPr="00664296">
        <w:rPr>
          <w:rFonts w:asciiTheme="minorHAnsi" w:hAnsiTheme="minorHAnsi"/>
          <w:color w:val="auto"/>
          <w:szCs w:val="24"/>
        </w:rPr>
        <w:t>summarized below.</w:t>
      </w:r>
    </w:p>
    <w:p w:rsidR="00664296" w:rsidRDefault="00664296" w:rsidP="00664296">
      <w:pPr>
        <w:tabs>
          <w:tab w:val="left" w:pos="288"/>
          <w:tab w:val="left" w:pos="4752"/>
        </w:tabs>
        <w:spacing w:line="240" w:lineRule="exact"/>
        <w:rPr>
          <w:rFonts w:asciiTheme="minorHAnsi" w:hAnsiTheme="minorHAnsi"/>
          <w:color w:val="auto"/>
          <w:szCs w:val="24"/>
        </w:rPr>
      </w:pPr>
    </w:p>
    <w:tbl>
      <w:tblPr>
        <w:tblW w:w="8801" w:type="dxa"/>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9"/>
        <w:gridCol w:w="2202"/>
        <w:gridCol w:w="2098"/>
        <w:gridCol w:w="2302"/>
      </w:tblGrid>
      <w:tr w:rsidR="00B010B9" w:rsidRPr="00664296" w:rsidTr="00CE2B18">
        <w:trPr>
          <w:trHeight w:val="161"/>
          <w:jc w:val="center"/>
        </w:trPr>
        <w:tc>
          <w:tcPr>
            <w:tcW w:w="2199" w:type="dxa"/>
            <w:shd w:val="clear" w:color="auto" w:fill="D9D9D9" w:themeFill="background1" w:themeFillShade="D9"/>
          </w:tcPr>
          <w:p w:rsidR="00B010B9" w:rsidRPr="00664296" w:rsidRDefault="00B010B9" w:rsidP="00A25C2C">
            <w:pPr>
              <w:spacing w:line="240" w:lineRule="exact"/>
              <w:contextualSpacing/>
              <w:jc w:val="center"/>
              <w:rPr>
                <w:rFonts w:eastAsia="Calibri"/>
                <w:color w:val="auto"/>
                <w:sz w:val="22"/>
                <w:szCs w:val="22"/>
              </w:rPr>
            </w:pPr>
            <w:r>
              <w:rPr>
                <w:rFonts w:eastAsia="Calibri"/>
                <w:color w:val="auto"/>
                <w:sz w:val="22"/>
                <w:szCs w:val="22"/>
              </w:rPr>
              <w:t>Cervical</w:t>
            </w:r>
            <w:r w:rsidRPr="006B54DC">
              <w:rPr>
                <w:rFonts w:eastAsia="Calibri"/>
                <w:color w:val="auto"/>
                <w:sz w:val="22"/>
                <w:szCs w:val="22"/>
              </w:rPr>
              <w:t xml:space="preserve"> ROM</w:t>
            </w:r>
            <w:r>
              <w:rPr>
                <w:rFonts w:eastAsia="Calibri"/>
                <w:color w:val="auto"/>
                <w:sz w:val="22"/>
                <w:szCs w:val="22"/>
              </w:rPr>
              <w:t xml:space="preserve"> </w:t>
            </w:r>
          </w:p>
        </w:tc>
        <w:tc>
          <w:tcPr>
            <w:tcW w:w="2202" w:type="dxa"/>
            <w:shd w:val="clear" w:color="auto" w:fill="D9D9D9" w:themeFill="background1" w:themeFillShade="D9"/>
          </w:tcPr>
          <w:p w:rsidR="00B010B9" w:rsidRPr="00664296" w:rsidRDefault="00B010B9" w:rsidP="00F4041C">
            <w:pPr>
              <w:spacing w:line="240" w:lineRule="exact"/>
              <w:contextualSpacing/>
              <w:jc w:val="center"/>
              <w:rPr>
                <w:rFonts w:eastAsiaTheme="minorHAnsi" w:cstheme="minorBidi"/>
                <w:color w:val="auto"/>
                <w:sz w:val="22"/>
                <w:szCs w:val="22"/>
              </w:rPr>
            </w:pPr>
            <w:r w:rsidRPr="00664296">
              <w:rPr>
                <w:rFonts w:eastAsia="Calibri"/>
                <w:color w:val="auto"/>
                <w:sz w:val="22"/>
                <w:szCs w:val="22"/>
              </w:rPr>
              <w:t>VA</w:t>
            </w:r>
            <w:r w:rsidRPr="00664296">
              <w:rPr>
                <w:rFonts w:eastAsiaTheme="minorHAnsi" w:cstheme="minorBidi"/>
                <w:color w:val="auto"/>
                <w:sz w:val="22"/>
                <w:szCs w:val="22"/>
              </w:rPr>
              <w:t xml:space="preserve"> C&amp;P –</w:t>
            </w:r>
            <w:r>
              <w:rPr>
                <w:rFonts w:eastAsiaTheme="minorHAnsi" w:cstheme="minorBidi"/>
                <w:color w:val="auto"/>
                <w:sz w:val="22"/>
                <w:szCs w:val="22"/>
              </w:rPr>
              <w:t>7</w:t>
            </w:r>
            <w:r w:rsidRPr="00664296">
              <w:rPr>
                <w:rFonts w:eastAsiaTheme="minorHAnsi" w:cstheme="minorBidi"/>
                <w:color w:val="auto"/>
                <w:sz w:val="22"/>
                <w:szCs w:val="22"/>
              </w:rPr>
              <w:t xml:space="preserve"> </w:t>
            </w:r>
            <w:proofErr w:type="spellStart"/>
            <w:r w:rsidRPr="00664296">
              <w:rPr>
                <w:rFonts w:eastAsiaTheme="minorHAnsi" w:cstheme="minorBidi"/>
                <w:color w:val="auto"/>
                <w:sz w:val="22"/>
                <w:szCs w:val="22"/>
              </w:rPr>
              <w:t>mos</w:t>
            </w:r>
            <w:proofErr w:type="spellEnd"/>
            <w:r w:rsidRPr="00664296">
              <w:rPr>
                <w:rFonts w:eastAsiaTheme="minorHAnsi" w:cstheme="minorBidi"/>
                <w:color w:val="auto"/>
                <w:sz w:val="22"/>
                <w:szCs w:val="22"/>
              </w:rPr>
              <w:t xml:space="preserve"> </w:t>
            </w:r>
            <w:r>
              <w:rPr>
                <w:rFonts w:eastAsiaTheme="minorHAnsi" w:cstheme="minorBidi"/>
                <w:color w:val="auto"/>
                <w:sz w:val="22"/>
                <w:szCs w:val="22"/>
              </w:rPr>
              <w:t>Pre</w:t>
            </w:r>
            <w:r w:rsidRPr="00664296">
              <w:rPr>
                <w:rFonts w:eastAsiaTheme="minorHAnsi" w:cstheme="minorBidi"/>
                <w:color w:val="auto"/>
                <w:sz w:val="22"/>
                <w:szCs w:val="22"/>
              </w:rPr>
              <w:t xml:space="preserve"> Sep</w:t>
            </w:r>
          </w:p>
        </w:tc>
        <w:tc>
          <w:tcPr>
            <w:tcW w:w="2098" w:type="dxa"/>
            <w:shd w:val="clear" w:color="auto" w:fill="D9D9D9" w:themeFill="background1" w:themeFillShade="D9"/>
          </w:tcPr>
          <w:p w:rsidR="00B010B9" w:rsidRPr="00664296" w:rsidRDefault="00B010B9" w:rsidP="009612D1">
            <w:pPr>
              <w:spacing w:line="240" w:lineRule="exact"/>
              <w:contextualSpacing/>
              <w:jc w:val="center"/>
              <w:rPr>
                <w:rFonts w:eastAsia="Calibri"/>
                <w:color w:val="auto"/>
                <w:sz w:val="22"/>
                <w:szCs w:val="22"/>
              </w:rPr>
            </w:pPr>
            <w:r>
              <w:rPr>
                <w:rFonts w:eastAsia="Calibri"/>
                <w:color w:val="auto"/>
                <w:sz w:val="22"/>
                <w:szCs w:val="22"/>
              </w:rPr>
              <w:t>DES</w:t>
            </w:r>
            <w:r w:rsidRPr="00664296">
              <w:rPr>
                <w:rFonts w:eastAsia="Calibri"/>
                <w:color w:val="auto"/>
                <w:sz w:val="22"/>
                <w:szCs w:val="22"/>
              </w:rPr>
              <w:t xml:space="preserve"> – </w:t>
            </w:r>
            <w:r>
              <w:rPr>
                <w:rFonts w:eastAsia="Calibri"/>
                <w:color w:val="auto"/>
                <w:sz w:val="22"/>
                <w:szCs w:val="22"/>
              </w:rPr>
              <w:t>2</w:t>
            </w:r>
            <w:r w:rsidRPr="00664296">
              <w:rPr>
                <w:rFonts w:eastAsia="Calibri"/>
                <w:color w:val="auto"/>
                <w:sz w:val="22"/>
                <w:szCs w:val="22"/>
              </w:rPr>
              <w:t xml:space="preserve"> </w:t>
            </w:r>
            <w:proofErr w:type="spellStart"/>
            <w:r>
              <w:rPr>
                <w:rFonts w:eastAsia="Calibri"/>
                <w:color w:val="auto"/>
                <w:sz w:val="22"/>
                <w:szCs w:val="22"/>
              </w:rPr>
              <w:t>m</w:t>
            </w:r>
            <w:r w:rsidRPr="00664296">
              <w:rPr>
                <w:rFonts w:eastAsia="Calibri"/>
                <w:color w:val="auto"/>
                <w:sz w:val="22"/>
                <w:szCs w:val="22"/>
              </w:rPr>
              <w:t>os</w:t>
            </w:r>
            <w:proofErr w:type="spellEnd"/>
            <w:r w:rsidRPr="00664296">
              <w:rPr>
                <w:rFonts w:eastAsia="Calibri"/>
                <w:color w:val="auto"/>
                <w:sz w:val="22"/>
                <w:szCs w:val="22"/>
              </w:rPr>
              <w:t xml:space="preserve"> Pre Sep</w:t>
            </w:r>
          </w:p>
        </w:tc>
        <w:tc>
          <w:tcPr>
            <w:tcW w:w="2302" w:type="dxa"/>
            <w:tcBorders>
              <w:left w:val="single" w:sz="4" w:space="0" w:color="auto"/>
            </w:tcBorders>
            <w:shd w:val="clear" w:color="auto" w:fill="D9D9D9" w:themeFill="background1" w:themeFillShade="D9"/>
          </w:tcPr>
          <w:p w:rsidR="00B010B9" w:rsidRPr="00664296" w:rsidRDefault="00B010B9" w:rsidP="009612D1">
            <w:pPr>
              <w:spacing w:line="240" w:lineRule="exact"/>
              <w:contextualSpacing/>
              <w:jc w:val="center"/>
              <w:rPr>
                <w:rFonts w:eastAsiaTheme="minorHAnsi" w:cstheme="minorBidi"/>
                <w:color w:val="auto"/>
                <w:sz w:val="22"/>
                <w:szCs w:val="22"/>
              </w:rPr>
            </w:pPr>
            <w:r w:rsidRPr="00664296">
              <w:rPr>
                <w:rFonts w:eastAsia="Calibri"/>
                <w:color w:val="auto"/>
                <w:sz w:val="22"/>
                <w:szCs w:val="22"/>
              </w:rPr>
              <w:t>VA</w:t>
            </w:r>
            <w:r w:rsidRPr="00664296">
              <w:rPr>
                <w:rFonts w:eastAsiaTheme="minorHAnsi" w:cstheme="minorBidi"/>
                <w:color w:val="auto"/>
                <w:sz w:val="22"/>
                <w:szCs w:val="22"/>
              </w:rPr>
              <w:t xml:space="preserve"> C&amp;P –</w:t>
            </w:r>
            <w:r>
              <w:rPr>
                <w:rFonts w:eastAsiaTheme="minorHAnsi" w:cstheme="minorBidi"/>
                <w:color w:val="auto"/>
                <w:sz w:val="22"/>
                <w:szCs w:val="22"/>
              </w:rPr>
              <w:t>4</w:t>
            </w:r>
            <w:r w:rsidRPr="00664296">
              <w:rPr>
                <w:rFonts w:eastAsiaTheme="minorHAnsi" w:cstheme="minorBidi"/>
                <w:color w:val="auto"/>
                <w:sz w:val="22"/>
                <w:szCs w:val="22"/>
              </w:rPr>
              <w:t xml:space="preserve"> </w:t>
            </w:r>
            <w:proofErr w:type="spellStart"/>
            <w:r w:rsidRPr="00664296">
              <w:rPr>
                <w:rFonts w:eastAsiaTheme="minorHAnsi" w:cstheme="minorBidi"/>
                <w:color w:val="auto"/>
                <w:sz w:val="22"/>
                <w:szCs w:val="22"/>
              </w:rPr>
              <w:t>mos</w:t>
            </w:r>
            <w:proofErr w:type="spellEnd"/>
            <w:r w:rsidRPr="00664296">
              <w:rPr>
                <w:rFonts w:eastAsiaTheme="minorHAnsi" w:cstheme="minorBidi"/>
                <w:color w:val="auto"/>
                <w:sz w:val="22"/>
                <w:szCs w:val="22"/>
              </w:rPr>
              <w:t xml:space="preserve"> </w:t>
            </w:r>
            <w:r>
              <w:rPr>
                <w:rFonts w:eastAsiaTheme="minorHAnsi" w:cstheme="minorBidi"/>
                <w:color w:val="auto"/>
                <w:sz w:val="22"/>
                <w:szCs w:val="22"/>
              </w:rPr>
              <w:t>Post</w:t>
            </w:r>
            <w:r w:rsidRPr="00664296">
              <w:rPr>
                <w:rFonts w:eastAsiaTheme="minorHAnsi" w:cstheme="minorBidi"/>
                <w:color w:val="auto"/>
                <w:sz w:val="22"/>
                <w:szCs w:val="22"/>
              </w:rPr>
              <w:t xml:space="preserve"> Sep</w:t>
            </w:r>
          </w:p>
        </w:tc>
      </w:tr>
      <w:tr w:rsidR="00B010B9" w:rsidRPr="00664296" w:rsidTr="00CE2B18">
        <w:trPr>
          <w:trHeight w:val="89"/>
          <w:jc w:val="center"/>
        </w:trPr>
        <w:tc>
          <w:tcPr>
            <w:tcW w:w="2199" w:type="dxa"/>
          </w:tcPr>
          <w:p w:rsidR="00B010B9" w:rsidRPr="00CE2B18" w:rsidRDefault="00B010B9" w:rsidP="00CE2B18">
            <w:pPr>
              <w:spacing w:line="180" w:lineRule="exact"/>
              <w:contextualSpacing/>
              <w:jc w:val="center"/>
              <w:rPr>
                <w:rFonts w:eastAsia="Calibri"/>
                <w:color w:val="auto"/>
                <w:sz w:val="18"/>
                <w:szCs w:val="18"/>
              </w:rPr>
            </w:pPr>
            <w:r w:rsidRPr="00CE2B18">
              <w:rPr>
                <w:rFonts w:eastAsia="Calibri"/>
                <w:color w:val="auto"/>
                <w:sz w:val="18"/>
                <w:szCs w:val="18"/>
              </w:rPr>
              <w:t>Flexion (45⁰)</w:t>
            </w:r>
          </w:p>
        </w:tc>
        <w:tc>
          <w:tcPr>
            <w:tcW w:w="2202" w:type="dxa"/>
          </w:tcPr>
          <w:p w:rsidR="00B010B9" w:rsidRPr="00CE2B18" w:rsidRDefault="00B010B9" w:rsidP="00CE2B18">
            <w:pPr>
              <w:spacing w:line="180" w:lineRule="exact"/>
              <w:contextualSpacing/>
              <w:jc w:val="center"/>
              <w:rPr>
                <w:rFonts w:eastAsia="Calibri"/>
                <w:color w:val="auto"/>
                <w:sz w:val="18"/>
                <w:szCs w:val="18"/>
              </w:rPr>
            </w:pPr>
            <w:r w:rsidRPr="00CE2B18">
              <w:rPr>
                <w:rFonts w:eastAsia="Calibri"/>
                <w:color w:val="auto"/>
                <w:sz w:val="18"/>
                <w:szCs w:val="18"/>
              </w:rPr>
              <w:t>50⁰</w:t>
            </w:r>
          </w:p>
        </w:tc>
        <w:tc>
          <w:tcPr>
            <w:tcW w:w="2098" w:type="dxa"/>
          </w:tcPr>
          <w:p w:rsidR="00B010B9" w:rsidRPr="00CE2B18" w:rsidRDefault="00B010B9" w:rsidP="00CE2B18">
            <w:pPr>
              <w:spacing w:line="180" w:lineRule="exact"/>
              <w:contextualSpacing/>
              <w:jc w:val="center"/>
              <w:rPr>
                <w:rFonts w:eastAsia="Calibri"/>
                <w:color w:val="auto"/>
                <w:sz w:val="18"/>
                <w:szCs w:val="18"/>
              </w:rPr>
            </w:pPr>
            <w:r w:rsidRPr="00CE2B18">
              <w:rPr>
                <w:rFonts w:eastAsia="Calibri"/>
                <w:color w:val="auto"/>
                <w:sz w:val="18"/>
                <w:szCs w:val="18"/>
              </w:rPr>
              <w:t>30⁰</w:t>
            </w:r>
          </w:p>
        </w:tc>
        <w:tc>
          <w:tcPr>
            <w:tcW w:w="2302" w:type="dxa"/>
            <w:tcBorders>
              <w:left w:val="single" w:sz="4" w:space="0" w:color="auto"/>
            </w:tcBorders>
          </w:tcPr>
          <w:p w:rsidR="00B010B9" w:rsidRPr="00CE2B18" w:rsidRDefault="00B010B9" w:rsidP="00CE2B18">
            <w:pPr>
              <w:spacing w:line="180" w:lineRule="exact"/>
              <w:contextualSpacing/>
              <w:jc w:val="center"/>
              <w:rPr>
                <w:rFonts w:eastAsia="Calibri"/>
                <w:color w:val="auto"/>
                <w:sz w:val="18"/>
                <w:szCs w:val="18"/>
              </w:rPr>
            </w:pPr>
            <w:r w:rsidRPr="00CE2B18">
              <w:rPr>
                <w:rFonts w:eastAsia="Calibri"/>
                <w:color w:val="auto"/>
                <w:sz w:val="18"/>
                <w:szCs w:val="18"/>
              </w:rPr>
              <w:t>15⁰</w:t>
            </w:r>
          </w:p>
        </w:tc>
      </w:tr>
      <w:tr w:rsidR="00B010B9" w:rsidRPr="00664296" w:rsidTr="00CE2B18">
        <w:trPr>
          <w:jc w:val="center"/>
        </w:trPr>
        <w:tc>
          <w:tcPr>
            <w:tcW w:w="2199" w:type="dxa"/>
          </w:tcPr>
          <w:p w:rsidR="00B010B9" w:rsidRPr="00CE2B18" w:rsidRDefault="00B010B9" w:rsidP="00CE2B18">
            <w:pPr>
              <w:spacing w:line="180" w:lineRule="exact"/>
              <w:contextualSpacing/>
              <w:jc w:val="center"/>
              <w:rPr>
                <w:rFonts w:eastAsia="Calibri"/>
                <w:color w:val="auto"/>
                <w:sz w:val="18"/>
                <w:szCs w:val="18"/>
              </w:rPr>
            </w:pPr>
            <w:r w:rsidRPr="00CE2B18">
              <w:rPr>
                <w:rFonts w:eastAsia="Calibri"/>
                <w:color w:val="auto"/>
                <w:sz w:val="18"/>
                <w:szCs w:val="18"/>
              </w:rPr>
              <w:t xml:space="preserve">Combined (340⁰) </w:t>
            </w:r>
          </w:p>
        </w:tc>
        <w:tc>
          <w:tcPr>
            <w:tcW w:w="2202" w:type="dxa"/>
          </w:tcPr>
          <w:p w:rsidR="00B010B9" w:rsidRPr="00CE2B18" w:rsidRDefault="00B010B9" w:rsidP="00CE2B18">
            <w:pPr>
              <w:spacing w:line="180" w:lineRule="exact"/>
              <w:contextualSpacing/>
              <w:jc w:val="center"/>
              <w:rPr>
                <w:rFonts w:eastAsia="Calibri"/>
                <w:color w:val="auto"/>
                <w:sz w:val="18"/>
                <w:szCs w:val="18"/>
              </w:rPr>
            </w:pPr>
            <w:r w:rsidRPr="00CE2B18">
              <w:rPr>
                <w:rFonts w:eastAsia="Calibri"/>
                <w:color w:val="auto"/>
                <w:sz w:val="18"/>
                <w:szCs w:val="18"/>
              </w:rPr>
              <w:t>325⁰</w:t>
            </w:r>
          </w:p>
        </w:tc>
        <w:tc>
          <w:tcPr>
            <w:tcW w:w="2098" w:type="dxa"/>
          </w:tcPr>
          <w:p w:rsidR="00B010B9" w:rsidRPr="00CE2B18" w:rsidRDefault="00B010B9" w:rsidP="00CE2B18">
            <w:pPr>
              <w:spacing w:line="180" w:lineRule="exact"/>
              <w:contextualSpacing/>
              <w:jc w:val="center"/>
              <w:rPr>
                <w:rFonts w:eastAsia="Calibri"/>
                <w:color w:val="auto"/>
                <w:sz w:val="18"/>
                <w:szCs w:val="18"/>
              </w:rPr>
            </w:pPr>
            <w:r w:rsidRPr="00CE2B18">
              <w:rPr>
                <w:rFonts w:eastAsia="Calibri"/>
                <w:color w:val="auto"/>
                <w:sz w:val="18"/>
                <w:szCs w:val="18"/>
              </w:rPr>
              <w:t>Incomplete</w:t>
            </w:r>
          </w:p>
        </w:tc>
        <w:tc>
          <w:tcPr>
            <w:tcW w:w="2302" w:type="dxa"/>
            <w:tcBorders>
              <w:left w:val="single" w:sz="4" w:space="0" w:color="auto"/>
            </w:tcBorders>
          </w:tcPr>
          <w:p w:rsidR="00B010B9" w:rsidRPr="00CE2B18" w:rsidRDefault="00B010B9" w:rsidP="00CE2B18">
            <w:pPr>
              <w:spacing w:line="180" w:lineRule="exact"/>
              <w:contextualSpacing/>
              <w:jc w:val="center"/>
              <w:rPr>
                <w:rFonts w:eastAsia="Calibri"/>
                <w:color w:val="auto"/>
                <w:sz w:val="18"/>
                <w:szCs w:val="18"/>
              </w:rPr>
            </w:pPr>
            <w:r w:rsidRPr="00CE2B18">
              <w:rPr>
                <w:rFonts w:eastAsia="Calibri"/>
                <w:color w:val="auto"/>
                <w:sz w:val="18"/>
                <w:szCs w:val="18"/>
              </w:rPr>
              <w:t>240⁰</w:t>
            </w:r>
          </w:p>
        </w:tc>
      </w:tr>
      <w:tr w:rsidR="00B010B9" w:rsidRPr="00664296" w:rsidTr="00CE2B18">
        <w:trPr>
          <w:jc w:val="center"/>
        </w:trPr>
        <w:tc>
          <w:tcPr>
            <w:tcW w:w="2199" w:type="dxa"/>
          </w:tcPr>
          <w:p w:rsidR="00B010B9" w:rsidRPr="00CE2B18" w:rsidRDefault="00B010B9" w:rsidP="00CE2B18">
            <w:pPr>
              <w:tabs>
                <w:tab w:val="left" w:pos="288"/>
                <w:tab w:val="left" w:pos="4752"/>
              </w:tabs>
              <w:spacing w:line="180" w:lineRule="exact"/>
              <w:jc w:val="center"/>
              <w:rPr>
                <w:rFonts w:asciiTheme="minorHAnsi" w:eastAsiaTheme="minorHAnsi" w:hAnsiTheme="minorHAnsi"/>
                <w:color w:val="auto"/>
                <w:sz w:val="18"/>
                <w:szCs w:val="18"/>
              </w:rPr>
            </w:pPr>
            <w:r w:rsidRPr="00CE2B18">
              <w:rPr>
                <w:rFonts w:asciiTheme="minorHAnsi" w:eastAsiaTheme="minorHAnsi" w:hAnsiTheme="minorHAnsi"/>
                <w:color w:val="auto"/>
                <w:sz w:val="18"/>
                <w:szCs w:val="18"/>
              </w:rPr>
              <w:t>Comments</w:t>
            </w:r>
          </w:p>
        </w:tc>
        <w:tc>
          <w:tcPr>
            <w:tcW w:w="2202" w:type="dxa"/>
          </w:tcPr>
          <w:p w:rsidR="00B010B9" w:rsidRPr="00CE2B18" w:rsidRDefault="00B010B9" w:rsidP="00CE2B18">
            <w:pPr>
              <w:tabs>
                <w:tab w:val="left" w:pos="288"/>
                <w:tab w:val="left" w:pos="4752"/>
              </w:tabs>
              <w:spacing w:line="180" w:lineRule="exact"/>
              <w:jc w:val="center"/>
              <w:rPr>
                <w:rFonts w:asciiTheme="minorHAnsi" w:eastAsiaTheme="minorHAnsi" w:hAnsiTheme="minorHAnsi"/>
                <w:color w:val="auto"/>
                <w:sz w:val="18"/>
                <w:szCs w:val="18"/>
              </w:rPr>
            </w:pPr>
            <w:r w:rsidRPr="00CE2B18">
              <w:rPr>
                <w:rFonts w:asciiTheme="minorHAnsi" w:eastAsiaTheme="minorHAnsi" w:hAnsiTheme="minorHAnsi"/>
                <w:color w:val="auto"/>
                <w:sz w:val="18"/>
                <w:szCs w:val="18"/>
              </w:rPr>
              <w:t>No spasm; Pain at 40</w:t>
            </w:r>
            <w:r w:rsidR="00166B81" w:rsidRPr="00CE2B18">
              <w:rPr>
                <w:rFonts w:eastAsia="Calibri"/>
                <w:color w:val="auto"/>
                <w:sz w:val="18"/>
                <w:szCs w:val="18"/>
              </w:rPr>
              <w:t>⁰</w:t>
            </w:r>
            <w:r w:rsidRPr="00CE2B18">
              <w:rPr>
                <w:rFonts w:asciiTheme="minorHAnsi" w:eastAsiaTheme="minorHAnsi" w:hAnsiTheme="minorHAnsi"/>
                <w:color w:val="auto"/>
                <w:sz w:val="18"/>
                <w:szCs w:val="18"/>
              </w:rPr>
              <w:t xml:space="preserve"> flexion</w:t>
            </w:r>
            <w:r w:rsidR="00CE2B18">
              <w:rPr>
                <w:rFonts w:asciiTheme="minorHAnsi" w:eastAsiaTheme="minorHAnsi" w:hAnsiTheme="minorHAnsi"/>
                <w:color w:val="auto"/>
                <w:sz w:val="18"/>
                <w:szCs w:val="18"/>
              </w:rPr>
              <w:t xml:space="preserve">; </w:t>
            </w:r>
            <w:r w:rsidRPr="00CE2B18">
              <w:rPr>
                <w:rFonts w:asciiTheme="minorHAnsi" w:eastAsiaTheme="minorHAnsi" w:hAnsiTheme="minorHAnsi"/>
                <w:color w:val="auto"/>
                <w:sz w:val="18"/>
                <w:szCs w:val="18"/>
              </w:rPr>
              <w:t>ful</w:t>
            </w:r>
            <w:r w:rsidR="00CE2B18">
              <w:rPr>
                <w:rFonts w:asciiTheme="minorHAnsi" w:eastAsiaTheme="minorHAnsi" w:hAnsiTheme="minorHAnsi"/>
                <w:color w:val="auto"/>
                <w:sz w:val="18"/>
                <w:szCs w:val="18"/>
              </w:rPr>
              <w:t>l</w:t>
            </w:r>
            <w:r w:rsidRPr="00CE2B18">
              <w:rPr>
                <w:rFonts w:asciiTheme="minorHAnsi" w:eastAsiaTheme="minorHAnsi" w:hAnsiTheme="minorHAnsi"/>
                <w:color w:val="auto"/>
                <w:sz w:val="18"/>
                <w:szCs w:val="18"/>
              </w:rPr>
              <w:t xml:space="preserve"> motion</w:t>
            </w:r>
          </w:p>
        </w:tc>
        <w:tc>
          <w:tcPr>
            <w:tcW w:w="2098" w:type="dxa"/>
          </w:tcPr>
          <w:p w:rsidR="00B010B9" w:rsidRPr="00CE2B18" w:rsidRDefault="00166B81" w:rsidP="00CE2B18">
            <w:pPr>
              <w:tabs>
                <w:tab w:val="left" w:pos="288"/>
                <w:tab w:val="left" w:pos="4752"/>
              </w:tabs>
              <w:spacing w:line="180" w:lineRule="exact"/>
              <w:jc w:val="center"/>
              <w:rPr>
                <w:rFonts w:asciiTheme="minorHAnsi" w:eastAsiaTheme="minorHAnsi" w:hAnsiTheme="minorHAnsi"/>
                <w:color w:val="auto"/>
                <w:sz w:val="18"/>
                <w:szCs w:val="18"/>
              </w:rPr>
            </w:pPr>
            <w:r w:rsidRPr="00CE2B18">
              <w:rPr>
                <w:rFonts w:asciiTheme="minorHAnsi" w:eastAsiaTheme="minorHAnsi" w:hAnsiTheme="minorHAnsi"/>
                <w:color w:val="auto"/>
                <w:sz w:val="18"/>
                <w:szCs w:val="18"/>
              </w:rPr>
              <w:t>Extension 45</w:t>
            </w:r>
            <w:r w:rsidRPr="00CE2B18">
              <w:rPr>
                <w:rFonts w:eastAsia="Calibri"/>
                <w:color w:val="auto"/>
                <w:sz w:val="18"/>
                <w:szCs w:val="18"/>
              </w:rPr>
              <w:t>⁰</w:t>
            </w:r>
            <w:r w:rsidRPr="00CE2B18">
              <w:rPr>
                <w:rFonts w:asciiTheme="minorHAnsi" w:eastAsiaTheme="minorHAnsi" w:hAnsiTheme="minorHAnsi"/>
                <w:color w:val="auto"/>
                <w:sz w:val="18"/>
                <w:szCs w:val="18"/>
              </w:rPr>
              <w:t>, rotation full</w:t>
            </w:r>
          </w:p>
        </w:tc>
        <w:tc>
          <w:tcPr>
            <w:tcW w:w="2302" w:type="dxa"/>
            <w:tcBorders>
              <w:left w:val="single" w:sz="4" w:space="0" w:color="auto"/>
            </w:tcBorders>
          </w:tcPr>
          <w:p w:rsidR="00B010B9" w:rsidRPr="00CE2B18" w:rsidRDefault="00B010B9" w:rsidP="00CE2B18">
            <w:pPr>
              <w:tabs>
                <w:tab w:val="left" w:pos="288"/>
                <w:tab w:val="left" w:pos="4752"/>
              </w:tabs>
              <w:spacing w:line="180" w:lineRule="exact"/>
              <w:jc w:val="center"/>
              <w:rPr>
                <w:rFonts w:asciiTheme="minorHAnsi" w:eastAsiaTheme="minorHAnsi" w:hAnsiTheme="minorHAnsi"/>
                <w:color w:val="auto"/>
                <w:sz w:val="18"/>
                <w:szCs w:val="18"/>
              </w:rPr>
            </w:pPr>
            <w:r w:rsidRPr="00CE2B18">
              <w:rPr>
                <w:rFonts w:asciiTheme="minorHAnsi" w:eastAsiaTheme="minorHAnsi" w:hAnsiTheme="minorHAnsi"/>
                <w:color w:val="auto"/>
                <w:sz w:val="18"/>
                <w:szCs w:val="18"/>
              </w:rPr>
              <w:t>Nontender</w:t>
            </w:r>
            <w:r w:rsidR="00166B81" w:rsidRPr="00CE2B18">
              <w:rPr>
                <w:rFonts w:asciiTheme="minorHAnsi" w:eastAsiaTheme="minorHAnsi" w:hAnsiTheme="minorHAnsi"/>
                <w:color w:val="auto"/>
                <w:sz w:val="18"/>
                <w:szCs w:val="18"/>
              </w:rPr>
              <w:t>, no spasm, painful motion</w:t>
            </w:r>
          </w:p>
        </w:tc>
      </w:tr>
      <w:tr w:rsidR="00B010B9" w:rsidRPr="00664296" w:rsidTr="00CE2B18">
        <w:trPr>
          <w:trHeight w:val="70"/>
          <w:jc w:val="center"/>
        </w:trPr>
        <w:tc>
          <w:tcPr>
            <w:tcW w:w="2199" w:type="dxa"/>
          </w:tcPr>
          <w:p w:rsidR="00B010B9" w:rsidRPr="00166B81" w:rsidRDefault="00B010B9" w:rsidP="00664296">
            <w:pPr>
              <w:tabs>
                <w:tab w:val="left" w:pos="288"/>
                <w:tab w:val="left" w:pos="4752"/>
              </w:tabs>
              <w:spacing w:line="240" w:lineRule="exact"/>
              <w:jc w:val="center"/>
              <w:rPr>
                <w:rFonts w:asciiTheme="minorHAnsi" w:eastAsiaTheme="minorHAnsi" w:hAnsiTheme="minorHAnsi"/>
                <w:color w:val="auto"/>
                <w:sz w:val="20"/>
              </w:rPr>
            </w:pPr>
            <w:r w:rsidRPr="00166B81">
              <w:rPr>
                <w:rFonts w:asciiTheme="minorHAnsi" w:eastAsiaTheme="minorHAnsi" w:hAnsiTheme="minorHAnsi"/>
                <w:color w:val="auto"/>
                <w:sz w:val="20"/>
              </w:rPr>
              <w:t>§4.71a Rating</w:t>
            </w:r>
          </w:p>
        </w:tc>
        <w:tc>
          <w:tcPr>
            <w:tcW w:w="2202" w:type="dxa"/>
          </w:tcPr>
          <w:p w:rsidR="00B010B9" w:rsidRPr="00166B81" w:rsidRDefault="00B010B9" w:rsidP="00F4041C">
            <w:pPr>
              <w:tabs>
                <w:tab w:val="left" w:pos="288"/>
                <w:tab w:val="left" w:pos="4752"/>
              </w:tabs>
              <w:spacing w:line="240" w:lineRule="exact"/>
              <w:jc w:val="center"/>
              <w:rPr>
                <w:rFonts w:asciiTheme="minorHAnsi" w:eastAsiaTheme="minorHAnsi" w:hAnsiTheme="minorHAnsi"/>
                <w:color w:val="auto"/>
                <w:sz w:val="20"/>
              </w:rPr>
            </w:pPr>
            <w:r w:rsidRPr="00166B81">
              <w:rPr>
                <w:rFonts w:asciiTheme="minorHAnsi" w:eastAsiaTheme="minorHAnsi" w:hAnsiTheme="minorHAnsi"/>
                <w:color w:val="auto"/>
                <w:sz w:val="20"/>
              </w:rPr>
              <w:t>10%</w:t>
            </w:r>
          </w:p>
        </w:tc>
        <w:tc>
          <w:tcPr>
            <w:tcW w:w="2098" w:type="dxa"/>
          </w:tcPr>
          <w:p w:rsidR="00B010B9" w:rsidRPr="00166B81" w:rsidRDefault="00B010B9" w:rsidP="00664296">
            <w:pPr>
              <w:tabs>
                <w:tab w:val="left" w:pos="288"/>
                <w:tab w:val="left" w:pos="4752"/>
              </w:tabs>
              <w:spacing w:line="240" w:lineRule="exact"/>
              <w:jc w:val="center"/>
              <w:rPr>
                <w:rFonts w:asciiTheme="minorHAnsi" w:eastAsiaTheme="minorHAnsi" w:hAnsiTheme="minorHAnsi"/>
                <w:color w:val="auto"/>
                <w:sz w:val="20"/>
              </w:rPr>
            </w:pPr>
            <w:r w:rsidRPr="00166B81">
              <w:rPr>
                <w:rFonts w:asciiTheme="minorHAnsi" w:eastAsiaTheme="minorHAnsi" w:hAnsiTheme="minorHAnsi"/>
                <w:color w:val="auto"/>
                <w:sz w:val="20"/>
              </w:rPr>
              <w:t>20%</w:t>
            </w:r>
          </w:p>
        </w:tc>
        <w:tc>
          <w:tcPr>
            <w:tcW w:w="2302" w:type="dxa"/>
            <w:tcBorders>
              <w:left w:val="single" w:sz="4" w:space="0" w:color="auto"/>
            </w:tcBorders>
          </w:tcPr>
          <w:p w:rsidR="00B010B9" w:rsidRPr="00166B81" w:rsidRDefault="00B010B9" w:rsidP="00B167AA">
            <w:pPr>
              <w:tabs>
                <w:tab w:val="left" w:pos="288"/>
                <w:tab w:val="left" w:pos="4752"/>
              </w:tabs>
              <w:spacing w:line="240" w:lineRule="exact"/>
              <w:jc w:val="center"/>
              <w:rPr>
                <w:rFonts w:asciiTheme="minorHAnsi" w:eastAsiaTheme="minorHAnsi" w:hAnsiTheme="minorHAnsi"/>
                <w:color w:val="auto"/>
                <w:sz w:val="20"/>
              </w:rPr>
            </w:pPr>
            <w:r w:rsidRPr="00166B81">
              <w:rPr>
                <w:rFonts w:asciiTheme="minorHAnsi" w:eastAsiaTheme="minorHAnsi" w:hAnsiTheme="minorHAnsi"/>
                <w:color w:val="auto"/>
                <w:sz w:val="20"/>
              </w:rPr>
              <w:t>30%</w:t>
            </w:r>
          </w:p>
        </w:tc>
      </w:tr>
    </w:tbl>
    <w:p w:rsidR="009612D1" w:rsidRPr="009612D1" w:rsidRDefault="00836699" w:rsidP="009612D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 xml:space="preserve">At the time of the NARSUM 11 months prior to separation the CI complained of decreased neck mobility and neck pain that prevented him from adequately performing the duties of his rating.  The examiner recorded a history of </w:t>
      </w:r>
      <w:r w:rsidR="007D20D2">
        <w:rPr>
          <w:rFonts w:asciiTheme="minorHAnsi" w:hAnsiTheme="minorHAnsi"/>
          <w:color w:val="auto"/>
          <w:szCs w:val="24"/>
        </w:rPr>
        <w:t>a C6 cervical fracture with instability</w:t>
      </w:r>
      <w:r w:rsidR="00CE2B18">
        <w:rPr>
          <w:rFonts w:asciiTheme="minorHAnsi" w:hAnsiTheme="minorHAnsi"/>
          <w:color w:val="auto"/>
          <w:szCs w:val="24"/>
        </w:rPr>
        <w:t>,</w:t>
      </w:r>
      <w:r w:rsidR="007D20D2">
        <w:rPr>
          <w:rFonts w:asciiTheme="minorHAnsi" w:hAnsiTheme="minorHAnsi"/>
          <w:color w:val="auto"/>
          <w:szCs w:val="24"/>
        </w:rPr>
        <w:t xml:space="preserve"> treated with</w:t>
      </w:r>
      <w:r w:rsidRPr="00836699">
        <w:rPr>
          <w:rFonts w:asciiTheme="minorHAnsi" w:hAnsiTheme="minorHAnsi"/>
          <w:color w:val="auto"/>
          <w:szCs w:val="24"/>
        </w:rPr>
        <w:t xml:space="preserve"> anterior cervi</w:t>
      </w:r>
      <w:r>
        <w:rPr>
          <w:rFonts w:asciiTheme="minorHAnsi" w:hAnsiTheme="minorHAnsi"/>
          <w:color w:val="auto"/>
          <w:szCs w:val="24"/>
        </w:rPr>
        <w:t xml:space="preserve">cal </w:t>
      </w:r>
      <w:r w:rsidRPr="00836699">
        <w:rPr>
          <w:rFonts w:asciiTheme="minorHAnsi" w:hAnsiTheme="minorHAnsi"/>
          <w:color w:val="auto"/>
          <w:szCs w:val="24"/>
        </w:rPr>
        <w:t>dis</w:t>
      </w:r>
      <w:r w:rsidR="007D20D2">
        <w:rPr>
          <w:rFonts w:asciiTheme="minorHAnsi" w:hAnsiTheme="minorHAnsi"/>
          <w:color w:val="auto"/>
          <w:szCs w:val="24"/>
        </w:rPr>
        <w:t>k</w:t>
      </w:r>
      <w:r w:rsidRPr="00836699">
        <w:rPr>
          <w:rFonts w:asciiTheme="minorHAnsi" w:hAnsiTheme="minorHAnsi"/>
          <w:color w:val="auto"/>
          <w:szCs w:val="24"/>
        </w:rPr>
        <w:t>ectomy and fusion.</w:t>
      </w:r>
      <w:r w:rsidR="007D20D2">
        <w:rPr>
          <w:rFonts w:asciiTheme="minorHAnsi" w:hAnsiTheme="minorHAnsi"/>
          <w:color w:val="auto"/>
          <w:szCs w:val="24"/>
        </w:rPr>
        <w:t xml:space="preserve">  An abbreviated examination showed a normal motor and sensory exam, and “limited neck mobility.”  Two months prior to separation</w:t>
      </w:r>
      <w:r w:rsidR="00CE2B18">
        <w:rPr>
          <w:rFonts w:asciiTheme="minorHAnsi" w:hAnsiTheme="minorHAnsi"/>
          <w:color w:val="auto"/>
          <w:szCs w:val="24"/>
        </w:rPr>
        <w:t>,</w:t>
      </w:r>
      <w:r w:rsidR="007D20D2">
        <w:rPr>
          <w:rFonts w:asciiTheme="minorHAnsi" w:hAnsiTheme="minorHAnsi"/>
          <w:color w:val="auto"/>
          <w:szCs w:val="24"/>
        </w:rPr>
        <w:t xml:space="preserve"> the CI underwent an additional evaluation “</w:t>
      </w:r>
      <w:r w:rsidR="007D20D2" w:rsidRPr="007D20D2">
        <w:rPr>
          <w:rFonts w:asciiTheme="minorHAnsi" w:hAnsiTheme="minorHAnsi"/>
          <w:color w:val="auto"/>
          <w:szCs w:val="24"/>
        </w:rPr>
        <w:t xml:space="preserve">specifically to get </w:t>
      </w:r>
      <w:r w:rsidR="009F4C87" w:rsidRPr="007D20D2">
        <w:rPr>
          <w:rFonts w:asciiTheme="minorHAnsi" w:hAnsiTheme="minorHAnsi"/>
          <w:color w:val="auto"/>
          <w:szCs w:val="24"/>
        </w:rPr>
        <w:t>h</w:t>
      </w:r>
      <w:r w:rsidR="009F4C87">
        <w:rPr>
          <w:rFonts w:asciiTheme="minorHAnsi" w:hAnsiTheme="minorHAnsi"/>
          <w:color w:val="auto"/>
          <w:szCs w:val="24"/>
        </w:rPr>
        <w:t>is</w:t>
      </w:r>
      <w:r w:rsidR="009F4C87" w:rsidRPr="007D20D2">
        <w:rPr>
          <w:rFonts w:asciiTheme="minorHAnsi" w:hAnsiTheme="minorHAnsi"/>
          <w:color w:val="auto"/>
          <w:szCs w:val="24"/>
        </w:rPr>
        <w:t xml:space="preserve"> </w:t>
      </w:r>
      <w:r w:rsidR="007D20D2" w:rsidRPr="007D20D2">
        <w:rPr>
          <w:rFonts w:asciiTheme="minorHAnsi" w:hAnsiTheme="minorHAnsi"/>
          <w:color w:val="auto"/>
          <w:szCs w:val="24"/>
        </w:rPr>
        <w:t xml:space="preserve">range of motion of </w:t>
      </w:r>
      <w:r w:rsidR="009F4C87">
        <w:rPr>
          <w:rFonts w:asciiTheme="minorHAnsi" w:hAnsiTheme="minorHAnsi"/>
          <w:color w:val="auto"/>
          <w:szCs w:val="24"/>
        </w:rPr>
        <w:t>[t]he</w:t>
      </w:r>
      <w:r w:rsidR="007D20D2" w:rsidRPr="007D20D2">
        <w:rPr>
          <w:rFonts w:asciiTheme="minorHAnsi" w:hAnsiTheme="minorHAnsi"/>
          <w:color w:val="auto"/>
          <w:szCs w:val="24"/>
        </w:rPr>
        <w:t xml:space="preserve"> neck</w:t>
      </w:r>
      <w:r w:rsidR="007D20D2">
        <w:rPr>
          <w:rFonts w:asciiTheme="minorHAnsi" w:hAnsiTheme="minorHAnsi"/>
          <w:color w:val="auto"/>
          <w:szCs w:val="24"/>
        </w:rPr>
        <w:t xml:space="preserve"> measured,” presumably in support of the PEB rating.  </w:t>
      </w:r>
      <w:r w:rsidR="009F4C87">
        <w:rPr>
          <w:rFonts w:asciiTheme="minorHAnsi" w:hAnsiTheme="minorHAnsi"/>
          <w:color w:val="auto"/>
          <w:szCs w:val="24"/>
        </w:rPr>
        <w:t xml:space="preserve">This examiner found a full ROM of the neck except for </w:t>
      </w:r>
      <w:r w:rsidR="009F4C87" w:rsidRPr="009F4C87">
        <w:rPr>
          <w:rFonts w:asciiTheme="minorHAnsi" w:hAnsiTheme="minorHAnsi"/>
          <w:color w:val="auto"/>
          <w:szCs w:val="24"/>
        </w:rPr>
        <w:t>ante</w:t>
      </w:r>
      <w:r w:rsidR="009F4C87">
        <w:rPr>
          <w:rFonts w:asciiTheme="minorHAnsi" w:hAnsiTheme="minorHAnsi"/>
          <w:color w:val="auto"/>
          <w:szCs w:val="24"/>
        </w:rPr>
        <w:t>ri</w:t>
      </w:r>
      <w:r w:rsidR="009F4C87" w:rsidRPr="009F4C87">
        <w:rPr>
          <w:rFonts w:asciiTheme="minorHAnsi" w:hAnsiTheme="minorHAnsi"/>
          <w:color w:val="auto"/>
          <w:szCs w:val="24"/>
        </w:rPr>
        <w:t xml:space="preserve">or flexion </w:t>
      </w:r>
      <w:r w:rsidR="009F4C87">
        <w:rPr>
          <w:rFonts w:asciiTheme="minorHAnsi" w:hAnsiTheme="minorHAnsi"/>
          <w:color w:val="auto"/>
          <w:szCs w:val="24"/>
        </w:rPr>
        <w:t>limited</w:t>
      </w:r>
      <w:r w:rsidR="009F4C87" w:rsidRPr="009F4C87">
        <w:rPr>
          <w:rFonts w:asciiTheme="minorHAnsi" w:hAnsiTheme="minorHAnsi"/>
          <w:color w:val="auto"/>
          <w:szCs w:val="24"/>
        </w:rPr>
        <w:t xml:space="preserve"> to about 30</w:t>
      </w:r>
      <w:r w:rsidR="00903489" w:rsidRPr="00903489">
        <w:rPr>
          <w:rFonts w:asciiTheme="minorHAnsi" w:hAnsiTheme="minorHAnsi"/>
          <w:color w:val="auto"/>
          <w:szCs w:val="24"/>
        </w:rPr>
        <w:t>⁰</w:t>
      </w:r>
      <w:r w:rsidR="009F4C87" w:rsidRPr="009F4C87">
        <w:rPr>
          <w:rFonts w:asciiTheme="minorHAnsi" w:hAnsiTheme="minorHAnsi"/>
          <w:color w:val="auto"/>
          <w:szCs w:val="24"/>
        </w:rPr>
        <w:t>.</w:t>
      </w:r>
      <w:r w:rsidR="009F4C87">
        <w:rPr>
          <w:rFonts w:asciiTheme="minorHAnsi" w:hAnsiTheme="minorHAnsi"/>
          <w:color w:val="auto"/>
          <w:szCs w:val="24"/>
        </w:rPr>
        <w:t xml:space="preserve">  </w:t>
      </w:r>
      <w:r w:rsidR="009612D1">
        <w:rPr>
          <w:rFonts w:asciiTheme="minorHAnsi" w:hAnsiTheme="minorHAnsi"/>
          <w:color w:val="auto"/>
          <w:szCs w:val="24"/>
        </w:rPr>
        <w:t xml:space="preserve">A </w:t>
      </w:r>
      <w:r w:rsidR="009612D1" w:rsidRPr="00B479DB">
        <w:rPr>
          <w:rFonts w:asciiTheme="minorHAnsi" w:hAnsiTheme="minorHAnsi"/>
          <w:color w:val="auto"/>
          <w:szCs w:val="24"/>
        </w:rPr>
        <w:t xml:space="preserve">VA </w:t>
      </w:r>
      <w:r w:rsidR="00CE2B18" w:rsidRPr="00B479DB">
        <w:rPr>
          <w:rFonts w:asciiTheme="minorHAnsi" w:hAnsiTheme="minorHAnsi"/>
          <w:color w:val="auto"/>
          <w:szCs w:val="24"/>
        </w:rPr>
        <w:t xml:space="preserve">compensation </w:t>
      </w:r>
      <w:r w:rsidR="00CE2B18">
        <w:rPr>
          <w:rFonts w:asciiTheme="minorHAnsi" w:hAnsiTheme="minorHAnsi"/>
          <w:color w:val="auto"/>
          <w:szCs w:val="24"/>
        </w:rPr>
        <w:t>and</w:t>
      </w:r>
      <w:r w:rsidR="00CE2B18" w:rsidRPr="00B479DB">
        <w:rPr>
          <w:rFonts w:asciiTheme="minorHAnsi" w:hAnsiTheme="minorHAnsi"/>
          <w:color w:val="auto"/>
          <w:szCs w:val="24"/>
        </w:rPr>
        <w:t xml:space="preserve"> pension </w:t>
      </w:r>
      <w:r w:rsidR="009612D1" w:rsidRPr="00B479DB">
        <w:rPr>
          <w:rFonts w:asciiTheme="minorHAnsi" w:hAnsiTheme="minorHAnsi"/>
          <w:color w:val="auto"/>
          <w:szCs w:val="24"/>
        </w:rPr>
        <w:t>(C&amp;P)</w:t>
      </w:r>
      <w:r w:rsidR="009612D1">
        <w:rPr>
          <w:rFonts w:asciiTheme="minorHAnsi" w:hAnsiTheme="minorHAnsi"/>
          <w:color w:val="auto"/>
          <w:szCs w:val="24"/>
        </w:rPr>
        <w:t xml:space="preserve"> exam seven months prior to separation</w:t>
      </w:r>
      <w:r w:rsidR="00CE2B18">
        <w:rPr>
          <w:rFonts w:asciiTheme="minorHAnsi" w:hAnsiTheme="minorHAnsi"/>
          <w:color w:val="auto"/>
          <w:szCs w:val="24"/>
        </w:rPr>
        <w:t>,</w:t>
      </w:r>
      <w:r w:rsidR="009612D1" w:rsidRPr="009612D1">
        <w:rPr>
          <w:rFonts w:asciiTheme="minorHAnsi" w:hAnsiTheme="minorHAnsi"/>
          <w:color w:val="auto"/>
          <w:szCs w:val="24"/>
        </w:rPr>
        <w:t xml:space="preserve"> </w:t>
      </w:r>
      <w:r w:rsidR="009612D1">
        <w:rPr>
          <w:rFonts w:asciiTheme="minorHAnsi" w:hAnsiTheme="minorHAnsi"/>
          <w:color w:val="auto"/>
          <w:szCs w:val="24"/>
        </w:rPr>
        <w:t>focusing on the CI’s claimed orthopedic conditions and headaches, documented normal gait and posture, no spasm or tenderness of the neck, and no signs of radiculopathy.  Measured ROMs were nearly normal with onset of pain at 40</w:t>
      </w:r>
      <w:r w:rsidR="009612D1" w:rsidRPr="00903489">
        <w:rPr>
          <w:rFonts w:asciiTheme="minorHAnsi" w:hAnsiTheme="minorHAnsi"/>
          <w:color w:val="auto"/>
          <w:szCs w:val="24"/>
        </w:rPr>
        <w:t>⁰</w:t>
      </w:r>
      <w:r w:rsidR="009612D1">
        <w:rPr>
          <w:rFonts w:asciiTheme="minorHAnsi" w:hAnsiTheme="minorHAnsi"/>
          <w:color w:val="auto"/>
          <w:szCs w:val="24"/>
        </w:rPr>
        <w:t>.  Imaging studies showed hardware consistent with the described surgery, and evidence of C6-7 fusion.  The VA examiner annotated this latter finding as, “</w:t>
      </w:r>
      <w:r w:rsidR="009612D1" w:rsidRPr="00903489">
        <w:rPr>
          <w:rFonts w:asciiTheme="minorHAnsi" w:hAnsiTheme="minorHAnsi"/>
          <w:color w:val="auto"/>
          <w:szCs w:val="24"/>
        </w:rPr>
        <w:t>There is ankylosis present at C6-7.</w:t>
      </w:r>
      <w:r w:rsidR="009612D1">
        <w:rPr>
          <w:rFonts w:asciiTheme="minorHAnsi" w:hAnsiTheme="minorHAnsi"/>
          <w:color w:val="auto"/>
          <w:szCs w:val="24"/>
        </w:rPr>
        <w:t xml:space="preserve">”  A later </w:t>
      </w:r>
      <w:r w:rsidR="009612D1" w:rsidRPr="00B479DB">
        <w:rPr>
          <w:rFonts w:asciiTheme="minorHAnsi" w:hAnsiTheme="minorHAnsi"/>
          <w:color w:val="auto"/>
          <w:szCs w:val="24"/>
        </w:rPr>
        <w:t>VA C&amp;P</w:t>
      </w:r>
      <w:r w:rsidR="009612D1">
        <w:rPr>
          <w:rFonts w:asciiTheme="minorHAnsi" w:hAnsiTheme="minorHAnsi"/>
          <w:color w:val="auto"/>
          <w:szCs w:val="24"/>
        </w:rPr>
        <w:t xml:space="preserve"> exam, four months after separation, performed by a </w:t>
      </w:r>
      <w:r w:rsidR="00857760">
        <w:rPr>
          <w:rFonts w:asciiTheme="minorHAnsi" w:hAnsiTheme="minorHAnsi"/>
          <w:color w:val="auto"/>
          <w:szCs w:val="24"/>
        </w:rPr>
        <w:t>p</w:t>
      </w:r>
      <w:r w:rsidR="009612D1">
        <w:rPr>
          <w:rFonts w:asciiTheme="minorHAnsi" w:hAnsiTheme="minorHAnsi"/>
          <w:color w:val="auto"/>
          <w:szCs w:val="24"/>
        </w:rPr>
        <w:t xml:space="preserve">hysician </w:t>
      </w:r>
      <w:r w:rsidR="00857760">
        <w:rPr>
          <w:rFonts w:asciiTheme="minorHAnsi" w:hAnsiTheme="minorHAnsi"/>
          <w:color w:val="auto"/>
          <w:szCs w:val="24"/>
        </w:rPr>
        <w:t>a</w:t>
      </w:r>
      <w:r w:rsidR="009612D1">
        <w:rPr>
          <w:rFonts w:asciiTheme="minorHAnsi" w:hAnsiTheme="minorHAnsi"/>
          <w:color w:val="auto"/>
          <w:szCs w:val="24"/>
        </w:rPr>
        <w:t>ssistant and targeting the CI’s claimed upper extremity conditions, also recorded a neck exam.  This exam measured ROMs that were markedly restricted in flexion, extension, and side bending.  This exam contained no additional history or change in symptoms that would expla</w:t>
      </w:r>
      <w:r w:rsidR="00857760">
        <w:rPr>
          <w:rFonts w:asciiTheme="minorHAnsi" w:hAnsiTheme="minorHAnsi"/>
          <w:color w:val="auto"/>
          <w:szCs w:val="24"/>
        </w:rPr>
        <w:t xml:space="preserve">in the markedly diminished ROM which is inconsistent with the </w:t>
      </w:r>
      <w:r w:rsidR="00857760" w:rsidRPr="001F5378">
        <w:rPr>
          <w:rFonts w:asciiTheme="minorHAnsi" w:hAnsiTheme="minorHAnsi"/>
          <w:color w:val="auto"/>
          <w:szCs w:val="24"/>
        </w:rPr>
        <w:t>anticipated severity suggested by the clinical pathology</w:t>
      </w:r>
      <w:r w:rsidR="00857760">
        <w:rPr>
          <w:rFonts w:asciiTheme="minorHAnsi" w:hAnsiTheme="minorHAnsi"/>
          <w:color w:val="auto"/>
          <w:szCs w:val="24"/>
        </w:rPr>
        <w:t xml:space="preserve">.  </w:t>
      </w:r>
      <w:r w:rsidR="00D36336">
        <w:rPr>
          <w:rFonts w:asciiTheme="minorHAnsi" w:hAnsiTheme="minorHAnsi"/>
          <w:color w:val="auto"/>
          <w:szCs w:val="24"/>
        </w:rPr>
        <w:t>In considering the probative value of the available ratable evidence</w:t>
      </w:r>
      <w:r w:rsidR="00CE2B18">
        <w:rPr>
          <w:rFonts w:asciiTheme="minorHAnsi" w:hAnsiTheme="minorHAnsi"/>
          <w:color w:val="auto"/>
          <w:szCs w:val="24"/>
        </w:rPr>
        <w:t>,</w:t>
      </w:r>
      <w:r w:rsidR="00D36336">
        <w:rPr>
          <w:rFonts w:asciiTheme="minorHAnsi" w:hAnsiTheme="minorHAnsi"/>
          <w:color w:val="auto"/>
          <w:szCs w:val="24"/>
        </w:rPr>
        <w:t xml:space="preserve"> the Board noted that the </w:t>
      </w:r>
      <w:r w:rsidR="009612D1">
        <w:rPr>
          <w:rFonts w:asciiTheme="minorHAnsi" w:hAnsiTheme="minorHAnsi"/>
          <w:color w:val="auto"/>
          <w:szCs w:val="24"/>
        </w:rPr>
        <w:t>initial</w:t>
      </w:r>
      <w:r w:rsidR="00D36336">
        <w:rPr>
          <w:rFonts w:asciiTheme="minorHAnsi" w:hAnsiTheme="minorHAnsi"/>
          <w:color w:val="auto"/>
          <w:szCs w:val="24"/>
        </w:rPr>
        <w:t xml:space="preserve"> VA exam was complete, of high quality, and was well</w:t>
      </w:r>
      <w:r w:rsidR="00CE2B18">
        <w:rPr>
          <w:rFonts w:asciiTheme="minorHAnsi" w:hAnsiTheme="minorHAnsi"/>
          <w:color w:val="auto"/>
          <w:szCs w:val="24"/>
        </w:rPr>
        <w:t>-</w:t>
      </w:r>
      <w:r w:rsidR="00D36336">
        <w:rPr>
          <w:rFonts w:asciiTheme="minorHAnsi" w:hAnsiTheme="minorHAnsi"/>
          <w:color w:val="auto"/>
          <w:szCs w:val="24"/>
        </w:rPr>
        <w:t xml:space="preserve">documented; that the </w:t>
      </w:r>
      <w:r w:rsidR="009612D1">
        <w:rPr>
          <w:rFonts w:asciiTheme="minorHAnsi" w:hAnsiTheme="minorHAnsi"/>
          <w:color w:val="auto"/>
          <w:szCs w:val="24"/>
        </w:rPr>
        <w:t>subsequent</w:t>
      </w:r>
      <w:r w:rsidR="00D36336">
        <w:rPr>
          <w:rFonts w:asciiTheme="minorHAnsi" w:hAnsiTheme="minorHAnsi"/>
          <w:color w:val="auto"/>
          <w:szCs w:val="24"/>
        </w:rPr>
        <w:t xml:space="preserve"> VA exam appeared to address the neck only incidentally to the extremity evaluation, was less well</w:t>
      </w:r>
      <w:r w:rsidR="00CE2B18">
        <w:rPr>
          <w:rFonts w:asciiTheme="minorHAnsi" w:hAnsiTheme="minorHAnsi"/>
          <w:color w:val="auto"/>
          <w:szCs w:val="24"/>
        </w:rPr>
        <w:t>-</w:t>
      </w:r>
      <w:r w:rsidR="00D36336">
        <w:rPr>
          <w:rFonts w:asciiTheme="minorHAnsi" w:hAnsiTheme="minorHAnsi"/>
          <w:color w:val="auto"/>
          <w:szCs w:val="24"/>
        </w:rPr>
        <w:t xml:space="preserve">documented, and was markedly and inexplicably different from all </w:t>
      </w:r>
      <w:r w:rsidR="009612D1">
        <w:rPr>
          <w:rFonts w:asciiTheme="minorHAnsi" w:hAnsiTheme="minorHAnsi"/>
          <w:color w:val="auto"/>
          <w:szCs w:val="24"/>
        </w:rPr>
        <w:t xml:space="preserve">prior </w:t>
      </w:r>
      <w:r w:rsidR="00D36336">
        <w:rPr>
          <w:rFonts w:asciiTheme="minorHAnsi" w:hAnsiTheme="minorHAnsi"/>
          <w:color w:val="auto"/>
          <w:szCs w:val="24"/>
        </w:rPr>
        <w:t xml:space="preserve">exams.  The Board concluded that the </w:t>
      </w:r>
      <w:r w:rsidR="009612D1">
        <w:rPr>
          <w:rFonts w:asciiTheme="minorHAnsi" w:hAnsiTheme="minorHAnsi"/>
          <w:color w:val="auto"/>
          <w:szCs w:val="24"/>
        </w:rPr>
        <w:t>focused ROM exam two months prior to separation bolstered by the initial VA exam</w:t>
      </w:r>
      <w:r w:rsidR="00D36336">
        <w:rPr>
          <w:rFonts w:asciiTheme="minorHAnsi" w:hAnsiTheme="minorHAnsi"/>
          <w:color w:val="auto"/>
          <w:szCs w:val="24"/>
        </w:rPr>
        <w:t xml:space="preserve"> was most representative with the totality of the evidence and thus carried the bulk of probative value for rating purposes.  </w:t>
      </w:r>
      <w:r w:rsidR="00664296" w:rsidRPr="009612D1">
        <w:rPr>
          <w:rFonts w:asciiTheme="minorHAnsi" w:hAnsiTheme="minorHAnsi"/>
          <w:color w:val="auto"/>
          <w:szCs w:val="24"/>
        </w:rPr>
        <w:t xml:space="preserve">The PEB coding </w:t>
      </w:r>
      <w:r w:rsidR="00903489" w:rsidRPr="009612D1">
        <w:rPr>
          <w:rFonts w:asciiTheme="minorHAnsi" w:hAnsiTheme="minorHAnsi"/>
          <w:color w:val="auto"/>
          <w:szCs w:val="24"/>
        </w:rPr>
        <w:t>choice</w:t>
      </w:r>
      <w:r w:rsidR="00664296" w:rsidRPr="009612D1">
        <w:rPr>
          <w:rFonts w:asciiTheme="minorHAnsi" w:hAnsiTheme="minorHAnsi"/>
          <w:color w:val="auto"/>
          <w:szCs w:val="24"/>
        </w:rPr>
        <w:t xml:space="preserve"> for the</w:t>
      </w:r>
      <w:r w:rsidR="00903489" w:rsidRPr="009612D1">
        <w:rPr>
          <w:rFonts w:asciiTheme="minorHAnsi" w:hAnsiTheme="minorHAnsi"/>
          <w:color w:val="auto"/>
          <w:szCs w:val="24"/>
        </w:rPr>
        <w:t xml:space="preserve"> unfitting neck</w:t>
      </w:r>
      <w:r w:rsidR="00664296" w:rsidRPr="009612D1">
        <w:rPr>
          <w:rFonts w:asciiTheme="minorHAnsi" w:hAnsiTheme="minorHAnsi"/>
          <w:color w:val="auto"/>
          <w:szCs w:val="24"/>
        </w:rPr>
        <w:t xml:space="preserve"> condition</w:t>
      </w:r>
      <w:r w:rsidR="00903489" w:rsidRPr="009612D1">
        <w:rPr>
          <w:rFonts w:asciiTheme="minorHAnsi" w:hAnsiTheme="minorHAnsi"/>
          <w:color w:val="auto"/>
          <w:szCs w:val="24"/>
        </w:rPr>
        <w:t xml:space="preserve"> is not known</w:t>
      </w:r>
      <w:r w:rsidR="008233CF" w:rsidRPr="009612D1">
        <w:rPr>
          <w:rFonts w:asciiTheme="minorHAnsi" w:hAnsiTheme="minorHAnsi"/>
          <w:color w:val="auto"/>
          <w:szCs w:val="24"/>
        </w:rPr>
        <w:t>.</w:t>
      </w:r>
      <w:r w:rsidR="00664296" w:rsidRPr="009612D1">
        <w:rPr>
          <w:rFonts w:asciiTheme="minorHAnsi" w:hAnsiTheme="minorHAnsi"/>
          <w:color w:val="auto"/>
          <w:szCs w:val="24"/>
        </w:rPr>
        <w:t xml:space="preserve"> </w:t>
      </w:r>
      <w:r w:rsidR="008233CF" w:rsidRPr="009612D1">
        <w:rPr>
          <w:rFonts w:asciiTheme="minorHAnsi" w:hAnsiTheme="minorHAnsi"/>
          <w:color w:val="auto"/>
          <w:szCs w:val="24"/>
        </w:rPr>
        <w:t xml:space="preserve"> Given that the CI’s date of separation was less than two months after the effective date of the </w:t>
      </w:r>
      <w:r w:rsidR="00CE2B18">
        <w:rPr>
          <w:rFonts w:asciiTheme="minorHAnsi" w:hAnsiTheme="minorHAnsi"/>
          <w:color w:val="auto"/>
          <w:szCs w:val="24"/>
        </w:rPr>
        <w:t>VA Schedule for Rating Disabilities (</w:t>
      </w:r>
      <w:r w:rsidR="008233CF" w:rsidRPr="009612D1">
        <w:rPr>
          <w:rFonts w:asciiTheme="minorHAnsi" w:hAnsiTheme="minorHAnsi"/>
          <w:color w:val="auto"/>
          <w:szCs w:val="24"/>
        </w:rPr>
        <w:t>VASRD</w:t>
      </w:r>
      <w:r w:rsidR="00CE2B18">
        <w:rPr>
          <w:rFonts w:asciiTheme="minorHAnsi" w:hAnsiTheme="minorHAnsi"/>
          <w:color w:val="auto"/>
          <w:szCs w:val="24"/>
        </w:rPr>
        <w:t>)</w:t>
      </w:r>
      <w:r w:rsidR="008233CF" w:rsidRPr="009612D1">
        <w:rPr>
          <w:rFonts w:asciiTheme="minorHAnsi" w:hAnsiTheme="minorHAnsi"/>
          <w:color w:val="auto"/>
          <w:szCs w:val="24"/>
        </w:rPr>
        <w:t xml:space="preserve"> that established the current spine ratings based on ROM, the PEB adjudication likely occurred under the old spine rule set</w:t>
      </w:r>
      <w:r w:rsidR="009612D1">
        <w:rPr>
          <w:rFonts w:asciiTheme="minorHAnsi" w:hAnsiTheme="minorHAnsi"/>
          <w:color w:val="auto"/>
          <w:szCs w:val="24"/>
        </w:rPr>
        <w:t xml:space="preserve">, and </w:t>
      </w:r>
      <w:r w:rsidR="00FC5D3F">
        <w:rPr>
          <w:rFonts w:asciiTheme="minorHAnsi" w:hAnsiTheme="minorHAnsi"/>
          <w:color w:val="auto"/>
          <w:szCs w:val="24"/>
        </w:rPr>
        <w:t xml:space="preserve">was </w:t>
      </w:r>
      <w:r w:rsidR="009612D1">
        <w:rPr>
          <w:rFonts w:asciiTheme="minorHAnsi" w:hAnsiTheme="minorHAnsi"/>
          <w:color w:val="auto"/>
          <w:szCs w:val="24"/>
        </w:rPr>
        <w:t>most likely coded 5290</w:t>
      </w:r>
      <w:r w:rsidR="008233CF" w:rsidRPr="009612D1">
        <w:rPr>
          <w:rFonts w:asciiTheme="minorHAnsi" w:hAnsiTheme="minorHAnsi"/>
          <w:color w:val="auto"/>
          <w:szCs w:val="24"/>
        </w:rPr>
        <w:t xml:space="preserve">.  </w:t>
      </w:r>
      <w:r w:rsidR="00903489">
        <w:rPr>
          <w:rFonts w:asciiTheme="minorHAnsi" w:hAnsiTheme="minorHAnsi"/>
          <w:color w:val="auto"/>
          <w:szCs w:val="24"/>
        </w:rPr>
        <w:t xml:space="preserve">The VA </w:t>
      </w:r>
      <w:r w:rsidR="00D36336">
        <w:rPr>
          <w:rFonts w:asciiTheme="minorHAnsi" w:hAnsiTheme="minorHAnsi"/>
          <w:color w:val="auto"/>
          <w:szCs w:val="24"/>
        </w:rPr>
        <w:t xml:space="preserve">rating was based on the diminished ROMs recorded in the extremity C&amp;P exam.  </w:t>
      </w:r>
      <w:r w:rsidR="00664296" w:rsidRPr="00664296">
        <w:rPr>
          <w:rFonts w:asciiTheme="minorHAnsi" w:hAnsiTheme="minorHAnsi"/>
          <w:color w:val="auto"/>
          <w:szCs w:val="24"/>
        </w:rPr>
        <w:t xml:space="preserve">There was no evidence of ratable peripheral nerve impairment in this case.  </w:t>
      </w:r>
      <w:r w:rsidR="009612D1" w:rsidRPr="009612D1">
        <w:rPr>
          <w:rFonts w:asciiTheme="minorHAnsi" w:hAnsiTheme="minorHAnsi"/>
          <w:color w:val="auto"/>
          <w:szCs w:val="24"/>
        </w:rPr>
        <w:t xml:space="preserve">After due deliberation, considering all of the evidence and mindful of VASRD §4.3 (reasonable doubt), the Board recommends a separation rating of </w:t>
      </w:r>
      <w:r w:rsidR="009612D1">
        <w:rPr>
          <w:rFonts w:asciiTheme="minorHAnsi" w:hAnsiTheme="minorHAnsi"/>
          <w:color w:val="auto"/>
          <w:szCs w:val="24"/>
        </w:rPr>
        <w:t>2</w:t>
      </w:r>
      <w:r w:rsidR="009612D1" w:rsidRPr="009612D1">
        <w:rPr>
          <w:rFonts w:asciiTheme="minorHAnsi" w:hAnsiTheme="minorHAnsi"/>
          <w:color w:val="auto"/>
          <w:szCs w:val="24"/>
        </w:rPr>
        <w:t xml:space="preserve">0% for the </w:t>
      </w:r>
      <w:r w:rsidR="009612D1">
        <w:rPr>
          <w:rFonts w:asciiTheme="minorHAnsi" w:hAnsiTheme="minorHAnsi"/>
          <w:color w:val="auto"/>
          <w:szCs w:val="24"/>
        </w:rPr>
        <w:t>cervical spine</w:t>
      </w:r>
      <w:r w:rsidR="009612D1" w:rsidRPr="009612D1">
        <w:rPr>
          <w:rFonts w:asciiTheme="minorHAnsi" w:hAnsiTheme="minorHAnsi"/>
          <w:color w:val="auto"/>
          <w:szCs w:val="24"/>
        </w:rPr>
        <w:t xml:space="preserve"> condition</w:t>
      </w:r>
      <w:r w:rsidR="009612D1">
        <w:rPr>
          <w:rFonts w:asciiTheme="minorHAnsi" w:hAnsiTheme="minorHAnsi"/>
          <w:color w:val="auto"/>
          <w:szCs w:val="24"/>
        </w:rPr>
        <w:t>, coded 5241</w:t>
      </w:r>
      <w:r w:rsidR="009612D1" w:rsidRPr="009612D1">
        <w:rPr>
          <w:rFonts w:asciiTheme="minorHAnsi" w:hAnsiTheme="minorHAnsi"/>
          <w:color w:val="auto"/>
          <w:szCs w:val="24"/>
        </w:rPr>
        <w:t>.</w:t>
      </w:r>
    </w:p>
    <w:p w:rsidR="00664296" w:rsidRPr="009612D1" w:rsidRDefault="00664296" w:rsidP="009612D1">
      <w:pPr>
        <w:tabs>
          <w:tab w:val="left" w:pos="288"/>
          <w:tab w:val="left" w:pos="4752"/>
        </w:tabs>
        <w:spacing w:line="240" w:lineRule="exact"/>
        <w:jc w:val="both"/>
        <w:rPr>
          <w:rFonts w:asciiTheme="minorHAnsi" w:hAnsiTheme="minorHAnsi"/>
          <w:color w:val="auto"/>
          <w:szCs w:val="24"/>
        </w:rPr>
      </w:pPr>
    </w:p>
    <w:p w:rsidR="0033767D" w:rsidRPr="00664296" w:rsidRDefault="0033767D" w:rsidP="00A25C2C">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00CE2B18">
        <w:rPr>
          <w:rFonts w:asciiTheme="minorHAnsi" w:hAnsiTheme="minorHAnsi"/>
          <w:color w:val="auto"/>
          <w:szCs w:val="24"/>
        </w:rPr>
        <w:t xml:space="preserve"> </w:t>
      </w:r>
      <w:r w:rsidRPr="00664296">
        <w:rPr>
          <w:rFonts w:asciiTheme="minorHAnsi" w:hAnsiTheme="minorHAnsi"/>
          <w:color w:val="auto"/>
          <w:szCs w:val="24"/>
        </w:rPr>
        <w:t xml:space="preserve"> No other conditions were noted in the NARSUM or found elsewhere in the</w:t>
      </w:r>
      <w:r>
        <w:rPr>
          <w:rFonts w:asciiTheme="minorHAnsi" w:hAnsiTheme="minorHAnsi"/>
          <w:color w:val="auto"/>
          <w:szCs w:val="24"/>
        </w:rPr>
        <w:t xml:space="preserve"> limited</w:t>
      </w:r>
      <w:r w:rsidRPr="00664296">
        <w:rPr>
          <w:rFonts w:asciiTheme="minorHAnsi" w:hAnsiTheme="minorHAnsi"/>
          <w:color w:val="auto"/>
          <w:szCs w:val="24"/>
        </w:rPr>
        <w:t xml:space="preserve"> DES file</w:t>
      </w:r>
      <w:r>
        <w:rPr>
          <w:rFonts w:asciiTheme="minorHAnsi" w:hAnsiTheme="minorHAnsi"/>
          <w:color w:val="auto"/>
          <w:szCs w:val="24"/>
        </w:rPr>
        <w:t xml:space="preserve"> available to the Board</w:t>
      </w:r>
      <w:r w:rsidRPr="00664296">
        <w:rPr>
          <w:rFonts w:asciiTheme="minorHAnsi" w:hAnsiTheme="minorHAnsi"/>
          <w:color w:val="auto"/>
          <w:szCs w:val="24"/>
        </w:rPr>
        <w:t>.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33767D" w:rsidRPr="0033767D" w:rsidRDefault="00C56FC8" w:rsidP="0033767D">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05E33">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The Board did not surmise from the record or PEB ruling in this case that any prerogatives outside the VASRD were exercised.</w:t>
      </w:r>
      <w:r w:rsidR="00B47458">
        <w:rPr>
          <w:rFonts w:asciiTheme="minorHAnsi" w:eastAsiaTheme="minorHAnsi" w:hAnsiTheme="minorHAnsi"/>
          <w:color w:val="auto"/>
          <w:szCs w:val="24"/>
        </w:rPr>
        <w:t xml:space="preserve">  </w:t>
      </w:r>
      <w:r w:rsidR="00B47458" w:rsidRPr="00664296">
        <w:rPr>
          <w:rFonts w:asciiTheme="minorHAnsi" w:eastAsiaTheme="minorHAnsi" w:hAnsiTheme="minorHAnsi"/>
          <w:color w:val="auto"/>
          <w:szCs w:val="24"/>
        </w:rPr>
        <w:t xml:space="preserve">In the matter of the </w:t>
      </w:r>
      <w:r w:rsidR="001B2E99">
        <w:rPr>
          <w:rFonts w:asciiTheme="minorHAnsi" w:eastAsiaTheme="minorHAnsi" w:hAnsiTheme="minorHAnsi"/>
          <w:color w:val="auto"/>
          <w:szCs w:val="24"/>
        </w:rPr>
        <w:t>neck</w:t>
      </w:r>
      <w:r w:rsidR="00B47458" w:rsidRPr="00664296">
        <w:rPr>
          <w:rFonts w:asciiTheme="minorHAnsi" w:eastAsiaTheme="minorHAnsi" w:hAnsiTheme="minorHAnsi"/>
          <w:color w:val="auto"/>
          <w:szCs w:val="24"/>
        </w:rPr>
        <w:t xml:space="preserve"> condition and </w:t>
      </w:r>
      <w:r w:rsidR="00B47458" w:rsidRPr="00664296">
        <w:rPr>
          <w:rFonts w:asciiTheme="minorHAnsi" w:hAnsiTheme="minorHAnsi"/>
          <w:color w:val="auto"/>
          <w:szCs w:val="24"/>
        </w:rPr>
        <w:t xml:space="preserve">IAW </w:t>
      </w:r>
      <w:r w:rsidR="00B47458" w:rsidRPr="001B2E99">
        <w:rPr>
          <w:rFonts w:asciiTheme="minorHAnsi" w:hAnsiTheme="minorHAnsi"/>
          <w:color w:val="auto"/>
          <w:szCs w:val="24"/>
        </w:rPr>
        <w:t>VASRD §4.71a</w:t>
      </w:r>
      <w:r w:rsidR="00B47458" w:rsidRPr="001B2E99">
        <w:rPr>
          <w:rFonts w:asciiTheme="minorHAnsi" w:eastAsiaTheme="minorHAnsi" w:hAnsiTheme="minorHAnsi"/>
          <w:color w:val="auto"/>
          <w:szCs w:val="24"/>
        </w:rPr>
        <w:t>,</w:t>
      </w:r>
      <w:r w:rsidR="00B47458" w:rsidRPr="00664296">
        <w:rPr>
          <w:rFonts w:asciiTheme="minorHAnsi" w:eastAsiaTheme="minorHAnsi" w:hAnsiTheme="minorHAnsi"/>
          <w:color w:val="auto"/>
          <w:szCs w:val="24"/>
        </w:rPr>
        <w:t xml:space="preserve"> </w:t>
      </w:r>
      <w:r w:rsidR="00FC5D3F" w:rsidRPr="00FC5D3F">
        <w:rPr>
          <w:rFonts w:asciiTheme="minorHAnsi" w:eastAsiaTheme="minorHAnsi" w:hAnsiTheme="minorHAnsi"/>
          <w:color w:val="auto"/>
          <w:szCs w:val="24"/>
        </w:rPr>
        <w:t xml:space="preserve">the Board unanimously recommends a rating of </w:t>
      </w:r>
      <w:r w:rsidR="00FC5D3F">
        <w:rPr>
          <w:rFonts w:asciiTheme="minorHAnsi" w:eastAsiaTheme="minorHAnsi" w:hAnsiTheme="minorHAnsi"/>
          <w:color w:val="auto"/>
          <w:szCs w:val="24"/>
        </w:rPr>
        <w:t>2</w:t>
      </w:r>
      <w:r w:rsidR="00FC5D3F" w:rsidRPr="00FC5D3F">
        <w:rPr>
          <w:rFonts w:asciiTheme="minorHAnsi" w:eastAsiaTheme="minorHAnsi" w:hAnsiTheme="minorHAnsi"/>
          <w:color w:val="auto"/>
          <w:szCs w:val="24"/>
        </w:rPr>
        <w:t xml:space="preserve">0% coded </w:t>
      </w:r>
      <w:r w:rsidR="00FC5D3F">
        <w:rPr>
          <w:rFonts w:asciiTheme="minorHAnsi" w:eastAsiaTheme="minorHAnsi" w:hAnsiTheme="minorHAnsi"/>
          <w:color w:val="auto"/>
          <w:szCs w:val="24"/>
        </w:rPr>
        <w:t>5241</w:t>
      </w:r>
      <w:r w:rsidR="00FC5D3F" w:rsidRPr="00FC5D3F">
        <w:rPr>
          <w:rFonts w:asciiTheme="minorHAnsi" w:eastAsiaTheme="minorHAnsi" w:hAnsiTheme="minorHAnsi"/>
          <w:color w:val="auto"/>
          <w:szCs w:val="24"/>
        </w:rPr>
        <w:t xml:space="preserve"> IAW VASRD §4.71a. </w:t>
      </w:r>
      <w:r w:rsidR="00B47458" w:rsidRPr="00664296">
        <w:rPr>
          <w:rFonts w:asciiTheme="minorHAnsi" w:hAnsiTheme="minorHAnsi"/>
          <w:color w:val="auto"/>
          <w:szCs w:val="24"/>
        </w:rPr>
        <w:t xml:space="preserve"> </w:t>
      </w:r>
      <w:r w:rsidR="0033767D" w:rsidRPr="0033767D">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CE2B18" w:rsidRDefault="00CE2B18" w:rsidP="00510F9C">
      <w:pPr>
        <w:spacing w:line="240" w:lineRule="exact"/>
        <w:rPr>
          <w:rFonts w:asciiTheme="minorHAnsi" w:hAnsiTheme="minorHAnsi"/>
          <w:color w:val="auto"/>
          <w:szCs w:val="24"/>
          <w:u w:val="single"/>
        </w:rPr>
      </w:pPr>
    </w:p>
    <w:p w:rsidR="00FB593A" w:rsidRPr="00B427BB" w:rsidRDefault="00C56FC8" w:rsidP="00CE2B18">
      <w:pPr>
        <w:spacing w:line="240" w:lineRule="exact"/>
        <w:jc w:val="both"/>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00305E33">
        <w:rPr>
          <w:rFonts w:asciiTheme="minorHAnsi" w:hAnsiTheme="minorHAnsi"/>
          <w:color w:val="auto"/>
          <w:szCs w:val="24"/>
        </w:rPr>
        <w:t xml:space="preserve"> </w:t>
      </w:r>
      <w:r w:rsidRPr="00396779">
        <w:rPr>
          <w:rFonts w:asciiTheme="minorHAnsi" w:hAnsiTheme="minorHAnsi"/>
          <w:color w:val="000080"/>
          <w:szCs w:val="24"/>
        </w:rPr>
        <w:t xml:space="preserve"> </w:t>
      </w:r>
      <w:r w:rsidR="00FC5D3F" w:rsidRPr="00FC5D3F">
        <w:rPr>
          <w:rFonts w:asciiTheme="minorHAnsi" w:hAnsiTheme="minorHAnsi"/>
          <w:color w:val="auto"/>
          <w:szCs w:val="24"/>
        </w:rPr>
        <w:t>The Board recommends that the CI’s prior determination be modified as follows, effective as of the date of his prior medical separation:</w:t>
      </w:r>
    </w:p>
    <w:p w:rsidR="006B4AA2" w:rsidRPr="00B47458"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305E33"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Cervical Spine Fusion</w:t>
            </w:r>
          </w:p>
        </w:tc>
        <w:tc>
          <w:tcPr>
            <w:tcW w:w="1710" w:type="dxa"/>
            <w:vAlign w:val="center"/>
          </w:tcPr>
          <w:p w:rsidR="00A95BBA" w:rsidRPr="00AF01B2" w:rsidRDefault="00305E33"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5241</w:t>
            </w:r>
          </w:p>
        </w:tc>
        <w:tc>
          <w:tcPr>
            <w:tcW w:w="1170" w:type="dxa"/>
            <w:vAlign w:val="center"/>
          </w:tcPr>
          <w:p w:rsidR="00A95BBA" w:rsidRPr="00AF01B2" w:rsidRDefault="00FC5D3F"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305E33">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FC5D3F"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305E33">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41620A">
        <w:rPr>
          <w:rFonts w:asciiTheme="minorHAnsi" w:hAnsiTheme="minorHAnsi"/>
          <w:color w:val="auto"/>
        </w:rPr>
        <w:t>1</w:t>
      </w:r>
      <w:r w:rsidR="007E59E3">
        <w:rPr>
          <w:rFonts w:asciiTheme="minorHAnsi" w:hAnsiTheme="minorHAnsi"/>
          <w:color w:val="auto"/>
        </w:rPr>
        <w:t>0</w:t>
      </w:r>
      <w:r w:rsidR="0041620A">
        <w:rPr>
          <w:rFonts w:asciiTheme="minorHAnsi" w:hAnsiTheme="minorHAnsi"/>
          <w:color w:val="auto"/>
        </w:rPr>
        <w:t>05</w:t>
      </w:r>
      <w:r w:rsidR="00641027">
        <w:rPr>
          <w:rFonts w:asciiTheme="minorHAnsi" w:hAnsiTheme="minorHAnsi"/>
          <w:color w:val="auto"/>
        </w:rPr>
        <w:t>01</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884D35">
        <w:rPr>
          <w:rFonts w:asciiTheme="minorHAnsi" w:hAnsiTheme="minorHAnsi"/>
          <w:color w:val="auto"/>
        </w:rPr>
        <w:t>XXXXXXXXXXX</w:t>
      </w:r>
    </w:p>
    <w:p w:rsidR="00884D35"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884D35" w:rsidRDefault="00884D35">
      <w:pPr>
        <w:rPr>
          <w:rFonts w:asciiTheme="minorHAnsi" w:hAnsiTheme="minorHAnsi"/>
          <w:color w:val="auto"/>
        </w:rPr>
      </w:pPr>
      <w:r>
        <w:rPr>
          <w:rFonts w:asciiTheme="minorHAnsi" w:hAnsiTheme="minorHAnsi"/>
          <w:color w:val="auto"/>
        </w:rPr>
        <w:br w:type="page"/>
      </w:r>
    </w:p>
    <w:p w:rsidR="00B522CD" w:rsidRPr="00006186" w:rsidRDefault="00B522CD" w:rsidP="00DB06C0">
      <w:pPr>
        <w:tabs>
          <w:tab w:val="left" w:pos="0"/>
          <w:tab w:val="left" w:pos="4320"/>
        </w:tabs>
        <w:spacing w:line="240" w:lineRule="exact"/>
        <w:jc w:val="both"/>
        <w:rPr>
          <w:rFonts w:asciiTheme="minorHAnsi" w:hAnsiTheme="minorHAnsi"/>
          <w:color w:val="auto"/>
        </w:rPr>
      </w:pPr>
    </w:p>
    <w:p w:rsidR="00884D35" w:rsidRPr="00884D35" w:rsidRDefault="00884D35" w:rsidP="00884D35">
      <w:pPr>
        <w:autoSpaceDE w:val="0"/>
        <w:autoSpaceDN w:val="0"/>
        <w:adjustRightInd w:val="0"/>
        <w:rPr>
          <w:rFonts w:ascii="Arial" w:hAnsi="Arial" w:cs="Arial"/>
          <w:color w:val="auto"/>
          <w:sz w:val="18"/>
          <w:szCs w:val="18"/>
        </w:rPr>
      </w:pPr>
      <w:r w:rsidRPr="00884D35">
        <w:rPr>
          <w:rFonts w:ascii="Arial" w:hAnsi="Arial" w:cs="Arial"/>
          <w:color w:val="auto"/>
          <w:sz w:val="18"/>
          <w:szCs w:val="18"/>
        </w:rPr>
        <w:t>U.S. Department of</w:t>
      </w:r>
    </w:p>
    <w:p w:rsidR="00884D35" w:rsidRPr="00884D35" w:rsidRDefault="00884D35" w:rsidP="00884D35">
      <w:pPr>
        <w:autoSpaceDE w:val="0"/>
        <w:autoSpaceDN w:val="0"/>
        <w:adjustRightInd w:val="0"/>
        <w:rPr>
          <w:rFonts w:ascii="Arial" w:hAnsi="Arial" w:cs="Arial"/>
          <w:color w:val="auto"/>
          <w:sz w:val="18"/>
          <w:szCs w:val="18"/>
        </w:rPr>
      </w:pPr>
      <w:r w:rsidRPr="00884D35">
        <w:rPr>
          <w:rFonts w:ascii="Arial" w:hAnsi="Arial" w:cs="Arial"/>
          <w:color w:val="auto"/>
          <w:sz w:val="18"/>
          <w:szCs w:val="18"/>
        </w:rPr>
        <w:t>Homeland Security</w:t>
      </w:r>
    </w:p>
    <w:p w:rsidR="00884D35" w:rsidRPr="00884D35" w:rsidRDefault="00884D35" w:rsidP="00884D35">
      <w:pPr>
        <w:autoSpaceDE w:val="0"/>
        <w:autoSpaceDN w:val="0"/>
        <w:adjustRightInd w:val="0"/>
        <w:rPr>
          <w:rFonts w:ascii="Times New Roman" w:hAnsi="Times New Roman"/>
          <w:color w:val="auto"/>
          <w:sz w:val="22"/>
          <w:szCs w:val="22"/>
        </w:rPr>
      </w:pPr>
      <w:r w:rsidRPr="00884D35">
        <w:rPr>
          <w:rFonts w:ascii="Times New Roman" w:hAnsi="Times New Roman"/>
          <w:color w:val="auto"/>
        </w:rPr>
        <w:t>United States</w:t>
      </w:r>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Coast Guard</w:t>
      </w:r>
    </w:p>
    <w:p w:rsidR="00884D35" w:rsidRDefault="00884D35" w:rsidP="00884D35">
      <w:pPr>
        <w:autoSpaceDE w:val="0"/>
        <w:autoSpaceDN w:val="0"/>
        <w:adjustRightInd w:val="0"/>
        <w:rPr>
          <w:rFonts w:ascii="Times New Roman" w:hAnsi="Times New Roman"/>
        </w:rPr>
      </w:pPr>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Dear XXXXXX:</w:t>
      </w:r>
    </w:p>
    <w:p w:rsidR="00884D35" w:rsidRPr="00884D35" w:rsidRDefault="00884D35" w:rsidP="00884D35">
      <w:pPr>
        <w:autoSpaceDE w:val="0"/>
        <w:autoSpaceDN w:val="0"/>
        <w:adjustRightInd w:val="0"/>
        <w:rPr>
          <w:rFonts w:ascii="Arial" w:hAnsi="Arial" w:cs="Arial"/>
          <w:b/>
          <w:bCs/>
          <w:color w:val="auto"/>
          <w:sz w:val="17"/>
          <w:szCs w:val="17"/>
        </w:rPr>
      </w:pPr>
      <w:r w:rsidRPr="00884D35">
        <w:rPr>
          <w:rFonts w:ascii="Arial" w:hAnsi="Arial" w:cs="Arial"/>
          <w:b/>
          <w:bCs/>
          <w:color w:val="auto"/>
          <w:sz w:val="17"/>
          <w:szCs w:val="17"/>
        </w:rPr>
        <w:t>Commandant</w:t>
      </w:r>
    </w:p>
    <w:p w:rsidR="00884D35" w:rsidRPr="00884D35" w:rsidRDefault="00884D35" w:rsidP="00884D35">
      <w:pPr>
        <w:autoSpaceDE w:val="0"/>
        <w:autoSpaceDN w:val="0"/>
        <w:adjustRightInd w:val="0"/>
        <w:rPr>
          <w:rFonts w:ascii="Arial" w:hAnsi="Arial" w:cs="Arial"/>
          <w:b/>
          <w:bCs/>
          <w:color w:val="auto"/>
          <w:sz w:val="16"/>
          <w:szCs w:val="16"/>
        </w:rPr>
      </w:pPr>
      <w:r w:rsidRPr="00884D35">
        <w:rPr>
          <w:rFonts w:ascii="Arial" w:hAnsi="Arial" w:cs="Arial"/>
          <w:b/>
          <w:bCs/>
          <w:color w:val="auto"/>
          <w:sz w:val="16"/>
          <w:szCs w:val="16"/>
        </w:rPr>
        <w:t>United States Coast Guard</w:t>
      </w:r>
    </w:p>
    <w:p w:rsidR="00884D35" w:rsidRPr="00884D35" w:rsidRDefault="00884D35" w:rsidP="00884D35">
      <w:pPr>
        <w:autoSpaceDE w:val="0"/>
        <w:autoSpaceDN w:val="0"/>
        <w:adjustRightInd w:val="0"/>
        <w:rPr>
          <w:rFonts w:ascii="Arial" w:hAnsi="Arial" w:cs="Arial"/>
          <w:color w:val="auto"/>
          <w:sz w:val="15"/>
          <w:szCs w:val="15"/>
        </w:rPr>
      </w:pPr>
      <w:r w:rsidRPr="00884D35">
        <w:rPr>
          <w:rFonts w:ascii="Arial" w:hAnsi="Arial" w:cs="Arial"/>
          <w:color w:val="auto"/>
          <w:sz w:val="15"/>
          <w:szCs w:val="15"/>
        </w:rPr>
        <w:t xml:space="preserve">Mail </w:t>
      </w:r>
      <w:r w:rsidRPr="00884D35">
        <w:rPr>
          <w:rFonts w:ascii="HiddenHorzOCR" w:eastAsia="HiddenHorzOCR" w:hAnsi="Arial" w:cs="HiddenHorzOCR" w:hint="eastAsia"/>
          <w:color w:val="auto"/>
          <w:sz w:val="13"/>
          <w:szCs w:val="13"/>
        </w:rPr>
        <w:t xml:space="preserve">St~ </w:t>
      </w:r>
      <w:r w:rsidRPr="00884D35">
        <w:rPr>
          <w:rFonts w:ascii="Arial" w:hAnsi="Arial" w:cs="Arial"/>
          <w:color w:val="auto"/>
          <w:sz w:val="15"/>
          <w:szCs w:val="15"/>
        </w:rPr>
        <w:t>7801</w:t>
      </w:r>
    </w:p>
    <w:p w:rsidR="00884D35" w:rsidRPr="00884D35" w:rsidRDefault="00884D35" w:rsidP="00884D35">
      <w:pPr>
        <w:autoSpaceDE w:val="0"/>
        <w:autoSpaceDN w:val="0"/>
        <w:adjustRightInd w:val="0"/>
        <w:rPr>
          <w:rFonts w:ascii="Arial" w:hAnsi="Arial" w:cs="Arial"/>
          <w:color w:val="auto"/>
          <w:sz w:val="15"/>
          <w:szCs w:val="15"/>
        </w:rPr>
      </w:pPr>
      <w:proofErr w:type="gramStart"/>
      <w:r w:rsidRPr="00884D35">
        <w:rPr>
          <w:rFonts w:ascii="Arial" w:hAnsi="Arial" w:cs="Arial"/>
          <w:color w:val="auto"/>
          <w:sz w:val="15"/>
          <w:szCs w:val="15"/>
        </w:rPr>
        <w:t>21002 St.</w:t>
      </w:r>
      <w:proofErr w:type="gramEnd"/>
    </w:p>
    <w:p w:rsidR="00884D35" w:rsidRPr="00884D35" w:rsidRDefault="00884D35" w:rsidP="00884D35">
      <w:pPr>
        <w:autoSpaceDE w:val="0"/>
        <w:autoSpaceDN w:val="0"/>
        <w:adjustRightInd w:val="0"/>
        <w:rPr>
          <w:rFonts w:ascii="Arial" w:hAnsi="Arial" w:cs="Arial"/>
          <w:color w:val="auto"/>
          <w:sz w:val="15"/>
          <w:szCs w:val="15"/>
        </w:rPr>
      </w:pPr>
      <w:r w:rsidRPr="00884D35">
        <w:rPr>
          <w:rFonts w:ascii="Arial" w:hAnsi="Arial" w:cs="Arial"/>
          <w:color w:val="auto"/>
          <w:sz w:val="15"/>
          <w:szCs w:val="15"/>
        </w:rPr>
        <w:t>Washington. DC 20593-7801</w:t>
      </w:r>
    </w:p>
    <w:p w:rsidR="00884D35" w:rsidRPr="00884D35" w:rsidRDefault="00884D35" w:rsidP="00884D35">
      <w:pPr>
        <w:autoSpaceDE w:val="0"/>
        <w:autoSpaceDN w:val="0"/>
        <w:adjustRightInd w:val="0"/>
        <w:rPr>
          <w:rFonts w:ascii="Arial" w:hAnsi="Arial" w:cs="Arial"/>
          <w:color w:val="auto"/>
          <w:sz w:val="15"/>
          <w:szCs w:val="15"/>
        </w:rPr>
      </w:pPr>
      <w:r w:rsidRPr="00884D35">
        <w:rPr>
          <w:rFonts w:ascii="Arial" w:hAnsi="Arial" w:cs="Arial"/>
          <w:color w:val="auto"/>
          <w:sz w:val="15"/>
          <w:szCs w:val="15"/>
        </w:rPr>
        <w:t>Staff Symbol: CG-1</w:t>
      </w:r>
    </w:p>
    <w:p w:rsidR="00884D35" w:rsidRPr="00884D35" w:rsidRDefault="00884D35" w:rsidP="00884D35">
      <w:pPr>
        <w:autoSpaceDE w:val="0"/>
        <w:autoSpaceDN w:val="0"/>
        <w:adjustRightInd w:val="0"/>
        <w:rPr>
          <w:rFonts w:ascii="Arial" w:hAnsi="Arial" w:cs="Arial"/>
          <w:color w:val="auto"/>
          <w:sz w:val="26"/>
          <w:szCs w:val="26"/>
        </w:rPr>
      </w:pPr>
      <w:r w:rsidRPr="00884D35">
        <w:rPr>
          <w:rFonts w:ascii="Arial" w:hAnsi="Arial" w:cs="Arial"/>
          <w:color w:val="auto"/>
          <w:sz w:val="26"/>
          <w:szCs w:val="26"/>
        </w:rPr>
        <w:t>MAR 1 2012</w:t>
      </w:r>
    </w:p>
    <w:p w:rsidR="00884D35" w:rsidRPr="00884D35" w:rsidRDefault="00884D35" w:rsidP="00884D35">
      <w:pPr>
        <w:autoSpaceDE w:val="0"/>
        <w:autoSpaceDN w:val="0"/>
        <w:adjustRightInd w:val="0"/>
        <w:rPr>
          <w:rFonts w:ascii="Times New Roman" w:hAnsi="Times New Roman"/>
          <w:color w:val="auto"/>
          <w:sz w:val="22"/>
          <w:szCs w:val="22"/>
        </w:rPr>
      </w:pPr>
      <w:r w:rsidRPr="00884D35">
        <w:rPr>
          <w:rFonts w:ascii="Times New Roman" w:hAnsi="Times New Roman"/>
          <w:color w:val="auto"/>
        </w:rPr>
        <w:t>I am the Designated Decision Authority for the Coast Guard on applications submitted to the</w:t>
      </w:r>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Department of Defense Physical Disability Board of Review (</w:t>
      </w:r>
      <w:proofErr w:type="gramStart"/>
      <w:r w:rsidRPr="00884D35">
        <w:rPr>
          <w:rFonts w:ascii="Times New Roman" w:hAnsi="Times New Roman"/>
          <w:color w:val="auto"/>
        </w:rPr>
        <w:t>DoD</w:t>
      </w:r>
      <w:proofErr w:type="gramEnd"/>
      <w:r w:rsidRPr="00884D35">
        <w:rPr>
          <w:rFonts w:ascii="Times New Roman" w:hAnsi="Times New Roman"/>
          <w:color w:val="auto"/>
        </w:rPr>
        <w:t xml:space="preserve"> PDBR). </w:t>
      </w:r>
      <w:r w:rsidRPr="00884D35">
        <w:rPr>
          <w:rFonts w:ascii="Arial" w:hAnsi="Arial" w:cs="Arial"/>
          <w:color w:val="auto"/>
          <w:sz w:val="21"/>
          <w:szCs w:val="21"/>
        </w:rPr>
        <w:t xml:space="preserve">In </w:t>
      </w:r>
      <w:r w:rsidRPr="00884D35">
        <w:rPr>
          <w:rFonts w:ascii="Times New Roman" w:hAnsi="Times New Roman"/>
          <w:color w:val="auto"/>
        </w:rPr>
        <w:t>your case (Case</w:t>
      </w:r>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Number PD-201 0-00771), I accept the recommendation of the DoD PDBR to modify your</w:t>
      </w:r>
    </w:p>
    <w:p w:rsidR="00884D35" w:rsidRPr="00884D35" w:rsidRDefault="00884D35" w:rsidP="00884D35">
      <w:pPr>
        <w:autoSpaceDE w:val="0"/>
        <w:autoSpaceDN w:val="0"/>
        <w:adjustRightInd w:val="0"/>
        <w:rPr>
          <w:rFonts w:ascii="Times New Roman" w:hAnsi="Times New Roman"/>
          <w:color w:val="auto"/>
        </w:rPr>
      </w:pPr>
      <w:proofErr w:type="gramStart"/>
      <w:r w:rsidRPr="00884D35">
        <w:rPr>
          <w:rFonts w:ascii="Times New Roman" w:hAnsi="Times New Roman"/>
          <w:color w:val="auto"/>
        </w:rPr>
        <w:t>combined</w:t>
      </w:r>
      <w:proofErr w:type="gramEnd"/>
      <w:r w:rsidRPr="00884D35">
        <w:rPr>
          <w:rFonts w:ascii="Times New Roman" w:hAnsi="Times New Roman"/>
          <w:color w:val="auto"/>
        </w:rPr>
        <w:t xml:space="preserve"> rating of 10% to 20% without </w:t>
      </w:r>
      <w:proofErr w:type="spellStart"/>
      <w:r w:rsidRPr="00884D35">
        <w:rPr>
          <w:rFonts w:ascii="Times New Roman" w:hAnsi="Times New Roman"/>
          <w:color w:val="auto"/>
        </w:rPr>
        <w:t>recharacterization</w:t>
      </w:r>
      <w:proofErr w:type="spellEnd"/>
      <w:r w:rsidRPr="00884D35">
        <w:rPr>
          <w:rFonts w:ascii="Times New Roman" w:hAnsi="Times New Roman"/>
          <w:color w:val="auto"/>
        </w:rPr>
        <w:t xml:space="preserve"> of the separation. Enclosed is a copy</w:t>
      </w:r>
    </w:p>
    <w:p w:rsidR="00884D35" w:rsidRPr="00884D35" w:rsidRDefault="00884D35" w:rsidP="00884D35">
      <w:pPr>
        <w:autoSpaceDE w:val="0"/>
        <w:autoSpaceDN w:val="0"/>
        <w:adjustRightInd w:val="0"/>
        <w:rPr>
          <w:rFonts w:ascii="Times New Roman" w:hAnsi="Times New Roman"/>
          <w:color w:val="auto"/>
        </w:rPr>
      </w:pPr>
      <w:proofErr w:type="gramStart"/>
      <w:r w:rsidRPr="00884D35">
        <w:rPr>
          <w:rFonts w:ascii="Times New Roman" w:hAnsi="Times New Roman"/>
          <w:color w:val="auto"/>
        </w:rPr>
        <w:t>of</w:t>
      </w:r>
      <w:proofErr w:type="gramEnd"/>
      <w:r w:rsidRPr="00884D35">
        <w:rPr>
          <w:rFonts w:ascii="Times New Roman" w:hAnsi="Times New Roman"/>
          <w:color w:val="auto"/>
        </w:rPr>
        <w:t xml:space="preserve"> the Board's recommendation and record of proceedings for your information. The</w:t>
      </w:r>
    </w:p>
    <w:p w:rsidR="00884D35" w:rsidRPr="00884D35" w:rsidRDefault="00884D35" w:rsidP="00884D35">
      <w:pPr>
        <w:autoSpaceDE w:val="0"/>
        <w:autoSpaceDN w:val="0"/>
        <w:adjustRightInd w:val="0"/>
        <w:rPr>
          <w:rFonts w:ascii="Times New Roman" w:hAnsi="Times New Roman"/>
          <w:color w:val="auto"/>
        </w:rPr>
      </w:pPr>
      <w:proofErr w:type="gramStart"/>
      <w:r w:rsidRPr="00884D35">
        <w:rPr>
          <w:rFonts w:ascii="Times New Roman" w:hAnsi="Times New Roman"/>
          <w:color w:val="auto"/>
        </w:rPr>
        <w:t>modification</w:t>
      </w:r>
      <w:proofErr w:type="gramEnd"/>
      <w:r w:rsidRPr="00884D35">
        <w:rPr>
          <w:rFonts w:ascii="Times New Roman" w:hAnsi="Times New Roman"/>
          <w:color w:val="auto"/>
        </w:rPr>
        <w:t xml:space="preserve"> of your disability rating will not result in an adjustment to the amount of severance</w:t>
      </w:r>
    </w:p>
    <w:p w:rsidR="00884D35" w:rsidRPr="00884D35" w:rsidRDefault="00884D35" w:rsidP="00884D35">
      <w:pPr>
        <w:autoSpaceDE w:val="0"/>
        <w:autoSpaceDN w:val="0"/>
        <w:adjustRightInd w:val="0"/>
        <w:rPr>
          <w:rFonts w:ascii="Times New Roman" w:hAnsi="Times New Roman"/>
          <w:color w:val="auto"/>
        </w:rPr>
      </w:pPr>
      <w:proofErr w:type="gramStart"/>
      <w:r w:rsidRPr="00884D35">
        <w:rPr>
          <w:rFonts w:ascii="Times New Roman" w:hAnsi="Times New Roman"/>
          <w:color w:val="auto"/>
        </w:rPr>
        <w:t>pay</w:t>
      </w:r>
      <w:proofErr w:type="gramEnd"/>
      <w:r w:rsidRPr="00884D35">
        <w:rPr>
          <w:rFonts w:ascii="Times New Roman" w:hAnsi="Times New Roman"/>
          <w:color w:val="auto"/>
        </w:rPr>
        <w:t xml:space="preserve"> you received at the time of separation.</w:t>
      </w:r>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A copy of this decision has also been provided to the DoD PDBR and the Department of</w:t>
      </w:r>
    </w:p>
    <w:p w:rsidR="00884D35" w:rsidRPr="00884D35" w:rsidRDefault="00884D35" w:rsidP="00884D35">
      <w:pPr>
        <w:autoSpaceDE w:val="0"/>
        <w:autoSpaceDN w:val="0"/>
        <w:adjustRightInd w:val="0"/>
        <w:rPr>
          <w:rFonts w:ascii="Times New Roman" w:hAnsi="Times New Roman"/>
          <w:color w:val="auto"/>
        </w:rPr>
      </w:pPr>
      <w:proofErr w:type="gramStart"/>
      <w:r w:rsidRPr="00884D35">
        <w:rPr>
          <w:rFonts w:ascii="Times New Roman" w:hAnsi="Times New Roman"/>
          <w:color w:val="auto"/>
        </w:rPr>
        <w:t>Veterans Affairs.</w:t>
      </w:r>
      <w:proofErr w:type="gramEnd"/>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If you have any further questions, please contact the. Coast Guard Personnel Service Center at</w:t>
      </w:r>
    </w:p>
    <w:p w:rsidR="00884D35" w:rsidRPr="00884D35" w:rsidRDefault="00884D35" w:rsidP="00884D35">
      <w:pPr>
        <w:autoSpaceDE w:val="0"/>
        <w:autoSpaceDN w:val="0"/>
        <w:adjustRightInd w:val="0"/>
        <w:rPr>
          <w:rFonts w:ascii="Times New Roman" w:hAnsi="Times New Roman"/>
          <w:color w:val="auto"/>
        </w:rPr>
      </w:pPr>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Rear Admiral, U.S. Coast Guard</w:t>
      </w:r>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Assistant Commandant for Human Resources</w:t>
      </w:r>
    </w:p>
    <w:p w:rsidR="00884D35" w:rsidRPr="00884D35" w:rsidRDefault="00884D35" w:rsidP="00884D35">
      <w:pPr>
        <w:autoSpaceDE w:val="0"/>
        <w:autoSpaceDN w:val="0"/>
        <w:adjustRightInd w:val="0"/>
        <w:rPr>
          <w:rFonts w:ascii="Times New Roman" w:hAnsi="Times New Roman"/>
          <w:color w:val="auto"/>
        </w:rPr>
      </w:pPr>
      <w:r w:rsidRPr="00884D35">
        <w:rPr>
          <w:rFonts w:ascii="Times New Roman" w:hAnsi="Times New Roman"/>
          <w:color w:val="auto"/>
        </w:rPr>
        <w:t>Enclosures: (1) PDBR President memo dated December 8, 2011</w:t>
      </w: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sectPr w:rsidR="0066429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02" w:rsidRDefault="00435702">
      <w:r>
        <w:separator/>
      </w:r>
    </w:p>
  </w:endnote>
  <w:endnote w:type="continuationSeparator" w:id="0">
    <w:p w:rsidR="00435702" w:rsidRDefault="00435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36336" w:rsidRPr="00684CE6" w:rsidRDefault="00BD6C42" w:rsidP="00F65ED5">
        <w:pPr>
          <w:pStyle w:val="Footer"/>
          <w:jc w:val="right"/>
          <w:rPr>
            <w:color w:val="auto"/>
          </w:rPr>
        </w:pPr>
        <w:r w:rsidRPr="00684CE6">
          <w:rPr>
            <w:color w:val="auto"/>
          </w:rPr>
          <w:fldChar w:fldCharType="begin"/>
        </w:r>
        <w:r w:rsidR="00D36336" w:rsidRPr="00684CE6">
          <w:rPr>
            <w:color w:val="auto"/>
          </w:rPr>
          <w:instrText xml:space="preserve"> PAGE   \* MERGEFORMAT </w:instrText>
        </w:r>
        <w:r w:rsidRPr="00684CE6">
          <w:rPr>
            <w:color w:val="auto"/>
          </w:rPr>
          <w:fldChar w:fldCharType="separate"/>
        </w:r>
        <w:r w:rsidR="00884D35">
          <w:rPr>
            <w:noProof/>
            <w:color w:val="auto"/>
          </w:rPr>
          <w:t>4</w:t>
        </w:r>
        <w:r w:rsidRPr="00684CE6">
          <w:rPr>
            <w:color w:val="auto"/>
          </w:rPr>
          <w:fldChar w:fldCharType="end"/>
        </w:r>
        <w:r w:rsidR="00D36336" w:rsidRPr="00684CE6">
          <w:rPr>
            <w:color w:val="auto"/>
          </w:rPr>
          <w:t xml:space="preserve">          </w:t>
        </w:r>
        <w:r w:rsidR="00D36336">
          <w:rPr>
            <w:color w:val="auto"/>
          </w:rPr>
          <w:t xml:space="preserve">          </w:t>
        </w:r>
        <w:r w:rsidR="00D36336" w:rsidRPr="00684CE6">
          <w:rPr>
            <w:color w:val="auto"/>
          </w:rPr>
          <w:t xml:space="preserve">                                                 </w:t>
        </w:r>
        <w:r w:rsidR="00D36336" w:rsidRPr="00305E33">
          <w:rPr>
            <w:color w:val="auto"/>
          </w:rPr>
          <w:t>PD1000771</w:t>
        </w:r>
      </w:p>
    </w:sdtContent>
  </w:sdt>
  <w:p w:rsidR="00D36336" w:rsidRPr="00684CE6" w:rsidRDefault="00D3633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02" w:rsidRDefault="00435702">
      <w:r>
        <w:separator/>
      </w:r>
    </w:p>
  </w:footnote>
  <w:footnote w:type="continuationSeparator" w:id="0">
    <w:p w:rsidR="00435702" w:rsidRDefault="00435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166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3E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2AAF"/>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09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25A"/>
    <w:rsid w:val="000E5577"/>
    <w:rsid w:val="000E7034"/>
    <w:rsid w:val="000F02BE"/>
    <w:rsid w:val="000F0928"/>
    <w:rsid w:val="000F427B"/>
    <w:rsid w:val="000F43D0"/>
    <w:rsid w:val="000F4F18"/>
    <w:rsid w:val="000F688E"/>
    <w:rsid w:val="000F7181"/>
    <w:rsid w:val="001007CE"/>
    <w:rsid w:val="001008C1"/>
    <w:rsid w:val="00100E9A"/>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66B81"/>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E99"/>
    <w:rsid w:val="001B4C0B"/>
    <w:rsid w:val="001B4EC2"/>
    <w:rsid w:val="001B581E"/>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D7B31"/>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109"/>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AE"/>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3852"/>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4728"/>
    <w:rsid w:val="00305856"/>
    <w:rsid w:val="00305E33"/>
    <w:rsid w:val="0030678B"/>
    <w:rsid w:val="00306D16"/>
    <w:rsid w:val="00307595"/>
    <w:rsid w:val="00310CD7"/>
    <w:rsid w:val="00313D7A"/>
    <w:rsid w:val="0031549C"/>
    <w:rsid w:val="003163A6"/>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3767D"/>
    <w:rsid w:val="00341A54"/>
    <w:rsid w:val="00344A4F"/>
    <w:rsid w:val="00344D17"/>
    <w:rsid w:val="0034669F"/>
    <w:rsid w:val="00350428"/>
    <w:rsid w:val="00350495"/>
    <w:rsid w:val="00351498"/>
    <w:rsid w:val="00352B22"/>
    <w:rsid w:val="00352CBF"/>
    <w:rsid w:val="00354547"/>
    <w:rsid w:val="003549F5"/>
    <w:rsid w:val="003567DE"/>
    <w:rsid w:val="003574F3"/>
    <w:rsid w:val="00357831"/>
    <w:rsid w:val="003604A5"/>
    <w:rsid w:val="0036319E"/>
    <w:rsid w:val="003632A4"/>
    <w:rsid w:val="00363362"/>
    <w:rsid w:val="00364ED0"/>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441A"/>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B02"/>
    <w:rsid w:val="00412C51"/>
    <w:rsid w:val="00415EA4"/>
    <w:rsid w:val="0041604B"/>
    <w:rsid w:val="0041620A"/>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5702"/>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6F65"/>
    <w:rsid w:val="004A712D"/>
    <w:rsid w:val="004B03F3"/>
    <w:rsid w:val="004B0CC9"/>
    <w:rsid w:val="004B1F82"/>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4F84"/>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93F"/>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1C2"/>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027"/>
    <w:rsid w:val="006418C9"/>
    <w:rsid w:val="00642BD6"/>
    <w:rsid w:val="00645046"/>
    <w:rsid w:val="0064527A"/>
    <w:rsid w:val="006458FD"/>
    <w:rsid w:val="00645EA2"/>
    <w:rsid w:val="00651E6D"/>
    <w:rsid w:val="00652C56"/>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1C59"/>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A6B9F"/>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0D2"/>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76F"/>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3CF"/>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6699"/>
    <w:rsid w:val="00837465"/>
    <w:rsid w:val="0084002E"/>
    <w:rsid w:val="00840159"/>
    <w:rsid w:val="00840621"/>
    <w:rsid w:val="00841243"/>
    <w:rsid w:val="00841457"/>
    <w:rsid w:val="0084374E"/>
    <w:rsid w:val="00844842"/>
    <w:rsid w:val="00844A53"/>
    <w:rsid w:val="00844B99"/>
    <w:rsid w:val="00844DD0"/>
    <w:rsid w:val="008455C8"/>
    <w:rsid w:val="00845760"/>
    <w:rsid w:val="00846407"/>
    <w:rsid w:val="0085006A"/>
    <w:rsid w:val="0085089F"/>
    <w:rsid w:val="0085206E"/>
    <w:rsid w:val="00852273"/>
    <w:rsid w:val="0085293D"/>
    <w:rsid w:val="00852AD4"/>
    <w:rsid w:val="00852BA8"/>
    <w:rsid w:val="00852BF0"/>
    <w:rsid w:val="00853718"/>
    <w:rsid w:val="008541EF"/>
    <w:rsid w:val="00856AC7"/>
    <w:rsid w:val="00856FA4"/>
    <w:rsid w:val="00857760"/>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4D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DF0"/>
    <w:rsid w:val="008E0F4E"/>
    <w:rsid w:val="008E1E94"/>
    <w:rsid w:val="008E2D99"/>
    <w:rsid w:val="008E30D4"/>
    <w:rsid w:val="008E38B0"/>
    <w:rsid w:val="008E4A60"/>
    <w:rsid w:val="008E6C1E"/>
    <w:rsid w:val="008E744D"/>
    <w:rsid w:val="008F1E08"/>
    <w:rsid w:val="008F6FC8"/>
    <w:rsid w:val="0090045D"/>
    <w:rsid w:val="00900D8F"/>
    <w:rsid w:val="009014E3"/>
    <w:rsid w:val="009020ED"/>
    <w:rsid w:val="009026E8"/>
    <w:rsid w:val="00902FDD"/>
    <w:rsid w:val="00903489"/>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06E4"/>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2D1"/>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4C87"/>
    <w:rsid w:val="009F6292"/>
    <w:rsid w:val="009F7809"/>
    <w:rsid w:val="009F7AF5"/>
    <w:rsid w:val="00A006F1"/>
    <w:rsid w:val="00A007A7"/>
    <w:rsid w:val="00A00D14"/>
    <w:rsid w:val="00A01272"/>
    <w:rsid w:val="00A01408"/>
    <w:rsid w:val="00A02457"/>
    <w:rsid w:val="00A03190"/>
    <w:rsid w:val="00A0404B"/>
    <w:rsid w:val="00A06F66"/>
    <w:rsid w:val="00A0798C"/>
    <w:rsid w:val="00A07BDD"/>
    <w:rsid w:val="00A07F12"/>
    <w:rsid w:val="00A1105B"/>
    <w:rsid w:val="00A1213C"/>
    <w:rsid w:val="00A1274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5C2C"/>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5B5"/>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4B2"/>
    <w:rsid w:val="00AE5C32"/>
    <w:rsid w:val="00AE5E14"/>
    <w:rsid w:val="00AE6115"/>
    <w:rsid w:val="00AE625B"/>
    <w:rsid w:val="00AF01B2"/>
    <w:rsid w:val="00AF1103"/>
    <w:rsid w:val="00AF1668"/>
    <w:rsid w:val="00AF28DE"/>
    <w:rsid w:val="00AF4FA5"/>
    <w:rsid w:val="00AF6ECC"/>
    <w:rsid w:val="00B010B9"/>
    <w:rsid w:val="00B022DC"/>
    <w:rsid w:val="00B04562"/>
    <w:rsid w:val="00B0472F"/>
    <w:rsid w:val="00B06930"/>
    <w:rsid w:val="00B0773A"/>
    <w:rsid w:val="00B07955"/>
    <w:rsid w:val="00B1176B"/>
    <w:rsid w:val="00B140B8"/>
    <w:rsid w:val="00B14FAA"/>
    <w:rsid w:val="00B15BED"/>
    <w:rsid w:val="00B15D30"/>
    <w:rsid w:val="00B167AA"/>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C0A"/>
    <w:rsid w:val="00B36569"/>
    <w:rsid w:val="00B37345"/>
    <w:rsid w:val="00B37F53"/>
    <w:rsid w:val="00B40A05"/>
    <w:rsid w:val="00B40A3E"/>
    <w:rsid w:val="00B427BB"/>
    <w:rsid w:val="00B43BA2"/>
    <w:rsid w:val="00B449EE"/>
    <w:rsid w:val="00B454AE"/>
    <w:rsid w:val="00B47458"/>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959C8"/>
    <w:rsid w:val="00BA1824"/>
    <w:rsid w:val="00BA2D98"/>
    <w:rsid w:val="00BA2F0C"/>
    <w:rsid w:val="00BA30D1"/>
    <w:rsid w:val="00BA30E1"/>
    <w:rsid w:val="00BA43A9"/>
    <w:rsid w:val="00BA4609"/>
    <w:rsid w:val="00BA5BE2"/>
    <w:rsid w:val="00BA7F46"/>
    <w:rsid w:val="00BB0A0A"/>
    <w:rsid w:val="00BB133C"/>
    <w:rsid w:val="00BB1F04"/>
    <w:rsid w:val="00BB32E9"/>
    <w:rsid w:val="00BB387C"/>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6C42"/>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2E2D"/>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21"/>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B18"/>
    <w:rsid w:val="00CE358C"/>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6336"/>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6C0"/>
    <w:rsid w:val="00DB0ABB"/>
    <w:rsid w:val="00DB2AAD"/>
    <w:rsid w:val="00DB44E2"/>
    <w:rsid w:val="00DB4A6D"/>
    <w:rsid w:val="00DB5941"/>
    <w:rsid w:val="00DB626D"/>
    <w:rsid w:val="00DB6365"/>
    <w:rsid w:val="00DC07B7"/>
    <w:rsid w:val="00DC0BF1"/>
    <w:rsid w:val="00DC17F2"/>
    <w:rsid w:val="00DC29BF"/>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4B9"/>
    <w:rsid w:val="00E04AEE"/>
    <w:rsid w:val="00E1012B"/>
    <w:rsid w:val="00E103C8"/>
    <w:rsid w:val="00E1085B"/>
    <w:rsid w:val="00E115B1"/>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707"/>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49DE"/>
    <w:rsid w:val="00EC50C9"/>
    <w:rsid w:val="00EC58B4"/>
    <w:rsid w:val="00EC5BB2"/>
    <w:rsid w:val="00ED010F"/>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68CB"/>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C2C"/>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53E7"/>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D3F"/>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99838193">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3359-80AB-405E-A8E0-6F0653F6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2011-11-29T12:25:00Z</cp:lastPrinted>
  <dcterms:created xsi:type="dcterms:W3CDTF">2012-05-08T14:15:00Z</dcterms:created>
  <dcterms:modified xsi:type="dcterms:W3CDTF">2012-05-08T14:15:00Z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