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F77EA7">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541D45">
        <w:rPr>
          <w:rFonts w:asciiTheme="minorHAnsi" w:hAnsiTheme="minorHAnsi"/>
          <w:caps/>
          <w:color w:val="auto"/>
        </w:rPr>
        <w:tab/>
        <w:t xml:space="preserve">      </w:t>
      </w:r>
      <w:r w:rsidRPr="00B20624">
        <w:rPr>
          <w:rFonts w:asciiTheme="minorHAnsi" w:hAnsiTheme="minorHAnsi"/>
          <w:caps/>
          <w:color w:val="auto"/>
        </w:rPr>
        <w:t>BRANCH OF SERVICE</w:t>
      </w:r>
      <w:r w:rsidRPr="00541D45">
        <w:rPr>
          <w:rFonts w:asciiTheme="minorHAnsi" w:hAnsiTheme="minorHAnsi"/>
          <w:caps/>
          <w:color w:val="auto"/>
        </w:rPr>
        <w:t>:</w:t>
      </w:r>
      <w:r w:rsidR="00446DD8" w:rsidRPr="00541D45">
        <w:rPr>
          <w:rFonts w:asciiTheme="minorHAnsi" w:hAnsiTheme="minorHAnsi"/>
          <w:caps/>
          <w:color w:val="auto"/>
        </w:rPr>
        <w:t xml:space="preserve"> </w:t>
      </w:r>
      <w:r w:rsidRPr="00541D45">
        <w:rPr>
          <w:rFonts w:asciiTheme="minorHAnsi" w:hAnsiTheme="minorHAnsi"/>
          <w:caps/>
          <w:color w:val="auto"/>
        </w:rPr>
        <w:t xml:space="preserve"> </w:t>
      </w:r>
      <w:r w:rsidR="000E0993" w:rsidRPr="00541D45">
        <w:rPr>
          <w:rFonts w:asciiTheme="minorHAnsi" w:hAnsiTheme="minorHAnsi"/>
          <w:caps/>
          <w:color w:val="auto"/>
        </w:rPr>
        <w:t>A</w:t>
      </w:r>
      <w:r w:rsidR="00541D45" w:rsidRPr="00541D45">
        <w:rPr>
          <w:rFonts w:asciiTheme="minorHAnsi" w:hAnsiTheme="minorHAnsi"/>
          <w:caps/>
          <w:color w:val="auto"/>
        </w:rPr>
        <w:t>ir</w:t>
      </w:r>
      <w:r w:rsidR="00541D45">
        <w:rPr>
          <w:rFonts w:asciiTheme="minorHAnsi" w:hAnsiTheme="minorHAnsi"/>
          <w:caps/>
          <w:color w:val="auto"/>
        </w:rPr>
        <w:t xml:space="preserve"> force</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541D45">
        <w:rPr>
          <w:rFonts w:asciiTheme="minorHAnsi" w:hAnsiTheme="minorHAnsi"/>
          <w:caps/>
          <w:color w:val="auto"/>
        </w:rPr>
        <w:t>PD</w:t>
      </w:r>
      <w:r w:rsidR="00541D45" w:rsidRPr="00541D45">
        <w:rPr>
          <w:rFonts w:asciiTheme="minorHAnsi" w:hAnsiTheme="minorHAnsi"/>
          <w:caps/>
          <w:color w:val="auto"/>
        </w:rPr>
        <w:t>10</w:t>
      </w:r>
      <w:r w:rsidR="00C55918" w:rsidRPr="00541D45">
        <w:rPr>
          <w:rFonts w:asciiTheme="minorHAnsi" w:hAnsiTheme="minorHAnsi"/>
          <w:caps/>
          <w:color w:val="auto"/>
        </w:rPr>
        <w:t>0</w:t>
      </w:r>
      <w:r w:rsidR="00541D45" w:rsidRPr="00541D45">
        <w:rPr>
          <w:rFonts w:asciiTheme="minorHAnsi" w:hAnsiTheme="minorHAnsi"/>
          <w:caps/>
          <w:color w:val="auto"/>
        </w:rPr>
        <w:t>0737</w:t>
      </w:r>
      <w:r w:rsidRPr="00B20624">
        <w:rPr>
          <w:rFonts w:asciiTheme="minorHAnsi" w:hAnsiTheme="minorHAnsi"/>
          <w:caps/>
          <w:color w:val="auto"/>
        </w:rPr>
        <w:tab/>
      </w:r>
      <w:r w:rsidRPr="00B20624">
        <w:rPr>
          <w:rFonts w:asciiTheme="minorHAnsi" w:hAnsiTheme="minorHAnsi"/>
          <w:caps/>
          <w:color w:val="auto"/>
        </w:rPr>
        <w:tab/>
      </w:r>
      <w:r w:rsidR="00541D45">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541D45">
        <w:rPr>
          <w:rFonts w:asciiTheme="minorHAnsi" w:hAnsiTheme="minorHAnsi"/>
          <w:caps/>
          <w:color w:val="auto"/>
        </w:rPr>
        <w:t>200</w:t>
      </w:r>
      <w:r w:rsidR="00541D45" w:rsidRPr="00541D45">
        <w:rPr>
          <w:rFonts w:asciiTheme="minorHAnsi" w:hAnsiTheme="minorHAnsi"/>
          <w:caps/>
          <w:color w:val="auto"/>
        </w:rPr>
        <w:t>70122</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360829">
        <w:rPr>
          <w:rFonts w:asciiTheme="minorHAnsi" w:hAnsiTheme="minorHAnsi"/>
          <w:caps/>
          <w:color w:val="auto"/>
        </w:rPr>
        <w:t>1117</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BE2791">
        <w:rPr>
          <w:rFonts w:asciiTheme="minorHAnsi" w:hAnsiTheme="minorHAnsi"/>
          <w:color w:val="auto"/>
          <w:szCs w:val="24"/>
        </w:rPr>
        <w:t xml:space="preserve">active duty </w:t>
      </w:r>
      <w:r w:rsidR="00BE2791" w:rsidRPr="00BE2791">
        <w:rPr>
          <w:rFonts w:asciiTheme="minorHAnsi" w:hAnsiTheme="minorHAnsi"/>
          <w:color w:val="auto"/>
          <w:szCs w:val="24"/>
        </w:rPr>
        <w:t>SSgt</w:t>
      </w:r>
      <w:r w:rsidR="00DB2D50" w:rsidRPr="00BE2791">
        <w:rPr>
          <w:rFonts w:asciiTheme="minorHAnsi" w:hAnsiTheme="minorHAnsi"/>
          <w:color w:val="auto"/>
          <w:szCs w:val="24"/>
        </w:rPr>
        <w:t>/E-</w:t>
      </w:r>
      <w:r w:rsidR="00BE2791" w:rsidRPr="00BE2791">
        <w:rPr>
          <w:rFonts w:asciiTheme="minorHAnsi" w:hAnsiTheme="minorHAnsi"/>
          <w:color w:val="auto"/>
          <w:szCs w:val="24"/>
        </w:rPr>
        <w:t>5</w:t>
      </w:r>
      <w:r w:rsidR="00DB2D50" w:rsidRPr="00BE2791">
        <w:rPr>
          <w:rFonts w:asciiTheme="minorHAnsi" w:hAnsiTheme="minorHAnsi"/>
          <w:color w:val="auto"/>
          <w:szCs w:val="24"/>
        </w:rPr>
        <w:t xml:space="preserve"> (</w:t>
      </w:r>
      <w:r w:rsidR="00986D03" w:rsidRPr="00BE2791">
        <w:rPr>
          <w:rFonts w:asciiTheme="minorHAnsi" w:hAnsiTheme="minorHAnsi"/>
          <w:color w:val="auto"/>
          <w:szCs w:val="24"/>
        </w:rPr>
        <w:t>1CO</w:t>
      </w:r>
      <w:r w:rsidR="00BE5915">
        <w:rPr>
          <w:rFonts w:asciiTheme="minorHAnsi" w:hAnsiTheme="minorHAnsi"/>
          <w:color w:val="auto"/>
          <w:szCs w:val="24"/>
        </w:rPr>
        <w:t>5</w:t>
      </w:r>
      <w:r w:rsidR="00986D03" w:rsidRPr="00BE2791">
        <w:rPr>
          <w:rFonts w:asciiTheme="minorHAnsi" w:hAnsiTheme="minorHAnsi"/>
          <w:color w:val="auto"/>
          <w:szCs w:val="24"/>
        </w:rPr>
        <w:t>2</w:t>
      </w:r>
      <w:r w:rsidRPr="00BE2791">
        <w:rPr>
          <w:rFonts w:asciiTheme="minorHAnsi" w:hAnsiTheme="minorHAnsi"/>
          <w:color w:val="auto"/>
          <w:szCs w:val="24"/>
        </w:rPr>
        <w:t xml:space="preserve">, </w:t>
      </w:r>
      <w:r w:rsidR="00BE2791" w:rsidRPr="00BE2791">
        <w:rPr>
          <w:rFonts w:asciiTheme="minorHAnsi" w:hAnsiTheme="minorHAnsi"/>
          <w:color w:val="auto"/>
          <w:szCs w:val="24"/>
        </w:rPr>
        <w:t xml:space="preserve">Aviation </w:t>
      </w:r>
      <w:r w:rsidR="00227DE7">
        <w:rPr>
          <w:rFonts w:asciiTheme="minorHAnsi" w:hAnsiTheme="minorHAnsi"/>
          <w:color w:val="auto"/>
          <w:szCs w:val="24"/>
        </w:rPr>
        <w:t xml:space="preserve">Resource </w:t>
      </w:r>
      <w:r w:rsidR="00BE2791" w:rsidRPr="00BE2791">
        <w:rPr>
          <w:rFonts w:asciiTheme="minorHAnsi" w:hAnsiTheme="minorHAnsi"/>
          <w:color w:val="auto"/>
          <w:szCs w:val="24"/>
        </w:rPr>
        <w:t>Manager</w:t>
      </w:r>
      <w:r w:rsidRPr="00BE2791">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BE2791">
        <w:rPr>
          <w:rFonts w:asciiTheme="minorHAnsi" w:hAnsiTheme="minorHAnsi"/>
          <w:color w:val="auto"/>
          <w:szCs w:val="24"/>
        </w:rPr>
        <w:t>a lumbar spine condition</w:t>
      </w:r>
      <w:r w:rsidRPr="00A315F3">
        <w:rPr>
          <w:rFonts w:asciiTheme="minorHAnsi" w:hAnsiTheme="minorHAnsi"/>
          <w:color w:val="auto"/>
          <w:szCs w:val="24"/>
        </w:rPr>
        <w:t xml:space="preserve">.  </w:t>
      </w:r>
      <w:r w:rsidR="00EF31F3" w:rsidRPr="00A7239C">
        <w:rPr>
          <w:rFonts w:asciiTheme="minorHAnsi" w:hAnsiTheme="minorHAnsi"/>
          <w:color w:val="auto"/>
          <w:szCs w:val="24"/>
        </w:rPr>
        <w:t>He did not respond adequately to treatment and wa</w:t>
      </w:r>
      <w:r w:rsidR="00DA18F0" w:rsidRPr="00A7239C">
        <w:rPr>
          <w:rFonts w:asciiTheme="minorHAnsi" w:hAnsiTheme="minorHAnsi"/>
          <w:color w:val="auto"/>
          <w:szCs w:val="24"/>
        </w:rPr>
        <w:t xml:space="preserve">s unable to perform within his </w:t>
      </w:r>
      <w:r w:rsidR="006222C9">
        <w:rPr>
          <w:rFonts w:asciiTheme="minorHAnsi" w:hAnsiTheme="minorHAnsi"/>
          <w:color w:val="auto"/>
          <w:szCs w:val="24"/>
        </w:rPr>
        <w:t>career field</w:t>
      </w:r>
      <w:r w:rsidR="00123432" w:rsidRPr="00A7239C">
        <w:rPr>
          <w:rFonts w:asciiTheme="minorHAnsi" w:hAnsiTheme="minorHAnsi"/>
          <w:color w:val="auto"/>
          <w:szCs w:val="24"/>
        </w:rPr>
        <w:t xml:space="preserve"> </w:t>
      </w:r>
      <w:r w:rsidR="00EF31F3" w:rsidRPr="00A7239C">
        <w:rPr>
          <w:rFonts w:asciiTheme="minorHAnsi" w:hAnsiTheme="minorHAnsi"/>
          <w:color w:val="auto"/>
          <w:szCs w:val="24"/>
        </w:rPr>
        <w:t>or meet physical fitness standards.  H</w:t>
      </w:r>
      <w:r w:rsidR="00EF31F3" w:rsidRPr="00C748BD">
        <w:rPr>
          <w:rFonts w:asciiTheme="minorHAnsi" w:hAnsiTheme="minorHAnsi"/>
          <w:color w:val="auto"/>
          <w:szCs w:val="24"/>
        </w:rPr>
        <w:t xml:space="preserve">e was issued </w:t>
      </w:r>
      <w:r w:rsidR="00EF31F3" w:rsidRPr="00C237D1">
        <w:rPr>
          <w:rFonts w:asciiTheme="minorHAnsi" w:hAnsiTheme="minorHAnsi"/>
          <w:color w:val="auto"/>
          <w:szCs w:val="24"/>
        </w:rPr>
        <w:t>a P</w:t>
      </w:r>
      <w:r w:rsidR="00C748BD" w:rsidRPr="00C237D1">
        <w:rPr>
          <w:rFonts w:asciiTheme="minorHAnsi" w:hAnsiTheme="minorHAnsi"/>
          <w:color w:val="auto"/>
          <w:szCs w:val="24"/>
        </w:rPr>
        <w:t>4</w:t>
      </w:r>
      <w:r w:rsidR="00E651CC" w:rsidRPr="00C237D1">
        <w:rPr>
          <w:rFonts w:asciiTheme="minorHAnsi" w:hAnsiTheme="minorHAnsi"/>
          <w:color w:val="auto"/>
          <w:szCs w:val="24"/>
        </w:rPr>
        <w:t xml:space="preserve"> </w:t>
      </w:r>
      <w:r w:rsidR="00EF31F3" w:rsidRPr="00C748BD">
        <w:rPr>
          <w:rFonts w:asciiTheme="minorHAnsi" w:hAnsiTheme="minorHAnsi"/>
          <w:color w:val="auto"/>
          <w:szCs w:val="24"/>
        </w:rPr>
        <w:t>profile and underwent a Medical Evaluation Board (MEB).</w:t>
      </w:r>
      <w:r w:rsidR="000713C6">
        <w:rPr>
          <w:rFonts w:asciiTheme="minorHAnsi" w:hAnsiTheme="minorHAnsi"/>
          <w:color w:val="auto"/>
          <w:szCs w:val="24"/>
        </w:rPr>
        <w:t xml:space="preserve">  </w:t>
      </w:r>
      <w:r w:rsidR="009D2F2D">
        <w:rPr>
          <w:rFonts w:asciiTheme="minorHAnsi" w:hAnsiTheme="minorHAnsi"/>
          <w:color w:val="auto"/>
          <w:szCs w:val="24"/>
        </w:rPr>
        <w:t xml:space="preserve">Chronic low back pain </w:t>
      </w:r>
      <w:r w:rsidR="00EA6E65">
        <w:rPr>
          <w:rFonts w:asciiTheme="minorHAnsi" w:hAnsiTheme="minorHAnsi"/>
          <w:color w:val="auto"/>
          <w:szCs w:val="24"/>
        </w:rPr>
        <w:t>and asthma were</w:t>
      </w:r>
      <w:r w:rsidRPr="00A315F3">
        <w:rPr>
          <w:rFonts w:asciiTheme="minorHAnsi" w:hAnsiTheme="minorHAnsi"/>
          <w:color w:val="auto"/>
          <w:szCs w:val="24"/>
        </w:rPr>
        <w:t xml:space="preserve"> </w:t>
      </w:r>
      <w:r w:rsidRPr="009D2F2D">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9D2F2D">
        <w:rPr>
          <w:rFonts w:asciiTheme="minorHAnsi" w:hAnsiTheme="minorHAnsi"/>
          <w:color w:val="auto"/>
          <w:szCs w:val="24"/>
        </w:rPr>
        <w:t>as medically unacceptable IAW A</w:t>
      </w:r>
      <w:r w:rsidR="004B01F4" w:rsidRPr="009D2F2D">
        <w:rPr>
          <w:rFonts w:asciiTheme="minorHAnsi" w:hAnsiTheme="minorHAnsi"/>
          <w:color w:val="auto"/>
          <w:szCs w:val="24"/>
        </w:rPr>
        <w:t>FI 48-123</w:t>
      </w:r>
      <w:r w:rsidRPr="009D2F2D">
        <w:rPr>
          <w:rFonts w:asciiTheme="minorHAnsi" w:hAnsiTheme="minorHAnsi"/>
          <w:color w:val="auto"/>
          <w:szCs w:val="24"/>
        </w:rPr>
        <w:t>.</w:t>
      </w:r>
      <w:r w:rsidR="009D2F2D">
        <w:rPr>
          <w:rFonts w:asciiTheme="minorHAnsi" w:hAnsiTheme="minorHAnsi"/>
          <w:color w:val="auto"/>
          <w:szCs w:val="24"/>
        </w:rPr>
        <w:t xml:space="preserve">  </w:t>
      </w:r>
      <w:r w:rsidRPr="00A315F3">
        <w:rPr>
          <w:rFonts w:asciiTheme="minorHAnsi" w:hAnsiTheme="minorHAnsi"/>
          <w:color w:val="auto"/>
          <w:szCs w:val="24"/>
        </w:rPr>
        <w:t xml:space="preserve">Additional conditions supported in the Disability Evaluation System (DES) </w:t>
      </w:r>
      <w:r w:rsidR="00E8623B" w:rsidRPr="00A315F3">
        <w:rPr>
          <w:rFonts w:asciiTheme="minorHAnsi" w:hAnsiTheme="minorHAnsi"/>
          <w:color w:val="auto"/>
          <w:szCs w:val="24"/>
        </w:rPr>
        <w:t>file</w:t>
      </w:r>
      <w:r w:rsidRPr="00A315F3">
        <w:rPr>
          <w:rFonts w:asciiTheme="minorHAnsi" w:hAnsiTheme="minorHAnsi"/>
          <w:color w:val="auto"/>
          <w:szCs w:val="24"/>
        </w:rPr>
        <w:t xml:space="preserve"> are discussed below, but were not forwarded for PEB adjudication </w:t>
      </w:r>
      <w:r w:rsidRPr="00EA6E65">
        <w:rPr>
          <w:rFonts w:asciiTheme="minorHAnsi" w:hAnsiTheme="minorHAnsi"/>
          <w:color w:val="auto"/>
          <w:szCs w:val="24"/>
        </w:rPr>
        <w:t xml:space="preserve">on the </w:t>
      </w:r>
      <w:r w:rsidR="00EA6E65" w:rsidRPr="00EA6E65">
        <w:rPr>
          <w:rFonts w:asciiTheme="minorHAnsi" w:hAnsiTheme="minorHAnsi"/>
          <w:color w:val="auto"/>
          <w:szCs w:val="24"/>
        </w:rPr>
        <w:t>AF Form 618</w:t>
      </w:r>
      <w:r w:rsidRPr="00A315F3">
        <w:rPr>
          <w:rFonts w:asciiTheme="minorHAnsi" w:hAnsiTheme="minorHAnsi"/>
          <w:color w:val="auto"/>
          <w:szCs w:val="24"/>
        </w:rPr>
        <w:t>.</w:t>
      </w:r>
      <w:r w:rsidR="0088255F">
        <w:rPr>
          <w:rFonts w:asciiTheme="minorHAnsi" w:hAnsiTheme="minorHAnsi"/>
          <w:color w:val="auto"/>
          <w:szCs w:val="24"/>
        </w:rPr>
        <w:t xml:space="preserve">  </w:t>
      </w:r>
      <w:r w:rsidR="00136DAA" w:rsidRPr="00A315F3">
        <w:rPr>
          <w:rFonts w:asciiTheme="minorHAnsi" w:hAnsiTheme="minorHAnsi"/>
          <w:color w:val="auto"/>
          <w:szCs w:val="24"/>
        </w:rPr>
        <w:t>The I</w:t>
      </w:r>
      <w:r w:rsidRPr="00A315F3">
        <w:rPr>
          <w:rFonts w:asciiTheme="minorHAnsi" w:hAnsiTheme="minorHAnsi"/>
          <w:color w:val="auto"/>
          <w:szCs w:val="24"/>
        </w:rPr>
        <w:t>nformal PEB</w:t>
      </w:r>
      <w:r w:rsidR="00136DAA" w:rsidRPr="00A315F3">
        <w:rPr>
          <w:rFonts w:asciiTheme="minorHAnsi" w:hAnsiTheme="minorHAnsi"/>
          <w:color w:val="auto"/>
          <w:szCs w:val="24"/>
        </w:rPr>
        <w:t xml:space="preserve"> (IPEB)</w:t>
      </w:r>
      <w:r w:rsidRPr="00A315F3">
        <w:rPr>
          <w:rFonts w:asciiTheme="minorHAnsi" w:hAnsiTheme="minorHAnsi"/>
          <w:color w:val="auto"/>
          <w:szCs w:val="24"/>
        </w:rPr>
        <w:t xml:space="preserve"> adjudicated the </w:t>
      </w:r>
      <w:r w:rsidR="00227DE7">
        <w:rPr>
          <w:rFonts w:asciiTheme="minorHAnsi" w:hAnsiTheme="minorHAnsi"/>
          <w:color w:val="auto"/>
          <w:szCs w:val="24"/>
        </w:rPr>
        <w:t>lumbar degenerative disc disease</w:t>
      </w:r>
      <w:r w:rsidRPr="00A315F3">
        <w:rPr>
          <w:rFonts w:asciiTheme="minorHAnsi" w:hAnsiTheme="minorHAnsi"/>
          <w:color w:val="auto"/>
          <w:szCs w:val="24"/>
        </w:rPr>
        <w:t xml:space="preserve"> condition</w:t>
      </w:r>
      <w:r w:rsidR="00227DE7">
        <w:rPr>
          <w:rFonts w:asciiTheme="minorHAnsi" w:hAnsiTheme="minorHAnsi"/>
          <w:color w:val="auto"/>
          <w:szCs w:val="24"/>
        </w:rPr>
        <w:t xml:space="preserve"> </w:t>
      </w:r>
      <w:r w:rsidRPr="00A315F3">
        <w:rPr>
          <w:rFonts w:asciiTheme="minorHAnsi" w:hAnsiTheme="minorHAnsi"/>
          <w:color w:val="auto"/>
          <w:szCs w:val="24"/>
        </w:rPr>
        <w:t xml:space="preserve">as unfitting, rated </w:t>
      </w:r>
      <w:r w:rsidR="00227DE7">
        <w:rPr>
          <w:rFonts w:asciiTheme="minorHAnsi" w:hAnsiTheme="minorHAnsi"/>
          <w:color w:val="auto"/>
          <w:szCs w:val="24"/>
        </w:rPr>
        <w:t>10</w:t>
      </w:r>
      <w:r w:rsidRPr="00A315F3">
        <w:rPr>
          <w:rFonts w:asciiTheme="minorHAnsi" w:hAnsiTheme="minorHAnsi"/>
          <w:color w:val="auto"/>
          <w:szCs w:val="24"/>
        </w:rPr>
        <w:t xml:space="preserve">% </w:t>
      </w:r>
      <w:r w:rsidRPr="006E13CD">
        <w:rPr>
          <w:rFonts w:asciiTheme="minorHAnsi" w:hAnsiTheme="minorHAnsi"/>
          <w:color w:val="auto"/>
          <w:szCs w:val="24"/>
        </w:rPr>
        <w:t xml:space="preserve">with </w:t>
      </w:r>
      <w:r w:rsidR="004B01F4" w:rsidRPr="006E13CD">
        <w:rPr>
          <w:rFonts w:asciiTheme="minorHAnsi" w:hAnsiTheme="minorHAnsi"/>
          <w:color w:val="auto"/>
          <w:szCs w:val="24"/>
        </w:rPr>
        <w:t xml:space="preserve">presumptive </w:t>
      </w:r>
      <w:r w:rsidRPr="006E13CD">
        <w:rPr>
          <w:rFonts w:asciiTheme="minorHAnsi" w:hAnsiTheme="minorHAnsi"/>
          <w:color w:val="auto"/>
          <w:szCs w:val="24"/>
        </w:rPr>
        <w:t xml:space="preserve">application of </w:t>
      </w:r>
      <w:r w:rsidR="004B01F4" w:rsidRPr="006E13CD">
        <w:rPr>
          <w:rFonts w:asciiTheme="minorHAnsi" w:hAnsiTheme="minorHAnsi"/>
          <w:color w:val="auto"/>
          <w:szCs w:val="24"/>
        </w:rPr>
        <w:t>DoDI 1332.39</w:t>
      </w:r>
      <w:r w:rsidR="006E13CD">
        <w:rPr>
          <w:rFonts w:asciiTheme="minorHAnsi" w:hAnsiTheme="minorHAnsi"/>
          <w:color w:val="auto"/>
          <w:szCs w:val="24"/>
        </w:rPr>
        <w:t xml:space="preserve"> and </w:t>
      </w:r>
      <w:r w:rsidR="000A23DC" w:rsidRPr="006E13CD">
        <w:rPr>
          <w:rFonts w:asciiTheme="minorHAnsi" w:hAnsiTheme="minorHAnsi"/>
          <w:color w:val="auto"/>
          <w:szCs w:val="24"/>
        </w:rPr>
        <w:t xml:space="preserve">the Veterans Administration Schedule </w:t>
      </w:r>
      <w:r w:rsidR="00EA6E65" w:rsidRPr="006E13CD">
        <w:rPr>
          <w:rFonts w:asciiTheme="minorHAnsi" w:hAnsiTheme="minorHAnsi"/>
          <w:color w:val="auto"/>
          <w:szCs w:val="24"/>
        </w:rPr>
        <w:t>for Rating Disabilities (VASRD</w:t>
      </w:r>
      <w:r w:rsidR="0088255F" w:rsidRPr="006E13CD">
        <w:rPr>
          <w:rFonts w:asciiTheme="minorHAnsi" w:hAnsiTheme="minorHAnsi"/>
          <w:color w:val="auto"/>
          <w:szCs w:val="24"/>
        </w:rPr>
        <w:t>)</w:t>
      </w:r>
      <w:r w:rsidR="006E13CD">
        <w:rPr>
          <w:rFonts w:asciiTheme="minorHAnsi" w:hAnsiTheme="minorHAnsi"/>
          <w:color w:val="auto"/>
          <w:szCs w:val="24"/>
        </w:rPr>
        <w:t>;</w:t>
      </w:r>
      <w:r w:rsidR="00EA6E65">
        <w:rPr>
          <w:rFonts w:asciiTheme="minorHAnsi" w:hAnsiTheme="minorHAnsi"/>
          <w:color w:val="auto"/>
          <w:szCs w:val="24"/>
        </w:rPr>
        <w:t xml:space="preserve"> asthma as Category II</w:t>
      </w:r>
      <w:r w:rsidR="006222C9">
        <w:rPr>
          <w:rFonts w:asciiTheme="minorHAnsi" w:hAnsiTheme="minorHAnsi"/>
          <w:color w:val="auto"/>
          <w:szCs w:val="24"/>
        </w:rPr>
        <w:t xml:space="preserve"> (</w:t>
      </w:r>
      <w:r w:rsidR="00EA6E65">
        <w:rPr>
          <w:rFonts w:asciiTheme="minorHAnsi" w:hAnsiTheme="minorHAnsi"/>
          <w:color w:val="auto"/>
          <w:szCs w:val="24"/>
        </w:rPr>
        <w:t>conditions that can be unfitting but are not currently compensable or ratable</w:t>
      </w:r>
      <w:r w:rsidR="006222C9">
        <w:rPr>
          <w:rFonts w:asciiTheme="minorHAnsi" w:hAnsiTheme="minorHAnsi"/>
          <w:color w:val="auto"/>
          <w:szCs w:val="24"/>
        </w:rPr>
        <w:t>)</w:t>
      </w:r>
      <w:r w:rsidR="006E13CD">
        <w:rPr>
          <w:rFonts w:asciiTheme="minorHAnsi" w:hAnsiTheme="minorHAnsi"/>
          <w:color w:val="auto"/>
          <w:szCs w:val="24"/>
        </w:rPr>
        <w:t>;</w:t>
      </w:r>
      <w:r w:rsidR="00EA6E65">
        <w:rPr>
          <w:rFonts w:asciiTheme="minorHAnsi" w:hAnsiTheme="minorHAnsi"/>
          <w:color w:val="auto"/>
          <w:szCs w:val="24"/>
        </w:rPr>
        <w:t xml:space="preserve"> and overweight and adjustment disorder with anxious mood as Category III</w:t>
      </w:r>
      <w:r w:rsidR="006222C9">
        <w:rPr>
          <w:rFonts w:asciiTheme="minorHAnsi" w:hAnsiTheme="minorHAnsi"/>
          <w:color w:val="auto"/>
          <w:szCs w:val="24"/>
        </w:rPr>
        <w:t xml:space="preserve"> (</w:t>
      </w:r>
      <w:r w:rsidR="00EA6E65">
        <w:rPr>
          <w:rFonts w:asciiTheme="minorHAnsi" w:hAnsiTheme="minorHAnsi"/>
          <w:color w:val="auto"/>
          <w:szCs w:val="24"/>
        </w:rPr>
        <w:t>conditions that are not separately unfitting and not compensable or ratable</w:t>
      </w:r>
      <w:r w:rsidR="006222C9">
        <w:rPr>
          <w:rFonts w:asciiTheme="minorHAnsi" w:hAnsiTheme="minorHAnsi"/>
          <w:color w:val="auto"/>
          <w:szCs w:val="24"/>
        </w:rPr>
        <w:t>)</w:t>
      </w:r>
      <w:r w:rsidR="00EA6E65">
        <w:rPr>
          <w:rFonts w:asciiTheme="minorHAnsi" w:hAnsiTheme="minorHAnsi"/>
          <w:color w:val="auto"/>
          <w:szCs w:val="24"/>
        </w:rPr>
        <w:t xml:space="preserve">. </w:t>
      </w:r>
      <w:r w:rsidR="000A23DC" w:rsidRPr="00A315F3">
        <w:rPr>
          <w:rFonts w:asciiTheme="minorHAnsi" w:hAnsiTheme="minorHAnsi"/>
          <w:color w:val="auto"/>
          <w:szCs w:val="24"/>
        </w:rPr>
        <w:t xml:space="preserve"> </w:t>
      </w:r>
      <w:r w:rsidRPr="00A315F3">
        <w:rPr>
          <w:rFonts w:asciiTheme="minorHAnsi" w:hAnsiTheme="minorHAnsi"/>
          <w:color w:val="auto"/>
        </w:rPr>
        <w:t xml:space="preserve">The CI made </w:t>
      </w:r>
      <w:r w:rsidRPr="00227DE7">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227DE7">
        <w:rPr>
          <w:rFonts w:asciiTheme="minorHAnsi" w:hAnsiTheme="minorHAnsi"/>
          <w:color w:val="auto"/>
        </w:rPr>
        <w:t>10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914F06">
      <w:pPr>
        <w:tabs>
          <w:tab w:val="left" w:pos="288"/>
          <w:tab w:val="left" w:pos="4752"/>
        </w:tabs>
        <w:spacing w:line="240" w:lineRule="exact"/>
        <w:jc w:val="both"/>
        <w:rPr>
          <w:rFonts w:asciiTheme="minorHAnsi" w:hAnsiTheme="minorHAnsi"/>
          <w:color w:val="auto"/>
          <w:szCs w:val="24"/>
          <w:highlight w:val="yellow"/>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Pr>
          <w:rFonts w:asciiTheme="minorHAnsi" w:hAnsiTheme="minorHAnsi"/>
          <w:color w:val="auto"/>
          <w:szCs w:val="24"/>
        </w:rPr>
        <w:t>“</w:t>
      </w:r>
      <w:r w:rsidR="00914F06" w:rsidRPr="00415101">
        <w:rPr>
          <w:rFonts w:asciiTheme="minorHAnsi" w:hAnsiTheme="minorHAnsi"/>
          <w:color w:val="auto"/>
        </w:rPr>
        <w:t>A ten percent (10</w:t>
      </w:r>
      <w:r w:rsidR="00914F06">
        <w:rPr>
          <w:rFonts w:asciiTheme="minorHAnsi" w:hAnsiTheme="minorHAnsi"/>
          <w:color w:val="auto"/>
        </w:rPr>
        <w:t>%</w:t>
      </w:r>
      <w:r w:rsidR="00914F06" w:rsidRPr="00415101">
        <w:rPr>
          <w:rFonts w:asciiTheme="minorHAnsi" w:hAnsiTheme="minorHAnsi"/>
          <w:color w:val="auto"/>
        </w:rPr>
        <w:t>) rating does not ac</w:t>
      </w:r>
      <w:r w:rsidR="00914F06">
        <w:rPr>
          <w:rFonts w:asciiTheme="minorHAnsi" w:hAnsiTheme="minorHAnsi"/>
          <w:color w:val="auto"/>
        </w:rPr>
        <w:t>c</w:t>
      </w:r>
      <w:r w:rsidR="00914F06" w:rsidRPr="00415101">
        <w:rPr>
          <w:rFonts w:asciiTheme="minorHAnsi" w:hAnsiTheme="minorHAnsi"/>
          <w:color w:val="auto"/>
        </w:rPr>
        <w:t>urately reflect the limitations placed on me due to the pain I endure and the significant limitation in range</w:t>
      </w:r>
      <w:r w:rsidR="00914F06">
        <w:rPr>
          <w:rFonts w:asciiTheme="minorHAnsi" w:hAnsiTheme="minorHAnsi"/>
          <w:color w:val="auto"/>
        </w:rPr>
        <w:t xml:space="preserve"> </w:t>
      </w:r>
      <w:r w:rsidR="00914F06" w:rsidRPr="00415101">
        <w:rPr>
          <w:rFonts w:asciiTheme="minorHAnsi" w:hAnsiTheme="minorHAnsi"/>
          <w:color w:val="auto"/>
        </w:rPr>
        <w:t>of</w:t>
      </w:r>
      <w:r w:rsidR="00914F06">
        <w:rPr>
          <w:rFonts w:asciiTheme="minorHAnsi" w:hAnsiTheme="minorHAnsi"/>
          <w:color w:val="auto"/>
        </w:rPr>
        <w:t xml:space="preserve"> </w:t>
      </w:r>
      <w:r w:rsidR="00914F06" w:rsidRPr="00415101">
        <w:rPr>
          <w:rFonts w:asciiTheme="minorHAnsi" w:hAnsiTheme="minorHAnsi"/>
          <w:color w:val="auto"/>
        </w:rPr>
        <w:t>motion th</w:t>
      </w:r>
      <w:r w:rsidR="00914F06">
        <w:rPr>
          <w:rFonts w:asciiTheme="minorHAnsi" w:hAnsiTheme="minorHAnsi"/>
          <w:color w:val="auto"/>
        </w:rPr>
        <w:t xml:space="preserve">at </w:t>
      </w:r>
      <w:r w:rsidR="00914F06" w:rsidRPr="00415101">
        <w:rPr>
          <w:rFonts w:asciiTheme="minorHAnsi" w:hAnsiTheme="minorHAnsi"/>
          <w:color w:val="auto"/>
        </w:rPr>
        <w:t>I experience.</w:t>
      </w:r>
      <w:r w:rsidR="00914F06">
        <w:rPr>
          <w:rFonts w:asciiTheme="minorHAnsi" w:hAnsiTheme="minorHAnsi"/>
          <w:color w:val="auto"/>
        </w:rPr>
        <w:t xml:space="preserve"> </w:t>
      </w:r>
      <w:r w:rsidR="00914F06" w:rsidRPr="00415101">
        <w:rPr>
          <w:rFonts w:asciiTheme="minorHAnsi" w:hAnsiTheme="minorHAnsi"/>
          <w:color w:val="auto"/>
        </w:rPr>
        <w:t xml:space="preserve"> Please review my medical records, it is my</w:t>
      </w:r>
      <w:r w:rsidR="00914F06">
        <w:rPr>
          <w:rFonts w:asciiTheme="minorHAnsi" w:hAnsiTheme="minorHAnsi"/>
          <w:color w:val="auto"/>
        </w:rPr>
        <w:t xml:space="preserve"> </w:t>
      </w:r>
      <w:r w:rsidR="00914F06" w:rsidRPr="00415101">
        <w:rPr>
          <w:rFonts w:asciiTheme="minorHAnsi" w:hAnsiTheme="minorHAnsi"/>
          <w:color w:val="auto"/>
        </w:rPr>
        <w:t>opinion that they will illustrate that the initial rating was significantly</w:t>
      </w:r>
      <w:r w:rsidR="00914F06">
        <w:rPr>
          <w:rFonts w:asciiTheme="minorHAnsi" w:hAnsiTheme="minorHAnsi"/>
          <w:color w:val="auto"/>
        </w:rPr>
        <w:t xml:space="preserve"> </w:t>
      </w:r>
      <w:r w:rsidR="00914F06" w:rsidRPr="00415101">
        <w:rPr>
          <w:rFonts w:asciiTheme="minorHAnsi" w:hAnsiTheme="minorHAnsi"/>
          <w:color w:val="auto"/>
        </w:rPr>
        <w:t xml:space="preserve">lower than it should have been. </w:t>
      </w:r>
      <w:r w:rsidR="00914F06">
        <w:rPr>
          <w:rFonts w:asciiTheme="minorHAnsi" w:hAnsiTheme="minorHAnsi"/>
          <w:color w:val="auto"/>
        </w:rPr>
        <w:t xml:space="preserve"> </w:t>
      </w:r>
      <w:r w:rsidR="00914F06" w:rsidRPr="00415101">
        <w:rPr>
          <w:rFonts w:asciiTheme="minorHAnsi" w:hAnsiTheme="minorHAnsi"/>
          <w:color w:val="auto"/>
        </w:rPr>
        <w:t xml:space="preserve">And although I was diagnosed with sleep apnea (CPAP), and asthma it </w:t>
      </w:r>
      <w:r w:rsidR="000D73F8">
        <w:rPr>
          <w:rFonts w:asciiTheme="minorHAnsi" w:hAnsiTheme="minorHAnsi"/>
          <w:color w:val="auto"/>
        </w:rPr>
        <w:t>[</w:t>
      </w:r>
      <w:r w:rsidR="000D73F8" w:rsidRPr="000D73F8">
        <w:rPr>
          <w:rFonts w:asciiTheme="minorHAnsi" w:hAnsiTheme="minorHAnsi"/>
          <w:i/>
          <w:color w:val="auto"/>
        </w:rPr>
        <w:t>sic</w:t>
      </w:r>
      <w:r w:rsidR="000D73F8">
        <w:rPr>
          <w:rFonts w:asciiTheme="minorHAnsi" w:hAnsiTheme="minorHAnsi"/>
          <w:color w:val="auto"/>
        </w:rPr>
        <w:t>]</w:t>
      </w:r>
      <w:r w:rsidR="00914F06">
        <w:rPr>
          <w:rFonts w:asciiTheme="minorHAnsi" w:hAnsiTheme="minorHAnsi"/>
          <w:color w:val="auto"/>
        </w:rPr>
        <w:t xml:space="preserve"> </w:t>
      </w:r>
      <w:r w:rsidR="00914F06" w:rsidRPr="00415101">
        <w:rPr>
          <w:rFonts w:asciiTheme="minorHAnsi" w:hAnsiTheme="minorHAnsi"/>
          <w:color w:val="auto"/>
        </w:rPr>
        <w:t>was not considered</w:t>
      </w:r>
      <w:r w:rsidR="00914F06">
        <w:rPr>
          <w:rFonts w:asciiTheme="minorHAnsi" w:hAnsiTheme="minorHAnsi"/>
          <w:color w:val="auto"/>
        </w:rPr>
        <w:t xml:space="preserve">.”  </w:t>
      </w:r>
      <w:r w:rsidR="0071308A" w:rsidRPr="00914F06">
        <w:rPr>
          <w:rFonts w:asciiTheme="minorHAnsi" w:hAnsiTheme="minorHAnsi"/>
          <w:color w:val="auto"/>
          <w:szCs w:val="24"/>
        </w:rPr>
        <w:t>He</w:t>
      </w:r>
      <w:r w:rsidR="0071308A" w:rsidRPr="00A315F3">
        <w:rPr>
          <w:rFonts w:asciiTheme="minorHAnsi" w:hAnsiTheme="minorHAnsi"/>
          <w:color w:val="auto"/>
          <w:szCs w:val="24"/>
        </w:rPr>
        <w:t xml:space="preserve"> 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256" w:type="dxa"/>
        <w:jc w:val="center"/>
        <w:tblInd w:w="259" w:type="dxa"/>
        <w:tblLayout w:type="fixed"/>
        <w:tblLook w:val="04A0"/>
      </w:tblPr>
      <w:tblGrid>
        <w:gridCol w:w="2551"/>
        <w:gridCol w:w="810"/>
        <w:gridCol w:w="810"/>
        <w:gridCol w:w="2190"/>
        <w:gridCol w:w="1080"/>
        <w:gridCol w:w="810"/>
        <w:gridCol w:w="1005"/>
      </w:tblGrid>
      <w:tr w:rsidR="00191A51" w:rsidRPr="002A685E" w:rsidTr="006222C9">
        <w:trPr>
          <w:trHeight w:val="233"/>
          <w:jc w:val="center"/>
        </w:trPr>
        <w:tc>
          <w:tcPr>
            <w:tcW w:w="4171" w:type="dxa"/>
            <w:gridSpan w:val="3"/>
            <w:tcBorders>
              <w:right w:val="thinThickThinSmallGap" w:sz="24" w:space="0" w:color="auto"/>
            </w:tcBorders>
            <w:shd w:val="clear" w:color="auto" w:fill="D9D9D9" w:themeFill="background1" w:themeFillShade="D9"/>
          </w:tcPr>
          <w:p w:rsidR="00191A51" w:rsidRPr="0085089F" w:rsidRDefault="00191A51" w:rsidP="00914F06">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71308A" w:rsidRPr="00914F06">
              <w:rPr>
                <w:rFonts w:cs="Times New Roman"/>
                <w:b/>
                <w:sz w:val="20"/>
                <w:szCs w:val="20"/>
              </w:rPr>
              <w:t>I</w:t>
            </w:r>
            <w:r w:rsidRPr="0085089F">
              <w:rPr>
                <w:rFonts w:cs="Times New Roman"/>
                <w:b/>
                <w:sz w:val="20"/>
                <w:szCs w:val="20"/>
              </w:rPr>
              <w:t xml:space="preserve">PEB – Dated </w:t>
            </w:r>
            <w:r w:rsidR="00914F06">
              <w:rPr>
                <w:rFonts w:cs="Times New Roman"/>
                <w:b/>
                <w:sz w:val="20"/>
                <w:szCs w:val="20"/>
              </w:rPr>
              <w:t>20061201</w:t>
            </w:r>
          </w:p>
        </w:tc>
        <w:tc>
          <w:tcPr>
            <w:tcW w:w="5085" w:type="dxa"/>
            <w:gridSpan w:val="4"/>
            <w:tcBorders>
              <w:left w:val="thinThickThinSmallGap" w:sz="24" w:space="0" w:color="auto"/>
            </w:tcBorders>
            <w:shd w:val="clear" w:color="auto" w:fill="D9D9D9" w:themeFill="background1" w:themeFillShade="D9"/>
          </w:tcPr>
          <w:p w:rsidR="00191A51" w:rsidRPr="0085089F" w:rsidRDefault="00191A51" w:rsidP="00914F06">
            <w:pPr>
              <w:pStyle w:val="ListParagraph"/>
              <w:spacing w:after="0" w:line="240" w:lineRule="exact"/>
              <w:ind w:left="0"/>
              <w:jc w:val="center"/>
              <w:rPr>
                <w:rFonts w:cs="Times New Roman"/>
                <w:b/>
                <w:sz w:val="20"/>
                <w:szCs w:val="20"/>
              </w:rPr>
            </w:pPr>
            <w:r w:rsidRPr="0085089F">
              <w:rPr>
                <w:rFonts w:cs="Times New Roman"/>
                <w:b/>
                <w:sz w:val="20"/>
                <w:szCs w:val="20"/>
              </w:rPr>
              <w:t>VA (</w:t>
            </w:r>
            <w:r w:rsidR="00914F06">
              <w:rPr>
                <w:rFonts w:cs="Times New Roman"/>
                <w:b/>
                <w:sz w:val="20"/>
                <w:szCs w:val="20"/>
              </w:rPr>
              <w:t>2</w:t>
            </w:r>
            <w:r w:rsidR="0079000E">
              <w:rPr>
                <w:rFonts w:cs="Times New Roman"/>
                <w:b/>
                <w:sz w:val="20"/>
                <w:szCs w:val="20"/>
              </w:rPr>
              <w:t xml:space="preserve"> Mo. </w:t>
            </w:r>
            <w:r w:rsidR="0079000E" w:rsidRPr="00914F06">
              <w:rPr>
                <w:rFonts w:cs="Times New Roman"/>
                <w:b/>
                <w:sz w:val="20"/>
                <w:szCs w:val="20"/>
              </w:rPr>
              <w:t>A</w:t>
            </w:r>
            <w:r w:rsidRPr="00914F06">
              <w:rPr>
                <w:rFonts w:cs="Times New Roman"/>
                <w:b/>
                <w:sz w:val="20"/>
                <w:szCs w:val="20"/>
              </w:rPr>
              <w:t>fter</w:t>
            </w:r>
            <w:r w:rsidRPr="0085089F">
              <w:rPr>
                <w:rFonts w:cs="Times New Roman"/>
                <w:b/>
                <w:sz w:val="20"/>
                <w:szCs w:val="20"/>
              </w:rPr>
              <w:t xml:space="preserve"> Separation) – All Effective </w:t>
            </w:r>
            <w:r w:rsidR="00914F06">
              <w:rPr>
                <w:rFonts w:cs="Times New Roman"/>
                <w:b/>
                <w:sz w:val="20"/>
                <w:szCs w:val="20"/>
              </w:rPr>
              <w:t>20070123</w:t>
            </w:r>
          </w:p>
        </w:tc>
      </w:tr>
      <w:tr w:rsidR="00191A51" w:rsidRPr="002A685E" w:rsidTr="006222C9">
        <w:trPr>
          <w:trHeight w:val="224"/>
          <w:jc w:val="center"/>
        </w:trPr>
        <w:tc>
          <w:tcPr>
            <w:tcW w:w="2551"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190" w:type="dxa"/>
            <w:tcBorders>
              <w:left w:val="thinThickThinSmallGap" w:sz="24" w:space="0" w:color="auto"/>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05" w:type="dxa"/>
            <w:tcBorders>
              <w:bottom w:val="single" w:sz="4" w:space="0" w:color="000000" w:themeColor="text1"/>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91A51" w:rsidRPr="002A685E" w:rsidTr="006222C9">
        <w:trPr>
          <w:trHeight w:val="190"/>
          <w:jc w:val="center"/>
        </w:trPr>
        <w:tc>
          <w:tcPr>
            <w:tcW w:w="2551" w:type="dxa"/>
            <w:tcBorders>
              <w:bottom w:val="single" w:sz="4" w:space="0" w:color="auto"/>
              <w:right w:val="single" w:sz="4" w:space="0" w:color="auto"/>
            </w:tcBorders>
            <w:shd w:val="clear" w:color="auto" w:fill="FFFFFF" w:themeFill="background1"/>
            <w:vAlign w:val="center"/>
          </w:tcPr>
          <w:p w:rsidR="00D17740" w:rsidRPr="00BC3538" w:rsidRDefault="00914F06" w:rsidP="00191A51">
            <w:pPr>
              <w:pStyle w:val="ListParagraph"/>
              <w:spacing w:after="0" w:line="200" w:lineRule="exact"/>
              <w:ind w:left="0"/>
              <w:rPr>
                <w:rFonts w:cs="Times New Roman"/>
                <w:sz w:val="18"/>
                <w:szCs w:val="18"/>
              </w:rPr>
            </w:pPr>
            <w:r>
              <w:rPr>
                <w:rFonts w:cs="Times New Roman"/>
                <w:sz w:val="18"/>
                <w:szCs w:val="18"/>
              </w:rPr>
              <w:t>Degenerative Disc Disease</w:t>
            </w:r>
          </w:p>
        </w:tc>
        <w:tc>
          <w:tcPr>
            <w:tcW w:w="810" w:type="dxa"/>
            <w:tcBorders>
              <w:left w:val="single" w:sz="4" w:space="0" w:color="auto"/>
              <w:bottom w:val="single" w:sz="4" w:space="0" w:color="auto"/>
            </w:tcBorders>
            <w:shd w:val="clear" w:color="auto" w:fill="FFFFFF" w:themeFill="background1"/>
            <w:vAlign w:val="center"/>
          </w:tcPr>
          <w:p w:rsidR="00191A51" w:rsidRPr="00BC3538" w:rsidRDefault="00914F06" w:rsidP="00186D7F">
            <w:pPr>
              <w:pStyle w:val="ListParagraph"/>
              <w:spacing w:after="0" w:line="200" w:lineRule="exact"/>
              <w:ind w:left="0"/>
              <w:jc w:val="center"/>
              <w:rPr>
                <w:rFonts w:cs="Times New Roman"/>
                <w:sz w:val="18"/>
                <w:szCs w:val="18"/>
              </w:rPr>
            </w:pPr>
            <w:r>
              <w:rPr>
                <w:rFonts w:cs="Times New Roman"/>
                <w:sz w:val="18"/>
                <w:szCs w:val="18"/>
              </w:rPr>
              <w:t>5243</w:t>
            </w:r>
          </w:p>
        </w:tc>
        <w:tc>
          <w:tcPr>
            <w:tcW w:w="810" w:type="dxa"/>
            <w:tcBorders>
              <w:bottom w:val="single" w:sz="4" w:space="0" w:color="auto"/>
              <w:right w:val="thinThickThinSmallGap" w:sz="24" w:space="0" w:color="auto"/>
            </w:tcBorders>
            <w:shd w:val="clear" w:color="auto" w:fill="FFFFFF" w:themeFill="background1"/>
            <w:vAlign w:val="center"/>
          </w:tcPr>
          <w:p w:rsidR="00191A51" w:rsidRPr="00BC3538" w:rsidRDefault="00914F06"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190" w:type="dxa"/>
            <w:tcBorders>
              <w:left w:val="thinThickThinSmallGap" w:sz="24" w:space="0" w:color="auto"/>
              <w:bottom w:val="single" w:sz="4" w:space="0" w:color="auto"/>
            </w:tcBorders>
            <w:shd w:val="clear" w:color="auto" w:fill="FFFFFF" w:themeFill="background1"/>
            <w:vAlign w:val="center"/>
          </w:tcPr>
          <w:p w:rsidR="00191A51" w:rsidRPr="00BC3538" w:rsidRDefault="00914F06" w:rsidP="00D17740">
            <w:pPr>
              <w:pStyle w:val="ListParagraph"/>
              <w:spacing w:line="200" w:lineRule="exact"/>
              <w:ind w:left="0"/>
              <w:rPr>
                <w:rFonts w:cs="Times New Roman"/>
                <w:sz w:val="18"/>
                <w:szCs w:val="18"/>
              </w:rPr>
            </w:pPr>
            <w:r>
              <w:rPr>
                <w:rFonts w:cs="Times New Roman"/>
                <w:sz w:val="18"/>
                <w:szCs w:val="18"/>
              </w:rPr>
              <w:t>Degenerative Disc Disease</w:t>
            </w:r>
          </w:p>
        </w:tc>
        <w:tc>
          <w:tcPr>
            <w:tcW w:w="1080" w:type="dxa"/>
            <w:tcBorders>
              <w:bottom w:val="single" w:sz="4" w:space="0" w:color="auto"/>
            </w:tcBorders>
            <w:shd w:val="clear" w:color="auto" w:fill="FFFFFF" w:themeFill="background1"/>
          </w:tcPr>
          <w:p w:rsidR="00191A51" w:rsidRPr="00BC3538" w:rsidRDefault="00914F06" w:rsidP="00191A51">
            <w:pPr>
              <w:pStyle w:val="ListParagraph"/>
              <w:spacing w:after="0" w:line="200" w:lineRule="exact"/>
              <w:ind w:left="0"/>
              <w:jc w:val="center"/>
              <w:rPr>
                <w:rFonts w:cs="Times New Roman"/>
                <w:sz w:val="18"/>
                <w:szCs w:val="18"/>
              </w:rPr>
            </w:pPr>
            <w:r>
              <w:rPr>
                <w:rFonts w:cs="Times New Roman"/>
                <w:sz w:val="18"/>
                <w:szCs w:val="18"/>
              </w:rPr>
              <w:t>5242-5237</w:t>
            </w:r>
          </w:p>
        </w:tc>
        <w:tc>
          <w:tcPr>
            <w:tcW w:w="810" w:type="dxa"/>
            <w:tcBorders>
              <w:bottom w:val="single" w:sz="4" w:space="0" w:color="auto"/>
            </w:tcBorders>
            <w:shd w:val="clear" w:color="auto" w:fill="FFFFFF" w:themeFill="background1"/>
          </w:tcPr>
          <w:p w:rsidR="00191A51" w:rsidRPr="00542C9A" w:rsidRDefault="00914F06"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05" w:type="dxa"/>
            <w:tcBorders>
              <w:bottom w:val="single" w:sz="4" w:space="0" w:color="auto"/>
            </w:tcBorders>
            <w:shd w:val="clear" w:color="auto" w:fill="FFFFFF" w:themeFill="background1"/>
          </w:tcPr>
          <w:p w:rsidR="00191A51" w:rsidRPr="00542C9A" w:rsidRDefault="00914F06" w:rsidP="00191A51">
            <w:pPr>
              <w:pStyle w:val="ListParagraph"/>
              <w:spacing w:after="0" w:line="200" w:lineRule="exact"/>
              <w:ind w:left="0"/>
              <w:jc w:val="center"/>
              <w:rPr>
                <w:rFonts w:cs="Times New Roman"/>
                <w:sz w:val="18"/>
                <w:szCs w:val="18"/>
              </w:rPr>
            </w:pPr>
            <w:r>
              <w:rPr>
                <w:rFonts w:cs="Times New Roman"/>
                <w:sz w:val="18"/>
                <w:szCs w:val="18"/>
              </w:rPr>
              <w:t>20070309</w:t>
            </w:r>
          </w:p>
        </w:tc>
      </w:tr>
      <w:tr w:rsidR="00914F06" w:rsidRPr="002A685E" w:rsidTr="006222C9">
        <w:trPr>
          <w:trHeight w:val="197"/>
          <w:jc w:val="center"/>
        </w:trPr>
        <w:tc>
          <w:tcPr>
            <w:tcW w:w="2551" w:type="dxa"/>
            <w:tcBorders>
              <w:top w:val="single" w:sz="4" w:space="0" w:color="auto"/>
              <w:bottom w:val="single" w:sz="4" w:space="0" w:color="auto"/>
              <w:right w:val="single" w:sz="4" w:space="0" w:color="auto"/>
            </w:tcBorders>
            <w:shd w:val="clear" w:color="auto" w:fill="FFFFFF" w:themeFill="background1"/>
          </w:tcPr>
          <w:p w:rsidR="00914F06" w:rsidRDefault="00914F06" w:rsidP="00A875E7">
            <w:pPr>
              <w:pStyle w:val="ListParagraph"/>
              <w:spacing w:after="0" w:line="200" w:lineRule="exact"/>
              <w:ind w:left="0"/>
              <w:rPr>
                <w:rFonts w:cs="Times New Roman"/>
                <w:sz w:val="18"/>
                <w:szCs w:val="18"/>
              </w:rPr>
            </w:pPr>
            <w:r>
              <w:rPr>
                <w:rFonts w:cs="Times New Roman"/>
                <w:sz w:val="18"/>
                <w:szCs w:val="18"/>
              </w:rPr>
              <w:t>Asthma</w:t>
            </w:r>
          </w:p>
        </w:tc>
        <w:tc>
          <w:tcPr>
            <w:tcW w:w="1620" w:type="dxa"/>
            <w:gridSpan w:val="2"/>
            <w:tcBorders>
              <w:top w:val="single" w:sz="4" w:space="0" w:color="auto"/>
              <w:bottom w:val="single" w:sz="4" w:space="0" w:color="auto"/>
              <w:right w:val="thinThickThinSmallGap" w:sz="24" w:space="0" w:color="auto"/>
            </w:tcBorders>
            <w:shd w:val="clear" w:color="auto" w:fill="FFFFFF" w:themeFill="background1"/>
          </w:tcPr>
          <w:p w:rsidR="00914F06" w:rsidRDefault="00914F06" w:rsidP="00A875E7">
            <w:pPr>
              <w:pStyle w:val="ListParagraph"/>
              <w:spacing w:after="0" w:line="200" w:lineRule="exact"/>
              <w:ind w:left="0"/>
              <w:jc w:val="center"/>
              <w:rPr>
                <w:rFonts w:cs="Times New Roman"/>
                <w:sz w:val="18"/>
                <w:szCs w:val="18"/>
              </w:rPr>
            </w:pPr>
            <w:r>
              <w:rPr>
                <w:rFonts w:cs="Times New Roman"/>
                <w:sz w:val="18"/>
                <w:szCs w:val="18"/>
              </w:rPr>
              <w:t>Cat II</w:t>
            </w:r>
          </w:p>
        </w:tc>
        <w:tc>
          <w:tcPr>
            <w:tcW w:w="2190" w:type="dxa"/>
            <w:tcBorders>
              <w:top w:val="single" w:sz="4" w:space="0" w:color="auto"/>
              <w:left w:val="thinThickThinSmallGap" w:sz="24" w:space="0" w:color="auto"/>
            </w:tcBorders>
            <w:shd w:val="clear" w:color="auto" w:fill="FFFFFF" w:themeFill="background1"/>
            <w:vAlign w:val="center"/>
          </w:tcPr>
          <w:p w:rsidR="00914F06" w:rsidRPr="00BC3538" w:rsidRDefault="00914F06" w:rsidP="00191A51">
            <w:pPr>
              <w:pStyle w:val="ListParagraph"/>
              <w:spacing w:after="0" w:line="200" w:lineRule="exact"/>
              <w:ind w:left="0"/>
              <w:rPr>
                <w:rFonts w:cs="Times New Roman"/>
                <w:sz w:val="18"/>
                <w:szCs w:val="18"/>
              </w:rPr>
            </w:pPr>
            <w:r>
              <w:rPr>
                <w:rFonts w:cs="Times New Roman"/>
                <w:sz w:val="18"/>
                <w:szCs w:val="18"/>
              </w:rPr>
              <w:t>Asthma</w:t>
            </w:r>
          </w:p>
        </w:tc>
        <w:tc>
          <w:tcPr>
            <w:tcW w:w="1080" w:type="dxa"/>
            <w:tcBorders>
              <w:top w:val="single" w:sz="4" w:space="0" w:color="auto"/>
            </w:tcBorders>
            <w:shd w:val="clear" w:color="auto" w:fill="FFFFFF" w:themeFill="background1"/>
            <w:vAlign w:val="center"/>
          </w:tcPr>
          <w:p w:rsidR="00914F06" w:rsidRPr="00BC3538" w:rsidRDefault="00914F06" w:rsidP="00191A51">
            <w:pPr>
              <w:pStyle w:val="ListParagraph"/>
              <w:spacing w:after="0" w:line="200" w:lineRule="exact"/>
              <w:ind w:left="0"/>
              <w:jc w:val="center"/>
              <w:rPr>
                <w:rFonts w:cs="Times New Roman"/>
                <w:sz w:val="18"/>
                <w:szCs w:val="18"/>
              </w:rPr>
            </w:pPr>
            <w:r>
              <w:rPr>
                <w:rFonts w:cs="Times New Roman"/>
                <w:sz w:val="18"/>
                <w:szCs w:val="18"/>
              </w:rPr>
              <w:t>6602</w:t>
            </w:r>
          </w:p>
        </w:tc>
        <w:tc>
          <w:tcPr>
            <w:tcW w:w="810" w:type="dxa"/>
            <w:tcBorders>
              <w:top w:val="single" w:sz="4" w:space="0" w:color="auto"/>
            </w:tcBorders>
            <w:shd w:val="clear" w:color="auto" w:fill="FFFFFF" w:themeFill="background1"/>
            <w:vAlign w:val="center"/>
          </w:tcPr>
          <w:p w:rsidR="00914F06" w:rsidRPr="00542C9A" w:rsidRDefault="00914F06" w:rsidP="00191A51">
            <w:pPr>
              <w:pStyle w:val="ListParagraph"/>
              <w:spacing w:after="0" w:line="200" w:lineRule="exact"/>
              <w:ind w:left="0"/>
              <w:jc w:val="center"/>
              <w:rPr>
                <w:rFonts w:cs="Times New Roman"/>
                <w:sz w:val="18"/>
                <w:szCs w:val="18"/>
              </w:rPr>
            </w:pPr>
            <w:r>
              <w:rPr>
                <w:rFonts w:cs="Times New Roman"/>
                <w:sz w:val="18"/>
                <w:szCs w:val="18"/>
              </w:rPr>
              <w:t>30%</w:t>
            </w:r>
          </w:p>
        </w:tc>
        <w:tc>
          <w:tcPr>
            <w:tcW w:w="1005" w:type="dxa"/>
            <w:tcBorders>
              <w:top w:val="single" w:sz="4" w:space="0" w:color="auto"/>
            </w:tcBorders>
            <w:shd w:val="clear" w:color="auto" w:fill="FFFFFF" w:themeFill="background1"/>
            <w:vAlign w:val="center"/>
          </w:tcPr>
          <w:p w:rsidR="00914F06" w:rsidRPr="00542C9A" w:rsidRDefault="00914F06" w:rsidP="00191A51">
            <w:pPr>
              <w:pStyle w:val="ListParagraph"/>
              <w:spacing w:after="0" w:line="200" w:lineRule="exact"/>
              <w:ind w:left="0"/>
              <w:jc w:val="center"/>
              <w:rPr>
                <w:rFonts w:cs="Times New Roman"/>
                <w:sz w:val="18"/>
                <w:szCs w:val="18"/>
              </w:rPr>
            </w:pPr>
            <w:r>
              <w:rPr>
                <w:rFonts w:cs="Times New Roman"/>
                <w:sz w:val="18"/>
                <w:szCs w:val="18"/>
              </w:rPr>
              <w:t>20070309</w:t>
            </w:r>
          </w:p>
        </w:tc>
      </w:tr>
      <w:tr w:rsidR="006222C9" w:rsidRPr="002A685E" w:rsidTr="006222C9">
        <w:trPr>
          <w:trHeight w:val="197"/>
          <w:jc w:val="center"/>
        </w:trPr>
        <w:tc>
          <w:tcPr>
            <w:tcW w:w="2551" w:type="dxa"/>
            <w:tcBorders>
              <w:top w:val="single" w:sz="4" w:space="0" w:color="auto"/>
              <w:bottom w:val="single" w:sz="4" w:space="0" w:color="auto"/>
              <w:right w:val="single" w:sz="4" w:space="0" w:color="auto"/>
            </w:tcBorders>
            <w:shd w:val="clear" w:color="auto" w:fill="FFFFFF" w:themeFill="background1"/>
          </w:tcPr>
          <w:p w:rsidR="006222C9" w:rsidRDefault="006222C9" w:rsidP="00A875E7">
            <w:pPr>
              <w:pStyle w:val="ListParagraph"/>
              <w:spacing w:after="0" w:line="200" w:lineRule="exact"/>
              <w:ind w:left="0"/>
              <w:rPr>
                <w:rFonts w:cs="Times New Roman"/>
                <w:sz w:val="18"/>
                <w:szCs w:val="18"/>
              </w:rPr>
            </w:pPr>
            <w:r>
              <w:rPr>
                <w:rFonts w:cs="Times New Roman"/>
                <w:sz w:val="18"/>
                <w:szCs w:val="18"/>
              </w:rPr>
              <w:t>Overweight, BMI 29</w:t>
            </w:r>
          </w:p>
        </w:tc>
        <w:tc>
          <w:tcPr>
            <w:tcW w:w="1620" w:type="dxa"/>
            <w:gridSpan w:val="2"/>
            <w:tcBorders>
              <w:top w:val="single" w:sz="4" w:space="0" w:color="auto"/>
              <w:bottom w:val="single" w:sz="4" w:space="0" w:color="auto"/>
              <w:right w:val="thinThickThinSmallGap" w:sz="24" w:space="0" w:color="auto"/>
            </w:tcBorders>
            <w:shd w:val="clear" w:color="auto" w:fill="FFFFFF" w:themeFill="background1"/>
          </w:tcPr>
          <w:p w:rsidR="006222C9" w:rsidRDefault="006222C9" w:rsidP="00914F06">
            <w:pPr>
              <w:pStyle w:val="ListParagraph"/>
              <w:spacing w:after="0" w:line="200" w:lineRule="exact"/>
              <w:ind w:left="0"/>
              <w:jc w:val="center"/>
              <w:rPr>
                <w:rFonts w:cs="Times New Roman"/>
                <w:sz w:val="18"/>
                <w:szCs w:val="18"/>
              </w:rPr>
            </w:pPr>
            <w:r>
              <w:rPr>
                <w:rFonts w:cs="Times New Roman"/>
                <w:sz w:val="18"/>
                <w:szCs w:val="18"/>
              </w:rPr>
              <w:t>Cat III</w:t>
            </w:r>
          </w:p>
        </w:tc>
        <w:tc>
          <w:tcPr>
            <w:tcW w:w="5085" w:type="dxa"/>
            <w:gridSpan w:val="4"/>
            <w:tcBorders>
              <w:top w:val="single" w:sz="4" w:space="0" w:color="auto"/>
              <w:left w:val="thinThickThinSmallGap" w:sz="24" w:space="0" w:color="auto"/>
            </w:tcBorders>
            <w:shd w:val="clear" w:color="auto" w:fill="FFFFFF" w:themeFill="background1"/>
            <w:vAlign w:val="center"/>
          </w:tcPr>
          <w:p w:rsidR="006222C9" w:rsidRPr="00542C9A" w:rsidRDefault="006222C9" w:rsidP="006222C9">
            <w:pPr>
              <w:pStyle w:val="ListParagraph"/>
              <w:spacing w:after="0" w:line="200" w:lineRule="exact"/>
              <w:ind w:left="0"/>
              <w:jc w:val="center"/>
              <w:rPr>
                <w:rFonts w:cs="Times New Roman"/>
                <w:sz w:val="18"/>
                <w:szCs w:val="18"/>
              </w:rPr>
            </w:pPr>
            <w:r>
              <w:rPr>
                <w:rFonts w:cs="Times New Roman"/>
                <w:sz w:val="18"/>
                <w:szCs w:val="18"/>
              </w:rPr>
              <w:t>No VA Entry</w:t>
            </w:r>
          </w:p>
        </w:tc>
      </w:tr>
      <w:tr w:rsidR="00914F06" w:rsidRPr="002A685E" w:rsidTr="006222C9">
        <w:trPr>
          <w:trHeight w:val="197"/>
          <w:jc w:val="center"/>
        </w:trPr>
        <w:tc>
          <w:tcPr>
            <w:tcW w:w="2551" w:type="dxa"/>
            <w:tcBorders>
              <w:top w:val="single" w:sz="4" w:space="0" w:color="auto"/>
              <w:bottom w:val="single" w:sz="4" w:space="0" w:color="auto"/>
              <w:right w:val="single" w:sz="4" w:space="0" w:color="auto"/>
            </w:tcBorders>
            <w:shd w:val="clear" w:color="auto" w:fill="FFFFFF" w:themeFill="background1"/>
          </w:tcPr>
          <w:p w:rsidR="00914F06" w:rsidRDefault="00914F06" w:rsidP="00A875E7">
            <w:pPr>
              <w:pStyle w:val="ListParagraph"/>
              <w:spacing w:after="0" w:line="200" w:lineRule="exact"/>
              <w:ind w:left="0"/>
              <w:rPr>
                <w:rFonts w:cs="Times New Roman"/>
                <w:sz w:val="18"/>
                <w:szCs w:val="18"/>
              </w:rPr>
            </w:pPr>
            <w:r>
              <w:rPr>
                <w:rFonts w:cs="Times New Roman"/>
                <w:sz w:val="18"/>
                <w:szCs w:val="18"/>
              </w:rPr>
              <w:t>Adjustment Disorder</w:t>
            </w:r>
          </w:p>
        </w:tc>
        <w:tc>
          <w:tcPr>
            <w:tcW w:w="1620" w:type="dxa"/>
            <w:gridSpan w:val="2"/>
            <w:tcBorders>
              <w:top w:val="single" w:sz="4" w:space="0" w:color="auto"/>
              <w:bottom w:val="single" w:sz="4" w:space="0" w:color="auto"/>
              <w:right w:val="thinThickThinSmallGap" w:sz="24" w:space="0" w:color="auto"/>
            </w:tcBorders>
            <w:shd w:val="clear" w:color="auto" w:fill="FFFFFF" w:themeFill="background1"/>
          </w:tcPr>
          <w:p w:rsidR="00914F06" w:rsidRDefault="00914F06" w:rsidP="00914F06">
            <w:pPr>
              <w:pStyle w:val="ListParagraph"/>
              <w:spacing w:after="0" w:line="200" w:lineRule="exact"/>
              <w:ind w:left="0"/>
              <w:jc w:val="center"/>
              <w:rPr>
                <w:rFonts w:cs="Times New Roman"/>
                <w:sz w:val="18"/>
                <w:szCs w:val="18"/>
              </w:rPr>
            </w:pPr>
            <w:r>
              <w:rPr>
                <w:rFonts w:cs="Times New Roman"/>
                <w:sz w:val="18"/>
                <w:szCs w:val="18"/>
              </w:rPr>
              <w:t>Cat III</w:t>
            </w:r>
          </w:p>
        </w:tc>
        <w:tc>
          <w:tcPr>
            <w:tcW w:w="2190" w:type="dxa"/>
            <w:tcBorders>
              <w:top w:val="single" w:sz="4" w:space="0" w:color="auto"/>
              <w:left w:val="thinThickThinSmallGap" w:sz="24" w:space="0" w:color="auto"/>
            </w:tcBorders>
            <w:shd w:val="clear" w:color="auto" w:fill="FFFFFF" w:themeFill="background1"/>
            <w:vAlign w:val="center"/>
          </w:tcPr>
          <w:p w:rsidR="00914F06" w:rsidRDefault="007C4780" w:rsidP="00191A51">
            <w:pPr>
              <w:pStyle w:val="ListParagraph"/>
              <w:spacing w:after="0" w:line="200" w:lineRule="exact"/>
              <w:ind w:left="0"/>
              <w:rPr>
                <w:rFonts w:cs="Times New Roman"/>
                <w:sz w:val="18"/>
                <w:szCs w:val="18"/>
              </w:rPr>
            </w:pPr>
            <w:r>
              <w:rPr>
                <w:rFonts w:cs="Times New Roman"/>
                <w:sz w:val="18"/>
                <w:szCs w:val="18"/>
              </w:rPr>
              <w:t>Anxiety Disorder</w:t>
            </w:r>
          </w:p>
        </w:tc>
        <w:tc>
          <w:tcPr>
            <w:tcW w:w="1080" w:type="dxa"/>
            <w:tcBorders>
              <w:top w:val="single" w:sz="4" w:space="0" w:color="auto"/>
            </w:tcBorders>
            <w:shd w:val="clear" w:color="auto" w:fill="FFFFFF" w:themeFill="background1"/>
            <w:vAlign w:val="center"/>
          </w:tcPr>
          <w:p w:rsidR="00914F06" w:rsidRPr="00BC3538" w:rsidRDefault="007C4780" w:rsidP="00191A51">
            <w:pPr>
              <w:pStyle w:val="ListParagraph"/>
              <w:spacing w:after="0" w:line="200" w:lineRule="exact"/>
              <w:ind w:left="0"/>
              <w:jc w:val="center"/>
              <w:rPr>
                <w:rFonts w:cs="Times New Roman"/>
                <w:sz w:val="18"/>
                <w:szCs w:val="18"/>
              </w:rPr>
            </w:pPr>
            <w:r>
              <w:rPr>
                <w:rFonts w:cs="Times New Roman"/>
                <w:sz w:val="18"/>
                <w:szCs w:val="18"/>
              </w:rPr>
              <w:t>9413</w:t>
            </w:r>
          </w:p>
        </w:tc>
        <w:tc>
          <w:tcPr>
            <w:tcW w:w="810" w:type="dxa"/>
            <w:tcBorders>
              <w:top w:val="single" w:sz="4" w:space="0" w:color="auto"/>
            </w:tcBorders>
            <w:shd w:val="clear" w:color="auto" w:fill="FFFFFF" w:themeFill="background1"/>
            <w:vAlign w:val="center"/>
          </w:tcPr>
          <w:p w:rsidR="00914F06" w:rsidRPr="00542C9A" w:rsidRDefault="007C4780"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05" w:type="dxa"/>
            <w:tcBorders>
              <w:top w:val="single" w:sz="4" w:space="0" w:color="auto"/>
            </w:tcBorders>
            <w:shd w:val="clear" w:color="auto" w:fill="FFFFFF" w:themeFill="background1"/>
            <w:vAlign w:val="center"/>
          </w:tcPr>
          <w:p w:rsidR="00914F06" w:rsidRPr="00542C9A" w:rsidRDefault="007C4780" w:rsidP="00191A51">
            <w:pPr>
              <w:pStyle w:val="ListParagraph"/>
              <w:spacing w:after="0" w:line="200" w:lineRule="exact"/>
              <w:ind w:left="0"/>
              <w:jc w:val="center"/>
              <w:rPr>
                <w:rFonts w:cs="Times New Roman"/>
                <w:sz w:val="18"/>
                <w:szCs w:val="18"/>
              </w:rPr>
            </w:pPr>
            <w:r>
              <w:rPr>
                <w:rFonts w:cs="Times New Roman"/>
                <w:sz w:val="18"/>
                <w:szCs w:val="18"/>
              </w:rPr>
              <w:t>20070324</w:t>
            </w:r>
          </w:p>
        </w:tc>
      </w:tr>
      <w:tr w:rsidR="00FF4ED6" w:rsidRPr="002A685E" w:rsidTr="006222C9">
        <w:trPr>
          <w:trHeight w:val="143"/>
          <w:jc w:val="center"/>
        </w:trPr>
        <w:tc>
          <w:tcPr>
            <w:tcW w:w="4171"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190" w:type="dxa"/>
            <w:tcBorders>
              <w:left w:val="thinThickThinSmallGap" w:sz="24" w:space="0" w:color="auto"/>
            </w:tcBorders>
            <w:shd w:val="clear" w:color="auto" w:fill="FFFFFF" w:themeFill="background1"/>
          </w:tcPr>
          <w:p w:rsidR="00FF4ED6" w:rsidRPr="00BC3538" w:rsidRDefault="007C4780" w:rsidP="001239FC">
            <w:pPr>
              <w:pStyle w:val="ListParagraph"/>
              <w:spacing w:after="0" w:line="200" w:lineRule="exact"/>
              <w:ind w:left="0"/>
              <w:rPr>
                <w:rFonts w:cs="Times New Roman"/>
                <w:sz w:val="18"/>
                <w:szCs w:val="18"/>
              </w:rPr>
            </w:pPr>
            <w:r>
              <w:rPr>
                <w:rFonts w:cs="Times New Roman"/>
                <w:sz w:val="18"/>
                <w:szCs w:val="18"/>
              </w:rPr>
              <w:t>Obstructive Sleep Apnea</w:t>
            </w:r>
          </w:p>
        </w:tc>
        <w:tc>
          <w:tcPr>
            <w:tcW w:w="1080" w:type="dxa"/>
            <w:tcBorders>
              <w:right w:val="single" w:sz="4" w:space="0" w:color="auto"/>
            </w:tcBorders>
            <w:shd w:val="clear" w:color="auto" w:fill="FFFFFF" w:themeFill="background1"/>
          </w:tcPr>
          <w:p w:rsidR="00FF4ED6" w:rsidRPr="00BC3538" w:rsidRDefault="007C4780" w:rsidP="00186D7F">
            <w:pPr>
              <w:pStyle w:val="ListParagraph"/>
              <w:spacing w:after="0" w:line="200" w:lineRule="exact"/>
              <w:ind w:left="0"/>
              <w:jc w:val="center"/>
              <w:rPr>
                <w:rFonts w:cs="Times New Roman"/>
                <w:sz w:val="18"/>
                <w:szCs w:val="18"/>
              </w:rPr>
            </w:pPr>
            <w:r>
              <w:rPr>
                <w:rFonts w:cs="Times New Roman"/>
                <w:sz w:val="18"/>
                <w:szCs w:val="18"/>
              </w:rPr>
              <w:t>6847</w:t>
            </w:r>
          </w:p>
        </w:tc>
        <w:tc>
          <w:tcPr>
            <w:tcW w:w="810" w:type="dxa"/>
            <w:tcBorders>
              <w:left w:val="single" w:sz="4" w:space="0" w:color="auto"/>
            </w:tcBorders>
            <w:shd w:val="clear" w:color="auto" w:fill="FFFFFF" w:themeFill="background1"/>
          </w:tcPr>
          <w:p w:rsidR="00FF4ED6" w:rsidRPr="00542C9A" w:rsidRDefault="007C4780" w:rsidP="0071308A">
            <w:pPr>
              <w:pStyle w:val="ListParagraph"/>
              <w:spacing w:after="0" w:line="200" w:lineRule="exact"/>
              <w:ind w:left="0"/>
              <w:jc w:val="center"/>
              <w:rPr>
                <w:rFonts w:cs="Times New Roman"/>
                <w:sz w:val="18"/>
                <w:szCs w:val="18"/>
              </w:rPr>
            </w:pPr>
            <w:r>
              <w:rPr>
                <w:rFonts w:cs="Times New Roman"/>
                <w:sz w:val="18"/>
                <w:szCs w:val="18"/>
              </w:rPr>
              <w:t>50%</w:t>
            </w:r>
          </w:p>
        </w:tc>
        <w:tc>
          <w:tcPr>
            <w:tcW w:w="1005" w:type="dxa"/>
            <w:shd w:val="clear" w:color="auto" w:fill="FFFFFF" w:themeFill="background1"/>
          </w:tcPr>
          <w:p w:rsidR="00FF4ED6" w:rsidRPr="00542C9A" w:rsidRDefault="007C4780" w:rsidP="00CA0A57">
            <w:pPr>
              <w:pStyle w:val="ListParagraph"/>
              <w:spacing w:after="0" w:line="200" w:lineRule="exact"/>
              <w:ind w:left="0"/>
              <w:jc w:val="center"/>
              <w:rPr>
                <w:rFonts w:cs="Times New Roman"/>
                <w:sz w:val="18"/>
                <w:szCs w:val="18"/>
              </w:rPr>
            </w:pPr>
            <w:r>
              <w:rPr>
                <w:rFonts w:cs="Times New Roman"/>
                <w:sz w:val="18"/>
                <w:szCs w:val="18"/>
              </w:rPr>
              <w:t>20070309</w:t>
            </w:r>
          </w:p>
        </w:tc>
      </w:tr>
      <w:tr w:rsidR="00FF4ED6" w:rsidRPr="002A685E" w:rsidTr="006222C9">
        <w:trPr>
          <w:trHeight w:val="161"/>
          <w:jc w:val="center"/>
        </w:trPr>
        <w:tc>
          <w:tcPr>
            <w:tcW w:w="4171"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line="240" w:lineRule="exact"/>
              <w:ind w:left="0"/>
              <w:jc w:val="center"/>
              <w:rPr>
                <w:rFonts w:cs="Times New Roman"/>
                <w:sz w:val="18"/>
                <w:szCs w:val="18"/>
                <w:highlight w:val="yellow"/>
              </w:rPr>
            </w:pPr>
          </w:p>
        </w:tc>
        <w:tc>
          <w:tcPr>
            <w:tcW w:w="2190" w:type="dxa"/>
            <w:tcBorders>
              <w:left w:val="thinThickThinSmallGap" w:sz="24" w:space="0" w:color="auto"/>
              <w:right w:val="single" w:sz="4" w:space="0" w:color="auto"/>
            </w:tcBorders>
            <w:shd w:val="clear" w:color="auto" w:fill="FFFFFF" w:themeFill="background1"/>
            <w:vAlign w:val="center"/>
          </w:tcPr>
          <w:p w:rsidR="00FF4ED6" w:rsidRDefault="007C4780" w:rsidP="00191A51">
            <w:pPr>
              <w:pStyle w:val="ListParagraph"/>
              <w:spacing w:after="0" w:line="200" w:lineRule="exact"/>
              <w:ind w:left="0"/>
              <w:rPr>
                <w:rFonts w:cs="Times New Roman"/>
                <w:sz w:val="18"/>
                <w:szCs w:val="18"/>
              </w:rPr>
            </w:pPr>
            <w:r>
              <w:rPr>
                <w:rFonts w:cs="Times New Roman"/>
                <w:sz w:val="18"/>
                <w:szCs w:val="18"/>
              </w:rPr>
              <w:t>Bilateral Tinnitus</w:t>
            </w:r>
          </w:p>
        </w:tc>
        <w:tc>
          <w:tcPr>
            <w:tcW w:w="1080" w:type="dxa"/>
            <w:tcBorders>
              <w:left w:val="single" w:sz="4" w:space="0" w:color="auto"/>
              <w:right w:val="single" w:sz="4" w:space="0" w:color="auto"/>
            </w:tcBorders>
            <w:shd w:val="clear" w:color="auto" w:fill="FFFFFF" w:themeFill="background1"/>
            <w:vAlign w:val="center"/>
          </w:tcPr>
          <w:p w:rsidR="00FF4ED6" w:rsidRDefault="007C4780" w:rsidP="00191A51">
            <w:pPr>
              <w:pStyle w:val="ListParagraph"/>
              <w:spacing w:after="0" w:line="200" w:lineRule="exact"/>
              <w:ind w:left="0"/>
              <w:jc w:val="center"/>
              <w:rPr>
                <w:rFonts w:cs="Times New Roman"/>
                <w:sz w:val="18"/>
                <w:szCs w:val="18"/>
              </w:rPr>
            </w:pPr>
            <w:r>
              <w:rPr>
                <w:rFonts w:cs="Times New Roman"/>
                <w:sz w:val="18"/>
                <w:szCs w:val="18"/>
              </w:rPr>
              <w:t>6260</w:t>
            </w:r>
          </w:p>
        </w:tc>
        <w:tc>
          <w:tcPr>
            <w:tcW w:w="810" w:type="dxa"/>
            <w:tcBorders>
              <w:left w:val="single" w:sz="4" w:space="0" w:color="auto"/>
            </w:tcBorders>
            <w:shd w:val="clear" w:color="auto" w:fill="FFFFFF" w:themeFill="background1"/>
            <w:vAlign w:val="center"/>
          </w:tcPr>
          <w:p w:rsidR="00FF4ED6" w:rsidRDefault="007C4780"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05" w:type="dxa"/>
            <w:shd w:val="clear" w:color="auto" w:fill="FFFFFF" w:themeFill="background1"/>
            <w:vAlign w:val="center"/>
          </w:tcPr>
          <w:p w:rsidR="00FF4ED6" w:rsidRPr="00542C9A" w:rsidRDefault="007C4780" w:rsidP="007C4780">
            <w:pPr>
              <w:pStyle w:val="ListParagraph"/>
              <w:spacing w:after="0" w:line="200" w:lineRule="exact"/>
              <w:ind w:left="0"/>
              <w:jc w:val="center"/>
              <w:rPr>
                <w:rFonts w:cs="Times New Roman"/>
                <w:sz w:val="18"/>
                <w:szCs w:val="18"/>
              </w:rPr>
            </w:pPr>
            <w:r>
              <w:rPr>
                <w:rFonts w:cs="Times New Roman"/>
                <w:sz w:val="18"/>
                <w:szCs w:val="18"/>
              </w:rPr>
              <w:t>20070324</w:t>
            </w:r>
          </w:p>
        </w:tc>
      </w:tr>
      <w:tr w:rsidR="00FF4ED6" w:rsidRPr="002A685E" w:rsidTr="006222C9">
        <w:trPr>
          <w:trHeight w:val="170"/>
          <w:jc w:val="center"/>
        </w:trPr>
        <w:tc>
          <w:tcPr>
            <w:tcW w:w="4171"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2190" w:type="dxa"/>
            <w:tcBorders>
              <w:left w:val="thinThickThinSmallGap" w:sz="24" w:space="0" w:color="auto"/>
              <w:right w:val="single" w:sz="4" w:space="0" w:color="auto"/>
            </w:tcBorders>
            <w:shd w:val="clear" w:color="auto" w:fill="FFFFFF" w:themeFill="background1"/>
            <w:vAlign w:val="center"/>
          </w:tcPr>
          <w:p w:rsidR="00FF4ED6" w:rsidRDefault="007C4780" w:rsidP="006222C9">
            <w:pPr>
              <w:pStyle w:val="ListParagraph"/>
              <w:spacing w:after="0" w:line="200" w:lineRule="exact"/>
              <w:ind w:left="0"/>
              <w:rPr>
                <w:rFonts w:cs="Times New Roman"/>
                <w:sz w:val="18"/>
                <w:szCs w:val="18"/>
              </w:rPr>
            </w:pPr>
            <w:r>
              <w:rPr>
                <w:rFonts w:cs="Times New Roman"/>
                <w:sz w:val="18"/>
                <w:szCs w:val="18"/>
              </w:rPr>
              <w:t>L</w:t>
            </w:r>
            <w:r w:rsidR="006222C9">
              <w:rPr>
                <w:rFonts w:cs="Times New Roman"/>
                <w:sz w:val="18"/>
                <w:szCs w:val="18"/>
              </w:rPr>
              <w:t>eft</w:t>
            </w:r>
            <w:r>
              <w:rPr>
                <w:rFonts w:cs="Times New Roman"/>
                <w:sz w:val="18"/>
                <w:szCs w:val="18"/>
              </w:rPr>
              <w:t xml:space="preserve"> Knee Patellofemoral Synd</w:t>
            </w:r>
            <w:r w:rsidR="006222C9">
              <w:rPr>
                <w:rFonts w:cs="Times New Roman"/>
                <w:sz w:val="18"/>
                <w:szCs w:val="18"/>
              </w:rPr>
              <w:t>rome</w:t>
            </w:r>
          </w:p>
        </w:tc>
        <w:tc>
          <w:tcPr>
            <w:tcW w:w="1080" w:type="dxa"/>
            <w:tcBorders>
              <w:left w:val="single" w:sz="4" w:space="0" w:color="auto"/>
              <w:right w:val="single" w:sz="4" w:space="0" w:color="auto"/>
            </w:tcBorders>
            <w:shd w:val="clear" w:color="auto" w:fill="FFFFFF" w:themeFill="background1"/>
            <w:vAlign w:val="center"/>
          </w:tcPr>
          <w:p w:rsidR="00FF4ED6" w:rsidRDefault="007C4780" w:rsidP="00191A51">
            <w:pPr>
              <w:pStyle w:val="ListParagraph"/>
              <w:spacing w:after="0" w:line="200" w:lineRule="exact"/>
              <w:ind w:left="0"/>
              <w:jc w:val="center"/>
              <w:rPr>
                <w:rFonts w:cs="Times New Roman"/>
                <w:sz w:val="18"/>
                <w:szCs w:val="18"/>
              </w:rPr>
            </w:pPr>
            <w:r>
              <w:rPr>
                <w:rFonts w:cs="Times New Roman"/>
                <w:sz w:val="18"/>
                <w:szCs w:val="18"/>
              </w:rPr>
              <w:t>5010-5260</w:t>
            </w:r>
          </w:p>
        </w:tc>
        <w:tc>
          <w:tcPr>
            <w:tcW w:w="810" w:type="dxa"/>
            <w:tcBorders>
              <w:left w:val="single" w:sz="4" w:space="0" w:color="auto"/>
            </w:tcBorders>
            <w:shd w:val="clear" w:color="auto" w:fill="FFFFFF" w:themeFill="background1"/>
            <w:vAlign w:val="center"/>
          </w:tcPr>
          <w:p w:rsidR="00FF4ED6" w:rsidRDefault="007C4780"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05" w:type="dxa"/>
            <w:shd w:val="clear" w:color="auto" w:fill="FFFFFF" w:themeFill="background1"/>
            <w:vAlign w:val="center"/>
          </w:tcPr>
          <w:p w:rsidR="00FF4ED6" w:rsidRPr="00542C9A" w:rsidRDefault="007C4780" w:rsidP="00191A51">
            <w:pPr>
              <w:pStyle w:val="ListParagraph"/>
              <w:spacing w:after="0" w:line="200" w:lineRule="exact"/>
              <w:ind w:left="0"/>
              <w:jc w:val="center"/>
              <w:rPr>
                <w:rFonts w:cs="Times New Roman"/>
                <w:sz w:val="18"/>
                <w:szCs w:val="18"/>
              </w:rPr>
            </w:pPr>
            <w:r>
              <w:rPr>
                <w:rFonts w:cs="Times New Roman"/>
                <w:sz w:val="18"/>
                <w:szCs w:val="18"/>
              </w:rPr>
              <w:t>20070309</w:t>
            </w:r>
          </w:p>
        </w:tc>
      </w:tr>
      <w:tr w:rsidR="00FF4ED6" w:rsidRPr="002A685E" w:rsidTr="006222C9">
        <w:trPr>
          <w:trHeight w:val="188"/>
          <w:jc w:val="center"/>
        </w:trPr>
        <w:tc>
          <w:tcPr>
            <w:tcW w:w="4171"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080" w:type="dxa"/>
            <w:gridSpan w:val="3"/>
            <w:tcBorders>
              <w:left w:val="thinThickThinSmallGap" w:sz="24" w:space="0" w:color="auto"/>
            </w:tcBorders>
            <w:shd w:val="clear" w:color="auto" w:fill="FFFFFF" w:themeFill="background1"/>
            <w:vAlign w:val="center"/>
          </w:tcPr>
          <w:p w:rsidR="00FF4ED6" w:rsidRPr="0038532B" w:rsidRDefault="008144BF" w:rsidP="007C4780">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7C4780">
              <w:rPr>
                <w:rFonts w:cs="Times New Roman"/>
                <w:sz w:val="18"/>
                <w:szCs w:val="18"/>
              </w:rPr>
              <w:t>2</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7C4780">
              <w:rPr>
                <w:rFonts w:cs="Times New Roman"/>
                <w:sz w:val="18"/>
                <w:szCs w:val="18"/>
              </w:rPr>
              <w:t>2</w:t>
            </w:r>
          </w:p>
        </w:tc>
        <w:tc>
          <w:tcPr>
            <w:tcW w:w="1005" w:type="dxa"/>
            <w:shd w:val="clear" w:color="auto" w:fill="FFFFFF" w:themeFill="background1"/>
            <w:vAlign w:val="center"/>
          </w:tcPr>
          <w:p w:rsidR="00FF4ED6" w:rsidRPr="00542C9A" w:rsidRDefault="007C4780" w:rsidP="00191A51">
            <w:pPr>
              <w:pStyle w:val="ListParagraph"/>
              <w:spacing w:after="0" w:line="200" w:lineRule="exact"/>
              <w:ind w:left="0"/>
              <w:jc w:val="center"/>
              <w:rPr>
                <w:rFonts w:cs="Times New Roman"/>
                <w:sz w:val="18"/>
                <w:szCs w:val="18"/>
              </w:rPr>
            </w:pPr>
            <w:r>
              <w:rPr>
                <w:rFonts w:cs="Times New Roman"/>
                <w:sz w:val="18"/>
                <w:szCs w:val="18"/>
              </w:rPr>
              <w:t>20070309</w:t>
            </w:r>
          </w:p>
        </w:tc>
      </w:tr>
      <w:tr w:rsidR="00191A51" w:rsidRPr="002A685E" w:rsidTr="006222C9">
        <w:trPr>
          <w:trHeight w:val="242"/>
          <w:jc w:val="center"/>
        </w:trPr>
        <w:tc>
          <w:tcPr>
            <w:tcW w:w="4171"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914F06">
              <w:rPr>
                <w:rFonts w:cs="Times New Roman"/>
                <w:b/>
                <w:sz w:val="20"/>
                <w:szCs w:val="20"/>
              </w:rPr>
              <w:t>1</w:t>
            </w:r>
            <w:r w:rsidR="00143610">
              <w:rPr>
                <w:rFonts w:cs="Times New Roman"/>
                <w:b/>
                <w:sz w:val="20"/>
                <w:szCs w:val="20"/>
              </w:rPr>
              <w:t>0</w:t>
            </w:r>
            <w:r w:rsidRPr="0085089F">
              <w:rPr>
                <w:rFonts w:cs="Times New Roman"/>
                <w:b/>
                <w:sz w:val="20"/>
                <w:szCs w:val="20"/>
              </w:rPr>
              <w:t>%</w:t>
            </w:r>
          </w:p>
        </w:tc>
        <w:tc>
          <w:tcPr>
            <w:tcW w:w="5085"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7C4780">
              <w:rPr>
                <w:rFonts w:cs="Times New Roman"/>
                <w:b/>
                <w:sz w:val="20"/>
                <w:szCs w:val="20"/>
              </w:rPr>
              <w:t>8</w:t>
            </w:r>
            <w:r w:rsidR="0071308A">
              <w:rPr>
                <w:rFonts w:cs="Times New Roman"/>
                <w:b/>
                <w:sz w:val="20"/>
                <w:szCs w:val="20"/>
              </w:rPr>
              <w:t>0</w:t>
            </w:r>
            <w:r w:rsidRPr="00ED6A61">
              <w:rPr>
                <w:rFonts w:cs="Times New Roman"/>
                <w:b/>
                <w:sz w:val="20"/>
                <w:szCs w:val="20"/>
              </w:rPr>
              <w:t>%</w:t>
            </w:r>
          </w:p>
        </w:tc>
      </w:tr>
    </w:tbl>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271DD" w:rsidRDefault="00F271DD"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F271DD" w:rsidRDefault="002C6E5B" w:rsidP="00976492">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976492">
        <w:rPr>
          <w:rFonts w:asciiTheme="minorHAnsi" w:hAnsiTheme="minorHAnsi"/>
          <w:color w:val="auto"/>
          <w:szCs w:val="24"/>
        </w:rPr>
        <w:t xml:space="preserve">  </w:t>
      </w:r>
      <w:r w:rsidR="00976492" w:rsidRPr="00976492">
        <w:rPr>
          <w:rFonts w:asciiTheme="minorHAnsi" w:hAnsiTheme="minorHAnsi"/>
          <w:color w:val="auto"/>
          <w:szCs w:val="24"/>
        </w:rPr>
        <w:t>The Board acknowledges the sentiment expressed in the CI’s application regarding the significant impairment with which his service-incurred condition continues to burden him.  The Board wishes to clarify that it i</w:t>
      </w:r>
      <w:r w:rsidR="00976492">
        <w:rPr>
          <w:rFonts w:asciiTheme="minorHAnsi" w:hAnsiTheme="minorHAnsi"/>
          <w:color w:val="auto"/>
          <w:szCs w:val="24"/>
        </w:rPr>
        <w:t>s subject to the same laws for s</w:t>
      </w:r>
      <w:r w:rsidR="00976492" w:rsidRPr="00976492">
        <w:rPr>
          <w:rFonts w:asciiTheme="minorHAnsi" w:hAnsiTheme="minorHAnsi"/>
          <w:color w:val="auto"/>
          <w:szCs w:val="24"/>
        </w:rPr>
        <w:t xml:space="preserve">ervice disability entitlements as those under which the DES operates.  The DES has neither the role nor the authority to compensate service members for anticipated future severity or potential </w:t>
      </w:r>
      <w:r w:rsidR="00976492" w:rsidRPr="00976492">
        <w:rPr>
          <w:rFonts w:asciiTheme="minorHAnsi" w:hAnsiTheme="minorHAnsi"/>
          <w:color w:val="auto"/>
          <w:szCs w:val="24"/>
        </w:rPr>
        <w:lastRenderedPageBreak/>
        <w:t>complications of conditions resulting in medical separation.  That role and authority is granted by Congress to the Department of Veteran Affairs (VA), operating under a different set of laws (Title 38, United States Code).  The Board evaluates VA evidence proximal to separation in arriving at its recommendations, but its authority resides in evaluating the fairness of DES fitness decisions and rating determinations for disability at the time of separation.  The Board also acknow</w:t>
      </w:r>
      <w:r w:rsidR="00976492">
        <w:rPr>
          <w:rFonts w:asciiTheme="minorHAnsi" w:hAnsiTheme="minorHAnsi"/>
          <w:color w:val="auto"/>
          <w:szCs w:val="24"/>
        </w:rPr>
        <w:t>ledges the CI’s contention for s</w:t>
      </w:r>
      <w:r w:rsidR="00976492" w:rsidRPr="00976492">
        <w:rPr>
          <w:rFonts w:asciiTheme="minorHAnsi" w:hAnsiTheme="minorHAnsi"/>
          <w:color w:val="auto"/>
          <w:szCs w:val="24"/>
        </w:rPr>
        <w:t xml:space="preserve">ervice ratings for other conditions documented at the time of separation, and notes that its recommendations in that regard must also comply with the same governance.  </w:t>
      </w:r>
    </w:p>
    <w:p w:rsidR="00E53206" w:rsidRDefault="00E53206" w:rsidP="00976492">
      <w:pPr>
        <w:tabs>
          <w:tab w:val="left" w:pos="288"/>
          <w:tab w:val="left" w:pos="4752"/>
        </w:tabs>
        <w:spacing w:line="240" w:lineRule="exact"/>
        <w:jc w:val="both"/>
        <w:rPr>
          <w:rFonts w:asciiTheme="minorHAnsi" w:hAnsiTheme="minorHAnsi"/>
          <w:color w:val="auto"/>
          <w:szCs w:val="24"/>
        </w:rPr>
      </w:pPr>
    </w:p>
    <w:p w:rsidR="006222C9" w:rsidRDefault="00631910" w:rsidP="00ED75F0">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Lumbar Spine</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063806">
        <w:rPr>
          <w:rFonts w:asciiTheme="minorHAnsi" w:hAnsiTheme="minorHAnsi"/>
          <w:color w:val="auto"/>
          <w:szCs w:val="24"/>
        </w:rPr>
        <w:t>The CI’s first episode of back pain occurred in December 1999</w:t>
      </w:r>
      <w:r w:rsidR="00A12EED">
        <w:rPr>
          <w:rFonts w:asciiTheme="minorHAnsi" w:hAnsiTheme="minorHAnsi"/>
          <w:color w:val="auto"/>
          <w:szCs w:val="24"/>
        </w:rPr>
        <w:t xml:space="preserve"> lifting furniture</w:t>
      </w:r>
      <w:r w:rsidR="00063806">
        <w:rPr>
          <w:rFonts w:asciiTheme="minorHAnsi" w:hAnsiTheme="minorHAnsi"/>
          <w:color w:val="auto"/>
          <w:szCs w:val="24"/>
        </w:rPr>
        <w:t xml:space="preserve">.  </w:t>
      </w:r>
      <w:r w:rsidR="00D51039">
        <w:rPr>
          <w:rFonts w:asciiTheme="minorHAnsi" w:hAnsiTheme="minorHAnsi"/>
          <w:color w:val="auto"/>
          <w:szCs w:val="24"/>
        </w:rPr>
        <w:t xml:space="preserve">He </w:t>
      </w:r>
      <w:r w:rsidR="00A12EED">
        <w:rPr>
          <w:rFonts w:asciiTheme="minorHAnsi" w:hAnsiTheme="minorHAnsi"/>
          <w:color w:val="auto"/>
          <w:szCs w:val="24"/>
        </w:rPr>
        <w:t>re-</w:t>
      </w:r>
      <w:r w:rsidR="00D51039">
        <w:rPr>
          <w:rFonts w:asciiTheme="minorHAnsi" w:hAnsiTheme="minorHAnsi"/>
          <w:color w:val="auto"/>
          <w:szCs w:val="24"/>
        </w:rPr>
        <w:t>injured his low back in February 2001 while loading pa</w:t>
      </w:r>
      <w:r w:rsidR="000713C6">
        <w:rPr>
          <w:rFonts w:asciiTheme="minorHAnsi" w:hAnsiTheme="minorHAnsi"/>
          <w:color w:val="auto"/>
          <w:szCs w:val="24"/>
        </w:rPr>
        <w:t>l</w:t>
      </w:r>
      <w:r w:rsidR="00D51039">
        <w:rPr>
          <w:rFonts w:asciiTheme="minorHAnsi" w:hAnsiTheme="minorHAnsi"/>
          <w:color w:val="auto"/>
          <w:szCs w:val="24"/>
        </w:rPr>
        <w:t xml:space="preserve">lets.  </w:t>
      </w:r>
      <w:r w:rsidR="00063806">
        <w:rPr>
          <w:rFonts w:asciiTheme="minorHAnsi" w:hAnsiTheme="minorHAnsi"/>
          <w:color w:val="auto"/>
          <w:szCs w:val="24"/>
        </w:rPr>
        <w:t xml:space="preserve">Recurrence in 2002 was associated with more severe pain and evidence of nerve root impingement.  </w:t>
      </w:r>
      <w:r w:rsidR="00A7239C">
        <w:rPr>
          <w:rFonts w:asciiTheme="minorHAnsi" w:hAnsiTheme="minorHAnsi"/>
          <w:color w:val="auto"/>
          <w:szCs w:val="24"/>
        </w:rPr>
        <w:t>Due to ongoing restrictive profiles, an</w:t>
      </w:r>
      <w:r w:rsidR="00063806">
        <w:rPr>
          <w:rFonts w:asciiTheme="minorHAnsi" w:hAnsiTheme="minorHAnsi"/>
          <w:color w:val="auto"/>
          <w:szCs w:val="24"/>
        </w:rPr>
        <w:t xml:space="preserve"> MEB </w:t>
      </w:r>
      <w:r w:rsidR="00A7239C">
        <w:rPr>
          <w:rFonts w:asciiTheme="minorHAnsi" w:hAnsiTheme="minorHAnsi"/>
          <w:color w:val="auto"/>
          <w:szCs w:val="24"/>
        </w:rPr>
        <w:t xml:space="preserve">was performed </w:t>
      </w:r>
      <w:r w:rsidR="00063806">
        <w:rPr>
          <w:rFonts w:asciiTheme="minorHAnsi" w:hAnsiTheme="minorHAnsi"/>
          <w:color w:val="auto"/>
          <w:szCs w:val="24"/>
        </w:rPr>
        <w:t>in 2004</w:t>
      </w:r>
      <w:r w:rsidR="00A7239C">
        <w:rPr>
          <w:rFonts w:asciiTheme="minorHAnsi" w:hAnsiTheme="minorHAnsi"/>
          <w:color w:val="auto"/>
          <w:szCs w:val="24"/>
        </w:rPr>
        <w:t xml:space="preserve"> which </w:t>
      </w:r>
      <w:r w:rsidR="00D412BB">
        <w:rPr>
          <w:rFonts w:asciiTheme="minorHAnsi" w:hAnsiTheme="minorHAnsi"/>
          <w:color w:val="auto"/>
          <w:szCs w:val="24"/>
        </w:rPr>
        <w:t xml:space="preserve">led to the recommendation for continued medical observation and </w:t>
      </w:r>
      <w:r w:rsidR="00986D03">
        <w:rPr>
          <w:rFonts w:asciiTheme="minorHAnsi" w:hAnsiTheme="minorHAnsi"/>
          <w:color w:val="auto"/>
          <w:szCs w:val="24"/>
        </w:rPr>
        <w:t xml:space="preserve">a </w:t>
      </w:r>
      <w:r w:rsidR="00D412BB">
        <w:rPr>
          <w:rFonts w:asciiTheme="minorHAnsi" w:hAnsiTheme="minorHAnsi"/>
          <w:color w:val="auto"/>
          <w:szCs w:val="24"/>
        </w:rPr>
        <w:t>repeat MEB at a later date</w:t>
      </w:r>
      <w:r w:rsidR="000D73F8">
        <w:rPr>
          <w:rFonts w:asciiTheme="minorHAnsi" w:hAnsiTheme="minorHAnsi"/>
          <w:color w:val="auto"/>
          <w:szCs w:val="24"/>
        </w:rPr>
        <w:t>.</w:t>
      </w:r>
      <w:r w:rsidR="00BE5915">
        <w:rPr>
          <w:rFonts w:asciiTheme="minorHAnsi" w:hAnsiTheme="minorHAnsi"/>
          <w:color w:val="auto"/>
          <w:szCs w:val="24"/>
        </w:rPr>
        <w:t xml:space="preserve"> </w:t>
      </w:r>
      <w:r w:rsidR="00D412BB">
        <w:rPr>
          <w:rFonts w:asciiTheme="minorHAnsi" w:hAnsiTheme="minorHAnsi"/>
          <w:color w:val="auto"/>
          <w:szCs w:val="24"/>
        </w:rPr>
        <w:t xml:space="preserve"> He continued to </w:t>
      </w:r>
      <w:r w:rsidR="00D51039">
        <w:rPr>
          <w:rFonts w:asciiTheme="minorHAnsi" w:hAnsiTheme="minorHAnsi"/>
          <w:color w:val="auto"/>
          <w:szCs w:val="24"/>
        </w:rPr>
        <w:t>have intermittent back pai</w:t>
      </w:r>
      <w:r w:rsidR="006222C9">
        <w:rPr>
          <w:rFonts w:asciiTheme="minorHAnsi" w:hAnsiTheme="minorHAnsi"/>
          <w:color w:val="auto"/>
          <w:szCs w:val="24"/>
        </w:rPr>
        <w:t>n treated with physical therapy</w:t>
      </w:r>
      <w:r w:rsidR="00D51039">
        <w:rPr>
          <w:rFonts w:asciiTheme="minorHAnsi" w:hAnsiTheme="minorHAnsi"/>
          <w:color w:val="auto"/>
          <w:szCs w:val="24"/>
        </w:rPr>
        <w:t xml:space="preserve">, </w:t>
      </w:r>
      <w:r w:rsidR="007C61E4">
        <w:rPr>
          <w:rFonts w:asciiTheme="minorHAnsi" w:hAnsiTheme="minorHAnsi"/>
          <w:color w:val="auto"/>
          <w:szCs w:val="24"/>
        </w:rPr>
        <w:t>a</w:t>
      </w:r>
      <w:r w:rsidR="00D51039" w:rsidRPr="007C61E4">
        <w:rPr>
          <w:rFonts w:asciiTheme="minorHAnsi" w:hAnsiTheme="minorHAnsi"/>
          <w:color w:val="auto"/>
          <w:szCs w:val="24"/>
        </w:rPr>
        <w:t xml:space="preserve"> steroid injection</w:t>
      </w:r>
      <w:r w:rsidR="00D51039">
        <w:rPr>
          <w:rFonts w:asciiTheme="minorHAnsi" w:hAnsiTheme="minorHAnsi"/>
          <w:color w:val="auto"/>
          <w:szCs w:val="24"/>
        </w:rPr>
        <w:t xml:space="preserve"> and pain medication.  Ongoing symptoms prevented him from participating in fitness testing for over two years p</w:t>
      </w:r>
      <w:r w:rsidR="00D412BB">
        <w:rPr>
          <w:rFonts w:asciiTheme="minorHAnsi" w:hAnsiTheme="minorHAnsi"/>
          <w:color w:val="auto"/>
          <w:szCs w:val="24"/>
        </w:rPr>
        <w:t>rior to his second MEB in 2006</w:t>
      </w:r>
      <w:r w:rsidR="00D51039">
        <w:rPr>
          <w:rFonts w:asciiTheme="minorHAnsi" w:hAnsiTheme="minorHAnsi"/>
          <w:color w:val="auto"/>
          <w:szCs w:val="24"/>
        </w:rPr>
        <w:t>.</w:t>
      </w:r>
      <w:r w:rsidR="00D412BB">
        <w:rPr>
          <w:rFonts w:asciiTheme="minorHAnsi" w:hAnsiTheme="minorHAnsi"/>
          <w:color w:val="auto"/>
          <w:szCs w:val="24"/>
        </w:rPr>
        <w:t xml:space="preserve"> </w:t>
      </w:r>
      <w:r w:rsidR="00C237D1">
        <w:rPr>
          <w:rFonts w:asciiTheme="minorHAnsi" w:hAnsiTheme="minorHAnsi"/>
          <w:color w:val="auto"/>
          <w:szCs w:val="24"/>
        </w:rPr>
        <w:t xml:space="preserve"> </w:t>
      </w:r>
      <w:r w:rsidR="00D412BB">
        <w:rPr>
          <w:rFonts w:asciiTheme="minorHAnsi" w:hAnsiTheme="minorHAnsi"/>
          <w:color w:val="auto"/>
          <w:szCs w:val="24"/>
        </w:rPr>
        <w:t xml:space="preserve">The </w:t>
      </w:r>
      <w:r w:rsidR="006222C9">
        <w:rPr>
          <w:rFonts w:asciiTheme="minorHAnsi" w:hAnsiTheme="minorHAnsi"/>
          <w:color w:val="auto"/>
          <w:szCs w:val="24"/>
        </w:rPr>
        <w:t>narrative summary (</w:t>
      </w:r>
      <w:r w:rsidR="00D412BB">
        <w:rPr>
          <w:rFonts w:asciiTheme="minorHAnsi" w:hAnsiTheme="minorHAnsi"/>
          <w:color w:val="auto"/>
          <w:szCs w:val="24"/>
        </w:rPr>
        <w:t>NARSUM</w:t>
      </w:r>
      <w:r w:rsidR="006222C9">
        <w:rPr>
          <w:rFonts w:asciiTheme="minorHAnsi" w:hAnsiTheme="minorHAnsi"/>
          <w:color w:val="auto"/>
          <w:szCs w:val="24"/>
        </w:rPr>
        <w:t>)</w:t>
      </w:r>
      <w:r w:rsidR="00D412BB">
        <w:rPr>
          <w:rFonts w:asciiTheme="minorHAnsi" w:hAnsiTheme="minorHAnsi"/>
          <w:color w:val="auto"/>
          <w:szCs w:val="24"/>
        </w:rPr>
        <w:t xml:space="preserve"> exam</w:t>
      </w:r>
      <w:r w:rsidR="00D51039">
        <w:rPr>
          <w:rFonts w:asciiTheme="minorHAnsi" w:hAnsiTheme="minorHAnsi"/>
          <w:color w:val="auto"/>
          <w:szCs w:val="24"/>
        </w:rPr>
        <w:t>iner</w:t>
      </w:r>
      <w:r w:rsidR="00D412BB">
        <w:rPr>
          <w:rFonts w:asciiTheme="minorHAnsi" w:hAnsiTheme="minorHAnsi"/>
          <w:color w:val="auto"/>
          <w:szCs w:val="24"/>
        </w:rPr>
        <w:t xml:space="preserve"> </w:t>
      </w:r>
      <w:r w:rsidR="00D51039">
        <w:rPr>
          <w:rFonts w:asciiTheme="minorHAnsi" w:hAnsiTheme="minorHAnsi"/>
          <w:color w:val="auto"/>
          <w:szCs w:val="24"/>
        </w:rPr>
        <w:t xml:space="preserve">noted </w:t>
      </w:r>
      <w:r w:rsidR="00AD3A56">
        <w:rPr>
          <w:rFonts w:asciiTheme="minorHAnsi" w:hAnsiTheme="minorHAnsi"/>
          <w:color w:val="auto"/>
          <w:szCs w:val="24"/>
        </w:rPr>
        <w:t xml:space="preserve">recent </w:t>
      </w:r>
      <w:r w:rsidR="00D51039">
        <w:rPr>
          <w:rFonts w:asciiTheme="minorHAnsi" w:hAnsiTheme="minorHAnsi"/>
          <w:color w:val="auto"/>
          <w:szCs w:val="24"/>
        </w:rPr>
        <w:t>recurrence of right lumbar pain with pain radiating to the right buttock.</w:t>
      </w:r>
      <w:r w:rsidR="00AD3A56">
        <w:rPr>
          <w:rFonts w:asciiTheme="minorHAnsi" w:hAnsiTheme="minorHAnsi"/>
          <w:color w:val="auto"/>
          <w:szCs w:val="24"/>
        </w:rPr>
        <w:t xml:space="preserve">  Martial </w:t>
      </w:r>
      <w:proofErr w:type="gramStart"/>
      <w:r w:rsidR="00AD3A56">
        <w:rPr>
          <w:rFonts w:asciiTheme="minorHAnsi" w:hAnsiTheme="minorHAnsi"/>
          <w:color w:val="auto"/>
          <w:szCs w:val="24"/>
        </w:rPr>
        <w:t>arts training was</w:t>
      </w:r>
      <w:proofErr w:type="gramEnd"/>
      <w:r w:rsidR="00AD3A56">
        <w:rPr>
          <w:rFonts w:asciiTheme="minorHAnsi" w:hAnsiTheme="minorHAnsi"/>
          <w:color w:val="auto"/>
          <w:szCs w:val="24"/>
        </w:rPr>
        <w:t xml:space="preserve"> beneficial and he was pain free for nine months prior to the exacerbation.  Physical examination revealed</w:t>
      </w:r>
      <w:r w:rsidR="00D412BB">
        <w:rPr>
          <w:rFonts w:asciiTheme="minorHAnsi" w:hAnsiTheme="minorHAnsi"/>
          <w:color w:val="auto"/>
          <w:szCs w:val="24"/>
        </w:rPr>
        <w:t xml:space="preserve"> a normal gait but was silent regarding posture and spinal contour.  Tenderness of the right lumbar paraspinal muscles was </w:t>
      </w:r>
      <w:r w:rsidR="007B0031">
        <w:rPr>
          <w:rFonts w:asciiTheme="minorHAnsi" w:hAnsiTheme="minorHAnsi"/>
          <w:color w:val="auto"/>
          <w:szCs w:val="24"/>
        </w:rPr>
        <w:t>present</w:t>
      </w:r>
      <w:r w:rsidR="00D412BB">
        <w:rPr>
          <w:rFonts w:asciiTheme="minorHAnsi" w:hAnsiTheme="minorHAnsi"/>
          <w:color w:val="auto"/>
          <w:szCs w:val="24"/>
        </w:rPr>
        <w:t>.</w:t>
      </w:r>
      <w:r w:rsidR="00F86B37">
        <w:rPr>
          <w:rFonts w:asciiTheme="minorHAnsi" w:hAnsiTheme="minorHAnsi"/>
          <w:color w:val="auto"/>
          <w:szCs w:val="24"/>
        </w:rPr>
        <w:t xml:space="preserve">  Full range of motion (ROM) was reported but measurements were not </w:t>
      </w:r>
      <w:r w:rsidR="00D15941">
        <w:rPr>
          <w:rFonts w:asciiTheme="minorHAnsi" w:hAnsiTheme="minorHAnsi"/>
          <w:color w:val="auto"/>
          <w:szCs w:val="24"/>
        </w:rPr>
        <w:t>in evidence</w:t>
      </w:r>
      <w:r w:rsidR="00F86B37">
        <w:rPr>
          <w:rFonts w:asciiTheme="minorHAnsi" w:hAnsiTheme="minorHAnsi"/>
          <w:color w:val="auto"/>
          <w:szCs w:val="24"/>
        </w:rPr>
        <w:t xml:space="preserve">. </w:t>
      </w:r>
      <w:r w:rsidR="00D15941">
        <w:rPr>
          <w:rFonts w:asciiTheme="minorHAnsi" w:hAnsiTheme="minorHAnsi"/>
          <w:color w:val="auto"/>
          <w:szCs w:val="24"/>
        </w:rPr>
        <w:t xml:space="preserve"> </w:t>
      </w:r>
      <w:r w:rsidR="00F86B37">
        <w:rPr>
          <w:rFonts w:asciiTheme="minorHAnsi" w:hAnsiTheme="minorHAnsi"/>
          <w:color w:val="auto"/>
          <w:szCs w:val="24"/>
        </w:rPr>
        <w:t xml:space="preserve">Sensation and deep tendon reflexes were normal.  Right leg strength was </w:t>
      </w:r>
      <w:r w:rsidR="006222C9">
        <w:rPr>
          <w:rFonts w:asciiTheme="minorHAnsi" w:hAnsiTheme="minorHAnsi"/>
          <w:color w:val="auto"/>
          <w:szCs w:val="24"/>
        </w:rPr>
        <w:t>three</w:t>
      </w:r>
      <w:r w:rsidR="00F86B37">
        <w:rPr>
          <w:rFonts w:asciiTheme="minorHAnsi" w:hAnsiTheme="minorHAnsi"/>
          <w:color w:val="auto"/>
          <w:szCs w:val="24"/>
        </w:rPr>
        <w:t xml:space="preserve"> out of </w:t>
      </w:r>
      <w:r w:rsidR="006222C9">
        <w:rPr>
          <w:rFonts w:asciiTheme="minorHAnsi" w:hAnsiTheme="minorHAnsi"/>
          <w:color w:val="auto"/>
          <w:szCs w:val="24"/>
        </w:rPr>
        <w:t>five</w:t>
      </w:r>
      <w:r w:rsidR="00F86B37">
        <w:rPr>
          <w:rFonts w:asciiTheme="minorHAnsi" w:hAnsiTheme="minorHAnsi"/>
          <w:color w:val="auto"/>
          <w:szCs w:val="24"/>
        </w:rPr>
        <w:t xml:space="preserve"> (normal </w:t>
      </w:r>
      <w:r w:rsidR="006222C9">
        <w:rPr>
          <w:rFonts w:asciiTheme="minorHAnsi" w:hAnsiTheme="minorHAnsi"/>
          <w:color w:val="auto"/>
          <w:szCs w:val="24"/>
        </w:rPr>
        <w:t>is five out of five</w:t>
      </w:r>
      <w:r w:rsidR="00F86B37">
        <w:rPr>
          <w:rFonts w:asciiTheme="minorHAnsi" w:hAnsiTheme="minorHAnsi"/>
          <w:color w:val="auto"/>
          <w:szCs w:val="24"/>
        </w:rPr>
        <w:t>) but this was ascertained to be due to pain</w:t>
      </w:r>
      <w:r w:rsidR="000D73F8">
        <w:rPr>
          <w:rFonts w:asciiTheme="minorHAnsi" w:hAnsiTheme="minorHAnsi"/>
          <w:color w:val="auto"/>
          <w:szCs w:val="24"/>
        </w:rPr>
        <w:t xml:space="preserve"> </w:t>
      </w:r>
      <w:r w:rsidR="000D73F8" w:rsidRPr="00C237D1">
        <w:rPr>
          <w:rFonts w:asciiTheme="minorHAnsi" w:hAnsiTheme="minorHAnsi"/>
          <w:color w:val="auto"/>
          <w:szCs w:val="24"/>
        </w:rPr>
        <w:t>rather than actual muscle weakness due to radiculopathy.</w:t>
      </w:r>
      <w:r w:rsidR="000D73F8">
        <w:rPr>
          <w:rFonts w:asciiTheme="minorHAnsi" w:hAnsiTheme="minorHAnsi"/>
          <w:color w:val="auto"/>
          <w:szCs w:val="24"/>
        </w:rPr>
        <w:t xml:space="preserve"> </w:t>
      </w:r>
      <w:r w:rsidR="00F86B37">
        <w:rPr>
          <w:rFonts w:asciiTheme="minorHAnsi" w:hAnsiTheme="minorHAnsi"/>
          <w:color w:val="auto"/>
          <w:szCs w:val="24"/>
        </w:rPr>
        <w:t xml:space="preserve"> Straight leg raise testing was negative bilaterally.  </w:t>
      </w:r>
      <w:r w:rsidR="006222C9">
        <w:rPr>
          <w:rFonts w:asciiTheme="minorHAnsi" w:hAnsiTheme="minorHAnsi"/>
          <w:color w:val="auto"/>
          <w:szCs w:val="24"/>
        </w:rPr>
        <w:t>Magnetic resonance imaging</w:t>
      </w:r>
      <w:r w:rsidR="00F86B37">
        <w:rPr>
          <w:rFonts w:asciiTheme="minorHAnsi" w:hAnsiTheme="minorHAnsi"/>
          <w:color w:val="auto"/>
          <w:szCs w:val="24"/>
        </w:rPr>
        <w:t xml:space="preserve"> showed broad-based disc bulge and facet hypertrophy at L4-5 and L5-S1, and some S1 nerve root impingement bilaterally.</w:t>
      </w:r>
      <w:r w:rsidR="00C237D1">
        <w:rPr>
          <w:rFonts w:asciiTheme="minorHAnsi" w:hAnsiTheme="minorHAnsi"/>
          <w:color w:val="auto"/>
          <w:szCs w:val="24"/>
        </w:rPr>
        <w:t xml:space="preserve">  </w:t>
      </w:r>
      <w:r w:rsidR="007D1DAD">
        <w:rPr>
          <w:rFonts w:asciiTheme="minorHAnsi" w:hAnsiTheme="minorHAnsi"/>
          <w:color w:val="auto"/>
          <w:szCs w:val="24"/>
        </w:rPr>
        <w:t xml:space="preserve">The VA </w:t>
      </w:r>
      <w:r w:rsidR="006222C9">
        <w:rPr>
          <w:rFonts w:asciiTheme="minorHAnsi" w:hAnsiTheme="minorHAnsi"/>
          <w:color w:val="auto"/>
          <w:szCs w:val="24"/>
        </w:rPr>
        <w:t xml:space="preserve">compensation and pension </w:t>
      </w:r>
      <w:r w:rsidR="000D73F8">
        <w:rPr>
          <w:rFonts w:asciiTheme="minorHAnsi" w:hAnsiTheme="minorHAnsi"/>
          <w:color w:val="auto"/>
          <w:szCs w:val="24"/>
        </w:rPr>
        <w:t xml:space="preserve">(C&amp;P) examiner, two months after separation, </w:t>
      </w:r>
      <w:r w:rsidR="007D1DAD">
        <w:rPr>
          <w:rFonts w:asciiTheme="minorHAnsi" w:hAnsiTheme="minorHAnsi"/>
          <w:color w:val="auto"/>
          <w:szCs w:val="24"/>
        </w:rPr>
        <w:t xml:space="preserve">reported that pain was present “all the time” and that pain flares occurred once per week and lasted over a day.  Walking, running, standing for five minutes or sitting for </w:t>
      </w:r>
      <w:r w:rsidR="00E131F6">
        <w:rPr>
          <w:rFonts w:asciiTheme="minorHAnsi" w:hAnsiTheme="minorHAnsi"/>
          <w:color w:val="auto"/>
          <w:szCs w:val="24"/>
        </w:rPr>
        <w:t>ten</w:t>
      </w:r>
      <w:r w:rsidR="007D1DAD">
        <w:rPr>
          <w:rFonts w:asciiTheme="minorHAnsi" w:hAnsiTheme="minorHAnsi"/>
          <w:color w:val="auto"/>
          <w:szCs w:val="24"/>
        </w:rPr>
        <w:t xml:space="preserve"> minutes caused pain flares.  Pain occasionally radiated to the top of his right thigh.  Non-narcotic pain medication was helpful and use of assistive devices was not required.  Physical examination revealed a normal gait</w:t>
      </w:r>
      <w:r w:rsidR="00E131F6">
        <w:rPr>
          <w:rFonts w:asciiTheme="minorHAnsi" w:hAnsiTheme="minorHAnsi"/>
          <w:color w:val="auto"/>
          <w:szCs w:val="24"/>
        </w:rPr>
        <w:t xml:space="preserve">.  There was no ankylosis, but muscle spasm was present.  A positive </w:t>
      </w:r>
      <w:r w:rsidR="006222C9">
        <w:rPr>
          <w:rFonts w:asciiTheme="minorHAnsi" w:hAnsiTheme="minorHAnsi"/>
          <w:color w:val="auto"/>
          <w:szCs w:val="24"/>
        </w:rPr>
        <w:t>straight leg raise</w:t>
      </w:r>
      <w:r w:rsidR="00E131F6">
        <w:rPr>
          <w:rFonts w:asciiTheme="minorHAnsi" w:hAnsiTheme="minorHAnsi"/>
          <w:color w:val="auto"/>
          <w:szCs w:val="24"/>
        </w:rPr>
        <w:t xml:space="preserve"> was present on the right</w:t>
      </w:r>
      <w:r w:rsidR="00E55048">
        <w:rPr>
          <w:rFonts w:asciiTheme="minorHAnsi" w:hAnsiTheme="minorHAnsi"/>
          <w:color w:val="auto"/>
          <w:szCs w:val="24"/>
        </w:rPr>
        <w:t xml:space="preserve"> but muscle strength, sensation and deep tendon reflexes were normal</w:t>
      </w:r>
      <w:r w:rsidR="00E131F6">
        <w:rPr>
          <w:rFonts w:asciiTheme="minorHAnsi" w:hAnsiTheme="minorHAnsi"/>
          <w:color w:val="auto"/>
          <w:szCs w:val="24"/>
        </w:rPr>
        <w:t>.  Lumbar ROM measurements revealed flexion of 90</w:t>
      </w:r>
      <w:r w:rsidR="00E131F6" w:rsidRPr="00E131F6">
        <w:rPr>
          <w:rFonts w:asciiTheme="minorHAnsi" w:hAnsiTheme="minorHAnsi"/>
          <w:color w:val="auto"/>
          <w:szCs w:val="24"/>
        </w:rPr>
        <w:t>⁰</w:t>
      </w:r>
      <w:r w:rsidR="00E131F6">
        <w:rPr>
          <w:rFonts w:asciiTheme="minorHAnsi" w:hAnsiTheme="minorHAnsi"/>
          <w:color w:val="auto"/>
          <w:szCs w:val="24"/>
        </w:rPr>
        <w:t xml:space="preserve"> (normal 90</w:t>
      </w:r>
      <w:r w:rsidR="00E131F6" w:rsidRPr="00E131F6">
        <w:rPr>
          <w:rFonts w:asciiTheme="minorHAnsi" w:hAnsiTheme="minorHAnsi"/>
          <w:color w:val="auto"/>
          <w:szCs w:val="24"/>
        </w:rPr>
        <w:t>⁰</w:t>
      </w:r>
      <w:r w:rsidR="00E131F6">
        <w:rPr>
          <w:rFonts w:asciiTheme="minorHAnsi" w:hAnsiTheme="minorHAnsi"/>
          <w:color w:val="auto"/>
          <w:szCs w:val="24"/>
        </w:rPr>
        <w:t>) and combined ROM of 220</w:t>
      </w:r>
      <w:r w:rsidR="00E131F6" w:rsidRPr="00E131F6">
        <w:rPr>
          <w:rFonts w:asciiTheme="minorHAnsi" w:hAnsiTheme="minorHAnsi"/>
          <w:color w:val="auto"/>
          <w:szCs w:val="24"/>
        </w:rPr>
        <w:t>⁰</w:t>
      </w:r>
      <w:r w:rsidR="00E131F6">
        <w:rPr>
          <w:rFonts w:asciiTheme="minorHAnsi" w:hAnsiTheme="minorHAnsi"/>
          <w:color w:val="auto"/>
          <w:szCs w:val="24"/>
        </w:rPr>
        <w:t xml:space="preserve"> (normal 240</w:t>
      </w:r>
      <w:r w:rsidR="00E131F6" w:rsidRPr="00E131F6">
        <w:rPr>
          <w:rFonts w:asciiTheme="minorHAnsi" w:hAnsiTheme="minorHAnsi"/>
          <w:color w:val="auto"/>
          <w:szCs w:val="24"/>
        </w:rPr>
        <w:t>⁰</w:t>
      </w:r>
      <w:r w:rsidR="00E131F6">
        <w:rPr>
          <w:rFonts w:asciiTheme="minorHAnsi" w:hAnsiTheme="minorHAnsi"/>
          <w:color w:val="auto"/>
          <w:szCs w:val="24"/>
        </w:rPr>
        <w:t>).</w:t>
      </w:r>
      <w:r w:rsidR="00962DF2">
        <w:rPr>
          <w:rFonts w:asciiTheme="minorHAnsi" w:hAnsiTheme="minorHAnsi"/>
          <w:color w:val="auto"/>
          <w:szCs w:val="24"/>
        </w:rPr>
        <w:t xml:space="preserve">  </w:t>
      </w:r>
      <w:r w:rsidR="00962DF2" w:rsidRPr="00C237D1">
        <w:rPr>
          <w:rFonts w:asciiTheme="minorHAnsi" w:hAnsiTheme="minorHAnsi"/>
          <w:color w:val="auto"/>
          <w:szCs w:val="24"/>
        </w:rPr>
        <w:t>There was no loss of ROM with repetition or additional limitation due to pain.</w:t>
      </w:r>
      <w:r w:rsidR="00C237D1">
        <w:rPr>
          <w:rFonts w:asciiTheme="minorHAnsi" w:hAnsiTheme="minorHAnsi"/>
          <w:color w:val="auto"/>
          <w:szCs w:val="24"/>
        </w:rPr>
        <w:t xml:space="preserve">  </w:t>
      </w:r>
    </w:p>
    <w:p w:rsidR="006222C9" w:rsidRDefault="006222C9" w:rsidP="00ED75F0">
      <w:pPr>
        <w:tabs>
          <w:tab w:val="left" w:pos="288"/>
          <w:tab w:val="left" w:pos="4752"/>
        </w:tabs>
        <w:spacing w:line="240" w:lineRule="exact"/>
        <w:jc w:val="both"/>
        <w:rPr>
          <w:rFonts w:asciiTheme="minorHAnsi" w:hAnsiTheme="minorHAnsi"/>
          <w:color w:val="auto"/>
          <w:szCs w:val="24"/>
        </w:rPr>
      </w:pPr>
    </w:p>
    <w:p w:rsidR="006222C9" w:rsidRDefault="00926FCB" w:rsidP="00ED75F0">
      <w:pPr>
        <w:tabs>
          <w:tab w:val="left" w:pos="288"/>
          <w:tab w:val="left" w:pos="4752"/>
        </w:tabs>
        <w:spacing w:line="240" w:lineRule="exact"/>
        <w:jc w:val="both"/>
        <w:rPr>
          <w:rFonts w:asciiTheme="minorHAnsi" w:hAnsiTheme="minorHAnsi"/>
          <w:color w:val="auto"/>
          <w:szCs w:val="24"/>
        </w:rPr>
      </w:pPr>
      <w:r w:rsidRPr="00AE3316">
        <w:rPr>
          <w:rFonts w:asciiTheme="minorHAnsi" w:hAnsiTheme="minorHAnsi"/>
          <w:color w:val="auto"/>
          <w:szCs w:val="24"/>
        </w:rPr>
        <w:t>The</w:t>
      </w:r>
      <w:r w:rsidR="009576BC">
        <w:rPr>
          <w:rFonts w:asciiTheme="minorHAnsi" w:hAnsiTheme="minorHAnsi"/>
          <w:color w:val="auto"/>
          <w:szCs w:val="24"/>
        </w:rPr>
        <w:t xml:space="preserve"> </w:t>
      </w:r>
      <w:r>
        <w:rPr>
          <w:rFonts w:asciiTheme="minorHAnsi" w:hAnsiTheme="minorHAnsi"/>
          <w:color w:val="auto"/>
          <w:szCs w:val="24"/>
        </w:rPr>
        <w:t>PEB and VA chose different coding options for th</w:t>
      </w:r>
      <w:r w:rsidR="009576BC">
        <w:rPr>
          <w:rFonts w:asciiTheme="minorHAnsi" w:hAnsiTheme="minorHAnsi"/>
          <w:color w:val="auto"/>
          <w:szCs w:val="24"/>
        </w:rPr>
        <w:t>e</w:t>
      </w:r>
      <w:r>
        <w:rPr>
          <w:rFonts w:asciiTheme="minorHAnsi" w:hAnsiTheme="minorHAnsi"/>
          <w:color w:val="auto"/>
          <w:szCs w:val="24"/>
        </w:rPr>
        <w:t xml:space="preserve"> condition, but this did not bear on rating.</w:t>
      </w:r>
      <w:r w:rsidR="000713C6">
        <w:rPr>
          <w:rFonts w:asciiTheme="minorHAnsi" w:hAnsiTheme="minorHAnsi"/>
          <w:color w:val="auto"/>
          <w:szCs w:val="24"/>
        </w:rPr>
        <w:t xml:space="preserve">  </w:t>
      </w:r>
      <w:r w:rsidR="009576BC" w:rsidRPr="001F4B7C">
        <w:rPr>
          <w:rFonts w:asciiTheme="minorHAnsi" w:hAnsiTheme="minorHAnsi"/>
          <w:color w:val="auto"/>
          <w:szCs w:val="24"/>
        </w:rPr>
        <w:t>The PEB</w:t>
      </w:r>
      <w:r w:rsidR="00E55048" w:rsidRPr="001F4B7C">
        <w:rPr>
          <w:rFonts w:asciiTheme="minorHAnsi" w:hAnsiTheme="minorHAnsi"/>
          <w:color w:val="auto"/>
          <w:szCs w:val="24"/>
        </w:rPr>
        <w:t xml:space="preserve"> rating reflected presumptive application of DoDI </w:t>
      </w:r>
      <w:r w:rsidR="00D15941" w:rsidRPr="001F4B7C">
        <w:rPr>
          <w:rFonts w:asciiTheme="minorHAnsi" w:hAnsiTheme="minorHAnsi"/>
          <w:color w:val="auto"/>
          <w:szCs w:val="24"/>
        </w:rPr>
        <w:t xml:space="preserve">1332.39 </w:t>
      </w:r>
      <w:r w:rsidR="00E55048" w:rsidRPr="001F4B7C">
        <w:rPr>
          <w:rFonts w:asciiTheme="minorHAnsi" w:hAnsiTheme="minorHAnsi"/>
          <w:color w:val="auto"/>
          <w:szCs w:val="24"/>
        </w:rPr>
        <w:t>since lumbar ROM was not measured</w:t>
      </w:r>
      <w:r w:rsidR="009576BC" w:rsidRPr="001F4B7C">
        <w:rPr>
          <w:rFonts w:asciiTheme="minorHAnsi" w:hAnsiTheme="minorHAnsi"/>
          <w:color w:val="auto"/>
          <w:szCs w:val="24"/>
        </w:rPr>
        <w:t xml:space="preserve"> </w:t>
      </w:r>
      <w:r w:rsidR="00E55048" w:rsidRPr="001F4B7C">
        <w:rPr>
          <w:rFonts w:asciiTheme="minorHAnsi" w:hAnsiTheme="minorHAnsi"/>
          <w:color w:val="auto"/>
          <w:szCs w:val="24"/>
        </w:rPr>
        <w:t>as required by the VASRD,</w:t>
      </w:r>
      <w:r w:rsidR="009576BC" w:rsidRPr="001F4B7C">
        <w:rPr>
          <w:rFonts w:asciiTheme="minorHAnsi" w:hAnsiTheme="minorHAnsi"/>
          <w:color w:val="auto"/>
          <w:szCs w:val="24"/>
        </w:rPr>
        <w:t xml:space="preserve"> but its 10% determination was consistent with </w:t>
      </w:r>
      <w:r w:rsidR="002323D9" w:rsidRPr="001F4B7C">
        <w:rPr>
          <w:rFonts w:asciiTheme="minorHAnsi" w:hAnsiTheme="minorHAnsi"/>
          <w:color w:val="auto"/>
          <w:szCs w:val="24"/>
        </w:rPr>
        <w:t>application of §4.59 (painful motion)</w:t>
      </w:r>
      <w:r w:rsidR="00DE4A17" w:rsidRPr="001F4B7C">
        <w:rPr>
          <w:rFonts w:asciiTheme="minorHAnsi" w:hAnsiTheme="minorHAnsi"/>
          <w:color w:val="auto"/>
          <w:szCs w:val="24"/>
        </w:rPr>
        <w:t xml:space="preserve"> or §4.40 (pain with use)</w:t>
      </w:r>
      <w:r w:rsidR="002323D9" w:rsidRPr="001F4B7C">
        <w:rPr>
          <w:rFonts w:asciiTheme="minorHAnsi" w:hAnsiTheme="minorHAnsi"/>
          <w:color w:val="auto"/>
          <w:szCs w:val="24"/>
        </w:rPr>
        <w:t xml:space="preserve">.  </w:t>
      </w:r>
      <w:r w:rsidR="009642FA">
        <w:rPr>
          <w:rFonts w:asciiTheme="minorHAnsi" w:hAnsiTheme="minorHAnsi"/>
          <w:color w:val="auto"/>
          <w:szCs w:val="24"/>
        </w:rPr>
        <w:t>The l</w:t>
      </w:r>
      <w:r w:rsidR="002323D9" w:rsidRPr="002323D9">
        <w:rPr>
          <w:rFonts w:asciiTheme="minorHAnsi" w:hAnsiTheme="minorHAnsi"/>
          <w:color w:val="auto"/>
          <w:szCs w:val="24"/>
        </w:rPr>
        <w:t xml:space="preserve">imitation of </w:t>
      </w:r>
      <w:r w:rsidR="009642FA">
        <w:rPr>
          <w:rFonts w:asciiTheme="minorHAnsi" w:hAnsiTheme="minorHAnsi"/>
          <w:color w:val="auto"/>
          <w:szCs w:val="24"/>
        </w:rPr>
        <w:t xml:space="preserve">combined </w:t>
      </w:r>
      <w:r w:rsidR="002323D9" w:rsidRPr="002323D9">
        <w:rPr>
          <w:rFonts w:asciiTheme="minorHAnsi" w:hAnsiTheme="minorHAnsi"/>
          <w:color w:val="auto"/>
          <w:szCs w:val="24"/>
        </w:rPr>
        <w:t xml:space="preserve">motion </w:t>
      </w:r>
      <w:r w:rsidR="009642FA">
        <w:rPr>
          <w:rFonts w:asciiTheme="minorHAnsi" w:hAnsiTheme="minorHAnsi"/>
          <w:color w:val="auto"/>
          <w:szCs w:val="24"/>
        </w:rPr>
        <w:t xml:space="preserve">reported on the C&amp;P exam </w:t>
      </w:r>
      <w:r w:rsidR="00DE4A17">
        <w:rPr>
          <w:rFonts w:asciiTheme="minorHAnsi" w:hAnsiTheme="minorHAnsi"/>
          <w:color w:val="auto"/>
          <w:szCs w:val="24"/>
        </w:rPr>
        <w:t>was compensable</w:t>
      </w:r>
      <w:r w:rsidR="009642FA">
        <w:rPr>
          <w:rFonts w:asciiTheme="minorHAnsi" w:hAnsiTheme="minorHAnsi"/>
          <w:color w:val="auto"/>
          <w:szCs w:val="24"/>
        </w:rPr>
        <w:t xml:space="preserve"> at 10%, although</w:t>
      </w:r>
      <w:r w:rsidR="00DE4A17">
        <w:rPr>
          <w:rFonts w:asciiTheme="minorHAnsi" w:hAnsiTheme="minorHAnsi"/>
          <w:color w:val="auto"/>
          <w:szCs w:val="24"/>
        </w:rPr>
        <w:t xml:space="preserve"> the VA </w:t>
      </w:r>
      <w:r w:rsidR="009642FA">
        <w:rPr>
          <w:rFonts w:asciiTheme="minorHAnsi" w:hAnsiTheme="minorHAnsi"/>
          <w:color w:val="auto"/>
          <w:szCs w:val="24"/>
        </w:rPr>
        <w:t>justified the rating with</w:t>
      </w:r>
      <w:r w:rsidR="00DE4A17">
        <w:rPr>
          <w:rFonts w:asciiTheme="minorHAnsi" w:hAnsiTheme="minorHAnsi"/>
          <w:color w:val="auto"/>
          <w:szCs w:val="24"/>
        </w:rPr>
        <w:t xml:space="preserve"> application of </w:t>
      </w:r>
      <w:r w:rsidR="00DE4A17" w:rsidRPr="002323D9">
        <w:rPr>
          <w:rFonts w:asciiTheme="minorHAnsi" w:hAnsiTheme="minorHAnsi"/>
          <w:color w:val="auto"/>
          <w:szCs w:val="24"/>
        </w:rPr>
        <w:t>§4.59</w:t>
      </w:r>
      <w:r w:rsidR="00DE4A17">
        <w:rPr>
          <w:rFonts w:asciiTheme="minorHAnsi" w:hAnsiTheme="minorHAnsi"/>
          <w:color w:val="auto"/>
          <w:szCs w:val="24"/>
        </w:rPr>
        <w:t xml:space="preserve">.  </w:t>
      </w:r>
      <w:r w:rsidR="00986D03" w:rsidRPr="000713C6">
        <w:rPr>
          <w:rFonts w:asciiTheme="minorHAnsi" w:hAnsiTheme="minorHAnsi"/>
          <w:color w:val="auto"/>
          <w:szCs w:val="24"/>
        </w:rPr>
        <w:t>The Board deliberated whether a higher rating could be achieved under the formula for rating intervertebral disc disease based on incapacitating episodes.  However, not even the minimum rating under that formula was met.</w:t>
      </w:r>
      <w:r w:rsidR="00ED75F0">
        <w:rPr>
          <w:rFonts w:asciiTheme="minorHAnsi" w:hAnsiTheme="minorHAnsi"/>
          <w:color w:val="auto"/>
          <w:szCs w:val="24"/>
        </w:rPr>
        <w:t xml:space="preserve">  </w:t>
      </w:r>
    </w:p>
    <w:p w:rsidR="006222C9" w:rsidRDefault="006222C9" w:rsidP="00ED75F0">
      <w:pPr>
        <w:tabs>
          <w:tab w:val="left" w:pos="288"/>
          <w:tab w:val="left" w:pos="4752"/>
        </w:tabs>
        <w:spacing w:line="240" w:lineRule="exact"/>
        <w:jc w:val="both"/>
        <w:rPr>
          <w:rFonts w:asciiTheme="minorHAnsi" w:hAnsiTheme="minorHAnsi"/>
          <w:color w:val="auto"/>
          <w:szCs w:val="24"/>
        </w:rPr>
      </w:pPr>
    </w:p>
    <w:p w:rsidR="002323D9" w:rsidRDefault="002323D9" w:rsidP="00ED75F0">
      <w:pPr>
        <w:tabs>
          <w:tab w:val="left" w:pos="288"/>
          <w:tab w:val="left" w:pos="4752"/>
        </w:tabs>
        <w:spacing w:line="240" w:lineRule="exact"/>
        <w:jc w:val="both"/>
        <w:rPr>
          <w:rFonts w:asciiTheme="minorHAnsi" w:hAnsiTheme="minorHAnsi"/>
          <w:color w:val="auto"/>
          <w:szCs w:val="24"/>
        </w:rPr>
      </w:pPr>
      <w:r w:rsidRPr="00DE4A17">
        <w:rPr>
          <w:rFonts w:asciiTheme="minorHAnsi" w:hAnsiTheme="minorHAnsi"/>
          <w:color w:val="auto"/>
          <w:szCs w:val="24"/>
        </w:rPr>
        <w:t xml:space="preserve">The Board </w:t>
      </w:r>
      <w:r w:rsidR="00986D03">
        <w:rPr>
          <w:rFonts w:asciiTheme="minorHAnsi" w:hAnsiTheme="minorHAnsi"/>
          <w:color w:val="auto"/>
          <w:szCs w:val="24"/>
        </w:rPr>
        <w:t>also considered</w:t>
      </w:r>
      <w:r w:rsidRPr="00DE4A17">
        <w:rPr>
          <w:rFonts w:asciiTheme="minorHAnsi" w:hAnsiTheme="minorHAnsi"/>
          <w:color w:val="auto"/>
          <w:szCs w:val="24"/>
        </w:rPr>
        <w:t xml:space="preserve"> if additional disability rating was justified for peripheral nerve impairment.  There is little support in the service record for clinically significant radiculopathy.  Although </w:t>
      </w:r>
      <w:r w:rsidR="00DE4A17" w:rsidRPr="00DE4A17">
        <w:rPr>
          <w:rFonts w:asciiTheme="minorHAnsi" w:hAnsiTheme="minorHAnsi"/>
          <w:color w:val="auto"/>
          <w:szCs w:val="24"/>
        </w:rPr>
        <w:t>intermittent episodes of radiating pain were noted, and a</w:t>
      </w:r>
      <w:r w:rsidR="006222C9">
        <w:rPr>
          <w:rFonts w:asciiTheme="minorHAnsi" w:hAnsiTheme="minorHAnsi"/>
          <w:color w:val="auto"/>
          <w:szCs w:val="24"/>
        </w:rPr>
        <w:t xml:space="preserve"> magnetic resonance imaging </w:t>
      </w:r>
      <w:r w:rsidR="00DE4A17" w:rsidRPr="00DE4A17">
        <w:rPr>
          <w:rFonts w:asciiTheme="minorHAnsi" w:hAnsiTheme="minorHAnsi"/>
          <w:color w:val="auto"/>
          <w:szCs w:val="24"/>
        </w:rPr>
        <w:t xml:space="preserve">showed minimal S1 nerve root impingement, </w:t>
      </w:r>
      <w:r w:rsidRPr="00DE4A17">
        <w:rPr>
          <w:rFonts w:asciiTheme="minorHAnsi" w:hAnsiTheme="minorHAnsi"/>
          <w:color w:val="auto"/>
          <w:szCs w:val="24"/>
        </w:rPr>
        <w:t>the</w:t>
      </w:r>
      <w:r w:rsidR="00DE4A17" w:rsidRPr="00DE4A17">
        <w:rPr>
          <w:rFonts w:asciiTheme="minorHAnsi" w:hAnsiTheme="minorHAnsi"/>
          <w:color w:val="auto"/>
          <w:szCs w:val="24"/>
        </w:rPr>
        <w:t>re was no evidence on multiple exams of muscle weakness due to neuropathy.</w:t>
      </w:r>
      <w:r w:rsidRPr="00DE4A17">
        <w:rPr>
          <w:rFonts w:asciiTheme="minorHAnsi" w:hAnsiTheme="minorHAnsi"/>
          <w:color w:val="auto"/>
          <w:szCs w:val="24"/>
        </w:rPr>
        <w:t xml:space="preserve">  The presence of functional impairment with a direct impact on fitness is the key determinant in the Board’s decision to recommend any condition for rating as additionally unfitting.  While the CI may have suffered additional pain from the nerve involvement, this is subsumed under the general spine rating criteria, which specifically </w:t>
      </w:r>
      <w:r w:rsidRPr="00DE4A17">
        <w:rPr>
          <w:rFonts w:asciiTheme="minorHAnsi" w:hAnsiTheme="minorHAnsi"/>
          <w:color w:val="auto"/>
          <w:szCs w:val="24"/>
        </w:rPr>
        <w:lastRenderedPageBreak/>
        <w:t>states “with or without symptoms such as pain (whether or not it radiates).”  Therefore</w:t>
      </w:r>
      <w:r w:rsidR="006222C9">
        <w:rPr>
          <w:rFonts w:asciiTheme="minorHAnsi" w:hAnsiTheme="minorHAnsi"/>
          <w:color w:val="auto"/>
          <w:szCs w:val="24"/>
        </w:rPr>
        <w:t>,</w:t>
      </w:r>
      <w:r w:rsidRPr="00DE4A17">
        <w:rPr>
          <w:rFonts w:asciiTheme="minorHAnsi" w:hAnsiTheme="minorHAnsi"/>
          <w:color w:val="auto"/>
          <w:szCs w:val="24"/>
        </w:rPr>
        <w:t xml:space="preserve"> the critical decision is whether or not there was a significant motor weakness which would impact </w:t>
      </w:r>
      <w:r w:rsidR="006222C9">
        <w:rPr>
          <w:rFonts w:asciiTheme="minorHAnsi" w:hAnsiTheme="minorHAnsi"/>
          <w:color w:val="auto"/>
          <w:szCs w:val="24"/>
        </w:rPr>
        <w:t>duty</w:t>
      </w:r>
      <w:r w:rsidRPr="00DE4A17">
        <w:rPr>
          <w:rFonts w:asciiTheme="minorHAnsi" w:hAnsiTheme="minorHAnsi"/>
          <w:color w:val="auto"/>
          <w:szCs w:val="24"/>
        </w:rPr>
        <w:t>-specific activities.  There is no evidence in this case that motor weakness existed to any degree that could be described as functionally impairing.  The Board therefore concludes that additional disability rating was not justified on this basis.</w:t>
      </w:r>
    </w:p>
    <w:p w:rsidR="00631910" w:rsidRDefault="00631910" w:rsidP="002323D9">
      <w:pPr>
        <w:spacing w:line="240" w:lineRule="exact"/>
        <w:jc w:val="both"/>
        <w:rPr>
          <w:rFonts w:asciiTheme="minorHAnsi" w:hAnsiTheme="minorHAnsi"/>
          <w:color w:val="auto"/>
          <w:szCs w:val="24"/>
        </w:rPr>
      </w:pPr>
    </w:p>
    <w:p w:rsidR="00CD2369" w:rsidRPr="00CD2369" w:rsidRDefault="00631910" w:rsidP="00CD2369">
      <w:pPr>
        <w:spacing w:line="240" w:lineRule="exact"/>
        <w:jc w:val="both"/>
        <w:rPr>
          <w:rFonts w:asciiTheme="minorHAnsi" w:hAnsiTheme="minorHAnsi"/>
          <w:color w:val="auto"/>
          <w:szCs w:val="24"/>
        </w:rPr>
      </w:pPr>
      <w:proofErr w:type="gramStart"/>
      <w:r w:rsidRPr="00631910">
        <w:rPr>
          <w:rFonts w:asciiTheme="minorHAnsi" w:hAnsiTheme="minorHAnsi"/>
          <w:color w:val="auto"/>
          <w:szCs w:val="24"/>
          <w:u w:val="single"/>
        </w:rPr>
        <w:t xml:space="preserve">Contended </w:t>
      </w:r>
      <w:r w:rsidR="00CD2369">
        <w:rPr>
          <w:rFonts w:asciiTheme="minorHAnsi" w:hAnsiTheme="minorHAnsi"/>
          <w:color w:val="auto"/>
          <w:szCs w:val="24"/>
          <w:u w:val="single"/>
        </w:rPr>
        <w:t xml:space="preserve">Obstructive </w:t>
      </w:r>
      <w:r w:rsidRPr="00631910">
        <w:rPr>
          <w:rFonts w:asciiTheme="minorHAnsi" w:hAnsiTheme="minorHAnsi"/>
          <w:color w:val="auto"/>
          <w:szCs w:val="24"/>
          <w:u w:val="single"/>
        </w:rPr>
        <w:t>Sleep Apnea</w:t>
      </w:r>
      <w:r>
        <w:rPr>
          <w:rFonts w:asciiTheme="minorHAnsi" w:hAnsiTheme="minorHAnsi"/>
          <w:color w:val="auto"/>
          <w:szCs w:val="24"/>
        </w:rPr>
        <w:t>.</w:t>
      </w:r>
      <w:proofErr w:type="gramEnd"/>
      <w:r>
        <w:rPr>
          <w:rFonts w:asciiTheme="minorHAnsi" w:hAnsiTheme="minorHAnsi"/>
          <w:color w:val="auto"/>
          <w:szCs w:val="24"/>
        </w:rPr>
        <w:t xml:space="preserve">  </w:t>
      </w:r>
      <w:r w:rsidR="0065726C">
        <w:rPr>
          <w:rFonts w:asciiTheme="minorHAnsi" w:hAnsiTheme="minorHAnsi"/>
          <w:color w:val="auto"/>
          <w:szCs w:val="24"/>
        </w:rPr>
        <w:t xml:space="preserve">The CI </w:t>
      </w:r>
      <w:r w:rsidR="0065726C" w:rsidRPr="009E1E64">
        <w:rPr>
          <w:rFonts w:asciiTheme="minorHAnsi" w:hAnsiTheme="minorHAnsi"/>
          <w:color w:val="auto"/>
          <w:szCs w:val="24"/>
        </w:rPr>
        <w:t>first complained</w:t>
      </w:r>
      <w:r w:rsidR="0065726C">
        <w:rPr>
          <w:rFonts w:asciiTheme="minorHAnsi" w:hAnsiTheme="minorHAnsi"/>
          <w:color w:val="auto"/>
          <w:szCs w:val="24"/>
        </w:rPr>
        <w:t xml:space="preserve"> of sleep difficulty during the MEB process.  </w:t>
      </w:r>
      <w:r w:rsidR="004D015B" w:rsidRPr="008F75F8">
        <w:rPr>
          <w:rFonts w:asciiTheme="minorHAnsi" w:hAnsiTheme="minorHAnsi"/>
          <w:color w:val="auto"/>
          <w:szCs w:val="24"/>
        </w:rPr>
        <w:t>The sleep clinic record indicates loud snoring as the main complaint.</w:t>
      </w:r>
      <w:r w:rsidR="004D015B">
        <w:rPr>
          <w:rFonts w:asciiTheme="minorHAnsi" w:hAnsiTheme="minorHAnsi"/>
          <w:color w:val="auto"/>
          <w:szCs w:val="24"/>
        </w:rPr>
        <w:t xml:space="preserve">  </w:t>
      </w:r>
      <w:r w:rsidR="0065726C">
        <w:rPr>
          <w:rFonts w:asciiTheme="minorHAnsi" w:hAnsiTheme="minorHAnsi"/>
          <w:color w:val="auto"/>
          <w:szCs w:val="24"/>
        </w:rPr>
        <w:t xml:space="preserve">Based on a sleep study, the specialist’s assessment (30 October 2006) was moderate </w:t>
      </w:r>
      <w:r w:rsidR="006222C9" w:rsidRPr="006222C9">
        <w:rPr>
          <w:rFonts w:asciiTheme="minorHAnsi" w:hAnsiTheme="minorHAnsi"/>
          <w:color w:val="auto"/>
          <w:szCs w:val="24"/>
        </w:rPr>
        <w:t>obstructive sleep apnea</w:t>
      </w:r>
      <w:r w:rsidR="006222C9">
        <w:rPr>
          <w:rFonts w:asciiTheme="minorHAnsi" w:hAnsiTheme="minorHAnsi"/>
          <w:color w:val="auto"/>
          <w:szCs w:val="24"/>
        </w:rPr>
        <w:t xml:space="preserve"> (</w:t>
      </w:r>
      <w:r w:rsidR="00CD2369">
        <w:rPr>
          <w:rFonts w:asciiTheme="minorHAnsi" w:hAnsiTheme="minorHAnsi"/>
          <w:color w:val="auto"/>
          <w:szCs w:val="24"/>
        </w:rPr>
        <w:t>OSA</w:t>
      </w:r>
      <w:r w:rsidR="006222C9">
        <w:rPr>
          <w:rFonts w:asciiTheme="minorHAnsi" w:hAnsiTheme="minorHAnsi"/>
          <w:color w:val="auto"/>
          <w:szCs w:val="24"/>
        </w:rPr>
        <w:t>)</w:t>
      </w:r>
      <w:r w:rsidR="0065726C">
        <w:rPr>
          <w:rFonts w:asciiTheme="minorHAnsi" w:hAnsiTheme="minorHAnsi"/>
          <w:color w:val="auto"/>
          <w:szCs w:val="24"/>
        </w:rPr>
        <w:t xml:space="preserve">.  </w:t>
      </w:r>
      <w:r w:rsidR="006222C9">
        <w:rPr>
          <w:rFonts w:asciiTheme="minorHAnsi" w:hAnsiTheme="minorHAnsi"/>
          <w:color w:val="auto"/>
          <w:szCs w:val="24"/>
        </w:rPr>
        <w:t>Continuous positive airway pressure (</w:t>
      </w:r>
      <w:r w:rsidR="0065726C">
        <w:rPr>
          <w:rFonts w:asciiTheme="minorHAnsi" w:hAnsiTheme="minorHAnsi"/>
          <w:color w:val="auto"/>
          <w:szCs w:val="24"/>
        </w:rPr>
        <w:t>CPAP</w:t>
      </w:r>
      <w:r w:rsidR="006222C9">
        <w:rPr>
          <w:rFonts w:asciiTheme="minorHAnsi" w:hAnsiTheme="minorHAnsi"/>
          <w:color w:val="auto"/>
          <w:szCs w:val="24"/>
        </w:rPr>
        <w:t>)</w:t>
      </w:r>
      <w:r w:rsidR="0065726C">
        <w:rPr>
          <w:rFonts w:asciiTheme="minorHAnsi" w:hAnsiTheme="minorHAnsi"/>
          <w:color w:val="auto"/>
          <w:szCs w:val="24"/>
        </w:rPr>
        <w:t xml:space="preserve"> </w:t>
      </w:r>
      <w:r w:rsidR="00CD2369">
        <w:rPr>
          <w:rFonts w:asciiTheme="minorHAnsi" w:hAnsiTheme="minorHAnsi"/>
          <w:color w:val="auto"/>
          <w:szCs w:val="24"/>
        </w:rPr>
        <w:t xml:space="preserve">treatment was </w:t>
      </w:r>
      <w:r w:rsidR="0065726C">
        <w:rPr>
          <w:rFonts w:asciiTheme="minorHAnsi" w:hAnsiTheme="minorHAnsi"/>
          <w:color w:val="auto"/>
          <w:szCs w:val="24"/>
        </w:rPr>
        <w:t>started in November 2006 (</w:t>
      </w:r>
      <w:r w:rsidR="009E1E64">
        <w:rPr>
          <w:rFonts w:asciiTheme="minorHAnsi" w:hAnsiTheme="minorHAnsi"/>
          <w:color w:val="auto"/>
          <w:szCs w:val="24"/>
        </w:rPr>
        <w:t xml:space="preserve">two months </w:t>
      </w:r>
      <w:r w:rsidR="0065726C">
        <w:rPr>
          <w:rFonts w:asciiTheme="minorHAnsi" w:hAnsiTheme="minorHAnsi"/>
          <w:color w:val="auto"/>
          <w:szCs w:val="24"/>
        </w:rPr>
        <w:t xml:space="preserve">prior to separation), </w:t>
      </w:r>
      <w:r w:rsidR="00392E78">
        <w:rPr>
          <w:rFonts w:asciiTheme="minorHAnsi" w:hAnsiTheme="minorHAnsi"/>
          <w:color w:val="auto"/>
          <w:szCs w:val="24"/>
        </w:rPr>
        <w:t xml:space="preserve">but </w:t>
      </w:r>
      <w:r w:rsidR="00CD2369">
        <w:rPr>
          <w:rFonts w:asciiTheme="minorHAnsi" w:hAnsiTheme="minorHAnsi"/>
          <w:color w:val="auto"/>
          <w:szCs w:val="24"/>
        </w:rPr>
        <w:t xml:space="preserve">a follow up study to assess effectiveness </w:t>
      </w:r>
      <w:r w:rsidR="00392E78">
        <w:rPr>
          <w:rFonts w:asciiTheme="minorHAnsi" w:hAnsiTheme="minorHAnsi"/>
          <w:color w:val="auto"/>
          <w:szCs w:val="24"/>
        </w:rPr>
        <w:t>is not in evidence.</w:t>
      </w:r>
      <w:r w:rsidR="004D015B">
        <w:rPr>
          <w:rFonts w:asciiTheme="minorHAnsi" w:hAnsiTheme="minorHAnsi"/>
          <w:color w:val="auto"/>
          <w:szCs w:val="24"/>
        </w:rPr>
        <w:t xml:space="preserve">  </w:t>
      </w:r>
      <w:r w:rsidR="004D015B" w:rsidRPr="008F75F8">
        <w:rPr>
          <w:rFonts w:asciiTheme="minorHAnsi" w:hAnsiTheme="minorHAnsi"/>
          <w:color w:val="auto"/>
          <w:szCs w:val="24"/>
        </w:rPr>
        <w:t>However</w:t>
      </w:r>
      <w:r w:rsidR="006222C9">
        <w:rPr>
          <w:rFonts w:asciiTheme="minorHAnsi" w:hAnsiTheme="minorHAnsi"/>
          <w:color w:val="auto"/>
          <w:szCs w:val="24"/>
        </w:rPr>
        <w:t>,</w:t>
      </w:r>
      <w:r w:rsidR="004D015B" w:rsidRPr="008F75F8">
        <w:rPr>
          <w:rFonts w:asciiTheme="minorHAnsi" w:hAnsiTheme="minorHAnsi"/>
          <w:color w:val="auto"/>
          <w:szCs w:val="24"/>
        </w:rPr>
        <w:t xml:space="preserve"> a 30 October 2006 sleep clinic note indicates the CI did not experience excessive daytime sleepiness fatigue or tiredness during the daytime.</w:t>
      </w:r>
      <w:r w:rsidR="00392E78">
        <w:rPr>
          <w:rFonts w:asciiTheme="minorHAnsi" w:hAnsiTheme="minorHAnsi"/>
          <w:color w:val="auto"/>
          <w:szCs w:val="24"/>
        </w:rPr>
        <w:t xml:space="preserve">  </w:t>
      </w:r>
      <w:r w:rsidR="0065726C">
        <w:rPr>
          <w:rFonts w:asciiTheme="minorHAnsi" w:hAnsiTheme="minorHAnsi"/>
          <w:color w:val="auto"/>
          <w:szCs w:val="24"/>
        </w:rPr>
        <w:t>The C&amp;P examiner</w:t>
      </w:r>
      <w:r w:rsidR="00392E78">
        <w:rPr>
          <w:rFonts w:asciiTheme="minorHAnsi" w:hAnsiTheme="minorHAnsi"/>
          <w:color w:val="auto"/>
          <w:szCs w:val="24"/>
        </w:rPr>
        <w:t xml:space="preserve"> stated that the CPAP helped some with the symptoms, though he still experienced some sleepiness during the day.  </w:t>
      </w:r>
      <w:r w:rsidR="00CD2369" w:rsidRPr="00CD2369">
        <w:rPr>
          <w:rFonts w:asciiTheme="minorHAnsi" w:hAnsiTheme="minorHAnsi"/>
          <w:color w:val="auto"/>
          <w:szCs w:val="24"/>
        </w:rPr>
        <w:t>PEBs across the services do not routinely find OSA, with or without CPAP requirement, unfitting if symptoms are controlled and functioning is unimpaired.  The burden of providing CPAP in field and deploye</w:t>
      </w:r>
      <w:r w:rsidR="00DA72BF">
        <w:rPr>
          <w:rFonts w:asciiTheme="minorHAnsi" w:hAnsiTheme="minorHAnsi"/>
          <w:color w:val="auto"/>
          <w:szCs w:val="24"/>
        </w:rPr>
        <w:t>d</w:t>
      </w:r>
      <w:r w:rsidR="00CD2369" w:rsidRPr="00CD2369">
        <w:rPr>
          <w:rFonts w:asciiTheme="minorHAnsi" w:hAnsiTheme="minorHAnsi"/>
          <w:color w:val="auto"/>
          <w:szCs w:val="24"/>
        </w:rPr>
        <w:t xml:space="preserve"> environments is not considered to be a critical factor with the common availability of portable generators and sanitary facilities.  </w:t>
      </w:r>
      <w:r w:rsidR="00CD2369">
        <w:rPr>
          <w:rFonts w:asciiTheme="minorHAnsi" w:hAnsiTheme="minorHAnsi"/>
          <w:color w:val="auto"/>
          <w:szCs w:val="24"/>
        </w:rPr>
        <w:t>The OSA condition was not profiled and was not implicated in the commander’s statement.  This condition was reviewed by the action officer and considered by the Board.  It was determined that it could not be argued as unfitting and subject to separation rating.</w:t>
      </w:r>
      <w:r w:rsidR="00CD2369" w:rsidRPr="00CD2369">
        <w:rPr>
          <w:rFonts w:asciiTheme="minorHAnsi" w:hAnsiTheme="minorHAnsi"/>
          <w:color w:val="auto"/>
          <w:szCs w:val="24"/>
        </w:rPr>
        <w:t xml:space="preserve">  </w:t>
      </w:r>
    </w:p>
    <w:p w:rsidR="00631910" w:rsidRPr="00DE4A17" w:rsidRDefault="00631910" w:rsidP="002323D9">
      <w:pPr>
        <w:spacing w:line="240" w:lineRule="exact"/>
        <w:jc w:val="both"/>
        <w:rPr>
          <w:rFonts w:ascii="Calibri" w:eastAsiaTheme="minorHAnsi" w:hAnsi="Calibri" w:cstheme="minorBidi"/>
          <w:color w:val="auto"/>
          <w:szCs w:val="24"/>
        </w:rPr>
      </w:pPr>
    </w:p>
    <w:p w:rsidR="004D4847" w:rsidRDefault="004D4847" w:rsidP="00885447">
      <w:pPr>
        <w:tabs>
          <w:tab w:val="left" w:pos="288"/>
          <w:tab w:val="left" w:pos="4752"/>
        </w:tabs>
        <w:spacing w:line="240" w:lineRule="exact"/>
        <w:jc w:val="both"/>
        <w:rPr>
          <w:rFonts w:asciiTheme="minorHAnsi" w:hAnsiTheme="minorHAnsi"/>
          <w:color w:val="auto"/>
          <w:szCs w:val="24"/>
        </w:rPr>
      </w:pPr>
      <w:proofErr w:type="gramStart"/>
      <w:r w:rsidRPr="004D4847">
        <w:rPr>
          <w:rFonts w:asciiTheme="minorHAnsi" w:hAnsiTheme="minorHAnsi"/>
          <w:color w:val="auto"/>
          <w:szCs w:val="24"/>
          <w:u w:val="single"/>
        </w:rPr>
        <w:t>Conten</w:t>
      </w:r>
      <w:r w:rsidR="00904B91">
        <w:rPr>
          <w:rFonts w:asciiTheme="minorHAnsi" w:hAnsiTheme="minorHAnsi"/>
          <w:color w:val="auto"/>
          <w:szCs w:val="24"/>
          <w:u w:val="single"/>
        </w:rPr>
        <w:t>d</w:t>
      </w:r>
      <w:r w:rsidRPr="004D4847">
        <w:rPr>
          <w:rFonts w:asciiTheme="minorHAnsi" w:hAnsiTheme="minorHAnsi"/>
          <w:color w:val="auto"/>
          <w:szCs w:val="24"/>
          <w:u w:val="single"/>
        </w:rPr>
        <w:t>ed Asthma</w:t>
      </w:r>
      <w:r w:rsidRPr="009E1E64">
        <w:rPr>
          <w:rFonts w:asciiTheme="minorHAnsi" w:hAnsiTheme="minorHAnsi"/>
          <w:color w:val="auto"/>
          <w:szCs w:val="24"/>
        </w:rPr>
        <w:t>.</w:t>
      </w:r>
      <w:proofErr w:type="gramEnd"/>
      <w:r w:rsidRPr="009E1E64">
        <w:rPr>
          <w:rFonts w:asciiTheme="minorHAnsi" w:hAnsiTheme="minorHAnsi"/>
          <w:color w:val="auto"/>
          <w:szCs w:val="24"/>
        </w:rPr>
        <w:t xml:space="preserve">  </w:t>
      </w:r>
      <w:r w:rsidR="00904B91" w:rsidRPr="009E1E64">
        <w:rPr>
          <w:rFonts w:asciiTheme="minorHAnsi" w:hAnsiTheme="minorHAnsi"/>
          <w:color w:val="auto"/>
          <w:szCs w:val="24"/>
        </w:rPr>
        <w:t xml:space="preserve">Symptoms </w:t>
      </w:r>
      <w:r w:rsidR="00521402" w:rsidRPr="009E1E64">
        <w:rPr>
          <w:rFonts w:asciiTheme="minorHAnsi" w:hAnsiTheme="minorHAnsi"/>
          <w:color w:val="auto"/>
          <w:szCs w:val="24"/>
        </w:rPr>
        <w:t>suggestive of</w:t>
      </w:r>
      <w:r w:rsidR="00904B91" w:rsidRPr="009E1E64">
        <w:rPr>
          <w:rFonts w:asciiTheme="minorHAnsi" w:hAnsiTheme="minorHAnsi"/>
          <w:color w:val="auto"/>
          <w:szCs w:val="24"/>
        </w:rPr>
        <w:t xml:space="preserve"> asthma began </w:t>
      </w:r>
      <w:r w:rsidR="009E1E64" w:rsidRPr="009E1E64">
        <w:rPr>
          <w:rFonts w:asciiTheme="minorHAnsi" w:hAnsiTheme="minorHAnsi"/>
          <w:color w:val="auto"/>
          <w:szCs w:val="24"/>
        </w:rPr>
        <w:t xml:space="preserve">approximately </w:t>
      </w:r>
      <w:r w:rsidR="00904B91" w:rsidRPr="009E1E64">
        <w:rPr>
          <w:rFonts w:asciiTheme="minorHAnsi" w:hAnsiTheme="minorHAnsi"/>
          <w:color w:val="auto"/>
          <w:szCs w:val="24"/>
        </w:rPr>
        <w:t>one year prior to separation</w:t>
      </w:r>
      <w:r w:rsidR="006222C9">
        <w:rPr>
          <w:rFonts w:asciiTheme="minorHAnsi" w:hAnsiTheme="minorHAnsi"/>
          <w:color w:val="auto"/>
          <w:szCs w:val="24"/>
        </w:rPr>
        <w:t>;</w:t>
      </w:r>
      <w:r w:rsidR="008116C9">
        <w:rPr>
          <w:rFonts w:asciiTheme="minorHAnsi" w:hAnsiTheme="minorHAnsi"/>
          <w:color w:val="auto"/>
          <w:szCs w:val="24"/>
        </w:rPr>
        <w:t xml:space="preserve"> however</w:t>
      </w:r>
      <w:r w:rsidR="006222C9">
        <w:rPr>
          <w:rFonts w:asciiTheme="minorHAnsi" w:hAnsiTheme="minorHAnsi"/>
          <w:color w:val="auto"/>
          <w:szCs w:val="24"/>
        </w:rPr>
        <w:t>,</w:t>
      </w:r>
      <w:r w:rsidR="008116C9">
        <w:rPr>
          <w:rFonts w:asciiTheme="minorHAnsi" w:hAnsiTheme="minorHAnsi"/>
          <w:color w:val="auto"/>
          <w:szCs w:val="24"/>
        </w:rPr>
        <w:t xml:space="preserve"> there were occasional clinic visits for symptoms suggestive of asthma over several years.</w:t>
      </w:r>
      <w:r w:rsidR="00904B91" w:rsidRPr="009E1E64">
        <w:rPr>
          <w:rFonts w:asciiTheme="minorHAnsi" w:hAnsiTheme="minorHAnsi"/>
          <w:color w:val="auto"/>
          <w:szCs w:val="24"/>
        </w:rPr>
        <w:t xml:space="preserve">  </w:t>
      </w:r>
      <w:r w:rsidR="009E1E64">
        <w:rPr>
          <w:rFonts w:asciiTheme="minorHAnsi" w:hAnsiTheme="minorHAnsi"/>
          <w:color w:val="auto"/>
          <w:szCs w:val="24"/>
        </w:rPr>
        <w:t xml:space="preserve">A chest </w:t>
      </w:r>
      <w:r w:rsidR="006222C9">
        <w:rPr>
          <w:rFonts w:asciiTheme="minorHAnsi" w:hAnsiTheme="minorHAnsi"/>
          <w:color w:val="auto"/>
          <w:szCs w:val="24"/>
        </w:rPr>
        <w:t>computed tomography</w:t>
      </w:r>
      <w:r w:rsidR="00904B91" w:rsidRPr="009E1E64">
        <w:rPr>
          <w:rFonts w:asciiTheme="minorHAnsi" w:hAnsiTheme="minorHAnsi"/>
          <w:color w:val="auto"/>
          <w:szCs w:val="24"/>
        </w:rPr>
        <w:t xml:space="preserve"> scan </w:t>
      </w:r>
      <w:r w:rsidR="009E1E64">
        <w:rPr>
          <w:rFonts w:asciiTheme="minorHAnsi" w:hAnsiTheme="minorHAnsi"/>
          <w:color w:val="auto"/>
          <w:szCs w:val="24"/>
        </w:rPr>
        <w:t>13 April 2006 was normal and p</w:t>
      </w:r>
      <w:r w:rsidR="00904B91" w:rsidRPr="009E1E64">
        <w:rPr>
          <w:rFonts w:asciiTheme="minorHAnsi" w:hAnsiTheme="minorHAnsi"/>
          <w:color w:val="auto"/>
          <w:szCs w:val="24"/>
        </w:rPr>
        <w:t xml:space="preserve">ulmonary function testing </w:t>
      </w:r>
      <w:r w:rsidR="00DA72BF">
        <w:rPr>
          <w:rFonts w:asciiTheme="minorHAnsi" w:hAnsiTheme="minorHAnsi"/>
          <w:color w:val="auto"/>
          <w:szCs w:val="24"/>
        </w:rPr>
        <w:t xml:space="preserve">on </w:t>
      </w:r>
      <w:r w:rsidR="00904B91" w:rsidRPr="009E1E64">
        <w:rPr>
          <w:rFonts w:asciiTheme="minorHAnsi" w:hAnsiTheme="minorHAnsi"/>
          <w:color w:val="auto"/>
          <w:szCs w:val="24"/>
        </w:rPr>
        <w:t>7 August 2006</w:t>
      </w:r>
      <w:r w:rsidR="00006E6B" w:rsidRPr="009E1E64">
        <w:rPr>
          <w:rFonts w:asciiTheme="minorHAnsi" w:hAnsiTheme="minorHAnsi"/>
          <w:color w:val="auto"/>
          <w:szCs w:val="24"/>
        </w:rPr>
        <w:t xml:space="preserve"> showed findings </w:t>
      </w:r>
      <w:r w:rsidR="008116C9">
        <w:rPr>
          <w:rFonts w:asciiTheme="minorHAnsi" w:hAnsiTheme="minorHAnsi"/>
          <w:color w:val="auto"/>
          <w:szCs w:val="24"/>
        </w:rPr>
        <w:t>of mild obstruction that improved with bronchodilator</w:t>
      </w:r>
      <w:r w:rsidR="00DA72BF">
        <w:rPr>
          <w:rFonts w:asciiTheme="minorHAnsi" w:hAnsiTheme="minorHAnsi"/>
          <w:color w:val="auto"/>
          <w:szCs w:val="24"/>
        </w:rPr>
        <w:t>,</w:t>
      </w:r>
      <w:r w:rsidR="008116C9">
        <w:rPr>
          <w:rFonts w:asciiTheme="minorHAnsi" w:hAnsiTheme="minorHAnsi"/>
          <w:color w:val="auto"/>
          <w:szCs w:val="24"/>
        </w:rPr>
        <w:t xml:space="preserve"> interpreted as </w:t>
      </w:r>
      <w:r w:rsidR="00006E6B" w:rsidRPr="009E1E64">
        <w:rPr>
          <w:rFonts w:asciiTheme="minorHAnsi" w:hAnsiTheme="minorHAnsi"/>
          <w:color w:val="auto"/>
          <w:szCs w:val="24"/>
        </w:rPr>
        <w:t xml:space="preserve">“probably consistent with asthma.”  The CI </w:t>
      </w:r>
      <w:r w:rsidR="001F4B7C">
        <w:rPr>
          <w:rFonts w:asciiTheme="minorHAnsi" w:hAnsiTheme="minorHAnsi"/>
          <w:color w:val="auto"/>
          <w:szCs w:val="24"/>
        </w:rPr>
        <w:t xml:space="preserve">was treated with </w:t>
      </w:r>
      <w:r w:rsidR="00006E6B" w:rsidRPr="009E1E64">
        <w:rPr>
          <w:rFonts w:asciiTheme="minorHAnsi" w:hAnsiTheme="minorHAnsi"/>
          <w:color w:val="auto"/>
          <w:szCs w:val="24"/>
        </w:rPr>
        <w:t>maintenance and rescue inhaler medication</w:t>
      </w:r>
      <w:r w:rsidR="00420FAC" w:rsidRPr="009E1E64">
        <w:rPr>
          <w:rFonts w:asciiTheme="minorHAnsi" w:hAnsiTheme="minorHAnsi"/>
          <w:color w:val="auto"/>
          <w:szCs w:val="24"/>
        </w:rPr>
        <w:t xml:space="preserve">, and on occasion </w:t>
      </w:r>
      <w:r w:rsidR="001F4B7C">
        <w:rPr>
          <w:rFonts w:asciiTheme="minorHAnsi" w:hAnsiTheme="minorHAnsi"/>
          <w:color w:val="auto"/>
          <w:szCs w:val="24"/>
        </w:rPr>
        <w:t xml:space="preserve">was prescribed </w:t>
      </w:r>
      <w:r w:rsidR="00420FAC" w:rsidRPr="009E1E64">
        <w:rPr>
          <w:rFonts w:asciiTheme="minorHAnsi" w:hAnsiTheme="minorHAnsi"/>
          <w:color w:val="auto"/>
          <w:szCs w:val="24"/>
        </w:rPr>
        <w:t xml:space="preserve">steroids for </w:t>
      </w:r>
      <w:r w:rsidR="001F4B7C">
        <w:rPr>
          <w:rFonts w:asciiTheme="minorHAnsi" w:hAnsiTheme="minorHAnsi"/>
          <w:color w:val="auto"/>
          <w:szCs w:val="24"/>
        </w:rPr>
        <w:t>increased symptoms</w:t>
      </w:r>
      <w:r w:rsidR="008116C9">
        <w:rPr>
          <w:rFonts w:asciiTheme="minorHAnsi" w:hAnsiTheme="minorHAnsi"/>
          <w:color w:val="auto"/>
          <w:szCs w:val="24"/>
        </w:rPr>
        <w:t xml:space="preserve"> on three occasions.  E</w:t>
      </w:r>
      <w:r w:rsidR="001F4B7C">
        <w:rPr>
          <w:rFonts w:asciiTheme="minorHAnsi" w:hAnsiTheme="minorHAnsi"/>
          <w:color w:val="auto"/>
          <w:szCs w:val="24"/>
        </w:rPr>
        <w:t xml:space="preserve">xaminations </w:t>
      </w:r>
      <w:r w:rsidR="008116C9">
        <w:rPr>
          <w:rFonts w:asciiTheme="minorHAnsi" w:hAnsiTheme="minorHAnsi"/>
          <w:color w:val="auto"/>
          <w:szCs w:val="24"/>
        </w:rPr>
        <w:t xml:space="preserve">during symptoms </w:t>
      </w:r>
      <w:r w:rsidR="001F4B7C">
        <w:rPr>
          <w:rFonts w:asciiTheme="minorHAnsi" w:hAnsiTheme="minorHAnsi"/>
          <w:color w:val="auto"/>
          <w:szCs w:val="24"/>
        </w:rPr>
        <w:t xml:space="preserve">were </w:t>
      </w:r>
      <w:r w:rsidR="008116C9">
        <w:rPr>
          <w:rFonts w:asciiTheme="minorHAnsi" w:hAnsiTheme="minorHAnsi"/>
          <w:color w:val="auto"/>
          <w:szCs w:val="24"/>
        </w:rPr>
        <w:t xml:space="preserve">usually </w:t>
      </w:r>
      <w:r w:rsidR="001F4B7C">
        <w:rPr>
          <w:rFonts w:asciiTheme="minorHAnsi" w:hAnsiTheme="minorHAnsi"/>
          <w:color w:val="auto"/>
          <w:szCs w:val="24"/>
        </w:rPr>
        <w:t>noted for absence of wheezing, normal peak flow</w:t>
      </w:r>
      <w:r w:rsidR="008116C9">
        <w:rPr>
          <w:rFonts w:asciiTheme="minorHAnsi" w:hAnsiTheme="minorHAnsi"/>
          <w:color w:val="auto"/>
          <w:szCs w:val="24"/>
        </w:rPr>
        <w:t xml:space="preserve">, and normal oxygen levels.  </w:t>
      </w:r>
      <w:r w:rsidR="00F271DD">
        <w:rPr>
          <w:rFonts w:asciiTheme="minorHAnsi" w:hAnsiTheme="minorHAnsi"/>
          <w:color w:val="auto"/>
          <w:szCs w:val="24"/>
        </w:rPr>
        <w:t>Clinic notes reflect release from clinic</w:t>
      </w:r>
      <w:r w:rsidR="006222C9">
        <w:rPr>
          <w:rFonts w:asciiTheme="minorHAnsi" w:hAnsiTheme="minorHAnsi"/>
          <w:color w:val="auto"/>
          <w:szCs w:val="24"/>
        </w:rPr>
        <w:t>,</w:t>
      </w:r>
      <w:r w:rsidR="00F271DD">
        <w:rPr>
          <w:rFonts w:asciiTheme="minorHAnsi" w:hAnsiTheme="minorHAnsi"/>
          <w:color w:val="auto"/>
          <w:szCs w:val="24"/>
        </w:rPr>
        <w:t xml:space="preserve"> without limitations.  </w:t>
      </w:r>
      <w:r w:rsidR="00006E6B" w:rsidRPr="009E1E64">
        <w:rPr>
          <w:rFonts w:asciiTheme="minorHAnsi" w:hAnsiTheme="minorHAnsi"/>
          <w:color w:val="auto"/>
          <w:szCs w:val="24"/>
        </w:rPr>
        <w:t xml:space="preserve">Approximately </w:t>
      </w:r>
      <w:r w:rsidR="008116C9">
        <w:rPr>
          <w:rFonts w:asciiTheme="minorHAnsi" w:hAnsiTheme="minorHAnsi"/>
          <w:color w:val="auto"/>
          <w:szCs w:val="24"/>
        </w:rPr>
        <w:t xml:space="preserve">two </w:t>
      </w:r>
      <w:r w:rsidR="00006E6B" w:rsidRPr="009E1E64">
        <w:rPr>
          <w:rFonts w:asciiTheme="minorHAnsi" w:hAnsiTheme="minorHAnsi"/>
          <w:color w:val="auto"/>
          <w:szCs w:val="24"/>
        </w:rPr>
        <w:t>week</w:t>
      </w:r>
      <w:r w:rsidR="008116C9">
        <w:rPr>
          <w:rFonts w:asciiTheme="minorHAnsi" w:hAnsiTheme="minorHAnsi"/>
          <w:color w:val="auto"/>
          <w:szCs w:val="24"/>
        </w:rPr>
        <w:t>s</w:t>
      </w:r>
      <w:r w:rsidR="00006E6B" w:rsidRPr="009E1E64">
        <w:rPr>
          <w:rFonts w:asciiTheme="minorHAnsi" w:hAnsiTheme="minorHAnsi"/>
          <w:color w:val="auto"/>
          <w:szCs w:val="24"/>
        </w:rPr>
        <w:t xml:space="preserve"> prior to separation</w:t>
      </w:r>
      <w:r w:rsidR="006222C9">
        <w:rPr>
          <w:rFonts w:asciiTheme="minorHAnsi" w:hAnsiTheme="minorHAnsi"/>
          <w:color w:val="auto"/>
          <w:szCs w:val="24"/>
        </w:rPr>
        <w:t>,</w:t>
      </w:r>
      <w:r w:rsidR="00006E6B" w:rsidRPr="009E1E64">
        <w:rPr>
          <w:rFonts w:asciiTheme="minorHAnsi" w:hAnsiTheme="minorHAnsi"/>
          <w:color w:val="auto"/>
          <w:szCs w:val="24"/>
        </w:rPr>
        <w:t xml:space="preserve"> he was hospitalized for one day for an asthma exacerbation which was quickly controlled with additional medication.  </w:t>
      </w:r>
      <w:r w:rsidR="00420FAC" w:rsidRPr="009E1E64">
        <w:rPr>
          <w:rFonts w:asciiTheme="minorHAnsi" w:hAnsiTheme="minorHAnsi"/>
          <w:color w:val="auto"/>
          <w:szCs w:val="24"/>
        </w:rPr>
        <w:t>The C&amp;P examiner reported that exp</w:t>
      </w:r>
      <w:r w:rsidR="004A733F" w:rsidRPr="009E1E64">
        <w:rPr>
          <w:rFonts w:asciiTheme="minorHAnsi" w:hAnsiTheme="minorHAnsi"/>
          <w:color w:val="auto"/>
          <w:szCs w:val="24"/>
        </w:rPr>
        <w:t>osure to pets and smoke</w:t>
      </w:r>
      <w:r w:rsidR="00420FAC" w:rsidRPr="009E1E64">
        <w:rPr>
          <w:rFonts w:asciiTheme="minorHAnsi" w:hAnsiTheme="minorHAnsi"/>
          <w:color w:val="auto"/>
          <w:szCs w:val="24"/>
        </w:rPr>
        <w:t xml:space="preserve"> or cutting the grass caused wheezing and trouble breathing</w:t>
      </w:r>
      <w:r w:rsidR="004A733F" w:rsidRPr="009E1E64">
        <w:rPr>
          <w:rFonts w:asciiTheme="minorHAnsi" w:hAnsiTheme="minorHAnsi"/>
          <w:color w:val="auto"/>
          <w:szCs w:val="24"/>
        </w:rPr>
        <w:t xml:space="preserve"> requiring use of rescue medication</w:t>
      </w:r>
      <w:r w:rsidR="00420FAC" w:rsidRPr="009E1E64">
        <w:rPr>
          <w:rFonts w:asciiTheme="minorHAnsi" w:hAnsiTheme="minorHAnsi"/>
          <w:color w:val="auto"/>
          <w:szCs w:val="24"/>
        </w:rPr>
        <w:t>.</w:t>
      </w:r>
      <w:r w:rsidR="004A733F" w:rsidRPr="009E1E64">
        <w:rPr>
          <w:rFonts w:asciiTheme="minorHAnsi" w:hAnsiTheme="minorHAnsi"/>
          <w:color w:val="auto"/>
          <w:szCs w:val="24"/>
        </w:rPr>
        <w:t xml:space="preserve">  Preventive inhaled medication was not mentioned.  Pulmonary physical exam was normal.</w:t>
      </w:r>
      <w:r w:rsidR="004A733F">
        <w:rPr>
          <w:rFonts w:asciiTheme="minorHAnsi" w:hAnsiTheme="minorHAnsi"/>
          <w:color w:val="FF0000"/>
          <w:szCs w:val="24"/>
        </w:rPr>
        <w:t xml:space="preserve">  </w:t>
      </w:r>
      <w:r w:rsidR="00521402">
        <w:rPr>
          <w:rFonts w:asciiTheme="minorHAnsi" w:hAnsiTheme="minorHAnsi"/>
          <w:color w:val="auto"/>
          <w:szCs w:val="24"/>
        </w:rPr>
        <w:t>The asthma condition was not profiled and was not implicated in the commander’s statement.</w:t>
      </w:r>
      <w:r w:rsidR="008116C9">
        <w:rPr>
          <w:rFonts w:asciiTheme="minorHAnsi" w:hAnsiTheme="minorHAnsi"/>
          <w:color w:val="auto"/>
          <w:szCs w:val="24"/>
        </w:rPr>
        <w:t xml:space="preserve">  </w:t>
      </w:r>
      <w:r w:rsidR="00521402">
        <w:rPr>
          <w:rFonts w:asciiTheme="minorHAnsi" w:hAnsiTheme="minorHAnsi"/>
          <w:color w:val="auto"/>
          <w:szCs w:val="24"/>
        </w:rPr>
        <w:t xml:space="preserve">After due deliberation in consideration of the totality of the evidence, the Board concluded that there was insufficient cause to recommend a change from the PEB fitness adjudication for the asthma condition.  </w:t>
      </w:r>
    </w:p>
    <w:p w:rsidR="00521402" w:rsidRPr="004D4847" w:rsidRDefault="00521402" w:rsidP="00885447">
      <w:pPr>
        <w:tabs>
          <w:tab w:val="left" w:pos="288"/>
          <w:tab w:val="left" w:pos="4752"/>
        </w:tabs>
        <w:spacing w:line="240" w:lineRule="exact"/>
        <w:jc w:val="both"/>
        <w:rPr>
          <w:rFonts w:asciiTheme="minorHAnsi" w:hAnsiTheme="minorHAnsi"/>
          <w:color w:val="auto"/>
          <w:szCs w:val="24"/>
        </w:rPr>
      </w:pPr>
    </w:p>
    <w:p w:rsidR="004A2A00" w:rsidRPr="009935C0" w:rsidRDefault="00E42F1D" w:rsidP="009935C0">
      <w:pPr>
        <w:tabs>
          <w:tab w:val="left" w:pos="288"/>
          <w:tab w:val="left" w:pos="4752"/>
        </w:tabs>
        <w:spacing w:line="240" w:lineRule="exact"/>
        <w:jc w:val="both"/>
        <w:rPr>
          <w:rFonts w:asciiTheme="minorHAnsi" w:hAnsiTheme="minorHAnsi"/>
          <w:color w:val="FF0000"/>
          <w:szCs w:val="24"/>
        </w:rPr>
      </w:pPr>
      <w:proofErr w:type="gramStart"/>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Pr="00E42F1D">
        <w:rPr>
          <w:rFonts w:asciiTheme="minorHAnsi" w:hAnsiTheme="minorHAnsi"/>
          <w:color w:val="auto"/>
          <w:szCs w:val="24"/>
        </w:rPr>
        <w:t>.</w:t>
      </w:r>
      <w:proofErr w:type="gramEnd"/>
      <w:r w:rsidR="00521402">
        <w:rPr>
          <w:rFonts w:asciiTheme="minorHAnsi" w:hAnsiTheme="minorHAnsi"/>
          <w:color w:val="auto"/>
          <w:szCs w:val="24"/>
        </w:rPr>
        <w:t xml:space="preserve">  </w:t>
      </w:r>
      <w:r w:rsidRPr="00E42F1D">
        <w:rPr>
          <w:rFonts w:asciiTheme="minorHAnsi" w:hAnsiTheme="minorHAnsi"/>
          <w:color w:val="auto"/>
          <w:szCs w:val="24"/>
        </w:rPr>
        <w:t>The other condition adjudicated as not unfitting by the PEB w</w:t>
      </w:r>
      <w:r w:rsidR="00521402">
        <w:rPr>
          <w:rFonts w:asciiTheme="minorHAnsi" w:hAnsiTheme="minorHAnsi"/>
          <w:color w:val="auto"/>
          <w:szCs w:val="24"/>
        </w:rPr>
        <w:t>as</w:t>
      </w:r>
      <w:r w:rsidR="003C1EA8">
        <w:rPr>
          <w:rFonts w:asciiTheme="minorHAnsi" w:hAnsiTheme="minorHAnsi"/>
          <w:color w:val="auto"/>
          <w:szCs w:val="24"/>
        </w:rPr>
        <w:t xml:space="preserve"> adjustment disorder with anxious mood</w:t>
      </w:r>
      <w:r w:rsidRPr="003450C2">
        <w:rPr>
          <w:rFonts w:asciiTheme="minorHAnsi" w:hAnsiTheme="minorHAnsi"/>
          <w:color w:val="auto"/>
          <w:szCs w:val="24"/>
        </w:rPr>
        <w:t xml:space="preserve">.  </w:t>
      </w:r>
      <w:r w:rsidR="003C1EA8" w:rsidRPr="003450C2">
        <w:rPr>
          <w:rFonts w:asciiTheme="minorHAnsi" w:hAnsiTheme="minorHAnsi"/>
          <w:color w:val="auto"/>
          <w:szCs w:val="24"/>
        </w:rPr>
        <w:t>The CI first presented with anxiety symptoms in April 2006 which stemmed specifically from a difficult situ</w:t>
      </w:r>
      <w:r w:rsidR="004B01F4">
        <w:rPr>
          <w:rFonts w:asciiTheme="minorHAnsi" w:hAnsiTheme="minorHAnsi"/>
          <w:color w:val="auto"/>
          <w:szCs w:val="24"/>
        </w:rPr>
        <w:t xml:space="preserve">ation with a co-worker.  </w:t>
      </w:r>
      <w:r w:rsidR="009D2F2D">
        <w:rPr>
          <w:rFonts w:asciiTheme="minorHAnsi" w:hAnsiTheme="minorHAnsi"/>
          <w:color w:val="auto"/>
          <w:szCs w:val="24"/>
        </w:rPr>
        <w:t>Brief t</w:t>
      </w:r>
      <w:r w:rsidR="003C1EA8" w:rsidRPr="003450C2">
        <w:rPr>
          <w:rFonts w:asciiTheme="minorHAnsi" w:hAnsiTheme="minorHAnsi"/>
          <w:color w:val="auto"/>
          <w:szCs w:val="24"/>
        </w:rPr>
        <w:t>reatment with psychotropic medication was not helpful.  A psychiatric NARSUM addendum</w:t>
      </w:r>
      <w:r w:rsidR="003450C2" w:rsidRPr="003450C2">
        <w:rPr>
          <w:rFonts w:asciiTheme="minorHAnsi" w:hAnsiTheme="minorHAnsi"/>
          <w:color w:val="auto"/>
          <w:szCs w:val="24"/>
        </w:rPr>
        <w:t xml:space="preserve"> recorded a completely normal mental status examination and stated that there was no impairment for further military service</w:t>
      </w:r>
      <w:r w:rsidR="003450C2">
        <w:rPr>
          <w:rFonts w:asciiTheme="minorHAnsi" w:hAnsiTheme="minorHAnsi"/>
          <w:color w:val="auto"/>
          <w:szCs w:val="24"/>
        </w:rPr>
        <w:t>, and no impairment</w:t>
      </w:r>
      <w:r w:rsidR="003450C2" w:rsidRPr="003450C2">
        <w:rPr>
          <w:rFonts w:asciiTheme="minorHAnsi" w:hAnsiTheme="minorHAnsi"/>
          <w:color w:val="auto"/>
          <w:szCs w:val="24"/>
        </w:rPr>
        <w:t xml:space="preserve"> for civilian, social, and industrial adaptability.  His psychiatric profile remained S1.</w:t>
      </w:r>
      <w:r w:rsidR="003C1EA8" w:rsidRPr="003450C2">
        <w:rPr>
          <w:rFonts w:asciiTheme="minorHAnsi" w:hAnsiTheme="minorHAnsi"/>
          <w:color w:val="auto"/>
          <w:szCs w:val="24"/>
        </w:rPr>
        <w:t xml:space="preserve">  A note from a mental health provider 13 December 2006 (one month prior to separation) stated</w:t>
      </w:r>
      <w:r w:rsidR="007278A5">
        <w:rPr>
          <w:rFonts w:asciiTheme="minorHAnsi" w:hAnsiTheme="minorHAnsi"/>
          <w:color w:val="auto"/>
          <w:szCs w:val="24"/>
        </w:rPr>
        <w:t>,</w:t>
      </w:r>
      <w:r w:rsidR="003C1EA8" w:rsidRPr="003450C2">
        <w:rPr>
          <w:rFonts w:asciiTheme="minorHAnsi" w:hAnsiTheme="minorHAnsi"/>
          <w:color w:val="auto"/>
          <w:szCs w:val="24"/>
        </w:rPr>
        <w:t xml:space="preserve"> “Client is stable, no further need of LSSC </w:t>
      </w:r>
      <w:r w:rsidR="007278A5">
        <w:rPr>
          <w:rFonts w:asciiTheme="minorHAnsi" w:hAnsiTheme="minorHAnsi"/>
          <w:color w:val="auto"/>
          <w:szCs w:val="24"/>
        </w:rPr>
        <w:t xml:space="preserve">[Life Skills] </w:t>
      </w:r>
      <w:r w:rsidR="003C1EA8" w:rsidRPr="003450C2">
        <w:rPr>
          <w:rFonts w:asciiTheme="minorHAnsi" w:hAnsiTheme="minorHAnsi"/>
          <w:color w:val="auto"/>
          <w:szCs w:val="24"/>
        </w:rPr>
        <w:t>care.”</w:t>
      </w:r>
      <w:r w:rsidR="003450C2" w:rsidRPr="003450C2">
        <w:rPr>
          <w:rFonts w:asciiTheme="minorHAnsi" w:hAnsiTheme="minorHAnsi"/>
          <w:color w:val="auto"/>
          <w:szCs w:val="24"/>
        </w:rPr>
        <w:t xml:space="preserve">  </w:t>
      </w:r>
      <w:r w:rsidR="009935C0">
        <w:rPr>
          <w:rFonts w:asciiTheme="minorHAnsi" w:hAnsiTheme="minorHAnsi"/>
          <w:color w:val="auto"/>
          <w:szCs w:val="24"/>
        </w:rPr>
        <w:t>This</w:t>
      </w:r>
      <w:r w:rsidR="009935C0" w:rsidRPr="00E42F1D">
        <w:rPr>
          <w:rFonts w:asciiTheme="minorHAnsi" w:hAnsiTheme="minorHAnsi"/>
          <w:color w:val="auto"/>
          <w:szCs w:val="24"/>
        </w:rPr>
        <w:t xml:space="preserve"> condition w</w:t>
      </w:r>
      <w:r w:rsidR="009935C0">
        <w:rPr>
          <w:rFonts w:asciiTheme="minorHAnsi" w:hAnsiTheme="minorHAnsi"/>
          <w:color w:val="auto"/>
          <w:szCs w:val="24"/>
        </w:rPr>
        <w:t>as not</w:t>
      </w:r>
      <w:r w:rsidR="009935C0" w:rsidRPr="00E42F1D">
        <w:rPr>
          <w:rFonts w:asciiTheme="minorHAnsi" w:hAnsiTheme="minorHAnsi"/>
          <w:color w:val="auto"/>
          <w:szCs w:val="24"/>
        </w:rPr>
        <w:t xml:space="preserve"> profiled, </w:t>
      </w:r>
      <w:r w:rsidR="009935C0">
        <w:rPr>
          <w:rFonts w:asciiTheme="minorHAnsi" w:hAnsiTheme="minorHAnsi"/>
          <w:color w:val="auto"/>
          <w:szCs w:val="24"/>
        </w:rPr>
        <w:t xml:space="preserve">was not </w:t>
      </w:r>
      <w:r w:rsidR="009935C0" w:rsidRPr="00E42F1D">
        <w:rPr>
          <w:rFonts w:asciiTheme="minorHAnsi" w:hAnsiTheme="minorHAnsi"/>
          <w:color w:val="auto"/>
          <w:szCs w:val="24"/>
        </w:rPr>
        <w:t xml:space="preserve">implicated in the </w:t>
      </w:r>
      <w:r w:rsidR="009935C0">
        <w:rPr>
          <w:rFonts w:asciiTheme="minorHAnsi" w:hAnsiTheme="minorHAnsi"/>
          <w:color w:val="auto"/>
          <w:szCs w:val="24"/>
        </w:rPr>
        <w:t>c</w:t>
      </w:r>
      <w:r w:rsidR="009935C0" w:rsidRPr="00E42F1D">
        <w:rPr>
          <w:rFonts w:asciiTheme="minorHAnsi" w:hAnsiTheme="minorHAnsi"/>
          <w:color w:val="auto"/>
          <w:szCs w:val="24"/>
        </w:rPr>
        <w:t xml:space="preserve">ommander’s statement or noted as failing retention standards.  </w:t>
      </w:r>
      <w:r w:rsidR="009935C0">
        <w:rPr>
          <w:rFonts w:asciiTheme="minorHAnsi" w:hAnsiTheme="minorHAnsi"/>
          <w:color w:val="auto"/>
          <w:szCs w:val="24"/>
        </w:rPr>
        <w:t>It was</w:t>
      </w:r>
      <w:r w:rsidR="009935C0" w:rsidRPr="00E42F1D">
        <w:rPr>
          <w:rFonts w:asciiTheme="minorHAnsi" w:hAnsiTheme="minorHAnsi"/>
          <w:color w:val="auto"/>
          <w:szCs w:val="24"/>
        </w:rPr>
        <w:t xml:space="preserve"> reviewed by the </w:t>
      </w:r>
      <w:r w:rsidR="009935C0">
        <w:rPr>
          <w:rFonts w:asciiTheme="minorHAnsi" w:hAnsiTheme="minorHAnsi"/>
          <w:color w:val="auto"/>
          <w:szCs w:val="24"/>
        </w:rPr>
        <w:t>a</w:t>
      </w:r>
      <w:r w:rsidR="009935C0" w:rsidRPr="00E42F1D">
        <w:rPr>
          <w:rFonts w:asciiTheme="minorHAnsi" w:hAnsiTheme="minorHAnsi"/>
          <w:color w:val="auto"/>
          <w:szCs w:val="24"/>
        </w:rPr>
        <w:t xml:space="preserve">ction </w:t>
      </w:r>
      <w:r w:rsidR="009935C0">
        <w:rPr>
          <w:rFonts w:asciiTheme="minorHAnsi" w:hAnsiTheme="minorHAnsi"/>
          <w:color w:val="auto"/>
          <w:szCs w:val="24"/>
        </w:rPr>
        <w:t>o</w:t>
      </w:r>
      <w:r w:rsidR="009935C0" w:rsidRPr="00E42F1D">
        <w:rPr>
          <w:rFonts w:asciiTheme="minorHAnsi" w:hAnsiTheme="minorHAnsi"/>
          <w:color w:val="auto"/>
          <w:szCs w:val="24"/>
        </w:rPr>
        <w:t xml:space="preserve">fficer and considered by the Board.  </w:t>
      </w:r>
      <w:r w:rsidR="00123432" w:rsidRPr="00E42F1D">
        <w:rPr>
          <w:rFonts w:asciiTheme="minorHAnsi" w:hAnsiTheme="minorHAnsi"/>
          <w:color w:val="auto"/>
          <w:szCs w:val="24"/>
        </w:rPr>
        <w:t xml:space="preserve">There was no indication from the record that </w:t>
      </w:r>
      <w:r w:rsidR="00123432">
        <w:rPr>
          <w:rFonts w:asciiTheme="minorHAnsi" w:hAnsiTheme="minorHAnsi"/>
          <w:color w:val="auto"/>
          <w:szCs w:val="24"/>
        </w:rPr>
        <w:t xml:space="preserve">this </w:t>
      </w:r>
      <w:r w:rsidR="00123432" w:rsidRPr="00E42F1D">
        <w:rPr>
          <w:rFonts w:asciiTheme="minorHAnsi" w:hAnsiTheme="minorHAnsi"/>
          <w:color w:val="auto"/>
          <w:szCs w:val="24"/>
        </w:rPr>
        <w:t xml:space="preserve">condition significantly interfered with satisfactory </w:t>
      </w:r>
      <w:r w:rsidR="007278A5">
        <w:rPr>
          <w:rFonts w:asciiTheme="minorHAnsi" w:hAnsiTheme="minorHAnsi"/>
          <w:color w:val="auto"/>
          <w:szCs w:val="24"/>
        </w:rPr>
        <w:t xml:space="preserve">duty </w:t>
      </w:r>
      <w:r w:rsidR="00123432" w:rsidRPr="00E42F1D">
        <w:rPr>
          <w:rFonts w:asciiTheme="minorHAnsi" w:hAnsiTheme="minorHAnsi"/>
          <w:color w:val="auto"/>
          <w:szCs w:val="24"/>
        </w:rPr>
        <w:t>performance.  All evidence considered</w:t>
      </w:r>
      <w:proofErr w:type="gramStart"/>
      <w:r w:rsidR="00123432" w:rsidRPr="00E42F1D">
        <w:rPr>
          <w:rFonts w:asciiTheme="minorHAnsi" w:hAnsiTheme="minorHAnsi"/>
          <w:color w:val="auto"/>
          <w:szCs w:val="24"/>
        </w:rPr>
        <w:t>,</w:t>
      </w:r>
      <w:proofErr w:type="gramEnd"/>
      <w:r w:rsidR="00123432" w:rsidRPr="00E42F1D">
        <w:rPr>
          <w:rFonts w:asciiTheme="minorHAnsi" w:hAnsiTheme="minorHAnsi"/>
          <w:color w:val="auto"/>
          <w:szCs w:val="24"/>
        </w:rPr>
        <w:t xml:space="preserve"> there is not reasonable doubt in the CI’s favor supporting recharacterization of the PEB fitness adjudication</w:t>
      </w:r>
      <w:r w:rsidR="009935C0">
        <w:rPr>
          <w:rFonts w:asciiTheme="minorHAnsi" w:hAnsiTheme="minorHAnsi"/>
          <w:color w:val="auto"/>
          <w:szCs w:val="24"/>
        </w:rPr>
        <w:t xml:space="preserve"> for</w:t>
      </w:r>
      <w:r w:rsidR="00123432" w:rsidRPr="00E42F1D">
        <w:rPr>
          <w:rFonts w:asciiTheme="minorHAnsi" w:hAnsiTheme="minorHAnsi"/>
          <w:color w:val="auto"/>
          <w:szCs w:val="24"/>
        </w:rPr>
        <w:t xml:space="preserve"> the stated conditions.</w:t>
      </w:r>
      <w:r w:rsidR="00ED75F0">
        <w:rPr>
          <w:rFonts w:asciiTheme="minorHAnsi" w:hAnsiTheme="minorHAnsi"/>
          <w:color w:val="auto"/>
          <w:szCs w:val="24"/>
        </w:rPr>
        <w:t xml:space="preserve">  </w:t>
      </w:r>
      <w:r w:rsidR="003450C2">
        <w:rPr>
          <w:rFonts w:asciiTheme="minorHAnsi" w:hAnsiTheme="minorHAnsi"/>
          <w:color w:val="auto"/>
          <w:szCs w:val="24"/>
        </w:rPr>
        <w:t xml:space="preserve">The PEB also adjudicated overweight as not separately unfitting.  Overweight is a </w:t>
      </w:r>
      <w:r w:rsidR="003450C2">
        <w:rPr>
          <w:rFonts w:asciiTheme="minorHAnsi" w:hAnsiTheme="minorHAnsi"/>
          <w:color w:val="auto"/>
          <w:szCs w:val="24"/>
        </w:rPr>
        <w:lastRenderedPageBreak/>
        <w:t>condition that itself does not constitute a physical disability. The Board therefore has no reasonable basis for recommending this condition as additionally unfitting for separation rating.</w:t>
      </w:r>
    </w:p>
    <w:p w:rsidR="004A2A00" w:rsidRPr="00E42F1D" w:rsidRDefault="004A2A00" w:rsidP="004A2A00">
      <w:pPr>
        <w:tabs>
          <w:tab w:val="left" w:pos="288"/>
          <w:tab w:val="left" w:pos="4752"/>
        </w:tabs>
        <w:spacing w:line="240" w:lineRule="exact"/>
        <w:jc w:val="both"/>
        <w:rPr>
          <w:rFonts w:asciiTheme="minorHAnsi" w:hAnsiTheme="minorHAnsi"/>
          <w:color w:val="auto"/>
          <w:szCs w:val="24"/>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6A6E89">
        <w:rPr>
          <w:rFonts w:asciiTheme="minorHAnsi" w:hAnsiTheme="minorHAnsi"/>
          <w:color w:val="auto"/>
          <w:szCs w:val="24"/>
        </w:rPr>
        <w:t>hypertension, hyperlipidemia, allergies and problems hearing</w:t>
      </w:r>
      <w:r w:rsidR="00B8188C" w:rsidRPr="00B8188C">
        <w:rPr>
          <w:rFonts w:asciiTheme="minorHAnsi" w:hAnsiTheme="minorHAnsi"/>
          <w:color w:val="auto"/>
          <w:szCs w:val="24"/>
        </w:rPr>
        <w:t xml:space="preserve">.  </w:t>
      </w:r>
      <w:r w:rsidR="00B8188C" w:rsidRPr="006A6E89">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None of these conditions were clinically or occupationally si</w:t>
      </w:r>
      <w:r w:rsidR="007F114B">
        <w:rPr>
          <w:rFonts w:asciiTheme="minorHAnsi" w:hAnsiTheme="minorHAnsi"/>
          <w:color w:val="auto"/>
          <w:szCs w:val="24"/>
        </w:rPr>
        <w:t>gnificant during the MEB period, none carried attached profiles and</w:t>
      </w:r>
      <w:r w:rsidR="00F52557">
        <w:rPr>
          <w:rFonts w:asciiTheme="minorHAnsi" w:hAnsiTheme="minorHAnsi"/>
          <w:color w:val="auto"/>
          <w:szCs w:val="24"/>
        </w:rPr>
        <w:t xml:space="preserve"> none were implicated in the c</w:t>
      </w:r>
      <w:r w:rsidR="007F114B" w:rsidRPr="007F114B">
        <w:rPr>
          <w:rFonts w:asciiTheme="minorHAnsi" w:hAnsiTheme="minorHAnsi"/>
          <w:color w:val="auto"/>
          <w:szCs w:val="24"/>
        </w:rPr>
        <w:t xml:space="preserve">ommander’s statement.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6A6E89">
        <w:rPr>
          <w:rFonts w:asciiTheme="minorHAnsi" w:hAnsiTheme="minorHAnsi"/>
          <w:color w:val="auto"/>
          <w:szCs w:val="24"/>
        </w:rPr>
        <w:t>left knee patellofemoral syndrome, bilateral tinnitus and gastroenteritis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F271DD" w:rsidRDefault="00F271DD"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637AB" w:rsidRDefault="00C56FC8" w:rsidP="00DA72BF">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8F75F8">
        <w:rPr>
          <w:rFonts w:asciiTheme="minorHAnsi" w:eastAsiaTheme="minorHAnsi" w:hAnsiTheme="minorHAnsi"/>
          <w:color w:val="auto"/>
          <w:szCs w:val="24"/>
        </w:rPr>
        <w:t xml:space="preserve">  </w:t>
      </w:r>
      <w:r w:rsidRPr="00DE19F8">
        <w:rPr>
          <w:rFonts w:asciiTheme="minorHAnsi" w:eastAsiaTheme="minorHAnsi" w:hAnsiTheme="minorHAnsi"/>
          <w:color w:val="auto"/>
          <w:szCs w:val="24"/>
        </w:rPr>
        <w:t xml:space="preserve">As discussed above, PEB reliance on DoDI 1332.39 for rating </w:t>
      </w:r>
      <w:r w:rsidR="007A39EC" w:rsidRPr="00DE19F8">
        <w:rPr>
          <w:rFonts w:asciiTheme="minorHAnsi" w:eastAsiaTheme="minorHAnsi" w:hAnsiTheme="minorHAnsi"/>
          <w:color w:val="auto"/>
          <w:szCs w:val="24"/>
        </w:rPr>
        <w:t xml:space="preserve">lumbar degenerative disc disease </w:t>
      </w:r>
      <w:r w:rsidRPr="00DE19F8">
        <w:rPr>
          <w:rFonts w:asciiTheme="minorHAnsi" w:eastAsiaTheme="minorHAnsi" w:hAnsiTheme="minorHAnsi"/>
          <w:color w:val="auto"/>
          <w:szCs w:val="24"/>
        </w:rPr>
        <w:t>was operant in this case and the condition was adjudicated independently of that instruction by the Board.</w:t>
      </w:r>
      <w:r w:rsidR="008F75F8" w:rsidRPr="00DE19F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7A39EC">
        <w:rPr>
          <w:rFonts w:asciiTheme="minorHAnsi" w:eastAsiaTheme="minorHAnsi" w:hAnsiTheme="minorHAnsi"/>
          <w:color w:val="auto"/>
          <w:szCs w:val="24"/>
        </w:rPr>
        <w:t>lumbar degenerative disc disease</w:t>
      </w:r>
      <w:r w:rsidR="00412658" w:rsidRPr="00AE3316">
        <w:rPr>
          <w:rFonts w:asciiTheme="minorHAnsi" w:eastAsiaTheme="minorHAnsi" w:hAnsiTheme="minorHAnsi"/>
          <w:color w:val="auto"/>
          <w:szCs w:val="24"/>
        </w:rPr>
        <w:t xml:space="preserve"> condition and </w:t>
      </w:r>
      <w:r w:rsidR="00412658" w:rsidRPr="00DE19F8">
        <w:rPr>
          <w:rFonts w:asciiTheme="minorHAnsi" w:eastAsiaTheme="minorHAnsi" w:hAnsiTheme="minorHAnsi"/>
          <w:color w:val="auto"/>
          <w:szCs w:val="24"/>
        </w:rPr>
        <w:t>IAW VASRD §4.71a</w:t>
      </w:r>
      <w:r w:rsidR="00412658" w:rsidRPr="00AE3316">
        <w:rPr>
          <w:rFonts w:asciiTheme="minorHAnsi" w:eastAsiaTheme="minorHAnsi" w:hAnsiTheme="minorHAnsi"/>
          <w:color w:val="auto"/>
          <w:szCs w:val="24"/>
        </w:rPr>
        <w:t xml:space="preserve">, the Board </w:t>
      </w:r>
      <w:r w:rsidR="00412658" w:rsidRPr="008F75F8">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no </w:t>
      </w:r>
      <w:r w:rsidR="00412658">
        <w:rPr>
          <w:rFonts w:asciiTheme="minorHAnsi" w:eastAsiaTheme="minorHAnsi" w:hAnsiTheme="minorHAnsi"/>
          <w:color w:val="auto"/>
          <w:szCs w:val="24"/>
        </w:rPr>
        <w:t>change in</w:t>
      </w:r>
      <w:r w:rsidR="00412658" w:rsidRPr="00AE3316">
        <w:rPr>
          <w:rFonts w:asciiTheme="minorHAnsi" w:eastAsiaTheme="minorHAnsi" w:hAnsiTheme="minorHAnsi"/>
          <w:color w:val="auto"/>
          <w:szCs w:val="24"/>
        </w:rPr>
        <w:t xml:space="preserve"> the PEB </w:t>
      </w:r>
      <w:r w:rsidR="00412658">
        <w:rPr>
          <w:rFonts w:asciiTheme="minorHAnsi" w:eastAsiaTheme="minorHAnsi" w:hAnsiTheme="minorHAnsi"/>
          <w:color w:val="auto"/>
          <w:szCs w:val="24"/>
        </w:rPr>
        <w:t>adjudication</w:t>
      </w:r>
      <w:r w:rsidR="00412658" w:rsidRPr="00DE19F8">
        <w:rPr>
          <w:rFonts w:asciiTheme="minorHAnsi" w:eastAsiaTheme="minorHAnsi" w:hAnsiTheme="minorHAnsi"/>
          <w:color w:val="auto"/>
          <w:szCs w:val="24"/>
        </w:rPr>
        <w:t>.</w:t>
      </w:r>
      <w:r w:rsidR="00ED75F0" w:rsidRPr="00DE19F8">
        <w:rPr>
          <w:rFonts w:asciiTheme="minorHAnsi" w:eastAsiaTheme="minorHAnsi" w:hAnsiTheme="minorHAnsi"/>
          <w:color w:val="auto"/>
          <w:szCs w:val="24"/>
        </w:rPr>
        <w:t xml:space="preserve">  </w:t>
      </w:r>
      <w:r w:rsidR="00412658" w:rsidRPr="00DE19F8">
        <w:rPr>
          <w:rFonts w:asciiTheme="minorHAnsi" w:eastAsiaTheme="minorHAnsi" w:hAnsiTheme="minorHAnsi"/>
          <w:color w:val="auto"/>
          <w:szCs w:val="24"/>
        </w:rPr>
        <w:t xml:space="preserve">In the matter of the </w:t>
      </w:r>
      <w:r w:rsidR="005720A4" w:rsidRPr="00DE19F8">
        <w:rPr>
          <w:rFonts w:asciiTheme="minorHAnsi" w:eastAsiaTheme="minorHAnsi" w:hAnsiTheme="minorHAnsi"/>
          <w:color w:val="auto"/>
          <w:szCs w:val="24"/>
        </w:rPr>
        <w:t>OSA</w:t>
      </w:r>
      <w:r w:rsidR="00412658" w:rsidRPr="00DE19F8">
        <w:rPr>
          <w:rFonts w:asciiTheme="minorHAnsi" w:eastAsiaTheme="minorHAnsi" w:hAnsiTheme="minorHAnsi"/>
          <w:color w:val="auto"/>
          <w:szCs w:val="24"/>
        </w:rPr>
        <w:t xml:space="preserve"> condition, the Board unanimously agrees that it cannot recommend a finding of unfit for additional rating at separation.</w:t>
      </w:r>
      <w:r w:rsidR="00ED75F0" w:rsidRPr="00DE19F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2947C3">
        <w:rPr>
          <w:rFonts w:asciiTheme="minorHAnsi" w:eastAsiaTheme="minorHAnsi" w:hAnsiTheme="minorHAnsi"/>
          <w:color w:val="auto"/>
          <w:szCs w:val="24"/>
        </w:rPr>
        <w:t>asthma and adjustment disorder c</w:t>
      </w:r>
      <w:r w:rsidR="00412658" w:rsidRPr="00AE3316">
        <w:rPr>
          <w:rFonts w:asciiTheme="minorHAnsi" w:eastAsiaTheme="minorHAnsi" w:hAnsiTheme="minorHAnsi"/>
          <w:color w:val="auto"/>
          <w:szCs w:val="24"/>
        </w:rPr>
        <w:t>ondition</w:t>
      </w:r>
      <w:r w:rsidR="00412658" w:rsidRPr="002947C3">
        <w:rPr>
          <w:rFonts w:asciiTheme="minorHAnsi" w:eastAsiaTheme="minorHAnsi" w:hAnsiTheme="minorHAnsi"/>
          <w:color w:val="auto"/>
          <w:szCs w:val="24"/>
        </w:rPr>
        <w:t>s</w:t>
      </w:r>
      <w:r w:rsidR="00412658" w:rsidRPr="00AE3316">
        <w:rPr>
          <w:rFonts w:asciiTheme="minorHAnsi" w:eastAsiaTheme="minorHAnsi" w:hAnsiTheme="minorHAnsi"/>
          <w:color w:val="auto"/>
          <w:szCs w:val="24"/>
        </w:rPr>
        <w:t xml:space="preserve">, the Board </w:t>
      </w:r>
      <w:r w:rsidR="00412658" w:rsidRPr="00ED75F0">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no </w:t>
      </w:r>
      <w:r w:rsidR="008521AC">
        <w:rPr>
          <w:rFonts w:asciiTheme="minorHAnsi" w:eastAsiaTheme="minorHAnsi" w:hAnsiTheme="minorHAnsi"/>
          <w:color w:val="auto"/>
          <w:szCs w:val="24"/>
        </w:rPr>
        <w:t>change from</w:t>
      </w:r>
      <w:r w:rsidR="00412658" w:rsidRPr="00AE3316">
        <w:rPr>
          <w:rFonts w:asciiTheme="minorHAnsi" w:eastAsiaTheme="minorHAnsi" w:hAnsiTheme="minorHAnsi"/>
          <w:color w:val="auto"/>
          <w:szCs w:val="24"/>
        </w:rPr>
        <w:t xml:space="preserve"> the PEB adjudication</w:t>
      </w:r>
      <w:r w:rsidR="00412658" w:rsidRPr="005720A4">
        <w:rPr>
          <w:rFonts w:asciiTheme="minorHAnsi" w:eastAsiaTheme="minorHAnsi" w:hAnsiTheme="minorHAnsi"/>
          <w:color w:val="auto"/>
          <w:szCs w:val="24"/>
        </w:rPr>
        <w:t>s</w:t>
      </w:r>
      <w:r w:rsidR="00412658" w:rsidRPr="00AE3316">
        <w:rPr>
          <w:rFonts w:asciiTheme="minorHAnsi" w:eastAsiaTheme="minorHAnsi" w:hAnsiTheme="minorHAnsi"/>
          <w:color w:val="auto"/>
          <w:szCs w:val="24"/>
        </w:rPr>
        <w:t xml:space="preserve"> as not unfitting.</w:t>
      </w:r>
      <w:r w:rsidR="00ED75F0">
        <w:rPr>
          <w:rFonts w:asciiTheme="minorHAnsi" w:eastAsia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5720A4">
        <w:rPr>
          <w:rFonts w:asciiTheme="minorHAnsi" w:hAnsiTheme="minorHAnsi"/>
          <w:color w:val="auto"/>
          <w:szCs w:val="24"/>
        </w:rPr>
        <w:t>hypertension, hyperlipidemia, allergies and hearing</w:t>
      </w:r>
      <w:r w:rsidR="00412658">
        <w:rPr>
          <w:rFonts w:asciiTheme="minorHAnsi" w:eastAsia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7278A5">
        <w:rPr>
          <w:rFonts w:asciiTheme="minorHAnsi" w:hAnsiTheme="minorHAnsi"/>
          <w:color w:val="auto"/>
          <w:szCs w:val="24"/>
        </w:rPr>
        <w:t>,</w:t>
      </w:r>
      <w:r w:rsidR="00412658" w:rsidRPr="00AE3316">
        <w:rPr>
          <w:rFonts w:asciiTheme="minorHAnsi" w:hAnsiTheme="minorHAnsi"/>
          <w:color w:val="auto"/>
          <w:szCs w:val="24"/>
        </w:rPr>
        <w:t xml:space="preserve"> the Board </w:t>
      </w:r>
      <w:r w:rsidR="00412658" w:rsidRPr="00ED75F0">
        <w:rPr>
          <w:rFonts w:asciiTheme="minorHAnsi" w:hAnsiTheme="minorHAnsi"/>
          <w:color w:val="auto"/>
          <w:szCs w:val="24"/>
        </w:rPr>
        <w:t xml:space="preserve">unanimously </w:t>
      </w:r>
      <w:r w:rsidR="00412658" w:rsidRPr="00AE3316">
        <w:rPr>
          <w:rFonts w:asciiTheme="minorHAnsi" w:hAnsiTheme="minorHAnsi"/>
          <w:color w:val="auto"/>
          <w:szCs w:val="24"/>
        </w:rPr>
        <w:t>agrees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recommend a</w:t>
      </w:r>
      <w:r w:rsidR="00412658">
        <w:rPr>
          <w:rFonts w:asciiTheme="minorHAnsi" w:hAnsiTheme="minorHAnsi"/>
          <w:color w:val="auto"/>
          <w:szCs w:val="24"/>
        </w:rPr>
        <w:t>ny</w:t>
      </w:r>
      <w:r w:rsidR="00412658" w:rsidRPr="00AE3316">
        <w:rPr>
          <w:rFonts w:asciiTheme="minorHAnsi" w:hAnsiTheme="minorHAnsi"/>
          <w:color w:val="auto"/>
          <w:szCs w:val="24"/>
        </w:rPr>
        <w:t xml:space="preserve"> finding</w:t>
      </w:r>
      <w:r w:rsidR="00412658">
        <w:rPr>
          <w:rFonts w:asciiTheme="minorHAnsi" w:hAnsiTheme="minorHAnsi"/>
          <w:color w:val="auto"/>
          <w:szCs w:val="24"/>
        </w:rPr>
        <w:t>s</w:t>
      </w:r>
      <w:r w:rsidR="00412658" w:rsidRPr="00AE3316">
        <w:rPr>
          <w:rFonts w:asciiTheme="minorHAnsi" w:hAnsiTheme="minorHAnsi"/>
          <w:color w:val="auto"/>
          <w:szCs w:val="24"/>
        </w:rPr>
        <w:t xml:space="preserve"> of unfit for additional rating at separation.</w:t>
      </w:r>
      <w:r w:rsidR="00ED75F0">
        <w:rPr>
          <w:rFonts w:asciiTheme="minorHAnsi" w:hAnsiTheme="minorHAnsi"/>
          <w:color w:val="auto"/>
          <w:szCs w:val="24"/>
        </w:rPr>
        <w:t xml:space="preserve">  </w:t>
      </w:r>
      <w:r w:rsidR="00412658" w:rsidRPr="00CD15BE">
        <w:rPr>
          <w:rFonts w:asciiTheme="minorHAnsi" w:hAnsiTheme="minorHAnsi"/>
          <w:color w:val="auto"/>
          <w:szCs w:val="24"/>
        </w:rPr>
        <w:t xml:space="preserve">The Board </w:t>
      </w:r>
      <w:r w:rsidR="00412658" w:rsidRPr="00ED75F0">
        <w:rPr>
          <w:rFonts w:asciiTheme="minorHAnsi" w:hAnsiTheme="minorHAnsi"/>
          <w:color w:val="auto"/>
          <w:szCs w:val="24"/>
        </w:rPr>
        <w:t>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F271DD" w:rsidRDefault="00F271DD"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271DD" w:rsidRDefault="00F271DD"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Default="00FB593A" w:rsidP="00AF1668">
      <w:pPr>
        <w:tabs>
          <w:tab w:val="left" w:pos="288"/>
          <w:tab w:val="left" w:pos="4752"/>
        </w:tabs>
        <w:spacing w:line="240" w:lineRule="exact"/>
        <w:rPr>
          <w:color w:val="000080"/>
        </w:rPr>
      </w:pPr>
    </w:p>
    <w:p w:rsidR="00C56FC8" w:rsidRPr="005720A4" w:rsidRDefault="00C56FC8" w:rsidP="005720A4">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5720A4">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5720A4"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Lumbar Degenerative Disc Disease</w:t>
            </w:r>
          </w:p>
        </w:tc>
        <w:tc>
          <w:tcPr>
            <w:tcW w:w="1710" w:type="dxa"/>
          </w:tcPr>
          <w:p w:rsidR="00A95BBA" w:rsidRPr="00AC713F" w:rsidRDefault="005720A4"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5243</w:t>
            </w:r>
          </w:p>
        </w:tc>
        <w:tc>
          <w:tcPr>
            <w:tcW w:w="1170" w:type="dxa"/>
          </w:tcPr>
          <w:p w:rsidR="00A95BBA" w:rsidRPr="00AC713F" w:rsidRDefault="005720A4"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5720A4"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00A95BBA" w:rsidRPr="00AC713F">
              <w:rPr>
                <w:rFonts w:asciiTheme="minorHAnsi" w:hAnsiTheme="minorHAnsi"/>
                <w:b/>
                <w:color w:val="auto"/>
                <w:szCs w:val="24"/>
              </w:rPr>
              <w:t>0%</w:t>
            </w:r>
          </w:p>
        </w:tc>
      </w:tr>
    </w:tbl>
    <w:p w:rsidR="007278A5" w:rsidRDefault="007278A5"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7278A5" w:rsidRDefault="007278A5" w:rsidP="00190E48">
      <w:pPr>
        <w:tabs>
          <w:tab w:val="left" w:pos="288"/>
          <w:tab w:val="left" w:pos="4752"/>
        </w:tabs>
        <w:spacing w:line="240" w:lineRule="exact"/>
        <w:jc w:val="both"/>
        <w:rPr>
          <w:rFonts w:asciiTheme="minorHAnsi" w:hAnsiTheme="minorHAnsi"/>
          <w:color w:val="auto"/>
        </w:rPr>
      </w:pPr>
    </w:p>
    <w:p w:rsidR="007278A5" w:rsidRDefault="007278A5"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C55918">
        <w:rPr>
          <w:rFonts w:asciiTheme="minorHAnsi" w:hAnsiTheme="minorHAnsi"/>
          <w:color w:val="auto"/>
        </w:rPr>
        <w:t>10</w:t>
      </w:r>
      <w:r w:rsidR="00541D45">
        <w:rPr>
          <w:rFonts w:asciiTheme="minorHAnsi" w:hAnsiTheme="minorHAnsi"/>
          <w:color w:val="auto"/>
        </w:rPr>
        <w:t>0120</w:t>
      </w:r>
      <w:r w:rsidR="009A2493">
        <w:rPr>
          <w:rFonts w:asciiTheme="minorHAnsi" w:hAnsiTheme="minorHAnsi"/>
          <w:color w:val="auto"/>
        </w:rPr>
        <w:t>, w/</w:t>
      </w:r>
      <w:proofErr w:type="spellStart"/>
      <w:r w:rsidR="009A2493">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9A2493">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9A2493">
        <w:rPr>
          <w:rFonts w:asciiTheme="minorHAnsi" w:hAnsiTheme="minorHAnsi"/>
          <w:color w:val="auto"/>
        </w:rPr>
        <w:t xml:space="preserve"> Affairs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F77EA7">
        <w:rPr>
          <w:rFonts w:asciiTheme="minorHAnsi" w:hAnsiTheme="minorHAnsi"/>
          <w:color w:val="auto"/>
        </w:rPr>
        <w:t xml:space="preserve"> </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B522CD" w:rsidRPr="0085089F"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F77EA7" w:rsidRPr="00F77EA7" w:rsidRDefault="00F77EA7" w:rsidP="00F77EA7">
      <w:pPr>
        <w:tabs>
          <w:tab w:val="left" w:pos="576"/>
        </w:tabs>
        <w:spacing w:line="240" w:lineRule="exact"/>
        <w:ind w:right="-1080"/>
        <w:rPr>
          <w:rFonts w:ascii="Times New Roman" w:hAnsi="Times New Roman"/>
          <w:color w:val="auto"/>
        </w:rPr>
      </w:pPr>
      <w:r w:rsidRPr="00F77EA7">
        <w:rPr>
          <w:rFonts w:ascii="Times New Roman" w:hAnsi="Times New Roman"/>
          <w:color w:val="auto"/>
        </w:rPr>
        <w:lastRenderedPageBreak/>
        <w:t>SAF/MRB</w:t>
      </w:r>
    </w:p>
    <w:p w:rsidR="00F77EA7" w:rsidRPr="00F77EA7" w:rsidRDefault="00F77EA7" w:rsidP="00F77EA7">
      <w:pPr>
        <w:tabs>
          <w:tab w:val="left" w:pos="576"/>
        </w:tabs>
        <w:spacing w:line="240" w:lineRule="exact"/>
        <w:ind w:right="-1080"/>
        <w:rPr>
          <w:rFonts w:ascii="Times New Roman" w:hAnsi="Times New Roman"/>
          <w:color w:val="auto"/>
        </w:rPr>
      </w:pPr>
      <w:r w:rsidRPr="00F77EA7">
        <w:rPr>
          <w:rFonts w:ascii="Times New Roman" w:hAnsi="Times New Roman"/>
          <w:color w:val="auto"/>
        </w:rPr>
        <w:t>1500 West Perimeter Road, Suite 3700</w:t>
      </w:r>
    </w:p>
    <w:p w:rsidR="00F77EA7" w:rsidRPr="00F77EA7" w:rsidRDefault="00F77EA7" w:rsidP="00F77EA7">
      <w:pPr>
        <w:tabs>
          <w:tab w:val="left" w:pos="576"/>
        </w:tabs>
        <w:spacing w:line="240" w:lineRule="exact"/>
        <w:ind w:right="-1080"/>
        <w:rPr>
          <w:rFonts w:ascii="Times New Roman" w:hAnsi="Times New Roman"/>
          <w:color w:val="auto"/>
        </w:rPr>
      </w:pPr>
      <w:r w:rsidRPr="00F77EA7">
        <w:rPr>
          <w:rFonts w:ascii="Times New Roman" w:hAnsi="Times New Roman"/>
          <w:color w:val="auto"/>
        </w:rPr>
        <w:t>Joint Base Andrews MD  20762</w:t>
      </w:r>
    </w:p>
    <w:p w:rsidR="00F77EA7" w:rsidRPr="00F77EA7" w:rsidRDefault="00F77EA7" w:rsidP="00F77EA7">
      <w:pPr>
        <w:tabs>
          <w:tab w:val="left" w:pos="576"/>
        </w:tabs>
        <w:spacing w:line="240" w:lineRule="exact"/>
        <w:ind w:right="-1080"/>
        <w:rPr>
          <w:rFonts w:ascii="Times New Roman" w:hAnsi="Times New Roman"/>
          <w:color w:val="auto"/>
        </w:rPr>
      </w:pPr>
    </w:p>
    <w:p w:rsidR="00F77EA7" w:rsidRPr="00F77EA7" w:rsidRDefault="00F77EA7" w:rsidP="00F77EA7">
      <w:pPr>
        <w:tabs>
          <w:tab w:val="left" w:pos="720"/>
        </w:tabs>
        <w:spacing w:line="240" w:lineRule="exact"/>
        <w:ind w:right="-1080"/>
        <w:rPr>
          <w:rFonts w:ascii="Times New Roman" w:hAnsi="Times New Roman"/>
          <w:color w:val="auto"/>
        </w:rPr>
      </w:pPr>
      <w:r>
        <w:rPr>
          <w:rFonts w:ascii="Times New Roman" w:hAnsi="Times New Roman"/>
          <w:bCs/>
          <w:color w:val="auto"/>
        </w:rPr>
        <w:t xml:space="preserve"> </w:t>
      </w:r>
    </w:p>
    <w:p w:rsidR="00F77EA7" w:rsidRPr="00F77EA7" w:rsidRDefault="00F77EA7" w:rsidP="00F77EA7">
      <w:pPr>
        <w:tabs>
          <w:tab w:val="left" w:pos="720"/>
        </w:tabs>
        <w:spacing w:line="240" w:lineRule="exact"/>
        <w:ind w:right="-1080"/>
        <w:rPr>
          <w:rFonts w:ascii="Times New Roman" w:hAnsi="Times New Roman"/>
          <w:color w:val="auto"/>
        </w:rPr>
      </w:pPr>
    </w:p>
    <w:p w:rsidR="00F77EA7" w:rsidRPr="00F77EA7" w:rsidRDefault="00F77EA7" w:rsidP="00F77EA7">
      <w:pPr>
        <w:tabs>
          <w:tab w:val="left" w:pos="720"/>
        </w:tabs>
        <w:spacing w:line="240" w:lineRule="exact"/>
        <w:ind w:right="-360"/>
        <w:rPr>
          <w:rFonts w:ascii="Times New Roman" w:hAnsi="Times New Roman"/>
          <w:color w:val="auto"/>
        </w:rPr>
      </w:pPr>
      <w:r w:rsidRPr="00F77EA7">
        <w:rPr>
          <w:rFonts w:ascii="Times New Roman" w:hAnsi="Times New Roman"/>
          <w:color w:val="auto"/>
        </w:rPr>
        <w:tab/>
        <w:t xml:space="preserve">Reference your application submitted under the provisions of </w:t>
      </w:r>
      <w:proofErr w:type="spellStart"/>
      <w:r w:rsidRPr="00F77EA7">
        <w:rPr>
          <w:rFonts w:ascii="Times New Roman" w:hAnsi="Times New Roman"/>
          <w:color w:val="auto"/>
        </w:rPr>
        <w:t>DoDI</w:t>
      </w:r>
      <w:proofErr w:type="spellEnd"/>
      <w:r w:rsidRPr="00F77EA7">
        <w:rPr>
          <w:rFonts w:ascii="Times New Roman" w:hAnsi="Times New Roman"/>
          <w:color w:val="auto"/>
        </w:rPr>
        <w:t xml:space="preserve"> 6040.44 (Section 1554, 10 USC), PDBR Case Number PD-2010-00737.</w:t>
      </w:r>
    </w:p>
    <w:p w:rsidR="00F77EA7" w:rsidRPr="00F77EA7" w:rsidRDefault="00F77EA7" w:rsidP="00F77EA7">
      <w:pPr>
        <w:tabs>
          <w:tab w:val="left" w:pos="720"/>
        </w:tabs>
        <w:spacing w:line="240" w:lineRule="exact"/>
        <w:ind w:right="-1080"/>
        <w:rPr>
          <w:rFonts w:ascii="Times New Roman" w:hAnsi="Times New Roman"/>
          <w:color w:val="auto"/>
        </w:rPr>
      </w:pPr>
    </w:p>
    <w:p w:rsidR="00F77EA7" w:rsidRPr="00F77EA7" w:rsidRDefault="00F77EA7" w:rsidP="00F77EA7">
      <w:pPr>
        <w:tabs>
          <w:tab w:val="left" w:pos="720"/>
        </w:tabs>
        <w:spacing w:line="240" w:lineRule="exact"/>
        <w:ind w:right="-360"/>
        <w:rPr>
          <w:rFonts w:ascii="Times New Roman" w:hAnsi="Times New Roman"/>
          <w:color w:val="auto"/>
        </w:rPr>
      </w:pPr>
      <w:r w:rsidRPr="00F77EA7">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F77EA7" w:rsidRPr="00F77EA7" w:rsidRDefault="00F77EA7" w:rsidP="00F77EA7">
      <w:pPr>
        <w:tabs>
          <w:tab w:val="left" w:pos="720"/>
        </w:tabs>
        <w:spacing w:line="240" w:lineRule="exact"/>
        <w:ind w:right="-1080"/>
        <w:rPr>
          <w:rFonts w:ascii="Times New Roman" w:hAnsi="Times New Roman"/>
          <w:color w:val="auto"/>
        </w:rPr>
      </w:pPr>
    </w:p>
    <w:p w:rsidR="00F77EA7" w:rsidRPr="00F77EA7" w:rsidRDefault="00F77EA7" w:rsidP="00F77EA7">
      <w:pPr>
        <w:tabs>
          <w:tab w:val="left" w:pos="720"/>
        </w:tabs>
        <w:spacing w:line="240" w:lineRule="exact"/>
        <w:rPr>
          <w:rFonts w:ascii="Times New Roman" w:hAnsi="Times New Roman"/>
          <w:color w:val="auto"/>
        </w:rPr>
      </w:pPr>
      <w:r w:rsidRPr="00F77EA7">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F77EA7" w:rsidRPr="00F77EA7" w:rsidRDefault="00F77EA7" w:rsidP="00F77EA7">
      <w:pPr>
        <w:tabs>
          <w:tab w:val="left" w:pos="720"/>
        </w:tabs>
        <w:spacing w:line="240" w:lineRule="exact"/>
        <w:ind w:right="-360"/>
        <w:rPr>
          <w:rFonts w:ascii="Times New Roman" w:hAnsi="Times New Roman"/>
          <w:color w:val="auto"/>
        </w:rPr>
      </w:pPr>
    </w:p>
    <w:p w:rsidR="00F77EA7" w:rsidRPr="00F77EA7" w:rsidRDefault="00F77EA7" w:rsidP="00F77EA7">
      <w:pPr>
        <w:tabs>
          <w:tab w:val="left" w:pos="720"/>
        </w:tabs>
        <w:spacing w:line="240" w:lineRule="exact"/>
        <w:ind w:right="-1080"/>
        <w:rPr>
          <w:rFonts w:ascii="Times New Roman" w:hAnsi="Times New Roman"/>
          <w:color w:val="auto"/>
        </w:rPr>
      </w:pPr>
      <w:r w:rsidRPr="00F77EA7">
        <w:rPr>
          <w:rFonts w:ascii="Times New Roman" w:hAnsi="Times New Roman"/>
          <w:color w:val="auto"/>
        </w:rPr>
        <w:tab/>
      </w:r>
      <w:r w:rsidRPr="00F77EA7">
        <w:rPr>
          <w:rFonts w:ascii="Times New Roman" w:hAnsi="Times New Roman"/>
          <w:color w:val="auto"/>
        </w:rPr>
        <w:tab/>
      </w:r>
      <w:r w:rsidRPr="00F77EA7">
        <w:rPr>
          <w:rFonts w:ascii="Times New Roman" w:hAnsi="Times New Roman"/>
          <w:color w:val="auto"/>
        </w:rPr>
        <w:tab/>
      </w:r>
      <w:r w:rsidRPr="00F77EA7">
        <w:rPr>
          <w:rFonts w:ascii="Times New Roman" w:hAnsi="Times New Roman"/>
          <w:color w:val="auto"/>
        </w:rPr>
        <w:tab/>
      </w:r>
      <w:r w:rsidRPr="00F77EA7">
        <w:rPr>
          <w:rFonts w:ascii="Times New Roman" w:hAnsi="Times New Roman"/>
          <w:color w:val="auto"/>
        </w:rPr>
        <w:tab/>
      </w:r>
      <w:r w:rsidRPr="00F77EA7">
        <w:rPr>
          <w:rFonts w:ascii="Times New Roman" w:hAnsi="Times New Roman"/>
          <w:color w:val="auto"/>
        </w:rPr>
        <w:tab/>
      </w:r>
      <w:r w:rsidRPr="00F77EA7">
        <w:rPr>
          <w:rFonts w:ascii="Times New Roman" w:hAnsi="Times New Roman"/>
          <w:color w:val="auto"/>
        </w:rPr>
        <w:tab/>
        <w:t>Sincerely,</w:t>
      </w:r>
    </w:p>
    <w:p w:rsidR="00F77EA7" w:rsidRPr="00F77EA7" w:rsidRDefault="00F77EA7" w:rsidP="00F77EA7">
      <w:pPr>
        <w:tabs>
          <w:tab w:val="left" w:pos="720"/>
        </w:tabs>
        <w:spacing w:line="240" w:lineRule="exact"/>
        <w:ind w:right="-1080"/>
        <w:rPr>
          <w:rFonts w:ascii="Times New Roman" w:hAnsi="Times New Roman"/>
          <w:color w:val="auto"/>
        </w:rPr>
      </w:pPr>
    </w:p>
    <w:p w:rsidR="00F77EA7" w:rsidRPr="00F77EA7" w:rsidRDefault="00F77EA7" w:rsidP="00F77EA7">
      <w:pPr>
        <w:tabs>
          <w:tab w:val="left" w:pos="720"/>
        </w:tabs>
        <w:spacing w:line="240" w:lineRule="exact"/>
        <w:ind w:right="-1080"/>
        <w:rPr>
          <w:rFonts w:ascii="Times New Roman" w:hAnsi="Times New Roman"/>
          <w:color w:val="auto"/>
        </w:rPr>
      </w:pPr>
    </w:p>
    <w:p w:rsidR="00F77EA7" w:rsidRPr="00F77EA7" w:rsidRDefault="00F77EA7" w:rsidP="00F77EA7">
      <w:pPr>
        <w:tabs>
          <w:tab w:val="left" w:pos="720"/>
        </w:tabs>
        <w:spacing w:line="240" w:lineRule="exact"/>
        <w:ind w:right="-1080"/>
        <w:rPr>
          <w:rFonts w:ascii="Times New Roman" w:hAnsi="Times New Roman"/>
          <w:color w:val="auto"/>
        </w:rPr>
      </w:pPr>
    </w:p>
    <w:p w:rsidR="00F77EA7" w:rsidRPr="00F77EA7" w:rsidRDefault="00F77EA7" w:rsidP="00F77EA7">
      <w:pPr>
        <w:tabs>
          <w:tab w:val="left" w:pos="720"/>
        </w:tabs>
        <w:spacing w:line="240" w:lineRule="exact"/>
        <w:ind w:right="-1080"/>
        <w:rPr>
          <w:rFonts w:ascii="Times New Roman" w:hAnsi="Times New Roman"/>
          <w:color w:val="auto"/>
        </w:rPr>
      </w:pPr>
    </w:p>
    <w:p w:rsidR="00F77EA7" w:rsidRPr="00F77EA7" w:rsidRDefault="00F77EA7" w:rsidP="00F77EA7">
      <w:pPr>
        <w:tabs>
          <w:tab w:val="left" w:pos="720"/>
        </w:tabs>
        <w:spacing w:line="240" w:lineRule="exact"/>
        <w:ind w:right="-1080"/>
        <w:rPr>
          <w:rFonts w:ascii="Times New Roman" w:hAnsi="Times New Roman"/>
          <w:color w:val="auto"/>
        </w:rPr>
      </w:pPr>
    </w:p>
    <w:p w:rsidR="00F77EA7" w:rsidRPr="00F77EA7" w:rsidRDefault="00F77EA7" w:rsidP="00F77EA7">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F77EA7" w:rsidRPr="00F77EA7" w:rsidRDefault="00F77EA7" w:rsidP="00F77EA7">
      <w:pPr>
        <w:tabs>
          <w:tab w:val="left" w:pos="720"/>
        </w:tabs>
        <w:spacing w:line="240" w:lineRule="exact"/>
        <w:ind w:left="5040" w:right="-1080"/>
        <w:rPr>
          <w:rFonts w:ascii="Times New Roman" w:hAnsi="Times New Roman"/>
          <w:color w:val="auto"/>
        </w:rPr>
      </w:pPr>
      <w:r w:rsidRPr="00F77EA7">
        <w:rPr>
          <w:rFonts w:ascii="Times New Roman" w:hAnsi="Times New Roman"/>
          <w:color w:val="auto"/>
        </w:rPr>
        <w:t>Director</w:t>
      </w:r>
    </w:p>
    <w:p w:rsidR="00F77EA7" w:rsidRPr="00F77EA7" w:rsidRDefault="00F77EA7" w:rsidP="00F77EA7">
      <w:pPr>
        <w:tabs>
          <w:tab w:val="left" w:pos="720"/>
        </w:tabs>
        <w:spacing w:line="240" w:lineRule="exact"/>
        <w:ind w:left="5040" w:right="-1080"/>
        <w:rPr>
          <w:rFonts w:ascii="Times New Roman" w:hAnsi="Times New Roman"/>
          <w:color w:val="auto"/>
        </w:rPr>
      </w:pPr>
      <w:r w:rsidRPr="00F77EA7">
        <w:rPr>
          <w:rFonts w:ascii="Times New Roman" w:hAnsi="Times New Roman"/>
          <w:color w:val="auto"/>
        </w:rPr>
        <w:t>Air Force Review Boards Agency</w:t>
      </w:r>
    </w:p>
    <w:p w:rsidR="00F77EA7" w:rsidRPr="00F77EA7" w:rsidRDefault="00F77EA7" w:rsidP="00F77EA7">
      <w:pPr>
        <w:tabs>
          <w:tab w:val="left" w:pos="720"/>
        </w:tabs>
        <w:spacing w:line="240" w:lineRule="exact"/>
        <w:ind w:right="-1080"/>
        <w:rPr>
          <w:rFonts w:ascii="Times New Roman" w:hAnsi="Times New Roman"/>
          <w:color w:val="auto"/>
        </w:rPr>
      </w:pPr>
    </w:p>
    <w:p w:rsidR="00F77EA7" w:rsidRPr="00F77EA7" w:rsidRDefault="00F77EA7" w:rsidP="00F77EA7">
      <w:pPr>
        <w:tabs>
          <w:tab w:val="left" w:pos="720"/>
        </w:tabs>
        <w:spacing w:line="240" w:lineRule="exact"/>
        <w:ind w:right="-1080"/>
        <w:rPr>
          <w:rFonts w:ascii="Times New Roman" w:hAnsi="Times New Roman"/>
          <w:color w:val="auto"/>
        </w:rPr>
      </w:pPr>
      <w:r w:rsidRPr="00F77EA7">
        <w:rPr>
          <w:rFonts w:ascii="Times New Roman" w:hAnsi="Times New Roman"/>
          <w:color w:val="auto"/>
        </w:rPr>
        <w:t>Attachment:</w:t>
      </w:r>
    </w:p>
    <w:p w:rsidR="00F77EA7" w:rsidRDefault="00F77EA7" w:rsidP="00F77EA7">
      <w:pPr>
        <w:tabs>
          <w:tab w:val="left" w:pos="720"/>
        </w:tabs>
        <w:spacing w:line="240" w:lineRule="exact"/>
        <w:ind w:right="-1080"/>
        <w:rPr>
          <w:rFonts w:ascii="Times New Roman" w:hAnsi="Times New Roman"/>
          <w:color w:val="auto"/>
        </w:rPr>
      </w:pPr>
      <w:r w:rsidRPr="00F77EA7">
        <w:rPr>
          <w:rFonts w:ascii="Times New Roman" w:hAnsi="Times New Roman"/>
          <w:color w:val="auto"/>
        </w:rPr>
        <w:t>Record of Proceedings</w:t>
      </w:r>
    </w:p>
    <w:p w:rsidR="00F77EA7" w:rsidRPr="00F77EA7" w:rsidRDefault="00F77EA7" w:rsidP="00F77EA7">
      <w:pPr>
        <w:tabs>
          <w:tab w:val="left" w:pos="720"/>
        </w:tabs>
        <w:spacing w:line="240" w:lineRule="exact"/>
        <w:ind w:right="-1080"/>
        <w:rPr>
          <w:rFonts w:ascii="Times New Roman" w:hAnsi="Times New Roman"/>
          <w:color w:val="auto"/>
        </w:rPr>
      </w:pPr>
    </w:p>
    <w:p w:rsidR="00F77EA7" w:rsidRPr="00F77EA7" w:rsidRDefault="00F77EA7" w:rsidP="00F77EA7">
      <w:pPr>
        <w:tabs>
          <w:tab w:val="left" w:pos="720"/>
        </w:tabs>
        <w:spacing w:line="240" w:lineRule="exact"/>
        <w:ind w:right="-1080"/>
        <w:rPr>
          <w:rFonts w:ascii="Times New Roman" w:hAnsi="Times New Roman"/>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p w:rsidR="00B36569" w:rsidRDefault="00B36569" w:rsidP="00190E48">
      <w:pPr>
        <w:tabs>
          <w:tab w:val="left" w:pos="288"/>
          <w:tab w:val="left" w:pos="4752"/>
        </w:tabs>
        <w:spacing w:line="240" w:lineRule="exact"/>
        <w:jc w:val="both"/>
        <w:rPr>
          <w:rFonts w:asciiTheme="minorHAnsi" w:hAnsiTheme="minorHAnsi"/>
          <w:color w:val="auto"/>
        </w:rPr>
      </w:pPr>
    </w:p>
    <w:sectPr w:rsidR="00B36569" w:rsidSect="005000AB">
      <w:footerReference w:type="even" r:id="rId8"/>
      <w:footerReference w:type="default" r:id="rId9"/>
      <w:foot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2E" w:rsidRDefault="00F9432E">
      <w:r>
        <w:separator/>
      </w:r>
    </w:p>
  </w:endnote>
  <w:endnote w:type="continuationSeparator" w:id="0">
    <w:p w:rsidR="00F9432E" w:rsidRDefault="00F94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89" w:rsidRDefault="0056107A">
    <w:pPr>
      <w:pStyle w:val="Footer"/>
      <w:framePr w:wrap="around" w:vAnchor="text" w:hAnchor="margin" w:xAlign="center" w:y="1"/>
      <w:rPr>
        <w:rStyle w:val="PageNumber"/>
      </w:rPr>
    </w:pPr>
    <w:r>
      <w:rPr>
        <w:rStyle w:val="PageNumber"/>
      </w:rPr>
      <w:fldChar w:fldCharType="begin"/>
    </w:r>
    <w:r w:rsidR="006A6E89">
      <w:rPr>
        <w:rStyle w:val="PageNumber"/>
      </w:rPr>
      <w:instrText xml:space="preserve">PAGE  </w:instrText>
    </w:r>
    <w:r>
      <w:rPr>
        <w:rStyle w:val="PageNumber"/>
      </w:rPr>
      <w:fldChar w:fldCharType="separate"/>
    </w:r>
    <w:r w:rsidR="006A6E89">
      <w:rPr>
        <w:rStyle w:val="PageNumber"/>
        <w:noProof/>
      </w:rPr>
      <w:t>2</w:t>
    </w:r>
    <w:r>
      <w:rPr>
        <w:rStyle w:val="PageNumber"/>
      </w:rPr>
      <w:fldChar w:fldCharType="end"/>
    </w:r>
  </w:p>
  <w:p w:rsidR="006A6E89" w:rsidRDefault="006A6E8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89" w:rsidRPr="00AC713F" w:rsidRDefault="0056107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6A6E89"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77EA7">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6A6E89" w:rsidRPr="00AC713F" w:rsidRDefault="006A6E89"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1000737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89" w:rsidRDefault="006A6E89" w:rsidP="008A439D">
    <w:pPr>
      <w:pStyle w:val="Footer"/>
    </w:pPr>
  </w:p>
  <w:p w:rsidR="006A6E89" w:rsidRDefault="006A6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2E" w:rsidRDefault="00F9432E">
      <w:r>
        <w:separator/>
      </w:r>
    </w:p>
  </w:footnote>
  <w:footnote w:type="continuationSeparator" w:id="0">
    <w:p w:rsidR="00F9432E" w:rsidRDefault="00F94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23298"/>
  </w:hdrShapeDefaults>
  <w:footnotePr>
    <w:numRestart w:val="eachSect"/>
    <w:footnote w:id="-1"/>
    <w:footnote w:id="0"/>
  </w:footnotePr>
  <w:endnotePr>
    <w:endnote w:id="-1"/>
    <w:endnote w:id="0"/>
  </w:endnotePr>
  <w:compat/>
  <w:rsids>
    <w:rsidRoot w:val="001C28D1"/>
    <w:rsid w:val="000059FA"/>
    <w:rsid w:val="00006E6B"/>
    <w:rsid w:val="00006F87"/>
    <w:rsid w:val="00010ABA"/>
    <w:rsid w:val="00012428"/>
    <w:rsid w:val="00013417"/>
    <w:rsid w:val="000145C2"/>
    <w:rsid w:val="0001473F"/>
    <w:rsid w:val="00014A9E"/>
    <w:rsid w:val="00014D04"/>
    <w:rsid w:val="00021361"/>
    <w:rsid w:val="00022D8A"/>
    <w:rsid w:val="00023913"/>
    <w:rsid w:val="00023D43"/>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EBB"/>
    <w:rsid w:val="00051622"/>
    <w:rsid w:val="00051ACF"/>
    <w:rsid w:val="00052234"/>
    <w:rsid w:val="00053D7C"/>
    <w:rsid w:val="000577C9"/>
    <w:rsid w:val="00063806"/>
    <w:rsid w:val="0006431E"/>
    <w:rsid w:val="00070881"/>
    <w:rsid w:val="000713C6"/>
    <w:rsid w:val="00072433"/>
    <w:rsid w:val="00075702"/>
    <w:rsid w:val="00076413"/>
    <w:rsid w:val="000775C2"/>
    <w:rsid w:val="000806AD"/>
    <w:rsid w:val="000817B7"/>
    <w:rsid w:val="00082482"/>
    <w:rsid w:val="0008708B"/>
    <w:rsid w:val="0009216A"/>
    <w:rsid w:val="00092619"/>
    <w:rsid w:val="00092C66"/>
    <w:rsid w:val="00094E4F"/>
    <w:rsid w:val="000A0699"/>
    <w:rsid w:val="000A23DC"/>
    <w:rsid w:val="000A2BCE"/>
    <w:rsid w:val="000A41E3"/>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3F8"/>
    <w:rsid w:val="000D7D55"/>
    <w:rsid w:val="000E0541"/>
    <w:rsid w:val="000E0993"/>
    <w:rsid w:val="000E37E0"/>
    <w:rsid w:val="000F02BE"/>
    <w:rsid w:val="000F427B"/>
    <w:rsid w:val="000F4578"/>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3432"/>
    <w:rsid w:val="001239FC"/>
    <w:rsid w:val="001272AE"/>
    <w:rsid w:val="001315DD"/>
    <w:rsid w:val="001339A7"/>
    <w:rsid w:val="00135385"/>
    <w:rsid w:val="001364D1"/>
    <w:rsid w:val="00136DAA"/>
    <w:rsid w:val="00142008"/>
    <w:rsid w:val="00142EBA"/>
    <w:rsid w:val="00143610"/>
    <w:rsid w:val="00143B79"/>
    <w:rsid w:val="00143FA7"/>
    <w:rsid w:val="00146241"/>
    <w:rsid w:val="00150B8A"/>
    <w:rsid w:val="00150DCB"/>
    <w:rsid w:val="00151912"/>
    <w:rsid w:val="00151BDF"/>
    <w:rsid w:val="00153740"/>
    <w:rsid w:val="001541C5"/>
    <w:rsid w:val="00156086"/>
    <w:rsid w:val="0015623F"/>
    <w:rsid w:val="00156585"/>
    <w:rsid w:val="00156BA9"/>
    <w:rsid w:val="00161761"/>
    <w:rsid w:val="00166182"/>
    <w:rsid w:val="00166F72"/>
    <w:rsid w:val="00170DCF"/>
    <w:rsid w:val="001745DD"/>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273F"/>
    <w:rsid w:val="00193460"/>
    <w:rsid w:val="00193814"/>
    <w:rsid w:val="00193AD5"/>
    <w:rsid w:val="00194930"/>
    <w:rsid w:val="00196587"/>
    <w:rsid w:val="001A08CD"/>
    <w:rsid w:val="001A4CED"/>
    <w:rsid w:val="001A5320"/>
    <w:rsid w:val="001A5E62"/>
    <w:rsid w:val="001A7538"/>
    <w:rsid w:val="001B0B1A"/>
    <w:rsid w:val="001B19C2"/>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2A49"/>
    <w:rsid w:val="001D4F88"/>
    <w:rsid w:val="001D68CF"/>
    <w:rsid w:val="001D6A8C"/>
    <w:rsid w:val="001D7A56"/>
    <w:rsid w:val="001E15C0"/>
    <w:rsid w:val="001E18E0"/>
    <w:rsid w:val="001E18E2"/>
    <w:rsid w:val="001E19D0"/>
    <w:rsid w:val="001E2A30"/>
    <w:rsid w:val="001E2DE1"/>
    <w:rsid w:val="001F4B7C"/>
    <w:rsid w:val="001F64A6"/>
    <w:rsid w:val="00200AA0"/>
    <w:rsid w:val="00202325"/>
    <w:rsid w:val="00202736"/>
    <w:rsid w:val="00203652"/>
    <w:rsid w:val="002060B6"/>
    <w:rsid w:val="002066B5"/>
    <w:rsid w:val="00215ED6"/>
    <w:rsid w:val="00216049"/>
    <w:rsid w:val="00217606"/>
    <w:rsid w:val="00217C09"/>
    <w:rsid w:val="002201F2"/>
    <w:rsid w:val="00220F5C"/>
    <w:rsid w:val="00225196"/>
    <w:rsid w:val="00225CB4"/>
    <w:rsid w:val="00227DE7"/>
    <w:rsid w:val="0023049F"/>
    <w:rsid w:val="002316F6"/>
    <w:rsid w:val="002323D9"/>
    <w:rsid w:val="00232C9B"/>
    <w:rsid w:val="00232F09"/>
    <w:rsid w:val="002335D5"/>
    <w:rsid w:val="002338CA"/>
    <w:rsid w:val="00233FE5"/>
    <w:rsid w:val="00234B3B"/>
    <w:rsid w:val="0024174E"/>
    <w:rsid w:val="0024227D"/>
    <w:rsid w:val="00242D14"/>
    <w:rsid w:val="00246218"/>
    <w:rsid w:val="00246860"/>
    <w:rsid w:val="00246DFF"/>
    <w:rsid w:val="00246E89"/>
    <w:rsid w:val="0025183C"/>
    <w:rsid w:val="00251E3D"/>
    <w:rsid w:val="002528EC"/>
    <w:rsid w:val="00255049"/>
    <w:rsid w:val="00257DE5"/>
    <w:rsid w:val="00260531"/>
    <w:rsid w:val="0026318D"/>
    <w:rsid w:val="00270864"/>
    <w:rsid w:val="002712F7"/>
    <w:rsid w:val="0027159C"/>
    <w:rsid w:val="00274549"/>
    <w:rsid w:val="00274E46"/>
    <w:rsid w:val="00275183"/>
    <w:rsid w:val="00276B97"/>
    <w:rsid w:val="00276C86"/>
    <w:rsid w:val="002810A4"/>
    <w:rsid w:val="00284A26"/>
    <w:rsid w:val="00287006"/>
    <w:rsid w:val="00290645"/>
    <w:rsid w:val="00292D11"/>
    <w:rsid w:val="00294437"/>
    <w:rsid w:val="002947C3"/>
    <w:rsid w:val="00296F5A"/>
    <w:rsid w:val="002A14A3"/>
    <w:rsid w:val="002A3237"/>
    <w:rsid w:val="002A58B7"/>
    <w:rsid w:val="002A685E"/>
    <w:rsid w:val="002A72C7"/>
    <w:rsid w:val="002B03B2"/>
    <w:rsid w:val="002B0749"/>
    <w:rsid w:val="002B193D"/>
    <w:rsid w:val="002B2645"/>
    <w:rsid w:val="002B543C"/>
    <w:rsid w:val="002B5E14"/>
    <w:rsid w:val="002B6FA0"/>
    <w:rsid w:val="002C5F10"/>
    <w:rsid w:val="002C6E5B"/>
    <w:rsid w:val="002D18B4"/>
    <w:rsid w:val="002D231A"/>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5265"/>
    <w:rsid w:val="002F7F81"/>
    <w:rsid w:val="00300A36"/>
    <w:rsid w:val="003051C7"/>
    <w:rsid w:val="0030678B"/>
    <w:rsid w:val="00306832"/>
    <w:rsid w:val="00310CD7"/>
    <w:rsid w:val="0032136A"/>
    <w:rsid w:val="00323E70"/>
    <w:rsid w:val="00325BA2"/>
    <w:rsid w:val="00326E7F"/>
    <w:rsid w:val="00326F7F"/>
    <w:rsid w:val="003320E8"/>
    <w:rsid w:val="003326A6"/>
    <w:rsid w:val="0033555E"/>
    <w:rsid w:val="00336805"/>
    <w:rsid w:val="00337351"/>
    <w:rsid w:val="00341A54"/>
    <w:rsid w:val="003450C2"/>
    <w:rsid w:val="0034669F"/>
    <w:rsid w:val="00351498"/>
    <w:rsid w:val="003523EB"/>
    <w:rsid w:val="00352B22"/>
    <w:rsid w:val="00354547"/>
    <w:rsid w:val="003567DE"/>
    <w:rsid w:val="003574F3"/>
    <w:rsid w:val="00360829"/>
    <w:rsid w:val="0036319E"/>
    <w:rsid w:val="003632A4"/>
    <w:rsid w:val="00363362"/>
    <w:rsid w:val="00367D4F"/>
    <w:rsid w:val="00370743"/>
    <w:rsid w:val="00370EF5"/>
    <w:rsid w:val="0037135B"/>
    <w:rsid w:val="00372251"/>
    <w:rsid w:val="00372CA1"/>
    <w:rsid w:val="0037520D"/>
    <w:rsid w:val="00375809"/>
    <w:rsid w:val="0037628C"/>
    <w:rsid w:val="00376B81"/>
    <w:rsid w:val="00377BD2"/>
    <w:rsid w:val="00377FEC"/>
    <w:rsid w:val="0038110D"/>
    <w:rsid w:val="003821E1"/>
    <w:rsid w:val="00384866"/>
    <w:rsid w:val="0038532B"/>
    <w:rsid w:val="003857D4"/>
    <w:rsid w:val="00385D6F"/>
    <w:rsid w:val="00387095"/>
    <w:rsid w:val="00390092"/>
    <w:rsid w:val="00392E78"/>
    <w:rsid w:val="00393651"/>
    <w:rsid w:val="00395E12"/>
    <w:rsid w:val="00397DB7"/>
    <w:rsid w:val="003A27B2"/>
    <w:rsid w:val="003A40B4"/>
    <w:rsid w:val="003A41BA"/>
    <w:rsid w:val="003A6A99"/>
    <w:rsid w:val="003A7FF8"/>
    <w:rsid w:val="003B17AC"/>
    <w:rsid w:val="003B227A"/>
    <w:rsid w:val="003B3E56"/>
    <w:rsid w:val="003B5854"/>
    <w:rsid w:val="003B6764"/>
    <w:rsid w:val="003C1EA8"/>
    <w:rsid w:val="003C3833"/>
    <w:rsid w:val="003C3E02"/>
    <w:rsid w:val="003C6068"/>
    <w:rsid w:val="003D07B9"/>
    <w:rsid w:val="003D2BA3"/>
    <w:rsid w:val="003D3C22"/>
    <w:rsid w:val="003D546B"/>
    <w:rsid w:val="003D670B"/>
    <w:rsid w:val="003D7089"/>
    <w:rsid w:val="003D7DDB"/>
    <w:rsid w:val="003E01A9"/>
    <w:rsid w:val="003E02C7"/>
    <w:rsid w:val="003E0543"/>
    <w:rsid w:val="003E0B5A"/>
    <w:rsid w:val="003E31E3"/>
    <w:rsid w:val="003E46D1"/>
    <w:rsid w:val="003F040D"/>
    <w:rsid w:val="003F3A2B"/>
    <w:rsid w:val="003F58B0"/>
    <w:rsid w:val="003F70E8"/>
    <w:rsid w:val="004007E9"/>
    <w:rsid w:val="00401825"/>
    <w:rsid w:val="00401BBC"/>
    <w:rsid w:val="00403BFB"/>
    <w:rsid w:val="00404B45"/>
    <w:rsid w:val="00406CC5"/>
    <w:rsid w:val="004074A4"/>
    <w:rsid w:val="004101B2"/>
    <w:rsid w:val="004123D7"/>
    <w:rsid w:val="00412658"/>
    <w:rsid w:val="00414150"/>
    <w:rsid w:val="00414A6A"/>
    <w:rsid w:val="004172DB"/>
    <w:rsid w:val="004205D1"/>
    <w:rsid w:val="00420FAC"/>
    <w:rsid w:val="00421485"/>
    <w:rsid w:val="00422B75"/>
    <w:rsid w:val="004272CC"/>
    <w:rsid w:val="00433F36"/>
    <w:rsid w:val="0043503A"/>
    <w:rsid w:val="00435F50"/>
    <w:rsid w:val="0044384F"/>
    <w:rsid w:val="00444209"/>
    <w:rsid w:val="00444F80"/>
    <w:rsid w:val="00446018"/>
    <w:rsid w:val="00446DD8"/>
    <w:rsid w:val="004543BC"/>
    <w:rsid w:val="0045645D"/>
    <w:rsid w:val="004574C6"/>
    <w:rsid w:val="00457BCF"/>
    <w:rsid w:val="00457DCE"/>
    <w:rsid w:val="00460E3F"/>
    <w:rsid w:val="004637AB"/>
    <w:rsid w:val="00464F33"/>
    <w:rsid w:val="00466747"/>
    <w:rsid w:val="00466CED"/>
    <w:rsid w:val="00467592"/>
    <w:rsid w:val="00467690"/>
    <w:rsid w:val="004718E7"/>
    <w:rsid w:val="004720E0"/>
    <w:rsid w:val="00472535"/>
    <w:rsid w:val="004761CC"/>
    <w:rsid w:val="00477FCD"/>
    <w:rsid w:val="00480D4A"/>
    <w:rsid w:val="00481DA1"/>
    <w:rsid w:val="004870FC"/>
    <w:rsid w:val="0049255F"/>
    <w:rsid w:val="0049445D"/>
    <w:rsid w:val="00495350"/>
    <w:rsid w:val="00497156"/>
    <w:rsid w:val="004975AD"/>
    <w:rsid w:val="004A13DE"/>
    <w:rsid w:val="004A24D2"/>
    <w:rsid w:val="004A2A00"/>
    <w:rsid w:val="004A3214"/>
    <w:rsid w:val="004A4136"/>
    <w:rsid w:val="004A417B"/>
    <w:rsid w:val="004A733F"/>
    <w:rsid w:val="004B01F4"/>
    <w:rsid w:val="004B03F3"/>
    <w:rsid w:val="004B2536"/>
    <w:rsid w:val="004B6AF3"/>
    <w:rsid w:val="004B715E"/>
    <w:rsid w:val="004B7169"/>
    <w:rsid w:val="004B79C9"/>
    <w:rsid w:val="004C5E33"/>
    <w:rsid w:val="004C6CDA"/>
    <w:rsid w:val="004D015B"/>
    <w:rsid w:val="004D10D4"/>
    <w:rsid w:val="004D16BD"/>
    <w:rsid w:val="004D2AAB"/>
    <w:rsid w:val="004D2F3E"/>
    <w:rsid w:val="004D3294"/>
    <w:rsid w:val="004D4847"/>
    <w:rsid w:val="004D6F2B"/>
    <w:rsid w:val="004E0248"/>
    <w:rsid w:val="004E21A3"/>
    <w:rsid w:val="004E32EA"/>
    <w:rsid w:val="004E456C"/>
    <w:rsid w:val="004E5525"/>
    <w:rsid w:val="004E565E"/>
    <w:rsid w:val="004E6866"/>
    <w:rsid w:val="004F0A67"/>
    <w:rsid w:val="004F3222"/>
    <w:rsid w:val="004F3BFA"/>
    <w:rsid w:val="004F7196"/>
    <w:rsid w:val="004F7347"/>
    <w:rsid w:val="005000AB"/>
    <w:rsid w:val="005025EE"/>
    <w:rsid w:val="005052D4"/>
    <w:rsid w:val="00510588"/>
    <w:rsid w:val="0051146C"/>
    <w:rsid w:val="00514449"/>
    <w:rsid w:val="00521402"/>
    <w:rsid w:val="005222E7"/>
    <w:rsid w:val="00523A8B"/>
    <w:rsid w:val="00523E04"/>
    <w:rsid w:val="0052590B"/>
    <w:rsid w:val="00526308"/>
    <w:rsid w:val="00526591"/>
    <w:rsid w:val="00527178"/>
    <w:rsid w:val="005278CB"/>
    <w:rsid w:val="00531AD4"/>
    <w:rsid w:val="00534D42"/>
    <w:rsid w:val="005350A5"/>
    <w:rsid w:val="00536379"/>
    <w:rsid w:val="00537238"/>
    <w:rsid w:val="005400C5"/>
    <w:rsid w:val="00540BEF"/>
    <w:rsid w:val="00541D45"/>
    <w:rsid w:val="00542C9A"/>
    <w:rsid w:val="005436C2"/>
    <w:rsid w:val="005442D4"/>
    <w:rsid w:val="0054586A"/>
    <w:rsid w:val="0054631F"/>
    <w:rsid w:val="005519AF"/>
    <w:rsid w:val="0055288D"/>
    <w:rsid w:val="00555259"/>
    <w:rsid w:val="00560D57"/>
    <w:rsid w:val="0056107A"/>
    <w:rsid w:val="00562A94"/>
    <w:rsid w:val="0056306F"/>
    <w:rsid w:val="005709F7"/>
    <w:rsid w:val="005710A9"/>
    <w:rsid w:val="00571C82"/>
    <w:rsid w:val="00571D1B"/>
    <w:rsid w:val="005720A4"/>
    <w:rsid w:val="00573701"/>
    <w:rsid w:val="00575D1D"/>
    <w:rsid w:val="005818AD"/>
    <w:rsid w:val="00593043"/>
    <w:rsid w:val="00595BF0"/>
    <w:rsid w:val="005A1846"/>
    <w:rsid w:val="005A258C"/>
    <w:rsid w:val="005A3560"/>
    <w:rsid w:val="005A4E82"/>
    <w:rsid w:val="005A6C99"/>
    <w:rsid w:val="005A7D5D"/>
    <w:rsid w:val="005B011A"/>
    <w:rsid w:val="005B1D8F"/>
    <w:rsid w:val="005B1E94"/>
    <w:rsid w:val="005B5B3D"/>
    <w:rsid w:val="005C16F3"/>
    <w:rsid w:val="005C3758"/>
    <w:rsid w:val="005D0C57"/>
    <w:rsid w:val="005D1075"/>
    <w:rsid w:val="005E0AF8"/>
    <w:rsid w:val="005E3064"/>
    <w:rsid w:val="005E3737"/>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5641"/>
    <w:rsid w:val="00616959"/>
    <w:rsid w:val="006211D0"/>
    <w:rsid w:val="006222C9"/>
    <w:rsid w:val="00624D0C"/>
    <w:rsid w:val="0062573A"/>
    <w:rsid w:val="006259D6"/>
    <w:rsid w:val="006307BA"/>
    <w:rsid w:val="006315BA"/>
    <w:rsid w:val="00631910"/>
    <w:rsid w:val="00634251"/>
    <w:rsid w:val="00634C4A"/>
    <w:rsid w:val="0063532E"/>
    <w:rsid w:val="006360B4"/>
    <w:rsid w:val="00637BDC"/>
    <w:rsid w:val="006418C9"/>
    <w:rsid w:val="00642BD6"/>
    <w:rsid w:val="00644E47"/>
    <w:rsid w:val="00645046"/>
    <w:rsid w:val="0064527A"/>
    <w:rsid w:val="00645EA2"/>
    <w:rsid w:val="00652D54"/>
    <w:rsid w:val="00656218"/>
    <w:rsid w:val="0065726C"/>
    <w:rsid w:val="006573F2"/>
    <w:rsid w:val="006626EF"/>
    <w:rsid w:val="00662F08"/>
    <w:rsid w:val="00663589"/>
    <w:rsid w:val="0066528B"/>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69A7"/>
    <w:rsid w:val="006A6E89"/>
    <w:rsid w:val="006A75FA"/>
    <w:rsid w:val="006B07D5"/>
    <w:rsid w:val="006B1309"/>
    <w:rsid w:val="006B3923"/>
    <w:rsid w:val="006B3F3E"/>
    <w:rsid w:val="006B4BCD"/>
    <w:rsid w:val="006B5923"/>
    <w:rsid w:val="006B67D9"/>
    <w:rsid w:val="006B6C14"/>
    <w:rsid w:val="006B715E"/>
    <w:rsid w:val="006C19A1"/>
    <w:rsid w:val="006C1D6E"/>
    <w:rsid w:val="006C262D"/>
    <w:rsid w:val="006C3A68"/>
    <w:rsid w:val="006C4C78"/>
    <w:rsid w:val="006C6AB1"/>
    <w:rsid w:val="006D2D39"/>
    <w:rsid w:val="006D4E0E"/>
    <w:rsid w:val="006D5CE2"/>
    <w:rsid w:val="006D7CE5"/>
    <w:rsid w:val="006E06D1"/>
    <w:rsid w:val="006E127E"/>
    <w:rsid w:val="006E1313"/>
    <w:rsid w:val="006E13CD"/>
    <w:rsid w:val="006E2DC8"/>
    <w:rsid w:val="006E4134"/>
    <w:rsid w:val="006E7356"/>
    <w:rsid w:val="006E77C8"/>
    <w:rsid w:val="006F13A9"/>
    <w:rsid w:val="006F149D"/>
    <w:rsid w:val="006F1A46"/>
    <w:rsid w:val="006F4C47"/>
    <w:rsid w:val="006F5A4E"/>
    <w:rsid w:val="00703B6C"/>
    <w:rsid w:val="00705C40"/>
    <w:rsid w:val="00706482"/>
    <w:rsid w:val="00706BEF"/>
    <w:rsid w:val="007116BC"/>
    <w:rsid w:val="0071308A"/>
    <w:rsid w:val="007165CE"/>
    <w:rsid w:val="00720968"/>
    <w:rsid w:val="00721D12"/>
    <w:rsid w:val="00721F8B"/>
    <w:rsid w:val="007237CE"/>
    <w:rsid w:val="00724688"/>
    <w:rsid w:val="007260FF"/>
    <w:rsid w:val="007278A5"/>
    <w:rsid w:val="0073062D"/>
    <w:rsid w:val="0073254D"/>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6100C"/>
    <w:rsid w:val="00763AAD"/>
    <w:rsid w:val="007651ED"/>
    <w:rsid w:val="00765A38"/>
    <w:rsid w:val="00766C87"/>
    <w:rsid w:val="007726F9"/>
    <w:rsid w:val="007752E4"/>
    <w:rsid w:val="00781BD4"/>
    <w:rsid w:val="0078438E"/>
    <w:rsid w:val="00784832"/>
    <w:rsid w:val="00785D77"/>
    <w:rsid w:val="00786111"/>
    <w:rsid w:val="0079000E"/>
    <w:rsid w:val="00790CAD"/>
    <w:rsid w:val="00791C55"/>
    <w:rsid w:val="00791F1E"/>
    <w:rsid w:val="00794F3D"/>
    <w:rsid w:val="00795CB8"/>
    <w:rsid w:val="00796045"/>
    <w:rsid w:val="007968AC"/>
    <w:rsid w:val="007969AB"/>
    <w:rsid w:val="007A0B39"/>
    <w:rsid w:val="007A14A4"/>
    <w:rsid w:val="007A168F"/>
    <w:rsid w:val="007A28E4"/>
    <w:rsid w:val="007A39EC"/>
    <w:rsid w:val="007A3BB3"/>
    <w:rsid w:val="007A51F4"/>
    <w:rsid w:val="007A5AD1"/>
    <w:rsid w:val="007A5B7B"/>
    <w:rsid w:val="007B0031"/>
    <w:rsid w:val="007B0A06"/>
    <w:rsid w:val="007B5C5C"/>
    <w:rsid w:val="007B633E"/>
    <w:rsid w:val="007B69E4"/>
    <w:rsid w:val="007B7B37"/>
    <w:rsid w:val="007B7C41"/>
    <w:rsid w:val="007C1384"/>
    <w:rsid w:val="007C1801"/>
    <w:rsid w:val="007C433E"/>
    <w:rsid w:val="007C4452"/>
    <w:rsid w:val="007C4780"/>
    <w:rsid w:val="007C4B3C"/>
    <w:rsid w:val="007C4DB1"/>
    <w:rsid w:val="007C6046"/>
    <w:rsid w:val="007C60FC"/>
    <w:rsid w:val="007C61E4"/>
    <w:rsid w:val="007D0292"/>
    <w:rsid w:val="007D1DAD"/>
    <w:rsid w:val="007D1F53"/>
    <w:rsid w:val="007D21AC"/>
    <w:rsid w:val="007D3882"/>
    <w:rsid w:val="007D568A"/>
    <w:rsid w:val="007D574E"/>
    <w:rsid w:val="007D6BFE"/>
    <w:rsid w:val="007E2046"/>
    <w:rsid w:val="007E3883"/>
    <w:rsid w:val="007E4FBB"/>
    <w:rsid w:val="007E55BF"/>
    <w:rsid w:val="007E6D52"/>
    <w:rsid w:val="007E71B1"/>
    <w:rsid w:val="007E7B4E"/>
    <w:rsid w:val="007F0CE2"/>
    <w:rsid w:val="007F0EFF"/>
    <w:rsid w:val="007F114B"/>
    <w:rsid w:val="007F1375"/>
    <w:rsid w:val="008014A7"/>
    <w:rsid w:val="00803850"/>
    <w:rsid w:val="00804385"/>
    <w:rsid w:val="008057FE"/>
    <w:rsid w:val="00805AFD"/>
    <w:rsid w:val="008078D8"/>
    <w:rsid w:val="008116C9"/>
    <w:rsid w:val="00811D5B"/>
    <w:rsid w:val="008144BF"/>
    <w:rsid w:val="00817154"/>
    <w:rsid w:val="00817713"/>
    <w:rsid w:val="008206CD"/>
    <w:rsid w:val="00820855"/>
    <w:rsid w:val="008220F1"/>
    <w:rsid w:val="0082340B"/>
    <w:rsid w:val="00827DB6"/>
    <w:rsid w:val="00830153"/>
    <w:rsid w:val="008304B2"/>
    <w:rsid w:val="00830999"/>
    <w:rsid w:val="00830D5E"/>
    <w:rsid w:val="00830F69"/>
    <w:rsid w:val="00833418"/>
    <w:rsid w:val="00834458"/>
    <w:rsid w:val="00835841"/>
    <w:rsid w:val="00837465"/>
    <w:rsid w:val="00841243"/>
    <w:rsid w:val="00841457"/>
    <w:rsid w:val="0084374E"/>
    <w:rsid w:val="00844842"/>
    <w:rsid w:val="00844DD0"/>
    <w:rsid w:val="00847684"/>
    <w:rsid w:val="0085089F"/>
    <w:rsid w:val="0085206E"/>
    <w:rsid w:val="008521AC"/>
    <w:rsid w:val="00852AD4"/>
    <w:rsid w:val="00852BA8"/>
    <w:rsid w:val="00853718"/>
    <w:rsid w:val="008541EF"/>
    <w:rsid w:val="00856AC7"/>
    <w:rsid w:val="00856FA4"/>
    <w:rsid w:val="00857A25"/>
    <w:rsid w:val="008604D9"/>
    <w:rsid w:val="0086162B"/>
    <w:rsid w:val="00861D5C"/>
    <w:rsid w:val="00865207"/>
    <w:rsid w:val="008656A7"/>
    <w:rsid w:val="00871262"/>
    <w:rsid w:val="00871D4E"/>
    <w:rsid w:val="00871E7B"/>
    <w:rsid w:val="00873AF1"/>
    <w:rsid w:val="00875B51"/>
    <w:rsid w:val="00875F2D"/>
    <w:rsid w:val="008764DC"/>
    <w:rsid w:val="00877D0B"/>
    <w:rsid w:val="00880885"/>
    <w:rsid w:val="00880F8F"/>
    <w:rsid w:val="0088255F"/>
    <w:rsid w:val="00882CC2"/>
    <w:rsid w:val="00883930"/>
    <w:rsid w:val="00884A85"/>
    <w:rsid w:val="00885447"/>
    <w:rsid w:val="00894A2D"/>
    <w:rsid w:val="00896535"/>
    <w:rsid w:val="00896683"/>
    <w:rsid w:val="00897589"/>
    <w:rsid w:val="008A439D"/>
    <w:rsid w:val="008A63A9"/>
    <w:rsid w:val="008A7F7E"/>
    <w:rsid w:val="008B04DB"/>
    <w:rsid w:val="008B27FD"/>
    <w:rsid w:val="008B3AF2"/>
    <w:rsid w:val="008B515D"/>
    <w:rsid w:val="008B5D31"/>
    <w:rsid w:val="008B6705"/>
    <w:rsid w:val="008C08CC"/>
    <w:rsid w:val="008C22F3"/>
    <w:rsid w:val="008D6E8E"/>
    <w:rsid w:val="008D795D"/>
    <w:rsid w:val="008D7B07"/>
    <w:rsid w:val="008E1E94"/>
    <w:rsid w:val="008E281F"/>
    <w:rsid w:val="008E2D99"/>
    <w:rsid w:val="008E4A60"/>
    <w:rsid w:val="008E744D"/>
    <w:rsid w:val="008F1E08"/>
    <w:rsid w:val="008F75F8"/>
    <w:rsid w:val="00900D8F"/>
    <w:rsid w:val="00900FC9"/>
    <w:rsid w:val="009014E3"/>
    <w:rsid w:val="00901574"/>
    <w:rsid w:val="009026E8"/>
    <w:rsid w:val="00903F39"/>
    <w:rsid w:val="00904B91"/>
    <w:rsid w:val="009051C8"/>
    <w:rsid w:val="009053FC"/>
    <w:rsid w:val="00906EB7"/>
    <w:rsid w:val="009102BF"/>
    <w:rsid w:val="009115F2"/>
    <w:rsid w:val="00914ADB"/>
    <w:rsid w:val="00914F06"/>
    <w:rsid w:val="00923B25"/>
    <w:rsid w:val="0092402E"/>
    <w:rsid w:val="009259BA"/>
    <w:rsid w:val="00926FCB"/>
    <w:rsid w:val="0092702F"/>
    <w:rsid w:val="0092756C"/>
    <w:rsid w:val="0093311A"/>
    <w:rsid w:val="00942645"/>
    <w:rsid w:val="009472CB"/>
    <w:rsid w:val="00950A3A"/>
    <w:rsid w:val="0095340A"/>
    <w:rsid w:val="00954581"/>
    <w:rsid w:val="0095466C"/>
    <w:rsid w:val="009547BD"/>
    <w:rsid w:val="00954E5B"/>
    <w:rsid w:val="009576BC"/>
    <w:rsid w:val="00960357"/>
    <w:rsid w:val="0096168C"/>
    <w:rsid w:val="00961840"/>
    <w:rsid w:val="00962DF2"/>
    <w:rsid w:val="00962F2D"/>
    <w:rsid w:val="009642FA"/>
    <w:rsid w:val="009672CD"/>
    <w:rsid w:val="00972996"/>
    <w:rsid w:val="009732B8"/>
    <w:rsid w:val="00975C72"/>
    <w:rsid w:val="00976492"/>
    <w:rsid w:val="00976869"/>
    <w:rsid w:val="00976CE2"/>
    <w:rsid w:val="00977740"/>
    <w:rsid w:val="00977CB4"/>
    <w:rsid w:val="009809B8"/>
    <w:rsid w:val="0098222D"/>
    <w:rsid w:val="00985099"/>
    <w:rsid w:val="00986D03"/>
    <w:rsid w:val="009935C0"/>
    <w:rsid w:val="0099421F"/>
    <w:rsid w:val="009A0DE3"/>
    <w:rsid w:val="009A1643"/>
    <w:rsid w:val="009A215A"/>
    <w:rsid w:val="009A218B"/>
    <w:rsid w:val="009A2493"/>
    <w:rsid w:val="009A396E"/>
    <w:rsid w:val="009A4F1B"/>
    <w:rsid w:val="009A52B1"/>
    <w:rsid w:val="009A66C5"/>
    <w:rsid w:val="009A79BA"/>
    <w:rsid w:val="009B14D1"/>
    <w:rsid w:val="009B1534"/>
    <w:rsid w:val="009B2D10"/>
    <w:rsid w:val="009B4A3B"/>
    <w:rsid w:val="009B6547"/>
    <w:rsid w:val="009B69D3"/>
    <w:rsid w:val="009B7720"/>
    <w:rsid w:val="009B7BA7"/>
    <w:rsid w:val="009C0938"/>
    <w:rsid w:val="009C138E"/>
    <w:rsid w:val="009C22C8"/>
    <w:rsid w:val="009C3F82"/>
    <w:rsid w:val="009C72DD"/>
    <w:rsid w:val="009C7DF5"/>
    <w:rsid w:val="009D056C"/>
    <w:rsid w:val="009D060F"/>
    <w:rsid w:val="009D1ADE"/>
    <w:rsid w:val="009D2F2D"/>
    <w:rsid w:val="009E09D0"/>
    <w:rsid w:val="009E1283"/>
    <w:rsid w:val="009E1E64"/>
    <w:rsid w:val="009E3A7F"/>
    <w:rsid w:val="009E57B1"/>
    <w:rsid w:val="009E6379"/>
    <w:rsid w:val="009F7809"/>
    <w:rsid w:val="009F7AF5"/>
    <w:rsid w:val="00A00D14"/>
    <w:rsid w:val="00A01408"/>
    <w:rsid w:val="00A02457"/>
    <w:rsid w:val="00A03190"/>
    <w:rsid w:val="00A0404B"/>
    <w:rsid w:val="00A0798C"/>
    <w:rsid w:val="00A07BDD"/>
    <w:rsid w:val="00A10785"/>
    <w:rsid w:val="00A1105B"/>
    <w:rsid w:val="00A12EED"/>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387"/>
    <w:rsid w:val="00A414A9"/>
    <w:rsid w:val="00A44CCA"/>
    <w:rsid w:val="00A44D75"/>
    <w:rsid w:val="00A47CF1"/>
    <w:rsid w:val="00A50418"/>
    <w:rsid w:val="00A54A47"/>
    <w:rsid w:val="00A554A3"/>
    <w:rsid w:val="00A56D26"/>
    <w:rsid w:val="00A571A7"/>
    <w:rsid w:val="00A608FB"/>
    <w:rsid w:val="00A60D83"/>
    <w:rsid w:val="00A60F68"/>
    <w:rsid w:val="00A63DF3"/>
    <w:rsid w:val="00A65616"/>
    <w:rsid w:val="00A65C78"/>
    <w:rsid w:val="00A660A8"/>
    <w:rsid w:val="00A663D1"/>
    <w:rsid w:val="00A67591"/>
    <w:rsid w:val="00A67CA6"/>
    <w:rsid w:val="00A70E7B"/>
    <w:rsid w:val="00A7239C"/>
    <w:rsid w:val="00A73B84"/>
    <w:rsid w:val="00A7411D"/>
    <w:rsid w:val="00A76094"/>
    <w:rsid w:val="00A768E2"/>
    <w:rsid w:val="00A82C52"/>
    <w:rsid w:val="00A86CB6"/>
    <w:rsid w:val="00A875E7"/>
    <w:rsid w:val="00A90D55"/>
    <w:rsid w:val="00A944D8"/>
    <w:rsid w:val="00A959E7"/>
    <w:rsid w:val="00A95BBA"/>
    <w:rsid w:val="00A961EE"/>
    <w:rsid w:val="00A97E58"/>
    <w:rsid w:val="00AA04B3"/>
    <w:rsid w:val="00AA1253"/>
    <w:rsid w:val="00AA28EF"/>
    <w:rsid w:val="00AA493E"/>
    <w:rsid w:val="00AA6F47"/>
    <w:rsid w:val="00AA73AF"/>
    <w:rsid w:val="00AB1754"/>
    <w:rsid w:val="00AB27DD"/>
    <w:rsid w:val="00AB2E38"/>
    <w:rsid w:val="00AB5FE8"/>
    <w:rsid w:val="00AC289E"/>
    <w:rsid w:val="00AC439D"/>
    <w:rsid w:val="00AC5B2F"/>
    <w:rsid w:val="00AC713F"/>
    <w:rsid w:val="00AD067E"/>
    <w:rsid w:val="00AD1CDD"/>
    <w:rsid w:val="00AD2801"/>
    <w:rsid w:val="00AD3A56"/>
    <w:rsid w:val="00AD6870"/>
    <w:rsid w:val="00AD68C5"/>
    <w:rsid w:val="00AE1273"/>
    <w:rsid w:val="00AE296F"/>
    <w:rsid w:val="00AE2D29"/>
    <w:rsid w:val="00AE4624"/>
    <w:rsid w:val="00AE5E14"/>
    <w:rsid w:val="00AE6115"/>
    <w:rsid w:val="00AE625B"/>
    <w:rsid w:val="00AF1668"/>
    <w:rsid w:val="00AF39FF"/>
    <w:rsid w:val="00AF4FA5"/>
    <w:rsid w:val="00B02EB7"/>
    <w:rsid w:val="00B0436B"/>
    <w:rsid w:val="00B07955"/>
    <w:rsid w:val="00B14FAA"/>
    <w:rsid w:val="00B15D30"/>
    <w:rsid w:val="00B169EF"/>
    <w:rsid w:val="00B20624"/>
    <w:rsid w:val="00B23436"/>
    <w:rsid w:val="00B26354"/>
    <w:rsid w:val="00B26CA0"/>
    <w:rsid w:val="00B30D88"/>
    <w:rsid w:val="00B32179"/>
    <w:rsid w:val="00B33008"/>
    <w:rsid w:val="00B331A9"/>
    <w:rsid w:val="00B3333A"/>
    <w:rsid w:val="00B3449A"/>
    <w:rsid w:val="00B36569"/>
    <w:rsid w:val="00B40A05"/>
    <w:rsid w:val="00B40A3E"/>
    <w:rsid w:val="00B4231B"/>
    <w:rsid w:val="00B427E4"/>
    <w:rsid w:val="00B46F49"/>
    <w:rsid w:val="00B50227"/>
    <w:rsid w:val="00B50510"/>
    <w:rsid w:val="00B522CD"/>
    <w:rsid w:val="00B55143"/>
    <w:rsid w:val="00B55917"/>
    <w:rsid w:val="00B561D2"/>
    <w:rsid w:val="00B643A6"/>
    <w:rsid w:val="00B64DD6"/>
    <w:rsid w:val="00B64F33"/>
    <w:rsid w:val="00B653D5"/>
    <w:rsid w:val="00B6710C"/>
    <w:rsid w:val="00B72076"/>
    <w:rsid w:val="00B72303"/>
    <w:rsid w:val="00B72AC5"/>
    <w:rsid w:val="00B737B4"/>
    <w:rsid w:val="00B8188C"/>
    <w:rsid w:val="00B82277"/>
    <w:rsid w:val="00B91676"/>
    <w:rsid w:val="00B92593"/>
    <w:rsid w:val="00B95833"/>
    <w:rsid w:val="00B95A57"/>
    <w:rsid w:val="00B95CBA"/>
    <w:rsid w:val="00B96443"/>
    <w:rsid w:val="00BA1824"/>
    <w:rsid w:val="00BA2D98"/>
    <w:rsid w:val="00BA30D1"/>
    <w:rsid w:val="00BA4609"/>
    <w:rsid w:val="00BA5BE2"/>
    <w:rsid w:val="00BA7F46"/>
    <w:rsid w:val="00BB0A0A"/>
    <w:rsid w:val="00BB45B5"/>
    <w:rsid w:val="00BB4617"/>
    <w:rsid w:val="00BB6064"/>
    <w:rsid w:val="00BC09D1"/>
    <w:rsid w:val="00BC1CF3"/>
    <w:rsid w:val="00BC3538"/>
    <w:rsid w:val="00BC7F82"/>
    <w:rsid w:val="00BD40AB"/>
    <w:rsid w:val="00BD6297"/>
    <w:rsid w:val="00BD6806"/>
    <w:rsid w:val="00BD7433"/>
    <w:rsid w:val="00BD7831"/>
    <w:rsid w:val="00BD7C10"/>
    <w:rsid w:val="00BE046F"/>
    <w:rsid w:val="00BE0697"/>
    <w:rsid w:val="00BE0DEB"/>
    <w:rsid w:val="00BE2791"/>
    <w:rsid w:val="00BE2FC1"/>
    <w:rsid w:val="00BE5915"/>
    <w:rsid w:val="00BE6365"/>
    <w:rsid w:val="00BE7789"/>
    <w:rsid w:val="00BF0B7F"/>
    <w:rsid w:val="00BF4720"/>
    <w:rsid w:val="00BF7B63"/>
    <w:rsid w:val="00C038EC"/>
    <w:rsid w:val="00C05C6D"/>
    <w:rsid w:val="00C072D0"/>
    <w:rsid w:val="00C07ED0"/>
    <w:rsid w:val="00C1122B"/>
    <w:rsid w:val="00C1278A"/>
    <w:rsid w:val="00C13B34"/>
    <w:rsid w:val="00C13F26"/>
    <w:rsid w:val="00C16E9F"/>
    <w:rsid w:val="00C1713D"/>
    <w:rsid w:val="00C177F1"/>
    <w:rsid w:val="00C218D9"/>
    <w:rsid w:val="00C218DB"/>
    <w:rsid w:val="00C22F3A"/>
    <w:rsid w:val="00C237D1"/>
    <w:rsid w:val="00C25978"/>
    <w:rsid w:val="00C261C6"/>
    <w:rsid w:val="00C26E7C"/>
    <w:rsid w:val="00C30A97"/>
    <w:rsid w:val="00C31DDC"/>
    <w:rsid w:val="00C32070"/>
    <w:rsid w:val="00C34326"/>
    <w:rsid w:val="00C36201"/>
    <w:rsid w:val="00C368E8"/>
    <w:rsid w:val="00C36C3D"/>
    <w:rsid w:val="00C372C7"/>
    <w:rsid w:val="00C41E47"/>
    <w:rsid w:val="00C42443"/>
    <w:rsid w:val="00C42CBA"/>
    <w:rsid w:val="00C45E3F"/>
    <w:rsid w:val="00C5019E"/>
    <w:rsid w:val="00C5377C"/>
    <w:rsid w:val="00C53E8A"/>
    <w:rsid w:val="00C54DF3"/>
    <w:rsid w:val="00C55918"/>
    <w:rsid w:val="00C560A7"/>
    <w:rsid w:val="00C56FC8"/>
    <w:rsid w:val="00C60F23"/>
    <w:rsid w:val="00C62EB2"/>
    <w:rsid w:val="00C71BEC"/>
    <w:rsid w:val="00C748BD"/>
    <w:rsid w:val="00C74D3A"/>
    <w:rsid w:val="00C80511"/>
    <w:rsid w:val="00C82627"/>
    <w:rsid w:val="00C826F5"/>
    <w:rsid w:val="00C83740"/>
    <w:rsid w:val="00C84AD1"/>
    <w:rsid w:val="00C85579"/>
    <w:rsid w:val="00C863E5"/>
    <w:rsid w:val="00C87EFD"/>
    <w:rsid w:val="00C931FC"/>
    <w:rsid w:val="00C932C5"/>
    <w:rsid w:val="00C9650E"/>
    <w:rsid w:val="00C971DB"/>
    <w:rsid w:val="00CA068D"/>
    <w:rsid w:val="00CA0A57"/>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2369"/>
    <w:rsid w:val="00CD32BD"/>
    <w:rsid w:val="00CD34C7"/>
    <w:rsid w:val="00CD37E7"/>
    <w:rsid w:val="00CD42C8"/>
    <w:rsid w:val="00CD501E"/>
    <w:rsid w:val="00CD563D"/>
    <w:rsid w:val="00CD5653"/>
    <w:rsid w:val="00CD5E6D"/>
    <w:rsid w:val="00CD63C8"/>
    <w:rsid w:val="00CF158D"/>
    <w:rsid w:val="00CF3C31"/>
    <w:rsid w:val="00CF4394"/>
    <w:rsid w:val="00D000A9"/>
    <w:rsid w:val="00D005DB"/>
    <w:rsid w:val="00D0064E"/>
    <w:rsid w:val="00D00981"/>
    <w:rsid w:val="00D02015"/>
    <w:rsid w:val="00D0280D"/>
    <w:rsid w:val="00D02C23"/>
    <w:rsid w:val="00D07A72"/>
    <w:rsid w:val="00D10577"/>
    <w:rsid w:val="00D1323B"/>
    <w:rsid w:val="00D14BAE"/>
    <w:rsid w:val="00D15515"/>
    <w:rsid w:val="00D15941"/>
    <w:rsid w:val="00D1648B"/>
    <w:rsid w:val="00D16819"/>
    <w:rsid w:val="00D17740"/>
    <w:rsid w:val="00D20AC0"/>
    <w:rsid w:val="00D219B1"/>
    <w:rsid w:val="00D223E6"/>
    <w:rsid w:val="00D2321B"/>
    <w:rsid w:val="00D23DE4"/>
    <w:rsid w:val="00D26873"/>
    <w:rsid w:val="00D31683"/>
    <w:rsid w:val="00D336C8"/>
    <w:rsid w:val="00D339E8"/>
    <w:rsid w:val="00D3662E"/>
    <w:rsid w:val="00D37E57"/>
    <w:rsid w:val="00D40B1F"/>
    <w:rsid w:val="00D40D75"/>
    <w:rsid w:val="00D412BB"/>
    <w:rsid w:val="00D449F0"/>
    <w:rsid w:val="00D50C8C"/>
    <w:rsid w:val="00D51039"/>
    <w:rsid w:val="00D52393"/>
    <w:rsid w:val="00D523E4"/>
    <w:rsid w:val="00D5279D"/>
    <w:rsid w:val="00D52A1B"/>
    <w:rsid w:val="00D53F14"/>
    <w:rsid w:val="00D543FB"/>
    <w:rsid w:val="00D54BE4"/>
    <w:rsid w:val="00D60483"/>
    <w:rsid w:val="00D61ABB"/>
    <w:rsid w:val="00D63577"/>
    <w:rsid w:val="00D67FD7"/>
    <w:rsid w:val="00D71FDC"/>
    <w:rsid w:val="00D7403C"/>
    <w:rsid w:val="00D74261"/>
    <w:rsid w:val="00D7441B"/>
    <w:rsid w:val="00D76AB2"/>
    <w:rsid w:val="00D80490"/>
    <w:rsid w:val="00D80CCB"/>
    <w:rsid w:val="00D81DE3"/>
    <w:rsid w:val="00D829AD"/>
    <w:rsid w:val="00D82EE2"/>
    <w:rsid w:val="00D8545C"/>
    <w:rsid w:val="00D87788"/>
    <w:rsid w:val="00D877C8"/>
    <w:rsid w:val="00D910C2"/>
    <w:rsid w:val="00D9168C"/>
    <w:rsid w:val="00D9189B"/>
    <w:rsid w:val="00D91DA6"/>
    <w:rsid w:val="00D93271"/>
    <w:rsid w:val="00D9706F"/>
    <w:rsid w:val="00D972D4"/>
    <w:rsid w:val="00DA18F0"/>
    <w:rsid w:val="00DA195B"/>
    <w:rsid w:val="00DA5872"/>
    <w:rsid w:val="00DA6B55"/>
    <w:rsid w:val="00DA72BF"/>
    <w:rsid w:val="00DB0015"/>
    <w:rsid w:val="00DB2AAD"/>
    <w:rsid w:val="00DB2D50"/>
    <w:rsid w:val="00DB2DC6"/>
    <w:rsid w:val="00DB626D"/>
    <w:rsid w:val="00DB6365"/>
    <w:rsid w:val="00DB6F46"/>
    <w:rsid w:val="00DC01E0"/>
    <w:rsid w:val="00DC0BF1"/>
    <w:rsid w:val="00DC41C3"/>
    <w:rsid w:val="00DD26EB"/>
    <w:rsid w:val="00DD3593"/>
    <w:rsid w:val="00DE0C67"/>
    <w:rsid w:val="00DE19F8"/>
    <w:rsid w:val="00DE4A17"/>
    <w:rsid w:val="00DE55DF"/>
    <w:rsid w:val="00DE6952"/>
    <w:rsid w:val="00DE7E74"/>
    <w:rsid w:val="00DF6EF8"/>
    <w:rsid w:val="00E00A69"/>
    <w:rsid w:val="00E017F0"/>
    <w:rsid w:val="00E01A0E"/>
    <w:rsid w:val="00E041E4"/>
    <w:rsid w:val="00E043D6"/>
    <w:rsid w:val="00E1012B"/>
    <w:rsid w:val="00E103C8"/>
    <w:rsid w:val="00E1085B"/>
    <w:rsid w:val="00E1308B"/>
    <w:rsid w:val="00E1317F"/>
    <w:rsid w:val="00E131F6"/>
    <w:rsid w:val="00E14581"/>
    <w:rsid w:val="00E145B0"/>
    <w:rsid w:val="00E15539"/>
    <w:rsid w:val="00E16541"/>
    <w:rsid w:val="00E21A0E"/>
    <w:rsid w:val="00E23255"/>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2487"/>
    <w:rsid w:val="00E53206"/>
    <w:rsid w:val="00E548FA"/>
    <w:rsid w:val="00E55048"/>
    <w:rsid w:val="00E6092F"/>
    <w:rsid w:val="00E62049"/>
    <w:rsid w:val="00E629DA"/>
    <w:rsid w:val="00E6469F"/>
    <w:rsid w:val="00E651CC"/>
    <w:rsid w:val="00E67FAC"/>
    <w:rsid w:val="00E7200B"/>
    <w:rsid w:val="00E738CB"/>
    <w:rsid w:val="00E73C88"/>
    <w:rsid w:val="00E74437"/>
    <w:rsid w:val="00E7443D"/>
    <w:rsid w:val="00E81C3E"/>
    <w:rsid w:val="00E82B6D"/>
    <w:rsid w:val="00E8623B"/>
    <w:rsid w:val="00E9366D"/>
    <w:rsid w:val="00E97885"/>
    <w:rsid w:val="00EA10E7"/>
    <w:rsid w:val="00EA1177"/>
    <w:rsid w:val="00EA118B"/>
    <w:rsid w:val="00EA11B6"/>
    <w:rsid w:val="00EA2181"/>
    <w:rsid w:val="00EA2DD8"/>
    <w:rsid w:val="00EA4475"/>
    <w:rsid w:val="00EA5BA3"/>
    <w:rsid w:val="00EA681F"/>
    <w:rsid w:val="00EA6E65"/>
    <w:rsid w:val="00EB3823"/>
    <w:rsid w:val="00EB47D8"/>
    <w:rsid w:val="00EB545E"/>
    <w:rsid w:val="00EB57D3"/>
    <w:rsid w:val="00EB5EFD"/>
    <w:rsid w:val="00EB679F"/>
    <w:rsid w:val="00EB76E4"/>
    <w:rsid w:val="00EC0E65"/>
    <w:rsid w:val="00EC2938"/>
    <w:rsid w:val="00EC40C1"/>
    <w:rsid w:val="00EC50C9"/>
    <w:rsid w:val="00EC58B4"/>
    <w:rsid w:val="00EC5BB2"/>
    <w:rsid w:val="00ED12F0"/>
    <w:rsid w:val="00ED4773"/>
    <w:rsid w:val="00ED594A"/>
    <w:rsid w:val="00ED664B"/>
    <w:rsid w:val="00ED69A3"/>
    <w:rsid w:val="00ED6A61"/>
    <w:rsid w:val="00ED75F0"/>
    <w:rsid w:val="00EE03BB"/>
    <w:rsid w:val="00EE0B44"/>
    <w:rsid w:val="00EE6FE0"/>
    <w:rsid w:val="00EE704A"/>
    <w:rsid w:val="00EE7840"/>
    <w:rsid w:val="00EF31F3"/>
    <w:rsid w:val="00EF4C74"/>
    <w:rsid w:val="00EF5268"/>
    <w:rsid w:val="00EF608E"/>
    <w:rsid w:val="00F0044B"/>
    <w:rsid w:val="00F04957"/>
    <w:rsid w:val="00F05807"/>
    <w:rsid w:val="00F07052"/>
    <w:rsid w:val="00F0706C"/>
    <w:rsid w:val="00F11EBE"/>
    <w:rsid w:val="00F12BA8"/>
    <w:rsid w:val="00F130D0"/>
    <w:rsid w:val="00F1342C"/>
    <w:rsid w:val="00F14933"/>
    <w:rsid w:val="00F1516A"/>
    <w:rsid w:val="00F22A26"/>
    <w:rsid w:val="00F24072"/>
    <w:rsid w:val="00F26432"/>
    <w:rsid w:val="00F271DD"/>
    <w:rsid w:val="00F3197A"/>
    <w:rsid w:val="00F32139"/>
    <w:rsid w:val="00F33D56"/>
    <w:rsid w:val="00F3410A"/>
    <w:rsid w:val="00F34E08"/>
    <w:rsid w:val="00F41D91"/>
    <w:rsid w:val="00F42363"/>
    <w:rsid w:val="00F442C2"/>
    <w:rsid w:val="00F46964"/>
    <w:rsid w:val="00F46F9A"/>
    <w:rsid w:val="00F5126A"/>
    <w:rsid w:val="00F52557"/>
    <w:rsid w:val="00F53BC8"/>
    <w:rsid w:val="00F5455D"/>
    <w:rsid w:val="00F55366"/>
    <w:rsid w:val="00F62250"/>
    <w:rsid w:val="00F6266C"/>
    <w:rsid w:val="00F65EC8"/>
    <w:rsid w:val="00F6636A"/>
    <w:rsid w:val="00F667C5"/>
    <w:rsid w:val="00F67E31"/>
    <w:rsid w:val="00F718A8"/>
    <w:rsid w:val="00F72183"/>
    <w:rsid w:val="00F76D01"/>
    <w:rsid w:val="00F77EA7"/>
    <w:rsid w:val="00F8094B"/>
    <w:rsid w:val="00F81C35"/>
    <w:rsid w:val="00F82981"/>
    <w:rsid w:val="00F8311F"/>
    <w:rsid w:val="00F83248"/>
    <w:rsid w:val="00F83376"/>
    <w:rsid w:val="00F853AE"/>
    <w:rsid w:val="00F8547A"/>
    <w:rsid w:val="00F86B37"/>
    <w:rsid w:val="00F87854"/>
    <w:rsid w:val="00F8786F"/>
    <w:rsid w:val="00F878B5"/>
    <w:rsid w:val="00F93C74"/>
    <w:rsid w:val="00F93DCC"/>
    <w:rsid w:val="00F9432E"/>
    <w:rsid w:val="00F9435D"/>
    <w:rsid w:val="00F97740"/>
    <w:rsid w:val="00FA2F7B"/>
    <w:rsid w:val="00FB09FE"/>
    <w:rsid w:val="00FB2534"/>
    <w:rsid w:val="00FB593A"/>
    <w:rsid w:val="00FB6410"/>
    <w:rsid w:val="00FB6E82"/>
    <w:rsid w:val="00FC0042"/>
    <w:rsid w:val="00FC2A13"/>
    <w:rsid w:val="00FC4284"/>
    <w:rsid w:val="00FC4576"/>
    <w:rsid w:val="00FC4DF2"/>
    <w:rsid w:val="00FC566A"/>
    <w:rsid w:val="00FC7DBC"/>
    <w:rsid w:val="00FD076A"/>
    <w:rsid w:val="00FD0AA0"/>
    <w:rsid w:val="00FD1D5A"/>
    <w:rsid w:val="00FD2B6F"/>
    <w:rsid w:val="00FD5059"/>
    <w:rsid w:val="00FD554D"/>
    <w:rsid w:val="00FE329F"/>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E131F6"/>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AB56-4426-4513-B5B0-1920489F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2011-10-21T11:28:00Z</cp:lastPrinted>
  <dcterms:created xsi:type="dcterms:W3CDTF">2011-11-17T16:24:00Z</dcterms:created>
  <dcterms:modified xsi:type="dcterms:W3CDTF">2012-05-14T22:04:00Z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