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0452D7">
      <w:pPr>
        <w:tabs>
          <w:tab w:val="left" w:pos="288"/>
          <w:tab w:val="left" w:pos="4752"/>
        </w:tabs>
        <w:spacing w:line="240" w:lineRule="exact"/>
        <w:jc w:val="center"/>
        <w:rPr>
          <w:color w:val="auto"/>
        </w:rPr>
      </w:pPr>
      <w:r w:rsidRPr="00396779">
        <w:rPr>
          <w:color w:val="auto"/>
        </w:rPr>
        <w:t>RECORD OF PROCEEDINGS</w:t>
      </w:r>
    </w:p>
    <w:p w:rsidR="00540BEF" w:rsidRPr="00396779" w:rsidRDefault="00540BEF" w:rsidP="000452D7">
      <w:pPr>
        <w:tabs>
          <w:tab w:val="left" w:pos="288"/>
          <w:tab w:val="left" w:pos="4752"/>
        </w:tabs>
        <w:spacing w:line="240" w:lineRule="exact"/>
        <w:jc w:val="center"/>
        <w:rPr>
          <w:color w:val="auto"/>
        </w:rPr>
      </w:pPr>
      <w:r w:rsidRPr="00396779">
        <w:rPr>
          <w:color w:val="auto"/>
        </w:rPr>
        <w:t>PHYSICAL DISABILITY BOARD OF REVIEW</w:t>
      </w:r>
    </w:p>
    <w:p w:rsidR="00540BEF" w:rsidRPr="00396779" w:rsidRDefault="00540BEF" w:rsidP="000452D7">
      <w:pPr>
        <w:tabs>
          <w:tab w:val="left" w:pos="288"/>
          <w:tab w:val="left" w:pos="4752"/>
        </w:tabs>
        <w:spacing w:line="240" w:lineRule="exact"/>
        <w:jc w:val="both"/>
        <w:rPr>
          <w:caps/>
          <w:color w:val="auto"/>
        </w:rPr>
      </w:pPr>
    </w:p>
    <w:p w:rsidR="00F629C0" w:rsidRPr="00FD6C41" w:rsidRDefault="00F629C0" w:rsidP="004C2A1D">
      <w:pPr>
        <w:tabs>
          <w:tab w:val="left" w:pos="288"/>
          <w:tab w:val="left" w:pos="4752"/>
          <w:tab w:val="left" w:pos="5130"/>
          <w:tab w:val="left" w:pos="6120"/>
          <w:tab w:val="left" w:pos="9270"/>
        </w:tabs>
        <w:spacing w:line="240" w:lineRule="exact"/>
        <w:jc w:val="both"/>
        <w:rPr>
          <w:caps/>
          <w:color w:val="auto"/>
        </w:rPr>
      </w:pPr>
      <w:r w:rsidRPr="00FD6C41">
        <w:rPr>
          <w:caps/>
          <w:color w:val="auto"/>
        </w:rPr>
        <w:t xml:space="preserve">NAME: </w:t>
      </w:r>
      <w:r>
        <w:rPr>
          <w:caps/>
          <w:color w:val="auto"/>
        </w:rPr>
        <w:t xml:space="preserve"> </w:t>
      </w:r>
      <w:r w:rsidR="00FA21A8">
        <w:rPr>
          <w:caps/>
          <w:color w:val="auto"/>
        </w:rPr>
        <w:t xml:space="preserve"> </w:t>
      </w:r>
      <w:r w:rsidR="00955E45">
        <w:rPr>
          <w:caps/>
          <w:color w:val="auto"/>
        </w:rPr>
        <w:tab/>
        <w:t xml:space="preserve">       </w:t>
      </w:r>
      <w:r w:rsidR="004C2A1D">
        <w:rPr>
          <w:caps/>
          <w:color w:val="auto"/>
        </w:rPr>
        <w:tab/>
      </w:r>
      <w:r w:rsidRPr="00FD6C41">
        <w:rPr>
          <w:caps/>
          <w:color w:val="auto"/>
        </w:rPr>
        <w:t xml:space="preserve">BRANCH OF SERVICE: </w:t>
      </w:r>
      <w:r>
        <w:rPr>
          <w:caps/>
          <w:color w:val="auto"/>
        </w:rPr>
        <w:t xml:space="preserve"> </w:t>
      </w:r>
      <w:r w:rsidR="00204A3C">
        <w:rPr>
          <w:caps/>
          <w:color w:val="auto"/>
        </w:rPr>
        <w:t>Air</w:t>
      </w:r>
      <w:r w:rsidR="00BB23E2">
        <w:rPr>
          <w:caps/>
          <w:color w:val="auto"/>
        </w:rPr>
        <w:t xml:space="preserve"> </w:t>
      </w:r>
      <w:r w:rsidR="00204A3C">
        <w:rPr>
          <w:caps/>
          <w:color w:val="auto"/>
        </w:rPr>
        <w:t>force</w:t>
      </w:r>
    </w:p>
    <w:p w:rsidR="00F629C0" w:rsidRPr="00FD6C41" w:rsidRDefault="00F629C0" w:rsidP="004C2A1D">
      <w:pPr>
        <w:tabs>
          <w:tab w:val="left" w:pos="288"/>
          <w:tab w:val="left" w:pos="4752"/>
          <w:tab w:val="left" w:pos="5130"/>
          <w:tab w:val="left" w:pos="6120"/>
        </w:tabs>
        <w:spacing w:line="240" w:lineRule="exact"/>
        <w:ind w:right="-900"/>
        <w:jc w:val="both"/>
        <w:rPr>
          <w:caps/>
          <w:color w:val="auto"/>
        </w:rPr>
      </w:pPr>
      <w:r w:rsidRPr="00FD6C41">
        <w:rPr>
          <w:caps/>
          <w:color w:val="auto"/>
        </w:rPr>
        <w:t xml:space="preserve">CASE NUMBER: </w:t>
      </w:r>
      <w:r>
        <w:rPr>
          <w:caps/>
          <w:color w:val="auto"/>
        </w:rPr>
        <w:t xml:space="preserve"> </w:t>
      </w:r>
      <w:r w:rsidRPr="00FD6C41">
        <w:rPr>
          <w:caps/>
          <w:color w:val="auto"/>
        </w:rPr>
        <w:t>PD</w:t>
      </w:r>
      <w:r w:rsidRPr="00204A3C">
        <w:rPr>
          <w:caps/>
          <w:color w:val="auto"/>
        </w:rPr>
        <w:t>1000</w:t>
      </w:r>
      <w:r w:rsidR="00204A3C">
        <w:rPr>
          <w:caps/>
          <w:color w:val="auto"/>
        </w:rPr>
        <w:t>723</w:t>
      </w:r>
      <w:r w:rsidRPr="00FD6C41">
        <w:rPr>
          <w:caps/>
          <w:color w:val="auto"/>
        </w:rPr>
        <w:tab/>
      </w:r>
      <w:r w:rsidR="00955E45">
        <w:rPr>
          <w:caps/>
          <w:color w:val="auto"/>
        </w:rPr>
        <w:tab/>
      </w:r>
      <w:r w:rsidR="004C2A1D">
        <w:rPr>
          <w:caps/>
          <w:color w:val="auto"/>
        </w:rPr>
        <w:tab/>
      </w:r>
      <w:r w:rsidRPr="00FD6C41">
        <w:rPr>
          <w:caps/>
          <w:color w:val="auto"/>
        </w:rPr>
        <w:t xml:space="preserve">SEPARATION DATE: </w:t>
      </w:r>
      <w:r>
        <w:rPr>
          <w:caps/>
          <w:color w:val="auto"/>
        </w:rPr>
        <w:t xml:space="preserve"> </w:t>
      </w:r>
      <w:r w:rsidRPr="00FD6C41">
        <w:rPr>
          <w:caps/>
          <w:color w:val="auto"/>
        </w:rPr>
        <w:t>200</w:t>
      </w:r>
      <w:r w:rsidR="00204A3C">
        <w:rPr>
          <w:caps/>
          <w:color w:val="auto"/>
        </w:rPr>
        <w:t>51227</w:t>
      </w:r>
    </w:p>
    <w:p w:rsidR="00DF0EFC" w:rsidRDefault="00F629C0" w:rsidP="00DF0EFC">
      <w:pPr>
        <w:tabs>
          <w:tab w:val="left" w:pos="288"/>
          <w:tab w:val="left" w:pos="3600"/>
          <w:tab w:val="left" w:pos="5130"/>
        </w:tabs>
        <w:spacing w:line="240" w:lineRule="exact"/>
        <w:jc w:val="both"/>
        <w:rPr>
          <w:color w:val="auto"/>
        </w:rPr>
      </w:pPr>
      <w:r w:rsidRPr="00FD6C41">
        <w:rPr>
          <w:caps/>
          <w:color w:val="auto"/>
        </w:rPr>
        <w:t xml:space="preserve">BOARD DATE: </w:t>
      </w:r>
      <w:r>
        <w:rPr>
          <w:caps/>
          <w:color w:val="auto"/>
        </w:rPr>
        <w:t xml:space="preserve"> </w:t>
      </w:r>
      <w:r w:rsidRPr="00655258">
        <w:rPr>
          <w:caps/>
          <w:color w:val="auto"/>
        </w:rPr>
        <w:t>2011</w:t>
      </w:r>
      <w:r w:rsidR="00635413">
        <w:rPr>
          <w:caps/>
          <w:color w:val="auto"/>
        </w:rPr>
        <w:t>0802</w:t>
      </w:r>
    </w:p>
    <w:p w:rsidR="00DF0EFC" w:rsidRDefault="00DF0EFC" w:rsidP="00450059">
      <w:pPr>
        <w:pBdr>
          <w:bottom w:val="single" w:sz="12" w:space="1" w:color="auto"/>
        </w:pBdr>
        <w:tabs>
          <w:tab w:val="left" w:pos="288"/>
          <w:tab w:val="left" w:pos="4752"/>
        </w:tabs>
        <w:spacing w:line="240" w:lineRule="exact"/>
        <w:jc w:val="center"/>
        <w:rPr>
          <w:color w:val="auto"/>
          <w:u w:val="single"/>
        </w:rPr>
      </w:pPr>
    </w:p>
    <w:p w:rsidR="001724C8" w:rsidRDefault="001724C8" w:rsidP="000452D7">
      <w:pPr>
        <w:tabs>
          <w:tab w:val="left" w:pos="288"/>
          <w:tab w:val="left" w:pos="4752"/>
        </w:tabs>
        <w:spacing w:line="240" w:lineRule="exact"/>
        <w:jc w:val="both"/>
        <w:rPr>
          <w:color w:val="auto"/>
          <w:u w:val="single"/>
        </w:rPr>
      </w:pPr>
    </w:p>
    <w:p w:rsidR="003F416E" w:rsidRDefault="002C6E5B" w:rsidP="003F416E">
      <w:pPr>
        <w:tabs>
          <w:tab w:val="left" w:pos="288"/>
          <w:tab w:val="left" w:pos="4752"/>
        </w:tabs>
        <w:spacing w:line="240" w:lineRule="exact"/>
        <w:jc w:val="both"/>
        <w:rPr>
          <w:color w:val="auto"/>
        </w:rPr>
      </w:pPr>
      <w:r w:rsidRPr="00396779">
        <w:rPr>
          <w:color w:val="auto"/>
          <w:u w:val="single"/>
        </w:rPr>
        <w:t>SUMMARY OF CASE</w:t>
      </w:r>
      <w:r w:rsidRPr="00EC337D">
        <w:rPr>
          <w:color w:val="auto"/>
        </w:rPr>
        <w:t xml:space="preserve">: </w:t>
      </w:r>
      <w:r w:rsidR="00BB23E2">
        <w:rPr>
          <w:color w:val="auto"/>
        </w:rPr>
        <w:t xml:space="preserve"> </w:t>
      </w:r>
      <w:r w:rsidR="00D82A74" w:rsidRPr="00EC337D">
        <w:rPr>
          <w:color w:val="auto"/>
        </w:rPr>
        <w:t xml:space="preserve">Data extracted from the available evidence of record reflects that this covered individual (CI) </w:t>
      </w:r>
      <w:r w:rsidR="00D82A74" w:rsidRPr="00AD7F8F">
        <w:rPr>
          <w:color w:val="auto"/>
          <w:szCs w:val="24"/>
        </w:rPr>
        <w:t xml:space="preserve">was an active duty </w:t>
      </w:r>
      <w:r w:rsidR="00FD0BBC">
        <w:rPr>
          <w:color w:val="auto"/>
          <w:szCs w:val="24"/>
        </w:rPr>
        <w:t>S</w:t>
      </w:r>
      <w:r w:rsidR="00D82A74">
        <w:rPr>
          <w:color w:val="auto"/>
          <w:szCs w:val="24"/>
        </w:rPr>
        <w:t>SGT</w:t>
      </w:r>
      <w:r w:rsidR="00846D3F">
        <w:rPr>
          <w:color w:val="auto"/>
          <w:szCs w:val="24"/>
        </w:rPr>
        <w:t>/E-5</w:t>
      </w:r>
      <w:r w:rsidR="00D82A74" w:rsidRPr="00AD7F8F">
        <w:rPr>
          <w:color w:val="auto"/>
          <w:szCs w:val="24"/>
        </w:rPr>
        <w:t xml:space="preserve"> (</w:t>
      </w:r>
      <w:r w:rsidR="00AE061D">
        <w:rPr>
          <w:color w:val="auto"/>
          <w:szCs w:val="24"/>
        </w:rPr>
        <w:t xml:space="preserve">2W071, </w:t>
      </w:r>
      <w:r w:rsidR="00D82A74">
        <w:rPr>
          <w:color w:val="auto"/>
          <w:szCs w:val="24"/>
        </w:rPr>
        <w:t>Munitions Systems Craftsman</w:t>
      </w:r>
      <w:r w:rsidR="00D82A74" w:rsidRPr="00AD7F8F">
        <w:rPr>
          <w:color w:val="auto"/>
          <w:szCs w:val="24"/>
        </w:rPr>
        <w:t>)</w:t>
      </w:r>
      <w:r w:rsidR="008E747E">
        <w:rPr>
          <w:color w:val="auto"/>
          <w:szCs w:val="24"/>
        </w:rPr>
        <w:t xml:space="preserve">, </w:t>
      </w:r>
      <w:r w:rsidR="008E747E" w:rsidRPr="00AD7F8F">
        <w:rPr>
          <w:color w:val="auto"/>
          <w:szCs w:val="24"/>
        </w:rPr>
        <w:t>medically</w:t>
      </w:r>
      <w:r w:rsidR="00D82A74" w:rsidRPr="00AD7F8F">
        <w:rPr>
          <w:color w:val="auto"/>
          <w:szCs w:val="24"/>
        </w:rPr>
        <w:t xml:space="preserve"> separated from the </w:t>
      </w:r>
      <w:r w:rsidR="00E004A7" w:rsidRPr="00E004A7">
        <w:rPr>
          <w:color w:val="auto"/>
          <w:szCs w:val="24"/>
        </w:rPr>
        <w:t>Air Force</w:t>
      </w:r>
      <w:r w:rsidR="00D82A74" w:rsidRPr="00AD7F8F">
        <w:rPr>
          <w:color w:val="auto"/>
          <w:szCs w:val="24"/>
        </w:rPr>
        <w:t xml:space="preserve"> in 200</w:t>
      </w:r>
      <w:r w:rsidR="00E004A7">
        <w:rPr>
          <w:color w:val="auto"/>
          <w:szCs w:val="24"/>
        </w:rPr>
        <w:t>5</w:t>
      </w:r>
      <w:r w:rsidR="00D82A74" w:rsidRPr="00AD7F8F">
        <w:rPr>
          <w:color w:val="auto"/>
          <w:szCs w:val="24"/>
        </w:rPr>
        <w:t xml:space="preserve"> for </w:t>
      </w:r>
      <w:r w:rsidR="00A7427F">
        <w:rPr>
          <w:color w:val="auto"/>
          <w:szCs w:val="24"/>
        </w:rPr>
        <w:t>b</w:t>
      </w:r>
      <w:r w:rsidR="00E004A7" w:rsidRPr="009A363C">
        <w:rPr>
          <w:color w:val="auto"/>
          <w:szCs w:val="24"/>
        </w:rPr>
        <w:t xml:space="preserve">ilateral </w:t>
      </w:r>
      <w:r w:rsidR="00A7427F">
        <w:rPr>
          <w:color w:val="auto"/>
          <w:szCs w:val="24"/>
        </w:rPr>
        <w:t>k</w:t>
      </w:r>
      <w:r w:rsidR="00E004A7" w:rsidRPr="009A363C">
        <w:rPr>
          <w:color w:val="auto"/>
          <w:szCs w:val="24"/>
        </w:rPr>
        <w:t xml:space="preserve">nee </w:t>
      </w:r>
      <w:r w:rsidR="00A7427F">
        <w:rPr>
          <w:color w:val="auto"/>
          <w:szCs w:val="24"/>
        </w:rPr>
        <w:t>p</w:t>
      </w:r>
      <w:r w:rsidR="00E004A7" w:rsidRPr="009A363C">
        <w:rPr>
          <w:color w:val="auto"/>
          <w:szCs w:val="24"/>
        </w:rPr>
        <w:t>ain.</w:t>
      </w:r>
      <w:r w:rsidR="00E004A7">
        <w:rPr>
          <w:color w:val="auto"/>
          <w:szCs w:val="24"/>
        </w:rPr>
        <w:t xml:space="preserve">  </w:t>
      </w:r>
      <w:r w:rsidR="00F302BC">
        <w:rPr>
          <w:color w:val="auto"/>
          <w:szCs w:val="24"/>
        </w:rPr>
        <w:t xml:space="preserve">He </w:t>
      </w:r>
      <w:r w:rsidR="00A7427F">
        <w:rPr>
          <w:color w:val="auto"/>
          <w:szCs w:val="24"/>
        </w:rPr>
        <w:t xml:space="preserve">developed knee pain </w:t>
      </w:r>
      <w:proofErr w:type="gramStart"/>
      <w:r w:rsidR="00A7427F">
        <w:rPr>
          <w:color w:val="auto"/>
          <w:szCs w:val="24"/>
        </w:rPr>
        <w:t>with</w:t>
      </w:r>
      <w:proofErr w:type="gramEnd"/>
      <w:r w:rsidR="00A7427F">
        <w:rPr>
          <w:color w:val="auto"/>
          <w:szCs w:val="24"/>
        </w:rPr>
        <w:t xml:space="preserve"> running and biking that did not improve with repeated profiles and </w:t>
      </w:r>
      <w:r w:rsidR="000B04C0">
        <w:rPr>
          <w:color w:val="auto"/>
          <w:szCs w:val="24"/>
        </w:rPr>
        <w:t>physical therapy</w:t>
      </w:r>
      <w:r w:rsidR="00A7427F">
        <w:rPr>
          <w:color w:val="auto"/>
          <w:szCs w:val="24"/>
        </w:rPr>
        <w:t xml:space="preserve">.  </w:t>
      </w:r>
      <w:r w:rsidR="00635413">
        <w:rPr>
          <w:color w:val="auto"/>
          <w:szCs w:val="24"/>
        </w:rPr>
        <w:t>An o</w:t>
      </w:r>
      <w:r w:rsidR="000B04C0">
        <w:rPr>
          <w:color w:val="auto"/>
          <w:szCs w:val="24"/>
        </w:rPr>
        <w:t>rthopedic evaluation</w:t>
      </w:r>
      <w:r w:rsidR="00F302BC">
        <w:rPr>
          <w:color w:val="auto"/>
          <w:szCs w:val="24"/>
        </w:rPr>
        <w:t xml:space="preserve"> </w:t>
      </w:r>
      <w:r w:rsidR="00846D3F">
        <w:rPr>
          <w:color w:val="auto"/>
          <w:szCs w:val="24"/>
        </w:rPr>
        <w:t>diagnosed</w:t>
      </w:r>
      <w:r w:rsidR="00F302BC">
        <w:rPr>
          <w:color w:val="auto"/>
          <w:szCs w:val="24"/>
        </w:rPr>
        <w:t xml:space="preserve"> </w:t>
      </w:r>
      <w:r w:rsidR="000B04C0">
        <w:rPr>
          <w:color w:val="auto"/>
          <w:szCs w:val="24"/>
        </w:rPr>
        <w:t xml:space="preserve">the condition </w:t>
      </w:r>
      <w:r w:rsidR="00846D3F">
        <w:rPr>
          <w:color w:val="auto"/>
          <w:szCs w:val="24"/>
        </w:rPr>
        <w:t>as</w:t>
      </w:r>
      <w:r w:rsidR="00F302BC">
        <w:rPr>
          <w:color w:val="auto"/>
          <w:szCs w:val="24"/>
        </w:rPr>
        <w:t xml:space="preserve"> </w:t>
      </w:r>
      <w:proofErr w:type="spellStart"/>
      <w:r w:rsidR="000B04C0">
        <w:rPr>
          <w:color w:val="auto"/>
          <w:szCs w:val="24"/>
        </w:rPr>
        <w:t>patello</w:t>
      </w:r>
      <w:r w:rsidR="000B04C0" w:rsidRPr="009A363C">
        <w:rPr>
          <w:color w:val="auto"/>
          <w:szCs w:val="24"/>
        </w:rPr>
        <w:t>femoral</w:t>
      </w:r>
      <w:proofErr w:type="spellEnd"/>
      <w:r w:rsidR="000B04C0" w:rsidRPr="009A363C">
        <w:rPr>
          <w:color w:val="auto"/>
          <w:szCs w:val="24"/>
        </w:rPr>
        <w:t xml:space="preserve"> </w:t>
      </w:r>
      <w:r w:rsidR="00F302BC">
        <w:rPr>
          <w:color w:val="auto"/>
          <w:szCs w:val="24"/>
        </w:rPr>
        <w:t xml:space="preserve">syndrome.  </w:t>
      </w:r>
      <w:r w:rsidR="00E004A7" w:rsidRPr="00C472C7">
        <w:rPr>
          <w:color w:val="auto"/>
          <w:szCs w:val="24"/>
        </w:rPr>
        <w:t xml:space="preserve">He did not </w:t>
      </w:r>
      <w:r w:rsidR="005C6B4F">
        <w:rPr>
          <w:color w:val="auto"/>
          <w:szCs w:val="24"/>
        </w:rPr>
        <w:t xml:space="preserve">respond adequately to treatment </w:t>
      </w:r>
      <w:r w:rsidR="00E004A7" w:rsidRPr="00C472C7">
        <w:rPr>
          <w:color w:val="auto"/>
          <w:szCs w:val="24"/>
        </w:rPr>
        <w:t xml:space="preserve">to perform within his </w:t>
      </w:r>
      <w:r w:rsidR="000B04C0" w:rsidRPr="000B04C0">
        <w:rPr>
          <w:color w:val="auto"/>
          <w:szCs w:val="24"/>
        </w:rPr>
        <w:t xml:space="preserve">Air Force </w:t>
      </w:r>
      <w:r w:rsidR="00743437">
        <w:rPr>
          <w:color w:val="auto"/>
          <w:szCs w:val="24"/>
        </w:rPr>
        <w:t>S</w:t>
      </w:r>
      <w:r w:rsidR="000B04C0" w:rsidRPr="000B04C0">
        <w:rPr>
          <w:color w:val="auto"/>
          <w:szCs w:val="24"/>
        </w:rPr>
        <w:t>pecialty</w:t>
      </w:r>
      <w:r w:rsidR="00BB23E2">
        <w:rPr>
          <w:color w:val="auto"/>
          <w:szCs w:val="24"/>
        </w:rPr>
        <w:t xml:space="preserve"> </w:t>
      </w:r>
      <w:r w:rsidR="000B04C0" w:rsidRPr="000B04C0">
        <w:rPr>
          <w:color w:val="auto"/>
          <w:szCs w:val="24"/>
        </w:rPr>
        <w:t>(AFS) or meet physical fitness standards</w:t>
      </w:r>
      <w:r w:rsidR="00E004A7" w:rsidRPr="00C472C7">
        <w:rPr>
          <w:color w:val="auto"/>
          <w:szCs w:val="24"/>
        </w:rPr>
        <w:t xml:space="preserve">, was issued a permanent </w:t>
      </w:r>
      <w:r w:rsidR="00E004A7">
        <w:rPr>
          <w:color w:val="auto"/>
          <w:szCs w:val="24"/>
        </w:rPr>
        <w:t>L</w:t>
      </w:r>
      <w:r w:rsidR="00E004A7" w:rsidRPr="00C472C7">
        <w:rPr>
          <w:color w:val="auto"/>
          <w:szCs w:val="24"/>
        </w:rPr>
        <w:t>4 profile and underwent a Medical Evaluation Board (MEB).</w:t>
      </w:r>
      <w:r w:rsidR="000B04C0">
        <w:rPr>
          <w:color w:val="auto"/>
          <w:szCs w:val="24"/>
        </w:rPr>
        <w:t xml:space="preserve">  </w:t>
      </w:r>
      <w:r w:rsidR="005C6B4F">
        <w:rPr>
          <w:color w:val="auto"/>
          <w:szCs w:val="24"/>
        </w:rPr>
        <w:t xml:space="preserve">Bilateral knee pain was </w:t>
      </w:r>
      <w:r w:rsidR="005C6B4F" w:rsidRPr="00C472C7">
        <w:rPr>
          <w:color w:val="auto"/>
          <w:szCs w:val="24"/>
        </w:rPr>
        <w:t xml:space="preserve">forwarded to the Physical Evaluation Board (PEB) as </w:t>
      </w:r>
      <w:r w:rsidR="00635413">
        <w:rPr>
          <w:color w:val="auto"/>
          <w:szCs w:val="24"/>
        </w:rPr>
        <w:t xml:space="preserve">a </w:t>
      </w:r>
      <w:r w:rsidR="005C6B4F" w:rsidRPr="00C472C7">
        <w:rPr>
          <w:color w:val="auto"/>
          <w:szCs w:val="24"/>
        </w:rPr>
        <w:t xml:space="preserve">medically unacceptable </w:t>
      </w:r>
      <w:r w:rsidR="00635413">
        <w:rPr>
          <w:color w:val="auto"/>
          <w:szCs w:val="24"/>
        </w:rPr>
        <w:t xml:space="preserve">condition </w:t>
      </w:r>
      <w:r w:rsidR="005C6B4F" w:rsidRPr="00C472C7">
        <w:rPr>
          <w:color w:val="auto"/>
          <w:szCs w:val="24"/>
        </w:rPr>
        <w:t>IAW AFI</w:t>
      </w:r>
      <w:r w:rsidR="005C6B4F">
        <w:rPr>
          <w:color w:val="auto"/>
          <w:szCs w:val="24"/>
        </w:rPr>
        <w:t xml:space="preserve"> </w:t>
      </w:r>
      <w:r w:rsidR="00635413">
        <w:rPr>
          <w:color w:val="auto"/>
          <w:szCs w:val="24"/>
        </w:rPr>
        <w:t>48-123</w:t>
      </w:r>
      <w:r w:rsidR="00BB23E2">
        <w:rPr>
          <w:color w:val="auto"/>
          <w:szCs w:val="24"/>
        </w:rPr>
        <w:t>,</w:t>
      </w:r>
      <w:r w:rsidR="00635413">
        <w:rPr>
          <w:color w:val="auto"/>
          <w:szCs w:val="24"/>
        </w:rPr>
        <w:t xml:space="preserve"> and n</w:t>
      </w:r>
      <w:r w:rsidR="00E004A7" w:rsidRPr="00C472C7">
        <w:rPr>
          <w:color w:val="auto"/>
          <w:szCs w:val="24"/>
        </w:rPr>
        <w:t xml:space="preserve">o other conditions appeared on the MEB’s submission.  </w:t>
      </w:r>
      <w:r w:rsidR="00845DA1">
        <w:rPr>
          <w:color w:val="auto"/>
          <w:szCs w:val="24"/>
        </w:rPr>
        <w:t>The PEB</w:t>
      </w:r>
      <w:r w:rsidR="005C6B4F" w:rsidRPr="00C472C7">
        <w:rPr>
          <w:color w:val="auto"/>
          <w:szCs w:val="24"/>
        </w:rPr>
        <w:t xml:space="preserve"> adjudicated the </w:t>
      </w:r>
      <w:r w:rsidR="005C6B4F">
        <w:rPr>
          <w:color w:val="auto"/>
          <w:szCs w:val="24"/>
        </w:rPr>
        <w:t xml:space="preserve">bilateral knee </w:t>
      </w:r>
      <w:r w:rsidR="009237B5" w:rsidRPr="00C472C7">
        <w:rPr>
          <w:color w:val="auto"/>
          <w:szCs w:val="24"/>
        </w:rPr>
        <w:t xml:space="preserve">condition </w:t>
      </w:r>
      <w:r w:rsidR="00846D3F">
        <w:rPr>
          <w:color w:val="auto"/>
          <w:szCs w:val="24"/>
        </w:rPr>
        <w:t xml:space="preserve">as a single </w:t>
      </w:r>
      <w:r w:rsidR="009237B5" w:rsidRPr="00C472C7">
        <w:rPr>
          <w:color w:val="auto"/>
          <w:szCs w:val="24"/>
        </w:rPr>
        <w:t>unfitting</w:t>
      </w:r>
      <w:r w:rsidR="00846D3F">
        <w:rPr>
          <w:color w:val="auto"/>
          <w:szCs w:val="24"/>
        </w:rPr>
        <w:t xml:space="preserve"> condition</w:t>
      </w:r>
      <w:r w:rsidR="00BB23E2">
        <w:rPr>
          <w:color w:val="auto"/>
          <w:szCs w:val="24"/>
        </w:rPr>
        <w:t>,</w:t>
      </w:r>
      <w:r w:rsidR="005C6B4F" w:rsidRPr="00C472C7">
        <w:rPr>
          <w:color w:val="auto"/>
          <w:szCs w:val="24"/>
        </w:rPr>
        <w:t xml:space="preserve"> rated </w:t>
      </w:r>
      <w:r w:rsidR="005C6B4F">
        <w:rPr>
          <w:color w:val="auto"/>
          <w:szCs w:val="24"/>
        </w:rPr>
        <w:t>10</w:t>
      </w:r>
      <w:r w:rsidR="009237B5" w:rsidRPr="00C472C7">
        <w:rPr>
          <w:color w:val="auto"/>
          <w:szCs w:val="24"/>
        </w:rPr>
        <w:t xml:space="preserve">% </w:t>
      </w:r>
      <w:r w:rsidR="00BB23E2">
        <w:rPr>
          <w:color w:val="auto"/>
          <w:szCs w:val="24"/>
        </w:rPr>
        <w:t xml:space="preserve">and </w:t>
      </w:r>
      <w:r w:rsidR="00846D3F">
        <w:rPr>
          <w:color w:val="auto"/>
          <w:szCs w:val="24"/>
        </w:rPr>
        <w:t xml:space="preserve">referencing </w:t>
      </w:r>
      <w:proofErr w:type="spellStart"/>
      <w:proofErr w:type="gramStart"/>
      <w:r w:rsidR="00845DA1">
        <w:rPr>
          <w:color w:val="auto"/>
          <w:szCs w:val="24"/>
        </w:rPr>
        <w:t>DoD</w:t>
      </w:r>
      <w:proofErr w:type="spellEnd"/>
      <w:proofErr w:type="gramEnd"/>
      <w:r w:rsidR="00845DA1">
        <w:rPr>
          <w:color w:val="auto"/>
          <w:szCs w:val="24"/>
        </w:rPr>
        <w:t xml:space="preserve"> and </w:t>
      </w:r>
      <w:r w:rsidR="000B04C0" w:rsidRPr="000B04C0">
        <w:rPr>
          <w:color w:val="auto"/>
          <w:szCs w:val="24"/>
        </w:rPr>
        <w:t>Veterans Administration Schedule for Rating Disabilities (VASRD)</w:t>
      </w:r>
      <w:r w:rsidR="00845DA1">
        <w:rPr>
          <w:color w:val="auto"/>
          <w:szCs w:val="24"/>
        </w:rPr>
        <w:t xml:space="preserve"> guidelines</w:t>
      </w:r>
      <w:r w:rsidR="005C6B4F" w:rsidRPr="00C472C7">
        <w:rPr>
          <w:color w:val="auto"/>
          <w:szCs w:val="24"/>
        </w:rPr>
        <w:t>.</w:t>
      </w:r>
      <w:r w:rsidR="005C6B4F">
        <w:rPr>
          <w:color w:val="auto"/>
          <w:szCs w:val="24"/>
        </w:rPr>
        <w:t xml:space="preserve"> </w:t>
      </w:r>
      <w:r w:rsidR="00204A3C" w:rsidRPr="009A363C">
        <w:rPr>
          <w:color w:val="auto"/>
          <w:szCs w:val="24"/>
        </w:rPr>
        <w:t xml:space="preserve"> </w:t>
      </w:r>
      <w:r w:rsidR="00845DA1">
        <w:rPr>
          <w:color w:val="auto"/>
        </w:rPr>
        <w:t>The CI made no appeals</w:t>
      </w:r>
      <w:r w:rsidR="003F416E" w:rsidRPr="00C472C7">
        <w:rPr>
          <w:color w:val="auto"/>
        </w:rPr>
        <w:t xml:space="preserve"> an</w:t>
      </w:r>
      <w:r w:rsidR="00845DA1">
        <w:rPr>
          <w:color w:val="auto"/>
        </w:rPr>
        <w:t>d was medically separated with the</w:t>
      </w:r>
      <w:r w:rsidR="003F416E" w:rsidRPr="00C472C7">
        <w:rPr>
          <w:color w:val="auto"/>
        </w:rPr>
        <w:t xml:space="preserve"> </w:t>
      </w:r>
      <w:r w:rsidR="003F416E">
        <w:rPr>
          <w:color w:val="auto"/>
        </w:rPr>
        <w:t>10</w:t>
      </w:r>
      <w:r w:rsidR="003F416E" w:rsidRPr="00C472C7">
        <w:rPr>
          <w:color w:val="auto"/>
        </w:rPr>
        <w:t>% disability rating.</w:t>
      </w:r>
    </w:p>
    <w:p w:rsidR="00DF0EFC" w:rsidRDefault="00DF0EFC" w:rsidP="00DF0EFC">
      <w:pPr>
        <w:pBdr>
          <w:bottom w:val="single" w:sz="12" w:space="1" w:color="auto"/>
        </w:pBdr>
        <w:tabs>
          <w:tab w:val="left" w:pos="288"/>
          <w:tab w:val="left" w:pos="4752"/>
        </w:tabs>
        <w:spacing w:line="240" w:lineRule="exact"/>
        <w:jc w:val="both"/>
        <w:rPr>
          <w:color w:val="auto"/>
          <w:u w:val="single"/>
        </w:rPr>
      </w:pPr>
    </w:p>
    <w:p w:rsidR="00106AD8" w:rsidRPr="00CD5BD7" w:rsidRDefault="00106AD8" w:rsidP="000452D7">
      <w:pPr>
        <w:tabs>
          <w:tab w:val="left" w:pos="288"/>
          <w:tab w:val="left" w:pos="4752"/>
        </w:tabs>
        <w:spacing w:line="240" w:lineRule="exact"/>
        <w:rPr>
          <w:color w:val="000080"/>
          <w:szCs w:val="24"/>
        </w:rPr>
      </w:pPr>
    </w:p>
    <w:p w:rsidR="00ED5284" w:rsidRPr="00A7427F" w:rsidRDefault="002C6E5B" w:rsidP="00A7427F">
      <w:pPr>
        <w:tabs>
          <w:tab w:val="left" w:pos="288"/>
          <w:tab w:val="left" w:pos="4752"/>
        </w:tabs>
        <w:spacing w:line="240" w:lineRule="exact"/>
        <w:jc w:val="both"/>
        <w:rPr>
          <w:color w:val="auto"/>
        </w:rPr>
      </w:pPr>
      <w:r w:rsidRPr="00326C08">
        <w:rPr>
          <w:color w:val="auto"/>
          <w:u w:val="single"/>
        </w:rPr>
        <w:t>CI CONTENTION</w:t>
      </w:r>
      <w:r w:rsidRPr="00326C08">
        <w:rPr>
          <w:color w:val="auto"/>
        </w:rPr>
        <w:t xml:space="preserve">:  </w:t>
      </w:r>
      <w:r w:rsidR="00635413">
        <w:rPr>
          <w:color w:val="auto"/>
        </w:rPr>
        <w:t>Th</w:t>
      </w:r>
      <w:r w:rsidR="00A7427F" w:rsidRPr="00A7427F">
        <w:rPr>
          <w:color w:val="auto"/>
        </w:rPr>
        <w:t xml:space="preserve">e </w:t>
      </w:r>
      <w:r w:rsidR="00635413">
        <w:rPr>
          <w:color w:val="auto"/>
        </w:rPr>
        <w:t xml:space="preserve">application </w:t>
      </w:r>
      <w:r w:rsidR="00A7427F" w:rsidRPr="00A7427F">
        <w:rPr>
          <w:color w:val="auto"/>
        </w:rPr>
        <w:t xml:space="preserve">elaborates no specific contentions regarding rating or coding </w:t>
      </w:r>
      <w:r w:rsidR="00845DA1">
        <w:rPr>
          <w:color w:val="auto"/>
        </w:rPr>
        <w:t>of the unfitting conditions, but</w:t>
      </w:r>
      <w:r w:rsidR="00A7427F" w:rsidRPr="00A7427F">
        <w:rPr>
          <w:color w:val="auto"/>
        </w:rPr>
        <w:t xml:space="preserve"> </w:t>
      </w:r>
      <w:r w:rsidR="00845DA1">
        <w:rPr>
          <w:color w:val="auto"/>
        </w:rPr>
        <w:t>notes the VA’s service connection for allergic rhinitis</w:t>
      </w:r>
      <w:r w:rsidR="00A7427F" w:rsidRPr="00A7427F">
        <w:rPr>
          <w:color w:val="auto"/>
        </w:rPr>
        <w:t>.</w:t>
      </w:r>
    </w:p>
    <w:p w:rsidR="00845DA1" w:rsidRDefault="00845DA1" w:rsidP="00845DA1">
      <w:pPr>
        <w:pBdr>
          <w:bottom w:val="single" w:sz="12" w:space="1" w:color="auto"/>
        </w:pBdr>
        <w:tabs>
          <w:tab w:val="left" w:pos="288"/>
          <w:tab w:val="left" w:pos="4752"/>
        </w:tabs>
        <w:spacing w:line="240" w:lineRule="exact"/>
        <w:jc w:val="both"/>
        <w:rPr>
          <w:color w:val="auto"/>
          <w:u w:val="single"/>
        </w:rPr>
      </w:pPr>
    </w:p>
    <w:p w:rsidR="00845DA1" w:rsidRPr="00CD5BD7" w:rsidRDefault="00845DA1" w:rsidP="00845DA1">
      <w:pPr>
        <w:tabs>
          <w:tab w:val="left" w:pos="288"/>
          <w:tab w:val="left" w:pos="4752"/>
        </w:tabs>
        <w:spacing w:line="240" w:lineRule="exact"/>
        <w:rPr>
          <w:color w:val="000080"/>
          <w:szCs w:val="24"/>
        </w:rPr>
      </w:pPr>
    </w:p>
    <w:p w:rsidR="00EC223D" w:rsidRDefault="00EC223D" w:rsidP="00EC223D">
      <w:pPr>
        <w:rPr>
          <w:color w:val="auto"/>
        </w:rPr>
      </w:pPr>
      <w:r>
        <w:rPr>
          <w:color w:val="auto"/>
          <w:u w:val="single"/>
        </w:rPr>
        <w:t>R</w:t>
      </w:r>
      <w:r w:rsidRPr="00326C08">
        <w:rPr>
          <w:color w:val="auto"/>
          <w:u w:val="single"/>
        </w:rPr>
        <w:t>ATING COMPARISON</w:t>
      </w:r>
      <w:r w:rsidRPr="00326C08">
        <w:rPr>
          <w:color w:val="auto"/>
        </w:rPr>
        <w:t>:</w:t>
      </w:r>
    </w:p>
    <w:tbl>
      <w:tblPr>
        <w:tblpPr w:leftFromText="180" w:rightFromText="180" w:vertAnchor="text" w:horzAnchor="margin" w:tblpX="108" w:tblpY="265"/>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170"/>
        <w:gridCol w:w="972"/>
        <w:gridCol w:w="2183"/>
        <w:gridCol w:w="1242"/>
        <w:gridCol w:w="810"/>
        <w:gridCol w:w="1098"/>
      </w:tblGrid>
      <w:tr w:rsidR="00DF0EFC" w:rsidRPr="00BE2AB8" w:rsidTr="00EC223D">
        <w:trPr>
          <w:trHeight w:val="233"/>
        </w:trPr>
        <w:tc>
          <w:tcPr>
            <w:tcW w:w="4050" w:type="dxa"/>
            <w:gridSpan w:val="3"/>
            <w:tcBorders>
              <w:right w:val="thinThickThinSmallGap" w:sz="24" w:space="0" w:color="auto"/>
            </w:tcBorders>
            <w:shd w:val="clear" w:color="auto" w:fill="D9D9D9"/>
          </w:tcPr>
          <w:p w:rsidR="00DF0EFC" w:rsidRPr="00C67D7E" w:rsidRDefault="00845DA1" w:rsidP="00EC223D">
            <w:pPr>
              <w:spacing w:line="240" w:lineRule="exact"/>
              <w:contextualSpacing/>
              <w:jc w:val="center"/>
              <w:rPr>
                <w:rFonts w:eastAsia="Calibri"/>
                <w:b/>
                <w:color w:val="auto"/>
                <w:sz w:val="20"/>
              </w:rPr>
            </w:pPr>
            <w:r>
              <w:rPr>
                <w:rFonts w:eastAsia="Calibri"/>
                <w:b/>
                <w:color w:val="auto"/>
                <w:sz w:val="20"/>
              </w:rPr>
              <w:t xml:space="preserve">Service </w:t>
            </w:r>
            <w:r w:rsidR="00DF0EFC" w:rsidRPr="00C67D7E">
              <w:rPr>
                <w:rFonts w:eastAsia="Calibri"/>
                <w:b/>
                <w:color w:val="auto"/>
                <w:sz w:val="20"/>
              </w:rPr>
              <w:t>PEB – Dated 20051108</w:t>
            </w:r>
          </w:p>
        </w:tc>
        <w:tc>
          <w:tcPr>
            <w:tcW w:w="5333" w:type="dxa"/>
            <w:gridSpan w:val="4"/>
            <w:tcBorders>
              <w:left w:val="thinThickThinSmallGap" w:sz="24" w:space="0" w:color="auto"/>
            </w:tcBorders>
            <w:shd w:val="clear" w:color="auto" w:fill="D9D9D9"/>
          </w:tcPr>
          <w:p w:rsidR="00DF0EFC" w:rsidRPr="00C67D7E" w:rsidRDefault="00DF0EFC" w:rsidP="00EC223D">
            <w:pPr>
              <w:spacing w:line="240" w:lineRule="exact"/>
              <w:contextualSpacing/>
              <w:jc w:val="center"/>
              <w:rPr>
                <w:rFonts w:eastAsia="Calibri"/>
                <w:b/>
                <w:color w:val="auto"/>
                <w:sz w:val="20"/>
              </w:rPr>
            </w:pPr>
            <w:r w:rsidRPr="00C67D7E">
              <w:rPr>
                <w:rFonts w:eastAsia="Calibri"/>
                <w:b/>
                <w:color w:val="auto"/>
                <w:sz w:val="20"/>
              </w:rPr>
              <w:t>VA (5</w:t>
            </w:r>
            <w:r>
              <w:rPr>
                <w:rFonts w:eastAsia="Calibri"/>
                <w:b/>
                <w:color w:val="auto"/>
                <w:sz w:val="20"/>
              </w:rPr>
              <w:t xml:space="preserve"> </w:t>
            </w:r>
            <w:r w:rsidRPr="00C67D7E">
              <w:rPr>
                <w:rFonts w:eastAsia="Calibri"/>
                <w:b/>
                <w:color w:val="auto"/>
                <w:sz w:val="20"/>
              </w:rPr>
              <w:t>Mo. After  Separation) – All Effective 20051228</w:t>
            </w:r>
          </w:p>
        </w:tc>
      </w:tr>
      <w:tr w:rsidR="00EC223D" w:rsidRPr="00BE2AB8" w:rsidTr="00AE061D">
        <w:trPr>
          <w:trHeight w:val="186"/>
        </w:trPr>
        <w:tc>
          <w:tcPr>
            <w:tcW w:w="1908" w:type="dxa"/>
            <w:tcBorders>
              <w:bottom w:val="single" w:sz="4" w:space="0" w:color="000000"/>
              <w:right w:val="single" w:sz="4" w:space="0" w:color="auto"/>
            </w:tcBorders>
            <w:shd w:val="clear" w:color="auto" w:fill="D9D9D9"/>
          </w:tcPr>
          <w:p w:rsidR="00DF0EFC" w:rsidRPr="00C67D7E" w:rsidRDefault="00DF0EFC" w:rsidP="00EC223D">
            <w:pPr>
              <w:spacing w:line="240" w:lineRule="exact"/>
              <w:contextualSpacing/>
              <w:jc w:val="both"/>
              <w:rPr>
                <w:rFonts w:eastAsia="Calibri"/>
                <w:b/>
                <w:color w:val="auto"/>
                <w:sz w:val="20"/>
              </w:rPr>
            </w:pPr>
            <w:r w:rsidRPr="00C67D7E">
              <w:rPr>
                <w:rFonts w:eastAsia="Calibri"/>
                <w:b/>
                <w:color w:val="auto"/>
                <w:sz w:val="20"/>
              </w:rPr>
              <w:t>Condition</w:t>
            </w:r>
          </w:p>
        </w:tc>
        <w:tc>
          <w:tcPr>
            <w:tcW w:w="1170" w:type="dxa"/>
            <w:tcBorders>
              <w:left w:val="single" w:sz="4" w:space="0" w:color="auto"/>
              <w:bottom w:val="single" w:sz="4" w:space="0" w:color="000000"/>
            </w:tcBorders>
            <w:shd w:val="clear" w:color="auto" w:fill="D9D9D9"/>
          </w:tcPr>
          <w:p w:rsidR="00DF0EFC" w:rsidRPr="00C67D7E" w:rsidRDefault="00DF0EFC" w:rsidP="00EC223D">
            <w:pPr>
              <w:spacing w:line="240" w:lineRule="exact"/>
              <w:contextualSpacing/>
              <w:jc w:val="center"/>
              <w:rPr>
                <w:rFonts w:eastAsia="Calibri"/>
                <w:b/>
                <w:color w:val="auto"/>
                <w:sz w:val="20"/>
              </w:rPr>
            </w:pPr>
            <w:r w:rsidRPr="00C67D7E">
              <w:rPr>
                <w:rFonts w:eastAsia="Calibri"/>
                <w:b/>
                <w:color w:val="auto"/>
                <w:sz w:val="20"/>
              </w:rPr>
              <w:t>Code</w:t>
            </w:r>
          </w:p>
        </w:tc>
        <w:tc>
          <w:tcPr>
            <w:tcW w:w="972" w:type="dxa"/>
            <w:tcBorders>
              <w:bottom w:val="single" w:sz="4" w:space="0" w:color="000000"/>
              <w:right w:val="thinThickThinSmallGap" w:sz="24" w:space="0" w:color="auto"/>
            </w:tcBorders>
            <w:shd w:val="clear" w:color="auto" w:fill="D9D9D9"/>
          </w:tcPr>
          <w:p w:rsidR="00DF0EFC" w:rsidRPr="00C67D7E" w:rsidRDefault="00DF0EFC" w:rsidP="00EC223D">
            <w:pPr>
              <w:spacing w:line="240" w:lineRule="exact"/>
              <w:contextualSpacing/>
              <w:jc w:val="center"/>
              <w:rPr>
                <w:rFonts w:eastAsia="Calibri"/>
                <w:b/>
                <w:color w:val="auto"/>
                <w:sz w:val="20"/>
              </w:rPr>
            </w:pPr>
            <w:r w:rsidRPr="00C67D7E">
              <w:rPr>
                <w:rFonts w:eastAsia="Calibri"/>
                <w:b/>
                <w:color w:val="auto"/>
                <w:sz w:val="20"/>
              </w:rPr>
              <w:t>Rating</w:t>
            </w:r>
          </w:p>
        </w:tc>
        <w:tc>
          <w:tcPr>
            <w:tcW w:w="2183" w:type="dxa"/>
            <w:tcBorders>
              <w:left w:val="thinThickThinSmallGap" w:sz="24" w:space="0" w:color="auto"/>
              <w:bottom w:val="single" w:sz="4" w:space="0" w:color="000000"/>
            </w:tcBorders>
            <w:shd w:val="clear" w:color="auto" w:fill="D9D9D9"/>
          </w:tcPr>
          <w:p w:rsidR="00DF0EFC" w:rsidRPr="00C67D7E" w:rsidRDefault="00DF0EFC" w:rsidP="00EC223D">
            <w:pPr>
              <w:spacing w:line="240" w:lineRule="exact"/>
              <w:contextualSpacing/>
              <w:jc w:val="both"/>
              <w:rPr>
                <w:rFonts w:eastAsia="Calibri"/>
                <w:b/>
                <w:color w:val="auto"/>
                <w:sz w:val="20"/>
              </w:rPr>
            </w:pPr>
            <w:r w:rsidRPr="00C67D7E">
              <w:rPr>
                <w:rFonts w:eastAsia="Calibri"/>
                <w:b/>
                <w:color w:val="auto"/>
                <w:sz w:val="20"/>
              </w:rPr>
              <w:t>Condition</w:t>
            </w:r>
          </w:p>
        </w:tc>
        <w:tc>
          <w:tcPr>
            <w:tcW w:w="1242" w:type="dxa"/>
            <w:tcBorders>
              <w:bottom w:val="single" w:sz="4" w:space="0" w:color="000000"/>
            </w:tcBorders>
            <w:shd w:val="clear" w:color="auto" w:fill="D9D9D9"/>
          </w:tcPr>
          <w:p w:rsidR="00DF0EFC" w:rsidRPr="00C67D7E" w:rsidRDefault="00DF0EFC" w:rsidP="00EC223D">
            <w:pPr>
              <w:spacing w:line="240" w:lineRule="exact"/>
              <w:contextualSpacing/>
              <w:jc w:val="center"/>
              <w:rPr>
                <w:rFonts w:eastAsia="Calibri"/>
                <w:b/>
                <w:color w:val="auto"/>
                <w:sz w:val="20"/>
              </w:rPr>
            </w:pPr>
            <w:r w:rsidRPr="00C67D7E">
              <w:rPr>
                <w:rFonts w:eastAsia="Calibri"/>
                <w:b/>
                <w:color w:val="auto"/>
                <w:sz w:val="20"/>
              </w:rPr>
              <w:t>Code</w:t>
            </w:r>
          </w:p>
        </w:tc>
        <w:tc>
          <w:tcPr>
            <w:tcW w:w="810" w:type="dxa"/>
            <w:tcBorders>
              <w:bottom w:val="single" w:sz="4" w:space="0" w:color="000000"/>
            </w:tcBorders>
            <w:shd w:val="clear" w:color="auto" w:fill="D9D9D9"/>
          </w:tcPr>
          <w:p w:rsidR="00DF0EFC" w:rsidRPr="00C67D7E" w:rsidRDefault="00DF0EFC" w:rsidP="00EC223D">
            <w:pPr>
              <w:spacing w:line="240" w:lineRule="exact"/>
              <w:contextualSpacing/>
              <w:jc w:val="center"/>
              <w:rPr>
                <w:rFonts w:eastAsia="Calibri"/>
                <w:b/>
                <w:color w:val="auto"/>
                <w:sz w:val="20"/>
              </w:rPr>
            </w:pPr>
            <w:r w:rsidRPr="00C67D7E">
              <w:rPr>
                <w:rFonts w:eastAsia="Calibri"/>
                <w:b/>
                <w:color w:val="auto"/>
                <w:sz w:val="20"/>
              </w:rPr>
              <w:t>Rating</w:t>
            </w:r>
          </w:p>
        </w:tc>
        <w:tc>
          <w:tcPr>
            <w:tcW w:w="1098" w:type="dxa"/>
            <w:tcBorders>
              <w:bottom w:val="single" w:sz="4" w:space="0" w:color="000000"/>
            </w:tcBorders>
            <w:shd w:val="clear" w:color="auto" w:fill="D9D9D9"/>
          </w:tcPr>
          <w:p w:rsidR="00DF0EFC" w:rsidRPr="00C67D7E" w:rsidRDefault="00DF0EFC" w:rsidP="00EC223D">
            <w:pPr>
              <w:spacing w:line="240" w:lineRule="exact"/>
              <w:contextualSpacing/>
              <w:jc w:val="center"/>
              <w:rPr>
                <w:rFonts w:eastAsia="Calibri"/>
                <w:b/>
                <w:color w:val="auto"/>
                <w:sz w:val="20"/>
              </w:rPr>
            </w:pPr>
            <w:r w:rsidRPr="00C67D7E">
              <w:rPr>
                <w:rFonts w:eastAsia="Calibri"/>
                <w:b/>
                <w:color w:val="auto"/>
                <w:sz w:val="20"/>
              </w:rPr>
              <w:t>Exam</w:t>
            </w:r>
          </w:p>
        </w:tc>
      </w:tr>
      <w:tr w:rsidR="00EC223D" w:rsidRPr="00BE2AB8" w:rsidTr="00AE061D">
        <w:trPr>
          <w:trHeight w:val="114"/>
        </w:trPr>
        <w:tc>
          <w:tcPr>
            <w:tcW w:w="1908" w:type="dxa"/>
            <w:vMerge w:val="restart"/>
            <w:tcBorders>
              <w:right w:val="single" w:sz="4" w:space="0" w:color="auto"/>
            </w:tcBorders>
            <w:shd w:val="clear" w:color="auto" w:fill="FFFFFF"/>
            <w:vAlign w:val="center"/>
          </w:tcPr>
          <w:p w:rsidR="00DF0EFC" w:rsidRPr="00C67D7E" w:rsidRDefault="00DF0EFC" w:rsidP="00AE061D">
            <w:pPr>
              <w:spacing w:line="220" w:lineRule="exact"/>
              <w:contextualSpacing/>
              <w:rPr>
                <w:rFonts w:eastAsia="Calibri"/>
                <w:color w:val="auto"/>
                <w:sz w:val="20"/>
              </w:rPr>
            </w:pPr>
            <w:r w:rsidRPr="00C67D7E">
              <w:rPr>
                <w:rFonts w:eastAsia="Calibri"/>
                <w:color w:val="auto"/>
                <w:sz w:val="20"/>
              </w:rPr>
              <w:t>Bilateral Knee Pain</w:t>
            </w:r>
          </w:p>
        </w:tc>
        <w:tc>
          <w:tcPr>
            <w:tcW w:w="1170" w:type="dxa"/>
            <w:vMerge w:val="restart"/>
            <w:tcBorders>
              <w:left w:val="single" w:sz="4" w:space="0" w:color="auto"/>
            </w:tcBorders>
            <w:shd w:val="clear" w:color="auto" w:fill="FFFFFF"/>
            <w:vAlign w:val="center"/>
          </w:tcPr>
          <w:p w:rsidR="00DF0EFC" w:rsidRPr="00C67D7E" w:rsidRDefault="00DF0EFC" w:rsidP="00AE061D">
            <w:pPr>
              <w:spacing w:line="220" w:lineRule="exact"/>
              <w:contextualSpacing/>
              <w:jc w:val="center"/>
              <w:rPr>
                <w:rFonts w:eastAsia="Calibri"/>
                <w:color w:val="auto"/>
                <w:sz w:val="20"/>
              </w:rPr>
            </w:pPr>
            <w:r w:rsidRPr="00C67D7E">
              <w:rPr>
                <w:rFonts w:eastAsia="Calibri"/>
                <w:color w:val="auto"/>
                <w:sz w:val="20"/>
              </w:rPr>
              <w:t>5099-5003</w:t>
            </w:r>
          </w:p>
        </w:tc>
        <w:tc>
          <w:tcPr>
            <w:tcW w:w="972" w:type="dxa"/>
            <w:vMerge w:val="restart"/>
            <w:tcBorders>
              <w:right w:val="thinThickThinSmallGap" w:sz="24" w:space="0" w:color="auto"/>
            </w:tcBorders>
            <w:shd w:val="clear" w:color="auto" w:fill="FFFFFF"/>
            <w:vAlign w:val="center"/>
          </w:tcPr>
          <w:p w:rsidR="00DF0EFC" w:rsidRPr="00C67D7E" w:rsidRDefault="00DF0EFC" w:rsidP="00AE061D">
            <w:pPr>
              <w:spacing w:line="220" w:lineRule="exact"/>
              <w:contextualSpacing/>
              <w:jc w:val="center"/>
              <w:rPr>
                <w:rFonts w:eastAsia="Calibri"/>
                <w:color w:val="auto"/>
                <w:sz w:val="20"/>
              </w:rPr>
            </w:pPr>
            <w:r w:rsidRPr="00C67D7E">
              <w:rPr>
                <w:rFonts w:eastAsia="Calibri"/>
                <w:color w:val="auto"/>
                <w:sz w:val="20"/>
              </w:rPr>
              <w:t>10%</w:t>
            </w:r>
          </w:p>
        </w:tc>
        <w:tc>
          <w:tcPr>
            <w:tcW w:w="2183" w:type="dxa"/>
            <w:tcBorders>
              <w:left w:val="thinThickThinSmallGap" w:sz="24" w:space="0" w:color="auto"/>
              <w:right w:val="single" w:sz="4" w:space="0" w:color="auto"/>
            </w:tcBorders>
            <w:shd w:val="clear" w:color="auto" w:fill="FFFFFF"/>
            <w:vAlign w:val="center"/>
          </w:tcPr>
          <w:p w:rsidR="00DF0EFC" w:rsidRPr="00C67D7E" w:rsidRDefault="00DF0EFC" w:rsidP="00450059">
            <w:pPr>
              <w:spacing w:line="220" w:lineRule="exact"/>
              <w:contextualSpacing/>
              <w:rPr>
                <w:rFonts w:eastAsia="Calibri"/>
                <w:color w:val="auto"/>
                <w:sz w:val="20"/>
              </w:rPr>
            </w:pPr>
            <w:r w:rsidRPr="00C67D7E">
              <w:rPr>
                <w:rFonts w:eastAsia="Calibri"/>
                <w:color w:val="auto"/>
                <w:sz w:val="20"/>
              </w:rPr>
              <w:t xml:space="preserve">Right Knee </w:t>
            </w:r>
            <w:r w:rsidR="00450059">
              <w:rPr>
                <w:rFonts w:eastAsia="Calibri"/>
                <w:color w:val="auto"/>
                <w:sz w:val="20"/>
              </w:rPr>
              <w:t>PFS</w:t>
            </w:r>
          </w:p>
        </w:tc>
        <w:tc>
          <w:tcPr>
            <w:tcW w:w="1242" w:type="dxa"/>
            <w:tcBorders>
              <w:left w:val="single" w:sz="4" w:space="0" w:color="auto"/>
            </w:tcBorders>
            <w:shd w:val="clear" w:color="auto" w:fill="FFFFFF"/>
            <w:vAlign w:val="center"/>
          </w:tcPr>
          <w:p w:rsidR="00DF0EFC" w:rsidRPr="00C67D7E" w:rsidRDefault="00DF0EFC" w:rsidP="00AE061D">
            <w:pPr>
              <w:spacing w:line="220" w:lineRule="exact"/>
              <w:contextualSpacing/>
              <w:jc w:val="center"/>
              <w:rPr>
                <w:rFonts w:eastAsia="Calibri"/>
                <w:color w:val="auto"/>
                <w:sz w:val="20"/>
              </w:rPr>
            </w:pPr>
            <w:r w:rsidRPr="00C67D7E">
              <w:rPr>
                <w:rFonts w:eastAsia="Calibri"/>
                <w:color w:val="auto"/>
                <w:sz w:val="20"/>
              </w:rPr>
              <w:t>5299-5260</w:t>
            </w:r>
          </w:p>
        </w:tc>
        <w:tc>
          <w:tcPr>
            <w:tcW w:w="810" w:type="dxa"/>
            <w:shd w:val="clear" w:color="auto" w:fill="FFFFFF"/>
            <w:vAlign w:val="center"/>
          </w:tcPr>
          <w:p w:rsidR="00DF0EFC" w:rsidRPr="00C67D7E" w:rsidRDefault="00DF0EFC" w:rsidP="00AE061D">
            <w:pPr>
              <w:spacing w:line="220" w:lineRule="exact"/>
              <w:contextualSpacing/>
              <w:jc w:val="center"/>
              <w:rPr>
                <w:rFonts w:eastAsia="Calibri"/>
                <w:color w:val="auto"/>
                <w:sz w:val="20"/>
              </w:rPr>
            </w:pPr>
            <w:r w:rsidRPr="00C67D7E">
              <w:rPr>
                <w:rFonts w:eastAsia="Calibri"/>
                <w:color w:val="auto"/>
                <w:sz w:val="20"/>
              </w:rPr>
              <w:t>10%</w:t>
            </w:r>
          </w:p>
        </w:tc>
        <w:tc>
          <w:tcPr>
            <w:tcW w:w="1098" w:type="dxa"/>
            <w:shd w:val="clear" w:color="auto" w:fill="FFFFFF"/>
            <w:vAlign w:val="center"/>
          </w:tcPr>
          <w:p w:rsidR="00DF0EFC" w:rsidRPr="00C67D7E" w:rsidRDefault="00DF0EFC" w:rsidP="00AE061D">
            <w:pPr>
              <w:spacing w:line="220" w:lineRule="exact"/>
              <w:contextualSpacing/>
              <w:jc w:val="center"/>
              <w:rPr>
                <w:rFonts w:eastAsia="Calibri"/>
                <w:color w:val="auto"/>
                <w:sz w:val="20"/>
              </w:rPr>
            </w:pPr>
            <w:r w:rsidRPr="00C67D7E">
              <w:rPr>
                <w:rFonts w:eastAsia="Calibri"/>
                <w:color w:val="auto"/>
                <w:sz w:val="20"/>
              </w:rPr>
              <w:t>20060428</w:t>
            </w:r>
          </w:p>
        </w:tc>
      </w:tr>
      <w:tr w:rsidR="00EC223D" w:rsidRPr="00BE2AB8" w:rsidTr="00AE061D">
        <w:trPr>
          <w:trHeight w:val="159"/>
        </w:trPr>
        <w:tc>
          <w:tcPr>
            <w:tcW w:w="1908" w:type="dxa"/>
            <w:vMerge/>
            <w:tcBorders>
              <w:right w:val="single" w:sz="4" w:space="0" w:color="auto"/>
            </w:tcBorders>
            <w:shd w:val="clear" w:color="auto" w:fill="FFFFFF"/>
            <w:vAlign w:val="center"/>
          </w:tcPr>
          <w:p w:rsidR="00DF0EFC" w:rsidRPr="00C67D7E" w:rsidRDefault="00DF0EFC" w:rsidP="00AE061D">
            <w:pPr>
              <w:spacing w:line="220" w:lineRule="exact"/>
              <w:contextualSpacing/>
              <w:jc w:val="center"/>
              <w:rPr>
                <w:rFonts w:eastAsia="Calibri"/>
                <w:color w:val="auto"/>
                <w:sz w:val="20"/>
              </w:rPr>
            </w:pPr>
          </w:p>
        </w:tc>
        <w:tc>
          <w:tcPr>
            <w:tcW w:w="1170" w:type="dxa"/>
            <w:vMerge/>
            <w:tcBorders>
              <w:left w:val="single" w:sz="4" w:space="0" w:color="auto"/>
            </w:tcBorders>
            <w:shd w:val="clear" w:color="auto" w:fill="FFFFFF"/>
            <w:vAlign w:val="center"/>
          </w:tcPr>
          <w:p w:rsidR="00DF0EFC" w:rsidRPr="00C67D7E" w:rsidRDefault="00DF0EFC" w:rsidP="00AE061D">
            <w:pPr>
              <w:spacing w:line="220" w:lineRule="exact"/>
              <w:contextualSpacing/>
              <w:jc w:val="center"/>
              <w:rPr>
                <w:rFonts w:eastAsia="Calibri"/>
                <w:color w:val="auto"/>
                <w:sz w:val="20"/>
              </w:rPr>
            </w:pPr>
          </w:p>
        </w:tc>
        <w:tc>
          <w:tcPr>
            <w:tcW w:w="972" w:type="dxa"/>
            <w:vMerge/>
            <w:tcBorders>
              <w:right w:val="thinThickThinSmallGap" w:sz="24" w:space="0" w:color="auto"/>
            </w:tcBorders>
            <w:shd w:val="clear" w:color="auto" w:fill="FFFFFF"/>
            <w:vAlign w:val="center"/>
          </w:tcPr>
          <w:p w:rsidR="00DF0EFC" w:rsidRPr="00C67D7E" w:rsidRDefault="00DF0EFC" w:rsidP="00AE061D">
            <w:pPr>
              <w:spacing w:line="220" w:lineRule="exact"/>
              <w:contextualSpacing/>
              <w:jc w:val="center"/>
              <w:rPr>
                <w:rFonts w:eastAsia="Calibri"/>
                <w:color w:val="auto"/>
                <w:sz w:val="20"/>
              </w:rPr>
            </w:pPr>
          </w:p>
        </w:tc>
        <w:tc>
          <w:tcPr>
            <w:tcW w:w="2183" w:type="dxa"/>
            <w:tcBorders>
              <w:left w:val="thinThickThinSmallGap" w:sz="24" w:space="0" w:color="auto"/>
              <w:right w:val="single" w:sz="4" w:space="0" w:color="auto"/>
            </w:tcBorders>
            <w:shd w:val="clear" w:color="auto" w:fill="FFFFFF"/>
            <w:vAlign w:val="center"/>
          </w:tcPr>
          <w:p w:rsidR="00DF0EFC" w:rsidRPr="00C67D7E" w:rsidRDefault="00DF0EFC" w:rsidP="00AE061D">
            <w:pPr>
              <w:spacing w:line="220" w:lineRule="exact"/>
              <w:contextualSpacing/>
              <w:rPr>
                <w:rFonts w:eastAsia="Calibri"/>
                <w:color w:val="auto"/>
                <w:sz w:val="20"/>
              </w:rPr>
            </w:pPr>
            <w:r w:rsidRPr="00C67D7E">
              <w:rPr>
                <w:rFonts w:eastAsia="Calibri"/>
                <w:color w:val="auto"/>
                <w:sz w:val="20"/>
              </w:rPr>
              <w:t xml:space="preserve">Left  Knee </w:t>
            </w:r>
            <w:r w:rsidR="00450059">
              <w:rPr>
                <w:rFonts w:eastAsia="Calibri"/>
                <w:color w:val="auto"/>
                <w:sz w:val="20"/>
              </w:rPr>
              <w:t xml:space="preserve"> PFS</w:t>
            </w:r>
          </w:p>
        </w:tc>
        <w:tc>
          <w:tcPr>
            <w:tcW w:w="1242" w:type="dxa"/>
            <w:tcBorders>
              <w:left w:val="single" w:sz="4" w:space="0" w:color="auto"/>
            </w:tcBorders>
            <w:shd w:val="clear" w:color="auto" w:fill="FFFFFF"/>
            <w:vAlign w:val="center"/>
          </w:tcPr>
          <w:p w:rsidR="00DF0EFC" w:rsidRPr="00C67D7E" w:rsidRDefault="00DF0EFC" w:rsidP="00AE061D">
            <w:pPr>
              <w:spacing w:line="220" w:lineRule="exact"/>
              <w:contextualSpacing/>
              <w:jc w:val="center"/>
              <w:rPr>
                <w:rFonts w:eastAsia="Calibri"/>
                <w:color w:val="auto"/>
                <w:sz w:val="20"/>
                <w:szCs w:val="22"/>
              </w:rPr>
            </w:pPr>
            <w:r w:rsidRPr="00C67D7E">
              <w:rPr>
                <w:rFonts w:eastAsia="Calibri"/>
                <w:color w:val="auto"/>
                <w:sz w:val="20"/>
              </w:rPr>
              <w:t>5299-5260</w:t>
            </w:r>
          </w:p>
        </w:tc>
        <w:tc>
          <w:tcPr>
            <w:tcW w:w="810" w:type="dxa"/>
            <w:shd w:val="clear" w:color="auto" w:fill="FFFFFF"/>
            <w:vAlign w:val="center"/>
          </w:tcPr>
          <w:p w:rsidR="00DF0EFC" w:rsidRPr="00C67D7E" w:rsidRDefault="00DF0EFC" w:rsidP="00AE061D">
            <w:pPr>
              <w:spacing w:line="220" w:lineRule="exact"/>
              <w:contextualSpacing/>
              <w:jc w:val="center"/>
              <w:rPr>
                <w:rFonts w:eastAsia="Calibri"/>
                <w:color w:val="auto"/>
                <w:sz w:val="20"/>
              </w:rPr>
            </w:pPr>
            <w:r w:rsidRPr="00C67D7E">
              <w:rPr>
                <w:rFonts w:eastAsia="Calibri"/>
                <w:color w:val="auto"/>
                <w:sz w:val="20"/>
              </w:rPr>
              <w:t>10%</w:t>
            </w:r>
          </w:p>
        </w:tc>
        <w:tc>
          <w:tcPr>
            <w:tcW w:w="1098" w:type="dxa"/>
            <w:shd w:val="clear" w:color="auto" w:fill="FFFFFF"/>
            <w:vAlign w:val="center"/>
          </w:tcPr>
          <w:p w:rsidR="00DF0EFC" w:rsidRPr="00C67D7E" w:rsidRDefault="00DF0EFC" w:rsidP="00AE061D">
            <w:pPr>
              <w:spacing w:line="220" w:lineRule="exact"/>
              <w:contextualSpacing/>
              <w:jc w:val="center"/>
              <w:rPr>
                <w:rFonts w:eastAsia="Calibri"/>
                <w:color w:val="auto"/>
                <w:sz w:val="20"/>
              </w:rPr>
            </w:pPr>
            <w:r w:rsidRPr="00C67D7E">
              <w:rPr>
                <w:rFonts w:eastAsia="Calibri"/>
                <w:color w:val="auto"/>
                <w:sz w:val="20"/>
              </w:rPr>
              <w:t>20060428</w:t>
            </w:r>
          </w:p>
        </w:tc>
      </w:tr>
      <w:tr w:rsidR="00DF0EFC" w:rsidRPr="00BE2AB8" w:rsidTr="00845DA1">
        <w:trPr>
          <w:trHeight w:val="213"/>
        </w:trPr>
        <w:tc>
          <w:tcPr>
            <w:tcW w:w="4050" w:type="dxa"/>
            <w:gridSpan w:val="3"/>
            <w:vMerge w:val="restart"/>
            <w:tcBorders>
              <w:right w:val="thinThickThinSmallGap" w:sz="24" w:space="0" w:color="auto"/>
            </w:tcBorders>
            <w:shd w:val="clear" w:color="auto" w:fill="FFFFFF"/>
          </w:tcPr>
          <w:p w:rsidR="00DF0EFC" w:rsidRPr="00C67D7E" w:rsidRDefault="00DF0EFC" w:rsidP="00845DA1">
            <w:pPr>
              <w:spacing w:line="220" w:lineRule="exact"/>
              <w:contextualSpacing/>
              <w:jc w:val="center"/>
              <w:rPr>
                <w:rFonts w:eastAsia="Calibri"/>
                <w:color w:val="auto"/>
                <w:sz w:val="20"/>
              </w:rPr>
            </w:pPr>
            <w:r w:rsidRPr="000B04C0">
              <w:rPr>
                <w:rFonts w:eastAsia="Calibri"/>
                <w:color w:val="auto"/>
                <w:sz w:val="20"/>
              </w:rPr>
              <w:t>↓No Additional MEB/PEB Entries↓</w:t>
            </w:r>
          </w:p>
        </w:tc>
        <w:tc>
          <w:tcPr>
            <w:tcW w:w="2183" w:type="dxa"/>
            <w:tcBorders>
              <w:left w:val="thinThickThinSmallGap" w:sz="24" w:space="0" w:color="auto"/>
              <w:right w:val="single" w:sz="4" w:space="0" w:color="auto"/>
            </w:tcBorders>
            <w:shd w:val="clear" w:color="auto" w:fill="FFFFFF"/>
            <w:vAlign w:val="center"/>
          </w:tcPr>
          <w:p w:rsidR="00DF0EFC" w:rsidRPr="00C67D7E" w:rsidRDefault="00DF0EFC" w:rsidP="00AE061D">
            <w:pPr>
              <w:spacing w:line="220" w:lineRule="exact"/>
              <w:contextualSpacing/>
              <w:rPr>
                <w:rFonts w:eastAsia="Calibri"/>
                <w:color w:val="auto"/>
                <w:sz w:val="20"/>
              </w:rPr>
            </w:pPr>
            <w:r w:rsidRPr="00C67D7E">
              <w:rPr>
                <w:rFonts w:eastAsia="Calibri"/>
                <w:color w:val="auto"/>
                <w:sz w:val="20"/>
              </w:rPr>
              <w:t>Allergic Rhinitis</w:t>
            </w:r>
          </w:p>
        </w:tc>
        <w:tc>
          <w:tcPr>
            <w:tcW w:w="1242" w:type="dxa"/>
            <w:tcBorders>
              <w:left w:val="single" w:sz="4" w:space="0" w:color="auto"/>
              <w:right w:val="single" w:sz="4" w:space="0" w:color="auto"/>
            </w:tcBorders>
            <w:shd w:val="clear" w:color="auto" w:fill="FFFFFF"/>
            <w:vAlign w:val="center"/>
          </w:tcPr>
          <w:p w:rsidR="00DF0EFC" w:rsidRPr="00C67D7E" w:rsidRDefault="00DF0EFC" w:rsidP="00AE061D">
            <w:pPr>
              <w:spacing w:line="220" w:lineRule="exact"/>
              <w:contextualSpacing/>
              <w:jc w:val="center"/>
              <w:rPr>
                <w:rFonts w:eastAsia="Calibri"/>
                <w:color w:val="auto"/>
                <w:sz w:val="20"/>
                <w:szCs w:val="22"/>
              </w:rPr>
            </w:pPr>
            <w:r w:rsidRPr="00C67D7E">
              <w:rPr>
                <w:rFonts w:eastAsia="Calibri"/>
                <w:color w:val="auto"/>
                <w:sz w:val="20"/>
                <w:szCs w:val="22"/>
              </w:rPr>
              <w:t>6522</w:t>
            </w:r>
          </w:p>
        </w:tc>
        <w:tc>
          <w:tcPr>
            <w:tcW w:w="810" w:type="dxa"/>
            <w:tcBorders>
              <w:left w:val="single" w:sz="4" w:space="0" w:color="auto"/>
            </w:tcBorders>
            <w:shd w:val="clear" w:color="auto" w:fill="FFFFFF"/>
            <w:vAlign w:val="center"/>
          </w:tcPr>
          <w:p w:rsidR="00DF0EFC" w:rsidRPr="00C67D7E" w:rsidRDefault="00DF0EFC" w:rsidP="00AE061D">
            <w:pPr>
              <w:spacing w:line="220" w:lineRule="exact"/>
              <w:contextualSpacing/>
              <w:jc w:val="center"/>
              <w:rPr>
                <w:rFonts w:eastAsia="Calibri"/>
                <w:color w:val="auto"/>
                <w:sz w:val="20"/>
                <w:szCs w:val="22"/>
              </w:rPr>
            </w:pPr>
            <w:r w:rsidRPr="00C67D7E">
              <w:rPr>
                <w:rFonts w:eastAsia="Calibri"/>
                <w:color w:val="auto"/>
                <w:sz w:val="20"/>
                <w:szCs w:val="22"/>
              </w:rPr>
              <w:t>10%</w:t>
            </w:r>
          </w:p>
        </w:tc>
        <w:tc>
          <w:tcPr>
            <w:tcW w:w="1098" w:type="dxa"/>
            <w:shd w:val="clear" w:color="auto" w:fill="FFFFFF"/>
            <w:vAlign w:val="center"/>
          </w:tcPr>
          <w:p w:rsidR="00DF0EFC" w:rsidRPr="00C67D7E" w:rsidRDefault="00DF0EFC" w:rsidP="00AE061D">
            <w:pPr>
              <w:spacing w:line="220" w:lineRule="exact"/>
              <w:contextualSpacing/>
              <w:jc w:val="center"/>
              <w:rPr>
                <w:rFonts w:eastAsia="Calibri"/>
                <w:color w:val="auto"/>
                <w:sz w:val="20"/>
              </w:rPr>
            </w:pPr>
            <w:r w:rsidRPr="00C67D7E">
              <w:rPr>
                <w:rFonts w:eastAsia="Calibri"/>
                <w:color w:val="auto"/>
                <w:sz w:val="20"/>
              </w:rPr>
              <w:t>20060428</w:t>
            </w:r>
          </w:p>
        </w:tc>
      </w:tr>
      <w:tr w:rsidR="00DF0EFC" w:rsidRPr="00BE2AB8" w:rsidTr="00AE061D">
        <w:trPr>
          <w:trHeight w:val="150"/>
        </w:trPr>
        <w:tc>
          <w:tcPr>
            <w:tcW w:w="4050" w:type="dxa"/>
            <w:gridSpan w:val="3"/>
            <w:vMerge/>
            <w:tcBorders>
              <w:right w:val="thinThickThinSmallGap" w:sz="24" w:space="0" w:color="auto"/>
            </w:tcBorders>
            <w:shd w:val="clear" w:color="auto" w:fill="FFFFFF"/>
            <w:vAlign w:val="center"/>
          </w:tcPr>
          <w:p w:rsidR="00DF0EFC" w:rsidRPr="000B04C0" w:rsidRDefault="00DF0EFC" w:rsidP="00AE061D">
            <w:pPr>
              <w:spacing w:line="220" w:lineRule="exact"/>
              <w:contextualSpacing/>
              <w:jc w:val="center"/>
              <w:rPr>
                <w:rFonts w:eastAsia="Calibri"/>
                <w:color w:val="auto"/>
                <w:sz w:val="20"/>
              </w:rPr>
            </w:pPr>
          </w:p>
        </w:tc>
        <w:tc>
          <w:tcPr>
            <w:tcW w:w="4235" w:type="dxa"/>
            <w:gridSpan w:val="3"/>
            <w:tcBorders>
              <w:left w:val="thinThickThinSmallGap" w:sz="24" w:space="0" w:color="auto"/>
            </w:tcBorders>
            <w:shd w:val="clear" w:color="auto" w:fill="FFFFFF"/>
            <w:vAlign w:val="center"/>
          </w:tcPr>
          <w:p w:rsidR="00DF0EFC" w:rsidRPr="00C67D7E" w:rsidRDefault="00DF0EFC" w:rsidP="00AE061D">
            <w:pPr>
              <w:spacing w:line="220" w:lineRule="exact"/>
              <w:contextualSpacing/>
              <w:jc w:val="center"/>
              <w:rPr>
                <w:rFonts w:eastAsia="Calibri"/>
                <w:color w:val="auto"/>
                <w:sz w:val="20"/>
                <w:szCs w:val="22"/>
              </w:rPr>
            </w:pPr>
            <w:r w:rsidRPr="000B04C0">
              <w:rPr>
                <w:rFonts w:eastAsia="Calibri"/>
                <w:color w:val="auto"/>
                <w:sz w:val="20"/>
                <w:szCs w:val="22"/>
              </w:rPr>
              <w:t xml:space="preserve">Not Service Connected x </w:t>
            </w:r>
            <w:r>
              <w:rPr>
                <w:rFonts w:eastAsia="Calibri"/>
                <w:color w:val="auto"/>
                <w:sz w:val="20"/>
                <w:szCs w:val="22"/>
              </w:rPr>
              <w:t>2</w:t>
            </w:r>
          </w:p>
        </w:tc>
        <w:tc>
          <w:tcPr>
            <w:tcW w:w="1098" w:type="dxa"/>
            <w:shd w:val="clear" w:color="auto" w:fill="FFFFFF"/>
            <w:vAlign w:val="center"/>
          </w:tcPr>
          <w:p w:rsidR="00DF0EFC" w:rsidRPr="00C67D7E" w:rsidRDefault="00DF0EFC" w:rsidP="00AE061D">
            <w:pPr>
              <w:spacing w:line="220" w:lineRule="exact"/>
              <w:contextualSpacing/>
              <w:jc w:val="center"/>
              <w:rPr>
                <w:rFonts w:eastAsia="Calibri"/>
                <w:color w:val="auto"/>
                <w:sz w:val="20"/>
              </w:rPr>
            </w:pPr>
            <w:r w:rsidRPr="00C67D7E">
              <w:rPr>
                <w:rFonts w:eastAsia="Calibri"/>
                <w:color w:val="auto"/>
                <w:sz w:val="20"/>
              </w:rPr>
              <w:t>20060428</w:t>
            </w:r>
          </w:p>
        </w:tc>
      </w:tr>
      <w:tr w:rsidR="00DF0EFC" w:rsidRPr="00BE2AB8" w:rsidTr="00AE061D">
        <w:trPr>
          <w:trHeight w:val="242"/>
        </w:trPr>
        <w:tc>
          <w:tcPr>
            <w:tcW w:w="4050" w:type="dxa"/>
            <w:gridSpan w:val="3"/>
            <w:tcBorders>
              <w:right w:val="thinThickThinSmallGap" w:sz="24" w:space="0" w:color="auto"/>
            </w:tcBorders>
            <w:shd w:val="clear" w:color="auto" w:fill="D9D9D9"/>
          </w:tcPr>
          <w:p w:rsidR="00DF0EFC" w:rsidRPr="00C67D7E" w:rsidRDefault="00DF0EFC" w:rsidP="00AE061D">
            <w:pPr>
              <w:spacing w:line="240" w:lineRule="exact"/>
              <w:contextualSpacing/>
              <w:jc w:val="center"/>
              <w:rPr>
                <w:rFonts w:eastAsia="Calibri"/>
                <w:b/>
                <w:color w:val="auto"/>
                <w:sz w:val="20"/>
              </w:rPr>
            </w:pPr>
            <w:r w:rsidRPr="00C67D7E">
              <w:rPr>
                <w:rFonts w:eastAsia="Calibri"/>
                <w:b/>
                <w:color w:val="auto"/>
                <w:sz w:val="20"/>
              </w:rPr>
              <w:t>Combined:  10%</w:t>
            </w:r>
          </w:p>
        </w:tc>
        <w:tc>
          <w:tcPr>
            <w:tcW w:w="5333" w:type="dxa"/>
            <w:gridSpan w:val="4"/>
            <w:tcBorders>
              <w:left w:val="thinThickThinSmallGap" w:sz="24" w:space="0" w:color="auto"/>
            </w:tcBorders>
            <w:shd w:val="clear" w:color="auto" w:fill="D9D9D9"/>
          </w:tcPr>
          <w:p w:rsidR="00DF0EFC" w:rsidRPr="00C67D7E" w:rsidRDefault="00DF0EFC" w:rsidP="00AE061D">
            <w:pPr>
              <w:spacing w:line="240" w:lineRule="exact"/>
              <w:contextualSpacing/>
              <w:jc w:val="center"/>
              <w:rPr>
                <w:rFonts w:eastAsia="Calibri"/>
                <w:b/>
                <w:color w:val="auto"/>
                <w:sz w:val="20"/>
              </w:rPr>
            </w:pPr>
            <w:r w:rsidRPr="00C67D7E">
              <w:rPr>
                <w:rFonts w:eastAsia="Calibri"/>
                <w:b/>
                <w:color w:val="auto"/>
                <w:sz w:val="20"/>
              </w:rPr>
              <w:t>Combined:  30%</w:t>
            </w:r>
          </w:p>
        </w:tc>
      </w:tr>
    </w:tbl>
    <w:p w:rsidR="000A430C" w:rsidRDefault="000A430C" w:rsidP="000A430C">
      <w:pPr>
        <w:pBdr>
          <w:bottom w:val="single" w:sz="12" w:space="1" w:color="auto"/>
        </w:pBdr>
        <w:tabs>
          <w:tab w:val="left" w:pos="288"/>
          <w:tab w:val="left" w:pos="4752"/>
        </w:tabs>
        <w:spacing w:line="240" w:lineRule="exact"/>
        <w:jc w:val="both"/>
        <w:rPr>
          <w:color w:val="auto"/>
          <w:u w:val="single"/>
        </w:rPr>
      </w:pPr>
    </w:p>
    <w:p w:rsidR="000A430C" w:rsidRDefault="000A430C" w:rsidP="000A430C">
      <w:pPr>
        <w:tabs>
          <w:tab w:val="left" w:pos="288"/>
          <w:tab w:val="left" w:pos="4752"/>
        </w:tabs>
        <w:spacing w:line="240" w:lineRule="exact"/>
        <w:jc w:val="both"/>
        <w:rPr>
          <w:color w:val="auto"/>
          <w:szCs w:val="24"/>
          <w:u w:val="single"/>
        </w:rPr>
      </w:pPr>
    </w:p>
    <w:p w:rsidR="000A430C" w:rsidRDefault="000A430C" w:rsidP="000A430C">
      <w:pPr>
        <w:tabs>
          <w:tab w:val="left" w:pos="288"/>
          <w:tab w:val="left" w:pos="4752"/>
        </w:tabs>
        <w:spacing w:line="240" w:lineRule="exact"/>
        <w:jc w:val="both"/>
        <w:rPr>
          <w:color w:val="auto"/>
          <w:szCs w:val="24"/>
        </w:rPr>
      </w:pPr>
      <w:r w:rsidRPr="00396779">
        <w:rPr>
          <w:color w:val="auto"/>
          <w:szCs w:val="24"/>
          <w:u w:val="single"/>
        </w:rPr>
        <w:t>ANALYSIS SUMMARY</w:t>
      </w:r>
      <w:r w:rsidRPr="00396779">
        <w:rPr>
          <w:color w:val="auto"/>
          <w:szCs w:val="24"/>
        </w:rPr>
        <w:t>:</w:t>
      </w:r>
    </w:p>
    <w:p w:rsidR="000A430C" w:rsidRDefault="000A430C" w:rsidP="000A430C">
      <w:pPr>
        <w:tabs>
          <w:tab w:val="left" w:pos="288"/>
          <w:tab w:val="left" w:pos="4752"/>
        </w:tabs>
        <w:spacing w:line="240" w:lineRule="exact"/>
        <w:jc w:val="both"/>
        <w:rPr>
          <w:b/>
          <w:color w:val="auto"/>
          <w:sz w:val="16"/>
          <w:szCs w:val="16"/>
        </w:rPr>
      </w:pPr>
    </w:p>
    <w:p w:rsidR="00973ACD" w:rsidRDefault="000A430C" w:rsidP="000A430C">
      <w:pPr>
        <w:tabs>
          <w:tab w:val="left" w:pos="288"/>
          <w:tab w:val="left" w:pos="4752"/>
        </w:tabs>
        <w:spacing w:line="240" w:lineRule="exact"/>
        <w:jc w:val="both"/>
        <w:rPr>
          <w:color w:val="auto"/>
          <w:szCs w:val="24"/>
        </w:rPr>
      </w:pPr>
      <w:r w:rsidRPr="000A430C">
        <w:rPr>
          <w:color w:val="auto"/>
          <w:szCs w:val="24"/>
          <w:u w:val="single"/>
        </w:rPr>
        <w:t xml:space="preserve">Bilateral </w:t>
      </w:r>
      <w:r>
        <w:rPr>
          <w:color w:val="auto"/>
          <w:szCs w:val="24"/>
          <w:u w:val="single"/>
        </w:rPr>
        <w:t>K</w:t>
      </w:r>
      <w:r w:rsidRPr="000A430C">
        <w:rPr>
          <w:color w:val="auto"/>
          <w:szCs w:val="24"/>
          <w:u w:val="single"/>
        </w:rPr>
        <w:t xml:space="preserve">nee </w:t>
      </w:r>
      <w:r>
        <w:rPr>
          <w:color w:val="auto"/>
          <w:szCs w:val="24"/>
          <w:u w:val="single"/>
        </w:rPr>
        <w:t>C</w:t>
      </w:r>
      <w:r w:rsidRPr="000A430C">
        <w:rPr>
          <w:color w:val="auto"/>
          <w:szCs w:val="24"/>
          <w:u w:val="single"/>
        </w:rPr>
        <w:t>ondition</w:t>
      </w:r>
      <w:r w:rsidR="00635413">
        <w:rPr>
          <w:color w:val="auto"/>
          <w:szCs w:val="24"/>
        </w:rPr>
        <w:t xml:space="preserve">: </w:t>
      </w:r>
      <w:r w:rsidR="00BB23E2">
        <w:rPr>
          <w:color w:val="auto"/>
          <w:szCs w:val="24"/>
        </w:rPr>
        <w:t xml:space="preserve"> </w:t>
      </w:r>
      <w:r w:rsidR="00635413">
        <w:rPr>
          <w:color w:val="auto"/>
          <w:szCs w:val="24"/>
        </w:rPr>
        <w:t>The record</w:t>
      </w:r>
      <w:r>
        <w:rPr>
          <w:color w:val="auto"/>
          <w:szCs w:val="24"/>
        </w:rPr>
        <w:t xml:space="preserve"> </w:t>
      </w:r>
      <w:r w:rsidR="00635413">
        <w:rPr>
          <w:color w:val="auto"/>
          <w:szCs w:val="24"/>
        </w:rPr>
        <w:t>indicates</w:t>
      </w:r>
      <w:r>
        <w:rPr>
          <w:color w:val="auto"/>
          <w:szCs w:val="24"/>
        </w:rPr>
        <w:t xml:space="preserve"> that </w:t>
      </w:r>
      <w:r w:rsidR="00635413">
        <w:rPr>
          <w:color w:val="auto"/>
          <w:szCs w:val="24"/>
        </w:rPr>
        <w:t xml:space="preserve">the </w:t>
      </w:r>
      <w:r>
        <w:rPr>
          <w:color w:val="auto"/>
          <w:szCs w:val="24"/>
        </w:rPr>
        <w:t xml:space="preserve">CI had painful </w:t>
      </w:r>
      <w:r w:rsidR="00973ACD" w:rsidRPr="00973ACD">
        <w:rPr>
          <w:color w:val="auto"/>
          <w:szCs w:val="24"/>
        </w:rPr>
        <w:t>range</w:t>
      </w:r>
      <w:r w:rsidR="00BB23E2">
        <w:rPr>
          <w:color w:val="auto"/>
          <w:szCs w:val="24"/>
        </w:rPr>
        <w:t xml:space="preserve"> </w:t>
      </w:r>
      <w:r w:rsidR="00973ACD" w:rsidRPr="00973ACD">
        <w:rPr>
          <w:color w:val="auto"/>
          <w:szCs w:val="24"/>
        </w:rPr>
        <w:t>of</w:t>
      </w:r>
      <w:r w:rsidR="00BB23E2">
        <w:rPr>
          <w:color w:val="auto"/>
          <w:szCs w:val="24"/>
        </w:rPr>
        <w:t xml:space="preserve"> </w:t>
      </w:r>
      <w:r w:rsidR="00973ACD" w:rsidRPr="00973ACD">
        <w:rPr>
          <w:color w:val="auto"/>
          <w:szCs w:val="24"/>
        </w:rPr>
        <w:t xml:space="preserve">motion (ROM) </w:t>
      </w:r>
      <w:r>
        <w:rPr>
          <w:color w:val="auto"/>
          <w:szCs w:val="24"/>
        </w:rPr>
        <w:t xml:space="preserve">of both knees that limited </w:t>
      </w:r>
      <w:r w:rsidR="00BB23E2">
        <w:rPr>
          <w:color w:val="auto"/>
          <w:szCs w:val="24"/>
        </w:rPr>
        <w:t>AFSC</w:t>
      </w:r>
      <w:r w:rsidR="00692D49">
        <w:rPr>
          <w:color w:val="auto"/>
          <w:szCs w:val="24"/>
        </w:rPr>
        <w:t xml:space="preserve"> performance</w:t>
      </w:r>
      <w:r>
        <w:rPr>
          <w:color w:val="auto"/>
          <w:szCs w:val="24"/>
        </w:rPr>
        <w:t xml:space="preserve">. </w:t>
      </w:r>
      <w:r w:rsidR="00840C19">
        <w:rPr>
          <w:color w:val="auto"/>
          <w:szCs w:val="24"/>
        </w:rPr>
        <w:t xml:space="preserve"> </w:t>
      </w:r>
      <w:r>
        <w:rPr>
          <w:color w:val="auto"/>
          <w:szCs w:val="24"/>
        </w:rPr>
        <w:t xml:space="preserve">The MEB exam </w:t>
      </w:r>
      <w:r w:rsidR="00692D49">
        <w:rPr>
          <w:color w:val="auto"/>
          <w:szCs w:val="24"/>
        </w:rPr>
        <w:t>(</w:t>
      </w:r>
      <w:r w:rsidR="00BB23E2">
        <w:rPr>
          <w:color w:val="auto"/>
          <w:szCs w:val="24"/>
        </w:rPr>
        <w:t>three</w:t>
      </w:r>
      <w:r>
        <w:rPr>
          <w:color w:val="auto"/>
          <w:szCs w:val="24"/>
        </w:rPr>
        <w:t xml:space="preserve"> months </w:t>
      </w:r>
      <w:r w:rsidR="00692D49">
        <w:rPr>
          <w:color w:val="auto"/>
          <w:szCs w:val="24"/>
        </w:rPr>
        <w:t>pre-</w:t>
      </w:r>
      <w:r>
        <w:rPr>
          <w:color w:val="auto"/>
          <w:szCs w:val="24"/>
        </w:rPr>
        <w:t>separation</w:t>
      </w:r>
      <w:r w:rsidR="00692D49">
        <w:rPr>
          <w:color w:val="auto"/>
          <w:szCs w:val="24"/>
        </w:rPr>
        <w:t>)</w:t>
      </w:r>
      <w:r>
        <w:rPr>
          <w:color w:val="auto"/>
          <w:szCs w:val="24"/>
        </w:rPr>
        <w:t xml:space="preserve"> documented no </w:t>
      </w:r>
      <w:r w:rsidR="00692D49">
        <w:rPr>
          <w:color w:val="auto"/>
          <w:szCs w:val="24"/>
        </w:rPr>
        <w:t>instability, effusion or other ratable findings</w:t>
      </w:r>
      <w:r w:rsidR="00BB23E2">
        <w:rPr>
          <w:color w:val="auto"/>
          <w:szCs w:val="24"/>
        </w:rPr>
        <w:t>,</w:t>
      </w:r>
      <w:r w:rsidR="00692D49">
        <w:rPr>
          <w:color w:val="auto"/>
          <w:szCs w:val="24"/>
        </w:rPr>
        <w:t xml:space="preserve"> and documented </w:t>
      </w:r>
      <w:r>
        <w:rPr>
          <w:color w:val="auto"/>
          <w:szCs w:val="24"/>
        </w:rPr>
        <w:t xml:space="preserve">full </w:t>
      </w:r>
      <w:r w:rsidR="00840C19">
        <w:rPr>
          <w:color w:val="auto"/>
          <w:szCs w:val="24"/>
        </w:rPr>
        <w:t xml:space="preserve">(non-goniometric) </w:t>
      </w:r>
      <w:r>
        <w:rPr>
          <w:color w:val="auto"/>
          <w:szCs w:val="24"/>
        </w:rPr>
        <w:t xml:space="preserve">ROM. </w:t>
      </w:r>
      <w:r w:rsidR="00840C19">
        <w:rPr>
          <w:color w:val="auto"/>
          <w:szCs w:val="24"/>
        </w:rPr>
        <w:t xml:space="preserve"> </w:t>
      </w:r>
      <w:r>
        <w:rPr>
          <w:color w:val="auto"/>
          <w:szCs w:val="24"/>
        </w:rPr>
        <w:t xml:space="preserve">X-rays and </w:t>
      </w:r>
      <w:r w:rsidR="00692D49">
        <w:rPr>
          <w:color w:val="auto"/>
          <w:szCs w:val="24"/>
        </w:rPr>
        <w:t>magnetic resonance imaging (</w:t>
      </w:r>
      <w:r>
        <w:rPr>
          <w:color w:val="auto"/>
          <w:szCs w:val="24"/>
        </w:rPr>
        <w:t>MRI</w:t>
      </w:r>
      <w:r w:rsidR="00692D49">
        <w:rPr>
          <w:color w:val="auto"/>
          <w:szCs w:val="24"/>
        </w:rPr>
        <w:t>)</w:t>
      </w:r>
      <w:r>
        <w:rPr>
          <w:color w:val="auto"/>
          <w:szCs w:val="24"/>
        </w:rPr>
        <w:t xml:space="preserve"> showed no </w:t>
      </w:r>
      <w:r w:rsidR="00692D49">
        <w:rPr>
          <w:color w:val="auto"/>
          <w:szCs w:val="24"/>
        </w:rPr>
        <w:t>arthritis</w:t>
      </w:r>
      <w:r>
        <w:rPr>
          <w:color w:val="auto"/>
          <w:szCs w:val="24"/>
        </w:rPr>
        <w:t xml:space="preserve"> </w:t>
      </w:r>
      <w:r w:rsidR="00692D49">
        <w:rPr>
          <w:color w:val="auto"/>
          <w:szCs w:val="24"/>
        </w:rPr>
        <w:t>or</w:t>
      </w:r>
      <w:r>
        <w:rPr>
          <w:color w:val="auto"/>
          <w:szCs w:val="24"/>
        </w:rPr>
        <w:t xml:space="preserve"> significant structur</w:t>
      </w:r>
      <w:r w:rsidR="00692D49">
        <w:rPr>
          <w:color w:val="auto"/>
          <w:szCs w:val="24"/>
        </w:rPr>
        <w:t>al issues in the knee joints</w:t>
      </w:r>
      <w:r>
        <w:rPr>
          <w:color w:val="auto"/>
          <w:szCs w:val="24"/>
        </w:rPr>
        <w:t xml:space="preserve">. </w:t>
      </w:r>
      <w:r w:rsidR="00840C19">
        <w:rPr>
          <w:color w:val="auto"/>
          <w:szCs w:val="24"/>
        </w:rPr>
        <w:t xml:space="preserve"> </w:t>
      </w:r>
      <w:r>
        <w:rPr>
          <w:color w:val="auto"/>
          <w:szCs w:val="24"/>
        </w:rPr>
        <w:t xml:space="preserve">The VA exam </w:t>
      </w:r>
      <w:r w:rsidR="00692D49">
        <w:rPr>
          <w:color w:val="auto"/>
          <w:szCs w:val="24"/>
        </w:rPr>
        <w:t>(</w:t>
      </w:r>
      <w:r w:rsidR="00BB23E2">
        <w:rPr>
          <w:color w:val="auto"/>
          <w:szCs w:val="24"/>
        </w:rPr>
        <w:t>five</w:t>
      </w:r>
      <w:r w:rsidR="00692D49">
        <w:rPr>
          <w:color w:val="auto"/>
          <w:szCs w:val="24"/>
        </w:rPr>
        <w:t xml:space="preserve"> months post-separation) </w:t>
      </w:r>
      <w:r>
        <w:rPr>
          <w:color w:val="auto"/>
          <w:szCs w:val="24"/>
        </w:rPr>
        <w:t xml:space="preserve">documented </w:t>
      </w:r>
      <w:r w:rsidR="00840C19">
        <w:rPr>
          <w:color w:val="auto"/>
          <w:szCs w:val="24"/>
        </w:rPr>
        <w:t>similar</w:t>
      </w:r>
      <w:r>
        <w:rPr>
          <w:color w:val="auto"/>
          <w:szCs w:val="24"/>
        </w:rPr>
        <w:t xml:space="preserve"> objective findings</w:t>
      </w:r>
      <w:r w:rsidR="00973ACD">
        <w:rPr>
          <w:color w:val="auto"/>
          <w:szCs w:val="24"/>
        </w:rPr>
        <w:t xml:space="preserve"> </w:t>
      </w:r>
      <w:r w:rsidR="00433E99">
        <w:rPr>
          <w:color w:val="auto"/>
          <w:szCs w:val="24"/>
        </w:rPr>
        <w:t xml:space="preserve">(no instability) </w:t>
      </w:r>
      <w:r w:rsidR="00840C19">
        <w:rPr>
          <w:color w:val="auto"/>
          <w:szCs w:val="24"/>
        </w:rPr>
        <w:t xml:space="preserve">and </w:t>
      </w:r>
      <w:r w:rsidR="00973ACD">
        <w:rPr>
          <w:color w:val="auto"/>
          <w:szCs w:val="24"/>
        </w:rPr>
        <w:t>includ</w:t>
      </w:r>
      <w:r w:rsidR="002C0C2B">
        <w:rPr>
          <w:color w:val="auto"/>
          <w:szCs w:val="24"/>
        </w:rPr>
        <w:t>ed</w:t>
      </w:r>
      <w:r w:rsidR="00973ACD">
        <w:rPr>
          <w:color w:val="auto"/>
          <w:szCs w:val="24"/>
        </w:rPr>
        <w:t xml:space="preserve"> the only goniometric ROM exam</w:t>
      </w:r>
      <w:r w:rsidR="00840C19">
        <w:rPr>
          <w:color w:val="auto"/>
          <w:szCs w:val="24"/>
        </w:rPr>
        <w:t xml:space="preserve"> in evidence</w:t>
      </w:r>
      <w:r w:rsidR="00433E99">
        <w:rPr>
          <w:color w:val="auto"/>
          <w:szCs w:val="24"/>
        </w:rPr>
        <w:t>,</w:t>
      </w:r>
      <w:r w:rsidR="00973ACD">
        <w:rPr>
          <w:color w:val="auto"/>
          <w:szCs w:val="24"/>
        </w:rPr>
        <w:t xml:space="preserve"> </w:t>
      </w:r>
      <w:r w:rsidR="00433E99">
        <w:rPr>
          <w:color w:val="auto"/>
          <w:szCs w:val="24"/>
        </w:rPr>
        <w:t>documenting</w:t>
      </w:r>
      <w:r>
        <w:rPr>
          <w:color w:val="auto"/>
          <w:szCs w:val="24"/>
        </w:rPr>
        <w:t xml:space="preserve"> </w:t>
      </w:r>
      <w:r w:rsidR="00433E99">
        <w:rPr>
          <w:color w:val="auto"/>
          <w:szCs w:val="24"/>
        </w:rPr>
        <w:t>flexion</w:t>
      </w:r>
      <w:r>
        <w:rPr>
          <w:color w:val="auto"/>
          <w:szCs w:val="24"/>
        </w:rPr>
        <w:t xml:space="preserve"> </w:t>
      </w:r>
      <w:r w:rsidR="00433E99">
        <w:rPr>
          <w:color w:val="auto"/>
          <w:szCs w:val="24"/>
        </w:rPr>
        <w:t>(</w:t>
      </w:r>
      <w:r w:rsidR="00973ACD">
        <w:rPr>
          <w:color w:val="auto"/>
          <w:szCs w:val="24"/>
        </w:rPr>
        <w:t>limited by pain</w:t>
      </w:r>
      <w:r w:rsidR="00433E99">
        <w:rPr>
          <w:color w:val="auto"/>
          <w:szCs w:val="24"/>
        </w:rPr>
        <w:t>)</w:t>
      </w:r>
      <w:r w:rsidR="00973ACD">
        <w:rPr>
          <w:color w:val="auto"/>
          <w:szCs w:val="24"/>
        </w:rPr>
        <w:t xml:space="preserve"> to </w:t>
      </w:r>
      <w:r w:rsidR="00973ACD" w:rsidRPr="00973ACD">
        <w:rPr>
          <w:color w:val="auto"/>
          <w:szCs w:val="24"/>
        </w:rPr>
        <w:t>90⁰</w:t>
      </w:r>
      <w:r w:rsidR="00973ACD">
        <w:rPr>
          <w:color w:val="auto"/>
          <w:szCs w:val="24"/>
        </w:rPr>
        <w:t xml:space="preserve"> </w:t>
      </w:r>
      <w:r w:rsidR="00433E99">
        <w:rPr>
          <w:color w:val="auto"/>
          <w:szCs w:val="24"/>
        </w:rPr>
        <w:t>(normal 14</w:t>
      </w:r>
      <w:r w:rsidR="00433E99" w:rsidRPr="00973ACD">
        <w:rPr>
          <w:color w:val="auto"/>
          <w:szCs w:val="24"/>
        </w:rPr>
        <w:t>0⁰</w:t>
      </w:r>
      <w:r w:rsidR="00433E99">
        <w:rPr>
          <w:color w:val="auto"/>
          <w:szCs w:val="24"/>
        </w:rPr>
        <w:t xml:space="preserve">) </w:t>
      </w:r>
      <w:r w:rsidR="00973ACD">
        <w:rPr>
          <w:color w:val="auto"/>
          <w:szCs w:val="24"/>
        </w:rPr>
        <w:t>on the left and 88</w:t>
      </w:r>
      <w:r w:rsidR="00973ACD" w:rsidRPr="00973ACD">
        <w:rPr>
          <w:color w:val="auto"/>
          <w:szCs w:val="24"/>
        </w:rPr>
        <w:t>⁰</w:t>
      </w:r>
      <w:r w:rsidR="00973ACD">
        <w:rPr>
          <w:color w:val="auto"/>
          <w:szCs w:val="24"/>
        </w:rPr>
        <w:t xml:space="preserve"> on the right.  </w:t>
      </w:r>
      <w:r w:rsidR="00973ACD" w:rsidRPr="008F17D6">
        <w:rPr>
          <w:color w:val="auto"/>
          <w:szCs w:val="24"/>
        </w:rPr>
        <w:t xml:space="preserve">The PEB combined </w:t>
      </w:r>
      <w:r w:rsidR="00973ACD">
        <w:rPr>
          <w:color w:val="auto"/>
          <w:szCs w:val="24"/>
        </w:rPr>
        <w:t>bilateral knee pain</w:t>
      </w:r>
      <w:r w:rsidR="00973ACD" w:rsidRPr="008F17D6">
        <w:rPr>
          <w:color w:val="auto"/>
          <w:szCs w:val="24"/>
        </w:rPr>
        <w:t xml:space="preserve"> as a single unfitting condition coded analogously to 5003 and rated 10%.  </w:t>
      </w:r>
      <w:r w:rsidR="00230616" w:rsidRPr="00230616">
        <w:rPr>
          <w:color w:val="auto"/>
          <w:szCs w:val="24"/>
        </w:rPr>
        <w:t xml:space="preserve">The Board’s initial charge in this case was therefore directed at determining if the PEB’s approach of combining conditions under a single rating was justified in lieu of separate ratings. </w:t>
      </w:r>
      <w:r w:rsidR="00230616">
        <w:rPr>
          <w:color w:val="auto"/>
          <w:szCs w:val="24"/>
        </w:rPr>
        <w:t xml:space="preserve"> IAW </w:t>
      </w:r>
      <w:r w:rsidR="00230616" w:rsidRPr="00230616">
        <w:rPr>
          <w:color w:val="auto"/>
          <w:szCs w:val="24"/>
        </w:rPr>
        <w:t>VASRD §4.7 (higher of two evaluations)</w:t>
      </w:r>
      <w:r w:rsidR="00230616">
        <w:rPr>
          <w:color w:val="auto"/>
          <w:szCs w:val="24"/>
        </w:rPr>
        <w:t>, t</w:t>
      </w:r>
      <w:r w:rsidR="00230616" w:rsidRPr="00230616">
        <w:rPr>
          <w:color w:val="auto"/>
          <w:szCs w:val="24"/>
        </w:rPr>
        <w:t xml:space="preserve">he Board must apply separate codes and ratings in its recommendations if compensable ratings for each </w:t>
      </w:r>
      <w:r w:rsidR="00230616" w:rsidRPr="00230616">
        <w:rPr>
          <w:color w:val="auto"/>
          <w:szCs w:val="24"/>
        </w:rPr>
        <w:lastRenderedPageBreak/>
        <w:t>condition are achieved IAW VASRD §4.71a.</w:t>
      </w:r>
      <w:r w:rsidR="00230616">
        <w:rPr>
          <w:color w:val="auto"/>
          <w:szCs w:val="24"/>
        </w:rPr>
        <w:t xml:space="preserve">  </w:t>
      </w:r>
      <w:r w:rsidR="00433E99">
        <w:rPr>
          <w:color w:val="auto"/>
          <w:szCs w:val="24"/>
        </w:rPr>
        <w:t xml:space="preserve">The VA exam provided adequate evidence for application of </w:t>
      </w:r>
      <w:r w:rsidR="00433E99">
        <w:rPr>
          <w:rFonts w:cs="Calibri"/>
          <w:color w:val="auto"/>
          <w:szCs w:val="24"/>
        </w:rPr>
        <w:t>§</w:t>
      </w:r>
      <w:r w:rsidR="00433E99">
        <w:rPr>
          <w:color w:val="auto"/>
          <w:szCs w:val="24"/>
        </w:rPr>
        <w:t xml:space="preserve">4.59 (painful motion) and the MEB exam supported application of </w:t>
      </w:r>
      <w:r w:rsidR="00433E99">
        <w:rPr>
          <w:rFonts w:cs="Calibri"/>
          <w:color w:val="auto"/>
          <w:szCs w:val="24"/>
        </w:rPr>
        <w:t>§</w:t>
      </w:r>
      <w:r w:rsidR="00433E99">
        <w:rPr>
          <w:color w:val="auto"/>
          <w:szCs w:val="24"/>
        </w:rPr>
        <w:t xml:space="preserve">4.40 (functional loss), either of which would support the minimum compensable rating for each joint. </w:t>
      </w:r>
      <w:r w:rsidR="00973ACD" w:rsidRPr="008F17D6">
        <w:rPr>
          <w:color w:val="auto"/>
          <w:szCs w:val="24"/>
        </w:rPr>
        <w:t>This is consistent as well with the VA rating decision.</w:t>
      </w:r>
      <w:r w:rsidR="00973ACD">
        <w:rPr>
          <w:color w:val="auto"/>
          <w:szCs w:val="24"/>
        </w:rPr>
        <w:t xml:space="preserve">  </w:t>
      </w:r>
      <w:r w:rsidR="009046DE" w:rsidRPr="009046DE">
        <w:rPr>
          <w:color w:val="auto"/>
          <w:szCs w:val="24"/>
        </w:rPr>
        <w:t xml:space="preserve">After due deliberation, </w:t>
      </w:r>
      <w:r w:rsidR="009046DE">
        <w:rPr>
          <w:color w:val="auto"/>
          <w:szCs w:val="24"/>
        </w:rPr>
        <w:t xml:space="preserve">in consideration </w:t>
      </w:r>
      <w:r w:rsidR="009046DE" w:rsidRPr="009046DE">
        <w:rPr>
          <w:color w:val="auto"/>
          <w:szCs w:val="24"/>
        </w:rPr>
        <w:t xml:space="preserve">of the </w:t>
      </w:r>
      <w:r w:rsidR="009046DE">
        <w:rPr>
          <w:color w:val="auto"/>
          <w:szCs w:val="24"/>
        </w:rPr>
        <w:t xml:space="preserve">above </w:t>
      </w:r>
      <w:r w:rsidR="009046DE" w:rsidRPr="009046DE">
        <w:rPr>
          <w:color w:val="auto"/>
          <w:szCs w:val="24"/>
        </w:rPr>
        <w:t xml:space="preserve">evidence </w:t>
      </w:r>
      <w:r w:rsidR="009046DE">
        <w:rPr>
          <w:color w:val="auto"/>
          <w:szCs w:val="24"/>
        </w:rPr>
        <w:t xml:space="preserve">and mindful of VASRD </w:t>
      </w:r>
      <w:r w:rsidR="009046DE" w:rsidRPr="009046DE">
        <w:rPr>
          <w:color w:val="auto"/>
          <w:szCs w:val="24"/>
        </w:rPr>
        <w:t>§</w:t>
      </w:r>
      <w:r w:rsidR="00230616" w:rsidRPr="00230616">
        <w:rPr>
          <w:color w:val="auto"/>
          <w:szCs w:val="24"/>
        </w:rPr>
        <w:t>4.3 (reasonable doubt)</w:t>
      </w:r>
      <w:r w:rsidR="009046DE">
        <w:rPr>
          <w:color w:val="auto"/>
          <w:szCs w:val="24"/>
        </w:rPr>
        <w:t xml:space="preserve">, </w:t>
      </w:r>
      <w:r w:rsidR="00840C19">
        <w:rPr>
          <w:color w:val="auto"/>
          <w:szCs w:val="24"/>
        </w:rPr>
        <w:t xml:space="preserve">the Board agreed that </w:t>
      </w:r>
      <w:r w:rsidR="009046DE">
        <w:rPr>
          <w:color w:val="auto"/>
          <w:szCs w:val="24"/>
        </w:rPr>
        <w:t>separate ratings for each knee were indicated.  No VASRD route to a rating higher than the minimum compensable (10%) for either joint was in evidence. T</w:t>
      </w:r>
      <w:r w:rsidR="00840C19">
        <w:rPr>
          <w:color w:val="auto"/>
          <w:szCs w:val="24"/>
        </w:rPr>
        <w:t xml:space="preserve">he </w:t>
      </w:r>
      <w:r w:rsidR="009046DE">
        <w:rPr>
          <w:color w:val="auto"/>
          <w:szCs w:val="24"/>
        </w:rPr>
        <w:t>preferred</w:t>
      </w:r>
      <w:r w:rsidR="00840C19">
        <w:rPr>
          <w:color w:val="auto"/>
          <w:szCs w:val="24"/>
        </w:rPr>
        <w:t xml:space="preserve"> coding </w:t>
      </w:r>
      <w:r w:rsidR="009046DE">
        <w:rPr>
          <w:color w:val="auto"/>
          <w:szCs w:val="24"/>
        </w:rPr>
        <w:t xml:space="preserve">for each joint, given the sole goniometric evaluation in evidence, </w:t>
      </w:r>
      <w:r w:rsidR="00840C19">
        <w:rPr>
          <w:color w:val="auto"/>
          <w:szCs w:val="24"/>
        </w:rPr>
        <w:t>is</w:t>
      </w:r>
      <w:r w:rsidR="00840C19" w:rsidRPr="00840C19">
        <w:rPr>
          <w:color w:val="auto"/>
          <w:szCs w:val="24"/>
        </w:rPr>
        <w:t xml:space="preserve"> </w:t>
      </w:r>
      <w:r w:rsidR="00840C19">
        <w:rPr>
          <w:color w:val="auto"/>
          <w:szCs w:val="24"/>
        </w:rPr>
        <w:t>analogous to 5260 (</w:t>
      </w:r>
      <w:r w:rsidR="00840C19" w:rsidRPr="00D32F62">
        <w:rPr>
          <w:color w:val="auto"/>
          <w:szCs w:val="24"/>
        </w:rPr>
        <w:t>limitation of flexion</w:t>
      </w:r>
      <w:r w:rsidR="009046DE">
        <w:rPr>
          <w:color w:val="auto"/>
          <w:szCs w:val="24"/>
        </w:rPr>
        <w:t>).</w:t>
      </w:r>
    </w:p>
    <w:p w:rsidR="00F6196E" w:rsidRDefault="00F6196E" w:rsidP="000452D7">
      <w:pPr>
        <w:spacing w:line="240" w:lineRule="exact"/>
        <w:jc w:val="both"/>
        <w:rPr>
          <w:color w:val="auto"/>
          <w:szCs w:val="24"/>
        </w:rPr>
      </w:pPr>
    </w:p>
    <w:p w:rsidR="009237B5" w:rsidRDefault="00F6196E" w:rsidP="00840C19">
      <w:pPr>
        <w:spacing w:line="240" w:lineRule="exact"/>
        <w:jc w:val="both"/>
        <w:rPr>
          <w:color w:val="auto"/>
          <w:u w:val="single"/>
        </w:rPr>
      </w:pPr>
      <w:proofErr w:type="gramStart"/>
      <w:r w:rsidRPr="00F6196E">
        <w:rPr>
          <w:color w:val="auto"/>
          <w:szCs w:val="24"/>
          <w:u w:val="single"/>
        </w:rPr>
        <w:t>Remaining Conditions</w:t>
      </w:r>
      <w:r>
        <w:rPr>
          <w:color w:val="auto"/>
          <w:szCs w:val="24"/>
        </w:rPr>
        <w:t>.</w:t>
      </w:r>
      <w:proofErr w:type="gramEnd"/>
      <w:r w:rsidR="00BB23E2">
        <w:rPr>
          <w:color w:val="auto"/>
          <w:szCs w:val="24"/>
        </w:rPr>
        <w:t xml:space="preserve"> </w:t>
      </w:r>
      <w:r>
        <w:rPr>
          <w:color w:val="auto"/>
          <w:szCs w:val="24"/>
        </w:rPr>
        <w:t xml:space="preserve"> </w:t>
      </w:r>
      <w:r w:rsidR="003053FD">
        <w:rPr>
          <w:color w:val="auto"/>
          <w:szCs w:val="24"/>
        </w:rPr>
        <w:t>Two o</w:t>
      </w:r>
      <w:r w:rsidR="003053FD" w:rsidRPr="003053FD">
        <w:rPr>
          <w:color w:val="auto"/>
          <w:szCs w:val="24"/>
        </w:rPr>
        <w:t>ther conditions</w:t>
      </w:r>
      <w:r w:rsidR="003053FD">
        <w:rPr>
          <w:color w:val="auto"/>
          <w:szCs w:val="24"/>
        </w:rPr>
        <w:t xml:space="preserve">, </w:t>
      </w:r>
      <w:r w:rsidR="003053FD" w:rsidRPr="003053FD">
        <w:rPr>
          <w:color w:val="auto"/>
          <w:szCs w:val="24"/>
        </w:rPr>
        <w:t xml:space="preserve">seasonal allergies </w:t>
      </w:r>
      <w:r w:rsidR="003053FD">
        <w:rPr>
          <w:color w:val="auto"/>
          <w:szCs w:val="24"/>
        </w:rPr>
        <w:t>and</w:t>
      </w:r>
      <w:r w:rsidR="003053FD" w:rsidRPr="003053FD">
        <w:rPr>
          <w:color w:val="auto"/>
          <w:szCs w:val="24"/>
        </w:rPr>
        <w:t xml:space="preserve"> eczematous dermatitis</w:t>
      </w:r>
      <w:r w:rsidR="003053FD">
        <w:rPr>
          <w:color w:val="auto"/>
          <w:szCs w:val="24"/>
        </w:rPr>
        <w:t>, were</w:t>
      </w:r>
      <w:r w:rsidR="003053FD" w:rsidRPr="003053FD">
        <w:rPr>
          <w:color w:val="auto"/>
          <w:szCs w:val="24"/>
        </w:rPr>
        <w:t xml:space="preserve"> identified in the </w:t>
      </w:r>
      <w:r w:rsidR="00BB23E2">
        <w:rPr>
          <w:color w:val="auto"/>
          <w:szCs w:val="24"/>
        </w:rPr>
        <w:t>s</w:t>
      </w:r>
      <w:r w:rsidR="007F7F3C">
        <w:rPr>
          <w:color w:val="auto"/>
          <w:szCs w:val="24"/>
        </w:rPr>
        <w:t xml:space="preserve">ervice </w:t>
      </w:r>
      <w:r w:rsidR="003053FD" w:rsidRPr="003053FD">
        <w:rPr>
          <w:color w:val="auto"/>
          <w:szCs w:val="24"/>
        </w:rPr>
        <w:t xml:space="preserve">file.  Several additional non-acute conditions or medical complaints were also documented.  </w:t>
      </w:r>
      <w:r w:rsidR="002C0C2B" w:rsidRPr="002C0C2B">
        <w:rPr>
          <w:color w:val="auto"/>
          <w:szCs w:val="24"/>
        </w:rPr>
        <w:t xml:space="preserve">None of these </w:t>
      </w:r>
      <w:r w:rsidR="003053FD" w:rsidRPr="003053FD">
        <w:rPr>
          <w:color w:val="auto"/>
          <w:szCs w:val="24"/>
        </w:rPr>
        <w:t>conditions were profiled, implica</w:t>
      </w:r>
      <w:r w:rsidR="007F7F3C">
        <w:rPr>
          <w:color w:val="auto"/>
          <w:szCs w:val="24"/>
        </w:rPr>
        <w:t xml:space="preserve">ted in the </w:t>
      </w:r>
      <w:r w:rsidR="00BB23E2">
        <w:rPr>
          <w:color w:val="auto"/>
          <w:szCs w:val="24"/>
        </w:rPr>
        <w:t>c</w:t>
      </w:r>
      <w:r w:rsidR="003053FD" w:rsidRPr="003053FD">
        <w:rPr>
          <w:color w:val="auto"/>
          <w:szCs w:val="24"/>
        </w:rPr>
        <w:t>ommander’s statement</w:t>
      </w:r>
      <w:r w:rsidR="003053FD">
        <w:rPr>
          <w:color w:val="auto"/>
          <w:szCs w:val="24"/>
        </w:rPr>
        <w:t xml:space="preserve">, </w:t>
      </w:r>
      <w:r w:rsidR="003053FD" w:rsidRPr="003053FD">
        <w:rPr>
          <w:color w:val="auto"/>
          <w:szCs w:val="24"/>
        </w:rPr>
        <w:t xml:space="preserve">or noted as failing retention standards.  </w:t>
      </w:r>
      <w:r w:rsidR="007F7F3C">
        <w:rPr>
          <w:color w:val="auto"/>
          <w:szCs w:val="24"/>
        </w:rPr>
        <w:t>T</w:t>
      </w:r>
      <w:r w:rsidR="00DB2649">
        <w:rPr>
          <w:color w:val="auto"/>
          <w:szCs w:val="24"/>
        </w:rPr>
        <w:t>hese conditions</w:t>
      </w:r>
      <w:r w:rsidR="003053FD" w:rsidRPr="003053FD">
        <w:rPr>
          <w:color w:val="auto"/>
          <w:szCs w:val="24"/>
        </w:rPr>
        <w:t xml:space="preserve"> were reviewed by the </w:t>
      </w:r>
      <w:r w:rsidR="00BB23E2" w:rsidRPr="003053FD">
        <w:rPr>
          <w:color w:val="auto"/>
          <w:szCs w:val="24"/>
        </w:rPr>
        <w:t xml:space="preserve">action officer </w:t>
      </w:r>
      <w:r w:rsidR="003053FD" w:rsidRPr="003053FD">
        <w:rPr>
          <w:color w:val="auto"/>
          <w:szCs w:val="24"/>
        </w:rPr>
        <w:t xml:space="preserve">and considered by the Board.  There was no indication from the record that </w:t>
      </w:r>
      <w:r w:rsidR="00DB2649">
        <w:rPr>
          <w:color w:val="auto"/>
          <w:szCs w:val="24"/>
        </w:rPr>
        <w:t>any</w:t>
      </w:r>
      <w:r w:rsidR="003053FD" w:rsidRPr="003053FD">
        <w:rPr>
          <w:color w:val="auto"/>
          <w:szCs w:val="24"/>
        </w:rPr>
        <w:t xml:space="preserve"> of these conditions significantly interfered with </w:t>
      </w:r>
      <w:r w:rsidR="007F7F3C">
        <w:rPr>
          <w:color w:val="auto"/>
          <w:szCs w:val="24"/>
        </w:rPr>
        <w:t>satisfactory performance of AFS</w:t>
      </w:r>
      <w:r w:rsidR="00BB23E2">
        <w:rPr>
          <w:color w:val="auto"/>
          <w:szCs w:val="24"/>
        </w:rPr>
        <w:t>C</w:t>
      </w:r>
      <w:r w:rsidR="003053FD" w:rsidRPr="003053FD">
        <w:rPr>
          <w:color w:val="auto"/>
          <w:szCs w:val="24"/>
        </w:rPr>
        <w:t xml:space="preserve"> duty require</w:t>
      </w:r>
      <w:r w:rsidR="007F7F3C">
        <w:rPr>
          <w:color w:val="auto"/>
          <w:szCs w:val="24"/>
        </w:rPr>
        <w:t>ments; thus i</w:t>
      </w:r>
      <w:r w:rsidR="003053FD" w:rsidRPr="003053FD">
        <w:rPr>
          <w:color w:val="auto"/>
          <w:szCs w:val="24"/>
        </w:rPr>
        <w:t xml:space="preserve">t was determined that </w:t>
      </w:r>
      <w:r w:rsidR="007F7F3C">
        <w:rPr>
          <w:color w:val="auto"/>
          <w:szCs w:val="24"/>
        </w:rPr>
        <w:t>neither</w:t>
      </w:r>
      <w:r w:rsidR="003053FD" w:rsidRPr="003053FD">
        <w:rPr>
          <w:color w:val="auto"/>
          <w:szCs w:val="24"/>
        </w:rPr>
        <w:t xml:space="preserv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r w:rsidR="003053FD">
        <w:rPr>
          <w:color w:val="auto"/>
          <w:szCs w:val="24"/>
        </w:rPr>
        <w:t xml:space="preserve"> </w:t>
      </w:r>
    </w:p>
    <w:p w:rsidR="00DF0EFC" w:rsidRDefault="00DF0EFC" w:rsidP="00DF0EFC">
      <w:pPr>
        <w:pBdr>
          <w:bottom w:val="single" w:sz="12" w:space="1" w:color="auto"/>
        </w:pBdr>
        <w:tabs>
          <w:tab w:val="left" w:pos="288"/>
          <w:tab w:val="left" w:pos="4752"/>
        </w:tabs>
        <w:spacing w:line="240" w:lineRule="exact"/>
        <w:jc w:val="both"/>
        <w:rPr>
          <w:color w:val="auto"/>
          <w:u w:val="single"/>
        </w:rPr>
      </w:pPr>
    </w:p>
    <w:p w:rsidR="001724C8" w:rsidRPr="00CD5BD7" w:rsidRDefault="001724C8" w:rsidP="000452D7">
      <w:pPr>
        <w:tabs>
          <w:tab w:val="left" w:pos="288"/>
          <w:tab w:val="left" w:pos="4752"/>
        </w:tabs>
        <w:spacing w:line="240" w:lineRule="exact"/>
        <w:rPr>
          <w:color w:val="000080"/>
          <w:szCs w:val="24"/>
        </w:rPr>
      </w:pPr>
    </w:p>
    <w:p w:rsidR="004C60A3" w:rsidRPr="00301FE8" w:rsidRDefault="00C56FC8" w:rsidP="00DF0EFC">
      <w:pPr>
        <w:spacing w:line="240" w:lineRule="exact"/>
        <w:jc w:val="both"/>
        <w:rPr>
          <w:color w:val="auto"/>
          <w:szCs w:val="24"/>
        </w:rPr>
      </w:pPr>
      <w:r w:rsidRPr="00C276CD">
        <w:rPr>
          <w:color w:val="auto"/>
          <w:szCs w:val="24"/>
          <w:u w:val="single"/>
        </w:rPr>
        <w:t>BOARD FINDINGS</w:t>
      </w:r>
      <w:r w:rsidRPr="00C276CD">
        <w:rPr>
          <w:color w:val="auto"/>
          <w:szCs w:val="24"/>
        </w:rPr>
        <w:t>:</w:t>
      </w:r>
      <w:r w:rsidRPr="00C276CD">
        <w:rPr>
          <w:rFonts w:eastAsia="Calibri"/>
          <w:color w:val="auto"/>
          <w:szCs w:val="24"/>
        </w:rPr>
        <w:t xml:space="preserve">  IAW </w:t>
      </w:r>
      <w:proofErr w:type="spellStart"/>
      <w:r w:rsidRPr="00C276CD">
        <w:rPr>
          <w:rFonts w:eastAsia="Calibri"/>
          <w:color w:val="auto"/>
          <w:szCs w:val="24"/>
        </w:rPr>
        <w:t>DoDI</w:t>
      </w:r>
      <w:proofErr w:type="spellEnd"/>
      <w:r w:rsidRPr="00C276CD">
        <w:rPr>
          <w:rFonts w:eastAsia="Calibri"/>
          <w:color w:val="auto"/>
          <w:szCs w:val="24"/>
        </w:rPr>
        <w:t xml:space="preserve"> 6040.44, provisions </w:t>
      </w:r>
      <w:r w:rsidRPr="00396779">
        <w:rPr>
          <w:rFonts w:eastAsia="Calibri"/>
          <w:color w:val="auto"/>
          <w:szCs w:val="24"/>
        </w:rPr>
        <w:t xml:space="preserve">of </w:t>
      </w:r>
      <w:proofErr w:type="spellStart"/>
      <w:r w:rsidRPr="00396779">
        <w:rPr>
          <w:rFonts w:eastAsia="Calibri"/>
          <w:color w:val="auto"/>
          <w:szCs w:val="24"/>
        </w:rPr>
        <w:t>DoD</w:t>
      </w:r>
      <w:proofErr w:type="spellEnd"/>
      <w:r w:rsidRPr="00396779">
        <w:rPr>
          <w:rFonts w:eastAsia="Calibri"/>
          <w:color w:val="auto"/>
          <w:szCs w:val="24"/>
        </w:rPr>
        <w:t xml:space="preserve"> or Military Department regulations or guidelines relied upon by the PEB will not be considered by the Board to the extent they were inconsistent with the VASRD in effect at the time of the adjudication.</w:t>
      </w:r>
      <w:r w:rsidR="00D32F62">
        <w:rPr>
          <w:rFonts w:eastAsia="Calibri"/>
          <w:color w:val="auto"/>
          <w:szCs w:val="24"/>
        </w:rPr>
        <w:t xml:space="preserve"> </w:t>
      </w:r>
      <w:r w:rsidR="00840C19">
        <w:rPr>
          <w:rFonts w:eastAsia="Calibri"/>
          <w:color w:val="auto"/>
          <w:szCs w:val="24"/>
        </w:rPr>
        <w:t xml:space="preserve"> </w:t>
      </w:r>
      <w:r w:rsidR="00840C19" w:rsidRPr="00840C19">
        <w:rPr>
          <w:rFonts w:eastAsia="Calibri"/>
          <w:color w:val="auto"/>
          <w:szCs w:val="24"/>
        </w:rPr>
        <w:t xml:space="preserve">The Board </w:t>
      </w:r>
      <w:r w:rsidR="007F7F3C">
        <w:rPr>
          <w:rFonts w:eastAsia="Calibri"/>
          <w:color w:val="auto"/>
          <w:szCs w:val="24"/>
        </w:rPr>
        <w:t xml:space="preserve">notes the </w:t>
      </w:r>
      <w:r w:rsidR="007F7F3C" w:rsidRPr="00450059">
        <w:rPr>
          <w:rFonts w:eastAsia="Calibri"/>
          <w:color w:val="auto"/>
          <w:szCs w:val="24"/>
        </w:rPr>
        <w:t xml:space="preserve">PEB’s reference to </w:t>
      </w:r>
      <w:proofErr w:type="spellStart"/>
      <w:proofErr w:type="gramStart"/>
      <w:r w:rsidR="007F7F3C" w:rsidRPr="00450059">
        <w:rPr>
          <w:rFonts w:eastAsia="Calibri"/>
          <w:color w:val="auto"/>
          <w:szCs w:val="24"/>
        </w:rPr>
        <w:t>DoD</w:t>
      </w:r>
      <w:proofErr w:type="spellEnd"/>
      <w:proofErr w:type="gramEnd"/>
      <w:r w:rsidR="007F7F3C" w:rsidRPr="00450059">
        <w:rPr>
          <w:rFonts w:eastAsia="Calibri"/>
          <w:color w:val="auto"/>
          <w:szCs w:val="24"/>
        </w:rPr>
        <w:t xml:space="preserve"> guidelines in its adjudication, </w:t>
      </w:r>
      <w:r w:rsidR="005B6000" w:rsidRPr="00450059">
        <w:rPr>
          <w:rFonts w:eastAsia="Calibri"/>
          <w:color w:val="auto"/>
          <w:szCs w:val="24"/>
        </w:rPr>
        <w:t xml:space="preserve">and its recommendations are independent of any </w:t>
      </w:r>
      <w:proofErr w:type="spellStart"/>
      <w:r w:rsidR="005B6000" w:rsidRPr="00450059">
        <w:rPr>
          <w:rFonts w:eastAsia="Calibri"/>
          <w:color w:val="auto"/>
          <w:szCs w:val="24"/>
        </w:rPr>
        <w:t>DoD</w:t>
      </w:r>
      <w:proofErr w:type="spellEnd"/>
      <w:r w:rsidR="005B6000" w:rsidRPr="00450059">
        <w:rPr>
          <w:rFonts w:eastAsia="Calibri"/>
          <w:color w:val="auto"/>
          <w:szCs w:val="24"/>
        </w:rPr>
        <w:t xml:space="preserve"> regulations.  </w:t>
      </w:r>
      <w:r w:rsidR="00301FE8" w:rsidRPr="00450059">
        <w:rPr>
          <w:rFonts w:eastAsia="Calibri"/>
          <w:color w:val="auto"/>
          <w:szCs w:val="24"/>
        </w:rPr>
        <w:t xml:space="preserve">In the matter of the bilateral </w:t>
      </w:r>
      <w:r w:rsidR="005137EA" w:rsidRPr="00450059">
        <w:rPr>
          <w:rFonts w:eastAsia="Calibri"/>
          <w:color w:val="auto"/>
          <w:szCs w:val="24"/>
        </w:rPr>
        <w:t>knee</w:t>
      </w:r>
      <w:r w:rsidR="00301FE8" w:rsidRPr="00450059">
        <w:rPr>
          <w:rFonts w:eastAsia="Calibri"/>
          <w:color w:val="auto"/>
          <w:szCs w:val="24"/>
        </w:rPr>
        <w:t xml:space="preserve"> condition, the Board unanimously recommends</w:t>
      </w:r>
      <w:r w:rsidR="00301FE8" w:rsidRPr="00301FE8">
        <w:rPr>
          <w:rFonts w:eastAsia="Calibri"/>
          <w:color w:val="auto"/>
          <w:szCs w:val="24"/>
        </w:rPr>
        <w:t xml:space="preserve"> that each joint be separately adjudicated as follows: an unfitting right </w:t>
      </w:r>
      <w:r w:rsidR="00301FE8">
        <w:rPr>
          <w:rFonts w:eastAsia="Calibri"/>
          <w:color w:val="auto"/>
          <w:szCs w:val="24"/>
        </w:rPr>
        <w:t>knee</w:t>
      </w:r>
      <w:r w:rsidR="00301FE8" w:rsidRPr="00301FE8">
        <w:rPr>
          <w:rFonts w:eastAsia="Calibri"/>
          <w:color w:val="auto"/>
          <w:szCs w:val="24"/>
        </w:rPr>
        <w:t xml:space="preserve"> condition coded </w:t>
      </w:r>
      <w:r w:rsidR="00301FE8">
        <w:rPr>
          <w:rFonts w:eastAsia="Calibri"/>
          <w:color w:val="auto"/>
          <w:szCs w:val="24"/>
        </w:rPr>
        <w:t>5299-5260</w:t>
      </w:r>
      <w:r w:rsidR="00301FE8" w:rsidRPr="00301FE8">
        <w:rPr>
          <w:rFonts w:eastAsia="Calibri"/>
          <w:color w:val="auto"/>
          <w:szCs w:val="24"/>
        </w:rPr>
        <w:t xml:space="preserve"> and rated </w:t>
      </w:r>
      <w:r w:rsidR="00301FE8">
        <w:rPr>
          <w:rFonts w:eastAsia="Calibri"/>
          <w:color w:val="auto"/>
          <w:szCs w:val="24"/>
        </w:rPr>
        <w:t>1</w:t>
      </w:r>
      <w:r w:rsidR="00301FE8" w:rsidRPr="00301FE8">
        <w:rPr>
          <w:rFonts w:eastAsia="Calibri"/>
          <w:color w:val="auto"/>
          <w:szCs w:val="24"/>
        </w:rPr>
        <w:t xml:space="preserve">0% and an unfitting left </w:t>
      </w:r>
      <w:r w:rsidR="00301FE8">
        <w:rPr>
          <w:rFonts w:eastAsia="Calibri"/>
          <w:color w:val="auto"/>
          <w:szCs w:val="24"/>
        </w:rPr>
        <w:t>knee</w:t>
      </w:r>
      <w:r w:rsidR="00301FE8" w:rsidRPr="00301FE8">
        <w:rPr>
          <w:rFonts w:eastAsia="Calibri"/>
          <w:color w:val="auto"/>
          <w:szCs w:val="24"/>
        </w:rPr>
        <w:t xml:space="preserve"> condition coded </w:t>
      </w:r>
      <w:r w:rsidR="00301FE8">
        <w:rPr>
          <w:rFonts w:eastAsia="Calibri"/>
          <w:color w:val="auto"/>
          <w:szCs w:val="24"/>
        </w:rPr>
        <w:t>5299-5260</w:t>
      </w:r>
      <w:r w:rsidR="00301FE8" w:rsidRPr="00301FE8">
        <w:rPr>
          <w:rFonts w:eastAsia="Calibri"/>
          <w:color w:val="auto"/>
          <w:szCs w:val="24"/>
        </w:rPr>
        <w:t xml:space="preserve"> and rated </w:t>
      </w:r>
      <w:r w:rsidR="00301FE8">
        <w:rPr>
          <w:rFonts w:eastAsia="Calibri"/>
          <w:color w:val="auto"/>
          <w:szCs w:val="24"/>
        </w:rPr>
        <w:t>1</w:t>
      </w:r>
      <w:r w:rsidR="00301FE8" w:rsidRPr="00301FE8">
        <w:rPr>
          <w:rFonts w:eastAsia="Calibri"/>
          <w:color w:val="auto"/>
          <w:szCs w:val="24"/>
        </w:rPr>
        <w:t xml:space="preserve">0%; both IAW VASRD §4.71a. </w:t>
      </w:r>
      <w:r w:rsidR="00D32F62">
        <w:rPr>
          <w:color w:val="auto"/>
          <w:szCs w:val="24"/>
        </w:rPr>
        <w:t xml:space="preserve"> </w:t>
      </w:r>
      <w:r w:rsidR="00301FE8" w:rsidRPr="00301FE8">
        <w:rPr>
          <w:color w:val="auto"/>
          <w:szCs w:val="24"/>
        </w:rPr>
        <w:t>The Board unanimously agrees that there were no other conditions eligible for Board consideration which could be recommended as additionally unfitting for rating at separation.</w:t>
      </w:r>
    </w:p>
    <w:p w:rsidR="00DF0EFC" w:rsidRDefault="00DF0EFC" w:rsidP="00DF0EFC">
      <w:pPr>
        <w:pBdr>
          <w:bottom w:val="single" w:sz="12" w:space="1" w:color="auto"/>
        </w:pBdr>
        <w:tabs>
          <w:tab w:val="left" w:pos="288"/>
          <w:tab w:val="left" w:pos="4752"/>
        </w:tabs>
        <w:spacing w:line="240" w:lineRule="exact"/>
        <w:jc w:val="both"/>
        <w:rPr>
          <w:color w:val="auto"/>
          <w:u w:val="single"/>
        </w:rPr>
      </w:pPr>
    </w:p>
    <w:p w:rsidR="00106AD8" w:rsidRPr="00CD5BD7" w:rsidRDefault="00106AD8" w:rsidP="000452D7">
      <w:pPr>
        <w:tabs>
          <w:tab w:val="left" w:pos="288"/>
          <w:tab w:val="left" w:pos="4752"/>
        </w:tabs>
        <w:spacing w:line="240" w:lineRule="exact"/>
        <w:rPr>
          <w:color w:val="000080"/>
          <w:szCs w:val="24"/>
        </w:rPr>
      </w:pPr>
    </w:p>
    <w:p w:rsidR="00C56FC8" w:rsidRPr="00B427BB" w:rsidRDefault="00C56FC8" w:rsidP="005B6000">
      <w:pPr>
        <w:spacing w:line="240" w:lineRule="exact"/>
        <w:jc w:val="both"/>
        <w:rPr>
          <w:color w:val="auto"/>
          <w:szCs w:val="24"/>
        </w:rPr>
      </w:pPr>
      <w:r w:rsidRPr="00396779">
        <w:rPr>
          <w:color w:val="auto"/>
          <w:szCs w:val="24"/>
          <w:u w:val="single"/>
        </w:rPr>
        <w:t>RECOMMENDATION</w:t>
      </w:r>
      <w:r w:rsidRPr="00396779">
        <w:rPr>
          <w:color w:val="auto"/>
          <w:szCs w:val="24"/>
        </w:rPr>
        <w:t>:</w:t>
      </w:r>
      <w:r w:rsidRPr="00396779">
        <w:rPr>
          <w:color w:val="000080"/>
          <w:szCs w:val="24"/>
        </w:rPr>
        <w:t xml:space="preserve"> </w:t>
      </w:r>
      <w:r w:rsidR="00BB23E2">
        <w:rPr>
          <w:color w:val="000080"/>
          <w:szCs w:val="24"/>
        </w:rPr>
        <w:t xml:space="preserve"> </w:t>
      </w:r>
      <w:r w:rsidRPr="00D32F62">
        <w:rPr>
          <w:color w:val="auto"/>
          <w:szCs w:val="24"/>
        </w:rPr>
        <w:t>The Board recommends that the CI’s prior determination be modified as follows</w:t>
      </w:r>
      <w:r w:rsidRPr="00B427BB">
        <w:rPr>
          <w:color w:val="auto"/>
          <w:szCs w:val="24"/>
        </w:rPr>
        <w:t>, effective as of the date of his prior medical separation.</w:t>
      </w:r>
    </w:p>
    <w:p w:rsidR="00C56FC8" w:rsidRDefault="00C56FC8" w:rsidP="000452D7">
      <w:pPr>
        <w:tabs>
          <w:tab w:val="left" w:pos="288"/>
          <w:tab w:val="left" w:pos="4752"/>
        </w:tabs>
        <w:spacing w:line="240" w:lineRule="exact"/>
        <w:jc w:val="both"/>
        <w:rPr>
          <w:color w:val="auto"/>
          <w:szCs w:val="24"/>
        </w:rPr>
      </w:pPr>
    </w:p>
    <w:tbl>
      <w:tblPr>
        <w:tblW w:w="0" w:type="auto"/>
        <w:jc w:val="center"/>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0"/>
        <w:gridCol w:w="1765"/>
        <w:gridCol w:w="1546"/>
        <w:gridCol w:w="991"/>
      </w:tblGrid>
      <w:tr w:rsidR="00301FE8" w:rsidRPr="00301FE8" w:rsidTr="00450059">
        <w:trPr>
          <w:trHeight w:val="206"/>
          <w:jc w:val="center"/>
        </w:trPr>
        <w:tc>
          <w:tcPr>
            <w:tcW w:w="6775" w:type="dxa"/>
            <w:gridSpan w:val="2"/>
            <w:tcBorders>
              <w:right w:val="single" w:sz="4" w:space="0" w:color="auto"/>
            </w:tcBorders>
            <w:shd w:val="clear" w:color="auto" w:fill="D9D9D9"/>
            <w:vAlign w:val="center"/>
          </w:tcPr>
          <w:p w:rsidR="00301FE8" w:rsidRPr="00301FE8" w:rsidRDefault="00301FE8" w:rsidP="00301FE8">
            <w:pPr>
              <w:tabs>
                <w:tab w:val="left" w:pos="288"/>
                <w:tab w:val="left" w:pos="4752"/>
              </w:tabs>
              <w:spacing w:line="240" w:lineRule="exact"/>
              <w:jc w:val="both"/>
              <w:rPr>
                <w:b/>
                <w:color w:val="auto"/>
                <w:szCs w:val="24"/>
              </w:rPr>
            </w:pPr>
            <w:r w:rsidRPr="00301FE8">
              <w:rPr>
                <w:b/>
                <w:color w:val="auto"/>
                <w:szCs w:val="24"/>
              </w:rPr>
              <w:t>UNFITTING CONDITION</w:t>
            </w:r>
          </w:p>
        </w:tc>
        <w:tc>
          <w:tcPr>
            <w:tcW w:w="1546" w:type="dxa"/>
            <w:tcBorders>
              <w:left w:val="single" w:sz="4" w:space="0" w:color="auto"/>
            </w:tcBorders>
            <w:shd w:val="clear" w:color="auto" w:fill="D9D9D9"/>
            <w:vAlign w:val="center"/>
          </w:tcPr>
          <w:p w:rsidR="00301FE8" w:rsidRPr="00301FE8" w:rsidRDefault="00301FE8" w:rsidP="00301FE8">
            <w:pPr>
              <w:tabs>
                <w:tab w:val="left" w:pos="288"/>
                <w:tab w:val="left" w:pos="4752"/>
              </w:tabs>
              <w:spacing w:line="240" w:lineRule="exact"/>
              <w:jc w:val="both"/>
              <w:rPr>
                <w:b/>
                <w:color w:val="auto"/>
                <w:szCs w:val="24"/>
              </w:rPr>
            </w:pPr>
            <w:r w:rsidRPr="00301FE8">
              <w:rPr>
                <w:b/>
                <w:color w:val="auto"/>
                <w:szCs w:val="24"/>
              </w:rPr>
              <w:t>VASRD CODE</w:t>
            </w:r>
          </w:p>
        </w:tc>
        <w:tc>
          <w:tcPr>
            <w:tcW w:w="991" w:type="dxa"/>
            <w:shd w:val="clear" w:color="auto" w:fill="D9D9D9"/>
            <w:vAlign w:val="center"/>
          </w:tcPr>
          <w:p w:rsidR="00301FE8" w:rsidRPr="00301FE8" w:rsidRDefault="00301FE8" w:rsidP="00301FE8">
            <w:pPr>
              <w:tabs>
                <w:tab w:val="left" w:pos="288"/>
                <w:tab w:val="left" w:pos="4752"/>
              </w:tabs>
              <w:spacing w:line="240" w:lineRule="exact"/>
              <w:jc w:val="both"/>
              <w:rPr>
                <w:b/>
                <w:color w:val="auto"/>
                <w:szCs w:val="24"/>
              </w:rPr>
            </w:pPr>
            <w:r w:rsidRPr="00301FE8">
              <w:rPr>
                <w:b/>
                <w:color w:val="auto"/>
                <w:szCs w:val="24"/>
              </w:rPr>
              <w:t>RATING</w:t>
            </w:r>
          </w:p>
        </w:tc>
      </w:tr>
      <w:tr w:rsidR="00301FE8" w:rsidRPr="00301FE8" w:rsidTr="00450059">
        <w:trPr>
          <w:jc w:val="center"/>
        </w:trPr>
        <w:tc>
          <w:tcPr>
            <w:tcW w:w="6775" w:type="dxa"/>
            <w:gridSpan w:val="2"/>
            <w:tcBorders>
              <w:right w:val="single" w:sz="4" w:space="0" w:color="auto"/>
            </w:tcBorders>
          </w:tcPr>
          <w:p w:rsidR="00301FE8" w:rsidRPr="00BE2AB8" w:rsidRDefault="005B6000" w:rsidP="005B6000">
            <w:pPr>
              <w:tabs>
                <w:tab w:val="left" w:pos="288"/>
                <w:tab w:val="left" w:pos="4752"/>
              </w:tabs>
              <w:spacing w:line="240" w:lineRule="exact"/>
              <w:jc w:val="both"/>
              <w:rPr>
                <w:color w:val="auto"/>
                <w:szCs w:val="24"/>
              </w:rPr>
            </w:pPr>
            <w:proofErr w:type="spellStart"/>
            <w:r>
              <w:rPr>
                <w:color w:val="auto"/>
                <w:szCs w:val="24"/>
              </w:rPr>
              <w:t>Patellofemoral</w:t>
            </w:r>
            <w:proofErr w:type="spellEnd"/>
            <w:r>
              <w:rPr>
                <w:color w:val="auto"/>
                <w:szCs w:val="24"/>
              </w:rPr>
              <w:t xml:space="preserve"> Syndrome, </w:t>
            </w:r>
            <w:r w:rsidR="00301FE8">
              <w:rPr>
                <w:color w:val="auto"/>
                <w:szCs w:val="24"/>
              </w:rPr>
              <w:t>Left Knee</w:t>
            </w:r>
          </w:p>
        </w:tc>
        <w:tc>
          <w:tcPr>
            <w:tcW w:w="1546" w:type="dxa"/>
            <w:tcBorders>
              <w:left w:val="single" w:sz="4" w:space="0" w:color="auto"/>
            </w:tcBorders>
          </w:tcPr>
          <w:p w:rsidR="00301FE8" w:rsidRPr="00BE2AB8" w:rsidRDefault="00301FE8" w:rsidP="00931F0E">
            <w:pPr>
              <w:tabs>
                <w:tab w:val="left" w:pos="288"/>
                <w:tab w:val="left" w:pos="4752"/>
              </w:tabs>
              <w:spacing w:line="240" w:lineRule="exact"/>
              <w:jc w:val="center"/>
              <w:rPr>
                <w:color w:val="auto"/>
                <w:szCs w:val="24"/>
              </w:rPr>
            </w:pPr>
            <w:r>
              <w:rPr>
                <w:color w:val="auto"/>
                <w:szCs w:val="24"/>
              </w:rPr>
              <w:t>5299-5260</w:t>
            </w:r>
          </w:p>
        </w:tc>
        <w:tc>
          <w:tcPr>
            <w:tcW w:w="991" w:type="dxa"/>
          </w:tcPr>
          <w:p w:rsidR="00301FE8" w:rsidRPr="00BE2AB8" w:rsidRDefault="00301FE8" w:rsidP="00931F0E">
            <w:pPr>
              <w:tabs>
                <w:tab w:val="left" w:pos="288"/>
                <w:tab w:val="left" w:pos="4752"/>
              </w:tabs>
              <w:spacing w:line="240" w:lineRule="exact"/>
              <w:jc w:val="center"/>
              <w:rPr>
                <w:color w:val="auto"/>
                <w:szCs w:val="24"/>
              </w:rPr>
            </w:pPr>
            <w:r>
              <w:rPr>
                <w:color w:val="auto"/>
                <w:szCs w:val="24"/>
              </w:rPr>
              <w:t>1</w:t>
            </w:r>
            <w:r w:rsidRPr="00BE2AB8">
              <w:rPr>
                <w:color w:val="auto"/>
                <w:szCs w:val="24"/>
              </w:rPr>
              <w:t>0%</w:t>
            </w:r>
          </w:p>
        </w:tc>
      </w:tr>
      <w:tr w:rsidR="00301FE8" w:rsidRPr="00301FE8" w:rsidTr="00450059">
        <w:trPr>
          <w:jc w:val="center"/>
        </w:trPr>
        <w:tc>
          <w:tcPr>
            <w:tcW w:w="6775" w:type="dxa"/>
            <w:gridSpan w:val="2"/>
            <w:tcBorders>
              <w:right w:val="single" w:sz="4" w:space="0" w:color="auto"/>
            </w:tcBorders>
          </w:tcPr>
          <w:p w:rsidR="00301FE8" w:rsidRDefault="005B6000" w:rsidP="005B6000">
            <w:pPr>
              <w:tabs>
                <w:tab w:val="left" w:pos="288"/>
                <w:tab w:val="left" w:pos="4752"/>
              </w:tabs>
              <w:spacing w:line="240" w:lineRule="exact"/>
              <w:jc w:val="both"/>
              <w:rPr>
                <w:color w:val="auto"/>
                <w:szCs w:val="24"/>
              </w:rPr>
            </w:pPr>
            <w:proofErr w:type="spellStart"/>
            <w:r>
              <w:rPr>
                <w:color w:val="auto"/>
                <w:szCs w:val="24"/>
              </w:rPr>
              <w:t>Patellofemoral</w:t>
            </w:r>
            <w:proofErr w:type="spellEnd"/>
            <w:r>
              <w:rPr>
                <w:color w:val="auto"/>
                <w:szCs w:val="24"/>
              </w:rPr>
              <w:t xml:space="preserve"> Syndrome, </w:t>
            </w:r>
            <w:r w:rsidR="00301FE8">
              <w:rPr>
                <w:color w:val="auto"/>
                <w:szCs w:val="24"/>
              </w:rPr>
              <w:t>Right Knee</w:t>
            </w:r>
          </w:p>
        </w:tc>
        <w:tc>
          <w:tcPr>
            <w:tcW w:w="1546" w:type="dxa"/>
            <w:tcBorders>
              <w:left w:val="single" w:sz="4" w:space="0" w:color="auto"/>
            </w:tcBorders>
          </w:tcPr>
          <w:p w:rsidR="00301FE8" w:rsidRDefault="00301FE8" w:rsidP="00931F0E">
            <w:pPr>
              <w:tabs>
                <w:tab w:val="left" w:pos="288"/>
                <w:tab w:val="left" w:pos="4752"/>
              </w:tabs>
              <w:spacing w:line="240" w:lineRule="exact"/>
              <w:jc w:val="center"/>
              <w:rPr>
                <w:color w:val="auto"/>
                <w:szCs w:val="24"/>
              </w:rPr>
            </w:pPr>
            <w:r>
              <w:rPr>
                <w:color w:val="auto"/>
                <w:szCs w:val="24"/>
              </w:rPr>
              <w:t>5299-5260</w:t>
            </w:r>
          </w:p>
        </w:tc>
        <w:tc>
          <w:tcPr>
            <w:tcW w:w="991" w:type="dxa"/>
          </w:tcPr>
          <w:p w:rsidR="00301FE8" w:rsidRDefault="00301FE8" w:rsidP="00931F0E">
            <w:pPr>
              <w:tabs>
                <w:tab w:val="left" w:pos="288"/>
                <w:tab w:val="left" w:pos="4752"/>
              </w:tabs>
              <w:spacing w:line="240" w:lineRule="exact"/>
              <w:jc w:val="center"/>
              <w:rPr>
                <w:color w:val="auto"/>
                <w:szCs w:val="24"/>
              </w:rPr>
            </w:pPr>
            <w:r>
              <w:rPr>
                <w:color w:val="auto"/>
                <w:szCs w:val="24"/>
              </w:rPr>
              <w:t>10%</w:t>
            </w:r>
          </w:p>
        </w:tc>
      </w:tr>
      <w:tr w:rsidR="00301FE8" w:rsidRPr="00301FE8" w:rsidTr="00450059">
        <w:tblPrEx>
          <w:tblLook w:val="0000"/>
        </w:tblPrEx>
        <w:trPr>
          <w:gridBefore w:val="1"/>
          <w:wBefore w:w="5010" w:type="dxa"/>
          <w:trHeight w:val="143"/>
          <w:jc w:val="center"/>
        </w:trPr>
        <w:tc>
          <w:tcPr>
            <w:tcW w:w="3311" w:type="dxa"/>
            <w:gridSpan w:val="2"/>
            <w:tcBorders>
              <w:left w:val="single" w:sz="4" w:space="0" w:color="auto"/>
              <w:bottom w:val="single" w:sz="4" w:space="0" w:color="auto"/>
            </w:tcBorders>
            <w:shd w:val="clear" w:color="auto" w:fill="D9D9D9"/>
            <w:vAlign w:val="center"/>
          </w:tcPr>
          <w:p w:rsidR="00301FE8" w:rsidRPr="00301FE8" w:rsidRDefault="00301FE8" w:rsidP="00301FE8">
            <w:pPr>
              <w:tabs>
                <w:tab w:val="left" w:pos="288"/>
                <w:tab w:val="left" w:pos="4752"/>
              </w:tabs>
              <w:spacing w:line="240" w:lineRule="exact"/>
              <w:jc w:val="both"/>
              <w:rPr>
                <w:b/>
                <w:color w:val="auto"/>
                <w:szCs w:val="24"/>
              </w:rPr>
            </w:pPr>
            <w:r w:rsidRPr="00301FE8">
              <w:rPr>
                <w:b/>
                <w:color w:val="auto"/>
                <w:szCs w:val="24"/>
              </w:rPr>
              <w:t>COMBINED (Incorporating BLF)</w:t>
            </w:r>
          </w:p>
        </w:tc>
        <w:tc>
          <w:tcPr>
            <w:tcW w:w="991" w:type="dxa"/>
            <w:tcBorders>
              <w:bottom w:val="single" w:sz="4" w:space="0" w:color="000000"/>
            </w:tcBorders>
            <w:shd w:val="clear" w:color="auto" w:fill="D9D9D9"/>
            <w:vAlign w:val="center"/>
          </w:tcPr>
          <w:p w:rsidR="00301FE8" w:rsidRPr="00301FE8" w:rsidRDefault="00301FE8" w:rsidP="00301FE8">
            <w:pPr>
              <w:tabs>
                <w:tab w:val="left" w:pos="288"/>
                <w:tab w:val="left" w:pos="4752"/>
              </w:tabs>
              <w:spacing w:line="240" w:lineRule="exact"/>
              <w:jc w:val="center"/>
              <w:rPr>
                <w:b/>
                <w:color w:val="auto"/>
                <w:szCs w:val="24"/>
              </w:rPr>
            </w:pPr>
            <w:r>
              <w:rPr>
                <w:b/>
                <w:color w:val="auto"/>
                <w:szCs w:val="24"/>
              </w:rPr>
              <w:t>2</w:t>
            </w:r>
            <w:r w:rsidRPr="00301FE8">
              <w:rPr>
                <w:b/>
                <w:color w:val="auto"/>
                <w:szCs w:val="24"/>
              </w:rPr>
              <w:t>0%</w:t>
            </w:r>
          </w:p>
        </w:tc>
      </w:tr>
    </w:tbl>
    <w:p w:rsidR="00DF0EFC" w:rsidRDefault="00DF0EFC" w:rsidP="00DF0EFC">
      <w:pPr>
        <w:pBdr>
          <w:bottom w:val="single" w:sz="12" w:space="1" w:color="auto"/>
        </w:pBdr>
        <w:tabs>
          <w:tab w:val="left" w:pos="288"/>
          <w:tab w:val="left" w:pos="4752"/>
        </w:tabs>
        <w:spacing w:line="240" w:lineRule="exact"/>
        <w:jc w:val="both"/>
        <w:rPr>
          <w:color w:val="auto"/>
          <w:u w:val="single"/>
        </w:rPr>
      </w:pPr>
    </w:p>
    <w:p w:rsidR="00106AD8" w:rsidRPr="00CD5BD7" w:rsidRDefault="00106AD8" w:rsidP="000452D7">
      <w:pPr>
        <w:tabs>
          <w:tab w:val="left" w:pos="288"/>
          <w:tab w:val="left" w:pos="4752"/>
        </w:tabs>
        <w:spacing w:line="240" w:lineRule="exact"/>
        <w:rPr>
          <w:color w:val="000080"/>
          <w:szCs w:val="24"/>
        </w:rPr>
      </w:pPr>
    </w:p>
    <w:p w:rsidR="00450059" w:rsidRDefault="00450059">
      <w:pPr>
        <w:rPr>
          <w:color w:val="auto"/>
        </w:rPr>
      </w:pPr>
      <w:r>
        <w:rPr>
          <w:color w:val="auto"/>
        </w:rPr>
        <w:br w:type="page"/>
      </w:r>
    </w:p>
    <w:p w:rsidR="00D91DA6" w:rsidRPr="00006186" w:rsidRDefault="00FB1725" w:rsidP="000452D7">
      <w:pPr>
        <w:tabs>
          <w:tab w:val="left" w:pos="288"/>
          <w:tab w:val="left" w:pos="4752"/>
        </w:tabs>
        <w:spacing w:line="240" w:lineRule="exact"/>
        <w:jc w:val="both"/>
        <w:rPr>
          <w:color w:val="auto"/>
        </w:rPr>
      </w:pPr>
      <w:r>
        <w:rPr>
          <w:color w:val="auto"/>
        </w:rPr>
        <w:lastRenderedPageBreak/>
        <w:t>The following documentary evidence was considered:</w:t>
      </w:r>
    </w:p>
    <w:p w:rsidR="00EB5EFD" w:rsidRPr="00006186" w:rsidRDefault="00EB5EFD" w:rsidP="000452D7">
      <w:pPr>
        <w:tabs>
          <w:tab w:val="left" w:pos="288"/>
          <w:tab w:val="left" w:pos="4752"/>
        </w:tabs>
        <w:spacing w:line="240" w:lineRule="exact"/>
        <w:jc w:val="both"/>
        <w:rPr>
          <w:color w:val="auto"/>
        </w:rPr>
      </w:pPr>
    </w:p>
    <w:p w:rsidR="00114F20" w:rsidRPr="00006186" w:rsidRDefault="00FB1725" w:rsidP="000452D7">
      <w:pPr>
        <w:tabs>
          <w:tab w:val="left" w:pos="288"/>
          <w:tab w:val="left" w:pos="4752"/>
        </w:tabs>
        <w:spacing w:line="240" w:lineRule="exact"/>
        <w:jc w:val="both"/>
        <w:rPr>
          <w:color w:val="auto"/>
        </w:rPr>
      </w:pPr>
      <w:r>
        <w:rPr>
          <w:color w:val="auto"/>
        </w:rPr>
        <w:t xml:space="preserve">Exhibit A.  DD Form </w:t>
      </w:r>
      <w:proofErr w:type="gramStart"/>
      <w:r>
        <w:rPr>
          <w:color w:val="auto"/>
        </w:rPr>
        <w:t>294,</w:t>
      </w:r>
      <w:proofErr w:type="gramEnd"/>
      <w:r>
        <w:rPr>
          <w:color w:val="auto"/>
        </w:rPr>
        <w:t xml:space="preserve"> dated 20</w:t>
      </w:r>
      <w:r w:rsidR="00323D48">
        <w:rPr>
          <w:color w:val="auto"/>
        </w:rPr>
        <w:t>100618</w:t>
      </w:r>
      <w:r>
        <w:rPr>
          <w:color w:val="auto"/>
        </w:rPr>
        <w:t>, w/</w:t>
      </w:r>
      <w:proofErr w:type="spellStart"/>
      <w:r>
        <w:rPr>
          <w:color w:val="auto"/>
        </w:rPr>
        <w:t>atchs</w:t>
      </w:r>
      <w:proofErr w:type="spellEnd"/>
      <w:r>
        <w:rPr>
          <w:color w:val="auto"/>
        </w:rPr>
        <w:t>.</w:t>
      </w:r>
    </w:p>
    <w:p w:rsidR="00114F20" w:rsidRPr="00006186" w:rsidRDefault="00FB1725" w:rsidP="000452D7">
      <w:pPr>
        <w:tabs>
          <w:tab w:val="left" w:pos="288"/>
          <w:tab w:val="left" w:pos="4752"/>
        </w:tabs>
        <w:spacing w:line="240" w:lineRule="exact"/>
        <w:jc w:val="both"/>
        <w:rPr>
          <w:color w:val="auto"/>
        </w:rPr>
      </w:pPr>
      <w:r>
        <w:rPr>
          <w:color w:val="auto"/>
        </w:rPr>
        <w:t xml:space="preserve">Exhibit B.  </w:t>
      </w:r>
      <w:proofErr w:type="gramStart"/>
      <w:r>
        <w:rPr>
          <w:color w:val="auto"/>
        </w:rPr>
        <w:t>Service Treatment Record.</w:t>
      </w:r>
      <w:proofErr w:type="gramEnd"/>
    </w:p>
    <w:p w:rsidR="00114F20" w:rsidRPr="00006186" w:rsidRDefault="00FB1725" w:rsidP="000452D7">
      <w:pPr>
        <w:tabs>
          <w:tab w:val="left" w:pos="288"/>
          <w:tab w:val="left" w:pos="4752"/>
        </w:tabs>
        <w:spacing w:line="240" w:lineRule="exact"/>
        <w:jc w:val="both"/>
        <w:rPr>
          <w:color w:val="auto"/>
        </w:rPr>
      </w:pPr>
      <w:r>
        <w:rPr>
          <w:color w:val="auto"/>
        </w:rPr>
        <w:t xml:space="preserve">Exhibit C.  </w:t>
      </w:r>
      <w:proofErr w:type="gramStart"/>
      <w:r>
        <w:rPr>
          <w:color w:val="auto"/>
        </w:rPr>
        <w:t>Department of Veterans' Affairs Treatment Record.</w:t>
      </w:r>
      <w:proofErr w:type="gramEnd"/>
    </w:p>
    <w:p w:rsidR="00D91DA6" w:rsidRPr="00006186" w:rsidRDefault="00D91DA6" w:rsidP="000452D7">
      <w:pPr>
        <w:tabs>
          <w:tab w:val="left" w:pos="288"/>
          <w:tab w:val="left" w:pos="4752"/>
        </w:tabs>
        <w:spacing w:line="240" w:lineRule="exact"/>
        <w:jc w:val="both"/>
        <w:rPr>
          <w:color w:val="auto"/>
        </w:rPr>
      </w:pPr>
    </w:p>
    <w:p w:rsidR="00114F20" w:rsidRPr="00006186" w:rsidRDefault="00114F20" w:rsidP="000452D7">
      <w:pPr>
        <w:tabs>
          <w:tab w:val="left" w:pos="288"/>
          <w:tab w:val="left" w:pos="4752"/>
        </w:tabs>
        <w:spacing w:line="240" w:lineRule="exact"/>
        <w:jc w:val="both"/>
        <w:rPr>
          <w:color w:val="auto"/>
        </w:rPr>
      </w:pPr>
    </w:p>
    <w:p w:rsidR="00114F20" w:rsidRPr="00006186" w:rsidRDefault="00114F20" w:rsidP="000452D7">
      <w:pPr>
        <w:tabs>
          <w:tab w:val="left" w:pos="288"/>
          <w:tab w:val="left" w:pos="4752"/>
        </w:tabs>
        <w:spacing w:line="240" w:lineRule="exact"/>
        <w:jc w:val="both"/>
        <w:rPr>
          <w:color w:val="auto"/>
        </w:rPr>
      </w:pPr>
    </w:p>
    <w:p w:rsidR="00114F20" w:rsidRPr="00006186" w:rsidRDefault="00114F20" w:rsidP="000452D7">
      <w:pPr>
        <w:tabs>
          <w:tab w:val="left" w:pos="288"/>
          <w:tab w:val="left" w:pos="4752"/>
        </w:tabs>
        <w:spacing w:line="240" w:lineRule="exact"/>
        <w:jc w:val="both"/>
        <w:rPr>
          <w:color w:val="auto"/>
        </w:rPr>
      </w:pPr>
    </w:p>
    <w:p w:rsidR="00D91DA6" w:rsidRPr="00006186" w:rsidRDefault="00FB1725" w:rsidP="000452D7">
      <w:pPr>
        <w:tabs>
          <w:tab w:val="left" w:pos="0"/>
          <w:tab w:val="left" w:pos="4320"/>
        </w:tabs>
        <w:spacing w:line="240" w:lineRule="exact"/>
        <w:jc w:val="both"/>
        <w:rPr>
          <w:color w:val="auto"/>
        </w:rPr>
      </w:pPr>
      <w:r>
        <w:rPr>
          <w:color w:val="auto"/>
        </w:rPr>
        <w:t xml:space="preserve">                             </w:t>
      </w:r>
      <w:r w:rsidR="00FA21A8">
        <w:rPr>
          <w:color w:val="auto"/>
        </w:rPr>
        <w:t xml:space="preserve"> </w:t>
      </w:r>
    </w:p>
    <w:p w:rsidR="00D91DA6" w:rsidRPr="00006186" w:rsidRDefault="00FB1725" w:rsidP="000452D7">
      <w:pPr>
        <w:tabs>
          <w:tab w:val="left" w:pos="0"/>
          <w:tab w:val="left" w:pos="4320"/>
        </w:tabs>
        <w:spacing w:line="240" w:lineRule="exact"/>
        <w:jc w:val="both"/>
        <w:rPr>
          <w:color w:val="auto"/>
        </w:rPr>
      </w:pPr>
      <w:r>
        <w:rPr>
          <w:color w:val="auto"/>
        </w:rPr>
        <w:t xml:space="preserve">                             </w:t>
      </w:r>
      <w:r>
        <w:rPr>
          <w:color w:val="auto"/>
        </w:rPr>
        <w:tab/>
      </w:r>
      <w:r>
        <w:rPr>
          <w:color w:val="auto"/>
        </w:rPr>
        <w:tab/>
      </w:r>
      <w:r w:rsidR="00BB23E2">
        <w:rPr>
          <w:color w:val="auto"/>
        </w:rPr>
        <w:t>President</w:t>
      </w:r>
    </w:p>
    <w:p w:rsidR="00FA21A8" w:rsidRDefault="00FB1725" w:rsidP="000452D7">
      <w:pPr>
        <w:tabs>
          <w:tab w:val="left" w:pos="288"/>
          <w:tab w:val="left" w:pos="4320"/>
          <w:tab w:val="left" w:pos="4410"/>
          <w:tab w:val="left" w:pos="4770"/>
          <w:tab w:val="left" w:pos="4860"/>
          <w:tab w:val="left" w:pos="5040"/>
        </w:tabs>
        <w:spacing w:line="240" w:lineRule="exact"/>
        <w:jc w:val="both"/>
        <w:rPr>
          <w:color w:val="auto"/>
        </w:rPr>
      </w:pPr>
      <w:r>
        <w:rPr>
          <w:color w:val="auto"/>
        </w:rPr>
        <w:tab/>
        <w:t xml:space="preserve">                           </w:t>
      </w:r>
      <w:r>
        <w:rPr>
          <w:color w:val="auto"/>
        </w:rPr>
        <w:tab/>
      </w:r>
      <w:r>
        <w:rPr>
          <w:color w:val="auto"/>
        </w:rPr>
        <w:tab/>
      </w:r>
      <w:r>
        <w:rPr>
          <w:color w:val="auto"/>
        </w:rPr>
        <w:tab/>
      </w:r>
      <w:r>
        <w:rPr>
          <w:color w:val="auto"/>
        </w:rPr>
        <w:tab/>
      </w:r>
      <w:r>
        <w:rPr>
          <w:color w:val="auto"/>
        </w:rPr>
        <w:tab/>
        <w:t>Physical Disability Board of Review</w:t>
      </w:r>
    </w:p>
    <w:p w:rsidR="00FA21A8" w:rsidRDefault="00FA21A8">
      <w:pPr>
        <w:rPr>
          <w:color w:val="auto"/>
        </w:rPr>
      </w:pPr>
      <w:r>
        <w:rPr>
          <w:color w:val="auto"/>
        </w:rPr>
        <w:br w:type="page"/>
      </w:r>
    </w:p>
    <w:p w:rsidR="00FA21A8" w:rsidRPr="00FA21A8" w:rsidRDefault="00FA21A8" w:rsidP="00FA21A8">
      <w:pPr>
        <w:tabs>
          <w:tab w:val="left" w:pos="576"/>
        </w:tabs>
        <w:spacing w:line="240" w:lineRule="exact"/>
        <w:ind w:right="-1080"/>
        <w:rPr>
          <w:rFonts w:ascii="Times New Roman" w:hAnsi="Times New Roman"/>
          <w:color w:val="000080"/>
        </w:rPr>
      </w:pPr>
      <w:r w:rsidRPr="00FA21A8">
        <w:rPr>
          <w:rFonts w:ascii="Times New Roman" w:hAnsi="Times New Roman"/>
          <w:color w:val="000080"/>
        </w:rPr>
        <w:lastRenderedPageBreak/>
        <w:t>SAF/MRB</w:t>
      </w:r>
    </w:p>
    <w:p w:rsidR="00FA21A8" w:rsidRPr="00FA21A8" w:rsidRDefault="00FA21A8" w:rsidP="00FA21A8">
      <w:pPr>
        <w:tabs>
          <w:tab w:val="left" w:pos="576"/>
        </w:tabs>
        <w:spacing w:line="240" w:lineRule="exact"/>
        <w:ind w:right="-1080"/>
        <w:rPr>
          <w:rFonts w:ascii="Times New Roman" w:hAnsi="Times New Roman"/>
          <w:color w:val="000080"/>
        </w:rPr>
      </w:pPr>
      <w:r w:rsidRPr="00FA21A8">
        <w:rPr>
          <w:rFonts w:ascii="Times New Roman" w:hAnsi="Times New Roman"/>
          <w:color w:val="000080"/>
        </w:rPr>
        <w:t>1500 West Perimeter Road, Suite 3700</w:t>
      </w:r>
    </w:p>
    <w:p w:rsidR="00FA21A8" w:rsidRPr="00FA21A8" w:rsidRDefault="00FA21A8" w:rsidP="00FA21A8">
      <w:pPr>
        <w:tabs>
          <w:tab w:val="left" w:pos="576"/>
        </w:tabs>
        <w:spacing w:line="240" w:lineRule="exact"/>
        <w:ind w:right="-1080"/>
        <w:rPr>
          <w:rFonts w:ascii="Times New Roman" w:hAnsi="Times New Roman"/>
          <w:color w:val="000080"/>
        </w:rPr>
      </w:pPr>
      <w:r w:rsidRPr="00FA21A8">
        <w:rPr>
          <w:rFonts w:ascii="Times New Roman" w:hAnsi="Times New Roman"/>
          <w:color w:val="000080"/>
        </w:rPr>
        <w:t>Joint Base Andrews MD  20762</w:t>
      </w:r>
    </w:p>
    <w:p w:rsidR="00FA21A8" w:rsidRPr="00FA21A8" w:rsidRDefault="00FA21A8" w:rsidP="00FA21A8">
      <w:pPr>
        <w:tabs>
          <w:tab w:val="left" w:pos="576"/>
        </w:tabs>
        <w:spacing w:line="240" w:lineRule="exact"/>
        <w:ind w:right="-1080"/>
        <w:rPr>
          <w:rFonts w:ascii="Times New Roman" w:hAnsi="Times New Roman"/>
          <w:color w:val="000080"/>
        </w:rPr>
      </w:pPr>
    </w:p>
    <w:p w:rsidR="00FA21A8" w:rsidRPr="00FA21A8" w:rsidRDefault="00FA21A8" w:rsidP="00FA21A8">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FA21A8" w:rsidRPr="00FA21A8" w:rsidRDefault="00FA21A8" w:rsidP="00FA21A8">
      <w:pPr>
        <w:tabs>
          <w:tab w:val="left" w:pos="720"/>
        </w:tabs>
        <w:spacing w:line="240" w:lineRule="exact"/>
        <w:ind w:right="-1080"/>
        <w:rPr>
          <w:rFonts w:ascii="Times New Roman" w:hAnsi="Times New Roman"/>
          <w:color w:val="000080"/>
          <w:sz w:val="20"/>
        </w:rPr>
      </w:pPr>
    </w:p>
    <w:p w:rsidR="00FA21A8" w:rsidRPr="00FA21A8" w:rsidRDefault="00FA21A8" w:rsidP="00FA21A8">
      <w:pPr>
        <w:tabs>
          <w:tab w:val="left" w:pos="720"/>
        </w:tabs>
        <w:spacing w:line="240" w:lineRule="exact"/>
        <w:ind w:right="-360"/>
        <w:rPr>
          <w:rFonts w:ascii="Times New Roman" w:hAnsi="Times New Roman"/>
          <w:color w:val="000080"/>
        </w:rPr>
      </w:pPr>
      <w:r w:rsidRPr="00FA21A8">
        <w:rPr>
          <w:rFonts w:ascii="Times New Roman" w:hAnsi="Times New Roman"/>
          <w:color w:val="000080"/>
        </w:rPr>
        <w:tab/>
        <w:t xml:space="preserve">Reference your application submitted under the provisions of </w:t>
      </w:r>
      <w:proofErr w:type="spellStart"/>
      <w:r w:rsidRPr="00FA21A8">
        <w:rPr>
          <w:rFonts w:ascii="Times New Roman" w:hAnsi="Times New Roman"/>
          <w:color w:val="000080"/>
        </w:rPr>
        <w:t>DoDI</w:t>
      </w:r>
      <w:proofErr w:type="spellEnd"/>
      <w:r w:rsidRPr="00FA21A8">
        <w:rPr>
          <w:rFonts w:ascii="Times New Roman" w:hAnsi="Times New Roman"/>
          <w:color w:val="000080"/>
        </w:rPr>
        <w:t xml:space="preserve"> 6040.44 (Section 1554, 10 USC), PDBR Case Number PD-2010-00723.</w:t>
      </w:r>
    </w:p>
    <w:p w:rsidR="00FA21A8" w:rsidRPr="00FA21A8" w:rsidRDefault="00FA21A8" w:rsidP="00FA21A8">
      <w:pPr>
        <w:tabs>
          <w:tab w:val="left" w:pos="720"/>
        </w:tabs>
        <w:spacing w:line="240" w:lineRule="exact"/>
        <w:ind w:right="-1080"/>
        <w:rPr>
          <w:rFonts w:ascii="Times New Roman" w:hAnsi="Times New Roman"/>
          <w:color w:val="000080"/>
        </w:rPr>
      </w:pPr>
    </w:p>
    <w:p w:rsidR="00FA21A8" w:rsidRPr="00FA21A8" w:rsidRDefault="00FA21A8" w:rsidP="00FA21A8">
      <w:pPr>
        <w:tabs>
          <w:tab w:val="left" w:pos="720"/>
        </w:tabs>
        <w:spacing w:line="240" w:lineRule="exact"/>
        <w:ind w:right="-360"/>
        <w:rPr>
          <w:rFonts w:ascii="Times New Roman" w:hAnsi="Times New Roman"/>
          <w:color w:val="000080"/>
        </w:rPr>
      </w:pPr>
      <w:r w:rsidRPr="00FA21A8">
        <w:rPr>
          <w:rFonts w:ascii="Times New Roman" w:hAnsi="Times New Roman"/>
          <w:color w:val="000080"/>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FA21A8" w:rsidRPr="00FA21A8" w:rsidRDefault="00FA21A8" w:rsidP="00FA21A8">
      <w:pPr>
        <w:tabs>
          <w:tab w:val="left" w:pos="720"/>
        </w:tabs>
        <w:spacing w:line="240" w:lineRule="exact"/>
        <w:ind w:right="-1080"/>
        <w:rPr>
          <w:rFonts w:ascii="Times New Roman" w:hAnsi="Times New Roman"/>
          <w:color w:val="000080"/>
        </w:rPr>
      </w:pPr>
    </w:p>
    <w:p w:rsidR="00FA21A8" w:rsidRPr="00FA21A8" w:rsidRDefault="00FA21A8" w:rsidP="00FA21A8">
      <w:pPr>
        <w:tabs>
          <w:tab w:val="left" w:pos="720"/>
        </w:tabs>
        <w:spacing w:line="240" w:lineRule="exact"/>
        <w:rPr>
          <w:rFonts w:ascii="Times New Roman" w:hAnsi="Times New Roman"/>
          <w:color w:val="000080"/>
        </w:rPr>
      </w:pPr>
      <w:r w:rsidRPr="00FA21A8">
        <w:rPr>
          <w:rFonts w:ascii="Times New Roman" w:hAnsi="Times New Roman"/>
          <w:color w:val="000080"/>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FA21A8" w:rsidRPr="00FA21A8" w:rsidRDefault="00FA21A8" w:rsidP="00FA21A8">
      <w:pPr>
        <w:tabs>
          <w:tab w:val="left" w:pos="720"/>
        </w:tabs>
        <w:spacing w:line="240" w:lineRule="exact"/>
        <w:rPr>
          <w:rFonts w:ascii="Times New Roman" w:hAnsi="Times New Roman"/>
          <w:color w:val="000080"/>
        </w:rPr>
      </w:pPr>
    </w:p>
    <w:p w:rsidR="00FA21A8" w:rsidRPr="00FA21A8" w:rsidRDefault="00FA21A8" w:rsidP="00FA21A8">
      <w:pPr>
        <w:tabs>
          <w:tab w:val="left" w:pos="720"/>
        </w:tabs>
        <w:spacing w:line="240" w:lineRule="exact"/>
        <w:ind w:right="-360"/>
        <w:rPr>
          <w:rFonts w:ascii="Times New Roman" w:hAnsi="Times New Roman"/>
          <w:color w:val="000080"/>
        </w:rPr>
      </w:pPr>
      <w:r w:rsidRPr="00FA21A8">
        <w:rPr>
          <w:rFonts w:ascii="Times New Roman" w:hAnsi="Times New Roman"/>
          <w:color w:val="000080"/>
        </w:rPr>
        <w:tab/>
      </w:r>
      <w:r w:rsidRPr="00FA21A8">
        <w:rPr>
          <w:rFonts w:ascii="Times New Roman" w:hAnsi="Times New Roman"/>
          <w:color w:val="000080"/>
        </w:rPr>
        <w:tab/>
      </w:r>
      <w:r w:rsidRPr="00FA21A8">
        <w:rPr>
          <w:rFonts w:ascii="Times New Roman" w:hAnsi="Times New Roman"/>
          <w:color w:val="000080"/>
        </w:rPr>
        <w:tab/>
      </w:r>
      <w:r w:rsidRPr="00FA21A8">
        <w:rPr>
          <w:rFonts w:ascii="Times New Roman" w:hAnsi="Times New Roman"/>
          <w:color w:val="000080"/>
        </w:rPr>
        <w:tab/>
      </w:r>
      <w:r w:rsidRPr="00FA21A8">
        <w:rPr>
          <w:rFonts w:ascii="Times New Roman" w:hAnsi="Times New Roman"/>
          <w:color w:val="000080"/>
        </w:rPr>
        <w:tab/>
      </w:r>
      <w:r w:rsidRPr="00FA21A8">
        <w:rPr>
          <w:rFonts w:ascii="Times New Roman" w:hAnsi="Times New Roman"/>
          <w:color w:val="000080"/>
        </w:rPr>
        <w:tab/>
      </w:r>
      <w:r w:rsidRPr="00FA21A8">
        <w:rPr>
          <w:rFonts w:ascii="Times New Roman" w:hAnsi="Times New Roman"/>
          <w:color w:val="000080"/>
        </w:rPr>
        <w:tab/>
        <w:t>Sincerely,</w:t>
      </w:r>
    </w:p>
    <w:p w:rsidR="00FA21A8" w:rsidRPr="00FA21A8" w:rsidRDefault="00FA21A8" w:rsidP="00FA21A8">
      <w:pPr>
        <w:tabs>
          <w:tab w:val="left" w:pos="720"/>
        </w:tabs>
        <w:spacing w:line="240" w:lineRule="exact"/>
        <w:ind w:right="-360"/>
        <w:rPr>
          <w:rFonts w:ascii="Times New Roman" w:hAnsi="Times New Roman"/>
          <w:color w:val="000080"/>
        </w:rPr>
      </w:pPr>
    </w:p>
    <w:p w:rsidR="00FA21A8" w:rsidRPr="00FA21A8" w:rsidRDefault="00FA21A8" w:rsidP="00FA21A8">
      <w:pPr>
        <w:tabs>
          <w:tab w:val="left" w:pos="720"/>
        </w:tabs>
        <w:spacing w:line="240" w:lineRule="exact"/>
        <w:ind w:right="-1080"/>
        <w:rPr>
          <w:rFonts w:ascii="Times New Roman" w:hAnsi="Times New Roman"/>
          <w:color w:val="000080"/>
        </w:rPr>
      </w:pPr>
    </w:p>
    <w:p w:rsidR="00FA21A8" w:rsidRPr="00FA21A8" w:rsidRDefault="00FA21A8" w:rsidP="00FA21A8">
      <w:pPr>
        <w:tabs>
          <w:tab w:val="left" w:pos="720"/>
        </w:tabs>
        <w:spacing w:line="240" w:lineRule="exact"/>
        <w:ind w:right="-1080"/>
        <w:rPr>
          <w:rFonts w:ascii="Times New Roman" w:hAnsi="Times New Roman"/>
          <w:color w:val="000080"/>
        </w:rPr>
      </w:pPr>
    </w:p>
    <w:p w:rsidR="00FA21A8" w:rsidRPr="00FA21A8" w:rsidRDefault="00FA21A8" w:rsidP="00FA21A8">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FA21A8" w:rsidRPr="00FA21A8" w:rsidRDefault="00FA21A8" w:rsidP="00FA21A8">
      <w:pPr>
        <w:tabs>
          <w:tab w:val="left" w:pos="720"/>
        </w:tabs>
        <w:spacing w:line="240" w:lineRule="exact"/>
        <w:ind w:left="5040" w:right="-1080"/>
        <w:rPr>
          <w:rFonts w:ascii="Times New Roman" w:hAnsi="Times New Roman"/>
          <w:color w:val="000080"/>
        </w:rPr>
      </w:pPr>
      <w:r w:rsidRPr="00FA21A8">
        <w:rPr>
          <w:rFonts w:ascii="Times New Roman" w:hAnsi="Times New Roman"/>
          <w:color w:val="000080"/>
        </w:rPr>
        <w:t>Director</w:t>
      </w:r>
    </w:p>
    <w:p w:rsidR="00FA21A8" w:rsidRPr="00FA21A8" w:rsidRDefault="00FA21A8" w:rsidP="00FA21A8">
      <w:pPr>
        <w:tabs>
          <w:tab w:val="left" w:pos="720"/>
        </w:tabs>
        <w:spacing w:line="240" w:lineRule="exact"/>
        <w:ind w:left="5040" w:right="-1080"/>
        <w:rPr>
          <w:rFonts w:ascii="Times New Roman" w:hAnsi="Times New Roman"/>
          <w:color w:val="000080"/>
        </w:rPr>
      </w:pPr>
      <w:r w:rsidRPr="00FA21A8">
        <w:rPr>
          <w:rFonts w:ascii="Times New Roman" w:hAnsi="Times New Roman"/>
          <w:color w:val="000080"/>
        </w:rPr>
        <w:t>Air Force Review Boards Agency</w:t>
      </w:r>
    </w:p>
    <w:p w:rsidR="00FA21A8" w:rsidRPr="00FA21A8" w:rsidRDefault="00FA21A8" w:rsidP="00FA21A8">
      <w:pPr>
        <w:tabs>
          <w:tab w:val="left" w:pos="720"/>
        </w:tabs>
        <w:spacing w:line="240" w:lineRule="exact"/>
        <w:ind w:right="-1080"/>
        <w:rPr>
          <w:rFonts w:ascii="Times New Roman" w:hAnsi="Times New Roman"/>
          <w:color w:val="000080"/>
        </w:rPr>
      </w:pPr>
    </w:p>
    <w:p w:rsidR="00FA21A8" w:rsidRPr="00FA21A8" w:rsidRDefault="00FA21A8" w:rsidP="00FA21A8">
      <w:pPr>
        <w:tabs>
          <w:tab w:val="left" w:pos="720"/>
        </w:tabs>
        <w:spacing w:line="240" w:lineRule="exact"/>
        <w:ind w:right="-1080"/>
        <w:rPr>
          <w:rFonts w:ascii="Times New Roman" w:hAnsi="Times New Roman"/>
          <w:color w:val="000080"/>
        </w:rPr>
      </w:pPr>
      <w:r w:rsidRPr="00FA21A8">
        <w:rPr>
          <w:rFonts w:ascii="Times New Roman" w:hAnsi="Times New Roman"/>
          <w:color w:val="000080"/>
        </w:rPr>
        <w:t>Attachments:</w:t>
      </w:r>
    </w:p>
    <w:p w:rsidR="00FA21A8" w:rsidRPr="00FA21A8" w:rsidRDefault="00FA21A8" w:rsidP="00FA21A8">
      <w:pPr>
        <w:tabs>
          <w:tab w:val="left" w:pos="720"/>
        </w:tabs>
        <w:spacing w:line="240" w:lineRule="exact"/>
        <w:ind w:right="-1080"/>
        <w:rPr>
          <w:rFonts w:ascii="Times New Roman" w:hAnsi="Times New Roman"/>
          <w:color w:val="000080"/>
        </w:rPr>
      </w:pPr>
      <w:r w:rsidRPr="00FA21A8">
        <w:rPr>
          <w:rFonts w:ascii="Times New Roman" w:hAnsi="Times New Roman"/>
          <w:color w:val="000080"/>
        </w:rPr>
        <w:t>1.  Directive</w:t>
      </w:r>
    </w:p>
    <w:p w:rsidR="00FA21A8" w:rsidRPr="00FA21A8" w:rsidRDefault="00FA21A8" w:rsidP="00FA21A8">
      <w:pPr>
        <w:tabs>
          <w:tab w:val="left" w:pos="720"/>
        </w:tabs>
        <w:spacing w:line="240" w:lineRule="exact"/>
        <w:ind w:right="-1080"/>
        <w:rPr>
          <w:rFonts w:ascii="Times New Roman" w:hAnsi="Times New Roman"/>
          <w:color w:val="000080"/>
        </w:rPr>
      </w:pPr>
      <w:r w:rsidRPr="00FA21A8">
        <w:rPr>
          <w:rFonts w:ascii="Times New Roman" w:hAnsi="Times New Roman"/>
          <w:color w:val="000080"/>
        </w:rPr>
        <w:t>2.  Record of Proceedings</w:t>
      </w:r>
    </w:p>
    <w:p w:rsidR="00FA21A8" w:rsidRPr="00FA21A8" w:rsidRDefault="00FA21A8" w:rsidP="00FA21A8">
      <w:pPr>
        <w:tabs>
          <w:tab w:val="left" w:pos="720"/>
        </w:tabs>
        <w:spacing w:line="240" w:lineRule="exact"/>
        <w:ind w:right="-1080"/>
        <w:rPr>
          <w:rFonts w:ascii="Times New Roman" w:hAnsi="Times New Roman"/>
          <w:color w:val="000080"/>
        </w:rPr>
      </w:pPr>
    </w:p>
    <w:p w:rsidR="00FA21A8" w:rsidRPr="00FA21A8" w:rsidRDefault="00FA21A8" w:rsidP="00FA21A8">
      <w:pPr>
        <w:tabs>
          <w:tab w:val="left" w:pos="720"/>
        </w:tabs>
        <w:spacing w:line="240" w:lineRule="exact"/>
        <w:ind w:right="-1080"/>
        <w:rPr>
          <w:rFonts w:ascii="Times New Roman" w:hAnsi="Times New Roman"/>
          <w:color w:val="000080"/>
        </w:rPr>
      </w:pPr>
      <w:r w:rsidRPr="00FA21A8">
        <w:rPr>
          <w:rFonts w:ascii="Times New Roman" w:hAnsi="Times New Roman"/>
          <w:color w:val="000080"/>
        </w:rPr>
        <w:t>cc:</w:t>
      </w:r>
    </w:p>
    <w:p w:rsidR="00FA21A8" w:rsidRPr="00FA21A8" w:rsidRDefault="00FA21A8" w:rsidP="00FA21A8">
      <w:pPr>
        <w:tabs>
          <w:tab w:val="left" w:pos="720"/>
        </w:tabs>
        <w:spacing w:line="240" w:lineRule="exact"/>
        <w:ind w:right="-1080"/>
        <w:rPr>
          <w:rFonts w:ascii="Times New Roman" w:hAnsi="Times New Roman"/>
          <w:color w:val="000080"/>
        </w:rPr>
      </w:pPr>
      <w:r w:rsidRPr="00FA21A8">
        <w:rPr>
          <w:rFonts w:ascii="Times New Roman" w:hAnsi="Times New Roman"/>
          <w:color w:val="000080"/>
        </w:rPr>
        <w:t>SAF/MRBR</w:t>
      </w:r>
    </w:p>
    <w:p w:rsidR="00FA21A8" w:rsidRDefault="00FA21A8" w:rsidP="00FA21A8">
      <w:pPr>
        <w:tabs>
          <w:tab w:val="left" w:pos="720"/>
        </w:tabs>
        <w:spacing w:line="240" w:lineRule="exact"/>
        <w:ind w:right="-1080"/>
        <w:rPr>
          <w:rFonts w:ascii="Times New Roman" w:hAnsi="Times New Roman"/>
          <w:color w:val="000080"/>
        </w:rPr>
      </w:pPr>
      <w:r w:rsidRPr="00FA21A8">
        <w:rPr>
          <w:rFonts w:ascii="Times New Roman" w:hAnsi="Times New Roman"/>
          <w:color w:val="000080"/>
        </w:rPr>
        <w:t>DFAS-IN</w:t>
      </w:r>
    </w:p>
    <w:p w:rsidR="00FA21A8" w:rsidRDefault="00FA21A8">
      <w:pPr>
        <w:rPr>
          <w:rFonts w:ascii="Times New Roman" w:hAnsi="Times New Roman"/>
          <w:color w:val="000080"/>
        </w:rPr>
      </w:pPr>
      <w:r>
        <w:rPr>
          <w:rFonts w:ascii="Times New Roman" w:hAnsi="Times New Roman"/>
          <w:color w:val="000080"/>
        </w:rPr>
        <w:br w:type="page"/>
      </w:r>
    </w:p>
    <w:p w:rsidR="00FA21A8" w:rsidRPr="00FA21A8" w:rsidRDefault="00FA21A8" w:rsidP="00FA21A8">
      <w:pPr>
        <w:tabs>
          <w:tab w:val="left" w:pos="720"/>
        </w:tabs>
        <w:spacing w:line="240" w:lineRule="exact"/>
        <w:ind w:right="-360"/>
        <w:outlineLvl w:val="0"/>
        <w:rPr>
          <w:rFonts w:ascii="Times New Roman" w:hAnsi="Times New Roman"/>
          <w:color w:val="000080"/>
        </w:rPr>
      </w:pPr>
      <w:r w:rsidRPr="00FA21A8">
        <w:rPr>
          <w:rFonts w:ascii="Times New Roman" w:hAnsi="Times New Roman"/>
          <w:color w:val="000080"/>
        </w:rPr>
        <w:lastRenderedPageBreak/>
        <w:t>PDBR PD-2010-00723</w:t>
      </w:r>
    </w:p>
    <w:p w:rsidR="00FA21A8" w:rsidRPr="00FA21A8" w:rsidRDefault="00FA21A8" w:rsidP="00FA21A8">
      <w:pPr>
        <w:tabs>
          <w:tab w:val="left" w:pos="720"/>
        </w:tabs>
        <w:spacing w:line="240" w:lineRule="exact"/>
        <w:ind w:right="-360"/>
        <w:rPr>
          <w:rFonts w:ascii="Times New Roman" w:hAnsi="Times New Roman"/>
          <w:color w:val="000080"/>
        </w:rPr>
      </w:pPr>
    </w:p>
    <w:p w:rsidR="00FA21A8" w:rsidRPr="00FA21A8" w:rsidRDefault="00FA21A8" w:rsidP="00FA21A8">
      <w:pPr>
        <w:tabs>
          <w:tab w:val="left" w:pos="720"/>
        </w:tabs>
        <w:spacing w:line="240" w:lineRule="exact"/>
        <w:ind w:right="-360"/>
        <w:rPr>
          <w:rFonts w:ascii="Times New Roman" w:hAnsi="Times New Roman"/>
          <w:color w:val="000080"/>
        </w:rPr>
      </w:pPr>
    </w:p>
    <w:p w:rsidR="00FA21A8" w:rsidRPr="00FA21A8" w:rsidRDefault="00FA21A8" w:rsidP="00FA21A8">
      <w:pPr>
        <w:tabs>
          <w:tab w:val="left" w:pos="720"/>
        </w:tabs>
        <w:spacing w:line="240" w:lineRule="exact"/>
        <w:ind w:right="-360"/>
        <w:rPr>
          <w:rFonts w:ascii="Times New Roman" w:hAnsi="Times New Roman"/>
          <w:color w:val="000080"/>
        </w:rPr>
      </w:pPr>
    </w:p>
    <w:p w:rsidR="00FA21A8" w:rsidRPr="00FA21A8" w:rsidRDefault="00FA21A8" w:rsidP="00FA21A8">
      <w:pPr>
        <w:tabs>
          <w:tab w:val="left" w:pos="720"/>
        </w:tabs>
        <w:spacing w:line="240" w:lineRule="exact"/>
        <w:ind w:right="-360"/>
        <w:rPr>
          <w:rFonts w:ascii="Times New Roman" w:hAnsi="Times New Roman"/>
          <w:color w:val="000080"/>
        </w:rPr>
      </w:pPr>
    </w:p>
    <w:p w:rsidR="00FA21A8" w:rsidRPr="00FA21A8" w:rsidRDefault="00FA21A8" w:rsidP="00FA21A8">
      <w:pPr>
        <w:tabs>
          <w:tab w:val="left" w:pos="720"/>
        </w:tabs>
        <w:spacing w:line="240" w:lineRule="exact"/>
        <w:ind w:right="-360"/>
        <w:outlineLvl w:val="0"/>
        <w:rPr>
          <w:rFonts w:ascii="Times New Roman" w:hAnsi="Times New Roman"/>
          <w:color w:val="000080"/>
        </w:rPr>
      </w:pPr>
      <w:r w:rsidRPr="00FA21A8">
        <w:rPr>
          <w:rFonts w:ascii="Times New Roman" w:hAnsi="Times New Roman"/>
          <w:color w:val="000080"/>
        </w:rPr>
        <w:t>MEMORANDUM FOR THE CHIEF OF STAFF</w:t>
      </w:r>
    </w:p>
    <w:p w:rsidR="00FA21A8" w:rsidRPr="00FA21A8" w:rsidRDefault="00FA21A8" w:rsidP="00FA21A8">
      <w:pPr>
        <w:tabs>
          <w:tab w:val="left" w:pos="720"/>
        </w:tabs>
        <w:spacing w:line="240" w:lineRule="exact"/>
        <w:ind w:right="-360"/>
        <w:rPr>
          <w:rFonts w:ascii="Times New Roman" w:hAnsi="Times New Roman"/>
          <w:color w:val="000080"/>
        </w:rPr>
      </w:pPr>
    </w:p>
    <w:p w:rsidR="00FA21A8" w:rsidRPr="00FA21A8" w:rsidRDefault="00FA21A8" w:rsidP="00FA21A8">
      <w:pPr>
        <w:tabs>
          <w:tab w:val="left" w:pos="720"/>
        </w:tabs>
        <w:spacing w:line="240" w:lineRule="exact"/>
        <w:ind w:right="-360"/>
        <w:rPr>
          <w:rFonts w:ascii="Times New Roman" w:hAnsi="Times New Roman"/>
          <w:color w:val="000080"/>
        </w:rPr>
      </w:pPr>
      <w:r w:rsidRPr="00FA21A8">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FA21A8" w:rsidRPr="00FA21A8" w:rsidRDefault="00FA21A8" w:rsidP="00FA21A8">
      <w:pPr>
        <w:tabs>
          <w:tab w:val="left" w:pos="720"/>
        </w:tabs>
        <w:spacing w:line="240" w:lineRule="exact"/>
        <w:ind w:right="-360"/>
        <w:rPr>
          <w:rFonts w:ascii="Times New Roman" w:hAnsi="Times New Roman"/>
          <w:color w:val="000080"/>
        </w:rPr>
      </w:pPr>
    </w:p>
    <w:p w:rsidR="00FA21A8" w:rsidRPr="00FA21A8" w:rsidRDefault="00FA21A8" w:rsidP="00FA21A8">
      <w:pPr>
        <w:tabs>
          <w:tab w:val="left" w:pos="720"/>
        </w:tabs>
        <w:spacing w:line="240" w:lineRule="exact"/>
        <w:ind w:right="-360"/>
        <w:rPr>
          <w:rFonts w:ascii="Times New Roman" w:hAnsi="Times New Roman"/>
          <w:color w:val="000080"/>
        </w:rPr>
      </w:pPr>
      <w:r w:rsidRPr="00FA21A8">
        <w:rPr>
          <w:rFonts w:ascii="Times New Roman" w:hAnsi="Times New Roman"/>
          <w:color w:val="000080"/>
        </w:rPr>
        <w:tab/>
        <w:t xml:space="preserve">The pertinent military records of the Department of the Air Force relating </w:t>
      </w:r>
      <w:r>
        <w:rPr>
          <w:rFonts w:ascii="Times New Roman" w:hAnsi="Times New Roman"/>
          <w:color w:val="000080"/>
        </w:rPr>
        <w:t>xxxxxxxxxxxxxx</w:t>
      </w:r>
      <w:r w:rsidRPr="00FA21A8">
        <w:rPr>
          <w:rFonts w:ascii="Times New Roman" w:hAnsi="Times New Roman"/>
          <w:color w:val="000080"/>
        </w:rPr>
        <w:t xml:space="preserve"> be corrected to show that the diagnosis in his finding of unfitness was </w:t>
      </w:r>
      <w:proofErr w:type="spellStart"/>
      <w:r w:rsidRPr="00FA21A8">
        <w:rPr>
          <w:rFonts w:ascii="Times New Roman" w:hAnsi="Times New Roman"/>
          <w:color w:val="000080"/>
        </w:rPr>
        <w:t>Patellofemoral</w:t>
      </w:r>
      <w:proofErr w:type="spellEnd"/>
      <w:r w:rsidRPr="00FA21A8">
        <w:rPr>
          <w:rFonts w:ascii="Times New Roman" w:hAnsi="Times New Roman"/>
          <w:color w:val="000080"/>
        </w:rPr>
        <w:t xml:space="preserve"> Syndrome, Left Knee, VASRD Code 5299-5260, rated at 10%; and </w:t>
      </w:r>
      <w:proofErr w:type="spellStart"/>
      <w:r w:rsidRPr="00FA21A8">
        <w:rPr>
          <w:rFonts w:ascii="Times New Roman" w:hAnsi="Times New Roman"/>
          <w:color w:val="000080"/>
        </w:rPr>
        <w:t>Patellofemoral</w:t>
      </w:r>
      <w:proofErr w:type="spellEnd"/>
      <w:r w:rsidRPr="00FA21A8">
        <w:rPr>
          <w:rFonts w:ascii="Times New Roman" w:hAnsi="Times New Roman"/>
          <w:color w:val="000080"/>
        </w:rPr>
        <w:t xml:space="preserve"> Syndrome, Right Knee, VASRD Code 5299-5260, rated at 10%; with a combined disability rating of 20%; rather than Bilateral Knee Pain, VASRD Code 5099-5003, rated at 10%.</w:t>
      </w:r>
    </w:p>
    <w:p w:rsidR="00FA21A8" w:rsidRPr="00FA21A8" w:rsidRDefault="00FA21A8" w:rsidP="00FA21A8">
      <w:pPr>
        <w:tabs>
          <w:tab w:val="left" w:pos="720"/>
        </w:tabs>
        <w:spacing w:line="240" w:lineRule="exact"/>
        <w:ind w:right="-360"/>
        <w:rPr>
          <w:rFonts w:ascii="Times New Roman" w:hAnsi="Times New Roman"/>
          <w:color w:val="000080"/>
        </w:rPr>
      </w:pPr>
    </w:p>
    <w:p w:rsidR="00FA21A8" w:rsidRPr="00FA21A8" w:rsidRDefault="00FA21A8" w:rsidP="00FA21A8">
      <w:pPr>
        <w:tabs>
          <w:tab w:val="left" w:pos="720"/>
        </w:tabs>
        <w:spacing w:line="240" w:lineRule="exact"/>
        <w:ind w:right="-360"/>
        <w:rPr>
          <w:rFonts w:ascii="Times New Roman" w:hAnsi="Times New Roman"/>
          <w:color w:val="000080"/>
        </w:rPr>
      </w:pPr>
    </w:p>
    <w:p w:rsidR="00FA21A8" w:rsidRPr="00FA21A8" w:rsidRDefault="00FA21A8" w:rsidP="00FA21A8">
      <w:pPr>
        <w:tabs>
          <w:tab w:val="left" w:pos="720"/>
        </w:tabs>
        <w:spacing w:line="240" w:lineRule="exact"/>
        <w:ind w:right="-360"/>
        <w:outlineLvl w:val="0"/>
        <w:rPr>
          <w:rFonts w:ascii="Times New Roman" w:hAnsi="Times New Roman"/>
          <w:color w:val="000080"/>
        </w:rPr>
      </w:pPr>
    </w:p>
    <w:p w:rsidR="00FA21A8" w:rsidRPr="00FA21A8" w:rsidRDefault="00FA21A8" w:rsidP="00FA21A8">
      <w:pPr>
        <w:tabs>
          <w:tab w:val="left" w:pos="720"/>
        </w:tabs>
        <w:spacing w:line="240" w:lineRule="exact"/>
        <w:ind w:right="-360"/>
        <w:outlineLvl w:val="0"/>
        <w:rPr>
          <w:rFonts w:ascii="Times New Roman" w:hAnsi="Times New Roman"/>
          <w:color w:val="000080"/>
        </w:rPr>
      </w:pPr>
    </w:p>
    <w:p w:rsidR="00FA21A8" w:rsidRPr="00FA21A8" w:rsidRDefault="00FA21A8" w:rsidP="00FA21A8">
      <w:pPr>
        <w:tabs>
          <w:tab w:val="left" w:pos="720"/>
        </w:tabs>
        <w:spacing w:line="240" w:lineRule="exact"/>
        <w:ind w:right="-360"/>
        <w:outlineLvl w:val="0"/>
        <w:rPr>
          <w:rFonts w:ascii="Times New Roman" w:hAnsi="Times New Roman"/>
          <w:color w:val="000080"/>
        </w:rPr>
      </w:pPr>
    </w:p>
    <w:p w:rsidR="00FA21A8" w:rsidRPr="00FA21A8" w:rsidRDefault="00FA21A8" w:rsidP="00FA21A8">
      <w:pPr>
        <w:tabs>
          <w:tab w:val="left" w:pos="720"/>
        </w:tabs>
        <w:spacing w:line="240" w:lineRule="exact"/>
        <w:ind w:right="-360"/>
        <w:outlineLvl w:val="0"/>
        <w:rPr>
          <w:rFonts w:ascii="Times New Roman" w:hAnsi="Times New Roman"/>
          <w:color w:val="000080"/>
        </w:rPr>
      </w:pPr>
      <w:r w:rsidRPr="00FA21A8">
        <w:rPr>
          <w:rFonts w:ascii="Times New Roman" w:hAnsi="Times New Roman"/>
          <w:color w:val="000080"/>
        </w:rPr>
        <w:t xml:space="preserve">                                       </w:t>
      </w:r>
      <w:r>
        <w:rPr>
          <w:rFonts w:ascii="Times New Roman" w:hAnsi="Times New Roman"/>
          <w:color w:val="000080"/>
        </w:rPr>
        <w:t xml:space="preserve"> </w:t>
      </w:r>
    </w:p>
    <w:p w:rsidR="00FA21A8" w:rsidRPr="00FA21A8" w:rsidRDefault="00FA21A8" w:rsidP="00FA21A8">
      <w:pPr>
        <w:tabs>
          <w:tab w:val="left" w:pos="720"/>
        </w:tabs>
        <w:spacing w:line="240" w:lineRule="exact"/>
        <w:ind w:right="-360"/>
        <w:outlineLvl w:val="0"/>
        <w:rPr>
          <w:rFonts w:ascii="Times New Roman" w:hAnsi="Times New Roman"/>
          <w:color w:val="000080"/>
        </w:rPr>
      </w:pPr>
      <w:r w:rsidRPr="00FA21A8">
        <w:rPr>
          <w:rFonts w:ascii="Times New Roman" w:hAnsi="Times New Roman"/>
          <w:color w:val="000080"/>
        </w:rPr>
        <w:t xml:space="preserve">                                                                            Director</w:t>
      </w:r>
    </w:p>
    <w:p w:rsidR="00FA21A8" w:rsidRPr="00FA21A8" w:rsidRDefault="00FA21A8" w:rsidP="00FA21A8">
      <w:pPr>
        <w:tabs>
          <w:tab w:val="left" w:pos="720"/>
        </w:tabs>
        <w:spacing w:line="240" w:lineRule="exact"/>
        <w:ind w:right="-360"/>
        <w:rPr>
          <w:rFonts w:ascii="Times New Roman" w:hAnsi="Times New Roman"/>
          <w:color w:val="000080"/>
        </w:rPr>
      </w:pPr>
      <w:r w:rsidRPr="00FA21A8">
        <w:rPr>
          <w:rFonts w:ascii="Times New Roman" w:hAnsi="Times New Roman"/>
          <w:color w:val="000080"/>
        </w:rPr>
        <w:t xml:space="preserve">                                                                            Air Force Review Boards Agency</w:t>
      </w:r>
    </w:p>
    <w:p w:rsidR="00FA21A8" w:rsidRPr="00FA21A8" w:rsidRDefault="00FA21A8" w:rsidP="00FA21A8">
      <w:pPr>
        <w:tabs>
          <w:tab w:val="left" w:pos="720"/>
        </w:tabs>
        <w:spacing w:line="240" w:lineRule="exact"/>
        <w:ind w:right="-1080"/>
        <w:rPr>
          <w:rFonts w:ascii="Times New Roman" w:hAnsi="Times New Roman"/>
          <w:color w:val="000080"/>
        </w:rPr>
      </w:pPr>
    </w:p>
    <w:p w:rsidR="00FA21A8" w:rsidRPr="00FA21A8" w:rsidRDefault="00FA21A8" w:rsidP="00FA21A8">
      <w:pPr>
        <w:tabs>
          <w:tab w:val="left" w:pos="6624"/>
        </w:tabs>
        <w:spacing w:line="240" w:lineRule="exact"/>
        <w:ind w:right="-1080"/>
        <w:rPr>
          <w:rFonts w:ascii="Courier" w:hAnsi="Courier"/>
          <w:color w:val="0000FF"/>
          <w:u w:val="single"/>
        </w:rPr>
      </w:pPr>
    </w:p>
    <w:p w:rsidR="00B522CD" w:rsidRPr="00006186" w:rsidRDefault="00B522CD" w:rsidP="000452D7">
      <w:pPr>
        <w:tabs>
          <w:tab w:val="left" w:pos="288"/>
          <w:tab w:val="left" w:pos="4320"/>
          <w:tab w:val="left" w:pos="4410"/>
          <w:tab w:val="left" w:pos="4770"/>
          <w:tab w:val="left" w:pos="4860"/>
          <w:tab w:val="left" w:pos="5040"/>
        </w:tabs>
        <w:spacing w:line="240" w:lineRule="exact"/>
        <w:jc w:val="both"/>
        <w:rPr>
          <w:color w:val="auto"/>
        </w:rPr>
      </w:pPr>
    </w:p>
    <w:p w:rsidR="00A44141" w:rsidRDefault="00A44141" w:rsidP="000452D7">
      <w:pPr>
        <w:tabs>
          <w:tab w:val="left" w:pos="288"/>
          <w:tab w:val="left" w:pos="4320"/>
          <w:tab w:val="left" w:pos="4410"/>
          <w:tab w:val="left" w:pos="4770"/>
          <w:tab w:val="left" w:pos="4860"/>
          <w:tab w:val="left" w:pos="5040"/>
        </w:tabs>
        <w:spacing w:line="240" w:lineRule="exact"/>
        <w:jc w:val="both"/>
        <w:rPr>
          <w:color w:val="auto"/>
        </w:rPr>
      </w:pPr>
    </w:p>
    <w:sectPr w:rsidR="00A44141"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C11" w:rsidRDefault="00E86C11">
      <w:r>
        <w:separator/>
      </w:r>
    </w:p>
  </w:endnote>
  <w:endnote w:type="continuationSeparator" w:id="0">
    <w:p w:rsidR="00E86C11" w:rsidRDefault="00E86C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C9" w:rsidRPr="00684CE6" w:rsidRDefault="003C528B" w:rsidP="00F65ED5">
    <w:pPr>
      <w:pStyle w:val="Footer"/>
      <w:jc w:val="right"/>
      <w:rPr>
        <w:color w:val="auto"/>
      </w:rPr>
    </w:pPr>
    <w:r w:rsidRPr="00684CE6">
      <w:rPr>
        <w:color w:val="auto"/>
      </w:rPr>
      <w:fldChar w:fldCharType="begin"/>
    </w:r>
    <w:r w:rsidR="002C71C9" w:rsidRPr="00684CE6">
      <w:rPr>
        <w:color w:val="auto"/>
      </w:rPr>
      <w:instrText xml:space="preserve"> PAGE   \* MERGEFORMAT </w:instrText>
    </w:r>
    <w:r w:rsidRPr="00684CE6">
      <w:rPr>
        <w:color w:val="auto"/>
      </w:rPr>
      <w:fldChar w:fldCharType="separate"/>
    </w:r>
    <w:r w:rsidR="00FA21A8">
      <w:rPr>
        <w:noProof/>
        <w:color w:val="auto"/>
      </w:rPr>
      <w:t>4</w:t>
    </w:r>
    <w:r w:rsidRPr="00684CE6">
      <w:rPr>
        <w:color w:val="auto"/>
      </w:rPr>
      <w:fldChar w:fldCharType="end"/>
    </w:r>
    <w:r w:rsidR="002C71C9" w:rsidRPr="00684CE6">
      <w:rPr>
        <w:color w:val="auto"/>
      </w:rPr>
      <w:t xml:space="preserve">                                                           PD</w:t>
    </w:r>
    <w:r w:rsidR="002C71C9" w:rsidRPr="00F302BC">
      <w:rPr>
        <w:color w:val="auto"/>
      </w:rPr>
      <w:t>1000</w:t>
    </w:r>
    <w:r w:rsidR="002C71C9">
      <w:rPr>
        <w:color w:val="auto"/>
      </w:rPr>
      <w:t>723</w:t>
    </w:r>
  </w:p>
  <w:p w:rsidR="002C71C9" w:rsidRPr="00684CE6" w:rsidRDefault="002C71C9">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C9" w:rsidRPr="00684CE6" w:rsidRDefault="002C71C9" w:rsidP="00EA52FE">
    <w:pPr>
      <w:pStyle w:val="Footer"/>
      <w:jc w:val="right"/>
      <w:rPr>
        <w:color w:val="auto"/>
      </w:rPr>
    </w:pPr>
    <w:r w:rsidRPr="00684CE6">
      <w:rPr>
        <w:color w:val="auto"/>
      </w:rPr>
      <w:t xml:space="preserve">                      </w:t>
    </w:r>
  </w:p>
  <w:p w:rsidR="002C71C9" w:rsidRPr="00684CE6" w:rsidRDefault="002C71C9"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C11" w:rsidRDefault="00E86C11">
      <w:r>
        <w:separator/>
      </w:r>
    </w:p>
  </w:footnote>
  <w:footnote w:type="continuationSeparator" w:id="0">
    <w:p w:rsidR="00E86C11" w:rsidRDefault="00E86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43809"/>
    <w:multiLevelType w:val="hybridMultilevel"/>
    <w:tmpl w:val="C556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863FDD"/>
    <w:multiLevelType w:val="hybridMultilevel"/>
    <w:tmpl w:val="90A8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50C78"/>
    <w:multiLevelType w:val="hybridMultilevel"/>
    <w:tmpl w:val="F1AE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642C9"/>
    <w:multiLevelType w:val="hybridMultilevel"/>
    <w:tmpl w:val="D2AE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E31F0C"/>
    <w:multiLevelType w:val="hybridMultilevel"/>
    <w:tmpl w:val="A07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5"/>
  </w:num>
  <w:num w:numId="6">
    <w:abstractNumId w:val="10"/>
  </w:num>
  <w:num w:numId="7">
    <w:abstractNumId w:val="0"/>
  </w:num>
  <w:num w:numId="8">
    <w:abstractNumId w:val="7"/>
  </w:num>
  <w:num w:numId="9">
    <w:abstractNumId w:val="19"/>
  </w:num>
  <w:num w:numId="10">
    <w:abstractNumId w:val="12"/>
  </w:num>
  <w:num w:numId="11">
    <w:abstractNumId w:val="6"/>
  </w:num>
  <w:num w:numId="12">
    <w:abstractNumId w:val="17"/>
  </w:num>
  <w:num w:numId="13">
    <w:abstractNumId w:val="9"/>
  </w:num>
  <w:num w:numId="14">
    <w:abstractNumId w:val="18"/>
  </w:num>
  <w:num w:numId="15">
    <w:abstractNumId w:val="23"/>
  </w:num>
  <w:num w:numId="16">
    <w:abstractNumId w:val="2"/>
  </w:num>
  <w:num w:numId="17">
    <w:abstractNumId w:val="20"/>
  </w:num>
  <w:num w:numId="18">
    <w:abstractNumId w:val="11"/>
  </w:num>
  <w:num w:numId="19">
    <w:abstractNumId w:val="15"/>
  </w:num>
  <w:num w:numId="20">
    <w:abstractNumId w:val="14"/>
  </w:num>
  <w:num w:numId="21">
    <w:abstractNumId w:val="22"/>
  </w:num>
  <w:num w:numId="22">
    <w:abstractNumId w:val="4"/>
  </w:num>
  <w:num w:numId="23">
    <w:abstractNumId w:val="16"/>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62"/>
  </w:hdrShapeDefaults>
  <w:footnotePr>
    <w:numRestart w:val="eachSect"/>
    <w:footnote w:id="-1"/>
    <w:footnote w:id="0"/>
  </w:footnotePr>
  <w:endnotePr>
    <w:endnote w:id="-1"/>
    <w:endnote w:id="0"/>
  </w:endnotePr>
  <w:compat/>
  <w:rsids>
    <w:rsidRoot w:val="001C28D1"/>
    <w:rsid w:val="000059FA"/>
    <w:rsid w:val="00006186"/>
    <w:rsid w:val="00006F87"/>
    <w:rsid w:val="00007107"/>
    <w:rsid w:val="00010ABA"/>
    <w:rsid w:val="00012428"/>
    <w:rsid w:val="00013417"/>
    <w:rsid w:val="000145C2"/>
    <w:rsid w:val="0001473F"/>
    <w:rsid w:val="00014A9E"/>
    <w:rsid w:val="00021361"/>
    <w:rsid w:val="00022CF3"/>
    <w:rsid w:val="00023913"/>
    <w:rsid w:val="00023D43"/>
    <w:rsid w:val="00030776"/>
    <w:rsid w:val="00032E07"/>
    <w:rsid w:val="000332CA"/>
    <w:rsid w:val="0003374E"/>
    <w:rsid w:val="000344D8"/>
    <w:rsid w:val="000344E6"/>
    <w:rsid w:val="000358CE"/>
    <w:rsid w:val="00035C3A"/>
    <w:rsid w:val="00036E4B"/>
    <w:rsid w:val="00037929"/>
    <w:rsid w:val="000379D0"/>
    <w:rsid w:val="00040FC4"/>
    <w:rsid w:val="000416F8"/>
    <w:rsid w:val="00042C26"/>
    <w:rsid w:val="00043382"/>
    <w:rsid w:val="00044623"/>
    <w:rsid w:val="000452D7"/>
    <w:rsid w:val="00051622"/>
    <w:rsid w:val="00052234"/>
    <w:rsid w:val="00053D7C"/>
    <w:rsid w:val="000575C5"/>
    <w:rsid w:val="000577C9"/>
    <w:rsid w:val="0006431E"/>
    <w:rsid w:val="00065E21"/>
    <w:rsid w:val="00072433"/>
    <w:rsid w:val="00075702"/>
    <w:rsid w:val="000775C2"/>
    <w:rsid w:val="000806AD"/>
    <w:rsid w:val="00080BDF"/>
    <w:rsid w:val="00082482"/>
    <w:rsid w:val="00084CF2"/>
    <w:rsid w:val="00085D7B"/>
    <w:rsid w:val="0008708B"/>
    <w:rsid w:val="00090201"/>
    <w:rsid w:val="00092066"/>
    <w:rsid w:val="00092619"/>
    <w:rsid w:val="00092C66"/>
    <w:rsid w:val="00092E75"/>
    <w:rsid w:val="000945AF"/>
    <w:rsid w:val="000949DD"/>
    <w:rsid w:val="00094E4F"/>
    <w:rsid w:val="000A0E81"/>
    <w:rsid w:val="000A2BCE"/>
    <w:rsid w:val="000A33C8"/>
    <w:rsid w:val="000A41E3"/>
    <w:rsid w:val="000A430C"/>
    <w:rsid w:val="000A4BBA"/>
    <w:rsid w:val="000A5071"/>
    <w:rsid w:val="000B04C0"/>
    <w:rsid w:val="000B0AD2"/>
    <w:rsid w:val="000B1022"/>
    <w:rsid w:val="000B2FB8"/>
    <w:rsid w:val="000B4C99"/>
    <w:rsid w:val="000C06F6"/>
    <w:rsid w:val="000C1D34"/>
    <w:rsid w:val="000C2362"/>
    <w:rsid w:val="000C3C13"/>
    <w:rsid w:val="000C53F9"/>
    <w:rsid w:val="000C5813"/>
    <w:rsid w:val="000C6D4C"/>
    <w:rsid w:val="000C75CF"/>
    <w:rsid w:val="000C7B83"/>
    <w:rsid w:val="000C7DE4"/>
    <w:rsid w:val="000D15E7"/>
    <w:rsid w:val="000D1A24"/>
    <w:rsid w:val="000D21C7"/>
    <w:rsid w:val="000D248A"/>
    <w:rsid w:val="000D35D8"/>
    <w:rsid w:val="000D43F9"/>
    <w:rsid w:val="000D4717"/>
    <w:rsid w:val="000D6457"/>
    <w:rsid w:val="000D7437"/>
    <w:rsid w:val="000D7D55"/>
    <w:rsid w:val="000E0993"/>
    <w:rsid w:val="000E181E"/>
    <w:rsid w:val="000E37E0"/>
    <w:rsid w:val="000E3F20"/>
    <w:rsid w:val="000E7034"/>
    <w:rsid w:val="000F02BE"/>
    <w:rsid w:val="000F0928"/>
    <w:rsid w:val="000F427B"/>
    <w:rsid w:val="000F43D0"/>
    <w:rsid w:val="000F4F18"/>
    <w:rsid w:val="000F688E"/>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20B"/>
    <w:rsid w:val="00122ABE"/>
    <w:rsid w:val="001231DC"/>
    <w:rsid w:val="0012489B"/>
    <w:rsid w:val="001272AE"/>
    <w:rsid w:val="00130756"/>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1616"/>
    <w:rsid w:val="001724C8"/>
    <w:rsid w:val="001745DD"/>
    <w:rsid w:val="00174FE3"/>
    <w:rsid w:val="00177659"/>
    <w:rsid w:val="001779E5"/>
    <w:rsid w:val="00181240"/>
    <w:rsid w:val="00182A4C"/>
    <w:rsid w:val="00183F77"/>
    <w:rsid w:val="001844D8"/>
    <w:rsid w:val="00185DA8"/>
    <w:rsid w:val="00185ECB"/>
    <w:rsid w:val="001865E0"/>
    <w:rsid w:val="001870F0"/>
    <w:rsid w:val="00190E48"/>
    <w:rsid w:val="0019273F"/>
    <w:rsid w:val="00193814"/>
    <w:rsid w:val="00193AD5"/>
    <w:rsid w:val="00194930"/>
    <w:rsid w:val="00195AAC"/>
    <w:rsid w:val="001A025E"/>
    <w:rsid w:val="001A08CD"/>
    <w:rsid w:val="001A0A1E"/>
    <w:rsid w:val="001A2182"/>
    <w:rsid w:val="001A5320"/>
    <w:rsid w:val="001A5E62"/>
    <w:rsid w:val="001A6848"/>
    <w:rsid w:val="001A7538"/>
    <w:rsid w:val="001B0B1A"/>
    <w:rsid w:val="001B4EC2"/>
    <w:rsid w:val="001B5B59"/>
    <w:rsid w:val="001B60E0"/>
    <w:rsid w:val="001B7C8C"/>
    <w:rsid w:val="001C0688"/>
    <w:rsid w:val="001C181A"/>
    <w:rsid w:val="001C1877"/>
    <w:rsid w:val="001C2053"/>
    <w:rsid w:val="001C252F"/>
    <w:rsid w:val="001C28D1"/>
    <w:rsid w:val="001C3473"/>
    <w:rsid w:val="001C57E2"/>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635C"/>
    <w:rsid w:val="00200AA0"/>
    <w:rsid w:val="00202325"/>
    <w:rsid w:val="00202736"/>
    <w:rsid w:val="00203652"/>
    <w:rsid w:val="00204A3C"/>
    <w:rsid w:val="00205B4F"/>
    <w:rsid w:val="002060B6"/>
    <w:rsid w:val="002066B5"/>
    <w:rsid w:val="002119B6"/>
    <w:rsid w:val="00212B40"/>
    <w:rsid w:val="00213BD0"/>
    <w:rsid w:val="00214DBA"/>
    <w:rsid w:val="002151AB"/>
    <w:rsid w:val="00215C4C"/>
    <w:rsid w:val="00215ED6"/>
    <w:rsid w:val="00216049"/>
    <w:rsid w:val="002163FA"/>
    <w:rsid w:val="00217606"/>
    <w:rsid w:val="00217C09"/>
    <w:rsid w:val="00220F5C"/>
    <w:rsid w:val="002216BF"/>
    <w:rsid w:val="00221B9B"/>
    <w:rsid w:val="00225196"/>
    <w:rsid w:val="00225CB4"/>
    <w:rsid w:val="00226B1A"/>
    <w:rsid w:val="00227F0B"/>
    <w:rsid w:val="0023049F"/>
    <w:rsid w:val="00230616"/>
    <w:rsid w:val="002316F6"/>
    <w:rsid w:val="00232C9B"/>
    <w:rsid w:val="00232E73"/>
    <w:rsid w:val="00232F09"/>
    <w:rsid w:val="002335D5"/>
    <w:rsid w:val="002338CA"/>
    <w:rsid w:val="00233FE5"/>
    <w:rsid w:val="00234B3B"/>
    <w:rsid w:val="00236018"/>
    <w:rsid w:val="002374C9"/>
    <w:rsid w:val="0024174E"/>
    <w:rsid w:val="0024227D"/>
    <w:rsid w:val="00242D14"/>
    <w:rsid w:val="00246756"/>
    <w:rsid w:val="00246860"/>
    <w:rsid w:val="00246DFF"/>
    <w:rsid w:val="00246E89"/>
    <w:rsid w:val="0025183C"/>
    <w:rsid w:val="002528EC"/>
    <w:rsid w:val="00255049"/>
    <w:rsid w:val="00257AFF"/>
    <w:rsid w:val="00257DE5"/>
    <w:rsid w:val="00260531"/>
    <w:rsid w:val="00260B9A"/>
    <w:rsid w:val="0026318D"/>
    <w:rsid w:val="00264325"/>
    <w:rsid w:val="0026733B"/>
    <w:rsid w:val="00270864"/>
    <w:rsid w:val="002712F7"/>
    <w:rsid w:val="0027159C"/>
    <w:rsid w:val="002722F2"/>
    <w:rsid w:val="00274549"/>
    <w:rsid w:val="00274E46"/>
    <w:rsid w:val="002769AF"/>
    <w:rsid w:val="00276C86"/>
    <w:rsid w:val="00276FD0"/>
    <w:rsid w:val="00277217"/>
    <w:rsid w:val="002810A4"/>
    <w:rsid w:val="00284A26"/>
    <w:rsid w:val="00287006"/>
    <w:rsid w:val="00292AB2"/>
    <w:rsid w:val="00292B20"/>
    <w:rsid w:val="00293DB6"/>
    <w:rsid w:val="00293FE8"/>
    <w:rsid w:val="00294437"/>
    <w:rsid w:val="00297A45"/>
    <w:rsid w:val="002A233F"/>
    <w:rsid w:val="002A3237"/>
    <w:rsid w:val="002A58B7"/>
    <w:rsid w:val="002A5943"/>
    <w:rsid w:val="002A5C3C"/>
    <w:rsid w:val="002A685E"/>
    <w:rsid w:val="002A72C7"/>
    <w:rsid w:val="002B03B2"/>
    <w:rsid w:val="002B0749"/>
    <w:rsid w:val="002B2645"/>
    <w:rsid w:val="002B4E22"/>
    <w:rsid w:val="002B6FA0"/>
    <w:rsid w:val="002C0C2B"/>
    <w:rsid w:val="002C0D1F"/>
    <w:rsid w:val="002C1D3B"/>
    <w:rsid w:val="002C3B6D"/>
    <w:rsid w:val="002C5D9D"/>
    <w:rsid w:val="002C5F10"/>
    <w:rsid w:val="002C6E5B"/>
    <w:rsid w:val="002C71C9"/>
    <w:rsid w:val="002D18B4"/>
    <w:rsid w:val="002D231A"/>
    <w:rsid w:val="002D7787"/>
    <w:rsid w:val="002E1877"/>
    <w:rsid w:val="002E1C31"/>
    <w:rsid w:val="002E2E0F"/>
    <w:rsid w:val="002E333A"/>
    <w:rsid w:val="002E3474"/>
    <w:rsid w:val="002E400C"/>
    <w:rsid w:val="002E49C3"/>
    <w:rsid w:val="002E5114"/>
    <w:rsid w:val="002E5988"/>
    <w:rsid w:val="002E7570"/>
    <w:rsid w:val="002E764B"/>
    <w:rsid w:val="002F0E28"/>
    <w:rsid w:val="002F287E"/>
    <w:rsid w:val="002F2981"/>
    <w:rsid w:val="002F2D63"/>
    <w:rsid w:val="002F6AD8"/>
    <w:rsid w:val="002F7F81"/>
    <w:rsid w:val="00300A36"/>
    <w:rsid w:val="00301FE8"/>
    <w:rsid w:val="003053FD"/>
    <w:rsid w:val="0030678B"/>
    <w:rsid w:val="00310CD7"/>
    <w:rsid w:val="0032136A"/>
    <w:rsid w:val="00323D48"/>
    <w:rsid w:val="00323E70"/>
    <w:rsid w:val="003258A7"/>
    <w:rsid w:val="00325BA2"/>
    <w:rsid w:val="00326B1C"/>
    <w:rsid w:val="00326C08"/>
    <w:rsid w:val="00326F7F"/>
    <w:rsid w:val="003320E8"/>
    <w:rsid w:val="003328FD"/>
    <w:rsid w:val="0033334F"/>
    <w:rsid w:val="0033555E"/>
    <w:rsid w:val="00336805"/>
    <w:rsid w:val="00337351"/>
    <w:rsid w:val="00341A54"/>
    <w:rsid w:val="00344D17"/>
    <w:rsid w:val="0034669F"/>
    <w:rsid w:val="00351498"/>
    <w:rsid w:val="00352B22"/>
    <w:rsid w:val="00352CBF"/>
    <w:rsid w:val="00354547"/>
    <w:rsid w:val="003567DE"/>
    <w:rsid w:val="003574F3"/>
    <w:rsid w:val="003604A5"/>
    <w:rsid w:val="0036319E"/>
    <w:rsid w:val="003632A4"/>
    <w:rsid w:val="00363362"/>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7D4"/>
    <w:rsid w:val="00385D6F"/>
    <w:rsid w:val="00386D43"/>
    <w:rsid w:val="00387095"/>
    <w:rsid w:val="00390092"/>
    <w:rsid w:val="00393651"/>
    <w:rsid w:val="00395651"/>
    <w:rsid w:val="00395E12"/>
    <w:rsid w:val="00396779"/>
    <w:rsid w:val="00396A8F"/>
    <w:rsid w:val="00397DB7"/>
    <w:rsid w:val="003A27B2"/>
    <w:rsid w:val="003A40B4"/>
    <w:rsid w:val="003A41BA"/>
    <w:rsid w:val="003A5491"/>
    <w:rsid w:val="003A6A99"/>
    <w:rsid w:val="003A7FF8"/>
    <w:rsid w:val="003B17AC"/>
    <w:rsid w:val="003B227A"/>
    <w:rsid w:val="003B3A77"/>
    <w:rsid w:val="003B5854"/>
    <w:rsid w:val="003B6764"/>
    <w:rsid w:val="003C294B"/>
    <w:rsid w:val="003C5046"/>
    <w:rsid w:val="003C528B"/>
    <w:rsid w:val="003C6068"/>
    <w:rsid w:val="003D2BA3"/>
    <w:rsid w:val="003D3C22"/>
    <w:rsid w:val="003D56A0"/>
    <w:rsid w:val="003D7089"/>
    <w:rsid w:val="003D7DDB"/>
    <w:rsid w:val="003E02C7"/>
    <w:rsid w:val="003E0543"/>
    <w:rsid w:val="003E061D"/>
    <w:rsid w:val="003E0B5A"/>
    <w:rsid w:val="003E31E3"/>
    <w:rsid w:val="003E46D1"/>
    <w:rsid w:val="003E6214"/>
    <w:rsid w:val="003F070E"/>
    <w:rsid w:val="003F1206"/>
    <w:rsid w:val="003F28DB"/>
    <w:rsid w:val="003F416E"/>
    <w:rsid w:val="003F58B0"/>
    <w:rsid w:val="003F776F"/>
    <w:rsid w:val="004007E9"/>
    <w:rsid w:val="00400810"/>
    <w:rsid w:val="00401825"/>
    <w:rsid w:val="00401BBC"/>
    <w:rsid w:val="00403BFB"/>
    <w:rsid w:val="00404B45"/>
    <w:rsid w:val="004069D4"/>
    <w:rsid w:val="00406CC5"/>
    <w:rsid w:val="004074A4"/>
    <w:rsid w:val="004101B2"/>
    <w:rsid w:val="004123D7"/>
    <w:rsid w:val="00412658"/>
    <w:rsid w:val="004129DA"/>
    <w:rsid w:val="00415EA4"/>
    <w:rsid w:val="0041604B"/>
    <w:rsid w:val="004172DB"/>
    <w:rsid w:val="00421485"/>
    <w:rsid w:val="00422B75"/>
    <w:rsid w:val="00424612"/>
    <w:rsid w:val="00425A6A"/>
    <w:rsid w:val="00427F54"/>
    <w:rsid w:val="00433E99"/>
    <w:rsid w:val="00433F36"/>
    <w:rsid w:val="0043503A"/>
    <w:rsid w:val="00437D77"/>
    <w:rsid w:val="004435BE"/>
    <w:rsid w:val="0044384F"/>
    <w:rsid w:val="0044411E"/>
    <w:rsid w:val="00444F80"/>
    <w:rsid w:val="00446018"/>
    <w:rsid w:val="00450059"/>
    <w:rsid w:val="0045027B"/>
    <w:rsid w:val="004543BC"/>
    <w:rsid w:val="0045645D"/>
    <w:rsid w:val="004574C6"/>
    <w:rsid w:val="00457BCF"/>
    <w:rsid w:val="00457DCE"/>
    <w:rsid w:val="00460E3F"/>
    <w:rsid w:val="00462F68"/>
    <w:rsid w:val="004640E9"/>
    <w:rsid w:val="00466CED"/>
    <w:rsid w:val="00467592"/>
    <w:rsid w:val="00467690"/>
    <w:rsid w:val="004718E7"/>
    <w:rsid w:val="00472535"/>
    <w:rsid w:val="004761CC"/>
    <w:rsid w:val="004766C9"/>
    <w:rsid w:val="00480D4A"/>
    <w:rsid w:val="00481DA1"/>
    <w:rsid w:val="00484212"/>
    <w:rsid w:val="0049255F"/>
    <w:rsid w:val="0049445D"/>
    <w:rsid w:val="00495350"/>
    <w:rsid w:val="00497156"/>
    <w:rsid w:val="004A0C79"/>
    <w:rsid w:val="004A24D2"/>
    <w:rsid w:val="004A3214"/>
    <w:rsid w:val="004A4136"/>
    <w:rsid w:val="004A417B"/>
    <w:rsid w:val="004A4378"/>
    <w:rsid w:val="004A6B53"/>
    <w:rsid w:val="004B024B"/>
    <w:rsid w:val="004B03F3"/>
    <w:rsid w:val="004B0CC9"/>
    <w:rsid w:val="004B2536"/>
    <w:rsid w:val="004B6AF3"/>
    <w:rsid w:val="004B715E"/>
    <w:rsid w:val="004B7169"/>
    <w:rsid w:val="004B79C9"/>
    <w:rsid w:val="004C0776"/>
    <w:rsid w:val="004C2A1D"/>
    <w:rsid w:val="004C3C9C"/>
    <w:rsid w:val="004C5E33"/>
    <w:rsid w:val="004C60A3"/>
    <w:rsid w:val="004C6CDA"/>
    <w:rsid w:val="004D10D4"/>
    <w:rsid w:val="004D16BD"/>
    <w:rsid w:val="004D2AAB"/>
    <w:rsid w:val="004D6F2B"/>
    <w:rsid w:val="004E0248"/>
    <w:rsid w:val="004E21A3"/>
    <w:rsid w:val="004E32EA"/>
    <w:rsid w:val="004E6866"/>
    <w:rsid w:val="004F3222"/>
    <w:rsid w:val="004F3BFA"/>
    <w:rsid w:val="005000AB"/>
    <w:rsid w:val="00500F3C"/>
    <w:rsid w:val="005025EE"/>
    <w:rsid w:val="00505524"/>
    <w:rsid w:val="00506688"/>
    <w:rsid w:val="00510588"/>
    <w:rsid w:val="0051083B"/>
    <w:rsid w:val="0051146C"/>
    <w:rsid w:val="0051220B"/>
    <w:rsid w:val="00512484"/>
    <w:rsid w:val="0051262B"/>
    <w:rsid w:val="005137EA"/>
    <w:rsid w:val="00514449"/>
    <w:rsid w:val="00515419"/>
    <w:rsid w:val="005157BD"/>
    <w:rsid w:val="00516619"/>
    <w:rsid w:val="005214A3"/>
    <w:rsid w:val="005222E7"/>
    <w:rsid w:val="00523A8B"/>
    <w:rsid w:val="00523E04"/>
    <w:rsid w:val="00525003"/>
    <w:rsid w:val="0052590B"/>
    <w:rsid w:val="00526591"/>
    <w:rsid w:val="00527178"/>
    <w:rsid w:val="005278CB"/>
    <w:rsid w:val="00534D42"/>
    <w:rsid w:val="005350A5"/>
    <w:rsid w:val="00536379"/>
    <w:rsid w:val="00537238"/>
    <w:rsid w:val="00537B14"/>
    <w:rsid w:val="005400C5"/>
    <w:rsid w:val="00540BE0"/>
    <w:rsid w:val="00540BEF"/>
    <w:rsid w:val="00542C9A"/>
    <w:rsid w:val="005436C2"/>
    <w:rsid w:val="005442D4"/>
    <w:rsid w:val="0054586A"/>
    <w:rsid w:val="0054631F"/>
    <w:rsid w:val="00546C24"/>
    <w:rsid w:val="00547BE6"/>
    <w:rsid w:val="0055288D"/>
    <w:rsid w:val="00555259"/>
    <w:rsid w:val="005569EF"/>
    <w:rsid w:val="00560D57"/>
    <w:rsid w:val="00562A94"/>
    <w:rsid w:val="00570754"/>
    <w:rsid w:val="005709F7"/>
    <w:rsid w:val="005710A9"/>
    <w:rsid w:val="00571D1B"/>
    <w:rsid w:val="005738F5"/>
    <w:rsid w:val="00573D34"/>
    <w:rsid w:val="0058039C"/>
    <w:rsid w:val="00580A63"/>
    <w:rsid w:val="005810EB"/>
    <w:rsid w:val="00583379"/>
    <w:rsid w:val="0058417C"/>
    <w:rsid w:val="00586EC6"/>
    <w:rsid w:val="00587DDE"/>
    <w:rsid w:val="00593043"/>
    <w:rsid w:val="00595BF0"/>
    <w:rsid w:val="00596912"/>
    <w:rsid w:val="005A0B1D"/>
    <w:rsid w:val="005A1846"/>
    <w:rsid w:val="005A258C"/>
    <w:rsid w:val="005A3560"/>
    <w:rsid w:val="005A464E"/>
    <w:rsid w:val="005A62FC"/>
    <w:rsid w:val="005A6C99"/>
    <w:rsid w:val="005A7D5D"/>
    <w:rsid w:val="005B011A"/>
    <w:rsid w:val="005B1D8F"/>
    <w:rsid w:val="005B1E94"/>
    <w:rsid w:val="005B5B3D"/>
    <w:rsid w:val="005B6000"/>
    <w:rsid w:val="005B64CF"/>
    <w:rsid w:val="005C16F3"/>
    <w:rsid w:val="005C3758"/>
    <w:rsid w:val="005C4D72"/>
    <w:rsid w:val="005C6B4F"/>
    <w:rsid w:val="005D5E91"/>
    <w:rsid w:val="005D67EF"/>
    <w:rsid w:val="005E3064"/>
    <w:rsid w:val="005E72B2"/>
    <w:rsid w:val="005F1115"/>
    <w:rsid w:val="005F1AB6"/>
    <w:rsid w:val="005F27F2"/>
    <w:rsid w:val="005F3567"/>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5413"/>
    <w:rsid w:val="00637A8E"/>
    <w:rsid w:val="00637BDC"/>
    <w:rsid w:val="006418C9"/>
    <w:rsid w:val="00642BD6"/>
    <w:rsid w:val="00645046"/>
    <w:rsid w:val="0064527A"/>
    <w:rsid w:val="00645EA2"/>
    <w:rsid w:val="00651E6D"/>
    <w:rsid w:val="00653D2D"/>
    <w:rsid w:val="006573F2"/>
    <w:rsid w:val="00662AD0"/>
    <w:rsid w:val="00662F08"/>
    <w:rsid w:val="00663589"/>
    <w:rsid w:val="00665D75"/>
    <w:rsid w:val="006703CB"/>
    <w:rsid w:val="006708E3"/>
    <w:rsid w:val="00670DDC"/>
    <w:rsid w:val="00671389"/>
    <w:rsid w:val="00671EB4"/>
    <w:rsid w:val="0067443B"/>
    <w:rsid w:val="00684CE6"/>
    <w:rsid w:val="00684E2B"/>
    <w:rsid w:val="00690569"/>
    <w:rsid w:val="00690FDA"/>
    <w:rsid w:val="00691E61"/>
    <w:rsid w:val="00692D49"/>
    <w:rsid w:val="00693C5E"/>
    <w:rsid w:val="00694EEA"/>
    <w:rsid w:val="006955B4"/>
    <w:rsid w:val="00696476"/>
    <w:rsid w:val="00696C74"/>
    <w:rsid w:val="006A10FA"/>
    <w:rsid w:val="006A40E6"/>
    <w:rsid w:val="006A5C07"/>
    <w:rsid w:val="006A75FA"/>
    <w:rsid w:val="006B07D5"/>
    <w:rsid w:val="006B1309"/>
    <w:rsid w:val="006B3923"/>
    <w:rsid w:val="006B3F3E"/>
    <w:rsid w:val="006B5923"/>
    <w:rsid w:val="006B67D9"/>
    <w:rsid w:val="006B6C14"/>
    <w:rsid w:val="006B715E"/>
    <w:rsid w:val="006C1D6E"/>
    <w:rsid w:val="006C2EA0"/>
    <w:rsid w:val="006C2EF6"/>
    <w:rsid w:val="006C3A68"/>
    <w:rsid w:val="006C6AB1"/>
    <w:rsid w:val="006C6E6B"/>
    <w:rsid w:val="006D2000"/>
    <w:rsid w:val="006D2D39"/>
    <w:rsid w:val="006D4250"/>
    <w:rsid w:val="006D4E0E"/>
    <w:rsid w:val="006D57DE"/>
    <w:rsid w:val="006D5CE2"/>
    <w:rsid w:val="006E06D1"/>
    <w:rsid w:val="006E1313"/>
    <w:rsid w:val="006E2DC8"/>
    <w:rsid w:val="006E7356"/>
    <w:rsid w:val="006E77C8"/>
    <w:rsid w:val="006F149D"/>
    <w:rsid w:val="006F1A46"/>
    <w:rsid w:val="006F4F06"/>
    <w:rsid w:val="006F5A4E"/>
    <w:rsid w:val="006F6005"/>
    <w:rsid w:val="00703B6C"/>
    <w:rsid w:val="0070438F"/>
    <w:rsid w:val="00704EA1"/>
    <w:rsid w:val="00705C40"/>
    <w:rsid w:val="00706482"/>
    <w:rsid w:val="00706754"/>
    <w:rsid w:val="00706BEF"/>
    <w:rsid w:val="00707ECE"/>
    <w:rsid w:val="00710CE8"/>
    <w:rsid w:val="007116BC"/>
    <w:rsid w:val="00711CA6"/>
    <w:rsid w:val="007165CE"/>
    <w:rsid w:val="00717CEB"/>
    <w:rsid w:val="00720968"/>
    <w:rsid w:val="00721705"/>
    <w:rsid w:val="00721B7A"/>
    <w:rsid w:val="00721D12"/>
    <w:rsid w:val="00721F8B"/>
    <w:rsid w:val="007229B9"/>
    <w:rsid w:val="007237CE"/>
    <w:rsid w:val="00724688"/>
    <w:rsid w:val="00726D99"/>
    <w:rsid w:val="007272F1"/>
    <w:rsid w:val="0073062D"/>
    <w:rsid w:val="0073254D"/>
    <w:rsid w:val="00735704"/>
    <w:rsid w:val="00736A49"/>
    <w:rsid w:val="007419A1"/>
    <w:rsid w:val="00743437"/>
    <w:rsid w:val="00743B71"/>
    <w:rsid w:val="00743C2D"/>
    <w:rsid w:val="00743E36"/>
    <w:rsid w:val="00743F05"/>
    <w:rsid w:val="007446F7"/>
    <w:rsid w:val="00744EBB"/>
    <w:rsid w:val="00745B0A"/>
    <w:rsid w:val="00745DBE"/>
    <w:rsid w:val="007468AC"/>
    <w:rsid w:val="00746AE2"/>
    <w:rsid w:val="00750C82"/>
    <w:rsid w:val="0076100C"/>
    <w:rsid w:val="007612A5"/>
    <w:rsid w:val="00763F95"/>
    <w:rsid w:val="007651ED"/>
    <w:rsid w:val="00766C87"/>
    <w:rsid w:val="0077648B"/>
    <w:rsid w:val="00780378"/>
    <w:rsid w:val="00781BD4"/>
    <w:rsid w:val="00782562"/>
    <w:rsid w:val="007828B4"/>
    <w:rsid w:val="00784832"/>
    <w:rsid w:val="00785D77"/>
    <w:rsid w:val="00786111"/>
    <w:rsid w:val="00790963"/>
    <w:rsid w:val="00791F1E"/>
    <w:rsid w:val="00794ADE"/>
    <w:rsid w:val="00794F3D"/>
    <w:rsid w:val="00795CE9"/>
    <w:rsid w:val="00796045"/>
    <w:rsid w:val="007968AC"/>
    <w:rsid w:val="007969AB"/>
    <w:rsid w:val="007A0B39"/>
    <w:rsid w:val="007A14A4"/>
    <w:rsid w:val="007A168F"/>
    <w:rsid w:val="007A2346"/>
    <w:rsid w:val="007A28E4"/>
    <w:rsid w:val="007A3BB3"/>
    <w:rsid w:val="007A3F91"/>
    <w:rsid w:val="007A5AD1"/>
    <w:rsid w:val="007A5B7B"/>
    <w:rsid w:val="007B0A06"/>
    <w:rsid w:val="007B5C5C"/>
    <w:rsid w:val="007B7B37"/>
    <w:rsid w:val="007B7C41"/>
    <w:rsid w:val="007C11E9"/>
    <w:rsid w:val="007C4134"/>
    <w:rsid w:val="007C433E"/>
    <w:rsid w:val="007C4452"/>
    <w:rsid w:val="007C4B3C"/>
    <w:rsid w:val="007C4DB1"/>
    <w:rsid w:val="007C6046"/>
    <w:rsid w:val="007C6F0C"/>
    <w:rsid w:val="007D0292"/>
    <w:rsid w:val="007D21AC"/>
    <w:rsid w:val="007D24B0"/>
    <w:rsid w:val="007D3882"/>
    <w:rsid w:val="007D568A"/>
    <w:rsid w:val="007D574E"/>
    <w:rsid w:val="007D57C0"/>
    <w:rsid w:val="007D6BFE"/>
    <w:rsid w:val="007E2046"/>
    <w:rsid w:val="007E3883"/>
    <w:rsid w:val="007E4ACB"/>
    <w:rsid w:val="007E4FBB"/>
    <w:rsid w:val="007E55BF"/>
    <w:rsid w:val="007E71B1"/>
    <w:rsid w:val="007E7B4E"/>
    <w:rsid w:val="007F0AB7"/>
    <w:rsid w:val="007F0CE2"/>
    <w:rsid w:val="007F0EFF"/>
    <w:rsid w:val="007F1375"/>
    <w:rsid w:val="007F7F3C"/>
    <w:rsid w:val="0080064F"/>
    <w:rsid w:val="00803850"/>
    <w:rsid w:val="008039E8"/>
    <w:rsid w:val="00804385"/>
    <w:rsid w:val="00804E7E"/>
    <w:rsid w:val="00805AFD"/>
    <w:rsid w:val="008078D8"/>
    <w:rsid w:val="00811D5B"/>
    <w:rsid w:val="00813C51"/>
    <w:rsid w:val="00817713"/>
    <w:rsid w:val="008208C3"/>
    <w:rsid w:val="008220F1"/>
    <w:rsid w:val="0082340B"/>
    <w:rsid w:val="00826BD8"/>
    <w:rsid w:val="00827DB6"/>
    <w:rsid w:val="008304B2"/>
    <w:rsid w:val="00830999"/>
    <w:rsid w:val="00830D5E"/>
    <w:rsid w:val="00830F69"/>
    <w:rsid w:val="00833418"/>
    <w:rsid w:val="0083387F"/>
    <w:rsid w:val="00834458"/>
    <w:rsid w:val="00834AEA"/>
    <w:rsid w:val="00835841"/>
    <w:rsid w:val="00837465"/>
    <w:rsid w:val="00840621"/>
    <w:rsid w:val="00840C19"/>
    <w:rsid w:val="00841243"/>
    <w:rsid w:val="00841457"/>
    <w:rsid w:val="0084374E"/>
    <w:rsid w:val="00844842"/>
    <w:rsid w:val="00844A53"/>
    <w:rsid w:val="00844DD0"/>
    <w:rsid w:val="00845DA1"/>
    <w:rsid w:val="00846D3F"/>
    <w:rsid w:val="0085089F"/>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9038F"/>
    <w:rsid w:val="00892B90"/>
    <w:rsid w:val="00896535"/>
    <w:rsid w:val="00896683"/>
    <w:rsid w:val="0089750B"/>
    <w:rsid w:val="00897589"/>
    <w:rsid w:val="008A0D4F"/>
    <w:rsid w:val="008A4FE5"/>
    <w:rsid w:val="008A5C34"/>
    <w:rsid w:val="008A63A9"/>
    <w:rsid w:val="008A7073"/>
    <w:rsid w:val="008A7F7E"/>
    <w:rsid w:val="008B04DB"/>
    <w:rsid w:val="008B09B4"/>
    <w:rsid w:val="008B27FD"/>
    <w:rsid w:val="008B3AF2"/>
    <w:rsid w:val="008B446D"/>
    <w:rsid w:val="008B515D"/>
    <w:rsid w:val="008B5D31"/>
    <w:rsid w:val="008B6705"/>
    <w:rsid w:val="008C22F3"/>
    <w:rsid w:val="008D29E7"/>
    <w:rsid w:val="008D795D"/>
    <w:rsid w:val="008D7B07"/>
    <w:rsid w:val="008E1E94"/>
    <w:rsid w:val="008E2D99"/>
    <w:rsid w:val="008E38B0"/>
    <w:rsid w:val="008E4A60"/>
    <w:rsid w:val="008E744D"/>
    <w:rsid w:val="008E747E"/>
    <w:rsid w:val="008F17D6"/>
    <w:rsid w:val="008F1E08"/>
    <w:rsid w:val="00900435"/>
    <w:rsid w:val="00900D8F"/>
    <w:rsid w:val="009014E3"/>
    <w:rsid w:val="009026E8"/>
    <w:rsid w:val="00902FDD"/>
    <w:rsid w:val="009046DE"/>
    <w:rsid w:val="00905EEF"/>
    <w:rsid w:val="00906EB7"/>
    <w:rsid w:val="009102BF"/>
    <w:rsid w:val="00911490"/>
    <w:rsid w:val="009115F2"/>
    <w:rsid w:val="00914ADB"/>
    <w:rsid w:val="009237B5"/>
    <w:rsid w:val="00923B25"/>
    <w:rsid w:val="0092402E"/>
    <w:rsid w:val="009259BA"/>
    <w:rsid w:val="00926FCB"/>
    <w:rsid w:val="009303BB"/>
    <w:rsid w:val="00931F0E"/>
    <w:rsid w:val="0093311A"/>
    <w:rsid w:val="00941A4C"/>
    <w:rsid w:val="00942645"/>
    <w:rsid w:val="009461E6"/>
    <w:rsid w:val="00950386"/>
    <w:rsid w:val="00950A3A"/>
    <w:rsid w:val="0095340A"/>
    <w:rsid w:val="00954581"/>
    <w:rsid w:val="0095466C"/>
    <w:rsid w:val="00954E5B"/>
    <w:rsid w:val="00955E45"/>
    <w:rsid w:val="009576BC"/>
    <w:rsid w:val="00960357"/>
    <w:rsid w:val="0096168C"/>
    <w:rsid w:val="00961840"/>
    <w:rsid w:val="009625E3"/>
    <w:rsid w:val="00962F2D"/>
    <w:rsid w:val="00963A7A"/>
    <w:rsid w:val="009672CD"/>
    <w:rsid w:val="00972996"/>
    <w:rsid w:val="009732B8"/>
    <w:rsid w:val="00973ACD"/>
    <w:rsid w:val="00974647"/>
    <w:rsid w:val="0097514A"/>
    <w:rsid w:val="009759C2"/>
    <w:rsid w:val="00975C72"/>
    <w:rsid w:val="00976869"/>
    <w:rsid w:val="00977740"/>
    <w:rsid w:val="00977CB4"/>
    <w:rsid w:val="009809B8"/>
    <w:rsid w:val="00981086"/>
    <w:rsid w:val="009818AF"/>
    <w:rsid w:val="00981B1C"/>
    <w:rsid w:val="0098222D"/>
    <w:rsid w:val="00985099"/>
    <w:rsid w:val="0099421F"/>
    <w:rsid w:val="00996B89"/>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37CA"/>
    <w:rsid w:val="009D4229"/>
    <w:rsid w:val="009E09D0"/>
    <w:rsid w:val="009E1283"/>
    <w:rsid w:val="009E3A7F"/>
    <w:rsid w:val="009E4DFC"/>
    <w:rsid w:val="009E5789"/>
    <w:rsid w:val="009E57B1"/>
    <w:rsid w:val="009E6379"/>
    <w:rsid w:val="009F3B63"/>
    <w:rsid w:val="009F6292"/>
    <w:rsid w:val="009F7809"/>
    <w:rsid w:val="009F7AF5"/>
    <w:rsid w:val="00A00D14"/>
    <w:rsid w:val="00A01408"/>
    <w:rsid w:val="00A02457"/>
    <w:rsid w:val="00A03190"/>
    <w:rsid w:val="00A0404B"/>
    <w:rsid w:val="00A0798C"/>
    <w:rsid w:val="00A07BDD"/>
    <w:rsid w:val="00A07F12"/>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3E8"/>
    <w:rsid w:val="00A258B7"/>
    <w:rsid w:val="00A25E17"/>
    <w:rsid w:val="00A32743"/>
    <w:rsid w:val="00A41468"/>
    <w:rsid w:val="00A414A9"/>
    <w:rsid w:val="00A44141"/>
    <w:rsid w:val="00A44CCA"/>
    <w:rsid w:val="00A44D75"/>
    <w:rsid w:val="00A47CF1"/>
    <w:rsid w:val="00A50418"/>
    <w:rsid w:val="00A54A47"/>
    <w:rsid w:val="00A56D26"/>
    <w:rsid w:val="00A571A7"/>
    <w:rsid w:val="00A57BA8"/>
    <w:rsid w:val="00A608FB"/>
    <w:rsid w:val="00A60D83"/>
    <w:rsid w:val="00A60F68"/>
    <w:rsid w:val="00A62DEB"/>
    <w:rsid w:val="00A63DF3"/>
    <w:rsid w:val="00A65C78"/>
    <w:rsid w:val="00A660A8"/>
    <w:rsid w:val="00A67591"/>
    <w:rsid w:val="00A67CA6"/>
    <w:rsid w:val="00A70E7B"/>
    <w:rsid w:val="00A73B84"/>
    <w:rsid w:val="00A7411D"/>
    <w:rsid w:val="00A7427F"/>
    <w:rsid w:val="00A7592B"/>
    <w:rsid w:val="00A76094"/>
    <w:rsid w:val="00A768E2"/>
    <w:rsid w:val="00A82C52"/>
    <w:rsid w:val="00A83C15"/>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C439D"/>
    <w:rsid w:val="00AC713F"/>
    <w:rsid w:val="00AC7329"/>
    <w:rsid w:val="00AD067E"/>
    <w:rsid w:val="00AD1B4E"/>
    <w:rsid w:val="00AD2801"/>
    <w:rsid w:val="00AD3496"/>
    <w:rsid w:val="00AD5771"/>
    <w:rsid w:val="00AD6870"/>
    <w:rsid w:val="00AD68C5"/>
    <w:rsid w:val="00AD7F8F"/>
    <w:rsid w:val="00AE061D"/>
    <w:rsid w:val="00AE1273"/>
    <w:rsid w:val="00AE18C5"/>
    <w:rsid w:val="00AE2D29"/>
    <w:rsid w:val="00AE4624"/>
    <w:rsid w:val="00AE5E14"/>
    <w:rsid w:val="00AE6115"/>
    <w:rsid w:val="00AE625B"/>
    <w:rsid w:val="00AF1103"/>
    <w:rsid w:val="00AF1668"/>
    <w:rsid w:val="00AF4FA5"/>
    <w:rsid w:val="00B04562"/>
    <w:rsid w:val="00B0773A"/>
    <w:rsid w:val="00B07955"/>
    <w:rsid w:val="00B1176B"/>
    <w:rsid w:val="00B140B8"/>
    <w:rsid w:val="00B14FAA"/>
    <w:rsid w:val="00B15BED"/>
    <w:rsid w:val="00B15D30"/>
    <w:rsid w:val="00B20624"/>
    <w:rsid w:val="00B21CC2"/>
    <w:rsid w:val="00B23436"/>
    <w:rsid w:val="00B237F1"/>
    <w:rsid w:val="00B24F33"/>
    <w:rsid w:val="00B26354"/>
    <w:rsid w:val="00B26CA0"/>
    <w:rsid w:val="00B32179"/>
    <w:rsid w:val="00B33007"/>
    <w:rsid w:val="00B331A9"/>
    <w:rsid w:val="00B33498"/>
    <w:rsid w:val="00B36569"/>
    <w:rsid w:val="00B40A05"/>
    <w:rsid w:val="00B40A3E"/>
    <w:rsid w:val="00B427BB"/>
    <w:rsid w:val="00B449EE"/>
    <w:rsid w:val="00B454AE"/>
    <w:rsid w:val="00B50227"/>
    <w:rsid w:val="00B50510"/>
    <w:rsid w:val="00B522CD"/>
    <w:rsid w:val="00B54DEC"/>
    <w:rsid w:val="00B55143"/>
    <w:rsid w:val="00B555C8"/>
    <w:rsid w:val="00B55917"/>
    <w:rsid w:val="00B57EB8"/>
    <w:rsid w:val="00B643A6"/>
    <w:rsid w:val="00B64DD6"/>
    <w:rsid w:val="00B6710C"/>
    <w:rsid w:val="00B67E84"/>
    <w:rsid w:val="00B72076"/>
    <w:rsid w:val="00B72303"/>
    <w:rsid w:val="00B72C72"/>
    <w:rsid w:val="00B731E4"/>
    <w:rsid w:val="00B76796"/>
    <w:rsid w:val="00B771E0"/>
    <w:rsid w:val="00B812BD"/>
    <w:rsid w:val="00B82277"/>
    <w:rsid w:val="00B8478F"/>
    <w:rsid w:val="00B91676"/>
    <w:rsid w:val="00B95833"/>
    <w:rsid w:val="00BA1824"/>
    <w:rsid w:val="00BA2D98"/>
    <w:rsid w:val="00BA2F0C"/>
    <w:rsid w:val="00BA30D1"/>
    <w:rsid w:val="00BA30E1"/>
    <w:rsid w:val="00BA4609"/>
    <w:rsid w:val="00BA5BE2"/>
    <w:rsid w:val="00BA7F46"/>
    <w:rsid w:val="00BB0A0A"/>
    <w:rsid w:val="00BB133C"/>
    <w:rsid w:val="00BB1F04"/>
    <w:rsid w:val="00BB23E2"/>
    <w:rsid w:val="00BB45B5"/>
    <w:rsid w:val="00BB6064"/>
    <w:rsid w:val="00BB7012"/>
    <w:rsid w:val="00BC09D1"/>
    <w:rsid w:val="00BC1CF3"/>
    <w:rsid w:val="00BC3006"/>
    <w:rsid w:val="00BC3573"/>
    <w:rsid w:val="00BC7F82"/>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B7F"/>
    <w:rsid w:val="00BF2988"/>
    <w:rsid w:val="00BF4720"/>
    <w:rsid w:val="00BF4F49"/>
    <w:rsid w:val="00BF6759"/>
    <w:rsid w:val="00BF7B4F"/>
    <w:rsid w:val="00BF7B63"/>
    <w:rsid w:val="00C038EC"/>
    <w:rsid w:val="00C05C6D"/>
    <w:rsid w:val="00C072D7"/>
    <w:rsid w:val="00C1122B"/>
    <w:rsid w:val="00C12E91"/>
    <w:rsid w:val="00C13B34"/>
    <w:rsid w:val="00C13F26"/>
    <w:rsid w:val="00C1474E"/>
    <w:rsid w:val="00C14C37"/>
    <w:rsid w:val="00C16BE4"/>
    <w:rsid w:val="00C16E9F"/>
    <w:rsid w:val="00C1713D"/>
    <w:rsid w:val="00C17523"/>
    <w:rsid w:val="00C177F1"/>
    <w:rsid w:val="00C17EE6"/>
    <w:rsid w:val="00C2272E"/>
    <w:rsid w:val="00C22F3A"/>
    <w:rsid w:val="00C23311"/>
    <w:rsid w:val="00C25978"/>
    <w:rsid w:val="00C261C6"/>
    <w:rsid w:val="00C26621"/>
    <w:rsid w:val="00C26E7C"/>
    <w:rsid w:val="00C276CD"/>
    <w:rsid w:val="00C30A97"/>
    <w:rsid w:val="00C31DDC"/>
    <w:rsid w:val="00C34326"/>
    <w:rsid w:val="00C36201"/>
    <w:rsid w:val="00C368E8"/>
    <w:rsid w:val="00C36C3D"/>
    <w:rsid w:val="00C372C7"/>
    <w:rsid w:val="00C410EE"/>
    <w:rsid w:val="00C42443"/>
    <w:rsid w:val="00C42CBA"/>
    <w:rsid w:val="00C4338C"/>
    <w:rsid w:val="00C45F49"/>
    <w:rsid w:val="00C472C7"/>
    <w:rsid w:val="00C5019E"/>
    <w:rsid w:val="00C50792"/>
    <w:rsid w:val="00C5377C"/>
    <w:rsid w:val="00C53E8A"/>
    <w:rsid w:val="00C54DF3"/>
    <w:rsid w:val="00C560A7"/>
    <w:rsid w:val="00C56FC8"/>
    <w:rsid w:val="00C60F23"/>
    <w:rsid w:val="00C62EB2"/>
    <w:rsid w:val="00C67D7E"/>
    <w:rsid w:val="00C71BEC"/>
    <w:rsid w:val="00C72C27"/>
    <w:rsid w:val="00C74D3A"/>
    <w:rsid w:val="00C75F3D"/>
    <w:rsid w:val="00C80511"/>
    <w:rsid w:val="00C826F5"/>
    <w:rsid w:val="00C83740"/>
    <w:rsid w:val="00C84AD1"/>
    <w:rsid w:val="00C85579"/>
    <w:rsid w:val="00C863E5"/>
    <w:rsid w:val="00C87BE6"/>
    <w:rsid w:val="00C87F76"/>
    <w:rsid w:val="00C931FC"/>
    <w:rsid w:val="00C932C5"/>
    <w:rsid w:val="00C95A72"/>
    <w:rsid w:val="00C9650E"/>
    <w:rsid w:val="00C975BD"/>
    <w:rsid w:val="00CA068D"/>
    <w:rsid w:val="00CA1228"/>
    <w:rsid w:val="00CA1C73"/>
    <w:rsid w:val="00CA282D"/>
    <w:rsid w:val="00CA3F73"/>
    <w:rsid w:val="00CA4670"/>
    <w:rsid w:val="00CA6B1A"/>
    <w:rsid w:val="00CB130D"/>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D07D2"/>
    <w:rsid w:val="00CD15BE"/>
    <w:rsid w:val="00CD1921"/>
    <w:rsid w:val="00CD1EF2"/>
    <w:rsid w:val="00CD32BD"/>
    <w:rsid w:val="00CD34C7"/>
    <w:rsid w:val="00CD5653"/>
    <w:rsid w:val="00CD5E6D"/>
    <w:rsid w:val="00CD63C8"/>
    <w:rsid w:val="00CE069E"/>
    <w:rsid w:val="00CF158D"/>
    <w:rsid w:val="00CF4394"/>
    <w:rsid w:val="00D000A9"/>
    <w:rsid w:val="00D005DB"/>
    <w:rsid w:val="00D0064E"/>
    <w:rsid w:val="00D00981"/>
    <w:rsid w:val="00D02596"/>
    <w:rsid w:val="00D0280D"/>
    <w:rsid w:val="00D05669"/>
    <w:rsid w:val="00D06952"/>
    <w:rsid w:val="00D07A72"/>
    <w:rsid w:val="00D10577"/>
    <w:rsid w:val="00D12A4E"/>
    <w:rsid w:val="00D1323B"/>
    <w:rsid w:val="00D14BAE"/>
    <w:rsid w:val="00D1648B"/>
    <w:rsid w:val="00D16819"/>
    <w:rsid w:val="00D17DD9"/>
    <w:rsid w:val="00D20AC0"/>
    <w:rsid w:val="00D2321B"/>
    <w:rsid w:val="00D237E7"/>
    <w:rsid w:val="00D23DE4"/>
    <w:rsid w:val="00D25A5C"/>
    <w:rsid w:val="00D26873"/>
    <w:rsid w:val="00D27F6B"/>
    <w:rsid w:val="00D31683"/>
    <w:rsid w:val="00D32F62"/>
    <w:rsid w:val="00D336C8"/>
    <w:rsid w:val="00D339E8"/>
    <w:rsid w:val="00D3654A"/>
    <w:rsid w:val="00D3662E"/>
    <w:rsid w:val="00D40B1F"/>
    <w:rsid w:val="00D40D75"/>
    <w:rsid w:val="00D43978"/>
    <w:rsid w:val="00D449F0"/>
    <w:rsid w:val="00D50C8C"/>
    <w:rsid w:val="00D52393"/>
    <w:rsid w:val="00D523E4"/>
    <w:rsid w:val="00D5279D"/>
    <w:rsid w:val="00D52A1B"/>
    <w:rsid w:val="00D52AA7"/>
    <w:rsid w:val="00D52FCC"/>
    <w:rsid w:val="00D53F14"/>
    <w:rsid w:val="00D54BE4"/>
    <w:rsid w:val="00D560DC"/>
    <w:rsid w:val="00D56602"/>
    <w:rsid w:val="00D60483"/>
    <w:rsid w:val="00D61ABB"/>
    <w:rsid w:val="00D62D5C"/>
    <w:rsid w:val="00D63577"/>
    <w:rsid w:val="00D64919"/>
    <w:rsid w:val="00D67FD7"/>
    <w:rsid w:val="00D72410"/>
    <w:rsid w:val="00D7408A"/>
    <w:rsid w:val="00D74261"/>
    <w:rsid w:val="00D7441B"/>
    <w:rsid w:val="00D74592"/>
    <w:rsid w:val="00D75589"/>
    <w:rsid w:val="00D76AB2"/>
    <w:rsid w:val="00D80490"/>
    <w:rsid w:val="00D829AD"/>
    <w:rsid w:val="00D82A74"/>
    <w:rsid w:val="00D82EE2"/>
    <w:rsid w:val="00D8545C"/>
    <w:rsid w:val="00D87788"/>
    <w:rsid w:val="00D877C8"/>
    <w:rsid w:val="00D91040"/>
    <w:rsid w:val="00D910C2"/>
    <w:rsid w:val="00D9168C"/>
    <w:rsid w:val="00D9189B"/>
    <w:rsid w:val="00D91DA6"/>
    <w:rsid w:val="00D93B9A"/>
    <w:rsid w:val="00D95984"/>
    <w:rsid w:val="00D9638F"/>
    <w:rsid w:val="00D9706F"/>
    <w:rsid w:val="00D972D4"/>
    <w:rsid w:val="00DA195B"/>
    <w:rsid w:val="00DA6B55"/>
    <w:rsid w:val="00DA6B97"/>
    <w:rsid w:val="00DB0015"/>
    <w:rsid w:val="00DB0359"/>
    <w:rsid w:val="00DB0ABB"/>
    <w:rsid w:val="00DB2649"/>
    <w:rsid w:val="00DB2AAD"/>
    <w:rsid w:val="00DB5941"/>
    <w:rsid w:val="00DB626D"/>
    <w:rsid w:val="00DB6365"/>
    <w:rsid w:val="00DC0BF1"/>
    <w:rsid w:val="00DC17F2"/>
    <w:rsid w:val="00DC41C3"/>
    <w:rsid w:val="00DC4FA4"/>
    <w:rsid w:val="00DC714C"/>
    <w:rsid w:val="00DD286D"/>
    <w:rsid w:val="00DD2CAF"/>
    <w:rsid w:val="00DD3593"/>
    <w:rsid w:val="00DD64E0"/>
    <w:rsid w:val="00DE0C67"/>
    <w:rsid w:val="00DE6952"/>
    <w:rsid w:val="00DE7E74"/>
    <w:rsid w:val="00DF071B"/>
    <w:rsid w:val="00DF0EFC"/>
    <w:rsid w:val="00DF6EF8"/>
    <w:rsid w:val="00E004A7"/>
    <w:rsid w:val="00E00A69"/>
    <w:rsid w:val="00E017F0"/>
    <w:rsid w:val="00E01A0E"/>
    <w:rsid w:val="00E041E4"/>
    <w:rsid w:val="00E1012B"/>
    <w:rsid w:val="00E103C8"/>
    <w:rsid w:val="00E1041F"/>
    <w:rsid w:val="00E1085B"/>
    <w:rsid w:val="00E1308B"/>
    <w:rsid w:val="00E14581"/>
    <w:rsid w:val="00E15539"/>
    <w:rsid w:val="00E16541"/>
    <w:rsid w:val="00E202F4"/>
    <w:rsid w:val="00E2536E"/>
    <w:rsid w:val="00E25B8A"/>
    <w:rsid w:val="00E2632B"/>
    <w:rsid w:val="00E322F7"/>
    <w:rsid w:val="00E3369B"/>
    <w:rsid w:val="00E36D76"/>
    <w:rsid w:val="00E40478"/>
    <w:rsid w:val="00E405EA"/>
    <w:rsid w:val="00E408B7"/>
    <w:rsid w:val="00E41637"/>
    <w:rsid w:val="00E42789"/>
    <w:rsid w:val="00E43F59"/>
    <w:rsid w:val="00E464F0"/>
    <w:rsid w:val="00E46EF3"/>
    <w:rsid w:val="00E473E9"/>
    <w:rsid w:val="00E50BEB"/>
    <w:rsid w:val="00E548FA"/>
    <w:rsid w:val="00E549FC"/>
    <w:rsid w:val="00E57703"/>
    <w:rsid w:val="00E57ED4"/>
    <w:rsid w:val="00E57FED"/>
    <w:rsid w:val="00E6092F"/>
    <w:rsid w:val="00E62049"/>
    <w:rsid w:val="00E629DA"/>
    <w:rsid w:val="00E6469F"/>
    <w:rsid w:val="00E65D39"/>
    <w:rsid w:val="00E670F8"/>
    <w:rsid w:val="00E67FAC"/>
    <w:rsid w:val="00E7200B"/>
    <w:rsid w:val="00E734C6"/>
    <w:rsid w:val="00E738CB"/>
    <w:rsid w:val="00E73C88"/>
    <w:rsid w:val="00E74437"/>
    <w:rsid w:val="00E7443D"/>
    <w:rsid w:val="00E75ACE"/>
    <w:rsid w:val="00E81C3E"/>
    <w:rsid w:val="00E82359"/>
    <w:rsid w:val="00E82B6D"/>
    <w:rsid w:val="00E8372F"/>
    <w:rsid w:val="00E8608F"/>
    <w:rsid w:val="00E86C11"/>
    <w:rsid w:val="00EA1177"/>
    <w:rsid w:val="00EA118B"/>
    <w:rsid w:val="00EA11B6"/>
    <w:rsid w:val="00EA2181"/>
    <w:rsid w:val="00EA2DD8"/>
    <w:rsid w:val="00EA4475"/>
    <w:rsid w:val="00EA52FE"/>
    <w:rsid w:val="00EA681F"/>
    <w:rsid w:val="00EA7CEE"/>
    <w:rsid w:val="00EB06A6"/>
    <w:rsid w:val="00EB3307"/>
    <w:rsid w:val="00EB3823"/>
    <w:rsid w:val="00EB47D8"/>
    <w:rsid w:val="00EB57D3"/>
    <w:rsid w:val="00EB5EFD"/>
    <w:rsid w:val="00EB679F"/>
    <w:rsid w:val="00EB76E4"/>
    <w:rsid w:val="00EC0E65"/>
    <w:rsid w:val="00EC1251"/>
    <w:rsid w:val="00EC223D"/>
    <w:rsid w:val="00EC2938"/>
    <w:rsid w:val="00EC337D"/>
    <w:rsid w:val="00EC38EF"/>
    <w:rsid w:val="00EC50C9"/>
    <w:rsid w:val="00EC58B4"/>
    <w:rsid w:val="00EC5BB2"/>
    <w:rsid w:val="00ED12F0"/>
    <w:rsid w:val="00ED1CE8"/>
    <w:rsid w:val="00ED4773"/>
    <w:rsid w:val="00ED5284"/>
    <w:rsid w:val="00ED664B"/>
    <w:rsid w:val="00ED6A61"/>
    <w:rsid w:val="00ED7DA4"/>
    <w:rsid w:val="00EE03BB"/>
    <w:rsid w:val="00EE0B44"/>
    <w:rsid w:val="00EE6FE0"/>
    <w:rsid w:val="00EE704A"/>
    <w:rsid w:val="00EE7840"/>
    <w:rsid w:val="00EF2E75"/>
    <w:rsid w:val="00EF4C74"/>
    <w:rsid w:val="00EF5268"/>
    <w:rsid w:val="00EF608E"/>
    <w:rsid w:val="00EF784D"/>
    <w:rsid w:val="00F0044B"/>
    <w:rsid w:val="00F03525"/>
    <w:rsid w:val="00F04957"/>
    <w:rsid w:val="00F05807"/>
    <w:rsid w:val="00F07052"/>
    <w:rsid w:val="00F0706C"/>
    <w:rsid w:val="00F11EBE"/>
    <w:rsid w:val="00F12BA8"/>
    <w:rsid w:val="00F130D0"/>
    <w:rsid w:val="00F14933"/>
    <w:rsid w:val="00F1516A"/>
    <w:rsid w:val="00F171F9"/>
    <w:rsid w:val="00F217C0"/>
    <w:rsid w:val="00F22A26"/>
    <w:rsid w:val="00F24072"/>
    <w:rsid w:val="00F26432"/>
    <w:rsid w:val="00F302BC"/>
    <w:rsid w:val="00F3197A"/>
    <w:rsid w:val="00F31A73"/>
    <w:rsid w:val="00F32139"/>
    <w:rsid w:val="00F33D56"/>
    <w:rsid w:val="00F34E08"/>
    <w:rsid w:val="00F41D91"/>
    <w:rsid w:val="00F41F52"/>
    <w:rsid w:val="00F42363"/>
    <w:rsid w:val="00F46964"/>
    <w:rsid w:val="00F46F9A"/>
    <w:rsid w:val="00F470FD"/>
    <w:rsid w:val="00F50F30"/>
    <w:rsid w:val="00F5126A"/>
    <w:rsid w:val="00F5126E"/>
    <w:rsid w:val="00F51755"/>
    <w:rsid w:val="00F56EA1"/>
    <w:rsid w:val="00F6196E"/>
    <w:rsid w:val="00F624DD"/>
    <w:rsid w:val="00F629C0"/>
    <w:rsid w:val="00F63FC7"/>
    <w:rsid w:val="00F65ED5"/>
    <w:rsid w:val="00F6608B"/>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66F9"/>
    <w:rsid w:val="00F96F61"/>
    <w:rsid w:val="00F97740"/>
    <w:rsid w:val="00FA21A8"/>
    <w:rsid w:val="00FA2DEF"/>
    <w:rsid w:val="00FA2F7B"/>
    <w:rsid w:val="00FA3C97"/>
    <w:rsid w:val="00FA3D30"/>
    <w:rsid w:val="00FA78C8"/>
    <w:rsid w:val="00FB09FE"/>
    <w:rsid w:val="00FB101D"/>
    <w:rsid w:val="00FB1725"/>
    <w:rsid w:val="00FB2493"/>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0BBC"/>
    <w:rsid w:val="00FD1D5A"/>
    <w:rsid w:val="00FD2CF4"/>
    <w:rsid w:val="00FD5059"/>
    <w:rsid w:val="00FD554D"/>
    <w:rsid w:val="00FD5BCC"/>
    <w:rsid w:val="00FE5D0A"/>
    <w:rsid w:val="00FE6469"/>
    <w:rsid w:val="00FF06CE"/>
    <w:rsid w:val="00FF0FF7"/>
    <w:rsid w:val="00FF10A2"/>
    <w:rsid w:val="00FF1438"/>
    <w:rsid w:val="00FF3A38"/>
    <w:rsid w:val="00FF3C2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CB56-B12B-463A-82C1-35A29F0A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2011-06-21T16:34:00Z</cp:lastPrinted>
  <dcterms:created xsi:type="dcterms:W3CDTF">2011-08-02T17:57:00Z</dcterms:created>
  <dcterms:modified xsi:type="dcterms:W3CDTF">2012-05-14T22:02:00Z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