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4A" w:rsidRPr="00396779" w:rsidRDefault="0053504A" w:rsidP="0053504A">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3504A" w:rsidRPr="00396779" w:rsidRDefault="0053504A" w:rsidP="0053504A">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3504A" w:rsidRPr="00396779" w:rsidRDefault="0053504A" w:rsidP="0053504A">
      <w:pPr>
        <w:tabs>
          <w:tab w:val="left" w:pos="288"/>
          <w:tab w:val="left" w:pos="4752"/>
        </w:tabs>
        <w:spacing w:line="240" w:lineRule="exact"/>
        <w:jc w:val="both"/>
        <w:rPr>
          <w:rFonts w:asciiTheme="minorHAnsi" w:hAnsiTheme="minorHAnsi"/>
          <w:caps/>
          <w:color w:val="auto"/>
        </w:rPr>
      </w:pPr>
    </w:p>
    <w:p w:rsidR="0053504A" w:rsidRPr="001E669C" w:rsidRDefault="0053504A" w:rsidP="0053504A">
      <w:pPr>
        <w:tabs>
          <w:tab w:val="left" w:pos="288"/>
          <w:tab w:val="left" w:pos="4752"/>
          <w:tab w:val="left" w:pos="5400"/>
          <w:tab w:val="left" w:pos="9270"/>
        </w:tabs>
        <w:spacing w:line="240" w:lineRule="exact"/>
        <w:jc w:val="both"/>
        <w:rPr>
          <w:rFonts w:asciiTheme="minorHAnsi" w:hAnsiTheme="minorHAnsi"/>
          <w:caps/>
          <w:color w:val="auto"/>
        </w:rPr>
      </w:pPr>
      <w:r>
        <w:rPr>
          <w:rFonts w:asciiTheme="minorHAnsi" w:hAnsiTheme="minorHAnsi"/>
          <w:caps/>
          <w:color w:val="auto"/>
        </w:rPr>
        <w:t xml:space="preserve">NAME:  </w:t>
      </w:r>
      <w:r w:rsidR="003F19E2">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r>
      <w:r w:rsidR="00F27AF6">
        <w:rPr>
          <w:rFonts w:asciiTheme="minorHAnsi" w:hAnsiTheme="minorHAnsi"/>
          <w:caps/>
          <w:color w:val="auto"/>
        </w:rPr>
        <w:t xml:space="preserve"> </w:t>
      </w:r>
      <w:r w:rsidRPr="001E669C">
        <w:rPr>
          <w:rFonts w:asciiTheme="minorHAnsi" w:hAnsiTheme="minorHAnsi"/>
          <w:caps/>
          <w:color w:val="auto"/>
        </w:rPr>
        <w:t>BRANCH OF SERVICE</w:t>
      </w:r>
      <w:r w:rsidR="00F27AF6">
        <w:rPr>
          <w:rFonts w:asciiTheme="minorHAnsi" w:hAnsiTheme="minorHAnsi"/>
          <w:caps/>
          <w:color w:val="auto"/>
        </w:rPr>
        <w:t>:  marine corps</w:t>
      </w:r>
    </w:p>
    <w:p w:rsidR="0053504A" w:rsidRPr="001E669C" w:rsidRDefault="0053504A" w:rsidP="0053504A">
      <w:pPr>
        <w:tabs>
          <w:tab w:val="left" w:pos="288"/>
          <w:tab w:val="left" w:pos="4752"/>
          <w:tab w:val="left" w:pos="5400"/>
          <w:tab w:val="left" w:pos="9270"/>
        </w:tabs>
        <w:spacing w:line="240" w:lineRule="exact"/>
        <w:jc w:val="both"/>
        <w:rPr>
          <w:rFonts w:asciiTheme="minorHAnsi" w:hAnsiTheme="minorHAnsi"/>
          <w:caps/>
          <w:color w:val="auto"/>
        </w:rPr>
      </w:pPr>
      <w:r w:rsidRPr="001E669C">
        <w:rPr>
          <w:rFonts w:asciiTheme="minorHAnsi" w:hAnsiTheme="minorHAnsi"/>
          <w:caps/>
          <w:color w:val="auto"/>
        </w:rPr>
        <w:t>CASE NUMBER:  PD</w:t>
      </w:r>
      <w:r w:rsidRPr="00B31548">
        <w:rPr>
          <w:rFonts w:asciiTheme="minorHAnsi" w:hAnsiTheme="minorHAnsi"/>
          <w:caps/>
          <w:color w:val="auto"/>
        </w:rPr>
        <w:t>10</w:t>
      </w:r>
      <w:r>
        <w:rPr>
          <w:rFonts w:asciiTheme="minorHAnsi" w:hAnsiTheme="minorHAnsi"/>
          <w:caps/>
          <w:color w:val="auto"/>
        </w:rPr>
        <w:t>00718</w:t>
      </w:r>
      <w:r>
        <w:rPr>
          <w:rFonts w:asciiTheme="minorHAnsi" w:hAnsiTheme="minorHAnsi"/>
          <w:color w:val="auto"/>
        </w:rPr>
        <w:tab/>
      </w:r>
      <w:r>
        <w:rPr>
          <w:rFonts w:asciiTheme="minorHAnsi" w:hAnsiTheme="minorHAnsi"/>
          <w:color w:val="auto"/>
        </w:rPr>
        <w:tab/>
      </w:r>
      <w:r w:rsidR="00F27AF6">
        <w:rPr>
          <w:rFonts w:asciiTheme="minorHAnsi" w:hAnsiTheme="minorHAnsi"/>
          <w:color w:val="auto"/>
        </w:rPr>
        <w:t xml:space="preserve"> </w:t>
      </w:r>
      <w:r w:rsidRPr="001E669C">
        <w:rPr>
          <w:rFonts w:asciiTheme="minorHAnsi" w:hAnsiTheme="minorHAnsi"/>
          <w:color w:val="auto"/>
        </w:rPr>
        <w:t xml:space="preserve">SEPARATION DATE: </w:t>
      </w:r>
      <w:r>
        <w:rPr>
          <w:rFonts w:asciiTheme="minorHAnsi" w:hAnsiTheme="minorHAnsi"/>
          <w:color w:val="auto"/>
        </w:rPr>
        <w:t xml:space="preserve"> </w:t>
      </w:r>
      <w:r w:rsidRPr="00B31548">
        <w:rPr>
          <w:rFonts w:asciiTheme="minorHAnsi" w:hAnsiTheme="minorHAnsi"/>
          <w:caps/>
          <w:color w:val="auto"/>
        </w:rPr>
        <w:t>20</w:t>
      </w:r>
      <w:r>
        <w:rPr>
          <w:rFonts w:asciiTheme="minorHAnsi" w:hAnsiTheme="minorHAnsi"/>
          <w:caps/>
          <w:color w:val="auto"/>
        </w:rPr>
        <w:t>090429</w:t>
      </w:r>
      <w:r w:rsidRPr="001E669C">
        <w:rPr>
          <w:rFonts w:asciiTheme="minorHAnsi" w:hAnsiTheme="minorHAnsi"/>
          <w:color w:val="auto"/>
        </w:rPr>
        <w:t xml:space="preserve"> </w:t>
      </w:r>
    </w:p>
    <w:p w:rsidR="0053504A" w:rsidRDefault="0053504A" w:rsidP="00577F6A">
      <w:pPr>
        <w:tabs>
          <w:tab w:val="left" w:pos="288"/>
          <w:tab w:val="left" w:pos="5130"/>
        </w:tabs>
        <w:spacing w:line="240" w:lineRule="exact"/>
        <w:jc w:val="both"/>
        <w:rPr>
          <w:rFonts w:asciiTheme="minorHAnsi" w:hAnsiTheme="minorHAnsi"/>
          <w:color w:val="auto"/>
        </w:rPr>
      </w:pPr>
      <w:r w:rsidRPr="001E669C">
        <w:rPr>
          <w:rFonts w:asciiTheme="minorHAnsi" w:hAnsiTheme="minorHAnsi"/>
          <w:caps/>
          <w:color w:val="auto"/>
        </w:rPr>
        <w:t>BOARD DATE:  2011</w:t>
      </w:r>
      <w:r w:rsidR="008F66B1">
        <w:rPr>
          <w:rFonts w:asciiTheme="minorHAnsi" w:hAnsiTheme="minorHAnsi"/>
          <w:caps/>
          <w:color w:val="auto"/>
        </w:rPr>
        <w:t>1130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53504A" w:rsidRPr="006609AD" w:rsidRDefault="0053504A" w:rsidP="0053504A">
      <w:pPr>
        <w:tabs>
          <w:tab w:val="left" w:pos="288"/>
          <w:tab w:val="left" w:pos="4752"/>
        </w:tabs>
        <w:spacing w:line="240" w:lineRule="exact"/>
        <w:rPr>
          <w:color w:val="auto"/>
          <w:szCs w:val="24"/>
        </w:rPr>
      </w:pPr>
    </w:p>
    <w:p w:rsidR="0053504A" w:rsidRPr="00335C2C" w:rsidRDefault="0053504A" w:rsidP="0053504A">
      <w:pPr>
        <w:tabs>
          <w:tab w:val="left" w:pos="288"/>
          <w:tab w:val="left" w:pos="4752"/>
        </w:tabs>
        <w:spacing w:line="240" w:lineRule="exact"/>
        <w:jc w:val="both"/>
        <w:rPr>
          <w:rFonts w:asciiTheme="minorHAnsi" w:hAnsiTheme="minorHAnsi" w:cstheme="minorHAnsi"/>
          <w:color w:val="auto"/>
          <w:szCs w:val="24"/>
        </w:rPr>
      </w:pPr>
      <w:r w:rsidRPr="006609AD">
        <w:rPr>
          <w:rFonts w:asciiTheme="minorHAnsi" w:hAnsiTheme="minorHAnsi"/>
          <w:color w:val="auto"/>
          <w:u w:val="single"/>
        </w:rPr>
        <w:t>SUMMARY</w:t>
      </w:r>
      <w:r w:rsidRPr="00396779">
        <w:rPr>
          <w:rFonts w:asciiTheme="minorHAnsi" w:hAnsiTheme="minorHAnsi"/>
          <w:color w:val="auto"/>
          <w:u w:val="single"/>
        </w:rPr>
        <w:t xml:space="preserve"> OF CASE</w:t>
      </w:r>
      <w:r w:rsidRPr="00396779">
        <w:rPr>
          <w:rFonts w:asciiTheme="minorHAnsi" w:hAnsiTheme="minorHAnsi"/>
          <w:color w:val="auto"/>
        </w:rPr>
        <w:t>:</w:t>
      </w:r>
      <w:r>
        <w:rPr>
          <w:rFonts w:asciiTheme="minorHAnsi" w:hAnsiTheme="minorHAnsi"/>
          <w:color w:val="auto"/>
        </w:rPr>
        <w:t xml:space="preserve"> </w:t>
      </w:r>
      <w:r w:rsidRPr="00396779">
        <w:rPr>
          <w:rFonts w:asciiTheme="minorHAnsi" w:hAnsiTheme="minorHAnsi"/>
          <w:color w:val="auto"/>
        </w:rPr>
        <w:t xml:space="preserve"> </w:t>
      </w:r>
      <w:r w:rsidRPr="008C21C1">
        <w:rPr>
          <w:rFonts w:asciiTheme="minorHAnsi" w:hAnsiTheme="minorHAnsi" w:cstheme="minorHAnsi"/>
          <w:color w:val="auto"/>
        </w:rPr>
        <w:t xml:space="preserve">Data extracted from the </w:t>
      </w:r>
      <w:r w:rsidRPr="00577F6A">
        <w:rPr>
          <w:rFonts w:asciiTheme="minorHAnsi" w:hAnsiTheme="minorHAnsi" w:cstheme="minorHAnsi"/>
          <w:color w:val="auto"/>
        </w:rPr>
        <w:t xml:space="preserve">available evidence of record reflects that this covered individual (CI) </w:t>
      </w:r>
      <w:r w:rsidRPr="00577F6A">
        <w:rPr>
          <w:rFonts w:asciiTheme="minorHAnsi" w:hAnsiTheme="minorHAnsi" w:cstheme="minorHAnsi"/>
          <w:color w:val="auto"/>
          <w:szCs w:val="24"/>
        </w:rPr>
        <w:t>was an active duty C</w:t>
      </w:r>
      <w:r w:rsidR="009F6A6D">
        <w:rPr>
          <w:rFonts w:asciiTheme="minorHAnsi" w:hAnsiTheme="minorHAnsi" w:cstheme="minorHAnsi"/>
          <w:color w:val="auto"/>
          <w:szCs w:val="24"/>
        </w:rPr>
        <w:t>PL/</w:t>
      </w:r>
      <w:r w:rsidR="00C63313" w:rsidRPr="00577F6A">
        <w:rPr>
          <w:rFonts w:asciiTheme="minorHAnsi" w:hAnsiTheme="minorHAnsi" w:cstheme="minorHAnsi"/>
          <w:color w:val="auto"/>
          <w:szCs w:val="24"/>
        </w:rPr>
        <w:t>E-4</w:t>
      </w:r>
      <w:proofErr w:type="gramStart"/>
      <w:r w:rsidR="00356AF9">
        <w:rPr>
          <w:rFonts w:asciiTheme="minorHAnsi" w:hAnsiTheme="minorHAnsi" w:cstheme="minorHAnsi"/>
          <w:color w:val="auto"/>
          <w:szCs w:val="24"/>
        </w:rPr>
        <w:t xml:space="preserve">, </w:t>
      </w:r>
      <w:r w:rsidR="00C63313" w:rsidRPr="00577F6A">
        <w:rPr>
          <w:rFonts w:asciiTheme="minorHAnsi" w:hAnsiTheme="minorHAnsi" w:cstheme="minorHAnsi"/>
          <w:color w:val="auto"/>
          <w:szCs w:val="24"/>
        </w:rPr>
        <w:t xml:space="preserve"> </w:t>
      </w:r>
      <w:r w:rsidRPr="00577F6A">
        <w:rPr>
          <w:rFonts w:asciiTheme="minorHAnsi" w:hAnsiTheme="minorHAnsi" w:cstheme="minorHAnsi"/>
          <w:color w:val="auto"/>
          <w:szCs w:val="24"/>
        </w:rPr>
        <w:t>(</w:t>
      </w:r>
      <w:proofErr w:type="gramEnd"/>
      <w:r w:rsidRPr="00577F6A">
        <w:rPr>
          <w:rFonts w:asciiTheme="minorHAnsi" w:hAnsiTheme="minorHAnsi" w:cstheme="minorHAnsi"/>
          <w:color w:val="auto"/>
          <w:szCs w:val="24"/>
        </w:rPr>
        <w:t>6062</w:t>
      </w:r>
      <w:r w:rsidR="00356AF9">
        <w:rPr>
          <w:rFonts w:asciiTheme="minorHAnsi" w:hAnsiTheme="minorHAnsi" w:cstheme="minorHAnsi"/>
          <w:color w:val="auto"/>
          <w:szCs w:val="24"/>
        </w:rPr>
        <w:t xml:space="preserve">, </w:t>
      </w:r>
      <w:r w:rsidRPr="00577F6A">
        <w:rPr>
          <w:rFonts w:asciiTheme="minorHAnsi" w:hAnsiTheme="minorHAnsi" w:cstheme="minorHAnsi"/>
          <w:color w:val="auto"/>
          <w:szCs w:val="24"/>
        </w:rPr>
        <w:t xml:space="preserve">Aircraft Intermediate Hydraulics Mechanic, medically separated for complex regional pain syndrome, right lower extremity.  The CI’s injured her right ankle in boot camp in during a rope climb and after failing conservative treatment </w:t>
      </w:r>
      <w:r w:rsidRPr="008F66B1">
        <w:rPr>
          <w:rFonts w:asciiTheme="minorHAnsi" w:hAnsiTheme="minorHAnsi" w:cstheme="minorHAnsi"/>
          <w:color w:val="auto"/>
          <w:szCs w:val="24"/>
        </w:rPr>
        <w:t>for chronic right ankle pain</w:t>
      </w:r>
      <w:r w:rsidR="00C63313" w:rsidRPr="008F66B1">
        <w:rPr>
          <w:rFonts w:asciiTheme="minorHAnsi" w:hAnsiTheme="minorHAnsi" w:cstheme="minorHAnsi"/>
          <w:color w:val="auto"/>
          <w:szCs w:val="24"/>
        </w:rPr>
        <w:t xml:space="preserve"> underwent two surgeries.</w:t>
      </w:r>
      <w:r w:rsidRPr="008F66B1">
        <w:rPr>
          <w:rFonts w:asciiTheme="minorHAnsi" w:hAnsiTheme="minorHAnsi" w:cstheme="minorHAnsi"/>
          <w:color w:val="auto"/>
          <w:szCs w:val="24"/>
        </w:rPr>
        <w:t xml:space="preserve">  </w:t>
      </w:r>
      <w:r w:rsidR="00C63313" w:rsidRPr="008F66B1">
        <w:rPr>
          <w:rFonts w:asciiTheme="minorHAnsi" w:hAnsiTheme="minorHAnsi" w:cstheme="minorHAnsi"/>
          <w:color w:val="auto"/>
          <w:szCs w:val="24"/>
        </w:rPr>
        <w:t>She had two periods of limited duty (LIMDU) and</w:t>
      </w:r>
      <w:r>
        <w:rPr>
          <w:rFonts w:asciiTheme="minorHAnsi" w:hAnsiTheme="minorHAnsi" w:cstheme="minorHAnsi"/>
          <w:color w:val="auto"/>
          <w:szCs w:val="24"/>
        </w:rPr>
        <w:t xml:space="preserve"> developed a regional pain syndrome of her right ankle and foot.  The CI</w:t>
      </w:r>
      <w:r w:rsidRPr="008C21C1">
        <w:rPr>
          <w:rFonts w:asciiTheme="minorHAnsi" w:hAnsiTheme="minorHAnsi" w:cstheme="minorHAnsi"/>
          <w:color w:val="auto"/>
          <w:szCs w:val="24"/>
        </w:rPr>
        <w:t xml:space="preserve"> was unable to perform</w:t>
      </w:r>
      <w:r w:rsidR="00356AF9">
        <w:rPr>
          <w:rFonts w:asciiTheme="minorHAnsi" w:hAnsiTheme="minorHAnsi" w:cstheme="minorHAnsi"/>
          <w:color w:val="auto"/>
          <w:szCs w:val="24"/>
        </w:rPr>
        <w:t xml:space="preserve"> within her m</w:t>
      </w:r>
      <w:r>
        <w:rPr>
          <w:rFonts w:asciiTheme="minorHAnsi" w:hAnsiTheme="minorHAnsi" w:cstheme="minorHAnsi"/>
          <w:color w:val="auto"/>
          <w:szCs w:val="24"/>
        </w:rPr>
        <w:t>il</w:t>
      </w:r>
      <w:r w:rsidR="00356AF9">
        <w:rPr>
          <w:rFonts w:asciiTheme="minorHAnsi" w:hAnsiTheme="minorHAnsi" w:cstheme="minorHAnsi"/>
          <w:color w:val="auto"/>
          <w:szCs w:val="24"/>
        </w:rPr>
        <w:t>itary occupational s</w:t>
      </w:r>
      <w:r w:rsidRPr="008F66B1">
        <w:rPr>
          <w:rFonts w:asciiTheme="minorHAnsi" w:hAnsiTheme="minorHAnsi" w:cstheme="minorHAnsi"/>
          <w:color w:val="auto"/>
          <w:szCs w:val="24"/>
        </w:rPr>
        <w:t>pecialty and was referred to a Medical Evaluation Board (MEB)</w:t>
      </w:r>
      <w:r w:rsidR="00C63313" w:rsidRPr="008F66B1">
        <w:rPr>
          <w:rFonts w:asciiTheme="minorHAnsi" w:hAnsiTheme="minorHAnsi" w:cstheme="minorHAnsi"/>
          <w:color w:val="auto"/>
          <w:szCs w:val="24"/>
        </w:rPr>
        <w:t>.</w:t>
      </w:r>
      <w:r w:rsidR="00193772" w:rsidRPr="008F66B1">
        <w:rPr>
          <w:rFonts w:asciiTheme="minorHAnsi" w:hAnsiTheme="minorHAnsi" w:cstheme="minorHAnsi"/>
          <w:color w:val="auto"/>
          <w:szCs w:val="24"/>
        </w:rPr>
        <w:t xml:space="preserve"> </w:t>
      </w:r>
      <w:r w:rsidRPr="008F66B1">
        <w:rPr>
          <w:rFonts w:asciiTheme="minorHAnsi" w:hAnsiTheme="minorHAnsi" w:cstheme="minorHAnsi"/>
          <w:color w:val="auto"/>
          <w:szCs w:val="24"/>
        </w:rPr>
        <w:t xml:space="preserve"> The MEB forwarded </w:t>
      </w:r>
      <w:r w:rsidR="00C63313" w:rsidRPr="008F66B1">
        <w:rPr>
          <w:rFonts w:asciiTheme="minorHAnsi" w:hAnsiTheme="minorHAnsi" w:cstheme="minorHAnsi"/>
          <w:color w:val="auto"/>
          <w:szCs w:val="24"/>
        </w:rPr>
        <w:t>“</w:t>
      </w:r>
      <w:r w:rsidR="00356AF9">
        <w:rPr>
          <w:rFonts w:asciiTheme="minorHAnsi" w:hAnsiTheme="minorHAnsi" w:cstheme="minorHAnsi"/>
          <w:color w:val="auto"/>
          <w:szCs w:val="24"/>
        </w:rPr>
        <w:t>d</w:t>
      </w:r>
      <w:r w:rsidRPr="008F66B1">
        <w:rPr>
          <w:rFonts w:asciiTheme="minorHAnsi" w:hAnsiTheme="minorHAnsi" w:cstheme="minorHAnsi"/>
          <w:color w:val="auto"/>
          <w:szCs w:val="24"/>
        </w:rPr>
        <w:t xml:space="preserve">isorder of </w:t>
      </w:r>
      <w:r w:rsidR="00356AF9">
        <w:rPr>
          <w:rFonts w:asciiTheme="minorHAnsi" w:hAnsiTheme="minorHAnsi" w:cstheme="minorHAnsi"/>
          <w:color w:val="auto"/>
          <w:szCs w:val="24"/>
        </w:rPr>
        <w:t>bone a</w:t>
      </w:r>
      <w:r w:rsidRPr="008F66B1">
        <w:rPr>
          <w:rFonts w:asciiTheme="minorHAnsi" w:hAnsiTheme="minorHAnsi" w:cstheme="minorHAnsi"/>
          <w:color w:val="auto"/>
          <w:szCs w:val="24"/>
        </w:rPr>
        <w:t xml:space="preserve">nd </w:t>
      </w:r>
      <w:r w:rsidR="00356AF9">
        <w:rPr>
          <w:rFonts w:asciiTheme="minorHAnsi" w:hAnsiTheme="minorHAnsi" w:cstheme="minorHAnsi"/>
          <w:color w:val="auto"/>
          <w:szCs w:val="24"/>
        </w:rPr>
        <w:t>cartilage  unspecified;  other specific m</w:t>
      </w:r>
      <w:r w:rsidRPr="008F66B1">
        <w:rPr>
          <w:rFonts w:asciiTheme="minorHAnsi" w:hAnsiTheme="minorHAnsi" w:cstheme="minorHAnsi"/>
          <w:color w:val="auto"/>
          <w:szCs w:val="24"/>
        </w:rPr>
        <w:t xml:space="preserve">uscle </w:t>
      </w:r>
      <w:r w:rsidR="00356AF9">
        <w:rPr>
          <w:rFonts w:asciiTheme="minorHAnsi" w:hAnsiTheme="minorHAnsi" w:cstheme="minorHAnsi"/>
          <w:color w:val="auto"/>
          <w:szCs w:val="24"/>
        </w:rPr>
        <w:t>d</w:t>
      </w:r>
      <w:r w:rsidRPr="008F66B1">
        <w:rPr>
          <w:rFonts w:asciiTheme="minorHAnsi" w:hAnsiTheme="minorHAnsi" w:cstheme="minorHAnsi"/>
          <w:color w:val="auto"/>
          <w:szCs w:val="24"/>
        </w:rPr>
        <w:t xml:space="preserve">isorders, </w:t>
      </w:r>
      <w:r w:rsidR="00356AF9">
        <w:rPr>
          <w:rFonts w:asciiTheme="minorHAnsi" w:hAnsiTheme="minorHAnsi" w:cstheme="minorHAnsi"/>
          <w:color w:val="auto"/>
          <w:szCs w:val="24"/>
        </w:rPr>
        <w:t>d</w:t>
      </w:r>
      <w:r w:rsidRPr="008F66B1">
        <w:rPr>
          <w:rFonts w:asciiTheme="minorHAnsi" w:hAnsiTheme="minorHAnsi" w:cstheme="minorHAnsi"/>
          <w:color w:val="auto"/>
          <w:szCs w:val="24"/>
        </w:rPr>
        <w:t xml:space="preserve">isorder </w:t>
      </w:r>
      <w:r w:rsidR="00356AF9">
        <w:rPr>
          <w:rFonts w:asciiTheme="minorHAnsi" w:hAnsiTheme="minorHAnsi" w:cstheme="minorHAnsi"/>
          <w:color w:val="auto"/>
          <w:szCs w:val="24"/>
        </w:rPr>
        <w:t>of b</w:t>
      </w:r>
      <w:r w:rsidRPr="008F66B1">
        <w:rPr>
          <w:rFonts w:asciiTheme="minorHAnsi" w:hAnsiTheme="minorHAnsi" w:cstheme="minorHAnsi"/>
          <w:color w:val="auto"/>
          <w:szCs w:val="24"/>
        </w:rPr>
        <w:t xml:space="preserve">one and </w:t>
      </w:r>
      <w:r w:rsidR="00356AF9">
        <w:rPr>
          <w:rFonts w:asciiTheme="minorHAnsi" w:hAnsiTheme="minorHAnsi" w:cstheme="minorHAnsi"/>
          <w:color w:val="auto"/>
          <w:szCs w:val="24"/>
        </w:rPr>
        <w:t>c</w:t>
      </w:r>
      <w:r w:rsidRPr="008F66B1">
        <w:rPr>
          <w:rFonts w:asciiTheme="minorHAnsi" w:hAnsiTheme="minorHAnsi" w:cstheme="minorHAnsi"/>
          <w:color w:val="auto"/>
          <w:szCs w:val="24"/>
        </w:rPr>
        <w:t xml:space="preserve">artilage  </w:t>
      </w:r>
      <w:r w:rsidR="00356AF9">
        <w:rPr>
          <w:rFonts w:asciiTheme="minorHAnsi" w:hAnsiTheme="minorHAnsi" w:cstheme="minorHAnsi"/>
          <w:color w:val="auto"/>
          <w:szCs w:val="24"/>
        </w:rPr>
        <w:t>u</w:t>
      </w:r>
      <w:r w:rsidRPr="008F66B1">
        <w:rPr>
          <w:rFonts w:asciiTheme="minorHAnsi" w:hAnsiTheme="minorHAnsi" w:cstheme="minorHAnsi"/>
          <w:color w:val="auto"/>
          <w:szCs w:val="24"/>
        </w:rPr>
        <w:t xml:space="preserve">nspecified; </w:t>
      </w:r>
      <w:r w:rsidR="00356AF9">
        <w:rPr>
          <w:rFonts w:asciiTheme="minorHAnsi" w:hAnsiTheme="minorHAnsi" w:cstheme="minorHAnsi"/>
          <w:color w:val="auto"/>
          <w:szCs w:val="24"/>
        </w:rPr>
        <w:t>o</w:t>
      </w:r>
      <w:r w:rsidRPr="008F66B1">
        <w:rPr>
          <w:rFonts w:asciiTheme="minorHAnsi" w:hAnsiTheme="minorHAnsi" w:cstheme="minorHAnsi"/>
          <w:color w:val="auto"/>
          <w:szCs w:val="24"/>
        </w:rPr>
        <w:t xml:space="preserve">ther </w:t>
      </w:r>
      <w:r w:rsidR="00356AF9">
        <w:rPr>
          <w:rFonts w:asciiTheme="minorHAnsi" w:hAnsiTheme="minorHAnsi" w:cstheme="minorHAnsi"/>
          <w:color w:val="auto"/>
          <w:szCs w:val="24"/>
        </w:rPr>
        <w:t>p</w:t>
      </w:r>
      <w:r w:rsidRPr="008F66B1">
        <w:rPr>
          <w:rFonts w:asciiTheme="minorHAnsi" w:hAnsiTheme="minorHAnsi" w:cstheme="minorHAnsi"/>
          <w:color w:val="auto"/>
          <w:szCs w:val="24"/>
        </w:rPr>
        <w:t xml:space="preserve">ostsurgical </w:t>
      </w:r>
      <w:r w:rsidR="00356AF9">
        <w:rPr>
          <w:rFonts w:asciiTheme="minorHAnsi" w:hAnsiTheme="minorHAnsi" w:cstheme="minorHAnsi"/>
          <w:color w:val="auto"/>
          <w:szCs w:val="24"/>
        </w:rPr>
        <w:t>status; d</w:t>
      </w:r>
      <w:r w:rsidRPr="008F66B1">
        <w:rPr>
          <w:rFonts w:asciiTheme="minorHAnsi" w:hAnsiTheme="minorHAnsi" w:cstheme="minorHAnsi"/>
          <w:color w:val="auto"/>
          <w:szCs w:val="24"/>
        </w:rPr>
        <w:t xml:space="preserve">isturbance of </w:t>
      </w:r>
      <w:r w:rsidR="00356AF9">
        <w:rPr>
          <w:rFonts w:asciiTheme="minorHAnsi" w:hAnsiTheme="minorHAnsi" w:cstheme="minorHAnsi"/>
          <w:color w:val="auto"/>
          <w:szCs w:val="24"/>
        </w:rPr>
        <w:t>s</w:t>
      </w:r>
      <w:r w:rsidRPr="008F66B1">
        <w:rPr>
          <w:rFonts w:asciiTheme="minorHAnsi" w:hAnsiTheme="minorHAnsi" w:cstheme="minorHAnsi"/>
          <w:color w:val="auto"/>
          <w:szCs w:val="24"/>
        </w:rPr>
        <w:t xml:space="preserve">kin </w:t>
      </w:r>
      <w:r w:rsidR="00356AF9">
        <w:rPr>
          <w:rFonts w:asciiTheme="minorHAnsi" w:hAnsiTheme="minorHAnsi" w:cstheme="minorHAnsi"/>
          <w:color w:val="auto"/>
          <w:szCs w:val="24"/>
        </w:rPr>
        <w:t xml:space="preserve">sensation; mono neuritis of lower limb unspecified; </w:t>
      </w:r>
      <w:proofErr w:type="spellStart"/>
      <w:r w:rsidR="00356AF9">
        <w:rPr>
          <w:rFonts w:asciiTheme="minorHAnsi" w:hAnsiTheme="minorHAnsi" w:cstheme="minorHAnsi"/>
          <w:color w:val="auto"/>
          <w:szCs w:val="24"/>
        </w:rPr>
        <w:t>tibialis</w:t>
      </w:r>
      <w:proofErr w:type="spellEnd"/>
      <w:r w:rsidR="00356AF9">
        <w:rPr>
          <w:rFonts w:asciiTheme="minorHAnsi" w:hAnsiTheme="minorHAnsi" w:cstheme="minorHAnsi"/>
          <w:color w:val="auto"/>
          <w:szCs w:val="24"/>
        </w:rPr>
        <w:t xml:space="preserve"> tendinitis, and f</w:t>
      </w:r>
      <w:r w:rsidRPr="008F66B1">
        <w:rPr>
          <w:rFonts w:asciiTheme="minorHAnsi" w:hAnsiTheme="minorHAnsi" w:cstheme="minorHAnsi"/>
          <w:color w:val="auto"/>
          <w:szCs w:val="24"/>
        </w:rPr>
        <w:t xml:space="preserve">lat </w:t>
      </w:r>
      <w:r w:rsidR="00356AF9">
        <w:rPr>
          <w:rFonts w:asciiTheme="minorHAnsi" w:hAnsiTheme="minorHAnsi" w:cstheme="minorHAnsi"/>
          <w:color w:val="auto"/>
          <w:szCs w:val="24"/>
        </w:rPr>
        <w:t>f</w:t>
      </w:r>
      <w:r w:rsidRPr="008F66B1">
        <w:rPr>
          <w:rFonts w:asciiTheme="minorHAnsi" w:hAnsiTheme="minorHAnsi" w:cstheme="minorHAnsi"/>
          <w:color w:val="auto"/>
          <w:szCs w:val="24"/>
        </w:rPr>
        <w:t>oot</w:t>
      </w:r>
      <w:r w:rsidR="00C63313" w:rsidRPr="008F66B1">
        <w:rPr>
          <w:rFonts w:asciiTheme="minorHAnsi" w:hAnsiTheme="minorHAnsi" w:cstheme="minorHAnsi"/>
          <w:color w:val="auto"/>
          <w:szCs w:val="24"/>
        </w:rPr>
        <w:t>”</w:t>
      </w:r>
      <w:r>
        <w:rPr>
          <w:rFonts w:asciiTheme="minorHAnsi" w:hAnsiTheme="minorHAnsi" w:cstheme="minorHAnsi"/>
          <w:color w:val="auto"/>
          <w:szCs w:val="24"/>
        </w:rPr>
        <w:t xml:space="preserve"> </w:t>
      </w:r>
      <w:r w:rsidRPr="008C21C1">
        <w:rPr>
          <w:rFonts w:asciiTheme="minorHAnsi" w:hAnsiTheme="minorHAnsi" w:cstheme="minorHAnsi"/>
          <w:color w:val="auto"/>
          <w:szCs w:val="24"/>
        </w:rPr>
        <w:t>to the Physical Evaluation Board (</w:t>
      </w:r>
      <w:r>
        <w:rPr>
          <w:rFonts w:asciiTheme="minorHAnsi" w:hAnsiTheme="minorHAnsi" w:cstheme="minorHAnsi"/>
          <w:color w:val="auto"/>
          <w:szCs w:val="24"/>
        </w:rPr>
        <w:t xml:space="preserve">PEB) as medically unacceptable on NAVMED </w:t>
      </w:r>
      <w:proofErr w:type="gramStart"/>
      <w:r>
        <w:rPr>
          <w:rFonts w:asciiTheme="minorHAnsi" w:hAnsiTheme="minorHAnsi" w:cstheme="minorHAnsi"/>
          <w:color w:val="auto"/>
          <w:szCs w:val="24"/>
        </w:rPr>
        <w:t>Form 6100/1.</w:t>
      </w:r>
      <w:proofErr w:type="gramEnd"/>
      <w:r w:rsidR="00356AF9">
        <w:rPr>
          <w:rFonts w:asciiTheme="minorHAnsi" w:hAnsiTheme="minorHAnsi" w:cstheme="minorHAnsi"/>
          <w:color w:val="auto"/>
          <w:szCs w:val="24"/>
        </w:rPr>
        <w:t xml:space="preserve">  </w:t>
      </w:r>
      <w:r w:rsidRPr="008C21C1">
        <w:rPr>
          <w:rFonts w:asciiTheme="minorHAnsi" w:hAnsiTheme="minorHAnsi" w:cstheme="minorHAnsi"/>
          <w:color w:val="auto"/>
          <w:szCs w:val="24"/>
        </w:rPr>
        <w:t>Other conditions included in the Disability Evaluation System (DES) packet will be discussed below</w:t>
      </w:r>
      <w:r w:rsidRPr="00C63313">
        <w:rPr>
          <w:rFonts w:asciiTheme="minorHAnsi" w:hAnsiTheme="minorHAnsi" w:cstheme="minorHAnsi"/>
          <w:color w:val="auto"/>
          <w:szCs w:val="24"/>
        </w:rPr>
        <w:t xml:space="preserve">. </w:t>
      </w:r>
      <w:r w:rsidR="00C63313" w:rsidRPr="00C63313">
        <w:rPr>
          <w:rFonts w:asciiTheme="minorHAnsi" w:hAnsiTheme="minorHAnsi" w:cstheme="minorHAnsi"/>
          <w:color w:val="auto"/>
          <w:szCs w:val="24"/>
        </w:rPr>
        <w:t xml:space="preserve"> </w:t>
      </w:r>
      <w:r w:rsidRPr="00C63313">
        <w:rPr>
          <w:rFonts w:asciiTheme="minorHAnsi" w:hAnsiTheme="minorHAnsi" w:cstheme="minorHAnsi"/>
          <w:color w:val="auto"/>
          <w:szCs w:val="24"/>
        </w:rPr>
        <w:t>The</w:t>
      </w:r>
      <w:r w:rsidRPr="008C21C1">
        <w:rPr>
          <w:rFonts w:asciiTheme="minorHAnsi" w:hAnsiTheme="minorHAnsi" w:cstheme="minorHAnsi"/>
          <w:color w:val="auto"/>
          <w:szCs w:val="24"/>
        </w:rPr>
        <w:t xml:space="preserve"> Informal PEB (IPEB) adjudicated</w:t>
      </w:r>
      <w:r>
        <w:rPr>
          <w:rFonts w:asciiTheme="minorHAnsi" w:hAnsiTheme="minorHAnsi" w:cstheme="minorHAnsi"/>
          <w:color w:val="auto"/>
          <w:szCs w:val="24"/>
        </w:rPr>
        <w:t xml:space="preserve"> </w:t>
      </w:r>
      <w:r w:rsidR="00C63313" w:rsidRPr="008F66B1">
        <w:rPr>
          <w:rFonts w:asciiTheme="minorHAnsi" w:hAnsiTheme="minorHAnsi" w:cstheme="minorHAnsi"/>
          <w:color w:val="auto"/>
          <w:szCs w:val="24"/>
        </w:rPr>
        <w:t>“</w:t>
      </w:r>
      <w:r w:rsidR="00356AF9">
        <w:rPr>
          <w:rFonts w:asciiTheme="minorHAnsi" w:hAnsiTheme="minorHAnsi" w:cstheme="minorHAnsi"/>
          <w:color w:val="auto"/>
          <w:szCs w:val="24"/>
        </w:rPr>
        <w:t>a</w:t>
      </w:r>
      <w:r w:rsidRPr="008F66B1">
        <w:rPr>
          <w:rFonts w:asciiTheme="minorHAnsi" w:hAnsiTheme="minorHAnsi" w:cstheme="minorHAnsi"/>
          <w:color w:val="auto"/>
          <w:szCs w:val="24"/>
        </w:rPr>
        <w:t xml:space="preserve">nkle </w:t>
      </w:r>
      <w:r w:rsidR="00356AF9">
        <w:rPr>
          <w:rFonts w:asciiTheme="minorHAnsi" w:hAnsiTheme="minorHAnsi" w:cstheme="minorHAnsi"/>
          <w:color w:val="auto"/>
          <w:szCs w:val="24"/>
        </w:rPr>
        <w:t>t</w:t>
      </w:r>
      <w:r w:rsidRPr="008F66B1">
        <w:rPr>
          <w:rFonts w:asciiTheme="minorHAnsi" w:hAnsiTheme="minorHAnsi" w:cstheme="minorHAnsi"/>
          <w:color w:val="auto"/>
          <w:szCs w:val="24"/>
        </w:rPr>
        <w:t xml:space="preserve">alus </w:t>
      </w:r>
      <w:proofErr w:type="spellStart"/>
      <w:r w:rsidR="00356AF9">
        <w:rPr>
          <w:rFonts w:asciiTheme="minorHAnsi" w:hAnsiTheme="minorHAnsi" w:cstheme="minorHAnsi"/>
          <w:color w:val="auto"/>
          <w:szCs w:val="24"/>
        </w:rPr>
        <w:t>o</w:t>
      </w:r>
      <w:r w:rsidRPr="008F66B1">
        <w:rPr>
          <w:rFonts w:asciiTheme="minorHAnsi" w:hAnsiTheme="minorHAnsi" w:cstheme="minorHAnsi"/>
          <w:color w:val="auto"/>
          <w:szCs w:val="24"/>
        </w:rPr>
        <w:t>steochondral</w:t>
      </w:r>
      <w:proofErr w:type="spellEnd"/>
      <w:r w:rsidRPr="008F66B1">
        <w:rPr>
          <w:rFonts w:asciiTheme="minorHAnsi" w:hAnsiTheme="minorHAnsi" w:cstheme="minorHAnsi"/>
          <w:color w:val="auto"/>
          <w:szCs w:val="24"/>
        </w:rPr>
        <w:t xml:space="preserve"> </w:t>
      </w:r>
      <w:r w:rsidR="00356AF9">
        <w:rPr>
          <w:rFonts w:asciiTheme="minorHAnsi" w:hAnsiTheme="minorHAnsi" w:cstheme="minorHAnsi"/>
          <w:color w:val="auto"/>
          <w:szCs w:val="24"/>
        </w:rPr>
        <w:t>l</w:t>
      </w:r>
      <w:r w:rsidRPr="008F66B1">
        <w:rPr>
          <w:rFonts w:asciiTheme="minorHAnsi" w:hAnsiTheme="minorHAnsi" w:cstheme="minorHAnsi"/>
          <w:color w:val="auto"/>
          <w:szCs w:val="24"/>
        </w:rPr>
        <w:t xml:space="preserve">esion </w:t>
      </w:r>
      <w:r w:rsidR="00356AF9">
        <w:rPr>
          <w:rFonts w:asciiTheme="minorHAnsi" w:hAnsiTheme="minorHAnsi" w:cstheme="minorHAnsi"/>
          <w:color w:val="auto"/>
          <w:szCs w:val="24"/>
        </w:rPr>
        <w:t>status post two m</w:t>
      </w:r>
      <w:r w:rsidRPr="008F66B1">
        <w:rPr>
          <w:rFonts w:asciiTheme="minorHAnsi" w:hAnsiTheme="minorHAnsi" w:cstheme="minorHAnsi"/>
          <w:color w:val="auto"/>
          <w:szCs w:val="24"/>
        </w:rPr>
        <w:t>icro fractures</w:t>
      </w:r>
      <w:r w:rsidR="00C63313" w:rsidRPr="008F66B1">
        <w:rPr>
          <w:rFonts w:asciiTheme="minorHAnsi" w:hAnsiTheme="minorHAnsi" w:cstheme="minorHAnsi"/>
          <w:color w:val="auto"/>
          <w:szCs w:val="24"/>
        </w:rPr>
        <w:t>”</w:t>
      </w:r>
      <w:r>
        <w:rPr>
          <w:rFonts w:asciiTheme="minorHAnsi" w:hAnsiTheme="minorHAnsi" w:cstheme="minorHAnsi"/>
          <w:color w:val="auto"/>
          <w:szCs w:val="24"/>
        </w:rPr>
        <w:t xml:space="preserve"> as unfitting with the disability </w:t>
      </w:r>
      <w:r w:rsidRPr="008F66B1">
        <w:rPr>
          <w:rFonts w:asciiTheme="minorHAnsi" w:hAnsiTheme="minorHAnsi" w:cstheme="minorHAnsi"/>
          <w:color w:val="auto"/>
          <w:szCs w:val="24"/>
        </w:rPr>
        <w:t>code of 5299-5276</w:t>
      </w:r>
      <w:r>
        <w:rPr>
          <w:rFonts w:asciiTheme="minorHAnsi" w:hAnsiTheme="minorHAnsi" w:cstheme="minorHAnsi"/>
          <w:color w:val="auto"/>
          <w:szCs w:val="24"/>
        </w:rPr>
        <w:t xml:space="preserve"> rated 20% with probable application of </w:t>
      </w:r>
      <w:r w:rsidRPr="008F66B1">
        <w:rPr>
          <w:rFonts w:asciiTheme="minorHAnsi" w:hAnsiTheme="minorHAnsi" w:cstheme="minorHAnsi"/>
          <w:color w:val="auto"/>
          <w:szCs w:val="24"/>
        </w:rPr>
        <w:t>SECNAVINST 1850.4</w:t>
      </w:r>
      <w:r w:rsidR="00C63313" w:rsidRPr="008F66B1">
        <w:rPr>
          <w:rFonts w:asciiTheme="minorHAnsi" w:hAnsiTheme="minorHAnsi" w:cstheme="minorHAnsi"/>
          <w:color w:val="auto"/>
          <w:szCs w:val="24"/>
        </w:rPr>
        <w:t>E</w:t>
      </w:r>
      <w:r w:rsidR="008F66B1">
        <w:rPr>
          <w:rFonts w:asciiTheme="minorHAnsi" w:hAnsiTheme="minorHAnsi" w:cstheme="minorHAnsi"/>
          <w:color w:val="auto"/>
          <w:szCs w:val="24"/>
        </w:rPr>
        <w:t xml:space="preserve">.  </w:t>
      </w:r>
      <w:r w:rsidR="00827D8B" w:rsidRPr="00827D8B">
        <w:rPr>
          <w:rFonts w:asciiTheme="minorHAnsi" w:hAnsiTheme="minorHAnsi" w:cstheme="minorHAnsi"/>
          <w:color w:val="auto"/>
          <w:szCs w:val="24"/>
        </w:rPr>
        <w:t>The IPEB adjudicated</w:t>
      </w:r>
      <w:r w:rsidRPr="00827D8B">
        <w:rPr>
          <w:rFonts w:asciiTheme="minorHAnsi" w:hAnsiTheme="minorHAnsi" w:cstheme="minorHAnsi"/>
          <w:color w:val="auto"/>
          <w:szCs w:val="24"/>
        </w:rPr>
        <w:t xml:space="preserve"> </w:t>
      </w:r>
      <w:r w:rsidR="00827D8B" w:rsidRPr="00827D8B">
        <w:rPr>
          <w:rFonts w:asciiTheme="minorHAnsi" w:hAnsiTheme="minorHAnsi" w:cstheme="minorHAnsi"/>
          <w:color w:val="auto"/>
          <w:szCs w:val="24"/>
        </w:rPr>
        <w:t xml:space="preserve">three other foot/ankle diagnoses as </w:t>
      </w:r>
      <w:r w:rsidR="00356AF9">
        <w:rPr>
          <w:rFonts w:asciiTheme="minorHAnsi" w:hAnsiTheme="minorHAnsi" w:cstheme="minorHAnsi"/>
          <w:color w:val="auto"/>
          <w:szCs w:val="24"/>
        </w:rPr>
        <w:t>category II conditions (“c</w:t>
      </w:r>
      <w:r w:rsidR="00827D8B" w:rsidRPr="00827D8B">
        <w:rPr>
          <w:rFonts w:asciiTheme="minorHAnsi" w:hAnsiTheme="minorHAnsi" w:cstheme="minorHAnsi"/>
          <w:color w:val="auto"/>
          <w:szCs w:val="24"/>
        </w:rPr>
        <w:t>onditions that contribute to the unfitting conditions”).</w:t>
      </w:r>
      <w:r w:rsidR="008F66B1">
        <w:rPr>
          <w:rFonts w:asciiTheme="minorHAnsi" w:hAnsiTheme="minorHAnsi" w:cstheme="minorHAnsi"/>
          <w:color w:val="auto"/>
          <w:szCs w:val="24"/>
        </w:rPr>
        <w:t xml:space="preserve">  </w:t>
      </w:r>
      <w:r w:rsidR="00356AF9">
        <w:rPr>
          <w:rFonts w:asciiTheme="minorHAnsi" w:hAnsiTheme="minorHAnsi" w:cstheme="minorHAnsi"/>
          <w:color w:val="auto"/>
          <w:szCs w:val="24"/>
        </w:rPr>
        <w:t>The CI appealed for r</w:t>
      </w:r>
      <w:r>
        <w:rPr>
          <w:rFonts w:asciiTheme="minorHAnsi" w:hAnsiTheme="minorHAnsi" w:cstheme="minorHAnsi"/>
          <w:color w:val="auto"/>
          <w:szCs w:val="24"/>
        </w:rPr>
        <w:t>econsideration</w:t>
      </w:r>
      <w:r w:rsidR="00827D8B">
        <w:rPr>
          <w:rFonts w:asciiTheme="minorHAnsi" w:hAnsiTheme="minorHAnsi" w:cstheme="minorHAnsi"/>
          <w:color w:val="auto"/>
          <w:szCs w:val="24"/>
        </w:rPr>
        <w:t xml:space="preserve"> and t</w:t>
      </w:r>
      <w:r>
        <w:rPr>
          <w:rFonts w:asciiTheme="minorHAnsi" w:hAnsiTheme="minorHAnsi" w:cstheme="minorHAnsi"/>
          <w:color w:val="auto"/>
          <w:szCs w:val="24"/>
        </w:rPr>
        <w:t xml:space="preserve">he </w:t>
      </w:r>
      <w:r w:rsidR="00827D8B">
        <w:rPr>
          <w:rFonts w:asciiTheme="minorHAnsi" w:hAnsiTheme="minorHAnsi" w:cstheme="minorHAnsi"/>
          <w:color w:val="auto"/>
          <w:szCs w:val="24"/>
        </w:rPr>
        <w:t xml:space="preserve">reconsideration </w:t>
      </w:r>
      <w:r>
        <w:rPr>
          <w:rFonts w:asciiTheme="minorHAnsi" w:hAnsiTheme="minorHAnsi" w:cstheme="minorHAnsi"/>
          <w:color w:val="auto"/>
          <w:szCs w:val="24"/>
        </w:rPr>
        <w:t xml:space="preserve">PEB </w:t>
      </w:r>
      <w:r w:rsidR="00827D8B">
        <w:rPr>
          <w:rFonts w:asciiTheme="minorHAnsi" w:hAnsiTheme="minorHAnsi" w:cstheme="minorHAnsi"/>
          <w:color w:val="auto"/>
          <w:szCs w:val="24"/>
        </w:rPr>
        <w:t>changed the primary unfitting condition to</w:t>
      </w:r>
      <w:r>
        <w:rPr>
          <w:rFonts w:asciiTheme="minorHAnsi" w:hAnsiTheme="minorHAnsi" w:cstheme="minorHAnsi"/>
          <w:color w:val="auto"/>
          <w:szCs w:val="24"/>
        </w:rPr>
        <w:t xml:space="preserve">:  </w:t>
      </w:r>
      <w:r w:rsidR="00356AF9">
        <w:rPr>
          <w:rFonts w:asciiTheme="minorHAnsi" w:hAnsiTheme="minorHAnsi" w:cstheme="minorHAnsi"/>
          <w:color w:val="auto"/>
          <w:szCs w:val="24"/>
        </w:rPr>
        <w:t>“complex r</w:t>
      </w:r>
      <w:r w:rsidR="00C61C69">
        <w:rPr>
          <w:rFonts w:asciiTheme="minorHAnsi" w:hAnsiTheme="minorHAnsi" w:cstheme="minorHAnsi"/>
          <w:color w:val="auto"/>
          <w:szCs w:val="24"/>
        </w:rPr>
        <w:t xml:space="preserve">egional </w:t>
      </w:r>
      <w:r w:rsidR="00356AF9">
        <w:rPr>
          <w:rFonts w:asciiTheme="minorHAnsi" w:hAnsiTheme="minorHAnsi" w:cstheme="minorHAnsi"/>
          <w:color w:val="auto"/>
          <w:szCs w:val="24"/>
        </w:rPr>
        <w:t>pain s</w:t>
      </w:r>
      <w:r w:rsidR="00C61C69">
        <w:rPr>
          <w:rFonts w:asciiTheme="minorHAnsi" w:hAnsiTheme="minorHAnsi" w:cstheme="minorHAnsi"/>
          <w:color w:val="auto"/>
          <w:szCs w:val="24"/>
        </w:rPr>
        <w:t>yndrome</w:t>
      </w:r>
      <w:r w:rsidR="00E56445">
        <w:rPr>
          <w:rFonts w:asciiTheme="minorHAnsi" w:hAnsiTheme="minorHAnsi" w:cstheme="minorHAnsi"/>
          <w:color w:val="auto"/>
          <w:szCs w:val="24"/>
        </w:rPr>
        <w:t xml:space="preserve"> </w:t>
      </w:r>
      <w:r w:rsidR="00E56445" w:rsidRPr="008F66B1">
        <w:rPr>
          <w:rFonts w:asciiTheme="minorHAnsi" w:hAnsiTheme="minorHAnsi" w:cstheme="minorHAnsi"/>
          <w:color w:val="auto"/>
          <w:szCs w:val="24"/>
        </w:rPr>
        <w:t>(CRPS)</w:t>
      </w:r>
      <w:r w:rsidR="00356AF9">
        <w:rPr>
          <w:rFonts w:asciiTheme="minorHAnsi" w:hAnsiTheme="minorHAnsi" w:cstheme="minorHAnsi"/>
          <w:color w:val="auto"/>
          <w:szCs w:val="24"/>
        </w:rPr>
        <w:t>, right l</w:t>
      </w:r>
      <w:r>
        <w:rPr>
          <w:rFonts w:asciiTheme="minorHAnsi" w:hAnsiTheme="minorHAnsi" w:cstheme="minorHAnsi"/>
          <w:color w:val="auto"/>
          <w:szCs w:val="24"/>
        </w:rPr>
        <w:t xml:space="preserve">ower </w:t>
      </w:r>
      <w:r w:rsidR="00356AF9">
        <w:rPr>
          <w:rFonts w:asciiTheme="minorHAnsi" w:hAnsiTheme="minorHAnsi" w:cstheme="minorHAnsi"/>
          <w:color w:val="auto"/>
          <w:szCs w:val="24"/>
        </w:rPr>
        <w:t>e</w:t>
      </w:r>
      <w:r w:rsidRPr="008F66B1">
        <w:rPr>
          <w:rFonts w:asciiTheme="minorHAnsi" w:hAnsiTheme="minorHAnsi" w:cstheme="minorHAnsi"/>
          <w:color w:val="auto"/>
          <w:szCs w:val="24"/>
        </w:rPr>
        <w:t>xtremity”</w:t>
      </w:r>
      <w:r w:rsidR="00827D8B" w:rsidRPr="008F66B1">
        <w:rPr>
          <w:rFonts w:asciiTheme="minorHAnsi" w:hAnsiTheme="minorHAnsi" w:cstheme="minorHAnsi"/>
          <w:color w:val="auto"/>
          <w:szCs w:val="24"/>
        </w:rPr>
        <w:t>,</w:t>
      </w:r>
      <w:r w:rsidRPr="008F66B1">
        <w:rPr>
          <w:rFonts w:asciiTheme="minorHAnsi" w:hAnsiTheme="minorHAnsi" w:cstheme="minorHAnsi"/>
          <w:color w:val="auto"/>
          <w:szCs w:val="24"/>
        </w:rPr>
        <w:t xml:space="preserve"> coded </w:t>
      </w:r>
      <w:r w:rsidR="00827D8B" w:rsidRPr="008F66B1">
        <w:rPr>
          <w:rFonts w:asciiTheme="minorHAnsi" w:hAnsiTheme="minorHAnsi" w:cstheme="minorHAnsi"/>
          <w:color w:val="auto"/>
          <w:szCs w:val="24"/>
        </w:rPr>
        <w:t xml:space="preserve">as </w:t>
      </w:r>
      <w:r w:rsidRPr="008F66B1">
        <w:rPr>
          <w:rFonts w:asciiTheme="minorHAnsi" w:hAnsiTheme="minorHAnsi" w:cstheme="minorHAnsi"/>
          <w:color w:val="auto"/>
          <w:szCs w:val="24"/>
        </w:rPr>
        <w:t xml:space="preserve">8799-8725 </w:t>
      </w:r>
      <w:r w:rsidR="00C61C69" w:rsidRPr="008F66B1">
        <w:rPr>
          <w:rFonts w:asciiTheme="minorHAnsi" w:hAnsiTheme="minorHAnsi" w:cstheme="minorHAnsi"/>
          <w:color w:val="auto"/>
          <w:szCs w:val="24"/>
        </w:rPr>
        <w:t xml:space="preserve">and </w:t>
      </w:r>
      <w:r w:rsidRPr="008F66B1">
        <w:rPr>
          <w:rFonts w:asciiTheme="minorHAnsi" w:hAnsiTheme="minorHAnsi" w:cstheme="minorHAnsi"/>
          <w:color w:val="auto"/>
          <w:szCs w:val="24"/>
        </w:rPr>
        <w:t xml:space="preserve">rated </w:t>
      </w:r>
      <w:r w:rsidR="00193772" w:rsidRPr="008F66B1">
        <w:rPr>
          <w:rFonts w:asciiTheme="minorHAnsi" w:hAnsiTheme="minorHAnsi" w:cstheme="minorHAnsi"/>
          <w:color w:val="auto"/>
          <w:szCs w:val="24"/>
        </w:rPr>
        <w:t>2</w:t>
      </w:r>
      <w:r w:rsidRPr="008F66B1">
        <w:rPr>
          <w:rFonts w:asciiTheme="minorHAnsi" w:hAnsiTheme="minorHAnsi" w:cstheme="minorHAnsi"/>
          <w:color w:val="auto"/>
          <w:szCs w:val="24"/>
        </w:rPr>
        <w:t>0%</w:t>
      </w:r>
      <w:r w:rsidR="00C61C69" w:rsidRPr="008F66B1">
        <w:rPr>
          <w:rFonts w:asciiTheme="minorHAnsi" w:hAnsiTheme="minorHAnsi" w:cstheme="minorHAnsi"/>
          <w:color w:val="auto"/>
          <w:szCs w:val="24"/>
        </w:rPr>
        <w:t>.</w:t>
      </w:r>
      <w:r w:rsidR="00C61C69">
        <w:rPr>
          <w:rFonts w:asciiTheme="minorHAnsi" w:hAnsiTheme="minorHAnsi" w:cstheme="minorHAnsi"/>
          <w:color w:val="auto"/>
          <w:szCs w:val="24"/>
        </w:rPr>
        <w:t xml:space="preserve">  The reconsideration PEB continued the category II conditions of </w:t>
      </w:r>
      <w:r w:rsidR="00356AF9">
        <w:rPr>
          <w:rFonts w:asciiTheme="minorHAnsi" w:hAnsiTheme="minorHAnsi" w:cstheme="minorHAnsi"/>
          <w:color w:val="auto"/>
          <w:szCs w:val="24"/>
        </w:rPr>
        <w:t xml:space="preserve">“numbness and nerve pain in the toes and decreased sensation in the medial aspect of the foot; significant posterior </w:t>
      </w:r>
      <w:proofErr w:type="spellStart"/>
      <w:r w:rsidR="00356AF9">
        <w:rPr>
          <w:rFonts w:asciiTheme="minorHAnsi" w:hAnsiTheme="minorHAnsi" w:cstheme="minorHAnsi"/>
          <w:color w:val="auto"/>
          <w:szCs w:val="24"/>
        </w:rPr>
        <w:t>tibialis</w:t>
      </w:r>
      <w:proofErr w:type="spellEnd"/>
      <w:r w:rsidR="00356AF9">
        <w:rPr>
          <w:rFonts w:asciiTheme="minorHAnsi" w:hAnsiTheme="minorHAnsi" w:cstheme="minorHAnsi"/>
          <w:color w:val="auto"/>
          <w:szCs w:val="24"/>
        </w:rPr>
        <w:t xml:space="preserve"> tendon dysfunction and </w:t>
      </w:r>
      <w:proofErr w:type="spellStart"/>
      <w:r w:rsidR="00356AF9">
        <w:rPr>
          <w:rFonts w:asciiTheme="minorHAnsi" w:hAnsiTheme="minorHAnsi" w:cstheme="minorHAnsi"/>
          <w:color w:val="auto"/>
          <w:szCs w:val="24"/>
        </w:rPr>
        <w:t>p</w:t>
      </w:r>
      <w:r>
        <w:rPr>
          <w:rFonts w:asciiTheme="minorHAnsi" w:hAnsiTheme="minorHAnsi" w:cstheme="minorHAnsi"/>
          <w:color w:val="auto"/>
          <w:szCs w:val="24"/>
        </w:rPr>
        <w:t>es</w:t>
      </w:r>
      <w:proofErr w:type="spellEnd"/>
      <w:r>
        <w:rPr>
          <w:rFonts w:asciiTheme="minorHAnsi" w:hAnsiTheme="minorHAnsi" w:cstheme="minorHAnsi"/>
          <w:color w:val="auto"/>
          <w:szCs w:val="24"/>
        </w:rPr>
        <w:t xml:space="preserve"> </w:t>
      </w:r>
      <w:proofErr w:type="spellStart"/>
      <w:r w:rsidR="00356AF9">
        <w:rPr>
          <w:rFonts w:asciiTheme="minorHAnsi" w:hAnsiTheme="minorHAnsi" w:cstheme="minorHAnsi"/>
          <w:color w:val="auto"/>
          <w:szCs w:val="24"/>
        </w:rPr>
        <w:t>planus</w:t>
      </w:r>
      <w:proofErr w:type="spellEnd"/>
      <w:r w:rsidR="00356AF9">
        <w:rPr>
          <w:rFonts w:asciiTheme="minorHAnsi" w:hAnsiTheme="minorHAnsi" w:cstheme="minorHAnsi"/>
          <w:color w:val="auto"/>
          <w:szCs w:val="24"/>
        </w:rPr>
        <w:t xml:space="preserve">; and tight </w:t>
      </w:r>
      <w:proofErr w:type="spellStart"/>
      <w:r w:rsidR="00356AF9">
        <w:rPr>
          <w:rFonts w:asciiTheme="minorHAnsi" w:hAnsiTheme="minorHAnsi" w:cstheme="minorHAnsi"/>
          <w:color w:val="auto"/>
          <w:szCs w:val="24"/>
        </w:rPr>
        <w:t>gastrocnemius</w:t>
      </w:r>
      <w:proofErr w:type="spellEnd"/>
      <w:r w:rsidR="00356AF9">
        <w:rPr>
          <w:rFonts w:asciiTheme="minorHAnsi" w:hAnsiTheme="minorHAnsi" w:cstheme="minorHAnsi"/>
          <w:color w:val="auto"/>
          <w:szCs w:val="24"/>
        </w:rPr>
        <w:t xml:space="preserve"> status post r</w:t>
      </w:r>
      <w:r>
        <w:rPr>
          <w:rFonts w:asciiTheme="minorHAnsi" w:hAnsiTheme="minorHAnsi" w:cstheme="minorHAnsi"/>
          <w:color w:val="auto"/>
          <w:szCs w:val="24"/>
        </w:rPr>
        <w:t>esection”</w:t>
      </w:r>
      <w:r w:rsidR="00356AF9">
        <w:rPr>
          <w:rFonts w:asciiTheme="minorHAnsi" w:hAnsiTheme="minorHAnsi" w:cstheme="minorHAnsi"/>
          <w:color w:val="auto"/>
          <w:szCs w:val="24"/>
        </w:rPr>
        <w:t xml:space="preserve">, with the addition of ankle talus </w:t>
      </w:r>
      <w:proofErr w:type="spellStart"/>
      <w:r w:rsidR="00356AF9">
        <w:rPr>
          <w:rFonts w:asciiTheme="minorHAnsi" w:hAnsiTheme="minorHAnsi" w:cstheme="minorHAnsi"/>
          <w:color w:val="auto"/>
          <w:szCs w:val="24"/>
        </w:rPr>
        <w:t>osteochondral</w:t>
      </w:r>
      <w:proofErr w:type="spellEnd"/>
      <w:r w:rsidR="00356AF9">
        <w:rPr>
          <w:rFonts w:asciiTheme="minorHAnsi" w:hAnsiTheme="minorHAnsi" w:cstheme="minorHAnsi"/>
          <w:color w:val="auto"/>
          <w:szCs w:val="24"/>
        </w:rPr>
        <w:t xml:space="preserve"> lesion s</w:t>
      </w:r>
      <w:r w:rsidR="00C61C69">
        <w:rPr>
          <w:rFonts w:asciiTheme="minorHAnsi" w:hAnsiTheme="minorHAnsi" w:cstheme="minorHAnsi"/>
          <w:color w:val="auto"/>
          <w:szCs w:val="24"/>
        </w:rPr>
        <w:t xml:space="preserve">tatus </w:t>
      </w:r>
      <w:r w:rsidR="00356AF9">
        <w:rPr>
          <w:rFonts w:asciiTheme="minorHAnsi" w:hAnsiTheme="minorHAnsi" w:cstheme="minorHAnsi"/>
          <w:color w:val="auto"/>
          <w:szCs w:val="24"/>
        </w:rPr>
        <w:t>post two m</w:t>
      </w:r>
      <w:r w:rsidR="00C61C69">
        <w:rPr>
          <w:rFonts w:asciiTheme="minorHAnsi" w:hAnsiTheme="minorHAnsi" w:cstheme="minorHAnsi"/>
          <w:color w:val="auto"/>
          <w:szCs w:val="24"/>
        </w:rPr>
        <w:t>icro fractures</w:t>
      </w:r>
      <w:r w:rsidRPr="00B75742">
        <w:rPr>
          <w:rFonts w:asciiTheme="minorHAnsi" w:hAnsiTheme="minorHAnsi" w:cstheme="minorHAnsi"/>
          <w:color w:val="auto"/>
          <w:szCs w:val="24"/>
        </w:rPr>
        <w:t xml:space="preserve"> </w:t>
      </w:r>
      <w:r>
        <w:rPr>
          <w:rFonts w:asciiTheme="minorHAnsi" w:hAnsiTheme="minorHAnsi" w:cstheme="minorHAnsi"/>
          <w:color w:val="auto"/>
          <w:szCs w:val="24"/>
        </w:rPr>
        <w:t xml:space="preserve">as </w:t>
      </w:r>
      <w:r w:rsidR="00C61C69">
        <w:rPr>
          <w:rFonts w:asciiTheme="minorHAnsi" w:hAnsiTheme="minorHAnsi" w:cstheme="minorHAnsi"/>
          <w:color w:val="auto"/>
          <w:szCs w:val="24"/>
        </w:rPr>
        <w:t xml:space="preserve">a </w:t>
      </w:r>
      <w:r w:rsidR="00356AF9">
        <w:rPr>
          <w:rFonts w:asciiTheme="minorHAnsi" w:hAnsiTheme="minorHAnsi" w:cstheme="minorHAnsi"/>
          <w:color w:val="auto"/>
          <w:szCs w:val="24"/>
        </w:rPr>
        <w:t>c</w:t>
      </w:r>
      <w:r>
        <w:rPr>
          <w:rFonts w:asciiTheme="minorHAnsi" w:hAnsiTheme="minorHAnsi" w:cstheme="minorHAnsi"/>
          <w:color w:val="auto"/>
          <w:szCs w:val="24"/>
        </w:rPr>
        <w:t>ategory II condition</w:t>
      </w:r>
      <w:r w:rsidR="00C61C69">
        <w:rPr>
          <w:rFonts w:asciiTheme="minorHAnsi" w:hAnsiTheme="minorHAnsi" w:cstheme="minorHAnsi"/>
          <w:color w:val="auto"/>
          <w:szCs w:val="24"/>
        </w:rPr>
        <w:t>.</w:t>
      </w:r>
      <w:r>
        <w:rPr>
          <w:rFonts w:asciiTheme="minorHAnsi" w:hAnsiTheme="minorHAnsi" w:cstheme="minorHAnsi"/>
          <w:color w:val="auto"/>
          <w:szCs w:val="24"/>
        </w:rPr>
        <w:t xml:space="preserve">  The CI </w:t>
      </w:r>
      <w:r w:rsidRPr="008C21C1">
        <w:rPr>
          <w:rFonts w:asciiTheme="minorHAnsi" w:hAnsiTheme="minorHAnsi" w:cstheme="minorHAnsi"/>
          <w:color w:val="auto"/>
        </w:rPr>
        <w:t>was then medically separated with a 20% combined disability rating</w:t>
      </w:r>
      <w:r>
        <w:rPr>
          <w:rFonts w:asciiTheme="minorHAnsi" w:hAnsiTheme="minorHAnsi" w:cs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3E1682" w:rsidRDefault="0053504A" w:rsidP="00510F9C">
      <w:pPr>
        <w:pBdr>
          <w:bottom w:val="single" w:sz="12" w:space="1" w:color="auto"/>
        </w:pBdr>
        <w:spacing w:line="240" w:lineRule="exact"/>
        <w:rPr>
          <w:rFonts w:asciiTheme="minorHAnsi" w:hAnsiTheme="minorHAnsi" w:cstheme="minorHAnsi"/>
          <w:color w:val="auto"/>
        </w:rPr>
      </w:pPr>
      <w:r w:rsidRPr="006609AD">
        <w:rPr>
          <w:rFonts w:asciiTheme="minorHAnsi" w:hAnsiTheme="minorHAnsi"/>
          <w:color w:val="auto"/>
          <w:u w:val="single"/>
        </w:rPr>
        <w:t>CI</w:t>
      </w:r>
      <w:r w:rsidRPr="00326C08">
        <w:rPr>
          <w:rFonts w:asciiTheme="minorHAnsi" w:hAnsiTheme="minorHAnsi"/>
          <w:color w:val="auto"/>
          <w:u w:val="single"/>
        </w:rPr>
        <w:t xml:space="preserve"> CONTENTION</w:t>
      </w:r>
      <w:r>
        <w:rPr>
          <w:rFonts w:asciiTheme="minorHAnsi" w:hAnsiTheme="minorHAnsi" w:cstheme="minorHAnsi"/>
          <w:color w:val="auto"/>
        </w:rPr>
        <w:t xml:space="preserve">: </w:t>
      </w:r>
      <w:r w:rsidRPr="008C21C1">
        <w:rPr>
          <w:rFonts w:asciiTheme="minorHAnsi" w:hAnsiTheme="minorHAnsi" w:cstheme="minorHAnsi"/>
          <w:color w:val="auto"/>
        </w:rPr>
        <w:t xml:space="preserve"> </w:t>
      </w:r>
      <w:r w:rsidRPr="008C21C1">
        <w:rPr>
          <w:rFonts w:asciiTheme="minorHAnsi" w:hAnsiTheme="minorHAnsi" w:cstheme="minorHAnsi"/>
          <w:color w:val="auto"/>
          <w:szCs w:val="24"/>
        </w:rPr>
        <w:t xml:space="preserve">The CI states: </w:t>
      </w:r>
      <w:r w:rsidRPr="008C21C1">
        <w:rPr>
          <w:rFonts w:asciiTheme="minorHAnsi" w:hAnsiTheme="minorHAnsi" w:cstheme="minorHAnsi"/>
          <w:color w:val="auto"/>
        </w:rPr>
        <w:t xml:space="preserve"> “I respectfully request a review by the physical disability board</w:t>
      </w:r>
      <w:r w:rsidR="00356AF9">
        <w:rPr>
          <w:rFonts w:asciiTheme="minorHAnsi" w:hAnsiTheme="minorHAnsi" w:cstheme="minorHAnsi"/>
          <w:color w:val="auto"/>
        </w:rPr>
        <w:t xml:space="preserve"> of review (PDBR) based on the d</w:t>
      </w:r>
      <w:r w:rsidRPr="008C21C1">
        <w:rPr>
          <w:rFonts w:asciiTheme="minorHAnsi" w:hAnsiTheme="minorHAnsi" w:cstheme="minorHAnsi"/>
          <w:color w:val="auto"/>
        </w:rPr>
        <w:t xml:space="preserve">isability rating I received by the department of Veterans Affairs (DVA). </w:t>
      </w:r>
      <w:r>
        <w:rPr>
          <w:rFonts w:asciiTheme="minorHAnsi" w:hAnsiTheme="minorHAnsi" w:cstheme="minorHAnsi"/>
          <w:color w:val="auto"/>
        </w:rPr>
        <w:t xml:space="preserve"> </w:t>
      </w:r>
      <w:r w:rsidRPr="008C21C1">
        <w:rPr>
          <w:rFonts w:asciiTheme="minorHAnsi" w:hAnsiTheme="minorHAnsi" w:cstheme="minorHAnsi"/>
          <w:color w:val="auto"/>
        </w:rPr>
        <w:t>I was rated 20% disabled by a Physical Evaluation Board (PEB) for the injury sustained to my right ankle and foot, which resulted in my early discharge from the Marine Corps.</w:t>
      </w:r>
      <w:r>
        <w:rPr>
          <w:rFonts w:asciiTheme="minorHAnsi" w:hAnsiTheme="minorHAnsi" w:cstheme="minorHAnsi"/>
          <w:color w:val="auto"/>
        </w:rPr>
        <w:t xml:space="preserve"> </w:t>
      </w:r>
      <w:r w:rsidRPr="008C21C1">
        <w:rPr>
          <w:rFonts w:asciiTheme="minorHAnsi" w:hAnsiTheme="minorHAnsi" w:cstheme="minorHAnsi"/>
          <w:color w:val="auto"/>
        </w:rPr>
        <w:t xml:space="preserve"> The DVA </w:t>
      </w:r>
      <w:r w:rsidRPr="008F66B1">
        <w:rPr>
          <w:rFonts w:asciiTheme="minorHAnsi" w:hAnsiTheme="minorHAnsi" w:cstheme="minorHAnsi"/>
          <w:color w:val="auto"/>
        </w:rPr>
        <w:t>rated the same condition as a 50% disability.  I have continued to have problems with my ankle and foot,</w:t>
      </w:r>
      <w:r w:rsidRPr="008C21C1">
        <w:rPr>
          <w:rFonts w:asciiTheme="minorHAnsi" w:hAnsiTheme="minorHAnsi" w:cstheme="minorHAnsi"/>
          <w:color w:val="auto"/>
        </w:rPr>
        <w:t xml:space="preserve"> and have received treatment through the DVA.</w:t>
      </w:r>
      <w:r>
        <w:rPr>
          <w:rFonts w:asciiTheme="minorHAnsi" w:hAnsiTheme="minorHAnsi" w:cstheme="minorHAnsi"/>
          <w:color w:val="auto"/>
        </w:rPr>
        <w:t xml:space="preserve"> </w:t>
      </w:r>
      <w:r w:rsidRPr="008C21C1">
        <w:rPr>
          <w:rFonts w:asciiTheme="minorHAnsi" w:hAnsiTheme="minorHAnsi" w:cstheme="minorHAnsi"/>
          <w:color w:val="auto"/>
        </w:rPr>
        <w:t xml:space="preserve"> I am limited in the activities I am able to participate in, and have constant pain.</w:t>
      </w:r>
      <w:r>
        <w:rPr>
          <w:rFonts w:asciiTheme="minorHAnsi" w:hAnsiTheme="minorHAnsi" w:cstheme="minorHAnsi"/>
          <w:color w:val="auto"/>
        </w:rPr>
        <w:t xml:space="preserve"> </w:t>
      </w:r>
      <w:r w:rsidRPr="008C21C1">
        <w:rPr>
          <w:rFonts w:asciiTheme="minorHAnsi" w:hAnsiTheme="minorHAnsi" w:cstheme="minorHAnsi"/>
          <w:color w:val="auto"/>
        </w:rPr>
        <w:t xml:space="preserve"> The treatments have helped but, as I was told when I first sustained the injury, there is nothing available at this time to repair the injury to 100%. Therefore, ask that you take the DVA rating into account as well as the treatments I have sought </w:t>
      </w:r>
      <w:r>
        <w:rPr>
          <w:rFonts w:asciiTheme="minorHAnsi" w:hAnsiTheme="minorHAnsi" w:cstheme="minorHAnsi"/>
          <w:color w:val="auto"/>
        </w:rPr>
        <w:t>out while reviewing my case.”  She additionally lists all of her</w:t>
      </w:r>
      <w:r w:rsidRPr="008C21C1">
        <w:rPr>
          <w:rFonts w:asciiTheme="minorHAnsi" w:hAnsiTheme="minorHAnsi" w:cstheme="minorHAnsi"/>
          <w:color w:val="auto"/>
        </w:rPr>
        <w:t xml:space="preserve"> VA conditions and ratings as per the rating chart below.  A contention for their inclusion in the separation rating is therefore implied.</w:t>
      </w:r>
    </w:p>
    <w:p w:rsidR="00C63313" w:rsidRDefault="00C63313"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F27AF6" w:rsidRDefault="00F27AF6">
      <w:pPr>
        <w:rPr>
          <w:rFonts w:asciiTheme="minorHAnsi" w:hAnsiTheme="minorHAnsi"/>
          <w:color w:val="auto"/>
          <w:u w:val="single"/>
        </w:rPr>
      </w:pPr>
      <w:r>
        <w:rPr>
          <w:rFonts w:asciiTheme="minorHAnsi" w:hAnsiTheme="minorHAnsi"/>
          <w:color w:val="auto"/>
          <w:u w:val="single"/>
        </w:rPr>
        <w:br w:type="page"/>
      </w: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53504A" w:rsidRDefault="0053504A" w:rsidP="00510F9C">
      <w:pPr>
        <w:spacing w:line="240" w:lineRule="exact"/>
        <w:rPr>
          <w:rFonts w:asciiTheme="minorHAnsi" w:hAnsiTheme="minorHAnsi"/>
          <w:color w:val="auto"/>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080"/>
        <w:gridCol w:w="717"/>
        <w:gridCol w:w="2613"/>
        <w:gridCol w:w="1080"/>
        <w:gridCol w:w="738"/>
        <w:gridCol w:w="990"/>
      </w:tblGrid>
      <w:tr w:rsidR="0053504A" w:rsidRPr="008C21C1" w:rsidTr="0053504A">
        <w:trPr>
          <w:trHeight w:val="233"/>
          <w:jc w:val="center"/>
        </w:trPr>
        <w:tc>
          <w:tcPr>
            <w:tcW w:w="4155" w:type="dxa"/>
            <w:gridSpan w:val="3"/>
            <w:tcBorders>
              <w:right w:val="thinThickThinSmallGap" w:sz="24" w:space="0" w:color="auto"/>
            </w:tcBorders>
            <w:shd w:val="clear" w:color="auto" w:fill="D9D9D9"/>
            <w:vAlign w:val="center"/>
          </w:tcPr>
          <w:p w:rsidR="0053504A" w:rsidRPr="008C21C1" w:rsidRDefault="0053504A" w:rsidP="00C61C69">
            <w:pPr>
              <w:tabs>
                <w:tab w:val="center" w:pos="4320"/>
                <w:tab w:val="right" w:pos="8640"/>
              </w:tabs>
              <w:spacing w:line="200" w:lineRule="exact"/>
              <w:contextualSpacing/>
              <w:jc w:val="center"/>
              <w:rPr>
                <w:rFonts w:asciiTheme="minorHAnsi" w:hAnsiTheme="minorHAnsi" w:cstheme="minorHAnsi"/>
                <w:b/>
                <w:color w:val="auto"/>
                <w:sz w:val="18"/>
                <w:szCs w:val="18"/>
              </w:rPr>
            </w:pPr>
            <w:r w:rsidRPr="008F66B1">
              <w:rPr>
                <w:rFonts w:asciiTheme="minorHAnsi" w:hAnsiTheme="minorHAnsi" w:cstheme="minorHAnsi"/>
                <w:b/>
                <w:color w:val="auto"/>
                <w:sz w:val="18"/>
                <w:szCs w:val="18"/>
              </w:rPr>
              <w:t xml:space="preserve">Service </w:t>
            </w:r>
            <w:r w:rsidR="00C61C69" w:rsidRPr="008F66B1">
              <w:rPr>
                <w:rFonts w:asciiTheme="minorHAnsi" w:hAnsiTheme="minorHAnsi" w:cstheme="minorHAnsi"/>
                <w:b/>
                <w:color w:val="auto"/>
                <w:sz w:val="18"/>
                <w:szCs w:val="18"/>
              </w:rPr>
              <w:t>Reconsideration</w:t>
            </w:r>
            <w:r w:rsidR="00C61C69">
              <w:rPr>
                <w:rFonts w:asciiTheme="minorHAnsi" w:hAnsiTheme="minorHAnsi" w:cstheme="minorHAnsi"/>
                <w:b/>
                <w:color w:val="auto"/>
                <w:sz w:val="18"/>
                <w:szCs w:val="18"/>
              </w:rPr>
              <w:t xml:space="preserve"> </w:t>
            </w:r>
            <w:r w:rsidRPr="008C21C1">
              <w:rPr>
                <w:rFonts w:asciiTheme="minorHAnsi" w:hAnsiTheme="minorHAnsi" w:cstheme="minorHAnsi"/>
                <w:b/>
                <w:color w:val="auto"/>
                <w:sz w:val="18"/>
                <w:szCs w:val="18"/>
              </w:rPr>
              <w:t>PEB – Dated 20090219</w:t>
            </w:r>
          </w:p>
        </w:tc>
        <w:tc>
          <w:tcPr>
            <w:tcW w:w="5421" w:type="dxa"/>
            <w:gridSpan w:val="4"/>
            <w:tcBorders>
              <w:left w:val="thinThickThinSmallGap" w:sz="24" w:space="0" w:color="auto"/>
            </w:tcBorders>
            <w:shd w:val="clear" w:color="auto" w:fill="D9D9D9"/>
            <w:vAlign w:val="center"/>
          </w:tcPr>
          <w:p w:rsidR="0053504A" w:rsidRPr="008C21C1"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C21C1">
              <w:rPr>
                <w:rFonts w:asciiTheme="minorHAnsi" w:hAnsiTheme="minorHAnsi" w:cstheme="minorHAnsi"/>
                <w:b/>
                <w:color w:val="auto"/>
                <w:sz w:val="18"/>
                <w:szCs w:val="18"/>
              </w:rPr>
              <w:t>VA (2 Mo. Pre Separation) – All Effective Date 20090430</w:t>
            </w:r>
          </w:p>
        </w:tc>
      </w:tr>
      <w:tr w:rsidR="0053504A" w:rsidRPr="008C21C1" w:rsidTr="00C03040">
        <w:trPr>
          <w:trHeight w:val="449"/>
          <w:jc w:val="center"/>
        </w:trPr>
        <w:tc>
          <w:tcPr>
            <w:tcW w:w="2358" w:type="dxa"/>
            <w:tcBorders>
              <w:bottom w:val="single" w:sz="4" w:space="0" w:color="000000"/>
              <w:right w:val="single" w:sz="4" w:space="0" w:color="auto"/>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Condition</w:t>
            </w:r>
          </w:p>
        </w:tc>
        <w:tc>
          <w:tcPr>
            <w:tcW w:w="1080" w:type="dxa"/>
            <w:tcBorders>
              <w:left w:val="single" w:sz="4" w:space="0" w:color="auto"/>
              <w:bottom w:val="single" w:sz="4" w:space="0" w:color="000000"/>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Code</w:t>
            </w:r>
          </w:p>
        </w:tc>
        <w:tc>
          <w:tcPr>
            <w:tcW w:w="717" w:type="dxa"/>
            <w:tcBorders>
              <w:bottom w:val="single" w:sz="4" w:space="0" w:color="000000"/>
              <w:right w:val="thinThickThinSmallGap" w:sz="24" w:space="0" w:color="auto"/>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Rating</w:t>
            </w:r>
          </w:p>
        </w:tc>
        <w:tc>
          <w:tcPr>
            <w:tcW w:w="2613" w:type="dxa"/>
            <w:tcBorders>
              <w:left w:val="thinThickThinSmallGap" w:sz="24" w:space="0" w:color="auto"/>
              <w:bottom w:val="single" w:sz="4" w:space="0" w:color="000000"/>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Condition</w:t>
            </w:r>
          </w:p>
        </w:tc>
        <w:tc>
          <w:tcPr>
            <w:tcW w:w="1080" w:type="dxa"/>
            <w:tcBorders>
              <w:bottom w:val="single" w:sz="4" w:space="0" w:color="000000"/>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Code</w:t>
            </w:r>
          </w:p>
        </w:tc>
        <w:tc>
          <w:tcPr>
            <w:tcW w:w="738" w:type="dxa"/>
            <w:tcBorders>
              <w:bottom w:val="single" w:sz="4" w:space="0" w:color="000000"/>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Rating</w:t>
            </w:r>
          </w:p>
        </w:tc>
        <w:tc>
          <w:tcPr>
            <w:tcW w:w="990" w:type="dxa"/>
            <w:tcBorders>
              <w:bottom w:val="single" w:sz="4" w:space="0" w:color="000000"/>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Exam</w:t>
            </w:r>
          </w:p>
        </w:tc>
      </w:tr>
      <w:tr w:rsidR="0053504A" w:rsidRPr="008C21C1" w:rsidTr="00C03040">
        <w:trPr>
          <w:trHeight w:val="287"/>
          <w:jc w:val="center"/>
        </w:trPr>
        <w:tc>
          <w:tcPr>
            <w:tcW w:w="2358" w:type="dxa"/>
            <w:tcBorders>
              <w:right w:val="single" w:sz="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 xml:space="preserve">Complex </w:t>
            </w:r>
            <w:r w:rsidR="00C61C69">
              <w:rPr>
                <w:rFonts w:asciiTheme="minorHAnsi" w:hAnsiTheme="minorHAnsi" w:cstheme="minorHAnsi"/>
                <w:color w:val="auto"/>
                <w:sz w:val="18"/>
                <w:szCs w:val="18"/>
              </w:rPr>
              <w:t xml:space="preserve">Regional </w:t>
            </w:r>
            <w:r w:rsidRPr="008B78D6">
              <w:rPr>
                <w:rFonts w:asciiTheme="minorHAnsi" w:hAnsiTheme="minorHAnsi" w:cstheme="minorHAnsi"/>
                <w:color w:val="auto"/>
                <w:sz w:val="18"/>
                <w:szCs w:val="18"/>
              </w:rPr>
              <w:t>Pain Syndrome, Right Lower Extremity</w:t>
            </w:r>
          </w:p>
        </w:tc>
        <w:tc>
          <w:tcPr>
            <w:tcW w:w="1080" w:type="dxa"/>
            <w:tcBorders>
              <w:left w:val="single" w:sz="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8799-8725</w:t>
            </w:r>
          </w:p>
        </w:tc>
        <w:tc>
          <w:tcPr>
            <w:tcW w:w="717" w:type="dxa"/>
            <w:tcBorders>
              <w:righ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highlight w:val="yellow"/>
              </w:rPr>
            </w:pPr>
            <w:r w:rsidRPr="008B78D6">
              <w:rPr>
                <w:rFonts w:asciiTheme="minorHAnsi" w:hAnsiTheme="minorHAnsi" w:cstheme="minorHAnsi"/>
                <w:color w:val="auto"/>
                <w:sz w:val="18"/>
                <w:szCs w:val="18"/>
              </w:rPr>
              <w:t>20%</w:t>
            </w:r>
          </w:p>
        </w:tc>
        <w:tc>
          <w:tcPr>
            <w:tcW w:w="2613" w:type="dxa"/>
            <w:vMerge w:val="restart"/>
            <w:tcBorders>
              <w:left w:val="thinThickThinSmallGap" w:sz="24" w:space="0" w:color="auto"/>
            </w:tcBorders>
            <w:shd w:val="clear" w:color="auto" w:fill="FFFFFF"/>
            <w:vAlign w:val="center"/>
          </w:tcPr>
          <w:p w:rsidR="00D62E88" w:rsidRPr="008B78D6" w:rsidRDefault="0053504A" w:rsidP="00D62E88">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 xml:space="preserve">Healing </w:t>
            </w:r>
            <w:proofErr w:type="spellStart"/>
            <w:r w:rsidRPr="008B78D6">
              <w:rPr>
                <w:rFonts w:asciiTheme="minorHAnsi" w:hAnsiTheme="minorHAnsi" w:cstheme="minorHAnsi"/>
                <w:color w:val="auto"/>
                <w:sz w:val="18"/>
                <w:szCs w:val="18"/>
              </w:rPr>
              <w:t>Osteochondritis</w:t>
            </w:r>
            <w:proofErr w:type="spellEnd"/>
            <w:r w:rsidRPr="008B78D6">
              <w:rPr>
                <w:rFonts w:asciiTheme="minorHAnsi" w:hAnsiTheme="minorHAnsi" w:cstheme="minorHAnsi"/>
                <w:color w:val="auto"/>
                <w:sz w:val="18"/>
                <w:szCs w:val="18"/>
              </w:rPr>
              <w:t xml:space="preserve"> </w:t>
            </w:r>
            <w:proofErr w:type="spellStart"/>
            <w:r w:rsidRPr="008B78D6">
              <w:rPr>
                <w:rFonts w:asciiTheme="minorHAnsi" w:hAnsiTheme="minorHAnsi" w:cstheme="minorHAnsi"/>
                <w:color w:val="auto"/>
                <w:sz w:val="18"/>
                <w:szCs w:val="18"/>
              </w:rPr>
              <w:t>Dissecans</w:t>
            </w:r>
            <w:proofErr w:type="spellEnd"/>
            <w:r w:rsidRPr="008B78D6">
              <w:rPr>
                <w:rFonts w:asciiTheme="minorHAnsi" w:hAnsiTheme="minorHAnsi" w:cstheme="minorHAnsi"/>
                <w:color w:val="auto"/>
                <w:sz w:val="18"/>
                <w:szCs w:val="18"/>
              </w:rPr>
              <w:t xml:space="preserve"> </w:t>
            </w:r>
            <w:r w:rsidR="00D62E88">
              <w:rPr>
                <w:rFonts w:asciiTheme="minorHAnsi" w:hAnsiTheme="minorHAnsi" w:cstheme="minorHAnsi"/>
                <w:color w:val="auto"/>
                <w:sz w:val="18"/>
                <w:szCs w:val="18"/>
              </w:rPr>
              <w:t>s/p</w:t>
            </w:r>
            <w:r w:rsidR="00374927">
              <w:rPr>
                <w:rFonts w:asciiTheme="minorHAnsi" w:hAnsiTheme="minorHAnsi" w:cstheme="minorHAnsi"/>
                <w:color w:val="auto"/>
                <w:sz w:val="18"/>
                <w:szCs w:val="18"/>
              </w:rPr>
              <w:t xml:space="preserve"> </w:t>
            </w:r>
            <w:r w:rsidRPr="008B78D6">
              <w:rPr>
                <w:rFonts w:asciiTheme="minorHAnsi" w:hAnsiTheme="minorHAnsi" w:cstheme="minorHAnsi"/>
                <w:color w:val="auto"/>
                <w:sz w:val="18"/>
                <w:szCs w:val="18"/>
              </w:rPr>
              <w:t>Arthroscopic Procedures with Reflux Sympathetic</w:t>
            </w:r>
            <w:r w:rsidR="00374927">
              <w:rPr>
                <w:rFonts w:asciiTheme="minorHAnsi" w:hAnsiTheme="minorHAnsi" w:cstheme="minorHAnsi"/>
                <w:color w:val="auto"/>
                <w:sz w:val="18"/>
                <w:szCs w:val="18"/>
              </w:rPr>
              <w:t xml:space="preserve"> </w:t>
            </w:r>
            <w:r w:rsidRPr="008B78D6">
              <w:rPr>
                <w:rFonts w:asciiTheme="minorHAnsi" w:hAnsiTheme="minorHAnsi" w:cstheme="minorHAnsi"/>
                <w:color w:val="auto"/>
                <w:sz w:val="18"/>
                <w:szCs w:val="18"/>
              </w:rPr>
              <w:t>Dystrophy</w:t>
            </w:r>
            <w:r w:rsidR="00D62E88">
              <w:rPr>
                <w:rFonts w:asciiTheme="minorHAnsi" w:hAnsiTheme="minorHAnsi" w:cstheme="minorHAnsi"/>
                <w:color w:val="auto"/>
                <w:sz w:val="18"/>
                <w:szCs w:val="18"/>
              </w:rPr>
              <w:t xml:space="preserve"> </w:t>
            </w:r>
            <w:proofErr w:type="spellStart"/>
            <w:r w:rsidR="00D62E88" w:rsidRPr="00D62E88">
              <w:rPr>
                <w:rFonts w:asciiTheme="minorHAnsi" w:hAnsiTheme="minorHAnsi" w:cstheme="minorHAnsi"/>
                <w:color w:val="auto"/>
                <w:sz w:val="18"/>
                <w:szCs w:val="18"/>
              </w:rPr>
              <w:t>ligamentous</w:t>
            </w:r>
            <w:proofErr w:type="spellEnd"/>
            <w:r w:rsidR="00D62E88" w:rsidRPr="00D62E88">
              <w:rPr>
                <w:rFonts w:asciiTheme="minorHAnsi" w:hAnsiTheme="minorHAnsi" w:cstheme="minorHAnsi"/>
                <w:color w:val="auto"/>
                <w:sz w:val="18"/>
                <w:szCs w:val="18"/>
              </w:rPr>
              <w:t xml:space="preserve"> injury, limitation of</w:t>
            </w:r>
            <w:r w:rsidR="00D62E88">
              <w:rPr>
                <w:rFonts w:asciiTheme="minorHAnsi" w:hAnsiTheme="minorHAnsi" w:cstheme="minorHAnsi"/>
                <w:color w:val="auto"/>
                <w:sz w:val="18"/>
                <w:szCs w:val="18"/>
              </w:rPr>
              <w:t xml:space="preserve"> </w:t>
            </w:r>
            <w:r w:rsidR="00D62E88" w:rsidRPr="00D62E88">
              <w:rPr>
                <w:rFonts w:asciiTheme="minorHAnsi" w:hAnsiTheme="minorHAnsi" w:cstheme="minorHAnsi"/>
                <w:color w:val="auto"/>
                <w:sz w:val="18"/>
                <w:szCs w:val="18"/>
              </w:rPr>
              <w:t>motion, muscle weakness and altered sensation of the right ankle, foot and lower leg,</w:t>
            </w:r>
            <w:r w:rsidR="00D62E88">
              <w:rPr>
                <w:rFonts w:asciiTheme="minorHAnsi" w:hAnsiTheme="minorHAnsi" w:cstheme="minorHAnsi"/>
                <w:color w:val="auto"/>
                <w:sz w:val="18"/>
                <w:szCs w:val="18"/>
              </w:rPr>
              <w:t xml:space="preserve"> </w:t>
            </w:r>
            <w:r w:rsidR="00D62E88" w:rsidRPr="00D62E88">
              <w:rPr>
                <w:rFonts w:asciiTheme="minorHAnsi" w:hAnsiTheme="minorHAnsi" w:cstheme="minorHAnsi"/>
                <w:color w:val="auto"/>
                <w:sz w:val="18"/>
                <w:szCs w:val="18"/>
              </w:rPr>
              <w:t>atrophy of the right calf, and residual tender scars</w:t>
            </w:r>
          </w:p>
        </w:tc>
        <w:tc>
          <w:tcPr>
            <w:tcW w:w="1080" w:type="dxa"/>
            <w:vMerge w:val="restart"/>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5299-5262</w:t>
            </w:r>
          </w:p>
        </w:tc>
        <w:tc>
          <w:tcPr>
            <w:tcW w:w="738" w:type="dxa"/>
            <w:vMerge w:val="restart"/>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50%</w:t>
            </w:r>
            <w:r>
              <w:rPr>
                <w:rFonts w:asciiTheme="minorHAnsi" w:hAnsiTheme="minorHAnsi" w:cstheme="minorHAnsi"/>
                <w:color w:val="auto"/>
                <w:sz w:val="18"/>
                <w:szCs w:val="18"/>
              </w:rPr>
              <w:t>*</w:t>
            </w:r>
          </w:p>
        </w:tc>
        <w:tc>
          <w:tcPr>
            <w:tcW w:w="990" w:type="dxa"/>
            <w:vMerge w:val="restart"/>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20090202</w:t>
            </w:r>
          </w:p>
        </w:tc>
      </w:tr>
      <w:tr w:rsidR="0053504A" w:rsidRPr="008C21C1" w:rsidTr="00C03040">
        <w:trPr>
          <w:trHeight w:val="287"/>
          <w:jc w:val="center"/>
        </w:trPr>
        <w:tc>
          <w:tcPr>
            <w:tcW w:w="2358" w:type="dxa"/>
            <w:tcBorders>
              <w:right w:val="single" w:sz="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Numbness/Nerve Pain In Toes &amp; Decreased Sensation In Medial Aspect of Foot</w:t>
            </w:r>
          </w:p>
        </w:tc>
        <w:tc>
          <w:tcPr>
            <w:tcW w:w="1797" w:type="dxa"/>
            <w:gridSpan w:val="2"/>
            <w:tcBorders>
              <w:left w:val="single" w:sz="4" w:space="0" w:color="auto"/>
              <w:righ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Related Category II</w:t>
            </w:r>
          </w:p>
        </w:tc>
        <w:tc>
          <w:tcPr>
            <w:tcW w:w="2613" w:type="dxa"/>
            <w:vMerge/>
            <w:tcBorders>
              <w:lef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p>
        </w:tc>
        <w:tc>
          <w:tcPr>
            <w:tcW w:w="108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738"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99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r>
      <w:tr w:rsidR="0053504A" w:rsidRPr="008C21C1" w:rsidTr="00C03040">
        <w:trPr>
          <w:trHeight w:val="287"/>
          <w:jc w:val="center"/>
        </w:trPr>
        <w:tc>
          <w:tcPr>
            <w:tcW w:w="2358" w:type="dxa"/>
            <w:tcBorders>
              <w:right w:val="single" w:sz="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 xml:space="preserve">Significant Posterior </w:t>
            </w:r>
            <w:proofErr w:type="spellStart"/>
            <w:r w:rsidRPr="008B78D6">
              <w:rPr>
                <w:rFonts w:asciiTheme="minorHAnsi" w:hAnsiTheme="minorHAnsi" w:cstheme="minorHAnsi"/>
                <w:color w:val="auto"/>
                <w:sz w:val="18"/>
                <w:szCs w:val="18"/>
              </w:rPr>
              <w:t>Tibialis</w:t>
            </w:r>
            <w:proofErr w:type="spellEnd"/>
            <w:r w:rsidRPr="008B78D6">
              <w:rPr>
                <w:rFonts w:asciiTheme="minorHAnsi" w:hAnsiTheme="minorHAnsi" w:cstheme="minorHAnsi"/>
                <w:color w:val="auto"/>
                <w:sz w:val="18"/>
                <w:szCs w:val="18"/>
              </w:rPr>
              <w:t xml:space="preserve"> Tendon</w:t>
            </w:r>
          </w:p>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 xml:space="preserve">Dysfunction &amp; </w:t>
            </w:r>
            <w:proofErr w:type="spellStart"/>
            <w:r w:rsidRPr="008B78D6">
              <w:rPr>
                <w:rFonts w:asciiTheme="minorHAnsi" w:hAnsiTheme="minorHAnsi" w:cstheme="minorHAnsi"/>
                <w:color w:val="auto"/>
                <w:sz w:val="18"/>
                <w:szCs w:val="18"/>
              </w:rPr>
              <w:t>Pes</w:t>
            </w:r>
            <w:proofErr w:type="spellEnd"/>
            <w:r w:rsidRPr="008B78D6">
              <w:rPr>
                <w:rFonts w:asciiTheme="minorHAnsi" w:hAnsiTheme="minorHAnsi" w:cstheme="minorHAnsi"/>
                <w:color w:val="auto"/>
                <w:sz w:val="18"/>
                <w:szCs w:val="18"/>
              </w:rPr>
              <w:t xml:space="preserve"> </w:t>
            </w:r>
            <w:proofErr w:type="spellStart"/>
            <w:r w:rsidRPr="008B78D6">
              <w:rPr>
                <w:rFonts w:asciiTheme="minorHAnsi" w:hAnsiTheme="minorHAnsi" w:cstheme="minorHAnsi"/>
                <w:color w:val="auto"/>
                <w:sz w:val="18"/>
                <w:szCs w:val="18"/>
              </w:rPr>
              <w:t>Planus</w:t>
            </w:r>
            <w:proofErr w:type="spellEnd"/>
          </w:p>
        </w:tc>
        <w:tc>
          <w:tcPr>
            <w:tcW w:w="1797" w:type="dxa"/>
            <w:gridSpan w:val="2"/>
            <w:tcBorders>
              <w:left w:val="single" w:sz="4" w:space="0" w:color="auto"/>
              <w:righ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Related Category II</w:t>
            </w:r>
          </w:p>
        </w:tc>
        <w:tc>
          <w:tcPr>
            <w:tcW w:w="2613" w:type="dxa"/>
            <w:vMerge/>
            <w:tcBorders>
              <w:lef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p>
        </w:tc>
        <w:tc>
          <w:tcPr>
            <w:tcW w:w="108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738"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99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r>
      <w:tr w:rsidR="0053504A" w:rsidRPr="008C21C1" w:rsidTr="00C03040">
        <w:trPr>
          <w:trHeight w:val="287"/>
          <w:jc w:val="center"/>
        </w:trPr>
        <w:tc>
          <w:tcPr>
            <w:tcW w:w="2358" w:type="dxa"/>
            <w:tcBorders>
              <w:right w:val="single" w:sz="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 xml:space="preserve">Ankle Talus </w:t>
            </w:r>
            <w:proofErr w:type="spellStart"/>
            <w:r w:rsidRPr="008B78D6">
              <w:rPr>
                <w:rFonts w:asciiTheme="minorHAnsi" w:hAnsiTheme="minorHAnsi" w:cstheme="minorHAnsi"/>
                <w:color w:val="auto"/>
                <w:sz w:val="18"/>
                <w:szCs w:val="18"/>
              </w:rPr>
              <w:t>Osteochondral</w:t>
            </w:r>
            <w:proofErr w:type="spellEnd"/>
            <w:r w:rsidRPr="008B78D6">
              <w:rPr>
                <w:rFonts w:asciiTheme="minorHAnsi" w:hAnsiTheme="minorHAnsi" w:cstheme="minorHAnsi"/>
                <w:color w:val="auto"/>
                <w:sz w:val="18"/>
                <w:szCs w:val="18"/>
              </w:rPr>
              <w:t xml:space="preserve"> Lesion Status Post 2 Micro fractures</w:t>
            </w:r>
          </w:p>
        </w:tc>
        <w:tc>
          <w:tcPr>
            <w:tcW w:w="1797" w:type="dxa"/>
            <w:gridSpan w:val="2"/>
            <w:tcBorders>
              <w:left w:val="single" w:sz="4" w:space="0" w:color="auto"/>
              <w:righ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Related Category II</w:t>
            </w:r>
          </w:p>
        </w:tc>
        <w:tc>
          <w:tcPr>
            <w:tcW w:w="2613" w:type="dxa"/>
            <w:vMerge/>
            <w:tcBorders>
              <w:lef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p>
        </w:tc>
        <w:tc>
          <w:tcPr>
            <w:tcW w:w="108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738"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99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r>
      <w:tr w:rsidR="0053504A" w:rsidRPr="008C21C1" w:rsidTr="00C03040">
        <w:trPr>
          <w:trHeight w:val="287"/>
          <w:jc w:val="center"/>
        </w:trPr>
        <w:tc>
          <w:tcPr>
            <w:tcW w:w="2358" w:type="dxa"/>
            <w:tcBorders>
              <w:right w:val="single" w:sz="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 xml:space="preserve">A Tight </w:t>
            </w:r>
            <w:proofErr w:type="spellStart"/>
            <w:r w:rsidRPr="008B78D6">
              <w:rPr>
                <w:rFonts w:asciiTheme="minorHAnsi" w:hAnsiTheme="minorHAnsi" w:cstheme="minorHAnsi"/>
                <w:color w:val="auto"/>
                <w:sz w:val="18"/>
                <w:szCs w:val="18"/>
              </w:rPr>
              <w:t>Gastrocnemius</w:t>
            </w:r>
            <w:proofErr w:type="spellEnd"/>
            <w:r w:rsidRPr="008B78D6">
              <w:rPr>
                <w:rFonts w:asciiTheme="minorHAnsi" w:hAnsiTheme="minorHAnsi" w:cstheme="minorHAnsi"/>
                <w:color w:val="auto"/>
                <w:sz w:val="18"/>
                <w:szCs w:val="18"/>
              </w:rPr>
              <w:t xml:space="preserve"> Status Post Resection</w:t>
            </w:r>
          </w:p>
        </w:tc>
        <w:tc>
          <w:tcPr>
            <w:tcW w:w="1797" w:type="dxa"/>
            <w:gridSpan w:val="2"/>
            <w:tcBorders>
              <w:left w:val="single" w:sz="4" w:space="0" w:color="auto"/>
              <w:righ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Related Category II</w:t>
            </w:r>
          </w:p>
        </w:tc>
        <w:tc>
          <w:tcPr>
            <w:tcW w:w="2613" w:type="dxa"/>
            <w:vMerge/>
            <w:tcBorders>
              <w:left w:val="thinThickThinSmallGap" w:sz="24" w:space="0" w:color="auto"/>
            </w:tcBorders>
            <w:shd w:val="clear" w:color="auto" w:fill="FFFFFF"/>
            <w:vAlign w:val="center"/>
          </w:tcPr>
          <w:p w:rsidR="0053504A" w:rsidRPr="008B78D6" w:rsidRDefault="0053504A" w:rsidP="0053504A">
            <w:pPr>
              <w:tabs>
                <w:tab w:val="center" w:pos="4320"/>
                <w:tab w:val="right" w:pos="8640"/>
              </w:tabs>
              <w:spacing w:line="180" w:lineRule="exact"/>
              <w:contextualSpacing/>
              <w:rPr>
                <w:rFonts w:asciiTheme="minorHAnsi" w:hAnsiTheme="minorHAnsi" w:cstheme="minorHAnsi"/>
                <w:color w:val="auto"/>
                <w:sz w:val="18"/>
                <w:szCs w:val="18"/>
              </w:rPr>
            </w:pPr>
          </w:p>
        </w:tc>
        <w:tc>
          <w:tcPr>
            <w:tcW w:w="108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738"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990" w:type="dxa"/>
            <w:vMerge/>
            <w:shd w:val="clear" w:color="auto" w:fill="FFFFFF"/>
            <w:vAlign w:val="center"/>
          </w:tcPr>
          <w:p w:rsidR="0053504A" w:rsidRPr="008B78D6" w:rsidRDefault="0053504A"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r>
      <w:tr w:rsidR="00C61C69" w:rsidRPr="008C21C1" w:rsidTr="00C03040">
        <w:trPr>
          <w:trHeight w:val="287"/>
          <w:jc w:val="center"/>
        </w:trPr>
        <w:tc>
          <w:tcPr>
            <w:tcW w:w="4155" w:type="dxa"/>
            <w:gridSpan w:val="3"/>
            <w:vMerge w:val="restart"/>
            <w:tcBorders>
              <w:right w:val="thinThickThinSmallGap" w:sz="2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highlight w:val="yellow"/>
              </w:rPr>
            </w:pPr>
            <w:r w:rsidRPr="008B78D6">
              <w:rPr>
                <w:rFonts w:asciiTheme="minorHAnsi" w:hAnsiTheme="minorHAnsi" w:cstheme="minorHAnsi"/>
                <w:color w:val="auto"/>
                <w:sz w:val="18"/>
                <w:szCs w:val="18"/>
              </w:rPr>
              <w:t>↓No Additional MEB/PEB Entries↓</w:t>
            </w:r>
          </w:p>
        </w:tc>
        <w:tc>
          <w:tcPr>
            <w:tcW w:w="2613" w:type="dxa"/>
            <w:tcBorders>
              <w:left w:val="thinThickThinSmallGap" w:sz="24" w:space="0" w:color="auto"/>
              <w:right w:val="single" w:sz="4" w:space="0" w:color="auto"/>
            </w:tcBorders>
            <w:shd w:val="clear" w:color="auto" w:fill="FFFFFF"/>
            <w:vAlign w:val="center"/>
          </w:tcPr>
          <w:p w:rsidR="00C61C69" w:rsidRPr="008B78D6" w:rsidRDefault="00C61C69" w:rsidP="00C03040">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R</w:t>
            </w:r>
            <w:r w:rsidR="00C03040">
              <w:rPr>
                <w:rFonts w:asciiTheme="minorHAnsi" w:hAnsiTheme="minorHAnsi" w:cstheme="minorHAnsi"/>
                <w:color w:val="auto"/>
                <w:sz w:val="18"/>
                <w:szCs w:val="18"/>
              </w:rPr>
              <w:t>.</w:t>
            </w:r>
            <w:r w:rsidRPr="008B78D6">
              <w:rPr>
                <w:rFonts w:asciiTheme="minorHAnsi" w:hAnsiTheme="minorHAnsi" w:cstheme="minorHAnsi"/>
                <w:color w:val="auto"/>
                <w:sz w:val="18"/>
                <w:szCs w:val="18"/>
              </w:rPr>
              <w:t xml:space="preserve"> Shoulder Strain &amp; Tendinitis</w:t>
            </w:r>
          </w:p>
        </w:tc>
        <w:tc>
          <w:tcPr>
            <w:tcW w:w="1080" w:type="dxa"/>
            <w:tcBorders>
              <w:lef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5201</w:t>
            </w:r>
          </w:p>
        </w:tc>
        <w:tc>
          <w:tcPr>
            <w:tcW w:w="738"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10%</w:t>
            </w:r>
          </w:p>
        </w:tc>
        <w:tc>
          <w:tcPr>
            <w:tcW w:w="990"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 xml:space="preserve">20090202 </w:t>
            </w:r>
          </w:p>
        </w:tc>
      </w:tr>
      <w:tr w:rsidR="00C61C69" w:rsidRPr="008C21C1" w:rsidTr="00C03040">
        <w:trPr>
          <w:trHeight w:val="287"/>
          <w:jc w:val="center"/>
        </w:trPr>
        <w:tc>
          <w:tcPr>
            <w:tcW w:w="4155" w:type="dxa"/>
            <w:gridSpan w:val="3"/>
            <w:vMerge/>
            <w:tcBorders>
              <w:right w:val="thinThickThinSmallGap" w:sz="2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2613" w:type="dxa"/>
            <w:tcBorders>
              <w:left w:val="thinThickThinSmallGap" w:sz="2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Right Low Back</w:t>
            </w:r>
          </w:p>
        </w:tc>
        <w:tc>
          <w:tcPr>
            <w:tcW w:w="1080" w:type="dxa"/>
            <w:tcBorders>
              <w:left w:val="single" w:sz="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5237</w:t>
            </w:r>
          </w:p>
        </w:tc>
        <w:tc>
          <w:tcPr>
            <w:tcW w:w="738" w:type="dxa"/>
            <w:tcBorders>
              <w:lef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10%</w:t>
            </w:r>
          </w:p>
        </w:tc>
        <w:tc>
          <w:tcPr>
            <w:tcW w:w="990"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20090202</w:t>
            </w:r>
          </w:p>
        </w:tc>
      </w:tr>
      <w:tr w:rsidR="00C61C69" w:rsidRPr="008C21C1" w:rsidTr="00C03040">
        <w:trPr>
          <w:trHeight w:val="287"/>
          <w:jc w:val="center"/>
        </w:trPr>
        <w:tc>
          <w:tcPr>
            <w:tcW w:w="4155" w:type="dxa"/>
            <w:gridSpan w:val="3"/>
            <w:vMerge/>
            <w:tcBorders>
              <w:right w:val="thinThickThinSmallGap" w:sz="2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2613" w:type="dxa"/>
            <w:tcBorders>
              <w:left w:val="thinThickThinSmallGap" w:sz="2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Right Hip Strain</w:t>
            </w:r>
          </w:p>
        </w:tc>
        <w:tc>
          <w:tcPr>
            <w:tcW w:w="1080" w:type="dxa"/>
            <w:tcBorders>
              <w:left w:val="single" w:sz="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5252</w:t>
            </w:r>
          </w:p>
        </w:tc>
        <w:tc>
          <w:tcPr>
            <w:tcW w:w="738" w:type="dxa"/>
            <w:tcBorders>
              <w:lef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10%</w:t>
            </w:r>
          </w:p>
        </w:tc>
        <w:tc>
          <w:tcPr>
            <w:tcW w:w="990"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20090202</w:t>
            </w:r>
          </w:p>
        </w:tc>
      </w:tr>
      <w:tr w:rsidR="00C61C69" w:rsidRPr="008C21C1" w:rsidTr="00C03040">
        <w:trPr>
          <w:trHeight w:val="260"/>
          <w:jc w:val="center"/>
        </w:trPr>
        <w:tc>
          <w:tcPr>
            <w:tcW w:w="4155" w:type="dxa"/>
            <w:gridSpan w:val="3"/>
            <w:vMerge/>
            <w:tcBorders>
              <w:right w:val="thinThickThinSmallGap" w:sz="2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2613" w:type="dxa"/>
            <w:tcBorders>
              <w:left w:val="thinThickThinSmallGap" w:sz="2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Tinnitus</w:t>
            </w:r>
          </w:p>
        </w:tc>
        <w:tc>
          <w:tcPr>
            <w:tcW w:w="1080" w:type="dxa"/>
            <w:tcBorders>
              <w:left w:val="single" w:sz="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6260</w:t>
            </w:r>
          </w:p>
        </w:tc>
        <w:tc>
          <w:tcPr>
            <w:tcW w:w="738" w:type="dxa"/>
            <w:tcBorders>
              <w:lef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10%</w:t>
            </w:r>
          </w:p>
        </w:tc>
        <w:tc>
          <w:tcPr>
            <w:tcW w:w="990"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20090228</w:t>
            </w:r>
          </w:p>
        </w:tc>
      </w:tr>
      <w:tr w:rsidR="00C61C69" w:rsidRPr="008C21C1" w:rsidTr="00C03040">
        <w:trPr>
          <w:trHeight w:val="260"/>
          <w:jc w:val="center"/>
        </w:trPr>
        <w:tc>
          <w:tcPr>
            <w:tcW w:w="4155" w:type="dxa"/>
            <w:gridSpan w:val="3"/>
            <w:vMerge/>
            <w:tcBorders>
              <w:right w:val="thinThickThinSmallGap" w:sz="2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2613" w:type="dxa"/>
            <w:tcBorders>
              <w:left w:val="thinThickThinSmallGap" w:sz="2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rPr>
                <w:rFonts w:asciiTheme="minorHAnsi" w:hAnsiTheme="minorHAnsi" w:cstheme="minorHAnsi"/>
                <w:color w:val="auto"/>
                <w:sz w:val="18"/>
                <w:szCs w:val="18"/>
              </w:rPr>
            </w:pPr>
            <w:proofErr w:type="spellStart"/>
            <w:r w:rsidRPr="008B78D6">
              <w:rPr>
                <w:rFonts w:asciiTheme="minorHAnsi" w:hAnsiTheme="minorHAnsi" w:cstheme="minorHAnsi"/>
                <w:color w:val="auto"/>
                <w:sz w:val="18"/>
                <w:szCs w:val="18"/>
              </w:rPr>
              <w:t>Laryngopharyngeal</w:t>
            </w:r>
            <w:proofErr w:type="spellEnd"/>
            <w:r w:rsidRPr="008B78D6">
              <w:rPr>
                <w:rFonts w:asciiTheme="minorHAnsi" w:hAnsiTheme="minorHAnsi" w:cstheme="minorHAnsi"/>
                <w:color w:val="auto"/>
                <w:sz w:val="18"/>
                <w:szCs w:val="18"/>
              </w:rPr>
              <w:t xml:space="preserve"> Reflux</w:t>
            </w:r>
          </w:p>
        </w:tc>
        <w:tc>
          <w:tcPr>
            <w:tcW w:w="1080" w:type="dxa"/>
            <w:tcBorders>
              <w:left w:val="single" w:sz="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6516</w:t>
            </w:r>
          </w:p>
        </w:tc>
        <w:tc>
          <w:tcPr>
            <w:tcW w:w="738" w:type="dxa"/>
            <w:tcBorders>
              <w:lef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10%</w:t>
            </w:r>
          </w:p>
        </w:tc>
        <w:tc>
          <w:tcPr>
            <w:tcW w:w="990"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20090304</w:t>
            </w:r>
          </w:p>
        </w:tc>
      </w:tr>
      <w:tr w:rsidR="00C61C69" w:rsidRPr="008C21C1" w:rsidTr="00C03040">
        <w:trPr>
          <w:trHeight w:val="260"/>
          <w:jc w:val="center"/>
        </w:trPr>
        <w:tc>
          <w:tcPr>
            <w:tcW w:w="4155" w:type="dxa"/>
            <w:gridSpan w:val="3"/>
            <w:vMerge/>
            <w:tcBorders>
              <w:right w:val="thinThickThinSmallGap" w:sz="2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2613" w:type="dxa"/>
            <w:tcBorders>
              <w:left w:val="thinThickThinSmallGap" w:sz="2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rPr>
                <w:rFonts w:asciiTheme="minorHAnsi" w:hAnsiTheme="minorHAnsi" w:cstheme="minorHAnsi"/>
                <w:color w:val="auto"/>
                <w:sz w:val="18"/>
                <w:szCs w:val="18"/>
              </w:rPr>
            </w:pPr>
            <w:r w:rsidRPr="008B78D6">
              <w:rPr>
                <w:rFonts w:asciiTheme="minorHAnsi" w:hAnsiTheme="minorHAnsi" w:cstheme="minorHAnsi"/>
                <w:color w:val="auto"/>
                <w:sz w:val="18"/>
                <w:szCs w:val="18"/>
              </w:rPr>
              <w:t>Anxiety Disorder w/ Insomnia</w:t>
            </w:r>
          </w:p>
        </w:tc>
        <w:tc>
          <w:tcPr>
            <w:tcW w:w="1080" w:type="dxa"/>
            <w:tcBorders>
              <w:left w:val="single" w:sz="4" w:space="0" w:color="auto"/>
              <w:righ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9413</w:t>
            </w:r>
          </w:p>
        </w:tc>
        <w:tc>
          <w:tcPr>
            <w:tcW w:w="738" w:type="dxa"/>
            <w:tcBorders>
              <w:left w:val="single" w:sz="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10%</w:t>
            </w:r>
          </w:p>
        </w:tc>
        <w:tc>
          <w:tcPr>
            <w:tcW w:w="990"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20090304</w:t>
            </w:r>
          </w:p>
        </w:tc>
      </w:tr>
      <w:tr w:rsidR="00C61C69" w:rsidRPr="008C21C1" w:rsidTr="007B4541">
        <w:trPr>
          <w:trHeight w:val="260"/>
          <w:jc w:val="center"/>
        </w:trPr>
        <w:tc>
          <w:tcPr>
            <w:tcW w:w="4155" w:type="dxa"/>
            <w:gridSpan w:val="3"/>
            <w:vMerge/>
            <w:tcBorders>
              <w:right w:val="thinThickThinSmallGap" w:sz="24" w:space="0" w:color="auto"/>
            </w:tcBorders>
            <w:shd w:val="clear" w:color="auto" w:fill="FFFFFF"/>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p>
        </w:tc>
        <w:tc>
          <w:tcPr>
            <w:tcW w:w="4431" w:type="dxa"/>
            <w:gridSpan w:val="3"/>
            <w:tcBorders>
              <w:left w:val="thinThickThinSmallGap" w:sz="24" w:space="0" w:color="auto"/>
            </w:tcBorders>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0% x 1/Not Service Connected x 2</w:t>
            </w:r>
          </w:p>
        </w:tc>
        <w:tc>
          <w:tcPr>
            <w:tcW w:w="990" w:type="dxa"/>
            <w:shd w:val="clear" w:color="auto" w:fill="FFFFFF"/>
            <w:vAlign w:val="center"/>
          </w:tcPr>
          <w:p w:rsidR="00C61C69" w:rsidRPr="008B78D6" w:rsidRDefault="00C61C69" w:rsidP="0053504A">
            <w:pPr>
              <w:tabs>
                <w:tab w:val="center" w:pos="4320"/>
                <w:tab w:val="right" w:pos="8640"/>
              </w:tabs>
              <w:spacing w:line="180" w:lineRule="exact"/>
              <w:contextualSpacing/>
              <w:jc w:val="center"/>
              <w:rPr>
                <w:rFonts w:asciiTheme="minorHAnsi" w:hAnsiTheme="minorHAnsi" w:cstheme="minorHAnsi"/>
                <w:color w:val="auto"/>
                <w:sz w:val="18"/>
                <w:szCs w:val="18"/>
              </w:rPr>
            </w:pPr>
            <w:r w:rsidRPr="008B78D6">
              <w:rPr>
                <w:rFonts w:asciiTheme="minorHAnsi" w:hAnsiTheme="minorHAnsi" w:cstheme="minorHAnsi"/>
                <w:color w:val="auto"/>
                <w:sz w:val="18"/>
                <w:szCs w:val="18"/>
              </w:rPr>
              <w:t>20090304</w:t>
            </w:r>
          </w:p>
        </w:tc>
      </w:tr>
      <w:tr w:rsidR="0053504A" w:rsidRPr="008C21C1" w:rsidTr="0053504A">
        <w:trPr>
          <w:trHeight w:val="242"/>
          <w:jc w:val="center"/>
        </w:trPr>
        <w:tc>
          <w:tcPr>
            <w:tcW w:w="4155" w:type="dxa"/>
            <w:gridSpan w:val="3"/>
            <w:tcBorders>
              <w:right w:val="thinThickThinSmallGap" w:sz="24" w:space="0" w:color="auto"/>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Combined:  20%</w:t>
            </w:r>
          </w:p>
        </w:tc>
        <w:tc>
          <w:tcPr>
            <w:tcW w:w="5421" w:type="dxa"/>
            <w:gridSpan w:val="4"/>
            <w:tcBorders>
              <w:left w:val="thinThickThinSmallGap" w:sz="24" w:space="0" w:color="auto"/>
            </w:tcBorders>
            <w:shd w:val="clear" w:color="auto" w:fill="D9D9D9"/>
            <w:vAlign w:val="center"/>
          </w:tcPr>
          <w:p w:rsidR="0053504A" w:rsidRPr="008B78D6" w:rsidRDefault="0053504A" w:rsidP="0053504A">
            <w:pPr>
              <w:tabs>
                <w:tab w:val="center" w:pos="4320"/>
                <w:tab w:val="right" w:pos="8640"/>
              </w:tabs>
              <w:spacing w:line="200" w:lineRule="exact"/>
              <w:contextualSpacing/>
              <w:jc w:val="center"/>
              <w:rPr>
                <w:rFonts w:asciiTheme="minorHAnsi" w:hAnsiTheme="minorHAnsi" w:cstheme="minorHAnsi"/>
                <w:b/>
                <w:color w:val="auto"/>
                <w:sz w:val="18"/>
                <w:szCs w:val="18"/>
              </w:rPr>
            </w:pPr>
            <w:r w:rsidRPr="008B78D6">
              <w:rPr>
                <w:rFonts w:asciiTheme="minorHAnsi" w:hAnsiTheme="minorHAnsi" w:cstheme="minorHAnsi"/>
                <w:b/>
                <w:color w:val="auto"/>
                <w:sz w:val="18"/>
                <w:szCs w:val="18"/>
              </w:rPr>
              <w:t>Combined:  70%</w:t>
            </w:r>
          </w:p>
        </w:tc>
      </w:tr>
    </w:tbl>
    <w:p w:rsidR="0053504A" w:rsidRPr="00F27AF6" w:rsidRDefault="0053504A" w:rsidP="00374927">
      <w:pPr>
        <w:tabs>
          <w:tab w:val="left" w:pos="288"/>
          <w:tab w:val="left" w:pos="4752"/>
        </w:tabs>
        <w:spacing w:line="200" w:lineRule="exact"/>
        <w:jc w:val="both"/>
        <w:rPr>
          <w:rFonts w:asciiTheme="minorHAnsi" w:hAnsiTheme="minorHAnsi" w:cstheme="minorHAnsi"/>
          <w:color w:val="auto"/>
          <w:sz w:val="20"/>
          <w:szCs w:val="18"/>
        </w:rPr>
      </w:pPr>
      <w:r w:rsidRPr="00F27AF6">
        <w:rPr>
          <w:rFonts w:asciiTheme="minorHAnsi" w:hAnsiTheme="minorHAnsi" w:cstheme="minorHAnsi"/>
          <w:color w:val="auto"/>
          <w:sz w:val="20"/>
          <w:szCs w:val="18"/>
        </w:rPr>
        <w:t>*5299-5262 (</w:t>
      </w:r>
      <w:proofErr w:type="spellStart"/>
      <w:r w:rsidRPr="00F27AF6">
        <w:rPr>
          <w:rFonts w:asciiTheme="minorHAnsi" w:hAnsiTheme="minorHAnsi" w:cstheme="minorHAnsi"/>
          <w:color w:val="auto"/>
          <w:sz w:val="20"/>
          <w:szCs w:val="18"/>
        </w:rPr>
        <w:t>Osteochondritis</w:t>
      </w:r>
      <w:proofErr w:type="spellEnd"/>
      <w:r w:rsidRPr="00F27AF6">
        <w:rPr>
          <w:rFonts w:asciiTheme="minorHAnsi" w:hAnsiTheme="minorHAnsi" w:cstheme="minorHAnsi"/>
          <w:color w:val="auto"/>
          <w:sz w:val="20"/>
          <w:szCs w:val="18"/>
        </w:rPr>
        <w:t xml:space="preserve"> </w:t>
      </w:r>
      <w:proofErr w:type="spellStart"/>
      <w:r w:rsidRPr="00F27AF6">
        <w:rPr>
          <w:rFonts w:asciiTheme="minorHAnsi" w:hAnsiTheme="minorHAnsi" w:cstheme="minorHAnsi"/>
          <w:color w:val="auto"/>
          <w:sz w:val="20"/>
          <w:szCs w:val="18"/>
        </w:rPr>
        <w:t>Dissecans</w:t>
      </w:r>
      <w:proofErr w:type="spellEnd"/>
      <w:r w:rsidRPr="00F27AF6">
        <w:rPr>
          <w:rFonts w:asciiTheme="minorHAnsi" w:hAnsiTheme="minorHAnsi" w:cstheme="minorHAnsi"/>
          <w:color w:val="auto"/>
          <w:sz w:val="20"/>
          <w:szCs w:val="18"/>
        </w:rPr>
        <w:t xml:space="preserve">) temporary pre-stabilization rating assigned from 20090430-date following separation for an </w:t>
      </w:r>
      <w:proofErr w:type="spellStart"/>
      <w:r w:rsidR="00C61C69" w:rsidRPr="00F27AF6">
        <w:rPr>
          <w:rFonts w:asciiTheme="minorHAnsi" w:hAnsiTheme="minorHAnsi" w:cstheme="minorHAnsi"/>
          <w:color w:val="auto"/>
          <w:sz w:val="20"/>
          <w:szCs w:val="18"/>
        </w:rPr>
        <w:t>unstabilized</w:t>
      </w:r>
      <w:proofErr w:type="spellEnd"/>
      <w:r w:rsidR="00C61C69" w:rsidRPr="00F27AF6">
        <w:rPr>
          <w:rFonts w:asciiTheme="minorHAnsi" w:hAnsiTheme="minorHAnsi" w:cstheme="minorHAnsi"/>
          <w:color w:val="auto"/>
          <w:sz w:val="20"/>
          <w:szCs w:val="18"/>
        </w:rPr>
        <w:t xml:space="preserve"> </w:t>
      </w:r>
      <w:r w:rsidRPr="00F27AF6">
        <w:rPr>
          <w:rFonts w:asciiTheme="minorHAnsi" w:hAnsiTheme="minorHAnsi" w:cstheme="minorHAnsi"/>
          <w:color w:val="auto"/>
          <w:sz w:val="20"/>
          <w:szCs w:val="18"/>
        </w:rPr>
        <w:t>condition with severe disability, with gainful employment not feasible or advisable</w:t>
      </w:r>
      <w:r w:rsidR="00C61C69" w:rsidRPr="00F27AF6">
        <w:rPr>
          <w:rFonts w:asciiTheme="minorHAnsi" w:hAnsiTheme="minorHAnsi" w:cstheme="minorHAnsi"/>
          <w:color w:val="auto"/>
          <w:sz w:val="20"/>
          <w:szCs w:val="18"/>
        </w:rPr>
        <w:t>;</w:t>
      </w:r>
      <w:r w:rsidRPr="00F27AF6">
        <w:rPr>
          <w:rFonts w:asciiTheme="minorHAnsi" w:hAnsiTheme="minorHAnsi" w:cstheme="minorHAnsi"/>
          <w:color w:val="auto"/>
          <w:sz w:val="20"/>
          <w:szCs w:val="18"/>
        </w:rPr>
        <w:t xml:space="preserve"> RD letter 20100713 reflects downgrading 5299-5262 to 0% for failure to report to 20100609 </w:t>
      </w:r>
      <w:proofErr w:type="spellStart"/>
      <w:r w:rsidRPr="00F27AF6">
        <w:rPr>
          <w:rFonts w:asciiTheme="minorHAnsi" w:hAnsiTheme="minorHAnsi" w:cstheme="minorHAnsi"/>
          <w:color w:val="auto"/>
          <w:sz w:val="20"/>
          <w:szCs w:val="18"/>
        </w:rPr>
        <w:t>reeval</w:t>
      </w:r>
      <w:proofErr w:type="spellEnd"/>
      <w:r w:rsidRPr="00F27AF6">
        <w:rPr>
          <w:rFonts w:asciiTheme="minorHAnsi" w:hAnsiTheme="minorHAnsi" w:cstheme="minorHAnsi"/>
          <w:color w:val="auto"/>
          <w:sz w:val="20"/>
          <w:szCs w:val="18"/>
        </w:rPr>
        <w:t>.</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53504A" w:rsidRPr="00852C0B" w:rsidRDefault="0053504A" w:rsidP="0053504A">
      <w:pPr>
        <w:tabs>
          <w:tab w:val="left" w:pos="288"/>
          <w:tab w:val="left" w:pos="4752"/>
        </w:tabs>
        <w:spacing w:line="240" w:lineRule="exact"/>
        <w:jc w:val="both"/>
        <w:rPr>
          <w:rFonts w:asciiTheme="minorHAnsi" w:hAnsiTheme="minorHAnsi" w:cstheme="minorHAnsi"/>
          <w:color w:val="auto"/>
          <w:szCs w:val="24"/>
        </w:rPr>
      </w:pPr>
      <w:r w:rsidRPr="00396779">
        <w:rPr>
          <w:rFonts w:asciiTheme="minorHAnsi" w:hAnsiTheme="minorHAnsi"/>
          <w:color w:val="auto"/>
          <w:szCs w:val="24"/>
          <w:u w:val="single"/>
        </w:rPr>
        <w:t>ANALYSIS SUMMARY</w:t>
      </w:r>
      <w:r w:rsidRPr="00852C0B">
        <w:rPr>
          <w:rFonts w:asciiTheme="minorHAnsi" w:hAnsiTheme="minorHAnsi" w:cstheme="minorHAnsi"/>
          <w:color w:val="auto"/>
          <w:szCs w:val="24"/>
        </w:rPr>
        <w:t>:  The Board acknowledges the sentiment expressed in the CI’s application, i.e., that the gravity of her condition and predictable consequences which merit consideration for a higher separation rating.  It is a fact, however, that the DES has neither the role nor the authority to compensate service members for anticipated future severity or potential complications of conditions resulting in medical separation.</w:t>
      </w:r>
      <w:r>
        <w:rPr>
          <w:rFonts w:asciiTheme="minorHAnsi" w:hAnsiTheme="minorHAnsi" w:cstheme="minorHAnsi"/>
          <w:color w:val="auto"/>
          <w:szCs w:val="24"/>
        </w:rPr>
        <w:t xml:space="preserve"> </w:t>
      </w:r>
      <w:r w:rsidRPr="00852C0B">
        <w:rPr>
          <w:rFonts w:asciiTheme="minorHAnsi" w:hAnsiTheme="minorHAnsi" w:cstheme="minorHAnsi"/>
          <w:color w:val="auto"/>
          <w:szCs w:val="24"/>
        </w:rPr>
        <w:t xml:space="preserve"> This role and authority is granted by Congress to the </w:t>
      </w:r>
      <w:r w:rsidR="00741E17">
        <w:rPr>
          <w:rFonts w:asciiTheme="minorHAnsi" w:hAnsiTheme="minorHAnsi" w:cstheme="minorHAnsi"/>
          <w:color w:val="auto"/>
          <w:szCs w:val="24"/>
        </w:rPr>
        <w:t xml:space="preserve">Department of </w:t>
      </w:r>
      <w:r w:rsidRPr="00852C0B">
        <w:rPr>
          <w:rFonts w:asciiTheme="minorHAnsi" w:hAnsiTheme="minorHAnsi" w:cstheme="minorHAnsi"/>
          <w:color w:val="auto"/>
          <w:szCs w:val="24"/>
        </w:rPr>
        <w:t>Veterans’ A</w:t>
      </w:r>
      <w:r w:rsidR="00741E17">
        <w:rPr>
          <w:rFonts w:asciiTheme="minorHAnsi" w:hAnsiTheme="minorHAnsi" w:cstheme="minorHAnsi"/>
          <w:color w:val="auto"/>
          <w:szCs w:val="24"/>
        </w:rPr>
        <w:t xml:space="preserve">ffairs </w:t>
      </w:r>
      <w:r w:rsidR="00356AF9">
        <w:rPr>
          <w:rFonts w:asciiTheme="minorHAnsi" w:hAnsiTheme="minorHAnsi" w:cstheme="minorHAnsi"/>
          <w:color w:val="auto"/>
          <w:szCs w:val="24"/>
        </w:rPr>
        <w:t>(</w:t>
      </w:r>
      <w:r w:rsidR="00741E17">
        <w:rPr>
          <w:rFonts w:asciiTheme="minorHAnsi" w:hAnsiTheme="minorHAnsi" w:cstheme="minorHAnsi"/>
          <w:color w:val="auto"/>
          <w:szCs w:val="24"/>
        </w:rPr>
        <w:t>D</w:t>
      </w:r>
      <w:r w:rsidR="00356AF9">
        <w:rPr>
          <w:rFonts w:asciiTheme="minorHAnsi" w:hAnsiTheme="minorHAnsi" w:cstheme="minorHAnsi"/>
          <w:color w:val="auto"/>
          <w:szCs w:val="24"/>
        </w:rPr>
        <w:t>VA)</w:t>
      </w:r>
      <w:r w:rsidRPr="00852C0B">
        <w:rPr>
          <w:rFonts w:asciiTheme="minorHAnsi" w:hAnsiTheme="minorHAnsi" w:cstheme="minorHAnsi"/>
          <w:color w:val="auto"/>
          <w:szCs w:val="24"/>
        </w:rPr>
        <w:t>.</w:t>
      </w:r>
      <w:r>
        <w:rPr>
          <w:rFonts w:asciiTheme="minorHAnsi" w:hAnsiTheme="minorHAnsi" w:cstheme="minorHAnsi"/>
          <w:color w:val="auto"/>
          <w:szCs w:val="24"/>
        </w:rPr>
        <w:t xml:space="preserve"> </w:t>
      </w:r>
      <w:r w:rsidRPr="00852C0B">
        <w:rPr>
          <w:rFonts w:asciiTheme="minorHAnsi" w:hAnsiTheme="minorHAnsi" w:cstheme="minorHAnsi"/>
          <w:color w:val="auto"/>
          <w:szCs w:val="24"/>
        </w:rPr>
        <w:t xml:space="preserve"> The Board utilizes </w:t>
      </w:r>
      <w:r w:rsidR="00741E17">
        <w:rPr>
          <w:rFonts w:asciiTheme="minorHAnsi" w:hAnsiTheme="minorHAnsi" w:cstheme="minorHAnsi"/>
          <w:color w:val="auto"/>
          <w:szCs w:val="24"/>
        </w:rPr>
        <w:t>D</w:t>
      </w:r>
      <w:r w:rsidRPr="00852C0B">
        <w:rPr>
          <w:rFonts w:asciiTheme="minorHAnsi" w:hAnsiTheme="minorHAnsi" w:cstheme="minorHAnsi"/>
          <w:color w:val="auto"/>
          <w:szCs w:val="24"/>
        </w:rPr>
        <w:t xml:space="preserve">VA evidence proximal to separation in arriving at its recommendations; and, </w:t>
      </w:r>
      <w:proofErr w:type="spellStart"/>
      <w:r w:rsidRPr="00852C0B">
        <w:rPr>
          <w:rFonts w:asciiTheme="minorHAnsi" w:hAnsiTheme="minorHAnsi" w:cstheme="minorHAnsi"/>
          <w:color w:val="auto"/>
          <w:szCs w:val="24"/>
        </w:rPr>
        <w:t>DoDI</w:t>
      </w:r>
      <w:proofErr w:type="spellEnd"/>
      <w:r w:rsidRPr="00852C0B">
        <w:rPr>
          <w:rFonts w:asciiTheme="minorHAnsi" w:hAnsiTheme="minorHAnsi" w:cstheme="minorHAnsi"/>
          <w:color w:val="auto"/>
          <w:szCs w:val="24"/>
        </w:rPr>
        <w:t xml:space="preserve"> 6040.44 defines a 12 month interval for special consideration to post-separation evidence. </w:t>
      </w:r>
      <w:r>
        <w:rPr>
          <w:rFonts w:asciiTheme="minorHAnsi" w:hAnsiTheme="minorHAnsi" w:cstheme="minorHAnsi"/>
          <w:color w:val="auto"/>
          <w:szCs w:val="24"/>
        </w:rPr>
        <w:t xml:space="preserve"> </w:t>
      </w:r>
      <w:r w:rsidRPr="00852C0B">
        <w:rPr>
          <w:rFonts w:asciiTheme="minorHAnsi" w:hAnsiTheme="minorHAnsi" w:cstheme="minorHAnsi"/>
          <w:color w:val="auto"/>
          <w:szCs w:val="24"/>
        </w:rPr>
        <w:t xml:space="preserve">The Board’s authority as defined in </w:t>
      </w:r>
      <w:proofErr w:type="spellStart"/>
      <w:r w:rsidRPr="00852C0B">
        <w:rPr>
          <w:rFonts w:asciiTheme="minorHAnsi" w:hAnsiTheme="minorHAnsi" w:cstheme="minorHAnsi"/>
          <w:color w:val="auto"/>
          <w:szCs w:val="24"/>
        </w:rPr>
        <w:t>DoDI</w:t>
      </w:r>
      <w:proofErr w:type="spellEnd"/>
      <w:r w:rsidRPr="00852C0B">
        <w:rPr>
          <w:rFonts w:asciiTheme="minorHAnsi" w:hAnsiTheme="minorHAnsi" w:cstheme="minorHAnsi"/>
          <w:color w:val="auto"/>
          <w:szCs w:val="24"/>
        </w:rPr>
        <w:t xml:space="preserve"> 6044.40</w:t>
      </w:r>
      <w:r w:rsidR="00741E17">
        <w:rPr>
          <w:rFonts w:asciiTheme="minorHAnsi" w:hAnsiTheme="minorHAnsi" w:cstheme="minorHAnsi"/>
          <w:color w:val="auto"/>
          <w:szCs w:val="24"/>
        </w:rPr>
        <w:t>;</w:t>
      </w:r>
      <w:r w:rsidRPr="00852C0B">
        <w:rPr>
          <w:rFonts w:asciiTheme="minorHAnsi" w:hAnsiTheme="minorHAnsi" w:cstheme="minorHAnsi"/>
          <w:color w:val="auto"/>
          <w:szCs w:val="24"/>
        </w:rPr>
        <w:t xml:space="preserve"> however, resides in evaluating the fairness of DES fitness determinations and rating decisions for disability at the time of separation.</w:t>
      </w:r>
      <w:r w:rsidR="00356AF9">
        <w:rPr>
          <w:rFonts w:asciiTheme="minorHAnsi" w:hAnsiTheme="minorHAnsi" w:cstheme="minorHAnsi"/>
          <w:color w:val="auto"/>
          <w:szCs w:val="24"/>
        </w:rPr>
        <w:t xml:space="preserve">  </w:t>
      </w:r>
      <w:r w:rsidRPr="00852C0B">
        <w:rPr>
          <w:rFonts w:asciiTheme="minorHAnsi" w:hAnsiTheme="minorHAnsi" w:cstheme="minorHAnsi"/>
          <w:color w:val="auto"/>
          <w:szCs w:val="24"/>
        </w:rPr>
        <w:t>Post-separation evidence therefore is probative only to the extent that it reasonably reflects the disability and fitness implications at the time of separation.</w:t>
      </w:r>
    </w:p>
    <w:p w:rsidR="0053504A" w:rsidRPr="00852C0B" w:rsidRDefault="0053504A" w:rsidP="0053504A">
      <w:pPr>
        <w:tabs>
          <w:tab w:val="left" w:pos="2980"/>
        </w:tabs>
        <w:spacing w:line="240" w:lineRule="exact"/>
        <w:jc w:val="both"/>
        <w:rPr>
          <w:rFonts w:asciiTheme="minorHAnsi" w:hAnsiTheme="minorHAnsi"/>
          <w:color w:val="auto"/>
          <w:szCs w:val="24"/>
        </w:rPr>
      </w:pPr>
    </w:p>
    <w:p w:rsidR="00F27AF6" w:rsidRDefault="00F27AF6">
      <w:pPr>
        <w:rPr>
          <w:rFonts w:asciiTheme="minorHAnsi" w:hAnsiTheme="minorHAnsi"/>
          <w:color w:val="auto"/>
          <w:szCs w:val="24"/>
          <w:u w:val="single"/>
        </w:rPr>
      </w:pPr>
      <w:r>
        <w:rPr>
          <w:rFonts w:asciiTheme="minorHAnsi" w:hAnsiTheme="minorHAnsi"/>
          <w:color w:val="auto"/>
          <w:szCs w:val="24"/>
          <w:u w:val="single"/>
        </w:rPr>
        <w:br w:type="page"/>
      </w:r>
    </w:p>
    <w:p w:rsidR="0053504A" w:rsidRDefault="0053504A" w:rsidP="0053504A">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 xml:space="preserve">Right Ankle </w:t>
      </w:r>
      <w:r w:rsidRPr="00396779">
        <w:rPr>
          <w:rFonts w:asciiTheme="minorHAnsi" w:hAnsiTheme="minorHAnsi"/>
          <w:color w:val="auto"/>
          <w:szCs w:val="24"/>
          <w:u w:val="single"/>
        </w:rPr>
        <w:t>Condition</w:t>
      </w:r>
      <w:r w:rsidRPr="00396779">
        <w:rPr>
          <w:rFonts w:asciiTheme="minorHAnsi" w:hAnsiTheme="minorHAnsi"/>
          <w:color w:val="auto"/>
          <w:szCs w:val="24"/>
        </w:rPr>
        <w:t>.</w:t>
      </w:r>
      <w:proofErr w:type="gramEnd"/>
      <w:r w:rsidRPr="00396779">
        <w:rPr>
          <w:rFonts w:asciiTheme="minorHAnsi" w:hAnsiTheme="minorHAnsi"/>
          <w:color w:val="auto"/>
          <w:szCs w:val="24"/>
        </w:rPr>
        <w:t xml:space="preserve">  There </w:t>
      </w:r>
      <w:r w:rsidRPr="00D95397">
        <w:rPr>
          <w:rFonts w:asciiTheme="minorHAnsi" w:hAnsiTheme="minorHAnsi"/>
          <w:color w:val="auto"/>
          <w:szCs w:val="24"/>
        </w:rPr>
        <w:t xml:space="preserve">were </w:t>
      </w:r>
      <w:r w:rsidR="00294C0E" w:rsidRPr="00D95397">
        <w:rPr>
          <w:rFonts w:asciiTheme="minorHAnsi" w:hAnsiTheme="minorHAnsi"/>
          <w:color w:val="auto"/>
          <w:szCs w:val="24"/>
        </w:rPr>
        <w:t>t</w:t>
      </w:r>
      <w:r w:rsidR="00D832B3">
        <w:rPr>
          <w:rFonts w:asciiTheme="minorHAnsi" w:hAnsiTheme="minorHAnsi"/>
          <w:color w:val="auto"/>
          <w:szCs w:val="24"/>
        </w:rPr>
        <w:t>wo</w:t>
      </w:r>
      <w:r w:rsidRPr="00D95397">
        <w:rPr>
          <w:rFonts w:asciiTheme="minorHAnsi" w:hAnsiTheme="minorHAnsi"/>
          <w:color w:val="auto"/>
          <w:szCs w:val="24"/>
        </w:rPr>
        <w:t xml:space="preserve"> goniometric range</w:t>
      </w:r>
      <w:r w:rsidRPr="00396779">
        <w:rPr>
          <w:rFonts w:asciiTheme="minorHAnsi" w:hAnsiTheme="minorHAnsi"/>
          <w:color w:val="auto"/>
          <w:szCs w:val="24"/>
        </w:rPr>
        <w:t>-of-motion (ROM) evaluations</w:t>
      </w:r>
      <w:r>
        <w:rPr>
          <w:rFonts w:asciiTheme="minorHAnsi" w:hAnsiTheme="minorHAnsi"/>
          <w:color w:val="auto"/>
          <w:szCs w:val="24"/>
        </w:rPr>
        <w:t xml:space="preserve"> and t</w:t>
      </w:r>
      <w:r w:rsidR="00D832B3">
        <w:rPr>
          <w:rFonts w:asciiTheme="minorHAnsi" w:hAnsiTheme="minorHAnsi"/>
          <w:color w:val="auto"/>
          <w:szCs w:val="24"/>
        </w:rPr>
        <w:t>hree non-</w:t>
      </w:r>
      <w:r>
        <w:rPr>
          <w:rFonts w:asciiTheme="minorHAnsi" w:hAnsiTheme="minorHAnsi"/>
          <w:color w:val="auto"/>
          <w:szCs w:val="24"/>
        </w:rPr>
        <w:t xml:space="preserve">goniometric evaluations </w:t>
      </w:r>
      <w:r w:rsidRPr="00396779">
        <w:rPr>
          <w:rFonts w:asciiTheme="minorHAnsi" w:hAnsiTheme="minorHAnsi"/>
          <w:color w:val="auto"/>
          <w:szCs w:val="24"/>
        </w:rPr>
        <w:t>in evidence which the Board weighed in arriving at its rating recommendation.</w:t>
      </w:r>
      <w:r>
        <w:rPr>
          <w:rFonts w:asciiTheme="minorHAnsi" w:hAnsiTheme="minorHAnsi"/>
          <w:color w:val="auto"/>
          <w:szCs w:val="24"/>
        </w:rPr>
        <w:t xml:space="preserve">  </w:t>
      </w:r>
      <w:r w:rsidR="00294C0E">
        <w:rPr>
          <w:rFonts w:asciiTheme="minorHAnsi" w:hAnsiTheme="minorHAnsi"/>
          <w:color w:val="auto"/>
          <w:szCs w:val="24"/>
        </w:rPr>
        <w:t>T</w:t>
      </w:r>
      <w:r w:rsidRPr="00396779">
        <w:rPr>
          <w:rFonts w:asciiTheme="minorHAnsi" w:hAnsiTheme="minorHAnsi"/>
          <w:color w:val="auto"/>
          <w:szCs w:val="24"/>
        </w:rPr>
        <w:t>he</w:t>
      </w:r>
      <w:r w:rsidR="00E6413A">
        <w:rPr>
          <w:rFonts w:asciiTheme="minorHAnsi" w:hAnsiTheme="minorHAnsi"/>
          <w:color w:val="auto"/>
          <w:szCs w:val="24"/>
        </w:rPr>
        <w:t xml:space="preserve"> </w:t>
      </w:r>
      <w:r w:rsidRPr="00396779">
        <w:rPr>
          <w:rFonts w:asciiTheme="minorHAnsi" w:hAnsiTheme="minorHAnsi"/>
          <w:color w:val="auto"/>
          <w:szCs w:val="24"/>
        </w:rPr>
        <w:t>exams are summarized in the chart below.</w:t>
      </w:r>
    </w:p>
    <w:p w:rsidR="008F66B1" w:rsidRDefault="008F66B1" w:rsidP="0053504A">
      <w:pPr>
        <w:tabs>
          <w:tab w:val="left" w:pos="288"/>
          <w:tab w:val="left" w:pos="4752"/>
        </w:tabs>
        <w:spacing w:line="240" w:lineRule="exact"/>
        <w:jc w:val="both"/>
        <w:rPr>
          <w:rFonts w:asciiTheme="minorHAnsi" w:hAnsiTheme="minorHAnsi"/>
          <w:color w:val="auto"/>
          <w:szCs w:val="24"/>
        </w:rPr>
      </w:pPr>
    </w:p>
    <w:tbl>
      <w:tblPr>
        <w:tblW w:w="9418" w:type="dxa"/>
        <w:jc w:val="center"/>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4"/>
        <w:gridCol w:w="1405"/>
        <w:gridCol w:w="1442"/>
        <w:gridCol w:w="1530"/>
        <w:gridCol w:w="1528"/>
        <w:gridCol w:w="1829"/>
      </w:tblGrid>
      <w:tr w:rsidR="00104B5A" w:rsidRPr="00104B5A" w:rsidTr="008F66B1">
        <w:trPr>
          <w:trHeight w:val="337"/>
          <w:jc w:val="center"/>
        </w:trPr>
        <w:tc>
          <w:tcPr>
            <w:tcW w:w="1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35EAF" w:rsidRPr="00104B5A" w:rsidRDefault="00435EAF" w:rsidP="00C03040">
            <w:pPr>
              <w:spacing w:line="20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Goniometric ROM</w:t>
            </w:r>
            <w:r w:rsidR="00C03040" w:rsidRPr="00104B5A">
              <w:rPr>
                <w:rFonts w:asciiTheme="minorHAnsi" w:eastAsia="Calibri" w:hAnsiTheme="minorHAnsi" w:cstheme="minorHAnsi"/>
                <w:color w:val="auto"/>
                <w:sz w:val="18"/>
                <w:szCs w:val="18"/>
              </w:rPr>
              <w:t xml:space="preserve">: </w:t>
            </w:r>
            <w:r w:rsidRPr="00104B5A">
              <w:rPr>
                <w:rFonts w:asciiTheme="minorHAnsi" w:eastAsia="Calibri" w:hAnsiTheme="minorHAnsi" w:cstheme="minorHAnsi"/>
                <w:color w:val="auto"/>
                <w:sz w:val="18"/>
                <w:szCs w:val="18"/>
              </w:rPr>
              <w:t>R Ankle</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F66B1" w:rsidRDefault="00435EAF" w:rsidP="0053504A">
            <w:pPr>
              <w:spacing w:line="20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 xml:space="preserve">PT </w:t>
            </w:r>
          </w:p>
          <w:p w:rsidR="00435EAF" w:rsidRPr="00104B5A" w:rsidRDefault="00435EAF" w:rsidP="00F27AF6">
            <w:pPr>
              <w:spacing w:line="20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 4 Mo. Pre-Sep</w:t>
            </w:r>
          </w:p>
        </w:tc>
        <w:tc>
          <w:tcPr>
            <w:tcW w:w="1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B1" w:rsidRPr="008F66B1" w:rsidRDefault="00435EAF" w:rsidP="007E036F">
            <w:pPr>
              <w:spacing w:line="200" w:lineRule="exact"/>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NARSUM</w:t>
            </w:r>
          </w:p>
          <w:p w:rsidR="00435EAF" w:rsidRPr="008F66B1" w:rsidRDefault="00435EAF" w:rsidP="00F27AF6">
            <w:pPr>
              <w:spacing w:line="200" w:lineRule="exact"/>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 xml:space="preserve"> ~ 4 Mo. Pre-Sep</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F66B1" w:rsidRPr="008F66B1" w:rsidRDefault="009E5B62" w:rsidP="001304BB">
            <w:pPr>
              <w:spacing w:line="200" w:lineRule="exact"/>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Addendum</w:t>
            </w:r>
            <w:r w:rsidR="00435EAF" w:rsidRPr="008F66B1">
              <w:rPr>
                <w:rFonts w:asciiTheme="minorHAnsi" w:eastAsia="Calibri" w:hAnsiTheme="minorHAnsi" w:cstheme="minorHAnsi"/>
                <w:color w:val="auto"/>
                <w:sz w:val="18"/>
                <w:szCs w:val="18"/>
              </w:rPr>
              <w:t xml:space="preserve"> </w:t>
            </w:r>
          </w:p>
          <w:p w:rsidR="00435EAF" w:rsidRPr="008F66B1" w:rsidRDefault="00435EAF" w:rsidP="00F27AF6">
            <w:pPr>
              <w:spacing w:line="200" w:lineRule="exact"/>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 2 Mo. Pre-Sep</w:t>
            </w:r>
          </w:p>
        </w:tc>
        <w:tc>
          <w:tcPr>
            <w:tcW w:w="1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8F66B1" w:rsidRDefault="00435EAF" w:rsidP="00374927">
            <w:pPr>
              <w:spacing w:line="200" w:lineRule="exact"/>
              <w:jc w:val="center"/>
              <w:rPr>
                <w:rFonts w:asciiTheme="minorHAnsi" w:eastAsiaTheme="minorHAnsi" w:hAnsiTheme="minorHAnsi" w:cstheme="minorHAnsi"/>
                <w:color w:val="auto"/>
                <w:sz w:val="18"/>
                <w:szCs w:val="18"/>
              </w:rPr>
            </w:pPr>
            <w:r w:rsidRPr="00104B5A">
              <w:rPr>
                <w:rFonts w:asciiTheme="minorHAnsi" w:eastAsia="Calibri" w:hAnsiTheme="minorHAnsi" w:cstheme="minorHAnsi"/>
                <w:color w:val="auto"/>
                <w:sz w:val="18"/>
                <w:szCs w:val="18"/>
              </w:rPr>
              <w:t>VA</w:t>
            </w:r>
            <w:r w:rsidRPr="00104B5A">
              <w:rPr>
                <w:rFonts w:asciiTheme="minorHAnsi" w:eastAsiaTheme="minorHAnsi" w:hAnsiTheme="minorHAnsi" w:cstheme="minorHAnsi"/>
                <w:color w:val="auto"/>
                <w:sz w:val="18"/>
                <w:szCs w:val="18"/>
              </w:rPr>
              <w:t xml:space="preserve"> C&amp;P </w:t>
            </w:r>
          </w:p>
          <w:p w:rsidR="00435EAF" w:rsidRPr="00104B5A" w:rsidRDefault="00435EAF" w:rsidP="00F27AF6">
            <w:pPr>
              <w:spacing w:line="200" w:lineRule="exact"/>
              <w:jc w:val="center"/>
              <w:rPr>
                <w:rFonts w:asciiTheme="minorHAnsi" w:eastAsiaTheme="minorHAnsi" w:hAnsiTheme="minorHAnsi" w:cstheme="minorHAnsi"/>
                <w:color w:val="auto"/>
                <w:sz w:val="18"/>
                <w:szCs w:val="18"/>
              </w:rPr>
            </w:pPr>
            <w:r w:rsidRPr="00104B5A">
              <w:rPr>
                <w:rFonts w:asciiTheme="minorHAnsi" w:eastAsia="Calibri" w:hAnsiTheme="minorHAnsi" w:cstheme="minorHAnsi"/>
                <w:color w:val="auto"/>
                <w:sz w:val="18"/>
                <w:szCs w:val="18"/>
              </w:rPr>
              <w:t>~ 2 Mo. Pre-Sep</w:t>
            </w:r>
          </w:p>
        </w:tc>
        <w:tc>
          <w:tcPr>
            <w:tcW w:w="1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66B1" w:rsidRDefault="00435EAF" w:rsidP="009E5B62">
            <w:pPr>
              <w:spacing w:line="200" w:lineRule="exact"/>
              <w:jc w:val="center"/>
              <w:rPr>
                <w:rFonts w:asciiTheme="minorHAnsi" w:eastAsiaTheme="minorHAnsi" w:hAnsiTheme="minorHAnsi" w:cstheme="minorHAnsi"/>
                <w:color w:val="auto"/>
                <w:sz w:val="18"/>
                <w:szCs w:val="18"/>
              </w:rPr>
            </w:pPr>
            <w:r w:rsidRPr="00104B5A">
              <w:rPr>
                <w:rFonts w:asciiTheme="minorHAnsi" w:eastAsia="Calibri" w:hAnsiTheme="minorHAnsi" w:cstheme="minorHAnsi"/>
                <w:color w:val="auto"/>
                <w:sz w:val="18"/>
                <w:szCs w:val="18"/>
              </w:rPr>
              <w:t>Pain Med</w:t>
            </w:r>
            <w:r w:rsidRPr="00104B5A">
              <w:rPr>
                <w:rFonts w:asciiTheme="minorHAnsi" w:eastAsiaTheme="minorHAnsi" w:hAnsiTheme="minorHAnsi" w:cstheme="minorHAnsi"/>
                <w:color w:val="auto"/>
                <w:sz w:val="18"/>
                <w:szCs w:val="18"/>
              </w:rPr>
              <w:t xml:space="preserve"> </w:t>
            </w:r>
            <w:proofErr w:type="spellStart"/>
            <w:r w:rsidR="009E5B62" w:rsidRPr="00104B5A">
              <w:rPr>
                <w:rFonts w:asciiTheme="minorHAnsi" w:eastAsiaTheme="minorHAnsi" w:hAnsiTheme="minorHAnsi" w:cstheme="minorHAnsi"/>
                <w:color w:val="auto"/>
                <w:sz w:val="18"/>
                <w:szCs w:val="18"/>
              </w:rPr>
              <w:t>Cl</w:t>
            </w:r>
            <w:proofErr w:type="spellEnd"/>
            <w:r w:rsidRPr="00104B5A">
              <w:rPr>
                <w:rFonts w:asciiTheme="minorHAnsi" w:eastAsiaTheme="minorHAnsi" w:hAnsiTheme="minorHAnsi" w:cstheme="minorHAnsi"/>
                <w:color w:val="auto"/>
                <w:sz w:val="18"/>
                <w:szCs w:val="18"/>
              </w:rPr>
              <w:t xml:space="preserve"> </w:t>
            </w:r>
          </w:p>
          <w:p w:rsidR="00435EAF" w:rsidRPr="00104B5A" w:rsidRDefault="00435EAF" w:rsidP="009E5B62">
            <w:pPr>
              <w:spacing w:line="20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 10 Mo. Post-Sep</w:t>
            </w:r>
          </w:p>
        </w:tc>
      </w:tr>
      <w:tr w:rsidR="001304BB" w:rsidRPr="00104B5A" w:rsidTr="008F66B1">
        <w:trPr>
          <w:trHeight w:val="260"/>
          <w:jc w:val="center"/>
        </w:trPr>
        <w:tc>
          <w:tcPr>
            <w:tcW w:w="1684"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proofErr w:type="spellStart"/>
            <w:r w:rsidRPr="00104B5A">
              <w:rPr>
                <w:rFonts w:asciiTheme="minorHAnsi" w:eastAsia="Calibri" w:hAnsiTheme="minorHAnsi" w:cstheme="minorHAnsi"/>
                <w:color w:val="auto"/>
                <w:sz w:val="18"/>
                <w:szCs w:val="18"/>
              </w:rPr>
              <w:t>Dorsiflexion</w:t>
            </w:r>
            <w:proofErr w:type="spellEnd"/>
            <w:r w:rsidRPr="00104B5A">
              <w:rPr>
                <w:rFonts w:asciiTheme="minorHAnsi" w:eastAsia="Calibri" w:hAnsiTheme="minorHAnsi" w:cstheme="minorHAnsi"/>
                <w:color w:val="auto"/>
                <w:sz w:val="18"/>
                <w:szCs w:val="18"/>
              </w:rPr>
              <w:t xml:space="preserve"> (0-20⁰)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10⁰</w:t>
            </w:r>
          </w:p>
        </w:tc>
        <w:tc>
          <w:tcPr>
            <w:tcW w:w="1442" w:type="dxa"/>
            <w:vMerge w:val="restart"/>
            <w:tcBorders>
              <w:top w:val="single" w:sz="4" w:space="0" w:color="000000"/>
              <w:left w:val="single" w:sz="4" w:space="0" w:color="000000"/>
              <w:right w:val="single" w:sz="4" w:space="0" w:color="000000"/>
            </w:tcBorders>
            <w:vAlign w:val="center"/>
          </w:tcPr>
          <w:p w:rsidR="001304BB" w:rsidRPr="008F66B1" w:rsidRDefault="001304BB" w:rsidP="007E036F">
            <w:pPr>
              <w:spacing w:line="180" w:lineRule="exact"/>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 xml:space="preserve">“tenderness to resisted inversion and </w:t>
            </w:r>
            <w:proofErr w:type="spellStart"/>
            <w:r w:rsidRPr="008F66B1">
              <w:rPr>
                <w:rFonts w:asciiTheme="minorHAnsi" w:eastAsia="Calibri" w:hAnsiTheme="minorHAnsi" w:cstheme="minorHAnsi"/>
                <w:color w:val="auto"/>
                <w:sz w:val="18"/>
                <w:szCs w:val="18"/>
              </w:rPr>
              <w:t>eversion</w:t>
            </w:r>
            <w:proofErr w:type="spellEnd"/>
            <w:r w:rsidRPr="008F66B1">
              <w:rPr>
                <w:rFonts w:asciiTheme="minorHAnsi" w:eastAsia="Calibri" w:hAnsiTheme="minorHAnsi" w:cstheme="minorHAnsi"/>
                <w:color w:val="auto"/>
                <w:sz w:val="18"/>
                <w:szCs w:val="18"/>
              </w:rPr>
              <w:t>”</w:t>
            </w:r>
          </w:p>
        </w:tc>
        <w:tc>
          <w:tcPr>
            <w:tcW w:w="1530" w:type="dxa"/>
            <w:vMerge w:val="restart"/>
            <w:tcBorders>
              <w:top w:val="single" w:sz="4" w:space="0" w:color="000000"/>
              <w:left w:val="single" w:sz="4" w:space="0" w:color="000000"/>
              <w:right w:val="single" w:sz="4" w:space="0" w:color="000000"/>
            </w:tcBorders>
            <w:vAlign w:val="center"/>
          </w:tcPr>
          <w:p w:rsidR="001304BB" w:rsidRPr="008F66B1" w:rsidRDefault="001304BB" w:rsidP="001304BB">
            <w:pPr>
              <w:spacing w:line="180" w:lineRule="exact"/>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NE</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5⁰</w:t>
            </w:r>
          </w:p>
        </w:tc>
        <w:tc>
          <w:tcPr>
            <w:tcW w:w="1829" w:type="dxa"/>
            <w:tcBorders>
              <w:top w:val="single" w:sz="4" w:space="0" w:color="000000"/>
              <w:left w:val="single" w:sz="4" w:space="0" w:color="000000"/>
              <w:bottom w:val="single" w:sz="4" w:space="0" w:color="000000"/>
              <w:right w:val="single" w:sz="4" w:space="0" w:color="000000"/>
            </w:tcBorders>
            <w:vAlign w:val="center"/>
          </w:tcPr>
          <w:p w:rsidR="001304BB" w:rsidRPr="00104B5A" w:rsidRDefault="009E5B62" w:rsidP="009E5B62">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w:t>
            </w:r>
            <w:proofErr w:type="spellStart"/>
            <w:r w:rsidRPr="00104B5A">
              <w:rPr>
                <w:rFonts w:asciiTheme="minorHAnsi" w:eastAsia="Calibri" w:hAnsiTheme="minorHAnsi" w:cstheme="minorHAnsi"/>
                <w:color w:val="auto"/>
                <w:sz w:val="18"/>
                <w:szCs w:val="18"/>
              </w:rPr>
              <w:t>dec</w:t>
            </w:r>
            <w:proofErr w:type="spellEnd"/>
            <w:r w:rsidRPr="00104B5A">
              <w:rPr>
                <w:rFonts w:asciiTheme="minorHAnsi" w:eastAsia="Calibri" w:hAnsiTheme="minorHAnsi" w:cstheme="minorHAnsi"/>
                <w:color w:val="auto"/>
                <w:sz w:val="18"/>
                <w:szCs w:val="18"/>
              </w:rPr>
              <w:t>”</w:t>
            </w:r>
          </w:p>
        </w:tc>
      </w:tr>
      <w:tr w:rsidR="001304BB" w:rsidRPr="00104B5A" w:rsidTr="008F66B1">
        <w:trPr>
          <w:trHeight w:val="291"/>
          <w:jc w:val="center"/>
        </w:trPr>
        <w:tc>
          <w:tcPr>
            <w:tcW w:w="1684"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7B4541">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Plantar Flex (0-45⁰)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60⁰</w:t>
            </w:r>
          </w:p>
        </w:tc>
        <w:tc>
          <w:tcPr>
            <w:tcW w:w="1442" w:type="dxa"/>
            <w:vMerge/>
            <w:tcBorders>
              <w:left w:val="single" w:sz="4" w:space="0" w:color="000000"/>
              <w:right w:val="single" w:sz="4" w:space="0" w:color="000000"/>
            </w:tcBorders>
            <w:vAlign w:val="center"/>
          </w:tcPr>
          <w:p w:rsidR="001304BB" w:rsidRPr="00104B5A" w:rsidRDefault="001304BB" w:rsidP="007E036F">
            <w:pPr>
              <w:spacing w:line="180" w:lineRule="exact"/>
              <w:jc w:val="center"/>
              <w:rPr>
                <w:rFonts w:asciiTheme="minorHAnsi" w:eastAsia="Calibri" w:hAnsiTheme="minorHAnsi" w:cstheme="minorHAnsi"/>
                <w:color w:val="auto"/>
                <w:sz w:val="18"/>
                <w:szCs w:val="18"/>
              </w:rPr>
            </w:pPr>
          </w:p>
        </w:tc>
        <w:tc>
          <w:tcPr>
            <w:tcW w:w="1530" w:type="dxa"/>
            <w:vMerge/>
            <w:tcBorders>
              <w:left w:val="single" w:sz="4" w:space="0" w:color="000000"/>
              <w:right w:val="single" w:sz="4" w:space="0" w:color="000000"/>
            </w:tcBorders>
            <w:vAlign w:val="center"/>
          </w:tcPr>
          <w:p w:rsidR="001304BB" w:rsidRPr="00104B5A" w:rsidRDefault="001304BB" w:rsidP="001304BB">
            <w:pPr>
              <w:spacing w:line="180" w:lineRule="exact"/>
              <w:jc w:val="center"/>
              <w:rPr>
                <w:rFonts w:asciiTheme="minorHAnsi" w:eastAsia="Calibri" w:hAnsiTheme="minorHAnsi" w:cstheme="minorHAnsi"/>
                <w:color w:val="auto"/>
                <w:sz w:val="18"/>
                <w:szCs w:val="18"/>
              </w:rPr>
            </w:pP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30⁰</w:t>
            </w:r>
          </w:p>
        </w:tc>
        <w:tc>
          <w:tcPr>
            <w:tcW w:w="1829" w:type="dxa"/>
            <w:tcBorders>
              <w:top w:val="single" w:sz="4" w:space="0" w:color="000000"/>
              <w:left w:val="single" w:sz="4" w:space="0" w:color="000000"/>
              <w:bottom w:val="single" w:sz="4" w:space="0" w:color="000000"/>
              <w:right w:val="single" w:sz="4" w:space="0" w:color="000000"/>
            </w:tcBorders>
            <w:vAlign w:val="center"/>
          </w:tcPr>
          <w:p w:rsidR="001304BB" w:rsidRPr="00104B5A" w:rsidRDefault="009E5B62" w:rsidP="00AC7C06">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w:t>
            </w:r>
            <w:proofErr w:type="spellStart"/>
            <w:r w:rsidRPr="00104B5A">
              <w:rPr>
                <w:rFonts w:asciiTheme="minorHAnsi" w:eastAsia="Calibri" w:hAnsiTheme="minorHAnsi" w:cstheme="minorHAnsi"/>
                <w:color w:val="auto"/>
                <w:sz w:val="18"/>
                <w:szCs w:val="18"/>
              </w:rPr>
              <w:t>dec</w:t>
            </w:r>
            <w:proofErr w:type="spellEnd"/>
            <w:r w:rsidRPr="00104B5A">
              <w:rPr>
                <w:rFonts w:asciiTheme="minorHAnsi" w:eastAsia="Calibri" w:hAnsiTheme="minorHAnsi" w:cstheme="minorHAnsi"/>
                <w:color w:val="auto"/>
                <w:sz w:val="18"/>
                <w:szCs w:val="18"/>
              </w:rPr>
              <w:t>”</w:t>
            </w:r>
          </w:p>
        </w:tc>
      </w:tr>
      <w:tr w:rsidR="001304BB" w:rsidRPr="00104B5A" w:rsidTr="008F66B1">
        <w:trPr>
          <w:trHeight w:val="252"/>
          <w:jc w:val="center"/>
        </w:trPr>
        <w:tc>
          <w:tcPr>
            <w:tcW w:w="1684"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proofErr w:type="spellStart"/>
            <w:r w:rsidRPr="00104B5A">
              <w:rPr>
                <w:rFonts w:asciiTheme="minorHAnsi" w:eastAsia="Calibri" w:hAnsiTheme="minorHAnsi" w:cstheme="minorHAnsi"/>
                <w:color w:val="auto"/>
                <w:sz w:val="18"/>
                <w:szCs w:val="18"/>
              </w:rPr>
              <w:t>Eversion</w:t>
            </w:r>
            <w:proofErr w:type="spellEnd"/>
            <w:r w:rsidRPr="00104B5A">
              <w:rPr>
                <w:rFonts w:asciiTheme="minorHAnsi" w:eastAsia="Calibri" w:hAnsiTheme="minorHAnsi" w:cstheme="minorHAnsi"/>
                <w:color w:val="auto"/>
                <w:sz w:val="18"/>
                <w:szCs w:val="18"/>
              </w:rPr>
              <w:t xml:space="preserve"> (5-15⁰)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15⁰</w:t>
            </w:r>
          </w:p>
        </w:tc>
        <w:tc>
          <w:tcPr>
            <w:tcW w:w="1442" w:type="dxa"/>
            <w:vMerge/>
            <w:tcBorders>
              <w:left w:val="single" w:sz="4" w:space="0" w:color="000000"/>
              <w:right w:val="single" w:sz="4" w:space="0" w:color="000000"/>
            </w:tcBorders>
            <w:vAlign w:val="center"/>
          </w:tcPr>
          <w:p w:rsidR="001304BB" w:rsidRPr="00104B5A" w:rsidRDefault="001304BB" w:rsidP="007E036F">
            <w:pPr>
              <w:spacing w:line="180" w:lineRule="exact"/>
              <w:jc w:val="center"/>
              <w:rPr>
                <w:rFonts w:asciiTheme="minorHAnsi" w:eastAsia="Calibri" w:hAnsiTheme="minorHAnsi" w:cstheme="minorHAnsi"/>
                <w:color w:val="auto"/>
                <w:sz w:val="18"/>
                <w:szCs w:val="18"/>
              </w:rPr>
            </w:pPr>
          </w:p>
        </w:tc>
        <w:tc>
          <w:tcPr>
            <w:tcW w:w="1530" w:type="dxa"/>
            <w:vMerge/>
            <w:tcBorders>
              <w:left w:val="single" w:sz="4" w:space="0" w:color="000000"/>
              <w:right w:val="single" w:sz="4" w:space="0" w:color="000000"/>
            </w:tcBorders>
            <w:vAlign w:val="center"/>
          </w:tcPr>
          <w:p w:rsidR="001304BB" w:rsidRPr="00104B5A" w:rsidRDefault="001304BB" w:rsidP="001304BB">
            <w:pPr>
              <w:spacing w:line="180" w:lineRule="exact"/>
              <w:jc w:val="center"/>
              <w:rPr>
                <w:rFonts w:asciiTheme="minorHAnsi" w:eastAsia="Calibri" w:hAnsiTheme="minorHAnsi" w:cstheme="minorHAnsi"/>
                <w:color w:val="auto"/>
                <w:sz w:val="18"/>
                <w:szCs w:val="18"/>
              </w:rPr>
            </w:pP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12⁰</w:t>
            </w:r>
          </w:p>
        </w:tc>
        <w:tc>
          <w:tcPr>
            <w:tcW w:w="1829" w:type="dxa"/>
            <w:tcBorders>
              <w:top w:val="single" w:sz="4" w:space="0" w:color="000000"/>
              <w:left w:val="single" w:sz="4" w:space="0" w:color="000000"/>
              <w:bottom w:val="single" w:sz="4" w:space="0" w:color="000000"/>
              <w:right w:val="single" w:sz="4" w:space="0" w:color="000000"/>
            </w:tcBorders>
            <w:vAlign w:val="center"/>
          </w:tcPr>
          <w:p w:rsidR="001304BB" w:rsidRPr="00104B5A" w:rsidRDefault="007448F7" w:rsidP="00AC7C06">
            <w:pPr>
              <w:spacing w:line="180" w:lineRule="exact"/>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“Normal”</w:t>
            </w:r>
          </w:p>
        </w:tc>
      </w:tr>
      <w:tr w:rsidR="001304BB" w:rsidRPr="00104B5A" w:rsidTr="008F66B1">
        <w:trPr>
          <w:trHeight w:val="127"/>
          <w:jc w:val="center"/>
        </w:trPr>
        <w:tc>
          <w:tcPr>
            <w:tcW w:w="1684"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Inversion (5-20⁰)</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30⁰</w:t>
            </w:r>
          </w:p>
        </w:tc>
        <w:tc>
          <w:tcPr>
            <w:tcW w:w="1442" w:type="dxa"/>
            <w:vMerge/>
            <w:tcBorders>
              <w:left w:val="single" w:sz="4" w:space="0" w:color="000000"/>
              <w:bottom w:val="single" w:sz="4" w:space="0" w:color="000000"/>
              <w:right w:val="single" w:sz="4" w:space="0" w:color="000000"/>
            </w:tcBorders>
            <w:vAlign w:val="center"/>
          </w:tcPr>
          <w:p w:rsidR="001304BB" w:rsidRPr="00104B5A" w:rsidRDefault="001304BB" w:rsidP="007E036F">
            <w:pPr>
              <w:spacing w:line="180" w:lineRule="exact"/>
              <w:jc w:val="center"/>
              <w:rPr>
                <w:rFonts w:asciiTheme="minorHAnsi" w:eastAsia="Calibri" w:hAnsiTheme="minorHAnsi" w:cstheme="minorHAnsi"/>
                <w:color w:val="auto"/>
                <w:sz w:val="18"/>
                <w:szCs w:val="18"/>
              </w:rPr>
            </w:pPr>
          </w:p>
        </w:tc>
        <w:tc>
          <w:tcPr>
            <w:tcW w:w="1530" w:type="dxa"/>
            <w:vMerge/>
            <w:tcBorders>
              <w:left w:val="single" w:sz="4" w:space="0" w:color="000000"/>
              <w:bottom w:val="single" w:sz="4" w:space="0" w:color="000000"/>
              <w:right w:val="single" w:sz="4" w:space="0" w:color="000000"/>
            </w:tcBorders>
            <w:vAlign w:val="center"/>
          </w:tcPr>
          <w:p w:rsidR="001304BB" w:rsidRPr="00104B5A" w:rsidRDefault="001304BB" w:rsidP="001304BB">
            <w:pPr>
              <w:spacing w:line="180" w:lineRule="exact"/>
              <w:jc w:val="center"/>
              <w:rPr>
                <w:rFonts w:asciiTheme="minorHAnsi" w:eastAsia="Calibri" w:hAnsiTheme="minorHAnsi" w:cstheme="minorHAnsi"/>
                <w:color w:val="auto"/>
                <w:sz w:val="18"/>
                <w:szCs w:val="18"/>
              </w:rPr>
            </w:pP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1304BB" w:rsidRPr="00104B5A" w:rsidRDefault="001304BB" w:rsidP="0053504A">
            <w:pPr>
              <w:spacing w:line="180" w:lineRule="exact"/>
              <w:jc w:val="center"/>
              <w:rPr>
                <w:rFonts w:asciiTheme="minorHAnsi" w:eastAsia="Calibri" w:hAnsiTheme="minorHAnsi" w:cstheme="minorHAnsi"/>
                <w:color w:val="auto"/>
                <w:sz w:val="18"/>
                <w:szCs w:val="18"/>
              </w:rPr>
            </w:pPr>
            <w:r w:rsidRPr="00104B5A">
              <w:rPr>
                <w:rFonts w:asciiTheme="minorHAnsi" w:eastAsia="Calibri" w:hAnsiTheme="minorHAnsi" w:cstheme="minorHAnsi"/>
                <w:color w:val="auto"/>
                <w:sz w:val="18"/>
                <w:szCs w:val="18"/>
              </w:rPr>
              <w:t>20⁰</w:t>
            </w:r>
          </w:p>
        </w:tc>
        <w:tc>
          <w:tcPr>
            <w:tcW w:w="1829" w:type="dxa"/>
            <w:tcBorders>
              <w:top w:val="single" w:sz="4" w:space="0" w:color="000000"/>
              <w:left w:val="single" w:sz="4" w:space="0" w:color="000000"/>
              <w:bottom w:val="single" w:sz="4" w:space="0" w:color="000000"/>
              <w:right w:val="single" w:sz="4" w:space="0" w:color="000000"/>
            </w:tcBorders>
            <w:vAlign w:val="center"/>
          </w:tcPr>
          <w:p w:rsidR="001304BB" w:rsidRPr="00104B5A" w:rsidRDefault="007448F7" w:rsidP="00AC7C06">
            <w:pPr>
              <w:spacing w:line="180" w:lineRule="exact"/>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“Normal”</w:t>
            </w:r>
          </w:p>
        </w:tc>
      </w:tr>
      <w:tr w:rsidR="00435EAF" w:rsidRPr="00104B5A" w:rsidTr="008F66B1">
        <w:trPr>
          <w:trHeight w:val="1706"/>
          <w:jc w:val="center"/>
        </w:trPr>
        <w:tc>
          <w:tcPr>
            <w:tcW w:w="1684" w:type="dxa"/>
            <w:tcBorders>
              <w:top w:val="single" w:sz="4" w:space="0" w:color="000000"/>
              <w:left w:val="single" w:sz="4" w:space="0" w:color="000000"/>
              <w:bottom w:val="single" w:sz="4" w:space="0" w:color="000000"/>
              <w:right w:val="single" w:sz="4" w:space="0" w:color="000000"/>
            </w:tcBorders>
            <w:vAlign w:val="center"/>
            <w:hideMark/>
          </w:tcPr>
          <w:p w:rsidR="00435EAF" w:rsidRPr="008F66B1" w:rsidRDefault="00435EAF" w:rsidP="0053504A">
            <w:pPr>
              <w:tabs>
                <w:tab w:val="left" w:pos="288"/>
                <w:tab w:val="left" w:pos="4752"/>
              </w:tabs>
              <w:spacing w:line="180" w:lineRule="exact"/>
              <w:jc w:val="center"/>
              <w:rPr>
                <w:rFonts w:asciiTheme="minorHAnsi" w:eastAsiaTheme="minorHAnsi" w:hAnsiTheme="minorHAnsi" w:cstheme="minorHAnsi"/>
                <w:color w:val="auto"/>
                <w:sz w:val="18"/>
                <w:szCs w:val="18"/>
              </w:rPr>
            </w:pPr>
            <w:r w:rsidRPr="008F66B1">
              <w:rPr>
                <w:rFonts w:asciiTheme="minorHAnsi" w:eastAsiaTheme="minorHAnsi" w:hAnsiTheme="minorHAnsi" w:cstheme="minorHAnsi"/>
                <w:color w:val="auto"/>
                <w:sz w:val="18"/>
                <w:szCs w:val="18"/>
              </w:rPr>
              <w:t>Comment:</w:t>
            </w:r>
          </w:p>
          <w:p w:rsidR="00435EAF" w:rsidRPr="008F66B1" w:rsidRDefault="00435EAF" w:rsidP="00F27AF6">
            <w:pPr>
              <w:spacing w:line="180" w:lineRule="exact"/>
              <w:contextualSpacing/>
              <w:rPr>
                <w:rFonts w:asciiTheme="minorHAnsi" w:eastAsiaTheme="minorHAnsi" w:hAnsiTheme="minorHAnsi" w:cstheme="minorHAnsi"/>
                <w:color w:val="auto"/>
                <w:sz w:val="18"/>
                <w:szCs w:val="18"/>
              </w:rPr>
            </w:pPr>
            <w:r w:rsidRPr="00F27AF6">
              <w:rPr>
                <w:rFonts w:asciiTheme="minorHAnsi" w:eastAsia="Calibri" w:hAnsiTheme="minorHAnsi" w:cstheme="minorHAnsi"/>
                <w:color w:val="auto"/>
                <w:sz w:val="18"/>
                <w:szCs w:val="18"/>
              </w:rPr>
              <w:t>Surgery ~ 10 Mo. Pre-Sep 20080630</w:t>
            </w:r>
          </w:p>
        </w:tc>
        <w:tc>
          <w:tcPr>
            <w:tcW w:w="1405" w:type="dxa"/>
            <w:tcBorders>
              <w:top w:val="single" w:sz="4" w:space="0" w:color="000000"/>
              <w:left w:val="single" w:sz="4" w:space="0" w:color="000000"/>
              <w:bottom w:val="single" w:sz="4" w:space="0" w:color="000000"/>
              <w:right w:val="single" w:sz="4" w:space="0" w:color="000000"/>
            </w:tcBorders>
            <w:vAlign w:val="center"/>
          </w:tcPr>
          <w:p w:rsidR="00435EAF" w:rsidRPr="008F66B1" w:rsidRDefault="00435EAF" w:rsidP="00435EAF">
            <w:pPr>
              <w:spacing w:line="180" w:lineRule="exact"/>
              <w:contextualSpacing/>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Pronounced pain; limited ankle function; using cushioned insoles; improved strength and function</w:t>
            </w:r>
          </w:p>
        </w:tc>
        <w:tc>
          <w:tcPr>
            <w:tcW w:w="1442" w:type="dxa"/>
            <w:tcBorders>
              <w:top w:val="single" w:sz="4" w:space="0" w:color="000000"/>
              <w:left w:val="single" w:sz="4" w:space="0" w:color="000000"/>
              <w:bottom w:val="single" w:sz="4" w:space="0" w:color="000000"/>
              <w:right w:val="single" w:sz="4" w:space="0" w:color="000000"/>
            </w:tcBorders>
            <w:vAlign w:val="center"/>
          </w:tcPr>
          <w:p w:rsidR="00435EAF" w:rsidRPr="008F66B1" w:rsidRDefault="00435EAF" w:rsidP="007E036F">
            <w:pPr>
              <w:spacing w:line="180" w:lineRule="exact"/>
              <w:contextualSpacing/>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 xml:space="preserve">Sig tender deep </w:t>
            </w:r>
            <w:r w:rsidR="009E5B62" w:rsidRPr="008F66B1">
              <w:rPr>
                <w:rFonts w:asciiTheme="minorHAnsi" w:eastAsia="Calibri" w:hAnsiTheme="minorHAnsi" w:cstheme="minorHAnsi"/>
                <w:color w:val="auto"/>
                <w:sz w:val="18"/>
                <w:szCs w:val="18"/>
              </w:rPr>
              <w:t xml:space="preserve">palpation posterior groove &amp; </w:t>
            </w:r>
            <w:proofErr w:type="spellStart"/>
            <w:r w:rsidR="009E5B62" w:rsidRPr="008F66B1">
              <w:rPr>
                <w:rFonts w:asciiTheme="minorHAnsi" w:eastAsia="Calibri" w:hAnsiTheme="minorHAnsi" w:cstheme="minorHAnsi"/>
                <w:color w:val="auto"/>
                <w:sz w:val="18"/>
                <w:szCs w:val="18"/>
              </w:rPr>
              <w:t>tib</w:t>
            </w:r>
            <w:r w:rsidRPr="008F66B1">
              <w:rPr>
                <w:rFonts w:asciiTheme="minorHAnsi" w:eastAsia="Calibri" w:hAnsiTheme="minorHAnsi" w:cstheme="minorHAnsi"/>
                <w:color w:val="auto"/>
                <w:sz w:val="18"/>
                <w:szCs w:val="18"/>
              </w:rPr>
              <w:t>ialis</w:t>
            </w:r>
            <w:proofErr w:type="spellEnd"/>
            <w:r w:rsidRPr="008F66B1">
              <w:rPr>
                <w:rFonts w:asciiTheme="minorHAnsi" w:eastAsia="Calibri" w:hAnsiTheme="minorHAnsi" w:cstheme="minorHAnsi"/>
                <w:color w:val="auto"/>
                <w:sz w:val="18"/>
                <w:szCs w:val="18"/>
              </w:rPr>
              <w:t xml:space="preserve"> tendon; weak </w:t>
            </w:r>
            <w:proofErr w:type="spellStart"/>
            <w:r w:rsidRPr="008F66B1">
              <w:rPr>
                <w:rFonts w:asciiTheme="minorHAnsi" w:eastAsia="Calibri" w:hAnsiTheme="minorHAnsi" w:cstheme="minorHAnsi"/>
                <w:color w:val="auto"/>
                <w:sz w:val="18"/>
                <w:szCs w:val="18"/>
              </w:rPr>
              <w:t>peroneal</w:t>
            </w:r>
            <w:proofErr w:type="spellEnd"/>
            <w:r w:rsidRPr="008F66B1">
              <w:rPr>
                <w:rFonts w:asciiTheme="minorHAnsi" w:eastAsia="Calibri" w:hAnsiTheme="minorHAnsi" w:cstheme="minorHAnsi"/>
                <w:color w:val="auto"/>
                <w:sz w:val="18"/>
                <w:szCs w:val="18"/>
              </w:rPr>
              <w:t xml:space="preserve"> strength 4/5</w:t>
            </w:r>
          </w:p>
        </w:tc>
        <w:tc>
          <w:tcPr>
            <w:tcW w:w="1530" w:type="dxa"/>
            <w:tcBorders>
              <w:top w:val="single" w:sz="4" w:space="0" w:color="000000"/>
              <w:left w:val="single" w:sz="4" w:space="0" w:color="000000"/>
              <w:bottom w:val="single" w:sz="4" w:space="0" w:color="000000"/>
              <w:right w:val="single" w:sz="4" w:space="0" w:color="000000"/>
            </w:tcBorders>
            <w:vAlign w:val="center"/>
          </w:tcPr>
          <w:p w:rsidR="00435EAF" w:rsidRPr="008F66B1" w:rsidRDefault="00435EAF" w:rsidP="009E5B62">
            <w:pPr>
              <w:spacing w:line="180" w:lineRule="exact"/>
              <w:contextualSpacing/>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 xml:space="preserve">normal gait, </w:t>
            </w:r>
            <w:proofErr w:type="spellStart"/>
            <w:r w:rsidR="001304BB" w:rsidRPr="008F66B1">
              <w:rPr>
                <w:rFonts w:asciiTheme="minorHAnsi" w:eastAsia="Calibri" w:hAnsiTheme="minorHAnsi" w:cstheme="minorHAnsi"/>
                <w:color w:val="auto"/>
                <w:sz w:val="18"/>
                <w:szCs w:val="18"/>
              </w:rPr>
              <w:t>peroneal</w:t>
            </w:r>
            <w:proofErr w:type="spellEnd"/>
            <w:r w:rsidR="001304BB" w:rsidRPr="008F66B1">
              <w:rPr>
                <w:rFonts w:asciiTheme="minorHAnsi" w:eastAsia="Calibri" w:hAnsiTheme="minorHAnsi" w:cstheme="minorHAnsi"/>
                <w:color w:val="auto"/>
                <w:sz w:val="18"/>
                <w:szCs w:val="18"/>
              </w:rPr>
              <w:t xml:space="preserve"> weakness 4/5</w:t>
            </w:r>
            <w:r w:rsidRPr="008F66B1">
              <w:rPr>
                <w:rFonts w:asciiTheme="minorHAnsi" w:eastAsia="Calibri" w:hAnsiTheme="minorHAnsi" w:cstheme="minorHAnsi"/>
                <w:color w:val="auto"/>
                <w:sz w:val="18"/>
                <w:szCs w:val="18"/>
              </w:rPr>
              <w:t xml:space="preserve">; R. calf atrophy; R. foot with </w:t>
            </w:r>
            <w:r w:rsidR="001304BB" w:rsidRPr="008F66B1">
              <w:rPr>
                <w:rFonts w:asciiTheme="minorHAnsi" w:eastAsia="Calibri" w:hAnsiTheme="minorHAnsi" w:cstheme="minorHAnsi"/>
                <w:color w:val="auto"/>
                <w:sz w:val="18"/>
                <w:szCs w:val="18"/>
              </w:rPr>
              <w:t>shiny</w:t>
            </w:r>
            <w:r w:rsidRPr="008F66B1">
              <w:rPr>
                <w:rFonts w:asciiTheme="minorHAnsi" w:eastAsia="Calibri" w:hAnsiTheme="minorHAnsi" w:cstheme="minorHAnsi"/>
                <w:color w:val="auto"/>
                <w:sz w:val="18"/>
                <w:szCs w:val="18"/>
              </w:rPr>
              <w:t xml:space="preserve"> coloration and cooler compared to L.; </w:t>
            </w:r>
            <w:proofErr w:type="spellStart"/>
            <w:r w:rsidRPr="008F66B1">
              <w:rPr>
                <w:rFonts w:asciiTheme="minorHAnsi" w:eastAsia="Calibri" w:hAnsiTheme="minorHAnsi" w:cstheme="minorHAnsi"/>
                <w:color w:val="auto"/>
                <w:sz w:val="18"/>
                <w:szCs w:val="18"/>
              </w:rPr>
              <w:t>Allodynia</w:t>
            </w:r>
            <w:proofErr w:type="spellEnd"/>
            <w:r w:rsidRPr="008F66B1">
              <w:rPr>
                <w:rFonts w:asciiTheme="minorHAnsi" w:eastAsia="Calibri" w:hAnsiTheme="minorHAnsi" w:cstheme="minorHAnsi"/>
                <w:color w:val="auto"/>
                <w:sz w:val="18"/>
                <w:szCs w:val="18"/>
              </w:rPr>
              <w:t xml:space="preserve"> </w:t>
            </w:r>
            <w:r w:rsidR="001304BB" w:rsidRPr="008F66B1">
              <w:rPr>
                <w:rFonts w:asciiTheme="minorHAnsi" w:eastAsia="Calibri" w:hAnsiTheme="minorHAnsi" w:cstheme="minorHAnsi"/>
                <w:color w:val="auto"/>
                <w:sz w:val="18"/>
                <w:szCs w:val="18"/>
              </w:rPr>
              <w:t xml:space="preserve">over plantar surface; </w:t>
            </w:r>
            <w:r w:rsidR="009E5B62" w:rsidRPr="008F66B1">
              <w:rPr>
                <w:rFonts w:asciiTheme="minorHAnsi" w:eastAsia="Calibri" w:hAnsiTheme="minorHAnsi" w:cstheme="minorHAnsi"/>
                <w:color w:val="auto"/>
                <w:sz w:val="18"/>
                <w:szCs w:val="18"/>
              </w:rPr>
              <w:t xml:space="preserve">swelling of ankle and foot; </w:t>
            </w:r>
            <w:r w:rsidR="001304BB" w:rsidRPr="008F66B1">
              <w:rPr>
                <w:rFonts w:asciiTheme="minorHAnsi" w:eastAsia="Calibri" w:hAnsiTheme="minorHAnsi" w:cstheme="minorHAnsi"/>
                <w:color w:val="auto"/>
                <w:sz w:val="18"/>
                <w:szCs w:val="18"/>
              </w:rPr>
              <w:t xml:space="preserve">discoloration extends to lower aspects of leg; </w:t>
            </w:r>
          </w:p>
        </w:tc>
        <w:tc>
          <w:tcPr>
            <w:tcW w:w="1528" w:type="dxa"/>
            <w:tcBorders>
              <w:top w:val="single" w:sz="4" w:space="0" w:color="000000"/>
              <w:left w:val="single" w:sz="4" w:space="0" w:color="000000"/>
              <w:bottom w:val="single" w:sz="4" w:space="0" w:color="000000"/>
              <w:right w:val="single" w:sz="4" w:space="0" w:color="000000"/>
            </w:tcBorders>
            <w:vAlign w:val="center"/>
          </w:tcPr>
          <w:p w:rsidR="00435EAF" w:rsidRPr="008F66B1" w:rsidRDefault="00435EAF" w:rsidP="00104B5A">
            <w:pPr>
              <w:spacing w:line="180" w:lineRule="exact"/>
              <w:contextualSpacing/>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ROM’s w</w:t>
            </w:r>
            <w:r w:rsidR="00C03040" w:rsidRPr="008F66B1">
              <w:rPr>
                <w:rFonts w:asciiTheme="minorHAnsi" w:eastAsia="Calibri" w:hAnsiTheme="minorHAnsi" w:cstheme="minorHAnsi"/>
                <w:color w:val="auto"/>
                <w:sz w:val="18"/>
                <w:szCs w:val="18"/>
              </w:rPr>
              <w:t>/</w:t>
            </w:r>
            <w:r w:rsidRPr="008F66B1">
              <w:rPr>
                <w:rFonts w:asciiTheme="minorHAnsi" w:eastAsia="Calibri" w:hAnsiTheme="minorHAnsi" w:cstheme="minorHAnsi"/>
                <w:color w:val="auto"/>
                <w:sz w:val="18"/>
                <w:szCs w:val="18"/>
              </w:rPr>
              <w:t xml:space="preserve"> pain; </w:t>
            </w:r>
            <w:proofErr w:type="spellStart"/>
            <w:r w:rsidRPr="008F66B1">
              <w:rPr>
                <w:rFonts w:asciiTheme="minorHAnsi" w:eastAsia="Calibri" w:hAnsiTheme="minorHAnsi" w:cstheme="minorHAnsi"/>
                <w:color w:val="auto"/>
                <w:sz w:val="18"/>
                <w:szCs w:val="18"/>
              </w:rPr>
              <w:t>Antalgic</w:t>
            </w:r>
            <w:proofErr w:type="spellEnd"/>
            <w:r w:rsidRPr="008F66B1">
              <w:rPr>
                <w:rFonts w:asciiTheme="minorHAnsi" w:eastAsia="Calibri" w:hAnsiTheme="minorHAnsi" w:cstheme="minorHAnsi"/>
                <w:color w:val="auto"/>
                <w:sz w:val="18"/>
                <w:szCs w:val="18"/>
              </w:rPr>
              <w:t xml:space="preserve"> gait, unable to do heel/toe walking; atrophy R calf; soft tissue swelling, weakness; slight redness, heat, tenderness; </w:t>
            </w:r>
            <w:r w:rsidR="00104B5A" w:rsidRPr="008F66B1">
              <w:rPr>
                <w:rFonts w:asciiTheme="minorHAnsi" w:eastAsia="Calibri" w:hAnsiTheme="minorHAnsi" w:cstheme="minorHAnsi"/>
                <w:color w:val="auto"/>
                <w:sz w:val="18"/>
                <w:szCs w:val="18"/>
              </w:rPr>
              <w:t xml:space="preserve">motor weakness </w:t>
            </w:r>
            <w:r w:rsidRPr="008F66B1">
              <w:rPr>
                <w:rFonts w:asciiTheme="minorHAnsi" w:eastAsia="Calibri" w:hAnsiTheme="minorHAnsi" w:cstheme="minorHAnsi"/>
                <w:color w:val="auto"/>
                <w:sz w:val="18"/>
                <w:szCs w:val="18"/>
              </w:rPr>
              <w:t xml:space="preserve">ext </w:t>
            </w:r>
            <w:r w:rsidR="009E5B62" w:rsidRPr="008F66B1">
              <w:rPr>
                <w:rFonts w:asciiTheme="minorHAnsi" w:eastAsia="Calibri" w:hAnsiTheme="minorHAnsi" w:cstheme="minorHAnsi"/>
                <w:color w:val="auto"/>
                <w:sz w:val="18"/>
                <w:szCs w:val="18"/>
              </w:rPr>
              <w:t xml:space="preserve">HL </w:t>
            </w:r>
            <w:r w:rsidRPr="008F66B1">
              <w:rPr>
                <w:rFonts w:asciiTheme="minorHAnsi" w:eastAsia="Calibri" w:hAnsiTheme="minorHAnsi" w:cstheme="minorHAnsi"/>
                <w:color w:val="auto"/>
                <w:sz w:val="18"/>
                <w:szCs w:val="18"/>
              </w:rPr>
              <w:t>4+/5</w:t>
            </w:r>
            <w:r w:rsidR="00104B5A" w:rsidRPr="008F66B1">
              <w:rPr>
                <w:rFonts w:asciiTheme="minorHAnsi" w:eastAsia="Calibri" w:hAnsiTheme="minorHAnsi" w:cstheme="minorHAnsi"/>
                <w:color w:val="auto"/>
                <w:sz w:val="18"/>
                <w:szCs w:val="18"/>
              </w:rPr>
              <w:t>, ankle 5-/5</w:t>
            </w:r>
            <w:r w:rsidRPr="008F66B1">
              <w:rPr>
                <w:rFonts w:asciiTheme="minorHAnsi" w:eastAsia="Calibri" w:hAnsiTheme="minorHAnsi" w:cstheme="minorHAnsi"/>
                <w:color w:val="auto"/>
                <w:sz w:val="18"/>
                <w:szCs w:val="18"/>
              </w:rPr>
              <w:t>; increased sensitivity over lateral/plantar aspect of foot</w:t>
            </w:r>
          </w:p>
        </w:tc>
        <w:tc>
          <w:tcPr>
            <w:tcW w:w="1829" w:type="dxa"/>
            <w:tcBorders>
              <w:top w:val="single" w:sz="4" w:space="0" w:color="000000"/>
              <w:left w:val="single" w:sz="4" w:space="0" w:color="000000"/>
              <w:bottom w:val="single" w:sz="4" w:space="0" w:color="000000"/>
              <w:right w:val="single" w:sz="4" w:space="0" w:color="000000"/>
            </w:tcBorders>
          </w:tcPr>
          <w:p w:rsidR="00435EAF" w:rsidRPr="008F66B1" w:rsidRDefault="009E5B62" w:rsidP="009E5B62">
            <w:pPr>
              <w:spacing w:line="180" w:lineRule="exact"/>
              <w:contextualSpacing/>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normal</w:t>
            </w:r>
            <w:r w:rsidR="00435EAF" w:rsidRPr="008F66B1">
              <w:rPr>
                <w:rFonts w:asciiTheme="minorHAnsi" w:eastAsia="Calibri" w:hAnsiTheme="minorHAnsi" w:cstheme="minorHAnsi"/>
                <w:color w:val="auto"/>
                <w:sz w:val="18"/>
                <w:szCs w:val="18"/>
              </w:rPr>
              <w:t xml:space="preserve"> gait, </w:t>
            </w:r>
            <w:r w:rsidRPr="008F66B1">
              <w:rPr>
                <w:rFonts w:asciiTheme="minorHAnsi" w:eastAsia="Calibri" w:hAnsiTheme="minorHAnsi" w:cstheme="minorHAnsi"/>
                <w:color w:val="auto"/>
                <w:sz w:val="18"/>
                <w:szCs w:val="18"/>
              </w:rPr>
              <w:t xml:space="preserve">normal strength; </w:t>
            </w:r>
            <w:r w:rsidR="00435EAF" w:rsidRPr="008F66B1">
              <w:rPr>
                <w:rFonts w:asciiTheme="minorHAnsi" w:eastAsia="Calibri" w:hAnsiTheme="minorHAnsi" w:cstheme="minorHAnsi"/>
                <w:color w:val="auto"/>
                <w:sz w:val="18"/>
                <w:szCs w:val="18"/>
              </w:rPr>
              <w:t xml:space="preserve">R foot slightly cooler than L, no edema, no </w:t>
            </w:r>
            <w:proofErr w:type="spellStart"/>
            <w:r w:rsidR="00435EAF" w:rsidRPr="008F66B1">
              <w:rPr>
                <w:rFonts w:asciiTheme="minorHAnsi" w:eastAsia="Calibri" w:hAnsiTheme="minorHAnsi" w:cstheme="minorHAnsi"/>
                <w:color w:val="auto"/>
                <w:sz w:val="18"/>
                <w:szCs w:val="18"/>
              </w:rPr>
              <w:t>erythema</w:t>
            </w:r>
            <w:proofErr w:type="spellEnd"/>
            <w:r w:rsidRPr="008F66B1">
              <w:rPr>
                <w:rFonts w:asciiTheme="minorHAnsi" w:eastAsia="Calibri" w:hAnsiTheme="minorHAnsi" w:cstheme="minorHAnsi"/>
                <w:color w:val="auto"/>
                <w:sz w:val="18"/>
                <w:szCs w:val="18"/>
              </w:rPr>
              <w:t>,</w:t>
            </w:r>
            <w:r w:rsidR="00435EAF" w:rsidRPr="008F66B1">
              <w:rPr>
                <w:rFonts w:asciiTheme="minorHAnsi" w:eastAsia="Calibri" w:hAnsiTheme="minorHAnsi" w:cstheme="minorHAnsi"/>
                <w:color w:val="auto"/>
                <w:sz w:val="18"/>
                <w:szCs w:val="18"/>
              </w:rPr>
              <w:t xml:space="preserve"> no hair loss, </w:t>
            </w:r>
            <w:r w:rsidRPr="008F66B1">
              <w:rPr>
                <w:rFonts w:asciiTheme="minorHAnsi" w:eastAsia="Calibri" w:hAnsiTheme="minorHAnsi" w:cstheme="minorHAnsi"/>
                <w:color w:val="auto"/>
                <w:sz w:val="18"/>
                <w:szCs w:val="18"/>
              </w:rPr>
              <w:t xml:space="preserve">+ </w:t>
            </w:r>
            <w:r w:rsidR="00435EAF" w:rsidRPr="008F66B1">
              <w:rPr>
                <w:rFonts w:asciiTheme="minorHAnsi" w:eastAsia="Calibri" w:hAnsiTheme="minorHAnsi" w:cstheme="minorHAnsi"/>
                <w:color w:val="auto"/>
                <w:sz w:val="18"/>
                <w:szCs w:val="18"/>
              </w:rPr>
              <w:t xml:space="preserve">pain with light touch medial ankle </w:t>
            </w:r>
          </w:p>
        </w:tc>
      </w:tr>
      <w:tr w:rsidR="00435EAF" w:rsidRPr="00104B5A" w:rsidTr="008F66B1">
        <w:trPr>
          <w:trHeight w:val="329"/>
          <w:jc w:val="center"/>
        </w:trPr>
        <w:tc>
          <w:tcPr>
            <w:tcW w:w="1684" w:type="dxa"/>
            <w:tcBorders>
              <w:top w:val="single" w:sz="4" w:space="0" w:color="000000"/>
              <w:left w:val="single" w:sz="4" w:space="0" w:color="000000"/>
              <w:bottom w:val="single" w:sz="4" w:space="0" w:color="000000"/>
              <w:right w:val="single" w:sz="4" w:space="0" w:color="000000"/>
            </w:tcBorders>
            <w:vAlign w:val="center"/>
            <w:hideMark/>
          </w:tcPr>
          <w:p w:rsidR="00435EAF" w:rsidRPr="008F66B1" w:rsidRDefault="00435EAF" w:rsidP="0053504A">
            <w:pPr>
              <w:tabs>
                <w:tab w:val="left" w:pos="288"/>
                <w:tab w:val="left" w:pos="4752"/>
              </w:tabs>
              <w:spacing w:line="180" w:lineRule="exact"/>
              <w:jc w:val="center"/>
              <w:rPr>
                <w:rFonts w:asciiTheme="minorHAnsi" w:eastAsiaTheme="minorHAnsi" w:hAnsiTheme="minorHAnsi" w:cstheme="minorHAnsi"/>
                <w:color w:val="auto"/>
                <w:sz w:val="18"/>
                <w:szCs w:val="18"/>
              </w:rPr>
            </w:pPr>
            <w:r w:rsidRPr="008F66B1">
              <w:rPr>
                <w:rFonts w:asciiTheme="minorHAnsi" w:eastAsiaTheme="minorHAnsi" w:hAnsiTheme="minorHAnsi" w:cstheme="minorHAnsi"/>
                <w:color w:val="auto"/>
                <w:sz w:val="18"/>
                <w:szCs w:val="18"/>
              </w:rPr>
              <w:t>§4.71a Rating</w:t>
            </w:r>
            <w:r w:rsidR="00D832B3" w:rsidRPr="008F66B1">
              <w:rPr>
                <w:rFonts w:asciiTheme="minorHAnsi" w:eastAsiaTheme="minorHAnsi" w:hAnsiTheme="minorHAnsi" w:cstheme="minorHAnsi"/>
                <w:color w:val="auto"/>
                <w:sz w:val="18"/>
                <w:szCs w:val="18"/>
              </w:rPr>
              <w:t>*</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435EAF" w:rsidRPr="008F66B1" w:rsidRDefault="00D832B3" w:rsidP="007746AC">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1</w:t>
            </w:r>
            <w:r w:rsidR="00435EAF" w:rsidRPr="008F66B1">
              <w:rPr>
                <w:rFonts w:asciiTheme="minorHAnsi" w:eastAsia="Calibri" w:hAnsiTheme="minorHAnsi" w:cstheme="minorHAnsi"/>
                <w:color w:val="auto"/>
                <w:sz w:val="18"/>
                <w:szCs w:val="18"/>
              </w:rPr>
              <w:t>0%</w:t>
            </w:r>
          </w:p>
        </w:tc>
        <w:tc>
          <w:tcPr>
            <w:tcW w:w="1442" w:type="dxa"/>
            <w:tcBorders>
              <w:top w:val="single" w:sz="4" w:space="0" w:color="000000"/>
              <w:left w:val="single" w:sz="4" w:space="0" w:color="000000"/>
              <w:bottom w:val="single" w:sz="4" w:space="0" w:color="000000"/>
              <w:right w:val="single" w:sz="4" w:space="0" w:color="000000"/>
            </w:tcBorders>
            <w:vAlign w:val="center"/>
          </w:tcPr>
          <w:p w:rsidR="00D832B3" w:rsidRPr="008F66B1" w:rsidRDefault="00435EAF" w:rsidP="007E036F">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10%</w:t>
            </w:r>
            <w:r w:rsidR="00D832B3" w:rsidRPr="008F66B1">
              <w:rPr>
                <w:rFonts w:asciiTheme="minorHAnsi" w:eastAsia="Calibri" w:hAnsiTheme="minorHAnsi" w:cstheme="minorHAnsi"/>
                <w:color w:val="auto"/>
                <w:sz w:val="18"/>
                <w:szCs w:val="18"/>
              </w:rPr>
              <w:t>-20%</w:t>
            </w:r>
          </w:p>
          <w:p w:rsidR="00435EAF" w:rsidRPr="008F66B1" w:rsidRDefault="009E5B62" w:rsidP="007E036F">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(PEB 20%)</w:t>
            </w:r>
          </w:p>
        </w:tc>
        <w:tc>
          <w:tcPr>
            <w:tcW w:w="1530" w:type="dxa"/>
            <w:tcBorders>
              <w:top w:val="single" w:sz="4" w:space="0" w:color="000000"/>
              <w:left w:val="single" w:sz="4" w:space="0" w:color="000000"/>
              <w:bottom w:val="single" w:sz="4" w:space="0" w:color="000000"/>
              <w:right w:val="single" w:sz="4" w:space="0" w:color="000000"/>
            </w:tcBorders>
            <w:vAlign w:val="center"/>
          </w:tcPr>
          <w:p w:rsidR="00435EAF" w:rsidRPr="008F66B1" w:rsidRDefault="00D832B3" w:rsidP="001304BB">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10%-30%</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D832B3" w:rsidRPr="008F66B1" w:rsidRDefault="00D832B3" w:rsidP="009E5B62">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2</w:t>
            </w:r>
            <w:r w:rsidR="00435EAF" w:rsidRPr="008F66B1">
              <w:rPr>
                <w:rFonts w:asciiTheme="minorHAnsi" w:eastAsia="Calibri" w:hAnsiTheme="minorHAnsi" w:cstheme="minorHAnsi"/>
                <w:color w:val="auto"/>
                <w:sz w:val="18"/>
                <w:szCs w:val="18"/>
              </w:rPr>
              <w:t>0%</w:t>
            </w:r>
            <w:r w:rsidRPr="008F66B1">
              <w:rPr>
                <w:rFonts w:asciiTheme="minorHAnsi" w:eastAsia="Calibri" w:hAnsiTheme="minorHAnsi" w:cstheme="minorHAnsi"/>
                <w:color w:val="auto"/>
                <w:sz w:val="18"/>
                <w:szCs w:val="18"/>
              </w:rPr>
              <w:t>-30%</w:t>
            </w:r>
          </w:p>
          <w:p w:rsidR="00435EAF" w:rsidRPr="008F66B1" w:rsidRDefault="00435EAF" w:rsidP="009E5B62">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(VA 50%)</w:t>
            </w:r>
          </w:p>
        </w:tc>
        <w:tc>
          <w:tcPr>
            <w:tcW w:w="1829" w:type="dxa"/>
            <w:tcBorders>
              <w:top w:val="single" w:sz="4" w:space="0" w:color="000000"/>
              <w:left w:val="single" w:sz="4" w:space="0" w:color="000000"/>
              <w:bottom w:val="single" w:sz="4" w:space="0" w:color="000000"/>
              <w:right w:val="single" w:sz="4" w:space="0" w:color="000000"/>
            </w:tcBorders>
            <w:vAlign w:val="center"/>
          </w:tcPr>
          <w:p w:rsidR="00435EAF" w:rsidRPr="008F66B1" w:rsidRDefault="00435EAF" w:rsidP="00374927">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10%</w:t>
            </w:r>
          </w:p>
        </w:tc>
      </w:tr>
      <w:tr w:rsidR="00435EAF" w:rsidRPr="00104B5A" w:rsidTr="008F66B1">
        <w:trPr>
          <w:trHeight w:val="329"/>
          <w:jc w:val="center"/>
        </w:trPr>
        <w:tc>
          <w:tcPr>
            <w:tcW w:w="1684" w:type="dxa"/>
            <w:tcBorders>
              <w:top w:val="single" w:sz="4" w:space="0" w:color="000000"/>
              <w:left w:val="single" w:sz="4" w:space="0" w:color="000000"/>
              <w:bottom w:val="single" w:sz="4" w:space="0" w:color="000000"/>
              <w:right w:val="single" w:sz="4" w:space="0" w:color="000000"/>
            </w:tcBorders>
            <w:vAlign w:val="center"/>
            <w:hideMark/>
          </w:tcPr>
          <w:p w:rsidR="00435EAF" w:rsidRPr="008F66B1" w:rsidRDefault="00D832B3" w:rsidP="0053504A">
            <w:pPr>
              <w:tabs>
                <w:tab w:val="left" w:pos="288"/>
                <w:tab w:val="left" w:pos="4752"/>
              </w:tabs>
              <w:spacing w:line="180" w:lineRule="exact"/>
              <w:jc w:val="center"/>
              <w:rPr>
                <w:rFonts w:asciiTheme="minorHAnsi" w:eastAsiaTheme="minorHAnsi" w:hAnsiTheme="minorHAnsi" w:cstheme="minorHAnsi"/>
                <w:color w:val="auto"/>
                <w:sz w:val="18"/>
                <w:szCs w:val="18"/>
              </w:rPr>
            </w:pPr>
            <w:r w:rsidRPr="008F66B1">
              <w:rPr>
                <w:rFonts w:asciiTheme="minorHAnsi" w:eastAsiaTheme="minorHAnsi" w:hAnsiTheme="minorHAnsi" w:cstheme="minorHAnsi"/>
                <w:color w:val="auto"/>
                <w:sz w:val="18"/>
                <w:szCs w:val="18"/>
              </w:rPr>
              <w:t>§4.124a Rating*</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435EAF" w:rsidRPr="008F66B1" w:rsidRDefault="00D832B3" w:rsidP="007746AC">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20%</w:t>
            </w:r>
          </w:p>
        </w:tc>
        <w:tc>
          <w:tcPr>
            <w:tcW w:w="1442" w:type="dxa"/>
            <w:tcBorders>
              <w:top w:val="single" w:sz="4" w:space="0" w:color="000000"/>
              <w:left w:val="single" w:sz="4" w:space="0" w:color="000000"/>
              <w:bottom w:val="single" w:sz="4" w:space="0" w:color="000000"/>
              <w:right w:val="single" w:sz="4" w:space="0" w:color="000000"/>
            </w:tcBorders>
            <w:vAlign w:val="center"/>
          </w:tcPr>
          <w:p w:rsidR="00435EAF" w:rsidRPr="008F66B1" w:rsidRDefault="00D832B3" w:rsidP="007E036F">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20%</w:t>
            </w:r>
          </w:p>
        </w:tc>
        <w:tc>
          <w:tcPr>
            <w:tcW w:w="1530" w:type="dxa"/>
            <w:tcBorders>
              <w:top w:val="single" w:sz="4" w:space="0" w:color="000000"/>
              <w:left w:val="single" w:sz="4" w:space="0" w:color="000000"/>
              <w:bottom w:val="single" w:sz="4" w:space="0" w:color="000000"/>
              <w:right w:val="single" w:sz="4" w:space="0" w:color="000000"/>
            </w:tcBorders>
            <w:vAlign w:val="center"/>
          </w:tcPr>
          <w:p w:rsidR="00D832B3" w:rsidRPr="008F66B1" w:rsidRDefault="00D832B3" w:rsidP="001304BB">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20%-30%</w:t>
            </w:r>
          </w:p>
          <w:p w:rsidR="00435EAF" w:rsidRPr="008F66B1" w:rsidRDefault="001304BB" w:rsidP="001304BB">
            <w:pPr>
              <w:spacing w:line="180" w:lineRule="exact"/>
              <w:contextualSpacing/>
              <w:jc w:val="center"/>
              <w:rPr>
                <w:rFonts w:asciiTheme="minorHAnsi" w:eastAsia="Calibri" w:hAnsiTheme="minorHAnsi" w:cstheme="minorHAnsi"/>
                <w:color w:val="auto"/>
                <w:sz w:val="18"/>
                <w:szCs w:val="18"/>
              </w:rPr>
            </w:pPr>
            <w:r w:rsidRPr="008F66B1">
              <w:rPr>
                <w:rFonts w:asciiTheme="minorHAnsi" w:eastAsia="Calibri" w:hAnsiTheme="minorHAnsi" w:cstheme="minorHAnsi"/>
                <w:color w:val="auto"/>
                <w:sz w:val="18"/>
                <w:szCs w:val="18"/>
              </w:rPr>
              <w:t>(</w:t>
            </w:r>
            <w:r w:rsidR="009E5B62" w:rsidRPr="008F66B1">
              <w:rPr>
                <w:rFonts w:asciiTheme="minorHAnsi" w:eastAsia="Calibri" w:hAnsiTheme="minorHAnsi" w:cstheme="minorHAnsi"/>
                <w:color w:val="auto"/>
                <w:sz w:val="18"/>
                <w:szCs w:val="18"/>
              </w:rPr>
              <w:t>R-</w:t>
            </w:r>
            <w:r w:rsidRPr="008F66B1">
              <w:rPr>
                <w:rFonts w:asciiTheme="minorHAnsi" w:eastAsia="Calibri" w:hAnsiTheme="minorHAnsi" w:cstheme="minorHAnsi"/>
                <w:color w:val="auto"/>
                <w:sz w:val="18"/>
                <w:szCs w:val="18"/>
              </w:rPr>
              <w:t>PEB 20%)</w:t>
            </w:r>
          </w:p>
        </w:tc>
        <w:tc>
          <w:tcPr>
            <w:tcW w:w="1528" w:type="dxa"/>
            <w:tcBorders>
              <w:top w:val="single" w:sz="4" w:space="0" w:color="000000"/>
              <w:left w:val="single" w:sz="4" w:space="0" w:color="000000"/>
              <w:bottom w:val="single" w:sz="4" w:space="0" w:color="000000"/>
              <w:right w:val="single" w:sz="4" w:space="0" w:color="000000"/>
            </w:tcBorders>
            <w:vAlign w:val="center"/>
            <w:hideMark/>
          </w:tcPr>
          <w:p w:rsidR="00435EAF" w:rsidRPr="00104B5A" w:rsidRDefault="00D832B3" w:rsidP="007746AC">
            <w:pPr>
              <w:spacing w:line="180" w:lineRule="exact"/>
              <w:contextualSpacing/>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30%</w:t>
            </w:r>
          </w:p>
        </w:tc>
        <w:tc>
          <w:tcPr>
            <w:tcW w:w="1829" w:type="dxa"/>
            <w:tcBorders>
              <w:top w:val="single" w:sz="4" w:space="0" w:color="000000"/>
              <w:left w:val="single" w:sz="4" w:space="0" w:color="000000"/>
              <w:bottom w:val="single" w:sz="4" w:space="0" w:color="000000"/>
              <w:right w:val="single" w:sz="4" w:space="0" w:color="000000"/>
            </w:tcBorders>
            <w:vAlign w:val="center"/>
          </w:tcPr>
          <w:p w:rsidR="00435EAF" w:rsidRPr="00104B5A" w:rsidRDefault="00D832B3" w:rsidP="00374927">
            <w:pPr>
              <w:spacing w:line="180" w:lineRule="exact"/>
              <w:contextualSpacing/>
              <w:jc w:val="center"/>
              <w:rPr>
                <w:rFonts w:asciiTheme="minorHAnsi" w:eastAsia="Calibri" w:hAnsiTheme="minorHAnsi" w:cstheme="minorHAnsi"/>
                <w:color w:val="auto"/>
                <w:sz w:val="18"/>
                <w:szCs w:val="18"/>
              </w:rPr>
            </w:pPr>
            <w:r>
              <w:rPr>
                <w:rFonts w:asciiTheme="minorHAnsi" w:eastAsia="Calibri" w:hAnsiTheme="minorHAnsi" w:cstheme="minorHAnsi"/>
                <w:color w:val="auto"/>
                <w:sz w:val="18"/>
                <w:szCs w:val="18"/>
              </w:rPr>
              <w:t>20%</w:t>
            </w:r>
          </w:p>
        </w:tc>
      </w:tr>
    </w:tbl>
    <w:p w:rsidR="00193772" w:rsidRPr="00D832B3" w:rsidRDefault="00D832B3" w:rsidP="00664296">
      <w:pPr>
        <w:tabs>
          <w:tab w:val="left" w:pos="288"/>
          <w:tab w:val="left" w:pos="4752"/>
        </w:tabs>
        <w:spacing w:line="240" w:lineRule="exact"/>
        <w:rPr>
          <w:rFonts w:asciiTheme="minorHAnsi" w:hAnsiTheme="minorHAnsi"/>
          <w:color w:val="auto"/>
          <w:sz w:val="20"/>
          <w:szCs w:val="24"/>
        </w:rPr>
      </w:pPr>
      <w:r w:rsidRPr="00D832B3">
        <w:rPr>
          <w:rFonts w:asciiTheme="minorHAnsi" w:hAnsiTheme="minorHAnsi"/>
          <w:color w:val="auto"/>
          <w:sz w:val="20"/>
          <w:szCs w:val="24"/>
        </w:rPr>
        <w:t>* Ratings may overlap and are not independent</w:t>
      </w:r>
    </w:p>
    <w:p w:rsidR="00D832B3" w:rsidRPr="00104B5A" w:rsidRDefault="00D832B3" w:rsidP="00664296">
      <w:pPr>
        <w:tabs>
          <w:tab w:val="left" w:pos="288"/>
          <w:tab w:val="left" w:pos="4752"/>
        </w:tabs>
        <w:spacing w:line="240" w:lineRule="exact"/>
        <w:rPr>
          <w:rFonts w:asciiTheme="minorHAnsi" w:hAnsiTheme="minorHAnsi"/>
          <w:color w:val="auto"/>
          <w:szCs w:val="24"/>
        </w:rPr>
      </w:pPr>
    </w:p>
    <w:p w:rsidR="001304BB" w:rsidRDefault="00193772" w:rsidP="00C03040">
      <w:pPr>
        <w:tabs>
          <w:tab w:val="left" w:pos="288"/>
          <w:tab w:val="left" w:pos="4752"/>
        </w:tabs>
        <w:spacing w:line="240" w:lineRule="exact"/>
        <w:jc w:val="both"/>
        <w:rPr>
          <w:rFonts w:asciiTheme="minorHAnsi" w:hAnsiTheme="minorHAnsi"/>
          <w:color w:val="auto"/>
          <w:szCs w:val="24"/>
        </w:rPr>
      </w:pPr>
      <w:r w:rsidRPr="000600A4">
        <w:rPr>
          <w:rFonts w:asciiTheme="minorHAnsi" w:hAnsiTheme="minorHAnsi"/>
          <w:color w:val="auto"/>
          <w:szCs w:val="24"/>
        </w:rPr>
        <w:t xml:space="preserve">The </w:t>
      </w:r>
      <w:r w:rsidR="00356AF9">
        <w:rPr>
          <w:rFonts w:asciiTheme="minorHAnsi" w:hAnsiTheme="minorHAnsi"/>
          <w:color w:val="auto"/>
          <w:szCs w:val="24"/>
        </w:rPr>
        <w:t>narrative summary (</w:t>
      </w:r>
      <w:r w:rsidR="00C03040">
        <w:rPr>
          <w:rFonts w:asciiTheme="minorHAnsi" w:hAnsiTheme="minorHAnsi"/>
          <w:color w:val="auto"/>
          <w:szCs w:val="24"/>
        </w:rPr>
        <w:t>NARSUM</w:t>
      </w:r>
      <w:r w:rsidR="00356AF9">
        <w:rPr>
          <w:rFonts w:asciiTheme="minorHAnsi" w:hAnsiTheme="minorHAnsi"/>
          <w:color w:val="auto"/>
          <w:szCs w:val="24"/>
        </w:rPr>
        <w:t>)</w:t>
      </w:r>
      <w:r w:rsidRPr="000600A4">
        <w:rPr>
          <w:rFonts w:asciiTheme="minorHAnsi" w:hAnsiTheme="minorHAnsi"/>
          <w:color w:val="auto"/>
          <w:szCs w:val="24"/>
        </w:rPr>
        <w:t xml:space="preserve"> four months prior to separation</w:t>
      </w:r>
      <w:r w:rsidR="00AC7C06" w:rsidRPr="000600A4">
        <w:rPr>
          <w:rFonts w:asciiTheme="minorHAnsi" w:eastAsia="Calibri" w:hAnsiTheme="minorHAnsi" w:cstheme="minorHAnsi"/>
          <w:color w:val="auto"/>
          <w:szCs w:val="24"/>
        </w:rPr>
        <w:t xml:space="preserve"> </w:t>
      </w:r>
      <w:r w:rsidR="00AC7C06" w:rsidRPr="000600A4">
        <w:rPr>
          <w:rFonts w:asciiTheme="minorHAnsi" w:hAnsiTheme="minorHAnsi"/>
          <w:color w:val="auto"/>
          <w:szCs w:val="24"/>
        </w:rPr>
        <w:t xml:space="preserve">did not document </w:t>
      </w:r>
      <w:r w:rsidR="00EA3D8D" w:rsidRPr="000600A4">
        <w:rPr>
          <w:rFonts w:asciiTheme="minorHAnsi" w:hAnsiTheme="minorHAnsi"/>
          <w:color w:val="auto"/>
          <w:szCs w:val="24"/>
        </w:rPr>
        <w:t>ROM</w:t>
      </w:r>
      <w:r w:rsidR="00AC7C06" w:rsidRPr="000600A4">
        <w:rPr>
          <w:rFonts w:asciiTheme="minorHAnsi" w:hAnsiTheme="minorHAnsi"/>
          <w:color w:val="auto"/>
          <w:szCs w:val="24"/>
        </w:rPr>
        <w:t>’s</w:t>
      </w:r>
      <w:r w:rsidR="007B4541">
        <w:rPr>
          <w:rFonts w:asciiTheme="minorHAnsi" w:hAnsiTheme="minorHAnsi"/>
          <w:color w:val="auto"/>
          <w:szCs w:val="24"/>
        </w:rPr>
        <w:t xml:space="preserve">, and the PEB worksheet considered multiple </w:t>
      </w:r>
      <w:r w:rsidR="00356AF9">
        <w:rPr>
          <w:rFonts w:asciiTheme="minorHAnsi" w:hAnsiTheme="minorHAnsi"/>
          <w:color w:val="auto"/>
          <w:szCs w:val="24"/>
        </w:rPr>
        <w:t>physical therapy (</w:t>
      </w:r>
      <w:r w:rsidR="007B4541">
        <w:rPr>
          <w:rFonts w:asciiTheme="minorHAnsi" w:hAnsiTheme="minorHAnsi"/>
          <w:color w:val="auto"/>
          <w:szCs w:val="24"/>
        </w:rPr>
        <w:t>PT</w:t>
      </w:r>
      <w:r w:rsidR="00356AF9">
        <w:rPr>
          <w:rFonts w:asciiTheme="minorHAnsi" w:hAnsiTheme="minorHAnsi"/>
          <w:color w:val="auto"/>
          <w:szCs w:val="24"/>
        </w:rPr>
        <w:t>)</w:t>
      </w:r>
      <w:r w:rsidR="007B4541">
        <w:rPr>
          <w:rFonts w:asciiTheme="minorHAnsi" w:hAnsiTheme="minorHAnsi"/>
          <w:color w:val="auto"/>
          <w:szCs w:val="24"/>
        </w:rPr>
        <w:t xml:space="preserve"> notes</w:t>
      </w:r>
      <w:r w:rsidR="00AC7C06" w:rsidRPr="000600A4">
        <w:rPr>
          <w:rFonts w:asciiTheme="minorHAnsi" w:hAnsiTheme="minorHAnsi"/>
          <w:color w:val="auto"/>
          <w:szCs w:val="24"/>
        </w:rPr>
        <w:t xml:space="preserve">. </w:t>
      </w:r>
      <w:r w:rsidR="007B4541">
        <w:rPr>
          <w:rFonts w:asciiTheme="minorHAnsi" w:hAnsiTheme="minorHAnsi"/>
          <w:color w:val="auto"/>
          <w:szCs w:val="24"/>
        </w:rPr>
        <w:t xml:space="preserve"> </w:t>
      </w:r>
      <w:r w:rsidR="00AC7C06" w:rsidRPr="000600A4">
        <w:rPr>
          <w:rFonts w:asciiTheme="minorHAnsi" w:hAnsiTheme="minorHAnsi"/>
          <w:color w:val="auto"/>
          <w:szCs w:val="24"/>
        </w:rPr>
        <w:t>There was significant tenderness in t</w:t>
      </w:r>
      <w:r w:rsidR="00356AF9">
        <w:rPr>
          <w:rFonts w:asciiTheme="minorHAnsi" w:hAnsiTheme="minorHAnsi"/>
          <w:color w:val="auto"/>
          <w:szCs w:val="24"/>
        </w:rPr>
        <w:t xml:space="preserve">he posterior groove, posterior </w:t>
      </w:r>
      <w:proofErr w:type="spellStart"/>
      <w:r w:rsidR="00356AF9">
        <w:rPr>
          <w:rFonts w:asciiTheme="minorHAnsi" w:hAnsiTheme="minorHAnsi"/>
          <w:color w:val="auto"/>
          <w:szCs w:val="24"/>
        </w:rPr>
        <w:t>t</w:t>
      </w:r>
      <w:r w:rsidR="00AC7C06" w:rsidRPr="000600A4">
        <w:rPr>
          <w:rFonts w:asciiTheme="minorHAnsi" w:hAnsiTheme="minorHAnsi"/>
          <w:color w:val="auto"/>
          <w:szCs w:val="24"/>
        </w:rPr>
        <w:t>ibialis</w:t>
      </w:r>
      <w:proofErr w:type="spellEnd"/>
      <w:r w:rsidR="00AC7C06" w:rsidRPr="000600A4">
        <w:rPr>
          <w:rFonts w:asciiTheme="minorHAnsi" w:hAnsiTheme="minorHAnsi"/>
          <w:color w:val="auto"/>
          <w:szCs w:val="24"/>
        </w:rPr>
        <w:t xml:space="preserve"> tendon; tenderness to resisted inversion/</w:t>
      </w:r>
      <w:proofErr w:type="spellStart"/>
      <w:r w:rsidR="00AC7C06" w:rsidRPr="000600A4">
        <w:rPr>
          <w:rFonts w:asciiTheme="minorHAnsi" w:hAnsiTheme="minorHAnsi"/>
          <w:color w:val="auto"/>
          <w:szCs w:val="24"/>
        </w:rPr>
        <w:t>eversion</w:t>
      </w:r>
      <w:proofErr w:type="spellEnd"/>
      <w:r w:rsidR="00AC7C06" w:rsidRPr="000600A4">
        <w:rPr>
          <w:rFonts w:asciiTheme="minorHAnsi" w:hAnsiTheme="minorHAnsi"/>
          <w:color w:val="auto"/>
          <w:szCs w:val="24"/>
        </w:rPr>
        <w:t xml:space="preserve"> in posterior </w:t>
      </w:r>
      <w:proofErr w:type="spellStart"/>
      <w:r w:rsidR="00AC7C06" w:rsidRPr="000600A4">
        <w:rPr>
          <w:rFonts w:asciiTheme="minorHAnsi" w:hAnsiTheme="minorHAnsi"/>
          <w:color w:val="auto"/>
          <w:szCs w:val="24"/>
        </w:rPr>
        <w:t>tibialis</w:t>
      </w:r>
      <w:proofErr w:type="spellEnd"/>
      <w:r w:rsidR="00AC7C06" w:rsidRPr="000600A4">
        <w:rPr>
          <w:rFonts w:asciiTheme="minorHAnsi" w:hAnsiTheme="minorHAnsi"/>
          <w:color w:val="auto"/>
          <w:szCs w:val="24"/>
        </w:rPr>
        <w:t xml:space="preserve"> tendon; and a </w:t>
      </w:r>
      <w:proofErr w:type="spellStart"/>
      <w:r w:rsidR="00AC7C06" w:rsidRPr="000600A4">
        <w:rPr>
          <w:rFonts w:asciiTheme="minorHAnsi" w:hAnsiTheme="minorHAnsi"/>
          <w:color w:val="auto"/>
          <w:szCs w:val="24"/>
        </w:rPr>
        <w:t>peroneal</w:t>
      </w:r>
      <w:proofErr w:type="spellEnd"/>
      <w:r w:rsidR="00AC7C06" w:rsidRPr="000600A4">
        <w:rPr>
          <w:rFonts w:asciiTheme="minorHAnsi" w:hAnsiTheme="minorHAnsi"/>
          <w:color w:val="auto"/>
          <w:szCs w:val="24"/>
        </w:rPr>
        <w:t xml:space="preserve"> strength of 4/5 on the right.</w:t>
      </w:r>
      <w:r w:rsidR="00187206" w:rsidRPr="000600A4">
        <w:rPr>
          <w:rFonts w:asciiTheme="minorHAnsi" w:hAnsiTheme="minorHAnsi"/>
          <w:color w:val="auto"/>
          <w:szCs w:val="24"/>
        </w:rPr>
        <w:t xml:space="preserve">  A </w:t>
      </w:r>
      <w:r w:rsidR="00356AF9">
        <w:rPr>
          <w:rFonts w:asciiTheme="minorHAnsi" w:hAnsiTheme="minorHAnsi"/>
          <w:color w:val="auto"/>
          <w:szCs w:val="24"/>
        </w:rPr>
        <w:t xml:space="preserve">PT </w:t>
      </w:r>
      <w:r w:rsidR="00187206" w:rsidRPr="000600A4">
        <w:rPr>
          <w:rFonts w:asciiTheme="minorHAnsi" w:hAnsiTheme="minorHAnsi"/>
          <w:color w:val="auto"/>
          <w:szCs w:val="24"/>
        </w:rPr>
        <w:t>note one</w:t>
      </w:r>
      <w:r w:rsidR="00EA3D8D" w:rsidRPr="000600A4">
        <w:rPr>
          <w:rFonts w:asciiTheme="minorHAnsi" w:hAnsiTheme="minorHAnsi"/>
          <w:color w:val="auto"/>
          <w:szCs w:val="24"/>
        </w:rPr>
        <w:t xml:space="preserve"> week prior</w:t>
      </w:r>
      <w:r w:rsidR="00187206" w:rsidRPr="000600A4">
        <w:rPr>
          <w:rFonts w:asciiTheme="minorHAnsi" w:hAnsiTheme="minorHAnsi"/>
          <w:color w:val="auto"/>
          <w:szCs w:val="24"/>
        </w:rPr>
        <w:t xml:space="preserve"> to this MEB exam</w:t>
      </w:r>
      <w:r w:rsidR="00EA3D8D" w:rsidRPr="000600A4">
        <w:rPr>
          <w:rFonts w:asciiTheme="minorHAnsi" w:hAnsiTheme="minorHAnsi"/>
          <w:color w:val="auto"/>
          <w:szCs w:val="24"/>
        </w:rPr>
        <w:t xml:space="preserve"> documented limitation in </w:t>
      </w:r>
      <w:proofErr w:type="spellStart"/>
      <w:r w:rsidR="00EA3D8D" w:rsidRPr="000600A4">
        <w:rPr>
          <w:rFonts w:asciiTheme="minorHAnsi" w:hAnsiTheme="minorHAnsi"/>
          <w:color w:val="auto"/>
          <w:szCs w:val="24"/>
        </w:rPr>
        <w:t>dorsiflexion</w:t>
      </w:r>
      <w:proofErr w:type="spellEnd"/>
      <w:r w:rsidR="00EA3D8D" w:rsidRPr="000600A4">
        <w:rPr>
          <w:rFonts w:asciiTheme="minorHAnsi" w:hAnsiTheme="minorHAnsi"/>
          <w:color w:val="auto"/>
          <w:szCs w:val="24"/>
        </w:rPr>
        <w:t xml:space="preserve"> and chronic pain.</w:t>
      </w:r>
      <w:r w:rsidR="00AC7C06" w:rsidRPr="000600A4">
        <w:rPr>
          <w:rFonts w:asciiTheme="minorHAnsi" w:hAnsiTheme="minorHAnsi"/>
          <w:color w:val="auto"/>
          <w:szCs w:val="24"/>
        </w:rPr>
        <w:t xml:space="preserve">  </w:t>
      </w:r>
      <w:r w:rsidR="00AC7C06" w:rsidRPr="008F66B1">
        <w:rPr>
          <w:rFonts w:asciiTheme="minorHAnsi" w:hAnsiTheme="minorHAnsi"/>
          <w:color w:val="auto"/>
          <w:szCs w:val="24"/>
        </w:rPr>
        <w:t>A</w:t>
      </w:r>
      <w:r w:rsidR="00C03040" w:rsidRPr="008F66B1">
        <w:rPr>
          <w:rFonts w:asciiTheme="minorHAnsi" w:hAnsiTheme="minorHAnsi"/>
          <w:color w:val="auto"/>
          <w:szCs w:val="24"/>
        </w:rPr>
        <w:t xml:space="preserve"> NARSUM addendum</w:t>
      </w:r>
      <w:r w:rsidR="00C03040">
        <w:rPr>
          <w:rFonts w:asciiTheme="minorHAnsi" w:hAnsiTheme="minorHAnsi"/>
          <w:color w:val="auto"/>
          <w:szCs w:val="24"/>
        </w:rPr>
        <w:t xml:space="preserve"> (</w:t>
      </w:r>
      <w:r w:rsidR="00AC7C06" w:rsidRPr="00435EAF">
        <w:rPr>
          <w:rFonts w:asciiTheme="minorHAnsi" w:hAnsiTheme="minorHAnsi"/>
          <w:color w:val="auto"/>
          <w:szCs w:val="24"/>
        </w:rPr>
        <w:t>addendum</w:t>
      </w:r>
      <w:r w:rsidRPr="00435EAF">
        <w:rPr>
          <w:rFonts w:asciiTheme="minorHAnsi" w:hAnsiTheme="minorHAnsi"/>
          <w:color w:val="auto"/>
          <w:szCs w:val="24"/>
        </w:rPr>
        <w:t xml:space="preserve"> MEB examination</w:t>
      </w:r>
      <w:r w:rsidR="00C03040">
        <w:rPr>
          <w:rFonts w:asciiTheme="minorHAnsi" w:hAnsiTheme="minorHAnsi"/>
          <w:color w:val="auto"/>
          <w:szCs w:val="24"/>
        </w:rPr>
        <w:t>)</w:t>
      </w:r>
      <w:r w:rsidR="00AC7C06" w:rsidRPr="000600A4">
        <w:rPr>
          <w:rFonts w:asciiTheme="minorHAnsi" w:hAnsiTheme="minorHAnsi"/>
          <w:color w:val="auto"/>
          <w:szCs w:val="24"/>
        </w:rPr>
        <w:t xml:space="preserve"> </w:t>
      </w:r>
      <w:r w:rsidR="00AC7C06" w:rsidRPr="00435EAF">
        <w:rPr>
          <w:rFonts w:asciiTheme="minorHAnsi" w:hAnsiTheme="minorHAnsi"/>
          <w:color w:val="auto"/>
          <w:szCs w:val="24"/>
        </w:rPr>
        <w:t>completed</w:t>
      </w:r>
      <w:r w:rsidRPr="00435EAF">
        <w:rPr>
          <w:rFonts w:asciiTheme="minorHAnsi" w:hAnsiTheme="minorHAnsi"/>
          <w:color w:val="auto"/>
          <w:szCs w:val="24"/>
        </w:rPr>
        <w:t xml:space="preserve"> two months</w:t>
      </w:r>
      <w:r w:rsidRPr="000600A4">
        <w:rPr>
          <w:rFonts w:asciiTheme="minorHAnsi" w:hAnsiTheme="minorHAnsi"/>
          <w:color w:val="auto"/>
          <w:szCs w:val="24"/>
        </w:rPr>
        <w:t xml:space="preserve"> prior to separation</w:t>
      </w:r>
      <w:r w:rsidR="00AC7C06" w:rsidRPr="000600A4">
        <w:rPr>
          <w:rFonts w:asciiTheme="minorHAnsi" w:hAnsiTheme="minorHAnsi"/>
          <w:color w:val="auto"/>
          <w:szCs w:val="24"/>
        </w:rPr>
        <w:t xml:space="preserve"> focused on the </w:t>
      </w:r>
      <w:r w:rsidR="00E56445">
        <w:rPr>
          <w:rFonts w:asciiTheme="minorHAnsi" w:hAnsiTheme="minorHAnsi"/>
          <w:color w:val="auto"/>
          <w:szCs w:val="24"/>
        </w:rPr>
        <w:t xml:space="preserve">CRPS </w:t>
      </w:r>
      <w:r w:rsidR="00AC7C06" w:rsidRPr="000600A4">
        <w:rPr>
          <w:rFonts w:asciiTheme="minorHAnsi" w:hAnsiTheme="minorHAnsi"/>
          <w:color w:val="auto"/>
          <w:szCs w:val="24"/>
        </w:rPr>
        <w:t>pathology, noting</w:t>
      </w:r>
      <w:r w:rsidRPr="000600A4">
        <w:rPr>
          <w:rFonts w:asciiTheme="minorHAnsi" w:hAnsiTheme="minorHAnsi"/>
          <w:color w:val="auto"/>
          <w:szCs w:val="24"/>
        </w:rPr>
        <w:t xml:space="preserve"> failure of acupuncture, PT, steroid injection,</w:t>
      </w:r>
      <w:r w:rsidR="00AC7C06" w:rsidRPr="000600A4">
        <w:rPr>
          <w:rFonts w:asciiTheme="minorHAnsi" w:hAnsiTheme="minorHAnsi"/>
          <w:color w:val="auto"/>
          <w:szCs w:val="24"/>
        </w:rPr>
        <w:t xml:space="preserve"> narcotic and non-narcotic pain medications</w:t>
      </w:r>
      <w:r w:rsidRPr="000600A4">
        <w:rPr>
          <w:rFonts w:asciiTheme="minorHAnsi" w:hAnsiTheme="minorHAnsi"/>
          <w:color w:val="auto"/>
          <w:szCs w:val="24"/>
        </w:rPr>
        <w:t xml:space="preserve"> and two lumbar sympathetic blocks.</w:t>
      </w:r>
      <w:r w:rsidR="00AC7C06" w:rsidRPr="000600A4">
        <w:rPr>
          <w:rFonts w:asciiTheme="minorHAnsi" w:hAnsiTheme="minorHAnsi"/>
          <w:color w:val="auto"/>
          <w:szCs w:val="24"/>
        </w:rPr>
        <w:t xml:space="preserve">  The CI complained of</w:t>
      </w:r>
      <w:r w:rsidRPr="000600A4">
        <w:rPr>
          <w:rFonts w:asciiTheme="minorHAnsi" w:hAnsiTheme="minorHAnsi"/>
          <w:color w:val="auto"/>
          <w:szCs w:val="24"/>
        </w:rPr>
        <w:t xml:space="preserve"> pins and needles in her toes, daily pain right foot pain</w:t>
      </w:r>
      <w:r w:rsidR="00AC7C06" w:rsidRPr="000600A4">
        <w:rPr>
          <w:rFonts w:asciiTheme="minorHAnsi" w:hAnsiTheme="minorHAnsi"/>
          <w:color w:val="auto"/>
          <w:szCs w:val="24"/>
        </w:rPr>
        <w:t xml:space="preserve"> (6/10),</w:t>
      </w:r>
      <w:r w:rsidRPr="000600A4">
        <w:rPr>
          <w:rFonts w:asciiTheme="minorHAnsi" w:hAnsiTheme="minorHAnsi"/>
          <w:color w:val="auto"/>
          <w:szCs w:val="24"/>
        </w:rPr>
        <w:t xml:space="preserve"> accompanied by color and temperature changes (hot an</w:t>
      </w:r>
      <w:r w:rsidR="007746AC" w:rsidRPr="000600A4">
        <w:rPr>
          <w:rFonts w:asciiTheme="minorHAnsi" w:hAnsiTheme="minorHAnsi"/>
          <w:color w:val="auto"/>
          <w:szCs w:val="24"/>
        </w:rPr>
        <w:t xml:space="preserve">d cold temperature alternating).  </w:t>
      </w:r>
      <w:r w:rsidR="00EA3D8D" w:rsidRPr="000600A4">
        <w:rPr>
          <w:rFonts w:asciiTheme="minorHAnsi" w:eastAsia="Calibri" w:hAnsiTheme="minorHAnsi" w:cstheme="minorHAnsi"/>
          <w:color w:val="auto"/>
          <w:szCs w:val="24"/>
        </w:rPr>
        <w:t xml:space="preserve">The exam of the right ankle </w:t>
      </w:r>
      <w:r w:rsidR="001304BB" w:rsidRPr="000600A4">
        <w:rPr>
          <w:rFonts w:asciiTheme="minorHAnsi" w:eastAsia="Calibri" w:hAnsiTheme="minorHAnsi" w:cstheme="minorHAnsi"/>
          <w:color w:val="auto"/>
          <w:szCs w:val="24"/>
        </w:rPr>
        <w:t>noted a normal gait</w:t>
      </w:r>
      <w:r w:rsidR="001304BB">
        <w:rPr>
          <w:rFonts w:asciiTheme="minorHAnsi" w:eastAsia="Calibri" w:hAnsiTheme="minorHAnsi" w:cstheme="minorHAnsi"/>
          <w:color w:val="auto"/>
          <w:szCs w:val="24"/>
        </w:rPr>
        <w:t>, but</w:t>
      </w:r>
      <w:r w:rsidR="001304BB" w:rsidRPr="000600A4">
        <w:rPr>
          <w:rFonts w:asciiTheme="minorHAnsi" w:eastAsia="Calibri" w:hAnsiTheme="minorHAnsi" w:cstheme="minorHAnsi"/>
          <w:color w:val="auto"/>
          <w:szCs w:val="24"/>
        </w:rPr>
        <w:t xml:space="preserve"> </w:t>
      </w:r>
      <w:r w:rsidR="006C0818">
        <w:rPr>
          <w:rFonts w:asciiTheme="minorHAnsi" w:eastAsia="Calibri" w:hAnsiTheme="minorHAnsi" w:cstheme="minorHAnsi"/>
          <w:color w:val="auto"/>
          <w:szCs w:val="24"/>
        </w:rPr>
        <w:t xml:space="preserve">did not document ROM’s.  </w:t>
      </w:r>
      <w:r w:rsidR="00EA3D8D" w:rsidRPr="000600A4">
        <w:rPr>
          <w:rFonts w:asciiTheme="minorHAnsi" w:eastAsia="Calibri" w:hAnsiTheme="minorHAnsi" w:cstheme="minorHAnsi"/>
          <w:color w:val="auto"/>
          <w:szCs w:val="24"/>
        </w:rPr>
        <w:t xml:space="preserve">The </w:t>
      </w:r>
      <w:proofErr w:type="spellStart"/>
      <w:r w:rsidR="00EA3D8D" w:rsidRPr="000600A4">
        <w:rPr>
          <w:rFonts w:asciiTheme="minorHAnsi" w:eastAsia="Calibri" w:hAnsiTheme="minorHAnsi" w:cstheme="minorHAnsi"/>
          <w:color w:val="auto"/>
          <w:szCs w:val="24"/>
        </w:rPr>
        <w:t>p</w:t>
      </w:r>
      <w:r w:rsidR="00294C0E" w:rsidRPr="000600A4">
        <w:rPr>
          <w:rFonts w:asciiTheme="minorHAnsi" w:eastAsia="Calibri" w:hAnsiTheme="minorHAnsi" w:cstheme="minorHAnsi"/>
          <w:color w:val="auto"/>
          <w:szCs w:val="24"/>
        </w:rPr>
        <w:t>eroneal</w:t>
      </w:r>
      <w:proofErr w:type="spellEnd"/>
      <w:r w:rsidR="00294C0E" w:rsidRPr="000600A4">
        <w:rPr>
          <w:rFonts w:asciiTheme="minorHAnsi" w:eastAsia="Calibri" w:hAnsiTheme="minorHAnsi" w:cstheme="minorHAnsi"/>
          <w:color w:val="auto"/>
          <w:szCs w:val="24"/>
        </w:rPr>
        <w:t xml:space="preserve"> strength</w:t>
      </w:r>
      <w:r w:rsidR="00EA3D8D" w:rsidRPr="000600A4">
        <w:rPr>
          <w:rFonts w:asciiTheme="minorHAnsi" w:eastAsia="Calibri" w:hAnsiTheme="minorHAnsi" w:cstheme="minorHAnsi"/>
          <w:color w:val="auto"/>
          <w:szCs w:val="24"/>
        </w:rPr>
        <w:t xml:space="preserve"> was</w:t>
      </w:r>
      <w:r w:rsidR="00294C0E" w:rsidRPr="000600A4">
        <w:rPr>
          <w:rFonts w:asciiTheme="minorHAnsi" w:eastAsia="Calibri" w:hAnsiTheme="minorHAnsi" w:cstheme="minorHAnsi"/>
          <w:color w:val="auto"/>
          <w:szCs w:val="24"/>
        </w:rPr>
        <w:t xml:space="preserve"> 4/5</w:t>
      </w:r>
      <w:r w:rsidR="006C0818">
        <w:rPr>
          <w:rFonts w:asciiTheme="minorHAnsi" w:eastAsia="Calibri" w:hAnsiTheme="minorHAnsi" w:cstheme="minorHAnsi"/>
          <w:color w:val="auto"/>
          <w:szCs w:val="24"/>
        </w:rPr>
        <w:t xml:space="preserve">.  </w:t>
      </w:r>
      <w:r w:rsidR="0018764C" w:rsidRPr="000600A4">
        <w:rPr>
          <w:rFonts w:asciiTheme="minorHAnsi" w:eastAsia="Calibri" w:hAnsiTheme="minorHAnsi" w:cstheme="minorHAnsi"/>
          <w:color w:val="auto"/>
          <w:szCs w:val="24"/>
        </w:rPr>
        <w:t>There was calf atroph</w:t>
      </w:r>
      <w:r w:rsidR="00435EAF">
        <w:rPr>
          <w:rFonts w:asciiTheme="minorHAnsi" w:eastAsia="Calibri" w:hAnsiTheme="minorHAnsi" w:cstheme="minorHAnsi"/>
          <w:color w:val="auto"/>
          <w:szCs w:val="24"/>
        </w:rPr>
        <w:t>y</w:t>
      </w:r>
      <w:r w:rsidR="00EA3D8D" w:rsidRPr="000600A4">
        <w:rPr>
          <w:rFonts w:asciiTheme="minorHAnsi" w:eastAsia="Calibri" w:hAnsiTheme="minorHAnsi" w:cstheme="minorHAnsi"/>
          <w:color w:val="auto"/>
          <w:szCs w:val="24"/>
        </w:rPr>
        <w:t>.  Her</w:t>
      </w:r>
      <w:r w:rsidR="0018764C" w:rsidRPr="000600A4">
        <w:rPr>
          <w:rFonts w:asciiTheme="minorHAnsi" w:eastAsia="Calibri" w:hAnsiTheme="minorHAnsi" w:cstheme="minorHAnsi"/>
          <w:color w:val="auto"/>
          <w:szCs w:val="24"/>
        </w:rPr>
        <w:t xml:space="preserve"> right</w:t>
      </w:r>
      <w:r w:rsidR="00EA3D8D" w:rsidRPr="000600A4">
        <w:rPr>
          <w:rFonts w:asciiTheme="minorHAnsi" w:eastAsia="Calibri" w:hAnsiTheme="minorHAnsi" w:cstheme="minorHAnsi"/>
          <w:color w:val="auto"/>
          <w:szCs w:val="24"/>
        </w:rPr>
        <w:t xml:space="preserve"> foot exhibited a </w:t>
      </w:r>
      <w:r w:rsidR="00294C0E" w:rsidRPr="000600A4">
        <w:rPr>
          <w:rFonts w:asciiTheme="minorHAnsi" w:eastAsia="Calibri" w:hAnsiTheme="minorHAnsi" w:cstheme="minorHAnsi"/>
          <w:color w:val="auto"/>
          <w:szCs w:val="24"/>
        </w:rPr>
        <w:t>shiny appearance, cooler than</w:t>
      </w:r>
      <w:r w:rsidR="0018764C" w:rsidRPr="000600A4">
        <w:rPr>
          <w:rFonts w:asciiTheme="minorHAnsi" w:eastAsia="Calibri" w:hAnsiTheme="minorHAnsi" w:cstheme="minorHAnsi"/>
          <w:color w:val="auto"/>
          <w:szCs w:val="24"/>
        </w:rPr>
        <w:t xml:space="preserve"> the l</w:t>
      </w:r>
      <w:r w:rsidR="00294C0E" w:rsidRPr="000600A4">
        <w:rPr>
          <w:rFonts w:asciiTheme="minorHAnsi" w:eastAsia="Calibri" w:hAnsiTheme="minorHAnsi" w:cstheme="minorHAnsi"/>
          <w:color w:val="auto"/>
          <w:szCs w:val="24"/>
        </w:rPr>
        <w:t>eft;</w:t>
      </w:r>
      <w:r w:rsidR="0018764C" w:rsidRPr="000600A4">
        <w:rPr>
          <w:rFonts w:asciiTheme="minorHAnsi" w:eastAsia="Calibri" w:hAnsiTheme="minorHAnsi" w:cstheme="minorHAnsi"/>
          <w:color w:val="auto"/>
          <w:szCs w:val="24"/>
        </w:rPr>
        <w:t xml:space="preserve"> and</w:t>
      </w:r>
      <w:r w:rsidR="00294C0E" w:rsidRPr="000600A4">
        <w:rPr>
          <w:rFonts w:asciiTheme="minorHAnsi" w:eastAsia="Calibri" w:hAnsiTheme="minorHAnsi" w:cstheme="minorHAnsi"/>
          <w:color w:val="auto"/>
          <w:szCs w:val="24"/>
        </w:rPr>
        <w:t xml:space="preserve"> </w:t>
      </w:r>
      <w:proofErr w:type="spellStart"/>
      <w:r w:rsidR="00294C0E" w:rsidRPr="000600A4">
        <w:rPr>
          <w:rFonts w:asciiTheme="minorHAnsi" w:eastAsia="Calibri" w:hAnsiTheme="minorHAnsi" w:cstheme="minorHAnsi"/>
          <w:color w:val="auto"/>
          <w:szCs w:val="24"/>
        </w:rPr>
        <w:t>allodynia</w:t>
      </w:r>
      <w:proofErr w:type="spellEnd"/>
      <w:r w:rsidR="00294C0E" w:rsidRPr="000600A4">
        <w:rPr>
          <w:rFonts w:asciiTheme="minorHAnsi" w:eastAsia="Calibri" w:hAnsiTheme="minorHAnsi" w:cstheme="minorHAnsi"/>
          <w:color w:val="auto"/>
          <w:szCs w:val="24"/>
        </w:rPr>
        <w:t xml:space="preserve"> </w:t>
      </w:r>
      <w:r w:rsidR="00275465" w:rsidRPr="000600A4">
        <w:rPr>
          <w:rFonts w:asciiTheme="minorHAnsi" w:eastAsia="Calibri" w:hAnsiTheme="minorHAnsi" w:cstheme="minorHAnsi"/>
          <w:color w:val="auto"/>
          <w:szCs w:val="24"/>
        </w:rPr>
        <w:t>over medial</w:t>
      </w:r>
      <w:r w:rsidR="00294C0E" w:rsidRPr="000600A4">
        <w:rPr>
          <w:rFonts w:asciiTheme="minorHAnsi" w:eastAsia="Calibri" w:hAnsiTheme="minorHAnsi" w:cstheme="minorHAnsi"/>
          <w:color w:val="auto"/>
          <w:szCs w:val="24"/>
        </w:rPr>
        <w:t xml:space="preserve"> plantar</w:t>
      </w:r>
      <w:r w:rsidR="00EA3D8D" w:rsidRPr="000600A4">
        <w:rPr>
          <w:rFonts w:asciiTheme="minorHAnsi" w:eastAsia="Calibri" w:hAnsiTheme="minorHAnsi" w:cstheme="minorHAnsi"/>
          <w:color w:val="auto"/>
          <w:szCs w:val="24"/>
        </w:rPr>
        <w:t xml:space="preserve"> area and foot plantar surface.  With </w:t>
      </w:r>
      <w:r w:rsidR="00294C0E" w:rsidRPr="000600A4">
        <w:rPr>
          <w:rFonts w:asciiTheme="minorHAnsi" w:eastAsia="Calibri" w:hAnsiTheme="minorHAnsi" w:cstheme="minorHAnsi"/>
          <w:color w:val="auto"/>
          <w:szCs w:val="24"/>
        </w:rPr>
        <w:t>light pressure</w:t>
      </w:r>
      <w:r w:rsidR="0018764C" w:rsidRPr="000600A4">
        <w:rPr>
          <w:rFonts w:asciiTheme="minorHAnsi" w:eastAsia="Calibri" w:hAnsiTheme="minorHAnsi" w:cstheme="minorHAnsi"/>
          <w:color w:val="auto"/>
          <w:szCs w:val="24"/>
        </w:rPr>
        <w:t xml:space="preserve">, </w:t>
      </w:r>
      <w:r w:rsidR="00EA3D8D" w:rsidRPr="000600A4">
        <w:rPr>
          <w:rFonts w:asciiTheme="minorHAnsi" w:eastAsia="Calibri" w:hAnsiTheme="minorHAnsi" w:cstheme="minorHAnsi"/>
          <w:color w:val="auto"/>
          <w:szCs w:val="24"/>
        </w:rPr>
        <w:t xml:space="preserve">she complained of </w:t>
      </w:r>
      <w:r w:rsidR="00294C0E" w:rsidRPr="000600A4">
        <w:rPr>
          <w:rFonts w:asciiTheme="minorHAnsi" w:eastAsia="Calibri" w:hAnsiTheme="minorHAnsi" w:cstheme="minorHAnsi"/>
          <w:color w:val="auto"/>
          <w:szCs w:val="24"/>
        </w:rPr>
        <w:t>pins and needles in 1</w:t>
      </w:r>
      <w:r w:rsidR="00294C0E" w:rsidRPr="000600A4">
        <w:rPr>
          <w:rFonts w:asciiTheme="minorHAnsi" w:eastAsia="Calibri" w:hAnsiTheme="minorHAnsi" w:cstheme="minorHAnsi"/>
          <w:color w:val="auto"/>
          <w:szCs w:val="24"/>
          <w:vertAlign w:val="superscript"/>
        </w:rPr>
        <w:t>st</w:t>
      </w:r>
      <w:r w:rsidR="00294C0E" w:rsidRPr="000600A4">
        <w:rPr>
          <w:rFonts w:asciiTheme="minorHAnsi" w:eastAsia="Calibri" w:hAnsiTheme="minorHAnsi" w:cstheme="minorHAnsi"/>
          <w:color w:val="auto"/>
          <w:szCs w:val="24"/>
        </w:rPr>
        <w:t>, 2</w:t>
      </w:r>
      <w:r w:rsidR="00294C0E" w:rsidRPr="000600A4">
        <w:rPr>
          <w:rFonts w:asciiTheme="minorHAnsi" w:eastAsia="Calibri" w:hAnsiTheme="minorHAnsi" w:cstheme="minorHAnsi"/>
          <w:color w:val="auto"/>
          <w:szCs w:val="24"/>
          <w:vertAlign w:val="superscript"/>
        </w:rPr>
        <w:t>nd</w:t>
      </w:r>
      <w:r w:rsidR="00294C0E" w:rsidRPr="000600A4">
        <w:rPr>
          <w:rFonts w:asciiTheme="minorHAnsi" w:eastAsia="Calibri" w:hAnsiTheme="minorHAnsi" w:cstheme="minorHAnsi"/>
          <w:color w:val="auto"/>
          <w:szCs w:val="24"/>
        </w:rPr>
        <w:t xml:space="preserve"> 3</w:t>
      </w:r>
      <w:r w:rsidR="00294C0E" w:rsidRPr="000600A4">
        <w:rPr>
          <w:rFonts w:asciiTheme="minorHAnsi" w:eastAsia="Calibri" w:hAnsiTheme="minorHAnsi" w:cstheme="minorHAnsi"/>
          <w:color w:val="auto"/>
          <w:szCs w:val="24"/>
          <w:vertAlign w:val="superscript"/>
        </w:rPr>
        <w:t>rd</w:t>
      </w:r>
      <w:r w:rsidR="00EA3D8D" w:rsidRPr="000600A4">
        <w:rPr>
          <w:rFonts w:asciiTheme="minorHAnsi" w:eastAsia="Calibri" w:hAnsiTheme="minorHAnsi" w:cstheme="minorHAnsi"/>
          <w:color w:val="auto"/>
          <w:szCs w:val="24"/>
        </w:rPr>
        <w:t xml:space="preserve"> toes.  There was</w:t>
      </w:r>
      <w:r w:rsidR="00294C0E" w:rsidRPr="000600A4">
        <w:rPr>
          <w:rFonts w:asciiTheme="minorHAnsi" w:eastAsia="Calibri" w:hAnsiTheme="minorHAnsi" w:cstheme="minorHAnsi"/>
          <w:color w:val="auto"/>
          <w:szCs w:val="24"/>
        </w:rPr>
        <w:t xml:space="preserve"> swelling </w:t>
      </w:r>
      <w:r w:rsidR="00EA3D8D" w:rsidRPr="000600A4">
        <w:rPr>
          <w:rFonts w:asciiTheme="minorHAnsi" w:eastAsia="Calibri" w:hAnsiTheme="minorHAnsi" w:cstheme="minorHAnsi"/>
          <w:color w:val="auto"/>
          <w:szCs w:val="24"/>
        </w:rPr>
        <w:t>of the right ankle and foot.</w:t>
      </w:r>
      <w:r w:rsidR="00294C0E" w:rsidRPr="000600A4">
        <w:rPr>
          <w:rFonts w:asciiTheme="minorHAnsi" w:eastAsia="Calibri" w:hAnsiTheme="minorHAnsi" w:cstheme="minorHAnsi"/>
          <w:color w:val="auto"/>
          <w:szCs w:val="24"/>
        </w:rPr>
        <w:t xml:space="preserve"> </w:t>
      </w:r>
      <w:r w:rsidR="001304BB">
        <w:rPr>
          <w:rFonts w:asciiTheme="minorHAnsi" w:eastAsia="Calibri" w:hAnsiTheme="minorHAnsi" w:cstheme="minorHAnsi"/>
          <w:color w:val="auto"/>
          <w:szCs w:val="24"/>
        </w:rPr>
        <w:t xml:space="preserve"> </w:t>
      </w:r>
      <w:r w:rsidR="00EA3D8D" w:rsidRPr="000600A4">
        <w:rPr>
          <w:rFonts w:asciiTheme="minorHAnsi" w:eastAsia="Calibri" w:hAnsiTheme="minorHAnsi" w:cstheme="minorHAnsi"/>
          <w:color w:val="auto"/>
          <w:szCs w:val="24"/>
        </w:rPr>
        <w:t>D</w:t>
      </w:r>
      <w:r w:rsidR="00294C0E" w:rsidRPr="000600A4">
        <w:rPr>
          <w:rFonts w:asciiTheme="minorHAnsi" w:eastAsia="Calibri" w:hAnsiTheme="minorHAnsi" w:cstheme="minorHAnsi"/>
          <w:color w:val="auto"/>
          <w:szCs w:val="24"/>
        </w:rPr>
        <w:t>iscoloration</w:t>
      </w:r>
      <w:r w:rsidR="00EA3D8D" w:rsidRPr="000600A4">
        <w:rPr>
          <w:rFonts w:asciiTheme="minorHAnsi" w:eastAsia="Calibri" w:hAnsiTheme="minorHAnsi" w:cstheme="minorHAnsi"/>
          <w:color w:val="auto"/>
          <w:szCs w:val="24"/>
        </w:rPr>
        <w:t xml:space="preserve"> noted to extend from her right foot to</w:t>
      </w:r>
      <w:r w:rsidR="00294C0E" w:rsidRPr="000600A4">
        <w:rPr>
          <w:rFonts w:asciiTheme="minorHAnsi" w:eastAsia="Calibri" w:hAnsiTheme="minorHAnsi" w:cstheme="minorHAnsi"/>
          <w:color w:val="auto"/>
          <w:szCs w:val="24"/>
        </w:rPr>
        <w:t xml:space="preserve"> t</w:t>
      </w:r>
      <w:r w:rsidR="00EA3D8D" w:rsidRPr="000600A4">
        <w:rPr>
          <w:rFonts w:asciiTheme="minorHAnsi" w:eastAsia="Calibri" w:hAnsiTheme="minorHAnsi" w:cstheme="minorHAnsi"/>
          <w:color w:val="auto"/>
          <w:szCs w:val="24"/>
        </w:rPr>
        <w:t>he</w:t>
      </w:r>
      <w:r w:rsidR="004E6288" w:rsidRPr="000600A4">
        <w:rPr>
          <w:rFonts w:asciiTheme="minorHAnsi" w:eastAsia="Calibri" w:hAnsiTheme="minorHAnsi" w:cstheme="minorHAnsi"/>
          <w:color w:val="auto"/>
          <w:szCs w:val="24"/>
        </w:rPr>
        <w:t xml:space="preserve"> lower aspect o</w:t>
      </w:r>
      <w:r w:rsidR="00294C0E" w:rsidRPr="000600A4">
        <w:rPr>
          <w:rFonts w:asciiTheme="minorHAnsi" w:eastAsia="Calibri" w:hAnsiTheme="minorHAnsi" w:cstheme="minorHAnsi"/>
          <w:color w:val="auto"/>
          <w:szCs w:val="24"/>
        </w:rPr>
        <w:t xml:space="preserve">f </w:t>
      </w:r>
      <w:r w:rsidR="00EA3D8D" w:rsidRPr="000600A4">
        <w:rPr>
          <w:rFonts w:asciiTheme="minorHAnsi" w:eastAsia="Calibri" w:hAnsiTheme="minorHAnsi" w:cstheme="minorHAnsi"/>
          <w:color w:val="auto"/>
          <w:szCs w:val="24"/>
        </w:rPr>
        <w:t xml:space="preserve">her right </w:t>
      </w:r>
      <w:r w:rsidR="00294C0E" w:rsidRPr="000600A4">
        <w:rPr>
          <w:rFonts w:asciiTheme="minorHAnsi" w:eastAsia="Calibri" w:hAnsiTheme="minorHAnsi" w:cstheme="minorHAnsi"/>
          <w:color w:val="auto"/>
          <w:szCs w:val="24"/>
        </w:rPr>
        <w:t>leg</w:t>
      </w:r>
      <w:r w:rsidR="00EA3D8D" w:rsidRPr="000600A4">
        <w:rPr>
          <w:rFonts w:asciiTheme="minorHAnsi" w:eastAsia="Calibri" w:hAnsiTheme="minorHAnsi" w:cstheme="minorHAnsi"/>
          <w:color w:val="auto"/>
          <w:szCs w:val="24"/>
        </w:rPr>
        <w:t>.</w:t>
      </w:r>
      <w:r w:rsidR="007746AC" w:rsidRPr="000600A4">
        <w:rPr>
          <w:rFonts w:asciiTheme="minorHAnsi" w:eastAsia="Calibri" w:hAnsiTheme="minorHAnsi" w:cstheme="minorHAnsi"/>
          <w:color w:val="auto"/>
          <w:szCs w:val="24"/>
        </w:rPr>
        <w:t xml:space="preserve">  Radiographs documented </w:t>
      </w:r>
      <w:proofErr w:type="spellStart"/>
      <w:r w:rsidR="006C0818">
        <w:rPr>
          <w:rFonts w:asciiTheme="minorHAnsi" w:eastAsia="Calibri" w:hAnsiTheme="minorHAnsi" w:cstheme="minorHAnsi"/>
          <w:color w:val="auto"/>
          <w:szCs w:val="24"/>
        </w:rPr>
        <w:t>o</w:t>
      </w:r>
      <w:r w:rsidR="002A2C7A" w:rsidRPr="000600A4">
        <w:rPr>
          <w:rFonts w:asciiTheme="minorHAnsi" w:eastAsia="Calibri" w:hAnsiTheme="minorHAnsi" w:cstheme="minorHAnsi"/>
          <w:color w:val="auto"/>
          <w:szCs w:val="24"/>
        </w:rPr>
        <w:t>steochondral</w:t>
      </w:r>
      <w:proofErr w:type="spellEnd"/>
      <w:r w:rsidR="002A2C7A" w:rsidRPr="000600A4">
        <w:rPr>
          <w:rFonts w:asciiTheme="minorHAnsi" w:eastAsia="Calibri" w:hAnsiTheme="minorHAnsi" w:cstheme="minorHAnsi"/>
          <w:color w:val="auto"/>
          <w:szCs w:val="24"/>
        </w:rPr>
        <w:t xml:space="preserve"> defect of the </w:t>
      </w:r>
      <w:proofErr w:type="spellStart"/>
      <w:r w:rsidR="002A2C7A" w:rsidRPr="000600A4">
        <w:rPr>
          <w:rFonts w:asciiTheme="minorHAnsi" w:eastAsia="Calibri" w:hAnsiTheme="minorHAnsi" w:cstheme="minorHAnsi"/>
          <w:color w:val="auto"/>
          <w:szCs w:val="24"/>
        </w:rPr>
        <w:t>talar</w:t>
      </w:r>
      <w:proofErr w:type="spellEnd"/>
      <w:r w:rsidR="002A2C7A" w:rsidRPr="000600A4">
        <w:rPr>
          <w:rFonts w:asciiTheme="minorHAnsi" w:eastAsia="Calibri" w:hAnsiTheme="minorHAnsi" w:cstheme="minorHAnsi"/>
          <w:color w:val="auto"/>
          <w:szCs w:val="24"/>
        </w:rPr>
        <w:t xml:space="preserve"> dome with </w:t>
      </w:r>
      <w:r w:rsidR="002A2C7A" w:rsidRPr="008F66B1">
        <w:rPr>
          <w:rFonts w:asciiTheme="minorHAnsi" w:eastAsia="Calibri" w:hAnsiTheme="minorHAnsi" w:cstheme="minorHAnsi"/>
          <w:color w:val="auto"/>
          <w:szCs w:val="24"/>
        </w:rPr>
        <w:t xml:space="preserve">a chronic tear of the anterior </w:t>
      </w:r>
      <w:proofErr w:type="spellStart"/>
      <w:r w:rsidR="002A2C7A" w:rsidRPr="008F66B1">
        <w:rPr>
          <w:rFonts w:asciiTheme="minorHAnsi" w:eastAsia="Calibri" w:hAnsiTheme="minorHAnsi" w:cstheme="minorHAnsi"/>
          <w:color w:val="auto"/>
          <w:szCs w:val="24"/>
        </w:rPr>
        <w:t>talofibular</w:t>
      </w:r>
      <w:proofErr w:type="spellEnd"/>
      <w:r w:rsidR="002A2C7A" w:rsidRPr="008F66B1">
        <w:rPr>
          <w:rFonts w:asciiTheme="minorHAnsi" w:eastAsia="Calibri" w:hAnsiTheme="minorHAnsi" w:cstheme="minorHAnsi"/>
          <w:color w:val="auto"/>
          <w:szCs w:val="24"/>
        </w:rPr>
        <w:t xml:space="preserve"> ligament.</w:t>
      </w:r>
      <w:r w:rsidR="007746AC" w:rsidRPr="000600A4">
        <w:rPr>
          <w:rFonts w:asciiTheme="minorHAnsi" w:hAnsiTheme="minorHAnsi"/>
          <w:color w:val="auto"/>
          <w:szCs w:val="24"/>
        </w:rPr>
        <w:t xml:space="preserve">  </w:t>
      </w:r>
    </w:p>
    <w:p w:rsidR="001304BB" w:rsidRDefault="001304BB" w:rsidP="00664296">
      <w:pPr>
        <w:tabs>
          <w:tab w:val="left" w:pos="288"/>
          <w:tab w:val="left" w:pos="4752"/>
        </w:tabs>
        <w:spacing w:line="240" w:lineRule="exact"/>
        <w:rPr>
          <w:rFonts w:asciiTheme="minorHAnsi" w:hAnsiTheme="minorHAnsi"/>
          <w:color w:val="auto"/>
          <w:szCs w:val="24"/>
        </w:rPr>
      </w:pPr>
    </w:p>
    <w:p w:rsidR="00193772" w:rsidRDefault="00356AF9" w:rsidP="00610052">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VA compensation &amp; p</w:t>
      </w:r>
      <w:r w:rsidR="00193772" w:rsidRPr="000600A4">
        <w:rPr>
          <w:rFonts w:asciiTheme="minorHAnsi" w:hAnsiTheme="minorHAnsi"/>
          <w:color w:val="auto"/>
          <w:szCs w:val="24"/>
        </w:rPr>
        <w:t>ension (C&amp;P) exam</w:t>
      </w:r>
      <w:r w:rsidR="00193772" w:rsidRPr="00610052">
        <w:rPr>
          <w:rFonts w:asciiTheme="minorHAnsi" w:hAnsiTheme="minorHAnsi"/>
          <w:color w:val="auto"/>
          <w:sz w:val="20"/>
          <w:szCs w:val="24"/>
        </w:rPr>
        <w:t xml:space="preserve"> </w:t>
      </w:r>
      <w:r w:rsidR="00193772" w:rsidRPr="000600A4">
        <w:rPr>
          <w:rFonts w:asciiTheme="minorHAnsi" w:hAnsiTheme="minorHAnsi"/>
          <w:color w:val="auto"/>
          <w:szCs w:val="24"/>
        </w:rPr>
        <w:t xml:space="preserve">two months prior to separation indicated severe foot and ankle pain, weakness, popping and clicking, limited motion, </w:t>
      </w:r>
      <w:r w:rsidR="00C03040">
        <w:rPr>
          <w:rFonts w:asciiTheme="minorHAnsi" w:hAnsiTheme="minorHAnsi"/>
          <w:color w:val="auto"/>
          <w:szCs w:val="24"/>
        </w:rPr>
        <w:t xml:space="preserve">unsteadiness; </w:t>
      </w:r>
      <w:r w:rsidR="00193772" w:rsidRPr="000600A4">
        <w:rPr>
          <w:rFonts w:asciiTheme="minorHAnsi" w:hAnsiTheme="minorHAnsi"/>
          <w:color w:val="auto"/>
          <w:szCs w:val="24"/>
        </w:rPr>
        <w:t xml:space="preserve">pain which disrupted her sleep, inability to squat or stair climb; difficulty with showering, dressing; and stiffness.  The severity of the pain necessitated a </w:t>
      </w:r>
      <w:proofErr w:type="spellStart"/>
      <w:r w:rsidR="00193772" w:rsidRPr="000600A4">
        <w:rPr>
          <w:rFonts w:asciiTheme="minorHAnsi" w:hAnsiTheme="minorHAnsi"/>
          <w:color w:val="auto"/>
          <w:szCs w:val="24"/>
        </w:rPr>
        <w:t>transcutaneous</w:t>
      </w:r>
      <w:proofErr w:type="spellEnd"/>
      <w:r w:rsidR="00193772" w:rsidRPr="000600A4">
        <w:rPr>
          <w:rFonts w:asciiTheme="minorHAnsi" w:hAnsiTheme="minorHAnsi"/>
          <w:color w:val="auto"/>
          <w:szCs w:val="24"/>
        </w:rPr>
        <w:t xml:space="preserve"> electrical nerve stimulation </w:t>
      </w:r>
      <w:r w:rsidR="00193772" w:rsidRPr="008F66B1">
        <w:rPr>
          <w:rFonts w:asciiTheme="minorHAnsi" w:hAnsiTheme="minorHAnsi"/>
          <w:color w:val="auto"/>
          <w:szCs w:val="24"/>
        </w:rPr>
        <w:t>(TENS) unit being prescribed which provided some relief.</w:t>
      </w:r>
      <w:r w:rsidR="002A2C7A" w:rsidRPr="008F66B1">
        <w:rPr>
          <w:rFonts w:asciiTheme="minorHAnsi" w:hAnsiTheme="minorHAnsi"/>
          <w:color w:val="auto"/>
          <w:szCs w:val="24"/>
        </w:rPr>
        <w:t xml:space="preserve">  </w:t>
      </w:r>
      <w:r w:rsidR="00C03040" w:rsidRPr="008F66B1">
        <w:rPr>
          <w:rFonts w:asciiTheme="minorHAnsi" w:hAnsiTheme="minorHAnsi"/>
          <w:color w:val="auto"/>
          <w:szCs w:val="24"/>
        </w:rPr>
        <w:t>“</w:t>
      </w:r>
      <w:r w:rsidR="002A2C7A" w:rsidRPr="008F66B1">
        <w:rPr>
          <w:rFonts w:asciiTheme="minorHAnsi" w:hAnsiTheme="minorHAnsi"/>
          <w:color w:val="auto"/>
          <w:szCs w:val="24"/>
        </w:rPr>
        <w:t>Her pain is 3/10 with rest, 6/10 with moderate activity and flares to 8/10 with weather and motion.</w:t>
      </w:r>
      <w:r w:rsidR="00C03040" w:rsidRPr="008F66B1">
        <w:rPr>
          <w:rFonts w:asciiTheme="minorHAnsi" w:hAnsiTheme="minorHAnsi"/>
          <w:color w:val="auto"/>
          <w:szCs w:val="24"/>
        </w:rPr>
        <w:t>”</w:t>
      </w:r>
      <w:r w:rsidR="00193772" w:rsidRPr="008F66B1">
        <w:rPr>
          <w:rFonts w:asciiTheme="minorHAnsi" w:hAnsiTheme="minorHAnsi"/>
          <w:color w:val="auto"/>
          <w:szCs w:val="24"/>
        </w:rPr>
        <w:t xml:space="preserve">  The examiner noted that the CI tended to walk on the lateral aspect of the right foot and her shoes wore out more on the outside.</w:t>
      </w:r>
      <w:r w:rsidR="002A2C7A" w:rsidRPr="008F66B1">
        <w:rPr>
          <w:rFonts w:asciiTheme="minorHAnsi" w:hAnsiTheme="minorHAnsi"/>
          <w:color w:val="auto"/>
          <w:szCs w:val="24"/>
        </w:rPr>
        <w:t xml:space="preserve">  She was getting some relief of pain with custom inserts.  There</w:t>
      </w:r>
      <w:r w:rsidR="004E6288" w:rsidRPr="008F66B1">
        <w:rPr>
          <w:rFonts w:asciiTheme="minorHAnsi" w:hAnsiTheme="minorHAnsi"/>
          <w:color w:val="auto"/>
          <w:szCs w:val="24"/>
        </w:rPr>
        <w:t xml:space="preserve"> was calf atrophy.  </w:t>
      </w:r>
      <w:r w:rsidR="004E6288" w:rsidRPr="008F66B1">
        <w:rPr>
          <w:rFonts w:asciiTheme="minorHAnsi" w:hAnsiTheme="minorHAnsi"/>
          <w:color w:val="auto"/>
          <w:szCs w:val="24"/>
        </w:rPr>
        <w:lastRenderedPageBreak/>
        <w:t>There was also decreased sensation over the dorsal aspect of her toes.</w:t>
      </w:r>
      <w:r w:rsidR="006C0818">
        <w:rPr>
          <w:rFonts w:asciiTheme="minorHAnsi" w:hAnsiTheme="minorHAnsi"/>
          <w:color w:val="auto"/>
          <w:szCs w:val="24"/>
        </w:rPr>
        <w:t xml:space="preserve">  </w:t>
      </w:r>
      <w:proofErr w:type="gramStart"/>
      <w:r w:rsidR="002A2C7A" w:rsidRPr="008F66B1">
        <w:rPr>
          <w:rFonts w:asciiTheme="minorHAnsi" w:hAnsiTheme="minorHAnsi"/>
          <w:color w:val="auto"/>
          <w:szCs w:val="24"/>
        </w:rPr>
        <w:t xml:space="preserve">Radiographs demonstrated irregularity of the medial </w:t>
      </w:r>
      <w:proofErr w:type="spellStart"/>
      <w:r w:rsidR="002A2C7A" w:rsidRPr="008F66B1">
        <w:rPr>
          <w:rFonts w:asciiTheme="minorHAnsi" w:hAnsiTheme="minorHAnsi"/>
          <w:color w:val="auto"/>
          <w:szCs w:val="24"/>
        </w:rPr>
        <w:t>talar</w:t>
      </w:r>
      <w:proofErr w:type="spellEnd"/>
      <w:r w:rsidR="002A2C7A" w:rsidRPr="008F66B1">
        <w:rPr>
          <w:rFonts w:asciiTheme="minorHAnsi" w:hAnsiTheme="minorHAnsi"/>
          <w:color w:val="auto"/>
          <w:szCs w:val="24"/>
        </w:rPr>
        <w:t xml:space="preserve"> dome</w:t>
      </w:r>
      <w:r w:rsidR="00C03040" w:rsidRPr="008F66B1">
        <w:rPr>
          <w:rFonts w:asciiTheme="minorHAnsi" w:hAnsiTheme="minorHAnsi"/>
          <w:color w:val="auto"/>
          <w:szCs w:val="24"/>
        </w:rPr>
        <w:t>,</w:t>
      </w:r>
      <w:r w:rsidR="002A2C7A" w:rsidRPr="008F66B1">
        <w:rPr>
          <w:rFonts w:asciiTheme="minorHAnsi" w:hAnsiTheme="minorHAnsi"/>
          <w:color w:val="auto"/>
          <w:szCs w:val="24"/>
        </w:rPr>
        <w:t xml:space="preserve"> but less </w:t>
      </w:r>
      <w:r w:rsidR="009F6A6D" w:rsidRPr="008F66B1">
        <w:rPr>
          <w:rFonts w:asciiTheme="minorHAnsi" w:hAnsiTheme="minorHAnsi"/>
          <w:color w:val="auto"/>
          <w:szCs w:val="24"/>
        </w:rPr>
        <w:t>dramatic</w:t>
      </w:r>
      <w:r w:rsidR="002A2C7A" w:rsidRPr="008F66B1">
        <w:rPr>
          <w:rFonts w:asciiTheme="minorHAnsi" w:hAnsiTheme="minorHAnsi"/>
          <w:color w:val="auto"/>
          <w:szCs w:val="24"/>
        </w:rPr>
        <w:t xml:space="preserve"> than seen on previous examinations.</w:t>
      </w:r>
      <w:proofErr w:type="gramEnd"/>
      <w:r w:rsidR="002A2C7A" w:rsidRPr="008F66B1">
        <w:rPr>
          <w:rFonts w:asciiTheme="minorHAnsi" w:hAnsiTheme="minorHAnsi"/>
          <w:color w:val="auto"/>
          <w:szCs w:val="24"/>
        </w:rPr>
        <w:t xml:space="preserve">  Impressi</w:t>
      </w:r>
      <w:r w:rsidR="006C0818">
        <w:rPr>
          <w:rFonts w:asciiTheme="minorHAnsi" w:hAnsiTheme="minorHAnsi"/>
          <w:color w:val="auto"/>
          <w:szCs w:val="24"/>
        </w:rPr>
        <w:t xml:space="preserve">on was interval healing of the </w:t>
      </w:r>
      <w:proofErr w:type="spellStart"/>
      <w:r w:rsidR="006C0818">
        <w:rPr>
          <w:rFonts w:asciiTheme="minorHAnsi" w:hAnsiTheme="minorHAnsi"/>
          <w:color w:val="auto"/>
          <w:szCs w:val="24"/>
        </w:rPr>
        <w:t>o</w:t>
      </w:r>
      <w:r w:rsidR="002A2C7A" w:rsidRPr="008F66B1">
        <w:rPr>
          <w:rFonts w:asciiTheme="minorHAnsi" w:hAnsiTheme="minorHAnsi"/>
          <w:color w:val="auto"/>
          <w:szCs w:val="24"/>
        </w:rPr>
        <w:t>steochondritis</w:t>
      </w:r>
      <w:proofErr w:type="spellEnd"/>
      <w:r w:rsidR="002A2C7A" w:rsidRPr="008F66B1">
        <w:rPr>
          <w:rFonts w:asciiTheme="minorHAnsi" w:hAnsiTheme="minorHAnsi"/>
          <w:color w:val="auto"/>
          <w:szCs w:val="24"/>
        </w:rPr>
        <w:t xml:space="preserve"> with prior </w:t>
      </w:r>
      <w:proofErr w:type="spellStart"/>
      <w:r w:rsidR="002A2C7A" w:rsidRPr="008F66B1">
        <w:rPr>
          <w:rFonts w:asciiTheme="minorHAnsi" w:hAnsiTheme="minorHAnsi"/>
          <w:color w:val="auto"/>
          <w:szCs w:val="24"/>
        </w:rPr>
        <w:t>ligamentous</w:t>
      </w:r>
      <w:proofErr w:type="spellEnd"/>
      <w:r w:rsidR="002A2C7A" w:rsidRPr="008F66B1">
        <w:rPr>
          <w:rFonts w:asciiTheme="minorHAnsi" w:hAnsiTheme="minorHAnsi"/>
          <w:color w:val="auto"/>
          <w:szCs w:val="24"/>
        </w:rPr>
        <w:t xml:space="preserve"> injury.</w:t>
      </w:r>
      <w:r w:rsidR="00297429" w:rsidRPr="008F66B1">
        <w:rPr>
          <w:rFonts w:asciiTheme="minorHAnsi" w:hAnsiTheme="minorHAnsi"/>
          <w:color w:val="auto"/>
          <w:szCs w:val="24"/>
        </w:rPr>
        <w:t xml:space="preserve">  </w:t>
      </w:r>
      <w:r w:rsidR="006C0818">
        <w:rPr>
          <w:rFonts w:asciiTheme="minorHAnsi" w:hAnsiTheme="minorHAnsi"/>
          <w:color w:val="auto"/>
          <w:szCs w:val="24"/>
        </w:rPr>
        <w:t>Pain medicine c</w:t>
      </w:r>
      <w:r w:rsidR="00193772" w:rsidRPr="008F66B1">
        <w:rPr>
          <w:rFonts w:asciiTheme="minorHAnsi" w:hAnsiTheme="minorHAnsi"/>
          <w:color w:val="auto"/>
          <w:szCs w:val="24"/>
        </w:rPr>
        <w:t>onsult exam completed 10 months after separation</w:t>
      </w:r>
      <w:r w:rsidR="00193772" w:rsidRPr="00297429">
        <w:rPr>
          <w:rFonts w:asciiTheme="minorHAnsi" w:hAnsiTheme="minorHAnsi"/>
          <w:color w:val="auto"/>
          <w:szCs w:val="24"/>
        </w:rPr>
        <w:t xml:space="preserve"> documented </w:t>
      </w:r>
      <w:r w:rsidR="00143D1F" w:rsidRPr="00297429">
        <w:rPr>
          <w:rFonts w:asciiTheme="minorHAnsi" w:hAnsiTheme="minorHAnsi"/>
          <w:color w:val="auto"/>
          <w:szCs w:val="24"/>
        </w:rPr>
        <w:t xml:space="preserve">2/10 pain, constant, burning, numb, worse when sitting down TENS provided some relief but the sympathetic blocks provided no relief.  </w:t>
      </w:r>
      <w:r w:rsidR="004E6288" w:rsidRPr="00297429">
        <w:rPr>
          <w:rFonts w:asciiTheme="minorHAnsi" w:hAnsiTheme="minorHAnsi"/>
          <w:color w:val="auto"/>
          <w:szCs w:val="24"/>
        </w:rPr>
        <w:t>There was noted r</w:t>
      </w:r>
      <w:r w:rsidR="00143D1F" w:rsidRPr="00297429">
        <w:rPr>
          <w:rFonts w:asciiTheme="minorHAnsi" w:hAnsiTheme="minorHAnsi"/>
          <w:color w:val="auto"/>
          <w:szCs w:val="24"/>
        </w:rPr>
        <w:t>edness</w:t>
      </w:r>
      <w:r w:rsidR="004E6288" w:rsidRPr="00297429">
        <w:rPr>
          <w:rFonts w:asciiTheme="minorHAnsi" w:hAnsiTheme="minorHAnsi"/>
          <w:color w:val="auto"/>
          <w:szCs w:val="24"/>
        </w:rPr>
        <w:t xml:space="preserve"> of the right ankle and foot</w:t>
      </w:r>
      <w:r w:rsidR="00143D1F" w:rsidRPr="00297429">
        <w:rPr>
          <w:rFonts w:asciiTheme="minorHAnsi" w:hAnsiTheme="minorHAnsi"/>
          <w:color w:val="auto"/>
          <w:szCs w:val="24"/>
        </w:rPr>
        <w:t xml:space="preserve"> when</w:t>
      </w:r>
      <w:r w:rsidR="004E6288" w:rsidRPr="00297429">
        <w:rPr>
          <w:rFonts w:asciiTheme="minorHAnsi" w:hAnsiTheme="minorHAnsi"/>
          <w:color w:val="auto"/>
          <w:szCs w:val="24"/>
        </w:rPr>
        <w:t xml:space="preserve"> she </w:t>
      </w:r>
      <w:r w:rsidR="00143D1F" w:rsidRPr="00297429">
        <w:rPr>
          <w:rFonts w:asciiTheme="minorHAnsi" w:hAnsiTheme="minorHAnsi"/>
          <w:color w:val="auto"/>
          <w:szCs w:val="24"/>
        </w:rPr>
        <w:t xml:space="preserve">gets out of a shower.  </w:t>
      </w:r>
      <w:r w:rsidR="004E6288" w:rsidRPr="00297429">
        <w:rPr>
          <w:rFonts w:asciiTheme="minorHAnsi" w:hAnsiTheme="minorHAnsi"/>
          <w:color w:val="auto"/>
          <w:szCs w:val="24"/>
        </w:rPr>
        <w:t>Her p</w:t>
      </w:r>
      <w:r w:rsidR="00143D1F" w:rsidRPr="00297429">
        <w:rPr>
          <w:rFonts w:asciiTheme="minorHAnsi" w:hAnsiTheme="minorHAnsi"/>
          <w:color w:val="auto"/>
          <w:szCs w:val="24"/>
        </w:rPr>
        <w:t xml:space="preserve">ain affects </w:t>
      </w:r>
      <w:r w:rsidR="006C0818">
        <w:rPr>
          <w:rFonts w:asciiTheme="minorHAnsi" w:hAnsiTheme="minorHAnsi"/>
          <w:color w:val="auto"/>
          <w:szCs w:val="24"/>
        </w:rPr>
        <w:t xml:space="preserve">activities of daily living, </w:t>
      </w:r>
      <w:r w:rsidR="009F6A6D">
        <w:rPr>
          <w:rFonts w:asciiTheme="minorHAnsi" w:hAnsiTheme="minorHAnsi"/>
          <w:color w:val="auto"/>
          <w:szCs w:val="24"/>
        </w:rPr>
        <w:t>l</w:t>
      </w:r>
      <w:r w:rsidR="00143D1F" w:rsidRPr="00297429">
        <w:rPr>
          <w:rFonts w:asciiTheme="minorHAnsi" w:hAnsiTheme="minorHAnsi"/>
          <w:color w:val="auto"/>
          <w:szCs w:val="24"/>
        </w:rPr>
        <w:t>eisure activities</w:t>
      </w:r>
      <w:r w:rsidR="004E6288" w:rsidRPr="00297429">
        <w:rPr>
          <w:rFonts w:asciiTheme="minorHAnsi" w:hAnsiTheme="minorHAnsi"/>
          <w:color w:val="auto"/>
          <w:szCs w:val="24"/>
        </w:rPr>
        <w:t>,</w:t>
      </w:r>
      <w:r w:rsidR="00143D1F" w:rsidRPr="00297429">
        <w:rPr>
          <w:rFonts w:asciiTheme="minorHAnsi" w:hAnsiTheme="minorHAnsi"/>
          <w:color w:val="auto"/>
          <w:szCs w:val="24"/>
        </w:rPr>
        <w:t xml:space="preserve"> </w:t>
      </w:r>
      <w:r w:rsidR="009F6A6D" w:rsidRPr="00E56445">
        <w:rPr>
          <w:rFonts w:asciiTheme="minorHAnsi" w:hAnsiTheme="minorHAnsi"/>
          <w:color w:val="auto"/>
          <w:szCs w:val="24"/>
        </w:rPr>
        <w:t>p</w:t>
      </w:r>
      <w:r w:rsidR="00143D1F" w:rsidRPr="00E56445">
        <w:rPr>
          <w:rFonts w:asciiTheme="minorHAnsi" w:hAnsiTheme="minorHAnsi"/>
          <w:color w:val="auto"/>
          <w:szCs w:val="24"/>
        </w:rPr>
        <w:t xml:space="preserve">hysical </w:t>
      </w:r>
      <w:r w:rsidR="009F6A6D" w:rsidRPr="00E56445">
        <w:rPr>
          <w:rFonts w:asciiTheme="minorHAnsi" w:hAnsiTheme="minorHAnsi"/>
          <w:color w:val="auto"/>
          <w:szCs w:val="24"/>
        </w:rPr>
        <w:t>a</w:t>
      </w:r>
      <w:r w:rsidR="00143D1F" w:rsidRPr="00E56445">
        <w:rPr>
          <w:rFonts w:asciiTheme="minorHAnsi" w:hAnsiTheme="minorHAnsi"/>
          <w:color w:val="auto"/>
          <w:szCs w:val="24"/>
        </w:rPr>
        <w:t xml:space="preserve">ctivity and </w:t>
      </w:r>
      <w:r w:rsidR="007746AC" w:rsidRPr="00E56445">
        <w:rPr>
          <w:rFonts w:asciiTheme="minorHAnsi" w:hAnsiTheme="minorHAnsi"/>
          <w:color w:val="auto"/>
          <w:szCs w:val="24"/>
        </w:rPr>
        <w:t>her e</w:t>
      </w:r>
      <w:r w:rsidR="00143D1F" w:rsidRPr="00E56445">
        <w:rPr>
          <w:rFonts w:asciiTheme="minorHAnsi" w:hAnsiTheme="minorHAnsi"/>
          <w:color w:val="auto"/>
          <w:szCs w:val="24"/>
        </w:rPr>
        <w:t xml:space="preserve">motions.  Radiograph healing of the medial </w:t>
      </w:r>
      <w:proofErr w:type="spellStart"/>
      <w:r w:rsidR="00143D1F" w:rsidRPr="00E56445">
        <w:rPr>
          <w:rFonts w:asciiTheme="minorHAnsi" w:hAnsiTheme="minorHAnsi"/>
          <w:color w:val="auto"/>
          <w:szCs w:val="24"/>
        </w:rPr>
        <w:t>talar</w:t>
      </w:r>
      <w:proofErr w:type="spellEnd"/>
      <w:r w:rsidR="00143D1F" w:rsidRPr="00E56445">
        <w:rPr>
          <w:rFonts w:asciiTheme="minorHAnsi" w:hAnsiTheme="minorHAnsi"/>
          <w:color w:val="auto"/>
          <w:szCs w:val="24"/>
        </w:rPr>
        <w:t xml:space="preserve"> dome</w:t>
      </w:r>
      <w:r w:rsidR="006C0818" w:rsidRPr="00E56445">
        <w:rPr>
          <w:rFonts w:asciiTheme="minorHAnsi" w:hAnsiTheme="minorHAnsi"/>
          <w:color w:val="auto"/>
          <w:szCs w:val="24"/>
        </w:rPr>
        <w:t xml:space="preserve"> </w:t>
      </w:r>
      <w:proofErr w:type="spellStart"/>
      <w:r w:rsidR="00E56445" w:rsidRPr="00E56445">
        <w:rPr>
          <w:rFonts w:asciiTheme="minorHAnsi" w:hAnsiTheme="minorHAnsi"/>
          <w:color w:val="auto"/>
          <w:szCs w:val="24"/>
        </w:rPr>
        <w:t>osteochondritis</w:t>
      </w:r>
      <w:proofErr w:type="spellEnd"/>
      <w:r w:rsidR="00E56445" w:rsidRPr="00E56445">
        <w:rPr>
          <w:rFonts w:asciiTheme="minorHAnsi" w:hAnsiTheme="minorHAnsi"/>
          <w:color w:val="auto"/>
          <w:szCs w:val="24"/>
        </w:rPr>
        <w:t xml:space="preserve"> </w:t>
      </w:r>
      <w:proofErr w:type="spellStart"/>
      <w:r w:rsidR="00E56445" w:rsidRPr="00E56445">
        <w:rPr>
          <w:rFonts w:asciiTheme="minorHAnsi" w:hAnsiTheme="minorHAnsi"/>
          <w:color w:val="auto"/>
          <w:szCs w:val="24"/>
        </w:rPr>
        <w:t>dissecans</w:t>
      </w:r>
      <w:proofErr w:type="spellEnd"/>
      <w:r w:rsidR="00E56445" w:rsidRPr="00E56445">
        <w:rPr>
          <w:rFonts w:asciiTheme="minorHAnsi" w:hAnsiTheme="minorHAnsi"/>
          <w:color w:val="auto"/>
          <w:szCs w:val="24"/>
        </w:rPr>
        <w:t xml:space="preserve"> (OCD)</w:t>
      </w:r>
      <w:r w:rsidR="00143D1F" w:rsidRPr="00E56445">
        <w:rPr>
          <w:rFonts w:asciiTheme="minorHAnsi" w:hAnsiTheme="minorHAnsi"/>
          <w:color w:val="auto"/>
          <w:szCs w:val="24"/>
        </w:rPr>
        <w:t xml:space="preserve">, evidence of prior </w:t>
      </w:r>
      <w:proofErr w:type="spellStart"/>
      <w:r w:rsidR="00143D1F" w:rsidRPr="00E56445">
        <w:rPr>
          <w:rFonts w:asciiTheme="minorHAnsi" w:hAnsiTheme="minorHAnsi"/>
          <w:color w:val="auto"/>
          <w:szCs w:val="24"/>
        </w:rPr>
        <w:t>ligamentous</w:t>
      </w:r>
      <w:proofErr w:type="spellEnd"/>
      <w:r w:rsidR="00143D1F" w:rsidRPr="00E56445">
        <w:rPr>
          <w:rFonts w:asciiTheme="minorHAnsi" w:hAnsiTheme="minorHAnsi"/>
          <w:color w:val="auto"/>
          <w:szCs w:val="24"/>
        </w:rPr>
        <w:t xml:space="preserve"> injur</w:t>
      </w:r>
      <w:r w:rsidR="008F66B1" w:rsidRPr="00E56445">
        <w:rPr>
          <w:rFonts w:asciiTheme="minorHAnsi" w:hAnsiTheme="minorHAnsi"/>
          <w:color w:val="auto"/>
          <w:szCs w:val="24"/>
        </w:rPr>
        <w:t xml:space="preserve">y of the medial ankle </w:t>
      </w:r>
      <w:proofErr w:type="spellStart"/>
      <w:r w:rsidR="008F66B1" w:rsidRPr="00E56445">
        <w:rPr>
          <w:rFonts w:asciiTheme="minorHAnsi" w:hAnsiTheme="minorHAnsi"/>
          <w:color w:val="auto"/>
          <w:szCs w:val="24"/>
        </w:rPr>
        <w:t>vs</w:t>
      </w:r>
      <w:proofErr w:type="spellEnd"/>
      <w:r w:rsidR="008F66B1" w:rsidRPr="00E56445">
        <w:rPr>
          <w:rFonts w:asciiTheme="minorHAnsi" w:hAnsiTheme="minorHAnsi"/>
          <w:color w:val="auto"/>
          <w:szCs w:val="24"/>
        </w:rPr>
        <w:t xml:space="preserve"> </w:t>
      </w:r>
      <w:proofErr w:type="spellStart"/>
      <w:r w:rsidR="008F66B1" w:rsidRPr="00E56445">
        <w:rPr>
          <w:rFonts w:asciiTheme="minorHAnsi" w:hAnsiTheme="minorHAnsi"/>
          <w:color w:val="auto"/>
          <w:szCs w:val="24"/>
        </w:rPr>
        <w:t>intra</w:t>
      </w:r>
      <w:r w:rsidR="00143D1F" w:rsidRPr="00E56445">
        <w:rPr>
          <w:rFonts w:asciiTheme="minorHAnsi" w:hAnsiTheme="minorHAnsi"/>
          <w:color w:val="auto"/>
          <w:szCs w:val="24"/>
        </w:rPr>
        <w:t>articular</w:t>
      </w:r>
      <w:proofErr w:type="spellEnd"/>
      <w:r w:rsidR="00143D1F" w:rsidRPr="00E56445">
        <w:rPr>
          <w:rFonts w:asciiTheme="minorHAnsi" w:hAnsiTheme="minorHAnsi"/>
          <w:color w:val="auto"/>
          <w:szCs w:val="24"/>
        </w:rPr>
        <w:t xml:space="preserve"> body from the OCD.</w:t>
      </w:r>
      <w:r w:rsidR="00143D1F" w:rsidRPr="00297429">
        <w:rPr>
          <w:rFonts w:asciiTheme="minorHAnsi" w:hAnsiTheme="minorHAnsi"/>
          <w:color w:val="auto"/>
          <w:szCs w:val="24"/>
        </w:rPr>
        <w:t xml:space="preserve">  Steady gait without assistance, right foot s</w:t>
      </w:r>
      <w:r w:rsidR="008F66B1">
        <w:rPr>
          <w:rFonts w:asciiTheme="minorHAnsi" w:hAnsiTheme="minorHAnsi"/>
          <w:color w:val="auto"/>
          <w:szCs w:val="24"/>
        </w:rPr>
        <w:t>lightly cooler than the left, normal</w:t>
      </w:r>
      <w:r w:rsidR="00143D1F" w:rsidRPr="00297429">
        <w:rPr>
          <w:rFonts w:asciiTheme="minorHAnsi" w:hAnsiTheme="minorHAnsi"/>
          <w:color w:val="auto"/>
          <w:szCs w:val="24"/>
        </w:rPr>
        <w:t xml:space="preserve"> strength</w:t>
      </w:r>
      <w:r w:rsidR="00297429" w:rsidRPr="00297429">
        <w:rPr>
          <w:rFonts w:asciiTheme="minorHAnsi" w:hAnsiTheme="minorHAnsi"/>
          <w:color w:val="auto"/>
          <w:szCs w:val="24"/>
        </w:rPr>
        <w:t>.</w:t>
      </w:r>
      <w:r w:rsidR="00C03040" w:rsidRPr="00297429">
        <w:rPr>
          <w:rFonts w:asciiTheme="minorHAnsi" w:hAnsiTheme="minorHAnsi"/>
          <w:color w:val="auto"/>
          <w:szCs w:val="24"/>
        </w:rPr>
        <w:t xml:space="preserve"> </w:t>
      </w:r>
      <w:r w:rsidR="00297429">
        <w:rPr>
          <w:rFonts w:asciiTheme="minorHAnsi" w:hAnsiTheme="minorHAnsi"/>
          <w:color w:val="auto"/>
          <w:szCs w:val="24"/>
        </w:rPr>
        <w:t xml:space="preserve"> The CI failed to show for a follow-up rating exam.  </w:t>
      </w:r>
    </w:p>
    <w:p w:rsidR="006C0818" w:rsidRDefault="006C0818" w:rsidP="00610052">
      <w:pPr>
        <w:tabs>
          <w:tab w:val="left" w:pos="288"/>
          <w:tab w:val="left" w:pos="4752"/>
        </w:tabs>
        <w:spacing w:line="240" w:lineRule="exact"/>
        <w:jc w:val="both"/>
        <w:rPr>
          <w:rFonts w:asciiTheme="minorHAnsi" w:hAnsiTheme="minorHAnsi"/>
          <w:color w:val="auto"/>
          <w:szCs w:val="24"/>
        </w:rPr>
      </w:pPr>
    </w:p>
    <w:p w:rsidR="00923248" w:rsidRDefault="00F3557A" w:rsidP="00610052">
      <w:pPr>
        <w:tabs>
          <w:tab w:val="left" w:pos="288"/>
          <w:tab w:val="left" w:pos="4752"/>
        </w:tabs>
        <w:spacing w:line="240" w:lineRule="exact"/>
        <w:jc w:val="both"/>
        <w:rPr>
          <w:rFonts w:asciiTheme="minorHAnsi" w:hAnsiTheme="minorHAnsi" w:cstheme="minorHAnsi"/>
          <w:color w:val="auto"/>
          <w:szCs w:val="24"/>
        </w:rPr>
      </w:pPr>
      <w:r>
        <w:rPr>
          <w:rFonts w:asciiTheme="minorHAnsi" w:hAnsiTheme="minorHAnsi"/>
          <w:color w:val="auto"/>
          <w:szCs w:val="24"/>
        </w:rPr>
        <w:t xml:space="preserve">Based on the evidence above the Board evaluated the probative value of the </w:t>
      </w:r>
      <w:r w:rsidR="00D832B3">
        <w:rPr>
          <w:rFonts w:asciiTheme="minorHAnsi" w:hAnsiTheme="minorHAnsi"/>
          <w:color w:val="auto"/>
          <w:szCs w:val="24"/>
        </w:rPr>
        <w:t xml:space="preserve">exams for rating and determined that the VA exam </w:t>
      </w:r>
      <w:r w:rsidR="00D832B3" w:rsidRPr="00D832B3">
        <w:rPr>
          <w:rFonts w:asciiTheme="minorHAnsi" w:hAnsiTheme="minorHAnsi"/>
          <w:color w:val="auto"/>
          <w:szCs w:val="24"/>
        </w:rPr>
        <w:t>two months pre</w:t>
      </w:r>
      <w:r w:rsidR="00D832B3">
        <w:rPr>
          <w:rFonts w:asciiTheme="minorHAnsi" w:hAnsiTheme="minorHAnsi"/>
          <w:color w:val="auto"/>
          <w:szCs w:val="24"/>
        </w:rPr>
        <w:t xml:space="preserve">-separation had the highest probative value.  It materially agreed with the NARSUM addendum and included goniometric ROMs.  </w:t>
      </w:r>
      <w:r w:rsidR="00297429">
        <w:rPr>
          <w:rFonts w:asciiTheme="minorHAnsi" w:hAnsiTheme="minorHAnsi"/>
          <w:color w:val="auto"/>
          <w:szCs w:val="24"/>
        </w:rPr>
        <w:t xml:space="preserve">The record consistently documented the right ankle and foot as interfering with performance of duty.  </w:t>
      </w:r>
      <w:r w:rsidR="00143D1F" w:rsidRPr="000600A4">
        <w:rPr>
          <w:rFonts w:asciiTheme="minorHAnsi" w:hAnsiTheme="minorHAnsi"/>
          <w:color w:val="auto"/>
          <w:szCs w:val="24"/>
        </w:rPr>
        <w:t xml:space="preserve">The </w:t>
      </w:r>
      <w:r w:rsidR="00923248">
        <w:rPr>
          <w:rFonts w:asciiTheme="minorHAnsi" w:hAnsiTheme="minorHAnsi"/>
          <w:color w:val="auto"/>
          <w:szCs w:val="24"/>
        </w:rPr>
        <w:t xml:space="preserve">reconsideration </w:t>
      </w:r>
      <w:r w:rsidR="00143D1F" w:rsidRPr="000600A4">
        <w:rPr>
          <w:rFonts w:asciiTheme="minorHAnsi" w:hAnsiTheme="minorHAnsi"/>
          <w:color w:val="auto"/>
          <w:szCs w:val="24"/>
        </w:rPr>
        <w:t xml:space="preserve">PEB coded the </w:t>
      </w:r>
      <w:r w:rsidR="004F662B">
        <w:rPr>
          <w:rFonts w:asciiTheme="minorHAnsi" w:hAnsiTheme="minorHAnsi" w:cstheme="minorHAnsi"/>
          <w:color w:val="auto"/>
          <w:szCs w:val="24"/>
        </w:rPr>
        <w:t>c</w:t>
      </w:r>
      <w:r w:rsidR="00143D1F" w:rsidRPr="000600A4">
        <w:rPr>
          <w:rFonts w:asciiTheme="minorHAnsi" w:hAnsiTheme="minorHAnsi" w:cstheme="minorHAnsi"/>
          <w:color w:val="auto"/>
          <w:szCs w:val="24"/>
        </w:rPr>
        <w:t xml:space="preserve">omplex </w:t>
      </w:r>
      <w:r w:rsidR="004F662B">
        <w:rPr>
          <w:rFonts w:asciiTheme="minorHAnsi" w:hAnsiTheme="minorHAnsi" w:cstheme="minorHAnsi"/>
          <w:color w:val="auto"/>
          <w:szCs w:val="24"/>
        </w:rPr>
        <w:t>r</w:t>
      </w:r>
      <w:r w:rsidR="00D62E88">
        <w:rPr>
          <w:rFonts w:asciiTheme="minorHAnsi" w:hAnsiTheme="minorHAnsi" w:cstheme="minorHAnsi"/>
          <w:color w:val="auto"/>
          <w:szCs w:val="24"/>
        </w:rPr>
        <w:t xml:space="preserve">egional </w:t>
      </w:r>
      <w:r w:rsidR="004F662B">
        <w:rPr>
          <w:rFonts w:asciiTheme="minorHAnsi" w:hAnsiTheme="minorHAnsi" w:cstheme="minorHAnsi"/>
          <w:color w:val="auto"/>
          <w:szCs w:val="24"/>
        </w:rPr>
        <w:t>pain syndrome, right l</w:t>
      </w:r>
      <w:r w:rsidR="00143D1F" w:rsidRPr="000600A4">
        <w:rPr>
          <w:rFonts w:asciiTheme="minorHAnsi" w:hAnsiTheme="minorHAnsi" w:cstheme="minorHAnsi"/>
          <w:color w:val="auto"/>
          <w:szCs w:val="24"/>
        </w:rPr>
        <w:t xml:space="preserve">ower </w:t>
      </w:r>
      <w:r w:rsidR="004F662B">
        <w:rPr>
          <w:rFonts w:asciiTheme="minorHAnsi" w:hAnsiTheme="minorHAnsi" w:cstheme="minorHAnsi"/>
          <w:color w:val="auto"/>
          <w:szCs w:val="24"/>
        </w:rPr>
        <w:t xml:space="preserve">extremity as 8799-8725 (posterior </w:t>
      </w:r>
      <w:proofErr w:type="spellStart"/>
      <w:r w:rsidR="004F662B">
        <w:rPr>
          <w:rFonts w:asciiTheme="minorHAnsi" w:hAnsiTheme="minorHAnsi" w:cstheme="minorHAnsi"/>
          <w:color w:val="auto"/>
          <w:szCs w:val="24"/>
        </w:rPr>
        <w:t>tibial</w:t>
      </w:r>
      <w:proofErr w:type="spellEnd"/>
      <w:r w:rsidR="004F662B">
        <w:rPr>
          <w:rFonts w:asciiTheme="minorHAnsi" w:hAnsiTheme="minorHAnsi" w:cstheme="minorHAnsi"/>
          <w:color w:val="auto"/>
          <w:szCs w:val="24"/>
        </w:rPr>
        <w:t xml:space="preserve"> nerve-n</w:t>
      </w:r>
      <w:r w:rsidR="00143D1F" w:rsidRPr="000811DF">
        <w:rPr>
          <w:rFonts w:asciiTheme="minorHAnsi" w:hAnsiTheme="minorHAnsi" w:cstheme="minorHAnsi"/>
          <w:color w:val="auto"/>
          <w:szCs w:val="24"/>
        </w:rPr>
        <w:t>euralgia) at 20</w:t>
      </w:r>
      <w:r w:rsidR="001335A9" w:rsidRPr="000811DF">
        <w:rPr>
          <w:rFonts w:asciiTheme="minorHAnsi" w:hAnsiTheme="minorHAnsi" w:cstheme="minorHAnsi"/>
          <w:color w:val="auto"/>
          <w:szCs w:val="24"/>
        </w:rPr>
        <w:t>%</w:t>
      </w:r>
      <w:r w:rsidR="0018764C" w:rsidRPr="000811DF">
        <w:rPr>
          <w:rFonts w:asciiTheme="minorHAnsi" w:hAnsiTheme="minorHAnsi" w:cstheme="minorHAnsi"/>
          <w:color w:val="auto"/>
          <w:szCs w:val="24"/>
        </w:rPr>
        <w:t xml:space="preserve"> </w:t>
      </w:r>
      <w:r w:rsidR="00D62E88" w:rsidRPr="000811DF">
        <w:rPr>
          <w:rFonts w:asciiTheme="minorHAnsi" w:hAnsiTheme="minorHAnsi" w:cstheme="minorHAnsi"/>
          <w:color w:val="auto"/>
          <w:szCs w:val="24"/>
        </w:rPr>
        <w:t>(</w:t>
      </w:r>
      <w:r w:rsidR="0018764C" w:rsidRPr="000811DF">
        <w:rPr>
          <w:rFonts w:asciiTheme="minorHAnsi" w:hAnsiTheme="minorHAnsi" w:cstheme="minorHAnsi"/>
          <w:color w:val="auto"/>
          <w:szCs w:val="24"/>
        </w:rPr>
        <w:t>severe impairment</w:t>
      </w:r>
      <w:r w:rsidR="00D62E88" w:rsidRPr="000811DF">
        <w:rPr>
          <w:rFonts w:asciiTheme="minorHAnsi" w:hAnsiTheme="minorHAnsi" w:cstheme="minorHAnsi"/>
          <w:color w:val="auto"/>
          <w:szCs w:val="24"/>
        </w:rPr>
        <w:t>)</w:t>
      </w:r>
      <w:r w:rsidR="001335A9" w:rsidRPr="000811DF">
        <w:rPr>
          <w:rFonts w:asciiTheme="minorHAnsi" w:hAnsiTheme="minorHAnsi" w:cstheme="minorHAnsi"/>
          <w:color w:val="auto"/>
          <w:szCs w:val="24"/>
        </w:rPr>
        <w:t xml:space="preserve">.  </w:t>
      </w:r>
      <w:r w:rsidR="004F662B">
        <w:rPr>
          <w:rFonts w:asciiTheme="minorHAnsi" w:hAnsiTheme="minorHAnsi" w:cstheme="minorHAnsi"/>
          <w:color w:val="auto"/>
          <w:szCs w:val="24"/>
        </w:rPr>
        <w:t>Complex regional pain s</w:t>
      </w:r>
      <w:r w:rsidR="00923248" w:rsidRPr="000811DF">
        <w:rPr>
          <w:rFonts w:asciiTheme="minorHAnsi" w:hAnsiTheme="minorHAnsi" w:cstheme="minorHAnsi"/>
          <w:color w:val="auto"/>
          <w:szCs w:val="24"/>
        </w:rPr>
        <w:t xml:space="preserve">yndrome </w:t>
      </w:r>
      <w:r w:rsidR="00297429" w:rsidRPr="000811DF">
        <w:rPr>
          <w:rFonts w:asciiTheme="minorHAnsi" w:hAnsiTheme="minorHAnsi" w:cstheme="minorHAnsi"/>
          <w:color w:val="auto"/>
          <w:szCs w:val="24"/>
        </w:rPr>
        <w:t xml:space="preserve">(CRPS) </w:t>
      </w:r>
      <w:r w:rsidR="00923248" w:rsidRPr="000811DF">
        <w:rPr>
          <w:rFonts w:asciiTheme="minorHAnsi" w:hAnsiTheme="minorHAnsi" w:cstheme="minorHAnsi"/>
          <w:color w:val="auto"/>
          <w:szCs w:val="24"/>
        </w:rPr>
        <w:t>was noted in the NARSUM addendum and the CI’s request for reconsideration</w:t>
      </w:r>
      <w:r w:rsidR="00297429" w:rsidRPr="000811DF">
        <w:rPr>
          <w:rFonts w:asciiTheme="minorHAnsi" w:hAnsiTheme="minorHAnsi" w:cstheme="minorHAnsi"/>
          <w:color w:val="auto"/>
          <w:szCs w:val="24"/>
        </w:rPr>
        <w:t>, which for coding, is simila</w:t>
      </w:r>
      <w:r w:rsidR="004F662B">
        <w:rPr>
          <w:rFonts w:asciiTheme="minorHAnsi" w:hAnsiTheme="minorHAnsi" w:cstheme="minorHAnsi"/>
          <w:color w:val="auto"/>
          <w:szCs w:val="24"/>
        </w:rPr>
        <w:t>r to the alternately diagnosed r</w:t>
      </w:r>
      <w:r w:rsidR="00297429" w:rsidRPr="000811DF">
        <w:rPr>
          <w:rFonts w:asciiTheme="minorHAnsi" w:hAnsiTheme="minorHAnsi" w:cstheme="minorHAnsi"/>
          <w:color w:val="auto"/>
          <w:szCs w:val="24"/>
        </w:rPr>
        <w:t>eflex sympathetic dystrophy (RSD)</w:t>
      </w:r>
      <w:r w:rsidR="00923248" w:rsidRPr="000811DF">
        <w:rPr>
          <w:rFonts w:asciiTheme="minorHAnsi" w:hAnsiTheme="minorHAnsi" w:cstheme="minorHAnsi"/>
          <w:color w:val="auto"/>
          <w:szCs w:val="24"/>
        </w:rPr>
        <w:t>.</w:t>
      </w:r>
      <w:r w:rsidR="00923248">
        <w:rPr>
          <w:rFonts w:asciiTheme="minorHAnsi" w:hAnsiTheme="minorHAnsi" w:cstheme="minorHAnsi"/>
          <w:color w:val="auto"/>
          <w:szCs w:val="24"/>
        </w:rPr>
        <w:t xml:space="preserve">  </w:t>
      </w:r>
      <w:r w:rsidR="00297429" w:rsidRPr="000600A4">
        <w:rPr>
          <w:rFonts w:asciiTheme="minorHAnsi" w:hAnsiTheme="minorHAnsi"/>
          <w:color w:val="auto"/>
          <w:szCs w:val="24"/>
        </w:rPr>
        <w:t xml:space="preserve">The VA </w:t>
      </w:r>
      <w:r w:rsidR="00297429">
        <w:rPr>
          <w:rFonts w:asciiTheme="minorHAnsi" w:hAnsiTheme="minorHAnsi"/>
          <w:color w:val="auto"/>
          <w:szCs w:val="24"/>
        </w:rPr>
        <w:t xml:space="preserve">used a temporary pre-stabilization rating that is not applicable to permanent </w:t>
      </w:r>
      <w:proofErr w:type="spellStart"/>
      <w:proofErr w:type="gramStart"/>
      <w:r w:rsidR="00297429">
        <w:rPr>
          <w:rFonts w:asciiTheme="minorHAnsi" w:hAnsiTheme="minorHAnsi"/>
          <w:color w:val="auto"/>
          <w:szCs w:val="24"/>
        </w:rPr>
        <w:t>DoD</w:t>
      </w:r>
      <w:proofErr w:type="spellEnd"/>
      <w:proofErr w:type="gramEnd"/>
      <w:r w:rsidR="00297429">
        <w:rPr>
          <w:rFonts w:asciiTheme="minorHAnsi" w:hAnsiTheme="minorHAnsi"/>
          <w:color w:val="auto"/>
          <w:szCs w:val="24"/>
        </w:rPr>
        <w:t xml:space="preserve"> </w:t>
      </w:r>
      <w:r w:rsidR="00610052">
        <w:rPr>
          <w:rFonts w:asciiTheme="minorHAnsi" w:hAnsiTheme="minorHAnsi"/>
          <w:color w:val="auto"/>
          <w:szCs w:val="24"/>
        </w:rPr>
        <w:t xml:space="preserve">disability </w:t>
      </w:r>
      <w:r w:rsidR="00297429">
        <w:rPr>
          <w:rFonts w:asciiTheme="minorHAnsi" w:hAnsiTheme="minorHAnsi"/>
          <w:color w:val="auto"/>
          <w:szCs w:val="24"/>
        </w:rPr>
        <w:t>ratings</w:t>
      </w:r>
      <w:r w:rsidR="00297429" w:rsidRPr="000600A4">
        <w:rPr>
          <w:rFonts w:asciiTheme="minorHAnsi" w:hAnsiTheme="minorHAnsi"/>
          <w:color w:val="auto"/>
          <w:szCs w:val="24"/>
        </w:rPr>
        <w:t>.</w:t>
      </w:r>
      <w:r w:rsidR="00297429">
        <w:rPr>
          <w:rFonts w:asciiTheme="minorHAnsi" w:hAnsiTheme="minorHAnsi"/>
          <w:color w:val="auto"/>
          <w:szCs w:val="24"/>
        </w:rPr>
        <w:t xml:space="preserve">  </w:t>
      </w:r>
      <w:r w:rsidR="00610052">
        <w:rPr>
          <w:rFonts w:asciiTheme="minorHAnsi" w:hAnsiTheme="minorHAnsi"/>
          <w:color w:val="auto"/>
          <w:szCs w:val="24"/>
        </w:rPr>
        <w:t>The Board’s scope prohibits a temporar</w:t>
      </w:r>
      <w:r w:rsidR="004F662B">
        <w:rPr>
          <w:rFonts w:asciiTheme="minorHAnsi" w:hAnsiTheme="minorHAnsi"/>
          <w:color w:val="auto"/>
          <w:szCs w:val="24"/>
        </w:rPr>
        <w:t>y rating with placement on the temporary duty retirement l</w:t>
      </w:r>
      <w:r w:rsidR="00610052">
        <w:rPr>
          <w:rFonts w:asciiTheme="minorHAnsi" w:hAnsiTheme="minorHAnsi"/>
          <w:color w:val="auto"/>
          <w:szCs w:val="24"/>
        </w:rPr>
        <w:t>ist (TDRL), and the Board must make a permanent separation rating recommendation.</w:t>
      </w:r>
    </w:p>
    <w:p w:rsidR="00923248" w:rsidRDefault="00923248" w:rsidP="005D541A">
      <w:pPr>
        <w:tabs>
          <w:tab w:val="left" w:pos="288"/>
          <w:tab w:val="left" w:pos="4752"/>
        </w:tabs>
        <w:spacing w:line="240" w:lineRule="exact"/>
        <w:rPr>
          <w:rFonts w:asciiTheme="minorHAnsi" w:hAnsiTheme="minorHAnsi" w:cstheme="minorHAnsi"/>
          <w:color w:val="auto"/>
          <w:szCs w:val="24"/>
        </w:rPr>
      </w:pPr>
    </w:p>
    <w:p w:rsidR="00610052" w:rsidRDefault="00B24F1A" w:rsidP="007448F7">
      <w:pPr>
        <w:tabs>
          <w:tab w:val="left" w:pos="288"/>
          <w:tab w:val="left" w:pos="4752"/>
        </w:tabs>
        <w:spacing w:line="240" w:lineRule="exact"/>
        <w:jc w:val="both"/>
        <w:rPr>
          <w:rFonts w:asciiTheme="minorHAnsi" w:hAnsiTheme="minorHAnsi" w:cstheme="minorHAnsi"/>
          <w:color w:val="auto"/>
          <w:szCs w:val="24"/>
        </w:rPr>
      </w:pPr>
      <w:r w:rsidRPr="000811DF">
        <w:rPr>
          <w:rFonts w:asciiTheme="minorHAnsi" w:hAnsiTheme="minorHAnsi" w:cstheme="minorHAnsi"/>
          <w:color w:val="auto"/>
          <w:szCs w:val="24"/>
        </w:rPr>
        <w:t xml:space="preserve">The </w:t>
      </w:r>
      <w:r w:rsidR="00E6413A" w:rsidRPr="000811DF">
        <w:rPr>
          <w:rFonts w:asciiTheme="minorHAnsi" w:hAnsiTheme="minorHAnsi" w:cstheme="minorHAnsi"/>
          <w:color w:val="auto"/>
          <w:szCs w:val="24"/>
        </w:rPr>
        <w:t>Board must also</w:t>
      </w:r>
      <w:r w:rsidRPr="000811DF">
        <w:rPr>
          <w:rFonts w:asciiTheme="minorHAnsi" w:hAnsiTheme="minorHAnsi" w:cstheme="minorHAnsi"/>
          <w:color w:val="auto"/>
          <w:szCs w:val="24"/>
        </w:rPr>
        <w:t xml:space="preserve"> consider if the </w:t>
      </w:r>
      <w:r w:rsidR="00610052" w:rsidRPr="000811DF">
        <w:rPr>
          <w:rFonts w:asciiTheme="minorHAnsi" w:hAnsiTheme="minorHAnsi" w:cstheme="minorHAnsi"/>
          <w:color w:val="auto"/>
          <w:szCs w:val="24"/>
        </w:rPr>
        <w:t xml:space="preserve">PEB </w:t>
      </w:r>
      <w:r w:rsidR="004F662B">
        <w:rPr>
          <w:rFonts w:asciiTheme="minorHAnsi" w:hAnsiTheme="minorHAnsi" w:cstheme="minorHAnsi"/>
          <w:color w:val="auto"/>
          <w:szCs w:val="24"/>
        </w:rPr>
        <w:t>c</w:t>
      </w:r>
      <w:r w:rsidR="00923248" w:rsidRPr="000811DF">
        <w:rPr>
          <w:rFonts w:asciiTheme="minorHAnsi" w:hAnsiTheme="minorHAnsi" w:cstheme="minorHAnsi"/>
          <w:color w:val="auto"/>
          <w:szCs w:val="24"/>
        </w:rPr>
        <w:t xml:space="preserve">ategory II </w:t>
      </w:r>
      <w:r w:rsidR="00610052" w:rsidRPr="000811DF">
        <w:rPr>
          <w:rFonts w:asciiTheme="minorHAnsi" w:hAnsiTheme="minorHAnsi" w:cstheme="minorHAnsi"/>
          <w:color w:val="auto"/>
          <w:szCs w:val="24"/>
        </w:rPr>
        <w:t xml:space="preserve">conditions </w:t>
      </w:r>
      <w:r w:rsidRPr="000811DF">
        <w:rPr>
          <w:rFonts w:asciiTheme="minorHAnsi" w:hAnsiTheme="minorHAnsi" w:cstheme="minorHAnsi"/>
          <w:color w:val="auto"/>
          <w:szCs w:val="24"/>
        </w:rPr>
        <w:t xml:space="preserve">are </w:t>
      </w:r>
      <w:r w:rsidR="001335A9" w:rsidRPr="000811DF">
        <w:rPr>
          <w:rFonts w:asciiTheme="minorHAnsi" w:hAnsiTheme="minorHAnsi" w:cstheme="minorHAnsi"/>
          <w:color w:val="auto"/>
          <w:szCs w:val="24"/>
        </w:rPr>
        <w:t xml:space="preserve">separately </w:t>
      </w:r>
      <w:r w:rsidRPr="000811DF">
        <w:rPr>
          <w:rFonts w:asciiTheme="minorHAnsi" w:hAnsiTheme="minorHAnsi" w:cstheme="minorHAnsi"/>
          <w:color w:val="auto"/>
          <w:szCs w:val="24"/>
        </w:rPr>
        <w:t>unfitting</w:t>
      </w:r>
      <w:r w:rsidR="00D10724" w:rsidRPr="000811DF">
        <w:rPr>
          <w:rFonts w:asciiTheme="minorHAnsi" w:hAnsiTheme="minorHAnsi" w:cstheme="minorHAnsi"/>
          <w:color w:val="auto"/>
          <w:szCs w:val="24"/>
        </w:rPr>
        <w:t>, or unfitting when combined with the primary unfitting condition to the extent that they are separately ratable</w:t>
      </w:r>
      <w:r w:rsidRPr="000811DF">
        <w:rPr>
          <w:rFonts w:asciiTheme="minorHAnsi" w:hAnsiTheme="minorHAnsi" w:cstheme="minorHAnsi"/>
          <w:color w:val="auto"/>
          <w:szCs w:val="24"/>
        </w:rPr>
        <w:t>.</w:t>
      </w:r>
      <w:r w:rsidR="004F662B">
        <w:rPr>
          <w:rFonts w:asciiTheme="minorHAnsi" w:hAnsiTheme="minorHAnsi" w:cstheme="minorHAnsi"/>
          <w:color w:val="auto"/>
          <w:szCs w:val="24"/>
        </w:rPr>
        <w:t xml:space="preserve">  The first c</w:t>
      </w:r>
      <w:r w:rsidRPr="000600A4">
        <w:rPr>
          <w:rFonts w:asciiTheme="minorHAnsi" w:hAnsiTheme="minorHAnsi" w:cstheme="minorHAnsi"/>
          <w:color w:val="auto"/>
          <w:szCs w:val="24"/>
        </w:rPr>
        <w:t>ategory II condition</w:t>
      </w:r>
      <w:r w:rsidR="001335A9" w:rsidRPr="000600A4">
        <w:rPr>
          <w:rFonts w:asciiTheme="minorHAnsi" w:hAnsiTheme="minorHAnsi" w:cstheme="minorHAnsi"/>
          <w:color w:val="auto"/>
          <w:szCs w:val="24"/>
        </w:rPr>
        <w:t xml:space="preserve"> to be considered was</w:t>
      </w:r>
      <w:r w:rsidR="004F662B">
        <w:rPr>
          <w:rFonts w:asciiTheme="minorHAnsi" w:hAnsiTheme="minorHAnsi" w:cstheme="minorHAnsi"/>
          <w:color w:val="auto"/>
          <w:szCs w:val="24"/>
        </w:rPr>
        <w:t xml:space="preserve"> n</w:t>
      </w:r>
      <w:r w:rsidRPr="000600A4">
        <w:rPr>
          <w:rFonts w:asciiTheme="minorHAnsi" w:hAnsiTheme="minorHAnsi" w:cstheme="minorHAnsi"/>
          <w:color w:val="auto"/>
          <w:szCs w:val="24"/>
        </w:rPr>
        <w:t>umbness and nerve pain in the toes and decreased sensation in the medial aspect of foot</w:t>
      </w:r>
      <w:r w:rsidR="00610052">
        <w:rPr>
          <w:rFonts w:asciiTheme="minorHAnsi" w:hAnsiTheme="minorHAnsi" w:cstheme="minorHAnsi"/>
          <w:color w:val="auto"/>
          <w:szCs w:val="24"/>
        </w:rPr>
        <w:t xml:space="preserve">.  </w:t>
      </w:r>
      <w:r w:rsidR="00D832B3">
        <w:rPr>
          <w:rFonts w:asciiTheme="minorHAnsi" w:hAnsiTheme="minorHAnsi" w:cstheme="minorHAnsi"/>
          <w:color w:val="auto"/>
          <w:szCs w:val="24"/>
        </w:rPr>
        <w:t xml:space="preserve">Any symptoms or disability from this diagnosis are </w:t>
      </w:r>
      <w:r w:rsidR="00D10724">
        <w:rPr>
          <w:rFonts w:asciiTheme="minorHAnsi" w:hAnsiTheme="minorHAnsi" w:cstheme="minorHAnsi"/>
          <w:color w:val="auto"/>
          <w:szCs w:val="24"/>
        </w:rPr>
        <w:t xml:space="preserve">considered </w:t>
      </w:r>
      <w:r w:rsidR="00D832B3">
        <w:rPr>
          <w:rFonts w:asciiTheme="minorHAnsi" w:hAnsiTheme="minorHAnsi" w:cstheme="minorHAnsi"/>
          <w:color w:val="auto"/>
          <w:szCs w:val="24"/>
        </w:rPr>
        <w:t xml:space="preserve">with any rating under IAW </w:t>
      </w:r>
      <w:r w:rsidR="004F662B">
        <w:rPr>
          <w:rFonts w:asciiTheme="minorHAnsi" w:hAnsiTheme="minorHAnsi" w:cstheme="minorHAnsi"/>
          <w:color w:val="auto"/>
          <w:szCs w:val="24"/>
        </w:rPr>
        <w:t>§4.124a—s</w:t>
      </w:r>
      <w:r w:rsidR="00D832B3" w:rsidRPr="00D10724">
        <w:rPr>
          <w:rFonts w:asciiTheme="minorHAnsi" w:hAnsiTheme="minorHAnsi" w:cstheme="minorHAnsi"/>
          <w:color w:val="auto"/>
          <w:szCs w:val="24"/>
        </w:rPr>
        <w:t>chedule of ratings–neurological conditions and convulsive disorders</w:t>
      </w:r>
      <w:r w:rsidR="007448F7">
        <w:rPr>
          <w:rFonts w:asciiTheme="minorHAnsi" w:hAnsiTheme="minorHAnsi" w:cstheme="minorHAnsi"/>
          <w:color w:val="auto"/>
          <w:szCs w:val="24"/>
        </w:rPr>
        <w:t xml:space="preserve"> (the </w:t>
      </w:r>
      <w:r w:rsidR="00D10724">
        <w:rPr>
          <w:rFonts w:asciiTheme="minorHAnsi" w:hAnsiTheme="minorHAnsi" w:cstheme="minorHAnsi"/>
          <w:color w:val="auto"/>
          <w:szCs w:val="24"/>
        </w:rPr>
        <w:t xml:space="preserve">primary unfitting condition </w:t>
      </w:r>
      <w:r w:rsidR="004F662B">
        <w:rPr>
          <w:rFonts w:asciiTheme="minorHAnsi" w:hAnsiTheme="minorHAnsi" w:cstheme="minorHAnsi"/>
          <w:color w:val="auto"/>
          <w:szCs w:val="24"/>
        </w:rPr>
        <w:t xml:space="preserve">coded by the reconsideration </w:t>
      </w:r>
      <w:r w:rsidR="00D832B3">
        <w:rPr>
          <w:rFonts w:asciiTheme="minorHAnsi" w:hAnsiTheme="minorHAnsi" w:cstheme="minorHAnsi"/>
          <w:color w:val="auto"/>
          <w:szCs w:val="24"/>
        </w:rPr>
        <w:t>PEB</w:t>
      </w:r>
      <w:r w:rsidR="007448F7">
        <w:rPr>
          <w:rFonts w:asciiTheme="minorHAnsi" w:hAnsiTheme="minorHAnsi" w:cstheme="minorHAnsi"/>
          <w:color w:val="auto"/>
          <w:szCs w:val="24"/>
        </w:rPr>
        <w:t xml:space="preserve"> used the </w:t>
      </w:r>
      <w:r w:rsidR="00D10724" w:rsidRPr="00D10724">
        <w:rPr>
          <w:rFonts w:asciiTheme="minorHAnsi" w:hAnsiTheme="minorHAnsi" w:cstheme="minorHAnsi"/>
          <w:color w:val="auto"/>
          <w:szCs w:val="24"/>
        </w:rPr>
        <w:t>§4.124a</w:t>
      </w:r>
      <w:r w:rsidR="007448F7">
        <w:rPr>
          <w:rFonts w:asciiTheme="minorHAnsi" w:hAnsiTheme="minorHAnsi" w:cstheme="minorHAnsi"/>
          <w:color w:val="auto"/>
          <w:szCs w:val="24"/>
        </w:rPr>
        <w:t xml:space="preserve"> schedule)</w:t>
      </w:r>
      <w:r w:rsidR="001335A9" w:rsidRPr="000600A4">
        <w:rPr>
          <w:rFonts w:asciiTheme="minorHAnsi" w:hAnsiTheme="minorHAnsi" w:cstheme="minorHAnsi"/>
          <w:color w:val="auto"/>
          <w:szCs w:val="24"/>
        </w:rPr>
        <w:t xml:space="preserve">.  </w:t>
      </w:r>
      <w:r w:rsidR="001335A9">
        <w:rPr>
          <w:rFonts w:asciiTheme="minorHAnsi" w:hAnsiTheme="minorHAnsi"/>
          <w:color w:val="auto"/>
          <w:szCs w:val="24"/>
        </w:rPr>
        <w:t xml:space="preserve">The remaining </w:t>
      </w:r>
      <w:r w:rsidR="00D10724">
        <w:rPr>
          <w:rFonts w:asciiTheme="minorHAnsi" w:hAnsiTheme="minorHAnsi"/>
          <w:color w:val="auto"/>
          <w:szCs w:val="24"/>
        </w:rPr>
        <w:t xml:space="preserve">three </w:t>
      </w:r>
      <w:r w:rsidR="004F662B">
        <w:rPr>
          <w:rFonts w:asciiTheme="minorHAnsi" w:hAnsiTheme="minorHAnsi"/>
          <w:color w:val="auto"/>
          <w:szCs w:val="24"/>
        </w:rPr>
        <w:t>c</w:t>
      </w:r>
      <w:r w:rsidR="001335A9">
        <w:rPr>
          <w:rFonts w:asciiTheme="minorHAnsi" w:hAnsiTheme="minorHAnsi"/>
          <w:color w:val="auto"/>
          <w:szCs w:val="24"/>
        </w:rPr>
        <w:t>ategory II conditions;</w:t>
      </w:r>
      <w:r w:rsidR="001335A9" w:rsidRPr="001335A9">
        <w:rPr>
          <w:rFonts w:asciiTheme="minorHAnsi" w:hAnsiTheme="minorHAnsi" w:cstheme="minorHAnsi"/>
          <w:color w:val="auto"/>
          <w:szCs w:val="24"/>
        </w:rPr>
        <w:t xml:space="preserve"> </w:t>
      </w:r>
      <w:r w:rsidR="004F662B">
        <w:rPr>
          <w:rFonts w:asciiTheme="minorHAnsi" w:hAnsiTheme="minorHAnsi" w:cstheme="minorHAnsi"/>
          <w:color w:val="auto"/>
          <w:szCs w:val="24"/>
        </w:rPr>
        <w:t xml:space="preserve">posterior </w:t>
      </w:r>
      <w:proofErr w:type="spellStart"/>
      <w:r w:rsidR="004F662B">
        <w:rPr>
          <w:rFonts w:asciiTheme="minorHAnsi" w:hAnsiTheme="minorHAnsi" w:cstheme="minorHAnsi"/>
          <w:color w:val="auto"/>
          <w:szCs w:val="24"/>
        </w:rPr>
        <w:t>tibialis</w:t>
      </w:r>
      <w:proofErr w:type="spellEnd"/>
      <w:r w:rsidR="004F662B">
        <w:rPr>
          <w:rFonts w:asciiTheme="minorHAnsi" w:hAnsiTheme="minorHAnsi" w:cstheme="minorHAnsi"/>
          <w:color w:val="auto"/>
          <w:szCs w:val="24"/>
        </w:rPr>
        <w:t xml:space="preserve"> tendon dysfunction and </w:t>
      </w:r>
      <w:proofErr w:type="spellStart"/>
      <w:r w:rsidR="004F662B">
        <w:rPr>
          <w:rFonts w:asciiTheme="minorHAnsi" w:hAnsiTheme="minorHAnsi" w:cstheme="minorHAnsi"/>
          <w:color w:val="auto"/>
          <w:szCs w:val="24"/>
        </w:rPr>
        <w:t>pes</w:t>
      </w:r>
      <w:proofErr w:type="spellEnd"/>
      <w:r w:rsidR="004F662B">
        <w:rPr>
          <w:rFonts w:asciiTheme="minorHAnsi" w:hAnsiTheme="minorHAnsi" w:cstheme="minorHAnsi"/>
          <w:color w:val="auto"/>
          <w:szCs w:val="24"/>
        </w:rPr>
        <w:t xml:space="preserve"> </w:t>
      </w:r>
      <w:proofErr w:type="spellStart"/>
      <w:r w:rsidR="004F662B">
        <w:rPr>
          <w:rFonts w:asciiTheme="minorHAnsi" w:hAnsiTheme="minorHAnsi" w:cstheme="minorHAnsi"/>
          <w:color w:val="auto"/>
          <w:szCs w:val="24"/>
        </w:rPr>
        <w:t>planus</w:t>
      </w:r>
      <w:proofErr w:type="spellEnd"/>
      <w:r w:rsidR="004F662B">
        <w:rPr>
          <w:rFonts w:asciiTheme="minorHAnsi" w:hAnsiTheme="minorHAnsi" w:cstheme="minorHAnsi"/>
          <w:color w:val="auto"/>
          <w:szCs w:val="24"/>
        </w:rPr>
        <w:t>; a</w:t>
      </w:r>
      <w:r w:rsidR="001335A9">
        <w:rPr>
          <w:rFonts w:asciiTheme="minorHAnsi" w:hAnsiTheme="minorHAnsi" w:cstheme="minorHAnsi"/>
          <w:color w:val="auto"/>
          <w:szCs w:val="24"/>
        </w:rPr>
        <w:t xml:space="preserve">nkle </w:t>
      </w:r>
      <w:r w:rsidR="004F662B">
        <w:rPr>
          <w:rFonts w:asciiTheme="minorHAnsi" w:hAnsiTheme="minorHAnsi" w:cstheme="minorHAnsi"/>
          <w:color w:val="auto"/>
          <w:szCs w:val="24"/>
        </w:rPr>
        <w:t>t</w:t>
      </w:r>
      <w:r w:rsidR="001335A9">
        <w:rPr>
          <w:rFonts w:asciiTheme="minorHAnsi" w:hAnsiTheme="minorHAnsi" w:cstheme="minorHAnsi"/>
          <w:color w:val="auto"/>
          <w:szCs w:val="24"/>
        </w:rPr>
        <w:t>al</w:t>
      </w:r>
      <w:r w:rsidR="001335A9" w:rsidRPr="000811DF">
        <w:rPr>
          <w:rFonts w:asciiTheme="minorHAnsi" w:hAnsiTheme="minorHAnsi" w:cstheme="minorHAnsi"/>
          <w:color w:val="auto"/>
          <w:szCs w:val="24"/>
        </w:rPr>
        <w:t xml:space="preserve">us </w:t>
      </w:r>
      <w:proofErr w:type="spellStart"/>
      <w:r w:rsidR="004F662B">
        <w:rPr>
          <w:rFonts w:asciiTheme="minorHAnsi" w:hAnsiTheme="minorHAnsi" w:cstheme="minorHAnsi"/>
          <w:color w:val="auto"/>
          <w:szCs w:val="24"/>
        </w:rPr>
        <w:t>osteochondral</w:t>
      </w:r>
      <w:proofErr w:type="spellEnd"/>
      <w:r w:rsidR="004F662B">
        <w:rPr>
          <w:rFonts w:asciiTheme="minorHAnsi" w:hAnsiTheme="minorHAnsi" w:cstheme="minorHAnsi"/>
          <w:color w:val="auto"/>
          <w:szCs w:val="24"/>
        </w:rPr>
        <w:t xml:space="preserve"> lesion s</w:t>
      </w:r>
      <w:r w:rsidR="001335A9" w:rsidRPr="000811DF">
        <w:rPr>
          <w:rFonts w:asciiTheme="minorHAnsi" w:hAnsiTheme="minorHAnsi" w:cstheme="minorHAnsi"/>
          <w:color w:val="auto"/>
          <w:szCs w:val="24"/>
        </w:rPr>
        <w:t xml:space="preserve">tatus </w:t>
      </w:r>
      <w:r w:rsidR="004F662B">
        <w:rPr>
          <w:rFonts w:asciiTheme="minorHAnsi" w:hAnsiTheme="minorHAnsi" w:cstheme="minorHAnsi"/>
          <w:color w:val="auto"/>
          <w:szCs w:val="24"/>
        </w:rPr>
        <w:t>post two m</w:t>
      </w:r>
      <w:r w:rsidR="001335A9" w:rsidRPr="000811DF">
        <w:rPr>
          <w:rFonts w:asciiTheme="minorHAnsi" w:hAnsiTheme="minorHAnsi" w:cstheme="minorHAnsi"/>
          <w:color w:val="auto"/>
          <w:szCs w:val="24"/>
        </w:rPr>
        <w:t>icro fractures</w:t>
      </w:r>
      <w:r w:rsidR="00610052" w:rsidRPr="000811DF">
        <w:rPr>
          <w:rFonts w:asciiTheme="minorHAnsi" w:hAnsiTheme="minorHAnsi" w:cstheme="minorHAnsi"/>
          <w:color w:val="auto"/>
          <w:szCs w:val="24"/>
        </w:rPr>
        <w:t>;</w:t>
      </w:r>
      <w:r w:rsidR="004F662B">
        <w:rPr>
          <w:rFonts w:asciiTheme="minorHAnsi" w:hAnsiTheme="minorHAnsi" w:cstheme="minorHAnsi"/>
          <w:color w:val="auto"/>
          <w:szCs w:val="24"/>
        </w:rPr>
        <w:t xml:space="preserve"> and tight </w:t>
      </w:r>
      <w:proofErr w:type="spellStart"/>
      <w:r w:rsidR="004F662B">
        <w:rPr>
          <w:rFonts w:asciiTheme="minorHAnsi" w:hAnsiTheme="minorHAnsi" w:cstheme="minorHAnsi"/>
          <w:color w:val="auto"/>
          <w:szCs w:val="24"/>
        </w:rPr>
        <w:t>gastrocnemius</w:t>
      </w:r>
      <w:proofErr w:type="spellEnd"/>
      <w:r w:rsidR="004F662B">
        <w:rPr>
          <w:rFonts w:asciiTheme="minorHAnsi" w:hAnsiTheme="minorHAnsi" w:cstheme="minorHAnsi"/>
          <w:color w:val="auto"/>
          <w:szCs w:val="24"/>
        </w:rPr>
        <w:t xml:space="preserve"> status post r</w:t>
      </w:r>
      <w:r w:rsidR="001335A9" w:rsidRPr="000811DF">
        <w:rPr>
          <w:rFonts w:asciiTheme="minorHAnsi" w:hAnsiTheme="minorHAnsi" w:cstheme="minorHAnsi"/>
          <w:color w:val="auto"/>
          <w:szCs w:val="24"/>
        </w:rPr>
        <w:t xml:space="preserve">esection </w:t>
      </w:r>
      <w:r w:rsidR="00610052" w:rsidRPr="000811DF">
        <w:rPr>
          <w:rFonts w:asciiTheme="minorHAnsi" w:hAnsiTheme="minorHAnsi" w:cstheme="minorHAnsi"/>
          <w:color w:val="auto"/>
          <w:szCs w:val="24"/>
        </w:rPr>
        <w:t xml:space="preserve">combined reflected </w:t>
      </w:r>
      <w:r w:rsidR="005D541A" w:rsidRPr="000811DF">
        <w:rPr>
          <w:rFonts w:asciiTheme="minorHAnsi" w:hAnsiTheme="minorHAnsi" w:cstheme="minorHAnsi"/>
          <w:color w:val="auto"/>
          <w:szCs w:val="24"/>
        </w:rPr>
        <w:t>a</w:t>
      </w:r>
      <w:r w:rsidR="001335A9" w:rsidRPr="000811DF">
        <w:rPr>
          <w:rFonts w:asciiTheme="minorHAnsi" w:hAnsiTheme="minorHAnsi" w:cstheme="minorHAnsi"/>
          <w:color w:val="auto"/>
          <w:szCs w:val="24"/>
        </w:rPr>
        <w:t xml:space="preserve"> right ankle impairment from a right ankle injury</w:t>
      </w:r>
      <w:r w:rsidR="00610052" w:rsidRPr="000811DF">
        <w:rPr>
          <w:rFonts w:asciiTheme="minorHAnsi" w:hAnsiTheme="minorHAnsi" w:cstheme="minorHAnsi"/>
          <w:color w:val="auto"/>
          <w:szCs w:val="24"/>
        </w:rPr>
        <w:t xml:space="preserve"> and surgeries.  </w:t>
      </w:r>
      <w:r w:rsidR="00BF21C7" w:rsidRPr="000811DF">
        <w:rPr>
          <w:rFonts w:asciiTheme="minorHAnsi" w:hAnsiTheme="minorHAnsi" w:cstheme="minorHAnsi"/>
          <w:color w:val="auto"/>
          <w:szCs w:val="24"/>
        </w:rPr>
        <w:t xml:space="preserve">The PEB worksheet (JDETS) specifically addressed the avoidance of pyramiding in adjudicating the </w:t>
      </w:r>
      <w:proofErr w:type="spellStart"/>
      <w:r w:rsidR="00BF21C7" w:rsidRPr="000811DF">
        <w:rPr>
          <w:rFonts w:asciiTheme="minorHAnsi" w:hAnsiTheme="minorHAnsi" w:cstheme="minorHAnsi"/>
          <w:color w:val="auto"/>
          <w:szCs w:val="24"/>
        </w:rPr>
        <w:t>osteochondral</w:t>
      </w:r>
      <w:proofErr w:type="spellEnd"/>
      <w:r w:rsidR="00BF21C7" w:rsidRPr="000811DF">
        <w:rPr>
          <w:rFonts w:asciiTheme="minorHAnsi" w:hAnsiTheme="minorHAnsi" w:cstheme="minorHAnsi"/>
          <w:color w:val="auto"/>
          <w:szCs w:val="24"/>
        </w:rPr>
        <w:t xml:space="preserve"> (ankle bones) as category II and not separately ratable.  </w:t>
      </w:r>
      <w:r w:rsidR="00610052" w:rsidRPr="000811DF">
        <w:rPr>
          <w:rFonts w:asciiTheme="minorHAnsi" w:hAnsiTheme="minorHAnsi" w:cstheme="minorHAnsi"/>
          <w:color w:val="auto"/>
          <w:szCs w:val="24"/>
        </w:rPr>
        <w:t>These</w:t>
      </w:r>
      <w:r w:rsidR="00610052" w:rsidRPr="00506222">
        <w:rPr>
          <w:rFonts w:asciiTheme="minorHAnsi" w:hAnsiTheme="minorHAnsi" w:cstheme="minorHAnsi"/>
          <w:color w:val="auto"/>
          <w:szCs w:val="24"/>
        </w:rPr>
        <w:t xml:space="preserve"> </w:t>
      </w:r>
      <w:r w:rsidR="00BF21C7">
        <w:rPr>
          <w:rFonts w:asciiTheme="minorHAnsi" w:hAnsiTheme="minorHAnsi" w:cstheme="minorHAnsi"/>
          <w:color w:val="auto"/>
          <w:szCs w:val="24"/>
        </w:rPr>
        <w:t xml:space="preserve">conditions </w:t>
      </w:r>
      <w:r w:rsidR="00610052" w:rsidRPr="00506222">
        <w:rPr>
          <w:rFonts w:asciiTheme="minorHAnsi" w:hAnsiTheme="minorHAnsi" w:cstheme="minorHAnsi"/>
          <w:color w:val="auto"/>
          <w:szCs w:val="24"/>
        </w:rPr>
        <w:t xml:space="preserve">were not neurologic injuries and were not considered under §4.124a </w:t>
      </w:r>
      <w:r w:rsidR="00BF21C7">
        <w:rPr>
          <w:rFonts w:asciiTheme="minorHAnsi" w:hAnsiTheme="minorHAnsi" w:cstheme="minorHAnsi"/>
          <w:color w:val="auto"/>
          <w:szCs w:val="24"/>
        </w:rPr>
        <w:t xml:space="preserve">(nerve) </w:t>
      </w:r>
      <w:r w:rsidR="00610052" w:rsidRPr="00506222">
        <w:rPr>
          <w:rFonts w:asciiTheme="minorHAnsi" w:hAnsiTheme="minorHAnsi" w:cstheme="minorHAnsi"/>
          <w:color w:val="auto"/>
          <w:szCs w:val="24"/>
        </w:rPr>
        <w:t>coding</w:t>
      </w:r>
      <w:r w:rsidR="00BF21C7">
        <w:rPr>
          <w:rFonts w:asciiTheme="minorHAnsi" w:hAnsiTheme="minorHAnsi" w:cstheme="minorHAnsi"/>
          <w:color w:val="auto"/>
          <w:szCs w:val="24"/>
        </w:rPr>
        <w:t>/rating</w:t>
      </w:r>
      <w:r w:rsidR="001335A9" w:rsidRPr="00506222">
        <w:rPr>
          <w:rFonts w:asciiTheme="minorHAnsi" w:hAnsiTheme="minorHAnsi" w:cstheme="minorHAnsi"/>
          <w:color w:val="auto"/>
          <w:szCs w:val="24"/>
        </w:rPr>
        <w:t xml:space="preserve">.  </w:t>
      </w:r>
      <w:r w:rsidR="00610052" w:rsidRPr="00506222">
        <w:rPr>
          <w:rFonts w:asciiTheme="minorHAnsi" w:hAnsiTheme="minorHAnsi" w:cstheme="minorHAnsi"/>
          <w:color w:val="auto"/>
          <w:szCs w:val="24"/>
        </w:rPr>
        <w:t>The Board deliberated if the limited motion of the ankle, absent the pain considered in the neurologic condition rating (CRPS or RSD) were to the level of being unfitting</w:t>
      </w:r>
      <w:r w:rsidR="00506222" w:rsidRPr="00506222">
        <w:rPr>
          <w:rFonts w:asciiTheme="minorHAnsi" w:hAnsiTheme="minorHAnsi" w:cstheme="minorHAnsi"/>
          <w:color w:val="auto"/>
          <w:szCs w:val="24"/>
        </w:rPr>
        <w:t xml:space="preserve">.  </w:t>
      </w:r>
      <w:r w:rsidR="001335A9" w:rsidRPr="00506222">
        <w:rPr>
          <w:rFonts w:asciiTheme="minorHAnsi" w:hAnsiTheme="minorHAnsi" w:cstheme="minorHAnsi"/>
          <w:color w:val="auto"/>
          <w:szCs w:val="24"/>
        </w:rPr>
        <w:t>Right ankle injury was documented in the LIM</w:t>
      </w:r>
      <w:r w:rsidR="001335A9">
        <w:rPr>
          <w:rFonts w:asciiTheme="minorHAnsi" w:hAnsiTheme="minorHAnsi" w:cstheme="minorHAnsi"/>
          <w:color w:val="auto"/>
          <w:szCs w:val="24"/>
        </w:rPr>
        <w:t xml:space="preserve">DU’s </w:t>
      </w:r>
      <w:r w:rsidR="005D541A">
        <w:rPr>
          <w:rFonts w:asciiTheme="minorHAnsi" w:hAnsiTheme="minorHAnsi" w:cstheme="minorHAnsi"/>
          <w:color w:val="auto"/>
          <w:szCs w:val="24"/>
        </w:rPr>
        <w:t xml:space="preserve">and the </w:t>
      </w:r>
      <w:r w:rsidR="004F662B">
        <w:rPr>
          <w:rFonts w:asciiTheme="minorHAnsi" w:hAnsiTheme="minorHAnsi" w:cstheme="minorHAnsi"/>
          <w:color w:val="auto"/>
          <w:szCs w:val="24"/>
        </w:rPr>
        <w:t xml:space="preserve">non-medical assessment </w:t>
      </w:r>
      <w:r w:rsidR="005D541A">
        <w:rPr>
          <w:rFonts w:asciiTheme="minorHAnsi" w:hAnsiTheme="minorHAnsi" w:cstheme="minorHAnsi"/>
          <w:color w:val="auto"/>
          <w:szCs w:val="24"/>
        </w:rPr>
        <w:t>statement.</w:t>
      </w:r>
      <w:r w:rsidR="005D541A" w:rsidRPr="005D541A">
        <w:rPr>
          <w:rFonts w:asciiTheme="minorHAnsi" w:hAnsiTheme="minorHAnsi" w:cstheme="minorHAnsi"/>
          <w:color w:val="auto"/>
          <w:szCs w:val="24"/>
        </w:rPr>
        <w:t xml:space="preserve"> </w:t>
      </w:r>
      <w:r w:rsidR="00E6413A">
        <w:rPr>
          <w:rFonts w:asciiTheme="minorHAnsi" w:hAnsiTheme="minorHAnsi" w:cstheme="minorHAnsi"/>
          <w:color w:val="auto"/>
          <w:szCs w:val="24"/>
        </w:rPr>
        <w:t xml:space="preserve"> </w:t>
      </w:r>
      <w:r w:rsidR="00506222">
        <w:rPr>
          <w:rFonts w:asciiTheme="minorHAnsi" w:hAnsiTheme="minorHAnsi" w:cstheme="minorHAnsi"/>
          <w:color w:val="auto"/>
          <w:szCs w:val="24"/>
        </w:rPr>
        <w:t xml:space="preserve">There were abnormal radiographs of the ankle equivalent to arthritis, ankle surgeries, and </w:t>
      </w:r>
      <w:proofErr w:type="spellStart"/>
      <w:r w:rsidR="00BF21C7">
        <w:rPr>
          <w:rFonts w:asciiTheme="minorHAnsi" w:hAnsiTheme="minorHAnsi" w:cstheme="minorHAnsi"/>
          <w:color w:val="auto"/>
          <w:szCs w:val="24"/>
        </w:rPr>
        <w:t>gastrocnemius</w:t>
      </w:r>
      <w:proofErr w:type="spellEnd"/>
      <w:r w:rsidR="00BF21C7">
        <w:rPr>
          <w:rFonts w:asciiTheme="minorHAnsi" w:hAnsiTheme="minorHAnsi" w:cstheme="minorHAnsi"/>
          <w:color w:val="auto"/>
          <w:szCs w:val="24"/>
        </w:rPr>
        <w:t xml:space="preserve"> resection, which even absent pain would have limited ankle motion.  </w:t>
      </w:r>
    </w:p>
    <w:p w:rsidR="00506222" w:rsidRDefault="00506222" w:rsidP="007448F7">
      <w:pPr>
        <w:tabs>
          <w:tab w:val="left" w:pos="288"/>
          <w:tab w:val="left" w:pos="4752"/>
        </w:tabs>
        <w:spacing w:line="240" w:lineRule="exact"/>
        <w:jc w:val="both"/>
        <w:rPr>
          <w:rFonts w:asciiTheme="minorHAnsi" w:hAnsiTheme="minorHAnsi" w:cstheme="minorHAnsi"/>
          <w:color w:val="auto"/>
          <w:szCs w:val="24"/>
        </w:rPr>
      </w:pPr>
    </w:p>
    <w:p w:rsidR="00980960" w:rsidRPr="00700E7E" w:rsidRDefault="007448F7" w:rsidP="00D713B1">
      <w:pPr>
        <w:tabs>
          <w:tab w:val="left" w:pos="288"/>
          <w:tab w:val="left" w:pos="4752"/>
        </w:tabs>
        <w:spacing w:line="240" w:lineRule="exact"/>
        <w:jc w:val="both"/>
        <w:rPr>
          <w:rFonts w:asciiTheme="minorHAnsi" w:hAnsiTheme="minorHAnsi" w:cstheme="minorHAnsi"/>
          <w:color w:val="auto"/>
          <w:szCs w:val="24"/>
        </w:rPr>
      </w:pPr>
      <w:r w:rsidRPr="000600A4">
        <w:rPr>
          <w:rFonts w:asciiTheme="minorHAnsi" w:hAnsiTheme="minorHAnsi" w:cstheme="minorHAnsi"/>
          <w:color w:val="auto"/>
          <w:szCs w:val="24"/>
        </w:rPr>
        <w:t xml:space="preserve">The Board considered several different options </w:t>
      </w:r>
      <w:r>
        <w:rPr>
          <w:rFonts w:asciiTheme="minorHAnsi" w:hAnsiTheme="minorHAnsi" w:cstheme="minorHAnsi"/>
          <w:color w:val="auto"/>
          <w:szCs w:val="24"/>
        </w:rPr>
        <w:t xml:space="preserve">for analogous coding </w:t>
      </w:r>
      <w:r w:rsidRPr="000600A4">
        <w:rPr>
          <w:rFonts w:asciiTheme="minorHAnsi" w:hAnsiTheme="minorHAnsi" w:cstheme="minorHAnsi"/>
          <w:color w:val="auto"/>
          <w:szCs w:val="24"/>
        </w:rPr>
        <w:t xml:space="preserve">to include </w:t>
      </w:r>
      <w:r>
        <w:rPr>
          <w:rFonts w:asciiTheme="minorHAnsi" w:hAnsiTheme="minorHAnsi" w:cstheme="minorHAnsi"/>
          <w:color w:val="auto"/>
          <w:szCs w:val="24"/>
        </w:rPr>
        <w:t xml:space="preserve">5284, </w:t>
      </w:r>
      <w:r w:rsidR="004F662B">
        <w:rPr>
          <w:rFonts w:asciiTheme="minorHAnsi" w:hAnsiTheme="minorHAnsi" w:cstheme="minorHAnsi"/>
          <w:color w:val="auto"/>
          <w:szCs w:val="24"/>
        </w:rPr>
        <w:t>foot injuries, other; 5262, t</w:t>
      </w:r>
      <w:r w:rsidRPr="00700E7E">
        <w:rPr>
          <w:rFonts w:asciiTheme="minorHAnsi" w:hAnsiTheme="minorHAnsi" w:cstheme="minorHAnsi"/>
          <w:color w:val="auto"/>
          <w:szCs w:val="24"/>
        </w:rPr>
        <w:t>ibia and fi</w:t>
      </w:r>
      <w:r w:rsidR="004F662B">
        <w:rPr>
          <w:rFonts w:asciiTheme="minorHAnsi" w:hAnsiTheme="minorHAnsi" w:cstheme="minorHAnsi"/>
          <w:color w:val="auto"/>
          <w:szCs w:val="24"/>
        </w:rPr>
        <w:t>bula, impairment of (VA); 8725 neuralgia, p</w:t>
      </w:r>
      <w:r w:rsidRPr="00700E7E">
        <w:rPr>
          <w:rFonts w:asciiTheme="minorHAnsi" w:hAnsiTheme="minorHAnsi" w:cstheme="minorHAnsi"/>
          <w:color w:val="auto"/>
          <w:szCs w:val="24"/>
        </w:rPr>
        <w:t xml:space="preserve">osterior </w:t>
      </w:r>
      <w:proofErr w:type="spellStart"/>
      <w:r w:rsidRPr="00700E7E">
        <w:rPr>
          <w:rFonts w:asciiTheme="minorHAnsi" w:hAnsiTheme="minorHAnsi" w:cstheme="minorHAnsi"/>
          <w:color w:val="auto"/>
          <w:szCs w:val="24"/>
        </w:rPr>
        <w:t>t</w:t>
      </w:r>
      <w:r w:rsidR="004F662B">
        <w:rPr>
          <w:rFonts w:asciiTheme="minorHAnsi" w:hAnsiTheme="minorHAnsi" w:cstheme="minorHAnsi"/>
          <w:color w:val="auto"/>
          <w:szCs w:val="24"/>
        </w:rPr>
        <w:t>ibial</w:t>
      </w:r>
      <w:proofErr w:type="spellEnd"/>
      <w:r w:rsidR="004F662B">
        <w:rPr>
          <w:rFonts w:asciiTheme="minorHAnsi" w:hAnsiTheme="minorHAnsi" w:cstheme="minorHAnsi"/>
          <w:color w:val="auto"/>
          <w:szCs w:val="24"/>
        </w:rPr>
        <w:t xml:space="preserve"> nerve (PEB); and/or 8621 neuritis, </w:t>
      </w:r>
      <w:r w:rsidR="00741E17">
        <w:rPr>
          <w:rFonts w:asciiTheme="minorHAnsi" w:hAnsiTheme="minorHAnsi" w:cstheme="minorHAnsi"/>
          <w:color w:val="auto"/>
          <w:szCs w:val="24"/>
        </w:rPr>
        <w:t>e</w:t>
      </w:r>
      <w:r w:rsidRPr="00700E7E">
        <w:rPr>
          <w:rFonts w:asciiTheme="minorHAnsi" w:hAnsiTheme="minorHAnsi" w:cstheme="minorHAnsi"/>
          <w:color w:val="auto"/>
          <w:szCs w:val="24"/>
        </w:rPr>
        <w:t xml:space="preserve">xternal </w:t>
      </w:r>
      <w:proofErr w:type="spellStart"/>
      <w:r w:rsidRPr="00700E7E">
        <w:rPr>
          <w:rFonts w:asciiTheme="minorHAnsi" w:hAnsiTheme="minorHAnsi" w:cstheme="minorHAnsi"/>
          <w:color w:val="auto"/>
          <w:szCs w:val="24"/>
        </w:rPr>
        <w:t>popliteal</w:t>
      </w:r>
      <w:proofErr w:type="spellEnd"/>
      <w:r w:rsidRPr="00700E7E">
        <w:rPr>
          <w:rFonts w:asciiTheme="minorHAnsi" w:hAnsiTheme="minorHAnsi" w:cstheme="minorHAnsi"/>
          <w:color w:val="auto"/>
          <w:szCs w:val="24"/>
        </w:rPr>
        <w:t xml:space="preserve"> nerve (common </w:t>
      </w:r>
      <w:proofErr w:type="spellStart"/>
      <w:r w:rsidRPr="00700E7E">
        <w:rPr>
          <w:rFonts w:asciiTheme="minorHAnsi" w:hAnsiTheme="minorHAnsi" w:cstheme="minorHAnsi"/>
          <w:color w:val="auto"/>
          <w:szCs w:val="24"/>
        </w:rPr>
        <w:t>peroneal</w:t>
      </w:r>
      <w:proofErr w:type="spellEnd"/>
      <w:r w:rsidRPr="00700E7E">
        <w:rPr>
          <w:rFonts w:asciiTheme="minorHAnsi" w:hAnsiTheme="minorHAnsi" w:cstheme="minorHAnsi"/>
          <w:color w:val="auto"/>
          <w:szCs w:val="24"/>
        </w:rPr>
        <w:t>).</w:t>
      </w:r>
      <w:r w:rsidR="004F662B">
        <w:rPr>
          <w:rFonts w:asciiTheme="minorHAnsi" w:hAnsiTheme="minorHAnsi" w:cstheme="minorHAnsi"/>
          <w:color w:val="auto"/>
          <w:szCs w:val="24"/>
        </w:rPr>
        <w:t xml:space="preserve">  </w:t>
      </w:r>
      <w:r w:rsidR="00980960">
        <w:rPr>
          <w:rFonts w:asciiTheme="minorHAnsi" w:hAnsiTheme="minorHAnsi" w:cstheme="minorHAnsi"/>
          <w:color w:val="auto"/>
          <w:szCs w:val="24"/>
        </w:rPr>
        <w:t xml:space="preserve">Regarding application of rating under </w:t>
      </w:r>
      <w:r w:rsidR="00980960" w:rsidRPr="00D10724">
        <w:rPr>
          <w:rFonts w:asciiTheme="minorHAnsi" w:hAnsiTheme="minorHAnsi" w:cstheme="minorHAnsi"/>
          <w:color w:val="auto"/>
          <w:szCs w:val="24"/>
        </w:rPr>
        <w:t>§4.124a</w:t>
      </w:r>
      <w:r w:rsidR="00980960">
        <w:rPr>
          <w:rFonts w:asciiTheme="minorHAnsi" w:hAnsiTheme="minorHAnsi" w:cstheme="minorHAnsi"/>
          <w:color w:val="auto"/>
          <w:szCs w:val="24"/>
        </w:rPr>
        <w:t xml:space="preserve"> (nerve), the CI’s condition more closely approximated a neuritis IAW </w:t>
      </w:r>
      <w:r w:rsidR="00980960" w:rsidRPr="00F3557A">
        <w:rPr>
          <w:rFonts w:asciiTheme="minorHAnsi" w:hAnsiTheme="minorHAnsi" w:cstheme="minorHAnsi"/>
          <w:color w:val="auto"/>
          <w:szCs w:val="24"/>
        </w:rPr>
        <w:t xml:space="preserve">§4.123 than a neuralgia </w:t>
      </w:r>
      <w:r w:rsidR="00F3557A" w:rsidRPr="00F3557A">
        <w:rPr>
          <w:rFonts w:asciiTheme="minorHAnsi" w:hAnsiTheme="minorHAnsi" w:cstheme="minorHAnsi"/>
          <w:color w:val="auto"/>
          <w:szCs w:val="24"/>
        </w:rPr>
        <w:t>IAW §4.124 due to muscle atrophy, sensory disturbances, and constant pain.  The ne</w:t>
      </w:r>
      <w:r w:rsidR="004F662B">
        <w:rPr>
          <w:rFonts w:asciiTheme="minorHAnsi" w:hAnsiTheme="minorHAnsi" w:cstheme="minorHAnsi"/>
          <w:color w:val="auto"/>
          <w:szCs w:val="24"/>
        </w:rPr>
        <w:t>rve impacted was closer to the e</w:t>
      </w:r>
      <w:r w:rsidR="00F3557A" w:rsidRPr="00F3557A">
        <w:rPr>
          <w:rFonts w:asciiTheme="minorHAnsi" w:hAnsiTheme="minorHAnsi" w:cstheme="minorHAnsi"/>
          <w:color w:val="auto"/>
          <w:szCs w:val="24"/>
        </w:rPr>
        <w:t xml:space="preserve">xternal </w:t>
      </w:r>
      <w:proofErr w:type="spellStart"/>
      <w:r w:rsidR="00F3557A" w:rsidRPr="00F3557A">
        <w:rPr>
          <w:rFonts w:asciiTheme="minorHAnsi" w:hAnsiTheme="minorHAnsi" w:cstheme="minorHAnsi"/>
          <w:color w:val="auto"/>
          <w:szCs w:val="24"/>
        </w:rPr>
        <w:t>popliteal</w:t>
      </w:r>
      <w:proofErr w:type="spellEnd"/>
      <w:r w:rsidR="00F3557A" w:rsidRPr="00F3557A">
        <w:rPr>
          <w:rFonts w:asciiTheme="minorHAnsi" w:hAnsiTheme="minorHAnsi" w:cstheme="minorHAnsi"/>
          <w:color w:val="auto"/>
          <w:szCs w:val="24"/>
        </w:rPr>
        <w:t xml:space="preserve"> nerve (common </w:t>
      </w:r>
      <w:proofErr w:type="spellStart"/>
      <w:r w:rsidR="00F3557A" w:rsidRPr="00F3557A">
        <w:rPr>
          <w:rFonts w:asciiTheme="minorHAnsi" w:hAnsiTheme="minorHAnsi" w:cstheme="minorHAnsi"/>
          <w:color w:val="auto"/>
          <w:szCs w:val="24"/>
        </w:rPr>
        <w:t>peroneal</w:t>
      </w:r>
      <w:proofErr w:type="spellEnd"/>
      <w:r w:rsidR="00F3557A" w:rsidRPr="00F3557A">
        <w:rPr>
          <w:rFonts w:asciiTheme="minorHAnsi" w:hAnsiTheme="minorHAnsi" w:cstheme="minorHAnsi"/>
          <w:color w:val="auto"/>
          <w:szCs w:val="24"/>
        </w:rPr>
        <w:t xml:space="preserve">) than </w:t>
      </w:r>
      <w:r w:rsidR="004F662B">
        <w:rPr>
          <w:rFonts w:asciiTheme="minorHAnsi" w:hAnsiTheme="minorHAnsi" w:cstheme="minorHAnsi"/>
          <w:color w:val="auto"/>
          <w:szCs w:val="24"/>
        </w:rPr>
        <w:t>the p</w:t>
      </w:r>
      <w:r w:rsidR="00F3557A" w:rsidRPr="00F3557A">
        <w:rPr>
          <w:rFonts w:asciiTheme="minorHAnsi" w:hAnsiTheme="minorHAnsi" w:cstheme="minorHAnsi"/>
          <w:color w:val="auto"/>
          <w:szCs w:val="24"/>
        </w:rPr>
        <w:t xml:space="preserve">osterior </w:t>
      </w:r>
      <w:proofErr w:type="spellStart"/>
      <w:r w:rsidR="00F3557A" w:rsidRPr="00F3557A">
        <w:rPr>
          <w:rFonts w:asciiTheme="minorHAnsi" w:hAnsiTheme="minorHAnsi" w:cstheme="minorHAnsi"/>
          <w:color w:val="auto"/>
          <w:szCs w:val="24"/>
        </w:rPr>
        <w:t>tibial</w:t>
      </w:r>
      <w:proofErr w:type="spellEnd"/>
      <w:r w:rsidR="00F3557A" w:rsidRPr="00F3557A">
        <w:rPr>
          <w:rFonts w:asciiTheme="minorHAnsi" w:hAnsiTheme="minorHAnsi" w:cstheme="minorHAnsi"/>
          <w:color w:val="auto"/>
          <w:szCs w:val="24"/>
        </w:rPr>
        <w:t xml:space="preserve"> nerve as the neurologic abnormalities were more proximal than the plantar foot and toes.  </w:t>
      </w:r>
    </w:p>
    <w:p w:rsidR="00700E7E" w:rsidRPr="00F3557A" w:rsidRDefault="00700E7E" w:rsidP="00D713B1">
      <w:pPr>
        <w:tabs>
          <w:tab w:val="left" w:pos="288"/>
          <w:tab w:val="left" w:pos="4752"/>
        </w:tabs>
        <w:spacing w:line="240" w:lineRule="exact"/>
        <w:jc w:val="both"/>
        <w:rPr>
          <w:rFonts w:asciiTheme="minorHAnsi" w:hAnsiTheme="minorHAnsi" w:cstheme="minorHAnsi"/>
          <w:color w:val="auto"/>
          <w:szCs w:val="24"/>
        </w:rPr>
      </w:pPr>
    </w:p>
    <w:p w:rsidR="00D713B1" w:rsidRPr="00F27AF6" w:rsidRDefault="005D541A" w:rsidP="000811DF">
      <w:pPr>
        <w:tabs>
          <w:tab w:val="left" w:pos="288"/>
          <w:tab w:val="left" w:pos="4752"/>
        </w:tabs>
        <w:spacing w:line="240" w:lineRule="exact"/>
        <w:jc w:val="both"/>
        <w:rPr>
          <w:color w:val="auto"/>
        </w:rPr>
      </w:pPr>
      <w:r w:rsidRPr="000600A4">
        <w:rPr>
          <w:rFonts w:asciiTheme="minorHAnsi" w:hAnsiTheme="minorHAnsi"/>
          <w:color w:val="auto"/>
          <w:szCs w:val="24"/>
        </w:rPr>
        <w:lastRenderedPageBreak/>
        <w:t xml:space="preserve">After due deliberation, the Board </w:t>
      </w:r>
      <w:r w:rsidR="00DC515A">
        <w:rPr>
          <w:rFonts w:asciiTheme="minorHAnsi" w:hAnsiTheme="minorHAnsi"/>
          <w:color w:val="auto"/>
          <w:szCs w:val="24"/>
        </w:rPr>
        <w:t xml:space="preserve">concluded that the </w:t>
      </w:r>
      <w:r w:rsidR="00DC515A" w:rsidRPr="000600A4">
        <w:rPr>
          <w:rFonts w:asciiTheme="minorHAnsi" w:hAnsiTheme="minorHAnsi"/>
          <w:color w:val="auto"/>
          <w:szCs w:val="24"/>
        </w:rPr>
        <w:t>preponderance of the evidence with regard to th</w:t>
      </w:r>
      <w:r w:rsidR="00DC515A" w:rsidRPr="000811DF">
        <w:rPr>
          <w:rFonts w:asciiTheme="minorHAnsi" w:hAnsiTheme="minorHAnsi"/>
          <w:color w:val="auto"/>
          <w:szCs w:val="24"/>
        </w:rPr>
        <w:t xml:space="preserve">e functional impairment of </w:t>
      </w:r>
      <w:r w:rsidRPr="000811DF">
        <w:rPr>
          <w:rFonts w:asciiTheme="minorHAnsi" w:hAnsiTheme="minorHAnsi"/>
          <w:color w:val="auto"/>
          <w:szCs w:val="24"/>
        </w:rPr>
        <w:t xml:space="preserve">the </w:t>
      </w:r>
      <w:r w:rsidR="007448F7" w:rsidRPr="000811DF">
        <w:rPr>
          <w:rFonts w:asciiTheme="minorHAnsi" w:hAnsiTheme="minorHAnsi"/>
          <w:color w:val="auto"/>
          <w:szCs w:val="24"/>
        </w:rPr>
        <w:t>right ankle and foot condition</w:t>
      </w:r>
      <w:r w:rsidR="00D713B1" w:rsidRPr="000811DF">
        <w:rPr>
          <w:rFonts w:asciiTheme="minorHAnsi" w:hAnsiTheme="minorHAnsi"/>
          <w:color w:val="auto"/>
          <w:szCs w:val="24"/>
        </w:rPr>
        <w:t>s</w:t>
      </w:r>
      <w:r w:rsidR="007448F7" w:rsidRPr="000811DF">
        <w:rPr>
          <w:rFonts w:asciiTheme="minorHAnsi" w:hAnsiTheme="minorHAnsi"/>
          <w:color w:val="auto"/>
          <w:szCs w:val="24"/>
        </w:rPr>
        <w:t xml:space="preserve"> should be rated for both neurologic and musculoskeletal disabilities </w:t>
      </w:r>
      <w:r w:rsidR="00DC515A" w:rsidRPr="000811DF">
        <w:rPr>
          <w:rFonts w:asciiTheme="minorHAnsi" w:hAnsiTheme="minorHAnsi"/>
          <w:color w:val="auto"/>
          <w:szCs w:val="24"/>
        </w:rPr>
        <w:t xml:space="preserve">as an additionally unfitting condition.  The Board concluded that </w:t>
      </w:r>
      <w:r w:rsidR="007448F7" w:rsidRPr="000811DF">
        <w:rPr>
          <w:rFonts w:asciiTheme="minorHAnsi" w:hAnsiTheme="minorHAnsi"/>
          <w:color w:val="auto"/>
          <w:szCs w:val="24"/>
        </w:rPr>
        <w:t xml:space="preserve">the </w:t>
      </w:r>
      <w:r w:rsidR="00DC515A" w:rsidRPr="000811DF">
        <w:rPr>
          <w:rFonts w:asciiTheme="minorHAnsi" w:hAnsiTheme="minorHAnsi"/>
          <w:color w:val="auto"/>
          <w:szCs w:val="24"/>
        </w:rPr>
        <w:t xml:space="preserve">tenants of </w:t>
      </w:r>
      <w:r w:rsidR="00DC515A" w:rsidRPr="000811DF">
        <w:rPr>
          <w:rFonts w:asciiTheme="minorHAnsi" w:hAnsiTheme="minorHAnsi" w:cstheme="minorHAnsi"/>
          <w:color w:val="auto"/>
          <w:szCs w:val="24"/>
        </w:rPr>
        <w:t>§</w:t>
      </w:r>
      <w:r w:rsidR="004F662B">
        <w:rPr>
          <w:color w:val="auto"/>
        </w:rPr>
        <w:t>4.14 (a</w:t>
      </w:r>
      <w:r w:rsidR="00DC515A" w:rsidRPr="000811DF">
        <w:rPr>
          <w:color w:val="auto"/>
        </w:rPr>
        <w:t xml:space="preserve">voidance of pyramiding) would be applied to the extent possible to remove pain, or painful motion, from any </w:t>
      </w:r>
      <w:r w:rsidR="00DC515A" w:rsidRPr="000811DF">
        <w:rPr>
          <w:rFonts w:asciiTheme="minorHAnsi" w:hAnsiTheme="minorHAnsi"/>
          <w:color w:val="auto"/>
          <w:szCs w:val="24"/>
        </w:rPr>
        <w:t xml:space="preserve">musculoskeletal system rating determination.  Therefore, the recommended ratings are </w:t>
      </w:r>
      <w:r w:rsidR="004F662B">
        <w:rPr>
          <w:rFonts w:asciiTheme="minorHAnsi" w:hAnsiTheme="minorHAnsi"/>
          <w:color w:val="auto"/>
          <w:szCs w:val="24"/>
        </w:rPr>
        <w:t>complex regional pain syndrome, right lower e</w:t>
      </w:r>
      <w:r w:rsidR="00DC515A" w:rsidRPr="000811DF">
        <w:rPr>
          <w:rFonts w:asciiTheme="minorHAnsi" w:hAnsiTheme="minorHAnsi"/>
          <w:color w:val="auto"/>
          <w:szCs w:val="24"/>
        </w:rPr>
        <w:t xml:space="preserve">xtremity (including numbness and nerve pain) 8799-8621 at </w:t>
      </w:r>
      <w:r w:rsidR="000811DF">
        <w:rPr>
          <w:rFonts w:asciiTheme="minorHAnsi" w:hAnsiTheme="minorHAnsi"/>
          <w:color w:val="auto"/>
          <w:szCs w:val="24"/>
        </w:rPr>
        <w:t>1</w:t>
      </w:r>
      <w:r w:rsidR="007448F7" w:rsidRPr="000811DF">
        <w:rPr>
          <w:rFonts w:asciiTheme="minorHAnsi" w:hAnsiTheme="minorHAnsi"/>
          <w:color w:val="auto"/>
          <w:szCs w:val="24"/>
        </w:rPr>
        <w:t>0%</w:t>
      </w:r>
      <w:r w:rsidR="00DC515A" w:rsidRPr="000811DF">
        <w:rPr>
          <w:rFonts w:asciiTheme="minorHAnsi" w:hAnsiTheme="minorHAnsi"/>
          <w:color w:val="auto"/>
          <w:szCs w:val="24"/>
        </w:rPr>
        <w:t xml:space="preserve">; and </w:t>
      </w:r>
      <w:r w:rsidR="004F662B">
        <w:rPr>
          <w:rFonts w:asciiTheme="minorHAnsi" w:hAnsiTheme="minorHAnsi" w:cstheme="minorHAnsi"/>
          <w:color w:val="auto"/>
          <w:szCs w:val="24"/>
        </w:rPr>
        <w:t xml:space="preserve">significant posterior </w:t>
      </w:r>
      <w:proofErr w:type="spellStart"/>
      <w:r w:rsidR="004F662B">
        <w:rPr>
          <w:rFonts w:asciiTheme="minorHAnsi" w:hAnsiTheme="minorHAnsi" w:cstheme="minorHAnsi"/>
          <w:color w:val="auto"/>
          <w:szCs w:val="24"/>
        </w:rPr>
        <w:t>tibialis</w:t>
      </w:r>
      <w:proofErr w:type="spellEnd"/>
      <w:r w:rsidR="004F662B">
        <w:rPr>
          <w:rFonts w:asciiTheme="minorHAnsi" w:hAnsiTheme="minorHAnsi" w:cstheme="minorHAnsi"/>
          <w:color w:val="auto"/>
          <w:szCs w:val="24"/>
        </w:rPr>
        <w:t xml:space="preserve"> t</w:t>
      </w:r>
      <w:r w:rsidR="00DC515A" w:rsidRPr="000811DF">
        <w:rPr>
          <w:rFonts w:asciiTheme="minorHAnsi" w:hAnsiTheme="minorHAnsi" w:cstheme="minorHAnsi"/>
          <w:color w:val="auto"/>
          <w:szCs w:val="24"/>
        </w:rPr>
        <w:t xml:space="preserve">endon </w:t>
      </w:r>
      <w:r w:rsidR="004F662B">
        <w:rPr>
          <w:color w:val="auto"/>
        </w:rPr>
        <w:t xml:space="preserve">dysfunction and </w:t>
      </w:r>
      <w:proofErr w:type="spellStart"/>
      <w:r w:rsidR="004F662B">
        <w:rPr>
          <w:color w:val="auto"/>
        </w:rPr>
        <w:t>pes</w:t>
      </w:r>
      <w:proofErr w:type="spellEnd"/>
      <w:r w:rsidR="004F662B">
        <w:rPr>
          <w:color w:val="auto"/>
        </w:rPr>
        <w:t xml:space="preserve"> </w:t>
      </w:r>
      <w:proofErr w:type="spellStart"/>
      <w:r w:rsidR="004F662B">
        <w:rPr>
          <w:color w:val="auto"/>
        </w:rPr>
        <w:t>p</w:t>
      </w:r>
      <w:r w:rsidR="00DC515A" w:rsidRPr="00F27AF6">
        <w:rPr>
          <w:color w:val="auto"/>
        </w:rPr>
        <w:t>lanus</w:t>
      </w:r>
      <w:proofErr w:type="spellEnd"/>
      <w:r w:rsidR="00DC515A" w:rsidRPr="00F27AF6">
        <w:rPr>
          <w:color w:val="auto"/>
        </w:rPr>
        <w:t xml:space="preserve"> coded </w:t>
      </w:r>
      <w:r w:rsidR="00D713B1" w:rsidRPr="00F27AF6">
        <w:rPr>
          <w:color w:val="auto"/>
        </w:rPr>
        <w:t>5099-5</w:t>
      </w:r>
      <w:r w:rsidR="000811DF" w:rsidRPr="00F27AF6">
        <w:rPr>
          <w:color w:val="auto"/>
        </w:rPr>
        <w:t>276</w:t>
      </w:r>
      <w:r w:rsidR="00D713B1" w:rsidRPr="00F27AF6">
        <w:rPr>
          <w:color w:val="auto"/>
        </w:rPr>
        <w:t xml:space="preserve"> </w:t>
      </w:r>
      <w:r w:rsidR="00DC515A" w:rsidRPr="00F27AF6">
        <w:rPr>
          <w:color w:val="auto"/>
        </w:rPr>
        <w:t xml:space="preserve">at </w:t>
      </w:r>
      <w:r w:rsidR="000811DF" w:rsidRPr="00F27AF6">
        <w:rPr>
          <w:color w:val="auto"/>
        </w:rPr>
        <w:t>2</w:t>
      </w:r>
      <w:r w:rsidR="00DC515A" w:rsidRPr="00F27AF6">
        <w:rPr>
          <w:color w:val="auto"/>
        </w:rPr>
        <w:t xml:space="preserve">0% IAW </w:t>
      </w:r>
      <w:r w:rsidR="004F662B">
        <w:rPr>
          <w:color w:val="auto"/>
        </w:rPr>
        <w:t xml:space="preserve">Veterans Administration Schedule for Rating Disabilities </w:t>
      </w:r>
      <w:r w:rsidR="004F662B" w:rsidRPr="004F662B">
        <w:rPr>
          <w:color w:val="auto"/>
        </w:rPr>
        <w:t>(</w:t>
      </w:r>
      <w:r w:rsidR="00DC515A" w:rsidRPr="004F662B">
        <w:rPr>
          <w:color w:val="auto"/>
        </w:rPr>
        <w:t>VASRD</w:t>
      </w:r>
      <w:r w:rsidR="004F662B" w:rsidRPr="004F662B">
        <w:rPr>
          <w:color w:val="auto"/>
        </w:rPr>
        <w:t>)</w:t>
      </w:r>
      <w:r w:rsidR="00DC515A" w:rsidRPr="00F27AF6">
        <w:rPr>
          <w:color w:val="auto"/>
        </w:rPr>
        <w:t xml:space="preserve"> §4.71a.</w:t>
      </w:r>
    </w:p>
    <w:p w:rsidR="00BF21C7" w:rsidRDefault="00BF21C7" w:rsidP="00D713B1">
      <w:pPr>
        <w:spacing w:line="240" w:lineRule="exact"/>
        <w:jc w:val="both"/>
        <w:rPr>
          <w:rFonts w:asciiTheme="minorHAnsi" w:hAnsiTheme="minorHAnsi"/>
          <w:color w:val="auto"/>
          <w:szCs w:val="24"/>
          <w:u w:val="single"/>
        </w:rPr>
      </w:pPr>
    </w:p>
    <w:p w:rsidR="00704EA1" w:rsidRPr="000600A4" w:rsidRDefault="00E6413A" w:rsidP="00275465">
      <w:pPr>
        <w:pStyle w:val="Default"/>
        <w:spacing w:line="240" w:lineRule="exact"/>
        <w:jc w:val="both"/>
        <w:rPr>
          <w:rFonts w:asciiTheme="minorHAnsi" w:hAnsiTheme="minorHAnsi" w:cstheme="minorHAnsi"/>
        </w:rPr>
      </w:pPr>
      <w:proofErr w:type="gramStart"/>
      <w:r w:rsidRPr="000600A4">
        <w:rPr>
          <w:rFonts w:asciiTheme="minorHAnsi" w:hAnsiTheme="minorHAnsi" w:cstheme="minorHAnsi"/>
          <w:u w:val="single"/>
        </w:rPr>
        <w:t>Remaining Conditions</w:t>
      </w:r>
      <w:r w:rsidRPr="000600A4">
        <w:rPr>
          <w:rFonts w:asciiTheme="minorHAnsi" w:hAnsiTheme="minorHAnsi" w:cstheme="minorHAnsi"/>
        </w:rPr>
        <w:t>.</w:t>
      </w:r>
      <w:proofErr w:type="gramEnd"/>
      <w:r w:rsidRPr="000600A4">
        <w:rPr>
          <w:rFonts w:asciiTheme="minorHAnsi" w:hAnsiTheme="minorHAnsi" w:cstheme="minorHAnsi"/>
        </w:rPr>
        <w:t xml:space="preserve">  Other </w:t>
      </w:r>
      <w:r w:rsidRPr="000811DF">
        <w:rPr>
          <w:rFonts w:asciiTheme="minorHAnsi" w:hAnsiTheme="minorHAnsi" w:cstheme="minorHAnsi"/>
        </w:rPr>
        <w:t>conditions i</w:t>
      </w:r>
      <w:r w:rsidR="004F662B">
        <w:rPr>
          <w:rFonts w:asciiTheme="minorHAnsi" w:hAnsiTheme="minorHAnsi" w:cstheme="minorHAnsi"/>
        </w:rPr>
        <w:t>dentified in the DES file were frequent indigestion or h</w:t>
      </w:r>
      <w:r w:rsidRPr="000811DF">
        <w:rPr>
          <w:rFonts w:asciiTheme="minorHAnsi" w:hAnsiTheme="minorHAnsi" w:cstheme="minorHAnsi"/>
        </w:rPr>
        <w:t>eartburn</w:t>
      </w:r>
      <w:r w:rsidR="00191C6B" w:rsidRPr="000811DF">
        <w:rPr>
          <w:rFonts w:asciiTheme="minorHAnsi" w:hAnsiTheme="minorHAnsi" w:cstheme="minorHAnsi"/>
        </w:rPr>
        <w:t xml:space="preserve"> (VA</w:t>
      </w:r>
      <w:r w:rsidR="007C2ADB" w:rsidRPr="000811DF">
        <w:rPr>
          <w:rFonts w:asciiTheme="minorHAnsi" w:hAnsiTheme="minorHAnsi" w:cstheme="minorHAnsi"/>
        </w:rPr>
        <w:t xml:space="preserve"> reflux 10%)</w:t>
      </w:r>
      <w:r w:rsidR="004F662B">
        <w:rPr>
          <w:rFonts w:asciiTheme="minorHAnsi" w:hAnsiTheme="minorHAnsi" w:cstheme="minorHAnsi"/>
        </w:rPr>
        <w:t>, shoulder p</w:t>
      </w:r>
      <w:r w:rsidRPr="000811DF">
        <w:rPr>
          <w:rFonts w:asciiTheme="minorHAnsi" w:hAnsiTheme="minorHAnsi" w:cstheme="minorHAnsi"/>
        </w:rPr>
        <w:t>ain</w:t>
      </w:r>
      <w:r w:rsidR="007C2ADB" w:rsidRPr="000811DF">
        <w:rPr>
          <w:rFonts w:asciiTheme="minorHAnsi" w:hAnsiTheme="minorHAnsi" w:cstheme="minorHAnsi"/>
        </w:rPr>
        <w:t xml:space="preserve"> (VA 10%)</w:t>
      </w:r>
      <w:r w:rsidRPr="000811DF">
        <w:rPr>
          <w:rFonts w:asciiTheme="minorHAnsi" w:hAnsiTheme="minorHAnsi" w:cstheme="minorHAnsi"/>
        </w:rPr>
        <w:t>;</w:t>
      </w:r>
      <w:r w:rsidR="004F662B">
        <w:rPr>
          <w:rFonts w:asciiTheme="minorHAnsi" w:hAnsiTheme="minorHAnsi" w:cstheme="minorHAnsi"/>
        </w:rPr>
        <w:t xml:space="preserve"> k</w:t>
      </w:r>
      <w:r w:rsidR="00B95DFF" w:rsidRPr="000811DF">
        <w:rPr>
          <w:rFonts w:asciiTheme="minorHAnsi" w:hAnsiTheme="minorHAnsi" w:cstheme="minorHAnsi"/>
        </w:rPr>
        <w:t xml:space="preserve">nee </w:t>
      </w:r>
      <w:r w:rsidR="004F662B">
        <w:rPr>
          <w:rFonts w:asciiTheme="minorHAnsi" w:hAnsiTheme="minorHAnsi" w:cstheme="minorHAnsi"/>
        </w:rPr>
        <w:t>pain, low back p</w:t>
      </w:r>
      <w:r w:rsidR="00B95DFF" w:rsidRPr="000811DF">
        <w:rPr>
          <w:rFonts w:asciiTheme="minorHAnsi" w:hAnsiTheme="minorHAnsi" w:cstheme="minorHAnsi"/>
        </w:rPr>
        <w:t>ain</w:t>
      </w:r>
      <w:r w:rsidR="007C2ADB" w:rsidRPr="000811DF">
        <w:rPr>
          <w:rFonts w:asciiTheme="minorHAnsi" w:hAnsiTheme="minorHAnsi" w:cstheme="minorHAnsi"/>
        </w:rPr>
        <w:t xml:space="preserve"> (VA 10%)</w:t>
      </w:r>
      <w:r w:rsidR="004F662B">
        <w:rPr>
          <w:rFonts w:asciiTheme="minorHAnsi" w:hAnsiTheme="minorHAnsi" w:cstheme="minorHAnsi"/>
        </w:rPr>
        <w:t>, hip p</w:t>
      </w:r>
      <w:r w:rsidR="00B95DFF" w:rsidRPr="000811DF">
        <w:rPr>
          <w:rFonts w:asciiTheme="minorHAnsi" w:hAnsiTheme="minorHAnsi" w:cstheme="minorHAnsi"/>
        </w:rPr>
        <w:t>ain</w:t>
      </w:r>
      <w:r w:rsidR="007C2ADB" w:rsidRPr="000811DF">
        <w:rPr>
          <w:rFonts w:asciiTheme="minorHAnsi" w:hAnsiTheme="minorHAnsi" w:cstheme="minorHAnsi"/>
        </w:rPr>
        <w:t xml:space="preserve"> (VA 10%)</w:t>
      </w:r>
      <w:r w:rsidR="00B95DFF" w:rsidRPr="000811DF">
        <w:rPr>
          <w:rFonts w:asciiTheme="minorHAnsi" w:hAnsiTheme="minorHAnsi" w:cstheme="minorHAnsi"/>
        </w:rPr>
        <w:t>,</w:t>
      </w:r>
      <w:r w:rsidR="004F662B">
        <w:rPr>
          <w:rFonts w:asciiTheme="minorHAnsi" w:hAnsiTheme="minorHAnsi" w:cstheme="minorHAnsi"/>
        </w:rPr>
        <w:t xml:space="preserve"> frequent trouble s</w:t>
      </w:r>
      <w:r w:rsidRPr="000811DF">
        <w:rPr>
          <w:rFonts w:asciiTheme="minorHAnsi" w:hAnsiTheme="minorHAnsi" w:cstheme="minorHAnsi"/>
        </w:rPr>
        <w:t>leeping</w:t>
      </w:r>
      <w:r w:rsidR="007C2ADB" w:rsidRPr="000811DF">
        <w:rPr>
          <w:rFonts w:asciiTheme="minorHAnsi" w:hAnsiTheme="minorHAnsi" w:cstheme="minorHAnsi"/>
        </w:rPr>
        <w:t xml:space="preserve">, </w:t>
      </w:r>
      <w:r w:rsidR="004F662B">
        <w:rPr>
          <w:rFonts w:asciiTheme="minorHAnsi" w:hAnsiTheme="minorHAnsi" w:cstheme="minorHAnsi"/>
        </w:rPr>
        <w:t>nervous t</w:t>
      </w:r>
      <w:r w:rsidRPr="000811DF">
        <w:rPr>
          <w:rFonts w:asciiTheme="minorHAnsi" w:hAnsiTheme="minorHAnsi" w:cstheme="minorHAnsi"/>
        </w:rPr>
        <w:t>rouble</w:t>
      </w:r>
      <w:r w:rsidR="004F662B">
        <w:rPr>
          <w:rFonts w:asciiTheme="minorHAnsi" w:hAnsiTheme="minorHAnsi" w:cstheme="minorHAnsi"/>
        </w:rPr>
        <w:t>, and p</w:t>
      </w:r>
      <w:r w:rsidR="007C2ADB" w:rsidRPr="000811DF">
        <w:rPr>
          <w:rFonts w:asciiTheme="minorHAnsi" w:hAnsiTheme="minorHAnsi" w:cstheme="minorHAnsi"/>
        </w:rPr>
        <w:t xml:space="preserve">anic </w:t>
      </w:r>
      <w:r w:rsidR="004F662B">
        <w:rPr>
          <w:rFonts w:asciiTheme="minorHAnsi" w:hAnsiTheme="minorHAnsi" w:cstheme="minorHAnsi"/>
        </w:rPr>
        <w:t>a</w:t>
      </w:r>
      <w:r w:rsidR="007C2ADB" w:rsidRPr="000811DF">
        <w:rPr>
          <w:rFonts w:asciiTheme="minorHAnsi" w:hAnsiTheme="minorHAnsi" w:cstheme="minorHAnsi"/>
        </w:rPr>
        <w:t>ttacks (VA anxiety d/o 10%)</w:t>
      </w:r>
      <w:r w:rsidR="004F662B">
        <w:rPr>
          <w:rFonts w:asciiTheme="minorHAnsi" w:hAnsiTheme="minorHAnsi" w:cstheme="minorHAnsi"/>
        </w:rPr>
        <w:t>, m</w:t>
      </w:r>
      <w:r w:rsidRPr="000811DF">
        <w:rPr>
          <w:rFonts w:asciiTheme="minorHAnsi" w:hAnsiTheme="minorHAnsi" w:cstheme="minorHAnsi"/>
        </w:rPr>
        <w:t xml:space="preserve">otion </w:t>
      </w:r>
      <w:r w:rsidR="004F662B">
        <w:rPr>
          <w:rFonts w:asciiTheme="minorHAnsi" w:hAnsiTheme="minorHAnsi" w:cstheme="minorHAnsi"/>
        </w:rPr>
        <w:t>sickness; intermittent t</w:t>
      </w:r>
      <w:r w:rsidRPr="000811DF">
        <w:rPr>
          <w:rFonts w:asciiTheme="minorHAnsi" w:hAnsiTheme="minorHAnsi" w:cstheme="minorHAnsi"/>
        </w:rPr>
        <w:t>innitus</w:t>
      </w:r>
      <w:r w:rsidR="007C2ADB" w:rsidRPr="000811DF">
        <w:rPr>
          <w:rFonts w:asciiTheme="minorHAnsi" w:hAnsiTheme="minorHAnsi" w:cstheme="minorHAnsi"/>
        </w:rPr>
        <w:t xml:space="preserve"> (VA 10%)</w:t>
      </w:r>
      <w:r w:rsidRPr="000811DF">
        <w:rPr>
          <w:rFonts w:asciiTheme="minorHAnsi" w:hAnsiTheme="minorHAnsi" w:cstheme="minorHAnsi"/>
        </w:rPr>
        <w:t xml:space="preserve">; </w:t>
      </w:r>
      <w:r w:rsidR="007C2ADB" w:rsidRPr="000811DF">
        <w:rPr>
          <w:rFonts w:asciiTheme="minorHAnsi" w:hAnsiTheme="minorHAnsi" w:cstheme="minorHAnsi"/>
        </w:rPr>
        <w:t xml:space="preserve">and </w:t>
      </w:r>
      <w:r w:rsidR="004F662B">
        <w:rPr>
          <w:rFonts w:asciiTheme="minorHAnsi" w:hAnsiTheme="minorHAnsi" w:cstheme="minorHAnsi"/>
        </w:rPr>
        <w:t>ruptured e</w:t>
      </w:r>
      <w:r w:rsidRPr="000811DF">
        <w:rPr>
          <w:rFonts w:asciiTheme="minorHAnsi" w:hAnsiTheme="minorHAnsi" w:cstheme="minorHAnsi"/>
        </w:rPr>
        <w:t>ardrum.  Several additional non-acute conditions or medical complaints were also documented.</w:t>
      </w:r>
      <w:r w:rsidR="00B95DFF" w:rsidRPr="000811DF">
        <w:rPr>
          <w:rFonts w:asciiTheme="minorHAnsi" w:hAnsiTheme="minorHAnsi" w:cstheme="minorHAnsi"/>
        </w:rPr>
        <w:t xml:space="preserve">  While the evidence showed the CI sought infrequent treatment for these conditions, none</w:t>
      </w:r>
      <w:r w:rsidRPr="000811DF">
        <w:rPr>
          <w:rFonts w:asciiTheme="minorHAnsi" w:hAnsiTheme="minorHAnsi" w:cstheme="minorHAnsi"/>
        </w:rPr>
        <w:t xml:space="preserve"> were significantly clinically or occupationally active during the MEB period, none carried attached duty limitations or LIMDU, and none were implicated in the commander’s non-medical</w:t>
      </w:r>
      <w:r w:rsidR="004F662B">
        <w:rPr>
          <w:rFonts w:asciiTheme="minorHAnsi" w:hAnsiTheme="minorHAnsi" w:cstheme="minorHAnsi"/>
        </w:rPr>
        <w:t xml:space="preserve"> assessment</w:t>
      </w:r>
      <w:r w:rsidRPr="000811DF">
        <w:rPr>
          <w:rFonts w:asciiTheme="minorHAnsi" w:hAnsiTheme="minorHAnsi" w:cstheme="minorHAnsi"/>
        </w:rPr>
        <w:t xml:space="preserve">.  These conditions were reviewed by the </w:t>
      </w:r>
      <w:r w:rsidR="004F662B">
        <w:rPr>
          <w:rFonts w:asciiTheme="minorHAnsi" w:hAnsiTheme="minorHAnsi" w:cstheme="minorHAnsi"/>
        </w:rPr>
        <w:t>action o</w:t>
      </w:r>
      <w:r w:rsidRPr="000811DF">
        <w:rPr>
          <w:rFonts w:asciiTheme="minorHAnsi" w:hAnsiTheme="minorHAnsi" w:cstheme="minorHAnsi"/>
        </w:rPr>
        <w:t xml:space="preserve">fficer and considered by the Board.  It was determined that none could be argued as unfitting and subject to separation rating. </w:t>
      </w:r>
      <w:r w:rsidR="00191C6B" w:rsidRPr="000811DF">
        <w:rPr>
          <w:rFonts w:asciiTheme="minorHAnsi" w:hAnsiTheme="minorHAnsi" w:cstheme="minorHAnsi"/>
        </w:rPr>
        <w:t xml:space="preserve"> </w:t>
      </w:r>
      <w:r w:rsidRPr="000811DF">
        <w:rPr>
          <w:rFonts w:asciiTheme="minorHAnsi" w:hAnsiTheme="minorHAnsi" w:cstheme="minorHAnsi"/>
        </w:rPr>
        <w:t xml:space="preserve">The Board does not have the authority under </w:t>
      </w:r>
      <w:proofErr w:type="spellStart"/>
      <w:r w:rsidRPr="000811DF">
        <w:rPr>
          <w:rFonts w:asciiTheme="minorHAnsi" w:hAnsiTheme="minorHAnsi" w:cstheme="minorHAnsi"/>
        </w:rPr>
        <w:t>DoDI</w:t>
      </w:r>
      <w:proofErr w:type="spellEnd"/>
      <w:r w:rsidRPr="000811DF">
        <w:rPr>
          <w:rFonts w:asciiTheme="minorHAnsi" w:hAnsiTheme="minorHAnsi" w:cstheme="minorHAnsi"/>
        </w:rPr>
        <w:t xml:space="preserve"> 6040.44 to render fitness or rating recommendations for any conditions not considered by the DES.  The Board thus has no basis for recommending any additional unfitting co</w:t>
      </w:r>
      <w:r w:rsidR="00B95DFF" w:rsidRPr="000811DF">
        <w:rPr>
          <w:rFonts w:asciiTheme="minorHAnsi" w:hAnsiTheme="minorHAnsi" w:cstheme="minorHAnsi"/>
        </w:rPr>
        <w:t>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DF7958" w:rsidRDefault="00C56FC8" w:rsidP="00F27AF6">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275465" w:rsidRPr="00275465">
        <w:rPr>
          <w:rFonts w:asciiTheme="minorHAnsi" w:eastAsiaTheme="minorHAnsi" w:hAnsiTheme="minorHAnsi"/>
          <w:color w:val="auto"/>
          <w:szCs w:val="24"/>
        </w:rPr>
        <w:t xml:space="preserve"> </w:t>
      </w:r>
      <w:r w:rsidR="00275465">
        <w:rPr>
          <w:rFonts w:asciiTheme="minorHAnsi" w:eastAsiaTheme="minorHAnsi" w:hAnsiTheme="minorHAnsi"/>
          <w:color w:val="auto"/>
          <w:szCs w:val="24"/>
        </w:rPr>
        <w:t xml:space="preserve"> </w:t>
      </w:r>
      <w:r w:rsidR="00275465" w:rsidRPr="00396779">
        <w:rPr>
          <w:rFonts w:asciiTheme="minorHAnsi" w:eastAsiaTheme="minorHAnsi" w:hAnsiTheme="minorHAnsi"/>
          <w:color w:val="auto"/>
          <w:szCs w:val="24"/>
        </w:rPr>
        <w:t xml:space="preserve">In the matter of the </w:t>
      </w:r>
      <w:r w:rsidR="00E56445">
        <w:rPr>
          <w:rFonts w:asciiTheme="minorHAnsi" w:hAnsiTheme="minorHAnsi" w:cstheme="minorHAnsi"/>
          <w:color w:val="auto"/>
          <w:szCs w:val="24"/>
        </w:rPr>
        <w:t>complex regional pain syndrome</w:t>
      </w:r>
      <w:r w:rsidR="004F662B">
        <w:rPr>
          <w:rFonts w:asciiTheme="minorHAnsi" w:eastAsiaTheme="minorHAnsi" w:hAnsiTheme="minorHAnsi"/>
          <w:color w:val="auto"/>
          <w:szCs w:val="24"/>
        </w:rPr>
        <w:t xml:space="preserve">, right lower extremity </w:t>
      </w:r>
      <w:r w:rsidR="004F662B">
        <w:rPr>
          <w:rFonts w:asciiTheme="minorHAnsi" w:hAnsiTheme="minorHAnsi" w:cstheme="minorHAnsi"/>
          <w:color w:val="auto"/>
          <w:szCs w:val="24"/>
        </w:rPr>
        <w:t>and category II condition, n</w:t>
      </w:r>
      <w:r w:rsidR="00EA48A5">
        <w:rPr>
          <w:rFonts w:asciiTheme="minorHAnsi" w:hAnsiTheme="minorHAnsi" w:cstheme="minorHAnsi"/>
          <w:color w:val="auto"/>
          <w:szCs w:val="24"/>
        </w:rPr>
        <w:t>umbness and nerve pain in the toes and decreased sensation in the medial aspect of foot</w:t>
      </w:r>
      <w:r w:rsidR="004F662B">
        <w:rPr>
          <w:rFonts w:asciiTheme="minorHAnsi" w:hAnsiTheme="minorHAnsi" w:cstheme="minorHAnsi"/>
          <w:color w:val="auto"/>
          <w:szCs w:val="24"/>
        </w:rPr>
        <w:t>,</w:t>
      </w:r>
      <w:r w:rsidR="00275465" w:rsidRPr="00396779">
        <w:rPr>
          <w:rFonts w:asciiTheme="minorHAnsi" w:eastAsiaTheme="minorHAnsi" w:hAnsiTheme="minorHAnsi"/>
          <w:color w:val="auto"/>
          <w:szCs w:val="24"/>
        </w:rPr>
        <w:t xml:space="preserve"> the Board </w:t>
      </w:r>
      <w:r w:rsidR="00275465" w:rsidRPr="000811DF">
        <w:rPr>
          <w:rFonts w:asciiTheme="minorHAnsi" w:eastAsiaTheme="minorHAnsi" w:hAnsiTheme="minorHAnsi"/>
          <w:color w:val="auto"/>
          <w:szCs w:val="24"/>
        </w:rPr>
        <w:t>unanimously</w:t>
      </w:r>
      <w:r w:rsidR="00FF617F">
        <w:rPr>
          <w:rFonts w:asciiTheme="minorHAnsi" w:eastAsiaTheme="minorHAnsi" w:hAnsiTheme="minorHAnsi"/>
          <w:color w:val="auto"/>
          <w:szCs w:val="24"/>
        </w:rPr>
        <w:t xml:space="preserve"> recommends a</w:t>
      </w:r>
      <w:r w:rsidR="00FF617F" w:rsidRPr="00664296">
        <w:rPr>
          <w:rFonts w:asciiTheme="minorHAnsi" w:eastAsiaTheme="minorHAnsi" w:hAnsiTheme="minorHAnsi"/>
          <w:color w:val="auto"/>
          <w:szCs w:val="24"/>
        </w:rPr>
        <w:t xml:space="preserve"> change in the PEB rating</w:t>
      </w:r>
      <w:r w:rsidR="00FF617F">
        <w:rPr>
          <w:rFonts w:asciiTheme="minorHAnsi" w:hAnsiTheme="minorHAnsi"/>
          <w:color w:val="auto"/>
          <w:szCs w:val="24"/>
        </w:rPr>
        <w:t xml:space="preserve"> to 10%</w:t>
      </w:r>
      <w:r w:rsidR="00FF617F" w:rsidRPr="00664296">
        <w:rPr>
          <w:rFonts w:asciiTheme="minorHAnsi" w:hAnsiTheme="minorHAnsi"/>
          <w:color w:val="auto"/>
          <w:szCs w:val="24"/>
        </w:rPr>
        <w:t xml:space="preserve"> a</w:t>
      </w:r>
      <w:r w:rsidR="00FF617F">
        <w:rPr>
          <w:rFonts w:asciiTheme="minorHAnsi" w:hAnsiTheme="minorHAnsi"/>
          <w:color w:val="auto"/>
          <w:szCs w:val="24"/>
        </w:rPr>
        <w:t>nd a change in VASRD code to</w:t>
      </w:r>
      <w:r w:rsidR="00191C6B" w:rsidRPr="000811DF">
        <w:rPr>
          <w:rFonts w:asciiTheme="minorHAnsi" w:eastAsiaTheme="minorHAnsi" w:hAnsiTheme="minorHAnsi"/>
          <w:color w:val="auto"/>
          <w:szCs w:val="24"/>
        </w:rPr>
        <w:t xml:space="preserve"> </w:t>
      </w:r>
      <w:r w:rsidR="00191C6B" w:rsidRPr="000811DF">
        <w:rPr>
          <w:rFonts w:asciiTheme="minorHAnsi" w:hAnsiTheme="minorHAnsi"/>
          <w:color w:val="auto"/>
          <w:szCs w:val="24"/>
        </w:rPr>
        <w:t>8799-8621</w:t>
      </w:r>
      <w:r w:rsidR="00191C6B" w:rsidRPr="000811DF">
        <w:rPr>
          <w:rFonts w:asciiTheme="minorHAnsi" w:eastAsiaTheme="minorHAnsi" w:hAnsiTheme="minorHAnsi"/>
          <w:color w:val="auto"/>
          <w:szCs w:val="24"/>
        </w:rPr>
        <w:t xml:space="preserve"> </w:t>
      </w:r>
      <w:r w:rsidR="00191C6B" w:rsidRPr="000811DF">
        <w:rPr>
          <w:rFonts w:asciiTheme="minorHAnsi" w:hAnsiTheme="minorHAnsi"/>
          <w:color w:val="auto"/>
          <w:szCs w:val="24"/>
        </w:rPr>
        <w:t>IAW</w:t>
      </w:r>
      <w:r w:rsidR="00191C6B" w:rsidRPr="00396779">
        <w:rPr>
          <w:rFonts w:asciiTheme="minorHAnsi" w:hAnsiTheme="minorHAnsi"/>
          <w:color w:val="auto"/>
          <w:szCs w:val="24"/>
        </w:rPr>
        <w:t xml:space="preserve"> VASRD §</w:t>
      </w:r>
      <w:r w:rsidR="00191C6B" w:rsidRPr="00EA48A5">
        <w:rPr>
          <w:rFonts w:asciiTheme="minorHAnsi" w:hAnsiTheme="minorHAnsi"/>
          <w:color w:val="auto"/>
          <w:szCs w:val="24"/>
        </w:rPr>
        <w:t>4.124a</w:t>
      </w:r>
      <w:r w:rsidR="00191C6B">
        <w:rPr>
          <w:rFonts w:asciiTheme="minorHAnsi" w:hAnsiTheme="minorHAnsi"/>
          <w:color w:val="auto"/>
          <w:szCs w:val="24"/>
        </w:rPr>
        <w:t xml:space="preserve">. </w:t>
      </w:r>
      <w:r w:rsidR="00F27AF6">
        <w:rPr>
          <w:rFonts w:asciiTheme="minorHAnsi" w:hAnsiTheme="minorHAnsi"/>
          <w:color w:val="auto"/>
          <w:szCs w:val="24"/>
        </w:rPr>
        <w:t xml:space="preserve"> </w:t>
      </w:r>
      <w:r w:rsidR="00664296" w:rsidRPr="00664296">
        <w:rPr>
          <w:rFonts w:asciiTheme="minorHAnsi" w:hAnsiTheme="minorHAnsi"/>
          <w:color w:val="auto"/>
          <w:szCs w:val="24"/>
        </w:rPr>
        <w:t xml:space="preserve">In the matter of the </w:t>
      </w:r>
      <w:r w:rsidR="004F662B">
        <w:rPr>
          <w:rFonts w:asciiTheme="minorHAnsi" w:hAnsiTheme="minorHAnsi"/>
          <w:color w:val="auto"/>
          <w:szCs w:val="24"/>
        </w:rPr>
        <w:t>PEB c</w:t>
      </w:r>
      <w:r w:rsidR="00EA48A5">
        <w:rPr>
          <w:rFonts w:asciiTheme="minorHAnsi" w:hAnsiTheme="minorHAnsi"/>
          <w:color w:val="auto"/>
          <w:szCs w:val="24"/>
        </w:rPr>
        <w:t>ategory II conditions;</w:t>
      </w:r>
      <w:r w:rsidR="00EA48A5" w:rsidRPr="001335A9">
        <w:rPr>
          <w:rFonts w:asciiTheme="minorHAnsi" w:hAnsiTheme="minorHAnsi" w:cstheme="minorHAnsi"/>
          <w:color w:val="auto"/>
          <w:szCs w:val="24"/>
        </w:rPr>
        <w:t xml:space="preserve"> </w:t>
      </w:r>
      <w:r w:rsidR="004F662B">
        <w:rPr>
          <w:rFonts w:asciiTheme="minorHAnsi" w:hAnsiTheme="minorHAnsi" w:cstheme="minorHAnsi"/>
          <w:color w:val="auto"/>
          <w:szCs w:val="24"/>
        </w:rPr>
        <w:t xml:space="preserve">posterior </w:t>
      </w:r>
      <w:proofErr w:type="spellStart"/>
      <w:r w:rsidR="004F662B">
        <w:rPr>
          <w:rFonts w:asciiTheme="minorHAnsi" w:hAnsiTheme="minorHAnsi" w:cstheme="minorHAnsi"/>
          <w:color w:val="auto"/>
          <w:szCs w:val="24"/>
        </w:rPr>
        <w:t>tibialis</w:t>
      </w:r>
      <w:proofErr w:type="spellEnd"/>
      <w:r w:rsidR="004F662B">
        <w:rPr>
          <w:rFonts w:asciiTheme="minorHAnsi" w:hAnsiTheme="minorHAnsi" w:cstheme="minorHAnsi"/>
          <w:color w:val="auto"/>
          <w:szCs w:val="24"/>
        </w:rPr>
        <w:t xml:space="preserve"> tendon dysfunction and </w:t>
      </w:r>
      <w:proofErr w:type="spellStart"/>
      <w:r w:rsidR="004F662B">
        <w:rPr>
          <w:rFonts w:asciiTheme="minorHAnsi" w:hAnsiTheme="minorHAnsi" w:cstheme="minorHAnsi"/>
          <w:color w:val="auto"/>
          <w:szCs w:val="24"/>
        </w:rPr>
        <w:t>pes</w:t>
      </w:r>
      <w:proofErr w:type="spellEnd"/>
      <w:r w:rsidR="004F662B">
        <w:rPr>
          <w:rFonts w:asciiTheme="minorHAnsi" w:hAnsiTheme="minorHAnsi" w:cstheme="minorHAnsi"/>
          <w:color w:val="auto"/>
          <w:szCs w:val="24"/>
        </w:rPr>
        <w:t xml:space="preserve"> </w:t>
      </w:r>
      <w:proofErr w:type="spellStart"/>
      <w:r w:rsidR="004F662B">
        <w:rPr>
          <w:rFonts w:asciiTheme="minorHAnsi" w:hAnsiTheme="minorHAnsi" w:cstheme="minorHAnsi"/>
          <w:color w:val="auto"/>
          <w:szCs w:val="24"/>
        </w:rPr>
        <w:t>planus</w:t>
      </w:r>
      <w:proofErr w:type="spellEnd"/>
      <w:r w:rsidR="004F662B">
        <w:rPr>
          <w:rFonts w:asciiTheme="minorHAnsi" w:hAnsiTheme="minorHAnsi" w:cstheme="minorHAnsi"/>
          <w:color w:val="auto"/>
          <w:szCs w:val="24"/>
        </w:rPr>
        <w:t xml:space="preserve">; ankle talus </w:t>
      </w:r>
      <w:proofErr w:type="spellStart"/>
      <w:r w:rsidR="004F662B">
        <w:rPr>
          <w:rFonts w:asciiTheme="minorHAnsi" w:hAnsiTheme="minorHAnsi" w:cstheme="minorHAnsi"/>
          <w:color w:val="auto"/>
          <w:szCs w:val="24"/>
        </w:rPr>
        <w:t>osteochondral</w:t>
      </w:r>
      <w:proofErr w:type="spellEnd"/>
      <w:r w:rsidR="004F662B">
        <w:rPr>
          <w:rFonts w:asciiTheme="minorHAnsi" w:hAnsiTheme="minorHAnsi" w:cstheme="minorHAnsi"/>
          <w:color w:val="auto"/>
          <w:szCs w:val="24"/>
        </w:rPr>
        <w:t xml:space="preserve"> lesion status post two micro fractures and tight </w:t>
      </w:r>
      <w:proofErr w:type="spellStart"/>
      <w:r w:rsidR="004F662B">
        <w:rPr>
          <w:rFonts w:asciiTheme="minorHAnsi" w:hAnsiTheme="minorHAnsi" w:cstheme="minorHAnsi"/>
          <w:color w:val="auto"/>
          <w:szCs w:val="24"/>
        </w:rPr>
        <w:t>g</w:t>
      </w:r>
      <w:r w:rsidR="00EA48A5">
        <w:rPr>
          <w:rFonts w:asciiTheme="minorHAnsi" w:hAnsiTheme="minorHAnsi" w:cstheme="minorHAnsi"/>
          <w:color w:val="auto"/>
          <w:szCs w:val="24"/>
        </w:rPr>
        <w:t>astrocnemius</w:t>
      </w:r>
      <w:proofErr w:type="spellEnd"/>
      <w:r w:rsidR="00EA48A5">
        <w:rPr>
          <w:rFonts w:asciiTheme="minorHAnsi" w:hAnsiTheme="minorHAnsi" w:cstheme="minorHAnsi"/>
          <w:color w:val="auto"/>
          <w:szCs w:val="24"/>
        </w:rPr>
        <w:t xml:space="preserve"> </w:t>
      </w:r>
      <w:r w:rsidR="004F662B">
        <w:rPr>
          <w:rFonts w:asciiTheme="minorHAnsi" w:hAnsiTheme="minorHAnsi" w:cstheme="minorHAnsi"/>
          <w:color w:val="auto"/>
          <w:szCs w:val="24"/>
        </w:rPr>
        <w:t>status post r</w:t>
      </w:r>
      <w:r w:rsidR="00EA48A5">
        <w:rPr>
          <w:rFonts w:asciiTheme="minorHAnsi" w:hAnsiTheme="minorHAnsi" w:cstheme="minorHAnsi"/>
          <w:color w:val="auto"/>
          <w:szCs w:val="24"/>
        </w:rPr>
        <w:t>esection</w:t>
      </w:r>
      <w:r w:rsidR="00664296" w:rsidRPr="00664296">
        <w:rPr>
          <w:rFonts w:asciiTheme="minorHAnsi" w:hAnsiTheme="minorHAnsi"/>
          <w:color w:val="auto"/>
          <w:szCs w:val="24"/>
        </w:rPr>
        <w:t xml:space="preserve"> condition, </w:t>
      </w:r>
      <w:r w:rsidR="00664296" w:rsidRPr="00FF617F">
        <w:rPr>
          <w:rFonts w:asciiTheme="minorHAnsi" w:hAnsiTheme="minorHAnsi"/>
          <w:color w:val="auto"/>
          <w:szCs w:val="24"/>
        </w:rPr>
        <w:t>the Board unanimously recommends that it be add</w:t>
      </w:r>
      <w:r w:rsidR="00391AB4" w:rsidRPr="00FF617F">
        <w:rPr>
          <w:rFonts w:asciiTheme="minorHAnsi" w:hAnsiTheme="minorHAnsi"/>
          <w:color w:val="auto"/>
          <w:szCs w:val="24"/>
        </w:rPr>
        <w:t>ed as an a</w:t>
      </w:r>
      <w:r w:rsidR="00191C6B" w:rsidRPr="00FF617F">
        <w:rPr>
          <w:rFonts w:asciiTheme="minorHAnsi" w:hAnsiTheme="minorHAnsi"/>
          <w:color w:val="auto"/>
          <w:szCs w:val="24"/>
        </w:rPr>
        <w:t>dditionally unfitting</w:t>
      </w:r>
      <w:r w:rsidR="00391AB4" w:rsidRPr="00FF617F">
        <w:rPr>
          <w:rFonts w:asciiTheme="minorHAnsi" w:hAnsiTheme="minorHAnsi" w:cstheme="minorHAnsi"/>
          <w:color w:val="auto"/>
          <w:szCs w:val="24"/>
        </w:rPr>
        <w:t xml:space="preserve"> </w:t>
      </w:r>
      <w:r w:rsidR="00664296" w:rsidRPr="00FF617F">
        <w:rPr>
          <w:rFonts w:asciiTheme="minorHAnsi" w:hAnsiTheme="minorHAnsi"/>
          <w:color w:val="auto"/>
          <w:szCs w:val="24"/>
        </w:rPr>
        <w:t>condition</w:t>
      </w:r>
      <w:r w:rsidR="00391AB4" w:rsidRPr="00FF617F">
        <w:rPr>
          <w:rFonts w:asciiTheme="minorHAnsi" w:hAnsiTheme="minorHAnsi"/>
          <w:color w:val="auto"/>
          <w:szCs w:val="24"/>
        </w:rPr>
        <w:t>,</w:t>
      </w:r>
      <w:r w:rsidR="00664296" w:rsidRPr="00FF617F">
        <w:rPr>
          <w:rFonts w:asciiTheme="minorHAnsi" w:hAnsiTheme="minorHAnsi"/>
          <w:color w:val="auto"/>
          <w:szCs w:val="24"/>
        </w:rPr>
        <w:t xml:space="preserve"> for separation rating; coded </w:t>
      </w:r>
      <w:r w:rsidR="00FF617F" w:rsidRPr="00FF617F">
        <w:rPr>
          <w:rFonts w:asciiTheme="minorHAnsi" w:hAnsiTheme="minorHAnsi" w:cstheme="minorHAnsi"/>
          <w:color w:val="auto"/>
          <w:szCs w:val="24"/>
        </w:rPr>
        <w:t xml:space="preserve">5099-5276 </w:t>
      </w:r>
      <w:r w:rsidR="00664296" w:rsidRPr="00FF617F">
        <w:rPr>
          <w:rFonts w:asciiTheme="minorHAnsi" w:hAnsiTheme="minorHAnsi"/>
          <w:color w:val="auto"/>
          <w:szCs w:val="24"/>
        </w:rPr>
        <w:t xml:space="preserve">and rated </w:t>
      </w:r>
      <w:r w:rsidR="00FF617F" w:rsidRPr="00FF617F">
        <w:rPr>
          <w:rFonts w:asciiTheme="minorHAnsi" w:hAnsiTheme="minorHAnsi"/>
          <w:color w:val="auto"/>
          <w:szCs w:val="24"/>
        </w:rPr>
        <w:t>2</w:t>
      </w:r>
      <w:r w:rsidR="0018764C" w:rsidRPr="00FF617F">
        <w:rPr>
          <w:rFonts w:asciiTheme="minorHAnsi" w:hAnsiTheme="minorHAnsi"/>
          <w:color w:val="auto"/>
          <w:szCs w:val="24"/>
        </w:rPr>
        <w:t xml:space="preserve">0% </w:t>
      </w:r>
      <w:r w:rsidR="00664296" w:rsidRPr="00FF617F">
        <w:rPr>
          <w:rFonts w:asciiTheme="minorHAnsi" w:hAnsiTheme="minorHAnsi"/>
          <w:color w:val="auto"/>
          <w:szCs w:val="24"/>
        </w:rPr>
        <w:t xml:space="preserve">IAW VASRD §4.71a.  </w:t>
      </w:r>
      <w:r w:rsidR="00DF7958" w:rsidRPr="00FF617F">
        <w:rPr>
          <w:rFonts w:asciiTheme="minorHAnsi" w:hAnsiTheme="minorHAnsi"/>
          <w:color w:val="auto"/>
          <w:szCs w:val="24"/>
        </w:rPr>
        <w:t>The Board unanimously</w:t>
      </w:r>
      <w:r w:rsidR="00DF7958">
        <w:rPr>
          <w:rFonts w:asciiTheme="minorHAnsi" w:hAnsiTheme="minorHAnsi"/>
          <w:color w:val="auto"/>
          <w:szCs w:val="24"/>
        </w:rPr>
        <w:t xml:space="preserve"> agrees that there were no other conditions eligible for Board consideration which could be recommended as additionally unfitting for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F27AF6" w:rsidRDefault="00F27AF6">
      <w:pPr>
        <w:rPr>
          <w:rFonts w:asciiTheme="minorHAnsi" w:hAnsiTheme="minorHAnsi"/>
          <w:color w:val="auto"/>
          <w:szCs w:val="24"/>
          <w:u w:val="single"/>
        </w:rPr>
      </w:pPr>
      <w:r>
        <w:rPr>
          <w:rFonts w:asciiTheme="minorHAnsi" w:hAnsiTheme="minorHAnsi"/>
          <w:color w:val="auto"/>
          <w:szCs w:val="24"/>
          <w:u w:val="single"/>
        </w:rPr>
        <w:br w:type="page"/>
      </w:r>
    </w:p>
    <w:p w:rsidR="00391AB4" w:rsidRPr="00F27AF6" w:rsidRDefault="00C56FC8" w:rsidP="00741E17">
      <w:pPr>
        <w:spacing w:line="240" w:lineRule="exact"/>
        <w:jc w:val="both"/>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8208C3" w:rsidRPr="00396779">
        <w:rPr>
          <w:rFonts w:asciiTheme="minorHAnsi" w:hAnsiTheme="minorHAnsi"/>
          <w:color w:val="000080"/>
          <w:szCs w:val="24"/>
        </w:rPr>
        <w:t xml:space="preserve"> </w:t>
      </w:r>
      <w:r w:rsidR="008208C3" w:rsidRPr="00396779">
        <w:rPr>
          <w:rFonts w:asciiTheme="minorHAnsi" w:hAnsiTheme="minorHAnsi"/>
          <w:color w:val="auto"/>
          <w:szCs w:val="24"/>
        </w:rPr>
        <w:t xml:space="preserve">The Board recommends that the CI’s prior determination be </w:t>
      </w:r>
      <w:r w:rsidR="008208C3" w:rsidRPr="00F27AF6">
        <w:rPr>
          <w:rFonts w:asciiTheme="minorHAnsi" w:hAnsiTheme="minorHAnsi"/>
          <w:color w:val="auto"/>
          <w:szCs w:val="24"/>
        </w:rPr>
        <w:t xml:space="preserve">modified as follows and that the discharge with severance pay be </w:t>
      </w:r>
      <w:proofErr w:type="spellStart"/>
      <w:r w:rsidR="008208C3" w:rsidRPr="00F27AF6">
        <w:rPr>
          <w:rFonts w:asciiTheme="minorHAnsi" w:hAnsiTheme="minorHAnsi"/>
          <w:color w:val="auto"/>
          <w:szCs w:val="24"/>
        </w:rPr>
        <w:t>recharacterized</w:t>
      </w:r>
      <w:proofErr w:type="spellEnd"/>
      <w:r w:rsidR="008208C3" w:rsidRPr="00F27AF6">
        <w:rPr>
          <w:rFonts w:asciiTheme="minorHAnsi" w:hAnsiTheme="minorHAnsi"/>
          <w:color w:val="auto"/>
          <w:szCs w:val="24"/>
        </w:rPr>
        <w:t xml:space="preserve"> to reflect permanent disability retirement, effective as of the date of </w:t>
      </w:r>
      <w:r w:rsidR="00187206" w:rsidRPr="00F27AF6">
        <w:rPr>
          <w:rFonts w:asciiTheme="minorHAnsi" w:hAnsiTheme="minorHAnsi"/>
          <w:color w:val="auto"/>
          <w:szCs w:val="24"/>
        </w:rPr>
        <w:t>her</w:t>
      </w:r>
      <w:r w:rsidR="00911B11" w:rsidRPr="00F27AF6">
        <w:rPr>
          <w:rFonts w:asciiTheme="minorHAnsi" w:hAnsiTheme="minorHAnsi"/>
          <w:color w:val="auto"/>
          <w:szCs w:val="24"/>
        </w:rPr>
        <w:t xml:space="preserve"> prior medical separation:</w:t>
      </w:r>
    </w:p>
    <w:p w:rsidR="00191C6B" w:rsidRPr="00F27AF6" w:rsidRDefault="00191C6B"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8764C" w:rsidRPr="00F27AF6" w:rsidTr="0018764C">
        <w:trPr>
          <w:trHeight w:val="233"/>
          <w:jc w:val="center"/>
        </w:trPr>
        <w:tc>
          <w:tcPr>
            <w:tcW w:w="64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764C" w:rsidRPr="00F27AF6" w:rsidRDefault="0018764C" w:rsidP="0018764C">
            <w:pPr>
              <w:tabs>
                <w:tab w:val="left" w:pos="288"/>
                <w:tab w:val="left" w:pos="4752"/>
              </w:tabs>
              <w:spacing w:line="240" w:lineRule="exact"/>
              <w:jc w:val="center"/>
              <w:rPr>
                <w:rFonts w:asciiTheme="minorHAnsi" w:hAnsiTheme="minorHAnsi"/>
                <w:b/>
                <w:color w:val="auto"/>
                <w:szCs w:val="24"/>
              </w:rPr>
            </w:pPr>
            <w:r w:rsidRPr="00F27AF6">
              <w:rPr>
                <w:rFonts w:asciiTheme="minorHAnsi" w:hAnsiTheme="minorHAnsi"/>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764C" w:rsidRPr="00F27AF6" w:rsidRDefault="0018764C" w:rsidP="0018764C">
            <w:pPr>
              <w:tabs>
                <w:tab w:val="left" w:pos="288"/>
                <w:tab w:val="left" w:pos="4752"/>
              </w:tabs>
              <w:spacing w:line="240" w:lineRule="exact"/>
              <w:jc w:val="center"/>
              <w:rPr>
                <w:rFonts w:asciiTheme="minorHAnsi" w:hAnsiTheme="minorHAnsi"/>
                <w:b/>
                <w:color w:val="auto"/>
                <w:szCs w:val="24"/>
              </w:rPr>
            </w:pPr>
            <w:r w:rsidRPr="00F27AF6">
              <w:rPr>
                <w:rFonts w:asciiTheme="minorHAnsi" w:hAnsi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8764C" w:rsidRPr="00F27AF6" w:rsidRDefault="0018764C" w:rsidP="0018764C">
            <w:pPr>
              <w:tabs>
                <w:tab w:val="left" w:pos="288"/>
                <w:tab w:val="left" w:pos="4752"/>
              </w:tabs>
              <w:spacing w:line="240" w:lineRule="exact"/>
              <w:jc w:val="center"/>
              <w:rPr>
                <w:rFonts w:asciiTheme="minorHAnsi" w:hAnsiTheme="minorHAnsi"/>
                <w:b/>
                <w:color w:val="auto"/>
                <w:szCs w:val="24"/>
              </w:rPr>
            </w:pPr>
            <w:r w:rsidRPr="00F27AF6">
              <w:rPr>
                <w:rFonts w:asciiTheme="minorHAnsi" w:hAnsiTheme="minorHAnsi"/>
                <w:b/>
                <w:color w:val="auto"/>
                <w:szCs w:val="24"/>
              </w:rPr>
              <w:t>RATING</w:t>
            </w:r>
          </w:p>
        </w:tc>
      </w:tr>
      <w:tr w:rsidR="0018764C" w:rsidRPr="00F27AF6" w:rsidTr="00374927">
        <w:trPr>
          <w:trHeight w:val="359"/>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8764C" w:rsidRPr="00F27AF6" w:rsidRDefault="0018764C" w:rsidP="0018764C">
            <w:pPr>
              <w:tabs>
                <w:tab w:val="left" w:pos="288"/>
                <w:tab w:val="left" w:pos="4752"/>
              </w:tabs>
              <w:spacing w:line="240" w:lineRule="exact"/>
              <w:rPr>
                <w:rFonts w:asciiTheme="minorHAnsi" w:hAnsiTheme="minorHAnsi"/>
                <w:color w:val="auto"/>
                <w:szCs w:val="24"/>
              </w:rPr>
            </w:pPr>
            <w:r w:rsidRPr="00F27AF6">
              <w:rPr>
                <w:rFonts w:asciiTheme="minorHAnsi" w:hAnsiTheme="minorHAnsi" w:cstheme="minorHAnsi"/>
                <w:color w:val="auto"/>
                <w:szCs w:val="24"/>
              </w:rPr>
              <w:t xml:space="preserve">Complex </w:t>
            </w:r>
            <w:r w:rsidR="00E56445">
              <w:rPr>
                <w:rFonts w:asciiTheme="minorHAnsi" w:hAnsiTheme="minorHAnsi" w:cstheme="minorHAnsi"/>
                <w:color w:val="auto"/>
                <w:szCs w:val="24"/>
              </w:rPr>
              <w:t>R</w:t>
            </w:r>
            <w:r w:rsidR="007448F7" w:rsidRPr="00F27AF6">
              <w:rPr>
                <w:rFonts w:asciiTheme="minorHAnsi" w:hAnsiTheme="minorHAnsi" w:cstheme="minorHAnsi"/>
                <w:color w:val="auto"/>
                <w:szCs w:val="24"/>
              </w:rPr>
              <w:t xml:space="preserve">egional </w:t>
            </w:r>
            <w:r w:rsidRPr="00F27AF6">
              <w:rPr>
                <w:rFonts w:asciiTheme="minorHAnsi" w:hAnsiTheme="minorHAnsi" w:cstheme="minorHAnsi"/>
                <w:color w:val="auto"/>
                <w:szCs w:val="24"/>
              </w:rPr>
              <w:t>Pain Syndrome, Right Lower Extremity</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18764C" w:rsidRPr="00F27AF6" w:rsidRDefault="0018764C" w:rsidP="00191C6B">
            <w:pPr>
              <w:tabs>
                <w:tab w:val="left" w:pos="288"/>
                <w:tab w:val="left" w:pos="4752"/>
              </w:tabs>
              <w:spacing w:line="240" w:lineRule="exact"/>
              <w:jc w:val="center"/>
              <w:rPr>
                <w:rFonts w:asciiTheme="minorHAnsi" w:hAnsiTheme="minorHAnsi"/>
                <w:color w:val="auto"/>
                <w:szCs w:val="24"/>
              </w:rPr>
            </w:pPr>
            <w:r w:rsidRPr="00F27AF6">
              <w:rPr>
                <w:rFonts w:asciiTheme="minorHAnsi" w:hAnsiTheme="minorHAnsi"/>
                <w:color w:val="auto"/>
                <w:szCs w:val="24"/>
              </w:rPr>
              <w:t>8799-8</w:t>
            </w:r>
            <w:r w:rsidR="00191C6B" w:rsidRPr="00F27AF6">
              <w:rPr>
                <w:rFonts w:asciiTheme="minorHAnsi" w:hAnsiTheme="minorHAnsi"/>
                <w:color w:val="auto"/>
                <w:szCs w:val="24"/>
              </w:rPr>
              <w:t>621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391AB4" w:rsidRPr="00F27AF6" w:rsidRDefault="00FF617F" w:rsidP="00187206">
            <w:pPr>
              <w:tabs>
                <w:tab w:val="left" w:pos="288"/>
                <w:tab w:val="left" w:pos="4752"/>
              </w:tabs>
              <w:spacing w:line="240" w:lineRule="exact"/>
              <w:jc w:val="center"/>
              <w:rPr>
                <w:rFonts w:asciiTheme="minorHAnsi" w:hAnsiTheme="minorHAnsi"/>
                <w:color w:val="auto"/>
                <w:szCs w:val="24"/>
              </w:rPr>
            </w:pPr>
            <w:r w:rsidRPr="00F27AF6">
              <w:rPr>
                <w:rFonts w:asciiTheme="minorHAnsi" w:hAnsiTheme="minorHAnsi"/>
                <w:color w:val="auto"/>
                <w:szCs w:val="24"/>
              </w:rPr>
              <w:t>10</w:t>
            </w:r>
            <w:r w:rsidR="0018764C" w:rsidRPr="00F27AF6">
              <w:rPr>
                <w:rFonts w:asciiTheme="minorHAnsi" w:hAnsiTheme="minorHAnsi"/>
                <w:color w:val="auto"/>
                <w:szCs w:val="24"/>
              </w:rPr>
              <w:t>%</w:t>
            </w:r>
          </w:p>
        </w:tc>
      </w:tr>
      <w:tr w:rsidR="0018764C" w:rsidRPr="00F27AF6" w:rsidTr="00374927">
        <w:trPr>
          <w:trHeight w:val="350"/>
          <w:jc w:val="center"/>
        </w:trPr>
        <w:tc>
          <w:tcPr>
            <w:tcW w:w="6480" w:type="dxa"/>
            <w:tcBorders>
              <w:top w:val="single" w:sz="4" w:space="0" w:color="000000"/>
              <w:left w:val="single" w:sz="4" w:space="0" w:color="000000"/>
              <w:bottom w:val="single" w:sz="4" w:space="0" w:color="000000"/>
              <w:right w:val="single" w:sz="4" w:space="0" w:color="000000"/>
            </w:tcBorders>
            <w:vAlign w:val="center"/>
            <w:hideMark/>
          </w:tcPr>
          <w:p w:rsidR="0018764C" w:rsidRPr="00F27AF6" w:rsidRDefault="0018764C" w:rsidP="0018764C">
            <w:pPr>
              <w:tabs>
                <w:tab w:val="left" w:pos="288"/>
                <w:tab w:val="left" w:pos="4752"/>
              </w:tabs>
              <w:spacing w:line="240" w:lineRule="exact"/>
              <w:rPr>
                <w:rFonts w:asciiTheme="minorHAnsi" w:hAnsiTheme="minorHAnsi" w:cstheme="minorHAnsi"/>
                <w:color w:val="auto"/>
                <w:szCs w:val="24"/>
              </w:rPr>
            </w:pPr>
            <w:r w:rsidRPr="00F27AF6">
              <w:rPr>
                <w:rFonts w:asciiTheme="minorHAnsi" w:hAnsiTheme="minorHAnsi" w:cstheme="minorHAnsi"/>
                <w:color w:val="auto"/>
                <w:szCs w:val="24"/>
              </w:rPr>
              <w:t xml:space="preserve">Significant Posterior </w:t>
            </w:r>
            <w:proofErr w:type="spellStart"/>
            <w:r w:rsidRPr="00F27AF6">
              <w:rPr>
                <w:rFonts w:asciiTheme="minorHAnsi" w:hAnsiTheme="minorHAnsi" w:cstheme="minorHAnsi"/>
                <w:color w:val="auto"/>
                <w:szCs w:val="24"/>
              </w:rPr>
              <w:t>Tibialis</w:t>
            </w:r>
            <w:proofErr w:type="spellEnd"/>
            <w:r w:rsidRPr="00F27AF6">
              <w:rPr>
                <w:rFonts w:asciiTheme="minorHAnsi" w:hAnsiTheme="minorHAnsi" w:cstheme="minorHAnsi"/>
                <w:color w:val="auto"/>
                <w:szCs w:val="24"/>
              </w:rPr>
              <w:t xml:space="preserve"> Tendon Dysfunction and </w:t>
            </w:r>
            <w:proofErr w:type="spellStart"/>
            <w:r w:rsidRPr="00F27AF6">
              <w:rPr>
                <w:rFonts w:asciiTheme="minorHAnsi" w:hAnsiTheme="minorHAnsi" w:cstheme="minorHAnsi"/>
                <w:color w:val="auto"/>
                <w:szCs w:val="24"/>
              </w:rPr>
              <w:t>Pes</w:t>
            </w:r>
            <w:proofErr w:type="spellEnd"/>
            <w:r w:rsidRPr="00F27AF6">
              <w:rPr>
                <w:rFonts w:asciiTheme="minorHAnsi" w:hAnsiTheme="minorHAnsi" w:cstheme="minorHAnsi"/>
                <w:color w:val="auto"/>
                <w:szCs w:val="24"/>
              </w:rPr>
              <w:t xml:space="preserve"> </w:t>
            </w:r>
            <w:proofErr w:type="spellStart"/>
            <w:r w:rsidRPr="00F27AF6">
              <w:rPr>
                <w:rFonts w:asciiTheme="minorHAnsi" w:hAnsiTheme="minorHAnsi" w:cstheme="minorHAnsi"/>
                <w:color w:val="auto"/>
                <w:szCs w:val="24"/>
              </w:rPr>
              <w:t>Planus</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391AB4" w:rsidRPr="00F27AF6" w:rsidRDefault="00191C6B" w:rsidP="00FF617F">
            <w:pPr>
              <w:tabs>
                <w:tab w:val="left" w:pos="288"/>
                <w:tab w:val="left" w:pos="4752"/>
              </w:tabs>
              <w:spacing w:line="240" w:lineRule="exact"/>
              <w:jc w:val="center"/>
              <w:rPr>
                <w:rFonts w:asciiTheme="minorHAnsi" w:hAnsiTheme="minorHAnsi"/>
                <w:color w:val="auto"/>
                <w:szCs w:val="24"/>
              </w:rPr>
            </w:pPr>
            <w:r w:rsidRPr="00F27AF6">
              <w:rPr>
                <w:rFonts w:asciiTheme="minorHAnsi" w:hAnsiTheme="minorHAnsi"/>
                <w:color w:val="auto"/>
                <w:szCs w:val="24"/>
              </w:rPr>
              <w:t>5099-</w:t>
            </w:r>
            <w:r w:rsidR="00FF617F" w:rsidRPr="00F27AF6">
              <w:rPr>
                <w:rFonts w:asciiTheme="minorHAnsi" w:hAnsiTheme="minorHAnsi"/>
                <w:color w:val="auto"/>
                <w:szCs w:val="24"/>
              </w:rPr>
              <w:t>5276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391AB4" w:rsidRPr="00F27AF6" w:rsidRDefault="00FF617F" w:rsidP="00187206">
            <w:pPr>
              <w:tabs>
                <w:tab w:val="left" w:pos="288"/>
                <w:tab w:val="left" w:pos="4752"/>
              </w:tabs>
              <w:spacing w:line="240" w:lineRule="exact"/>
              <w:jc w:val="center"/>
              <w:rPr>
                <w:rFonts w:asciiTheme="minorHAnsi" w:hAnsiTheme="minorHAnsi"/>
                <w:color w:val="auto"/>
                <w:szCs w:val="24"/>
                <w:highlight w:val="yellow"/>
              </w:rPr>
            </w:pPr>
            <w:r w:rsidRPr="00F27AF6">
              <w:rPr>
                <w:rFonts w:asciiTheme="minorHAnsi" w:hAnsiTheme="minorHAnsi"/>
                <w:color w:val="auto"/>
                <w:szCs w:val="24"/>
              </w:rPr>
              <w:t>20</w:t>
            </w:r>
            <w:r w:rsidR="0018764C" w:rsidRPr="00F27AF6">
              <w:rPr>
                <w:rFonts w:asciiTheme="minorHAnsi" w:hAnsiTheme="minorHAnsi"/>
                <w:color w:val="auto"/>
                <w:szCs w:val="24"/>
              </w:rPr>
              <w:t>%</w:t>
            </w:r>
          </w:p>
        </w:tc>
      </w:tr>
      <w:tr w:rsidR="0018764C" w:rsidRPr="00F27AF6" w:rsidTr="0018764C">
        <w:trPr>
          <w:gridBefore w:val="1"/>
          <w:wBefore w:w="6480" w:type="dxa"/>
          <w:trHeight w:val="152"/>
          <w:jc w:val="center"/>
        </w:trPr>
        <w:tc>
          <w:tcPr>
            <w:tcW w:w="171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hideMark/>
          </w:tcPr>
          <w:p w:rsidR="0018764C" w:rsidRPr="00F27AF6" w:rsidRDefault="0018764C" w:rsidP="0018764C">
            <w:pPr>
              <w:tabs>
                <w:tab w:val="left" w:pos="288"/>
                <w:tab w:val="left" w:pos="4752"/>
              </w:tabs>
              <w:spacing w:line="240" w:lineRule="exact"/>
              <w:jc w:val="center"/>
              <w:rPr>
                <w:rFonts w:asciiTheme="minorHAnsi" w:hAnsiTheme="minorHAnsi"/>
                <w:b/>
                <w:color w:val="auto"/>
                <w:szCs w:val="24"/>
              </w:rPr>
            </w:pPr>
            <w:r w:rsidRPr="00F27AF6">
              <w:rPr>
                <w:rFonts w:asciiTheme="minorHAnsi" w:hAnsiTheme="minorHAnsi"/>
                <w:b/>
                <w:color w:val="auto"/>
                <w:szCs w:val="24"/>
              </w:rPr>
              <w:t>COMBINED</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391AB4" w:rsidRPr="00F27AF6" w:rsidRDefault="00191C6B" w:rsidP="00187206">
            <w:pPr>
              <w:tabs>
                <w:tab w:val="left" w:pos="288"/>
                <w:tab w:val="left" w:pos="4752"/>
              </w:tabs>
              <w:spacing w:line="240" w:lineRule="exact"/>
              <w:jc w:val="center"/>
              <w:rPr>
                <w:rFonts w:asciiTheme="minorHAnsi" w:hAnsiTheme="minorHAnsi"/>
                <w:b/>
                <w:color w:val="auto"/>
                <w:szCs w:val="24"/>
              </w:rPr>
            </w:pPr>
            <w:r w:rsidRPr="00F27AF6">
              <w:rPr>
                <w:rFonts w:asciiTheme="minorHAnsi" w:hAnsiTheme="minorHAnsi"/>
                <w:b/>
                <w:color w:val="auto"/>
                <w:szCs w:val="24"/>
              </w:rPr>
              <w:t>3</w:t>
            </w:r>
            <w:r w:rsidR="0018764C" w:rsidRPr="00F27AF6">
              <w:rPr>
                <w:rFonts w:asciiTheme="minorHAnsi" w:hAnsiTheme="minorHAnsi"/>
                <w:b/>
                <w:color w:val="auto"/>
                <w:szCs w:val="24"/>
              </w:rPr>
              <w:t>0%</w:t>
            </w:r>
          </w:p>
        </w:tc>
      </w:tr>
    </w:tbl>
    <w:p w:rsidR="00F27AF6" w:rsidRPr="00391858" w:rsidRDefault="00F27AF6" w:rsidP="00F27AF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27AF6" w:rsidRDefault="00F27AF6" w:rsidP="00F27AF6">
      <w:pPr>
        <w:spacing w:line="240" w:lineRule="exact"/>
        <w:rPr>
          <w:rFonts w:asciiTheme="minorHAnsi" w:hAnsiTheme="minorHAnsi"/>
          <w:b/>
          <w:color w:val="auto"/>
          <w:szCs w:val="24"/>
          <w:u w:val="single"/>
        </w:rPr>
      </w:pPr>
    </w:p>
    <w:p w:rsidR="00187206" w:rsidRPr="00F27AF6" w:rsidRDefault="00187206" w:rsidP="00187206">
      <w:pPr>
        <w:tabs>
          <w:tab w:val="left" w:pos="288"/>
          <w:tab w:val="left" w:pos="4752"/>
        </w:tabs>
        <w:spacing w:line="240" w:lineRule="exact"/>
        <w:jc w:val="both"/>
        <w:rPr>
          <w:rFonts w:asciiTheme="minorHAnsi" w:hAnsiTheme="minorHAnsi"/>
          <w:color w:val="auto"/>
        </w:rPr>
      </w:pPr>
      <w:r w:rsidRPr="00F27AF6">
        <w:rPr>
          <w:rFonts w:asciiTheme="minorHAnsi" w:hAnsiTheme="minorHAnsi"/>
          <w:color w:val="auto"/>
        </w:rPr>
        <w:t>The following documentary evidence was considered:</w:t>
      </w:r>
    </w:p>
    <w:p w:rsidR="00187206" w:rsidRPr="00006186" w:rsidRDefault="00187206" w:rsidP="00187206">
      <w:pPr>
        <w:tabs>
          <w:tab w:val="left" w:pos="288"/>
          <w:tab w:val="left" w:pos="4752"/>
        </w:tabs>
        <w:spacing w:line="240" w:lineRule="exact"/>
        <w:jc w:val="both"/>
        <w:rPr>
          <w:rFonts w:asciiTheme="minorHAnsi" w:hAnsiTheme="minorHAnsi"/>
          <w:color w:val="auto"/>
        </w:rPr>
      </w:pPr>
    </w:p>
    <w:p w:rsidR="00187206" w:rsidRPr="00006186" w:rsidRDefault="00187206" w:rsidP="00187206">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w:t>
      </w:r>
      <w:r w:rsidR="004F662B">
        <w:rPr>
          <w:rFonts w:asciiTheme="minorHAnsi" w:hAnsiTheme="minorHAnsi"/>
          <w:color w:val="auto"/>
        </w:rPr>
        <w:t>orm 294 dated 20100527, w/</w:t>
      </w:r>
      <w:proofErr w:type="spellStart"/>
      <w:r w:rsidR="004F662B">
        <w:rPr>
          <w:rFonts w:asciiTheme="minorHAnsi" w:hAnsiTheme="minorHAnsi"/>
          <w:color w:val="auto"/>
        </w:rPr>
        <w:t>atchs</w:t>
      </w:r>
      <w:proofErr w:type="spellEnd"/>
    </w:p>
    <w:p w:rsidR="00187206" w:rsidRPr="00006186" w:rsidRDefault="00187206" w:rsidP="0018720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Service </w:t>
      </w:r>
      <w:r w:rsidR="004F662B">
        <w:rPr>
          <w:rFonts w:asciiTheme="minorHAnsi" w:hAnsiTheme="minorHAnsi"/>
          <w:color w:val="auto"/>
        </w:rPr>
        <w:t>Treatment Record</w:t>
      </w:r>
    </w:p>
    <w:p w:rsidR="00187206" w:rsidRPr="00006186" w:rsidRDefault="00187206" w:rsidP="00187206">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4F662B">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3F19E2">
        <w:rPr>
          <w:rFonts w:asciiTheme="minorHAnsi" w:hAnsiTheme="minorHAnsi"/>
          <w:color w:val="auto"/>
        </w:rPr>
        <w:t xml:space="preserve"> </w:t>
      </w:r>
    </w:p>
    <w:p w:rsidR="007C2ADB" w:rsidRDefault="00DB06C0" w:rsidP="00FF617F">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3F19E2" w:rsidRDefault="003F19E2">
      <w:pPr>
        <w:rPr>
          <w:rFonts w:asciiTheme="minorHAnsi" w:hAnsiTheme="minorHAnsi"/>
          <w:color w:val="auto"/>
        </w:rPr>
      </w:pPr>
      <w:r>
        <w:rPr>
          <w:rFonts w:asciiTheme="minorHAnsi" w:hAnsiTheme="minorHAnsi"/>
          <w:color w:val="auto"/>
        </w:rPr>
        <w:br w:type="page"/>
      </w:r>
    </w:p>
    <w:p w:rsidR="003F19E2" w:rsidRDefault="003F19E2" w:rsidP="003F19E2">
      <w:pPr>
        <w:jc w:val="both"/>
      </w:pPr>
      <w:r>
        <w:lastRenderedPageBreak/>
        <w:t xml:space="preserve">MEMORANDUM FOR DIRECTOR, SECRETARY OF THE NAVY COUNCIL OF REVIEW </w:t>
      </w:r>
    </w:p>
    <w:p w:rsidR="003F19E2" w:rsidRDefault="003F19E2" w:rsidP="003F19E2">
      <w:pPr>
        <w:tabs>
          <w:tab w:val="left" w:pos="2430"/>
        </w:tabs>
        <w:jc w:val="both"/>
      </w:pPr>
      <w:r>
        <w:t xml:space="preserve">                                        </w:t>
      </w:r>
      <w:r>
        <w:tab/>
        <w:t xml:space="preserve">BOARDS </w:t>
      </w:r>
    </w:p>
    <w:p w:rsidR="003F19E2" w:rsidRDefault="003F19E2" w:rsidP="003F19E2">
      <w:pPr>
        <w:jc w:val="both"/>
      </w:pPr>
    </w:p>
    <w:p w:rsidR="003F19E2" w:rsidRDefault="003F19E2" w:rsidP="003F19E2">
      <w:pPr>
        <w:jc w:val="both"/>
      </w:pPr>
      <w:proofErr w:type="spellStart"/>
      <w:r>
        <w:t>Subj</w:t>
      </w:r>
      <w:proofErr w:type="spellEnd"/>
      <w:r>
        <w:t>:  PHYSICAL DISABILITY BOARD OF REVIEW (PDBR) RECOMMENDATION</w:t>
      </w:r>
    </w:p>
    <w:p w:rsidR="003F19E2" w:rsidRDefault="003F19E2" w:rsidP="003F19E2">
      <w:pPr>
        <w:tabs>
          <w:tab w:val="left" w:pos="630"/>
        </w:tabs>
        <w:jc w:val="both"/>
      </w:pPr>
      <w:r>
        <w:t xml:space="preserve">      </w:t>
      </w:r>
    </w:p>
    <w:p w:rsidR="003F19E2" w:rsidRDefault="003F19E2" w:rsidP="003F19E2">
      <w:pPr>
        <w:jc w:val="both"/>
      </w:pPr>
    </w:p>
    <w:p w:rsidR="003F19E2" w:rsidRDefault="003F19E2" w:rsidP="003F19E2">
      <w:pPr>
        <w:jc w:val="both"/>
      </w:pPr>
      <w:r>
        <w:t xml:space="preserve">Ref:   (a) </w:t>
      </w:r>
      <w:proofErr w:type="spellStart"/>
      <w:r>
        <w:t>DoDI</w:t>
      </w:r>
      <w:proofErr w:type="spellEnd"/>
      <w:r>
        <w:t xml:space="preserve"> 6040.44</w:t>
      </w:r>
    </w:p>
    <w:p w:rsidR="003F19E2" w:rsidRDefault="003F19E2" w:rsidP="003F19E2">
      <w:pPr>
        <w:jc w:val="both"/>
      </w:pPr>
      <w:r>
        <w:t xml:space="preserve">          (b) PDBR </w:t>
      </w:r>
      <w:proofErr w:type="spellStart"/>
      <w:r>
        <w:t>ltr</w:t>
      </w:r>
      <w:proofErr w:type="spellEnd"/>
      <w:r>
        <w:t xml:space="preserve"> </w:t>
      </w:r>
      <w:proofErr w:type="spellStart"/>
      <w:r>
        <w:t>dtd</w:t>
      </w:r>
      <w:proofErr w:type="spellEnd"/>
      <w:r>
        <w:t xml:space="preserve"> 19 Dec 11</w:t>
      </w:r>
    </w:p>
    <w:p w:rsidR="003F19E2" w:rsidRDefault="003F19E2" w:rsidP="003F19E2">
      <w:pPr>
        <w:jc w:val="both"/>
      </w:pPr>
    </w:p>
    <w:p w:rsidR="003F19E2" w:rsidRDefault="003F19E2" w:rsidP="003F19E2">
      <w:r>
        <w:t xml:space="preserve">     I have reviewed the subject case pursuant to reference (a) and non-concur with the recommendation of the Physical Disability Board of Review as set forth in reference (b).  I found the conditions for which the PDBR recommended additional ratings are not separately unfitting as defined by regulations.  Therefore, xxxxxxxx records will not be corrected to reflect a change in either her characterization of separation or in the disability rating previously assigned by the Department of the Navy’s Physical Evaluation Board.</w:t>
      </w:r>
    </w:p>
    <w:p w:rsidR="003F19E2" w:rsidRDefault="003F19E2" w:rsidP="003F19E2">
      <w:pPr>
        <w:jc w:val="both"/>
      </w:pPr>
    </w:p>
    <w:p w:rsidR="003F19E2" w:rsidRDefault="003F19E2" w:rsidP="003F19E2">
      <w:pPr>
        <w:jc w:val="both"/>
      </w:pPr>
    </w:p>
    <w:p w:rsidR="003F19E2" w:rsidRDefault="003F19E2" w:rsidP="003F19E2">
      <w:pPr>
        <w:jc w:val="both"/>
      </w:pPr>
    </w:p>
    <w:p w:rsidR="003F19E2" w:rsidRDefault="003F19E2" w:rsidP="003F19E2">
      <w:pPr>
        <w:tabs>
          <w:tab w:val="left" w:pos="4680"/>
        </w:tabs>
        <w:jc w:val="both"/>
      </w:pPr>
      <w:r>
        <w:tab/>
        <w:t xml:space="preserve"> </w:t>
      </w:r>
    </w:p>
    <w:p w:rsidR="003F19E2" w:rsidRDefault="003F19E2" w:rsidP="003F19E2">
      <w:pPr>
        <w:tabs>
          <w:tab w:val="left" w:pos="4680"/>
        </w:tabs>
        <w:jc w:val="both"/>
      </w:pPr>
      <w:r>
        <w:tab/>
        <w:t>Principal Deputy</w:t>
      </w:r>
    </w:p>
    <w:p w:rsidR="003F19E2" w:rsidRDefault="003F19E2" w:rsidP="003F19E2">
      <w:pPr>
        <w:tabs>
          <w:tab w:val="left" w:pos="4680"/>
        </w:tabs>
        <w:jc w:val="both"/>
      </w:pPr>
      <w:r>
        <w:tab/>
        <w:t xml:space="preserve">Assistant Secretary of the Navy </w:t>
      </w:r>
    </w:p>
    <w:p w:rsidR="003F19E2" w:rsidRDefault="003F19E2" w:rsidP="003F19E2">
      <w:pPr>
        <w:jc w:val="both"/>
      </w:pPr>
      <w:r>
        <w:tab/>
      </w:r>
      <w:r>
        <w:tab/>
      </w:r>
      <w:r>
        <w:tab/>
      </w:r>
      <w:r>
        <w:tab/>
      </w:r>
      <w:r>
        <w:tab/>
      </w:r>
      <w:r>
        <w:tab/>
        <w:t xml:space="preserve">        Manpower &amp; Reserve Affairs)</w:t>
      </w:r>
    </w:p>
    <w:p w:rsidR="003F19E2" w:rsidRPr="00FF617F" w:rsidRDefault="003F19E2" w:rsidP="00FF617F">
      <w:pPr>
        <w:tabs>
          <w:tab w:val="left" w:pos="0"/>
          <w:tab w:val="left" w:pos="4320"/>
        </w:tabs>
        <w:spacing w:line="240" w:lineRule="exact"/>
        <w:jc w:val="both"/>
        <w:rPr>
          <w:rFonts w:asciiTheme="minorHAnsi" w:hAnsiTheme="minorHAnsi"/>
          <w:color w:val="auto"/>
        </w:rPr>
      </w:pPr>
    </w:p>
    <w:sectPr w:rsidR="003F19E2" w:rsidRPr="00FF617F"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8B" w:rsidRDefault="009C398B">
      <w:r>
        <w:separator/>
      </w:r>
    </w:p>
  </w:endnote>
  <w:endnote w:type="continuationSeparator" w:id="0">
    <w:p w:rsidR="009C398B" w:rsidRDefault="009C3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C2ADB" w:rsidRPr="00684CE6" w:rsidRDefault="00AE6208" w:rsidP="00F65ED5">
        <w:pPr>
          <w:pStyle w:val="Footer"/>
          <w:jc w:val="right"/>
          <w:rPr>
            <w:color w:val="auto"/>
          </w:rPr>
        </w:pPr>
        <w:r w:rsidRPr="00684CE6">
          <w:rPr>
            <w:color w:val="auto"/>
          </w:rPr>
          <w:fldChar w:fldCharType="begin"/>
        </w:r>
        <w:r w:rsidR="007C2ADB" w:rsidRPr="00684CE6">
          <w:rPr>
            <w:color w:val="auto"/>
          </w:rPr>
          <w:instrText xml:space="preserve"> PAGE   \* MERGEFORMAT </w:instrText>
        </w:r>
        <w:r w:rsidRPr="00684CE6">
          <w:rPr>
            <w:color w:val="auto"/>
          </w:rPr>
          <w:fldChar w:fldCharType="separate"/>
        </w:r>
        <w:r w:rsidR="003F19E2">
          <w:rPr>
            <w:noProof/>
            <w:color w:val="auto"/>
          </w:rPr>
          <w:t>7</w:t>
        </w:r>
        <w:r w:rsidRPr="00684CE6">
          <w:rPr>
            <w:color w:val="auto"/>
          </w:rPr>
          <w:fldChar w:fldCharType="end"/>
        </w:r>
        <w:r w:rsidR="007C2ADB" w:rsidRPr="00684CE6">
          <w:rPr>
            <w:color w:val="auto"/>
          </w:rPr>
          <w:t xml:space="preserve">          </w:t>
        </w:r>
        <w:r w:rsidR="007C2ADB">
          <w:rPr>
            <w:color w:val="auto"/>
          </w:rPr>
          <w:t xml:space="preserve">          </w:t>
        </w:r>
        <w:r w:rsidR="007C2ADB" w:rsidRPr="00684CE6">
          <w:rPr>
            <w:color w:val="auto"/>
          </w:rPr>
          <w:t xml:space="preserve">                                                 </w:t>
        </w:r>
        <w:r w:rsidR="007C2ADB" w:rsidRPr="001E669C">
          <w:rPr>
            <w:rFonts w:asciiTheme="minorHAnsi" w:hAnsiTheme="minorHAnsi"/>
            <w:caps/>
            <w:color w:val="auto"/>
          </w:rPr>
          <w:t>PD</w:t>
        </w:r>
        <w:r w:rsidR="007C2ADB" w:rsidRPr="00B31548">
          <w:rPr>
            <w:rFonts w:asciiTheme="minorHAnsi" w:hAnsiTheme="minorHAnsi"/>
            <w:caps/>
            <w:color w:val="auto"/>
          </w:rPr>
          <w:t>10</w:t>
        </w:r>
        <w:r w:rsidR="007C2ADB">
          <w:rPr>
            <w:rFonts w:asciiTheme="minorHAnsi" w:hAnsiTheme="minorHAnsi"/>
            <w:caps/>
            <w:color w:val="auto"/>
          </w:rPr>
          <w:t>00718</w:t>
        </w:r>
      </w:p>
    </w:sdtContent>
  </w:sdt>
  <w:p w:rsidR="007C2ADB" w:rsidRPr="00684CE6" w:rsidRDefault="007C2ADB">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8B" w:rsidRDefault="009C398B">
      <w:r>
        <w:separator/>
      </w:r>
    </w:p>
  </w:footnote>
  <w:footnote w:type="continuationSeparator" w:id="0">
    <w:p w:rsidR="009C398B" w:rsidRDefault="009C3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473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2E76"/>
    <w:rsid w:val="00023913"/>
    <w:rsid w:val="00023D43"/>
    <w:rsid w:val="00024DE7"/>
    <w:rsid w:val="00026092"/>
    <w:rsid w:val="00026C4D"/>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0A4"/>
    <w:rsid w:val="00060FFD"/>
    <w:rsid w:val="0006431E"/>
    <w:rsid w:val="000652EA"/>
    <w:rsid w:val="00065E21"/>
    <w:rsid w:val="000673ED"/>
    <w:rsid w:val="00070DED"/>
    <w:rsid w:val="00072433"/>
    <w:rsid w:val="000732B8"/>
    <w:rsid w:val="0007488B"/>
    <w:rsid w:val="00075702"/>
    <w:rsid w:val="00075A0C"/>
    <w:rsid w:val="000775C2"/>
    <w:rsid w:val="000806AD"/>
    <w:rsid w:val="00080BDF"/>
    <w:rsid w:val="000811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0D50"/>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3689"/>
    <w:rsid w:val="000F427B"/>
    <w:rsid w:val="000F43D0"/>
    <w:rsid w:val="000F4F18"/>
    <w:rsid w:val="000F688E"/>
    <w:rsid w:val="000F7181"/>
    <w:rsid w:val="001007CE"/>
    <w:rsid w:val="001008C1"/>
    <w:rsid w:val="001023DB"/>
    <w:rsid w:val="00102B8D"/>
    <w:rsid w:val="00103948"/>
    <w:rsid w:val="00103CCF"/>
    <w:rsid w:val="0010417F"/>
    <w:rsid w:val="001042D2"/>
    <w:rsid w:val="00104B5A"/>
    <w:rsid w:val="0010530E"/>
    <w:rsid w:val="00105C07"/>
    <w:rsid w:val="00106AD8"/>
    <w:rsid w:val="00107EC5"/>
    <w:rsid w:val="001103CD"/>
    <w:rsid w:val="00113D2A"/>
    <w:rsid w:val="00114F20"/>
    <w:rsid w:val="0011590B"/>
    <w:rsid w:val="001205EE"/>
    <w:rsid w:val="001211AF"/>
    <w:rsid w:val="001219DF"/>
    <w:rsid w:val="0012220B"/>
    <w:rsid w:val="00122ABE"/>
    <w:rsid w:val="001231DC"/>
    <w:rsid w:val="0012489B"/>
    <w:rsid w:val="001272AE"/>
    <w:rsid w:val="001304BB"/>
    <w:rsid w:val="00130756"/>
    <w:rsid w:val="001315DD"/>
    <w:rsid w:val="001335A9"/>
    <w:rsid w:val="0013525F"/>
    <w:rsid w:val="00135385"/>
    <w:rsid w:val="001364D1"/>
    <w:rsid w:val="001374C7"/>
    <w:rsid w:val="001421FD"/>
    <w:rsid w:val="001425C8"/>
    <w:rsid w:val="00142EBA"/>
    <w:rsid w:val="00143B79"/>
    <w:rsid w:val="00143D1F"/>
    <w:rsid w:val="00145965"/>
    <w:rsid w:val="00147193"/>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206"/>
    <w:rsid w:val="0018764C"/>
    <w:rsid w:val="00190E48"/>
    <w:rsid w:val="00191C6B"/>
    <w:rsid w:val="0019273F"/>
    <w:rsid w:val="00193772"/>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465"/>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4C0E"/>
    <w:rsid w:val="00297429"/>
    <w:rsid w:val="00297A45"/>
    <w:rsid w:val="00297E20"/>
    <w:rsid w:val="002A233F"/>
    <w:rsid w:val="002A2C7A"/>
    <w:rsid w:val="002A3237"/>
    <w:rsid w:val="002A4119"/>
    <w:rsid w:val="002A58B7"/>
    <w:rsid w:val="002A5943"/>
    <w:rsid w:val="002A5C3C"/>
    <w:rsid w:val="002A685E"/>
    <w:rsid w:val="002A72C7"/>
    <w:rsid w:val="002B0204"/>
    <w:rsid w:val="002B03B2"/>
    <w:rsid w:val="002B0749"/>
    <w:rsid w:val="002B2645"/>
    <w:rsid w:val="002B303A"/>
    <w:rsid w:val="002B32E9"/>
    <w:rsid w:val="002B4581"/>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549C"/>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6AF9"/>
    <w:rsid w:val="003574F3"/>
    <w:rsid w:val="00357831"/>
    <w:rsid w:val="003604A5"/>
    <w:rsid w:val="0036319E"/>
    <w:rsid w:val="003632A4"/>
    <w:rsid w:val="00363362"/>
    <w:rsid w:val="00364D99"/>
    <w:rsid w:val="00365767"/>
    <w:rsid w:val="003659C0"/>
    <w:rsid w:val="003660DF"/>
    <w:rsid w:val="00367D4F"/>
    <w:rsid w:val="00370743"/>
    <w:rsid w:val="00370EF5"/>
    <w:rsid w:val="0037135B"/>
    <w:rsid w:val="00372251"/>
    <w:rsid w:val="00373F64"/>
    <w:rsid w:val="00374927"/>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6F0"/>
    <w:rsid w:val="003857D4"/>
    <w:rsid w:val="00385D6F"/>
    <w:rsid w:val="00386D43"/>
    <w:rsid w:val="00387095"/>
    <w:rsid w:val="00387E95"/>
    <w:rsid w:val="00390092"/>
    <w:rsid w:val="00391858"/>
    <w:rsid w:val="00391AB4"/>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04A3"/>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C3E"/>
    <w:rsid w:val="003D7DDB"/>
    <w:rsid w:val="003E024F"/>
    <w:rsid w:val="003E02C7"/>
    <w:rsid w:val="003E0543"/>
    <w:rsid w:val="003E061D"/>
    <w:rsid w:val="003E0B5A"/>
    <w:rsid w:val="003E1682"/>
    <w:rsid w:val="003E31E3"/>
    <w:rsid w:val="003E3E93"/>
    <w:rsid w:val="003E46D1"/>
    <w:rsid w:val="003E6214"/>
    <w:rsid w:val="003E6B22"/>
    <w:rsid w:val="003E6F26"/>
    <w:rsid w:val="003F070E"/>
    <w:rsid w:val="003F1206"/>
    <w:rsid w:val="003F19E2"/>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2C51"/>
    <w:rsid w:val="00415EA4"/>
    <w:rsid w:val="0041604B"/>
    <w:rsid w:val="004172DB"/>
    <w:rsid w:val="00417411"/>
    <w:rsid w:val="00420A1D"/>
    <w:rsid w:val="00421485"/>
    <w:rsid w:val="004216DA"/>
    <w:rsid w:val="00422B75"/>
    <w:rsid w:val="00424612"/>
    <w:rsid w:val="0042528C"/>
    <w:rsid w:val="00425672"/>
    <w:rsid w:val="00425A6A"/>
    <w:rsid w:val="00427F54"/>
    <w:rsid w:val="004316FD"/>
    <w:rsid w:val="00433F36"/>
    <w:rsid w:val="00434860"/>
    <w:rsid w:val="0043503A"/>
    <w:rsid w:val="00435EAF"/>
    <w:rsid w:val="00437B8A"/>
    <w:rsid w:val="00437D18"/>
    <w:rsid w:val="00437D77"/>
    <w:rsid w:val="004426A4"/>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288"/>
    <w:rsid w:val="004E6866"/>
    <w:rsid w:val="004F0C58"/>
    <w:rsid w:val="004F3222"/>
    <w:rsid w:val="004F3639"/>
    <w:rsid w:val="004F3BFA"/>
    <w:rsid w:val="004F4E3C"/>
    <w:rsid w:val="004F5A1A"/>
    <w:rsid w:val="004F662B"/>
    <w:rsid w:val="004F77A3"/>
    <w:rsid w:val="005000AB"/>
    <w:rsid w:val="00500F3C"/>
    <w:rsid w:val="005025EE"/>
    <w:rsid w:val="00503DDF"/>
    <w:rsid w:val="00505524"/>
    <w:rsid w:val="00506222"/>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4A"/>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7F6A"/>
    <w:rsid w:val="0058039C"/>
    <w:rsid w:val="00580A63"/>
    <w:rsid w:val="00583164"/>
    <w:rsid w:val="00583379"/>
    <w:rsid w:val="0058417C"/>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41A"/>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052"/>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002E"/>
    <w:rsid w:val="00662AD0"/>
    <w:rsid w:val="00662F08"/>
    <w:rsid w:val="00663589"/>
    <w:rsid w:val="00664296"/>
    <w:rsid w:val="006649CD"/>
    <w:rsid w:val="00665D75"/>
    <w:rsid w:val="006708E3"/>
    <w:rsid w:val="006709DE"/>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4DC"/>
    <w:rsid w:val="006B586B"/>
    <w:rsid w:val="006B5923"/>
    <w:rsid w:val="006B67D9"/>
    <w:rsid w:val="006B6C14"/>
    <w:rsid w:val="006B715E"/>
    <w:rsid w:val="006C0818"/>
    <w:rsid w:val="006C1784"/>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3420"/>
    <w:rsid w:val="006E7356"/>
    <w:rsid w:val="006E77C8"/>
    <w:rsid w:val="006F0F9C"/>
    <w:rsid w:val="006F149D"/>
    <w:rsid w:val="006F1A46"/>
    <w:rsid w:val="006F4F06"/>
    <w:rsid w:val="006F5A4E"/>
    <w:rsid w:val="006F5D37"/>
    <w:rsid w:val="006F6005"/>
    <w:rsid w:val="007005EA"/>
    <w:rsid w:val="00700E7E"/>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4BBB"/>
    <w:rsid w:val="00735704"/>
    <w:rsid w:val="00736A49"/>
    <w:rsid w:val="007419A1"/>
    <w:rsid w:val="00741E17"/>
    <w:rsid w:val="00743B71"/>
    <w:rsid w:val="00743C2D"/>
    <w:rsid w:val="00743E36"/>
    <w:rsid w:val="00743F05"/>
    <w:rsid w:val="007441C1"/>
    <w:rsid w:val="007446F7"/>
    <w:rsid w:val="007448F7"/>
    <w:rsid w:val="00744EBB"/>
    <w:rsid w:val="00745B0A"/>
    <w:rsid w:val="00745DBE"/>
    <w:rsid w:val="00745F01"/>
    <w:rsid w:val="007468AC"/>
    <w:rsid w:val="00746AE2"/>
    <w:rsid w:val="00750C82"/>
    <w:rsid w:val="00750E3A"/>
    <w:rsid w:val="00752035"/>
    <w:rsid w:val="0076100C"/>
    <w:rsid w:val="007612A5"/>
    <w:rsid w:val="00763CAE"/>
    <w:rsid w:val="00763F95"/>
    <w:rsid w:val="007649BD"/>
    <w:rsid w:val="007651ED"/>
    <w:rsid w:val="00766C87"/>
    <w:rsid w:val="00771043"/>
    <w:rsid w:val="00773AF7"/>
    <w:rsid w:val="007746AC"/>
    <w:rsid w:val="00774FFD"/>
    <w:rsid w:val="00780378"/>
    <w:rsid w:val="0078085E"/>
    <w:rsid w:val="00781BD4"/>
    <w:rsid w:val="00782562"/>
    <w:rsid w:val="007828B4"/>
    <w:rsid w:val="00784832"/>
    <w:rsid w:val="00784EA0"/>
    <w:rsid w:val="00785D77"/>
    <w:rsid w:val="00786111"/>
    <w:rsid w:val="00790963"/>
    <w:rsid w:val="0079154B"/>
    <w:rsid w:val="00791C39"/>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4541"/>
    <w:rsid w:val="007B5C5C"/>
    <w:rsid w:val="007B6CE0"/>
    <w:rsid w:val="007B7B37"/>
    <w:rsid w:val="007B7C41"/>
    <w:rsid w:val="007C05C5"/>
    <w:rsid w:val="007C11E9"/>
    <w:rsid w:val="007C2ADB"/>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036F"/>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8B"/>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4D7"/>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3268"/>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D4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6B1"/>
    <w:rsid w:val="008F6FC8"/>
    <w:rsid w:val="0090045D"/>
    <w:rsid w:val="00900D8F"/>
    <w:rsid w:val="009014E3"/>
    <w:rsid w:val="009020ED"/>
    <w:rsid w:val="009026E8"/>
    <w:rsid w:val="00902FDD"/>
    <w:rsid w:val="00904C66"/>
    <w:rsid w:val="00905EEF"/>
    <w:rsid w:val="00906EB7"/>
    <w:rsid w:val="009102BF"/>
    <w:rsid w:val="00911490"/>
    <w:rsid w:val="009115F2"/>
    <w:rsid w:val="00911B11"/>
    <w:rsid w:val="00914ADB"/>
    <w:rsid w:val="00917182"/>
    <w:rsid w:val="00922058"/>
    <w:rsid w:val="00923248"/>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60"/>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98B"/>
    <w:rsid w:val="009C3F82"/>
    <w:rsid w:val="009C43F1"/>
    <w:rsid w:val="009C582A"/>
    <w:rsid w:val="009C5C56"/>
    <w:rsid w:val="009C72DD"/>
    <w:rsid w:val="009C78FD"/>
    <w:rsid w:val="009C7DF5"/>
    <w:rsid w:val="009D056C"/>
    <w:rsid w:val="009D060F"/>
    <w:rsid w:val="009D0B14"/>
    <w:rsid w:val="009D1ADE"/>
    <w:rsid w:val="009D3652"/>
    <w:rsid w:val="009D37CA"/>
    <w:rsid w:val="009D4229"/>
    <w:rsid w:val="009D4268"/>
    <w:rsid w:val="009E09D0"/>
    <w:rsid w:val="009E1283"/>
    <w:rsid w:val="009E3A7F"/>
    <w:rsid w:val="009E4C9B"/>
    <w:rsid w:val="009E4DFC"/>
    <w:rsid w:val="009E5789"/>
    <w:rsid w:val="009E57B1"/>
    <w:rsid w:val="009E5B62"/>
    <w:rsid w:val="009E6379"/>
    <w:rsid w:val="009F020F"/>
    <w:rsid w:val="009F3B63"/>
    <w:rsid w:val="009F43E2"/>
    <w:rsid w:val="009F6292"/>
    <w:rsid w:val="009F6A6D"/>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59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1C80"/>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C06"/>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08"/>
    <w:rsid w:val="00AE625B"/>
    <w:rsid w:val="00AF01B2"/>
    <w:rsid w:val="00AF1103"/>
    <w:rsid w:val="00AF1668"/>
    <w:rsid w:val="00AF28DE"/>
    <w:rsid w:val="00AF4FA5"/>
    <w:rsid w:val="00AF6ECC"/>
    <w:rsid w:val="00B022DC"/>
    <w:rsid w:val="00B04562"/>
    <w:rsid w:val="00B0472F"/>
    <w:rsid w:val="00B06930"/>
    <w:rsid w:val="00B0773A"/>
    <w:rsid w:val="00B07955"/>
    <w:rsid w:val="00B10606"/>
    <w:rsid w:val="00B1176B"/>
    <w:rsid w:val="00B140B8"/>
    <w:rsid w:val="00B14FAA"/>
    <w:rsid w:val="00B15BED"/>
    <w:rsid w:val="00B15D30"/>
    <w:rsid w:val="00B16D18"/>
    <w:rsid w:val="00B177DE"/>
    <w:rsid w:val="00B20624"/>
    <w:rsid w:val="00B23436"/>
    <w:rsid w:val="00B237F1"/>
    <w:rsid w:val="00B23F10"/>
    <w:rsid w:val="00B24328"/>
    <w:rsid w:val="00B24ED4"/>
    <w:rsid w:val="00B24F1A"/>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4D8"/>
    <w:rsid w:val="00B71D07"/>
    <w:rsid w:val="00B72076"/>
    <w:rsid w:val="00B72303"/>
    <w:rsid w:val="00B72AE5"/>
    <w:rsid w:val="00B72C72"/>
    <w:rsid w:val="00B72ED9"/>
    <w:rsid w:val="00B731E4"/>
    <w:rsid w:val="00B751CE"/>
    <w:rsid w:val="00B75A8B"/>
    <w:rsid w:val="00B75B61"/>
    <w:rsid w:val="00B7629A"/>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95DFF"/>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1C7"/>
    <w:rsid w:val="00BF2988"/>
    <w:rsid w:val="00BF4720"/>
    <w:rsid w:val="00BF4F49"/>
    <w:rsid w:val="00BF6759"/>
    <w:rsid w:val="00BF70A6"/>
    <w:rsid w:val="00BF7B4F"/>
    <w:rsid w:val="00BF7B63"/>
    <w:rsid w:val="00C03040"/>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200"/>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1C69"/>
    <w:rsid w:val="00C61E93"/>
    <w:rsid w:val="00C62EB2"/>
    <w:rsid w:val="00C63313"/>
    <w:rsid w:val="00C64C87"/>
    <w:rsid w:val="00C665FE"/>
    <w:rsid w:val="00C71BEC"/>
    <w:rsid w:val="00C74D3A"/>
    <w:rsid w:val="00C75F3D"/>
    <w:rsid w:val="00C80511"/>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0724"/>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3D3D"/>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2E88"/>
    <w:rsid w:val="00D63577"/>
    <w:rsid w:val="00D67FD7"/>
    <w:rsid w:val="00D713B1"/>
    <w:rsid w:val="00D72410"/>
    <w:rsid w:val="00D73D53"/>
    <w:rsid w:val="00D7408A"/>
    <w:rsid w:val="00D74261"/>
    <w:rsid w:val="00D7441B"/>
    <w:rsid w:val="00D75589"/>
    <w:rsid w:val="00D76AB2"/>
    <w:rsid w:val="00D76B7E"/>
    <w:rsid w:val="00D80490"/>
    <w:rsid w:val="00D829AD"/>
    <w:rsid w:val="00D82EE2"/>
    <w:rsid w:val="00D832B3"/>
    <w:rsid w:val="00D83820"/>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397"/>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187"/>
    <w:rsid w:val="00DB0359"/>
    <w:rsid w:val="00DB06C0"/>
    <w:rsid w:val="00DB0ABB"/>
    <w:rsid w:val="00DB2AAD"/>
    <w:rsid w:val="00DB3BF3"/>
    <w:rsid w:val="00DB44E2"/>
    <w:rsid w:val="00DB4A6D"/>
    <w:rsid w:val="00DB5941"/>
    <w:rsid w:val="00DB626D"/>
    <w:rsid w:val="00DB6365"/>
    <w:rsid w:val="00DC07B7"/>
    <w:rsid w:val="00DC0BF1"/>
    <w:rsid w:val="00DC17F2"/>
    <w:rsid w:val="00DC41C3"/>
    <w:rsid w:val="00DC4A3C"/>
    <w:rsid w:val="00DC4FA4"/>
    <w:rsid w:val="00DC5028"/>
    <w:rsid w:val="00DC515A"/>
    <w:rsid w:val="00DC5B37"/>
    <w:rsid w:val="00DD286D"/>
    <w:rsid w:val="00DD2CAF"/>
    <w:rsid w:val="00DD3593"/>
    <w:rsid w:val="00DD64E0"/>
    <w:rsid w:val="00DD7BE0"/>
    <w:rsid w:val="00DE0C67"/>
    <w:rsid w:val="00DE3AAD"/>
    <w:rsid w:val="00DE598A"/>
    <w:rsid w:val="00DE6952"/>
    <w:rsid w:val="00DE7E74"/>
    <w:rsid w:val="00DF071B"/>
    <w:rsid w:val="00DF5C84"/>
    <w:rsid w:val="00DF6EF8"/>
    <w:rsid w:val="00DF795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445"/>
    <w:rsid w:val="00E57703"/>
    <w:rsid w:val="00E57ED4"/>
    <w:rsid w:val="00E57FED"/>
    <w:rsid w:val="00E6092F"/>
    <w:rsid w:val="00E60BD0"/>
    <w:rsid w:val="00E62049"/>
    <w:rsid w:val="00E629DA"/>
    <w:rsid w:val="00E6413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D8D"/>
    <w:rsid w:val="00EA4475"/>
    <w:rsid w:val="00EA48A5"/>
    <w:rsid w:val="00EA52FE"/>
    <w:rsid w:val="00EA681F"/>
    <w:rsid w:val="00EB04C6"/>
    <w:rsid w:val="00EB06A6"/>
    <w:rsid w:val="00EB250B"/>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64E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22E"/>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6432"/>
    <w:rsid w:val="00F27AF6"/>
    <w:rsid w:val="00F3197A"/>
    <w:rsid w:val="00F32139"/>
    <w:rsid w:val="00F32504"/>
    <w:rsid w:val="00F33D56"/>
    <w:rsid w:val="00F34E08"/>
    <w:rsid w:val="00F3557A"/>
    <w:rsid w:val="00F41D91"/>
    <w:rsid w:val="00F41F52"/>
    <w:rsid w:val="00F42363"/>
    <w:rsid w:val="00F427C4"/>
    <w:rsid w:val="00F43D6C"/>
    <w:rsid w:val="00F46964"/>
    <w:rsid w:val="00F46F9A"/>
    <w:rsid w:val="00F470FD"/>
    <w:rsid w:val="00F50F30"/>
    <w:rsid w:val="00F5126A"/>
    <w:rsid w:val="00F5126E"/>
    <w:rsid w:val="00F516EF"/>
    <w:rsid w:val="00F51755"/>
    <w:rsid w:val="00F54C6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7F"/>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styleId="Title">
    <w:name w:val="Title"/>
    <w:basedOn w:val="Normal"/>
    <w:link w:val="TitleChar"/>
    <w:qFormat/>
    <w:rsid w:val="00D83820"/>
    <w:pPr>
      <w:jc w:val="center"/>
    </w:pPr>
    <w:rPr>
      <w:rFonts w:ascii="Verdana" w:hAnsi="Verdana"/>
      <w:b/>
      <w:bCs/>
      <w:color w:val="800000"/>
      <w:szCs w:val="24"/>
    </w:rPr>
  </w:style>
  <w:style w:type="character" w:customStyle="1" w:styleId="TitleChar">
    <w:name w:val="Title Char"/>
    <w:basedOn w:val="DefaultParagraphFont"/>
    <w:link w:val="Title"/>
    <w:rsid w:val="00D83820"/>
    <w:rPr>
      <w:rFonts w:ascii="Verdana" w:hAnsi="Verdana"/>
      <w:b/>
      <w:bCs/>
      <w:color w:val="800000"/>
      <w:szCs w:val="24"/>
    </w:rPr>
  </w:style>
  <w:style w:type="paragraph" w:customStyle="1" w:styleId="Default">
    <w:name w:val="Default"/>
    <w:rsid w:val="00E6413A"/>
    <w:pPr>
      <w:autoSpaceDE w:val="0"/>
      <w:autoSpaceDN w:val="0"/>
      <w:adjustRightInd w:val="0"/>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91901032">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EE02A-F8D9-4C39-A4D7-F3363EE1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2011-04-08T11:41:00Z</cp:lastPrinted>
  <dcterms:created xsi:type="dcterms:W3CDTF">2011-12-12T14:16:00Z</dcterms:created>
  <dcterms:modified xsi:type="dcterms:W3CDTF">2012-03-15T11:14:00Z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