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567B30" w:rsidRDefault="00540BEF" w:rsidP="00DE45F3">
      <w:pPr>
        <w:tabs>
          <w:tab w:val="left" w:pos="288"/>
          <w:tab w:val="left" w:pos="4752"/>
        </w:tabs>
        <w:spacing w:line="240" w:lineRule="exact"/>
        <w:jc w:val="center"/>
        <w:rPr>
          <w:rFonts w:asciiTheme="minorHAnsi" w:hAnsiTheme="minorHAnsi"/>
          <w:color w:val="auto"/>
          <w:szCs w:val="24"/>
        </w:rPr>
      </w:pPr>
      <w:r w:rsidRPr="00567B30">
        <w:rPr>
          <w:rFonts w:asciiTheme="minorHAnsi" w:hAnsiTheme="minorHAnsi"/>
          <w:color w:val="auto"/>
          <w:szCs w:val="24"/>
        </w:rPr>
        <w:t>RECORD OF PROCEEDINGS</w:t>
      </w:r>
    </w:p>
    <w:p w:rsidR="00540BEF" w:rsidRPr="00567B30" w:rsidRDefault="00540BEF" w:rsidP="00DE45F3">
      <w:pPr>
        <w:tabs>
          <w:tab w:val="left" w:pos="288"/>
          <w:tab w:val="left" w:pos="4752"/>
        </w:tabs>
        <w:spacing w:line="240" w:lineRule="exact"/>
        <w:jc w:val="center"/>
        <w:rPr>
          <w:rFonts w:asciiTheme="minorHAnsi" w:hAnsiTheme="minorHAnsi"/>
          <w:color w:val="auto"/>
          <w:szCs w:val="24"/>
        </w:rPr>
      </w:pPr>
      <w:r w:rsidRPr="00567B30">
        <w:rPr>
          <w:rFonts w:asciiTheme="minorHAnsi" w:hAnsiTheme="minorHAnsi"/>
          <w:color w:val="auto"/>
          <w:szCs w:val="24"/>
        </w:rPr>
        <w:t>PHYSICAL DISABILITY BOARD OF REVIEW</w:t>
      </w:r>
    </w:p>
    <w:p w:rsidR="00540BEF" w:rsidRPr="00567B30" w:rsidRDefault="00540BEF" w:rsidP="00DE45F3">
      <w:pPr>
        <w:tabs>
          <w:tab w:val="left" w:pos="288"/>
          <w:tab w:val="left" w:pos="4752"/>
        </w:tabs>
        <w:spacing w:line="240" w:lineRule="exact"/>
        <w:jc w:val="center"/>
        <w:rPr>
          <w:rFonts w:asciiTheme="minorHAnsi" w:hAnsiTheme="minorHAnsi"/>
          <w:caps/>
          <w:color w:val="auto"/>
          <w:szCs w:val="24"/>
        </w:rPr>
      </w:pPr>
    </w:p>
    <w:p w:rsidR="00540BEF" w:rsidRPr="00567B30" w:rsidRDefault="00540BEF" w:rsidP="00DE45F3">
      <w:pPr>
        <w:tabs>
          <w:tab w:val="left" w:pos="288"/>
          <w:tab w:val="left" w:pos="4752"/>
        </w:tabs>
        <w:spacing w:line="240" w:lineRule="exact"/>
        <w:ind w:right="-1260"/>
        <w:jc w:val="both"/>
        <w:rPr>
          <w:rFonts w:asciiTheme="minorHAnsi" w:hAnsiTheme="minorHAnsi"/>
          <w:caps/>
          <w:color w:val="auto"/>
          <w:szCs w:val="24"/>
        </w:rPr>
      </w:pPr>
      <w:r w:rsidRPr="00567B30">
        <w:rPr>
          <w:rFonts w:asciiTheme="minorHAnsi" w:hAnsiTheme="minorHAnsi"/>
          <w:caps/>
          <w:color w:val="auto"/>
          <w:szCs w:val="24"/>
        </w:rPr>
        <w:t>NAME:</w:t>
      </w:r>
      <w:r w:rsidR="00016CAF" w:rsidRPr="00567B30">
        <w:rPr>
          <w:rFonts w:asciiTheme="minorHAnsi" w:hAnsiTheme="minorHAnsi"/>
          <w:caps/>
          <w:color w:val="auto"/>
          <w:szCs w:val="24"/>
        </w:rPr>
        <w:t xml:space="preserve"> </w:t>
      </w:r>
      <w:r w:rsidR="0019793D" w:rsidRPr="00567B30">
        <w:rPr>
          <w:rFonts w:asciiTheme="minorHAnsi" w:hAnsiTheme="minorHAnsi"/>
          <w:caps/>
          <w:color w:val="auto"/>
          <w:szCs w:val="24"/>
        </w:rPr>
        <w:t xml:space="preserve"> </w:t>
      </w:r>
      <w:r w:rsidR="00AE3DED">
        <w:rPr>
          <w:rFonts w:asciiTheme="minorHAnsi" w:hAnsiTheme="minorHAnsi"/>
          <w:caps/>
          <w:color w:val="auto"/>
          <w:szCs w:val="24"/>
        </w:rPr>
        <w:t>XXXXXX</w:t>
      </w:r>
      <w:r w:rsidR="0019793D" w:rsidRPr="00567B30">
        <w:rPr>
          <w:rFonts w:asciiTheme="minorHAnsi" w:hAnsiTheme="minorHAnsi"/>
          <w:caps/>
          <w:color w:val="auto"/>
          <w:szCs w:val="24"/>
        </w:rPr>
        <w:t xml:space="preserve">               </w:t>
      </w:r>
      <w:r w:rsidR="00F00753" w:rsidRPr="00567B30">
        <w:rPr>
          <w:rFonts w:asciiTheme="minorHAnsi" w:hAnsiTheme="minorHAnsi"/>
          <w:caps/>
          <w:color w:val="auto"/>
          <w:szCs w:val="24"/>
        </w:rPr>
        <w:t xml:space="preserve">                        </w:t>
      </w:r>
      <w:r w:rsidRPr="00567B30">
        <w:rPr>
          <w:rFonts w:asciiTheme="minorHAnsi" w:hAnsiTheme="minorHAnsi"/>
          <w:caps/>
          <w:color w:val="auto"/>
          <w:szCs w:val="24"/>
        </w:rPr>
        <w:tab/>
      </w:r>
      <w:r w:rsidR="00AE3DED">
        <w:rPr>
          <w:rFonts w:asciiTheme="minorHAnsi" w:hAnsiTheme="minorHAnsi"/>
          <w:caps/>
          <w:color w:val="auto"/>
          <w:szCs w:val="24"/>
        </w:rPr>
        <w:t xml:space="preserve">                  </w:t>
      </w:r>
      <w:r w:rsidRPr="00567B30">
        <w:rPr>
          <w:rFonts w:asciiTheme="minorHAnsi" w:hAnsiTheme="minorHAnsi"/>
          <w:caps/>
          <w:color w:val="auto"/>
          <w:szCs w:val="24"/>
        </w:rPr>
        <w:t>BRANCH OF SERVICE</w:t>
      </w:r>
      <w:r w:rsidR="00213A0E" w:rsidRPr="00567B30">
        <w:rPr>
          <w:rFonts w:asciiTheme="minorHAnsi" w:hAnsiTheme="minorHAnsi"/>
          <w:caps/>
          <w:color w:val="auto"/>
          <w:szCs w:val="24"/>
        </w:rPr>
        <w:t>:</w:t>
      </w:r>
      <w:r w:rsidR="005014DE" w:rsidRPr="00567B30">
        <w:rPr>
          <w:rFonts w:asciiTheme="minorHAnsi" w:hAnsiTheme="minorHAnsi"/>
          <w:caps/>
          <w:color w:val="auto"/>
          <w:szCs w:val="24"/>
        </w:rPr>
        <w:t xml:space="preserve"> </w:t>
      </w:r>
      <w:r w:rsidR="00016CAF" w:rsidRPr="00567B30">
        <w:rPr>
          <w:rFonts w:asciiTheme="minorHAnsi" w:hAnsiTheme="minorHAnsi"/>
          <w:caps/>
          <w:color w:val="auto"/>
          <w:szCs w:val="24"/>
        </w:rPr>
        <w:t xml:space="preserve"> </w:t>
      </w:r>
      <w:r w:rsidR="00213A0E" w:rsidRPr="00567B30">
        <w:rPr>
          <w:rFonts w:asciiTheme="minorHAnsi" w:hAnsiTheme="minorHAnsi"/>
          <w:caps/>
          <w:color w:val="auto"/>
          <w:szCs w:val="24"/>
        </w:rPr>
        <w:t>marine corps</w:t>
      </w:r>
    </w:p>
    <w:p w:rsidR="00540BEF" w:rsidRPr="00567B30" w:rsidRDefault="00540BEF" w:rsidP="00DE45F3">
      <w:pPr>
        <w:tabs>
          <w:tab w:val="left" w:pos="288"/>
          <w:tab w:val="left" w:pos="4752"/>
        </w:tabs>
        <w:spacing w:line="240" w:lineRule="exact"/>
        <w:ind w:right="-900"/>
        <w:jc w:val="both"/>
        <w:rPr>
          <w:rFonts w:asciiTheme="minorHAnsi" w:hAnsiTheme="minorHAnsi"/>
          <w:caps/>
          <w:color w:val="auto"/>
          <w:szCs w:val="24"/>
        </w:rPr>
      </w:pPr>
      <w:r w:rsidRPr="00567B30">
        <w:rPr>
          <w:rFonts w:asciiTheme="minorHAnsi" w:hAnsiTheme="minorHAnsi"/>
          <w:caps/>
          <w:color w:val="auto"/>
          <w:szCs w:val="24"/>
        </w:rPr>
        <w:t>CASE NUMBER:  PD</w:t>
      </w:r>
      <w:r w:rsidR="00213A0E" w:rsidRPr="00567B30">
        <w:rPr>
          <w:rFonts w:asciiTheme="minorHAnsi" w:hAnsiTheme="minorHAnsi"/>
          <w:caps/>
          <w:color w:val="auto"/>
          <w:szCs w:val="24"/>
        </w:rPr>
        <w:t>1000709</w:t>
      </w:r>
      <w:r w:rsidRPr="00567B30">
        <w:rPr>
          <w:rFonts w:asciiTheme="minorHAnsi" w:hAnsiTheme="minorHAnsi"/>
          <w:caps/>
          <w:color w:val="auto"/>
          <w:szCs w:val="24"/>
        </w:rPr>
        <w:tab/>
      </w:r>
      <w:r w:rsidRPr="00567B30">
        <w:rPr>
          <w:rFonts w:asciiTheme="minorHAnsi" w:hAnsiTheme="minorHAnsi"/>
          <w:caps/>
          <w:color w:val="auto"/>
          <w:szCs w:val="24"/>
        </w:rPr>
        <w:tab/>
      </w:r>
      <w:r w:rsidR="00F00753" w:rsidRPr="00567B30">
        <w:rPr>
          <w:rFonts w:asciiTheme="minorHAnsi" w:hAnsiTheme="minorHAnsi"/>
          <w:caps/>
          <w:color w:val="auto"/>
          <w:szCs w:val="24"/>
        </w:rPr>
        <w:t xml:space="preserve">            </w:t>
      </w:r>
      <w:r w:rsidR="00335CE0">
        <w:rPr>
          <w:rFonts w:asciiTheme="minorHAnsi" w:hAnsiTheme="minorHAnsi"/>
          <w:caps/>
          <w:color w:val="auto"/>
          <w:szCs w:val="24"/>
        </w:rPr>
        <w:t xml:space="preserve"> </w:t>
      </w:r>
      <w:r w:rsidR="00C22F3A" w:rsidRPr="00567B30">
        <w:rPr>
          <w:rFonts w:asciiTheme="minorHAnsi" w:hAnsiTheme="minorHAnsi"/>
          <w:caps/>
          <w:color w:val="auto"/>
          <w:szCs w:val="24"/>
        </w:rPr>
        <w:t xml:space="preserve">SEPARATION DATE: </w:t>
      </w:r>
      <w:r w:rsidR="00016CAF" w:rsidRPr="00567B30">
        <w:rPr>
          <w:rFonts w:asciiTheme="minorHAnsi" w:hAnsiTheme="minorHAnsi"/>
          <w:caps/>
          <w:color w:val="auto"/>
          <w:szCs w:val="24"/>
        </w:rPr>
        <w:t xml:space="preserve"> </w:t>
      </w:r>
      <w:r w:rsidR="00213A0E" w:rsidRPr="00567B30">
        <w:rPr>
          <w:rFonts w:asciiTheme="minorHAnsi" w:hAnsiTheme="minorHAnsi"/>
          <w:caps/>
          <w:color w:val="auto"/>
          <w:szCs w:val="24"/>
        </w:rPr>
        <w:t>20070915</w:t>
      </w:r>
    </w:p>
    <w:p w:rsidR="00540BEF" w:rsidRDefault="00540BEF" w:rsidP="00DE45F3">
      <w:pPr>
        <w:tabs>
          <w:tab w:val="left" w:pos="288"/>
          <w:tab w:val="left" w:pos="4752"/>
        </w:tabs>
        <w:spacing w:line="240" w:lineRule="exact"/>
        <w:jc w:val="both"/>
        <w:rPr>
          <w:rFonts w:asciiTheme="minorHAnsi" w:hAnsiTheme="minorHAnsi"/>
          <w:caps/>
          <w:color w:val="auto"/>
          <w:szCs w:val="24"/>
        </w:rPr>
      </w:pPr>
      <w:r w:rsidRPr="00567B30">
        <w:rPr>
          <w:rFonts w:asciiTheme="minorHAnsi" w:hAnsiTheme="minorHAnsi"/>
          <w:caps/>
          <w:color w:val="auto"/>
          <w:szCs w:val="24"/>
        </w:rPr>
        <w:t xml:space="preserve">BOARD DATE: </w:t>
      </w:r>
      <w:r w:rsidR="00016CAF" w:rsidRPr="00567B30">
        <w:rPr>
          <w:rFonts w:asciiTheme="minorHAnsi" w:hAnsiTheme="minorHAnsi"/>
          <w:caps/>
          <w:color w:val="auto"/>
          <w:szCs w:val="24"/>
        </w:rPr>
        <w:t xml:space="preserve"> </w:t>
      </w:r>
      <w:r w:rsidR="000F02BE" w:rsidRPr="00567B30">
        <w:rPr>
          <w:rFonts w:asciiTheme="minorHAnsi" w:hAnsiTheme="minorHAnsi"/>
          <w:caps/>
          <w:color w:val="auto"/>
          <w:szCs w:val="24"/>
        </w:rPr>
        <w:t>201</w:t>
      </w:r>
      <w:r w:rsidR="000E73B1" w:rsidRPr="00567B30">
        <w:rPr>
          <w:rFonts w:asciiTheme="minorHAnsi" w:hAnsiTheme="minorHAnsi"/>
          <w:caps/>
          <w:color w:val="auto"/>
          <w:szCs w:val="24"/>
        </w:rPr>
        <w:t>1</w:t>
      </w:r>
      <w:r w:rsidR="004B3532" w:rsidRPr="00567B30">
        <w:rPr>
          <w:rFonts w:asciiTheme="minorHAnsi" w:hAnsiTheme="minorHAnsi"/>
          <w:caps/>
          <w:color w:val="auto"/>
          <w:szCs w:val="24"/>
        </w:rPr>
        <w:t>0413</w:t>
      </w:r>
    </w:p>
    <w:p w:rsidR="00B63963" w:rsidRPr="00567B30" w:rsidRDefault="00B63963" w:rsidP="00B63963">
      <w:pPr>
        <w:pBdr>
          <w:bottom w:val="single" w:sz="12" w:space="1" w:color="auto"/>
        </w:pBdr>
        <w:tabs>
          <w:tab w:val="left" w:pos="288"/>
          <w:tab w:val="left" w:pos="4752"/>
        </w:tabs>
        <w:spacing w:line="240" w:lineRule="exact"/>
        <w:jc w:val="both"/>
        <w:rPr>
          <w:rFonts w:asciiTheme="minorHAnsi" w:hAnsiTheme="minorHAnsi"/>
          <w:caps/>
          <w:color w:val="auto"/>
          <w:szCs w:val="24"/>
        </w:rPr>
      </w:pPr>
    </w:p>
    <w:p w:rsidR="00B522CD" w:rsidRPr="00567B30" w:rsidRDefault="00B522CD" w:rsidP="00016CAF">
      <w:pPr>
        <w:tabs>
          <w:tab w:val="left" w:pos="288"/>
          <w:tab w:val="left" w:pos="4752"/>
        </w:tabs>
        <w:spacing w:line="240" w:lineRule="exact"/>
        <w:jc w:val="both"/>
        <w:rPr>
          <w:rFonts w:asciiTheme="minorHAnsi" w:hAnsiTheme="minorHAnsi"/>
          <w:color w:val="auto"/>
          <w:szCs w:val="24"/>
        </w:rPr>
      </w:pPr>
    </w:p>
    <w:p w:rsidR="002641B6" w:rsidRPr="00567B30" w:rsidRDefault="002C6E5B" w:rsidP="00016CAF">
      <w:pPr>
        <w:autoSpaceDE w:val="0"/>
        <w:autoSpaceDN w:val="0"/>
        <w:adjustRightInd w:val="0"/>
        <w:spacing w:line="240" w:lineRule="exact"/>
        <w:jc w:val="both"/>
        <w:rPr>
          <w:rFonts w:asciiTheme="minorHAnsi" w:hAnsiTheme="minorHAnsi"/>
          <w:color w:val="auto"/>
          <w:szCs w:val="24"/>
        </w:rPr>
      </w:pPr>
      <w:r w:rsidRPr="00567B30">
        <w:rPr>
          <w:rFonts w:asciiTheme="minorHAnsi" w:hAnsiTheme="minorHAnsi"/>
          <w:color w:val="auto"/>
          <w:szCs w:val="24"/>
          <w:u w:val="single"/>
        </w:rPr>
        <w:t>SUMMARY OF CASE</w:t>
      </w:r>
      <w:r w:rsidRPr="00567B30">
        <w:rPr>
          <w:rFonts w:asciiTheme="minorHAnsi" w:hAnsiTheme="minorHAnsi"/>
          <w:color w:val="auto"/>
          <w:szCs w:val="24"/>
        </w:rPr>
        <w:t xml:space="preserve">:  </w:t>
      </w:r>
      <w:r w:rsidR="009D2E55" w:rsidRPr="00567B30">
        <w:rPr>
          <w:rFonts w:asciiTheme="minorHAnsi" w:hAnsiTheme="minorHAnsi"/>
          <w:color w:val="auto"/>
          <w:szCs w:val="24"/>
        </w:rPr>
        <w:t xml:space="preserve">Data extracted from the available evidence of record reflects that this covered individual (CI) was an active duty </w:t>
      </w:r>
      <w:r w:rsidR="002641B6" w:rsidRPr="00567B30">
        <w:rPr>
          <w:rFonts w:asciiTheme="minorHAnsi" w:hAnsiTheme="minorHAnsi"/>
          <w:color w:val="auto"/>
          <w:szCs w:val="24"/>
        </w:rPr>
        <w:t>E-3/</w:t>
      </w:r>
      <w:proofErr w:type="spellStart"/>
      <w:r w:rsidR="002641B6" w:rsidRPr="00567B30">
        <w:rPr>
          <w:rFonts w:asciiTheme="minorHAnsi" w:hAnsiTheme="minorHAnsi"/>
          <w:color w:val="auto"/>
          <w:szCs w:val="24"/>
        </w:rPr>
        <w:t>L</w:t>
      </w:r>
      <w:r w:rsidR="00F15375">
        <w:rPr>
          <w:rFonts w:asciiTheme="minorHAnsi" w:hAnsiTheme="minorHAnsi"/>
          <w:color w:val="auto"/>
          <w:szCs w:val="24"/>
        </w:rPr>
        <w:t>C</w:t>
      </w:r>
      <w:r w:rsidR="00567B30">
        <w:rPr>
          <w:rFonts w:asciiTheme="minorHAnsi" w:hAnsiTheme="minorHAnsi"/>
          <w:color w:val="auto"/>
          <w:szCs w:val="24"/>
        </w:rPr>
        <w:t>pl</w:t>
      </w:r>
      <w:proofErr w:type="spellEnd"/>
      <w:r w:rsidR="002641B6" w:rsidRPr="00567B30">
        <w:rPr>
          <w:rFonts w:asciiTheme="minorHAnsi" w:hAnsiTheme="minorHAnsi"/>
          <w:color w:val="auto"/>
          <w:szCs w:val="24"/>
        </w:rPr>
        <w:t xml:space="preserve"> (0311, Rifleman) medically separated from the </w:t>
      </w:r>
      <w:r w:rsidR="00AE0A18" w:rsidRPr="00567B30">
        <w:rPr>
          <w:rFonts w:asciiTheme="minorHAnsi" w:hAnsiTheme="minorHAnsi"/>
          <w:color w:val="auto"/>
          <w:szCs w:val="24"/>
        </w:rPr>
        <w:t xml:space="preserve">Marine Corp </w:t>
      </w:r>
      <w:r w:rsidR="002641B6" w:rsidRPr="00567B30">
        <w:rPr>
          <w:rFonts w:asciiTheme="minorHAnsi" w:hAnsiTheme="minorHAnsi"/>
          <w:color w:val="auto"/>
          <w:szCs w:val="24"/>
        </w:rPr>
        <w:t>in 2007 after 2 years of service.  The medical basis for the separation was Post</w:t>
      </w:r>
      <w:r w:rsidR="009B61BD">
        <w:rPr>
          <w:rFonts w:asciiTheme="minorHAnsi" w:hAnsiTheme="minorHAnsi"/>
          <w:color w:val="auto"/>
          <w:szCs w:val="24"/>
        </w:rPr>
        <w:t>t</w:t>
      </w:r>
      <w:r w:rsidR="002641B6" w:rsidRPr="00567B30">
        <w:rPr>
          <w:rFonts w:asciiTheme="minorHAnsi" w:hAnsiTheme="minorHAnsi"/>
          <w:color w:val="auto"/>
          <w:szCs w:val="24"/>
        </w:rPr>
        <w:t>raumatic Stress Disorder (PTSD)</w:t>
      </w:r>
      <w:r w:rsidR="00C8136E" w:rsidRPr="00567B30">
        <w:rPr>
          <w:rFonts w:asciiTheme="minorHAnsi" w:hAnsiTheme="minorHAnsi"/>
          <w:color w:val="auto"/>
          <w:szCs w:val="24"/>
        </w:rPr>
        <w:t>.</w:t>
      </w:r>
      <w:r w:rsidR="002641B6" w:rsidRPr="00567B30">
        <w:rPr>
          <w:rFonts w:asciiTheme="minorHAnsi" w:hAnsiTheme="minorHAnsi"/>
          <w:color w:val="auto"/>
          <w:szCs w:val="24"/>
        </w:rPr>
        <w:t xml:space="preserve"> </w:t>
      </w:r>
      <w:r w:rsidR="00F00753" w:rsidRPr="00567B30">
        <w:rPr>
          <w:rFonts w:asciiTheme="minorHAnsi" w:hAnsiTheme="minorHAnsi"/>
          <w:color w:val="auto"/>
          <w:szCs w:val="24"/>
        </w:rPr>
        <w:t xml:space="preserve"> </w:t>
      </w:r>
      <w:r w:rsidR="00571F28" w:rsidRPr="00567B30">
        <w:rPr>
          <w:rFonts w:asciiTheme="minorHAnsi" w:hAnsiTheme="minorHAnsi"/>
          <w:color w:val="auto"/>
          <w:szCs w:val="24"/>
        </w:rPr>
        <w:t xml:space="preserve">The CI’s PTSD symptoms developed </w:t>
      </w:r>
      <w:r w:rsidR="00E16268" w:rsidRPr="00567B30">
        <w:rPr>
          <w:rFonts w:asciiTheme="minorHAnsi" w:hAnsiTheme="minorHAnsi"/>
          <w:color w:val="auto"/>
          <w:szCs w:val="24"/>
        </w:rPr>
        <w:t>one month after an Improvised Explosive Device</w:t>
      </w:r>
      <w:r w:rsidR="00571F28" w:rsidRPr="00567B30">
        <w:rPr>
          <w:rFonts w:asciiTheme="minorHAnsi" w:hAnsiTheme="minorHAnsi"/>
          <w:color w:val="auto"/>
          <w:szCs w:val="24"/>
        </w:rPr>
        <w:t xml:space="preserve"> </w:t>
      </w:r>
      <w:r w:rsidR="008F7877" w:rsidRPr="00567B30">
        <w:rPr>
          <w:rFonts w:asciiTheme="minorHAnsi" w:hAnsiTheme="minorHAnsi"/>
          <w:color w:val="auto"/>
          <w:szCs w:val="24"/>
        </w:rPr>
        <w:t>(IED)</w:t>
      </w:r>
      <w:r w:rsidR="00E16268" w:rsidRPr="00567B30">
        <w:rPr>
          <w:rFonts w:asciiTheme="minorHAnsi" w:hAnsiTheme="minorHAnsi"/>
          <w:color w:val="auto"/>
          <w:szCs w:val="24"/>
        </w:rPr>
        <w:t xml:space="preserve"> detonated 10 feet away from him while he was conducting a foot patrol in the Al Anbar Pr</w:t>
      </w:r>
      <w:r w:rsidR="00A711A8" w:rsidRPr="00567B30">
        <w:rPr>
          <w:rFonts w:asciiTheme="minorHAnsi" w:hAnsiTheme="minorHAnsi"/>
          <w:color w:val="auto"/>
          <w:szCs w:val="24"/>
        </w:rPr>
        <w:t xml:space="preserve">ovince of </w:t>
      </w:r>
      <w:r w:rsidR="00B641F0" w:rsidRPr="00567B30">
        <w:rPr>
          <w:rFonts w:asciiTheme="minorHAnsi" w:hAnsiTheme="minorHAnsi"/>
          <w:color w:val="auto"/>
          <w:szCs w:val="24"/>
        </w:rPr>
        <w:t>Iraq (</w:t>
      </w:r>
      <w:r w:rsidR="00144D8C" w:rsidRPr="00567B30">
        <w:rPr>
          <w:rFonts w:asciiTheme="minorHAnsi" w:hAnsiTheme="minorHAnsi"/>
          <w:color w:val="auto"/>
          <w:szCs w:val="24"/>
        </w:rPr>
        <w:t>20060914)</w:t>
      </w:r>
      <w:r w:rsidR="00A711A8" w:rsidRPr="00567B30">
        <w:rPr>
          <w:rFonts w:asciiTheme="minorHAnsi" w:hAnsiTheme="minorHAnsi"/>
          <w:color w:val="auto"/>
          <w:szCs w:val="24"/>
        </w:rPr>
        <w:t>.  Th</w:t>
      </w:r>
      <w:r w:rsidR="00E16268" w:rsidRPr="00567B30">
        <w:rPr>
          <w:rFonts w:asciiTheme="minorHAnsi" w:hAnsiTheme="minorHAnsi"/>
          <w:color w:val="auto"/>
          <w:szCs w:val="24"/>
        </w:rPr>
        <w:t xml:space="preserve">e </w:t>
      </w:r>
      <w:r w:rsidR="00144D8C" w:rsidRPr="00567B30">
        <w:rPr>
          <w:rFonts w:asciiTheme="minorHAnsi" w:hAnsiTheme="minorHAnsi"/>
          <w:color w:val="auto"/>
          <w:szCs w:val="24"/>
        </w:rPr>
        <w:t xml:space="preserve">CI </w:t>
      </w:r>
      <w:r w:rsidR="00E16268" w:rsidRPr="00567B30">
        <w:rPr>
          <w:rFonts w:asciiTheme="minorHAnsi" w:hAnsiTheme="minorHAnsi"/>
          <w:color w:val="auto"/>
          <w:szCs w:val="24"/>
        </w:rPr>
        <w:t xml:space="preserve">initially sustained multiple fragment wounds resulting in soft tissue injury to his left thigh and right wrist. </w:t>
      </w:r>
      <w:r w:rsidR="00B6187F" w:rsidRPr="00567B30">
        <w:rPr>
          <w:rFonts w:asciiTheme="minorHAnsi" w:hAnsiTheme="minorHAnsi"/>
          <w:color w:val="auto"/>
          <w:szCs w:val="24"/>
        </w:rPr>
        <w:t xml:space="preserve"> </w:t>
      </w:r>
      <w:r w:rsidR="00E16268" w:rsidRPr="00567B30">
        <w:rPr>
          <w:rFonts w:asciiTheme="minorHAnsi" w:hAnsiTheme="minorHAnsi"/>
          <w:color w:val="auto"/>
          <w:szCs w:val="24"/>
        </w:rPr>
        <w:t xml:space="preserve">He was air evacuated to Camp TQ Taqaddum Surgical Unit where he underwent a foreign body removal from his left thigh and then transported to Landstuhl Regional Medical </w:t>
      </w:r>
      <w:r w:rsidR="00311960" w:rsidRPr="00567B30">
        <w:rPr>
          <w:rFonts w:asciiTheme="minorHAnsi" w:hAnsiTheme="minorHAnsi"/>
          <w:color w:val="auto"/>
          <w:szCs w:val="24"/>
        </w:rPr>
        <w:t>Center (</w:t>
      </w:r>
      <w:r w:rsidR="00A711A8" w:rsidRPr="00567B30">
        <w:rPr>
          <w:rFonts w:asciiTheme="minorHAnsi" w:hAnsiTheme="minorHAnsi"/>
          <w:color w:val="auto"/>
          <w:szCs w:val="24"/>
        </w:rPr>
        <w:t>LRMC)</w:t>
      </w:r>
      <w:r w:rsidR="00E16268" w:rsidRPr="00567B30">
        <w:rPr>
          <w:rFonts w:asciiTheme="minorHAnsi" w:hAnsiTheme="minorHAnsi"/>
          <w:color w:val="auto"/>
          <w:szCs w:val="24"/>
        </w:rPr>
        <w:t xml:space="preserve"> enroute to National Naval Medical Center (NNMC) </w:t>
      </w:r>
      <w:r w:rsidR="0003733F" w:rsidRPr="00567B30">
        <w:rPr>
          <w:rFonts w:asciiTheme="minorHAnsi" w:hAnsiTheme="minorHAnsi"/>
          <w:color w:val="auto"/>
          <w:szCs w:val="24"/>
        </w:rPr>
        <w:t xml:space="preserve">for further surgical and medical treatment.  The CI was placed on six month Limited Duty (LIMDU) for left thigh soft tissue and right wrist fragment injuries. </w:t>
      </w:r>
      <w:r w:rsidR="00B6187F" w:rsidRPr="00567B30">
        <w:rPr>
          <w:rFonts w:asciiTheme="minorHAnsi" w:hAnsiTheme="minorHAnsi"/>
          <w:color w:val="auto"/>
          <w:szCs w:val="24"/>
        </w:rPr>
        <w:t xml:space="preserve"> </w:t>
      </w:r>
      <w:r w:rsidR="005E4603" w:rsidRPr="00567B30">
        <w:rPr>
          <w:rFonts w:asciiTheme="minorHAnsi" w:hAnsiTheme="minorHAnsi"/>
          <w:color w:val="auto"/>
          <w:szCs w:val="24"/>
        </w:rPr>
        <w:t>He was al</w:t>
      </w:r>
      <w:r w:rsidR="00B63963">
        <w:rPr>
          <w:rFonts w:asciiTheme="minorHAnsi" w:hAnsiTheme="minorHAnsi"/>
          <w:color w:val="auto"/>
          <w:szCs w:val="24"/>
        </w:rPr>
        <w:t>so placed on convalescent l</w:t>
      </w:r>
      <w:r w:rsidR="005E4603" w:rsidRPr="00567B30">
        <w:rPr>
          <w:rFonts w:asciiTheme="minorHAnsi" w:hAnsiTheme="minorHAnsi"/>
          <w:color w:val="auto"/>
          <w:szCs w:val="24"/>
        </w:rPr>
        <w:t>eave for 30 days for recovery from surgery for a left knee arthroscopy and debridement of a meniscal tear.</w:t>
      </w:r>
      <w:r w:rsidR="000532C5" w:rsidRPr="00567B30">
        <w:rPr>
          <w:rFonts w:asciiTheme="minorHAnsi" w:hAnsiTheme="minorHAnsi"/>
          <w:color w:val="auto"/>
          <w:szCs w:val="24"/>
        </w:rPr>
        <w:t xml:space="preserve">  The CI’s PTSD symptoms worsened and he had an involuntary </w:t>
      </w:r>
      <w:r w:rsidR="00311960" w:rsidRPr="00567B30">
        <w:rPr>
          <w:rFonts w:asciiTheme="minorHAnsi" w:hAnsiTheme="minorHAnsi"/>
          <w:color w:val="auto"/>
          <w:szCs w:val="24"/>
        </w:rPr>
        <w:t>psychiatric admission</w:t>
      </w:r>
      <w:r w:rsidR="000532C5" w:rsidRPr="00567B30">
        <w:rPr>
          <w:rFonts w:asciiTheme="minorHAnsi" w:hAnsiTheme="minorHAnsi"/>
          <w:color w:val="auto"/>
          <w:szCs w:val="24"/>
        </w:rPr>
        <w:t xml:space="preserve"> to the Veteran </w:t>
      </w:r>
      <w:r w:rsidR="00AE0A18" w:rsidRPr="00567B30">
        <w:rPr>
          <w:rFonts w:asciiTheme="minorHAnsi" w:hAnsiTheme="minorHAnsi"/>
          <w:color w:val="auto"/>
          <w:szCs w:val="24"/>
        </w:rPr>
        <w:t>Administration Medical</w:t>
      </w:r>
      <w:r w:rsidR="000532C5" w:rsidRPr="00567B30">
        <w:rPr>
          <w:rFonts w:asciiTheme="minorHAnsi" w:hAnsiTheme="minorHAnsi"/>
          <w:color w:val="auto"/>
          <w:szCs w:val="24"/>
        </w:rPr>
        <w:t xml:space="preserve"> </w:t>
      </w:r>
      <w:r w:rsidR="00B641F0" w:rsidRPr="00567B30">
        <w:rPr>
          <w:rFonts w:asciiTheme="minorHAnsi" w:hAnsiTheme="minorHAnsi"/>
          <w:color w:val="auto"/>
          <w:szCs w:val="24"/>
        </w:rPr>
        <w:t>Center (</w:t>
      </w:r>
      <w:r w:rsidR="000532C5" w:rsidRPr="00567B30">
        <w:rPr>
          <w:rFonts w:asciiTheme="minorHAnsi" w:hAnsiTheme="minorHAnsi"/>
          <w:color w:val="auto"/>
          <w:szCs w:val="24"/>
        </w:rPr>
        <w:t xml:space="preserve">VAMC).  Although the CI was compliant with his </w:t>
      </w:r>
      <w:r w:rsidR="00311960" w:rsidRPr="00567B30">
        <w:rPr>
          <w:rFonts w:asciiTheme="minorHAnsi" w:hAnsiTheme="minorHAnsi"/>
          <w:color w:val="auto"/>
          <w:szCs w:val="24"/>
        </w:rPr>
        <w:t>medications</w:t>
      </w:r>
      <w:r w:rsidR="000532C5" w:rsidRPr="00567B30">
        <w:rPr>
          <w:rFonts w:asciiTheme="minorHAnsi" w:hAnsiTheme="minorHAnsi"/>
          <w:color w:val="auto"/>
          <w:szCs w:val="24"/>
        </w:rPr>
        <w:t xml:space="preserve"> and</w:t>
      </w:r>
      <w:r w:rsidR="00311960" w:rsidRPr="00567B30">
        <w:rPr>
          <w:rFonts w:asciiTheme="minorHAnsi" w:hAnsiTheme="minorHAnsi"/>
          <w:color w:val="auto"/>
          <w:szCs w:val="24"/>
        </w:rPr>
        <w:t xml:space="preserve"> other treatment modalities for PTSD, the CI continued with symptoms that impaired his ability to meet the operati</w:t>
      </w:r>
      <w:r w:rsidR="00B63963">
        <w:rPr>
          <w:rFonts w:asciiTheme="minorHAnsi" w:hAnsiTheme="minorHAnsi"/>
          <w:color w:val="auto"/>
          <w:szCs w:val="24"/>
        </w:rPr>
        <w:t>onal requirements of his Military</w:t>
      </w:r>
      <w:r w:rsidR="00311960" w:rsidRPr="00567B30">
        <w:rPr>
          <w:rFonts w:asciiTheme="minorHAnsi" w:hAnsiTheme="minorHAnsi"/>
          <w:color w:val="auto"/>
          <w:szCs w:val="24"/>
        </w:rPr>
        <w:t xml:space="preserve"> Occupational Specialty (MOS).</w:t>
      </w:r>
      <w:r w:rsidR="00BC53E4" w:rsidRPr="00567B30">
        <w:rPr>
          <w:rFonts w:asciiTheme="minorHAnsi" w:hAnsiTheme="minorHAnsi"/>
          <w:color w:val="auto"/>
          <w:szCs w:val="24"/>
        </w:rPr>
        <w:t xml:space="preserve">  He was referred to the Medical Evaluation Board (MEB).  The MEB listed </w:t>
      </w:r>
      <w:r w:rsidR="00B6187F" w:rsidRPr="00567B30">
        <w:rPr>
          <w:rFonts w:asciiTheme="minorHAnsi" w:hAnsiTheme="minorHAnsi"/>
          <w:color w:val="auto"/>
          <w:szCs w:val="24"/>
        </w:rPr>
        <w:t>PTSD and</w:t>
      </w:r>
      <w:r w:rsidR="00C8136E" w:rsidRPr="00567B30">
        <w:rPr>
          <w:rFonts w:asciiTheme="minorHAnsi" w:hAnsiTheme="minorHAnsi"/>
          <w:color w:val="auto"/>
          <w:szCs w:val="24"/>
        </w:rPr>
        <w:t xml:space="preserve"> Major Depressive Disorder, Single Episode </w:t>
      </w:r>
      <w:r w:rsidR="00B63963" w:rsidRPr="00567B30">
        <w:rPr>
          <w:rFonts w:asciiTheme="minorHAnsi" w:hAnsiTheme="minorHAnsi"/>
          <w:color w:val="auto"/>
          <w:szCs w:val="24"/>
        </w:rPr>
        <w:t>without</w:t>
      </w:r>
      <w:r w:rsidR="00EE1434" w:rsidRPr="00567B30">
        <w:rPr>
          <w:rFonts w:asciiTheme="minorHAnsi" w:hAnsiTheme="minorHAnsi"/>
          <w:color w:val="auto"/>
          <w:szCs w:val="24"/>
        </w:rPr>
        <w:t xml:space="preserve"> Psychotic Features as diagnoses on the NAVMED 6001/1.  The </w:t>
      </w:r>
      <w:r w:rsidR="00B641F0" w:rsidRPr="00567B30">
        <w:rPr>
          <w:rFonts w:asciiTheme="minorHAnsi" w:hAnsiTheme="minorHAnsi"/>
          <w:color w:val="auto"/>
          <w:szCs w:val="24"/>
        </w:rPr>
        <w:t>informal Physical</w:t>
      </w:r>
      <w:r w:rsidR="00EE1434" w:rsidRPr="00567B30">
        <w:rPr>
          <w:rFonts w:asciiTheme="minorHAnsi" w:hAnsiTheme="minorHAnsi"/>
          <w:color w:val="auto"/>
          <w:szCs w:val="24"/>
        </w:rPr>
        <w:t xml:space="preserve"> Evaluation Board (PEB) adjudicated the PTSD as unfitting rated 10% with likely application of SECNAVINST 1850.4E and/or DoDI 1332.39 (E2.</w:t>
      </w:r>
      <w:r w:rsidR="00342378" w:rsidRPr="00567B30">
        <w:rPr>
          <w:rFonts w:asciiTheme="minorHAnsi" w:hAnsiTheme="minorHAnsi"/>
          <w:color w:val="auto"/>
          <w:szCs w:val="24"/>
        </w:rPr>
        <w:t>A1.5).  The PEB adjudicated the Major Depre</w:t>
      </w:r>
      <w:r w:rsidR="00B63963">
        <w:rPr>
          <w:rFonts w:asciiTheme="minorHAnsi" w:hAnsiTheme="minorHAnsi"/>
          <w:color w:val="auto"/>
          <w:szCs w:val="24"/>
        </w:rPr>
        <w:t>ssive Disorder, Single Episode w</w:t>
      </w:r>
      <w:r w:rsidR="00342378" w:rsidRPr="00567B30">
        <w:rPr>
          <w:rFonts w:asciiTheme="minorHAnsi" w:hAnsiTheme="minorHAnsi"/>
          <w:color w:val="auto"/>
          <w:szCs w:val="24"/>
        </w:rPr>
        <w:t>ithout Psychotic Features as Category II (“Conditions that contribute to the unfitting condition”) and Left Knee Pain as Category III (“Conditions that are not separately unfitting and do not contri</w:t>
      </w:r>
      <w:r w:rsidR="00B6187F" w:rsidRPr="00567B30">
        <w:rPr>
          <w:rFonts w:asciiTheme="minorHAnsi" w:hAnsiTheme="minorHAnsi"/>
          <w:color w:val="auto"/>
          <w:szCs w:val="24"/>
        </w:rPr>
        <w:t>bute to the unfitting condition</w:t>
      </w:r>
      <w:r w:rsidR="00342378" w:rsidRPr="00567B30">
        <w:rPr>
          <w:rFonts w:asciiTheme="minorHAnsi" w:hAnsiTheme="minorHAnsi"/>
          <w:color w:val="auto"/>
          <w:szCs w:val="24"/>
        </w:rPr>
        <w:t xml:space="preserve">(s)”).  The CI did not appeal and was thus medically </w:t>
      </w:r>
      <w:r w:rsidR="00B641F0" w:rsidRPr="00567B30">
        <w:rPr>
          <w:rFonts w:asciiTheme="minorHAnsi" w:hAnsiTheme="minorHAnsi"/>
          <w:color w:val="auto"/>
          <w:szCs w:val="24"/>
        </w:rPr>
        <w:t>separated</w:t>
      </w:r>
      <w:r w:rsidR="00342378" w:rsidRPr="00567B30">
        <w:rPr>
          <w:rFonts w:asciiTheme="minorHAnsi" w:hAnsiTheme="minorHAnsi"/>
          <w:color w:val="auto"/>
          <w:szCs w:val="24"/>
        </w:rPr>
        <w:t xml:space="preserve"> with a combined disability rating of 10%.</w:t>
      </w:r>
    </w:p>
    <w:p w:rsidR="00B63963" w:rsidRPr="00567B30" w:rsidRDefault="00B63963" w:rsidP="00B63963">
      <w:pPr>
        <w:pBdr>
          <w:bottom w:val="single" w:sz="12" w:space="1" w:color="auto"/>
        </w:pBdr>
        <w:tabs>
          <w:tab w:val="left" w:pos="288"/>
          <w:tab w:val="left" w:pos="4752"/>
        </w:tabs>
        <w:spacing w:line="240" w:lineRule="exact"/>
        <w:jc w:val="both"/>
        <w:rPr>
          <w:rFonts w:asciiTheme="minorHAnsi" w:hAnsiTheme="minorHAnsi"/>
          <w:caps/>
          <w:color w:val="auto"/>
          <w:szCs w:val="24"/>
        </w:rPr>
      </w:pPr>
    </w:p>
    <w:p w:rsidR="00B63963" w:rsidRPr="00567B30" w:rsidRDefault="00B63963" w:rsidP="00B63963">
      <w:pPr>
        <w:tabs>
          <w:tab w:val="left" w:pos="288"/>
          <w:tab w:val="left" w:pos="4752"/>
        </w:tabs>
        <w:spacing w:line="240" w:lineRule="exact"/>
        <w:jc w:val="both"/>
        <w:rPr>
          <w:rFonts w:asciiTheme="minorHAnsi" w:hAnsiTheme="minorHAnsi"/>
          <w:color w:val="auto"/>
          <w:szCs w:val="24"/>
        </w:rPr>
      </w:pPr>
    </w:p>
    <w:p w:rsidR="00786AF6" w:rsidRPr="00567B30" w:rsidRDefault="002C6E5B" w:rsidP="00DE45F3">
      <w:pPr>
        <w:tabs>
          <w:tab w:val="left" w:pos="288"/>
          <w:tab w:val="left" w:pos="4752"/>
        </w:tabs>
        <w:spacing w:line="240" w:lineRule="exact"/>
        <w:jc w:val="both"/>
        <w:rPr>
          <w:rFonts w:asciiTheme="minorHAnsi" w:hAnsiTheme="minorHAnsi"/>
          <w:color w:val="auto"/>
          <w:szCs w:val="24"/>
        </w:rPr>
      </w:pPr>
      <w:r w:rsidRPr="00567B30">
        <w:rPr>
          <w:rFonts w:asciiTheme="minorHAnsi" w:hAnsiTheme="minorHAnsi"/>
          <w:color w:val="auto"/>
          <w:szCs w:val="24"/>
          <w:u w:val="single"/>
        </w:rPr>
        <w:t>CI CONTENTION</w:t>
      </w:r>
      <w:r w:rsidRPr="00567B30">
        <w:rPr>
          <w:rFonts w:asciiTheme="minorHAnsi" w:hAnsiTheme="minorHAnsi"/>
          <w:color w:val="auto"/>
          <w:szCs w:val="24"/>
        </w:rPr>
        <w:t xml:space="preserve">:  </w:t>
      </w:r>
      <w:r w:rsidR="00786AF6" w:rsidRPr="00567B30">
        <w:rPr>
          <w:rFonts w:asciiTheme="minorHAnsi" w:hAnsiTheme="minorHAnsi"/>
          <w:color w:val="auto"/>
          <w:szCs w:val="24"/>
        </w:rPr>
        <w:t xml:space="preserve">The CI states: “I was rated at ten percent </w:t>
      </w:r>
      <w:r w:rsidR="00786AF6" w:rsidRPr="00567B30">
        <w:rPr>
          <w:rFonts w:asciiTheme="minorHAnsi" w:hAnsiTheme="minorHAnsi" w:cs="Arial"/>
          <w:color w:val="auto"/>
          <w:szCs w:val="24"/>
        </w:rPr>
        <w:t xml:space="preserve">from </w:t>
      </w:r>
      <w:r w:rsidR="00786AF6" w:rsidRPr="00567B30">
        <w:rPr>
          <w:rFonts w:asciiTheme="minorHAnsi" w:hAnsiTheme="minorHAnsi"/>
          <w:color w:val="auto"/>
          <w:szCs w:val="24"/>
        </w:rPr>
        <w:t>the Marine Corps</w:t>
      </w:r>
      <w:r w:rsidR="00817FB1" w:rsidRPr="00567B30">
        <w:rPr>
          <w:rFonts w:asciiTheme="minorHAnsi" w:hAnsiTheme="minorHAnsi"/>
          <w:color w:val="auto"/>
          <w:szCs w:val="24"/>
        </w:rPr>
        <w:t>.</w:t>
      </w:r>
      <w:r w:rsidR="00786AF6" w:rsidRPr="00567B30">
        <w:rPr>
          <w:rFonts w:asciiTheme="minorHAnsi" w:hAnsiTheme="minorHAnsi"/>
          <w:color w:val="auto"/>
          <w:szCs w:val="24"/>
        </w:rPr>
        <w:t xml:space="preserve">, </w:t>
      </w:r>
      <w:r w:rsidR="00786AF6" w:rsidRPr="00567B30">
        <w:rPr>
          <w:rFonts w:asciiTheme="minorHAnsi" w:hAnsiTheme="minorHAnsi" w:cs="Arial"/>
          <w:color w:val="auto"/>
          <w:szCs w:val="24"/>
        </w:rPr>
        <w:t xml:space="preserve">upon </w:t>
      </w:r>
      <w:r w:rsidR="00786AF6" w:rsidRPr="00567B30">
        <w:rPr>
          <w:rFonts w:asciiTheme="minorHAnsi" w:hAnsiTheme="minorHAnsi"/>
          <w:color w:val="auto"/>
          <w:szCs w:val="24"/>
        </w:rPr>
        <w:t xml:space="preserve">leaving the Marine Corps and going to the VA for medical, </w:t>
      </w:r>
      <w:r w:rsidR="00786AF6" w:rsidRPr="00567B30">
        <w:rPr>
          <w:rFonts w:asciiTheme="minorHAnsi" w:hAnsiTheme="minorHAnsi" w:cs="Arial"/>
          <w:color w:val="auto"/>
          <w:szCs w:val="24"/>
        </w:rPr>
        <w:t xml:space="preserve">I </w:t>
      </w:r>
      <w:r w:rsidR="00786AF6" w:rsidRPr="00567B30">
        <w:rPr>
          <w:rFonts w:asciiTheme="minorHAnsi" w:hAnsiTheme="minorHAnsi"/>
          <w:color w:val="auto"/>
          <w:szCs w:val="24"/>
        </w:rPr>
        <w:t xml:space="preserve">was </w:t>
      </w:r>
      <w:r w:rsidR="00786AF6" w:rsidRPr="00567B30">
        <w:rPr>
          <w:rFonts w:asciiTheme="minorHAnsi" w:hAnsiTheme="minorHAnsi" w:cs="Arial"/>
          <w:color w:val="auto"/>
          <w:szCs w:val="24"/>
        </w:rPr>
        <w:t xml:space="preserve">awarded </w:t>
      </w:r>
      <w:r w:rsidR="00786AF6" w:rsidRPr="00567B30">
        <w:rPr>
          <w:rFonts w:asciiTheme="minorHAnsi" w:hAnsiTheme="minorHAnsi"/>
          <w:color w:val="auto"/>
          <w:szCs w:val="24"/>
        </w:rPr>
        <w:t xml:space="preserve">the </w:t>
      </w:r>
      <w:r w:rsidR="00786AF6" w:rsidRPr="00567B30">
        <w:rPr>
          <w:rFonts w:asciiTheme="minorHAnsi" w:hAnsiTheme="minorHAnsi" w:cs="Arial"/>
          <w:color w:val="auto"/>
          <w:szCs w:val="24"/>
        </w:rPr>
        <w:t xml:space="preserve">rating </w:t>
      </w:r>
      <w:r w:rsidR="00786AF6" w:rsidRPr="00567B30">
        <w:rPr>
          <w:rFonts w:asciiTheme="minorHAnsi" w:hAnsiTheme="minorHAnsi"/>
          <w:color w:val="auto"/>
          <w:szCs w:val="24"/>
        </w:rPr>
        <w:t>of 80 percent and found to have more disabilities than the Marine Corps had released me for.”</w:t>
      </w:r>
    </w:p>
    <w:p w:rsidR="00B63963" w:rsidRPr="00567B30" w:rsidRDefault="00B63963" w:rsidP="00B63963">
      <w:pPr>
        <w:pBdr>
          <w:bottom w:val="single" w:sz="12" w:space="1" w:color="auto"/>
        </w:pBdr>
        <w:tabs>
          <w:tab w:val="left" w:pos="288"/>
          <w:tab w:val="left" w:pos="4752"/>
        </w:tabs>
        <w:spacing w:line="240" w:lineRule="exact"/>
        <w:jc w:val="both"/>
        <w:rPr>
          <w:rFonts w:asciiTheme="minorHAnsi" w:hAnsiTheme="minorHAnsi"/>
          <w:caps/>
          <w:color w:val="auto"/>
          <w:szCs w:val="24"/>
        </w:rPr>
      </w:pPr>
    </w:p>
    <w:p w:rsidR="00B63963" w:rsidRPr="00567B30" w:rsidRDefault="00B63963" w:rsidP="00B63963">
      <w:pPr>
        <w:tabs>
          <w:tab w:val="left" w:pos="288"/>
          <w:tab w:val="left" w:pos="4752"/>
        </w:tabs>
        <w:spacing w:line="240" w:lineRule="exact"/>
        <w:jc w:val="both"/>
        <w:rPr>
          <w:rFonts w:asciiTheme="minorHAnsi" w:hAnsiTheme="minorHAnsi"/>
          <w:color w:val="auto"/>
          <w:szCs w:val="24"/>
        </w:rPr>
      </w:pPr>
    </w:p>
    <w:p w:rsidR="00335CE0" w:rsidRPr="00567B30" w:rsidRDefault="00335CE0" w:rsidP="00335CE0">
      <w:pPr>
        <w:spacing w:line="240" w:lineRule="exact"/>
        <w:jc w:val="both"/>
        <w:rPr>
          <w:rFonts w:asciiTheme="minorHAnsi" w:hAnsiTheme="minorHAnsi"/>
          <w:color w:val="auto"/>
          <w:szCs w:val="24"/>
        </w:rPr>
      </w:pPr>
      <w:r w:rsidRPr="00567B30">
        <w:rPr>
          <w:rFonts w:asciiTheme="minorHAnsi" w:hAnsiTheme="minorHAnsi"/>
          <w:color w:val="auto"/>
          <w:szCs w:val="24"/>
          <w:u w:val="single"/>
        </w:rPr>
        <w:t>RATING COMPARISON</w:t>
      </w:r>
      <w:r w:rsidRPr="00567B30">
        <w:rPr>
          <w:rFonts w:asciiTheme="minorHAnsi" w:hAnsiTheme="minorHAnsi"/>
          <w:color w:val="auto"/>
          <w:szCs w:val="24"/>
        </w:rPr>
        <w:t>:</w:t>
      </w:r>
    </w:p>
    <w:p w:rsidR="00335CE0" w:rsidRPr="00567B30" w:rsidRDefault="00335CE0" w:rsidP="00335CE0">
      <w:pPr>
        <w:spacing w:line="240" w:lineRule="exact"/>
        <w:jc w:val="both"/>
        <w:rPr>
          <w:rFonts w:asciiTheme="minorHAnsi" w:hAnsiTheme="minorHAnsi"/>
          <w:color w:val="auto"/>
          <w:sz w:val="18"/>
          <w:szCs w:val="18"/>
        </w:rPr>
      </w:pPr>
    </w:p>
    <w:tbl>
      <w:tblPr>
        <w:tblW w:w="9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6"/>
        <w:gridCol w:w="1782"/>
        <w:gridCol w:w="720"/>
        <w:gridCol w:w="720"/>
        <w:gridCol w:w="2969"/>
        <w:gridCol w:w="1085"/>
        <w:gridCol w:w="765"/>
        <w:gridCol w:w="982"/>
      </w:tblGrid>
      <w:tr w:rsidR="00335CE0" w:rsidRPr="00567B30" w:rsidTr="00B63963">
        <w:trPr>
          <w:trHeight w:val="233"/>
          <w:jc w:val="center"/>
        </w:trPr>
        <w:tc>
          <w:tcPr>
            <w:tcW w:w="3458" w:type="dxa"/>
            <w:gridSpan w:val="4"/>
            <w:tcBorders>
              <w:right w:val="thinThickThinSmallGap" w:sz="24" w:space="0" w:color="auto"/>
            </w:tcBorders>
            <w:shd w:val="clear" w:color="auto" w:fill="D9D9D9"/>
          </w:tcPr>
          <w:p w:rsidR="00335CE0" w:rsidRPr="00567B30" w:rsidRDefault="00335CE0" w:rsidP="006B4F48">
            <w:pPr>
              <w:pStyle w:val="ListParagraph"/>
              <w:spacing w:after="0" w:line="240" w:lineRule="exact"/>
              <w:ind w:left="0"/>
              <w:jc w:val="center"/>
              <w:rPr>
                <w:b/>
                <w:sz w:val="18"/>
                <w:szCs w:val="18"/>
              </w:rPr>
            </w:pPr>
            <w:r w:rsidRPr="00567B30">
              <w:rPr>
                <w:b/>
                <w:sz w:val="18"/>
                <w:szCs w:val="18"/>
              </w:rPr>
              <w:t>Service IPEB – Dated 20070709</w:t>
            </w:r>
          </w:p>
        </w:tc>
        <w:tc>
          <w:tcPr>
            <w:tcW w:w="5801" w:type="dxa"/>
            <w:gridSpan w:val="4"/>
            <w:tcBorders>
              <w:left w:val="thinThickThinSmallGap" w:sz="24" w:space="0" w:color="auto"/>
            </w:tcBorders>
            <w:shd w:val="clear" w:color="auto" w:fill="D9D9D9"/>
          </w:tcPr>
          <w:p w:rsidR="00335CE0" w:rsidRPr="00567B30" w:rsidRDefault="00335CE0" w:rsidP="006B4F48">
            <w:pPr>
              <w:pStyle w:val="ListParagraph"/>
              <w:spacing w:after="0" w:line="240" w:lineRule="exact"/>
              <w:ind w:left="0"/>
              <w:jc w:val="center"/>
              <w:rPr>
                <w:b/>
                <w:sz w:val="18"/>
                <w:szCs w:val="18"/>
              </w:rPr>
            </w:pPr>
            <w:r w:rsidRPr="00567B30">
              <w:rPr>
                <w:b/>
                <w:sz w:val="18"/>
                <w:szCs w:val="18"/>
              </w:rPr>
              <w:t>VA (1.5 Mo. Pre- Separation) – Effective 20070915</w:t>
            </w:r>
          </w:p>
        </w:tc>
      </w:tr>
      <w:tr w:rsidR="00335CE0" w:rsidRPr="00567B30" w:rsidTr="00B63963">
        <w:trPr>
          <w:trHeight w:val="332"/>
          <w:jc w:val="center"/>
        </w:trPr>
        <w:tc>
          <w:tcPr>
            <w:tcW w:w="2018" w:type="dxa"/>
            <w:gridSpan w:val="2"/>
            <w:tcBorders>
              <w:bottom w:val="single" w:sz="4" w:space="0" w:color="000000"/>
            </w:tcBorders>
            <w:shd w:val="clear" w:color="auto" w:fill="D9D9D9"/>
          </w:tcPr>
          <w:p w:rsidR="00335CE0" w:rsidRPr="00567B30" w:rsidRDefault="00335CE0" w:rsidP="006B4F48">
            <w:pPr>
              <w:pStyle w:val="ListParagraph"/>
              <w:spacing w:after="0" w:line="240" w:lineRule="exact"/>
              <w:ind w:left="0"/>
              <w:jc w:val="both"/>
              <w:rPr>
                <w:b/>
                <w:sz w:val="18"/>
                <w:szCs w:val="18"/>
              </w:rPr>
            </w:pPr>
            <w:r w:rsidRPr="00567B30">
              <w:rPr>
                <w:b/>
                <w:sz w:val="18"/>
                <w:szCs w:val="18"/>
              </w:rPr>
              <w:t>Condition</w:t>
            </w:r>
          </w:p>
        </w:tc>
        <w:tc>
          <w:tcPr>
            <w:tcW w:w="720" w:type="dxa"/>
            <w:tcBorders>
              <w:bottom w:val="single" w:sz="4" w:space="0" w:color="000000"/>
            </w:tcBorders>
            <w:shd w:val="clear" w:color="auto" w:fill="D9D9D9"/>
          </w:tcPr>
          <w:p w:rsidR="00335CE0" w:rsidRPr="00567B30" w:rsidRDefault="00335CE0" w:rsidP="006B4F48">
            <w:pPr>
              <w:pStyle w:val="ListParagraph"/>
              <w:spacing w:after="0" w:line="240" w:lineRule="exact"/>
              <w:ind w:left="0"/>
              <w:jc w:val="center"/>
              <w:rPr>
                <w:b/>
                <w:sz w:val="18"/>
                <w:szCs w:val="18"/>
              </w:rPr>
            </w:pPr>
            <w:r w:rsidRPr="00567B30">
              <w:rPr>
                <w:b/>
                <w:sz w:val="18"/>
                <w:szCs w:val="18"/>
              </w:rPr>
              <w:t>Code</w:t>
            </w:r>
          </w:p>
        </w:tc>
        <w:tc>
          <w:tcPr>
            <w:tcW w:w="720" w:type="dxa"/>
            <w:tcBorders>
              <w:bottom w:val="single" w:sz="4" w:space="0" w:color="000000"/>
              <w:right w:val="thinThickThinSmallGap" w:sz="24" w:space="0" w:color="auto"/>
            </w:tcBorders>
            <w:shd w:val="clear" w:color="auto" w:fill="D9D9D9"/>
          </w:tcPr>
          <w:p w:rsidR="00335CE0" w:rsidRPr="00567B30" w:rsidRDefault="00335CE0" w:rsidP="006B4F48">
            <w:pPr>
              <w:pStyle w:val="ListParagraph"/>
              <w:spacing w:after="0" w:line="240" w:lineRule="exact"/>
              <w:ind w:left="0"/>
              <w:jc w:val="center"/>
              <w:rPr>
                <w:b/>
                <w:sz w:val="18"/>
                <w:szCs w:val="18"/>
              </w:rPr>
            </w:pPr>
            <w:r w:rsidRPr="00567B30">
              <w:rPr>
                <w:b/>
                <w:sz w:val="18"/>
                <w:szCs w:val="18"/>
              </w:rPr>
              <w:t>Rating</w:t>
            </w:r>
          </w:p>
        </w:tc>
        <w:tc>
          <w:tcPr>
            <w:tcW w:w="2969" w:type="dxa"/>
            <w:tcBorders>
              <w:left w:val="thinThickThinSmallGap" w:sz="24" w:space="0" w:color="auto"/>
              <w:bottom w:val="single" w:sz="4" w:space="0" w:color="000000"/>
            </w:tcBorders>
            <w:shd w:val="clear" w:color="auto" w:fill="D9D9D9"/>
          </w:tcPr>
          <w:p w:rsidR="00335CE0" w:rsidRPr="00567B30" w:rsidRDefault="00335CE0" w:rsidP="006B4F48">
            <w:pPr>
              <w:pStyle w:val="ListParagraph"/>
              <w:spacing w:after="0" w:line="240" w:lineRule="exact"/>
              <w:ind w:left="0"/>
              <w:jc w:val="both"/>
              <w:rPr>
                <w:b/>
                <w:sz w:val="18"/>
                <w:szCs w:val="18"/>
              </w:rPr>
            </w:pPr>
            <w:r w:rsidRPr="00567B30">
              <w:rPr>
                <w:b/>
                <w:sz w:val="18"/>
                <w:szCs w:val="18"/>
              </w:rPr>
              <w:t>Condition</w:t>
            </w:r>
          </w:p>
        </w:tc>
        <w:tc>
          <w:tcPr>
            <w:tcW w:w="1085" w:type="dxa"/>
            <w:tcBorders>
              <w:bottom w:val="single" w:sz="4" w:space="0" w:color="000000"/>
            </w:tcBorders>
            <w:shd w:val="clear" w:color="auto" w:fill="D9D9D9"/>
          </w:tcPr>
          <w:p w:rsidR="00335CE0" w:rsidRPr="00567B30" w:rsidRDefault="00335CE0" w:rsidP="006B4F48">
            <w:pPr>
              <w:pStyle w:val="ListParagraph"/>
              <w:spacing w:after="0" w:line="240" w:lineRule="exact"/>
              <w:ind w:left="0"/>
              <w:jc w:val="center"/>
              <w:rPr>
                <w:b/>
                <w:sz w:val="18"/>
                <w:szCs w:val="18"/>
              </w:rPr>
            </w:pPr>
            <w:r w:rsidRPr="00567B30">
              <w:rPr>
                <w:b/>
                <w:sz w:val="18"/>
                <w:szCs w:val="18"/>
              </w:rPr>
              <w:t>Code</w:t>
            </w:r>
          </w:p>
        </w:tc>
        <w:tc>
          <w:tcPr>
            <w:tcW w:w="765" w:type="dxa"/>
            <w:tcBorders>
              <w:bottom w:val="single" w:sz="4" w:space="0" w:color="000000"/>
            </w:tcBorders>
            <w:shd w:val="clear" w:color="auto" w:fill="D9D9D9"/>
          </w:tcPr>
          <w:p w:rsidR="00335CE0" w:rsidRPr="00567B30" w:rsidRDefault="00335CE0" w:rsidP="006B4F48">
            <w:pPr>
              <w:pStyle w:val="ListParagraph"/>
              <w:spacing w:after="0" w:line="240" w:lineRule="exact"/>
              <w:ind w:left="0"/>
              <w:jc w:val="center"/>
              <w:rPr>
                <w:b/>
                <w:sz w:val="18"/>
                <w:szCs w:val="18"/>
              </w:rPr>
            </w:pPr>
            <w:r w:rsidRPr="00567B30">
              <w:rPr>
                <w:b/>
                <w:sz w:val="18"/>
                <w:szCs w:val="18"/>
              </w:rPr>
              <w:t>Rating</w:t>
            </w:r>
          </w:p>
        </w:tc>
        <w:tc>
          <w:tcPr>
            <w:tcW w:w="982" w:type="dxa"/>
            <w:tcBorders>
              <w:bottom w:val="single" w:sz="4" w:space="0" w:color="000000"/>
            </w:tcBorders>
            <w:shd w:val="clear" w:color="auto" w:fill="D9D9D9"/>
          </w:tcPr>
          <w:p w:rsidR="00335CE0" w:rsidRPr="00567B30" w:rsidRDefault="00335CE0" w:rsidP="006B4F48">
            <w:pPr>
              <w:pStyle w:val="ListParagraph"/>
              <w:spacing w:after="0" w:line="240" w:lineRule="exact"/>
              <w:ind w:left="0"/>
              <w:jc w:val="center"/>
              <w:rPr>
                <w:b/>
                <w:sz w:val="18"/>
                <w:szCs w:val="18"/>
              </w:rPr>
            </w:pPr>
            <w:r w:rsidRPr="00567B30">
              <w:rPr>
                <w:b/>
                <w:sz w:val="18"/>
                <w:szCs w:val="18"/>
              </w:rPr>
              <w:t>Exam</w:t>
            </w:r>
          </w:p>
        </w:tc>
      </w:tr>
      <w:tr w:rsidR="00335CE0" w:rsidRPr="00567B30" w:rsidTr="00B63963">
        <w:trPr>
          <w:trHeight w:val="70"/>
          <w:jc w:val="center"/>
        </w:trPr>
        <w:tc>
          <w:tcPr>
            <w:tcW w:w="2018" w:type="dxa"/>
            <w:gridSpan w:val="2"/>
            <w:shd w:val="clear" w:color="auto" w:fill="FFFFFF"/>
          </w:tcPr>
          <w:p w:rsidR="00335CE0" w:rsidRPr="00567B30" w:rsidRDefault="00335CE0" w:rsidP="006B4F48">
            <w:pPr>
              <w:pStyle w:val="ListParagraph"/>
              <w:spacing w:after="0" w:line="240" w:lineRule="auto"/>
              <w:ind w:left="0"/>
              <w:rPr>
                <w:sz w:val="18"/>
                <w:szCs w:val="18"/>
              </w:rPr>
            </w:pPr>
            <w:r w:rsidRPr="00567B30">
              <w:rPr>
                <w:sz w:val="18"/>
                <w:szCs w:val="18"/>
              </w:rPr>
              <w:t xml:space="preserve">PTSD  </w:t>
            </w:r>
          </w:p>
        </w:tc>
        <w:tc>
          <w:tcPr>
            <w:tcW w:w="720" w:type="dxa"/>
            <w:shd w:val="clear" w:color="auto" w:fill="FFFFFF"/>
          </w:tcPr>
          <w:p w:rsidR="00335CE0" w:rsidRPr="00567B30" w:rsidRDefault="00335CE0" w:rsidP="006B4F48">
            <w:pPr>
              <w:pStyle w:val="ListParagraph"/>
              <w:spacing w:after="0" w:line="240" w:lineRule="auto"/>
              <w:ind w:left="0"/>
              <w:jc w:val="center"/>
              <w:rPr>
                <w:sz w:val="18"/>
                <w:szCs w:val="18"/>
              </w:rPr>
            </w:pPr>
            <w:r w:rsidRPr="00567B30">
              <w:rPr>
                <w:sz w:val="18"/>
                <w:szCs w:val="18"/>
              </w:rPr>
              <w:t>9411</w:t>
            </w:r>
          </w:p>
        </w:tc>
        <w:tc>
          <w:tcPr>
            <w:tcW w:w="720" w:type="dxa"/>
            <w:tcBorders>
              <w:right w:val="thinThickThinSmallGap" w:sz="24" w:space="0" w:color="auto"/>
            </w:tcBorders>
            <w:shd w:val="clear" w:color="auto" w:fill="FFFFFF"/>
          </w:tcPr>
          <w:p w:rsidR="00335CE0" w:rsidRPr="00567B30" w:rsidRDefault="00335CE0" w:rsidP="006B4F48">
            <w:pPr>
              <w:pStyle w:val="ListParagraph"/>
              <w:spacing w:after="0" w:line="240" w:lineRule="auto"/>
              <w:ind w:left="0"/>
              <w:jc w:val="center"/>
              <w:rPr>
                <w:sz w:val="18"/>
                <w:szCs w:val="18"/>
              </w:rPr>
            </w:pPr>
            <w:r w:rsidRPr="00567B30">
              <w:rPr>
                <w:sz w:val="18"/>
                <w:szCs w:val="18"/>
              </w:rPr>
              <w:t>10%</w:t>
            </w:r>
          </w:p>
        </w:tc>
        <w:tc>
          <w:tcPr>
            <w:tcW w:w="2969" w:type="dxa"/>
            <w:vMerge w:val="restart"/>
            <w:tcBorders>
              <w:left w:val="thinThickThinSmallGap" w:sz="24" w:space="0" w:color="auto"/>
            </w:tcBorders>
            <w:shd w:val="clear" w:color="auto" w:fill="FFFFFF"/>
          </w:tcPr>
          <w:p w:rsidR="00335CE0" w:rsidRPr="00567B30" w:rsidRDefault="00335CE0" w:rsidP="006B4F48">
            <w:pPr>
              <w:autoSpaceDE w:val="0"/>
              <w:autoSpaceDN w:val="0"/>
              <w:adjustRightInd w:val="0"/>
              <w:rPr>
                <w:rFonts w:asciiTheme="minorHAnsi" w:eastAsia="Calibri" w:hAnsiTheme="minorHAnsi"/>
                <w:color w:val="auto"/>
                <w:sz w:val="18"/>
                <w:szCs w:val="18"/>
              </w:rPr>
            </w:pPr>
            <w:r w:rsidRPr="00567B30">
              <w:rPr>
                <w:rFonts w:asciiTheme="minorHAnsi" w:eastAsia="Calibri" w:hAnsiTheme="minorHAnsi"/>
                <w:color w:val="auto"/>
                <w:sz w:val="18"/>
                <w:szCs w:val="18"/>
              </w:rPr>
              <w:t>PTSD</w:t>
            </w:r>
          </w:p>
        </w:tc>
        <w:tc>
          <w:tcPr>
            <w:tcW w:w="1085" w:type="dxa"/>
            <w:vMerge w:val="restart"/>
            <w:shd w:val="clear" w:color="auto" w:fill="FFFFFF"/>
          </w:tcPr>
          <w:p w:rsidR="00335CE0" w:rsidRPr="00567B30" w:rsidRDefault="00335CE0" w:rsidP="006B4F48">
            <w:pPr>
              <w:pStyle w:val="ListParagraph"/>
              <w:spacing w:after="0" w:line="240" w:lineRule="auto"/>
              <w:ind w:left="0"/>
              <w:jc w:val="center"/>
              <w:rPr>
                <w:sz w:val="18"/>
                <w:szCs w:val="18"/>
              </w:rPr>
            </w:pPr>
            <w:r w:rsidRPr="00567B30">
              <w:rPr>
                <w:sz w:val="18"/>
                <w:szCs w:val="18"/>
              </w:rPr>
              <w:t>9411</w:t>
            </w:r>
          </w:p>
        </w:tc>
        <w:tc>
          <w:tcPr>
            <w:tcW w:w="765" w:type="dxa"/>
            <w:vMerge w:val="restart"/>
            <w:shd w:val="clear" w:color="auto" w:fill="FFFFFF"/>
          </w:tcPr>
          <w:p w:rsidR="00335CE0" w:rsidRPr="00567B30" w:rsidRDefault="00335CE0" w:rsidP="006B4F48">
            <w:pPr>
              <w:pStyle w:val="ListParagraph"/>
              <w:spacing w:after="0" w:line="240" w:lineRule="auto"/>
              <w:ind w:left="0"/>
              <w:jc w:val="center"/>
              <w:rPr>
                <w:sz w:val="18"/>
                <w:szCs w:val="18"/>
              </w:rPr>
            </w:pPr>
            <w:r w:rsidRPr="00567B30">
              <w:rPr>
                <w:sz w:val="18"/>
                <w:szCs w:val="18"/>
              </w:rPr>
              <w:t>70%</w:t>
            </w:r>
          </w:p>
        </w:tc>
        <w:tc>
          <w:tcPr>
            <w:tcW w:w="982" w:type="dxa"/>
            <w:vMerge w:val="restart"/>
            <w:shd w:val="clear" w:color="auto" w:fill="FFFFFF"/>
          </w:tcPr>
          <w:p w:rsidR="00335CE0" w:rsidRPr="00567B30" w:rsidRDefault="00335CE0" w:rsidP="006B4F48">
            <w:pPr>
              <w:pStyle w:val="ListParagraph"/>
              <w:spacing w:after="0" w:line="240" w:lineRule="auto"/>
              <w:ind w:left="0"/>
              <w:jc w:val="center"/>
              <w:rPr>
                <w:sz w:val="18"/>
                <w:szCs w:val="18"/>
              </w:rPr>
            </w:pPr>
            <w:r w:rsidRPr="00567B30">
              <w:rPr>
                <w:sz w:val="18"/>
                <w:szCs w:val="18"/>
              </w:rPr>
              <w:t>20070726</w:t>
            </w:r>
          </w:p>
        </w:tc>
      </w:tr>
      <w:tr w:rsidR="00335CE0" w:rsidRPr="00567B30" w:rsidTr="00B63963">
        <w:trPr>
          <w:trHeight w:val="70"/>
          <w:jc w:val="center"/>
        </w:trPr>
        <w:tc>
          <w:tcPr>
            <w:tcW w:w="236" w:type="dxa"/>
            <w:shd w:val="clear" w:color="auto" w:fill="D9D9D9" w:themeFill="background1" w:themeFillShade="D9"/>
          </w:tcPr>
          <w:p w:rsidR="00335CE0" w:rsidRPr="00567B30" w:rsidRDefault="00335CE0" w:rsidP="006B4F48">
            <w:pPr>
              <w:pStyle w:val="ListParagraph"/>
              <w:spacing w:after="0" w:line="240" w:lineRule="auto"/>
              <w:ind w:left="0"/>
              <w:rPr>
                <w:sz w:val="18"/>
                <w:szCs w:val="18"/>
              </w:rPr>
            </w:pPr>
            <w:r w:rsidRPr="00567B30">
              <w:rPr>
                <w:sz w:val="18"/>
                <w:szCs w:val="18"/>
              </w:rPr>
              <w:t>-</w:t>
            </w:r>
          </w:p>
        </w:tc>
        <w:tc>
          <w:tcPr>
            <w:tcW w:w="1782" w:type="dxa"/>
            <w:shd w:val="clear" w:color="auto" w:fill="FFFFFF"/>
          </w:tcPr>
          <w:p w:rsidR="00335CE0" w:rsidRPr="00567B30" w:rsidRDefault="00335CE0" w:rsidP="006B4F48">
            <w:pPr>
              <w:pStyle w:val="ListParagraph"/>
              <w:spacing w:after="0" w:line="240" w:lineRule="auto"/>
              <w:ind w:left="0"/>
              <w:rPr>
                <w:sz w:val="18"/>
                <w:szCs w:val="18"/>
              </w:rPr>
            </w:pPr>
            <w:r w:rsidRPr="00567B30">
              <w:rPr>
                <w:sz w:val="18"/>
                <w:szCs w:val="18"/>
              </w:rPr>
              <w:t>Major depression, …</w:t>
            </w:r>
          </w:p>
        </w:tc>
        <w:tc>
          <w:tcPr>
            <w:tcW w:w="1440" w:type="dxa"/>
            <w:gridSpan w:val="2"/>
            <w:tcBorders>
              <w:right w:val="thinThickThinSmallGap" w:sz="24" w:space="0" w:color="auto"/>
            </w:tcBorders>
            <w:shd w:val="clear" w:color="auto" w:fill="FFFFFF"/>
          </w:tcPr>
          <w:p w:rsidR="00335CE0" w:rsidRPr="00567B30" w:rsidRDefault="00335CE0" w:rsidP="006B4F48">
            <w:pPr>
              <w:pStyle w:val="ListParagraph"/>
              <w:spacing w:after="0" w:line="240" w:lineRule="auto"/>
              <w:ind w:left="0"/>
              <w:jc w:val="center"/>
              <w:rPr>
                <w:sz w:val="18"/>
                <w:szCs w:val="18"/>
              </w:rPr>
            </w:pPr>
            <w:r w:rsidRPr="00567B30">
              <w:rPr>
                <w:sz w:val="18"/>
                <w:szCs w:val="18"/>
              </w:rPr>
              <w:t>Cat II</w:t>
            </w:r>
          </w:p>
        </w:tc>
        <w:tc>
          <w:tcPr>
            <w:tcW w:w="2969" w:type="dxa"/>
            <w:vMerge/>
            <w:tcBorders>
              <w:left w:val="thinThickThinSmallGap" w:sz="24" w:space="0" w:color="auto"/>
            </w:tcBorders>
            <w:shd w:val="clear" w:color="auto" w:fill="FFFFFF"/>
          </w:tcPr>
          <w:p w:rsidR="00335CE0" w:rsidRPr="00567B30" w:rsidRDefault="00335CE0" w:rsidP="006B4F48">
            <w:pPr>
              <w:autoSpaceDE w:val="0"/>
              <w:autoSpaceDN w:val="0"/>
              <w:adjustRightInd w:val="0"/>
              <w:rPr>
                <w:rFonts w:asciiTheme="minorHAnsi" w:eastAsia="Calibri" w:hAnsiTheme="minorHAnsi"/>
                <w:color w:val="auto"/>
                <w:sz w:val="18"/>
                <w:szCs w:val="18"/>
              </w:rPr>
            </w:pPr>
          </w:p>
        </w:tc>
        <w:tc>
          <w:tcPr>
            <w:tcW w:w="1085" w:type="dxa"/>
            <w:vMerge/>
            <w:shd w:val="clear" w:color="auto" w:fill="FFFFFF"/>
          </w:tcPr>
          <w:p w:rsidR="00335CE0" w:rsidRPr="00567B30" w:rsidRDefault="00335CE0" w:rsidP="006B4F48">
            <w:pPr>
              <w:pStyle w:val="ListParagraph"/>
              <w:spacing w:after="0" w:line="240" w:lineRule="auto"/>
              <w:ind w:left="0"/>
              <w:jc w:val="center"/>
              <w:rPr>
                <w:sz w:val="18"/>
                <w:szCs w:val="18"/>
              </w:rPr>
            </w:pPr>
          </w:p>
        </w:tc>
        <w:tc>
          <w:tcPr>
            <w:tcW w:w="765" w:type="dxa"/>
            <w:vMerge/>
            <w:shd w:val="clear" w:color="auto" w:fill="FFFFFF"/>
          </w:tcPr>
          <w:p w:rsidR="00335CE0" w:rsidRPr="00567B30" w:rsidRDefault="00335CE0" w:rsidP="006B4F48">
            <w:pPr>
              <w:pStyle w:val="ListParagraph"/>
              <w:spacing w:after="0" w:line="240" w:lineRule="auto"/>
              <w:ind w:left="0"/>
              <w:jc w:val="center"/>
              <w:rPr>
                <w:sz w:val="18"/>
                <w:szCs w:val="18"/>
              </w:rPr>
            </w:pPr>
          </w:p>
        </w:tc>
        <w:tc>
          <w:tcPr>
            <w:tcW w:w="982" w:type="dxa"/>
            <w:vMerge/>
            <w:shd w:val="clear" w:color="auto" w:fill="FFFFFF"/>
          </w:tcPr>
          <w:p w:rsidR="00335CE0" w:rsidRPr="00567B30" w:rsidRDefault="00335CE0" w:rsidP="006B4F48">
            <w:pPr>
              <w:pStyle w:val="ListParagraph"/>
              <w:spacing w:after="0" w:line="240" w:lineRule="auto"/>
              <w:ind w:left="0"/>
              <w:jc w:val="center"/>
              <w:rPr>
                <w:sz w:val="18"/>
                <w:szCs w:val="18"/>
              </w:rPr>
            </w:pPr>
          </w:p>
        </w:tc>
      </w:tr>
      <w:tr w:rsidR="00335CE0" w:rsidRPr="00567B30" w:rsidTr="00B63963">
        <w:trPr>
          <w:trHeight w:val="70"/>
          <w:jc w:val="center"/>
        </w:trPr>
        <w:tc>
          <w:tcPr>
            <w:tcW w:w="2018" w:type="dxa"/>
            <w:gridSpan w:val="2"/>
            <w:shd w:val="clear" w:color="auto" w:fill="FFFFFF"/>
          </w:tcPr>
          <w:p w:rsidR="00335CE0" w:rsidRPr="00567B30" w:rsidRDefault="00335CE0" w:rsidP="006B4F48">
            <w:pPr>
              <w:pStyle w:val="ListParagraph"/>
              <w:spacing w:after="0" w:line="240" w:lineRule="auto"/>
              <w:ind w:left="0"/>
              <w:rPr>
                <w:sz w:val="18"/>
                <w:szCs w:val="18"/>
              </w:rPr>
            </w:pPr>
            <w:r w:rsidRPr="00567B30">
              <w:rPr>
                <w:sz w:val="18"/>
                <w:szCs w:val="18"/>
              </w:rPr>
              <w:t>Left Knee Pain</w:t>
            </w:r>
          </w:p>
        </w:tc>
        <w:tc>
          <w:tcPr>
            <w:tcW w:w="1440" w:type="dxa"/>
            <w:gridSpan w:val="2"/>
            <w:tcBorders>
              <w:right w:val="thinThickThinSmallGap" w:sz="24" w:space="0" w:color="auto"/>
            </w:tcBorders>
            <w:shd w:val="clear" w:color="auto" w:fill="FFFFFF"/>
          </w:tcPr>
          <w:p w:rsidR="00335CE0" w:rsidRPr="00567B30" w:rsidRDefault="00335CE0" w:rsidP="006B4F48">
            <w:pPr>
              <w:pStyle w:val="ListParagraph"/>
              <w:spacing w:after="0" w:line="240" w:lineRule="auto"/>
              <w:ind w:left="0"/>
              <w:jc w:val="center"/>
              <w:rPr>
                <w:sz w:val="18"/>
                <w:szCs w:val="18"/>
              </w:rPr>
            </w:pPr>
            <w:r w:rsidRPr="00567B30">
              <w:rPr>
                <w:sz w:val="18"/>
                <w:szCs w:val="18"/>
              </w:rPr>
              <w:t>Cat III</w:t>
            </w:r>
          </w:p>
        </w:tc>
        <w:tc>
          <w:tcPr>
            <w:tcW w:w="2969" w:type="dxa"/>
            <w:tcBorders>
              <w:left w:val="thinThickThinSmallGap" w:sz="24" w:space="0" w:color="auto"/>
            </w:tcBorders>
            <w:shd w:val="clear" w:color="auto" w:fill="FFFFFF"/>
          </w:tcPr>
          <w:p w:rsidR="00335CE0" w:rsidRPr="00567B30" w:rsidRDefault="00335CE0" w:rsidP="006B4F48">
            <w:pPr>
              <w:autoSpaceDE w:val="0"/>
              <w:autoSpaceDN w:val="0"/>
              <w:adjustRightInd w:val="0"/>
              <w:rPr>
                <w:rFonts w:asciiTheme="minorHAnsi" w:eastAsia="Calibri" w:hAnsiTheme="minorHAnsi"/>
                <w:color w:val="auto"/>
                <w:sz w:val="18"/>
                <w:szCs w:val="18"/>
              </w:rPr>
            </w:pPr>
            <w:r w:rsidRPr="00567B30">
              <w:rPr>
                <w:rFonts w:asciiTheme="minorHAnsi" w:eastAsia="Calibri" w:hAnsiTheme="minorHAnsi"/>
                <w:color w:val="auto"/>
                <w:sz w:val="18"/>
                <w:szCs w:val="18"/>
              </w:rPr>
              <w:t xml:space="preserve">Left Knee w/ </w:t>
            </w:r>
            <w:proofErr w:type="spellStart"/>
            <w:r w:rsidRPr="00567B30">
              <w:rPr>
                <w:rFonts w:asciiTheme="minorHAnsi" w:eastAsia="Calibri" w:hAnsiTheme="minorHAnsi"/>
                <w:color w:val="auto"/>
                <w:sz w:val="18"/>
                <w:szCs w:val="18"/>
              </w:rPr>
              <w:t>sl</w:t>
            </w:r>
            <w:proofErr w:type="spellEnd"/>
            <w:r w:rsidRPr="00567B30">
              <w:rPr>
                <w:rFonts w:asciiTheme="minorHAnsi" w:eastAsia="Calibri" w:hAnsiTheme="minorHAnsi"/>
                <w:color w:val="auto"/>
                <w:sz w:val="18"/>
                <w:szCs w:val="18"/>
              </w:rPr>
              <w:t xml:space="preserve"> Instability, … </w:t>
            </w:r>
            <w:proofErr w:type="spellStart"/>
            <w:r w:rsidRPr="00567B30">
              <w:rPr>
                <w:rFonts w:asciiTheme="minorHAnsi" w:eastAsia="Calibri" w:hAnsiTheme="minorHAnsi"/>
                <w:color w:val="auto"/>
                <w:sz w:val="18"/>
                <w:szCs w:val="18"/>
              </w:rPr>
              <w:t>Frag</w:t>
            </w:r>
            <w:proofErr w:type="spellEnd"/>
            <w:r w:rsidRPr="00567B30">
              <w:rPr>
                <w:rFonts w:asciiTheme="minorHAnsi" w:eastAsia="Calibri" w:hAnsiTheme="minorHAnsi"/>
                <w:color w:val="auto"/>
                <w:sz w:val="18"/>
                <w:szCs w:val="18"/>
              </w:rPr>
              <w:t xml:space="preserve"> wound / Scars </w:t>
            </w:r>
          </w:p>
        </w:tc>
        <w:tc>
          <w:tcPr>
            <w:tcW w:w="1085" w:type="dxa"/>
            <w:shd w:val="clear" w:color="auto" w:fill="FFFFFF"/>
          </w:tcPr>
          <w:p w:rsidR="00335CE0" w:rsidRPr="00567B30" w:rsidRDefault="00335CE0" w:rsidP="006B4F48">
            <w:pPr>
              <w:pStyle w:val="ListParagraph"/>
              <w:spacing w:after="0" w:line="240" w:lineRule="auto"/>
              <w:ind w:left="0"/>
              <w:jc w:val="center"/>
              <w:rPr>
                <w:sz w:val="18"/>
                <w:szCs w:val="18"/>
              </w:rPr>
            </w:pPr>
            <w:r w:rsidRPr="00567B30">
              <w:rPr>
                <w:sz w:val="18"/>
                <w:szCs w:val="18"/>
              </w:rPr>
              <w:t>5257</w:t>
            </w:r>
          </w:p>
        </w:tc>
        <w:tc>
          <w:tcPr>
            <w:tcW w:w="765" w:type="dxa"/>
            <w:shd w:val="clear" w:color="auto" w:fill="FFFFFF"/>
          </w:tcPr>
          <w:p w:rsidR="00335CE0" w:rsidRPr="00567B30" w:rsidRDefault="00335CE0" w:rsidP="006B4F48">
            <w:pPr>
              <w:pStyle w:val="ListParagraph"/>
              <w:spacing w:after="0" w:line="240" w:lineRule="auto"/>
              <w:ind w:left="0"/>
              <w:jc w:val="center"/>
              <w:rPr>
                <w:sz w:val="18"/>
                <w:szCs w:val="18"/>
              </w:rPr>
            </w:pPr>
            <w:r w:rsidRPr="00567B30">
              <w:rPr>
                <w:sz w:val="18"/>
                <w:szCs w:val="18"/>
              </w:rPr>
              <w:t>10%</w:t>
            </w:r>
          </w:p>
        </w:tc>
        <w:tc>
          <w:tcPr>
            <w:tcW w:w="982" w:type="dxa"/>
            <w:shd w:val="clear" w:color="auto" w:fill="FFFFFF"/>
          </w:tcPr>
          <w:p w:rsidR="00335CE0" w:rsidRPr="00567B30" w:rsidRDefault="00335CE0" w:rsidP="006B4F48">
            <w:pPr>
              <w:pStyle w:val="ListParagraph"/>
              <w:spacing w:after="0" w:line="240" w:lineRule="auto"/>
              <w:ind w:left="0"/>
              <w:jc w:val="center"/>
              <w:rPr>
                <w:sz w:val="18"/>
                <w:szCs w:val="18"/>
              </w:rPr>
            </w:pPr>
            <w:r w:rsidRPr="00567B30">
              <w:rPr>
                <w:sz w:val="18"/>
                <w:szCs w:val="18"/>
              </w:rPr>
              <w:t>20070726</w:t>
            </w:r>
          </w:p>
        </w:tc>
      </w:tr>
      <w:tr w:rsidR="00335CE0" w:rsidRPr="00567B30" w:rsidTr="00B63963">
        <w:trPr>
          <w:trHeight w:val="125"/>
          <w:jc w:val="center"/>
        </w:trPr>
        <w:tc>
          <w:tcPr>
            <w:tcW w:w="3458" w:type="dxa"/>
            <w:gridSpan w:val="4"/>
            <w:vMerge w:val="restart"/>
            <w:tcBorders>
              <w:right w:val="thinThickThinSmallGap" w:sz="24" w:space="0" w:color="auto"/>
            </w:tcBorders>
            <w:shd w:val="clear" w:color="auto" w:fill="FFFFFF"/>
          </w:tcPr>
          <w:p w:rsidR="00335CE0" w:rsidRPr="00567B30" w:rsidRDefault="00335CE0" w:rsidP="006B4F48">
            <w:pPr>
              <w:pStyle w:val="ListParagraph"/>
              <w:spacing w:line="240" w:lineRule="exact"/>
              <w:ind w:left="0"/>
              <w:jc w:val="center"/>
              <w:rPr>
                <w:sz w:val="18"/>
                <w:szCs w:val="18"/>
              </w:rPr>
            </w:pPr>
            <w:r w:rsidRPr="00567B30">
              <w:rPr>
                <w:sz w:val="18"/>
                <w:szCs w:val="18"/>
              </w:rPr>
              <w:t>↓No Additional MEB/PEB Entries↓</w:t>
            </w:r>
          </w:p>
        </w:tc>
        <w:tc>
          <w:tcPr>
            <w:tcW w:w="2969" w:type="dxa"/>
            <w:tcBorders>
              <w:left w:val="thinThickThinSmallGap" w:sz="24" w:space="0" w:color="auto"/>
            </w:tcBorders>
            <w:shd w:val="clear" w:color="auto" w:fill="FFFFFF"/>
          </w:tcPr>
          <w:p w:rsidR="00335CE0" w:rsidRPr="00567B30" w:rsidRDefault="00335CE0" w:rsidP="006B4F48">
            <w:pPr>
              <w:autoSpaceDE w:val="0"/>
              <w:autoSpaceDN w:val="0"/>
              <w:adjustRightInd w:val="0"/>
              <w:rPr>
                <w:rFonts w:asciiTheme="minorHAnsi" w:eastAsia="Calibri" w:hAnsiTheme="minorHAnsi"/>
                <w:color w:val="auto"/>
                <w:sz w:val="18"/>
                <w:szCs w:val="18"/>
              </w:rPr>
            </w:pPr>
            <w:r w:rsidRPr="00567B30">
              <w:rPr>
                <w:rFonts w:asciiTheme="minorHAnsi" w:eastAsia="Calibri" w:hAnsiTheme="minorHAnsi"/>
                <w:color w:val="auto"/>
                <w:sz w:val="18"/>
                <w:szCs w:val="18"/>
              </w:rPr>
              <w:t xml:space="preserve">Left Thigh, … </w:t>
            </w:r>
            <w:proofErr w:type="spellStart"/>
            <w:r w:rsidRPr="00567B30">
              <w:rPr>
                <w:rFonts w:asciiTheme="minorHAnsi" w:eastAsia="Calibri" w:hAnsiTheme="minorHAnsi"/>
                <w:color w:val="auto"/>
                <w:sz w:val="18"/>
                <w:szCs w:val="18"/>
              </w:rPr>
              <w:t>Frag</w:t>
            </w:r>
            <w:proofErr w:type="spellEnd"/>
            <w:r w:rsidRPr="00567B30">
              <w:rPr>
                <w:rFonts w:asciiTheme="minorHAnsi" w:eastAsia="Calibri" w:hAnsiTheme="minorHAnsi"/>
                <w:color w:val="auto"/>
                <w:sz w:val="18"/>
                <w:szCs w:val="18"/>
              </w:rPr>
              <w:t xml:space="preserve"> wound / Scars</w:t>
            </w:r>
          </w:p>
        </w:tc>
        <w:tc>
          <w:tcPr>
            <w:tcW w:w="1085" w:type="dxa"/>
            <w:shd w:val="clear" w:color="auto" w:fill="FFFFFF"/>
          </w:tcPr>
          <w:p w:rsidR="00335CE0" w:rsidRPr="00567B30" w:rsidRDefault="00335CE0" w:rsidP="006B4F48">
            <w:pPr>
              <w:pStyle w:val="ListParagraph"/>
              <w:spacing w:after="0" w:line="240" w:lineRule="auto"/>
              <w:ind w:left="0"/>
              <w:jc w:val="center"/>
              <w:rPr>
                <w:sz w:val="18"/>
                <w:szCs w:val="18"/>
              </w:rPr>
            </w:pPr>
            <w:r w:rsidRPr="00567B30">
              <w:rPr>
                <w:sz w:val="18"/>
                <w:szCs w:val="18"/>
              </w:rPr>
              <w:t>7801-5315</w:t>
            </w:r>
          </w:p>
        </w:tc>
        <w:tc>
          <w:tcPr>
            <w:tcW w:w="765" w:type="dxa"/>
            <w:shd w:val="clear" w:color="auto" w:fill="FFFFFF"/>
          </w:tcPr>
          <w:p w:rsidR="00335CE0" w:rsidRPr="00567B30" w:rsidRDefault="00335CE0" w:rsidP="006B4F48">
            <w:pPr>
              <w:pStyle w:val="ListParagraph"/>
              <w:spacing w:after="0" w:line="240" w:lineRule="auto"/>
              <w:ind w:left="0"/>
              <w:jc w:val="center"/>
              <w:rPr>
                <w:sz w:val="18"/>
                <w:szCs w:val="18"/>
              </w:rPr>
            </w:pPr>
            <w:r w:rsidRPr="00567B30">
              <w:rPr>
                <w:sz w:val="18"/>
                <w:szCs w:val="18"/>
              </w:rPr>
              <w:t>10%</w:t>
            </w:r>
          </w:p>
        </w:tc>
        <w:tc>
          <w:tcPr>
            <w:tcW w:w="982" w:type="dxa"/>
            <w:shd w:val="clear" w:color="auto" w:fill="FFFFFF"/>
          </w:tcPr>
          <w:p w:rsidR="00335CE0" w:rsidRPr="00567B30" w:rsidRDefault="00335CE0" w:rsidP="006B4F48">
            <w:pPr>
              <w:pStyle w:val="ListParagraph"/>
              <w:spacing w:after="0" w:line="240" w:lineRule="auto"/>
              <w:ind w:left="0"/>
              <w:jc w:val="center"/>
              <w:rPr>
                <w:sz w:val="18"/>
                <w:szCs w:val="18"/>
              </w:rPr>
            </w:pPr>
            <w:r w:rsidRPr="00567B30">
              <w:rPr>
                <w:sz w:val="18"/>
                <w:szCs w:val="18"/>
              </w:rPr>
              <w:t>20070726</w:t>
            </w:r>
          </w:p>
        </w:tc>
      </w:tr>
      <w:tr w:rsidR="00335CE0" w:rsidRPr="00567B30" w:rsidTr="00B63963">
        <w:trPr>
          <w:trHeight w:val="125"/>
          <w:jc w:val="center"/>
        </w:trPr>
        <w:tc>
          <w:tcPr>
            <w:tcW w:w="3458" w:type="dxa"/>
            <w:gridSpan w:val="4"/>
            <w:vMerge/>
            <w:tcBorders>
              <w:right w:val="thinThickThinSmallGap" w:sz="24" w:space="0" w:color="auto"/>
            </w:tcBorders>
            <w:shd w:val="clear" w:color="auto" w:fill="FFFFFF"/>
          </w:tcPr>
          <w:p w:rsidR="00335CE0" w:rsidRPr="00567B30" w:rsidRDefault="00335CE0" w:rsidP="006B4F48">
            <w:pPr>
              <w:pStyle w:val="ListParagraph"/>
              <w:spacing w:line="240" w:lineRule="exact"/>
              <w:ind w:left="0"/>
              <w:jc w:val="center"/>
              <w:rPr>
                <w:sz w:val="18"/>
                <w:szCs w:val="18"/>
              </w:rPr>
            </w:pPr>
          </w:p>
        </w:tc>
        <w:tc>
          <w:tcPr>
            <w:tcW w:w="2969" w:type="dxa"/>
            <w:tcBorders>
              <w:left w:val="thinThickThinSmallGap" w:sz="24" w:space="0" w:color="auto"/>
            </w:tcBorders>
            <w:shd w:val="clear" w:color="auto" w:fill="FFFFFF"/>
          </w:tcPr>
          <w:p w:rsidR="00335CE0" w:rsidRPr="00567B30" w:rsidRDefault="00335CE0" w:rsidP="006B4F48">
            <w:pPr>
              <w:autoSpaceDE w:val="0"/>
              <w:autoSpaceDN w:val="0"/>
              <w:adjustRightInd w:val="0"/>
              <w:rPr>
                <w:rFonts w:asciiTheme="minorHAnsi" w:eastAsia="Calibri" w:hAnsiTheme="minorHAnsi"/>
                <w:color w:val="auto"/>
                <w:sz w:val="18"/>
                <w:szCs w:val="18"/>
              </w:rPr>
            </w:pPr>
            <w:r w:rsidRPr="00567B30">
              <w:rPr>
                <w:rFonts w:asciiTheme="minorHAnsi" w:eastAsia="Calibri" w:hAnsiTheme="minorHAnsi"/>
                <w:color w:val="auto"/>
                <w:sz w:val="18"/>
                <w:szCs w:val="18"/>
              </w:rPr>
              <w:t>Tinnitus</w:t>
            </w:r>
          </w:p>
        </w:tc>
        <w:tc>
          <w:tcPr>
            <w:tcW w:w="1085" w:type="dxa"/>
            <w:shd w:val="clear" w:color="auto" w:fill="FFFFFF"/>
          </w:tcPr>
          <w:p w:rsidR="00335CE0" w:rsidRPr="00567B30" w:rsidRDefault="00335CE0" w:rsidP="006B4F48">
            <w:pPr>
              <w:pStyle w:val="ListParagraph"/>
              <w:spacing w:after="0" w:line="240" w:lineRule="auto"/>
              <w:ind w:left="0"/>
              <w:jc w:val="center"/>
              <w:rPr>
                <w:sz w:val="18"/>
                <w:szCs w:val="18"/>
              </w:rPr>
            </w:pPr>
            <w:r w:rsidRPr="00567B30">
              <w:rPr>
                <w:sz w:val="18"/>
                <w:szCs w:val="18"/>
              </w:rPr>
              <w:t>6260</w:t>
            </w:r>
          </w:p>
        </w:tc>
        <w:tc>
          <w:tcPr>
            <w:tcW w:w="765" w:type="dxa"/>
            <w:tcBorders>
              <w:right w:val="single" w:sz="4" w:space="0" w:color="auto"/>
            </w:tcBorders>
            <w:shd w:val="clear" w:color="auto" w:fill="FFFFFF"/>
          </w:tcPr>
          <w:p w:rsidR="00335CE0" w:rsidRPr="00567B30" w:rsidRDefault="00335CE0" w:rsidP="006B4F48">
            <w:pPr>
              <w:pStyle w:val="ListParagraph"/>
              <w:spacing w:after="0" w:line="240" w:lineRule="auto"/>
              <w:ind w:left="0"/>
              <w:jc w:val="center"/>
              <w:rPr>
                <w:sz w:val="18"/>
                <w:szCs w:val="18"/>
              </w:rPr>
            </w:pPr>
            <w:r w:rsidRPr="00567B30">
              <w:rPr>
                <w:sz w:val="18"/>
                <w:szCs w:val="18"/>
              </w:rPr>
              <w:t>10%</w:t>
            </w:r>
          </w:p>
        </w:tc>
        <w:tc>
          <w:tcPr>
            <w:tcW w:w="982" w:type="dxa"/>
            <w:tcBorders>
              <w:left w:val="single" w:sz="4" w:space="0" w:color="auto"/>
            </w:tcBorders>
            <w:shd w:val="clear" w:color="auto" w:fill="FFFFFF"/>
          </w:tcPr>
          <w:p w:rsidR="00335CE0" w:rsidRPr="00567B30" w:rsidRDefault="00335CE0" w:rsidP="006B4F48">
            <w:pPr>
              <w:pStyle w:val="ListParagraph"/>
              <w:spacing w:after="0" w:line="240" w:lineRule="auto"/>
              <w:ind w:left="0"/>
              <w:jc w:val="center"/>
              <w:rPr>
                <w:sz w:val="18"/>
                <w:szCs w:val="18"/>
              </w:rPr>
            </w:pPr>
            <w:r w:rsidRPr="00567B30">
              <w:rPr>
                <w:sz w:val="18"/>
                <w:szCs w:val="18"/>
              </w:rPr>
              <w:t>20070726</w:t>
            </w:r>
          </w:p>
        </w:tc>
      </w:tr>
      <w:tr w:rsidR="00335CE0" w:rsidRPr="00567B30" w:rsidTr="00B63963">
        <w:trPr>
          <w:trHeight w:val="125"/>
          <w:jc w:val="center"/>
        </w:trPr>
        <w:tc>
          <w:tcPr>
            <w:tcW w:w="3458" w:type="dxa"/>
            <w:gridSpan w:val="4"/>
            <w:vMerge/>
            <w:tcBorders>
              <w:right w:val="thinThickThinSmallGap" w:sz="24" w:space="0" w:color="auto"/>
            </w:tcBorders>
            <w:shd w:val="clear" w:color="auto" w:fill="FFFFFF"/>
          </w:tcPr>
          <w:p w:rsidR="00335CE0" w:rsidRPr="00567B30" w:rsidRDefault="00335CE0" w:rsidP="006B4F48">
            <w:pPr>
              <w:pStyle w:val="ListParagraph"/>
              <w:spacing w:after="0" w:line="240" w:lineRule="exact"/>
              <w:ind w:left="0"/>
              <w:jc w:val="center"/>
              <w:rPr>
                <w:sz w:val="18"/>
                <w:szCs w:val="18"/>
              </w:rPr>
            </w:pPr>
          </w:p>
        </w:tc>
        <w:tc>
          <w:tcPr>
            <w:tcW w:w="4819" w:type="dxa"/>
            <w:gridSpan w:val="3"/>
            <w:tcBorders>
              <w:left w:val="thinThickThinSmallGap" w:sz="24" w:space="0" w:color="auto"/>
              <w:right w:val="single" w:sz="4" w:space="0" w:color="auto"/>
            </w:tcBorders>
            <w:shd w:val="clear" w:color="auto" w:fill="FFFFFF"/>
          </w:tcPr>
          <w:p w:rsidR="00335CE0" w:rsidRPr="00567B30" w:rsidRDefault="00335CE0" w:rsidP="006B4F48">
            <w:pPr>
              <w:pStyle w:val="ListParagraph"/>
              <w:spacing w:after="0" w:line="240" w:lineRule="exact"/>
              <w:ind w:left="0"/>
              <w:jc w:val="center"/>
              <w:rPr>
                <w:sz w:val="18"/>
                <w:szCs w:val="18"/>
              </w:rPr>
            </w:pPr>
            <w:r>
              <w:rPr>
                <w:sz w:val="18"/>
                <w:szCs w:val="18"/>
              </w:rPr>
              <w:t xml:space="preserve">0% X 3/Not Service Connected X 1 </w:t>
            </w:r>
          </w:p>
        </w:tc>
        <w:tc>
          <w:tcPr>
            <w:tcW w:w="982" w:type="dxa"/>
            <w:tcBorders>
              <w:left w:val="single" w:sz="4" w:space="0" w:color="auto"/>
            </w:tcBorders>
            <w:shd w:val="clear" w:color="auto" w:fill="FFFFFF"/>
          </w:tcPr>
          <w:p w:rsidR="00335CE0" w:rsidRPr="00567B30" w:rsidRDefault="00335CE0" w:rsidP="006B4F48">
            <w:pPr>
              <w:pStyle w:val="ListParagraph"/>
              <w:spacing w:after="0" w:line="240" w:lineRule="exact"/>
              <w:ind w:left="0"/>
              <w:jc w:val="center"/>
              <w:rPr>
                <w:sz w:val="18"/>
                <w:szCs w:val="18"/>
              </w:rPr>
            </w:pPr>
            <w:r>
              <w:rPr>
                <w:sz w:val="18"/>
                <w:szCs w:val="18"/>
              </w:rPr>
              <w:t>20070726</w:t>
            </w:r>
          </w:p>
        </w:tc>
      </w:tr>
      <w:tr w:rsidR="00335CE0" w:rsidRPr="00567B30" w:rsidTr="00B63963">
        <w:trPr>
          <w:trHeight w:val="242"/>
          <w:jc w:val="center"/>
        </w:trPr>
        <w:tc>
          <w:tcPr>
            <w:tcW w:w="3458" w:type="dxa"/>
            <w:gridSpan w:val="4"/>
            <w:tcBorders>
              <w:right w:val="thinThickThinSmallGap" w:sz="24" w:space="0" w:color="auto"/>
            </w:tcBorders>
            <w:shd w:val="clear" w:color="auto" w:fill="D9D9D9"/>
          </w:tcPr>
          <w:p w:rsidR="00335CE0" w:rsidRPr="00567B30" w:rsidRDefault="00335CE0" w:rsidP="006B4F48">
            <w:pPr>
              <w:pStyle w:val="ListParagraph"/>
              <w:spacing w:after="0" w:line="240" w:lineRule="exact"/>
              <w:ind w:left="0"/>
              <w:jc w:val="center"/>
              <w:rPr>
                <w:b/>
                <w:sz w:val="18"/>
                <w:szCs w:val="18"/>
              </w:rPr>
            </w:pPr>
            <w:r w:rsidRPr="00567B30">
              <w:rPr>
                <w:b/>
                <w:sz w:val="18"/>
                <w:szCs w:val="18"/>
              </w:rPr>
              <w:t>Combined:  10%</w:t>
            </w:r>
          </w:p>
        </w:tc>
        <w:tc>
          <w:tcPr>
            <w:tcW w:w="5801" w:type="dxa"/>
            <w:gridSpan w:val="4"/>
            <w:tcBorders>
              <w:left w:val="thinThickThinSmallGap" w:sz="24" w:space="0" w:color="auto"/>
            </w:tcBorders>
            <w:shd w:val="clear" w:color="auto" w:fill="D9D9D9"/>
          </w:tcPr>
          <w:p w:rsidR="00335CE0" w:rsidRPr="00567B30" w:rsidRDefault="00335CE0" w:rsidP="006B4F48">
            <w:pPr>
              <w:pStyle w:val="ListParagraph"/>
              <w:spacing w:after="0" w:line="240" w:lineRule="exact"/>
              <w:ind w:left="0"/>
              <w:jc w:val="center"/>
              <w:rPr>
                <w:b/>
                <w:sz w:val="18"/>
                <w:szCs w:val="18"/>
              </w:rPr>
            </w:pPr>
            <w:r w:rsidRPr="00567B30">
              <w:rPr>
                <w:b/>
                <w:sz w:val="18"/>
                <w:szCs w:val="18"/>
              </w:rPr>
              <w:t>Combined:  80%</w:t>
            </w:r>
          </w:p>
        </w:tc>
      </w:tr>
    </w:tbl>
    <w:p w:rsidR="00B63963" w:rsidRPr="00567B30" w:rsidRDefault="00B63963" w:rsidP="00B63963">
      <w:pPr>
        <w:pBdr>
          <w:bottom w:val="single" w:sz="12" w:space="1" w:color="auto"/>
        </w:pBdr>
        <w:tabs>
          <w:tab w:val="left" w:pos="288"/>
          <w:tab w:val="left" w:pos="4752"/>
        </w:tabs>
        <w:spacing w:line="240" w:lineRule="exact"/>
        <w:jc w:val="both"/>
        <w:rPr>
          <w:rFonts w:asciiTheme="minorHAnsi" w:hAnsiTheme="minorHAnsi"/>
          <w:caps/>
          <w:color w:val="auto"/>
          <w:szCs w:val="24"/>
        </w:rPr>
      </w:pPr>
    </w:p>
    <w:p w:rsidR="002C6E5B" w:rsidRPr="00567B30" w:rsidRDefault="002C6E5B" w:rsidP="005A73FC">
      <w:pPr>
        <w:tabs>
          <w:tab w:val="left" w:pos="288"/>
          <w:tab w:val="left" w:pos="4752"/>
        </w:tabs>
        <w:spacing w:line="240" w:lineRule="exact"/>
        <w:jc w:val="both"/>
        <w:rPr>
          <w:rFonts w:asciiTheme="minorHAnsi" w:hAnsiTheme="minorHAnsi"/>
          <w:color w:val="auto"/>
          <w:szCs w:val="24"/>
        </w:rPr>
      </w:pPr>
      <w:r w:rsidRPr="00567B30">
        <w:rPr>
          <w:rFonts w:asciiTheme="minorHAnsi" w:hAnsiTheme="minorHAnsi"/>
          <w:color w:val="auto"/>
          <w:szCs w:val="24"/>
          <w:u w:val="single"/>
        </w:rPr>
        <w:lastRenderedPageBreak/>
        <w:t>ANALYSIS SUMMARY</w:t>
      </w:r>
      <w:r w:rsidRPr="00567B30">
        <w:rPr>
          <w:rFonts w:asciiTheme="minorHAnsi" w:hAnsiTheme="minorHAnsi"/>
          <w:color w:val="auto"/>
          <w:szCs w:val="24"/>
        </w:rPr>
        <w:t>:</w:t>
      </w:r>
      <w:r w:rsidR="00B20A81" w:rsidRPr="00567B30">
        <w:rPr>
          <w:rFonts w:asciiTheme="minorHAnsi" w:hAnsiTheme="minorHAnsi"/>
          <w:color w:val="auto"/>
          <w:szCs w:val="24"/>
        </w:rPr>
        <w:t xml:space="preserve">  The Military Disability Evaluation System (MDES) is responsible for maintaining a fit and vital fighting force.  While the MDES considers all of the service member's medical conditions, compensation can only be offered for those medical conditions that cut short a service member's career, and then only to the degree of severity present at the time of final disposition.  However, the </w:t>
      </w:r>
      <w:r w:rsidR="004B3532" w:rsidRPr="00567B30">
        <w:rPr>
          <w:rFonts w:asciiTheme="minorHAnsi" w:hAnsiTheme="minorHAnsi"/>
          <w:color w:val="auto"/>
          <w:szCs w:val="24"/>
        </w:rPr>
        <w:t>Department of Veteran Affairs (</w:t>
      </w:r>
      <w:r w:rsidR="00B20A81" w:rsidRPr="00567B30">
        <w:rPr>
          <w:rFonts w:asciiTheme="minorHAnsi" w:hAnsiTheme="minorHAnsi"/>
          <w:color w:val="auto"/>
          <w:szCs w:val="24"/>
        </w:rPr>
        <w:t>DVA</w:t>
      </w:r>
      <w:r w:rsidR="004B3532" w:rsidRPr="00567B30">
        <w:rPr>
          <w:rFonts w:asciiTheme="minorHAnsi" w:hAnsiTheme="minorHAnsi"/>
          <w:color w:val="auto"/>
          <w:szCs w:val="24"/>
        </w:rPr>
        <w:t>)</w:t>
      </w:r>
      <w:r w:rsidR="00B20A81" w:rsidRPr="00567B30">
        <w:rPr>
          <w:rFonts w:asciiTheme="minorHAnsi" w:hAnsiTheme="minorHAnsi"/>
          <w:color w:val="auto"/>
          <w:szCs w:val="24"/>
        </w:rPr>
        <w:t>, operating under a different set of laws (Title 38, United States Code), is empowered to compensate service-connected condition</w:t>
      </w:r>
      <w:r w:rsidR="004B3532" w:rsidRPr="00567B30">
        <w:rPr>
          <w:rFonts w:asciiTheme="minorHAnsi" w:hAnsiTheme="minorHAnsi"/>
          <w:color w:val="auto"/>
          <w:szCs w:val="24"/>
        </w:rPr>
        <w:t>s</w:t>
      </w:r>
      <w:r w:rsidR="00B20A81" w:rsidRPr="00567B30">
        <w:rPr>
          <w:rFonts w:asciiTheme="minorHAnsi" w:hAnsiTheme="minorHAnsi"/>
          <w:color w:val="auto"/>
          <w:szCs w:val="24"/>
        </w:rPr>
        <w:t xml:space="preserve"> and to periodically re-evaluate veterans for the purpose of adjusting the </w:t>
      </w:r>
      <w:r w:rsidR="004B3532" w:rsidRPr="00567B30">
        <w:rPr>
          <w:rFonts w:asciiTheme="minorHAnsi" w:hAnsiTheme="minorHAnsi"/>
          <w:color w:val="auto"/>
          <w:szCs w:val="24"/>
        </w:rPr>
        <w:t xml:space="preserve">veteran’s </w:t>
      </w:r>
      <w:r w:rsidR="00B20A81" w:rsidRPr="00567B30">
        <w:rPr>
          <w:rFonts w:asciiTheme="minorHAnsi" w:hAnsiTheme="minorHAnsi"/>
          <w:color w:val="auto"/>
          <w:szCs w:val="24"/>
        </w:rPr>
        <w:t>disability rating should his degree of impairment vary over time.</w:t>
      </w:r>
    </w:p>
    <w:p w:rsidR="00016CAF" w:rsidRPr="00567B30" w:rsidRDefault="00016CAF" w:rsidP="005A73FC">
      <w:pPr>
        <w:tabs>
          <w:tab w:val="left" w:pos="288"/>
          <w:tab w:val="left" w:pos="4752"/>
        </w:tabs>
        <w:spacing w:line="240" w:lineRule="exact"/>
        <w:jc w:val="both"/>
        <w:rPr>
          <w:rFonts w:asciiTheme="minorHAnsi" w:hAnsiTheme="minorHAnsi"/>
          <w:color w:val="auto"/>
          <w:szCs w:val="24"/>
        </w:rPr>
      </w:pPr>
    </w:p>
    <w:p w:rsidR="00AE0A18" w:rsidRPr="00567B30" w:rsidRDefault="00016CAF" w:rsidP="005A73FC">
      <w:pPr>
        <w:tabs>
          <w:tab w:val="left" w:pos="288"/>
          <w:tab w:val="left" w:pos="4752"/>
        </w:tabs>
        <w:spacing w:line="240" w:lineRule="exact"/>
        <w:jc w:val="both"/>
        <w:rPr>
          <w:rFonts w:asciiTheme="minorHAnsi" w:hAnsiTheme="minorHAnsi"/>
          <w:color w:val="auto"/>
          <w:szCs w:val="24"/>
        </w:rPr>
      </w:pPr>
      <w:proofErr w:type="gramStart"/>
      <w:r w:rsidRPr="00567B30">
        <w:rPr>
          <w:rFonts w:asciiTheme="minorHAnsi" w:hAnsiTheme="minorHAnsi"/>
          <w:color w:val="auto"/>
          <w:szCs w:val="24"/>
          <w:u w:val="single"/>
        </w:rPr>
        <w:t>Mental Health Condition Recommendation</w:t>
      </w:r>
      <w:r w:rsidRPr="00567B30">
        <w:rPr>
          <w:rFonts w:asciiTheme="minorHAnsi" w:hAnsiTheme="minorHAnsi"/>
          <w:color w:val="auto"/>
          <w:szCs w:val="24"/>
        </w:rPr>
        <w:t>.</w:t>
      </w:r>
      <w:proofErr w:type="gramEnd"/>
      <w:r w:rsidRPr="00567B30">
        <w:rPr>
          <w:rFonts w:asciiTheme="minorHAnsi" w:hAnsiTheme="minorHAnsi"/>
          <w:color w:val="auto"/>
          <w:szCs w:val="24"/>
        </w:rPr>
        <w:t xml:space="preserve">  </w:t>
      </w:r>
      <w:r w:rsidR="007F1D94" w:rsidRPr="00567B30">
        <w:rPr>
          <w:rFonts w:asciiTheme="minorHAnsi" w:hAnsiTheme="minorHAnsi"/>
          <w:color w:val="auto"/>
          <w:szCs w:val="24"/>
        </w:rPr>
        <w:t>PTSD</w:t>
      </w:r>
      <w:r w:rsidR="00E11E90" w:rsidRPr="00567B30">
        <w:rPr>
          <w:rFonts w:asciiTheme="minorHAnsi" w:hAnsiTheme="minorHAnsi"/>
          <w:color w:val="auto"/>
          <w:szCs w:val="24"/>
        </w:rPr>
        <w:t xml:space="preserve">, Major Depression, Single </w:t>
      </w:r>
      <w:r w:rsidR="00B641F0" w:rsidRPr="00567B30">
        <w:rPr>
          <w:rFonts w:asciiTheme="minorHAnsi" w:hAnsiTheme="minorHAnsi"/>
          <w:color w:val="auto"/>
          <w:szCs w:val="24"/>
        </w:rPr>
        <w:t>Episode,</w:t>
      </w:r>
      <w:r w:rsidR="00B63963">
        <w:rPr>
          <w:rFonts w:asciiTheme="minorHAnsi" w:hAnsiTheme="minorHAnsi"/>
          <w:color w:val="auto"/>
          <w:szCs w:val="24"/>
        </w:rPr>
        <w:t xml:space="preserve"> Severe w</w:t>
      </w:r>
      <w:r w:rsidR="00E11E90" w:rsidRPr="00567B30">
        <w:rPr>
          <w:rFonts w:asciiTheme="minorHAnsi" w:hAnsiTheme="minorHAnsi"/>
          <w:color w:val="auto"/>
          <w:szCs w:val="24"/>
        </w:rPr>
        <w:t>ithout Psychotic Features</w:t>
      </w:r>
      <w:r w:rsidR="007F1D94" w:rsidRPr="00567B30">
        <w:rPr>
          <w:rFonts w:asciiTheme="minorHAnsi" w:hAnsiTheme="minorHAnsi"/>
          <w:color w:val="auto"/>
          <w:szCs w:val="24"/>
        </w:rPr>
        <w:t xml:space="preserve"> </w:t>
      </w:r>
      <w:r w:rsidRPr="00567B30">
        <w:rPr>
          <w:rFonts w:asciiTheme="minorHAnsi" w:hAnsiTheme="minorHAnsi"/>
          <w:color w:val="auto"/>
          <w:szCs w:val="24"/>
        </w:rPr>
        <w:t>Conditions</w:t>
      </w:r>
      <w:r w:rsidR="007F1D94" w:rsidRPr="00567B30">
        <w:rPr>
          <w:rFonts w:asciiTheme="minorHAnsi" w:hAnsiTheme="minorHAnsi"/>
          <w:color w:val="auto"/>
          <w:szCs w:val="24"/>
        </w:rPr>
        <w:t xml:space="preserve">.  The PEB 10% rating, as described above, was derived from DoDI 1332.39 and preceded the promulgation of the </w:t>
      </w:r>
      <w:r w:rsidR="00B63963">
        <w:rPr>
          <w:rFonts w:asciiTheme="minorHAnsi" w:hAnsiTheme="minorHAnsi"/>
          <w:color w:val="auto"/>
          <w:szCs w:val="24"/>
        </w:rPr>
        <w:t>National Defense Authorization Act (</w:t>
      </w:r>
      <w:r w:rsidR="007F1D94" w:rsidRPr="00567B30">
        <w:rPr>
          <w:rFonts w:asciiTheme="minorHAnsi" w:hAnsiTheme="minorHAnsi"/>
          <w:color w:val="auto"/>
          <w:szCs w:val="24"/>
        </w:rPr>
        <w:t>NDAA</w:t>
      </w:r>
      <w:r w:rsidR="00B63963">
        <w:rPr>
          <w:rFonts w:asciiTheme="minorHAnsi" w:hAnsiTheme="minorHAnsi"/>
          <w:color w:val="auto"/>
          <w:szCs w:val="24"/>
        </w:rPr>
        <w:t>)</w:t>
      </w:r>
      <w:r w:rsidR="007F1D94" w:rsidRPr="00567B30">
        <w:rPr>
          <w:rFonts w:asciiTheme="minorHAnsi" w:hAnsiTheme="minorHAnsi"/>
          <w:color w:val="auto"/>
          <w:szCs w:val="24"/>
        </w:rPr>
        <w:t xml:space="preserve"> 2008 mandate for DoD adherence to </w:t>
      </w:r>
      <w:r w:rsidR="00B63963">
        <w:rPr>
          <w:rFonts w:asciiTheme="minorHAnsi" w:hAnsiTheme="minorHAnsi"/>
          <w:color w:val="auto"/>
          <w:szCs w:val="24"/>
        </w:rPr>
        <w:t>Veterans Administration Schedule for Rating Disabilities (</w:t>
      </w:r>
      <w:r w:rsidR="007F1D94" w:rsidRPr="00567B30">
        <w:rPr>
          <w:rFonts w:asciiTheme="minorHAnsi" w:hAnsiTheme="minorHAnsi"/>
          <w:color w:val="auto"/>
          <w:szCs w:val="24"/>
        </w:rPr>
        <w:t>VASRD</w:t>
      </w:r>
      <w:r w:rsidR="00B63963">
        <w:rPr>
          <w:rFonts w:asciiTheme="minorHAnsi" w:hAnsiTheme="minorHAnsi"/>
          <w:color w:val="auto"/>
          <w:szCs w:val="24"/>
        </w:rPr>
        <w:t>)</w:t>
      </w:r>
      <w:r w:rsidR="007F1D94" w:rsidRPr="00567B30">
        <w:rPr>
          <w:rFonts w:asciiTheme="minorHAnsi" w:hAnsiTheme="minorHAnsi"/>
          <w:color w:val="auto"/>
          <w:szCs w:val="24"/>
        </w:rPr>
        <w:t xml:space="preserve"> 4.129.  IAW DoDI 6040.44 and DoD guidance (which applies current VASRD 4.129 to all Board cases), the Board is obligated to recommend a minimum 50% PTSD rating for a retroactive six month period of </w:t>
      </w:r>
      <w:r w:rsidR="00B63963">
        <w:rPr>
          <w:rFonts w:asciiTheme="minorHAnsi" w:hAnsiTheme="minorHAnsi"/>
          <w:color w:val="auto"/>
          <w:szCs w:val="24"/>
        </w:rPr>
        <w:t>Temporary Disability Retired List (</w:t>
      </w:r>
      <w:r w:rsidR="007F1D94" w:rsidRPr="00567B30">
        <w:rPr>
          <w:rFonts w:asciiTheme="minorHAnsi" w:hAnsiTheme="minorHAnsi"/>
          <w:color w:val="auto"/>
          <w:szCs w:val="24"/>
        </w:rPr>
        <w:t>TDRL</w:t>
      </w:r>
      <w:r w:rsidR="00B63963">
        <w:rPr>
          <w:rFonts w:asciiTheme="minorHAnsi" w:hAnsiTheme="minorHAnsi"/>
          <w:color w:val="auto"/>
          <w:szCs w:val="24"/>
        </w:rPr>
        <w:t>)</w:t>
      </w:r>
      <w:r w:rsidR="007F1D94" w:rsidRPr="00567B30">
        <w:rPr>
          <w:rFonts w:asciiTheme="minorHAnsi" w:hAnsiTheme="minorHAnsi"/>
          <w:color w:val="auto"/>
          <w:szCs w:val="24"/>
        </w:rPr>
        <w:t>.  The Board must then determine the most appropriate fit with VASRD, 38 CFR 4.130, criteria at six months for its permanent rating recommendation.  The most proximate source of comprehensive evidence on which to base the permanent rating rec</w:t>
      </w:r>
      <w:r w:rsidR="007C1D59" w:rsidRPr="00567B30">
        <w:rPr>
          <w:rFonts w:asciiTheme="minorHAnsi" w:hAnsiTheme="minorHAnsi"/>
          <w:color w:val="auto"/>
          <w:szCs w:val="24"/>
        </w:rPr>
        <w:t>ommendation in this case is a combination of the</w:t>
      </w:r>
      <w:r w:rsidRPr="00567B30">
        <w:rPr>
          <w:rFonts w:asciiTheme="minorHAnsi" w:hAnsiTheme="minorHAnsi"/>
          <w:color w:val="auto"/>
          <w:szCs w:val="24"/>
        </w:rPr>
        <w:t xml:space="preserve"> involuntary </w:t>
      </w:r>
      <w:r w:rsidR="00F15375">
        <w:rPr>
          <w:rFonts w:asciiTheme="minorHAnsi" w:hAnsiTheme="minorHAnsi"/>
          <w:color w:val="auto"/>
          <w:szCs w:val="24"/>
        </w:rPr>
        <w:t>VA psychiatric in-patient a</w:t>
      </w:r>
      <w:r w:rsidR="00B33AC2" w:rsidRPr="00567B30">
        <w:rPr>
          <w:rFonts w:asciiTheme="minorHAnsi" w:hAnsiTheme="minorHAnsi"/>
          <w:color w:val="auto"/>
          <w:szCs w:val="24"/>
        </w:rPr>
        <w:t xml:space="preserve">dmission (20070216) seven months prior to separation, the </w:t>
      </w:r>
      <w:r w:rsidR="001849A2" w:rsidRPr="00567B30">
        <w:rPr>
          <w:rFonts w:asciiTheme="minorHAnsi" w:hAnsiTheme="minorHAnsi"/>
          <w:color w:val="auto"/>
          <w:szCs w:val="24"/>
        </w:rPr>
        <w:t>MEB Psychiatric Evaluatio</w:t>
      </w:r>
      <w:r w:rsidRPr="00567B30">
        <w:rPr>
          <w:rFonts w:asciiTheme="minorHAnsi" w:hAnsiTheme="minorHAnsi"/>
          <w:color w:val="auto"/>
          <w:szCs w:val="24"/>
        </w:rPr>
        <w:t>n three and one half months pre-</w:t>
      </w:r>
      <w:r w:rsidR="001849A2" w:rsidRPr="00567B30">
        <w:rPr>
          <w:rFonts w:asciiTheme="minorHAnsi" w:hAnsiTheme="minorHAnsi"/>
          <w:color w:val="auto"/>
          <w:szCs w:val="24"/>
        </w:rPr>
        <w:t xml:space="preserve">separation (20070530) and the VA Compensation &amp; Pension </w:t>
      </w:r>
      <w:r w:rsidRPr="00567B30">
        <w:rPr>
          <w:rFonts w:asciiTheme="minorHAnsi" w:hAnsiTheme="minorHAnsi"/>
          <w:color w:val="auto"/>
          <w:szCs w:val="24"/>
        </w:rPr>
        <w:t xml:space="preserve">(C&amp;P) </w:t>
      </w:r>
      <w:r w:rsidR="001849A2" w:rsidRPr="00567B30">
        <w:rPr>
          <w:rFonts w:asciiTheme="minorHAnsi" w:hAnsiTheme="minorHAnsi"/>
          <w:color w:val="auto"/>
          <w:szCs w:val="24"/>
        </w:rPr>
        <w:t xml:space="preserve">examination </w:t>
      </w:r>
      <w:r w:rsidR="004B3532" w:rsidRPr="00567B30">
        <w:rPr>
          <w:rFonts w:asciiTheme="minorHAnsi" w:hAnsiTheme="minorHAnsi"/>
          <w:color w:val="auto"/>
          <w:szCs w:val="24"/>
        </w:rPr>
        <w:t xml:space="preserve">one and one half </w:t>
      </w:r>
      <w:r w:rsidR="001849A2" w:rsidRPr="00567B30">
        <w:rPr>
          <w:rFonts w:asciiTheme="minorHAnsi" w:hAnsiTheme="minorHAnsi"/>
          <w:color w:val="auto"/>
          <w:szCs w:val="24"/>
        </w:rPr>
        <w:t>months pre-separation (20070726).</w:t>
      </w:r>
      <w:r w:rsidR="00F455A7" w:rsidRPr="00567B30">
        <w:rPr>
          <w:rFonts w:asciiTheme="minorHAnsi" w:hAnsiTheme="minorHAnsi"/>
          <w:color w:val="auto"/>
          <w:szCs w:val="24"/>
        </w:rPr>
        <w:t xml:space="preserve"> </w:t>
      </w:r>
      <w:r w:rsidRPr="00567B30">
        <w:rPr>
          <w:rFonts w:asciiTheme="minorHAnsi" w:hAnsiTheme="minorHAnsi"/>
          <w:color w:val="auto"/>
          <w:szCs w:val="24"/>
        </w:rPr>
        <w:t xml:space="preserve"> </w:t>
      </w:r>
      <w:r w:rsidR="00533464" w:rsidRPr="00567B30">
        <w:rPr>
          <w:rFonts w:asciiTheme="minorHAnsi" w:hAnsiTheme="minorHAnsi"/>
          <w:color w:val="auto"/>
          <w:szCs w:val="24"/>
        </w:rPr>
        <w:t xml:space="preserve">There was no relevant VA or civilian provider evidence covering the six month interval.  </w:t>
      </w:r>
      <w:r w:rsidR="003E11F8" w:rsidRPr="00567B30">
        <w:rPr>
          <w:rFonts w:asciiTheme="minorHAnsi" w:hAnsiTheme="minorHAnsi"/>
          <w:color w:val="auto"/>
          <w:szCs w:val="24"/>
        </w:rPr>
        <w:t xml:space="preserve">Treatment notes from July 2008 thru May 2009 were reviewed.  </w:t>
      </w:r>
      <w:r w:rsidR="00DA7EEA" w:rsidRPr="00567B30">
        <w:rPr>
          <w:rFonts w:asciiTheme="minorHAnsi" w:hAnsiTheme="minorHAnsi"/>
          <w:color w:val="auto"/>
          <w:szCs w:val="24"/>
        </w:rPr>
        <w:t xml:space="preserve">The VA C&amp;P Psychiatric examination (20100602) done approximately three years post-separation is used for its historical information relating to the six month rating timeframe.  </w:t>
      </w:r>
      <w:r w:rsidR="00533464" w:rsidRPr="00567B30">
        <w:rPr>
          <w:rFonts w:asciiTheme="minorHAnsi" w:hAnsiTheme="minorHAnsi"/>
          <w:color w:val="auto"/>
          <w:szCs w:val="24"/>
        </w:rPr>
        <w:t xml:space="preserve">Since the VA exam was still fairly close to separation and removed from the six month rating interval, the MEB evaluation itself provides a useful baseline and is assigned relevant probative value in the Board’s efforts to arrive at a fair permanent rating recommendation.  </w:t>
      </w:r>
      <w:r w:rsidR="00F455A7" w:rsidRPr="00567B30">
        <w:rPr>
          <w:rFonts w:asciiTheme="minorHAnsi" w:hAnsiTheme="minorHAnsi"/>
          <w:color w:val="auto"/>
          <w:szCs w:val="24"/>
        </w:rPr>
        <w:t>The combined pre</w:t>
      </w:r>
      <w:r w:rsidRPr="00567B30">
        <w:rPr>
          <w:rFonts w:asciiTheme="minorHAnsi" w:hAnsiTheme="minorHAnsi"/>
          <w:color w:val="auto"/>
          <w:szCs w:val="24"/>
        </w:rPr>
        <w:t>-</w:t>
      </w:r>
      <w:r w:rsidR="00F455A7" w:rsidRPr="00567B30">
        <w:rPr>
          <w:rFonts w:asciiTheme="minorHAnsi" w:hAnsiTheme="minorHAnsi"/>
          <w:color w:val="auto"/>
          <w:szCs w:val="24"/>
        </w:rPr>
        <w:t xml:space="preserve">separation record indicated a record of </w:t>
      </w:r>
      <w:r w:rsidRPr="00567B30">
        <w:rPr>
          <w:rFonts w:asciiTheme="minorHAnsi" w:hAnsiTheme="minorHAnsi"/>
          <w:color w:val="auto"/>
          <w:szCs w:val="24"/>
        </w:rPr>
        <w:t xml:space="preserve">severity at the </w:t>
      </w:r>
      <w:r w:rsidR="00F455A7" w:rsidRPr="00567B30">
        <w:rPr>
          <w:rFonts w:asciiTheme="minorHAnsi" w:hAnsiTheme="minorHAnsi"/>
          <w:color w:val="auto"/>
          <w:szCs w:val="24"/>
        </w:rPr>
        <w:t xml:space="preserve">30% to 50% criteria </w:t>
      </w:r>
      <w:r w:rsidRPr="00567B30">
        <w:rPr>
          <w:rFonts w:asciiTheme="minorHAnsi" w:hAnsiTheme="minorHAnsi"/>
          <w:color w:val="auto"/>
          <w:szCs w:val="24"/>
        </w:rPr>
        <w:t xml:space="preserve">level IAW </w:t>
      </w:r>
      <w:r w:rsidR="00290827" w:rsidRPr="00567B30">
        <w:rPr>
          <w:rFonts w:asciiTheme="minorHAnsi" w:hAnsiTheme="minorHAnsi"/>
          <w:color w:val="auto"/>
          <w:szCs w:val="24"/>
        </w:rPr>
        <w:t>§</w:t>
      </w:r>
      <w:r w:rsidR="00F455A7" w:rsidRPr="00567B30">
        <w:rPr>
          <w:rFonts w:asciiTheme="minorHAnsi" w:hAnsiTheme="minorHAnsi"/>
          <w:color w:val="auto"/>
          <w:szCs w:val="24"/>
        </w:rPr>
        <w:t>4.130 (absent §4.129</w:t>
      </w:r>
      <w:r w:rsidR="0040086D" w:rsidRPr="00567B30">
        <w:rPr>
          <w:rFonts w:asciiTheme="minorHAnsi" w:hAnsiTheme="minorHAnsi"/>
          <w:color w:val="auto"/>
          <w:szCs w:val="24"/>
        </w:rPr>
        <w:t>)</w:t>
      </w:r>
      <w:r w:rsidRPr="00567B30">
        <w:rPr>
          <w:rFonts w:asciiTheme="minorHAnsi" w:hAnsiTheme="minorHAnsi"/>
          <w:color w:val="auto"/>
          <w:szCs w:val="24"/>
        </w:rPr>
        <w:t>,</w:t>
      </w:r>
      <w:r w:rsidR="00533464" w:rsidRPr="00567B30">
        <w:rPr>
          <w:rFonts w:asciiTheme="minorHAnsi" w:hAnsiTheme="minorHAnsi"/>
          <w:color w:val="auto"/>
          <w:szCs w:val="24"/>
        </w:rPr>
        <w:t xml:space="preserve"> and provides a useful baseline and is assigned relevant probative value in the </w:t>
      </w:r>
      <w:r w:rsidR="00271BB5" w:rsidRPr="00567B30">
        <w:rPr>
          <w:rFonts w:asciiTheme="minorHAnsi" w:hAnsiTheme="minorHAnsi"/>
          <w:color w:val="auto"/>
          <w:szCs w:val="24"/>
        </w:rPr>
        <w:t>Board’s efforts</w:t>
      </w:r>
      <w:r w:rsidR="00533464" w:rsidRPr="00567B30">
        <w:rPr>
          <w:rFonts w:asciiTheme="minorHAnsi" w:hAnsiTheme="minorHAnsi"/>
          <w:color w:val="auto"/>
          <w:szCs w:val="24"/>
        </w:rPr>
        <w:t xml:space="preserve"> to arrive at a fair permanent rating recommendation.  </w:t>
      </w:r>
    </w:p>
    <w:p w:rsidR="00DE78DD" w:rsidRPr="00567B30" w:rsidRDefault="00DE78DD" w:rsidP="005A73FC">
      <w:pPr>
        <w:tabs>
          <w:tab w:val="left" w:pos="288"/>
          <w:tab w:val="left" w:pos="4752"/>
        </w:tabs>
        <w:spacing w:line="240" w:lineRule="exact"/>
        <w:jc w:val="both"/>
        <w:rPr>
          <w:rFonts w:asciiTheme="minorHAnsi" w:hAnsiTheme="minorHAnsi"/>
          <w:color w:val="auto"/>
          <w:szCs w:val="24"/>
        </w:rPr>
      </w:pPr>
    </w:p>
    <w:p w:rsidR="009602CC" w:rsidRPr="00567B30" w:rsidRDefault="00B33AC2" w:rsidP="005A73FC">
      <w:pPr>
        <w:tabs>
          <w:tab w:val="left" w:pos="288"/>
          <w:tab w:val="left" w:pos="4752"/>
        </w:tabs>
        <w:spacing w:line="240" w:lineRule="exact"/>
        <w:jc w:val="both"/>
        <w:rPr>
          <w:rFonts w:asciiTheme="minorHAnsi" w:hAnsiTheme="minorHAnsi"/>
          <w:color w:val="auto"/>
          <w:szCs w:val="24"/>
        </w:rPr>
      </w:pPr>
      <w:r w:rsidRPr="00567B30">
        <w:rPr>
          <w:rFonts w:asciiTheme="minorHAnsi" w:hAnsiTheme="minorHAnsi"/>
          <w:color w:val="auto"/>
          <w:szCs w:val="24"/>
        </w:rPr>
        <w:t>The CI had a</w:t>
      </w:r>
      <w:r w:rsidR="00C3008F" w:rsidRPr="00567B30">
        <w:rPr>
          <w:rFonts w:asciiTheme="minorHAnsi" w:hAnsiTheme="minorHAnsi"/>
          <w:color w:val="auto"/>
          <w:szCs w:val="24"/>
        </w:rPr>
        <w:t xml:space="preserve"> five day </w:t>
      </w:r>
      <w:r w:rsidRPr="00567B30">
        <w:rPr>
          <w:rFonts w:asciiTheme="minorHAnsi" w:hAnsiTheme="minorHAnsi"/>
          <w:color w:val="auto"/>
          <w:szCs w:val="24"/>
        </w:rPr>
        <w:t xml:space="preserve">involuntary admission to the VAMC Psychiatric unit </w:t>
      </w:r>
      <w:r w:rsidR="009C0985" w:rsidRPr="00567B30">
        <w:rPr>
          <w:rFonts w:asciiTheme="minorHAnsi" w:hAnsiTheme="minorHAnsi"/>
          <w:color w:val="auto"/>
          <w:szCs w:val="24"/>
        </w:rPr>
        <w:t xml:space="preserve">seven months pre-separation </w:t>
      </w:r>
      <w:r w:rsidR="00C3008F" w:rsidRPr="00567B30">
        <w:rPr>
          <w:rFonts w:asciiTheme="minorHAnsi" w:hAnsiTheme="minorHAnsi"/>
          <w:color w:val="auto"/>
          <w:szCs w:val="24"/>
        </w:rPr>
        <w:t xml:space="preserve">(20070216) </w:t>
      </w:r>
      <w:r w:rsidRPr="00567B30">
        <w:rPr>
          <w:rFonts w:asciiTheme="minorHAnsi" w:hAnsiTheme="minorHAnsi"/>
          <w:color w:val="auto"/>
          <w:szCs w:val="24"/>
        </w:rPr>
        <w:t xml:space="preserve">for </w:t>
      </w:r>
      <w:r w:rsidR="00517445" w:rsidRPr="00567B30">
        <w:rPr>
          <w:rFonts w:asciiTheme="minorHAnsi" w:hAnsiTheme="minorHAnsi"/>
          <w:color w:val="auto"/>
          <w:szCs w:val="24"/>
        </w:rPr>
        <w:t>thoughts</w:t>
      </w:r>
      <w:r w:rsidRPr="00567B30">
        <w:rPr>
          <w:rFonts w:asciiTheme="minorHAnsi" w:hAnsiTheme="minorHAnsi"/>
          <w:color w:val="auto"/>
          <w:szCs w:val="24"/>
        </w:rPr>
        <w:t xml:space="preserve"> of </w:t>
      </w:r>
      <w:r w:rsidR="00517445" w:rsidRPr="00567B30">
        <w:rPr>
          <w:rFonts w:asciiTheme="minorHAnsi" w:hAnsiTheme="minorHAnsi"/>
          <w:color w:val="auto"/>
          <w:szCs w:val="24"/>
        </w:rPr>
        <w:t>suicidal</w:t>
      </w:r>
      <w:r w:rsidRPr="00567B30">
        <w:rPr>
          <w:rFonts w:asciiTheme="minorHAnsi" w:hAnsiTheme="minorHAnsi"/>
          <w:color w:val="auto"/>
          <w:szCs w:val="24"/>
        </w:rPr>
        <w:t xml:space="preserve"> ideations exacerbated by being advised that his command wanted to send him back to active duty.  </w:t>
      </w:r>
      <w:r w:rsidR="009602CC" w:rsidRPr="00567B30">
        <w:rPr>
          <w:rFonts w:asciiTheme="minorHAnsi" w:hAnsiTheme="minorHAnsi"/>
          <w:color w:val="auto"/>
          <w:szCs w:val="24"/>
        </w:rPr>
        <w:t xml:space="preserve">The CI’s Global Assessment of Functioning (GAF) was </w:t>
      </w:r>
      <w:r w:rsidRPr="00567B30">
        <w:rPr>
          <w:rFonts w:asciiTheme="minorHAnsi" w:hAnsiTheme="minorHAnsi"/>
          <w:color w:val="auto"/>
          <w:szCs w:val="24"/>
        </w:rPr>
        <w:t>assessed in the range of inability to function in almost all areas (GAF=25).</w:t>
      </w:r>
      <w:r w:rsidR="00517445" w:rsidRPr="00567B30">
        <w:rPr>
          <w:rFonts w:asciiTheme="minorHAnsi" w:hAnsiTheme="minorHAnsi"/>
          <w:color w:val="auto"/>
          <w:szCs w:val="24"/>
        </w:rPr>
        <w:t xml:space="preserve"> </w:t>
      </w:r>
      <w:r w:rsidR="00016CAF" w:rsidRPr="00567B30">
        <w:rPr>
          <w:rFonts w:asciiTheme="minorHAnsi" w:hAnsiTheme="minorHAnsi"/>
          <w:color w:val="auto"/>
          <w:szCs w:val="24"/>
        </w:rPr>
        <w:t xml:space="preserve"> </w:t>
      </w:r>
      <w:r w:rsidR="00C3008F" w:rsidRPr="00567B30">
        <w:rPr>
          <w:rFonts w:asciiTheme="minorHAnsi" w:hAnsiTheme="minorHAnsi"/>
          <w:color w:val="auto"/>
          <w:szCs w:val="24"/>
        </w:rPr>
        <w:t>M</w:t>
      </w:r>
      <w:r w:rsidR="00290827" w:rsidRPr="00567B30">
        <w:rPr>
          <w:rFonts w:asciiTheme="minorHAnsi" w:hAnsiTheme="minorHAnsi"/>
          <w:color w:val="auto"/>
          <w:szCs w:val="24"/>
        </w:rPr>
        <w:t xml:space="preserve">edication adjustments along with intense psychotherapy </w:t>
      </w:r>
      <w:r w:rsidR="00C3008F" w:rsidRPr="00567B30">
        <w:rPr>
          <w:rFonts w:asciiTheme="minorHAnsi" w:hAnsiTheme="minorHAnsi"/>
          <w:color w:val="auto"/>
          <w:szCs w:val="24"/>
        </w:rPr>
        <w:t>reduced the CI’s thoughts of self-harm and he was discharged</w:t>
      </w:r>
      <w:r w:rsidR="009C0985" w:rsidRPr="00567B30">
        <w:rPr>
          <w:rFonts w:asciiTheme="minorHAnsi" w:hAnsiTheme="minorHAnsi"/>
          <w:color w:val="auto"/>
          <w:szCs w:val="24"/>
        </w:rPr>
        <w:t xml:space="preserve"> back to</w:t>
      </w:r>
      <w:r w:rsidR="00C3008F" w:rsidRPr="00567B30">
        <w:rPr>
          <w:rFonts w:asciiTheme="minorHAnsi" w:hAnsiTheme="minorHAnsi"/>
          <w:color w:val="auto"/>
          <w:szCs w:val="24"/>
        </w:rPr>
        <w:t xml:space="preserve"> </w:t>
      </w:r>
      <w:r w:rsidR="00F00753" w:rsidRPr="00567B30">
        <w:rPr>
          <w:rFonts w:asciiTheme="minorHAnsi" w:hAnsiTheme="minorHAnsi"/>
          <w:color w:val="auto"/>
          <w:szCs w:val="24"/>
        </w:rPr>
        <w:t>the Post</w:t>
      </w:r>
      <w:r w:rsidR="009B61BD">
        <w:rPr>
          <w:rFonts w:asciiTheme="minorHAnsi" w:hAnsiTheme="minorHAnsi"/>
          <w:color w:val="auto"/>
          <w:szCs w:val="24"/>
        </w:rPr>
        <w:t>t</w:t>
      </w:r>
      <w:r w:rsidR="00F00753" w:rsidRPr="00567B30">
        <w:rPr>
          <w:rFonts w:asciiTheme="minorHAnsi" w:hAnsiTheme="minorHAnsi"/>
          <w:color w:val="auto"/>
          <w:szCs w:val="24"/>
        </w:rPr>
        <w:t xml:space="preserve">raumatic Stress Residential Rehabilitation Program (PRRP </w:t>
      </w:r>
      <w:r w:rsidR="00C3008F" w:rsidRPr="00567B30">
        <w:rPr>
          <w:rFonts w:asciiTheme="minorHAnsi" w:hAnsiTheme="minorHAnsi"/>
          <w:color w:val="auto"/>
          <w:szCs w:val="24"/>
        </w:rPr>
        <w:t>until June 2007</w:t>
      </w:r>
      <w:r w:rsidR="009C0985" w:rsidRPr="00567B30">
        <w:rPr>
          <w:rFonts w:asciiTheme="minorHAnsi" w:hAnsiTheme="minorHAnsi"/>
          <w:color w:val="auto"/>
          <w:szCs w:val="24"/>
        </w:rPr>
        <w:t>)</w:t>
      </w:r>
      <w:r w:rsidR="00C3008F" w:rsidRPr="00567B30">
        <w:rPr>
          <w:rFonts w:asciiTheme="minorHAnsi" w:hAnsiTheme="minorHAnsi"/>
          <w:color w:val="auto"/>
          <w:szCs w:val="24"/>
        </w:rPr>
        <w:t>.</w:t>
      </w:r>
      <w:r w:rsidR="00B63963">
        <w:rPr>
          <w:rFonts w:asciiTheme="minorHAnsi" w:hAnsiTheme="minorHAnsi"/>
          <w:color w:val="auto"/>
          <w:szCs w:val="24"/>
        </w:rPr>
        <w:t xml:space="preserve">  </w:t>
      </w:r>
      <w:r w:rsidR="00271BB5" w:rsidRPr="00567B30">
        <w:rPr>
          <w:rFonts w:asciiTheme="minorHAnsi" w:hAnsiTheme="minorHAnsi"/>
          <w:color w:val="auto"/>
          <w:szCs w:val="24"/>
        </w:rPr>
        <w:t>The CI’s MEB psychia</w:t>
      </w:r>
      <w:r w:rsidR="0047452A" w:rsidRPr="00567B30">
        <w:rPr>
          <w:rFonts w:asciiTheme="minorHAnsi" w:hAnsiTheme="minorHAnsi"/>
          <w:color w:val="auto"/>
          <w:szCs w:val="24"/>
        </w:rPr>
        <w:t>t</w:t>
      </w:r>
      <w:r w:rsidR="00271BB5" w:rsidRPr="00567B30">
        <w:rPr>
          <w:rFonts w:asciiTheme="minorHAnsi" w:hAnsiTheme="minorHAnsi"/>
          <w:color w:val="auto"/>
          <w:szCs w:val="24"/>
        </w:rPr>
        <w:t>ric</w:t>
      </w:r>
      <w:r w:rsidR="0047452A" w:rsidRPr="00567B30">
        <w:rPr>
          <w:rFonts w:asciiTheme="minorHAnsi" w:hAnsiTheme="minorHAnsi"/>
          <w:color w:val="auto"/>
          <w:szCs w:val="24"/>
        </w:rPr>
        <w:t xml:space="preserve"> examination</w:t>
      </w:r>
      <w:r w:rsidR="00110AFD" w:rsidRPr="00567B30">
        <w:rPr>
          <w:rFonts w:asciiTheme="minorHAnsi" w:hAnsiTheme="minorHAnsi"/>
          <w:color w:val="auto"/>
          <w:szCs w:val="24"/>
        </w:rPr>
        <w:t xml:space="preserve"> </w:t>
      </w:r>
      <w:r w:rsidR="0047452A" w:rsidRPr="00567B30">
        <w:rPr>
          <w:rFonts w:asciiTheme="minorHAnsi" w:hAnsiTheme="minorHAnsi"/>
          <w:color w:val="auto"/>
          <w:szCs w:val="24"/>
        </w:rPr>
        <w:t>(20070530) was performed three and one half months prior to separation.  The examiner noted that the CI had</w:t>
      </w:r>
      <w:r w:rsidR="00110AFD" w:rsidRPr="00567B30">
        <w:rPr>
          <w:rFonts w:asciiTheme="minorHAnsi" w:hAnsiTheme="minorHAnsi"/>
          <w:color w:val="auto"/>
          <w:szCs w:val="24"/>
        </w:rPr>
        <w:t xml:space="preserve"> </w:t>
      </w:r>
      <w:r w:rsidR="0047452A" w:rsidRPr="00567B30">
        <w:rPr>
          <w:rFonts w:asciiTheme="minorHAnsi" w:hAnsiTheme="minorHAnsi"/>
          <w:color w:val="auto"/>
          <w:szCs w:val="24"/>
        </w:rPr>
        <w:t xml:space="preserve">severe anxiety and depressive symptoms to include panic attacks despite </w:t>
      </w:r>
      <w:r w:rsidR="00110AFD" w:rsidRPr="00567B30">
        <w:rPr>
          <w:rFonts w:asciiTheme="minorHAnsi" w:hAnsiTheme="minorHAnsi"/>
          <w:color w:val="auto"/>
          <w:szCs w:val="24"/>
        </w:rPr>
        <w:t xml:space="preserve">the ongoing treatment that </w:t>
      </w:r>
      <w:r w:rsidR="0047452A" w:rsidRPr="00567B30">
        <w:rPr>
          <w:rFonts w:asciiTheme="minorHAnsi" w:hAnsiTheme="minorHAnsi"/>
          <w:color w:val="auto"/>
          <w:szCs w:val="24"/>
        </w:rPr>
        <w:t>h</w:t>
      </w:r>
      <w:r w:rsidR="00110AFD" w:rsidRPr="00567B30">
        <w:rPr>
          <w:rFonts w:asciiTheme="minorHAnsi" w:hAnsiTheme="minorHAnsi"/>
          <w:color w:val="auto"/>
          <w:szCs w:val="24"/>
        </w:rPr>
        <w:t>a</w:t>
      </w:r>
      <w:r w:rsidR="0047452A" w:rsidRPr="00567B30">
        <w:rPr>
          <w:rFonts w:asciiTheme="minorHAnsi" w:hAnsiTheme="minorHAnsi"/>
          <w:color w:val="auto"/>
          <w:szCs w:val="24"/>
        </w:rPr>
        <w:t xml:space="preserve">d </w:t>
      </w:r>
      <w:r w:rsidR="00110AFD" w:rsidRPr="00567B30">
        <w:rPr>
          <w:rFonts w:asciiTheme="minorHAnsi" w:hAnsiTheme="minorHAnsi"/>
          <w:color w:val="auto"/>
          <w:szCs w:val="24"/>
        </w:rPr>
        <w:t>occurred</w:t>
      </w:r>
      <w:r w:rsidR="0047452A" w:rsidRPr="00567B30">
        <w:rPr>
          <w:rFonts w:asciiTheme="minorHAnsi" w:hAnsiTheme="minorHAnsi"/>
          <w:color w:val="auto"/>
          <w:szCs w:val="24"/>
        </w:rPr>
        <w:t xml:space="preserve"> over the prior six months.</w:t>
      </w:r>
      <w:r w:rsidR="00110AFD" w:rsidRPr="00567B30">
        <w:rPr>
          <w:rFonts w:asciiTheme="minorHAnsi" w:hAnsiTheme="minorHAnsi"/>
          <w:color w:val="auto"/>
          <w:szCs w:val="24"/>
        </w:rPr>
        <w:t xml:space="preserve"> </w:t>
      </w:r>
      <w:r w:rsidR="009C0985" w:rsidRPr="00567B30">
        <w:rPr>
          <w:rFonts w:asciiTheme="minorHAnsi" w:hAnsiTheme="minorHAnsi"/>
          <w:color w:val="auto"/>
          <w:szCs w:val="24"/>
        </w:rPr>
        <w:t xml:space="preserve"> </w:t>
      </w:r>
      <w:r w:rsidR="0036434E" w:rsidRPr="00567B30">
        <w:rPr>
          <w:rFonts w:asciiTheme="minorHAnsi" w:hAnsiTheme="minorHAnsi"/>
          <w:color w:val="auto"/>
          <w:szCs w:val="24"/>
        </w:rPr>
        <w:t xml:space="preserve">The Mental Status Examination (MSE) indicates that the CI had hyper vigilance, guarded posture, psychomotor agitation, and an agitated mood state. </w:t>
      </w:r>
      <w:r w:rsidR="00110AFD" w:rsidRPr="00567B30">
        <w:rPr>
          <w:rFonts w:asciiTheme="minorHAnsi" w:hAnsiTheme="minorHAnsi"/>
          <w:color w:val="auto"/>
          <w:szCs w:val="24"/>
        </w:rPr>
        <w:t xml:space="preserve"> The examiner further noted </w:t>
      </w:r>
      <w:r w:rsidR="0036434E" w:rsidRPr="00567B30">
        <w:rPr>
          <w:rFonts w:asciiTheme="minorHAnsi" w:hAnsiTheme="minorHAnsi"/>
          <w:color w:val="auto"/>
          <w:szCs w:val="24"/>
        </w:rPr>
        <w:t>that</w:t>
      </w:r>
      <w:r w:rsidR="00110AFD" w:rsidRPr="00567B30">
        <w:rPr>
          <w:rFonts w:asciiTheme="minorHAnsi" w:hAnsiTheme="minorHAnsi"/>
          <w:color w:val="auto"/>
          <w:szCs w:val="24"/>
        </w:rPr>
        <w:t xml:space="preserve"> the CI’s impairment in military service was impaired and that the social and </w:t>
      </w:r>
      <w:r w:rsidR="0036434E" w:rsidRPr="00567B30">
        <w:rPr>
          <w:rFonts w:asciiTheme="minorHAnsi" w:hAnsiTheme="minorHAnsi"/>
          <w:color w:val="auto"/>
          <w:szCs w:val="24"/>
        </w:rPr>
        <w:t>industrial</w:t>
      </w:r>
      <w:r w:rsidR="00110AFD" w:rsidRPr="00567B30">
        <w:rPr>
          <w:rFonts w:asciiTheme="minorHAnsi" w:hAnsiTheme="minorHAnsi"/>
          <w:color w:val="auto"/>
          <w:szCs w:val="24"/>
        </w:rPr>
        <w:t xml:space="preserve"> impairment was severe.  The CI’s </w:t>
      </w:r>
      <w:r w:rsidR="00DA7EEA" w:rsidRPr="00567B30">
        <w:rPr>
          <w:rFonts w:asciiTheme="minorHAnsi" w:hAnsiTheme="minorHAnsi"/>
          <w:color w:val="auto"/>
          <w:szCs w:val="24"/>
        </w:rPr>
        <w:t>global functioning</w:t>
      </w:r>
      <w:r w:rsidR="00110AFD" w:rsidRPr="00567B30">
        <w:rPr>
          <w:rFonts w:asciiTheme="minorHAnsi" w:hAnsiTheme="minorHAnsi"/>
          <w:color w:val="auto"/>
          <w:szCs w:val="24"/>
        </w:rPr>
        <w:t xml:space="preserve"> was assessed in the range of serious symptoms (GAF=45).</w:t>
      </w:r>
      <w:r w:rsidR="00B63963">
        <w:rPr>
          <w:rFonts w:asciiTheme="minorHAnsi" w:hAnsiTheme="minorHAnsi"/>
          <w:color w:val="auto"/>
          <w:szCs w:val="24"/>
        </w:rPr>
        <w:t xml:space="preserve">  </w:t>
      </w:r>
      <w:r w:rsidR="0036434E" w:rsidRPr="00567B30">
        <w:rPr>
          <w:rFonts w:asciiTheme="minorHAnsi" w:hAnsiTheme="minorHAnsi"/>
          <w:color w:val="auto"/>
          <w:szCs w:val="24"/>
        </w:rPr>
        <w:t xml:space="preserve">The CI’s VA C&amp;P Psychiatric </w:t>
      </w:r>
      <w:r w:rsidR="00334C05" w:rsidRPr="00567B30">
        <w:rPr>
          <w:rFonts w:asciiTheme="minorHAnsi" w:hAnsiTheme="minorHAnsi"/>
          <w:color w:val="auto"/>
          <w:szCs w:val="24"/>
        </w:rPr>
        <w:t>examination (</w:t>
      </w:r>
      <w:r w:rsidR="0036434E" w:rsidRPr="00567B30">
        <w:rPr>
          <w:rFonts w:asciiTheme="minorHAnsi" w:hAnsiTheme="minorHAnsi"/>
          <w:color w:val="auto"/>
          <w:szCs w:val="24"/>
        </w:rPr>
        <w:t xml:space="preserve">20070726) was completed </w:t>
      </w:r>
      <w:r w:rsidR="004B3532" w:rsidRPr="00567B30">
        <w:rPr>
          <w:rFonts w:asciiTheme="minorHAnsi" w:hAnsiTheme="minorHAnsi"/>
          <w:color w:val="auto"/>
          <w:szCs w:val="24"/>
        </w:rPr>
        <w:t xml:space="preserve">one and one half </w:t>
      </w:r>
      <w:r w:rsidR="0036434E" w:rsidRPr="00567B30">
        <w:rPr>
          <w:rFonts w:asciiTheme="minorHAnsi" w:hAnsiTheme="minorHAnsi"/>
          <w:color w:val="auto"/>
          <w:szCs w:val="24"/>
        </w:rPr>
        <w:t xml:space="preserve">months prior to separation.  </w:t>
      </w:r>
      <w:r w:rsidR="00334C05" w:rsidRPr="00567B30">
        <w:rPr>
          <w:rFonts w:asciiTheme="minorHAnsi" w:hAnsiTheme="minorHAnsi"/>
          <w:color w:val="auto"/>
          <w:szCs w:val="24"/>
        </w:rPr>
        <w:t>T</w:t>
      </w:r>
      <w:r w:rsidR="0036434E" w:rsidRPr="00567B30">
        <w:rPr>
          <w:rFonts w:asciiTheme="minorHAnsi" w:hAnsiTheme="minorHAnsi"/>
          <w:color w:val="auto"/>
          <w:szCs w:val="24"/>
        </w:rPr>
        <w:t xml:space="preserve">he CI was continued on medications for insomnia, depression and </w:t>
      </w:r>
      <w:r w:rsidR="00B641F0" w:rsidRPr="00567B30">
        <w:rPr>
          <w:rFonts w:asciiTheme="minorHAnsi" w:hAnsiTheme="minorHAnsi"/>
          <w:color w:val="auto"/>
          <w:szCs w:val="24"/>
        </w:rPr>
        <w:t>anxiety;</w:t>
      </w:r>
      <w:r w:rsidR="0036434E" w:rsidRPr="00567B30">
        <w:rPr>
          <w:rFonts w:asciiTheme="minorHAnsi" w:hAnsiTheme="minorHAnsi"/>
          <w:color w:val="auto"/>
          <w:szCs w:val="24"/>
        </w:rPr>
        <w:t xml:space="preserve"> however</w:t>
      </w:r>
      <w:r w:rsidR="00016CAF" w:rsidRPr="00567B30">
        <w:rPr>
          <w:rFonts w:asciiTheme="minorHAnsi" w:hAnsiTheme="minorHAnsi"/>
          <w:color w:val="auto"/>
          <w:szCs w:val="24"/>
        </w:rPr>
        <w:t>,</w:t>
      </w:r>
      <w:r w:rsidR="0036434E" w:rsidRPr="00567B30">
        <w:rPr>
          <w:rFonts w:asciiTheme="minorHAnsi" w:hAnsiTheme="minorHAnsi"/>
          <w:color w:val="auto"/>
          <w:szCs w:val="24"/>
        </w:rPr>
        <w:t xml:space="preserve"> the examiner noted that despite </w:t>
      </w:r>
      <w:r w:rsidR="00334C05" w:rsidRPr="00567B30">
        <w:rPr>
          <w:rFonts w:asciiTheme="minorHAnsi" w:hAnsiTheme="minorHAnsi"/>
          <w:color w:val="auto"/>
          <w:szCs w:val="24"/>
        </w:rPr>
        <w:t>all of</w:t>
      </w:r>
      <w:r w:rsidR="0036434E" w:rsidRPr="00567B30">
        <w:rPr>
          <w:rFonts w:asciiTheme="minorHAnsi" w:hAnsiTheme="minorHAnsi"/>
          <w:color w:val="auto"/>
          <w:szCs w:val="24"/>
        </w:rPr>
        <w:t xml:space="preserve"> </w:t>
      </w:r>
      <w:r w:rsidR="00334C05" w:rsidRPr="00567B30">
        <w:rPr>
          <w:rFonts w:asciiTheme="minorHAnsi" w:hAnsiTheme="minorHAnsi"/>
          <w:color w:val="auto"/>
          <w:szCs w:val="24"/>
        </w:rPr>
        <w:t xml:space="preserve">these medications, the CI continued to struggle with his symptoms. </w:t>
      </w:r>
      <w:r w:rsidR="00016CAF" w:rsidRPr="00567B30">
        <w:rPr>
          <w:rFonts w:asciiTheme="minorHAnsi" w:hAnsiTheme="minorHAnsi"/>
          <w:color w:val="auto"/>
          <w:szCs w:val="24"/>
        </w:rPr>
        <w:t xml:space="preserve"> </w:t>
      </w:r>
      <w:r w:rsidR="00290827" w:rsidRPr="00567B30">
        <w:rPr>
          <w:rFonts w:asciiTheme="minorHAnsi" w:hAnsiTheme="minorHAnsi"/>
          <w:color w:val="auto"/>
          <w:szCs w:val="24"/>
        </w:rPr>
        <w:t xml:space="preserve">The CI described himself as feeling emotionally </w:t>
      </w:r>
      <w:r w:rsidR="00B641F0" w:rsidRPr="00567B30">
        <w:rPr>
          <w:rFonts w:asciiTheme="minorHAnsi" w:hAnsiTheme="minorHAnsi"/>
          <w:color w:val="auto"/>
          <w:szCs w:val="24"/>
        </w:rPr>
        <w:t>numb;</w:t>
      </w:r>
      <w:r w:rsidR="00290827" w:rsidRPr="00567B30">
        <w:rPr>
          <w:rFonts w:asciiTheme="minorHAnsi" w:hAnsiTheme="minorHAnsi"/>
          <w:color w:val="auto"/>
          <w:szCs w:val="24"/>
        </w:rPr>
        <w:t xml:space="preserve"> feeling alienated from others</w:t>
      </w:r>
      <w:r w:rsidR="00672B85" w:rsidRPr="00567B30">
        <w:rPr>
          <w:rFonts w:asciiTheme="minorHAnsi" w:hAnsiTheme="minorHAnsi"/>
          <w:color w:val="auto"/>
          <w:szCs w:val="24"/>
        </w:rPr>
        <w:t xml:space="preserve"> and was not sure if he would be able to get a job.</w:t>
      </w:r>
      <w:r w:rsidR="00DA7EEA" w:rsidRPr="00567B30">
        <w:rPr>
          <w:rFonts w:asciiTheme="minorHAnsi" w:hAnsiTheme="minorHAnsi"/>
          <w:color w:val="auto"/>
          <w:szCs w:val="24"/>
        </w:rPr>
        <w:t xml:space="preserve"> </w:t>
      </w:r>
      <w:r w:rsidR="00334C05" w:rsidRPr="00567B30">
        <w:rPr>
          <w:rFonts w:asciiTheme="minorHAnsi" w:hAnsiTheme="minorHAnsi"/>
          <w:color w:val="auto"/>
          <w:szCs w:val="24"/>
        </w:rPr>
        <w:t xml:space="preserve"> The MSE showed a fair affect, anxiety and depression, mildly decreased short term memory and fair remote memory with impulse and judgment being only fair.  The examiner further noted that the CI went through </w:t>
      </w:r>
      <w:r w:rsidR="00334C05" w:rsidRPr="00567B30">
        <w:rPr>
          <w:rFonts w:asciiTheme="minorHAnsi" w:hAnsiTheme="minorHAnsi"/>
          <w:color w:val="auto"/>
          <w:szCs w:val="24"/>
        </w:rPr>
        <w:lastRenderedPageBreak/>
        <w:t xml:space="preserve">daily PTSD symptoms of disturbed sleep, startle response, dreams and </w:t>
      </w:r>
      <w:r w:rsidR="00290827" w:rsidRPr="00567B30">
        <w:rPr>
          <w:rFonts w:asciiTheme="minorHAnsi" w:hAnsiTheme="minorHAnsi"/>
          <w:color w:val="auto"/>
          <w:szCs w:val="24"/>
        </w:rPr>
        <w:t>nightmares;</w:t>
      </w:r>
      <w:r w:rsidR="00334C05" w:rsidRPr="00567B30">
        <w:rPr>
          <w:rFonts w:asciiTheme="minorHAnsi" w:hAnsiTheme="minorHAnsi"/>
          <w:color w:val="auto"/>
          <w:szCs w:val="24"/>
        </w:rPr>
        <w:t xml:space="preserve"> panic attacks a few times a week moderate depression</w:t>
      </w:r>
      <w:r w:rsidR="00680653" w:rsidRPr="00567B30">
        <w:rPr>
          <w:rFonts w:asciiTheme="minorHAnsi" w:hAnsiTheme="minorHAnsi"/>
          <w:color w:val="auto"/>
          <w:szCs w:val="24"/>
        </w:rPr>
        <w:t xml:space="preserve"> a</w:t>
      </w:r>
      <w:r w:rsidR="00334C05" w:rsidRPr="00567B30">
        <w:rPr>
          <w:rFonts w:asciiTheme="minorHAnsi" w:hAnsiTheme="minorHAnsi"/>
          <w:color w:val="auto"/>
          <w:szCs w:val="24"/>
        </w:rPr>
        <w:t xml:space="preserve">nd significant agitation. </w:t>
      </w:r>
      <w:r w:rsidR="0036434E" w:rsidRPr="00567B30">
        <w:rPr>
          <w:rFonts w:asciiTheme="minorHAnsi" w:hAnsiTheme="minorHAnsi"/>
          <w:color w:val="auto"/>
          <w:szCs w:val="24"/>
        </w:rPr>
        <w:t xml:space="preserve"> </w:t>
      </w:r>
      <w:r w:rsidR="003F6853" w:rsidRPr="00567B30">
        <w:rPr>
          <w:rFonts w:asciiTheme="minorHAnsi" w:hAnsiTheme="minorHAnsi"/>
          <w:color w:val="auto"/>
          <w:szCs w:val="24"/>
        </w:rPr>
        <w:t xml:space="preserve">PTSD was the only AXIS I diagnosis; there was no diagnosis of a depressive disorder.  </w:t>
      </w:r>
      <w:r w:rsidR="009602CC" w:rsidRPr="00567B30">
        <w:rPr>
          <w:rFonts w:asciiTheme="minorHAnsi" w:hAnsiTheme="minorHAnsi"/>
          <w:color w:val="auto"/>
          <w:szCs w:val="24"/>
        </w:rPr>
        <w:t>The CI’s GAF was assessed in the range of serious symptoms (GAF=45).</w:t>
      </w:r>
      <w:r w:rsidR="003F6853" w:rsidRPr="00567B30">
        <w:rPr>
          <w:rFonts w:asciiTheme="minorHAnsi" w:hAnsiTheme="minorHAnsi"/>
          <w:color w:val="auto"/>
          <w:szCs w:val="24"/>
        </w:rPr>
        <w:t xml:space="preserve">  The VA assigned a 70% rating for the PTSD condition based on §4.130 criteria without relying on the provisions of §4.129.</w:t>
      </w:r>
    </w:p>
    <w:p w:rsidR="0036434E" w:rsidRPr="00567B30" w:rsidRDefault="0036434E" w:rsidP="005A73FC">
      <w:pPr>
        <w:tabs>
          <w:tab w:val="left" w:pos="288"/>
          <w:tab w:val="left" w:pos="4752"/>
        </w:tabs>
        <w:spacing w:line="240" w:lineRule="exact"/>
        <w:jc w:val="both"/>
        <w:rPr>
          <w:rFonts w:asciiTheme="minorHAnsi" w:hAnsiTheme="minorHAnsi"/>
          <w:color w:val="auto"/>
          <w:szCs w:val="24"/>
        </w:rPr>
      </w:pPr>
    </w:p>
    <w:p w:rsidR="00411ADC" w:rsidRPr="00567B30" w:rsidRDefault="009C0985" w:rsidP="005A73FC">
      <w:pPr>
        <w:tabs>
          <w:tab w:val="left" w:pos="288"/>
          <w:tab w:val="left" w:pos="4752"/>
        </w:tabs>
        <w:spacing w:line="240" w:lineRule="exact"/>
        <w:jc w:val="both"/>
        <w:rPr>
          <w:rFonts w:asciiTheme="minorHAnsi" w:hAnsiTheme="minorHAnsi"/>
          <w:color w:val="auto"/>
          <w:szCs w:val="24"/>
        </w:rPr>
      </w:pPr>
      <w:r w:rsidRPr="00567B30">
        <w:rPr>
          <w:rFonts w:asciiTheme="minorHAnsi" w:hAnsiTheme="minorHAnsi"/>
          <w:color w:val="auto"/>
          <w:szCs w:val="24"/>
        </w:rPr>
        <w:t xml:space="preserve">VA outpatient notes indicated two emergency room treatments for anxiety attack (initial visit in July 2008).  The CI was continuing medication and psychotherapy with a GAF in the 45-50 range.  The CI </w:t>
      </w:r>
      <w:r w:rsidR="0057148D">
        <w:rPr>
          <w:rFonts w:asciiTheme="minorHAnsi" w:hAnsiTheme="minorHAnsi"/>
          <w:color w:val="auto"/>
          <w:szCs w:val="24"/>
        </w:rPr>
        <w:t>was unemployed and was granted I</w:t>
      </w:r>
      <w:r w:rsidRPr="00567B30">
        <w:rPr>
          <w:rFonts w:asciiTheme="minorHAnsi" w:hAnsiTheme="minorHAnsi"/>
          <w:color w:val="auto"/>
          <w:szCs w:val="24"/>
        </w:rPr>
        <w:t>ndividu</w:t>
      </w:r>
      <w:r w:rsidR="0057148D">
        <w:rPr>
          <w:rFonts w:asciiTheme="minorHAnsi" w:hAnsiTheme="minorHAnsi"/>
          <w:color w:val="auto"/>
          <w:szCs w:val="24"/>
        </w:rPr>
        <w:t xml:space="preserve">al </w:t>
      </w:r>
      <w:proofErr w:type="spellStart"/>
      <w:r w:rsidR="0057148D">
        <w:rPr>
          <w:rFonts w:asciiTheme="minorHAnsi" w:hAnsiTheme="minorHAnsi"/>
          <w:color w:val="auto"/>
          <w:szCs w:val="24"/>
        </w:rPr>
        <w:t>U</w:t>
      </w:r>
      <w:r w:rsidRPr="00567B30">
        <w:rPr>
          <w:rFonts w:asciiTheme="minorHAnsi" w:hAnsiTheme="minorHAnsi"/>
          <w:color w:val="auto"/>
          <w:szCs w:val="24"/>
        </w:rPr>
        <w:t>nemployability</w:t>
      </w:r>
      <w:proofErr w:type="spellEnd"/>
      <w:r w:rsidRPr="00567B30">
        <w:rPr>
          <w:rFonts w:asciiTheme="minorHAnsi" w:hAnsiTheme="minorHAnsi"/>
          <w:color w:val="auto"/>
          <w:szCs w:val="24"/>
        </w:rPr>
        <w:t xml:space="preserve"> effective </w:t>
      </w:r>
      <w:r w:rsidR="000E2E3D" w:rsidRPr="00567B30">
        <w:rPr>
          <w:rFonts w:asciiTheme="minorHAnsi" w:hAnsiTheme="minorHAnsi"/>
          <w:color w:val="auto"/>
          <w:szCs w:val="24"/>
        </w:rPr>
        <w:t>9</w:t>
      </w:r>
      <w:r w:rsidR="0057148D">
        <w:rPr>
          <w:rFonts w:asciiTheme="minorHAnsi" w:hAnsiTheme="minorHAnsi"/>
          <w:color w:val="auto"/>
          <w:szCs w:val="24"/>
        </w:rPr>
        <w:t> </w:t>
      </w:r>
      <w:r w:rsidR="000E2E3D" w:rsidRPr="00567B30">
        <w:rPr>
          <w:rFonts w:asciiTheme="minorHAnsi" w:hAnsiTheme="minorHAnsi"/>
          <w:color w:val="auto"/>
          <w:szCs w:val="24"/>
        </w:rPr>
        <w:t xml:space="preserve">December 2007 which was </w:t>
      </w:r>
      <w:r w:rsidRPr="00567B30">
        <w:rPr>
          <w:rFonts w:asciiTheme="minorHAnsi" w:hAnsiTheme="minorHAnsi"/>
          <w:color w:val="auto"/>
          <w:szCs w:val="24"/>
        </w:rPr>
        <w:t>three months after separation</w:t>
      </w:r>
      <w:r w:rsidR="000E2E3D" w:rsidRPr="0057148D">
        <w:rPr>
          <w:rFonts w:asciiTheme="minorHAnsi" w:hAnsiTheme="minorHAnsi"/>
          <w:color w:val="auto"/>
          <w:szCs w:val="24"/>
        </w:rPr>
        <w:t>.</w:t>
      </w:r>
      <w:r w:rsidR="000204C2" w:rsidRPr="0057148D">
        <w:rPr>
          <w:rFonts w:asciiTheme="minorHAnsi" w:hAnsiTheme="minorHAnsi"/>
          <w:color w:val="auto"/>
          <w:szCs w:val="24"/>
        </w:rPr>
        <w:t xml:space="preserve">  </w:t>
      </w:r>
      <w:r w:rsidR="00411ADC" w:rsidRPr="0057148D">
        <w:rPr>
          <w:rFonts w:asciiTheme="minorHAnsi" w:hAnsiTheme="minorHAnsi"/>
          <w:color w:val="auto"/>
          <w:szCs w:val="24"/>
        </w:rPr>
        <w:t>A</w:t>
      </w:r>
      <w:r w:rsidR="000204C2" w:rsidRPr="0057148D">
        <w:rPr>
          <w:rFonts w:asciiTheme="minorHAnsi" w:hAnsiTheme="minorHAnsi"/>
          <w:color w:val="auto"/>
          <w:szCs w:val="24"/>
        </w:rPr>
        <w:t>lthough beyond the six</w:t>
      </w:r>
      <w:r w:rsidR="00290827" w:rsidRPr="0057148D">
        <w:rPr>
          <w:rFonts w:asciiTheme="minorHAnsi" w:hAnsiTheme="minorHAnsi"/>
          <w:color w:val="auto"/>
          <w:szCs w:val="24"/>
        </w:rPr>
        <w:t xml:space="preserve"> month</w:t>
      </w:r>
      <w:r w:rsidR="00290827" w:rsidRPr="00567B30">
        <w:rPr>
          <w:rFonts w:asciiTheme="minorHAnsi" w:hAnsiTheme="minorHAnsi"/>
          <w:color w:val="auto"/>
          <w:szCs w:val="24"/>
        </w:rPr>
        <w:t xml:space="preserve"> rating period, the </w:t>
      </w:r>
      <w:r w:rsidR="00411ADC" w:rsidRPr="00567B30">
        <w:rPr>
          <w:rFonts w:asciiTheme="minorHAnsi" w:hAnsiTheme="minorHAnsi"/>
          <w:color w:val="auto"/>
          <w:szCs w:val="24"/>
        </w:rPr>
        <w:t>VA C&amp;</w:t>
      </w:r>
      <w:r w:rsidR="00B641F0" w:rsidRPr="00567B30">
        <w:rPr>
          <w:rFonts w:asciiTheme="minorHAnsi" w:hAnsiTheme="minorHAnsi"/>
          <w:color w:val="auto"/>
          <w:szCs w:val="24"/>
        </w:rPr>
        <w:t>P Psychiatric</w:t>
      </w:r>
      <w:r w:rsidR="00411ADC" w:rsidRPr="00567B30">
        <w:rPr>
          <w:rFonts w:asciiTheme="minorHAnsi" w:hAnsiTheme="minorHAnsi"/>
          <w:color w:val="auto"/>
          <w:szCs w:val="24"/>
        </w:rPr>
        <w:t xml:space="preserve"> examination (20</w:t>
      </w:r>
      <w:r w:rsidR="00290827" w:rsidRPr="00567B30">
        <w:rPr>
          <w:rFonts w:asciiTheme="minorHAnsi" w:hAnsiTheme="minorHAnsi"/>
          <w:color w:val="auto"/>
          <w:szCs w:val="24"/>
        </w:rPr>
        <w:t>100602</w:t>
      </w:r>
      <w:r w:rsidR="00411ADC" w:rsidRPr="00567B30">
        <w:rPr>
          <w:rFonts w:asciiTheme="minorHAnsi" w:hAnsiTheme="minorHAnsi"/>
          <w:color w:val="auto"/>
          <w:szCs w:val="24"/>
        </w:rPr>
        <w:t xml:space="preserve">) </w:t>
      </w:r>
      <w:r w:rsidR="0057148D">
        <w:rPr>
          <w:rFonts w:asciiTheme="minorHAnsi" w:hAnsiTheme="minorHAnsi"/>
          <w:color w:val="auto"/>
          <w:szCs w:val="24"/>
        </w:rPr>
        <w:t xml:space="preserve">completed </w:t>
      </w:r>
      <w:r w:rsidR="00411ADC" w:rsidRPr="00567B30">
        <w:rPr>
          <w:rFonts w:asciiTheme="minorHAnsi" w:hAnsiTheme="minorHAnsi"/>
          <w:color w:val="auto"/>
          <w:szCs w:val="24"/>
        </w:rPr>
        <w:t>approximately three years later</w:t>
      </w:r>
      <w:r w:rsidR="00290827" w:rsidRPr="00567B30">
        <w:rPr>
          <w:rFonts w:asciiTheme="minorHAnsi" w:hAnsiTheme="minorHAnsi"/>
          <w:color w:val="auto"/>
          <w:szCs w:val="24"/>
        </w:rPr>
        <w:t xml:space="preserve"> continued</w:t>
      </w:r>
      <w:r w:rsidR="00411ADC" w:rsidRPr="00567B30">
        <w:rPr>
          <w:rFonts w:asciiTheme="minorHAnsi" w:hAnsiTheme="minorHAnsi"/>
          <w:color w:val="auto"/>
          <w:szCs w:val="24"/>
        </w:rPr>
        <w:t xml:space="preserve"> to </w:t>
      </w:r>
      <w:r w:rsidR="00290827" w:rsidRPr="00567B30">
        <w:rPr>
          <w:rFonts w:asciiTheme="minorHAnsi" w:hAnsiTheme="minorHAnsi"/>
          <w:color w:val="auto"/>
          <w:szCs w:val="24"/>
        </w:rPr>
        <w:t>s</w:t>
      </w:r>
      <w:r w:rsidR="00411ADC" w:rsidRPr="00567B30">
        <w:rPr>
          <w:rFonts w:asciiTheme="minorHAnsi" w:hAnsiTheme="minorHAnsi"/>
          <w:color w:val="auto"/>
          <w:szCs w:val="24"/>
        </w:rPr>
        <w:t>how that the</w:t>
      </w:r>
      <w:r w:rsidR="00290827" w:rsidRPr="00567B30">
        <w:rPr>
          <w:rFonts w:asciiTheme="minorHAnsi" w:hAnsiTheme="minorHAnsi"/>
          <w:color w:val="auto"/>
          <w:szCs w:val="24"/>
        </w:rPr>
        <w:t xml:space="preserve">re </w:t>
      </w:r>
      <w:r w:rsidR="00411ADC" w:rsidRPr="00567B30">
        <w:rPr>
          <w:rFonts w:asciiTheme="minorHAnsi" w:hAnsiTheme="minorHAnsi"/>
          <w:color w:val="auto"/>
          <w:szCs w:val="24"/>
        </w:rPr>
        <w:t>h</w:t>
      </w:r>
      <w:r w:rsidR="00290827" w:rsidRPr="00567B30">
        <w:rPr>
          <w:rFonts w:asciiTheme="minorHAnsi" w:hAnsiTheme="minorHAnsi"/>
          <w:color w:val="auto"/>
          <w:szCs w:val="24"/>
        </w:rPr>
        <w:t>ad</w:t>
      </w:r>
      <w:r w:rsidR="00411ADC" w:rsidRPr="00567B30">
        <w:rPr>
          <w:rFonts w:asciiTheme="minorHAnsi" w:hAnsiTheme="minorHAnsi"/>
          <w:color w:val="auto"/>
          <w:szCs w:val="24"/>
        </w:rPr>
        <w:t xml:space="preserve"> been </w:t>
      </w:r>
      <w:r w:rsidR="003F6853" w:rsidRPr="00567B30">
        <w:rPr>
          <w:rFonts w:asciiTheme="minorHAnsi" w:hAnsiTheme="minorHAnsi"/>
          <w:color w:val="auto"/>
          <w:szCs w:val="24"/>
        </w:rPr>
        <w:t>only slight</w:t>
      </w:r>
      <w:r w:rsidR="00411ADC" w:rsidRPr="00567B30">
        <w:rPr>
          <w:rFonts w:asciiTheme="minorHAnsi" w:hAnsiTheme="minorHAnsi"/>
          <w:color w:val="auto"/>
          <w:szCs w:val="24"/>
        </w:rPr>
        <w:t xml:space="preserve"> improvement in </w:t>
      </w:r>
      <w:r w:rsidR="00B641F0" w:rsidRPr="00567B30">
        <w:rPr>
          <w:rFonts w:asciiTheme="minorHAnsi" w:hAnsiTheme="minorHAnsi"/>
          <w:color w:val="auto"/>
          <w:szCs w:val="24"/>
        </w:rPr>
        <w:t>the CI’s PTSD</w:t>
      </w:r>
      <w:r w:rsidR="00411ADC" w:rsidRPr="00567B30">
        <w:rPr>
          <w:rFonts w:asciiTheme="minorHAnsi" w:hAnsiTheme="minorHAnsi"/>
          <w:color w:val="auto"/>
          <w:szCs w:val="24"/>
        </w:rPr>
        <w:t xml:space="preserve"> symptoms.  </w:t>
      </w:r>
      <w:r w:rsidR="003F6853" w:rsidRPr="00567B30">
        <w:rPr>
          <w:rFonts w:asciiTheme="minorHAnsi" w:hAnsiTheme="minorHAnsi"/>
          <w:color w:val="auto"/>
          <w:szCs w:val="24"/>
        </w:rPr>
        <w:t xml:space="preserve">The CI was still unemployed and </w:t>
      </w:r>
      <w:r w:rsidR="0057148D">
        <w:rPr>
          <w:rFonts w:asciiTheme="minorHAnsi" w:hAnsiTheme="minorHAnsi"/>
          <w:color w:val="auto"/>
          <w:szCs w:val="24"/>
        </w:rPr>
        <w:t xml:space="preserve">still receiving Individual Unemployability.   </w:t>
      </w:r>
      <w:r w:rsidR="003F6853" w:rsidRPr="00567B30">
        <w:rPr>
          <w:rFonts w:asciiTheme="minorHAnsi" w:hAnsiTheme="minorHAnsi"/>
          <w:color w:val="auto"/>
          <w:szCs w:val="24"/>
        </w:rPr>
        <w:t xml:space="preserve">He had taken some college courses and dropped others, was living with his grandfather, was separated with custody issues over his son, and was not undergoing medication or therapy.  </w:t>
      </w:r>
      <w:r w:rsidR="00411ADC" w:rsidRPr="00567B30">
        <w:rPr>
          <w:rFonts w:asciiTheme="minorHAnsi" w:hAnsiTheme="minorHAnsi"/>
          <w:color w:val="auto"/>
          <w:szCs w:val="24"/>
        </w:rPr>
        <w:t xml:space="preserve">The GAF was still assessed in the range of serious symptoms </w:t>
      </w:r>
      <w:r w:rsidR="00290827" w:rsidRPr="00567B30">
        <w:rPr>
          <w:rFonts w:asciiTheme="minorHAnsi" w:hAnsiTheme="minorHAnsi"/>
          <w:color w:val="auto"/>
          <w:szCs w:val="24"/>
        </w:rPr>
        <w:t>(GAF=50) and that the CI never returned to his pre-PTSD level of functioning</w:t>
      </w:r>
      <w:r w:rsidR="003F6853" w:rsidRPr="00567B30">
        <w:rPr>
          <w:rFonts w:asciiTheme="minorHAnsi" w:hAnsiTheme="minorHAnsi"/>
          <w:color w:val="auto"/>
          <w:szCs w:val="24"/>
        </w:rPr>
        <w:t xml:space="preserve"> and there had been no periods of remission</w:t>
      </w:r>
      <w:r w:rsidR="00290827" w:rsidRPr="00567B30">
        <w:rPr>
          <w:rFonts w:asciiTheme="minorHAnsi" w:hAnsiTheme="minorHAnsi"/>
          <w:color w:val="auto"/>
          <w:szCs w:val="24"/>
        </w:rPr>
        <w:t>.</w:t>
      </w:r>
      <w:r w:rsidR="00DA7EEA" w:rsidRPr="00567B30">
        <w:rPr>
          <w:rFonts w:asciiTheme="minorHAnsi" w:hAnsiTheme="minorHAnsi"/>
          <w:color w:val="auto"/>
          <w:szCs w:val="24"/>
        </w:rPr>
        <w:t xml:space="preserve">  This </w:t>
      </w:r>
      <w:r w:rsidR="003F6853" w:rsidRPr="00567B30">
        <w:rPr>
          <w:rFonts w:asciiTheme="minorHAnsi" w:hAnsiTheme="minorHAnsi"/>
          <w:color w:val="auto"/>
          <w:szCs w:val="24"/>
        </w:rPr>
        <w:t xml:space="preserve">very </w:t>
      </w:r>
      <w:r w:rsidR="00DA7EEA" w:rsidRPr="00567B30">
        <w:rPr>
          <w:rFonts w:asciiTheme="minorHAnsi" w:hAnsiTheme="minorHAnsi"/>
          <w:color w:val="auto"/>
          <w:szCs w:val="24"/>
        </w:rPr>
        <w:t>delayed post-</w:t>
      </w:r>
      <w:r w:rsidR="00672B85" w:rsidRPr="00567B30">
        <w:rPr>
          <w:rFonts w:asciiTheme="minorHAnsi" w:hAnsiTheme="minorHAnsi"/>
          <w:color w:val="auto"/>
          <w:szCs w:val="24"/>
        </w:rPr>
        <w:t xml:space="preserve">separation C&amp;P Psychiatric examination deprives the Board of evidence for judging the stress of transition to civilian life </w:t>
      </w:r>
      <w:r w:rsidR="003F6853" w:rsidRPr="00567B30">
        <w:rPr>
          <w:rFonts w:asciiTheme="minorHAnsi" w:hAnsiTheme="minorHAnsi"/>
          <w:color w:val="auto"/>
          <w:szCs w:val="24"/>
        </w:rPr>
        <w:t xml:space="preserve">at the six month timeframe </w:t>
      </w:r>
      <w:r w:rsidR="00672B85" w:rsidRPr="00567B30">
        <w:rPr>
          <w:rFonts w:asciiTheme="minorHAnsi" w:hAnsiTheme="minorHAnsi"/>
          <w:color w:val="auto"/>
          <w:szCs w:val="24"/>
        </w:rPr>
        <w:t xml:space="preserve">which is a key intent of §4.129 and generally a significant </w:t>
      </w:r>
      <w:r w:rsidR="00F065F1" w:rsidRPr="00567B30">
        <w:rPr>
          <w:rFonts w:asciiTheme="minorHAnsi" w:hAnsiTheme="minorHAnsi"/>
          <w:color w:val="auto"/>
          <w:szCs w:val="24"/>
        </w:rPr>
        <w:t>element</w:t>
      </w:r>
      <w:r w:rsidR="00672B85" w:rsidRPr="00567B30">
        <w:rPr>
          <w:rFonts w:asciiTheme="minorHAnsi" w:hAnsiTheme="minorHAnsi"/>
          <w:color w:val="auto"/>
          <w:szCs w:val="24"/>
        </w:rPr>
        <w:t xml:space="preserve"> underlying the Board’s permanent rating recommendation.  In cases such as this,</w:t>
      </w:r>
      <w:r w:rsidR="003A45F2" w:rsidRPr="00567B30">
        <w:rPr>
          <w:rFonts w:asciiTheme="minorHAnsi" w:hAnsiTheme="minorHAnsi"/>
          <w:color w:val="auto"/>
          <w:szCs w:val="24"/>
        </w:rPr>
        <w:t xml:space="preserve"> the </w:t>
      </w:r>
      <w:r w:rsidR="00F065F1" w:rsidRPr="00567B30">
        <w:rPr>
          <w:rFonts w:asciiTheme="minorHAnsi" w:hAnsiTheme="minorHAnsi"/>
          <w:color w:val="auto"/>
          <w:szCs w:val="24"/>
        </w:rPr>
        <w:t>Board of</w:t>
      </w:r>
      <w:r w:rsidR="00672B85" w:rsidRPr="00567B30">
        <w:rPr>
          <w:rFonts w:asciiTheme="minorHAnsi" w:hAnsiTheme="minorHAnsi"/>
          <w:color w:val="auto"/>
          <w:szCs w:val="24"/>
        </w:rPr>
        <w:t xml:space="preserve"> nec</w:t>
      </w:r>
      <w:r w:rsidR="003A45F2" w:rsidRPr="00567B30">
        <w:rPr>
          <w:rFonts w:asciiTheme="minorHAnsi" w:hAnsiTheme="minorHAnsi"/>
          <w:color w:val="auto"/>
          <w:szCs w:val="24"/>
        </w:rPr>
        <w:t>essity, must base the permanent rating recommendation on the information at separation and, to a certain extent, on the anticipated (more likely than not) prognosis at 6 months.</w:t>
      </w:r>
    </w:p>
    <w:p w:rsidR="00672B85" w:rsidRPr="00567B30" w:rsidRDefault="00672B85" w:rsidP="005A73FC">
      <w:pPr>
        <w:tabs>
          <w:tab w:val="left" w:pos="288"/>
          <w:tab w:val="left" w:pos="4752"/>
        </w:tabs>
        <w:spacing w:line="240" w:lineRule="exact"/>
        <w:jc w:val="both"/>
        <w:rPr>
          <w:rFonts w:asciiTheme="minorHAnsi" w:hAnsiTheme="minorHAnsi"/>
          <w:color w:val="auto"/>
          <w:szCs w:val="24"/>
        </w:rPr>
      </w:pPr>
    </w:p>
    <w:p w:rsidR="007F1D94" w:rsidRPr="00567B30" w:rsidRDefault="00567B30" w:rsidP="005A73FC">
      <w:pPr>
        <w:tabs>
          <w:tab w:val="left" w:pos="288"/>
          <w:tab w:val="left" w:pos="4752"/>
        </w:tabs>
        <w:spacing w:line="240" w:lineRule="exact"/>
        <w:jc w:val="both"/>
        <w:rPr>
          <w:rFonts w:asciiTheme="minorHAnsi" w:hAnsiTheme="minorHAnsi"/>
          <w:color w:val="auto"/>
          <w:szCs w:val="24"/>
        </w:rPr>
      </w:pPr>
      <w:r w:rsidRPr="00567B30">
        <w:rPr>
          <w:rFonts w:asciiTheme="minorHAnsi" w:hAnsiTheme="minorHAnsi"/>
          <w:color w:val="auto"/>
          <w:szCs w:val="24"/>
        </w:rPr>
        <w:t xml:space="preserve">The Board majority agreed that the §4.130 criteria for a rating higher than 50% were not met at the time of separation, and therefore the minimum 50% TDRL rating (as explained above) is applicable.  </w:t>
      </w:r>
      <w:r w:rsidR="003F6853" w:rsidRPr="00567B30">
        <w:rPr>
          <w:rFonts w:asciiTheme="minorHAnsi" w:hAnsiTheme="minorHAnsi"/>
          <w:color w:val="auto"/>
          <w:szCs w:val="24"/>
        </w:rPr>
        <w:t xml:space="preserve">As regards the permanent rating recommendation, all members agreed that the §4.130 threshold for a </w:t>
      </w:r>
      <w:r w:rsidR="000E2E3D" w:rsidRPr="00567B30">
        <w:rPr>
          <w:rFonts w:asciiTheme="minorHAnsi" w:hAnsiTheme="minorHAnsi"/>
          <w:color w:val="auto"/>
          <w:szCs w:val="24"/>
        </w:rPr>
        <w:t>100</w:t>
      </w:r>
      <w:r w:rsidR="003F6853" w:rsidRPr="00567B30">
        <w:rPr>
          <w:rFonts w:asciiTheme="minorHAnsi" w:hAnsiTheme="minorHAnsi"/>
          <w:color w:val="auto"/>
          <w:szCs w:val="24"/>
        </w:rPr>
        <w:t xml:space="preserve">% rating was not approached and that the criteria for a </w:t>
      </w:r>
      <w:r w:rsidR="000E2E3D" w:rsidRPr="00567B30">
        <w:rPr>
          <w:rFonts w:asciiTheme="minorHAnsi" w:hAnsiTheme="minorHAnsi"/>
          <w:color w:val="auto"/>
          <w:szCs w:val="24"/>
        </w:rPr>
        <w:t>3</w:t>
      </w:r>
      <w:r w:rsidR="003F6853" w:rsidRPr="00567B30">
        <w:rPr>
          <w:rFonts w:asciiTheme="minorHAnsi" w:hAnsiTheme="minorHAnsi"/>
          <w:color w:val="auto"/>
          <w:szCs w:val="24"/>
        </w:rPr>
        <w:t xml:space="preserve">0% rating were well exceeded.  The deliberation settled on arguments for a 50% vs. a </w:t>
      </w:r>
      <w:r w:rsidR="000E2E3D" w:rsidRPr="00567B30">
        <w:rPr>
          <w:rFonts w:asciiTheme="minorHAnsi" w:hAnsiTheme="minorHAnsi"/>
          <w:color w:val="auto"/>
          <w:szCs w:val="24"/>
        </w:rPr>
        <w:t>7</w:t>
      </w:r>
      <w:r w:rsidR="003F6853" w:rsidRPr="00567B30">
        <w:rPr>
          <w:rFonts w:asciiTheme="minorHAnsi" w:hAnsiTheme="minorHAnsi"/>
          <w:color w:val="auto"/>
          <w:szCs w:val="24"/>
        </w:rPr>
        <w:t xml:space="preserve">0% permanent rating recommendation.  </w:t>
      </w:r>
      <w:r w:rsidR="00F065F1" w:rsidRPr="00567B30">
        <w:rPr>
          <w:rFonts w:asciiTheme="minorHAnsi" w:hAnsiTheme="minorHAnsi"/>
          <w:color w:val="auto"/>
          <w:szCs w:val="24"/>
        </w:rPr>
        <w:t xml:space="preserve">The 50% </w:t>
      </w:r>
      <w:r w:rsidR="00B641F0" w:rsidRPr="00567B30">
        <w:rPr>
          <w:rFonts w:asciiTheme="minorHAnsi" w:hAnsiTheme="minorHAnsi"/>
          <w:color w:val="auto"/>
          <w:szCs w:val="24"/>
        </w:rPr>
        <w:t>description (</w:t>
      </w:r>
      <w:r w:rsidR="00F065F1" w:rsidRPr="00567B30">
        <w:rPr>
          <w:rFonts w:asciiTheme="minorHAnsi" w:hAnsiTheme="minorHAnsi"/>
          <w:color w:val="auto"/>
          <w:szCs w:val="24"/>
        </w:rPr>
        <w:t xml:space="preserve">occupational and social impairments with reduced reliability and productivity) is </w:t>
      </w:r>
      <w:r w:rsidR="003F6853" w:rsidRPr="00567B30">
        <w:rPr>
          <w:rFonts w:asciiTheme="minorHAnsi" w:hAnsiTheme="minorHAnsi"/>
          <w:color w:val="auto"/>
          <w:szCs w:val="24"/>
        </w:rPr>
        <w:t>the closest</w:t>
      </w:r>
      <w:r w:rsidR="00F065F1" w:rsidRPr="00567B30">
        <w:rPr>
          <w:rFonts w:asciiTheme="minorHAnsi" w:hAnsiTheme="minorHAnsi"/>
          <w:color w:val="auto"/>
          <w:szCs w:val="24"/>
        </w:rPr>
        <w:t xml:space="preserve"> fit with the occupational functioning in evidence since decreased efficiency </w:t>
      </w:r>
      <w:r w:rsidR="00DA7EEA" w:rsidRPr="00567B30">
        <w:rPr>
          <w:rFonts w:asciiTheme="minorHAnsi" w:hAnsiTheme="minorHAnsi"/>
          <w:color w:val="auto"/>
          <w:szCs w:val="24"/>
        </w:rPr>
        <w:t>wa</w:t>
      </w:r>
      <w:r w:rsidR="00F065F1" w:rsidRPr="00567B30">
        <w:rPr>
          <w:rFonts w:asciiTheme="minorHAnsi" w:hAnsiTheme="minorHAnsi"/>
          <w:color w:val="auto"/>
          <w:szCs w:val="24"/>
        </w:rPr>
        <w:t>s documented throughout the record along with decreased reliability and productivity which were significantly affected.</w:t>
      </w:r>
      <w:r w:rsidR="009E497D" w:rsidRPr="00567B30">
        <w:rPr>
          <w:rFonts w:asciiTheme="minorHAnsi" w:hAnsiTheme="minorHAnsi"/>
          <w:color w:val="auto"/>
          <w:szCs w:val="24"/>
        </w:rPr>
        <w:t xml:space="preserve">  Although the preponderance of evidence appears to favor a 50% rating IAW VASRD §4.130, an </w:t>
      </w:r>
      <w:r w:rsidR="00B641F0" w:rsidRPr="00567B30">
        <w:rPr>
          <w:rFonts w:asciiTheme="minorHAnsi" w:hAnsiTheme="minorHAnsi"/>
          <w:color w:val="auto"/>
          <w:szCs w:val="24"/>
        </w:rPr>
        <w:t>argument remains</w:t>
      </w:r>
      <w:r w:rsidR="009E497D" w:rsidRPr="00567B30">
        <w:rPr>
          <w:rFonts w:asciiTheme="minorHAnsi" w:hAnsiTheme="minorHAnsi"/>
          <w:color w:val="auto"/>
          <w:szCs w:val="24"/>
        </w:rPr>
        <w:t xml:space="preserve"> for a </w:t>
      </w:r>
      <w:r w:rsidR="000E2E3D" w:rsidRPr="00567B30">
        <w:rPr>
          <w:rFonts w:asciiTheme="minorHAnsi" w:hAnsiTheme="minorHAnsi"/>
          <w:color w:val="auto"/>
          <w:szCs w:val="24"/>
        </w:rPr>
        <w:t>7</w:t>
      </w:r>
      <w:r w:rsidR="009E497D" w:rsidRPr="00567B30">
        <w:rPr>
          <w:rFonts w:asciiTheme="minorHAnsi" w:hAnsiTheme="minorHAnsi"/>
          <w:color w:val="auto"/>
          <w:szCs w:val="24"/>
        </w:rPr>
        <w:t>0% rating</w:t>
      </w:r>
      <w:r w:rsidR="00DA7EEA" w:rsidRPr="00567B30">
        <w:rPr>
          <w:rFonts w:asciiTheme="minorHAnsi" w:hAnsiTheme="minorHAnsi"/>
          <w:color w:val="auto"/>
          <w:szCs w:val="24"/>
        </w:rPr>
        <w:t>.  After this deliberation, considering the totality of the evidence and with deference to VASRD §4.3 (reasonable doubt), the Board recommends 50</w:t>
      </w:r>
      <w:r w:rsidR="005A73FC" w:rsidRPr="00567B30">
        <w:rPr>
          <w:rFonts w:asciiTheme="minorHAnsi" w:hAnsiTheme="minorHAnsi"/>
          <w:color w:val="auto"/>
          <w:szCs w:val="24"/>
        </w:rPr>
        <w:t>% as</w:t>
      </w:r>
      <w:r w:rsidR="00DA7EEA" w:rsidRPr="00567B30">
        <w:rPr>
          <w:rFonts w:asciiTheme="minorHAnsi" w:hAnsiTheme="minorHAnsi"/>
          <w:color w:val="auto"/>
          <w:szCs w:val="24"/>
        </w:rPr>
        <w:t xml:space="preserve"> the fair and equitable permanent rating for PTSD in this case.</w:t>
      </w:r>
      <w:r w:rsidR="000E2E3D" w:rsidRPr="00567B30">
        <w:rPr>
          <w:rFonts w:asciiTheme="minorHAnsi" w:hAnsiTheme="minorHAnsi"/>
          <w:color w:val="auto"/>
          <w:szCs w:val="24"/>
        </w:rPr>
        <w:t xml:space="preserve">  </w:t>
      </w:r>
    </w:p>
    <w:p w:rsidR="00DA7EEA" w:rsidRPr="00567B30" w:rsidRDefault="00DA7EEA" w:rsidP="005A73FC">
      <w:pPr>
        <w:tabs>
          <w:tab w:val="left" w:pos="288"/>
          <w:tab w:val="left" w:pos="4752"/>
        </w:tabs>
        <w:spacing w:line="240" w:lineRule="exact"/>
        <w:jc w:val="both"/>
        <w:rPr>
          <w:rFonts w:asciiTheme="minorHAnsi" w:hAnsiTheme="minorHAnsi"/>
          <w:color w:val="auto"/>
          <w:szCs w:val="24"/>
        </w:rPr>
      </w:pPr>
    </w:p>
    <w:p w:rsidR="00EA43E5" w:rsidRPr="00567B30" w:rsidRDefault="00E11E90" w:rsidP="005A73FC">
      <w:pPr>
        <w:spacing w:line="240" w:lineRule="exact"/>
        <w:jc w:val="both"/>
        <w:rPr>
          <w:rFonts w:asciiTheme="minorHAnsi" w:hAnsiTheme="minorHAnsi"/>
          <w:color w:val="auto"/>
          <w:szCs w:val="24"/>
        </w:rPr>
      </w:pPr>
      <w:r w:rsidRPr="00567B30">
        <w:rPr>
          <w:rFonts w:asciiTheme="minorHAnsi" w:hAnsiTheme="minorHAnsi"/>
          <w:color w:val="auto"/>
          <w:szCs w:val="24"/>
          <w:u w:val="single"/>
        </w:rPr>
        <w:t>Left Knee Pain</w:t>
      </w:r>
      <w:r w:rsidR="0057148D">
        <w:rPr>
          <w:rFonts w:asciiTheme="minorHAnsi" w:hAnsiTheme="minorHAnsi"/>
          <w:color w:val="auto"/>
          <w:szCs w:val="24"/>
        </w:rPr>
        <w:t>.</w:t>
      </w:r>
      <w:r w:rsidRPr="00567B30">
        <w:rPr>
          <w:rFonts w:asciiTheme="minorHAnsi" w:hAnsiTheme="minorHAnsi"/>
          <w:color w:val="auto"/>
          <w:szCs w:val="24"/>
        </w:rPr>
        <w:t xml:space="preserve">  The PEB found the “Left Knee Pain” as a Category III condition (“Conditions that are not separately unfitting and do not contri</w:t>
      </w:r>
      <w:r w:rsidR="00BF3280" w:rsidRPr="00567B30">
        <w:rPr>
          <w:rFonts w:asciiTheme="minorHAnsi" w:hAnsiTheme="minorHAnsi"/>
          <w:color w:val="auto"/>
          <w:szCs w:val="24"/>
        </w:rPr>
        <w:t>bute to the unfitting condition</w:t>
      </w:r>
      <w:r w:rsidRPr="00567B30">
        <w:rPr>
          <w:rFonts w:asciiTheme="minorHAnsi" w:hAnsiTheme="minorHAnsi"/>
          <w:color w:val="auto"/>
          <w:szCs w:val="24"/>
        </w:rPr>
        <w:t>(s)”).</w:t>
      </w:r>
      <w:r w:rsidR="00937BA6" w:rsidRPr="00567B30">
        <w:rPr>
          <w:rFonts w:asciiTheme="minorHAnsi" w:hAnsiTheme="minorHAnsi"/>
          <w:color w:val="auto"/>
          <w:szCs w:val="24"/>
        </w:rPr>
        <w:t xml:space="preserve">  The CI was placed on LIMDU for the knee</w:t>
      </w:r>
      <w:r w:rsidR="009753D1" w:rsidRPr="00567B30">
        <w:rPr>
          <w:rFonts w:asciiTheme="minorHAnsi" w:hAnsiTheme="minorHAnsi"/>
          <w:color w:val="auto"/>
          <w:szCs w:val="24"/>
        </w:rPr>
        <w:t xml:space="preserve"> </w:t>
      </w:r>
      <w:r w:rsidR="00937BA6" w:rsidRPr="00567B30">
        <w:rPr>
          <w:rFonts w:asciiTheme="minorHAnsi" w:hAnsiTheme="minorHAnsi"/>
          <w:color w:val="auto"/>
          <w:szCs w:val="24"/>
        </w:rPr>
        <w:t xml:space="preserve">and underwent </w:t>
      </w:r>
      <w:r w:rsidR="00B641F0" w:rsidRPr="00567B30">
        <w:rPr>
          <w:rFonts w:asciiTheme="minorHAnsi" w:hAnsiTheme="minorHAnsi"/>
          <w:color w:val="auto"/>
          <w:szCs w:val="24"/>
        </w:rPr>
        <w:t>a left</w:t>
      </w:r>
      <w:r w:rsidR="00937BA6" w:rsidRPr="00567B30">
        <w:rPr>
          <w:rFonts w:asciiTheme="minorHAnsi" w:hAnsiTheme="minorHAnsi"/>
          <w:color w:val="auto"/>
          <w:szCs w:val="24"/>
        </w:rPr>
        <w:t xml:space="preserve"> knee </w:t>
      </w:r>
      <w:r w:rsidR="009753D1" w:rsidRPr="00567B30">
        <w:rPr>
          <w:rFonts w:asciiTheme="minorHAnsi" w:hAnsiTheme="minorHAnsi"/>
          <w:color w:val="auto"/>
          <w:szCs w:val="24"/>
        </w:rPr>
        <w:t>arthroscopy</w:t>
      </w:r>
      <w:r w:rsidR="00937BA6" w:rsidRPr="00567B30">
        <w:rPr>
          <w:rFonts w:asciiTheme="minorHAnsi" w:hAnsiTheme="minorHAnsi"/>
          <w:color w:val="auto"/>
          <w:szCs w:val="24"/>
        </w:rPr>
        <w:t xml:space="preserve"> with debridement of a men</w:t>
      </w:r>
      <w:r w:rsidR="00817FB1" w:rsidRPr="00567B30">
        <w:rPr>
          <w:rFonts w:asciiTheme="minorHAnsi" w:hAnsiTheme="minorHAnsi"/>
          <w:color w:val="auto"/>
          <w:szCs w:val="24"/>
        </w:rPr>
        <w:t xml:space="preserve">iscal tear in December 2006.  </w:t>
      </w:r>
      <w:r w:rsidR="00937BA6" w:rsidRPr="00567B30">
        <w:rPr>
          <w:rFonts w:asciiTheme="minorHAnsi" w:hAnsiTheme="minorHAnsi"/>
          <w:color w:val="auto"/>
          <w:szCs w:val="24"/>
        </w:rPr>
        <w:t>In the Orthopedic addendum to the MEB exam, May 2007,   the examiner documented that the CI stated that he was “able to walk without difficulty for an entire day; however at the end of the day the knee became sore.</w:t>
      </w:r>
      <w:r w:rsidR="00B21F03" w:rsidRPr="00567B30">
        <w:rPr>
          <w:rFonts w:asciiTheme="minorHAnsi" w:hAnsiTheme="minorHAnsi"/>
          <w:color w:val="auto"/>
          <w:szCs w:val="24"/>
        </w:rPr>
        <w:t xml:space="preserve"> </w:t>
      </w:r>
      <w:r w:rsidR="00817FB1" w:rsidRPr="00567B30">
        <w:rPr>
          <w:rFonts w:asciiTheme="minorHAnsi" w:hAnsiTheme="minorHAnsi"/>
          <w:color w:val="auto"/>
          <w:szCs w:val="24"/>
        </w:rPr>
        <w:t xml:space="preserve"> </w:t>
      </w:r>
      <w:r w:rsidR="00B21F03" w:rsidRPr="00567B30">
        <w:rPr>
          <w:rFonts w:asciiTheme="minorHAnsi" w:hAnsiTheme="minorHAnsi"/>
          <w:color w:val="auto"/>
          <w:szCs w:val="24"/>
        </w:rPr>
        <w:t xml:space="preserve">The examiner noted that the knee was stable to varus and valgus stress, as well as anterior drawer and Lachman test and that the CI had minimal tenderness to palpation over the medial joint line.  The left knee Range of Motion (ROM) was 0-135 degrees which the examiner noted “matches the </w:t>
      </w:r>
      <w:r w:rsidR="00B641F0" w:rsidRPr="00567B30">
        <w:rPr>
          <w:rFonts w:asciiTheme="minorHAnsi" w:hAnsiTheme="minorHAnsi"/>
          <w:color w:val="auto"/>
          <w:szCs w:val="24"/>
        </w:rPr>
        <w:t>contra lateral</w:t>
      </w:r>
      <w:r w:rsidR="00B21F03" w:rsidRPr="00567B30">
        <w:rPr>
          <w:rFonts w:asciiTheme="minorHAnsi" w:hAnsiTheme="minorHAnsi"/>
          <w:color w:val="auto"/>
          <w:szCs w:val="24"/>
        </w:rPr>
        <w:t xml:space="preserve"> side”.  </w:t>
      </w:r>
      <w:r w:rsidR="005A73FC" w:rsidRPr="00567B30">
        <w:rPr>
          <w:rFonts w:asciiTheme="minorHAnsi" w:hAnsiTheme="minorHAnsi"/>
          <w:color w:val="auto"/>
          <w:szCs w:val="24"/>
        </w:rPr>
        <w:t>All evidence considered there is not reasonable doubt in the CI’s favor, supporting the recharacterization of the PEB fitness adjudication for the Left Knee Pain condition.</w:t>
      </w:r>
    </w:p>
    <w:p w:rsidR="00290827" w:rsidRPr="00567B30" w:rsidRDefault="00290827" w:rsidP="005A73FC">
      <w:pPr>
        <w:spacing w:line="240" w:lineRule="exact"/>
        <w:jc w:val="both"/>
        <w:rPr>
          <w:rFonts w:asciiTheme="minorHAnsi" w:hAnsiTheme="minorHAnsi"/>
          <w:color w:val="auto"/>
          <w:szCs w:val="24"/>
          <w:u w:val="single"/>
        </w:rPr>
      </w:pPr>
    </w:p>
    <w:p w:rsidR="003E3D16" w:rsidRPr="00567B30" w:rsidRDefault="009753D1" w:rsidP="005A73FC">
      <w:pPr>
        <w:autoSpaceDE w:val="0"/>
        <w:autoSpaceDN w:val="0"/>
        <w:adjustRightInd w:val="0"/>
        <w:spacing w:line="240" w:lineRule="exact"/>
        <w:jc w:val="both"/>
        <w:rPr>
          <w:rFonts w:asciiTheme="minorHAnsi" w:eastAsia="Calibri" w:hAnsiTheme="minorHAnsi"/>
          <w:color w:val="auto"/>
          <w:szCs w:val="24"/>
        </w:rPr>
      </w:pPr>
      <w:r w:rsidRPr="00567B30">
        <w:rPr>
          <w:rFonts w:asciiTheme="minorHAnsi" w:hAnsiTheme="minorHAnsi"/>
          <w:color w:val="auto"/>
          <w:szCs w:val="24"/>
          <w:u w:val="single"/>
        </w:rPr>
        <w:t>Other Conditions</w:t>
      </w:r>
      <w:r w:rsidRPr="00567B30">
        <w:rPr>
          <w:rFonts w:asciiTheme="minorHAnsi" w:hAnsiTheme="minorHAnsi"/>
          <w:color w:val="auto"/>
          <w:szCs w:val="24"/>
        </w:rPr>
        <w:t xml:space="preserve">: </w:t>
      </w:r>
      <w:r w:rsidR="00817FB1" w:rsidRPr="00567B30">
        <w:rPr>
          <w:rFonts w:asciiTheme="minorHAnsi" w:hAnsiTheme="minorHAnsi"/>
          <w:color w:val="auto"/>
          <w:szCs w:val="24"/>
        </w:rPr>
        <w:t xml:space="preserve"> </w:t>
      </w:r>
      <w:r w:rsidRPr="00567B30">
        <w:rPr>
          <w:rFonts w:asciiTheme="minorHAnsi" w:hAnsiTheme="minorHAnsi"/>
          <w:color w:val="auto"/>
          <w:szCs w:val="24"/>
        </w:rPr>
        <w:t>Left Thigh</w:t>
      </w:r>
      <w:r w:rsidR="008F1B39" w:rsidRPr="00567B30">
        <w:rPr>
          <w:rFonts w:asciiTheme="minorHAnsi" w:hAnsiTheme="minorHAnsi"/>
          <w:color w:val="auto"/>
          <w:szCs w:val="24"/>
        </w:rPr>
        <w:t>,</w:t>
      </w:r>
      <w:r w:rsidR="002D6984" w:rsidRPr="00567B30">
        <w:rPr>
          <w:rFonts w:asciiTheme="minorHAnsi" w:hAnsiTheme="minorHAnsi"/>
          <w:color w:val="auto"/>
          <w:szCs w:val="24"/>
        </w:rPr>
        <w:t xml:space="preserve"> </w:t>
      </w:r>
      <w:r w:rsidR="008F1B39" w:rsidRPr="00567B30">
        <w:rPr>
          <w:rFonts w:asciiTheme="minorHAnsi" w:eastAsia="Calibri" w:hAnsiTheme="minorHAnsi"/>
          <w:color w:val="auto"/>
          <w:szCs w:val="24"/>
        </w:rPr>
        <w:t>Tinnitus</w:t>
      </w:r>
      <w:r w:rsidR="00817FB1" w:rsidRPr="00567B30">
        <w:rPr>
          <w:rFonts w:asciiTheme="minorHAnsi" w:hAnsiTheme="minorHAnsi"/>
          <w:color w:val="auto"/>
          <w:szCs w:val="24"/>
        </w:rPr>
        <w:t xml:space="preserve">, </w:t>
      </w:r>
      <w:r w:rsidR="008F1B39" w:rsidRPr="00567B30">
        <w:rPr>
          <w:rFonts w:asciiTheme="minorHAnsi" w:eastAsia="Calibri" w:hAnsiTheme="minorHAnsi"/>
          <w:color w:val="auto"/>
          <w:szCs w:val="24"/>
        </w:rPr>
        <w:t>Right Upper Extremity; Nose</w:t>
      </w:r>
      <w:r w:rsidR="00817FB1" w:rsidRPr="00567B30">
        <w:rPr>
          <w:rFonts w:asciiTheme="minorHAnsi" w:eastAsia="Calibri" w:hAnsiTheme="minorHAnsi"/>
          <w:color w:val="auto"/>
          <w:szCs w:val="24"/>
        </w:rPr>
        <w:t xml:space="preserve"> and</w:t>
      </w:r>
      <w:r w:rsidR="008F1B39" w:rsidRPr="00567B30">
        <w:rPr>
          <w:rFonts w:asciiTheme="minorHAnsi" w:eastAsia="Calibri" w:hAnsiTheme="minorHAnsi"/>
          <w:color w:val="auto"/>
          <w:szCs w:val="24"/>
        </w:rPr>
        <w:t xml:space="preserve"> Left Great Toe</w:t>
      </w:r>
      <w:r w:rsidR="00817FB1" w:rsidRPr="00567B30">
        <w:rPr>
          <w:rFonts w:asciiTheme="minorHAnsi" w:eastAsia="Calibri" w:hAnsiTheme="minorHAnsi"/>
          <w:color w:val="auto"/>
          <w:szCs w:val="24"/>
        </w:rPr>
        <w:t xml:space="preserve"> conditions</w:t>
      </w:r>
      <w:r w:rsidR="008F1B39" w:rsidRPr="00567B30">
        <w:rPr>
          <w:rFonts w:asciiTheme="minorHAnsi" w:eastAsia="Calibri" w:hAnsiTheme="minorHAnsi"/>
          <w:color w:val="auto"/>
          <w:szCs w:val="24"/>
        </w:rPr>
        <w:t xml:space="preserve">. </w:t>
      </w:r>
      <w:r w:rsidR="00817FB1" w:rsidRPr="00567B30">
        <w:rPr>
          <w:rFonts w:asciiTheme="minorHAnsi" w:eastAsia="Calibri" w:hAnsiTheme="minorHAnsi"/>
          <w:color w:val="auto"/>
          <w:szCs w:val="24"/>
        </w:rPr>
        <w:t xml:space="preserve"> </w:t>
      </w:r>
      <w:r w:rsidR="002D6984" w:rsidRPr="00567B30">
        <w:rPr>
          <w:rFonts w:asciiTheme="minorHAnsi" w:eastAsia="Calibri" w:hAnsiTheme="minorHAnsi"/>
          <w:color w:val="auto"/>
          <w:szCs w:val="24"/>
        </w:rPr>
        <w:t xml:space="preserve">The VA rated the </w:t>
      </w:r>
      <w:r w:rsidR="008F1B39" w:rsidRPr="00567B30">
        <w:rPr>
          <w:rFonts w:asciiTheme="minorHAnsi" w:hAnsiTheme="minorHAnsi"/>
          <w:color w:val="auto"/>
          <w:szCs w:val="24"/>
        </w:rPr>
        <w:t xml:space="preserve">Residuals, Shell Fragment Wound to include Scar, Left Thigh </w:t>
      </w:r>
      <w:r w:rsidR="002D6984" w:rsidRPr="00567B30">
        <w:rPr>
          <w:rFonts w:asciiTheme="minorHAnsi" w:hAnsiTheme="minorHAnsi"/>
          <w:color w:val="auto"/>
          <w:szCs w:val="24"/>
        </w:rPr>
        <w:t>and Residuals</w:t>
      </w:r>
      <w:r w:rsidR="008F1B39" w:rsidRPr="00567B30">
        <w:rPr>
          <w:rFonts w:asciiTheme="minorHAnsi" w:eastAsia="Calibri" w:hAnsiTheme="minorHAnsi"/>
          <w:color w:val="auto"/>
          <w:szCs w:val="24"/>
        </w:rPr>
        <w:t xml:space="preserve"> To Include Scars, Shell Fragment Wound, Right Upper Extremity conditions</w:t>
      </w:r>
      <w:r w:rsidR="002D6984" w:rsidRPr="00567B30">
        <w:rPr>
          <w:rFonts w:asciiTheme="minorHAnsi" w:eastAsia="Calibri" w:hAnsiTheme="minorHAnsi"/>
          <w:color w:val="auto"/>
          <w:szCs w:val="24"/>
        </w:rPr>
        <w:t xml:space="preserve"> at 10% each.  These conditions are</w:t>
      </w:r>
      <w:r w:rsidR="008F1B39" w:rsidRPr="00567B30">
        <w:rPr>
          <w:rFonts w:asciiTheme="minorHAnsi" w:eastAsia="Calibri" w:hAnsiTheme="minorHAnsi"/>
          <w:color w:val="auto"/>
          <w:szCs w:val="24"/>
        </w:rPr>
        <w:t xml:space="preserve"> noted on the MEB exam only</w:t>
      </w:r>
      <w:r w:rsidR="00BF3280" w:rsidRPr="00567B30">
        <w:rPr>
          <w:rFonts w:asciiTheme="minorHAnsi" w:eastAsia="Calibri" w:hAnsiTheme="minorHAnsi"/>
          <w:color w:val="auto"/>
          <w:szCs w:val="24"/>
        </w:rPr>
        <w:t xml:space="preserve"> without significant mention in </w:t>
      </w:r>
      <w:r w:rsidR="00BF3280" w:rsidRPr="00567B30">
        <w:rPr>
          <w:rFonts w:asciiTheme="minorHAnsi" w:eastAsia="Calibri" w:hAnsiTheme="minorHAnsi"/>
          <w:color w:val="auto"/>
          <w:szCs w:val="24"/>
        </w:rPr>
        <w:lastRenderedPageBreak/>
        <w:t>treatment notes, medical therapy, or as adversely impacting duty performance</w:t>
      </w:r>
      <w:r w:rsidR="008F1B39" w:rsidRPr="00567B30">
        <w:rPr>
          <w:rFonts w:asciiTheme="minorHAnsi" w:eastAsia="Calibri" w:hAnsiTheme="minorHAnsi"/>
          <w:color w:val="auto"/>
          <w:szCs w:val="24"/>
        </w:rPr>
        <w:t xml:space="preserve">.  </w:t>
      </w:r>
      <w:r w:rsidR="002D6984" w:rsidRPr="00567B30">
        <w:rPr>
          <w:rFonts w:asciiTheme="minorHAnsi" w:eastAsia="Calibri" w:hAnsiTheme="minorHAnsi"/>
          <w:color w:val="auto"/>
          <w:szCs w:val="24"/>
        </w:rPr>
        <w:t xml:space="preserve">The Tinnitus </w:t>
      </w:r>
      <w:r w:rsidR="003E3D16" w:rsidRPr="00567B30">
        <w:rPr>
          <w:rFonts w:asciiTheme="minorHAnsi" w:eastAsia="Calibri" w:hAnsiTheme="minorHAnsi"/>
          <w:color w:val="auto"/>
          <w:szCs w:val="24"/>
        </w:rPr>
        <w:t>(</w:t>
      </w:r>
      <w:r w:rsidR="002D6984" w:rsidRPr="00567B30">
        <w:rPr>
          <w:rFonts w:asciiTheme="minorHAnsi" w:eastAsia="Calibri" w:hAnsiTheme="minorHAnsi"/>
          <w:color w:val="auto"/>
          <w:szCs w:val="24"/>
        </w:rPr>
        <w:t>rated at 10% by the VA</w:t>
      </w:r>
      <w:r w:rsidR="003E3D16" w:rsidRPr="00567B30">
        <w:rPr>
          <w:rFonts w:asciiTheme="minorHAnsi" w:eastAsia="Calibri" w:hAnsiTheme="minorHAnsi"/>
          <w:color w:val="auto"/>
          <w:szCs w:val="24"/>
        </w:rPr>
        <w:t xml:space="preserve">), Nose and left great toe conditions (rated at 0% by the VA) were all </w:t>
      </w:r>
      <w:r w:rsidR="002D6984" w:rsidRPr="00567B30">
        <w:rPr>
          <w:rFonts w:asciiTheme="minorHAnsi" w:eastAsia="Calibri" w:hAnsiTheme="minorHAnsi"/>
          <w:color w:val="auto"/>
          <w:szCs w:val="24"/>
        </w:rPr>
        <w:t xml:space="preserve">mentioned in the DES package; however </w:t>
      </w:r>
      <w:r w:rsidR="003E3D16" w:rsidRPr="00567B30">
        <w:rPr>
          <w:rFonts w:asciiTheme="minorHAnsi" w:eastAsia="Calibri" w:hAnsiTheme="minorHAnsi"/>
          <w:color w:val="auto"/>
          <w:szCs w:val="24"/>
        </w:rPr>
        <w:t>they did not rise to the level of unfitting.  The Board therefore has no basis for consideration of any other conditions eligible for additional rating at separation.</w:t>
      </w:r>
    </w:p>
    <w:p w:rsidR="0057148D" w:rsidRPr="00567B30" w:rsidRDefault="0057148D" w:rsidP="0057148D">
      <w:pPr>
        <w:pBdr>
          <w:bottom w:val="single" w:sz="12" w:space="1" w:color="auto"/>
        </w:pBdr>
        <w:tabs>
          <w:tab w:val="left" w:pos="288"/>
          <w:tab w:val="left" w:pos="4752"/>
        </w:tabs>
        <w:spacing w:line="240" w:lineRule="exact"/>
        <w:jc w:val="both"/>
        <w:rPr>
          <w:rFonts w:asciiTheme="minorHAnsi" w:hAnsiTheme="minorHAnsi"/>
          <w:caps/>
          <w:color w:val="auto"/>
          <w:szCs w:val="24"/>
        </w:rPr>
      </w:pPr>
    </w:p>
    <w:p w:rsidR="0057148D" w:rsidRPr="00567B30" w:rsidRDefault="0057148D" w:rsidP="0057148D">
      <w:pPr>
        <w:tabs>
          <w:tab w:val="left" w:pos="288"/>
          <w:tab w:val="left" w:pos="4752"/>
        </w:tabs>
        <w:spacing w:line="240" w:lineRule="exact"/>
        <w:jc w:val="both"/>
        <w:rPr>
          <w:rFonts w:asciiTheme="minorHAnsi" w:hAnsiTheme="minorHAnsi"/>
          <w:color w:val="auto"/>
          <w:szCs w:val="24"/>
        </w:rPr>
      </w:pPr>
    </w:p>
    <w:p w:rsidR="003E3D16" w:rsidRPr="00567B30" w:rsidRDefault="0023489B" w:rsidP="005A73FC">
      <w:pPr>
        <w:tabs>
          <w:tab w:val="left" w:pos="288"/>
          <w:tab w:val="left" w:pos="4752"/>
        </w:tabs>
        <w:spacing w:line="240" w:lineRule="exact"/>
        <w:jc w:val="both"/>
        <w:rPr>
          <w:rFonts w:asciiTheme="minorHAnsi" w:eastAsia="Calibri" w:hAnsiTheme="minorHAnsi"/>
          <w:color w:val="auto"/>
          <w:szCs w:val="24"/>
        </w:rPr>
      </w:pPr>
      <w:r w:rsidRPr="00567B30">
        <w:rPr>
          <w:rFonts w:asciiTheme="minorHAnsi" w:hAnsiTheme="minorHAnsi"/>
          <w:color w:val="auto"/>
          <w:szCs w:val="24"/>
          <w:u w:val="single"/>
        </w:rPr>
        <w:t>Board Findings</w:t>
      </w:r>
      <w:r w:rsidRPr="00567B30">
        <w:rPr>
          <w:rFonts w:asciiTheme="minorHAnsi" w:hAnsiTheme="minorHAnsi"/>
          <w:color w:val="auto"/>
          <w:szCs w:val="24"/>
        </w:rPr>
        <w:t xml:space="preserve">:  </w:t>
      </w:r>
      <w:r w:rsidRPr="00567B30">
        <w:rPr>
          <w:rFonts w:asciiTheme="minorHAnsi" w:eastAsia="Calibri" w:hAnsiTheme="minorHAnsi"/>
          <w:color w:val="auto"/>
          <w:szCs w:val="24"/>
        </w:rPr>
        <w:t xml:space="preserve">IAW DoDI 6040.44, provisions of DoD or Military Department regulations or guidelines relied upon by the PEB will not be considered by the Board to the extent they were inconsistent with the VASRD in effect at the time of the adjudication.  </w:t>
      </w:r>
      <w:r w:rsidRPr="00567B30">
        <w:rPr>
          <w:rFonts w:asciiTheme="minorHAnsi" w:eastAsiaTheme="minorHAnsi" w:hAnsiTheme="minorHAnsi"/>
          <w:color w:val="auto"/>
          <w:szCs w:val="24"/>
        </w:rPr>
        <w:t>In the matter of the PTSD condition, the Board recommends</w:t>
      </w:r>
      <w:r w:rsidR="00567B30" w:rsidRPr="00567B30">
        <w:rPr>
          <w:rFonts w:asciiTheme="minorHAnsi" w:eastAsiaTheme="minorHAnsi" w:hAnsiTheme="minorHAnsi"/>
          <w:color w:val="auto"/>
          <w:szCs w:val="24"/>
        </w:rPr>
        <w:t>,</w:t>
      </w:r>
      <w:r w:rsidRPr="00567B30">
        <w:rPr>
          <w:rFonts w:asciiTheme="minorHAnsi" w:eastAsiaTheme="minorHAnsi" w:hAnsiTheme="minorHAnsi"/>
          <w:color w:val="auto"/>
          <w:szCs w:val="24"/>
        </w:rPr>
        <w:t xml:space="preserve"> </w:t>
      </w:r>
      <w:r w:rsidR="00567B30" w:rsidRPr="00567B30">
        <w:rPr>
          <w:rFonts w:asciiTheme="minorHAnsi" w:eastAsiaTheme="minorHAnsi" w:hAnsiTheme="minorHAnsi"/>
          <w:color w:val="auto"/>
          <w:szCs w:val="24"/>
        </w:rPr>
        <w:t xml:space="preserve">by a vote of 2:1, </w:t>
      </w:r>
      <w:r w:rsidRPr="00567B30">
        <w:rPr>
          <w:rFonts w:asciiTheme="minorHAnsi" w:eastAsiaTheme="minorHAnsi" w:hAnsiTheme="minorHAnsi"/>
          <w:color w:val="auto"/>
          <w:szCs w:val="24"/>
        </w:rPr>
        <w:t>an initial TDRL rating of 50%</w:t>
      </w:r>
      <w:r w:rsidR="003E3D16" w:rsidRPr="00567B30">
        <w:rPr>
          <w:rFonts w:asciiTheme="minorHAnsi" w:eastAsiaTheme="minorHAnsi" w:hAnsiTheme="minorHAnsi"/>
          <w:color w:val="auto"/>
          <w:szCs w:val="24"/>
        </w:rPr>
        <w:t xml:space="preserve"> </w:t>
      </w:r>
      <w:r w:rsidRPr="00567B30">
        <w:rPr>
          <w:rFonts w:asciiTheme="minorHAnsi" w:eastAsiaTheme="minorHAnsi" w:hAnsiTheme="minorHAnsi"/>
          <w:color w:val="auto"/>
          <w:szCs w:val="24"/>
        </w:rPr>
        <w:t>in retroactive co</w:t>
      </w:r>
      <w:r w:rsidR="005A73FC" w:rsidRPr="00567B30">
        <w:rPr>
          <w:rFonts w:asciiTheme="minorHAnsi" w:eastAsiaTheme="minorHAnsi" w:hAnsiTheme="minorHAnsi"/>
          <w:color w:val="auto"/>
          <w:szCs w:val="24"/>
        </w:rPr>
        <w:t>m</w:t>
      </w:r>
      <w:r w:rsidRPr="00567B30">
        <w:rPr>
          <w:rFonts w:asciiTheme="minorHAnsi" w:eastAsiaTheme="minorHAnsi" w:hAnsiTheme="minorHAnsi"/>
          <w:color w:val="auto"/>
          <w:szCs w:val="24"/>
        </w:rPr>
        <w:t>pliance with VASRD §4.129 as DoD directed</w:t>
      </w:r>
      <w:r w:rsidR="00567B30" w:rsidRPr="00567B30">
        <w:rPr>
          <w:rFonts w:asciiTheme="minorHAnsi" w:eastAsiaTheme="minorHAnsi" w:hAnsiTheme="minorHAnsi"/>
          <w:color w:val="auto"/>
          <w:szCs w:val="24"/>
        </w:rPr>
        <w:t>,</w:t>
      </w:r>
      <w:r w:rsidRPr="00567B30">
        <w:rPr>
          <w:rFonts w:asciiTheme="minorHAnsi" w:eastAsiaTheme="minorHAnsi" w:hAnsiTheme="minorHAnsi"/>
          <w:color w:val="auto"/>
          <w:szCs w:val="24"/>
        </w:rPr>
        <w:t xml:space="preserve"> and a 50%</w:t>
      </w:r>
      <w:r w:rsidR="003E3D16" w:rsidRPr="00567B30">
        <w:rPr>
          <w:rFonts w:asciiTheme="minorHAnsi" w:eastAsiaTheme="minorHAnsi" w:hAnsiTheme="minorHAnsi"/>
          <w:color w:val="auto"/>
          <w:szCs w:val="24"/>
        </w:rPr>
        <w:t xml:space="preserve"> </w:t>
      </w:r>
      <w:r w:rsidR="00514CEA" w:rsidRPr="00567B30">
        <w:rPr>
          <w:rFonts w:asciiTheme="minorHAnsi" w:eastAsiaTheme="minorHAnsi" w:hAnsiTheme="minorHAnsi"/>
          <w:color w:val="auto"/>
          <w:szCs w:val="24"/>
        </w:rPr>
        <w:t xml:space="preserve"> </w:t>
      </w:r>
      <w:r w:rsidRPr="00567B30">
        <w:rPr>
          <w:rFonts w:asciiTheme="minorHAnsi" w:eastAsiaTheme="minorHAnsi" w:hAnsiTheme="minorHAnsi"/>
          <w:color w:val="auto"/>
          <w:szCs w:val="24"/>
        </w:rPr>
        <w:t xml:space="preserve">permanent rating at 6 months IAW VASRD §4.130.  </w:t>
      </w:r>
      <w:r w:rsidR="005A73FC" w:rsidRPr="00567B30">
        <w:rPr>
          <w:rFonts w:asciiTheme="minorHAnsi" w:eastAsiaTheme="minorHAnsi" w:hAnsiTheme="minorHAnsi"/>
          <w:color w:val="auto"/>
          <w:szCs w:val="24"/>
        </w:rPr>
        <w:t xml:space="preserve">The single voter for dissent (who recommended a 70% </w:t>
      </w:r>
      <w:r w:rsidR="00567B30" w:rsidRPr="00567B30">
        <w:rPr>
          <w:rFonts w:asciiTheme="minorHAnsi" w:eastAsiaTheme="minorHAnsi" w:hAnsiTheme="minorHAnsi"/>
          <w:color w:val="auto"/>
          <w:szCs w:val="24"/>
        </w:rPr>
        <w:t xml:space="preserve">initial </w:t>
      </w:r>
      <w:r w:rsidR="005A73FC" w:rsidRPr="00567B30">
        <w:rPr>
          <w:rFonts w:asciiTheme="minorHAnsi" w:eastAsiaTheme="minorHAnsi" w:hAnsiTheme="minorHAnsi"/>
          <w:color w:val="auto"/>
          <w:szCs w:val="24"/>
        </w:rPr>
        <w:t xml:space="preserve">TDRL rating and a 70% permanent rating) did not elect to submit a minority opinion.  </w:t>
      </w:r>
      <w:r w:rsidR="00514CEA" w:rsidRPr="00567B30">
        <w:rPr>
          <w:rFonts w:asciiTheme="minorHAnsi" w:eastAsiaTheme="minorHAnsi" w:hAnsiTheme="minorHAnsi"/>
          <w:color w:val="auto"/>
          <w:szCs w:val="24"/>
        </w:rPr>
        <w:t xml:space="preserve">In the matter of the Left Knee condition, the Board unanimously agrees that it cannot recommend any findings of unfit for any additional rating at separation.  In the matter of </w:t>
      </w:r>
      <w:r w:rsidR="003E3D16" w:rsidRPr="00567B30">
        <w:rPr>
          <w:rFonts w:asciiTheme="minorHAnsi" w:hAnsiTheme="minorHAnsi"/>
          <w:color w:val="auto"/>
          <w:szCs w:val="24"/>
        </w:rPr>
        <w:t>r</w:t>
      </w:r>
      <w:r w:rsidR="00514CEA" w:rsidRPr="00567B30">
        <w:rPr>
          <w:rFonts w:asciiTheme="minorHAnsi" w:hAnsiTheme="minorHAnsi"/>
          <w:color w:val="auto"/>
          <w:szCs w:val="24"/>
        </w:rPr>
        <w:t xml:space="preserve">esiduals, </w:t>
      </w:r>
      <w:r w:rsidR="003E3D16" w:rsidRPr="00567B30">
        <w:rPr>
          <w:rFonts w:asciiTheme="minorHAnsi" w:hAnsiTheme="minorHAnsi"/>
          <w:color w:val="auto"/>
          <w:szCs w:val="24"/>
        </w:rPr>
        <w:t>s</w:t>
      </w:r>
      <w:r w:rsidR="00514CEA" w:rsidRPr="00567B30">
        <w:rPr>
          <w:rFonts w:asciiTheme="minorHAnsi" w:hAnsiTheme="minorHAnsi"/>
          <w:color w:val="auto"/>
          <w:szCs w:val="24"/>
        </w:rPr>
        <w:t xml:space="preserve">hell </w:t>
      </w:r>
      <w:r w:rsidR="003E3D16" w:rsidRPr="00567B30">
        <w:rPr>
          <w:rFonts w:asciiTheme="minorHAnsi" w:hAnsiTheme="minorHAnsi"/>
          <w:color w:val="auto"/>
          <w:szCs w:val="24"/>
        </w:rPr>
        <w:t>f</w:t>
      </w:r>
      <w:r w:rsidR="00514CEA" w:rsidRPr="00567B30">
        <w:rPr>
          <w:rFonts w:asciiTheme="minorHAnsi" w:hAnsiTheme="minorHAnsi"/>
          <w:color w:val="auto"/>
          <w:szCs w:val="24"/>
        </w:rPr>
        <w:t xml:space="preserve">ragment </w:t>
      </w:r>
      <w:r w:rsidR="003E3D16" w:rsidRPr="00567B30">
        <w:rPr>
          <w:rFonts w:asciiTheme="minorHAnsi" w:hAnsiTheme="minorHAnsi"/>
          <w:color w:val="auto"/>
          <w:szCs w:val="24"/>
        </w:rPr>
        <w:t>w</w:t>
      </w:r>
      <w:r w:rsidR="00514CEA" w:rsidRPr="00567B30">
        <w:rPr>
          <w:rFonts w:asciiTheme="minorHAnsi" w:hAnsiTheme="minorHAnsi"/>
          <w:color w:val="auto"/>
          <w:szCs w:val="24"/>
        </w:rPr>
        <w:t>ound</w:t>
      </w:r>
      <w:r w:rsidR="003E3D16" w:rsidRPr="00567B30">
        <w:rPr>
          <w:rFonts w:asciiTheme="minorHAnsi" w:hAnsiTheme="minorHAnsi"/>
          <w:color w:val="auto"/>
          <w:szCs w:val="24"/>
        </w:rPr>
        <w:t>s</w:t>
      </w:r>
      <w:r w:rsidR="00514CEA" w:rsidRPr="00567B30">
        <w:rPr>
          <w:rFonts w:asciiTheme="minorHAnsi" w:hAnsiTheme="minorHAnsi"/>
          <w:color w:val="auto"/>
          <w:szCs w:val="24"/>
        </w:rPr>
        <w:t xml:space="preserve"> to include </w:t>
      </w:r>
      <w:r w:rsidR="003E3D16" w:rsidRPr="00567B30">
        <w:rPr>
          <w:rFonts w:asciiTheme="minorHAnsi" w:hAnsiTheme="minorHAnsi"/>
          <w:color w:val="auto"/>
          <w:szCs w:val="24"/>
        </w:rPr>
        <w:t xml:space="preserve">Left Thigh, </w:t>
      </w:r>
      <w:r w:rsidR="003E3D16" w:rsidRPr="00567B30">
        <w:rPr>
          <w:rFonts w:asciiTheme="minorHAnsi" w:eastAsia="Calibri" w:hAnsiTheme="minorHAnsi"/>
          <w:color w:val="auto"/>
          <w:szCs w:val="24"/>
        </w:rPr>
        <w:t>Tinnitus</w:t>
      </w:r>
      <w:r w:rsidR="003E3D16" w:rsidRPr="00567B30">
        <w:rPr>
          <w:rFonts w:asciiTheme="minorHAnsi" w:hAnsiTheme="minorHAnsi"/>
          <w:color w:val="auto"/>
          <w:szCs w:val="24"/>
        </w:rPr>
        <w:t xml:space="preserve">, </w:t>
      </w:r>
      <w:r w:rsidR="003E3D16" w:rsidRPr="00567B30">
        <w:rPr>
          <w:rFonts w:asciiTheme="minorHAnsi" w:eastAsia="Calibri" w:hAnsiTheme="minorHAnsi"/>
          <w:color w:val="auto"/>
          <w:szCs w:val="24"/>
        </w:rPr>
        <w:t>Right Upper Extremity, Nose and Left Great Toe conditions</w:t>
      </w:r>
      <w:r w:rsidR="00514CEA" w:rsidRPr="00567B30">
        <w:rPr>
          <w:rFonts w:asciiTheme="minorHAnsi" w:eastAsia="Calibri" w:hAnsiTheme="minorHAnsi"/>
          <w:color w:val="auto"/>
          <w:szCs w:val="24"/>
        </w:rPr>
        <w:t xml:space="preserve">, </w:t>
      </w:r>
      <w:r w:rsidR="003E3D16" w:rsidRPr="00567B30">
        <w:rPr>
          <w:rFonts w:asciiTheme="minorHAnsi" w:eastAsia="Calibri" w:hAnsiTheme="minorHAnsi"/>
          <w:color w:val="auto"/>
          <w:szCs w:val="24"/>
        </w:rPr>
        <w:t>or any other medical conditions eligible for Board consideration; the Board unanimously agrees that it cannot recommend any findings of unfit for additional rating at separation.</w:t>
      </w:r>
    </w:p>
    <w:p w:rsidR="0057148D" w:rsidRPr="00567B30" w:rsidRDefault="0057148D" w:rsidP="0057148D">
      <w:pPr>
        <w:pBdr>
          <w:bottom w:val="single" w:sz="12" w:space="1" w:color="auto"/>
        </w:pBdr>
        <w:tabs>
          <w:tab w:val="left" w:pos="288"/>
          <w:tab w:val="left" w:pos="4752"/>
        </w:tabs>
        <w:spacing w:line="240" w:lineRule="exact"/>
        <w:jc w:val="both"/>
        <w:rPr>
          <w:rFonts w:asciiTheme="minorHAnsi" w:hAnsiTheme="minorHAnsi"/>
          <w:caps/>
          <w:color w:val="auto"/>
          <w:szCs w:val="24"/>
        </w:rPr>
      </w:pPr>
    </w:p>
    <w:p w:rsidR="00567B30" w:rsidRPr="00567B30" w:rsidRDefault="00567B30">
      <w:pPr>
        <w:rPr>
          <w:rFonts w:asciiTheme="minorHAnsi" w:hAnsiTheme="minorHAnsi"/>
          <w:color w:val="auto"/>
          <w:szCs w:val="24"/>
          <w:u w:val="single"/>
        </w:rPr>
      </w:pPr>
    </w:p>
    <w:p w:rsidR="00514CEA" w:rsidRPr="00567B30" w:rsidRDefault="00C56FC8" w:rsidP="005A73FC">
      <w:pPr>
        <w:spacing w:line="240" w:lineRule="exact"/>
        <w:jc w:val="both"/>
        <w:rPr>
          <w:rFonts w:asciiTheme="minorHAnsi" w:hAnsiTheme="minorHAnsi"/>
          <w:color w:val="auto"/>
          <w:szCs w:val="24"/>
        </w:rPr>
      </w:pPr>
      <w:r w:rsidRPr="00567B30">
        <w:rPr>
          <w:rFonts w:asciiTheme="minorHAnsi" w:hAnsiTheme="minorHAnsi"/>
          <w:color w:val="auto"/>
          <w:szCs w:val="24"/>
          <w:u w:val="single"/>
        </w:rPr>
        <w:t>RECOMMENDATION</w:t>
      </w:r>
      <w:r w:rsidRPr="00567B30">
        <w:rPr>
          <w:rFonts w:asciiTheme="minorHAnsi" w:hAnsiTheme="minorHAnsi"/>
          <w:color w:val="auto"/>
          <w:szCs w:val="24"/>
        </w:rPr>
        <w:t xml:space="preserve">: </w:t>
      </w:r>
      <w:r w:rsidR="00514CEA" w:rsidRPr="00567B30">
        <w:rPr>
          <w:rFonts w:asciiTheme="minorHAnsi" w:hAnsiTheme="minorHAnsi"/>
          <w:color w:val="auto"/>
          <w:szCs w:val="24"/>
        </w:rPr>
        <w:t>The Board recommends that the CI’s prior determination be modified as follows; TDRL at 50% for 6 months following CI’s prior medical separation (PTSD at minimum of 50% IAW §4.129 and DoD direction) and then a permanent combined 50% disability retirement as below.</w:t>
      </w:r>
    </w:p>
    <w:p w:rsidR="00DE45F3" w:rsidRPr="00567B30" w:rsidRDefault="00DE45F3" w:rsidP="00DE45F3">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514CEA" w:rsidRPr="00567B30" w:rsidTr="00B641F0">
        <w:trPr>
          <w:jc w:val="center"/>
        </w:trPr>
        <w:tc>
          <w:tcPr>
            <w:tcW w:w="4950" w:type="dxa"/>
            <w:shd w:val="clear" w:color="auto" w:fill="D9D9D9"/>
          </w:tcPr>
          <w:p w:rsidR="00514CEA" w:rsidRPr="00567B30" w:rsidRDefault="00514CEA" w:rsidP="00DE45F3">
            <w:pPr>
              <w:tabs>
                <w:tab w:val="left" w:pos="288"/>
                <w:tab w:val="left" w:pos="4752"/>
              </w:tabs>
              <w:spacing w:line="240" w:lineRule="exact"/>
              <w:jc w:val="both"/>
              <w:rPr>
                <w:rFonts w:asciiTheme="minorHAnsi" w:hAnsiTheme="minorHAnsi"/>
                <w:b/>
                <w:color w:val="auto"/>
                <w:szCs w:val="24"/>
              </w:rPr>
            </w:pPr>
            <w:r w:rsidRPr="00567B30">
              <w:rPr>
                <w:rFonts w:asciiTheme="minorHAnsi" w:hAnsiTheme="minorHAnsi"/>
                <w:b/>
                <w:color w:val="auto"/>
                <w:szCs w:val="24"/>
              </w:rPr>
              <w:t>UNFITTING CONDITION</w:t>
            </w:r>
          </w:p>
        </w:tc>
        <w:tc>
          <w:tcPr>
            <w:tcW w:w="1710" w:type="dxa"/>
            <w:shd w:val="clear" w:color="auto" w:fill="D9D9D9"/>
          </w:tcPr>
          <w:p w:rsidR="00514CEA" w:rsidRPr="00567B30" w:rsidRDefault="00514CEA" w:rsidP="00DE45F3">
            <w:pPr>
              <w:tabs>
                <w:tab w:val="left" w:pos="288"/>
                <w:tab w:val="left" w:pos="4752"/>
              </w:tabs>
              <w:spacing w:line="240" w:lineRule="exact"/>
              <w:jc w:val="both"/>
              <w:rPr>
                <w:rFonts w:asciiTheme="minorHAnsi" w:hAnsiTheme="minorHAnsi"/>
                <w:b/>
                <w:color w:val="auto"/>
                <w:szCs w:val="24"/>
              </w:rPr>
            </w:pPr>
            <w:r w:rsidRPr="00567B30">
              <w:rPr>
                <w:rFonts w:asciiTheme="minorHAnsi" w:hAnsiTheme="minorHAnsi"/>
                <w:b/>
                <w:color w:val="auto"/>
                <w:szCs w:val="24"/>
              </w:rPr>
              <w:t>VASRD CODE</w:t>
            </w:r>
          </w:p>
        </w:tc>
        <w:tc>
          <w:tcPr>
            <w:tcW w:w="1170" w:type="dxa"/>
            <w:shd w:val="clear" w:color="auto" w:fill="D9D9D9"/>
          </w:tcPr>
          <w:p w:rsidR="00514CEA" w:rsidRPr="00567B30" w:rsidRDefault="00514CEA" w:rsidP="00DE45F3">
            <w:pPr>
              <w:tabs>
                <w:tab w:val="left" w:pos="288"/>
                <w:tab w:val="left" w:pos="4752"/>
              </w:tabs>
              <w:spacing w:line="240" w:lineRule="exact"/>
              <w:jc w:val="both"/>
              <w:rPr>
                <w:rFonts w:asciiTheme="minorHAnsi" w:hAnsiTheme="minorHAnsi"/>
                <w:b/>
                <w:color w:val="auto"/>
                <w:szCs w:val="24"/>
              </w:rPr>
            </w:pPr>
            <w:r w:rsidRPr="00567B30">
              <w:rPr>
                <w:rFonts w:asciiTheme="minorHAnsi" w:hAnsiTheme="minorHAnsi"/>
                <w:b/>
                <w:color w:val="auto"/>
                <w:szCs w:val="24"/>
              </w:rPr>
              <w:t>TDRL RATING</w:t>
            </w:r>
          </w:p>
        </w:tc>
        <w:tc>
          <w:tcPr>
            <w:tcW w:w="1530" w:type="dxa"/>
            <w:shd w:val="pct15" w:color="auto" w:fill="auto"/>
          </w:tcPr>
          <w:p w:rsidR="00514CEA" w:rsidRPr="00567B30" w:rsidRDefault="00514CEA" w:rsidP="00DE45F3">
            <w:pPr>
              <w:tabs>
                <w:tab w:val="left" w:pos="288"/>
                <w:tab w:val="left" w:pos="4752"/>
              </w:tabs>
              <w:spacing w:line="240" w:lineRule="exact"/>
              <w:jc w:val="both"/>
              <w:rPr>
                <w:rFonts w:asciiTheme="minorHAnsi" w:hAnsiTheme="minorHAnsi"/>
                <w:b/>
                <w:color w:val="auto"/>
                <w:szCs w:val="24"/>
              </w:rPr>
            </w:pPr>
            <w:r w:rsidRPr="00567B30">
              <w:rPr>
                <w:rFonts w:asciiTheme="minorHAnsi" w:hAnsiTheme="minorHAnsi"/>
                <w:b/>
                <w:color w:val="auto"/>
                <w:szCs w:val="24"/>
              </w:rPr>
              <w:t>PERMANENT</w:t>
            </w:r>
          </w:p>
          <w:p w:rsidR="00514CEA" w:rsidRPr="00567B30" w:rsidRDefault="00514CEA" w:rsidP="00DE45F3">
            <w:pPr>
              <w:tabs>
                <w:tab w:val="left" w:pos="288"/>
                <w:tab w:val="left" w:pos="4752"/>
              </w:tabs>
              <w:spacing w:line="240" w:lineRule="exact"/>
              <w:jc w:val="both"/>
              <w:rPr>
                <w:rFonts w:asciiTheme="minorHAnsi" w:hAnsiTheme="minorHAnsi"/>
                <w:b/>
                <w:color w:val="auto"/>
                <w:szCs w:val="24"/>
              </w:rPr>
            </w:pPr>
            <w:r w:rsidRPr="00567B30">
              <w:rPr>
                <w:rFonts w:asciiTheme="minorHAnsi" w:hAnsiTheme="minorHAnsi"/>
                <w:b/>
                <w:color w:val="auto"/>
                <w:szCs w:val="24"/>
              </w:rPr>
              <w:t>RATING</w:t>
            </w:r>
          </w:p>
        </w:tc>
      </w:tr>
      <w:tr w:rsidR="00514CEA" w:rsidRPr="00567B30" w:rsidTr="00B641F0">
        <w:trPr>
          <w:trHeight w:val="305"/>
          <w:jc w:val="center"/>
        </w:trPr>
        <w:tc>
          <w:tcPr>
            <w:tcW w:w="4950" w:type="dxa"/>
          </w:tcPr>
          <w:p w:rsidR="00514CEA" w:rsidRPr="00567B30" w:rsidRDefault="00514CEA" w:rsidP="009B61BD">
            <w:pPr>
              <w:tabs>
                <w:tab w:val="left" w:pos="288"/>
                <w:tab w:val="left" w:pos="4752"/>
              </w:tabs>
              <w:spacing w:line="240" w:lineRule="exact"/>
              <w:jc w:val="both"/>
              <w:rPr>
                <w:rFonts w:asciiTheme="minorHAnsi" w:hAnsiTheme="minorHAnsi"/>
                <w:color w:val="auto"/>
                <w:szCs w:val="24"/>
              </w:rPr>
            </w:pPr>
            <w:r w:rsidRPr="00567B30">
              <w:rPr>
                <w:rFonts w:asciiTheme="minorHAnsi" w:hAnsiTheme="minorHAnsi"/>
                <w:color w:val="auto"/>
                <w:szCs w:val="24"/>
              </w:rPr>
              <w:t>Post</w:t>
            </w:r>
            <w:r w:rsidR="009B61BD">
              <w:rPr>
                <w:rFonts w:asciiTheme="minorHAnsi" w:hAnsiTheme="minorHAnsi"/>
                <w:color w:val="auto"/>
                <w:szCs w:val="24"/>
              </w:rPr>
              <w:t>t</w:t>
            </w:r>
            <w:r w:rsidRPr="00567B30">
              <w:rPr>
                <w:rFonts w:asciiTheme="minorHAnsi" w:hAnsiTheme="minorHAnsi"/>
                <w:color w:val="auto"/>
                <w:szCs w:val="24"/>
              </w:rPr>
              <w:t>raumatic Stress Disorder</w:t>
            </w:r>
          </w:p>
        </w:tc>
        <w:tc>
          <w:tcPr>
            <w:tcW w:w="1710" w:type="dxa"/>
            <w:tcBorders>
              <w:bottom w:val="single" w:sz="4" w:space="0" w:color="000000"/>
            </w:tcBorders>
          </w:tcPr>
          <w:p w:rsidR="00514CEA" w:rsidRPr="00567B30" w:rsidRDefault="00514CEA" w:rsidP="00B641F0">
            <w:pPr>
              <w:tabs>
                <w:tab w:val="left" w:pos="288"/>
                <w:tab w:val="left" w:pos="4752"/>
              </w:tabs>
              <w:spacing w:line="240" w:lineRule="exact"/>
              <w:jc w:val="center"/>
              <w:rPr>
                <w:rFonts w:asciiTheme="minorHAnsi" w:hAnsiTheme="minorHAnsi"/>
                <w:color w:val="auto"/>
                <w:szCs w:val="24"/>
              </w:rPr>
            </w:pPr>
            <w:r w:rsidRPr="00567B30">
              <w:rPr>
                <w:rFonts w:asciiTheme="minorHAnsi" w:hAnsiTheme="minorHAnsi"/>
                <w:color w:val="auto"/>
                <w:szCs w:val="24"/>
              </w:rPr>
              <w:t>9411</w:t>
            </w:r>
          </w:p>
        </w:tc>
        <w:tc>
          <w:tcPr>
            <w:tcW w:w="1170" w:type="dxa"/>
            <w:tcBorders>
              <w:bottom w:val="single" w:sz="4" w:space="0" w:color="000000"/>
            </w:tcBorders>
          </w:tcPr>
          <w:p w:rsidR="00514CEA" w:rsidRPr="00567B30" w:rsidRDefault="00514CEA" w:rsidP="00B641F0">
            <w:pPr>
              <w:tabs>
                <w:tab w:val="left" w:pos="288"/>
                <w:tab w:val="left" w:pos="4752"/>
              </w:tabs>
              <w:spacing w:line="240" w:lineRule="exact"/>
              <w:jc w:val="center"/>
              <w:rPr>
                <w:rFonts w:asciiTheme="minorHAnsi" w:hAnsiTheme="minorHAnsi"/>
                <w:color w:val="auto"/>
                <w:szCs w:val="24"/>
              </w:rPr>
            </w:pPr>
            <w:r w:rsidRPr="00567B30">
              <w:rPr>
                <w:rFonts w:asciiTheme="minorHAnsi" w:hAnsiTheme="minorHAnsi"/>
                <w:color w:val="auto"/>
                <w:szCs w:val="24"/>
              </w:rPr>
              <w:t>50%</w:t>
            </w:r>
          </w:p>
        </w:tc>
        <w:tc>
          <w:tcPr>
            <w:tcW w:w="1530" w:type="dxa"/>
            <w:tcBorders>
              <w:bottom w:val="single" w:sz="4" w:space="0" w:color="000000"/>
            </w:tcBorders>
          </w:tcPr>
          <w:p w:rsidR="00514CEA" w:rsidRPr="00567B30" w:rsidRDefault="00514CEA" w:rsidP="00B641F0">
            <w:pPr>
              <w:tabs>
                <w:tab w:val="left" w:pos="288"/>
                <w:tab w:val="left" w:pos="4752"/>
              </w:tabs>
              <w:spacing w:line="240" w:lineRule="exact"/>
              <w:jc w:val="center"/>
              <w:rPr>
                <w:rFonts w:asciiTheme="minorHAnsi" w:hAnsiTheme="minorHAnsi"/>
                <w:color w:val="auto"/>
                <w:szCs w:val="24"/>
              </w:rPr>
            </w:pPr>
            <w:r w:rsidRPr="00567B30">
              <w:rPr>
                <w:rFonts w:asciiTheme="minorHAnsi" w:hAnsiTheme="minorHAnsi"/>
                <w:color w:val="auto"/>
                <w:szCs w:val="24"/>
              </w:rPr>
              <w:t>50%</w:t>
            </w:r>
          </w:p>
        </w:tc>
      </w:tr>
      <w:tr w:rsidR="00514CEA" w:rsidRPr="00567B30" w:rsidTr="00B641F0">
        <w:tblPrEx>
          <w:tblLook w:val="0000"/>
        </w:tblPrEx>
        <w:trPr>
          <w:gridBefore w:val="1"/>
          <w:wBefore w:w="4950" w:type="dxa"/>
          <w:trHeight w:val="350"/>
          <w:jc w:val="center"/>
        </w:trPr>
        <w:tc>
          <w:tcPr>
            <w:tcW w:w="1710" w:type="dxa"/>
            <w:tcBorders>
              <w:left w:val="single" w:sz="4" w:space="0" w:color="auto"/>
            </w:tcBorders>
            <w:shd w:val="pct15" w:color="auto" w:fill="auto"/>
          </w:tcPr>
          <w:p w:rsidR="00514CEA" w:rsidRPr="00567B30" w:rsidRDefault="00514CEA" w:rsidP="00B641F0">
            <w:pPr>
              <w:tabs>
                <w:tab w:val="left" w:pos="288"/>
                <w:tab w:val="left" w:pos="4752"/>
              </w:tabs>
              <w:spacing w:line="240" w:lineRule="exact"/>
              <w:jc w:val="center"/>
              <w:rPr>
                <w:rFonts w:asciiTheme="minorHAnsi" w:hAnsiTheme="minorHAnsi"/>
                <w:b/>
                <w:color w:val="auto"/>
                <w:szCs w:val="24"/>
              </w:rPr>
            </w:pPr>
            <w:r w:rsidRPr="00567B30">
              <w:rPr>
                <w:rFonts w:asciiTheme="minorHAnsi" w:hAnsiTheme="minorHAnsi"/>
                <w:b/>
                <w:color w:val="auto"/>
                <w:szCs w:val="24"/>
              </w:rPr>
              <w:t>COMBINED</w:t>
            </w:r>
          </w:p>
        </w:tc>
        <w:tc>
          <w:tcPr>
            <w:tcW w:w="1170" w:type="dxa"/>
            <w:tcBorders>
              <w:left w:val="single" w:sz="4" w:space="0" w:color="auto"/>
            </w:tcBorders>
            <w:shd w:val="pct15" w:color="auto" w:fill="auto"/>
          </w:tcPr>
          <w:p w:rsidR="00514CEA" w:rsidRPr="00567B30" w:rsidRDefault="00514CEA" w:rsidP="00B641F0">
            <w:pPr>
              <w:tabs>
                <w:tab w:val="left" w:pos="288"/>
                <w:tab w:val="left" w:pos="4752"/>
              </w:tabs>
              <w:spacing w:line="240" w:lineRule="exact"/>
              <w:jc w:val="center"/>
              <w:rPr>
                <w:rFonts w:asciiTheme="minorHAnsi" w:hAnsiTheme="minorHAnsi"/>
                <w:b/>
                <w:color w:val="auto"/>
                <w:szCs w:val="24"/>
              </w:rPr>
            </w:pPr>
            <w:r w:rsidRPr="00567B30">
              <w:rPr>
                <w:rFonts w:asciiTheme="minorHAnsi" w:hAnsiTheme="minorHAnsi"/>
                <w:b/>
                <w:color w:val="auto"/>
                <w:szCs w:val="24"/>
              </w:rPr>
              <w:t>50%</w:t>
            </w:r>
          </w:p>
        </w:tc>
        <w:tc>
          <w:tcPr>
            <w:tcW w:w="1530" w:type="dxa"/>
            <w:shd w:val="pct15" w:color="auto" w:fill="auto"/>
          </w:tcPr>
          <w:p w:rsidR="00514CEA" w:rsidRPr="00567B30" w:rsidRDefault="00514CEA" w:rsidP="00B641F0">
            <w:pPr>
              <w:tabs>
                <w:tab w:val="left" w:pos="288"/>
                <w:tab w:val="left" w:pos="4752"/>
              </w:tabs>
              <w:spacing w:line="240" w:lineRule="exact"/>
              <w:jc w:val="center"/>
              <w:rPr>
                <w:rFonts w:asciiTheme="minorHAnsi" w:hAnsiTheme="minorHAnsi"/>
                <w:b/>
                <w:color w:val="auto"/>
                <w:szCs w:val="24"/>
              </w:rPr>
            </w:pPr>
            <w:r w:rsidRPr="00567B30">
              <w:rPr>
                <w:rFonts w:asciiTheme="minorHAnsi" w:hAnsiTheme="minorHAnsi"/>
                <w:b/>
                <w:color w:val="auto"/>
                <w:szCs w:val="24"/>
              </w:rPr>
              <w:t>50%</w:t>
            </w:r>
          </w:p>
        </w:tc>
      </w:tr>
    </w:tbl>
    <w:p w:rsidR="0057148D" w:rsidRPr="00567B30" w:rsidRDefault="0057148D" w:rsidP="0057148D">
      <w:pPr>
        <w:pBdr>
          <w:bottom w:val="single" w:sz="12" w:space="1" w:color="auto"/>
        </w:pBdr>
        <w:tabs>
          <w:tab w:val="left" w:pos="288"/>
          <w:tab w:val="left" w:pos="4752"/>
        </w:tabs>
        <w:spacing w:line="240" w:lineRule="exact"/>
        <w:jc w:val="both"/>
        <w:rPr>
          <w:rFonts w:asciiTheme="minorHAnsi" w:hAnsiTheme="minorHAnsi"/>
          <w:caps/>
          <w:color w:val="auto"/>
          <w:szCs w:val="24"/>
        </w:rPr>
      </w:pPr>
    </w:p>
    <w:p w:rsidR="0057148D" w:rsidRPr="00567B30" w:rsidRDefault="0057148D" w:rsidP="0057148D">
      <w:pPr>
        <w:rPr>
          <w:rFonts w:asciiTheme="minorHAnsi" w:hAnsiTheme="minorHAnsi"/>
          <w:color w:val="auto"/>
          <w:szCs w:val="24"/>
          <w:u w:val="single"/>
        </w:rPr>
      </w:pPr>
    </w:p>
    <w:p w:rsidR="00D91DA6" w:rsidRPr="00567B30" w:rsidRDefault="00114F20" w:rsidP="00190E48">
      <w:pPr>
        <w:tabs>
          <w:tab w:val="left" w:pos="288"/>
          <w:tab w:val="left" w:pos="4752"/>
        </w:tabs>
        <w:spacing w:line="240" w:lineRule="exact"/>
        <w:jc w:val="both"/>
        <w:rPr>
          <w:rFonts w:asciiTheme="minorHAnsi" w:hAnsiTheme="minorHAnsi"/>
          <w:color w:val="auto"/>
          <w:szCs w:val="24"/>
        </w:rPr>
      </w:pPr>
      <w:r w:rsidRPr="00567B30">
        <w:rPr>
          <w:rFonts w:asciiTheme="minorHAnsi" w:hAnsiTheme="minorHAnsi"/>
          <w:color w:val="auto"/>
          <w:szCs w:val="24"/>
        </w:rPr>
        <w:t>The following documentary evidence was considered:</w:t>
      </w:r>
    </w:p>
    <w:p w:rsidR="00EB5EFD" w:rsidRPr="00567B30" w:rsidRDefault="00EB5EFD" w:rsidP="00190E48">
      <w:pPr>
        <w:tabs>
          <w:tab w:val="left" w:pos="288"/>
          <w:tab w:val="left" w:pos="4752"/>
        </w:tabs>
        <w:spacing w:line="240" w:lineRule="exact"/>
        <w:jc w:val="both"/>
        <w:rPr>
          <w:rFonts w:asciiTheme="minorHAnsi" w:hAnsiTheme="minorHAnsi"/>
          <w:color w:val="auto"/>
          <w:szCs w:val="24"/>
        </w:rPr>
      </w:pPr>
    </w:p>
    <w:p w:rsidR="00114F20" w:rsidRPr="00567B30" w:rsidRDefault="0051146C" w:rsidP="00190E48">
      <w:pPr>
        <w:tabs>
          <w:tab w:val="left" w:pos="288"/>
          <w:tab w:val="left" w:pos="4752"/>
        </w:tabs>
        <w:spacing w:line="240" w:lineRule="exact"/>
        <w:jc w:val="both"/>
        <w:rPr>
          <w:rFonts w:asciiTheme="minorHAnsi" w:hAnsiTheme="minorHAnsi"/>
          <w:color w:val="auto"/>
          <w:szCs w:val="24"/>
        </w:rPr>
      </w:pPr>
      <w:r w:rsidRPr="00567B30">
        <w:rPr>
          <w:rFonts w:asciiTheme="minorHAnsi" w:hAnsiTheme="minorHAnsi"/>
          <w:color w:val="auto"/>
          <w:szCs w:val="24"/>
        </w:rPr>
        <w:t xml:space="preserve">Exhibit A.  DD Form 294, dated </w:t>
      </w:r>
      <w:r w:rsidR="0019273F" w:rsidRPr="00567B30">
        <w:rPr>
          <w:rFonts w:asciiTheme="minorHAnsi" w:hAnsiTheme="minorHAnsi"/>
          <w:color w:val="auto"/>
          <w:szCs w:val="24"/>
        </w:rPr>
        <w:t>20</w:t>
      </w:r>
      <w:r w:rsidR="004866E6" w:rsidRPr="00567B30">
        <w:rPr>
          <w:rFonts w:asciiTheme="minorHAnsi" w:hAnsiTheme="minorHAnsi"/>
          <w:color w:val="auto"/>
          <w:szCs w:val="24"/>
        </w:rPr>
        <w:t>100610</w:t>
      </w:r>
      <w:r w:rsidR="00114F20" w:rsidRPr="00567B30">
        <w:rPr>
          <w:rFonts w:asciiTheme="minorHAnsi" w:hAnsiTheme="minorHAnsi"/>
          <w:color w:val="auto"/>
          <w:szCs w:val="24"/>
        </w:rPr>
        <w:t>, w/</w:t>
      </w:r>
      <w:proofErr w:type="spellStart"/>
      <w:r w:rsidR="00114F20" w:rsidRPr="00567B30">
        <w:rPr>
          <w:rFonts w:asciiTheme="minorHAnsi" w:hAnsiTheme="minorHAnsi"/>
          <w:color w:val="auto"/>
          <w:szCs w:val="24"/>
        </w:rPr>
        <w:t>atchs</w:t>
      </w:r>
      <w:proofErr w:type="spellEnd"/>
      <w:r w:rsidR="00114F20" w:rsidRPr="00567B30">
        <w:rPr>
          <w:rFonts w:asciiTheme="minorHAnsi" w:hAnsiTheme="minorHAnsi"/>
          <w:color w:val="auto"/>
          <w:szCs w:val="24"/>
        </w:rPr>
        <w:t>.</w:t>
      </w:r>
    </w:p>
    <w:p w:rsidR="00114F20" w:rsidRPr="00567B30" w:rsidRDefault="00114F20" w:rsidP="00190E48">
      <w:pPr>
        <w:tabs>
          <w:tab w:val="left" w:pos="288"/>
          <w:tab w:val="left" w:pos="4752"/>
        </w:tabs>
        <w:spacing w:line="240" w:lineRule="exact"/>
        <w:jc w:val="both"/>
        <w:rPr>
          <w:rFonts w:asciiTheme="minorHAnsi" w:hAnsiTheme="minorHAnsi"/>
          <w:color w:val="auto"/>
          <w:szCs w:val="24"/>
        </w:rPr>
      </w:pPr>
      <w:r w:rsidRPr="00567B30">
        <w:rPr>
          <w:rFonts w:asciiTheme="minorHAnsi" w:hAnsiTheme="minorHAnsi"/>
          <w:color w:val="auto"/>
          <w:szCs w:val="24"/>
        </w:rPr>
        <w:t>Exhibit B.  Service Treatment Record.</w:t>
      </w:r>
    </w:p>
    <w:p w:rsidR="00114F20" w:rsidRPr="00567B30" w:rsidRDefault="00114F20" w:rsidP="00190E48">
      <w:pPr>
        <w:tabs>
          <w:tab w:val="left" w:pos="288"/>
          <w:tab w:val="left" w:pos="4752"/>
        </w:tabs>
        <w:spacing w:line="240" w:lineRule="exact"/>
        <w:jc w:val="both"/>
        <w:rPr>
          <w:rFonts w:asciiTheme="minorHAnsi" w:hAnsiTheme="minorHAnsi"/>
          <w:color w:val="auto"/>
          <w:szCs w:val="24"/>
        </w:rPr>
      </w:pPr>
      <w:r w:rsidRPr="00567B30">
        <w:rPr>
          <w:rFonts w:asciiTheme="minorHAnsi" w:hAnsiTheme="minorHAnsi"/>
          <w:color w:val="auto"/>
          <w:szCs w:val="24"/>
        </w:rPr>
        <w:t>Exhibit C.  Department of Veterans</w:t>
      </w:r>
      <w:r w:rsidR="00385D6F" w:rsidRPr="00567B30">
        <w:rPr>
          <w:rFonts w:asciiTheme="minorHAnsi" w:hAnsiTheme="minorHAnsi"/>
          <w:color w:val="auto"/>
          <w:szCs w:val="24"/>
        </w:rPr>
        <w:t>'</w:t>
      </w:r>
      <w:r w:rsidRPr="00567B30">
        <w:rPr>
          <w:rFonts w:asciiTheme="minorHAnsi" w:hAnsiTheme="minorHAnsi"/>
          <w:color w:val="auto"/>
          <w:szCs w:val="24"/>
        </w:rPr>
        <w:t xml:space="preserve"> Affairs Treatment Record.</w:t>
      </w:r>
    </w:p>
    <w:p w:rsidR="00D91DA6" w:rsidRPr="00567B30" w:rsidRDefault="00D91DA6" w:rsidP="00190E48">
      <w:pPr>
        <w:tabs>
          <w:tab w:val="left" w:pos="288"/>
          <w:tab w:val="left" w:pos="4752"/>
        </w:tabs>
        <w:spacing w:line="240" w:lineRule="exact"/>
        <w:jc w:val="both"/>
        <w:rPr>
          <w:rFonts w:asciiTheme="minorHAnsi" w:hAnsiTheme="minorHAnsi"/>
          <w:color w:val="auto"/>
          <w:szCs w:val="24"/>
        </w:rPr>
      </w:pPr>
    </w:p>
    <w:p w:rsidR="00567B30" w:rsidRPr="00567B30" w:rsidRDefault="00567B30" w:rsidP="00190E48">
      <w:pPr>
        <w:tabs>
          <w:tab w:val="left" w:pos="288"/>
          <w:tab w:val="left" w:pos="4752"/>
        </w:tabs>
        <w:spacing w:line="240" w:lineRule="exact"/>
        <w:jc w:val="both"/>
        <w:rPr>
          <w:rFonts w:asciiTheme="minorHAnsi" w:hAnsiTheme="minorHAnsi"/>
          <w:color w:val="auto"/>
          <w:szCs w:val="24"/>
        </w:rPr>
      </w:pPr>
    </w:p>
    <w:p w:rsidR="00567B30" w:rsidRPr="00567B30" w:rsidRDefault="00567B30" w:rsidP="00190E48">
      <w:pPr>
        <w:tabs>
          <w:tab w:val="left" w:pos="288"/>
          <w:tab w:val="left" w:pos="4752"/>
        </w:tabs>
        <w:spacing w:line="240" w:lineRule="exact"/>
        <w:jc w:val="both"/>
        <w:rPr>
          <w:rFonts w:asciiTheme="minorHAnsi" w:hAnsiTheme="minorHAnsi"/>
          <w:color w:val="auto"/>
          <w:szCs w:val="24"/>
        </w:rPr>
      </w:pPr>
    </w:p>
    <w:p w:rsidR="00567B30" w:rsidRPr="00567B30" w:rsidRDefault="00567B30" w:rsidP="00190E48">
      <w:pPr>
        <w:tabs>
          <w:tab w:val="left" w:pos="288"/>
          <w:tab w:val="left" w:pos="4752"/>
        </w:tabs>
        <w:spacing w:line="240" w:lineRule="exact"/>
        <w:jc w:val="both"/>
        <w:rPr>
          <w:rFonts w:asciiTheme="minorHAnsi" w:hAnsiTheme="minorHAnsi"/>
          <w:color w:val="auto"/>
          <w:szCs w:val="24"/>
        </w:rPr>
      </w:pPr>
    </w:p>
    <w:p w:rsidR="00D91DA6" w:rsidRPr="00567B30" w:rsidRDefault="00C30A97" w:rsidP="00190E48">
      <w:pPr>
        <w:tabs>
          <w:tab w:val="left" w:pos="0"/>
          <w:tab w:val="left" w:pos="4320"/>
        </w:tabs>
        <w:spacing w:line="240" w:lineRule="exact"/>
        <w:jc w:val="both"/>
        <w:rPr>
          <w:rFonts w:asciiTheme="minorHAnsi" w:hAnsiTheme="minorHAnsi"/>
          <w:color w:val="auto"/>
          <w:szCs w:val="24"/>
        </w:rPr>
      </w:pPr>
      <w:r w:rsidRPr="00567B30">
        <w:rPr>
          <w:rFonts w:asciiTheme="minorHAnsi" w:hAnsiTheme="minorHAnsi"/>
          <w:color w:val="auto"/>
          <w:szCs w:val="24"/>
        </w:rPr>
        <w:t xml:space="preserve">                             </w:t>
      </w:r>
      <w:r w:rsidR="0085089F" w:rsidRPr="00567B30">
        <w:rPr>
          <w:rFonts w:asciiTheme="minorHAnsi" w:hAnsiTheme="minorHAnsi"/>
          <w:color w:val="auto"/>
          <w:szCs w:val="24"/>
        </w:rPr>
        <w:tab/>
      </w:r>
      <w:r w:rsidR="0085089F" w:rsidRPr="00567B30">
        <w:rPr>
          <w:rFonts w:asciiTheme="minorHAnsi" w:hAnsiTheme="minorHAnsi"/>
          <w:color w:val="auto"/>
          <w:szCs w:val="24"/>
        </w:rPr>
        <w:tab/>
      </w:r>
      <w:r w:rsidR="00F57120">
        <w:rPr>
          <w:rFonts w:asciiTheme="minorHAnsi" w:hAnsiTheme="minorHAnsi"/>
          <w:color w:val="auto"/>
          <w:szCs w:val="24"/>
        </w:rPr>
        <w:t>Deputy Director</w:t>
      </w:r>
    </w:p>
    <w:p w:rsidR="00B522CD" w:rsidRDefault="00C30A97"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szCs w:val="24"/>
        </w:rPr>
      </w:pPr>
      <w:r w:rsidRPr="00567B30">
        <w:rPr>
          <w:rFonts w:asciiTheme="minorHAnsi" w:hAnsiTheme="minorHAnsi"/>
          <w:color w:val="auto"/>
          <w:szCs w:val="24"/>
        </w:rPr>
        <w:tab/>
        <w:t xml:space="preserve">                           </w:t>
      </w:r>
      <w:r w:rsidR="0085089F" w:rsidRPr="00567B30">
        <w:rPr>
          <w:rFonts w:asciiTheme="minorHAnsi" w:hAnsiTheme="minorHAnsi"/>
          <w:color w:val="auto"/>
          <w:szCs w:val="24"/>
        </w:rPr>
        <w:tab/>
      </w:r>
      <w:r w:rsidR="0085089F" w:rsidRPr="00567B30">
        <w:rPr>
          <w:rFonts w:asciiTheme="minorHAnsi" w:hAnsiTheme="minorHAnsi"/>
          <w:color w:val="auto"/>
          <w:szCs w:val="24"/>
        </w:rPr>
        <w:tab/>
      </w:r>
      <w:r w:rsidR="0085089F" w:rsidRPr="00567B30">
        <w:rPr>
          <w:rFonts w:asciiTheme="minorHAnsi" w:hAnsiTheme="minorHAnsi"/>
          <w:color w:val="auto"/>
          <w:szCs w:val="24"/>
        </w:rPr>
        <w:tab/>
      </w:r>
      <w:r w:rsidR="0085089F" w:rsidRPr="00567B30">
        <w:rPr>
          <w:rFonts w:asciiTheme="minorHAnsi" w:hAnsiTheme="minorHAnsi"/>
          <w:color w:val="auto"/>
          <w:szCs w:val="24"/>
        </w:rPr>
        <w:tab/>
      </w:r>
      <w:r w:rsidR="0085089F" w:rsidRPr="00567B30">
        <w:rPr>
          <w:rFonts w:asciiTheme="minorHAnsi" w:hAnsiTheme="minorHAnsi"/>
          <w:color w:val="auto"/>
          <w:szCs w:val="24"/>
        </w:rPr>
        <w:tab/>
      </w:r>
      <w:r w:rsidR="00D91DA6" w:rsidRPr="00567B30">
        <w:rPr>
          <w:rFonts w:asciiTheme="minorHAnsi" w:hAnsiTheme="minorHAnsi"/>
          <w:color w:val="auto"/>
          <w:szCs w:val="24"/>
        </w:rPr>
        <w:t>Physical Disability Board of Review</w:t>
      </w:r>
    </w:p>
    <w:p w:rsidR="00632628" w:rsidRDefault="00632628">
      <w:pPr>
        <w:rPr>
          <w:rFonts w:asciiTheme="minorHAnsi" w:hAnsiTheme="minorHAnsi"/>
          <w:color w:val="auto"/>
          <w:sz w:val="20"/>
        </w:rPr>
      </w:pPr>
      <w:r>
        <w:rPr>
          <w:rFonts w:asciiTheme="minorHAnsi" w:hAnsiTheme="minorHAnsi"/>
          <w:color w:val="auto"/>
          <w:sz w:val="20"/>
        </w:rPr>
        <w:br w:type="page"/>
      </w:r>
    </w:p>
    <w:p w:rsidR="00AE3DED" w:rsidRPr="00AE3DED" w:rsidRDefault="00AE3DED"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sz w:val="20"/>
        </w:rPr>
      </w:pPr>
    </w:p>
    <w:p w:rsidR="00AE3DED" w:rsidRPr="00AE3DED" w:rsidRDefault="00AE3DED" w:rsidP="00AE3DED">
      <w:pPr>
        <w:rPr>
          <w:color w:val="auto"/>
          <w:sz w:val="20"/>
        </w:rPr>
      </w:pPr>
      <w:r w:rsidRPr="00AE3DED">
        <w:rPr>
          <w:color w:val="auto"/>
          <w:sz w:val="20"/>
        </w:rPr>
        <w:t>MEMORANDUM FOR DEPUTY COMMANDANT, MANPOWER &amp; RESERVE AFFAIRS</w:t>
      </w:r>
    </w:p>
    <w:p w:rsidR="00AE3DED" w:rsidRPr="00AE3DED" w:rsidRDefault="00AE3DED" w:rsidP="00AE3DED">
      <w:pPr>
        <w:rPr>
          <w:color w:val="auto"/>
          <w:sz w:val="20"/>
        </w:rPr>
      </w:pPr>
    </w:p>
    <w:p w:rsidR="00AE3DED" w:rsidRPr="00AE3DED" w:rsidRDefault="00AE3DED" w:rsidP="00AE3DED">
      <w:pPr>
        <w:rPr>
          <w:color w:val="auto"/>
          <w:sz w:val="20"/>
        </w:rPr>
      </w:pPr>
      <w:proofErr w:type="spellStart"/>
      <w:r w:rsidRPr="00AE3DED">
        <w:rPr>
          <w:color w:val="auto"/>
          <w:sz w:val="20"/>
        </w:rPr>
        <w:t>Subj</w:t>
      </w:r>
      <w:proofErr w:type="spellEnd"/>
      <w:r w:rsidRPr="00AE3DED">
        <w:rPr>
          <w:color w:val="auto"/>
          <w:sz w:val="20"/>
        </w:rPr>
        <w:t>:  PHYSICAL DISABILITY BOARD OF REVIEW (PDBR) RECOMMENDATION</w:t>
      </w:r>
    </w:p>
    <w:p w:rsidR="00AE3DED" w:rsidRPr="00AE3DED" w:rsidRDefault="00AE3DED" w:rsidP="00AE3DED">
      <w:pPr>
        <w:tabs>
          <w:tab w:val="left" w:pos="630"/>
        </w:tabs>
        <w:rPr>
          <w:color w:val="auto"/>
          <w:sz w:val="20"/>
        </w:rPr>
      </w:pPr>
      <w:r w:rsidRPr="00AE3DED">
        <w:rPr>
          <w:color w:val="auto"/>
          <w:sz w:val="20"/>
        </w:rPr>
        <w:t xml:space="preserve">          </w:t>
      </w:r>
      <w:r w:rsidRPr="00AE3DED">
        <w:rPr>
          <w:color w:val="auto"/>
          <w:sz w:val="20"/>
        </w:rPr>
        <w:tab/>
        <w:t xml:space="preserve">ICO </w:t>
      </w:r>
      <w:r>
        <w:rPr>
          <w:color w:val="auto"/>
          <w:sz w:val="20"/>
        </w:rPr>
        <w:t>XXXX</w:t>
      </w:r>
      <w:r w:rsidRPr="00AE3DED">
        <w:rPr>
          <w:color w:val="auto"/>
          <w:sz w:val="20"/>
        </w:rPr>
        <w:t xml:space="preserve">, FORMER USMC, XXX XX </w:t>
      </w:r>
      <w:r>
        <w:rPr>
          <w:color w:val="auto"/>
          <w:sz w:val="20"/>
        </w:rPr>
        <w:t>XXXX</w:t>
      </w:r>
    </w:p>
    <w:p w:rsidR="00AE3DED" w:rsidRPr="00AE3DED" w:rsidRDefault="00AE3DED" w:rsidP="00AE3DED">
      <w:pPr>
        <w:rPr>
          <w:color w:val="auto"/>
          <w:sz w:val="20"/>
        </w:rPr>
      </w:pPr>
    </w:p>
    <w:p w:rsidR="00AE3DED" w:rsidRPr="00AE3DED" w:rsidRDefault="00AE3DED" w:rsidP="00AE3DED">
      <w:pPr>
        <w:rPr>
          <w:color w:val="auto"/>
          <w:sz w:val="20"/>
        </w:rPr>
      </w:pPr>
      <w:r w:rsidRPr="00AE3DED">
        <w:rPr>
          <w:color w:val="auto"/>
          <w:sz w:val="20"/>
        </w:rPr>
        <w:t>Ref:   (a) DoDI 6040.44</w:t>
      </w:r>
    </w:p>
    <w:p w:rsidR="00AE3DED" w:rsidRPr="00AE3DED" w:rsidRDefault="00AE3DED" w:rsidP="00AE3DED">
      <w:pPr>
        <w:rPr>
          <w:color w:val="auto"/>
          <w:sz w:val="20"/>
        </w:rPr>
      </w:pPr>
    </w:p>
    <w:p w:rsidR="00AE3DED" w:rsidRPr="00AE3DED" w:rsidRDefault="00AE3DED" w:rsidP="00AE3DED">
      <w:pPr>
        <w:rPr>
          <w:color w:val="auto"/>
          <w:sz w:val="20"/>
        </w:rPr>
      </w:pPr>
      <w:r w:rsidRPr="00AE3DED">
        <w:rPr>
          <w:color w:val="auto"/>
          <w:sz w:val="20"/>
        </w:rPr>
        <w:t>1.  I have reviewed the subject case pursuant to reference (a).  The subject member’s official records are to be corrected to reflect the following retroactive disposition:</w:t>
      </w:r>
    </w:p>
    <w:p w:rsidR="00AE3DED" w:rsidRPr="00AE3DED" w:rsidRDefault="00AE3DED" w:rsidP="00AE3DED">
      <w:pPr>
        <w:rPr>
          <w:color w:val="auto"/>
          <w:sz w:val="20"/>
        </w:rPr>
      </w:pPr>
    </w:p>
    <w:p w:rsidR="00AE3DED" w:rsidRPr="00AE3DED" w:rsidRDefault="00AE3DED" w:rsidP="00AE3DED">
      <w:pPr>
        <w:rPr>
          <w:color w:val="auto"/>
          <w:sz w:val="20"/>
        </w:rPr>
      </w:pPr>
      <w:r w:rsidRPr="00AE3DED">
        <w:rPr>
          <w:color w:val="auto"/>
          <w:sz w:val="20"/>
        </w:rPr>
        <w:tab/>
        <w:t>a. Separation from the naval service due to physical disability with placement on the Temporary Disability Retired List with a disability rating of 50 percent                                                                                                                                           for the period 15 September 2007 thru 14 March 2008.</w:t>
      </w:r>
    </w:p>
    <w:p w:rsidR="00AE3DED" w:rsidRPr="00AE3DED" w:rsidRDefault="00AE3DED" w:rsidP="00AE3DED">
      <w:pPr>
        <w:rPr>
          <w:color w:val="auto"/>
          <w:sz w:val="20"/>
        </w:rPr>
      </w:pPr>
    </w:p>
    <w:p w:rsidR="00AE3DED" w:rsidRPr="00AE3DED" w:rsidRDefault="00AE3DED" w:rsidP="00AE3DED">
      <w:pPr>
        <w:rPr>
          <w:color w:val="auto"/>
          <w:sz w:val="20"/>
        </w:rPr>
      </w:pPr>
      <w:r w:rsidRPr="00AE3DED">
        <w:rPr>
          <w:color w:val="auto"/>
          <w:sz w:val="20"/>
        </w:rPr>
        <w:tab/>
        <w:t xml:space="preserve">b. Final separation from naval service due to physical disability effective 15 March 2008 with a disability rating of 10 percent with entitlement to disability </w:t>
      </w:r>
      <w:proofErr w:type="gramStart"/>
      <w:r w:rsidRPr="00AE3DED">
        <w:rPr>
          <w:color w:val="auto"/>
          <w:sz w:val="20"/>
        </w:rPr>
        <w:t>severance pay</w:t>
      </w:r>
      <w:proofErr w:type="gramEnd"/>
      <w:r w:rsidRPr="00AE3DED">
        <w:rPr>
          <w:color w:val="auto"/>
          <w:sz w:val="20"/>
        </w:rPr>
        <w:t>.</w:t>
      </w:r>
    </w:p>
    <w:p w:rsidR="00AE3DED" w:rsidRPr="00AE3DED" w:rsidRDefault="00AE3DED" w:rsidP="00AE3DED">
      <w:pPr>
        <w:rPr>
          <w:color w:val="auto"/>
          <w:sz w:val="20"/>
        </w:rPr>
      </w:pPr>
    </w:p>
    <w:p w:rsidR="00AE3DED" w:rsidRPr="00AE3DED" w:rsidRDefault="00AE3DED" w:rsidP="00AE3DED">
      <w:pPr>
        <w:rPr>
          <w:color w:val="auto"/>
          <w:sz w:val="20"/>
        </w:rPr>
      </w:pPr>
      <w:r w:rsidRPr="00AE3DED">
        <w:rPr>
          <w:color w:val="auto"/>
          <w:sz w:val="20"/>
        </w:rPr>
        <w:t>2.  Please ensure all necessary actions are taken to implement this decision, including the recoupment of previously paid funds if appropriate, and notification to the subject member once those actions are completed.</w:t>
      </w:r>
    </w:p>
    <w:p w:rsidR="00AE3DED" w:rsidRPr="00AE3DED" w:rsidRDefault="00AE3DED" w:rsidP="00AE3DED">
      <w:pPr>
        <w:rPr>
          <w:color w:val="auto"/>
          <w:sz w:val="20"/>
        </w:rPr>
      </w:pPr>
    </w:p>
    <w:p w:rsidR="00AE3DED" w:rsidRPr="00AE3DED" w:rsidRDefault="00AE3DED" w:rsidP="00AE3DED">
      <w:pPr>
        <w:rPr>
          <w:color w:val="auto"/>
          <w:sz w:val="20"/>
        </w:rPr>
      </w:pPr>
    </w:p>
    <w:p w:rsidR="00AE3DED" w:rsidRPr="00AE3DED" w:rsidRDefault="00AE3DED" w:rsidP="00AE3DED">
      <w:pPr>
        <w:rPr>
          <w:color w:val="auto"/>
          <w:sz w:val="20"/>
        </w:rPr>
      </w:pPr>
    </w:p>
    <w:p w:rsidR="00AE3DED" w:rsidRPr="00AE3DED" w:rsidRDefault="00AE3DED" w:rsidP="00AE3DED">
      <w:pPr>
        <w:rPr>
          <w:color w:val="auto"/>
          <w:sz w:val="20"/>
        </w:rPr>
      </w:pPr>
      <w:r w:rsidRPr="00AE3DED">
        <w:rPr>
          <w:color w:val="auto"/>
          <w:sz w:val="20"/>
        </w:rPr>
        <w:tab/>
      </w:r>
      <w:r w:rsidRPr="00AE3DED">
        <w:rPr>
          <w:color w:val="auto"/>
          <w:sz w:val="20"/>
        </w:rPr>
        <w:tab/>
      </w:r>
      <w:r w:rsidRPr="00AE3DED">
        <w:rPr>
          <w:color w:val="auto"/>
          <w:sz w:val="20"/>
        </w:rPr>
        <w:tab/>
      </w:r>
      <w:r w:rsidRPr="00AE3DED">
        <w:rPr>
          <w:color w:val="auto"/>
          <w:sz w:val="20"/>
        </w:rPr>
        <w:tab/>
      </w:r>
      <w:r w:rsidRPr="00AE3DED">
        <w:rPr>
          <w:color w:val="auto"/>
          <w:sz w:val="20"/>
        </w:rPr>
        <w:tab/>
      </w:r>
      <w:r w:rsidRPr="00AE3DED">
        <w:rPr>
          <w:color w:val="auto"/>
          <w:sz w:val="20"/>
        </w:rPr>
        <w:tab/>
        <w:t xml:space="preserve">      Assistant General Counsel</w:t>
      </w:r>
    </w:p>
    <w:p w:rsidR="00AE3DED" w:rsidRPr="00AE3DED" w:rsidRDefault="00AE3DED" w:rsidP="00AE3DED">
      <w:pPr>
        <w:rPr>
          <w:color w:val="auto"/>
          <w:sz w:val="20"/>
        </w:rPr>
      </w:pPr>
      <w:r w:rsidRPr="00AE3DED">
        <w:rPr>
          <w:color w:val="auto"/>
          <w:sz w:val="20"/>
        </w:rPr>
        <w:tab/>
      </w:r>
      <w:r w:rsidRPr="00AE3DED">
        <w:rPr>
          <w:color w:val="auto"/>
          <w:sz w:val="20"/>
        </w:rPr>
        <w:tab/>
      </w:r>
      <w:r w:rsidRPr="00AE3DED">
        <w:rPr>
          <w:color w:val="auto"/>
          <w:sz w:val="20"/>
        </w:rPr>
        <w:tab/>
      </w:r>
      <w:r w:rsidRPr="00AE3DED">
        <w:rPr>
          <w:color w:val="auto"/>
          <w:sz w:val="20"/>
        </w:rPr>
        <w:tab/>
      </w:r>
      <w:r w:rsidRPr="00AE3DED">
        <w:rPr>
          <w:color w:val="auto"/>
          <w:sz w:val="20"/>
        </w:rPr>
        <w:tab/>
      </w:r>
      <w:r w:rsidRPr="00AE3DED">
        <w:rPr>
          <w:color w:val="auto"/>
          <w:sz w:val="20"/>
        </w:rPr>
        <w:tab/>
        <w:t xml:space="preserve">        (Manpower &amp; Reserve Affairs)</w:t>
      </w:r>
    </w:p>
    <w:p w:rsidR="00AE3DED" w:rsidRPr="00567B30" w:rsidRDefault="00AE3DED"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szCs w:val="24"/>
        </w:rPr>
      </w:pPr>
    </w:p>
    <w:p w:rsidR="00AA04B3" w:rsidRPr="00567B30" w:rsidRDefault="00AA04B3"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szCs w:val="24"/>
        </w:rPr>
      </w:pPr>
    </w:p>
    <w:sectPr w:rsidR="00AA04B3" w:rsidRPr="00567B30" w:rsidSect="00B63963">
      <w:footerReference w:type="even" r:id="rId7"/>
      <w:footerReference w:type="default" r:id="rId8"/>
      <w:footnotePr>
        <w:numRestart w:val="eachSect"/>
      </w:footnotePr>
      <w:pgSz w:w="12240" w:h="15840" w:code="1"/>
      <w:pgMar w:top="1440" w:right="1440" w:bottom="1296"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2DE" w:rsidRDefault="009832DE">
      <w:r>
        <w:separator/>
      </w:r>
    </w:p>
  </w:endnote>
  <w:endnote w:type="continuationSeparator" w:id="0">
    <w:p w:rsidR="009832DE" w:rsidRDefault="009832DE">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1F0" w:rsidRDefault="00CB648D">
    <w:pPr>
      <w:pStyle w:val="Footer"/>
      <w:framePr w:wrap="around" w:vAnchor="text" w:hAnchor="margin" w:xAlign="center" w:y="1"/>
      <w:rPr>
        <w:rStyle w:val="PageNumber"/>
      </w:rPr>
    </w:pPr>
    <w:r>
      <w:rPr>
        <w:rStyle w:val="PageNumber"/>
      </w:rPr>
      <w:fldChar w:fldCharType="begin"/>
    </w:r>
    <w:r w:rsidR="00B641F0">
      <w:rPr>
        <w:rStyle w:val="PageNumber"/>
      </w:rPr>
      <w:instrText xml:space="preserve">PAGE  </w:instrText>
    </w:r>
    <w:r>
      <w:rPr>
        <w:rStyle w:val="PageNumber"/>
      </w:rPr>
      <w:fldChar w:fldCharType="separate"/>
    </w:r>
    <w:r w:rsidR="00B641F0">
      <w:rPr>
        <w:rStyle w:val="PageNumber"/>
        <w:noProof/>
      </w:rPr>
      <w:t>2</w:t>
    </w:r>
    <w:r>
      <w:rPr>
        <w:rStyle w:val="PageNumber"/>
      </w:rPr>
      <w:fldChar w:fldCharType="end"/>
    </w:r>
  </w:p>
  <w:p w:rsidR="00B641F0" w:rsidRDefault="00B641F0"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1F0" w:rsidRPr="00AC713F" w:rsidRDefault="00CB648D">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B641F0"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632628">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B641F0" w:rsidRPr="002641B6" w:rsidRDefault="00B641F0" w:rsidP="002B0749">
    <w:pPr>
      <w:pStyle w:val="Footer"/>
      <w:jc w:val="right"/>
      <w:rPr>
        <w:rFonts w:asciiTheme="minorHAnsi" w:hAnsiTheme="minorHAnsi"/>
        <w:color w:val="auto"/>
      </w:rPr>
    </w:pPr>
    <w:r>
      <w:tab/>
    </w:r>
    <w:r>
      <w:tab/>
    </w:r>
    <w:r w:rsidRPr="002641B6">
      <w:rPr>
        <w:rFonts w:asciiTheme="minorHAnsi" w:hAnsiTheme="minorHAnsi"/>
        <w:caps/>
        <w:color w:val="auto"/>
      </w:rPr>
      <w:t>PD1000709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2DE" w:rsidRDefault="009832DE">
      <w:r>
        <w:separator/>
      </w:r>
    </w:p>
  </w:footnote>
  <w:footnote w:type="continuationSeparator" w:id="0">
    <w:p w:rsidR="009832DE" w:rsidRDefault="009832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23617"/>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16CAF"/>
    <w:rsid w:val="000204C2"/>
    <w:rsid w:val="00021361"/>
    <w:rsid w:val="00023913"/>
    <w:rsid w:val="00023D43"/>
    <w:rsid w:val="00032E07"/>
    <w:rsid w:val="000332CA"/>
    <w:rsid w:val="0003374E"/>
    <w:rsid w:val="000344E6"/>
    <w:rsid w:val="00035C3A"/>
    <w:rsid w:val="00036E4B"/>
    <w:rsid w:val="0003733F"/>
    <w:rsid w:val="000379D0"/>
    <w:rsid w:val="00040FC4"/>
    <w:rsid w:val="000416F8"/>
    <w:rsid w:val="00042C26"/>
    <w:rsid w:val="00043382"/>
    <w:rsid w:val="00051622"/>
    <w:rsid w:val="00052234"/>
    <w:rsid w:val="000532C5"/>
    <w:rsid w:val="00053D7C"/>
    <w:rsid w:val="000577C9"/>
    <w:rsid w:val="0006431E"/>
    <w:rsid w:val="00072433"/>
    <w:rsid w:val="00075702"/>
    <w:rsid w:val="000775C2"/>
    <w:rsid w:val="000806AD"/>
    <w:rsid w:val="00082482"/>
    <w:rsid w:val="0008708B"/>
    <w:rsid w:val="00092619"/>
    <w:rsid w:val="00092C66"/>
    <w:rsid w:val="00094E4F"/>
    <w:rsid w:val="000A2BCE"/>
    <w:rsid w:val="000A41E3"/>
    <w:rsid w:val="000A4BBA"/>
    <w:rsid w:val="000A5071"/>
    <w:rsid w:val="000B4C99"/>
    <w:rsid w:val="000C06F6"/>
    <w:rsid w:val="000C1D34"/>
    <w:rsid w:val="000C2362"/>
    <w:rsid w:val="000C3C13"/>
    <w:rsid w:val="000C53F9"/>
    <w:rsid w:val="000C5813"/>
    <w:rsid w:val="000C75CF"/>
    <w:rsid w:val="000C7DE4"/>
    <w:rsid w:val="000D15E7"/>
    <w:rsid w:val="000D1A24"/>
    <w:rsid w:val="000D21C7"/>
    <w:rsid w:val="000D248A"/>
    <w:rsid w:val="000D35D8"/>
    <w:rsid w:val="000D43F9"/>
    <w:rsid w:val="000D4717"/>
    <w:rsid w:val="000D6457"/>
    <w:rsid w:val="000D7D55"/>
    <w:rsid w:val="000E0993"/>
    <w:rsid w:val="000E2E3D"/>
    <w:rsid w:val="000E37E0"/>
    <w:rsid w:val="000E73B1"/>
    <w:rsid w:val="000F02BE"/>
    <w:rsid w:val="000F427B"/>
    <w:rsid w:val="000F7181"/>
    <w:rsid w:val="000F7CC5"/>
    <w:rsid w:val="001008C1"/>
    <w:rsid w:val="001023DB"/>
    <w:rsid w:val="00103CCF"/>
    <w:rsid w:val="0010417F"/>
    <w:rsid w:val="001042D2"/>
    <w:rsid w:val="0010530E"/>
    <w:rsid w:val="00105C07"/>
    <w:rsid w:val="00107EC5"/>
    <w:rsid w:val="001103CD"/>
    <w:rsid w:val="00110AFD"/>
    <w:rsid w:val="00114F20"/>
    <w:rsid w:val="001211AF"/>
    <w:rsid w:val="001219DF"/>
    <w:rsid w:val="001231DC"/>
    <w:rsid w:val="001272AE"/>
    <w:rsid w:val="001315DD"/>
    <w:rsid w:val="00135385"/>
    <w:rsid w:val="001364D1"/>
    <w:rsid w:val="00142EBA"/>
    <w:rsid w:val="00143B79"/>
    <w:rsid w:val="00144D8C"/>
    <w:rsid w:val="001463DD"/>
    <w:rsid w:val="00150B8A"/>
    <w:rsid w:val="00150DCB"/>
    <w:rsid w:val="00151912"/>
    <w:rsid w:val="00153740"/>
    <w:rsid w:val="001541C5"/>
    <w:rsid w:val="0015623F"/>
    <w:rsid w:val="00156585"/>
    <w:rsid w:val="00156689"/>
    <w:rsid w:val="00156BA9"/>
    <w:rsid w:val="00161761"/>
    <w:rsid w:val="0016202F"/>
    <w:rsid w:val="00166182"/>
    <w:rsid w:val="001745DD"/>
    <w:rsid w:val="00177659"/>
    <w:rsid w:val="001779E5"/>
    <w:rsid w:val="00182A4C"/>
    <w:rsid w:val="00183F77"/>
    <w:rsid w:val="001849A2"/>
    <w:rsid w:val="00185DA8"/>
    <w:rsid w:val="00185ECB"/>
    <w:rsid w:val="001865E0"/>
    <w:rsid w:val="001870F0"/>
    <w:rsid w:val="00190E48"/>
    <w:rsid w:val="0019273F"/>
    <w:rsid w:val="00193814"/>
    <w:rsid w:val="00193AD5"/>
    <w:rsid w:val="00194930"/>
    <w:rsid w:val="0019793D"/>
    <w:rsid w:val="001A08CD"/>
    <w:rsid w:val="001A5320"/>
    <w:rsid w:val="001A5E62"/>
    <w:rsid w:val="001A7538"/>
    <w:rsid w:val="001B0B1A"/>
    <w:rsid w:val="001B4EC2"/>
    <w:rsid w:val="001B5B59"/>
    <w:rsid w:val="001B60E0"/>
    <w:rsid w:val="001B7949"/>
    <w:rsid w:val="001B7C8C"/>
    <w:rsid w:val="001C181A"/>
    <w:rsid w:val="001C1877"/>
    <w:rsid w:val="001C2053"/>
    <w:rsid w:val="001C252F"/>
    <w:rsid w:val="001C28D1"/>
    <w:rsid w:val="001C58F1"/>
    <w:rsid w:val="001C5CFC"/>
    <w:rsid w:val="001C7418"/>
    <w:rsid w:val="001D0051"/>
    <w:rsid w:val="001D2224"/>
    <w:rsid w:val="001D4F88"/>
    <w:rsid w:val="001D68CF"/>
    <w:rsid w:val="001D6A8C"/>
    <w:rsid w:val="001D7A56"/>
    <w:rsid w:val="001E15C0"/>
    <w:rsid w:val="001E18E0"/>
    <w:rsid w:val="001E18E2"/>
    <w:rsid w:val="001E19D0"/>
    <w:rsid w:val="001E2A30"/>
    <w:rsid w:val="001E6A81"/>
    <w:rsid w:val="00200AA0"/>
    <w:rsid w:val="00202325"/>
    <w:rsid w:val="00202736"/>
    <w:rsid w:val="00203652"/>
    <w:rsid w:val="002060B6"/>
    <w:rsid w:val="002066B5"/>
    <w:rsid w:val="002139E3"/>
    <w:rsid w:val="00213A0E"/>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89B"/>
    <w:rsid w:val="00234B3B"/>
    <w:rsid w:val="002403B7"/>
    <w:rsid w:val="0024174E"/>
    <w:rsid w:val="0024227D"/>
    <w:rsid w:val="00242D14"/>
    <w:rsid w:val="00246860"/>
    <w:rsid w:val="00246DFF"/>
    <w:rsid w:val="00246E89"/>
    <w:rsid w:val="0025183C"/>
    <w:rsid w:val="002528EC"/>
    <w:rsid w:val="00254FD7"/>
    <w:rsid w:val="00255049"/>
    <w:rsid w:val="00257DE5"/>
    <w:rsid w:val="00260531"/>
    <w:rsid w:val="0026318D"/>
    <w:rsid w:val="002641B6"/>
    <w:rsid w:val="00270864"/>
    <w:rsid w:val="002712F7"/>
    <w:rsid w:val="0027159C"/>
    <w:rsid w:val="00271BB5"/>
    <w:rsid w:val="00274549"/>
    <w:rsid w:val="00274E46"/>
    <w:rsid w:val="00276C86"/>
    <w:rsid w:val="002810A4"/>
    <w:rsid w:val="00284A26"/>
    <w:rsid w:val="00287006"/>
    <w:rsid w:val="00290827"/>
    <w:rsid w:val="00294437"/>
    <w:rsid w:val="002A3237"/>
    <w:rsid w:val="002A58B7"/>
    <w:rsid w:val="002A685E"/>
    <w:rsid w:val="002A72C7"/>
    <w:rsid w:val="002A72D7"/>
    <w:rsid w:val="002B03B2"/>
    <w:rsid w:val="002B0749"/>
    <w:rsid w:val="002B2645"/>
    <w:rsid w:val="002B6FA0"/>
    <w:rsid w:val="002C0A31"/>
    <w:rsid w:val="002C3272"/>
    <w:rsid w:val="002C5F10"/>
    <w:rsid w:val="002C6E5B"/>
    <w:rsid w:val="002D18B4"/>
    <w:rsid w:val="002D231A"/>
    <w:rsid w:val="002D6984"/>
    <w:rsid w:val="002E1877"/>
    <w:rsid w:val="002E1C31"/>
    <w:rsid w:val="002E333A"/>
    <w:rsid w:val="002E3474"/>
    <w:rsid w:val="002E400C"/>
    <w:rsid w:val="002E49C3"/>
    <w:rsid w:val="002E5114"/>
    <w:rsid w:val="002E7570"/>
    <w:rsid w:val="002E764B"/>
    <w:rsid w:val="002F0C0A"/>
    <w:rsid w:val="002F0E28"/>
    <w:rsid w:val="002F287E"/>
    <w:rsid w:val="002F2D63"/>
    <w:rsid w:val="002F63FF"/>
    <w:rsid w:val="002F7F81"/>
    <w:rsid w:val="00300A36"/>
    <w:rsid w:val="00302D9B"/>
    <w:rsid w:val="0030678B"/>
    <w:rsid w:val="00310CD7"/>
    <w:rsid w:val="00311960"/>
    <w:rsid w:val="0032136A"/>
    <w:rsid w:val="00323E70"/>
    <w:rsid w:val="00325BA2"/>
    <w:rsid w:val="00326F7F"/>
    <w:rsid w:val="003320E8"/>
    <w:rsid w:val="00334B66"/>
    <w:rsid w:val="00334C05"/>
    <w:rsid w:val="0033555E"/>
    <w:rsid w:val="00335CE0"/>
    <w:rsid w:val="00336805"/>
    <w:rsid w:val="00337351"/>
    <w:rsid w:val="00341A54"/>
    <w:rsid w:val="00342378"/>
    <w:rsid w:val="0034669F"/>
    <w:rsid w:val="00351498"/>
    <w:rsid w:val="00352B22"/>
    <w:rsid w:val="00354547"/>
    <w:rsid w:val="003567DE"/>
    <w:rsid w:val="003574F3"/>
    <w:rsid w:val="0036174C"/>
    <w:rsid w:val="0036319E"/>
    <w:rsid w:val="003632A4"/>
    <w:rsid w:val="00363362"/>
    <w:rsid w:val="0036434E"/>
    <w:rsid w:val="00367D4F"/>
    <w:rsid w:val="00370743"/>
    <w:rsid w:val="00370EF5"/>
    <w:rsid w:val="0037135B"/>
    <w:rsid w:val="00372251"/>
    <w:rsid w:val="0037520D"/>
    <w:rsid w:val="00375809"/>
    <w:rsid w:val="0037628C"/>
    <w:rsid w:val="00376B81"/>
    <w:rsid w:val="00377BD2"/>
    <w:rsid w:val="003821E1"/>
    <w:rsid w:val="00383C65"/>
    <w:rsid w:val="00384866"/>
    <w:rsid w:val="003857D4"/>
    <w:rsid w:val="00385D6F"/>
    <w:rsid w:val="00387095"/>
    <w:rsid w:val="00390092"/>
    <w:rsid w:val="00393651"/>
    <w:rsid w:val="00395E12"/>
    <w:rsid w:val="00397DB7"/>
    <w:rsid w:val="003A27B2"/>
    <w:rsid w:val="003A40B4"/>
    <w:rsid w:val="003A41BA"/>
    <w:rsid w:val="003A45F2"/>
    <w:rsid w:val="003A6A99"/>
    <w:rsid w:val="003A7FF8"/>
    <w:rsid w:val="003B17AC"/>
    <w:rsid w:val="003B227A"/>
    <w:rsid w:val="003B5854"/>
    <w:rsid w:val="003B6764"/>
    <w:rsid w:val="003C2BD0"/>
    <w:rsid w:val="003C6068"/>
    <w:rsid w:val="003D2BA3"/>
    <w:rsid w:val="003D3C22"/>
    <w:rsid w:val="003D7089"/>
    <w:rsid w:val="003D7DDB"/>
    <w:rsid w:val="003E02C7"/>
    <w:rsid w:val="003E0543"/>
    <w:rsid w:val="003E0B5A"/>
    <w:rsid w:val="003E11F8"/>
    <w:rsid w:val="003E31E3"/>
    <w:rsid w:val="003E3D16"/>
    <w:rsid w:val="003E46D1"/>
    <w:rsid w:val="003F58B0"/>
    <w:rsid w:val="003F6853"/>
    <w:rsid w:val="004007E9"/>
    <w:rsid w:val="0040086D"/>
    <w:rsid w:val="00401825"/>
    <w:rsid w:val="00401BBC"/>
    <w:rsid w:val="00403BFB"/>
    <w:rsid w:val="00404B45"/>
    <w:rsid w:val="00406CC5"/>
    <w:rsid w:val="004074A4"/>
    <w:rsid w:val="00407F18"/>
    <w:rsid w:val="004101B2"/>
    <w:rsid w:val="00411ADC"/>
    <w:rsid w:val="004123D7"/>
    <w:rsid w:val="00412658"/>
    <w:rsid w:val="004172DB"/>
    <w:rsid w:val="00421485"/>
    <w:rsid w:val="00422B75"/>
    <w:rsid w:val="00433F36"/>
    <w:rsid w:val="0043503A"/>
    <w:rsid w:val="0044384F"/>
    <w:rsid w:val="00444527"/>
    <w:rsid w:val="00444F80"/>
    <w:rsid w:val="00446018"/>
    <w:rsid w:val="004543BC"/>
    <w:rsid w:val="0045645D"/>
    <w:rsid w:val="004574C6"/>
    <w:rsid w:val="00457BCF"/>
    <w:rsid w:val="00457DCE"/>
    <w:rsid w:val="00460E3F"/>
    <w:rsid w:val="00466CED"/>
    <w:rsid w:val="00467592"/>
    <w:rsid w:val="00467690"/>
    <w:rsid w:val="004718E7"/>
    <w:rsid w:val="00472535"/>
    <w:rsid w:val="0047452A"/>
    <w:rsid w:val="004761CC"/>
    <w:rsid w:val="0047685D"/>
    <w:rsid w:val="00480D4A"/>
    <w:rsid w:val="00481DA1"/>
    <w:rsid w:val="00483CA0"/>
    <w:rsid w:val="004866E6"/>
    <w:rsid w:val="0049255F"/>
    <w:rsid w:val="0049445D"/>
    <w:rsid w:val="00495350"/>
    <w:rsid w:val="0049570C"/>
    <w:rsid w:val="00497156"/>
    <w:rsid w:val="004A24D2"/>
    <w:rsid w:val="004A3214"/>
    <w:rsid w:val="004A4136"/>
    <w:rsid w:val="004A417B"/>
    <w:rsid w:val="004B03F3"/>
    <w:rsid w:val="004B2536"/>
    <w:rsid w:val="004B3532"/>
    <w:rsid w:val="004B6AF3"/>
    <w:rsid w:val="004B715E"/>
    <w:rsid w:val="004B7169"/>
    <w:rsid w:val="004B79C9"/>
    <w:rsid w:val="004C5E33"/>
    <w:rsid w:val="004C6CDA"/>
    <w:rsid w:val="004D10D4"/>
    <w:rsid w:val="004D16BD"/>
    <w:rsid w:val="004D2AAB"/>
    <w:rsid w:val="004D6F2B"/>
    <w:rsid w:val="004E0248"/>
    <w:rsid w:val="004E21A3"/>
    <w:rsid w:val="004E32EA"/>
    <w:rsid w:val="004E6866"/>
    <w:rsid w:val="004F3222"/>
    <w:rsid w:val="004F3BFA"/>
    <w:rsid w:val="005000AB"/>
    <w:rsid w:val="005014DE"/>
    <w:rsid w:val="005025EE"/>
    <w:rsid w:val="00510588"/>
    <w:rsid w:val="0051146C"/>
    <w:rsid w:val="00514449"/>
    <w:rsid w:val="00514CEA"/>
    <w:rsid w:val="00517445"/>
    <w:rsid w:val="005222E7"/>
    <w:rsid w:val="00523A8B"/>
    <w:rsid w:val="00523E04"/>
    <w:rsid w:val="0052590B"/>
    <w:rsid w:val="00526591"/>
    <w:rsid w:val="00527178"/>
    <w:rsid w:val="005278CB"/>
    <w:rsid w:val="00533464"/>
    <w:rsid w:val="00534D42"/>
    <w:rsid w:val="005350A5"/>
    <w:rsid w:val="00536379"/>
    <w:rsid w:val="00537238"/>
    <w:rsid w:val="005400C5"/>
    <w:rsid w:val="00540BEF"/>
    <w:rsid w:val="00542C9A"/>
    <w:rsid w:val="005436C2"/>
    <w:rsid w:val="005442D4"/>
    <w:rsid w:val="0054586A"/>
    <w:rsid w:val="0054631F"/>
    <w:rsid w:val="0055288D"/>
    <w:rsid w:val="00555259"/>
    <w:rsid w:val="00560D57"/>
    <w:rsid w:val="00562A94"/>
    <w:rsid w:val="00567B30"/>
    <w:rsid w:val="005709F7"/>
    <w:rsid w:val="005710A9"/>
    <w:rsid w:val="0057148D"/>
    <w:rsid w:val="00571D1B"/>
    <w:rsid w:val="00571F28"/>
    <w:rsid w:val="0057458B"/>
    <w:rsid w:val="00584229"/>
    <w:rsid w:val="00593043"/>
    <w:rsid w:val="00595BF0"/>
    <w:rsid w:val="005A1846"/>
    <w:rsid w:val="005A258C"/>
    <w:rsid w:val="005A3560"/>
    <w:rsid w:val="005A6C99"/>
    <w:rsid w:val="005A73FC"/>
    <w:rsid w:val="005A7D5D"/>
    <w:rsid w:val="005B011A"/>
    <w:rsid w:val="005B14FC"/>
    <w:rsid w:val="005B1D8F"/>
    <w:rsid w:val="005B1E94"/>
    <w:rsid w:val="005B5B3D"/>
    <w:rsid w:val="005C16F3"/>
    <w:rsid w:val="005C3758"/>
    <w:rsid w:val="005D33B3"/>
    <w:rsid w:val="005E3064"/>
    <w:rsid w:val="005E4603"/>
    <w:rsid w:val="005E72B2"/>
    <w:rsid w:val="005F1115"/>
    <w:rsid w:val="005F1AB6"/>
    <w:rsid w:val="005F27F2"/>
    <w:rsid w:val="005F3AFE"/>
    <w:rsid w:val="005F424D"/>
    <w:rsid w:val="005F6B6D"/>
    <w:rsid w:val="00605AAB"/>
    <w:rsid w:val="00606BEB"/>
    <w:rsid w:val="0061014A"/>
    <w:rsid w:val="0061054B"/>
    <w:rsid w:val="00613E26"/>
    <w:rsid w:val="00614D04"/>
    <w:rsid w:val="00615641"/>
    <w:rsid w:val="00616959"/>
    <w:rsid w:val="006211D0"/>
    <w:rsid w:val="00624D0C"/>
    <w:rsid w:val="006307BA"/>
    <w:rsid w:val="006315BA"/>
    <w:rsid w:val="00632628"/>
    <w:rsid w:val="00634C4A"/>
    <w:rsid w:val="0063532E"/>
    <w:rsid w:val="00637BDC"/>
    <w:rsid w:val="006418C9"/>
    <w:rsid w:val="00642BD6"/>
    <w:rsid w:val="00645046"/>
    <w:rsid w:val="0064527A"/>
    <w:rsid w:val="00645EA2"/>
    <w:rsid w:val="006573F2"/>
    <w:rsid w:val="00662F08"/>
    <w:rsid w:val="00663589"/>
    <w:rsid w:val="006708E3"/>
    <w:rsid w:val="00670DDC"/>
    <w:rsid w:val="00671EB4"/>
    <w:rsid w:val="00672B85"/>
    <w:rsid w:val="0067443B"/>
    <w:rsid w:val="00680653"/>
    <w:rsid w:val="00684E2B"/>
    <w:rsid w:val="00690FDA"/>
    <w:rsid w:val="00691E61"/>
    <w:rsid w:val="00693C5E"/>
    <w:rsid w:val="00694EEA"/>
    <w:rsid w:val="006955B4"/>
    <w:rsid w:val="00696476"/>
    <w:rsid w:val="006978BE"/>
    <w:rsid w:val="006A10FA"/>
    <w:rsid w:val="006A40E6"/>
    <w:rsid w:val="006A5C07"/>
    <w:rsid w:val="006A75FA"/>
    <w:rsid w:val="006B07D5"/>
    <w:rsid w:val="006B1309"/>
    <w:rsid w:val="006B3923"/>
    <w:rsid w:val="006B3F3E"/>
    <w:rsid w:val="006B5923"/>
    <w:rsid w:val="006B67D9"/>
    <w:rsid w:val="006B6A3B"/>
    <w:rsid w:val="006B6C14"/>
    <w:rsid w:val="006B715E"/>
    <w:rsid w:val="006C1D6E"/>
    <w:rsid w:val="006C3A68"/>
    <w:rsid w:val="006C6AB1"/>
    <w:rsid w:val="006D2D39"/>
    <w:rsid w:val="006D4E0E"/>
    <w:rsid w:val="006D5CE2"/>
    <w:rsid w:val="006E06D1"/>
    <w:rsid w:val="006E1313"/>
    <w:rsid w:val="006E2DC8"/>
    <w:rsid w:val="006E7356"/>
    <w:rsid w:val="006E77C8"/>
    <w:rsid w:val="006F149D"/>
    <w:rsid w:val="006F1A46"/>
    <w:rsid w:val="006F404B"/>
    <w:rsid w:val="006F5A4E"/>
    <w:rsid w:val="00703172"/>
    <w:rsid w:val="00703B6C"/>
    <w:rsid w:val="00705C40"/>
    <w:rsid w:val="00706482"/>
    <w:rsid w:val="00706BEF"/>
    <w:rsid w:val="007116BC"/>
    <w:rsid w:val="007165CE"/>
    <w:rsid w:val="00720968"/>
    <w:rsid w:val="00721D12"/>
    <w:rsid w:val="00721F8B"/>
    <w:rsid w:val="007237CE"/>
    <w:rsid w:val="00724688"/>
    <w:rsid w:val="0073062D"/>
    <w:rsid w:val="0073254D"/>
    <w:rsid w:val="00736A49"/>
    <w:rsid w:val="00743830"/>
    <w:rsid w:val="00743B71"/>
    <w:rsid w:val="00743C2D"/>
    <w:rsid w:val="00743E36"/>
    <w:rsid w:val="007446F7"/>
    <w:rsid w:val="00744EBB"/>
    <w:rsid w:val="00745B0A"/>
    <w:rsid w:val="007468AC"/>
    <w:rsid w:val="00746AE2"/>
    <w:rsid w:val="00750C82"/>
    <w:rsid w:val="0076100C"/>
    <w:rsid w:val="007651ED"/>
    <w:rsid w:val="007659E6"/>
    <w:rsid w:val="00766C87"/>
    <w:rsid w:val="007779DA"/>
    <w:rsid w:val="00781BD4"/>
    <w:rsid w:val="00781E20"/>
    <w:rsid w:val="00784832"/>
    <w:rsid w:val="00785D77"/>
    <w:rsid w:val="00786111"/>
    <w:rsid w:val="00786AF6"/>
    <w:rsid w:val="00791F1E"/>
    <w:rsid w:val="00794F3D"/>
    <w:rsid w:val="00796045"/>
    <w:rsid w:val="007968AC"/>
    <w:rsid w:val="007969AB"/>
    <w:rsid w:val="007A0B39"/>
    <w:rsid w:val="007A14A4"/>
    <w:rsid w:val="007A168F"/>
    <w:rsid w:val="007A28E4"/>
    <w:rsid w:val="007A3BB3"/>
    <w:rsid w:val="007A5AD1"/>
    <w:rsid w:val="007A5B7B"/>
    <w:rsid w:val="007B0A06"/>
    <w:rsid w:val="007B2ABB"/>
    <w:rsid w:val="007B5C5C"/>
    <w:rsid w:val="007B7B37"/>
    <w:rsid w:val="007B7C41"/>
    <w:rsid w:val="007C1D59"/>
    <w:rsid w:val="007C433E"/>
    <w:rsid w:val="007C4452"/>
    <w:rsid w:val="007C4B3C"/>
    <w:rsid w:val="007C4DB1"/>
    <w:rsid w:val="007C6046"/>
    <w:rsid w:val="007C7E42"/>
    <w:rsid w:val="007D0292"/>
    <w:rsid w:val="007D21AC"/>
    <w:rsid w:val="007D3882"/>
    <w:rsid w:val="007D568A"/>
    <w:rsid w:val="007D574E"/>
    <w:rsid w:val="007D6BFE"/>
    <w:rsid w:val="007E2046"/>
    <w:rsid w:val="007E3883"/>
    <w:rsid w:val="007E4FBB"/>
    <w:rsid w:val="007E55BF"/>
    <w:rsid w:val="007E71B1"/>
    <w:rsid w:val="007E7B4E"/>
    <w:rsid w:val="007F0CE2"/>
    <w:rsid w:val="007F0EFF"/>
    <w:rsid w:val="007F1375"/>
    <w:rsid w:val="007F1D94"/>
    <w:rsid w:val="00803850"/>
    <w:rsid w:val="00804385"/>
    <w:rsid w:val="00805AFD"/>
    <w:rsid w:val="008078D8"/>
    <w:rsid w:val="00811D5B"/>
    <w:rsid w:val="00817713"/>
    <w:rsid w:val="00817FB1"/>
    <w:rsid w:val="00821D0C"/>
    <w:rsid w:val="008220F1"/>
    <w:rsid w:val="0082340B"/>
    <w:rsid w:val="00827DB6"/>
    <w:rsid w:val="008304B2"/>
    <w:rsid w:val="00830999"/>
    <w:rsid w:val="00830D5E"/>
    <w:rsid w:val="00830F69"/>
    <w:rsid w:val="00833418"/>
    <w:rsid w:val="00834458"/>
    <w:rsid w:val="00834A57"/>
    <w:rsid w:val="00835841"/>
    <w:rsid w:val="00837465"/>
    <w:rsid w:val="00841243"/>
    <w:rsid w:val="00841457"/>
    <w:rsid w:val="0084374E"/>
    <w:rsid w:val="00844842"/>
    <w:rsid w:val="00844DD0"/>
    <w:rsid w:val="0085089F"/>
    <w:rsid w:val="0085206E"/>
    <w:rsid w:val="00852AD4"/>
    <w:rsid w:val="00852BA8"/>
    <w:rsid w:val="00853718"/>
    <w:rsid w:val="008541EF"/>
    <w:rsid w:val="00856AC7"/>
    <w:rsid w:val="00856FA4"/>
    <w:rsid w:val="0086162B"/>
    <w:rsid w:val="00861D5C"/>
    <w:rsid w:val="00865207"/>
    <w:rsid w:val="008656A7"/>
    <w:rsid w:val="00871262"/>
    <w:rsid w:val="00871D4E"/>
    <w:rsid w:val="00871E7B"/>
    <w:rsid w:val="00875B51"/>
    <w:rsid w:val="00875F2D"/>
    <w:rsid w:val="008764DC"/>
    <w:rsid w:val="00882CC2"/>
    <w:rsid w:val="00883930"/>
    <w:rsid w:val="008840DC"/>
    <w:rsid w:val="00896279"/>
    <w:rsid w:val="00896535"/>
    <w:rsid w:val="00896683"/>
    <w:rsid w:val="00897589"/>
    <w:rsid w:val="008A63A9"/>
    <w:rsid w:val="008A6973"/>
    <w:rsid w:val="008A7F7E"/>
    <w:rsid w:val="008B04DB"/>
    <w:rsid w:val="008B27FD"/>
    <w:rsid w:val="008B3AF2"/>
    <w:rsid w:val="008B515D"/>
    <w:rsid w:val="008B5D31"/>
    <w:rsid w:val="008B6705"/>
    <w:rsid w:val="008C22F3"/>
    <w:rsid w:val="008D795D"/>
    <w:rsid w:val="008D7B07"/>
    <w:rsid w:val="008E1E94"/>
    <w:rsid w:val="008E2D99"/>
    <w:rsid w:val="008E4A60"/>
    <w:rsid w:val="008E5102"/>
    <w:rsid w:val="008E744D"/>
    <w:rsid w:val="008F1B39"/>
    <w:rsid w:val="008F1E08"/>
    <w:rsid w:val="008F7877"/>
    <w:rsid w:val="00900D8F"/>
    <w:rsid w:val="009014E3"/>
    <w:rsid w:val="009026E8"/>
    <w:rsid w:val="00906EB7"/>
    <w:rsid w:val="009102BF"/>
    <w:rsid w:val="009115F2"/>
    <w:rsid w:val="00914ADB"/>
    <w:rsid w:val="00923B25"/>
    <w:rsid w:val="0092402E"/>
    <w:rsid w:val="009259BA"/>
    <w:rsid w:val="00926FCB"/>
    <w:rsid w:val="0093311A"/>
    <w:rsid w:val="00937BA6"/>
    <w:rsid w:val="00942645"/>
    <w:rsid w:val="00950A3A"/>
    <w:rsid w:val="0095340A"/>
    <w:rsid w:val="00954581"/>
    <w:rsid w:val="0095466C"/>
    <w:rsid w:val="00954E5B"/>
    <w:rsid w:val="009576BC"/>
    <w:rsid w:val="009602CC"/>
    <w:rsid w:val="00960357"/>
    <w:rsid w:val="0096168C"/>
    <w:rsid w:val="00961840"/>
    <w:rsid w:val="00962F2D"/>
    <w:rsid w:val="009672CD"/>
    <w:rsid w:val="00972996"/>
    <w:rsid w:val="009732B8"/>
    <w:rsid w:val="009753D1"/>
    <w:rsid w:val="00975C72"/>
    <w:rsid w:val="00976869"/>
    <w:rsid w:val="00977740"/>
    <w:rsid w:val="00977CB4"/>
    <w:rsid w:val="009809B8"/>
    <w:rsid w:val="0098222D"/>
    <w:rsid w:val="009832DE"/>
    <w:rsid w:val="00985099"/>
    <w:rsid w:val="0099421F"/>
    <w:rsid w:val="009A0DE3"/>
    <w:rsid w:val="009A1643"/>
    <w:rsid w:val="009A215A"/>
    <w:rsid w:val="009A4F1B"/>
    <w:rsid w:val="009A66C5"/>
    <w:rsid w:val="009A79BA"/>
    <w:rsid w:val="009B04E4"/>
    <w:rsid w:val="009B14D1"/>
    <w:rsid w:val="009B1534"/>
    <w:rsid w:val="009B4A3B"/>
    <w:rsid w:val="009B61BD"/>
    <w:rsid w:val="009B69D3"/>
    <w:rsid w:val="009B7BA7"/>
    <w:rsid w:val="009C0938"/>
    <w:rsid w:val="009C0985"/>
    <w:rsid w:val="009C22C8"/>
    <w:rsid w:val="009C3F82"/>
    <w:rsid w:val="009C72DD"/>
    <w:rsid w:val="009C7DF5"/>
    <w:rsid w:val="009D056C"/>
    <w:rsid w:val="009D060F"/>
    <w:rsid w:val="009D071D"/>
    <w:rsid w:val="009D1ADE"/>
    <w:rsid w:val="009D2E55"/>
    <w:rsid w:val="009E09D0"/>
    <w:rsid w:val="009E1283"/>
    <w:rsid w:val="009E3A7F"/>
    <w:rsid w:val="009E497D"/>
    <w:rsid w:val="009E57B1"/>
    <w:rsid w:val="009E6379"/>
    <w:rsid w:val="009F7809"/>
    <w:rsid w:val="009F7AF5"/>
    <w:rsid w:val="00A00D14"/>
    <w:rsid w:val="00A01408"/>
    <w:rsid w:val="00A02457"/>
    <w:rsid w:val="00A03190"/>
    <w:rsid w:val="00A0404B"/>
    <w:rsid w:val="00A0798C"/>
    <w:rsid w:val="00A07BDD"/>
    <w:rsid w:val="00A1105B"/>
    <w:rsid w:val="00A15B6B"/>
    <w:rsid w:val="00A15EB4"/>
    <w:rsid w:val="00A16876"/>
    <w:rsid w:val="00A200AA"/>
    <w:rsid w:val="00A20558"/>
    <w:rsid w:val="00A2186F"/>
    <w:rsid w:val="00A2270B"/>
    <w:rsid w:val="00A23B89"/>
    <w:rsid w:val="00A23FE3"/>
    <w:rsid w:val="00A248C3"/>
    <w:rsid w:val="00A2496E"/>
    <w:rsid w:val="00A258B7"/>
    <w:rsid w:val="00A32743"/>
    <w:rsid w:val="00A36E64"/>
    <w:rsid w:val="00A414A9"/>
    <w:rsid w:val="00A44CCA"/>
    <w:rsid w:val="00A44D75"/>
    <w:rsid w:val="00A47CF1"/>
    <w:rsid w:val="00A50418"/>
    <w:rsid w:val="00A54A47"/>
    <w:rsid w:val="00A56D26"/>
    <w:rsid w:val="00A571A7"/>
    <w:rsid w:val="00A608FB"/>
    <w:rsid w:val="00A60D83"/>
    <w:rsid w:val="00A60F68"/>
    <w:rsid w:val="00A63DF3"/>
    <w:rsid w:val="00A65C78"/>
    <w:rsid w:val="00A660A8"/>
    <w:rsid w:val="00A67591"/>
    <w:rsid w:val="00A67CA6"/>
    <w:rsid w:val="00A70E7B"/>
    <w:rsid w:val="00A711A8"/>
    <w:rsid w:val="00A73B84"/>
    <w:rsid w:val="00A7411D"/>
    <w:rsid w:val="00A76094"/>
    <w:rsid w:val="00A768E2"/>
    <w:rsid w:val="00A82C52"/>
    <w:rsid w:val="00A86CB6"/>
    <w:rsid w:val="00A90D55"/>
    <w:rsid w:val="00A944D8"/>
    <w:rsid w:val="00A959E7"/>
    <w:rsid w:val="00A95BBA"/>
    <w:rsid w:val="00A961EE"/>
    <w:rsid w:val="00AA04B3"/>
    <w:rsid w:val="00AA1253"/>
    <w:rsid w:val="00AA28EF"/>
    <w:rsid w:val="00AA2961"/>
    <w:rsid w:val="00AA493E"/>
    <w:rsid w:val="00AA73AF"/>
    <w:rsid w:val="00AB1754"/>
    <w:rsid w:val="00AB27DD"/>
    <w:rsid w:val="00AC36EB"/>
    <w:rsid w:val="00AC439D"/>
    <w:rsid w:val="00AC713F"/>
    <w:rsid w:val="00AD067E"/>
    <w:rsid w:val="00AD2801"/>
    <w:rsid w:val="00AD6870"/>
    <w:rsid w:val="00AD68C5"/>
    <w:rsid w:val="00AE0A18"/>
    <w:rsid w:val="00AE1273"/>
    <w:rsid w:val="00AE2D29"/>
    <w:rsid w:val="00AE394F"/>
    <w:rsid w:val="00AE3DED"/>
    <w:rsid w:val="00AE4624"/>
    <w:rsid w:val="00AE5E14"/>
    <w:rsid w:val="00AE6115"/>
    <w:rsid w:val="00AE625B"/>
    <w:rsid w:val="00AF0402"/>
    <w:rsid w:val="00AF1668"/>
    <w:rsid w:val="00AF4FA5"/>
    <w:rsid w:val="00B07955"/>
    <w:rsid w:val="00B14FAA"/>
    <w:rsid w:val="00B15D30"/>
    <w:rsid w:val="00B20624"/>
    <w:rsid w:val="00B20A81"/>
    <w:rsid w:val="00B21F03"/>
    <w:rsid w:val="00B23436"/>
    <w:rsid w:val="00B2469F"/>
    <w:rsid w:val="00B26354"/>
    <w:rsid w:val="00B26CA0"/>
    <w:rsid w:val="00B32179"/>
    <w:rsid w:val="00B331A9"/>
    <w:rsid w:val="00B33AC2"/>
    <w:rsid w:val="00B36569"/>
    <w:rsid w:val="00B40A05"/>
    <w:rsid w:val="00B40A3E"/>
    <w:rsid w:val="00B50227"/>
    <w:rsid w:val="00B50510"/>
    <w:rsid w:val="00B522CD"/>
    <w:rsid w:val="00B55143"/>
    <w:rsid w:val="00B55917"/>
    <w:rsid w:val="00B6187F"/>
    <w:rsid w:val="00B63963"/>
    <w:rsid w:val="00B641F0"/>
    <w:rsid w:val="00B643A6"/>
    <w:rsid w:val="00B64DD6"/>
    <w:rsid w:val="00B6710C"/>
    <w:rsid w:val="00B72076"/>
    <w:rsid w:val="00B72303"/>
    <w:rsid w:val="00B7243B"/>
    <w:rsid w:val="00B82277"/>
    <w:rsid w:val="00B91676"/>
    <w:rsid w:val="00B91C5B"/>
    <w:rsid w:val="00B94554"/>
    <w:rsid w:val="00B95833"/>
    <w:rsid w:val="00BA1824"/>
    <w:rsid w:val="00BA2D98"/>
    <w:rsid w:val="00BA30D1"/>
    <w:rsid w:val="00BA4609"/>
    <w:rsid w:val="00BA5BE2"/>
    <w:rsid w:val="00BA7F46"/>
    <w:rsid w:val="00BB0A0A"/>
    <w:rsid w:val="00BB45B5"/>
    <w:rsid w:val="00BB6064"/>
    <w:rsid w:val="00BC056C"/>
    <w:rsid w:val="00BC09D1"/>
    <w:rsid w:val="00BC1CF3"/>
    <w:rsid w:val="00BC53E4"/>
    <w:rsid w:val="00BC7F82"/>
    <w:rsid w:val="00BD40AB"/>
    <w:rsid w:val="00BD6297"/>
    <w:rsid w:val="00BD6806"/>
    <w:rsid w:val="00BD7433"/>
    <w:rsid w:val="00BD7831"/>
    <w:rsid w:val="00BD7C10"/>
    <w:rsid w:val="00BE046F"/>
    <w:rsid w:val="00BE0DEB"/>
    <w:rsid w:val="00BE12D3"/>
    <w:rsid w:val="00BE2FC1"/>
    <w:rsid w:val="00BE6365"/>
    <w:rsid w:val="00BF0B7F"/>
    <w:rsid w:val="00BF3280"/>
    <w:rsid w:val="00BF4720"/>
    <w:rsid w:val="00BF7B63"/>
    <w:rsid w:val="00C038EC"/>
    <w:rsid w:val="00C05C6D"/>
    <w:rsid w:val="00C1122B"/>
    <w:rsid w:val="00C13B34"/>
    <w:rsid w:val="00C13F26"/>
    <w:rsid w:val="00C16E9F"/>
    <w:rsid w:val="00C1713D"/>
    <w:rsid w:val="00C177F1"/>
    <w:rsid w:val="00C22F3A"/>
    <w:rsid w:val="00C25978"/>
    <w:rsid w:val="00C261C6"/>
    <w:rsid w:val="00C26E7C"/>
    <w:rsid w:val="00C3008F"/>
    <w:rsid w:val="00C3022A"/>
    <w:rsid w:val="00C30A97"/>
    <w:rsid w:val="00C31DDC"/>
    <w:rsid w:val="00C34326"/>
    <w:rsid w:val="00C36201"/>
    <w:rsid w:val="00C368E8"/>
    <w:rsid w:val="00C36C3D"/>
    <w:rsid w:val="00C372C7"/>
    <w:rsid w:val="00C42443"/>
    <w:rsid w:val="00C42CBA"/>
    <w:rsid w:val="00C5019E"/>
    <w:rsid w:val="00C5377C"/>
    <w:rsid w:val="00C53E8A"/>
    <w:rsid w:val="00C54DF3"/>
    <w:rsid w:val="00C560A7"/>
    <w:rsid w:val="00C56FC8"/>
    <w:rsid w:val="00C60F23"/>
    <w:rsid w:val="00C62EB2"/>
    <w:rsid w:val="00C71BEC"/>
    <w:rsid w:val="00C74390"/>
    <w:rsid w:val="00C74D3A"/>
    <w:rsid w:val="00C80511"/>
    <w:rsid w:val="00C8136E"/>
    <w:rsid w:val="00C826F5"/>
    <w:rsid w:val="00C83740"/>
    <w:rsid w:val="00C84AD1"/>
    <w:rsid w:val="00C85579"/>
    <w:rsid w:val="00C863E5"/>
    <w:rsid w:val="00C91918"/>
    <w:rsid w:val="00C931FC"/>
    <w:rsid w:val="00C932C5"/>
    <w:rsid w:val="00C9650E"/>
    <w:rsid w:val="00CA068D"/>
    <w:rsid w:val="00CA1228"/>
    <w:rsid w:val="00CA282D"/>
    <w:rsid w:val="00CA4670"/>
    <w:rsid w:val="00CA6B1A"/>
    <w:rsid w:val="00CB20DC"/>
    <w:rsid w:val="00CB23DC"/>
    <w:rsid w:val="00CB2487"/>
    <w:rsid w:val="00CB28E2"/>
    <w:rsid w:val="00CB648D"/>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F158D"/>
    <w:rsid w:val="00CF4343"/>
    <w:rsid w:val="00CF4394"/>
    <w:rsid w:val="00D000A9"/>
    <w:rsid w:val="00D005DB"/>
    <w:rsid w:val="00D0064E"/>
    <w:rsid w:val="00D00981"/>
    <w:rsid w:val="00D0280D"/>
    <w:rsid w:val="00D07A72"/>
    <w:rsid w:val="00D10577"/>
    <w:rsid w:val="00D1323B"/>
    <w:rsid w:val="00D14BAE"/>
    <w:rsid w:val="00D1648B"/>
    <w:rsid w:val="00D16819"/>
    <w:rsid w:val="00D20AC0"/>
    <w:rsid w:val="00D2321B"/>
    <w:rsid w:val="00D23DE4"/>
    <w:rsid w:val="00D26873"/>
    <w:rsid w:val="00D31683"/>
    <w:rsid w:val="00D336C8"/>
    <w:rsid w:val="00D339E8"/>
    <w:rsid w:val="00D3662E"/>
    <w:rsid w:val="00D40B1F"/>
    <w:rsid w:val="00D40D75"/>
    <w:rsid w:val="00D449F0"/>
    <w:rsid w:val="00D451C0"/>
    <w:rsid w:val="00D50C8C"/>
    <w:rsid w:val="00D52393"/>
    <w:rsid w:val="00D523E4"/>
    <w:rsid w:val="00D5279D"/>
    <w:rsid w:val="00D52A1B"/>
    <w:rsid w:val="00D53F14"/>
    <w:rsid w:val="00D54BE4"/>
    <w:rsid w:val="00D60483"/>
    <w:rsid w:val="00D61ABB"/>
    <w:rsid w:val="00D63577"/>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6B55"/>
    <w:rsid w:val="00DA7EEA"/>
    <w:rsid w:val="00DB0015"/>
    <w:rsid w:val="00DB2AAD"/>
    <w:rsid w:val="00DB6119"/>
    <w:rsid w:val="00DB626D"/>
    <w:rsid w:val="00DB6365"/>
    <w:rsid w:val="00DC0BF1"/>
    <w:rsid w:val="00DC41C3"/>
    <w:rsid w:val="00DD3593"/>
    <w:rsid w:val="00DE0C67"/>
    <w:rsid w:val="00DE45F3"/>
    <w:rsid w:val="00DE6952"/>
    <w:rsid w:val="00DE78DD"/>
    <w:rsid w:val="00DE7E74"/>
    <w:rsid w:val="00DF6EF8"/>
    <w:rsid w:val="00E00A69"/>
    <w:rsid w:val="00E017F0"/>
    <w:rsid w:val="00E01A0E"/>
    <w:rsid w:val="00E041E4"/>
    <w:rsid w:val="00E1012B"/>
    <w:rsid w:val="00E103C8"/>
    <w:rsid w:val="00E1085B"/>
    <w:rsid w:val="00E11E90"/>
    <w:rsid w:val="00E1308B"/>
    <w:rsid w:val="00E14581"/>
    <w:rsid w:val="00E15539"/>
    <w:rsid w:val="00E16268"/>
    <w:rsid w:val="00E16541"/>
    <w:rsid w:val="00E21D79"/>
    <w:rsid w:val="00E2212A"/>
    <w:rsid w:val="00E2536E"/>
    <w:rsid w:val="00E25B8A"/>
    <w:rsid w:val="00E2632B"/>
    <w:rsid w:val="00E322F7"/>
    <w:rsid w:val="00E3369B"/>
    <w:rsid w:val="00E36D76"/>
    <w:rsid w:val="00E405EA"/>
    <w:rsid w:val="00E408B7"/>
    <w:rsid w:val="00E41637"/>
    <w:rsid w:val="00E42789"/>
    <w:rsid w:val="00E43F59"/>
    <w:rsid w:val="00E464F0"/>
    <w:rsid w:val="00E50BEB"/>
    <w:rsid w:val="00E548FA"/>
    <w:rsid w:val="00E6092F"/>
    <w:rsid w:val="00E62049"/>
    <w:rsid w:val="00E629DA"/>
    <w:rsid w:val="00E6469F"/>
    <w:rsid w:val="00E67FAC"/>
    <w:rsid w:val="00E7200B"/>
    <w:rsid w:val="00E738CB"/>
    <w:rsid w:val="00E73C88"/>
    <w:rsid w:val="00E74437"/>
    <w:rsid w:val="00E7443D"/>
    <w:rsid w:val="00E76C1D"/>
    <w:rsid w:val="00E81C3E"/>
    <w:rsid w:val="00E82B6D"/>
    <w:rsid w:val="00E909DE"/>
    <w:rsid w:val="00EA1177"/>
    <w:rsid w:val="00EA118B"/>
    <w:rsid w:val="00EA11B6"/>
    <w:rsid w:val="00EA2181"/>
    <w:rsid w:val="00EA2DD8"/>
    <w:rsid w:val="00EA43E5"/>
    <w:rsid w:val="00EA4475"/>
    <w:rsid w:val="00EA681F"/>
    <w:rsid w:val="00EB3823"/>
    <w:rsid w:val="00EB47D8"/>
    <w:rsid w:val="00EB57D3"/>
    <w:rsid w:val="00EB5EFD"/>
    <w:rsid w:val="00EB679F"/>
    <w:rsid w:val="00EB76E4"/>
    <w:rsid w:val="00EC0E65"/>
    <w:rsid w:val="00EC2938"/>
    <w:rsid w:val="00EC50C9"/>
    <w:rsid w:val="00EC58B4"/>
    <w:rsid w:val="00EC5BB2"/>
    <w:rsid w:val="00ED12F0"/>
    <w:rsid w:val="00ED4773"/>
    <w:rsid w:val="00ED664B"/>
    <w:rsid w:val="00ED6A61"/>
    <w:rsid w:val="00EE03BB"/>
    <w:rsid w:val="00EE0B44"/>
    <w:rsid w:val="00EE1434"/>
    <w:rsid w:val="00EE6FE0"/>
    <w:rsid w:val="00EE704A"/>
    <w:rsid w:val="00EE7840"/>
    <w:rsid w:val="00EF3C0F"/>
    <w:rsid w:val="00EF4C74"/>
    <w:rsid w:val="00EF5268"/>
    <w:rsid w:val="00EF608E"/>
    <w:rsid w:val="00F0044B"/>
    <w:rsid w:val="00F00753"/>
    <w:rsid w:val="00F04957"/>
    <w:rsid w:val="00F05807"/>
    <w:rsid w:val="00F065F1"/>
    <w:rsid w:val="00F07052"/>
    <w:rsid w:val="00F0706C"/>
    <w:rsid w:val="00F116A0"/>
    <w:rsid w:val="00F11EBE"/>
    <w:rsid w:val="00F12BA8"/>
    <w:rsid w:val="00F130D0"/>
    <w:rsid w:val="00F14933"/>
    <w:rsid w:val="00F1516A"/>
    <w:rsid w:val="00F15375"/>
    <w:rsid w:val="00F22A26"/>
    <w:rsid w:val="00F24072"/>
    <w:rsid w:val="00F26432"/>
    <w:rsid w:val="00F3197A"/>
    <w:rsid w:val="00F32139"/>
    <w:rsid w:val="00F3342B"/>
    <w:rsid w:val="00F33D56"/>
    <w:rsid w:val="00F34E08"/>
    <w:rsid w:val="00F41D91"/>
    <w:rsid w:val="00F42363"/>
    <w:rsid w:val="00F455A7"/>
    <w:rsid w:val="00F46964"/>
    <w:rsid w:val="00F46F9A"/>
    <w:rsid w:val="00F5126A"/>
    <w:rsid w:val="00F57120"/>
    <w:rsid w:val="00F6636A"/>
    <w:rsid w:val="00F667C5"/>
    <w:rsid w:val="00F67E31"/>
    <w:rsid w:val="00F718A8"/>
    <w:rsid w:val="00F72183"/>
    <w:rsid w:val="00F76D01"/>
    <w:rsid w:val="00F81C35"/>
    <w:rsid w:val="00F82981"/>
    <w:rsid w:val="00F8311F"/>
    <w:rsid w:val="00F83248"/>
    <w:rsid w:val="00F83376"/>
    <w:rsid w:val="00F84426"/>
    <w:rsid w:val="00F853AE"/>
    <w:rsid w:val="00F92761"/>
    <w:rsid w:val="00F93C74"/>
    <w:rsid w:val="00F93DCC"/>
    <w:rsid w:val="00F9435D"/>
    <w:rsid w:val="00F97740"/>
    <w:rsid w:val="00FA2F7B"/>
    <w:rsid w:val="00FB09FE"/>
    <w:rsid w:val="00FB593A"/>
    <w:rsid w:val="00FB6410"/>
    <w:rsid w:val="00FB6BC1"/>
    <w:rsid w:val="00FB6E82"/>
    <w:rsid w:val="00FC0042"/>
    <w:rsid w:val="00FC1F5F"/>
    <w:rsid w:val="00FC2A13"/>
    <w:rsid w:val="00FC4284"/>
    <w:rsid w:val="00FC4576"/>
    <w:rsid w:val="00FC7DBC"/>
    <w:rsid w:val="00FD076A"/>
    <w:rsid w:val="00FD0AA0"/>
    <w:rsid w:val="00FD1D5A"/>
    <w:rsid w:val="00FD5059"/>
    <w:rsid w:val="00FD554D"/>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36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40884292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D34AD-09C6-4A99-A841-7FD553CA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2415</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4</cp:revision>
  <cp:lastPrinted>2011-05-02T11:54:00Z</cp:lastPrinted>
  <dcterms:created xsi:type="dcterms:W3CDTF">2012-02-29T16:19:00Z</dcterms:created>
  <dcterms:modified xsi:type="dcterms:W3CDTF">2012-02-29T17:05:00Z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