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F759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F759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F7597">
      <w:pPr>
        <w:tabs>
          <w:tab w:val="left" w:pos="288"/>
          <w:tab w:val="left" w:pos="4752"/>
        </w:tabs>
        <w:spacing w:line="240" w:lineRule="exact"/>
        <w:jc w:val="both"/>
        <w:rPr>
          <w:rFonts w:asciiTheme="minorHAnsi" w:hAnsiTheme="minorHAnsi"/>
          <w:caps/>
          <w:color w:val="auto"/>
        </w:rPr>
      </w:pPr>
    </w:p>
    <w:p w:rsidR="008B446D" w:rsidRPr="00EB7A4E" w:rsidRDefault="008B446D" w:rsidP="005F7597">
      <w:pPr>
        <w:tabs>
          <w:tab w:val="left" w:pos="288"/>
          <w:tab w:val="left" w:pos="4752"/>
        </w:tabs>
        <w:spacing w:line="240" w:lineRule="exact"/>
        <w:ind w:right="-1260"/>
        <w:jc w:val="both"/>
        <w:rPr>
          <w:rFonts w:asciiTheme="minorHAnsi" w:hAnsiTheme="minorHAnsi"/>
          <w:caps/>
          <w:color w:val="auto"/>
        </w:rPr>
      </w:pPr>
      <w:r w:rsidRPr="00EB7A4E">
        <w:rPr>
          <w:rFonts w:asciiTheme="minorHAnsi" w:hAnsiTheme="minorHAnsi"/>
          <w:caps/>
          <w:color w:val="auto"/>
        </w:rPr>
        <w:t xml:space="preserve">NAME: </w:t>
      </w:r>
      <w:r w:rsidR="00883617">
        <w:rPr>
          <w:rFonts w:asciiTheme="minorHAnsi" w:hAnsiTheme="minorHAnsi"/>
          <w:caps/>
          <w:color w:val="auto"/>
        </w:rPr>
        <w:t xml:space="preserve"> </w:t>
      </w:r>
      <w:r w:rsidRPr="00EB7A4E">
        <w:rPr>
          <w:rFonts w:asciiTheme="minorHAnsi" w:hAnsiTheme="minorHAnsi"/>
          <w:caps/>
          <w:color w:val="auto"/>
        </w:rPr>
        <w:tab/>
      </w:r>
      <w:r w:rsidRPr="00EB7A4E">
        <w:rPr>
          <w:rFonts w:asciiTheme="minorHAnsi" w:hAnsiTheme="minorHAnsi"/>
          <w:caps/>
          <w:color w:val="auto"/>
        </w:rPr>
        <w:tab/>
      </w:r>
      <w:r w:rsidRPr="00EB7A4E">
        <w:rPr>
          <w:rFonts w:asciiTheme="minorHAnsi" w:hAnsiTheme="minorHAnsi"/>
          <w:caps/>
          <w:color w:val="auto"/>
        </w:rPr>
        <w:tab/>
        <w:t>BRANCH OF SERVICE: marine corps</w:t>
      </w:r>
    </w:p>
    <w:p w:rsidR="008B446D" w:rsidRDefault="008B446D" w:rsidP="005F7597">
      <w:pPr>
        <w:tabs>
          <w:tab w:val="left" w:pos="288"/>
          <w:tab w:val="left" w:pos="4752"/>
        </w:tabs>
        <w:spacing w:line="240" w:lineRule="exact"/>
        <w:ind w:right="-900"/>
        <w:jc w:val="both"/>
        <w:rPr>
          <w:rFonts w:asciiTheme="minorHAnsi" w:hAnsiTheme="minorHAnsi"/>
          <w:caps/>
          <w:color w:val="auto"/>
        </w:rPr>
      </w:pPr>
      <w:r w:rsidRPr="00EB7A4E">
        <w:rPr>
          <w:rFonts w:asciiTheme="minorHAnsi" w:hAnsiTheme="minorHAnsi"/>
          <w:caps/>
          <w:color w:val="auto"/>
        </w:rPr>
        <w:t>CASE NUMBER: PD</w:t>
      </w:r>
      <w:r w:rsidR="00EB7A4E">
        <w:rPr>
          <w:rFonts w:asciiTheme="minorHAnsi" w:hAnsiTheme="minorHAnsi"/>
          <w:caps/>
          <w:color w:val="auto"/>
        </w:rPr>
        <w:t>1000659</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SEPARATION DATE: </w:t>
      </w:r>
      <w:r w:rsidRPr="00EB7A4E">
        <w:rPr>
          <w:rFonts w:asciiTheme="minorHAnsi" w:hAnsiTheme="minorHAnsi"/>
          <w:caps/>
          <w:color w:val="auto"/>
        </w:rPr>
        <w:t>200</w:t>
      </w:r>
      <w:r w:rsidR="00EB7A4E">
        <w:rPr>
          <w:rFonts w:asciiTheme="minorHAnsi" w:hAnsiTheme="minorHAnsi"/>
          <w:caps/>
          <w:color w:val="auto"/>
        </w:rPr>
        <w:t>60415</w:t>
      </w:r>
    </w:p>
    <w:p w:rsidR="00D560DC" w:rsidRPr="00B2138A" w:rsidRDefault="008B446D" w:rsidP="005F7597">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BOARD DATE: 201</w:t>
      </w:r>
      <w:r w:rsidR="008815FC">
        <w:rPr>
          <w:rFonts w:asciiTheme="minorHAnsi" w:hAnsiTheme="minorHAnsi"/>
          <w:caps/>
          <w:color w:val="auto"/>
        </w:rPr>
        <w:t>11123</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p>
    <w:p w:rsidR="00B2138A" w:rsidRDefault="00B2138A" w:rsidP="005F7597">
      <w:pPr>
        <w:pBdr>
          <w:bottom w:val="single" w:sz="12" w:space="1" w:color="auto"/>
        </w:pBdr>
        <w:tabs>
          <w:tab w:val="left" w:pos="288"/>
          <w:tab w:val="left" w:pos="1710"/>
        </w:tabs>
        <w:spacing w:line="240" w:lineRule="exact"/>
        <w:rPr>
          <w:rFonts w:asciiTheme="minorHAnsi" w:hAnsiTheme="minorHAnsi"/>
          <w:b/>
          <w:color w:val="auto"/>
          <w:u w:val="single"/>
        </w:rPr>
      </w:pPr>
    </w:p>
    <w:p w:rsidR="00B2138A" w:rsidRDefault="00B2138A" w:rsidP="005F7597">
      <w:pPr>
        <w:tabs>
          <w:tab w:val="left" w:pos="288"/>
          <w:tab w:val="left" w:pos="4752"/>
        </w:tabs>
        <w:spacing w:line="240" w:lineRule="exact"/>
        <w:jc w:val="both"/>
        <w:rPr>
          <w:rFonts w:asciiTheme="minorHAnsi" w:hAnsiTheme="minorHAnsi"/>
          <w:color w:val="auto"/>
        </w:rPr>
      </w:pPr>
    </w:p>
    <w:p w:rsidR="00B20624" w:rsidRPr="00684E24" w:rsidRDefault="00737283" w:rsidP="005F7597">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u w:val="single"/>
        </w:rPr>
        <w:t>SUMMARY OF CASE</w:t>
      </w:r>
      <w:r w:rsidRPr="00396779">
        <w:rPr>
          <w:rFonts w:asciiTheme="minorHAnsi" w:hAnsiTheme="minorHAnsi"/>
          <w:color w:val="auto"/>
        </w:rPr>
        <w:t xml:space="preserve">: </w:t>
      </w:r>
      <w:r>
        <w:rPr>
          <w:rFonts w:asciiTheme="minorHAnsi" w:hAnsiTheme="minorHAnsi"/>
          <w:color w:val="auto"/>
        </w:rPr>
        <w:t xml:space="preserve"> </w:t>
      </w:r>
      <w:r w:rsidR="00FF0EFB" w:rsidRPr="00FF0EFB">
        <w:rPr>
          <w:rFonts w:asciiTheme="minorHAnsi" w:hAnsiTheme="minorHAnsi"/>
          <w:color w:val="auto"/>
          <w:szCs w:val="24"/>
        </w:rPr>
        <w:t xml:space="preserve">Data extracted from the available evidence of record reflects that this covered individual (CI) </w:t>
      </w:r>
      <w:r w:rsidR="002C6E5B" w:rsidRPr="00396779">
        <w:rPr>
          <w:rFonts w:asciiTheme="minorHAnsi" w:hAnsiTheme="minorHAnsi"/>
          <w:color w:val="auto"/>
          <w:szCs w:val="24"/>
        </w:rPr>
        <w:t xml:space="preserve">was </w:t>
      </w:r>
      <w:r w:rsidR="00E322F7" w:rsidRPr="00396779">
        <w:rPr>
          <w:rFonts w:asciiTheme="minorHAnsi" w:hAnsiTheme="minorHAnsi"/>
          <w:color w:val="auto"/>
          <w:szCs w:val="24"/>
        </w:rPr>
        <w:t xml:space="preserve">an </w:t>
      </w:r>
      <w:r w:rsidR="00E322F7" w:rsidRPr="00EB7A4E">
        <w:rPr>
          <w:rFonts w:asciiTheme="minorHAnsi" w:hAnsiTheme="minorHAnsi"/>
          <w:color w:val="auto"/>
          <w:szCs w:val="24"/>
        </w:rPr>
        <w:t>active duty</w:t>
      </w:r>
      <w:r w:rsidR="006D4E0E" w:rsidRPr="00EB7A4E">
        <w:rPr>
          <w:rFonts w:asciiTheme="minorHAnsi" w:hAnsiTheme="minorHAnsi"/>
          <w:color w:val="auto"/>
          <w:szCs w:val="24"/>
        </w:rPr>
        <w:t xml:space="preserve"> </w:t>
      </w:r>
      <w:r w:rsidR="00425916">
        <w:rPr>
          <w:rFonts w:asciiTheme="minorHAnsi" w:hAnsiTheme="minorHAnsi"/>
          <w:color w:val="auto"/>
          <w:szCs w:val="24"/>
        </w:rPr>
        <w:t>LC</w:t>
      </w:r>
      <w:r w:rsidR="00B2138A">
        <w:rPr>
          <w:rFonts w:asciiTheme="minorHAnsi" w:hAnsiTheme="minorHAnsi"/>
          <w:color w:val="auto"/>
          <w:szCs w:val="24"/>
        </w:rPr>
        <w:t>pl</w:t>
      </w:r>
      <w:r w:rsidR="00425916">
        <w:rPr>
          <w:rFonts w:asciiTheme="minorHAnsi" w:hAnsiTheme="minorHAnsi"/>
          <w:color w:val="auto"/>
          <w:szCs w:val="24"/>
        </w:rPr>
        <w:t xml:space="preserve">/E-3 </w:t>
      </w:r>
      <w:r w:rsidR="00EB7A4E">
        <w:rPr>
          <w:rFonts w:asciiTheme="minorHAnsi" w:hAnsiTheme="minorHAnsi"/>
          <w:color w:val="auto"/>
          <w:szCs w:val="24"/>
        </w:rPr>
        <w:t>(0331, Machine Gunner)</w:t>
      </w:r>
      <w:r w:rsidR="00E322F7" w:rsidRPr="00396779">
        <w:rPr>
          <w:rFonts w:asciiTheme="minorHAnsi" w:hAnsiTheme="minorHAnsi"/>
          <w:color w:val="auto"/>
          <w:szCs w:val="24"/>
        </w:rPr>
        <w:t xml:space="preserve"> </w:t>
      </w:r>
      <w:r w:rsidR="002C6E5B" w:rsidRPr="00396779">
        <w:rPr>
          <w:rFonts w:asciiTheme="minorHAnsi" w:hAnsiTheme="minorHAnsi"/>
          <w:color w:val="auto"/>
          <w:szCs w:val="24"/>
        </w:rPr>
        <w:t>medically separated f</w:t>
      </w:r>
      <w:r w:rsidR="00F644AD">
        <w:rPr>
          <w:rFonts w:asciiTheme="minorHAnsi" w:hAnsiTheme="minorHAnsi"/>
          <w:color w:val="auto"/>
          <w:szCs w:val="24"/>
        </w:rPr>
        <w:t xml:space="preserve">or </w:t>
      </w:r>
      <w:proofErr w:type="spellStart"/>
      <w:r w:rsidR="00EB7A4E" w:rsidRPr="00EB7A4E">
        <w:rPr>
          <w:rFonts w:asciiTheme="minorHAnsi" w:hAnsiTheme="minorHAnsi"/>
          <w:color w:val="auto"/>
          <w:szCs w:val="24"/>
        </w:rPr>
        <w:t>hallux</w:t>
      </w:r>
      <w:proofErr w:type="spellEnd"/>
      <w:r w:rsidR="00EB7A4E" w:rsidRPr="00EB7A4E">
        <w:rPr>
          <w:rFonts w:asciiTheme="minorHAnsi" w:hAnsiTheme="minorHAnsi"/>
          <w:color w:val="auto"/>
          <w:szCs w:val="24"/>
        </w:rPr>
        <w:t xml:space="preserve"> </w:t>
      </w:r>
      <w:proofErr w:type="spellStart"/>
      <w:r w:rsidR="00EB7A4E" w:rsidRPr="00EB7A4E">
        <w:rPr>
          <w:rFonts w:asciiTheme="minorHAnsi" w:hAnsiTheme="minorHAnsi"/>
          <w:color w:val="auto"/>
          <w:szCs w:val="24"/>
        </w:rPr>
        <w:t>valgus</w:t>
      </w:r>
      <w:proofErr w:type="spellEnd"/>
      <w:r w:rsidR="00EB7A4E" w:rsidRPr="00EB7A4E">
        <w:rPr>
          <w:rFonts w:asciiTheme="minorHAnsi" w:hAnsiTheme="minorHAnsi"/>
          <w:color w:val="auto"/>
          <w:szCs w:val="24"/>
        </w:rPr>
        <w:t xml:space="preserve"> defor</w:t>
      </w:r>
      <w:r w:rsidR="00F644AD">
        <w:rPr>
          <w:rFonts w:asciiTheme="minorHAnsi" w:hAnsiTheme="minorHAnsi"/>
          <w:color w:val="auto"/>
          <w:szCs w:val="24"/>
        </w:rPr>
        <w:t xml:space="preserve">mity of right foot with </w:t>
      </w:r>
      <w:proofErr w:type="spellStart"/>
      <w:r w:rsidR="00F644AD">
        <w:rPr>
          <w:rFonts w:asciiTheme="minorHAnsi" w:hAnsiTheme="minorHAnsi"/>
          <w:color w:val="auto"/>
          <w:szCs w:val="24"/>
        </w:rPr>
        <w:t>p</w:t>
      </w:r>
      <w:r w:rsidR="00EB7A4E">
        <w:rPr>
          <w:rFonts w:asciiTheme="minorHAnsi" w:hAnsiTheme="minorHAnsi"/>
          <w:color w:val="auto"/>
          <w:szCs w:val="24"/>
        </w:rPr>
        <w:t>es</w:t>
      </w:r>
      <w:proofErr w:type="spellEnd"/>
      <w:r w:rsidR="00EB7A4E">
        <w:rPr>
          <w:rFonts w:asciiTheme="minorHAnsi" w:hAnsiTheme="minorHAnsi"/>
          <w:color w:val="auto"/>
          <w:szCs w:val="24"/>
        </w:rPr>
        <w:t xml:space="preserve"> </w:t>
      </w:r>
      <w:proofErr w:type="spellStart"/>
      <w:r w:rsidR="00F644AD">
        <w:rPr>
          <w:rFonts w:asciiTheme="minorHAnsi" w:hAnsiTheme="minorHAnsi"/>
          <w:color w:val="auto"/>
          <w:szCs w:val="24"/>
        </w:rPr>
        <w:t>p</w:t>
      </w:r>
      <w:r w:rsidR="00EB7A4E" w:rsidRPr="00EB7A4E">
        <w:rPr>
          <w:rFonts w:asciiTheme="minorHAnsi" w:hAnsiTheme="minorHAnsi"/>
          <w:color w:val="auto"/>
          <w:szCs w:val="24"/>
        </w:rPr>
        <w:t>la</w:t>
      </w:r>
      <w:r w:rsidR="00EB7A4E">
        <w:rPr>
          <w:rFonts w:asciiTheme="minorHAnsi" w:hAnsiTheme="minorHAnsi"/>
          <w:color w:val="auto"/>
          <w:szCs w:val="24"/>
        </w:rPr>
        <w:t>n</w:t>
      </w:r>
      <w:r w:rsidR="00EB7A4E" w:rsidRPr="00EB7A4E">
        <w:rPr>
          <w:rFonts w:asciiTheme="minorHAnsi" w:hAnsiTheme="minorHAnsi"/>
          <w:color w:val="auto"/>
          <w:szCs w:val="24"/>
        </w:rPr>
        <w:t>us</w:t>
      </w:r>
      <w:proofErr w:type="spellEnd"/>
      <w:r w:rsidR="00EB7A4E">
        <w:rPr>
          <w:rFonts w:asciiTheme="minorHAnsi" w:hAnsiTheme="minorHAnsi"/>
          <w:color w:val="auto"/>
          <w:szCs w:val="24"/>
        </w:rPr>
        <w:t xml:space="preserve">. </w:t>
      </w:r>
      <w:r w:rsidR="00F644AD">
        <w:rPr>
          <w:rFonts w:asciiTheme="minorHAnsi" w:hAnsiTheme="minorHAnsi"/>
          <w:color w:val="auto"/>
          <w:szCs w:val="24"/>
        </w:rPr>
        <w:t xml:space="preserve"> </w:t>
      </w:r>
      <w:r w:rsidR="006103F5">
        <w:rPr>
          <w:rFonts w:asciiTheme="minorHAnsi" w:hAnsiTheme="minorHAnsi"/>
          <w:color w:val="auto"/>
          <w:szCs w:val="24"/>
        </w:rPr>
        <w:t>The CI suffered a crush</w:t>
      </w:r>
      <w:r w:rsidR="00C20321">
        <w:rPr>
          <w:rFonts w:asciiTheme="minorHAnsi" w:hAnsiTheme="minorHAnsi"/>
          <w:color w:val="auto"/>
          <w:szCs w:val="24"/>
        </w:rPr>
        <w:t xml:space="preserve"> injury to his right foot</w:t>
      </w:r>
      <w:r w:rsidR="00B2138A">
        <w:rPr>
          <w:rFonts w:asciiTheme="minorHAnsi" w:hAnsiTheme="minorHAnsi"/>
          <w:color w:val="auto"/>
          <w:szCs w:val="24"/>
        </w:rPr>
        <w:t xml:space="preserve">.  He was treated, but </w:t>
      </w:r>
      <w:r w:rsidR="00EB7A4E" w:rsidRPr="00EB7A4E">
        <w:rPr>
          <w:rFonts w:asciiTheme="minorHAnsi" w:hAnsiTheme="minorHAnsi"/>
          <w:color w:val="auto"/>
          <w:szCs w:val="24"/>
        </w:rPr>
        <w:t>did not res</w:t>
      </w:r>
      <w:r w:rsidR="00F644AD">
        <w:rPr>
          <w:rFonts w:asciiTheme="minorHAnsi" w:hAnsiTheme="minorHAnsi"/>
          <w:color w:val="auto"/>
          <w:szCs w:val="24"/>
        </w:rPr>
        <w:t>pond adequately to</w:t>
      </w:r>
      <w:r w:rsidR="00B2138A">
        <w:rPr>
          <w:rFonts w:asciiTheme="minorHAnsi" w:hAnsiTheme="minorHAnsi"/>
          <w:color w:val="auto"/>
          <w:szCs w:val="24"/>
        </w:rPr>
        <w:t xml:space="preserve"> fully </w:t>
      </w:r>
      <w:r w:rsidR="00F644AD">
        <w:rPr>
          <w:rFonts w:asciiTheme="minorHAnsi" w:hAnsiTheme="minorHAnsi"/>
          <w:color w:val="auto"/>
          <w:szCs w:val="24"/>
        </w:rPr>
        <w:t xml:space="preserve">perform </w:t>
      </w:r>
      <w:r w:rsidR="00B2138A">
        <w:rPr>
          <w:rFonts w:asciiTheme="minorHAnsi" w:hAnsiTheme="minorHAnsi"/>
          <w:color w:val="auto"/>
          <w:szCs w:val="24"/>
        </w:rPr>
        <w:t xml:space="preserve">his military duties or </w:t>
      </w:r>
      <w:r w:rsidR="00F644AD">
        <w:rPr>
          <w:rFonts w:asciiTheme="minorHAnsi" w:hAnsiTheme="minorHAnsi"/>
          <w:color w:val="auto"/>
          <w:szCs w:val="24"/>
        </w:rPr>
        <w:t>meet physical fitness standa</w:t>
      </w:r>
      <w:r w:rsidR="00CD0491">
        <w:rPr>
          <w:rFonts w:asciiTheme="minorHAnsi" w:hAnsiTheme="minorHAnsi"/>
          <w:color w:val="auto"/>
          <w:szCs w:val="24"/>
        </w:rPr>
        <w:t xml:space="preserve">rds.  He </w:t>
      </w:r>
      <w:r w:rsidR="00F644AD" w:rsidRPr="00C472C7">
        <w:rPr>
          <w:rFonts w:asciiTheme="minorHAnsi" w:hAnsiTheme="minorHAnsi"/>
          <w:color w:val="auto"/>
          <w:szCs w:val="24"/>
        </w:rPr>
        <w:t>underwent a Medical Evaluation Board (MEB).</w:t>
      </w:r>
      <w:r w:rsidR="00C20321">
        <w:rPr>
          <w:rFonts w:asciiTheme="minorHAnsi" w:hAnsiTheme="minorHAnsi"/>
          <w:color w:val="auto"/>
          <w:szCs w:val="24"/>
        </w:rPr>
        <w:t xml:space="preserve">  </w:t>
      </w:r>
      <w:r w:rsidR="006932E2">
        <w:rPr>
          <w:rFonts w:asciiTheme="minorHAnsi" w:hAnsiTheme="minorHAnsi"/>
          <w:color w:val="auto"/>
          <w:szCs w:val="24"/>
        </w:rPr>
        <w:t>Two foot conditions (r</w:t>
      </w:r>
      <w:r w:rsidR="00C118B1">
        <w:rPr>
          <w:rFonts w:asciiTheme="minorHAnsi" w:hAnsiTheme="minorHAnsi"/>
          <w:color w:val="auto"/>
          <w:szCs w:val="24"/>
        </w:rPr>
        <w:t>ight foot injury and flat foot</w:t>
      </w:r>
      <w:r w:rsidR="006932E2">
        <w:rPr>
          <w:rFonts w:asciiTheme="minorHAnsi" w:hAnsiTheme="minorHAnsi"/>
          <w:color w:val="auto"/>
          <w:szCs w:val="24"/>
        </w:rPr>
        <w:t>)</w:t>
      </w:r>
      <w:r w:rsidR="00C118B1">
        <w:rPr>
          <w:rFonts w:asciiTheme="minorHAnsi" w:hAnsiTheme="minorHAnsi"/>
          <w:color w:val="auto"/>
          <w:szCs w:val="24"/>
        </w:rPr>
        <w:t xml:space="preserve"> </w:t>
      </w:r>
      <w:r w:rsidR="00684E24">
        <w:rPr>
          <w:rFonts w:asciiTheme="minorHAnsi" w:hAnsiTheme="minorHAnsi"/>
          <w:color w:val="auto"/>
          <w:szCs w:val="24"/>
        </w:rPr>
        <w:t>were</w:t>
      </w:r>
      <w:r w:rsidR="00AE5E14" w:rsidRPr="00396779">
        <w:rPr>
          <w:rFonts w:asciiTheme="minorHAnsi" w:hAnsiTheme="minorHAnsi"/>
          <w:color w:val="auto"/>
          <w:szCs w:val="24"/>
        </w:rPr>
        <w:t xml:space="preserve"> </w:t>
      </w:r>
      <w:r w:rsidR="00AE5E14" w:rsidRPr="0013525F">
        <w:rPr>
          <w:rFonts w:asciiTheme="minorHAnsi" w:hAnsiTheme="minorHAnsi"/>
          <w:color w:val="auto"/>
          <w:szCs w:val="24"/>
        </w:rPr>
        <w:t xml:space="preserve">forwarded to the </w:t>
      </w:r>
      <w:r w:rsidR="00B20624" w:rsidRPr="00396779">
        <w:rPr>
          <w:rFonts w:asciiTheme="minorHAnsi" w:hAnsiTheme="minorHAnsi"/>
          <w:color w:val="auto"/>
          <w:szCs w:val="24"/>
        </w:rPr>
        <w:t>Physical Evaluation Board (</w:t>
      </w:r>
      <w:r w:rsidR="00AE5E14" w:rsidRPr="00396779">
        <w:rPr>
          <w:rFonts w:asciiTheme="minorHAnsi" w:hAnsiTheme="minorHAnsi"/>
          <w:color w:val="auto"/>
          <w:szCs w:val="24"/>
        </w:rPr>
        <w:t>PEB</w:t>
      </w:r>
      <w:r w:rsidR="00B20624" w:rsidRPr="00231DE4">
        <w:rPr>
          <w:rFonts w:asciiTheme="minorHAnsi" w:hAnsiTheme="minorHAnsi"/>
          <w:color w:val="auto"/>
          <w:szCs w:val="24"/>
        </w:rPr>
        <w:t>)</w:t>
      </w:r>
      <w:r w:rsidR="00AE5E14" w:rsidRPr="00231DE4">
        <w:rPr>
          <w:rFonts w:asciiTheme="minorHAnsi" w:hAnsiTheme="minorHAnsi"/>
          <w:color w:val="auto"/>
          <w:szCs w:val="24"/>
        </w:rPr>
        <w:t xml:space="preserve"> </w:t>
      </w:r>
      <w:r w:rsidR="00F644AD">
        <w:rPr>
          <w:rFonts w:asciiTheme="minorHAnsi" w:hAnsiTheme="minorHAnsi"/>
          <w:color w:val="auto"/>
          <w:szCs w:val="24"/>
        </w:rPr>
        <w:t xml:space="preserve">as </w:t>
      </w:r>
      <w:r w:rsidR="00F644AD" w:rsidRPr="00611EB8">
        <w:rPr>
          <w:rFonts w:asciiTheme="minorHAnsi" w:hAnsiTheme="minorHAnsi"/>
          <w:color w:val="auto"/>
          <w:szCs w:val="24"/>
        </w:rPr>
        <w:t>medically unacceptable</w:t>
      </w:r>
      <w:r w:rsidR="00F644AD">
        <w:rPr>
          <w:rFonts w:asciiTheme="minorHAnsi" w:hAnsiTheme="minorHAnsi"/>
          <w:color w:val="auto"/>
          <w:szCs w:val="24"/>
        </w:rPr>
        <w:t xml:space="preserve"> </w:t>
      </w:r>
      <w:r w:rsidR="00F644AD" w:rsidRPr="005440D4">
        <w:rPr>
          <w:rFonts w:asciiTheme="minorHAnsi" w:hAnsiTheme="minorHAnsi"/>
          <w:color w:val="auto"/>
          <w:szCs w:val="24"/>
        </w:rPr>
        <w:t>IAW</w:t>
      </w:r>
      <w:r w:rsidR="00F644AD" w:rsidRPr="00895CB9">
        <w:rPr>
          <w:rFonts w:asciiTheme="minorHAnsi" w:hAnsiTheme="minorHAnsi"/>
          <w:color w:val="auto"/>
          <w:szCs w:val="24"/>
        </w:rPr>
        <w:t xml:space="preserve"> NAVPERS 18068F</w:t>
      </w:r>
      <w:r w:rsidR="00F644AD">
        <w:rPr>
          <w:rFonts w:asciiTheme="minorHAnsi" w:hAnsiTheme="minorHAnsi"/>
          <w:color w:val="auto"/>
          <w:szCs w:val="24"/>
        </w:rPr>
        <w:t xml:space="preserve">.  </w:t>
      </w:r>
      <w:r w:rsidRPr="00737283">
        <w:rPr>
          <w:rFonts w:asciiTheme="minorHAnsi" w:hAnsiTheme="minorHAnsi"/>
          <w:color w:val="auto"/>
          <w:szCs w:val="24"/>
        </w:rPr>
        <w:t xml:space="preserve">The PEB </w:t>
      </w:r>
      <w:r w:rsidR="006932E2">
        <w:rPr>
          <w:rFonts w:asciiTheme="minorHAnsi" w:hAnsiTheme="minorHAnsi"/>
          <w:color w:val="auto"/>
          <w:szCs w:val="24"/>
        </w:rPr>
        <w:t xml:space="preserve">found the CI unfit due to </w:t>
      </w:r>
      <w:proofErr w:type="spellStart"/>
      <w:r w:rsidR="00231DE4" w:rsidRPr="00231DE4">
        <w:rPr>
          <w:rFonts w:asciiTheme="minorHAnsi" w:hAnsiTheme="minorHAnsi"/>
          <w:color w:val="auto"/>
          <w:szCs w:val="24"/>
        </w:rPr>
        <w:t>hallux</w:t>
      </w:r>
      <w:proofErr w:type="spellEnd"/>
      <w:r w:rsidR="00231DE4" w:rsidRPr="00231DE4">
        <w:rPr>
          <w:rFonts w:asciiTheme="minorHAnsi" w:hAnsiTheme="minorHAnsi"/>
          <w:color w:val="auto"/>
          <w:szCs w:val="24"/>
        </w:rPr>
        <w:t xml:space="preserve"> </w:t>
      </w:r>
      <w:proofErr w:type="spellStart"/>
      <w:r w:rsidR="00231DE4" w:rsidRPr="00231DE4">
        <w:rPr>
          <w:rFonts w:asciiTheme="minorHAnsi" w:hAnsiTheme="minorHAnsi"/>
          <w:color w:val="auto"/>
          <w:szCs w:val="24"/>
        </w:rPr>
        <w:t>valgu</w:t>
      </w:r>
      <w:r w:rsidR="00684E24">
        <w:rPr>
          <w:rFonts w:asciiTheme="minorHAnsi" w:hAnsiTheme="minorHAnsi"/>
          <w:color w:val="auto"/>
          <w:szCs w:val="24"/>
        </w:rPr>
        <w:t>s</w:t>
      </w:r>
      <w:proofErr w:type="spellEnd"/>
      <w:r w:rsidR="00684E24">
        <w:rPr>
          <w:rFonts w:asciiTheme="minorHAnsi" w:hAnsiTheme="minorHAnsi"/>
          <w:color w:val="auto"/>
          <w:szCs w:val="24"/>
        </w:rPr>
        <w:t xml:space="preserve"> deformity of right foot with </w:t>
      </w:r>
      <w:proofErr w:type="spellStart"/>
      <w:r w:rsidR="00684E24">
        <w:rPr>
          <w:rFonts w:asciiTheme="minorHAnsi" w:hAnsiTheme="minorHAnsi"/>
          <w:color w:val="auto"/>
          <w:szCs w:val="24"/>
        </w:rPr>
        <w:t>pes</w:t>
      </w:r>
      <w:proofErr w:type="spellEnd"/>
      <w:r w:rsidR="00684E24">
        <w:rPr>
          <w:rFonts w:asciiTheme="minorHAnsi" w:hAnsiTheme="minorHAnsi"/>
          <w:color w:val="auto"/>
          <w:szCs w:val="24"/>
        </w:rPr>
        <w:t xml:space="preserve"> </w:t>
      </w:r>
      <w:proofErr w:type="spellStart"/>
      <w:r w:rsidR="00684E24">
        <w:rPr>
          <w:rFonts w:asciiTheme="minorHAnsi" w:hAnsiTheme="minorHAnsi"/>
          <w:color w:val="auto"/>
          <w:szCs w:val="24"/>
        </w:rPr>
        <w:t>p</w:t>
      </w:r>
      <w:r w:rsidR="00231DE4" w:rsidRPr="00231DE4">
        <w:rPr>
          <w:rFonts w:asciiTheme="minorHAnsi" w:hAnsiTheme="minorHAnsi"/>
          <w:color w:val="auto"/>
          <w:szCs w:val="24"/>
        </w:rPr>
        <w:t>lanus</w:t>
      </w:r>
      <w:proofErr w:type="spellEnd"/>
      <w:r w:rsidR="00231DE4">
        <w:rPr>
          <w:rFonts w:asciiTheme="minorHAnsi" w:hAnsiTheme="minorHAnsi"/>
          <w:color w:val="auto"/>
          <w:szCs w:val="24"/>
        </w:rPr>
        <w:t xml:space="preserve">, </w:t>
      </w:r>
      <w:r w:rsidR="006932E2">
        <w:rPr>
          <w:rFonts w:asciiTheme="minorHAnsi" w:hAnsiTheme="minorHAnsi"/>
          <w:color w:val="auto"/>
          <w:szCs w:val="24"/>
        </w:rPr>
        <w:t xml:space="preserve">and assigned a disability rating of </w:t>
      </w:r>
      <w:r w:rsidR="00231DE4">
        <w:rPr>
          <w:rFonts w:asciiTheme="minorHAnsi" w:hAnsiTheme="minorHAnsi"/>
          <w:color w:val="auto"/>
          <w:szCs w:val="24"/>
        </w:rPr>
        <w:t>10</w:t>
      </w:r>
      <w:r w:rsidR="006932E2">
        <w:rPr>
          <w:rFonts w:asciiTheme="minorHAnsi" w:hAnsiTheme="minorHAnsi"/>
          <w:color w:val="auto"/>
          <w:szCs w:val="24"/>
        </w:rPr>
        <w:t>%</w:t>
      </w:r>
      <w:r w:rsidR="00684E24" w:rsidRPr="005440D4">
        <w:rPr>
          <w:rFonts w:asciiTheme="minorHAnsi" w:hAnsiTheme="minorHAnsi"/>
          <w:color w:val="auto"/>
          <w:szCs w:val="24"/>
        </w:rPr>
        <w:t>.</w:t>
      </w:r>
      <w:r w:rsidR="006932E2">
        <w:rPr>
          <w:rFonts w:asciiTheme="minorHAnsi" w:hAnsiTheme="minorHAnsi"/>
          <w:color w:val="auto"/>
          <w:szCs w:val="24"/>
        </w:rPr>
        <w:t xml:space="preserve">  Crush injury to </w:t>
      </w:r>
      <w:r w:rsidR="00684E24">
        <w:rPr>
          <w:rFonts w:asciiTheme="minorHAnsi" w:hAnsiTheme="minorHAnsi"/>
          <w:color w:val="auto"/>
          <w:szCs w:val="24"/>
        </w:rPr>
        <w:t xml:space="preserve">right foot was </w:t>
      </w:r>
      <w:r w:rsidR="006932E2">
        <w:rPr>
          <w:rFonts w:asciiTheme="minorHAnsi" w:hAnsiTheme="minorHAnsi"/>
          <w:color w:val="auto"/>
          <w:szCs w:val="24"/>
        </w:rPr>
        <w:t xml:space="preserve">adjudicated as </w:t>
      </w:r>
      <w:r w:rsidR="00684E24">
        <w:rPr>
          <w:rFonts w:asciiTheme="minorHAnsi" w:hAnsiTheme="minorHAnsi"/>
          <w:color w:val="auto"/>
          <w:szCs w:val="24"/>
        </w:rPr>
        <w:t>Category II</w:t>
      </w:r>
      <w:r w:rsidR="006932E2">
        <w:rPr>
          <w:rFonts w:asciiTheme="minorHAnsi" w:hAnsiTheme="minorHAnsi"/>
          <w:color w:val="auto"/>
          <w:szCs w:val="24"/>
        </w:rPr>
        <w:t xml:space="preserve"> (</w:t>
      </w:r>
      <w:r w:rsidR="00684E24">
        <w:rPr>
          <w:rFonts w:asciiTheme="minorHAnsi" w:hAnsiTheme="minorHAnsi"/>
          <w:color w:val="auto"/>
          <w:szCs w:val="24"/>
        </w:rPr>
        <w:t>related</w:t>
      </w:r>
      <w:r w:rsidR="006932E2">
        <w:rPr>
          <w:rFonts w:asciiTheme="minorHAnsi" w:hAnsiTheme="minorHAnsi"/>
          <w:color w:val="auto"/>
          <w:szCs w:val="24"/>
        </w:rPr>
        <w:t xml:space="preserve"> to the unfitting foot condition)</w:t>
      </w:r>
      <w:r w:rsidR="00684E24">
        <w:rPr>
          <w:rFonts w:asciiTheme="minorHAnsi" w:hAnsiTheme="minorHAnsi"/>
          <w:color w:val="auto"/>
          <w:szCs w:val="24"/>
        </w:rPr>
        <w:t xml:space="preserve">.  Overweight was </w:t>
      </w:r>
      <w:r w:rsidR="006932E2">
        <w:rPr>
          <w:rFonts w:asciiTheme="minorHAnsi" w:hAnsiTheme="minorHAnsi"/>
          <w:color w:val="auto"/>
          <w:szCs w:val="24"/>
        </w:rPr>
        <w:t xml:space="preserve">added as </w:t>
      </w:r>
      <w:r w:rsidR="00684E24">
        <w:rPr>
          <w:rFonts w:asciiTheme="minorHAnsi" w:hAnsiTheme="minorHAnsi"/>
          <w:color w:val="auto"/>
          <w:szCs w:val="24"/>
        </w:rPr>
        <w:t xml:space="preserve">Category IV </w:t>
      </w:r>
      <w:r w:rsidR="006932E2">
        <w:rPr>
          <w:rFonts w:asciiTheme="minorHAnsi" w:hAnsiTheme="minorHAnsi"/>
          <w:color w:val="auto"/>
          <w:szCs w:val="24"/>
        </w:rPr>
        <w:t>(</w:t>
      </w:r>
      <w:r w:rsidR="00684E24">
        <w:rPr>
          <w:rFonts w:asciiTheme="minorHAnsi" w:hAnsiTheme="minorHAnsi"/>
          <w:color w:val="auto"/>
          <w:szCs w:val="24"/>
        </w:rPr>
        <w:t xml:space="preserve">condition </w:t>
      </w:r>
      <w:r w:rsidR="006932E2">
        <w:rPr>
          <w:rFonts w:asciiTheme="minorHAnsi" w:hAnsiTheme="minorHAnsi"/>
          <w:color w:val="auto"/>
          <w:szCs w:val="24"/>
        </w:rPr>
        <w:t>not</w:t>
      </w:r>
      <w:r w:rsidR="00684E24">
        <w:rPr>
          <w:rFonts w:asciiTheme="minorHAnsi" w:hAnsiTheme="minorHAnsi"/>
          <w:color w:val="auto"/>
          <w:szCs w:val="24"/>
        </w:rPr>
        <w:t xml:space="preserve"> constitut</w:t>
      </w:r>
      <w:r w:rsidR="006932E2">
        <w:rPr>
          <w:rFonts w:asciiTheme="minorHAnsi" w:hAnsiTheme="minorHAnsi"/>
          <w:color w:val="auto"/>
          <w:szCs w:val="24"/>
        </w:rPr>
        <w:t>ing</w:t>
      </w:r>
      <w:r w:rsidR="00684E24">
        <w:rPr>
          <w:rFonts w:asciiTheme="minorHAnsi" w:hAnsiTheme="minorHAnsi"/>
          <w:color w:val="auto"/>
          <w:szCs w:val="24"/>
        </w:rPr>
        <w:t xml:space="preserve"> a physical disability</w:t>
      </w:r>
      <w:r w:rsidR="006932E2">
        <w:rPr>
          <w:rFonts w:asciiTheme="minorHAnsi" w:hAnsiTheme="minorHAnsi"/>
          <w:color w:val="auto"/>
          <w:szCs w:val="24"/>
        </w:rPr>
        <w:t>)</w:t>
      </w:r>
      <w:r w:rsidR="00684E24">
        <w:rPr>
          <w:rFonts w:asciiTheme="minorHAnsi" w:hAnsiTheme="minorHAnsi"/>
          <w:color w:val="auto"/>
          <w:szCs w:val="24"/>
        </w:rPr>
        <w:t xml:space="preserve">.  </w:t>
      </w:r>
      <w:r w:rsidR="00B20624" w:rsidRPr="00396779">
        <w:rPr>
          <w:rFonts w:asciiTheme="minorHAnsi" w:hAnsiTheme="minorHAnsi"/>
          <w:color w:val="auto"/>
        </w:rPr>
        <w:t xml:space="preserve">The CI </w:t>
      </w:r>
      <w:r w:rsidR="00190E48" w:rsidRPr="00396779">
        <w:rPr>
          <w:rFonts w:asciiTheme="minorHAnsi" w:hAnsiTheme="minorHAnsi"/>
          <w:color w:val="auto"/>
        </w:rPr>
        <w:t xml:space="preserve">made </w:t>
      </w:r>
      <w:r w:rsidR="00190E48" w:rsidRPr="008E20A3">
        <w:rPr>
          <w:rFonts w:asciiTheme="minorHAnsi" w:hAnsiTheme="minorHAnsi"/>
          <w:color w:val="auto"/>
        </w:rPr>
        <w:t>no appeals,</w:t>
      </w:r>
      <w:r w:rsidR="00190E48" w:rsidRPr="00396779">
        <w:rPr>
          <w:rFonts w:asciiTheme="minorHAnsi" w:hAnsiTheme="minorHAnsi"/>
          <w:color w:val="auto"/>
        </w:rPr>
        <w:t xml:space="preserve"> </w:t>
      </w:r>
      <w:r w:rsidR="00684E24">
        <w:rPr>
          <w:rFonts w:asciiTheme="minorHAnsi" w:hAnsiTheme="minorHAnsi"/>
          <w:color w:val="auto"/>
        </w:rPr>
        <w:t xml:space="preserve">and </w:t>
      </w:r>
      <w:r w:rsidR="00C20321">
        <w:rPr>
          <w:rFonts w:asciiTheme="minorHAnsi" w:hAnsiTheme="minorHAnsi"/>
          <w:color w:val="auto"/>
        </w:rPr>
        <w:t xml:space="preserve">was </w:t>
      </w:r>
      <w:r w:rsidR="006932E2">
        <w:rPr>
          <w:rFonts w:asciiTheme="minorHAnsi" w:hAnsiTheme="minorHAnsi"/>
          <w:color w:val="auto"/>
        </w:rPr>
        <w:t xml:space="preserve">thus </w:t>
      </w:r>
      <w:r w:rsidR="00B20624" w:rsidRPr="00396779">
        <w:rPr>
          <w:rFonts w:asciiTheme="minorHAnsi" w:hAnsiTheme="minorHAnsi"/>
          <w:color w:val="auto"/>
        </w:rPr>
        <w:t xml:space="preserve">separated with a </w:t>
      </w:r>
      <w:r w:rsidR="008E20A3">
        <w:rPr>
          <w:rFonts w:asciiTheme="minorHAnsi" w:hAnsiTheme="minorHAnsi"/>
          <w:color w:val="auto"/>
        </w:rPr>
        <w:t>10</w:t>
      </w:r>
      <w:r w:rsidR="00684E24">
        <w:rPr>
          <w:rFonts w:asciiTheme="minorHAnsi" w:hAnsiTheme="minorHAnsi"/>
          <w:color w:val="auto"/>
        </w:rPr>
        <w:t>%</w:t>
      </w:r>
      <w:r w:rsidR="00B20624" w:rsidRPr="00396779">
        <w:rPr>
          <w:rFonts w:asciiTheme="minorHAnsi" w:hAnsiTheme="minorHAnsi"/>
          <w:color w:val="auto"/>
        </w:rPr>
        <w:t xml:space="preserve"> </w:t>
      </w:r>
      <w:r w:rsidR="00B20624" w:rsidRPr="00326C08">
        <w:rPr>
          <w:rFonts w:asciiTheme="minorHAnsi" w:hAnsiTheme="minorHAnsi"/>
          <w:color w:val="auto"/>
        </w:rPr>
        <w:t xml:space="preserve">disability rating.  </w:t>
      </w:r>
    </w:p>
    <w:p w:rsidR="00106AD8" w:rsidRPr="00CD5BD7" w:rsidRDefault="00106AD8" w:rsidP="005F7597">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5F7597">
      <w:pPr>
        <w:tabs>
          <w:tab w:val="left" w:pos="288"/>
          <w:tab w:val="left" w:pos="4752"/>
        </w:tabs>
        <w:spacing w:line="240" w:lineRule="exact"/>
        <w:rPr>
          <w:rFonts w:ascii="Calibri" w:hAnsi="Calibri"/>
          <w:color w:val="000080"/>
          <w:szCs w:val="24"/>
        </w:rPr>
      </w:pPr>
    </w:p>
    <w:p w:rsidR="00AA1ED0" w:rsidRPr="00326C08" w:rsidRDefault="002C6E5B" w:rsidP="005F7597">
      <w:pPr>
        <w:tabs>
          <w:tab w:val="left" w:pos="288"/>
          <w:tab w:val="left" w:pos="4752"/>
        </w:tabs>
        <w:spacing w:line="240" w:lineRule="exact"/>
        <w:jc w:val="both"/>
        <w:rPr>
          <w:rFonts w:asciiTheme="minorHAnsi" w:hAnsiTheme="minorHAnsi"/>
          <w: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5410C4">
        <w:rPr>
          <w:rFonts w:asciiTheme="minorHAnsi" w:hAnsiTheme="minorHAnsi"/>
          <w:color w:val="auto"/>
          <w:szCs w:val="24"/>
        </w:rPr>
        <w:t>The CI states</w:t>
      </w:r>
      <w:r w:rsidR="006932E2">
        <w:rPr>
          <w:rFonts w:asciiTheme="minorHAnsi" w:hAnsiTheme="minorHAnsi"/>
          <w:color w:val="auto"/>
          <w:szCs w:val="24"/>
        </w:rPr>
        <w:t>, “</w:t>
      </w:r>
      <w:r w:rsidR="003460D5">
        <w:rPr>
          <w:rFonts w:asciiTheme="minorHAnsi" w:hAnsiTheme="minorHAnsi"/>
          <w:color w:val="auto"/>
          <w:szCs w:val="24"/>
        </w:rPr>
        <w:t>Disabling posttraumatic stress d</w:t>
      </w:r>
      <w:r w:rsidR="008E20A3">
        <w:rPr>
          <w:rFonts w:asciiTheme="minorHAnsi" w:hAnsiTheme="minorHAnsi"/>
          <w:color w:val="auto"/>
          <w:szCs w:val="24"/>
        </w:rPr>
        <w:t>isorder condition onset not d</w:t>
      </w:r>
      <w:r w:rsidR="005A423C">
        <w:rPr>
          <w:rFonts w:asciiTheme="minorHAnsi" w:hAnsiTheme="minorHAnsi"/>
          <w:color w:val="auto"/>
          <w:szCs w:val="24"/>
        </w:rPr>
        <w:t xml:space="preserve">iagnosed until post-separation.  </w:t>
      </w:r>
      <w:r w:rsidR="008E20A3">
        <w:rPr>
          <w:rFonts w:asciiTheme="minorHAnsi" w:hAnsiTheme="minorHAnsi"/>
          <w:color w:val="auto"/>
          <w:szCs w:val="24"/>
        </w:rPr>
        <w:t>Currently rated by VA (PTSD) 30%</w:t>
      </w:r>
      <w:r w:rsidR="005410C4">
        <w:rPr>
          <w:rFonts w:asciiTheme="minorHAnsi" w:hAnsiTheme="minorHAnsi"/>
          <w:color w:val="auto"/>
          <w:szCs w:val="24"/>
        </w:rPr>
        <w:t>.”</w:t>
      </w:r>
      <w:r w:rsidR="008E20A3">
        <w:rPr>
          <w:rFonts w:asciiTheme="minorHAnsi" w:hAnsiTheme="minorHAnsi"/>
          <w:color w:val="auto"/>
          <w:szCs w:val="24"/>
        </w:rPr>
        <w:t xml:space="preserve"> </w:t>
      </w:r>
    </w:p>
    <w:p w:rsidR="00106AD8" w:rsidRPr="00CD5BD7" w:rsidRDefault="00106AD8" w:rsidP="005F7597">
      <w:pPr>
        <w:pBdr>
          <w:bottom w:val="single" w:sz="12" w:space="1" w:color="auto"/>
        </w:pBdr>
        <w:tabs>
          <w:tab w:val="left" w:pos="288"/>
          <w:tab w:val="left" w:pos="4752"/>
        </w:tabs>
        <w:spacing w:line="240" w:lineRule="exact"/>
        <w:jc w:val="both"/>
        <w:rPr>
          <w:rFonts w:ascii="Calibri" w:hAnsi="Calibri"/>
          <w:color w:val="auto"/>
          <w:szCs w:val="24"/>
        </w:rPr>
      </w:pPr>
    </w:p>
    <w:p w:rsidR="009C04C1" w:rsidRDefault="009C04C1" w:rsidP="005F7597">
      <w:pPr>
        <w:spacing w:line="240" w:lineRule="exact"/>
        <w:rPr>
          <w:rFonts w:asciiTheme="minorHAnsi" w:hAnsiTheme="minorHAnsi"/>
          <w:color w:val="auto"/>
          <w:u w:val="single"/>
        </w:rPr>
      </w:pPr>
    </w:p>
    <w:p w:rsidR="002338CA" w:rsidRPr="00326C08" w:rsidRDefault="002C6E5B" w:rsidP="005F7597">
      <w:pPr>
        <w:spacing w:line="240" w:lineRule="exact"/>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5F7597">
      <w:pPr>
        <w:tabs>
          <w:tab w:val="left" w:pos="288"/>
          <w:tab w:val="left" w:pos="4752"/>
        </w:tabs>
        <w:spacing w:line="240" w:lineRule="exact"/>
        <w:jc w:val="both"/>
        <w:rPr>
          <w:rFonts w:asciiTheme="minorHAnsi" w:hAnsiTheme="minorHAnsi"/>
          <w:color w:val="auto"/>
        </w:rPr>
      </w:pPr>
    </w:p>
    <w:tbl>
      <w:tblPr>
        <w:tblStyle w:val="TableGrid"/>
        <w:tblW w:w="9480" w:type="dxa"/>
        <w:jc w:val="center"/>
        <w:tblInd w:w="-210" w:type="dxa"/>
        <w:tblLayout w:type="fixed"/>
        <w:tblLook w:val="04A0"/>
      </w:tblPr>
      <w:tblGrid>
        <w:gridCol w:w="2607"/>
        <w:gridCol w:w="843"/>
        <w:gridCol w:w="1050"/>
        <w:gridCol w:w="2235"/>
        <w:gridCol w:w="945"/>
        <w:gridCol w:w="810"/>
        <w:gridCol w:w="990"/>
      </w:tblGrid>
      <w:tr w:rsidR="00684E2B" w:rsidRPr="00396779" w:rsidTr="00483148">
        <w:trPr>
          <w:trHeight w:val="233"/>
          <w:jc w:val="center"/>
        </w:trPr>
        <w:tc>
          <w:tcPr>
            <w:tcW w:w="4500" w:type="dxa"/>
            <w:gridSpan w:val="3"/>
            <w:tcBorders>
              <w:right w:val="thinThickThinSmallGap" w:sz="24" w:space="0" w:color="auto"/>
            </w:tcBorders>
            <w:shd w:val="clear" w:color="auto" w:fill="D9D9D9" w:themeFill="background1" w:themeFillShade="D9"/>
          </w:tcPr>
          <w:p w:rsidR="00684E2B" w:rsidRPr="00396779" w:rsidRDefault="006932E2" w:rsidP="005F7597">
            <w:pPr>
              <w:pStyle w:val="ListParagraph"/>
              <w:spacing w:after="0" w:line="240" w:lineRule="exact"/>
              <w:ind w:left="0"/>
              <w:jc w:val="center"/>
              <w:rPr>
                <w:rFonts w:cs="Times New Roman"/>
                <w:b/>
                <w:sz w:val="20"/>
                <w:szCs w:val="20"/>
              </w:rPr>
            </w:pPr>
            <w:r>
              <w:rPr>
                <w:rFonts w:cs="Times New Roman"/>
                <w:b/>
                <w:sz w:val="20"/>
                <w:szCs w:val="20"/>
              </w:rPr>
              <w:t>Navy</w:t>
            </w:r>
            <w:r w:rsidR="00684E2B" w:rsidRPr="00396779">
              <w:rPr>
                <w:rFonts w:cs="Times New Roman"/>
                <w:b/>
                <w:sz w:val="20"/>
                <w:szCs w:val="20"/>
              </w:rPr>
              <w:t xml:space="preserve"> </w:t>
            </w:r>
            <w:r w:rsidR="000A5EC0">
              <w:rPr>
                <w:rFonts w:cs="Times New Roman"/>
                <w:b/>
                <w:sz w:val="20"/>
                <w:szCs w:val="20"/>
              </w:rPr>
              <w:t>I</w:t>
            </w:r>
            <w:r w:rsidR="00684E2B" w:rsidRPr="00396779">
              <w:rPr>
                <w:rFonts w:cs="Times New Roman"/>
                <w:b/>
                <w:sz w:val="20"/>
                <w:szCs w:val="20"/>
              </w:rPr>
              <w:t>PEB</w:t>
            </w:r>
            <w:r w:rsidR="002B2645" w:rsidRPr="00396779">
              <w:rPr>
                <w:rFonts w:cs="Times New Roman"/>
                <w:b/>
                <w:sz w:val="20"/>
                <w:szCs w:val="20"/>
              </w:rPr>
              <w:t xml:space="preserve"> – </w:t>
            </w:r>
            <w:r w:rsidR="00483148">
              <w:rPr>
                <w:rFonts w:cs="Times New Roman"/>
                <w:b/>
                <w:sz w:val="20"/>
                <w:szCs w:val="20"/>
              </w:rPr>
              <w:t>d</w:t>
            </w:r>
            <w:r w:rsidR="002B2645" w:rsidRPr="00396779">
              <w:rPr>
                <w:rFonts w:cs="Times New Roman"/>
                <w:b/>
                <w:sz w:val="20"/>
                <w:szCs w:val="20"/>
              </w:rPr>
              <w:t xml:space="preserve">ated </w:t>
            </w:r>
            <w:r w:rsidR="008E20A3">
              <w:rPr>
                <w:rFonts w:cs="Times New Roman"/>
                <w:b/>
                <w:sz w:val="20"/>
                <w:szCs w:val="20"/>
              </w:rPr>
              <w:t>20060207</w:t>
            </w:r>
          </w:p>
        </w:tc>
        <w:tc>
          <w:tcPr>
            <w:tcW w:w="4980" w:type="dxa"/>
            <w:gridSpan w:val="4"/>
            <w:tcBorders>
              <w:left w:val="thinThickThinSmallGap" w:sz="24" w:space="0" w:color="auto"/>
            </w:tcBorders>
            <w:shd w:val="clear" w:color="auto" w:fill="D9D9D9" w:themeFill="background1" w:themeFillShade="D9"/>
          </w:tcPr>
          <w:p w:rsidR="00684E2B" w:rsidRPr="00396779" w:rsidRDefault="00A925D2" w:rsidP="005F7597">
            <w:pPr>
              <w:pStyle w:val="ListParagraph"/>
              <w:spacing w:after="0" w:line="240" w:lineRule="exact"/>
              <w:ind w:left="0"/>
              <w:jc w:val="center"/>
              <w:rPr>
                <w:rFonts w:cs="Times New Roman"/>
                <w:b/>
                <w:sz w:val="20"/>
                <w:szCs w:val="20"/>
              </w:rPr>
            </w:pPr>
            <w:r>
              <w:rPr>
                <w:rFonts w:cs="Times New Roman"/>
                <w:b/>
                <w:sz w:val="20"/>
                <w:szCs w:val="20"/>
              </w:rPr>
              <w:t>VA (12</w:t>
            </w:r>
            <w:r w:rsidR="00684E2B" w:rsidRPr="00396779">
              <w:rPr>
                <w:rFonts w:cs="Times New Roman"/>
                <w:b/>
                <w:sz w:val="20"/>
                <w:szCs w:val="20"/>
              </w:rPr>
              <w:t xml:space="preserve"> </w:t>
            </w:r>
            <w:r w:rsidR="00483148">
              <w:rPr>
                <w:rFonts w:cs="Times New Roman"/>
                <w:b/>
                <w:sz w:val="20"/>
                <w:szCs w:val="20"/>
              </w:rPr>
              <w:t>m</w:t>
            </w:r>
            <w:r w:rsidR="00684E2B" w:rsidRPr="00396779">
              <w:rPr>
                <w:rFonts w:cs="Times New Roman"/>
                <w:b/>
                <w:sz w:val="20"/>
                <w:szCs w:val="20"/>
              </w:rPr>
              <w:t xml:space="preserve">o. </w:t>
            </w:r>
            <w:r>
              <w:rPr>
                <w:rFonts w:cs="Times New Roman"/>
                <w:b/>
                <w:sz w:val="20"/>
                <w:szCs w:val="20"/>
              </w:rPr>
              <w:t>Post</w:t>
            </w:r>
            <w:r w:rsidR="00684E2B" w:rsidRPr="00396779">
              <w:rPr>
                <w:rFonts w:cs="Times New Roman"/>
                <w:b/>
                <w:sz w:val="20"/>
                <w:szCs w:val="20"/>
              </w:rPr>
              <w:t xml:space="preserve"> Separation)</w:t>
            </w:r>
            <w:r w:rsidR="000C3C13" w:rsidRPr="00396779">
              <w:rPr>
                <w:rFonts w:cs="Times New Roman"/>
                <w:b/>
                <w:sz w:val="20"/>
                <w:szCs w:val="20"/>
              </w:rPr>
              <w:t xml:space="preserve"> – All Effective </w:t>
            </w:r>
            <w:r>
              <w:rPr>
                <w:rFonts w:cs="Times New Roman"/>
                <w:b/>
                <w:sz w:val="20"/>
                <w:szCs w:val="20"/>
              </w:rPr>
              <w:t>20060416</w:t>
            </w:r>
          </w:p>
        </w:tc>
      </w:tr>
      <w:tr w:rsidR="002B2645" w:rsidRPr="00396779" w:rsidTr="00483148">
        <w:trPr>
          <w:trHeight w:val="233"/>
          <w:jc w:val="center"/>
        </w:trPr>
        <w:tc>
          <w:tcPr>
            <w:tcW w:w="2607" w:type="dxa"/>
            <w:tcBorders>
              <w:bottom w:val="single" w:sz="4" w:space="0" w:color="000000" w:themeColor="text1"/>
            </w:tcBorders>
            <w:shd w:val="clear" w:color="auto" w:fill="D9D9D9" w:themeFill="background1" w:themeFillShade="D9"/>
          </w:tcPr>
          <w:p w:rsidR="002B2645" w:rsidRPr="00396779" w:rsidRDefault="002B2645" w:rsidP="000A5EC0">
            <w:pPr>
              <w:pStyle w:val="ListParagraph"/>
              <w:spacing w:after="0" w:line="240" w:lineRule="exact"/>
              <w:ind w:left="0"/>
              <w:jc w:val="center"/>
              <w:rPr>
                <w:rFonts w:cs="Times New Roman"/>
                <w:b/>
                <w:sz w:val="20"/>
                <w:szCs w:val="20"/>
              </w:rPr>
            </w:pPr>
            <w:r w:rsidRPr="00396779">
              <w:rPr>
                <w:rFonts w:cs="Times New Roman"/>
                <w:b/>
                <w:sz w:val="20"/>
                <w:szCs w:val="20"/>
              </w:rPr>
              <w:t>Condition</w:t>
            </w:r>
          </w:p>
        </w:tc>
        <w:tc>
          <w:tcPr>
            <w:tcW w:w="843" w:type="dxa"/>
            <w:tcBorders>
              <w:bottom w:val="single" w:sz="4" w:space="0" w:color="000000" w:themeColor="text1"/>
            </w:tcBorders>
            <w:shd w:val="clear" w:color="auto" w:fill="D9D9D9" w:themeFill="background1" w:themeFillShade="D9"/>
          </w:tcPr>
          <w:p w:rsidR="002B2645" w:rsidRPr="00396779" w:rsidRDefault="002B2645" w:rsidP="005F759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1050" w:type="dxa"/>
            <w:tcBorders>
              <w:bottom w:val="single" w:sz="4" w:space="0" w:color="000000" w:themeColor="text1"/>
              <w:right w:val="thinThickThinSmallGap" w:sz="24" w:space="0" w:color="auto"/>
            </w:tcBorders>
            <w:shd w:val="clear" w:color="auto" w:fill="D9D9D9" w:themeFill="background1" w:themeFillShade="D9"/>
          </w:tcPr>
          <w:p w:rsidR="002B2645" w:rsidRPr="00396779" w:rsidRDefault="002B2645" w:rsidP="005F759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235" w:type="dxa"/>
            <w:tcBorders>
              <w:left w:val="thinThickThinSmallGap" w:sz="24" w:space="0" w:color="auto"/>
              <w:bottom w:val="single" w:sz="4" w:space="0" w:color="000000" w:themeColor="text1"/>
            </w:tcBorders>
            <w:shd w:val="clear" w:color="auto" w:fill="D9D9D9" w:themeFill="background1" w:themeFillShade="D9"/>
          </w:tcPr>
          <w:p w:rsidR="002B2645" w:rsidRPr="00396779" w:rsidRDefault="002B2645" w:rsidP="000A5EC0">
            <w:pPr>
              <w:pStyle w:val="ListParagraph"/>
              <w:spacing w:after="0" w:line="240" w:lineRule="exact"/>
              <w:ind w:left="0"/>
              <w:jc w:val="center"/>
              <w:rPr>
                <w:rFonts w:cs="Times New Roman"/>
                <w:b/>
                <w:sz w:val="20"/>
                <w:szCs w:val="20"/>
              </w:rPr>
            </w:pPr>
            <w:r w:rsidRPr="00396779">
              <w:rPr>
                <w:rFonts w:cs="Times New Roman"/>
                <w:b/>
                <w:sz w:val="20"/>
                <w:szCs w:val="20"/>
              </w:rPr>
              <w:t>Condition</w:t>
            </w:r>
          </w:p>
        </w:tc>
        <w:tc>
          <w:tcPr>
            <w:tcW w:w="945" w:type="dxa"/>
            <w:tcBorders>
              <w:bottom w:val="single" w:sz="4" w:space="0" w:color="000000" w:themeColor="text1"/>
            </w:tcBorders>
            <w:shd w:val="clear" w:color="auto" w:fill="D9D9D9" w:themeFill="background1" w:themeFillShade="D9"/>
          </w:tcPr>
          <w:p w:rsidR="002B2645" w:rsidRPr="00396779" w:rsidRDefault="002B2645" w:rsidP="005F759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396779" w:rsidRDefault="002B2645" w:rsidP="005F759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396779" w:rsidRDefault="002B2645" w:rsidP="005F7597">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A925D2" w:rsidRPr="00396779" w:rsidTr="00483148">
        <w:trPr>
          <w:trHeight w:val="278"/>
          <w:jc w:val="center"/>
        </w:trPr>
        <w:tc>
          <w:tcPr>
            <w:tcW w:w="2607" w:type="dxa"/>
            <w:shd w:val="clear" w:color="auto" w:fill="FFFFFF" w:themeFill="background1"/>
          </w:tcPr>
          <w:p w:rsidR="00A925D2" w:rsidRPr="00396779" w:rsidRDefault="00A925D2" w:rsidP="005F7597">
            <w:pPr>
              <w:pStyle w:val="ListParagraph"/>
              <w:spacing w:after="0" w:line="240" w:lineRule="exact"/>
              <w:ind w:left="0"/>
              <w:rPr>
                <w:rFonts w:cs="Times New Roman"/>
                <w:sz w:val="18"/>
                <w:szCs w:val="18"/>
              </w:rPr>
            </w:pPr>
            <w:proofErr w:type="spellStart"/>
            <w:r w:rsidRPr="008E20A3">
              <w:rPr>
                <w:rFonts w:cs="Times New Roman"/>
                <w:sz w:val="18"/>
                <w:szCs w:val="18"/>
              </w:rPr>
              <w:t>H</w:t>
            </w:r>
            <w:r>
              <w:rPr>
                <w:rFonts w:cs="Times New Roman"/>
                <w:sz w:val="18"/>
                <w:szCs w:val="18"/>
              </w:rPr>
              <w:t>allux</w:t>
            </w:r>
            <w:proofErr w:type="spellEnd"/>
            <w:r>
              <w:rPr>
                <w:rFonts w:cs="Times New Roman"/>
                <w:sz w:val="18"/>
                <w:szCs w:val="18"/>
              </w:rPr>
              <w:t xml:space="preserve"> </w:t>
            </w:r>
            <w:proofErr w:type="spellStart"/>
            <w:r>
              <w:rPr>
                <w:rFonts w:cs="Times New Roman"/>
                <w:sz w:val="18"/>
                <w:szCs w:val="18"/>
              </w:rPr>
              <w:t>Valgus</w:t>
            </w:r>
            <w:proofErr w:type="spellEnd"/>
            <w:r>
              <w:rPr>
                <w:rFonts w:cs="Times New Roman"/>
                <w:sz w:val="18"/>
                <w:szCs w:val="18"/>
              </w:rPr>
              <w:t xml:space="preserve"> </w:t>
            </w:r>
            <w:r w:rsidR="00251799">
              <w:rPr>
                <w:rFonts w:cs="Times New Roman"/>
                <w:sz w:val="18"/>
                <w:szCs w:val="18"/>
              </w:rPr>
              <w:t xml:space="preserve">with </w:t>
            </w:r>
            <w:proofErr w:type="spellStart"/>
            <w:r w:rsidR="00251799">
              <w:rPr>
                <w:rFonts w:cs="Times New Roman"/>
                <w:sz w:val="18"/>
                <w:szCs w:val="18"/>
              </w:rPr>
              <w:t>Pes</w:t>
            </w:r>
            <w:proofErr w:type="spellEnd"/>
            <w:r w:rsidR="00251799">
              <w:rPr>
                <w:rFonts w:cs="Times New Roman"/>
                <w:sz w:val="18"/>
                <w:szCs w:val="18"/>
              </w:rPr>
              <w:t xml:space="preserve"> </w:t>
            </w:r>
            <w:proofErr w:type="spellStart"/>
            <w:r w:rsidR="00251799">
              <w:rPr>
                <w:rFonts w:cs="Times New Roman"/>
                <w:sz w:val="18"/>
                <w:szCs w:val="18"/>
              </w:rPr>
              <w:t>Planus</w:t>
            </w:r>
            <w:proofErr w:type="spellEnd"/>
          </w:p>
        </w:tc>
        <w:tc>
          <w:tcPr>
            <w:tcW w:w="843" w:type="dxa"/>
            <w:shd w:val="clear" w:color="auto" w:fill="FFFFFF" w:themeFill="background1"/>
          </w:tcPr>
          <w:p w:rsidR="00A925D2" w:rsidRPr="00396779" w:rsidRDefault="00A925D2" w:rsidP="005F7597">
            <w:pPr>
              <w:pStyle w:val="ListParagraph"/>
              <w:spacing w:after="0" w:line="240" w:lineRule="exact"/>
              <w:ind w:left="0"/>
              <w:jc w:val="center"/>
              <w:rPr>
                <w:rFonts w:cs="Times New Roman"/>
                <w:sz w:val="18"/>
                <w:szCs w:val="18"/>
              </w:rPr>
            </w:pPr>
            <w:r>
              <w:rPr>
                <w:rFonts w:cs="Times New Roman"/>
                <w:sz w:val="18"/>
                <w:szCs w:val="18"/>
              </w:rPr>
              <w:t>5276</w:t>
            </w:r>
          </w:p>
        </w:tc>
        <w:tc>
          <w:tcPr>
            <w:tcW w:w="1050" w:type="dxa"/>
            <w:tcBorders>
              <w:right w:val="thinThickThinSmallGap" w:sz="24" w:space="0" w:color="auto"/>
            </w:tcBorders>
            <w:shd w:val="clear" w:color="auto" w:fill="FFFFFF" w:themeFill="background1"/>
          </w:tcPr>
          <w:p w:rsidR="00A925D2" w:rsidRPr="00396779" w:rsidRDefault="00A925D2" w:rsidP="005F7597">
            <w:pPr>
              <w:pStyle w:val="ListParagraph"/>
              <w:spacing w:after="0" w:line="240" w:lineRule="exact"/>
              <w:ind w:left="0"/>
              <w:jc w:val="center"/>
              <w:rPr>
                <w:rFonts w:cs="Times New Roman"/>
                <w:sz w:val="18"/>
                <w:szCs w:val="18"/>
              </w:rPr>
            </w:pPr>
            <w:r>
              <w:rPr>
                <w:rFonts w:cs="Times New Roman"/>
                <w:sz w:val="18"/>
                <w:szCs w:val="18"/>
              </w:rPr>
              <w:t>10%</w:t>
            </w:r>
          </w:p>
        </w:tc>
        <w:tc>
          <w:tcPr>
            <w:tcW w:w="2235" w:type="dxa"/>
            <w:vMerge w:val="restart"/>
            <w:tcBorders>
              <w:left w:val="thinThickThinSmallGap" w:sz="24" w:space="0" w:color="auto"/>
            </w:tcBorders>
            <w:shd w:val="clear" w:color="auto" w:fill="FFFFFF" w:themeFill="background1"/>
            <w:vAlign w:val="center"/>
          </w:tcPr>
          <w:p w:rsidR="00A925D2" w:rsidRPr="00396779" w:rsidRDefault="00A925D2" w:rsidP="005F7597">
            <w:pPr>
              <w:pStyle w:val="ListParagraph"/>
              <w:spacing w:after="0" w:line="240" w:lineRule="exact"/>
              <w:ind w:left="0"/>
              <w:rPr>
                <w:rFonts w:cs="Times New Roman"/>
                <w:sz w:val="18"/>
                <w:szCs w:val="18"/>
              </w:rPr>
            </w:pPr>
            <w:r>
              <w:rPr>
                <w:rFonts w:cs="Times New Roman"/>
                <w:sz w:val="18"/>
                <w:szCs w:val="18"/>
              </w:rPr>
              <w:t xml:space="preserve">Crush Injury to </w:t>
            </w:r>
            <w:r w:rsidR="00483148">
              <w:rPr>
                <w:rFonts w:cs="Times New Roman"/>
                <w:sz w:val="18"/>
                <w:szCs w:val="18"/>
              </w:rPr>
              <w:t>Right</w:t>
            </w:r>
            <w:r>
              <w:rPr>
                <w:rFonts w:cs="Times New Roman"/>
                <w:sz w:val="18"/>
                <w:szCs w:val="18"/>
              </w:rPr>
              <w:t xml:space="preserve"> F</w:t>
            </w:r>
            <w:r w:rsidR="008D442C">
              <w:rPr>
                <w:rFonts w:cs="Times New Roman"/>
                <w:sz w:val="18"/>
                <w:szCs w:val="18"/>
              </w:rPr>
              <w:t>oot</w:t>
            </w:r>
          </w:p>
        </w:tc>
        <w:tc>
          <w:tcPr>
            <w:tcW w:w="945" w:type="dxa"/>
            <w:vMerge w:val="restart"/>
            <w:shd w:val="clear" w:color="auto" w:fill="FFFFFF" w:themeFill="background1"/>
            <w:vAlign w:val="center"/>
          </w:tcPr>
          <w:p w:rsidR="00A925D2" w:rsidRPr="00396779" w:rsidRDefault="00A925D2" w:rsidP="005F7597">
            <w:pPr>
              <w:pStyle w:val="ListParagraph"/>
              <w:spacing w:after="0" w:line="240" w:lineRule="exact"/>
              <w:ind w:left="0"/>
              <w:jc w:val="center"/>
              <w:rPr>
                <w:rFonts w:cs="Times New Roman"/>
                <w:sz w:val="18"/>
                <w:szCs w:val="18"/>
              </w:rPr>
            </w:pPr>
            <w:r>
              <w:rPr>
                <w:rFonts w:cs="Times New Roman"/>
                <w:sz w:val="18"/>
                <w:szCs w:val="18"/>
              </w:rPr>
              <w:t>5284</w:t>
            </w:r>
          </w:p>
        </w:tc>
        <w:tc>
          <w:tcPr>
            <w:tcW w:w="810" w:type="dxa"/>
            <w:vMerge w:val="restart"/>
            <w:shd w:val="clear" w:color="auto" w:fill="FFFFFF" w:themeFill="background1"/>
            <w:vAlign w:val="center"/>
          </w:tcPr>
          <w:p w:rsidR="00A925D2" w:rsidRPr="00A925D2" w:rsidRDefault="00A925D2" w:rsidP="005F7597">
            <w:pPr>
              <w:pStyle w:val="ListParagraph"/>
              <w:spacing w:after="0" w:line="240" w:lineRule="exact"/>
              <w:ind w:left="0"/>
              <w:jc w:val="center"/>
              <w:rPr>
                <w:rFonts w:cs="Times New Roman"/>
                <w:sz w:val="18"/>
                <w:szCs w:val="18"/>
              </w:rPr>
            </w:pPr>
            <w:r w:rsidRPr="00A925D2">
              <w:rPr>
                <w:rFonts w:cs="Times New Roman"/>
                <w:sz w:val="18"/>
                <w:szCs w:val="18"/>
              </w:rPr>
              <w:t>30%</w:t>
            </w:r>
          </w:p>
        </w:tc>
        <w:tc>
          <w:tcPr>
            <w:tcW w:w="990" w:type="dxa"/>
            <w:vMerge w:val="restart"/>
            <w:shd w:val="clear" w:color="auto" w:fill="FFFFFF" w:themeFill="background1"/>
            <w:vAlign w:val="center"/>
          </w:tcPr>
          <w:p w:rsidR="00A925D2" w:rsidRPr="00A925D2" w:rsidRDefault="00A925D2" w:rsidP="005F7597">
            <w:pPr>
              <w:pStyle w:val="ListParagraph"/>
              <w:spacing w:after="0" w:line="240" w:lineRule="exact"/>
              <w:ind w:left="0"/>
              <w:jc w:val="center"/>
              <w:rPr>
                <w:rFonts w:cs="Times New Roman"/>
                <w:sz w:val="18"/>
                <w:szCs w:val="18"/>
              </w:rPr>
            </w:pPr>
            <w:r w:rsidRPr="00A925D2">
              <w:rPr>
                <w:rFonts w:cs="Times New Roman"/>
                <w:sz w:val="18"/>
                <w:szCs w:val="18"/>
              </w:rPr>
              <w:t>20070406</w:t>
            </w:r>
          </w:p>
        </w:tc>
      </w:tr>
      <w:tr w:rsidR="00A925D2" w:rsidRPr="00396779" w:rsidTr="00483148">
        <w:trPr>
          <w:trHeight w:val="125"/>
          <w:jc w:val="center"/>
        </w:trPr>
        <w:tc>
          <w:tcPr>
            <w:tcW w:w="2607" w:type="dxa"/>
            <w:shd w:val="clear" w:color="auto" w:fill="FFFFFF" w:themeFill="background1"/>
          </w:tcPr>
          <w:p w:rsidR="00A925D2" w:rsidRPr="00396779" w:rsidRDefault="00A925D2" w:rsidP="005F7597">
            <w:pPr>
              <w:pStyle w:val="ListParagraph"/>
              <w:spacing w:after="0" w:line="240" w:lineRule="exact"/>
              <w:ind w:left="0"/>
              <w:jc w:val="both"/>
              <w:rPr>
                <w:rFonts w:cs="Times New Roman"/>
                <w:sz w:val="18"/>
                <w:szCs w:val="18"/>
              </w:rPr>
            </w:pPr>
            <w:r>
              <w:rPr>
                <w:rFonts w:cs="Times New Roman"/>
                <w:sz w:val="18"/>
                <w:szCs w:val="18"/>
              </w:rPr>
              <w:t xml:space="preserve">Crush Injury to </w:t>
            </w:r>
            <w:r w:rsidR="00483148">
              <w:rPr>
                <w:rFonts w:cs="Times New Roman"/>
                <w:sz w:val="18"/>
                <w:szCs w:val="18"/>
              </w:rPr>
              <w:t>Right</w:t>
            </w:r>
            <w:r>
              <w:rPr>
                <w:rFonts w:cs="Times New Roman"/>
                <w:sz w:val="18"/>
                <w:szCs w:val="18"/>
              </w:rPr>
              <w:t xml:space="preserve"> Foot</w:t>
            </w:r>
          </w:p>
        </w:tc>
        <w:tc>
          <w:tcPr>
            <w:tcW w:w="1893" w:type="dxa"/>
            <w:gridSpan w:val="2"/>
            <w:tcBorders>
              <w:right w:val="thinThickThinSmallGap" w:sz="24" w:space="0" w:color="auto"/>
            </w:tcBorders>
            <w:shd w:val="clear" w:color="auto" w:fill="FFFFFF" w:themeFill="background1"/>
          </w:tcPr>
          <w:p w:rsidR="00A925D2" w:rsidRPr="00396779" w:rsidRDefault="00483148" w:rsidP="005F7597">
            <w:pPr>
              <w:pStyle w:val="ListParagraph"/>
              <w:spacing w:after="0" w:line="240" w:lineRule="exact"/>
              <w:ind w:left="0"/>
              <w:jc w:val="center"/>
              <w:rPr>
                <w:rFonts w:cs="Times New Roman"/>
                <w:sz w:val="18"/>
                <w:szCs w:val="18"/>
              </w:rPr>
            </w:pPr>
            <w:r>
              <w:rPr>
                <w:rFonts w:cs="Times New Roman"/>
                <w:sz w:val="18"/>
                <w:szCs w:val="18"/>
              </w:rPr>
              <w:t>Category</w:t>
            </w:r>
            <w:r w:rsidR="00A925D2">
              <w:rPr>
                <w:rFonts w:cs="Times New Roman"/>
                <w:sz w:val="18"/>
                <w:szCs w:val="18"/>
              </w:rPr>
              <w:t xml:space="preserve"> II</w:t>
            </w:r>
          </w:p>
        </w:tc>
        <w:tc>
          <w:tcPr>
            <w:tcW w:w="2235" w:type="dxa"/>
            <w:vMerge/>
            <w:tcBorders>
              <w:left w:val="thinThickThinSmallGap" w:sz="24" w:space="0" w:color="auto"/>
            </w:tcBorders>
            <w:shd w:val="clear" w:color="auto" w:fill="FFFFFF" w:themeFill="background1"/>
          </w:tcPr>
          <w:p w:rsidR="00A925D2" w:rsidRPr="00396779" w:rsidRDefault="00A925D2" w:rsidP="005F7597">
            <w:pPr>
              <w:pStyle w:val="ListParagraph"/>
              <w:spacing w:after="0" w:line="240" w:lineRule="exact"/>
              <w:ind w:left="0"/>
              <w:jc w:val="both"/>
              <w:rPr>
                <w:rFonts w:cs="Times New Roman"/>
                <w:sz w:val="18"/>
                <w:szCs w:val="18"/>
              </w:rPr>
            </w:pPr>
          </w:p>
        </w:tc>
        <w:tc>
          <w:tcPr>
            <w:tcW w:w="945" w:type="dxa"/>
            <w:vMerge/>
            <w:shd w:val="clear" w:color="auto" w:fill="FFFFFF" w:themeFill="background1"/>
          </w:tcPr>
          <w:p w:rsidR="00A925D2" w:rsidRPr="00396779" w:rsidRDefault="00A925D2" w:rsidP="005F7597">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A925D2" w:rsidRPr="00396779" w:rsidRDefault="00A925D2" w:rsidP="005F7597">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A925D2" w:rsidRPr="00396779" w:rsidRDefault="00A925D2" w:rsidP="005F7597">
            <w:pPr>
              <w:pStyle w:val="ListParagraph"/>
              <w:spacing w:after="0" w:line="240" w:lineRule="exact"/>
              <w:ind w:left="0"/>
              <w:jc w:val="center"/>
              <w:rPr>
                <w:rFonts w:cs="Times New Roman"/>
                <w:sz w:val="18"/>
                <w:szCs w:val="18"/>
              </w:rPr>
            </w:pPr>
          </w:p>
        </w:tc>
      </w:tr>
      <w:tr w:rsidR="00A925D2" w:rsidRPr="00396779" w:rsidTr="00483148">
        <w:trPr>
          <w:trHeight w:val="125"/>
          <w:jc w:val="center"/>
        </w:trPr>
        <w:tc>
          <w:tcPr>
            <w:tcW w:w="2607" w:type="dxa"/>
            <w:tcBorders>
              <w:right w:val="single" w:sz="4" w:space="0" w:color="auto"/>
            </w:tcBorders>
            <w:shd w:val="clear" w:color="auto" w:fill="FFFFFF" w:themeFill="background1"/>
            <w:vAlign w:val="center"/>
          </w:tcPr>
          <w:p w:rsidR="00A925D2" w:rsidRPr="00396779" w:rsidRDefault="00A925D2" w:rsidP="005F7597">
            <w:pPr>
              <w:pStyle w:val="ListParagraph"/>
              <w:spacing w:after="0" w:line="240" w:lineRule="exact"/>
              <w:ind w:left="0"/>
              <w:rPr>
                <w:rFonts w:cs="Times New Roman"/>
                <w:sz w:val="18"/>
                <w:szCs w:val="18"/>
              </w:rPr>
            </w:pPr>
            <w:r>
              <w:rPr>
                <w:rFonts w:cs="Times New Roman"/>
                <w:sz w:val="18"/>
                <w:szCs w:val="18"/>
              </w:rPr>
              <w:t>Overweight</w:t>
            </w:r>
          </w:p>
        </w:tc>
        <w:tc>
          <w:tcPr>
            <w:tcW w:w="1893" w:type="dxa"/>
            <w:gridSpan w:val="2"/>
            <w:tcBorders>
              <w:left w:val="single" w:sz="4" w:space="0" w:color="auto"/>
              <w:right w:val="thinThickThinSmallGap" w:sz="24" w:space="0" w:color="auto"/>
            </w:tcBorders>
            <w:shd w:val="clear" w:color="auto" w:fill="FFFFFF" w:themeFill="background1"/>
          </w:tcPr>
          <w:p w:rsidR="00A925D2" w:rsidRPr="00396779" w:rsidRDefault="00C118B1" w:rsidP="005F7597">
            <w:pPr>
              <w:pStyle w:val="ListParagraph"/>
              <w:spacing w:after="0" w:line="240" w:lineRule="exact"/>
              <w:ind w:left="0"/>
              <w:jc w:val="center"/>
              <w:rPr>
                <w:rFonts w:cs="Times New Roman"/>
                <w:sz w:val="18"/>
                <w:szCs w:val="18"/>
              </w:rPr>
            </w:pPr>
            <w:r>
              <w:rPr>
                <w:rFonts w:cs="Times New Roman"/>
                <w:sz w:val="18"/>
                <w:szCs w:val="18"/>
              </w:rPr>
              <w:t>Cat</w:t>
            </w:r>
            <w:r w:rsidR="00483148">
              <w:rPr>
                <w:rFonts w:cs="Times New Roman"/>
                <w:sz w:val="18"/>
                <w:szCs w:val="18"/>
              </w:rPr>
              <w:t>egory IV</w:t>
            </w:r>
            <w:r>
              <w:rPr>
                <w:rFonts w:cs="Times New Roman"/>
                <w:sz w:val="18"/>
                <w:szCs w:val="18"/>
              </w:rPr>
              <w:t xml:space="preserve"> </w:t>
            </w:r>
          </w:p>
        </w:tc>
        <w:tc>
          <w:tcPr>
            <w:tcW w:w="4980" w:type="dxa"/>
            <w:gridSpan w:val="4"/>
            <w:tcBorders>
              <w:left w:val="thinThickThinSmallGap" w:sz="24" w:space="0" w:color="auto"/>
            </w:tcBorders>
            <w:shd w:val="clear" w:color="auto" w:fill="FFFFFF" w:themeFill="background1"/>
            <w:vAlign w:val="center"/>
          </w:tcPr>
          <w:p w:rsidR="00A925D2" w:rsidRPr="001A3974" w:rsidRDefault="000A5EC0" w:rsidP="005F7597">
            <w:pPr>
              <w:pStyle w:val="ListParagraph"/>
              <w:spacing w:after="0" w:line="240" w:lineRule="exact"/>
              <w:ind w:left="0"/>
              <w:jc w:val="center"/>
              <w:rPr>
                <w:rFonts w:cs="Times New Roman"/>
                <w:sz w:val="18"/>
                <w:szCs w:val="18"/>
              </w:rPr>
            </w:pPr>
            <w:r>
              <w:rPr>
                <w:rFonts w:cs="Times New Roman"/>
                <w:sz w:val="18"/>
                <w:szCs w:val="18"/>
              </w:rPr>
              <w:t>NO VA ENTRY</w:t>
            </w:r>
          </w:p>
        </w:tc>
      </w:tr>
      <w:tr w:rsidR="00C87F76" w:rsidRPr="00396779" w:rsidTr="00483148">
        <w:trPr>
          <w:trHeight w:val="242"/>
          <w:jc w:val="center"/>
        </w:trPr>
        <w:tc>
          <w:tcPr>
            <w:tcW w:w="4500" w:type="dxa"/>
            <w:gridSpan w:val="3"/>
            <w:tcBorders>
              <w:right w:val="thinThickThinSmallGap" w:sz="24" w:space="0" w:color="auto"/>
            </w:tcBorders>
            <w:shd w:val="clear" w:color="auto" w:fill="D9D9D9" w:themeFill="background1" w:themeFillShade="D9"/>
          </w:tcPr>
          <w:p w:rsidR="00C87F76" w:rsidRPr="00396779" w:rsidRDefault="00C87F76" w:rsidP="005F7597">
            <w:pPr>
              <w:pStyle w:val="ListParagraph"/>
              <w:spacing w:after="0" w:line="240" w:lineRule="exact"/>
              <w:ind w:left="0"/>
              <w:jc w:val="center"/>
              <w:rPr>
                <w:rFonts w:cs="Times New Roman"/>
                <w:b/>
                <w:sz w:val="20"/>
                <w:szCs w:val="20"/>
              </w:rPr>
            </w:pPr>
            <w:r w:rsidRPr="00396779">
              <w:rPr>
                <w:rFonts w:cs="Times New Roman"/>
                <w:b/>
                <w:sz w:val="20"/>
                <w:szCs w:val="20"/>
              </w:rPr>
              <w:t xml:space="preserve">TOTAL Combined: </w:t>
            </w:r>
            <w:r w:rsidR="00A925D2">
              <w:rPr>
                <w:rFonts w:cs="Times New Roman"/>
                <w:b/>
                <w:sz w:val="20"/>
                <w:szCs w:val="20"/>
              </w:rPr>
              <w:t>1</w:t>
            </w:r>
            <w:r w:rsidRPr="00396779">
              <w:rPr>
                <w:rFonts w:cs="Times New Roman"/>
                <w:b/>
                <w:sz w:val="20"/>
                <w:szCs w:val="20"/>
              </w:rPr>
              <w:t>0%</w:t>
            </w:r>
          </w:p>
        </w:tc>
        <w:tc>
          <w:tcPr>
            <w:tcW w:w="4980" w:type="dxa"/>
            <w:gridSpan w:val="4"/>
            <w:tcBorders>
              <w:left w:val="thinThickThinSmallGap" w:sz="24" w:space="0" w:color="auto"/>
            </w:tcBorders>
            <w:shd w:val="clear" w:color="auto" w:fill="D9D9D9" w:themeFill="background1" w:themeFillShade="D9"/>
          </w:tcPr>
          <w:p w:rsidR="00C87F76" w:rsidRPr="00396779" w:rsidRDefault="00C87F76" w:rsidP="000A5EC0">
            <w:pPr>
              <w:pStyle w:val="ListParagraph"/>
              <w:spacing w:after="0" w:line="240" w:lineRule="exact"/>
              <w:ind w:left="0"/>
              <w:jc w:val="center"/>
              <w:rPr>
                <w:rFonts w:cs="Times New Roman"/>
                <w:b/>
                <w:sz w:val="20"/>
                <w:szCs w:val="20"/>
              </w:rPr>
            </w:pPr>
            <w:r w:rsidRPr="00396779">
              <w:rPr>
                <w:rFonts w:cs="Times New Roman"/>
                <w:b/>
                <w:sz w:val="20"/>
                <w:szCs w:val="20"/>
              </w:rPr>
              <w:t>TOTAL Combined</w:t>
            </w:r>
            <w:r w:rsidR="00EB3307" w:rsidRPr="00FB1725">
              <w:rPr>
                <w:rFonts w:cs="Times New Roman"/>
                <w:b/>
                <w:sz w:val="20"/>
                <w:szCs w:val="20"/>
              </w:rPr>
              <w:t>:</w:t>
            </w:r>
            <w:r w:rsidRPr="00396779">
              <w:rPr>
                <w:rFonts w:cs="Times New Roman"/>
                <w:b/>
                <w:sz w:val="20"/>
                <w:szCs w:val="20"/>
              </w:rPr>
              <w:t xml:space="preserve"> </w:t>
            </w:r>
            <w:r w:rsidR="00A925D2">
              <w:rPr>
                <w:rFonts w:cs="Times New Roman"/>
                <w:b/>
                <w:sz w:val="20"/>
                <w:szCs w:val="20"/>
              </w:rPr>
              <w:t>3</w:t>
            </w:r>
            <w:r w:rsidRPr="00396779">
              <w:rPr>
                <w:rFonts w:cs="Times New Roman"/>
                <w:b/>
                <w:sz w:val="20"/>
                <w:szCs w:val="20"/>
              </w:rPr>
              <w:t>0%</w:t>
            </w:r>
            <w:r w:rsidR="00483148">
              <w:rPr>
                <w:rFonts w:cs="Times New Roman"/>
                <w:b/>
                <w:sz w:val="20"/>
                <w:szCs w:val="20"/>
              </w:rPr>
              <w:t>*</w:t>
            </w:r>
          </w:p>
        </w:tc>
      </w:tr>
    </w:tbl>
    <w:p w:rsidR="00106AD8" w:rsidRDefault="00483148" w:rsidP="005F7597">
      <w:pPr>
        <w:pBdr>
          <w:bottom w:val="single" w:sz="12" w:space="1" w:color="auto"/>
        </w:pBdr>
        <w:tabs>
          <w:tab w:val="left" w:pos="288"/>
          <w:tab w:val="left" w:pos="4752"/>
        </w:tabs>
        <w:spacing w:line="240" w:lineRule="exact"/>
        <w:jc w:val="both"/>
        <w:rPr>
          <w:rFonts w:ascii="Calibri" w:hAnsi="Calibri"/>
          <w:color w:val="auto"/>
          <w:sz w:val="18"/>
          <w:szCs w:val="18"/>
        </w:rPr>
      </w:pPr>
      <w:r>
        <w:rPr>
          <w:rFonts w:ascii="Calibri" w:hAnsi="Calibri"/>
          <w:color w:val="auto"/>
          <w:sz w:val="18"/>
          <w:szCs w:val="18"/>
        </w:rPr>
        <w:t>*</w:t>
      </w:r>
      <w:r w:rsidR="008D442C" w:rsidRPr="008D442C">
        <w:rPr>
          <w:rFonts w:ascii="Calibri" w:hAnsi="Calibri"/>
          <w:color w:val="auto"/>
          <w:sz w:val="18"/>
          <w:szCs w:val="18"/>
        </w:rPr>
        <w:t xml:space="preserve">Note:  PTSD was </w:t>
      </w:r>
      <w:r>
        <w:rPr>
          <w:rFonts w:ascii="Calibri" w:hAnsi="Calibri"/>
          <w:color w:val="auto"/>
          <w:sz w:val="18"/>
          <w:szCs w:val="18"/>
        </w:rPr>
        <w:t xml:space="preserve">later </w:t>
      </w:r>
      <w:r w:rsidR="008D442C" w:rsidRPr="008D442C">
        <w:rPr>
          <w:rFonts w:ascii="Calibri" w:hAnsi="Calibri"/>
          <w:color w:val="auto"/>
          <w:sz w:val="18"/>
          <w:szCs w:val="18"/>
        </w:rPr>
        <w:t>added with an effective date of 20071207</w:t>
      </w:r>
      <w:r>
        <w:rPr>
          <w:rFonts w:ascii="Calibri" w:hAnsi="Calibri"/>
          <w:color w:val="auto"/>
          <w:sz w:val="18"/>
          <w:szCs w:val="18"/>
        </w:rPr>
        <w:t>,</w:t>
      </w:r>
      <w:r w:rsidR="008D442C">
        <w:rPr>
          <w:rFonts w:ascii="Calibri" w:hAnsi="Calibri"/>
          <w:color w:val="auto"/>
          <w:sz w:val="18"/>
          <w:szCs w:val="18"/>
        </w:rPr>
        <w:t xml:space="preserve"> </w:t>
      </w:r>
      <w:r w:rsidR="00191706">
        <w:rPr>
          <w:rFonts w:ascii="Calibri" w:hAnsi="Calibri"/>
          <w:color w:val="auto"/>
          <w:sz w:val="18"/>
          <w:szCs w:val="18"/>
        </w:rPr>
        <w:t xml:space="preserve">for a </w:t>
      </w:r>
      <w:r>
        <w:rPr>
          <w:rFonts w:ascii="Calibri" w:hAnsi="Calibri"/>
          <w:color w:val="auto"/>
          <w:sz w:val="18"/>
          <w:szCs w:val="18"/>
        </w:rPr>
        <w:t xml:space="preserve">new </w:t>
      </w:r>
      <w:r w:rsidR="00191706">
        <w:rPr>
          <w:rFonts w:ascii="Calibri" w:hAnsi="Calibri"/>
          <w:color w:val="auto"/>
          <w:sz w:val="18"/>
          <w:szCs w:val="18"/>
        </w:rPr>
        <w:t>combined rating of 50%.</w:t>
      </w:r>
    </w:p>
    <w:p w:rsidR="00483148" w:rsidRPr="008D442C" w:rsidRDefault="00483148" w:rsidP="005F7597">
      <w:pPr>
        <w:pBdr>
          <w:bottom w:val="single" w:sz="12" w:space="1" w:color="auto"/>
        </w:pBdr>
        <w:tabs>
          <w:tab w:val="left" w:pos="288"/>
          <w:tab w:val="left" w:pos="4752"/>
        </w:tabs>
        <w:spacing w:line="240" w:lineRule="exact"/>
        <w:jc w:val="both"/>
        <w:rPr>
          <w:rFonts w:ascii="Calibri" w:hAnsi="Calibri"/>
          <w:color w:val="auto"/>
          <w:sz w:val="18"/>
          <w:szCs w:val="18"/>
        </w:rPr>
      </w:pPr>
    </w:p>
    <w:p w:rsidR="00106AD8" w:rsidRPr="00CD5BD7" w:rsidRDefault="00106AD8" w:rsidP="005F7597">
      <w:pPr>
        <w:tabs>
          <w:tab w:val="left" w:pos="288"/>
          <w:tab w:val="left" w:pos="4752"/>
        </w:tabs>
        <w:spacing w:line="240" w:lineRule="exact"/>
        <w:rPr>
          <w:rFonts w:ascii="Calibri" w:hAnsi="Calibri"/>
          <w:color w:val="000080"/>
          <w:szCs w:val="24"/>
        </w:rPr>
      </w:pPr>
    </w:p>
    <w:p w:rsidR="002C6E5B" w:rsidRPr="005F7597" w:rsidRDefault="002C6E5B" w:rsidP="005F7597">
      <w:pPr>
        <w:tabs>
          <w:tab w:val="left" w:pos="288"/>
          <w:tab w:val="left" w:pos="4752"/>
        </w:tabs>
        <w:spacing w:line="240" w:lineRule="exact"/>
        <w:rPr>
          <w:rFonts w:ascii="Calibri" w:hAnsi="Calibri" w:cs="Calibri"/>
          <w:color w:val="auto"/>
          <w:szCs w:val="24"/>
        </w:rPr>
      </w:pPr>
      <w:r w:rsidRPr="005F7597">
        <w:rPr>
          <w:rFonts w:ascii="Calibri" w:hAnsi="Calibri" w:cs="Calibri"/>
          <w:color w:val="auto"/>
          <w:szCs w:val="24"/>
          <w:u w:val="single"/>
        </w:rPr>
        <w:t>ANALYSIS SUMMARY</w:t>
      </w:r>
      <w:r w:rsidRPr="005F7597">
        <w:rPr>
          <w:rFonts w:ascii="Calibri" w:hAnsi="Calibri" w:cs="Calibri"/>
          <w:color w:val="auto"/>
          <w:szCs w:val="24"/>
        </w:rPr>
        <w:t>:</w:t>
      </w:r>
      <w:r w:rsidR="00C276CD" w:rsidRPr="005F7597">
        <w:rPr>
          <w:rFonts w:ascii="Calibri" w:hAnsi="Calibri" w:cs="Calibri"/>
          <w:color w:val="auto"/>
          <w:szCs w:val="24"/>
        </w:rPr>
        <w:t xml:space="preserve">  </w:t>
      </w:r>
    </w:p>
    <w:p w:rsidR="00EC02C9" w:rsidRPr="005F7597" w:rsidRDefault="00EC02C9" w:rsidP="005F7597">
      <w:pPr>
        <w:tabs>
          <w:tab w:val="left" w:pos="288"/>
          <w:tab w:val="left" w:pos="4752"/>
        </w:tabs>
        <w:spacing w:line="240" w:lineRule="exact"/>
        <w:rPr>
          <w:rFonts w:ascii="Calibri" w:hAnsi="Calibri" w:cs="Calibri"/>
          <w:color w:val="auto"/>
          <w:szCs w:val="24"/>
        </w:rPr>
      </w:pPr>
    </w:p>
    <w:p w:rsidR="0084717C" w:rsidRPr="005F7597" w:rsidRDefault="0084717C" w:rsidP="000A0330">
      <w:pPr>
        <w:pStyle w:val="Default"/>
        <w:spacing w:line="240" w:lineRule="exact"/>
        <w:jc w:val="both"/>
        <w:rPr>
          <w:color w:val="auto"/>
        </w:rPr>
      </w:pPr>
      <w:r w:rsidRPr="005F7597">
        <w:rPr>
          <w:color w:val="auto"/>
        </w:rPr>
        <w:t xml:space="preserve">The Board acknowledges the sentiment expressed by the CI, that there should be additional disability assigned for PTSD, a condition diagnosed after separation from service.   </w:t>
      </w:r>
      <w:r w:rsidR="005F7597" w:rsidRPr="005F7597">
        <w:rPr>
          <w:color w:val="auto"/>
        </w:rPr>
        <w:t xml:space="preserve">The </w:t>
      </w:r>
      <w:r w:rsidR="000A0330">
        <w:rPr>
          <w:color w:val="auto"/>
        </w:rPr>
        <w:t>m</w:t>
      </w:r>
      <w:r w:rsidR="005F7597" w:rsidRPr="005F7597">
        <w:rPr>
          <w:color w:val="auto"/>
        </w:rPr>
        <w:t>ilitary</w:t>
      </w:r>
      <w:r w:rsidR="000A0330">
        <w:rPr>
          <w:color w:val="auto"/>
        </w:rPr>
        <w:t xml:space="preserve"> Disability Evaluation System (</w:t>
      </w:r>
      <w:r w:rsidR="005F7597" w:rsidRPr="005F7597">
        <w:rPr>
          <w:color w:val="auto"/>
        </w:rPr>
        <w:t xml:space="preserve">DES) is responsible for maintaining a fit and vital fighting force. </w:t>
      </w:r>
      <w:r w:rsidR="000A0330">
        <w:rPr>
          <w:color w:val="auto"/>
        </w:rPr>
        <w:t>C</w:t>
      </w:r>
      <w:r w:rsidR="005F7597" w:rsidRPr="005F7597">
        <w:rPr>
          <w:color w:val="auto"/>
        </w:rPr>
        <w:t xml:space="preserve">ompensation can only be offered for those conditions that cut short a </w:t>
      </w:r>
      <w:r w:rsidR="000A0330">
        <w:rPr>
          <w:color w:val="auto"/>
        </w:rPr>
        <w:t>CI</w:t>
      </w:r>
      <w:r w:rsidR="005F7597" w:rsidRPr="005F7597">
        <w:rPr>
          <w:color w:val="auto"/>
        </w:rPr>
        <w:t xml:space="preserve">’s career, and then only to the degree of severity present at the time of </w:t>
      </w:r>
      <w:r w:rsidR="000A0330">
        <w:rPr>
          <w:color w:val="auto"/>
        </w:rPr>
        <w:t>separation</w:t>
      </w:r>
      <w:r w:rsidR="005F7597" w:rsidRPr="005F7597">
        <w:rPr>
          <w:color w:val="auto"/>
        </w:rPr>
        <w:t xml:space="preserve">. However the </w:t>
      </w:r>
      <w:r w:rsidR="003460D5">
        <w:rPr>
          <w:color w:val="auto"/>
        </w:rPr>
        <w:t xml:space="preserve">Department of </w:t>
      </w:r>
      <w:r w:rsidR="005F7597" w:rsidRPr="005F7597">
        <w:rPr>
          <w:color w:val="auto"/>
        </w:rPr>
        <w:t>Veteran</w:t>
      </w:r>
      <w:r w:rsidR="000A0330">
        <w:rPr>
          <w:color w:val="auto"/>
        </w:rPr>
        <w:t>s’</w:t>
      </w:r>
      <w:r w:rsidR="005F7597" w:rsidRPr="005F7597">
        <w:rPr>
          <w:color w:val="auto"/>
        </w:rPr>
        <w:t xml:space="preserve"> A</w:t>
      </w:r>
      <w:r w:rsidR="003460D5">
        <w:rPr>
          <w:color w:val="auto"/>
        </w:rPr>
        <w:t>ffairs</w:t>
      </w:r>
      <w:r w:rsidR="000A0330">
        <w:rPr>
          <w:color w:val="auto"/>
        </w:rPr>
        <w:t xml:space="preserve"> (VA)</w:t>
      </w:r>
      <w:r w:rsidR="005F7597" w:rsidRPr="005F7597">
        <w:rPr>
          <w:color w:val="auto"/>
        </w:rPr>
        <w:t xml:space="preserve"> operating under a differe</w:t>
      </w:r>
      <w:r w:rsidR="003460D5">
        <w:rPr>
          <w:color w:val="auto"/>
        </w:rPr>
        <w:t>nt set of laws;</w:t>
      </w:r>
      <w:r w:rsidR="005F7597" w:rsidRPr="005F7597">
        <w:rPr>
          <w:color w:val="auto"/>
        </w:rPr>
        <w:t xml:space="preserve"> is empowered to compensate service connected conditions and to periodically re-evaluate said conditions for the purpose of adjusting the </w:t>
      </w:r>
      <w:r w:rsidR="000A0330">
        <w:rPr>
          <w:color w:val="auto"/>
        </w:rPr>
        <w:t>CI</w:t>
      </w:r>
      <w:r w:rsidR="005F7597" w:rsidRPr="005F7597">
        <w:rPr>
          <w:color w:val="auto"/>
        </w:rPr>
        <w:t xml:space="preserve">’s disability rating should his degree of impairment vary over time. </w:t>
      </w:r>
    </w:p>
    <w:p w:rsidR="0084717C" w:rsidRPr="0084717C" w:rsidRDefault="0084717C" w:rsidP="000A0330">
      <w:pPr>
        <w:autoSpaceDE w:val="0"/>
        <w:autoSpaceDN w:val="0"/>
        <w:adjustRightInd w:val="0"/>
        <w:spacing w:line="240" w:lineRule="exact"/>
        <w:jc w:val="both"/>
        <w:rPr>
          <w:rFonts w:ascii="Calibri" w:hAnsi="Calibri" w:cs="Calibri"/>
          <w:color w:val="auto"/>
          <w:szCs w:val="24"/>
          <w:u w:val="single"/>
        </w:rPr>
      </w:pPr>
    </w:p>
    <w:p w:rsidR="00E0150A" w:rsidRDefault="00EC02C9" w:rsidP="007E368E">
      <w:pPr>
        <w:autoSpaceDE w:val="0"/>
        <w:autoSpaceDN w:val="0"/>
        <w:adjustRightInd w:val="0"/>
        <w:spacing w:line="240" w:lineRule="exact"/>
        <w:jc w:val="both"/>
        <w:rPr>
          <w:rFonts w:asciiTheme="minorHAnsi" w:hAnsiTheme="minorHAnsi" w:cstheme="minorHAnsi"/>
          <w:color w:val="auto"/>
          <w:szCs w:val="24"/>
        </w:rPr>
      </w:pPr>
      <w:proofErr w:type="gramStart"/>
      <w:r w:rsidRPr="0084717C">
        <w:rPr>
          <w:rFonts w:ascii="Calibri" w:hAnsi="Calibri" w:cs="Calibri"/>
          <w:color w:val="auto"/>
          <w:szCs w:val="24"/>
          <w:u w:val="single"/>
        </w:rPr>
        <w:t>Right Foot Condition</w:t>
      </w:r>
      <w:r w:rsidRPr="0084717C">
        <w:rPr>
          <w:rFonts w:ascii="Calibri" w:hAnsi="Calibri" w:cs="Calibri"/>
          <w:color w:val="auto"/>
          <w:szCs w:val="24"/>
        </w:rPr>
        <w:t>.</w:t>
      </w:r>
      <w:proofErr w:type="gramEnd"/>
      <w:r w:rsidRPr="0084717C">
        <w:rPr>
          <w:rFonts w:ascii="Calibri" w:hAnsi="Calibri" w:cs="Calibri"/>
          <w:color w:val="auto"/>
          <w:szCs w:val="24"/>
        </w:rPr>
        <w:t xml:space="preserve">  In December 2004</w:t>
      </w:r>
      <w:r w:rsidR="00D44A75">
        <w:rPr>
          <w:rFonts w:ascii="Calibri" w:hAnsi="Calibri" w:cs="Calibri"/>
          <w:color w:val="auto"/>
          <w:szCs w:val="24"/>
        </w:rPr>
        <w:t xml:space="preserve"> while deployed to Iraq</w:t>
      </w:r>
      <w:r w:rsidRPr="0084717C">
        <w:rPr>
          <w:rFonts w:ascii="Calibri" w:hAnsi="Calibri" w:cs="Calibri"/>
          <w:color w:val="auto"/>
          <w:szCs w:val="24"/>
        </w:rPr>
        <w:t xml:space="preserve">, the CI sustained a crush injury to his right </w:t>
      </w:r>
      <w:r w:rsidR="000A0330">
        <w:rPr>
          <w:rFonts w:ascii="Calibri" w:hAnsi="Calibri" w:cs="Calibri"/>
          <w:color w:val="auto"/>
          <w:szCs w:val="24"/>
        </w:rPr>
        <w:t>foot</w:t>
      </w:r>
      <w:r w:rsidRPr="0084717C">
        <w:rPr>
          <w:rFonts w:ascii="Calibri" w:hAnsi="Calibri" w:cs="Calibri"/>
          <w:color w:val="auto"/>
          <w:szCs w:val="24"/>
        </w:rPr>
        <w:t xml:space="preserve">.  He was </w:t>
      </w:r>
      <w:r w:rsidR="000A0330">
        <w:rPr>
          <w:rFonts w:ascii="Calibri" w:hAnsi="Calibri" w:cs="Calibri"/>
          <w:color w:val="auto"/>
          <w:szCs w:val="24"/>
        </w:rPr>
        <w:t>medically</w:t>
      </w:r>
      <w:r w:rsidRPr="0084717C">
        <w:rPr>
          <w:rFonts w:ascii="Calibri" w:hAnsi="Calibri" w:cs="Calibri"/>
          <w:color w:val="auto"/>
          <w:szCs w:val="24"/>
        </w:rPr>
        <w:t xml:space="preserve"> evacuat</w:t>
      </w:r>
      <w:r w:rsidR="000A0330">
        <w:rPr>
          <w:rFonts w:ascii="Calibri" w:hAnsi="Calibri" w:cs="Calibri"/>
          <w:color w:val="auto"/>
          <w:szCs w:val="24"/>
        </w:rPr>
        <w:t>ed</w:t>
      </w:r>
      <w:r w:rsidRPr="0084717C">
        <w:rPr>
          <w:rFonts w:ascii="Calibri" w:hAnsi="Calibri" w:cs="Calibri"/>
          <w:color w:val="auto"/>
          <w:szCs w:val="24"/>
        </w:rPr>
        <w:t xml:space="preserve"> from theater</w:t>
      </w:r>
      <w:r w:rsidR="000A0330">
        <w:rPr>
          <w:rFonts w:ascii="Calibri" w:hAnsi="Calibri" w:cs="Calibri"/>
          <w:color w:val="auto"/>
          <w:szCs w:val="24"/>
        </w:rPr>
        <w:t>,</w:t>
      </w:r>
      <w:r w:rsidRPr="0084717C">
        <w:rPr>
          <w:rFonts w:ascii="Calibri" w:hAnsi="Calibri" w:cs="Calibri"/>
          <w:color w:val="auto"/>
          <w:szCs w:val="24"/>
        </w:rPr>
        <w:t xml:space="preserve"> and </w:t>
      </w:r>
      <w:r w:rsidR="000A0330">
        <w:rPr>
          <w:rFonts w:ascii="Calibri" w:hAnsi="Calibri" w:cs="Calibri"/>
          <w:color w:val="auto"/>
          <w:szCs w:val="24"/>
        </w:rPr>
        <w:t>received</w:t>
      </w:r>
      <w:r w:rsidRPr="0084717C">
        <w:rPr>
          <w:rFonts w:ascii="Calibri" w:hAnsi="Calibri" w:cs="Calibri"/>
          <w:color w:val="auto"/>
          <w:szCs w:val="24"/>
        </w:rPr>
        <w:t xml:space="preserve"> treatment at Naval Medical Center San Diego.  </w:t>
      </w:r>
      <w:r w:rsidR="0088369F" w:rsidRPr="0084717C">
        <w:rPr>
          <w:rFonts w:ascii="Calibri" w:hAnsi="Calibri" w:cs="Calibri"/>
          <w:color w:val="auto"/>
          <w:szCs w:val="24"/>
        </w:rPr>
        <w:t xml:space="preserve">He </w:t>
      </w:r>
      <w:r w:rsidRPr="0084717C">
        <w:rPr>
          <w:rFonts w:ascii="Calibri" w:hAnsi="Calibri" w:cs="Calibri"/>
          <w:color w:val="auto"/>
          <w:szCs w:val="24"/>
        </w:rPr>
        <w:t xml:space="preserve">underwent an open reduction </w:t>
      </w:r>
      <w:r w:rsidR="00D44A75">
        <w:rPr>
          <w:rFonts w:ascii="Calibri" w:hAnsi="Calibri" w:cs="Calibri"/>
          <w:color w:val="auto"/>
          <w:szCs w:val="24"/>
        </w:rPr>
        <w:t xml:space="preserve">and </w:t>
      </w:r>
      <w:r w:rsidRPr="0084717C">
        <w:rPr>
          <w:rFonts w:ascii="Calibri" w:hAnsi="Calibri" w:cs="Calibri"/>
          <w:color w:val="auto"/>
          <w:szCs w:val="24"/>
        </w:rPr>
        <w:t>internal</w:t>
      </w:r>
      <w:r w:rsidRPr="00EC02C9">
        <w:rPr>
          <w:rFonts w:asciiTheme="minorHAnsi" w:hAnsiTheme="minorHAnsi" w:cstheme="minorHAnsi"/>
          <w:color w:val="auto"/>
          <w:szCs w:val="24"/>
        </w:rPr>
        <w:t xml:space="preserve"> fixation</w:t>
      </w:r>
      <w:r w:rsidR="00D44A75">
        <w:rPr>
          <w:rFonts w:asciiTheme="minorHAnsi" w:hAnsiTheme="minorHAnsi" w:cstheme="minorHAnsi"/>
          <w:color w:val="auto"/>
          <w:szCs w:val="24"/>
        </w:rPr>
        <w:t xml:space="preserve"> (ORIF) procedure.  </w:t>
      </w:r>
      <w:r>
        <w:rPr>
          <w:rFonts w:asciiTheme="minorHAnsi" w:hAnsiTheme="minorHAnsi" w:cstheme="minorHAnsi"/>
          <w:color w:val="auto"/>
          <w:szCs w:val="24"/>
        </w:rPr>
        <w:t xml:space="preserve">The CI </w:t>
      </w:r>
      <w:r w:rsidRPr="00EC02C9">
        <w:rPr>
          <w:rFonts w:asciiTheme="minorHAnsi" w:hAnsiTheme="minorHAnsi" w:cstheme="minorHAnsi"/>
          <w:color w:val="auto"/>
          <w:szCs w:val="24"/>
        </w:rPr>
        <w:t>did well post</w:t>
      </w:r>
      <w:r w:rsidR="00DD2E69">
        <w:rPr>
          <w:rFonts w:asciiTheme="minorHAnsi" w:hAnsiTheme="minorHAnsi" w:cstheme="minorHAnsi"/>
          <w:color w:val="auto"/>
          <w:szCs w:val="24"/>
        </w:rPr>
        <w:t>-</w:t>
      </w:r>
      <w:r w:rsidRPr="00EC02C9">
        <w:rPr>
          <w:rFonts w:asciiTheme="minorHAnsi" w:hAnsiTheme="minorHAnsi" w:cstheme="minorHAnsi"/>
          <w:color w:val="auto"/>
          <w:szCs w:val="24"/>
        </w:rPr>
        <w:t>operatively</w:t>
      </w:r>
      <w:r w:rsidR="00D44A75">
        <w:rPr>
          <w:rFonts w:asciiTheme="minorHAnsi" w:hAnsiTheme="minorHAnsi" w:cstheme="minorHAnsi"/>
          <w:color w:val="auto"/>
          <w:szCs w:val="24"/>
        </w:rPr>
        <w:t>.  In September 2005, h</w:t>
      </w:r>
      <w:r w:rsidR="002D2DE7">
        <w:rPr>
          <w:rFonts w:asciiTheme="minorHAnsi" w:hAnsiTheme="minorHAnsi" w:cstheme="minorHAnsi"/>
          <w:color w:val="auto"/>
          <w:sz w:val="23"/>
          <w:szCs w:val="23"/>
        </w:rPr>
        <w:t xml:space="preserve">e </w:t>
      </w:r>
      <w:r>
        <w:rPr>
          <w:rFonts w:asciiTheme="minorHAnsi" w:hAnsiTheme="minorHAnsi" w:cstheme="minorHAnsi"/>
          <w:color w:val="auto"/>
          <w:szCs w:val="24"/>
        </w:rPr>
        <w:t xml:space="preserve">began </w:t>
      </w:r>
      <w:r w:rsidRPr="00EC02C9">
        <w:rPr>
          <w:rFonts w:asciiTheme="minorHAnsi" w:hAnsiTheme="minorHAnsi" w:cstheme="minorHAnsi"/>
          <w:color w:val="auto"/>
          <w:szCs w:val="24"/>
        </w:rPr>
        <w:t xml:space="preserve">weight bearing </w:t>
      </w:r>
      <w:r w:rsidR="00D44A75">
        <w:rPr>
          <w:rFonts w:asciiTheme="minorHAnsi" w:hAnsiTheme="minorHAnsi" w:cstheme="minorHAnsi"/>
          <w:color w:val="auto"/>
          <w:szCs w:val="24"/>
        </w:rPr>
        <w:t>on the right foot.  Shortly after that, he</w:t>
      </w:r>
      <w:r w:rsidR="002D2DE7">
        <w:rPr>
          <w:rFonts w:asciiTheme="minorHAnsi" w:hAnsiTheme="minorHAnsi" w:cstheme="minorHAnsi"/>
          <w:color w:val="auto"/>
          <w:szCs w:val="24"/>
        </w:rPr>
        <w:t xml:space="preserve"> </w:t>
      </w:r>
      <w:r w:rsidR="005B57D8">
        <w:rPr>
          <w:rFonts w:asciiTheme="minorHAnsi" w:hAnsiTheme="minorHAnsi" w:cstheme="minorHAnsi"/>
          <w:color w:val="auto"/>
          <w:szCs w:val="24"/>
        </w:rPr>
        <w:t xml:space="preserve">was able to walk </w:t>
      </w:r>
      <w:r w:rsidR="002D2DE7">
        <w:rPr>
          <w:rFonts w:asciiTheme="minorHAnsi" w:hAnsiTheme="minorHAnsi" w:cstheme="minorHAnsi"/>
          <w:color w:val="auto"/>
          <w:szCs w:val="24"/>
        </w:rPr>
        <w:t>without much difficulty but still had</w:t>
      </w:r>
      <w:r w:rsidR="007E368E">
        <w:rPr>
          <w:rFonts w:asciiTheme="minorHAnsi" w:hAnsiTheme="minorHAnsi" w:cstheme="minorHAnsi"/>
          <w:color w:val="auto"/>
          <w:szCs w:val="24"/>
        </w:rPr>
        <w:t xml:space="preserve"> some </w:t>
      </w:r>
      <w:r w:rsidR="007E368E">
        <w:rPr>
          <w:rFonts w:asciiTheme="minorHAnsi" w:hAnsiTheme="minorHAnsi" w:cstheme="minorHAnsi"/>
          <w:color w:val="auto"/>
          <w:szCs w:val="24"/>
        </w:rPr>
        <w:lastRenderedPageBreak/>
        <w:t xml:space="preserve">pain.  </w:t>
      </w:r>
      <w:r w:rsidR="00EE249A">
        <w:rPr>
          <w:rFonts w:asciiTheme="minorHAnsi" w:hAnsiTheme="minorHAnsi" w:cstheme="minorHAnsi"/>
          <w:color w:val="auto"/>
          <w:szCs w:val="24"/>
        </w:rPr>
        <w:t>At his MEB orthopedic exam (</w:t>
      </w:r>
      <w:r w:rsidR="003460D5">
        <w:rPr>
          <w:rFonts w:asciiTheme="minorHAnsi" w:hAnsiTheme="minorHAnsi" w:cstheme="minorHAnsi"/>
          <w:color w:val="auto"/>
          <w:szCs w:val="24"/>
        </w:rPr>
        <w:t>21 December 2005</w:t>
      </w:r>
      <w:r w:rsidR="00EE249A">
        <w:rPr>
          <w:rFonts w:asciiTheme="minorHAnsi" w:hAnsiTheme="minorHAnsi" w:cstheme="minorHAnsi"/>
          <w:color w:val="auto"/>
          <w:szCs w:val="24"/>
        </w:rPr>
        <w:t>)</w:t>
      </w:r>
      <w:r w:rsidR="006E7BDC">
        <w:rPr>
          <w:rFonts w:asciiTheme="minorHAnsi" w:hAnsiTheme="minorHAnsi" w:cstheme="minorHAnsi"/>
          <w:color w:val="auto"/>
          <w:szCs w:val="24"/>
        </w:rPr>
        <w:t xml:space="preserve">, </w:t>
      </w:r>
      <w:r w:rsidR="007E368E">
        <w:rPr>
          <w:rFonts w:asciiTheme="minorHAnsi" w:hAnsiTheme="minorHAnsi" w:cstheme="minorHAnsi"/>
          <w:color w:val="auto"/>
          <w:szCs w:val="24"/>
        </w:rPr>
        <w:t>16 weeks</w:t>
      </w:r>
      <w:r w:rsidR="006E7BDC">
        <w:rPr>
          <w:rFonts w:asciiTheme="minorHAnsi" w:hAnsiTheme="minorHAnsi" w:cstheme="minorHAnsi"/>
          <w:color w:val="auto"/>
          <w:szCs w:val="24"/>
        </w:rPr>
        <w:t xml:space="preserve"> prior to separation</w:t>
      </w:r>
      <w:r w:rsidR="00F90BE9">
        <w:rPr>
          <w:rFonts w:asciiTheme="minorHAnsi" w:hAnsiTheme="minorHAnsi" w:cstheme="minorHAnsi"/>
          <w:color w:val="auto"/>
          <w:szCs w:val="24"/>
        </w:rPr>
        <w:t>, the</w:t>
      </w:r>
      <w:r w:rsidR="00EE249A">
        <w:rPr>
          <w:rFonts w:asciiTheme="minorHAnsi" w:hAnsiTheme="minorHAnsi" w:cstheme="minorHAnsi"/>
          <w:color w:val="auto"/>
          <w:szCs w:val="24"/>
        </w:rPr>
        <w:t xml:space="preserve"> CI </w:t>
      </w:r>
      <w:r w:rsidR="00817044">
        <w:rPr>
          <w:rFonts w:asciiTheme="minorHAnsi" w:hAnsiTheme="minorHAnsi" w:cstheme="minorHAnsi"/>
          <w:color w:val="auto"/>
          <w:szCs w:val="24"/>
        </w:rPr>
        <w:t xml:space="preserve">was </w:t>
      </w:r>
      <w:r w:rsidR="00817044" w:rsidRPr="00817044">
        <w:rPr>
          <w:rFonts w:asciiTheme="minorHAnsi" w:hAnsiTheme="minorHAnsi" w:cstheme="minorHAnsi"/>
          <w:color w:val="auto"/>
          <w:szCs w:val="24"/>
        </w:rPr>
        <w:t xml:space="preserve">able to ambulate </w:t>
      </w:r>
      <w:r w:rsidR="007E368E">
        <w:rPr>
          <w:rFonts w:asciiTheme="minorHAnsi" w:hAnsiTheme="minorHAnsi" w:cstheme="minorHAnsi"/>
          <w:color w:val="auto"/>
          <w:szCs w:val="24"/>
        </w:rPr>
        <w:t xml:space="preserve">in sneakers, </w:t>
      </w:r>
      <w:r w:rsidR="00817044">
        <w:rPr>
          <w:rFonts w:asciiTheme="minorHAnsi" w:hAnsiTheme="minorHAnsi" w:cstheme="minorHAnsi"/>
          <w:color w:val="auto"/>
          <w:szCs w:val="24"/>
        </w:rPr>
        <w:t xml:space="preserve">but </w:t>
      </w:r>
      <w:r w:rsidR="00EE249A">
        <w:rPr>
          <w:rFonts w:asciiTheme="minorHAnsi" w:hAnsiTheme="minorHAnsi" w:cstheme="minorHAnsi"/>
          <w:color w:val="auto"/>
          <w:szCs w:val="24"/>
        </w:rPr>
        <w:t>stil</w:t>
      </w:r>
      <w:r w:rsidR="00817044">
        <w:rPr>
          <w:rFonts w:asciiTheme="minorHAnsi" w:hAnsiTheme="minorHAnsi" w:cstheme="minorHAnsi"/>
          <w:color w:val="auto"/>
          <w:szCs w:val="24"/>
        </w:rPr>
        <w:t>l complained of right foot pain</w:t>
      </w:r>
      <w:r w:rsidR="007E368E">
        <w:rPr>
          <w:rFonts w:asciiTheme="minorHAnsi" w:hAnsiTheme="minorHAnsi" w:cstheme="minorHAnsi"/>
          <w:color w:val="auto"/>
          <w:szCs w:val="24"/>
        </w:rPr>
        <w:t>.</w:t>
      </w:r>
      <w:r w:rsidR="00817044">
        <w:rPr>
          <w:rFonts w:asciiTheme="minorHAnsi" w:hAnsiTheme="minorHAnsi" w:cstheme="minorHAnsi"/>
          <w:color w:val="auto"/>
          <w:szCs w:val="24"/>
        </w:rPr>
        <w:t xml:space="preserve">  He </w:t>
      </w:r>
      <w:r w:rsidR="007E368E">
        <w:rPr>
          <w:rFonts w:asciiTheme="minorHAnsi" w:hAnsiTheme="minorHAnsi" w:cstheme="minorHAnsi"/>
          <w:color w:val="auto"/>
          <w:szCs w:val="24"/>
        </w:rPr>
        <w:t>could not</w:t>
      </w:r>
      <w:r w:rsidR="00817044">
        <w:rPr>
          <w:rFonts w:asciiTheme="minorHAnsi" w:hAnsiTheme="minorHAnsi" w:cstheme="minorHAnsi"/>
          <w:color w:val="auto"/>
          <w:szCs w:val="24"/>
        </w:rPr>
        <w:t xml:space="preserve"> run</w:t>
      </w:r>
      <w:r w:rsidR="007E368E">
        <w:rPr>
          <w:rFonts w:asciiTheme="minorHAnsi" w:hAnsiTheme="minorHAnsi" w:cstheme="minorHAnsi"/>
          <w:color w:val="auto"/>
          <w:szCs w:val="24"/>
        </w:rPr>
        <w:t>,</w:t>
      </w:r>
      <w:r w:rsidR="00817044">
        <w:rPr>
          <w:rFonts w:asciiTheme="minorHAnsi" w:hAnsiTheme="minorHAnsi" w:cstheme="minorHAnsi"/>
          <w:color w:val="auto"/>
          <w:szCs w:val="24"/>
        </w:rPr>
        <w:t xml:space="preserve"> and </w:t>
      </w:r>
      <w:r w:rsidR="007E368E">
        <w:rPr>
          <w:rFonts w:asciiTheme="minorHAnsi" w:hAnsiTheme="minorHAnsi" w:cstheme="minorHAnsi"/>
          <w:color w:val="auto"/>
          <w:szCs w:val="24"/>
        </w:rPr>
        <w:t>had</w:t>
      </w:r>
      <w:r w:rsidR="00817044">
        <w:rPr>
          <w:rFonts w:asciiTheme="minorHAnsi" w:hAnsiTheme="minorHAnsi" w:cstheme="minorHAnsi"/>
          <w:color w:val="auto"/>
          <w:szCs w:val="24"/>
        </w:rPr>
        <w:t xml:space="preserve"> pain of his </w:t>
      </w:r>
      <w:r w:rsidR="007E368E">
        <w:rPr>
          <w:rFonts w:asciiTheme="minorHAnsi" w:hAnsiTheme="minorHAnsi" w:cstheme="minorHAnsi"/>
          <w:color w:val="auto"/>
          <w:szCs w:val="24"/>
        </w:rPr>
        <w:t xml:space="preserve">right </w:t>
      </w:r>
      <w:r w:rsidR="00817044">
        <w:rPr>
          <w:rFonts w:asciiTheme="minorHAnsi" w:hAnsiTheme="minorHAnsi" w:cstheme="minorHAnsi"/>
          <w:color w:val="auto"/>
          <w:szCs w:val="24"/>
        </w:rPr>
        <w:t>foot and ankle after a</w:t>
      </w:r>
      <w:r w:rsidR="00C662D1">
        <w:rPr>
          <w:rFonts w:asciiTheme="minorHAnsi" w:hAnsiTheme="minorHAnsi" w:cstheme="minorHAnsi"/>
          <w:color w:val="auto"/>
          <w:szCs w:val="24"/>
        </w:rPr>
        <w:t xml:space="preserve"> day of </w:t>
      </w:r>
      <w:r w:rsidR="00EE249A">
        <w:rPr>
          <w:rFonts w:asciiTheme="minorHAnsi" w:hAnsiTheme="minorHAnsi" w:cstheme="minorHAnsi"/>
          <w:color w:val="auto"/>
          <w:szCs w:val="24"/>
        </w:rPr>
        <w:t>vigorous walking</w:t>
      </w:r>
      <w:r w:rsidR="00817044">
        <w:rPr>
          <w:rFonts w:asciiTheme="minorHAnsi" w:hAnsiTheme="minorHAnsi" w:cstheme="minorHAnsi"/>
          <w:color w:val="auto"/>
          <w:szCs w:val="24"/>
        </w:rPr>
        <w:t xml:space="preserve">.  The surgical </w:t>
      </w:r>
      <w:r w:rsidR="007E368E">
        <w:rPr>
          <w:rFonts w:asciiTheme="minorHAnsi" w:hAnsiTheme="minorHAnsi" w:cstheme="minorHAnsi"/>
          <w:color w:val="auto"/>
          <w:szCs w:val="24"/>
        </w:rPr>
        <w:t xml:space="preserve">wound on his </w:t>
      </w:r>
      <w:r w:rsidR="00817044">
        <w:rPr>
          <w:rFonts w:asciiTheme="minorHAnsi" w:hAnsiTheme="minorHAnsi" w:cstheme="minorHAnsi"/>
          <w:color w:val="auto"/>
          <w:szCs w:val="24"/>
        </w:rPr>
        <w:t>foot was well healed</w:t>
      </w:r>
      <w:r w:rsidR="007E368E">
        <w:rPr>
          <w:rFonts w:asciiTheme="minorHAnsi" w:hAnsiTheme="minorHAnsi" w:cstheme="minorHAnsi"/>
          <w:color w:val="auto"/>
          <w:szCs w:val="24"/>
        </w:rPr>
        <w:t>.  There was</w:t>
      </w:r>
      <w:r w:rsidR="00817044">
        <w:rPr>
          <w:rFonts w:asciiTheme="minorHAnsi" w:hAnsiTheme="minorHAnsi" w:cstheme="minorHAnsi"/>
          <w:color w:val="auto"/>
          <w:szCs w:val="24"/>
        </w:rPr>
        <w:t xml:space="preserve"> </w:t>
      </w:r>
      <w:r w:rsidRPr="00EE249A">
        <w:rPr>
          <w:rFonts w:asciiTheme="minorHAnsi" w:hAnsiTheme="minorHAnsi" w:cstheme="minorHAnsi"/>
          <w:color w:val="auto"/>
          <w:szCs w:val="24"/>
        </w:rPr>
        <w:t>moderate tenderness to palpation over the dorsum of the foot</w:t>
      </w:r>
      <w:r w:rsidR="007E368E">
        <w:rPr>
          <w:rFonts w:asciiTheme="minorHAnsi" w:hAnsiTheme="minorHAnsi" w:cstheme="minorHAnsi"/>
          <w:color w:val="auto"/>
          <w:szCs w:val="24"/>
        </w:rPr>
        <w:t xml:space="preserve">, and </w:t>
      </w:r>
      <w:r w:rsidR="007D20F4">
        <w:rPr>
          <w:rFonts w:asciiTheme="minorHAnsi" w:hAnsiTheme="minorHAnsi" w:cstheme="minorHAnsi"/>
          <w:color w:val="auto"/>
          <w:szCs w:val="24"/>
        </w:rPr>
        <w:t>in the area</w:t>
      </w:r>
      <w:r w:rsidRPr="00EC02C9">
        <w:rPr>
          <w:rFonts w:asciiTheme="minorHAnsi" w:hAnsiTheme="minorHAnsi" w:cstheme="minorHAnsi"/>
          <w:color w:val="auto"/>
          <w:szCs w:val="24"/>
        </w:rPr>
        <w:t xml:space="preserve"> of the ankle joint</w:t>
      </w:r>
      <w:r w:rsidR="007D20F4">
        <w:rPr>
          <w:rFonts w:asciiTheme="minorHAnsi" w:hAnsiTheme="minorHAnsi" w:cstheme="minorHAnsi"/>
          <w:color w:val="auto"/>
          <w:szCs w:val="24"/>
        </w:rPr>
        <w:t xml:space="preserve">.  </w:t>
      </w:r>
      <w:r w:rsidR="007E368E">
        <w:rPr>
          <w:rFonts w:asciiTheme="minorHAnsi" w:hAnsiTheme="minorHAnsi" w:cstheme="minorHAnsi"/>
          <w:color w:val="auto"/>
          <w:szCs w:val="24"/>
        </w:rPr>
        <w:t xml:space="preserve">His </w:t>
      </w:r>
      <w:r w:rsidR="007D20F4">
        <w:rPr>
          <w:rFonts w:asciiTheme="minorHAnsi" w:hAnsiTheme="minorHAnsi" w:cstheme="minorHAnsi"/>
          <w:color w:val="auto"/>
          <w:szCs w:val="24"/>
        </w:rPr>
        <w:t>gait wa</w:t>
      </w:r>
      <w:r w:rsidRPr="00EC02C9">
        <w:rPr>
          <w:rFonts w:asciiTheme="minorHAnsi" w:hAnsiTheme="minorHAnsi" w:cstheme="minorHAnsi"/>
          <w:color w:val="auto"/>
          <w:szCs w:val="24"/>
        </w:rPr>
        <w:t>s slight</w:t>
      </w:r>
      <w:r w:rsidR="007D20F4">
        <w:rPr>
          <w:rFonts w:asciiTheme="minorHAnsi" w:hAnsiTheme="minorHAnsi" w:cstheme="minorHAnsi"/>
          <w:color w:val="auto"/>
          <w:szCs w:val="24"/>
        </w:rPr>
        <w:t>ly antalgic</w:t>
      </w:r>
      <w:r w:rsidR="00C45EE1">
        <w:rPr>
          <w:rFonts w:asciiTheme="minorHAnsi" w:hAnsiTheme="minorHAnsi" w:cstheme="minorHAnsi"/>
          <w:color w:val="auto"/>
          <w:szCs w:val="24"/>
        </w:rPr>
        <w:t>.</w:t>
      </w:r>
      <w:r w:rsidR="007D20F4">
        <w:rPr>
          <w:rFonts w:asciiTheme="minorHAnsi" w:hAnsiTheme="minorHAnsi" w:cstheme="minorHAnsi"/>
          <w:color w:val="auto"/>
          <w:szCs w:val="24"/>
        </w:rPr>
        <w:t xml:space="preserve">  </w:t>
      </w:r>
      <w:r w:rsidR="00C45EE1">
        <w:rPr>
          <w:rFonts w:asciiTheme="minorHAnsi" w:hAnsiTheme="minorHAnsi" w:cstheme="minorHAnsi"/>
          <w:color w:val="auto"/>
          <w:szCs w:val="24"/>
        </w:rPr>
        <w:t>T</w:t>
      </w:r>
      <w:r w:rsidR="009964D3">
        <w:rPr>
          <w:rFonts w:asciiTheme="minorHAnsi" w:hAnsiTheme="minorHAnsi" w:cstheme="minorHAnsi"/>
          <w:color w:val="auto"/>
          <w:szCs w:val="24"/>
        </w:rPr>
        <w:t xml:space="preserve">he examiner noted that the CI had significant </w:t>
      </w:r>
      <w:r w:rsidR="003460D5">
        <w:rPr>
          <w:rFonts w:asciiTheme="minorHAnsi" w:hAnsiTheme="minorHAnsi" w:cstheme="minorHAnsi"/>
          <w:color w:val="auto"/>
          <w:szCs w:val="24"/>
        </w:rPr>
        <w:t>hyper mobility</w:t>
      </w:r>
      <w:r w:rsidR="00C45EE1">
        <w:rPr>
          <w:rFonts w:asciiTheme="minorHAnsi" w:hAnsiTheme="minorHAnsi" w:cstheme="minorHAnsi"/>
          <w:color w:val="auto"/>
          <w:szCs w:val="24"/>
        </w:rPr>
        <w:t xml:space="preserve"> of his foot </w:t>
      </w:r>
      <w:r w:rsidR="009964D3">
        <w:rPr>
          <w:rFonts w:asciiTheme="minorHAnsi" w:hAnsiTheme="minorHAnsi" w:cstheme="minorHAnsi"/>
          <w:color w:val="auto"/>
          <w:szCs w:val="24"/>
        </w:rPr>
        <w:t xml:space="preserve">and </w:t>
      </w:r>
      <w:r w:rsidR="00C45EE1">
        <w:rPr>
          <w:rFonts w:asciiTheme="minorHAnsi" w:hAnsiTheme="minorHAnsi" w:cstheme="minorHAnsi"/>
          <w:color w:val="auto"/>
          <w:szCs w:val="24"/>
        </w:rPr>
        <w:t>would laterally load</w:t>
      </w:r>
      <w:r w:rsidR="009964D3">
        <w:rPr>
          <w:rFonts w:asciiTheme="minorHAnsi" w:hAnsiTheme="minorHAnsi" w:cstheme="minorHAnsi"/>
          <w:color w:val="auto"/>
          <w:szCs w:val="24"/>
        </w:rPr>
        <w:t xml:space="preserve"> the right foot with</w:t>
      </w:r>
      <w:r w:rsidR="00616512">
        <w:rPr>
          <w:rFonts w:asciiTheme="minorHAnsi" w:hAnsiTheme="minorHAnsi" w:cstheme="minorHAnsi"/>
          <w:color w:val="auto"/>
          <w:szCs w:val="24"/>
        </w:rPr>
        <w:t xml:space="preserve"> ambulation. </w:t>
      </w:r>
      <w:r w:rsidR="00531F9B">
        <w:rPr>
          <w:rFonts w:asciiTheme="minorHAnsi" w:hAnsiTheme="minorHAnsi" w:cstheme="minorHAnsi"/>
          <w:color w:val="auto"/>
          <w:szCs w:val="24"/>
        </w:rPr>
        <w:t xml:space="preserve"> </w:t>
      </w:r>
      <w:r w:rsidR="003460D5">
        <w:rPr>
          <w:rFonts w:asciiTheme="minorHAnsi" w:hAnsiTheme="minorHAnsi" w:cstheme="minorHAnsi"/>
          <w:color w:val="auto"/>
          <w:szCs w:val="24"/>
        </w:rPr>
        <w:t>At his VA compensation and p</w:t>
      </w:r>
      <w:r w:rsidR="00E0150A">
        <w:rPr>
          <w:rFonts w:asciiTheme="minorHAnsi" w:hAnsiTheme="minorHAnsi" w:cstheme="minorHAnsi"/>
          <w:color w:val="auto"/>
          <w:szCs w:val="24"/>
        </w:rPr>
        <w:t>ension (C&amp;P) exam</w:t>
      </w:r>
      <w:r w:rsidR="005B57D8">
        <w:rPr>
          <w:rFonts w:asciiTheme="minorHAnsi" w:hAnsiTheme="minorHAnsi" w:cstheme="minorHAnsi"/>
          <w:color w:val="auto"/>
          <w:szCs w:val="24"/>
        </w:rPr>
        <w:t xml:space="preserve"> (</w:t>
      </w:r>
      <w:r w:rsidR="003460D5">
        <w:rPr>
          <w:rFonts w:asciiTheme="minorHAnsi" w:hAnsiTheme="minorHAnsi" w:cstheme="minorHAnsi"/>
          <w:color w:val="auto"/>
          <w:szCs w:val="24"/>
        </w:rPr>
        <w:t>April 6, 2007</w:t>
      </w:r>
      <w:r w:rsidR="005B57D8">
        <w:rPr>
          <w:rFonts w:asciiTheme="minorHAnsi" w:hAnsiTheme="minorHAnsi" w:cstheme="minorHAnsi"/>
          <w:color w:val="auto"/>
          <w:szCs w:val="24"/>
        </w:rPr>
        <w:t xml:space="preserve">), 12 months after separation, the CI complained of </w:t>
      </w:r>
      <w:r w:rsidR="002D2DE7">
        <w:rPr>
          <w:rFonts w:asciiTheme="minorHAnsi" w:hAnsiTheme="minorHAnsi" w:cstheme="minorHAnsi"/>
          <w:color w:val="auto"/>
          <w:szCs w:val="24"/>
        </w:rPr>
        <w:t>constant right foot pain</w:t>
      </w:r>
      <w:r w:rsidR="005B57D8">
        <w:rPr>
          <w:rFonts w:asciiTheme="minorHAnsi" w:hAnsiTheme="minorHAnsi" w:cstheme="minorHAnsi"/>
          <w:color w:val="auto"/>
          <w:szCs w:val="24"/>
        </w:rPr>
        <w:t>.</w:t>
      </w:r>
      <w:r w:rsidR="002B3F27">
        <w:rPr>
          <w:rFonts w:asciiTheme="minorHAnsi" w:hAnsiTheme="minorHAnsi" w:cstheme="minorHAnsi"/>
          <w:color w:val="auto"/>
          <w:szCs w:val="24"/>
        </w:rPr>
        <w:t xml:space="preserve">  </w:t>
      </w:r>
      <w:r w:rsidR="002B3F27" w:rsidRPr="00C45EE1">
        <w:rPr>
          <w:rFonts w:asciiTheme="minorHAnsi" w:hAnsiTheme="minorHAnsi" w:cstheme="minorHAnsi"/>
          <w:color w:val="auto"/>
          <w:szCs w:val="24"/>
        </w:rPr>
        <w:t>He did not wear a brace or special shoe</w:t>
      </w:r>
      <w:r w:rsidR="00616512">
        <w:rPr>
          <w:rFonts w:asciiTheme="minorHAnsi" w:hAnsiTheme="minorHAnsi" w:cstheme="minorHAnsi"/>
          <w:color w:val="auto"/>
          <w:szCs w:val="24"/>
        </w:rPr>
        <w:t>,</w:t>
      </w:r>
      <w:r w:rsidR="002B3F27" w:rsidRPr="00C45EE1">
        <w:rPr>
          <w:rFonts w:asciiTheme="minorHAnsi" w:hAnsiTheme="minorHAnsi" w:cstheme="minorHAnsi"/>
          <w:color w:val="auto"/>
          <w:szCs w:val="24"/>
        </w:rPr>
        <w:t xml:space="preserve"> and reported no difficulty with activities of daily living.</w:t>
      </w:r>
      <w:r w:rsidR="002B3F27">
        <w:rPr>
          <w:rFonts w:asciiTheme="minorHAnsi" w:hAnsiTheme="minorHAnsi" w:cstheme="minorHAnsi"/>
          <w:color w:val="auto"/>
          <w:szCs w:val="24"/>
        </w:rPr>
        <w:t xml:space="preserve">  On exam </w:t>
      </w:r>
      <w:r w:rsidR="00616512">
        <w:rPr>
          <w:rFonts w:asciiTheme="minorHAnsi" w:hAnsiTheme="minorHAnsi" w:cstheme="minorHAnsi"/>
          <w:color w:val="auto"/>
          <w:szCs w:val="24"/>
        </w:rPr>
        <w:t xml:space="preserve">there was </w:t>
      </w:r>
      <w:r w:rsidR="002B3F27">
        <w:rPr>
          <w:rFonts w:asciiTheme="minorHAnsi" w:hAnsiTheme="minorHAnsi" w:cstheme="minorHAnsi"/>
          <w:color w:val="auto"/>
          <w:szCs w:val="24"/>
        </w:rPr>
        <w:t xml:space="preserve">no </w:t>
      </w:r>
      <w:proofErr w:type="spellStart"/>
      <w:r w:rsidR="002B3F27">
        <w:rPr>
          <w:rFonts w:asciiTheme="minorHAnsi" w:hAnsiTheme="minorHAnsi" w:cstheme="minorHAnsi"/>
          <w:color w:val="auto"/>
          <w:szCs w:val="24"/>
        </w:rPr>
        <w:t>erythema</w:t>
      </w:r>
      <w:proofErr w:type="spellEnd"/>
      <w:r w:rsidR="002B3F27">
        <w:rPr>
          <w:rFonts w:asciiTheme="minorHAnsi" w:hAnsiTheme="minorHAnsi" w:cstheme="minorHAnsi"/>
          <w:color w:val="auto"/>
          <w:szCs w:val="24"/>
        </w:rPr>
        <w:t xml:space="preserve"> or swelling.  His surgical scars were well healed and non-tender.</w:t>
      </w:r>
      <w:r w:rsidR="00616512">
        <w:rPr>
          <w:rFonts w:asciiTheme="minorHAnsi" w:hAnsiTheme="minorHAnsi" w:cstheme="minorHAnsi"/>
          <w:color w:val="auto"/>
          <w:szCs w:val="24"/>
        </w:rPr>
        <w:t xml:space="preserve">  </w:t>
      </w:r>
      <w:r w:rsidR="002B3F27">
        <w:rPr>
          <w:rFonts w:asciiTheme="minorHAnsi" w:hAnsiTheme="minorHAnsi" w:cstheme="minorHAnsi"/>
          <w:color w:val="auto"/>
          <w:szCs w:val="24"/>
        </w:rPr>
        <w:t xml:space="preserve">The right ankle was normal in appearance and there was no pain with </w:t>
      </w:r>
      <w:r w:rsidR="00616512">
        <w:rPr>
          <w:rFonts w:asciiTheme="minorHAnsi" w:hAnsiTheme="minorHAnsi" w:cstheme="minorHAnsi"/>
          <w:color w:val="auto"/>
          <w:szCs w:val="24"/>
        </w:rPr>
        <w:t xml:space="preserve">ankle </w:t>
      </w:r>
      <w:r w:rsidR="002B3F27">
        <w:rPr>
          <w:rFonts w:asciiTheme="minorHAnsi" w:hAnsiTheme="minorHAnsi" w:cstheme="minorHAnsi"/>
          <w:color w:val="auto"/>
          <w:szCs w:val="24"/>
        </w:rPr>
        <w:t xml:space="preserve">movement.  </w:t>
      </w:r>
      <w:r w:rsidR="00624870">
        <w:rPr>
          <w:rFonts w:asciiTheme="minorHAnsi" w:hAnsiTheme="minorHAnsi" w:cstheme="minorHAnsi"/>
          <w:color w:val="auto"/>
          <w:szCs w:val="24"/>
        </w:rPr>
        <w:t xml:space="preserve">Right ankle </w:t>
      </w:r>
      <w:r w:rsidR="00616512">
        <w:rPr>
          <w:rFonts w:asciiTheme="minorHAnsi" w:hAnsiTheme="minorHAnsi" w:cstheme="minorHAnsi"/>
          <w:color w:val="auto"/>
          <w:szCs w:val="24"/>
        </w:rPr>
        <w:t>range of motion (</w:t>
      </w:r>
      <w:r w:rsidR="00624870">
        <w:rPr>
          <w:rFonts w:asciiTheme="minorHAnsi" w:hAnsiTheme="minorHAnsi" w:cstheme="minorHAnsi"/>
          <w:color w:val="auto"/>
          <w:szCs w:val="24"/>
        </w:rPr>
        <w:t>ROM</w:t>
      </w:r>
      <w:r w:rsidR="00616512">
        <w:rPr>
          <w:rFonts w:asciiTheme="minorHAnsi" w:hAnsiTheme="minorHAnsi" w:cstheme="minorHAnsi"/>
          <w:color w:val="auto"/>
          <w:szCs w:val="24"/>
        </w:rPr>
        <w:t>)</w:t>
      </w:r>
      <w:r w:rsidR="00624870">
        <w:rPr>
          <w:rFonts w:asciiTheme="minorHAnsi" w:hAnsiTheme="minorHAnsi" w:cstheme="minorHAnsi"/>
          <w:color w:val="auto"/>
          <w:szCs w:val="24"/>
        </w:rPr>
        <w:t xml:space="preserve"> was 15 degrees of dorsiflexion and 30 degrees of plant</w:t>
      </w:r>
      <w:r w:rsidR="00616512">
        <w:rPr>
          <w:rFonts w:asciiTheme="minorHAnsi" w:hAnsiTheme="minorHAnsi" w:cstheme="minorHAnsi"/>
          <w:color w:val="auto"/>
          <w:szCs w:val="24"/>
        </w:rPr>
        <w:t xml:space="preserve">ar flexion.  </w:t>
      </w:r>
    </w:p>
    <w:p w:rsidR="00EB4792" w:rsidRDefault="00EB4792" w:rsidP="005F7597">
      <w:pPr>
        <w:tabs>
          <w:tab w:val="left" w:pos="288"/>
          <w:tab w:val="left" w:pos="4752"/>
        </w:tabs>
        <w:spacing w:line="240" w:lineRule="exact"/>
        <w:jc w:val="both"/>
        <w:rPr>
          <w:rFonts w:asciiTheme="minorHAnsi" w:hAnsiTheme="minorHAnsi" w:cstheme="minorHAnsi"/>
          <w:color w:val="auto"/>
          <w:szCs w:val="24"/>
        </w:rPr>
      </w:pPr>
    </w:p>
    <w:p w:rsidR="00F04554" w:rsidRDefault="00EB4792" w:rsidP="005F7597">
      <w:pPr>
        <w:tabs>
          <w:tab w:val="left" w:pos="288"/>
          <w:tab w:val="left" w:pos="4752"/>
        </w:tabs>
        <w:spacing w:line="240" w:lineRule="exact"/>
        <w:jc w:val="both"/>
        <w:rPr>
          <w:rFonts w:asciiTheme="minorHAnsi" w:hAnsiTheme="minorHAnsi"/>
          <w:color w:val="auto"/>
          <w:szCs w:val="24"/>
        </w:rPr>
      </w:pPr>
      <w:r>
        <w:rPr>
          <w:rFonts w:asciiTheme="minorHAnsi" w:hAnsiTheme="minorHAnsi" w:cstheme="minorHAnsi"/>
          <w:color w:val="auto"/>
          <w:szCs w:val="24"/>
        </w:rPr>
        <w:t xml:space="preserve">The PEB and VA took different approaches to </w:t>
      </w:r>
      <w:r w:rsidR="00616512">
        <w:rPr>
          <w:rFonts w:asciiTheme="minorHAnsi" w:hAnsiTheme="minorHAnsi" w:cstheme="minorHAnsi"/>
          <w:color w:val="auto"/>
          <w:szCs w:val="24"/>
        </w:rPr>
        <w:t xml:space="preserve">coding </w:t>
      </w:r>
      <w:r>
        <w:rPr>
          <w:rFonts w:asciiTheme="minorHAnsi" w:hAnsiTheme="minorHAnsi" w:cstheme="minorHAnsi"/>
          <w:color w:val="auto"/>
          <w:szCs w:val="24"/>
        </w:rPr>
        <w:t xml:space="preserve">the </w:t>
      </w:r>
      <w:r w:rsidR="00616512">
        <w:rPr>
          <w:rFonts w:asciiTheme="minorHAnsi" w:hAnsiTheme="minorHAnsi" w:cstheme="minorHAnsi"/>
          <w:color w:val="auto"/>
          <w:szCs w:val="24"/>
        </w:rPr>
        <w:t xml:space="preserve">right </w:t>
      </w:r>
      <w:r>
        <w:rPr>
          <w:rFonts w:asciiTheme="minorHAnsi" w:hAnsiTheme="minorHAnsi" w:cstheme="minorHAnsi"/>
          <w:color w:val="auto"/>
          <w:szCs w:val="24"/>
        </w:rPr>
        <w:t xml:space="preserve">foot </w:t>
      </w:r>
      <w:r w:rsidR="00616512">
        <w:rPr>
          <w:rFonts w:asciiTheme="minorHAnsi" w:hAnsiTheme="minorHAnsi" w:cstheme="minorHAnsi"/>
          <w:color w:val="auto"/>
          <w:szCs w:val="24"/>
        </w:rPr>
        <w:t>condition.  The PEB used the Veterans’ Administration Schedule for Rating Disabilities (VASRD) code 5276 (acquired</w:t>
      </w:r>
      <w:r w:rsidR="00254B1A">
        <w:rPr>
          <w:rFonts w:asciiTheme="minorHAnsi" w:hAnsiTheme="minorHAnsi" w:cstheme="minorHAnsi"/>
          <w:color w:val="auto"/>
          <w:szCs w:val="24"/>
        </w:rPr>
        <w:t xml:space="preserve"> flatfoot</w:t>
      </w:r>
      <w:r w:rsidR="00616512">
        <w:rPr>
          <w:rFonts w:asciiTheme="minorHAnsi" w:hAnsiTheme="minorHAnsi" w:cstheme="minorHAnsi"/>
          <w:color w:val="auto"/>
          <w:szCs w:val="24"/>
        </w:rPr>
        <w:t>)</w:t>
      </w:r>
      <w:r>
        <w:rPr>
          <w:rFonts w:asciiTheme="minorHAnsi" w:hAnsiTheme="minorHAnsi" w:cstheme="minorHAnsi"/>
          <w:color w:val="auto"/>
          <w:szCs w:val="24"/>
        </w:rPr>
        <w:t xml:space="preserve">.  </w:t>
      </w:r>
      <w:r w:rsidR="00C41C56">
        <w:rPr>
          <w:rFonts w:asciiTheme="minorHAnsi" w:hAnsiTheme="minorHAnsi" w:cstheme="minorHAnsi"/>
          <w:color w:val="auto"/>
          <w:szCs w:val="24"/>
        </w:rPr>
        <w:t xml:space="preserve">The </w:t>
      </w:r>
      <w:r w:rsidR="00254B1A">
        <w:rPr>
          <w:rFonts w:asciiTheme="minorHAnsi" w:hAnsiTheme="minorHAnsi" w:cstheme="minorHAnsi"/>
          <w:color w:val="auto"/>
          <w:szCs w:val="24"/>
        </w:rPr>
        <w:t xml:space="preserve">VA used code 5284 (foot injuries, other).  The </w:t>
      </w:r>
      <w:r w:rsidR="00D00CBD">
        <w:rPr>
          <w:rFonts w:asciiTheme="minorHAnsi" w:hAnsiTheme="minorHAnsi" w:cstheme="minorHAnsi"/>
          <w:color w:val="auto"/>
          <w:szCs w:val="24"/>
        </w:rPr>
        <w:t>Board</w:t>
      </w:r>
      <w:r w:rsidR="00254B1A">
        <w:rPr>
          <w:rFonts w:asciiTheme="minorHAnsi" w:hAnsiTheme="minorHAnsi" w:cstheme="minorHAnsi"/>
          <w:color w:val="auto"/>
          <w:szCs w:val="24"/>
        </w:rPr>
        <w:t xml:space="preserve"> carefully examined all evidentiary information available.  Since the disability had resulted from the </w:t>
      </w:r>
      <w:r>
        <w:rPr>
          <w:rFonts w:asciiTheme="minorHAnsi" w:hAnsiTheme="minorHAnsi" w:cstheme="minorHAnsi"/>
          <w:color w:val="auto"/>
          <w:szCs w:val="24"/>
        </w:rPr>
        <w:t>crush injury</w:t>
      </w:r>
      <w:r w:rsidR="00531F9B">
        <w:rPr>
          <w:rFonts w:asciiTheme="minorHAnsi" w:hAnsiTheme="minorHAnsi" w:cstheme="minorHAnsi"/>
          <w:color w:val="auto"/>
          <w:szCs w:val="24"/>
        </w:rPr>
        <w:t>,</w:t>
      </w:r>
      <w:r>
        <w:rPr>
          <w:rFonts w:asciiTheme="minorHAnsi" w:hAnsiTheme="minorHAnsi" w:cstheme="minorHAnsi"/>
          <w:color w:val="auto"/>
          <w:szCs w:val="24"/>
        </w:rPr>
        <w:t xml:space="preserve"> the Board </w:t>
      </w:r>
      <w:r w:rsidR="00254B1A">
        <w:rPr>
          <w:rFonts w:asciiTheme="minorHAnsi" w:hAnsiTheme="minorHAnsi" w:cstheme="minorHAnsi"/>
          <w:color w:val="auto"/>
          <w:szCs w:val="24"/>
        </w:rPr>
        <w:t xml:space="preserve">determined that VASRD code </w:t>
      </w:r>
      <w:r>
        <w:rPr>
          <w:rFonts w:asciiTheme="minorHAnsi" w:hAnsiTheme="minorHAnsi" w:cstheme="minorHAnsi"/>
          <w:color w:val="auto"/>
          <w:szCs w:val="24"/>
        </w:rPr>
        <w:t>5284 (foot injuries, other) w</w:t>
      </w:r>
      <w:r w:rsidR="00254B1A">
        <w:rPr>
          <w:rFonts w:asciiTheme="minorHAnsi" w:hAnsiTheme="minorHAnsi" w:cstheme="minorHAnsi"/>
          <w:color w:val="auto"/>
          <w:szCs w:val="24"/>
        </w:rPr>
        <w:t xml:space="preserve">ould be </w:t>
      </w:r>
      <w:r w:rsidR="00C41C56">
        <w:rPr>
          <w:rFonts w:asciiTheme="minorHAnsi" w:hAnsiTheme="minorHAnsi" w:cstheme="minorHAnsi"/>
          <w:color w:val="auto"/>
          <w:szCs w:val="24"/>
        </w:rPr>
        <w:t xml:space="preserve">appropriate in this case.  </w:t>
      </w:r>
      <w:r w:rsidR="008A654D">
        <w:rPr>
          <w:rFonts w:asciiTheme="minorHAnsi" w:hAnsiTheme="minorHAnsi" w:cstheme="minorHAnsi"/>
          <w:color w:val="auto"/>
          <w:szCs w:val="24"/>
        </w:rPr>
        <w:t xml:space="preserve">The Board </w:t>
      </w:r>
      <w:r w:rsidR="00DD2E69">
        <w:rPr>
          <w:rFonts w:asciiTheme="minorHAnsi" w:hAnsiTheme="minorHAnsi" w:cstheme="minorHAnsi"/>
          <w:color w:val="auto"/>
          <w:szCs w:val="24"/>
        </w:rPr>
        <w:t xml:space="preserve">noted that the CI had done </w:t>
      </w:r>
      <w:r w:rsidR="00733271">
        <w:rPr>
          <w:rFonts w:asciiTheme="minorHAnsi" w:hAnsiTheme="minorHAnsi" w:cstheme="minorHAnsi"/>
          <w:color w:val="auto"/>
          <w:szCs w:val="24"/>
        </w:rPr>
        <w:t>well post</w:t>
      </w:r>
      <w:r w:rsidR="00DD2E69">
        <w:rPr>
          <w:rFonts w:asciiTheme="minorHAnsi" w:hAnsiTheme="minorHAnsi" w:cstheme="minorHAnsi"/>
          <w:color w:val="auto"/>
          <w:szCs w:val="24"/>
        </w:rPr>
        <w:t>-</w:t>
      </w:r>
      <w:r w:rsidR="00733271">
        <w:rPr>
          <w:rFonts w:asciiTheme="minorHAnsi" w:hAnsiTheme="minorHAnsi" w:cstheme="minorHAnsi"/>
          <w:color w:val="auto"/>
          <w:szCs w:val="24"/>
        </w:rPr>
        <w:t>operatively</w:t>
      </w:r>
      <w:r w:rsidR="00DD2E69">
        <w:rPr>
          <w:rFonts w:asciiTheme="minorHAnsi" w:hAnsiTheme="minorHAnsi" w:cstheme="minorHAnsi"/>
          <w:color w:val="auto"/>
          <w:szCs w:val="24"/>
        </w:rPr>
        <w:t xml:space="preserve">.  He was </w:t>
      </w:r>
      <w:r w:rsidR="00733271">
        <w:rPr>
          <w:rFonts w:asciiTheme="minorHAnsi" w:hAnsiTheme="minorHAnsi" w:cstheme="minorHAnsi"/>
          <w:color w:val="auto"/>
          <w:szCs w:val="24"/>
        </w:rPr>
        <w:t xml:space="preserve">walking without </w:t>
      </w:r>
      <w:r w:rsidR="00A8389C">
        <w:rPr>
          <w:rFonts w:asciiTheme="minorHAnsi" w:hAnsiTheme="minorHAnsi" w:cstheme="minorHAnsi"/>
          <w:color w:val="auto"/>
          <w:szCs w:val="24"/>
        </w:rPr>
        <w:t xml:space="preserve">significant </w:t>
      </w:r>
      <w:r w:rsidR="00733271">
        <w:rPr>
          <w:rFonts w:asciiTheme="minorHAnsi" w:hAnsiTheme="minorHAnsi" w:cstheme="minorHAnsi"/>
          <w:color w:val="auto"/>
          <w:szCs w:val="24"/>
        </w:rPr>
        <w:t xml:space="preserve">difficulty prior to separation (no cane, braces or special shoes).  </w:t>
      </w:r>
      <w:r w:rsidR="00812F58">
        <w:rPr>
          <w:rFonts w:asciiTheme="minorHAnsi" w:hAnsiTheme="minorHAnsi" w:cstheme="minorHAnsi"/>
          <w:color w:val="auto"/>
          <w:szCs w:val="24"/>
        </w:rPr>
        <w:t>However, d</w:t>
      </w:r>
      <w:r w:rsidR="00733271">
        <w:rPr>
          <w:rFonts w:asciiTheme="minorHAnsi" w:hAnsiTheme="minorHAnsi" w:cstheme="minorHAnsi"/>
          <w:color w:val="auto"/>
          <w:szCs w:val="24"/>
        </w:rPr>
        <w:t xml:space="preserve">ue to the persistent pain </w:t>
      </w:r>
      <w:r w:rsidR="00DD2E69">
        <w:rPr>
          <w:rFonts w:asciiTheme="minorHAnsi" w:hAnsiTheme="minorHAnsi" w:cstheme="minorHAnsi"/>
          <w:color w:val="auto"/>
          <w:szCs w:val="24"/>
        </w:rPr>
        <w:t xml:space="preserve">and </w:t>
      </w:r>
      <w:r w:rsidR="00733271">
        <w:rPr>
          <w:rFonts w:asciiTheme="minorHAnsi" w:hAnsiTheme="minorHAnsi" w:cstheme="minorHAnsi"/>
          <w:color w:val="auto"/>
          <w:szCs w:val="24"/>
        </w:rPr>
        <w:t xml:space="preserve">deformity, the Board </w:t>
      </w:r>
      <w:r w:rsidR="00DD2E69">
        <w:rPr>
          <w:rFonts w:asciiTheme="minorHAnsi" w:hAnsiTheme="minorHAnsi" w:cstheme="minorHAnsi"/>
          <w:color w:val="auto"/>
          <w:szCs w:val="24"/>
        </w:rPr>
        <w:t xml:space="preserve">determined that the right foot condition was </w:t>
      </w:r>
      <w:r w:rsidR="00DD2E69">
        <w:rPr>
          <w:rFonts w:asciiTheme="minorHAnsi" w:hAnsiTheme="minorHAnsi"/>
          <w:color w:val="auto"/>
          <w:szCs w:val="24"/>
        </w:rPr>
        <w:t>moderately severe</w:t>
      </w:r>
      <w:r w:rsidR="008A654D">
        <w:rPr>
          <w:rFonts w:asciiTheme="minorHAnsi" w:hAnsiTheme="minorHAnsi"/>
          <w:color w:val="auto"/>
          <w:szCs w:val="24"/>
        </w:rPr>
        <w:t xml:space="preserve">.  </w:t>
      </w:r>
      <w:r w:rsidR="00F04554">
        <w:rPr>
          <w:rFonts w:asciiTheme="minorHAnsi" w:hAnsiTheme="minorHAnsi"/>
          <w:color w:val="auto"/>
          <w:szCs w:val="24"/>
        </w:rPr>
        <w:t xml:space="preserve">After </w:t>
      </w:r>
      <w:r w:rsidR="00DD2E69">
        <w:rPr>
          <w:rFonts w:asciiTheme="minorHAnsi" w:hAnsiTheme="minorHAnsi"/>
          <w:color w:val="auto"/>
          <w:szCs w:val="24"/>
        </w:rPr>
        <w:t xml:space="preserve">due </w:t>
      </w:r>
      <w:r w:rsidR="00F04554">
        <w:rPr>
          <w:rFonts w:asciiTheme="minorHAnsi" w:hAnsiTheme="minorHAnsi"/>
          <w:color w:val="auto"/>
          <w:szCs w:val="24"/>
        </w:rPr>
        <w:t>deliberation, t</w:t>
      </w:r>
      <w:r w:rsidR="00F04554">
        <w:rPr>
          <w:rFonts w:asciiTheme="minorHAnsi" w:hAnsiTheme="minorHAnsi" w:cs="Arial"/>
          <w:color w:val="auto"/>
          <w:szCs w:val="24"/>
        </w:rPr>
        <w:t xml:space="preserve">he Board unanimously recommends a disability </w:t>
      </w:r>
      <w:r w:rsidR="008A654D">
        <w:rPr>
          <w:rFonts w:asciiTheme="minorHAnsi" w:hAnsiTheme="minorHAnsi" w:cs="Courier New"/>
          <w:color w:val="auto"/>
          <w:szCs w:val="24"/>
        </w:rPr>
        <w:t>rating of 2</w:t>
      </w:r>
      <w:r w:rsidR="00F04554">
        <w:rPr>
          <w:rFonts w:asciiTheme="minorHAnsi" w:hAnsiTheme="minorHAnsi" w:cs="Courier New"/>
          <w:color w:val="auto"/>
          <w:szCs w:val="24"/>
        </w:rPr>
        <w:t xml:space="preserve">0% for the </w:t>
      </w:r>
      <w:r w:rsidR="00DD2E69">
        <w:rPr>
          <w:rFonts w:asciiTheme="minorHAnsi" w:hAnsiTheme="minorHAnsi" w:cs="Courier New"/>
          <w:color w:val="auto"/>
          <w:szCs w:val="24"/>
        </w:rPr>
        <w:t xml:space="preserve">right </w:t>
      </w:r>
      <w:r w:rsidR="00F04554">
        <w:rPr>
          <w:rFonts w:asciiTheme="minorHAnsi" w:hAnsiTheme="minorHAnsi" w:cs="Courier New"/>
          <w:color w:val="auto"/>
          <w:szCs w:val="24"/>
        </w:rPr>
        <w:t xml:space="preserve">foot condition </w:t>
      </w:r>
      <w:r w:rsidR="00F04554">
        <w:rPr>
          <w:rFonts w:asciiTheme="minorHAnsi" w:hAnsiTheme="minorHAnsi"/>
          <w:color w:val="auto"/>
          <w:szCs w:val="24"/>
        </w:rPr>
        <w:t xml:space="preserve">IAW </w:t>
      </w:r>
      <w:r w:rsidR="00DD2E69">
        <w:rPr>
          <w:rFonts w:asciiTheme="minorHAnsi" w:hAnsiTheme="minorHAnsi"/>
          <w:color w:val="auto"/>
          <w:szCs w:val="24"/>
        </w:rPr>
        <w:t xml:space="preserve">VASRD </w:t>
      </w:r>
      <w:r w:rsidR="00DD2E69" w:rsidRPr="00396779">
        <w:rPr>
          <w:rFonts w:asciiTheme="minorHAnsi" w:hAnsiTheme="minorHAnsi"/>
          <w:color w:val="auto"/>
          <w:szCs w:val="24"/>
        </w:rPr>
        <w:t>§</w:t>
      </w:r>
      <w:r w:rsidR="00DD2E69" w:rsidRPr="00E13C97">
        <w:rPr>
          <w:rFonts w:asciiTheme="minorHAnsi" w:hAnsiTheme="minorHAnsi"/>
          <w:color w:val="auto"/>
          <w:szCs w:val="24"/>
        </w:rPr>
        <w:t>4.71a</w:t>
      </w:r>
      <w:r w:rsidR="00DD2E69">
        <w:rPr>
          <w:rFonts w:asciiTheme="minorHAnsi" w:hAnsiTheme="minorHAnsi"/>
          <w:color w:val="auto"/>
          <w:szCs w:val="24"/>
        </w:rPr>
        <w:t xml:space="preserve">.  It is </w:t>
      </w:r>
      <w:r w:rsidR="00F04554">
        <w:rPr>
          <w:rFonts w:asciiTheme="minorHAnsi" w:hAnsiTheme="minorHAnsi"/>
          <w:color w:val="auto"/>
          <w:szCs w:val="24"/>
        </w:rPr>
        <w:t>appropriately coded 5284</w:t>
      </w:r>
      <w:r w:rsidR="00DD2E69">
        <w:rPr>
          <w:rFonts w:asciiTheme="minorHAnsi" w:hAnsiTheme="minorHAnsi"/>
          <w:color w:val="auto"/>
          <w:szCs w:val="24"/>
        </w:rPr>
        <w:t>, and meets criteria for the 20% rating.</w:t>
      </w:r>
    </w:p>
    <w:p w:rsidR="009C04C1" w:rsidRDefault="009C04C1" w:rsidP="005F7597">
      <w:pPr>
        <w:spacing w:line="240" w:lineRule="exact"/>
        <w:jc w:val="both"/>
        <w:rPr>
          <w:rFonts w:asciiTheme="minorHAnsi" w:eastAsia="HiddenHorzOCR" w:hAnsiTheme="minorHAnsi"/>
          <w:color w:val="auto"/>
          <w:szCs w:val="24"/>
          <w:u w:val="single"/>
        </w:rPr>
      </w:pPr>
    </w:p>
    <w:p w:rsidR="008D442C" w:rsidRPr="00580267" w:rsidRDefault="009C04C1" w:rsidP="00580267">
      <w:pPr>
        <w:spacing w:line="240" w:lineRule="exact"/>
        <w:jc w:val="both"/>
        <w:rPr>
          <w:rFonts w:asciiTheme="minorHAnsi" w:eastAsia="HiddenHorzOCR" w:hAnsiTheme="minorHAnsi"/>
          <w:color w:val="auto"/>
          <w:szCs w:val="24"/>
        </w:rPr>
      </w:pPr>
      <w:proofErr w:type="gramStart"/>
      <w:r w:rsidRPr="00737283">
        <w:rPr>
          <w:rFonts w:asciiTheme="minorHAnsi" w:eastAsia="HiddenHorzOCR" w:hAnsiTheme="minorHAnsi"/>
          <w:color w:val="auto"/>
          <w:szCs w:val="24"/>
          <w:u w:val="single"/>
        </w:rPr>
        <w:t>Other PEB Condition</w:t>
      </w:r>
      <w:r w:rsidR="001A3974">
        <w:rPr>
          <w:rFonts w:asciiTheme="minorHAnsi" w:eastAsia="HiddenHorzOCR" w:hAnsiTheme="minorHAnsi"/>
          <w:color w:val="auto"/>
          <w:szCs w:val="24"/>
        </w:rPr>
        <w:t>.</w:t>
      </w:r>
      <w:proofErr w:type="gramEnd"/>
      <w:r w:rsidR="00580267">
        <w:rPr>
          <w:rFonts w:asciiTheme="minorHAnsi" w:eastAsia="HiddenHorzOCR" w:hAnsiTheme="minorHAnsi"/>
          <w:color w:val="auto"/>
          <w:szCs w:val="24"/>
        </w:rPr>
        <w:t xml:space="preserve"> </w:t>
      </w:r>
      <w:r w:rsidR="00E101F4">
        <w:rPr>
          <w:rFonts w:asciiTheme="minorHAnsi" w:eastAsia="HiddenHorzOCR" w:hAnsiTheme="minorHAnsi"/>
          <w:color w:val="auto"/>
          <w:szCs w:val="24"/>
        </w:rPr>
        <w:t xml:space="preserve"> The other condition</w:t>
      </w:r>
      <w:r w:rsidRPr="00737283">
        <w:rPr>
          <w:rFonts w:asciiTheme="minorHAnsi" w:eastAsia="HiddenHorzOCR" w:hAnsiTheme="minorHAnsi"/>
          <w:color w:val="auto"/>
          <w:szCs w:val="24"/>
        </w:rPr>
        <w:t xml:space="preserve"> adjudicated </w:t>
      </w:r>
      <w:r w:rsidR="00E101F4">
        <w:rPr>
          <w:rFonts w:asciiTheme="minorHAnsi" w:eastAsia="HiddenHorzOCR" w:hAnsiTheme="minorHAnsi"/>
          <w:color w:val="auto"/>
          <w:szCs w:val="24"/>
        </w:rPr>
        <w:t xml:space="preserve">by the PEB was </w:t>
      </w:r>
      <w:r w:rsidR="00580267">
        <w:rPr>
          <w:rFonts w:asciiTheme="minorHAnsi" w:eastAsia="HiddenHorzOCR" w:hAnsiTheme="minorHAnsi"/>
          <w:color w:val="auto"/>
          <w:szCs w:val="24"/>
        </w:rPr>
        <w:t>“</w:t>
      </w:r>
      <w:r>
        <w:rPr>
          <w:rFonts w:asciiTheme="minorHAnsi" w:eastAsia="HiddenHorzOCR" w:hAnsiTheme="minorHAnsi"/>
          <w:color w:val="auto"/>
          <w:szCs w:val="24"/>
        </w:rPr>
        <w:t>overweight</w:t>
      </w:r>
      <w:r w:rsidR="00E101F4">
        <w:rPr>
          <w:rFonts w:asciiTheme="minorHAnsi" w:eastAsia="HiddenHorzOCR" w:hAnsiTheme="minorHAnsi"/>
          <w:color w:val="auto"/>
          <w:szCs w:val="24"/>
        </w:rPr>
        <w:t>.</w:t>
      </w:r>
      <w:r w:rsidR="00580267">
        <w:rPr>
          <w:rFonts w:asciiTheme="minorHAnsi" w:eastAsia="HiddenHorzOCR" w:hAnsiTheme="minorHAnsi"/>
          <w:color w:val="auto"/>
          <w:szCs w:val="24"/>
        </w:rPr>
        <w:t>”</w:t>
      </w:r>
      <w:r w:rsidR="00E101F4">
        <w:rPr>
          <w:rFonts w:asciiTheme="minorHAnsi" w:eastAsia="HiddenHorzOCR" w:hAnsiTheme="minorHAnsi"/>
          <w:color w:val="auto"/>
          <w:szCs w:val="24"/>
        </w:rPr>
        <w:t xml:space="preserve">  This condition was</w:t>
      </w:r>
      <w:r w:rsidRPr="00737283">
        <w:rPr>
          <w:rFonts w:asciiTheme="minorHAnsi" w:eastAsia="HiddenHorzOCR" w:hAnsiTheme="minorHAnsi"/>
          <w:color w:val="auto"/>
          <w:szCs w:val="24"/>
        </w:rPr>
        <w:t xml:space="preserve"> reviewed by the action officer and considered by the B</w:t>
      </w:r>
      <w:r w:rsidR="00580267">
        <w:rPr>
          <w:rFonts w:asciiTheme="minorHAnsi" w:eastAsia="HiddenHorzOCR" w:hAnsiTheme="minorHAnsi"/>
          <w:color w:val="auto"/>
          <w:szCs w:val="24"/>
        </w:rPr>
        <w:t xml:space="preserve">oard.  </w:t>
      </w:r>
      <w:r w:rsidRPr="00737283">
        <w:rPr>
          <w:rFonts w:asciiTheme="minorHAnsi" w:eastAsia="HiddenHorzOCR" w:hAnsiTheme="minorHAnsi"/>
          <w:color w:val="auto"/>
          <w:szCs w:val="24"/>
        </w:rPr>
        <w:t>All evidence considered, the</w:t>
      </w:r>
      <w:r w:rsidR="00580267">
        <w:rPr>
          <w:rFonts w:asciiTheme="minorHAnsi" w:eastAsia="HiddenHorzOCR" w:hAnsiTheme="minorHAnsi"/>
          <w:color w:val="auto"/>
          <w:szCs w:val="24"/>
        </w:rPr>
        <w:t xml:space="preserve"> Board unanimously agree</w:t>
      </w:r>
      <w:r w:rsidR="00812F58">
        <w:rPr>
          <w:rFonts w:asciiTheme="minorHAnsi" w:eastAsia="HiddenHorzOCR" w:hAnsiTheme="minorHAnsi"/>
          <w:color w:val="auto"/>
          <w:szCs w:val="24"/>
        </w:rPr>
        <w:t>d</w:t>
      </w:r>
      <w:r w:rsidR="00580267">
        <w:rPr>
          <w:rFonts w:asciiTheme="minorHAnsi" w:eastAsia="HiddenHorzOCR" w:hAnsiTheme="minorHAnsi"/>
          <w:color w:val="auto"/>
          <w:szCs w:val="24"/>
        </w:rPr>
        <w:t xml:space="preserve"> that the overweight condition was indeed Category IV and did not constitute a physical disability.  There </w:t>
      </w:r>
      <w:r w:rsidRPr="00737283">
        <w:rPr>
          <w:rFonts w:asciiTheme="minorHAnsi" w:eastAsia="HiddenHorzOCR" w:hAnsiTheme="minorHAnsi"/>
          <w:color w:val="auto"/>
          <w:szCs w:val="24"/>
        </w:rPr>
        <w:t>is not reasonable doubt in the CI’s favor supporting re</w:t>
      </w:r>
      <w:r w:rsidR="00580267">
        <w:rPr>
          <w:rFonts w:asciiTheme="minorHAnsi" w:eastAsia="HiddenHorzOCR" w:hAnsiTheme="minorHAnsi"/>
          <w:color w:val="auto"/>
          <w:szCs w:val="24"/>
        </w:rPr>
        <w:t>versal</w:t>
      </w:r>
      <w:r w:rsidRPr="00737283">
        <w:rPr>
          <w:rFonts w:asciiTheme="minorHAnsi" w:eastAsia="HiddenHorzOCR" w:hAnsiTheme="minorHAnsi"/>
          <w:color w:val="auto"/>
          <w:szCs w:val="24"/>
        </w:rPr>
        <w:t xml:space="preserve"> of the PEB</w:t>
      </w:r>
      <w:r w:rsidR="00580267">
        <w:rPr>
          <w:rFonts w:asciiTheme="minorHAnsi" w:eastAsia="HiddenHorzOCR" w:hAnsiTheme="minorHAnsi"/>
          <w:color w:val="auto"/>
          <w:szCs w:val="24"/>
        </w:rPr>
        <w:t>’s</w:t>
      </w:r>
      <w:r w:rsidRPr="00737283">
        <w:rPr>
          <w:rFonts w:asciiTheme="minorHAnsi" w:eastAsia="HiddenHorzOCR" w:hAnsiTheme="minorHAnsi"/>
          <w:color w:val="auto"/>
          <w:szCs w:val="24"/>
        </w:rPr>
        <w:t xml:space="preserve"> </w:t>
      </w:r>
      <w:r w:rsidR="00E101F4">
        <w:rPr>
          <w:rFonts w:asciiTheme="minorHAnsi" w:eastAsia="HiddenHorzOCR" w:hAnsiTheme="minorHAnsi"/>
          <w:color w:val="auto"/>
          <w:szCs w:val="24"/>
        </w:rPr>
        <w:t>adjudication for the overweight condition</w:t>
      </w:r>
      <w:r w:rsidRPr="00737283">
        <w:rPr>
          <w:rFonts w:asciiTheme="minorHAnsi" w:eastAsia="HiddenHorzOCR" w:hAnsiTheme="minorHAnsi"/>
          <w:color w:val="auto"/>
          <w:szCs w:val="24"/>
        </w:rPr>
        <w:t>.</w:t>
      </w:r>
    </w:p>
    <w:p w:rsidR="008D442C" w:rsidRDefault="008D442C" w:rsidP="005F7597">
      <w:pPr>
        <w:tabs>
          <w:tab w:val="left" w:pos="288"/>
          <w:tab w:val="left" w:pos="4752"/>
        </w:tabs>
        <w:spacing w:line="240" w:lineRule="exact"/>
        <w:jc w:val="both"/>
        <w:rPr>
          <w:rFonts w:asciiTheme="minorHAnsi" w:hAnsiTheme="minorHAnsi" w:cstheme="minorHAnsi"/>
          <w:bCs/>
          <w:color w:val="auto"/>
          <w:szCs w:val="24"/>
        </w:rPr>
      </w:pPr>
    </w:p>
    <w:p w:rsidR="00DF7EFC" w:rsidRDefault="008D442C" w:rsidP="005F7597">
      <w:pPr>
        <w:tabs>
          <w:tab w:val="left" w:pos="288"/>
          <w:tab w:val="left" w:pos="4752"/>
        </w:tabs>
        <w:spacing w:line="240" w:lineRule="exact"/>
        <w:jc w:val="both"/>
        <w:rPr>
          <w:rFonts w:asciiTheme="minorHAnsi" w:hAnsiTheme="minorHAnsi" w:cstheme="minorHAnsi"/>
          <w:bCs/>
          <w:color w:val="auto"/>
          <w:szCs w:val="24"/>
        </w:rPr>
      </w:pPr>
      <w:r w:rsidRPr="008D442C">
        <w:rPr>
          <w:rFonts w:asciiTheme="minorHAnsi" w:hAnsiTheme="minorHAnsi" w:cstheme="minorHAnsi"/>
          <w:bCs/>
          <w:color w:val="auto"/>
          <w:szCs w:val="24"/>
          <w:u w:val="single"/>
        </w:rPr>
        <w:t>Posttraumatic Stress Disorder</w:t>
      </w:r>
      <w:r w:rsidR="001A3974">
        <w:rPr>
          <w:rFonts w:asciiTheme="minorHAnsi" w:hAnsiTheme="minorHAnsi" w:cstheme="minorHAnsi"/>
          <w:bCs/>
          <w:color w:val="auto"/>
          <w:szCs w:val="24"/>
          <w:u w:val="single"/>
        </w:rPr>
        <w:t xml:space="preserve"> (PTSD)</w:t>
      </w:r>
      <w:r>
        <w:rPr>
          <w:rFonts w:asciiTheme="minorHAnsi" w:hAnsiTheme="minorHAnsi" w:cstheme="minorHAnsi"/>
          <w:bCs/>
          <w:color w:val="auto"/>
          <w:szCs w:val="24"/>
        </w:rPr>
        <w:t>.</w:t>
      </w:r>
      <w:r w:rsidR="00D42781">
        <w:rPr>
          <w:rFonts w:asciiTheme="minorHAnsi" w:hAnsiTheme="minorHAnsi" w:cstheme="minorHAnsi"/>
          <w:bCs/>
          <w:color w:val="auto"/>
          <w:szCs w:val="24"/>
        </w:rPr>
        <w:t xml:space="preserve"> </w:t>
      </w:r>
      <w:r w:rsidR="00577F67">
        <w:rPr>
          <w:rFonts w:asciiTheme="minorHAnsi" w:hAnsiTheme="minorHAnsi" w:cstheme="minorHAnsi"/>
          <w:bCs/>
          <w:color w:val="auto"/>
          <w:szCs w:val="24"/>
        </w:rPr>
        <w:t xml:space="preserve"> </w:t>
      </w:r>
      <w:r w:rsidR="00580267">
        <w:rPr>
          <w:rFonts w:asciiTheme="minorHAnsi" w:hAnsiTheme="minorHAnsi" w:cstheme="minorHAnsi"/>
          <w:bCs/>
          <w:color w:val="auto"/>
          <w:szCs w:val="24"/>
        </w:rPr>
        <w:t>As noted above, t</w:t>
      </w:r>
      <w:r w:rsidR="00386B91" w:rsidRPr="00386B91">
        <w:rPr>
          <w:rFonts w:asciiTheme="minorHAnsi" w:hAnsiTheme="minorHAnsi" w:cstheme="minorHAnsi"/>
          <w:color w:val="auto"/>
          <w:szCs w:val="24"/>
        </w:rPr>
        <w:t>h</w:t>
      </w:r>
      <w:r w:rsidR="00386B91">
        <w:rPr>
          <w:rFonts w:asciiTheme="minorHAnsi" w:hAnsiTheme="minorHAnsi" w:cstheme="minorHAnsi"/>
          <w:color w:val="auto"/>
          <w:szCs w:val="24"/>
        </w:rPr>
        <w:t xml:space="preserve">e </w:t>
      </w:r>
      <w:r w:rsidR="00580267">
        <w:rPr>
          <w:rFonts w:asciiTheme="minorHAnsi" w:hAnsiTheme="minorHAnsi" w:cstheme="minorHAnsi"/>
          <w:color w:val="auto"/>
          <w:szCs w:val="24"/>
        </w:rPr>
        <w:t>PTSD was diagnosed</w:t>
      </w:r>
      <w:r w:rsidR="00386B91" w:rsidRPr="00386B91">
        <w:rPr>
          <w:rFonts w:asciiTheme="minorHAnsi" w:hAnsiTheme="minorHAnsi" w:cstheme="minorHAnsi"/>
          <w:color w:val="auto"/>
          <w:szCs w:val="24"/>
        </w:rPr>
        <w:t xml:space="preserve"> after separation</w:t>
      </w:r>
      <w:r w:rsidR="00580267">
        <w:rPr>
          <w:rFonts w:asciiTheme="minorHAnsi" w:hAnsiTheme="minorHAnsi" w:cstheme="minorHAnsi"/>
          <w:color w:val="auto"/>
          <w:szCs w:val="24"/>
        </w:rPr>
        <w:t xml:space="preserve"> from service.  </w:t>
      </w:r>
      <w:r w:rsidR="008A654D">
        <w:rPr>
          <w:rFonts w:asciiTheme="minorHAnsi" w:hAnsiTheme="minorHAnsi" w:cstheme="minorHAnsi"/>
          <w:bCs/>
          <w:color w:val="auto"/>
          <w:szCs w:val="24"/>
        </w:rPr>
        <w:t>There was</w:t>
      </w:r>
      <w:r w:rsidR="00577F67">
        <w:rPr>
          <w:rFonts w:asciiTheme="minorHAnsi" w:hAnsiTheme="minorHAnsi" w:cstheme="minorHAnsi"/>
          <w:bCs/>
          <w:color w:val="auto"/>
          <w:szCs w:val="24"/>
        </w:rPr>
        <w:t xml:space="preserve"> no document</w:t>
      </w:r>
      <w:r w:rsidR="00A2256C">
        <w:rPr>
          <w:rFonts w:asciiTheme="minorHAnsi" w:hAnsiTheme="minorHAnsi" w:cstheme="minorHAnsi"/>
          <w:bCs/>
          <w:color w:val="auto"/>
          <w:szCs w:val="24"/>
        </w:rPr>
        <w:t>ed evidence</w:t>
      </w:r>
      <w:r w:rsidR="00577F67">
        <w:rPr>
          <w:rFonts w:asciiTheme="minorHAnsi" w:hAnsiTheme="minorHAnsi" w:cstheme="minorHAnsi"/>
          <w:bCs/>
          <w:color w:val="auto"/>
          <w:szCs w:val="24"/>
        </w:rPr>
        <w:t xml:space="preserve"> in the </w:t>
      </w:r>
      <w:r w:rsidR="00A2256C">
        <w:rPr>
          <w:rFonts w:asciiTheme="minorHAnsi" w:hAnsiTheme="minorHAnsi" w:cstheme="minorHAnsi"/>
          <w:bCs/>
          <w:color w:val="auto"/>
          <w:szCs w:val="24"/>
        </w:rPr>
        <w:t xml:space="preserve">service </w:t>
      </w:r>
      <w:r w:rsidR="00577F67">
        <w:rPr>
          <w:rFonts w:asciiTheme="minorHAnsi" w:hAnsiTheme="minorHAnsi" w:cstheme="minorHAnsi"/>
          <w:bCs/>
          <w:color w:val="auto"/>
          <w:szCs w:val="24"/>
        </w:rPr>
        <w:t xml:space="preserve">treatment record </w:t>
      </w:r>
      <w:r w:rsidR="00A2256C">
        <w:rPr>
          <w:rFonts w:asciiTheme="minorHAnsi" w:hAnsiTheme="minorHAnsi" w:cstheme="minorHAnsi"/>
          <w:bCs/>
          <w:color w:val="auto"/>
          <w:szCs w:val="24"/>
        </w:rPr>
        <w:t xml:space="preserve">(STR) of PTSD </w:t>
      </w:r>
      <w:r w:rsidR="00577F67">
        <w:rPr>
          <w:rFonts w:asciiTheme="minorHAnsi" w:hAnsiTheme="minorHAnsi" w:cstheme="minorHAnsi"/>
          <w:bCs/>
          <w:color w:val="auto"/>
          <w:szCs w:val="24"/>
        </w:rPr>
        <w:t xml:space="preserve">symptoms </w:t>
      </w:r>
      <w:r w:rsidR="008B484D">
        <w:rPr>
          <w:rFonts w:asciiTheme="minorHAnsi" w:hAnsiTheme="minorHAnsi" w:cstheme="minorHAnsi"/>
          <w:bCs/>
          <w:color w:val="auto"/>
          <w:szCs w:val="24"/>
        </w:rPr>
        <w:t xml:space="preserve">or complaints </w:t>
      </w:r>
      <w:r w:rsidR="00A2256C">
        <w:rPr>
          <w:rFonts w:asciiTheme="minorHAnsi" w:hAnsiTheme="minorHAnsi" w:cstheme="minorHAnsi"/>
          <w:bCs/>
          <w:color w:val="auto"/>
          <w:szCs w:val="24"/>
        </w:rPr>
        <w:t xml:space="preserve">present at the time of separation.  </w:t>
      </w:r>
      <w:r w:rsidR="00820CBD">
        <w:rPr>
          <w:rFonts w:asciiTheme="minorHAnsi" w:hAnsiTheme="minorHAnsi" w:cstheme="minorHAnsi"/>
          <w:bCs/>
          <w:color w:val="auto"/>
          <w:szCs w:val="24"/>
        </w:rPr>
        <w:t>On his</w:t>
      </w:r>
      <w:r w:rsidR="00FF246C">
        <w:rPr>
          <w:rFonts w:asciiTheme="minorHAnsi" w:hAnsiTheme="minorHAnsi" w:cstheme="minorHAnsi"/>
          <w:bCs/>
          <w:color w:val="auto"/>
          <w:szCs w:val="24"/>
        </w:rPr>
        <w:t xml:space="preserve"> post deployment survey (</w:t>
      </w:r>
      <w:r w:rsidR="003460D5">
        <w:rPr>
          <w:rFonts w:asciiTheme="minorHAnsi" w:hAnsiTheme="minorHAnsi" w:cstheme="minorHAnsi"/>
          <w:bCs/>
          <w:color w:val="auto"/>
          <w:szCs w:val="24"/>
        </w:rPr>
        <w:t>28 September 2005</w:t>
      </w:r>
      <w:r w:rsidR="00FF246C">
        <w:rPr>
          <w:rFonts w:asciiTheme="minorHAnsi" w:hAnsiTheme="minorHAnsi" w:cstheme="minorHAnsi"/>
          <w:bCs/>
          <w:color w:val="auto"/>
          <w:szCs w:val="24"/>
        </w:rPr>
        <w:t xml:space="preserve">) and his </w:t>
      </w:r>
      <w:r w:rsidR="00820CBD">
        <w:rPr>
          <w:rFonts w:asciiTheme="minorHAnsi" w:hAnsiTheme="minorHAnsi" w:cstheme="minorHAnsi"/>
          <w:bCs/>
          <w:color w:val="auto"/>
          <w:szCs w:val="24"/>
        </w:rPr>
        <w:t xml:space="preserve">MEB history and physical exam </w:t>
      </w:r>
      <w:r w:rsidR="003460D5">
        <w:rPr>
          <w:rFonts w:asciiTheme="minorHAnsi" w:hAnsiTheme="minorHAnsi" w:cstheme="minorHAnsi"/>
          <w:bCs/>
          <w:color w:val="auto"/>
          <w:szCs w:val="24"/>
        </w:rPr>
        <w:t xml:space="preserve">                        </w:t>
      </w:r>
      <w:r w:rsidR="00820CBD">
        <w:rPr>
          <w:rFonts w:asciiTheme="minorHAnsi" w:hAnsiTheme="minorHAnsi" w:cstheme="minorHAnsi"/>
          <w:bCs/>
          <w:color w:val="auto"/>
          <w:szCs w:val="24"/>
        </w:rPr>
        <w:t>(</w:t>
      </w:r>
      <w:r w:rsidR="003460D5">
        <w:rPr>
          <w:rFonts w:asciiTheme="minorHAnsi" w:hAnsiTheme="minorHAnsi" w:cstheme="minorHAnsi"/>
          <w:bCs/>
          <w:color w:val="auto"/>
          <w:szCs w:val="24"/>
        </w:rPr>
        <w:t>4 January 2006</w:t>
      </w:r>
      <w:r w:rsidR="00820CBD">
        <w:rPr>
          <w:rFonts w:asciiTheme="minorHAnsi" w:hAnsiTheme="minorHAnsi" w:cstheme="minorHAnsi"/>
          <w:bCs/>
          <w:color w:val="auto"/>
          <w:szCs w:val="24"/>
        </w:rPr>
        <w:t>)</w:t>
      </w:r>
      <w:r w:rsidR="00A2256C">
        <w:rPr>
          <w:rFonts w:asciiTheme="minorHAnsi" w:hAnsiTheme="minorHAnsi" w:cstheme="minorHAnsi"/>
          <w:bCs/>
          <w:color w:val="auto"/>
          <w:szCs w:val="24"/>
        </w:rPr>
        <w:t>,</w:t>
      </w:r>
      <w:r w:rsidR="00820CBD">
        <w:rPr>
          <w:rFonts w:asciiTheme="minorHAnsi" w:hAnsiTheme="minorHAnsi" w:cstheme="minorHAnsi"/>
          <w:bCs/>
          <w:color w:val="auto"/>
          <w:szCs w:val="24"/>
        </w:rPr>
        <w:t xml:space="preserve"> the CI denied any mental health symptoms or complaints.</w:t>
      </w:r>
      <w:r w:rsidR="00CC3005">
        <w:rPr>
          <w:rFonts w:asciiTheme="minorHAnsi" w:hAnsiTheme="minorHAnsi" w:cstheme="minorHAnsi"/>
          <w:bCs/>
          <w:color w:val="auto"/>
          <w:szCs w:val="24"/>
        </w:rPr>
        <w:t xml:space="preserve">  At his </w:t>
      </w:r>
      <w:r w:rsidR="00A2256C">
        <w:rPr>
          <w:rFonts w:asciiTheme="minorHAnsi" w:hAnsiTheme="minorHAnsi" w:cstheme="minorHAnsi"/>
          <w:bCs/>
          <w:color w:val="auto"/>
          <w:szCs w:val="24"/>
        </w:rPr>
        <w:t>April 2007</w:t>
      </w:r>
      <w:r w:rsidR="00CC3005">
        <w:rPr>
          <w:rFonts w:asciiTheme="minorHAnsi" w:hAnsiTheme="minorHAnsi" w:cstheme="minorHAnsi"/>
          <w:bCs/>
          <w:color w:val="auto"/>
          <w:szCs w:val="24"/>
        </w:rPr>
        <w:t xml:space="preserve"> VA C&amp;P exam</w:t>
      </w:r>
      <w:r w:rsidR="00A2256C">
        <w:rPr>
          <w:rFonts w:asciiTheme="minorHAnsi" w:hAnsiTheme="minorHAnsi" w:cstheme="minorHAnsi"/>
          <w:bCs/>
          <w:color w:val="auto"/>
          <w:szCs w:val="24"/>
        </w:rPr>
        <w:t>, he</w:t>
      </w:r>
      <w:r w:rsidR="00CC3005">
        <w:rPr>
          <w:rFonts w:asciiTheme="minorHAnsi" w:hAnsiTheme="minorHAnsi" w:cstheme="minorHAnsi"/>
          <w:bCs/>
          <w:color w:val="auto"/>
          <w:szCs w:val="24"/>
        </w:rPr>
        <w:t xml:space="preserve"> reported that his only health problem was right foot pain.  </w:t>
      </w:r>
      <w:r w:rsidR="00577F67">
        <w:rPr>
          <w:rFonts w:asciiTheme="minorHAnsi" w:hAnsiTheme="minorHAnsi" w:cstheme="minorHAnsi"/>
          <w:bCs/>
          <w:color w:val="auto"/>
          <w:szCs w:val="24"/>
        </w:rPr>
        <w:t xml:space="preserve">The initial </w:t>
      </w:r>
      <w:r w:rsidR="00A2256C">
        <w:rPr>
          <w:rFonts w:asciiTheme="minorHAnsi" w:hAnsiTheme="minorHAnsi" w:cstheme="minorHAnsi"/>
          <w:bCs/>
          <w:color w:val="auto"/>
          <w:szCs w:val="24"/>
        </w:rPr>
        <w:t xml:space="preserve">PTSD </w:t>
      </w:r>
      <w:r w:rsidR="00577F67">
        <w:rPr>
          <w:rFonts w:asciiTheme="minorHAnsi" w:hAnsiTheme="minorHAnsi" w:cstheme="minorHAnsi"/>
          <w:bCs/>
          <w:color w:val="auto"/>
          <w:szCs w:val="24"/>
        </w:rPr>
        <w:t>evaluation performed by the VA was almos</w:t>
      </w:r>
      <w:r w:rsidR="00A2256C">
        <w:rPr>
          <w:rFonts w:asciiTheme="minorHAnsi" w:hAnsiTheme="minorHAnsi" w:cstheme="minorHAnsi"/>
          <w:bCs/>
          <w:color w:val="auto"/>
          <w:szCs w:val="24"/>
        </w:rPr>
        <w:t xml:space="preserve">t two years after separation.  </w:t>
      </w:r>
      <w:r w:rsidR="008B484D">
        <w:rPr>
          <w:rFonts w:asciiTheme="minorHAnsi" w:hAnsiTheme="minorHAnsi"/>
          <w:color w:val="auto"/>
          <w:szCs w:val="24"/>
        </w:rPr>
        <w:t>Th</w:t>
      </w:r>
      <w:r w:rsidR="00A2256C">
        <w:rPr>
          <w:rFonts w:asciiTheme="minorHAnsi" w:hAnsiTheme="minorHAnsi"/>
          <w:color w:val="auto"/>
          <w:szCs w:val="24"/>
        </w:rPr>
        <w:t>e PTSD</w:t>
      </w:r>
      <w:r w:rsidR="008B484D">
        <w:rPr>
          <w:rFonts w:asciiTheme="minorHAnsi" w:hAnsiTheme="minorHAnsi"/>
          <w:color w:val="auto"/>
          <w:szCs w:val="24"/>
        </w:rPr>
        <w:t xml:space="preserve"> condition was not</w:t>
      </w:r>
      <w:r w:rsidR="008B484D" w:rsidRPr="00AA708D">
        <w:rPr>
          <w:rFonts w:asciiTheme="minorHAnsi" w:hAnsiTheme="minorHAnsi"/>
          <w:color w:val="auto"/>
          <w:szCs w:val="24"/>
        </w:rPr>
        <w:t xml:space="preserve"> clinically active </w:t>
      </w:r>
      <w:r w:rsidR="008B484D">
        <w:rPr>
          <w:rFonts w:asciiTheme="minorHAnsi" w:hAnsiTheme="minorHAnsi"/>
          <w:color w:val="auto"/>
          <w:szCs w:val="24"/>
        </w:rPr>
        <w:t>during the MEB</w:t>
      </w:r>
      <w:r w:rsidR="00A2256C">
        <w:rPr>
          <w:rFonts w:asciiTheme="minorHAnsi" w:hAnsiTheme="minorHAnsi"/>
          <w:color w:val="auto"/>
          <w:szCs w:val="24"/>
        </w:rPr>
        <w:t>/PEB</w:t>
      </w:r>
      <w:r w:rsidR="008B484D">
        <w:rPr>
          <w:rFonts w:asciiTheme="minorHAnsi" w:hAnsiTheme="minorHAnsi"/>
          <w:color w:val="auto"/>
          <w:szCs w:val="24"/>
        </w:rPr>
        <w:t xml:space="preserve"> period, and was not</w:t>
      </w:r>
      <w:r w:rsidR="008B484D" w:rsidRPr="00AA708D">
        <w:rPr>
          <w:rFonts w:asciiTheme="minorHAnsi" w:hAnsiTheme="minorHAnsi"/>
          <w:color w:val="auto"/>
          <w:szCs w:val="24"/>
        </w:rPr>
        <w:t xml:space="preserve"> implicated in t</w:t>
      </w:r>
      <w:r w:rsidR="008B484D">
        <w:rPr>
          <w:rFonts w:asciiTheme="minorHAnsi" w:hAnsiTheme="minorHAnsi"/>
          <w:color w:val="auto"/>
          <w:szCs w:val="24"/>
        </w:rPr>
        <w:t>he non-medical assessment.  This condition was</w:t>
      </w:r>
      <w:r w:rsidR="008B484D" w:rsidRPr="00AA708D">
        <w:rPr>
          <w:rFonts w:asciiTheme="minorHAnsi" w:hAnsiTheme="minorHAnsi"/>
          <w:color w:val="auto"/>
          <w:szCs w:val="24"/>
        </w:rPr>
        <w:t xml:space="preserve"> reviewed by the action officer and considered by the Boa</w:t>
      </w:r>
      <w:r w:rsidR="008B484D">
        <w:rPr>
          <w:rFonts w:asciiTheme="minorHAnsi" w:hAnsiTheme="minorHAnsi"/>
          <w:color w:val="auto"/>
          <w:szCs w:val="24"/>
        </w:rPr>
        <w:t>rd.  It was determined that it</w:t>
      </w:r>
      <w:r w:rsidR="008B484D" w:rsidRPr="00AA708D">
        <w:rPr>
          <w:rFonts w:asciiTheme="minorHAnsi" w:hAnsiTheme="minorHAnsi"/>
          <w:color w:val="auto"/>
          <w:szCs w:val="24"/>
        </w:rPr>
        <w:t xml:space="preserve"> could </w:t>
      </w:r>
      <w:r w:rsidR="008B484D">
        <w:rPr>
          <w:rFonts w:asciiTheme="minorHAnsi" w:hAnsiTheme="minorHAnsi"/>
          <w:color w:val="auto"/>
          <w:szCs w:val="24"/>
        </w:rPr>
        <w:t xml:space="preserve">not </w:t>
      </w:r>
      <w:r w:rsidR="008B484D" w:rsidRPr="00AA708D">
        <w:rPr>
          <w:rFonts w:asciiTheme="minorHAnsi" w:hAnsiTheme="minorHAnsi"/>
          <w:color w:val="auto"/>
          <w:szCs w:val="24"/>
        </w:rPr>
        <w:t xml:space="preserve">be argued as unfitting and subject to separation rating.  </w:t>
      </w:r>
      <w:r w:rsidR="008B484D">
        <w:rPr>
          <w:rFonts w:asciiTheme="minorHAnsi" w:hAnsiTheme="minorHAnsi" w:cstheme="minorHAnsi"/>
          <w:bCs/>
          <w:color w:val="auto"/>
          <w:szCs w:val="24"/>
        </w:rPr>
        <w:t xml:space="preserve"> </w:t>
      </w:r>
    </w:p>
    <w:p w:rsidR="00DF7EFC" w:rsidRDefault="00DF7EFC" w:rsidP="005F7597">
      <w:pPr>
        <w:tabs>
          <w:tab w:val="left" w:pos="288"/>
          <w:tab w:val="left" w:pos="4752"/>
        </w:tabs>
        <w:spacing w:line="240" w:lineRule="exact"/>
        <w:jc w:val="both"/>
        <w:rPr>
          <w:rFonts w:asciiTheme="minorHAnsi" w:hAnsiTheme="minorHAnsi" w:cstheme="minorHAnsi"/>
          <w:bCs/>
          <w:color w:val="auto"/>
          <w:szCs w:val="24"/>
        </w:rPr>
      </w:pPr>
    </w:p>
    <w:p w:rsidR="00EC02C9" w:rsidRPr="003E44CC" w:rsidRDefault="00DF7EFC" w:rsidP="005F7597">
      <w:pPr>
        <w:tabs>
          <w:tab w:val="left" w:pos="288"/>
          <w:tab w:val="left" w:pos="4752"/>
        </w:tabs>
        <w:spacing w:line="240" w:lineRule="exact"/>
        <w:jc w:val="both"/>
        <w:rPr>
          <w:rFonts w:asciiTheme="minorHAnsi" w:hAnsiTheme="minorHAnsi" w:cstheme="minorHAnsi"/>
          <w:bCs/>
          <w:color w:val="auto"/>
          <w:szCs w:val="24"/>
        </w:rPr>
      </w:pPr>
      <w:proofErr w:type="gramStart"/>
      <w:r>
        <w:rPr>
          <w:rFonts w:asciiTheme="minorHAnsi" w:hAnsiTheme="minorHAnsi" w:cstheme="minorHAnsi"/>
          <w:bCs/>
          <w:color w:val="auto"/>
          <w:szCs w:val="24"/>
          <w:u w:val="single"/>
        </w:rPr>
        <w:t>Remaining Conditions</w:t>
      </w:r>
      <w:r>
        <w:rPr>
          <w:rFonts w:asciiTheme="minorHAnsi" w:hAnsiTheme="minorHAnsi" w:cstheme="minorHAnsi"/>
          <w:bCs/>
          <w:color w:val="auto"/>
          <w:szCs w:val="24"/>
        </w:rPr>
        <w:t>.</w:t>
      </w:r>
      <w:proofErr w:type="gramEnd"/>
      <w:r>
        <w:rPr>
          <w:rFonts w:asciiTheme="minorHAnsi" w:hAnsiTheme="minorHAnsi" w:cstheme="minorHAnsi"/>
          <w:bCs/>
          <w:color w:val="auto"/>
          <w:szCs w:val="24"/>
        </w:rPr>
        <w:t xml:space="preserve">  No other conditions were service connected with a compensable rating by the VA within twelve months of separation or contended by the CI.  The Board therefore has no reasonable basis for recommending any additional unfitting conditions for separation rating.</w:t>
      </w:r>
      <w:r w:rsidR="003E44CC">
        <w:rPr>
          <w:rFonts w:asciiTheme="minorHAnsi" w:hAnsiTheme="minorHAnsi" w:cstheme="minorHAnsi"/>
          <w:bCs/>
          <w:color w:val="auto"/>
          <w:szCs w:val="24"/>
        </w:rPr>
        <w:t xml:space="preserve"> </w:t>
      </w:r>
      <w:r>
        <w:rPr>
          <w:rFonts w:asciiTheme="minorHAnsi" w:hAnsiTheme="minorHAnsi" w:cstheme="minorHAnsi"/>
          <w:bCs/>
          <w:color w:val="auto"/>
          <w:szCs w:val="24"/>
        </w:rPr>
        <w:t xml:space="preserve"> </w:t>
      </w:r>
    </w:p>
    <w:p w:rsidR="00106AD8" w:rsidRPr="00CD5BD7" w:rsidRDefault="00106AD8" w:rsidP="005F7597">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5F7597">
      <w:pPr>
        <w:tabs>
          <w:tab w:val="left" w:pos="288"/>
          <w:tab w:val="left" w:pos="4752"/>
        </w:tabs>
        <w:spacing w:line="240" w:lineRule="exact"/>
        <w:jc w:val="both"/>
        <w:rPr>
          <w:rFonts w:ascii="Calibri" w:hAnsi="Calibri"/>
          <w:color w:val="000080"/>
          <w:szCs w:val="24"/>
        </w:rPr>
      </w:pPr>
    </w:p>
    <w:p w:rsidR="00F90E6E" w:rsidRDefault="00737283" w:rsidP="005F7597">
      <w:pPr>
        <w:spacing w:line="240" w:lineRule="exact"/>
        <w:jc w:val="both"/>
        <w:rPr>
          <w:rFonts w:asciiTheme="minorHAnsi" w:eastAsiaTheme="minorHAnsi" w:hAnsiTheme="minorHAnsi"/>
          <w:color w:val="auto"/>
          <w:szCs w:val="24"/>
        </w:rPr>
      </w:pPr>
      <w:r w:rsidRPr="00737283">
        <w:rPr>
          <w:rFonts w:asciiTheme="minorHAnsi" w:hAnsiTheme="minorHAnsi"/>
          <w:color w:val="auto"/>
          <w:szCs w:val="24"/>
          <w:u w:val="single"/>
        </w:rPr>
        <w:t>BOARD FINDINGS</w:t>
      </w:r>
      <w:r w:rsidRPr="00737283">
        <w:rPr>
          <w:rFonts w:asciiTheme="minorHAnsi" w:hAnsiTheme="minorHAnsi"/>
          <w:color w:val="auto"/>
          <w:szCs w:val="24"/>
        </w:rPr>
        <w:t>:</w:t>
      </w:r>
      <w:r w:rsidRPr="00737283">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A3974">
        <w:rPr>
          <w:rFonts w:asciiTheme="minorHAnsi" w:eastAsiaTheme="minorHAnsi" w:hAnsiTheme="minorHAnsi"/>
          <w:color w:val="auto"/>
          <w:szCs w:val="24"/>
        </w:rPr>
        <w:t xml:space="preserve">  </w:t>
      </w:r>
      <w:r w:rsidR="00F90E6E">
        <w:rPr>
          <w:rFonts w:asciiTheme="minorHAnsi" w:eastAsiaTheme="minorHAnsi" w:hAnsiTheme="minorHAnsi"/>
          <w:color w:val="auto"/>
          <w:szCs w:val="24"/>
        </w:rPr>
        <w:t xml:space="preserve">In the matter of the right foot condition and IAW </w:t>
      </w:r>
      <w:r w:rsidR="00F90E6E" w:rsidRPr="00396779">
        <w:rPr>
          <w:rFonts w:asciiTheme="minorHAnsi" w:hAnsiTheme="minorHAnsi"/>
          <w:color w:val="auto"/>
          <w:szCs w:val="24"/>
        </w:rPr>
        <w:t>§</w:t>
      </w:r>
      <w:r w:rsidR="00F90E6E" w:rsidRPr="00E13C97">
        <w:rPr>
          <w:rFonts w:asciiTheme="minorHAnsi" w:hAnsiTheme="minorHAnsi"/>
          <w:color w:val="auto"/>
          <w:szCs w:val="24"/>
        </w:rPr>
        <w:t>4.71a</w:t>
      </w:r>
      <w:r w:rsidR="00F90E6E" w:rsidRPr="00396779">
        <w:rPr>
          <w:rFonts w:asciiTheme="minorHAnsi" w:eastAsiaTheme="minorHAnsi" w:hAnsiTheme="minorHAnsi"/>
          <w:color w:val="auto"/>
          <w:szCs w:val="24"/>
        </w:rPr>
        <w:t xml:space="preserve">, the Board </w:t>
      </w:r>
      <w:r w:rsidR="00F90E6E" w:rsidRPr="00E13C97">
        <w:rPr>
          <w:rFonts w:asciiTheme="minorHAnsi" w:eastAsiaTheme="minorHAnsi" w:hAnsiTheme="minorHAnsi"/>
          <w:color w:val="auto"/>
          <w:szCs w:val="24"/>
        </w:rPr>
        <w:t>unanimously</w:t>
      </w:r>
      <w:r w:rsidR="00F90E6E" w:rsidRPr="00396779">
        <w:rPr>
          <w:rFonts w:asciiTheme="minorHAnsi" w:eastAsiaTheme="minorHAnsi" w:hAnsiTheme="minorHAnsi"/>
          <w:color w:val="auto"/>
          <w:szCs w:val="24"/>
        </w:rPr>
        <w:t xml:space="preserve"> recommends</w:t>
      </w:r>
      <w:r w:rsidR="008A654D">
        <w:rPr>
          <w:rFonts w:asciiTheme="minorHAnsi" w:eastAsiaTheme="minorHAnsi" w:hAnsiTheme="minorHAnsi"/>
          <w:color w:val="auto"/>
          <w:szCs w:val="24"/>
        </w:rPr>
        <w:t xml:space="preserve"> a rating of 2</w:t>
      </w:r>
      <w:r w:rsidR="00F90E6E">
        <w:rPr>
          <w:rFonts w:asciiTheme="minorHAnsi" w:eastAsiaTheme="minorHAnsi" w:hAnsiTheme="minorHAnsi"/>
          <w:color w:val="auto"/>
          <w:szCs w:val="24"/>
        </w:rPr>
        <w:t>0%.</w:t>
      </w:r>
      <w:r w:rsidR="001A3974">
        <w:rPr>
          <w:rFonts w:asciiTheme="minorHAnsi" w:eastAsiaTheme="minorHAnsi" w:hAnsiTheme="minorHAnsi"/>
          <w:color w:val="auto"/>
          <w:szCs w:val="24"/>
        </w:rPr>
        <w:t xml:space="preserve">  </w:t>
      </w:r>
      <w:r w:rsidR="00F90E6E" w:rsidRPr="00AE3316">
        <w:rPr>
          <w:rFonts w:ascii="Calibri" w:hAnsi="Calibri"/>
          <w:color w:val="auto"/>
          <w:szCs w:val="24"/>
        </w:rPr>
        <w:t xml:space="preserve">In the matter of the </w:t>
      </w:r>
      <w:r w:rsidR="00F90E6E">
        <w:rPr>
          <w:rFonts w:asciiTheme="minorHAnsi" w:hAnsiTheme="minorHAnsi" w:cstheme="minorHAnsi"/>
          <w:color w:val="auto"/>
        </w:rPr>
        <w:t>overweight condition</w:t>
      </w:r>
      <w:r w:rsidR="00812F58">
        <w:rPr>
          <w:rFonts w:asciiTheme="minorHAnsi" w:hAnsiTheme="minorHAnsi" w:cstheme="minorHAnsi"/>
          <w:color w:val="auto"/>
        </w:rPr>
        <w:t xml:space="preserve">, PTSD, </w:t>
      </w:r>
      <w:r w:rsidR="00F90E6E">
        <w:rPr>
          <w:rFonts w:ascii="Calibri" w:hAnsi="Calibri"/>
          <w:color w:val="auto"/>
          <w:szCs w:val="24"/>
        </w:rPr>
        <w:t>or any other</w:t>
      </w:r>
      <w:r w:rsidR="00F90E6E" w:rsidRPr="00AE3316">
        <w:rPr>
          <w:rFonts w:ascii="Calibri" w:hAnsi="Calibri"/>
          <w:color w:val="auto"/>
          <w:szCs w:val="24"/>
        </w:rPr>
        <w:t xml:space="preserve"> conditions</w:t>
      </w:r>
      <w:r w:rsidR="00F90E6E">
        <w:rPr>
          <w:rFonts w:ascii="Calibri" w:hAnsi="Calibri"/>
          <w:color w:val="auto"/>
          <w:szCs w:val="24"/>
        </w:rPr>
        <w:t xml:space="preserve"> eligible for Board </w:t>
      </w:r>
      <w:r w:rsidR="00F90E6E">
        <w:rPr>
          <w:rFonts w:ascii="Calibri" w:hAnsi="Calibri"/>
          <w:color w:val="auto"/>
          <w:szCs w:val="24"/>
        </w:rPr>
        <w:lastRenderedPageBreak/>
        <w:t>consideration</w:t>
      </w:r>
      <w:r w:rsidR="00F90E6E" w:rsidRPr="00AE3316">
        <w:rPr>
          <w:rFonts w:ascii="Calibri" w:hAnsi="Calibri"/>
          <w:color w:val="auto"/>
          <w:szCs w:val="24"/>
        </w:rPr>
        <w:t xml:space="preserve">; the Board </w:t>
      </w:r>
      <w:r w:rsidR="00F90E6E" w:rsidRPr="001236EC">
        <w:rPr>
          <w:rFonts w:ascii="Calibri" w:hAnsi="Calibri"/>
          <w:color w:val="auto"/>
          <w:szCs w:val="24"/>
        </w:rPr>
        <w:t xml:space="preserve">unanimously </w:t>
      </w:r>
      <w:r w:rsidR="00F90E6E" w:rsidRPr="00AE3316">
        <w:rPr>
          <w:rFonts w:ascii="Calibri" w:hAnsi="Calibri"/>
          <w:color w:val="auto"/>
          <w:szCs w:val="24"/>
        </w:rPr>
        <w:t>agrees that it cannot</w:t>
      </w:r>
      <w:r w:rsidR="00F90E6E" w:rsidRPr="00AE3316">
        <w:rPr>
          <w:rFonts w:ascii="Calibri" w:hAnsi="Calibri"/>
          <w:color w:val="000080"/>
          <w:szCs w:val="24"/>
        </w:rPr>
        <w:t xml:space="preserve"> </w:t>
      </w:r>
      <w:r w:rsidR="00F90E6E" w:rsidRPr="00AE3316">
        <w:rPr>
          <w:rFonts w:ascii="Calibri" w:hAnsi="Calibri"/>
          <w:color w:val="auto"/>
          <w:szCs w:val="24"/>
        </w:rPr>
        <w:t>recommend a</w:t>
      </w:r>
      <w:r w:rsidR="00F90E6E">
        <w:rPr>
          <w:rFonts w:ascii="Calibri" w:hAnsi="Calibri"/>
          <w:color w:val="auto"/>
          <w:szCs w:val="24"/>
        </w:rPr>
        <w:t>ny</w:t>
      </w:r>
      <w:r w:rsidR="00F90E6E" w:rsidRPr="00AE3316">
        <w:rPr>
          <w:rFonts w:ascii="Calibri" w:hAnsi="Calibri"/>
          <w:color w:val="auto"/>
          <w:szCs w:val="24"/>
        </w:rPr>
        <w:t xml:space="preserve"> finding</w:t>
      </w:r>
      <w:r w:rsidR="00F90E6E">
        <w:rPr>
          <w:rFonts w:ascii="Calibri" w:hAnsi="Calibri"/>
          <w:color w:val="auto"/>
          <w:szCs w:val="24"/>
        </w:rPr>
        <w:t>s</w:t>
      </w:r>
      <w:r w:rsidR="00F90E6E" w:rsidRPr="00AE3316">
        <w:rPr>
          <w:rFonts w:ascii="Calibri" w:hAnsi="Calibri"/>
          <w:color w:val="auto"/>
          <w:szCs w:val="24"/>
        </w:rPr>
        <w:t xml:space="preserve"> of unfit for additional rating at separation.</w:t>
      </w:r>
      <w:r w:rsidR="00F90E6E">
        <w:rPr>
          <w:rFonts w:ascii="Calibri" w:hAnsi="Calibri"/>
          <w:color w:val="auto"/>
          <w:szCs w:val="24"/>
        </w:rPr>
        <w:t xml:space="preserve">  </w:t>
      </w:r>
    </w:p>
    <w:p w:rsidR="00106AD8" w:rsidRPr="00CD5BD7" w:rsidRDefault="00106AD8" w:rsidP="005F7597">
      <w:pPr>
        <w:pBdr>
          <w:bottom w:val="single" w:sz="12" w:space="1" w:color="auto"/>
        </w:pBdr>
        <w:tabs>
          <w:tab w:val="left" w:pos="288"/>
          <w:tab w:val="left" w:pos="4752"/>
        </w:tabs>
        <w:spacing w:line="240" w:lineRule="exact"/>
        <w:jc w:val="both"/>
        <w:rPr>
          <w:rFonts w:ascii="Calibri" w:hAnsi="Calibri"/>
          <w:color w:val="000080"/>
          <w:szCs w:val="24"/>
        </w:rPr>
      </w:pPr>
    </w:p>
    <w:p w:rsidR="00F90E6E" w:rsidRDefault="00F90E6E" w:rsidP="005F7597">
      <w:pPr>
        <w:spacing w:line="240" w:lineRule="exact"/>
        <w:rPr>
          <w:rFonts w:asciiTheme="minorHAnsi" w:hAnsiTheme="minorHAnsi"/>
          <w:b/>
          <w:color w:val="FF0000"/>
          <w:szCs w:val="24"/>
        </w:rPr>
      </w:pPr>
    </w:p>
    <w:p w:rsidR="00F90BE9" w:rsidRDefault="00F90E6E" w:rsidP="005F7597">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Pr>
          <w:rFonts w:asciiTheme="minorHAnsi" w:hAnsiTheme="minorHAnsi"/>
          <w:color w:val="auto"/>
          <w:szCs w:val="24"/>
        </w:rPr>
        <w:t xml:space="preserve">  </w:t>
      </w:r>
      <w:r w:rsidR="00F90BE9" w:rsidRPr="00396779">
        <w:rPr>
          <w:rFonts w:asciiTheme="minorHAnsi" w:hAnsiTheme="minorHAnsi"/>
          <w:color w:val="auto"/>
          <w:szCs w:val="24"/>
        </w:rPr>
        <w:t xml:space="preserve">The Board recommends that the CI’s prior determination be modified </w:t>
      </w:r>
      <w:r w:rsidR="00F90BE9" w:rsidRPr="00B427BB">
        <w:rPr>
          <w:rFonts w:asciiTheme="minorHAnsi" w:hAnsiTheme="minorHAnsi"/>
          <w:color w:val="auto"/>
          <w:szCs w:val="24"/>
        </w:rPr>
        <w:t>as follows, effective as of the date of his</w:t>
      </w:r>
      <w:r w:rsidR="00F90BE9">
        <w:rPr>
          <w:rFonts w:asciiTheme="minorHAnsi" w:hAnsiTheme="minorHAnsi"/>
          <w:color w:val="auto"/>
          <w:szCs w:val="24"/>
        </w:rPr>
        <w:t xml:space="preserve"> prior medical separation:</w:t>
      </w:r>
    </w:p>
    <w:p w:rsidR="00DD469B" w:rsidRPr="00DD469B" w:rsidRDefault="00DD469B" w:rsidP="005F7597">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DD469B" w:rsidRPr="00DD469B" w:rsidTr="000F5840">
        <w:trPr>
          <w:trHeight w:val="233"/>
          <w:jc w:val="center"/>
        </w:trPr>
        <w:tc>
          <w:tcPr>
            <w:tcW w:w="6480" w:type="dxa"/>
            <w:shd w:val="clear" w:color="auto" w:fill="D9D9D9"/>
            <w:vAlign w:val="center"/>
          </w:tcPr>
          <w:p w:rsidR="00DD469B" w:rsidRPr="00DD469B" w:rsidRDefault="00DD469B" w:rsidP="005F7597">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UNFITTING CONDITION</w:t>
            </w:r>
          </w:p>
        </w:tc>
        <w:tc>
          <w:tcPr>
            <w:tcW w:w="1710" w:type="dxa"/>
            <w:shd w:val="clear" w:color="auto" w:fill="D9D9D9"/>
            <w:vAlign w:val="center"/>
          </w:tcPr>
          <w:p w:rsidR="00DD469B" w:rsidRPr="00DD469B" w:rsidRDefault="00DD469B" w:rsidP="005F7597">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VASRD CODE</w:t>
            </w:r>
          </w:p>
        </w:tc>
        <w:tc>
          <w:tcPr>
            <w:tcW w:w="1170" w:type="dxa"/>
            <w:shd w:val="clear" w:color="auto" w:fill="D9D9D9"/>
            <w:vAlign w:val="center"/>
          </w:tcPr>
          <w:p w:rsidR="00DD469B" w:rsidRPr="00DD469B" w:rsidRDefault="00DD469B" w:rsidP="005F7597">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RATING</w:t>
            </w:r>
          </w:p>
        </w:tc>
      </w:tr>
      <w:tr w:rsidR="00DD469B" w:rsidRPr="00DD469B" w:rsidTr="000F5840">
        <w:trPr>
          <w:jc w:val="center"/>
        </w:trPr>
        <w:tc>
          <w:tcPr>
            <w:tcW w:w="6480" w:type="dxa"/>
            <w:vAlign w:val="center"/>
          </w:tcPr>
          <w:p w:rsidR="00DD469B" w:rsidRPr="00DD469B" w:rsidRDefault="00F25B0F" w:rsidP="005F7597">
            <w:pPr>
              <w:tabs>
                <w:tab w:val="left" w:pos="288"/>
                <w:tab w:val="left" w:pos="4752"/>
              </w:tabs>
              <w:spacing w:line="240" w:lineRule="exact"/>
              <w:rPr>
                <w:rFonts w:asciiTheme="minorHAnsi" w:hAnsiTheme="minorHAnsi"/>
                <w:color w:val="auto"/>
                <w:szCs w:val="24"/>
              </w:rPr>
            </w:pPr>
            <w:r w:rsidRPr="00F25B0F">
              <w:rPr>
                <w:rFonts w:asciiTheme="minorHAnsi" w:hAnsiTheme="minorHAnsi"/>
                <w:bCs/>
                <w:color w:val="auto"/>
                <w:szCs w:val="24"/>
              </w:rPr>
              <w:t xml:space="preserve"> </w:t>
            </w:r>
            <w:r w:rsidR="00F90E6E">
              <w:rPr>
                <w:rFonts w:asciiTheme="minorHAnsi" w:hAnsiTheme="minorHAnsi"/>
                <w:bCs/>
                <w:color w:val="auto"/>
                <w:szCs w:val="24"/>
              </w:rPr>
              <w:t xml:space="preserve">Right Foot </w:t>
            </w:r>
            <w:r w:rsidR="00483148">
              <w:rPr>
                <w:rFonts w:asciiTheme="minorHAnsi" w:hAnsiTheme="minorHAnsi"/>
                <w:bCs/>
                <w:color w:val="auto"/>
                <w:szCs w:val="24"/>
              </w:rPr>
              <w:t>Condition</w:t>
            </w:r>
          </w:p>
        </w:tc>
        <w:tc>
          <w:tcPr>
            <w:tcW w:w="1710" w:type="dxa"/>
            <w:vAlign w:val="center"/>
          </w:tcPr>
          <w:p w:rsidR="00DD469B" w:rsidRPr="00DD469B" w:rsidRDefault="00F25B0F" w:rsidP="005F759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w:t>
            </w:r>
            <w:r w:rsidR="00F90E6E">
              <w:rPr>
                <w:rFonts w:asciiTheme="minorHAnsi" w:hAnsiTheme="minorHAnsi"/>
                <w:color w:val="auto"/>
                <w:szCs w:val="24"/>
              </w:rPr>
              <w:t>84</w:t>
            </w:r>
          </w:p>
        </w:tc>
        <w:tc>
          <w:tcPr>
            <w:tcW w:w="1170" w:type="dxa"/>
            <w:vAlign w:val="center"/>
          </w:tcPr>
          <w:p w:rsidR="00DD469B" w:rsidRPr="00DD469B" w:rsidRDefault="008A654D" w:rsidP="005F759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F25B0F">
              <w:rPr>
                <w:rFonts w:asciiTheme="minorHAnsi" w:hAnsiTheme="minorHAnsi"/>
                <w:color w:val="auto"/>
                <w:szCs w:val="24"/>
              </w:rPr>
              <w:t>0</w:t>
            </w:r>
            <w:r w:rsidR="00DD469B" w:rsidRPr="00DD469B">
              <w:rPr>
                <w:rFonts w:asciiTheme="minorHAnsi" w:hAnsiTheme="minorHAnsi"/>
                <w:color w:val="auto"/>
                <w:szCs w:val="24"/>
              </w:rPr>
              <w:t>%</w:t>
            </w:r>
          </w:p>
        </w:tc>
      </w:tr>
      <w:tr w:rsidR="00DD469B" w:rsidRPr="00DD469B" w:rsidTr="000F584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DD469B" w:rsidRPr="00DD469B" w:rsidRDefault="00DD469B" w:rsidP="005F7597">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DD469B" w:rsidRPr="00F25B0F" w:rsidRDefault="008A654D" w:rsidP="005F759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F25B0F" w:rsidRPr="00F25B0F">
              <w:rPr>
                <w:rFonts w:asciiTheme="minorHAnsi" w:hAnsiTheme="minorHAnsi"/>
                <w:color w:val="auto"/>
                <w:szCs w:val="24"/>
              </w:rPr>
              <w:t>0</w:t>
            </w:r>
            <w:r w:rsidR="00DD469B" w:rsidRPr="00F25B0F">
              <w:rPr>
                <w:rFonts w:asciiTheme="minorHAnsi" w:hAnsiTheme="minorHAnsi"/>
                <w:color w:val="auto"/>
                <w:szCs w:val="24"/>
              </w:rPr>
              <w:t>%</w:t>
            </w:r>
          </w:p>
        </w:tc>
      </w:tr>
    </w:tbl>
    <w:p w:rsidR="00DD469B" w:rsidRDefault="00DD469B" w:rsidP="005F7597">
      <w:pPr>
        <w:pBdr>
          <w:bottom w:val="single" w:sz="12" w:space="1" w:color="auto"/>
        </w:pBdr>
        <w:tabs>
          <w:tab w:val="left" w:pos="288"/>
          <w:tab w:val="left" w:pos="1710"/>
        </w:tabs>
        <w:spacing w:line="240" w:lineRule="exact"/>
        <w:rPr>
          <w:rFonts w:asciiTheme="minorHAnsi" w:hAnsiTheme="minorHAnsi"/>
          <w:b/>
          <w:color w:val="auto"/>
          <w:u w:val="single"/>
        </w:rPr>
      </w:pPr>
    </w:p>
    <w:p w:rsidR="00F90E6E" w:rsidRDefault="00F90E6E" w:rsidP="005F7597">
      <w:pPr>
        <w:tabs>
          <w:tab w:val="left" w:pos="288"/>
          <w:tab w:val="left" w:pos="4752"/>
        </w:tabs>
        <w:spacing w:line="240" w:lineRule="exact"/>
        <w:jc w:val="both"/>
        <w:rPr>
          <w:rFonts w:asciiTheme="minorHAnsi" w:hAnsiTheme="minorHAnsi"/>
          <w:color w:val="auto"/>
        </w:rPr>
      </w:pPr>
    </w:p>
    <w:p w:rsidR="00DD469B" w:rsidRPr="00DD469B" w:rsidRDefault="00DD469B" w:rsidP="005F7597">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The following documentary evidence was considered:</w:t>
      </w:r>
    </w:p>
    <w:p w:rsidR="00DD469B" w:rsidRPr="00DD469B" w:rsidRDefault="00DD469B" w:rsidP="005F7597">
      <w:pPr>
        <w:tabs>
          <w:tab w:val="left" w:pos="288"/>
          <w:tab w:val="left" w:pos="4752"/>
        </w:tabs>
        <w:spacing w:line="240" w:lineRule="exact"/>
        <w:jc w:val="both"/>
        <w:rPr>
          <w:rFonts w:asciiTheme="minorHAnsi" w:hAnsiTheme="minorHAnsi"/>
          <w:color w:val="auto"/>
        </w:rPr>
      </w:pPr>
    </w:p>
    <w:p w:rsidR="00DD469B" w:rsidRPr="00DD469B" w:rsidRDefault="00DD469B" w:rsidP="005F7597">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w:t>
      </w:r>
      <w:r w:rsidR="00307BEC">
        <w:rPr>
          <w:rFonts w:asciiTheme="minorHAnsi" w:hAnsiTheme="minorHAnsi"/>
          <w:color w:val="auto"/>
        </w:rPr>
        <w:t>hi</w:t>
      </w:r>
      <w:r w:rsidR="008A654D">
        <w:rPr>
          <w:rFonts w:asciiTheme="minorHAnsi" w:hAnsiTheme="minorHAnsi"/>
          <w:color w:val="auto"/>
        </w:rPr>
        <w:t>bit A.  DD Form 294 dated 201006</w:t>
      </w:r>
      <w:r w:rsidR="00307BEC">
        <w:rPr>
          <w:rFonts w:asciiTheme="minorHAnsi" w:hAnsiTheme="minorHAnsi"/>
          <w:color w:val="auto"/>
        </w:rPr>
        <w:t>10, w/</w:t>
      </w:r>
      <w:proofErr w:type="spellStart"/>
      <w:r w:rsidR="00307BEC">
        <w:rPr>
          <w:rFonts w:asciiTheme="minorHAnsi" w:hAnsiTheme="minorHAnsi"/>
          <w:color w:val="auto"/>
        </w:rPr>
        <w:t>atchs</w:t>
      </w:r>
      <w:proofErr w:type="spellEnd"/>
    </w:p>
    <w:p w:rsidR="00DD469B" w:rsidRPr="00DD469B" w:rsidRDefault="00DD469B" w:rsidP="005F7597">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Exhibit B.  Service Treat</w:t>
      </w:r>
      <w:r w:rsidR="00307BEC">
        <w:rPr>
          <w:rFonts w:asciiTheme="minorHAnsi" w:hAnsiTheme="minorHAnsi"/>
          <w:color w:val="auto"/>
        </w:rPr>
        <w:t>ment Record</w:t>
      </w:r>
    </w:p>
    <w:p w:rsidR="00DD469B" w:rsidRPr="00DD469B" w:rsidRDefault="00DD469B" w:rsidP="005F7597">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Exhibit C.  Department of Vet</w:t>
      </w:r>
      <w:r w:rsidR="00307BEC">
        <w:rPr>
          <w:rFonts w:asciiTheme="minorHAnsi" w:hAnsiTheme="minorHAnsi"/>
          <w:color w:val="auto"/>
        </w:rPr>
        <w:t>erans' Affairs Treatment Record</w:t>
      </w:r>
    </w:p>
    <w:p w:rsidR="00DD469B" w:rsidRPr="00DD469B" w:rsidRDefault="00DD469B" w:rsidP="005F7597">
      <w:pPr>
        <w:tabs>
          <w:tab w:val="left" w:pos="288"/>
          <w:tab w:val="left" w:pos="4752"/>
        </w:tabs>
        <w:spacing w:line="240" w:lineRule="exact"/>
        <w:jc w:val="both"/>
        <w:rPr>
          <w:rFonts w:asciiTheme="minorHAnsi" w:hAnsiTheme="minorHAnsi"/>
          <w:color w:val="auto"/>
        </w:rPr>
      </w:pPr>
    </w:p>
    <w:p w:rsidR="00DD469B" w:rsidRPr="00DD469B" w:rsidRDefault="00DD469B" w:rsidP="005F7597">
      <w:pPr>
        <w:tabs>
          <w:tab w:val="left" w:pos="288"/>
          <w:tab w:val="left" w:pos="4752"/>
        </w:tabs>
        <w:spacing w:line="240" w:lineRule="exact"/>
        <w:jc w:val="both"/>
        <w:rPr>
          <w:rFonts w:asciiTheme="minorHAnsi" w:hAnsiTheme="minorHAnsi"/>
          <w:color w:val="auto"/>
        </w:rPr>
      </w:pPr>
    </w:p>
    <w:p w:rsidR="00DD469B" w:rsidRPr="00DD469B" w:rsidRDefault="00DD469B" w:rsidP="005F7597">
      <w:pPr>
        <w:tabs>
          <w:tab w:val="left" w:pos="288"/>
          <w:tab w:val="left" w:pos="4752"/>
        </w:tabs>
        <w:spacing w:line="240" w:lineRule="exact"/>
        <w:jc w:val="both"/>
        <w:rPr>
          <w:rFonts w:asciiTheme="minorHAnsi" w:hAnsiTheme="minorHAnsi"/>
          <w:color w:val="auto"/>
        </w:rPr>
      </w:pPr>
    </w:p>
    <w:p w:rsidR="00F90E6E" w:rsidRPr="00CF7EBC" w:rsidRDefault="00883617" w:rsidP="005F7597">
      <w:pPr>
        <w:pStyle w:val="PlainText"/>
        <w:spacing w:line="240" w:lineRule="exact"/>
        <w:rPr>
          <w:rFonts w:asciiTheme="minorHAnsi" w:hAnsiTheme="minorHAnsi" w:cstheme="minorHAnsi"/>
          <w:sz w:val="24"/>
          <w:szCs w:val="24"/>
        </w:rPr>
      </w:pPr>
      <w:r>
        <w:rPr>
          <w:rFonts w:asciiTheme="minorHAnsi" w:hAnsiTheme="minorHAnsi" w:cstheme="minorHAnsi"/>
          <w:sz w:val="24"/>
          <w:szCs w:val="24"/>
        </w:rPr>
        <w:t xml:space="preserve"> </w:t>
      </w:r>
    </w:p>
    <w:p w:rsidR="00F90E6E" w:rsidRPr="00CF7EBC" w:rsidRDefault="00F90E6E" w:rsidP="005F7597">
      <w:pPr>
        <w:pStyle w:val="PlainText"/>
        <w:spacing w:line="240" w:lineRule="exact"/>
        <w:ind w:left="4320" w:firstLine="720"/>
        <w:rPr>
          <w:rFonts w:asciiTheme="minorHAnsi" w:hAnsiTheme="minorHAnsi" w:cstheme="minorHAnsi"/>
          <w:sz w:val="24"/>
          <w:szCs w:val="24"/>
        </w:rPr>
      </w:pPr>
      <w:r w:rsidRPr="00CF7EBC">
        <w:rPr>
          <w:rFonts w:asciiTheme="minorHAnsi" w:hAnsiTheme="minorHAnsi" w:cstheme="minorHAnsi"/>
          <w:sz w:val="24"/>
          <w:szCs w:val="24"/>
        </w:rPr>
        <w:t>President</w:t>
      </w:r>
    </w:p>
    <w:p w:rsidR="00883617" w:rsidRDefault="00F90E6E" w:rsidP="005F7597">
      <w:pPr>
        <w:pStyle w:val="PlainText"/>
        <w:spacing w:line="240" w:lineRule="exact"/>
        <w:ind w:left="4320" w:firstLine="720"/>
        <w:rPr>
          <w:rFonts w:asciiTheme="minorHAnsi" w:hAnsiTheme="minorHAnsi" w:cstheme="minorHAnsi"/>
          <w:sz w:val="24"/>
          <w:szCs w:val="24"/>
        </w:rPr>
      </w:pPr>
      <w:r w:rsidRPr="00CF7EBC">
        <w:rPr>
          <w:rFonts w:asciiTheme="minorHAnsi" w:hAnsiTheme="minorHAnsi" w:cstheme="minorHAnsi"/>
          <w:sz w:val="24"/>
          <w:szCs w:val="24"/>
        </w:rPr>
        <w:t xml:space="preserve">Physical Disability Board of Review </w:t>
      </w:r>
    </w:p>
    <w:p w:rsidR="00883617" w:rsidRDefault="00883617">
      <w:pPr>
        <w:rPr>
          <w:rFonts w:asciiTheme="minorHAnsi" w:eastAsia="Calibri" w:hAnsiTheme="minorHAnsi" w:cstheme="minorHAnsi"/>
          <w:color w:val="auto"/>
          <w:szCs w:val="24"/>
        </w:rPr>
      </w:pPr>
      <w:r>
        <w:rPr>
          <w:rFonts w:asciiTheme="minorHAnsi" w:hAnsiTheme="minorHAnsi" w:cstheme="minorHAnsi"/>
          <w:szCs w:val="24"/>
        </w:rPr>
        <w:br w:type="page"/>
      </w:r>
    </w:p>
    <w:p w:rsidR="00883617" w:rsidRPr="00883617" w:rsidRDefault="00883617" w:rsidP="00883617">
      <w:pPr>
        <w:rPr>
          <w:rFonts w:ascii="Times New Roman" w:hAnsi="Times New Roman"/>
          <w:color w:val="auto"/>
          <w:sz w:val="20"/>
        </w:rPr>
      </w:pPr>
      <w:r w:rsidRPr="00883617">
        <w:rPr>
          <w:rFonts w:ascii="Times New Roman" w:hAnsi="Times New Roman"/>
          <w:color w:val="auto"/>
          <w:sz w:val="20"/>
        </w:rPr>
        <w:lastRenderedPageBreak/>
        <w:t>MEMORANDUM FOR DEPUTY COMMANDANT, MANPOWER &amp; RESERVE AFFAIRS</w:t>
      </w:r>
    </w:p>
    <w:p w:rsidR="00883617" w:rsidRPr="00883617" w:rsidRDefault="00883617" w:rsidP="00883617">
      <w:pPr>
        <w:rPr>
          <w:rFonts w:ascii="Times New Roman" w:hAnsi="Times New Roman"/>
          <w:color w:val="auto"/>
          <w:sz w:val="20"/>
        </w:rPr>
      </w:pPr>
      <w:r w:rsidRPr="00883617">
        <w:rPr>
          <w:rFonts w:ascii="Times New Roman" w:hAnsi="Times New Roman"/>
          <w:color w:val="auto"/>
          <w:sz w:val="20"/>
        </w:rPr>
        <w:tab/>
        <w:t xml:space="preserve">                          </w:t>
      </w:r>
    </w:p>
    <w:p w:rsidR="00883617" w:rsidRPr="00883617" w:rsidRDefault="00883617" w:rsidP="00883617">
      <w:pPr>
        <w:rPr>
          <w:rFonts w:ascii="Times New Roman" w:hAnsi="Times New Roman"/>
          <w:color w:val="auto"/>
          <w:sz w:val="20"/>
        </w:rPr>
      </w:pPr>
      <w:proofErr w:type="spellStart"/>
      <w:r w:rsidRPr="00883617">
        <w:rPr>
          <w:rFonts w:ascii="Times New Roman" w:hAnsi="Times New Roman"/>
          <w:color w:val="auto"/>
          <w:sz w:val="20"/>
        </w:rPr>
        <w:t>Subj</w:t>
      </w:r>
      <w:proofErr w:type="spellEnd"/>
      <w:r w:rsidRPr="00883617">
        <w:rPr>
          <w:rFonts w:ascii="Times New Roman" w:hAnsi="Times New Roman"/>
          <w:color w:val="auto"/>
          <w:sz w:val="20"/>
        </w:rPr>
        <w:t xml:space="preserve">:  PHYSICAL DISABILITY BOARD OF REVIEW (PDBR) RECOMMENDATIONS          </w:t>
      </w:r>
    </w:p>
    <w:p w:rsidR="00883617" w:rsidRPr="00883617" w:rsidRDefault="00883617" w:rsidP="00883617">
      <w:pPr>
        <w:rPr>
          <w:rFonts w:ascii="Times New Roman" w:hAnsi="Times New Roman"/>
          <w:color w:val="auto"/>
          <w:sz w:val="20"/>
        </w:rPr>
      </w:pPr>
    </w:p>
    <w:p w:rsidR="00883617" w:rsidRPr="00883617" w:rsidRDefault="00883617" w:rsidP="00883617">
      <w:pPr>
        <w:rPr>
          <w:rFonts w:ascii="Times New Roman" w:hAnsi="Times New Roman"/>
          <w:color w:val="auto"/>
          <w:sz w:val="20"/>
        </w:rPr>
      </w:pPr>
      <w:r w:rsidRPr="00883617">
        <w:rPr>
          <w:rFonts w:ascii="Times New Roman" w:hAnsi="Times New Roman"/>
          <w:color w:val="auto"/>
          <w:sz w:val="20"/>
        </w:rPr>
        <w:t xml:space="preserve">Ref:   (a) </w:t>
      </w:r>
      <w:proofErr w:type="spellStart"/>
      <w:r w:rsidRPr="00883617">
        <w:rPr>
          <w:rFonts w:ascii="Times New Roman" w:hAnsi="Times New Roman"/>
          <w:color w:val="auto"/>
          <w:sz w:val="20"/>
        </w:rPr>
        <w:t>DoDI</w:t>
      </w:r>
      <w:proofErr w:type="spellEnd"/>
      <w:r w:rsidRPr="00883617">
        <w:rPr>
          <w:rFonts w:ascii="Times New Roman" w:hAnsi="Times New Roman"/>
          <w:color w:val="auto"/>
          <w:sz w:val="20"/>
        </w:rPr>
        <w:t xml:space="preserve"> 6040.44</w:t>
      </w:r>
    </w:p>
    <w:p w:rsidR="00883617" w:rsidRPr="00883617" w:rsidRDefault="00883617" w:rsidP="00883617">
      <w:pPr>
        <w:rPr>
          <w:rFonts w:ascii="Times New Roman" w:hAnsi="Times New Roman"/>
          <w:color w:val="auto"/>
          <w:sz w:val="20"/>
        </w:rPr>
      </w:pPr>
      <w:r w:rsidRPr="00883617">
        <w:rPr>
          <w:rFonts w:ascii="Times New Roman" w:hAnsi="Times New Roman"/>
          <w:color w:val="auto"/>
          <w:sz w:val="20"/>
        </w:rPr>
        <w:t xml:space="preserve">          (b) PDBR </w:t>
      </w:r>
      <w:proofErr w:type="spellStart"/>
      <w:r w:rsidRPr="00883617">
        <w:rPr>
          <w:rFonts w:ascii="Times New Roman" w:hAnsi="Times New Roman"/>
          <w:color w:val="auto"/>
          <w:sz w:val="20"/>
        </w:rPr>
        <w:t>ltr</w:t>
      </w:r>
      <w:proofErr w:type="spellEnd"/>
      <w:r w:rsidRPr="00883617">
        <w:rPr>
          <w:rFonts w:ascii="Times New Roman" w:hAnsi="Times New Roman"/>
          <w:color w:val="auto"/>
          <w:sz w:val="20"/>
        </w:rPr>
        <w:t xml:space="preserve"> </w:t>
      </w:r>
      <w:proofErr w:type="spellStart"/>
      <w:r w:rsidRPr="00883617">
        <w:rPr>
          <w:rFonts w:ascii="Times New Roman" w:hAnsi="Times New Roman"/>
          <w:color w:val="auto"/>
          <w:sz w:val="20"/>
        </w:rPr>
        <w:t>dtd</w:t>
      </w:r>
      <w:proofErr w:type="spellEnd"/>
      <w:r w:rsidRPr="00883617">
        <w:rPr>
          <w:rFonts w:ascii="Times New Roman" w:hAnsi="Times New Roman"/>
          <w:color w:val="auto"/>
          <w:sz w:val="20"/>
        </w:rPr>
        <w:t xml:space="preserve"> 1 Dec 11 ICO </w:t>
      </w:r>
      <w:proofErr w:type="spellStart"/>
      <w:r w:rsidRPr="00883617">
        <w:rPr>
          <w:rFonts w:ascii="Times New Roman" w:hAnsi="Times New Roman"/>
          <w:color w:val="auto"/>
          <w:sz w:val="20"/>
        </w:rPr>
        <w:t>xxxxxxxxxxx</w:t>
      </w:r>
      <w:proofErr w:type="spellEnd"/>
    </w:p>
    <w:p w:rsidR="00883617" w:rsidRPr="00883617" w:rsidRDefault="00883617" w:rsidP="00883617">
      <w:pPr>
        <w:rPr>
          <w:rFonts w:ascii="Times New Roman" w:hAnsi="Times New Roman"/>
          <w:color w:val="auto"/>
          <w:sz w:val="20"/>
        </w:rPr>
      </w:pPr>
      <w:r w:rsidRPr="00883617">
        <w:rPr>
          <w:rFonts w:ascii="Times New Roman" w:hAnsi="Times New Roman"/>
          <w:color w:val="auto"/>
          <w:sz w:val="20"/>
        </w:rPr>
        <w:t xml:space="preserve">          (c) PDBR </w:t>
      </w:r>
      <w:proofErr w:type="spellStart"/>
      <w:r w:rsidRPr="00883617">
        <w:rPr>
          <w:rFonts w:ascii="Times New Roman" w:hAnsi="Times New Roman"/>
          <w:color w:val="auto"/>
          <w:sz w:val="20"/>
        </w:rPr>
        <w:t>ltr</w:t>
      </w:r>
      <w:proofErr w:type="spellEnd"/>
      <w:r w:rsidRPr="00883617">
        <w:rPr>
          <w:rFonts w:ascii="Times New Roman" w:hAnsi="Times New Roman"/>
          <w:color w:val="auto"/>
          <w:sz w:val="20"/>
        </w:rPr>
        <w:t xml:space="preserve"> </w:t>
      </w:r>
      <w:proofErr w:type="spellStart"/>
      <w:r w:rsidRPr="00883617">
        <w:rPr>
          <w:rFonts w:ascii="Times New Roman" w:hAnsi="Times New Roman"/>
          <w:color w:val="auto"/>
          <w:sz w:val="20"/>
        </w:rPr>
        <w:t>dtd</w:t>
      </w:r>
      <w:proofErr w:type="spellEnd"/>
      <w:r w:rsidRPr="00883617">
        <w:rPr>
          <w:rFonts w:ascii="Times New Roman" w:hAnsi="Times New Roman"/>
          <w:color w:val="auto"/>
          <w:sz w:val="20"/>
        </w:rPr>
        <w:t xml:space="preserve"> 6 Dec 11 ICO </w:t>
      </w:r>
      <w:proofErr w:type="spellStart"/>
      <w:r w:rsidRPr="00883617">
        <w:rPr>
          <w:rFonts w:ascii="Times New Roman" w:hAnsi="Times New Roman"/>
          <w:color w:val="auto"/>
          <w:sz w:val="20"/>
        </w:rPr>
        <w:t>xxxxxxxxxxx</w:t>
      </w:r>
      <w:proofErr w:type="spellEnd"/>
    </w:p>
    <w:p w:rsidR="00883617" w:rsidRPr="00883617" w:rsidRDefault="00883617" w:rsidP="00883617">
      <w:pPr>
        <w:rPr>
          <w:rFonts w:ascii="Times New Roman" w:hAnsi="Times New Roman"/>
          <w:color w:val="auto"/>
          <w:sz w:val="20"/>
        </w:rPr>
      </w:pPr>
      <w:r w:rsidRPr="00883617">
        <w:rPr>
          <w:rFonts w:ascii="Times New Roman" w:hAnsi="Times New Roman"/>
          <w:color w:val="auto"/>
          <w:sz w:val="20"/>
        </w:rPr>
        <w:t xml:space="preserve">          (d) PDBR </w:t>
      </w:r>
      <w:proofErr w:type="spellStart"/>
      <w:r w:rsidRPr="00883617">
        <w:rPr>
          <w:rFonts w:ascii="Times New Roman" w:hAnsi="Times New Roman"/>
          <w:color w:val="auto"/>
          <w:sz w:val="20"/>
        </w:rPr>
        <w:t>ltr</w:t>
      </w:r>
      <w:proofErr w:type="spellEnd"/>
      <w:r w:rsidRPr="00883617">
        <w:rPr>
          <w:rFonts w:ascii="Times New Roman" w:hAnsi="Times New Roman"/>
          <w:color w:val="auto"/>
          <w:sz w:val="20"/>
        </w:rPr>
        <w:t xml:space="preserve"> </w:t>
      </w:r>
      <w:proofErr w:type="spellStart"/>
      <w:r w:rsidRPr="00883617">
        <w:rPr>
          <w:rFonts w:ascii="Times New Roman" w:hAnsi="Times New Roman"/>
          <w:color w:val="auto"/>
          <w:sz w:val="20"/>
        </w:rPr>
        <w:t>dtd</w:t>
      </w:r>
      <w:proofErr w:type="spellEnd"/>
      <w:r w:rsidRPr="00883617">
        <w:rPr>
          <w:rFonts w:ascii="Times New Roman" w:hAnsi="Times New Roman"/>
          <w:color w:val="auto"/>
          <w:sz w:val="20"/>
        </w:rPr>
        <w:t xml:space="preserve"> 6 Dec 11 ICO </w:t>
      </w:r>
      <w:proofErr w:type="spellStart"/>
      <w:r w:rsidRPr="00883617">
        <w:rPr>
          <w:rFonts w:ascii="Times New Roman" w:hAnsi="Times New Roman"/>
          <w:color w:val="auto"/>
          <w:sz w:val="20"/>
        </w:rPr>
        <w:t>xxxxxxxxxxx</w:t>
      </w:r>
      <w:proofErr w:type="spellEnd"/>
    </w:p>
    <w:p w:rsidR="00883617" w:rsidRPr="00883617" w:rsidRDefault="00883617" w:rsidP="00883617">
      <w:pPr>
        <w:rPr>
          <w:rFonts w:ascii="Times New Roman" w:hAnsi="Times New Roman"/>
          <w:color w:val="auto"/>
          <w:sz w:val="20"/>
        </w:rPr>
      </w:pPr>
    </w:p>
    <w:p w:rsidR="00883617" w:rsidRPr="00883617" w:rsidRDefault="00883617" w:rsidP="00883617">
      <w:pPr>
        <w:rPr>
          <w:rFonts w:ascii="Times New Roman" w:hAnsi="Times New Roman"/>
          <w:color w:val="auto"/>
          <w:sz w:val="20"/>
        </w:rPr>
      </w:pPr>
      <w:r w:rsidRPr="00883617">
        <w:rPr>
          <w:rFonts w:ascii="Times New Roman" w:hAnsi="Times New Roman"/>
          <w:color w:val="auto"/>
          <w:sz w:val="20"/>
        </w:rPr>
        <w:t>1.  Pursuant to reference (a) I approve the recommendations of the Physical Disability Board of Review set forth in references (b</w:t>
      </w:r>
      <w:proofErr w:type="gramStart"/>
      <w:r w:rsidRPr="00883617">
        <w:rPr>
          <w:rFonts w:ascii="Times New Roman" w:hAnsi="Times New Roman"/>
          <w:color w:val="auto"/>
          <w:sz w:val="20"/>
        </w:rPr>
        <w:t>)  through</w:t>
      </w:r>
      <w:proofErr w:type="gramEnd"/>
      <w:r w:rsidRPr="00883617">
        <w:rPr>
          <w:rFonts w:ascii="Times New Roman" w:hAnsi="Times New Roman"/>
          <w:color w:val="auto"/>
          <w:sz w:val="20"/>
        </w:rPr>
        <w:t xml:space="preserve"> (d).</w:t>
      </w:r>
    </w:p>
    <w:p w:rsidR="00883617" w:rsidRPr="00883617" w:rsidRDefault="00883617" w:rsidP="00883617">
      <w:pPr>
        <w:rPr>
          <w:rFonts w:ascii="Times New Roman" w:hAnsi="Times New Roman"/>
          <w:color w:val="auto"/>
          <w:sz w:val="20"/>
        </w:rPr>
      </w:pPr>
    </w:p>
    <w:p w:rsidR="00883617" w:rsidRPr="00883617" w:rsidRDefault="00883617" w:rsidP="00883617">
      <w:pPr>
        <w:rPr>
          <w:rFonts w:ascii="Times New Roman" w:hAnsi="Times New Roman"/>
          <w:color w:val="auto"/>
          <w:sz w:val="20"/>
        </w:rPr>
      </w:pPr>
      <w:r w:rsidRPr="00883617">
        <w:rPr>
          <w:rFonts w:ascii="Times New Roman" w:hAnsi="Times New Roman"/>
          <w:color w:val="auto"/>
          <w:sz w:val="20"/>
        </w:rPr>
        <w:t>2.  The official records of the following individuals are to be corrected to reflect the stated disposition:</w:t>
      </w:r>
    </w:p>
    <w:p w:rsidR="00883617" w:rsidRPr="00883617" w:rsidRDefault="00883617" w:rsidP="00883617">
      <w:pPr>
        <w:rPr>
          <w:rFonts w:ascii="Times New Roman" w:hAnsi="Times New Roman"/>
          <w:color w:val="auto"/>
          <w:sz w:val="20"/>
        </w:rPr>
      </w:pPr>
    </w:p>
    <w:p w:rsidR="00883617" w:rsidRPr="00883617" w:rsidRDefault="00883617" w:rsidP="00883617">
      <w:pPr>
        <w:rPr>
          <w:rFonts w:ascii="Times New Roman" w:hAnsi="Times New Roman"/>
          <w:color w:val="auto"/>
          <w:sz w:val="20"/>
        </w:rPr>
      </w:pPr>
      <w:r w:rsidRPr="00883617">
        <w:rPr>
          <w:rFonts w:ascii="Times New Roman" w:hAnsi="Times New Roman"/>
          <w:color w:val="auto"/>
          <w:sz w:val="20"/>
        </w:rPr>
        <w:t xml:space="preserve">    </w:t>
      </w:r>
      <w:proofErr w:type="gramStart"/>
      <w:r w:rsidRPr="00883617">
        <w:rPr>
          <w:rFonts w:ascii="Times New Roman" w:hAnsi="Times New Roman"/>
          <w:color w:val="auto"/>
          <w:sz w:val="20"/>
        </w:rPr>
        <w:t>a</w:t>
      </w:r>
      <w:proofErr w:type="gramEnd"/>
      <w:r w:rsidRPr="00883617">
        <w:rPr>
          <w:rFonts w:ascii="Times New Roman" w:hAnsi="Times New Roman"/>
          <w:color w:val="auto"/>
          <w:sz w:val="20"/>
        </w:rPr>
        <w:t xml:space="preserve">.  </w:t>
      </w:r>
      <w:r w:rsidRPr="00883617">
        <w:rPr>
          <w:rFonts w:ascii="Times New Roman" w:hAnsi="Times New Roman"/>
          <w:color w:val="auto"/>
          <w:sz w:val="20"/>
          <w:u w:val="single"/>
        </w:rPr>
        <w:t xml:space="preserve"> XXX XX 4635</w:t>
      </w:r>
      <w:r w:rsidRPr="00883617">
        <w:rPr>
          <w:rFonts w:ascii="Times New Roman" w:hAnsi="Times New Roman"/>
          <w:color w:val="auto"/>
          <w:sz w:val="20"/>
        </w:rPr>
        <w:t>:  Separation from the Naval Service due to physical disability rated at 20 percent (increased from 10 percent) effective 31 Dec 2003.</w:t>
      </w:r>
    </w:p>
    <w:p w:rsidR="00883617" w:rsidRPr="00883617" w:rsidRDefault="00883617" w:rsidP="00883617">
      <w:pPr>
        <w:rPr>
          <w:rFonts w:ascii="Times New Roman" w:hAnsi="Times New Roman"/>
          <w:color w:val="auto"/>
          <w:sz w:val="20"/>
        </w:rPr>
      </w:pPr>
    </w:p>
    <w:p w:rsidR="00883617" w:rsidRPr="00883617" w:rsidRDefault="00883617" w:rsidP="00883617">
      <w:pPr>
        <w:rPr>
          <w:rFonts w:ascii="Times New Roman" w:hAnsi="Times New Roman"/>
          <w:color w:val="auto"/>
          <w:sz w:val="20"/>
        </w:rPr>
      </w:pPr>
      <w:r w:rsidRPr="00883617">
        <w:rPr>
          <w:rFonts w:ascii="Times New Roman" w:hAnsi="Times New Roman"/>
          <w:color w:val="auto"/>
          <w:sz w:val="20"/>
        </w:rPr>
        <w:t xml:space="preserve">    </w:t>
      </w:r>
      <w:proofErr w:type="gramStart"/>
      <w:r w:rsidRPr="00883617">
        <w:rPr>
          <w:rFonts w:ascii="Times New Roman" w:hAnsi="Times New Roman"/>
          <w:color w:val="auto"/>
          <w:sz w:val="20"/>
        </w:rPr>
        <w:t>b</w:t>
      </w:r>
      <w:proofErr w:type="gramEnd"/>
      <w:r w:rsidRPr="00883617">
        <w:rPr>
          <w:rFonts w:ascii="Times New Roman" w:hAnsi="Times New Roman"/>
          <w:color w:val="auto"/>
          <w:sz w:val="20"/>
        </w:rPr>
        <w:t xml:space="preserve">. </w:t>
      </w:r>
      <w:r w:rsidRPr="00883617">
        <w:rPr>
          <w:rFonts w:ascii="Times New Roman" w:hAnsi="Times New Roman"/>
          <w:color w:val="auto"/>
          <w:sz w:val="20"/>
          <w:u w:val="single"/>
        </w:rPr>
        <w:t xml:space="preserve">  XXX XX 0896</w:t>
      </w:r>
      <w:r w:rsidRPr="00883617">
        <w:rPr>
          <w:rFonts w:ascii="Times New Roman" w:hAnsi="Times New Roman"/>
          <w:color w:val="auto"/>
          <w:sz w:val="20"/>
        </w:rPr>
        <w:t xml:space="preserve">:  Separation from the Naval </w:t>
      </w:r>
      <w:proofErr w:type="spellStart"/>
      <w:r w:rsidRPr="00883617">
        <w:rPr>
          <w:rFonts w:ascii="Times New Roman" w:hAnsi="Times New Roman"/>
          <w:color w:val="auto"/>
          <w:sz w:val="20"/>
        </w:rPr>
        <w:t>Sservice</w:t>
      </w:r>
      <w:proofErr w:type="spellEnd"/>
      <w:r w:rsidRPr="00883617">
        <w:rPr>
          <w:rFonts w:ascii="Times New Roman" w:hAnsi="Times New Roman"/>
          <w:color w:val="auto"/>
          <w:sz w:val="20"/>
        </w:rPr>
        <w:t xml:space="preserve"> due to physical disability rated at 20 percent (increased from 10 percent) effective 15 April 2006.</w:t>
      </w:r>
    </w:p>
    <w:p w:rsidR="00883617" w:rsidRPr="00883617" w:rsidRDefault="00883617" w:rsidP="00883617">
      <w:pPr>
        <w:rPr>
          <w:rFonts w:ascii="Times New Roman" w:hAnsi="Times New Roman"/>
          <w:color w:val="auto"/>
          <w:sz w:val="20"/>
        </w:rPr>
      </w:pPr>
    </w:p>
    <w:p w:rsidR="00883617" w:rsidRPr="00883617" w:rsidRDefault="00883617" w:rsidP="00883617">
      <w:pPr>
        <w:rPr>
          <w:rFonts w:ascii="Times New Roman" w:hAnsi="Times New Roman"/>
          <w:color w:val="auto"/>
          <w:sz w:val="20"/>
        </w:rPr>
      </w:pPr>
      <w:r w:rsidRPr="00883617">
        <w:rPr>
          <w:rFonts w:ascii="Times New Roman" w:hAnsi="Times New Roman"/>
          <w:color w:val="auto"/>
          <w:sz w:val="20"/>
        </w:rPr>
        <w:t xml:space="preserve">    </w:t>
      </w:r>
      <w:proofErr w:type="gramStart"/>
      <w:r w:rsidRPr="00883617">
        <w:rPr>
          <w:rFonts w:ascii="Times New Roman" w:hAnsi="Times New Roman"/>
          <w:color w:val="auto"/>
          <w:sz w:val="20"/>
        </w:rPr>
        <w:t>c</w:t>
      </w:r>
      <w:proofErr w:type="gramEnd"/>
      <w:r w:rsidRPr="00883617">
        <w:rPr>
          <w:rFonts w:ascii="Times New Roman" w:hAnsi="Times New Roman"/>
          <w:color w:val="auto"/>
          <w:sz w:val="20"/>
        </w:rPr>
        <w:t xml:space="preserve">.  </w:t>
      </w:r>
      <w:r w:rsidRPr="00883617">
        <w:rPr>
          <w:rFonts w:ascii="Times New Roman" w:hAnsi="Times New Roman"/>
          <w:color w:val="auto"/>
          <w:sz w:val="20"/>
          <w:u w:val="single"/>
        </w:rPr>
        <w:t xml:space="preserve">  XXX XX 5197</w:t>
      </w:r>
      <w:r w:rsidRPr="00883617">
        <w:rPr>
          <w:rFonts w:ascii="Times New Roman" w:hAnsi="Times New Roman"/>
          <w:color w:val="auto"/>
          <w:sz w:val="20"/>
        </w:rPr>
        <w:t>:  Separation from the Naval Service due to physical disability rated at 20 percent (increased from 10 percent) effective 15 September 2004.</w:t>
      </w:r>
    </w:p>
    <w:p w:rsidR="00883617" w:rsidRPr="00883617" w:rsidRDefault="00883617" w:rsidP="00883617">
      <w:pPr>
        <w:rPr>
          <w:rFonts w:ascii="Times New Roman" w:hAnsi="Times New Roman"/>
          <w:color w:val="auto"/>
          <w:sz w:val="20"/>
        </w:rPr>
      </w:pPr>
    </w:p>
    <w:p w:rsidR="00883617" w:rsidRPr="00883617" w:rsidRDefault="00883617" w:rsidP="00883617">
      <w:pPr>
        <w:rPr>
          <w:rFonts w:ascii="Times New Roman" w:hAnsi="Times New Roman"/>
          <w:color w:val="auto"/>
          <w:sz w:val="20"/>
        </w:rPr>
      </w:pPr>
      <w:r w:rsidRPr="00883617">
        <w:rPr>
          <w:rFonts w:ascii="Times New Roman" w:hAnsi="Times New Roman"/>
          <w:color w:val="auto"/>
          <w:sz w:val="20"/>
        </w:rPr>
        <w:t>3.  Please ensure all necessary actions are taken to implement these decisions including notification to the subject members once those actions are completed.</w:t>
      </w:r>
    </w:p>
    <w:p w:rsidR="00883617" w:rsidRPr="00883617" w:rsidRDefault="00883617" w:rsidP="00883617">
      <w:pPr>
        <w:rPr>
          <w:rFonts w:ascii="Times New Roman" w:hAnsi="Times New Roman"/>
          <w:color w:val="auto"/>
          <w:sz w:val="20"/>
        </w:rPr>
      </w:pPr>
    </w:p>
    <w:p w:rsidR="00883617" w:rsidRPr="00883617" w:rsidRDefault="00883617" w:rsidP="00883617">
      <w:pPr>
        <w:rPr>
          <w:rFonts w:ascii="Times New Roman" w:hAnsi="Times New Roman"/>
          <w:color w:val="auto"/>
          <w:sz w:val="20"/>
        </w:rPr>
      </w:pPr>
    </w:p>
    <w:p w:rsidR="00883617" w:rsidRPr="00883617" w:rsidRDefault="00883617" w:rsidP="00883617">
      <w:pPr>
        <w:tabs>
          <w:tab w:val="left" w:pos="4680"/>
        </w:tabs>
        <w:rPr>
          <w:rFonts w:ascii="Times New Roman" w:hAnsi="Times New Roman"/>
          <w:color w:val="auto"/>
          <w:sz w:val="20"/>
        </w:rPr>
      </w:pPr>
      <w:r w:rsidRPr="00883617">
        <w:rPr>
          <w:rFonts w:ascii="Times New Roman" w:hAnsi="Times New Roman"/>
          <w:color w:val="auto"/>
          <w:sz w:val="20"/>
        </w:rPr>
        <w:tab/>
        <w:t xml:space="preserve"> </w:t>
      </w:r>
    </w:p>
    <w:p w:rsidR="00883617" w:rsidRPr="00883617" w:rsidRDefault="00883617" w:rsidP="00883617">
      <w:pPr>
        <w:tabs>
          <w:tab w:val="left" w:pos="4680"/>
        </w:tabs>
        <w:rPr>
          <w:rFonts w:ascii="Times New Roman" w:hAnsi="Times New Roman"/>
          <w:color w:val="auto"/>
          <w:sz w:val="20"/>
        </w:rPr>
      </w:pPr>
      <w:r w:rsidRPr="00883617">
        <w:rPr>
          <w:rFonts w:ascii="Times New Roman" w:hAnsi="Times New Roman"/>
          <w:color w:val="auto"/>
          <w:sz w:val="20"/>
        </w:rPr>
        <w:tab/>
        <w:t>Assistant General Counsel</w:t>
      </w:r>
    </w:p>
    <w:p w:rsidR="00883617" w:rsidRPr="00883617" w:rsidRDefault="00883617" w:rsidP="00883617">
      <w:pPr>
        <w:tabs>
          <w:tab w:val="left" w:pos="4680"/>
        </w:tabs>
        <w:rPr>
          <w:rFonts w:ascii="Times New Roman" w:hAnsi="Times New Roman"/>
          <w:color w:val="auto"/>
          <w:sz w:val="20"/>
        </w:rPr>
      </w:pPr>
      <w:r w:rsidRPr="00883617">
        <w:rPr>
          <w:rFonts w:ascii="Times New Roman" w:hAnsi="Times New Roman"/>
          <w:color w:val="auto"/>
          <w:sz w:val="20"/>
        </w:rPr>
        <w:t xml:space="preserve">  </w:t>
      </w:r>
      <w:r w:rsidRPr="00883617">
        <w:rPr>
          <w:rFonts w:ascii="Times New Roman" w:hAnsi="Times New Roman"/>
          <w:color w:val="auto"/>
          <w:sz w:val="20"/>
        </w:rPr>
        <w:tab/>
        <w:t xml:space="preserve">  (Manpower &amp; Reserve Affairs)</w:t>
      </w:r>
    </w:p>
    <w:p w:rsidR="00F90E6E" w:rsidRPr="00CF7EBC" w:rsidRDefault="00F90E6E" w:rsidP="00883617">
      <w:pPr>
        <w:pStyle w:val="PlainText"/>
        <w:spacing w:line="240" w:lineRule="exact"/>
        <w:rPr>
          <w:rFonts w:asciiTheme="minorHAnsi" w:hAnsiTheme="minorHAnsi" w:cstheme="minorHAnsi"/>
          <w:sz w:val="24"/>
          <w:szCs w:val="24"/>
        </w:rPr>
      </w:pPr>
    </w:p>
    <w:p w:rsidR="00DD469B" w:rsidRPr="00DD469B" w:rsidRDefault="00DD469B" w:rsidP="005F7597">
      <w:pPr>
        <w:tabs>
          <w:tab w:val="left" w:pos="0"/>
          <w:tab w:val="left" w:pos="4320"/>
        </w:tabs>
        <w:spacing w:line="240" w:lineRule="exact"/>
        <w:jc w:val="both"/>
        <w:rPr>
          <w:rFonts w:asciiTheme="minorHAnsi" w:hAnsiTheme="minorHAnsi"/>
          <w:color w:val="auto"/>
        </w:rPr>
      </w:pPr>
    </w:p>
    <w:p w:rsidR="003F4F25" w:rsidRDefault="003F4F25" w:rsidP="005F759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3F4F25"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79" w:rsidRDefault="003F2879">
      <w:r>
        <w:separator/>
      </w:r>
    </w:p>
  </w:endnote>
  <w:endnote w:type="continuationSeparator" w:id="0">
    <w:p w:rsidR="003F2879" w:rsidRDefault="003F2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40" w:rsidRDefault="005D079C">
    <w:pPr>
      <w:pStyle w:val="Footer"/>
      <w:framePr w:wrap="around" w:vAnchor="text" w:hAnchor="margin" w:xAlign="center" w:y="1"/>
      <w:rPr>
        <w:rStyle w:val="PageNumber"/>
      </w:rPr>
    </w:pPr>
    <w:r>
      <w:rPr>
        <w:rStyle w:val="PageNumber"/>
      </w:rPr>
      <w:fldChar w:fldCharType="begin"/>
    </w:r>
    <w:r w:rsidR="000F5840">
      <w:rPr>
        <w:rStyle w:val="PageNumber"/>
      </w:rPr>
      <w:instrText xml:space="preserve">PAGE  </w:instrText>
    </w:r>
    <w:r>
      <w:rPr>
        <w:rStyle w:val="PageNumber"/>
      </w:rPr>
      <w:fldChar w:fldCharType="separate"/>
    </w:r>
    <w:r w:rsidR="000F5840">
      <w:rPr>
        <w:rStyle w:val="PageNumber"/>
        <w:noProof/>
      </w:rPr>
      <w:t>2</w:t>
    </w:r>
    <w:r>
      <w:rPr>
        <w:rStyle w:val="PageNumber"/>
      </w:rPr>
      <w:fldChar w:fldCharType="end"/>
    </w:r>
  </w:p>
  <w:p w:rsidR="000F5840" w:rsidRDefault="000F584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40" w:rsidRPr="00AC713F" w:rsidRDefault="005D079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F584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883617">
      <w:rPr>
        <w:rStyle w:val="PageNumber"/>
        <w:rFonts w:asciiTheme="minorHAnsi" w:hAnsiTheme="minorHAnsi"/>
        <w:noProof/>
        <w:color w:val="auto"/>
      </w:rPr>
      <w:t>3</w:t>
    </w:r>
    <w:r w:rsidRPr="00AC713F">
      <w:rPr>
        <w:rStyle w:val="PageNumber"/>
        <w:rFonts w:asciiTheme="minorHAnsi" w:hAnsiTheme="minorHAnsi"/>
        <w:color w:val="auto"/>
      </w:rPr>
      <w:fldChar w:fldCharType="end"/>
    </w:r>
  </w:p>
  <w:p w:rsidR="000F5840" w:rsidRPr="00396779" w:rsidRDefault="000F5840"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1000659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79" w:rsidRDefault="003F2879">
      <w:r>
        <w:separator/>
      </w:r>
    </w:p>
  </w:footnote>
  <w:footnote w:type="continuationSeparator" w:id="0">
    <w:p w:rsidR="003F2879" w:rsidRDefault="003F2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1ED"/>
    <w:multiLevelType w:val="hybridMultilevel"/>
    <w:tmpl w:val="C864323A"/>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C73577"/>
    <w:multiLevelType w:val="hybridMultilevel"/>
    <w:tmpl w:val="CA082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95942"/>
    <w:multiLevelType w:val="hybridMultilevel"/>
    <w:tmpl w:val="F26E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26CD1"/>
    <w:multiLevelType w:val="hybridMultilevel"/>
    <w:tmpl w:val="C92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460AD"/>
    <w:multiLevelType w:val="hybridMultilevel"/>
    <w:tmpl w:val="38A8E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723A75"/>
    <w:multiLevelType w:val="hybridMultilevel"/>
    <w:tmpl w:val="A1C6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8546">
      <o:colormenu v:ext="edit" fillcolor="none [3213]"/>
    </o:shapedefaults>
  </w:hdrShapeDefaults>
  <w:footnotePr>
    <w:numRestart w:val="eachSect"/>
    <w:footnote w:id="-1"/>
    <w:footnote w:id="0"/>
  </w:footnotePr>
  <w:endnotePr>
    <w:endnote w:id="-1"/>
    <w:endnote w:id="0"/>
  </w:endnotePr>
  <w:compat/>
  <w:rsids>
    <w:rsidRoot w:val="001C28D1"/>
    <w:rsid w:val="00002736"/>
    <w:rsid w:val="000059FA"/>
    <w:rsid w:val="00006186"/>
    <w:rsid w:val="00006F87"/>
    <w:rsid w:val="00010ABA"/>
    <w:rsid w:val="00012271"/>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454C9"/>
    <w:rsid w:val="00051622"/>
    <w:rsid w:val="00052234"/>
    <w:rsid w:val="00053D7C"/>
    <w:rsid w:val="000577C9"/>
    <w:rsid w:val="0006431E"/>
    <w:rsid w:val="00065E21"/>
    <w:rsid w:val="00066858"/>
    <w:rsid w:val="00072433"/>
    <w:rsid w:val="00075702"/>
    <w:rsid w:val="000775C2"/>
    <w:rsid w:val="000806AD"/>
    <w:rsid w:val="00081D83"/>
    <w:rsid w:val="00082482"/>
    <w:rsid w:val="00087051"/>
    <w:rsid w:val="0008708B"/>
    <w:rsid w:val="00092619"/>
    <w:rsid w:val="00092C66"/>
    <w:rsid w:val="00094E4F"/>
    <w:rsid w:val="000A0330"/>
    <w:rsid w:val="000A2BCE"/>
    <w:rsid w:val="000A41E3"/>
    <w:rsid w:val="000A4BBA"/>
    <w:rsid w:val="000A5071"/>
    <w:rsid w:val="000A5EC0"/>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11"/>
    <w:rsid w:val="000D7D55"/>
    <w:rsid w:val="000E0993"/>
    <w:rsid w:val="000E37E0"/>
    <w:rsid w:val="000E7034"/>
    <w:rsid w:val="000F02BE"/>
    <w:rsid w:val="000F427B"/>
    <w:rsid w:val="000F5840"/>
    <w:rsid w:val="000F6C78"/>
    <w:rsid w:val="000F7181"/>
    <w:rsid w:val="001008C1"/>
    <w:rsid w:val="001023DB"/>
    <w:rsid w:val="00103CCF"/>
    <w:rsid w:val="0010417F"/>
    <w:rsid w:val="001042D2"/>
    <w:rsid w:val="0010530E"/>
    <w:rsid w:val="00105C07"/>
    <w:rsid w:val="00106AD8"/>
    <w:rsid w:val="00107EC5"/>
    <w:rsid w:val="001103CD"/>
    <w:rsid w:val="001115E0"/>
    <w:rsid w:val="0011323E"/>
    <w:rsid w:val="00114F20"/>
    <w:rsid w:val="001211AF"/>
    <w:rsid w:val="001219DF"/>
    <w:rsid w:val="00122ABE"/>
    <w:rsid w:val="001231DC"/>
    <w:rsid w:val="001272AE"/>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5756D"/>
    <w:rsid w:val="00161761"/>
    <w:rsid w:val="00166182"/>
    <w:rsid w:val="001745DD"/>
    <w:rsid w:val="0017531A"/>
    <w:rsid w:val="00177659"/>
    <w:rsid w:val="001779E5"/>
    <w:rsid w:val="00182A4C"/>
    <w:rsid w:val="00183F77"/>
    <w:rsid w:val="001844D8"/>
    <w:rsid w:val="00185DA8"/>
    <w:rsid w:val="00185ECB"/>
    <w:rsid w:val="001865E0"/>
    <w:rsid w:val="001870F0"/>
    <w:rsid w:val="00190E48"/>
    <w:rsid w:val="00191706"/>
    <w:rsid w:val="0019273F"/>
    <w:rsid w:val="00193814"/>
    <w:rsid w:val="0019396F"/>
    <w:rsid w:val="00193AD5"/>
    <w:rsid w:val="00194930"/>
    <w:rsid w:val="001A08CD"/>
    <w:rsid w:val="001A0A1E"/>
    <w:rsid w:val="001A205D"/>
    <w:rsid w:val="001A3974"/>
    <w:rsid w:val="001A5320"/>
    <w:rsid w:val="001A5E62"/>
    <w:rsid w:val="001A6848"/>
    <w:rsid w:val="001A7538"/>
    <w:rsid w:val="001B0B1A"/>
    <w:rsid w:val="001B4EC2"/>
    <w:rsid w:val="001B5B59"/>
    <w:rsid w:val="001B60E0"/>
    <w:rsid w:val="001B771C"/>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0837"/>
    <w:rsid w:val="001E15C0"/>
    <w:rsid w:val="001E18E0"/>
    <w:rsid w:val="001E18E2"/>
    <w:rsid w:val="001E19D0"/>
    <w:rsid w:val="001E2A30"/>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1DE4"/>
    <w:rsid w:val="00232C9B"/>
    <w:rsid w:val="00232F09"/>
    <w:rsid w:val="002335D5"/>
    <w:rsid w:val="002338CA"/>
    <w:rsid w:val="00233FE5"/>
    <w:rsid w:val="00234B3B"/>
    <w:rsid w:val="0024174E"/>
    <w:rsid w:val="0024227D"/>
    <w:rsid w:val="00242D14"/>
    <w:rsid w:val="00246860"/>
    <w:rsid w:val="00246DFF"/>
    <w:rsid w:val="00246E89"/>
    <w:rsid w:val="00251799"/>
    <w:rsid w:val="0025183C"/>
    <w:rsid w:val="002528EC"/>
    <w:rsid w:val="00254B1A"/>
    <w:rsid w:val="00255049"/>
    <w:rsid w:val="00257DE5"/>
    <w:rsid w:val="00260531"/>
    <w:rsid w:val="0026124E"/>
    <w:rsid w:val="0026318D"/>
    <w:rsid w:val="00270864"/>
    <w:rsid w:val="002709D1"/>
    <w:rsid w:val="002712F7"/>
    <w:rsid w:val="0027159C"/>
    <w:rsid w:val="00274549"/>
    <w:rsid w:val="00274E46"/>
    <w:rsid w:val="00276C86"/>
    <w:rsid w:val="002810A4"/>
    <w:rsid w:val="00284A26"/>
    <w:rsid w:val="00284A7F"/>
    <w:rsid w:val="00287006"/>
    <w:rsid w:val="00292AB2"/>
    <w:rsid w:val="00294437"/>
    <w:rsid w:val="002A13BF"/>
    <w:rsid w:val="002A3237"/>
    <w:rsid w:val="002A58B7"/>
    <w:rsid w:val="002A5943"/>
    <w:rsid w:val="002A5C3C"/>
    <w:rsid w:val="002A685E"/>
    <w:rsid w:val="002A72C7"/>
    <w:rsid w:val="002B03B2"/>
    <w:rsid w:val="002B0749"/>
    <w:rsid w:val="002B2645"/>
    <w:rsid w:val="002B3F27"/>
    <w:rsid w:val="002B6FA0"/>
    <w:rsid w:val="002C5F10"/>
    <w:rsid w:val="002C6E5B"/>
    <w:rsid w:val="002D18B4"/>
    <w:rsid w:val="002D231A"/>
    <w:rsid w:val="002D2DE7"/>
    <w:rsid w:val="002E1877"/>
    <w:rsid w:val="002E1C31"/>
    <w:rsid w:val="002E333A"/>
    <w:rsid w:val="002E3474"/>
    <w:rsid w:val="002E400C"/>
    <w:rsid w:val="002E49C3"/>
    <w:rsid w:val="002E5114"/>
    <w:rsid w:val="002E7570"/>
    <w:rsid w:val="002E764B"/>
    <w:rsid w:val="002F0271"/>
    <w:rsid w:val="002F0E28"/>
    <w:rsid w:val="002F2459"/>
    <w:rsid w:val="002F2868"/>
    <w:rsid w:val="002F287E"/>
    <w:rsid w:val="002F2D63"/>
    <w:rsid w:val="002F7F81"/>
    <w:rsid w:val="00300A36"/>
    <w:rsid w:val="003019A4"/>
    <w:rsid w:val="0030678B"/>
    <w:rsid w:val="00307BEC"/>
    <w:rsid w:val="00310CD7"/>
    <w:rsid w:val="00321145"/>
    <w:rsid w:val="0032136A"/>
    <w:rsid w:val="00323E70"/>
    <w:rsid w:val="00325BA2"/>
    <w:rsid w:val="00326C08"/>
    <w:rsid w:val="00326F7F"/>
    <w:rsid w:val="003308C8"/>
    <w:rsid w:val="003320E8"/>
    <w:rsid w:val="0033334F"/>
    <w:rsid w:val="00333BF5"/>
    <w:rsid w:val="0033555E"/>
    <w:rsid w:val="00336805"/>
    <w:rsid w:val="00337351"/>
    <w:rsid w:val="00341A54"/>
    <w:rsid w:val="003460D5"/>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6B91"/>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4CC"/>
    <w:rsid w:val="003E46D1"/>
    <w:rsid w:val="003E5778"/>
    <w:rsid w:val="003E6214"/>
    <w:rsid w:val="003F070E"/>
    <w:rsid w:val="003F2879"/>
    <w:rsid w:val="003F4F25"/>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25916"/>
    <w:rsid w:val="00433F36"/>
    <w:rsid w:val="0043503A"/>
    <w:rsid w:val="0044384F"/>
    <w:rsid w:val="00444F80"/>
    <w:rsid w:val="00446018"/>
    <w:rsid w:val="004504B8"/>
    <w:rsid w:val="004543BC"/>
    <w:rsid w:val="0045645D"/>
    <w:rsid w:val="004574C6"/>
    <w:rsid w:val="00457BCF"/>
    <w:rsid w:val="00457DCE"/>
    <w:rsid w:val="00460E3F"/>
    <w:rsid w:val="00462F68"/>
    <w:rsid w:val="00466CED"/>
    <w:rsid w:val="00467592"/>
    <w:rsid w:val="00467690"/>
    <w:rsid w:val="004718E7"/>
    <w:rsid w:val="00472535"/>
    <w:rsid w:val="004754A8"/>
    <w:rsid w:val="004761CC"/>
    <w:rsid w:val="00480D4A"/>
    <w:rsid w:val="00481DA1"/>
    <w:rsid w:val="00483148"/>
    <w:rsid w:val="00484212"/>
    <w:rsid w:val="00491D5D"/>
    <w:rsid w:val="0049255F"/>
    <w:rsid w:val="0049445D"/>
    <w:rsid w:val="00495350"/>
    <w:rsid w:val="0049583E"/>
    <w:rsid w:val="00497156"/>
    <w:rsid w:val="004A06F6"/>
    <w:rsid w:val="004A0C79"/>
    <w:rsid w:val="004A24D2"/>
    <w:rsid w:val="004A3214"/>
    <w:rsid w:val="004A4136"/>
    <w:rsid w:val="004A417B"/>
    <w:rsid w:val="004A4222"/>
    <w:rsid w:val="004B03F3"/>
    <w:rsid w:val="004B0CC9"/>
    <w:rsid w:val="004B2536"/>
    <w:rsid w:val="004B6AF3"/>
    <w:rsid w:val="004B715E"/>
    <w:rsid w:val="004B7169"/>
    <w:rsid w:val="004B79C9"/>
    <w:rsid w:val="004C5E33"/>
    <w:rsid w:val="004C6CDA"/>
    <w:rsid w:val="004D10D4"/>
    <w:rsid w:val="004D16BD"/>
    <w:rsid w:val="004D2AAB"/>
    <w:rsid w:val="004D4B8E"/>
    <w:rsid w:val="004D6F2B"/>
    <w:rsid w:val="004E018E"/>
    <w:rsid w:val="004E0248"/>
    <w:rsid w:val="004E21A3"/>
    <w:rsid w:val="004E32EA"/>
    <w:rsid w:val="004E41D1"/>
    <w:rsid w:val="004E6866"/>
    <w:rsid w:val="004F3222"/>
    <w:rsid w:val="004F3BFA"/>
    <w:rsid w:val="004F46C3"/>
    <w:rsid w:val="005000AB"/>
    <w:rsid w:val="005025EE"/>
    <w:rsid w:val="00507389"/>
    <w:rsid w:val="00510588"/>
    <w:rsid w:val="0051146C"/>
    <w:rsid w:val="00514449"/>
    <w:rsid w:val="005157BD"/>
    <w:rsid w:val="005214A3"/>
    <w:rsid w:val="00521F54"/>
    <w:rsid w:val="005222E7"/>
    <w:rsid w:val="00523A8B"/>
    <w:rsid w:val="00523E04"/>
    <w:rsid w:val="0052590B"/>
    <w:rsid w:val="00526591"/>
    <w:rsid w:val="00527178"/>
    <w:rsid w:val="005278CB"/>
    <w:rsid w:val="00531F9B"/>
    <w:rsid w:val="00534B59"/>
    <w:rsid w:val="00534D42"/>
    <w:rsid w:val="005350A5"/>
    <w:rsid w:val="00536379"/>
    <w:rsid w:val="00537238"/>
    <w:rsid w:val="005400C5"/>
    <w:rsid w:val="00540BEF"/>
    <w:rsid w:val="005410C4"/>
    <w:rsid w:val="00542C9A"/>
    <w:rsid w:val="005436C2"/>
    <w:rsid w:val="005442D4"/>
    <w:rsid w:val="0054586A"/>
    <w:rsid w:val="0054631F"/>
    <w:rsid w:val="005465A0"/>
    <w:rsid w:val="0055288D"/>
    <w:rsid w:val="00555259"/>
    <w:rsid w:val="00560D57"/>
    <w:rsid w:val="00562A94"/>
    <w:rsid w:val="005709F7"/>
    <w:rsid w:val="005710A9"/>
    <w:rsid w:val="00571D1B"/>
    <w:rsid w:val="005738F5"/>
    <w:rsid w:val="00577F67"/>
    <w:rsid w:val="00580267"/>
    <w:rsid w:val="0058039C"/>
    <w:rsid w:val="00592EBD"/>
    <w:rsid w:val="00593043"/>
    <w:rsid w:val="00595BF0"/>
    <w:rsid w:val="005A1846"/>
    <w:rsid w:val="005A258C"/>
    <w:rsid w:val="005A3560"/>
    <w:rsid w:val="005A423C"/>
    <w:rsid w:val="005A464E"/>
    <w:rsid w:val="005A6C99"/>
    <w:rsid w:val="005A705D"/>
    <w:rsid w:val="005A7D5D"/>
    <w:rsid w:val="005B011A"/>
    <w:rsid w:val="005B1D8F"/>
    <w:rsid w:val="005B1E94"/>
    <w:rsid w:val="005B57D8"/>
    <w:rsid w:val="005B5B3D"/>
    <w:rsid w:val="005B64CF"/>
    <w:rsid w:val="005C16F3"/>
    <w:rsid w:val="005C3758"/>
    <w:rsid w:val="005C4406"/>
    <w:rsid w:val="005D079C"/>
    <w:rsid w:val="005D36E1"/>
    <w:rsid w:val="005E3064"/>
    <w:rsid w:val="005E72B2"/>
    <w:rsid w:val="005F1115"/>
    <w:rsid w:val="005F1AB6"/>
    <w:rsid w:val="005F1D63"/>
    <w:rsid w:val="005F27F2"/>
    <w:rsid w:val="005F3AFE"/>
    <w:rsid w:val="005F424D"/>
    <w:rsid w:val="005F6B6D"/>
    <w:rsid w:val="005F7597"/>
    <w:rsid w:val="00605AAB"/>
    <w:rsid w:val="00606BEB"/>
    <w:rsid w:val="0061014A"/>
    <w:rsid w:val="006103F5"/>
    <w:rsid w:val="0061054B"/>
    <w:rsid w:val="00613E26"/>
    <w:rsid w:val="00615641"/>
    <w:rsid w:val="00616512"/>
    <w:rsid w:val="00616959"/>
    <w:rsid w:val="006211D0"/>
    <w:rsid w:val="00624870"/>
    <w:rsid w:val="00624D0C"/>
    <w:rsid w:val="006274B4"/>
    <w:rsid w:val="006307BA"/>
    <w:rsid w:val="006315BA"/>
    <w:rsid w:val="00634C4A"/>
    <w:rsid w:val="0063532E"/>
    <w:rsid w:val="00637BDC"/>
    <w:rsid w:val="006418C9"/>
    <w:rsid w:val="006423A2"/>
    <w:rsid w:val="00642BD6"/>
    <w:rsid w:val="00645046"/>
    <w:rsid w:val="0064527A"/>
    <w:rsid w:val="00645EA2"/>
    <w:rsid w:val="00653D2D"/>
    <w:rsid w:val="006563B3"/>
    <w:rsid w:val="006573F2"/>
    <w:rsid w:val="00657E8B"/>
    <w:rsid w:val="00662F08"/>
    <w:rsid w:val="00663589"/>
    <w:rsid w:val="00667684"/>
    <w:rsid w:val="006708E3"/>
    <w:rsid w:val="00670DDC"/>
    <w:rsid w:val="00671EB4"/>
    <w:rsid w:val="0067443B"/>
    <w:rsid w:val="00684E24"/>
    <w:rsid w:val="00684E2B"/>
    <w:rsid w:val="00690FDA"/>
    <w:rsid w:val="00691E61"/>
    <w:rsid w:val="006932E2"/>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E7BDC"/>
    <w:rsid w:val="006F149D"/>
    <w:rsid w:val="006F1A46"/>
    <w:rsid w:val="006F4F06"/>
    <w:rsid w:val="006F5A4E"/>
    <w:rsid w:val="006F6005"/>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3271"/>
    <w:rsid w:val="00736A49"/>
    <w:rsid w:val="00737283"/>
    <w:rsid w:val="007419A1"/>
    <w:rsid w:val="00743B71"/>
    <w:rsid w:val="00743C2D"/>
    <w:rsid w:val="00743E36"/>
    <w:rsid w:val="007446F7"/>
    <w:rsid w:val="00744EBB"/>
    <w:rsid w:val="007459E7"/>
    <w:rsid w:val="00745B0A"/>
    <w:rsid w:val="007468AC"/>
    <w:rsid w:val="00746AE2"/>
    <w:rsid w:val="00750C82"/>
    <w:rsid w:val="0076100C"/>
    <w:rsid w:val="007612A5"/>
    <w:rsid w:val="00763F95"/>
    <w:rsid w:val="007651ED"/>
    <w:rsid w:val="00766C87"/>
    <w:rsid w:val="00775D8B"/>
    <w:rsid w:val="00780378"/>
    <w:rsid w:val="00781BD4"/>
    <w:rsid w:val="00784832"/>
    <w:rsid w:val="00785D77"/>
    <w:rsid w:val="00786111"/>
    <w:rsid w:val="00791F1E"/>
    <w:rsid w:val="00794F3D"/>
    <w:rsid w:val="00796045"/>
    <w:rsid w:val="007968AC"/>
    <w:rsid w:val="007969AB"/>
    <w:rsid w:val="00797882"/>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20F4"/>
    <w:rsid w:val="007D21AC"/>
    <w:rsid w:val="007D3882"/>
    <w:rsid w:val="007D568A"/>
    <w:rsid w:val="007D574E"/>
    <w:rsid w:val="007D6BFE"/>
    <w:rsid w:val="007E2046"/>
    <w:rsid w:val="007E368E"/>
    <w:rsid w:val="007E3883"/>
    <w:rsid w:val="007E4FBB"/>
    <w:rsid w:val="007E55BF"/>
    <w:rsid w:val="007E71B1"/>
    <w:rsid w:val="007E7B4E"/>
    <w:rsid w:val="007F0CE2"/>
    <w:rsid w:val="007F0EFF"/>
    <w:rsid w:val="007F1375"/>
    <w:rsid w:val="00803850"/>
    <w:rsid w:val="00804385"/>
    <w:rsid w:val="00805AFD"/>
    <w:rsid w:val="00806085"/>
    <w:rsid w:val="008078D8"/>
    <w:rsid w:val="00811D5B"/>
    <w:rsid w:val="00812F58"/>
    <w:rsid w:val="00815215"/>
    <w:rsid w:val="00817044"/>
    <w:rsid w:val="00817713"/>
    <w:rsid w:val="00820CBD"/>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717C"/>
    <w:rsid w:val="0085089F"/>
    <w:rsid w:val="0085206E"/>
    <w:rsid w:val="00852AD4"/>
    <w:rsid w:val="00852BA8"/>
    <w:rsid w:val="00853718"/>
    <w:rsid w:val="008541EF"/>
    <w:rsid w:val="00856AC7"/>
    <w:rsid w:val="00856FA4"/>
    <w:rsid w:val="008577FA"/>
    <w:rsid w:val="0086162B"/>
    <w:rsid w:val="00861D5C"/>
    <w:rsid w:val="00865207"/>
    <w:rsid w:val="008656A7"/>
    <w:rsid w:val="00866231"/>
    <w:rsid w:val="00871262"/>
    <w:rsid w:val="00871D4E"/>
    <w:rsid w:val="00871E7B"/>
    <w:rsid w:val="00875B51"/>
    <w:rsid w:val="00875F2D"/>
    <w:rsid w:val="008764DC"/>
    <w:rsid w:val="008815FC"/>
    <w:rsid w:val="00882CC2"/>
    <w:rsid w:val="00883617"/>
    <w:rsid w:val="0088369F"/>
    <w:rsid w:val="00883930"/>
    <w:rsid w:val="00896535"/>
    <w:rsid w:val="00896683"/>
    <w:rsid w:val="0089750B"/>
    <w:rsid w:val="00897589"/>
    <w:rsid w:val="008A63A9"/>
    <w:rsid w:val="008A654D"/>
    <w:rsid w:val="008A7F7E"/>
    <w:rsid w:val="008B04DB"/>
    <w:rsid w:val="008B27FD"/>
    <w:rsid w:val="008B3AF2"/>
    <w:rsid w:val="008B446D"/>
    <w:rsid w:val="008B484D"/>
    <w:rsid w:val="008B515D"/>
    <w:rsid w:val="008B5D31"/>
    <w:rsid w:val="008B6705"/>
    <w:rsid w:val="008C1737"/>
    <w:rsid w:val="008C22F3"/>
    <w:rsid w:val="008D442C"/>
    <w:rsid w:val="008D627B"/>
    <w:rsid w:val="008D795D"/>
    <w:rsid w:val="008D7B07"/>
    <w:rsid w:val="008E1E94"/>
    <w:rsid w:val="008E20A3"/>
    <w:rsid w:val="008E2D99"/>
    <w:rsid w:val="008E4A60"/>
    <w:rsid w:val="008E744D"/>
    <w:rsid w:val="008F1E08"/>
    <w:rsid w:val="008F3D8D"/>
    <w:rsid w:val="00900D8F"/>
    <w:rsid w:val="009014E3"/>
    <w:rsid w:val="009026E8"/>
    <w:rsid w:val="0090566A"/>
    <w:rsid w:val="00906EB7"/>
    <w:rsid w:val="009102BF"/>
    <w:rsid w:val="00911490"/>
    <w:rsid w:val="009115F2"/>
    <w:rsid w:val="00914ADB"/>
    <w:rsid w:val="00923B25"/>
    <w:rsid w:val="0092402E"/>
    <w:rsid w:val="009259BA"/>
    <w:rsid w:val="00926B0F"/>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5F92"/>
    <w:rsid w:val="00976869"/>
    <w:rsid w:val="00977740"/>
    <w:rsid w:val="00977CB4"/>
    <w:rsid w:val="009809B8"/>
    <w:rsid w:val="0098222D"/>
    <w:rsid w:val="00985099"/>
    <w:rsid w:val="0099421F"/>
    <w:rsid w:val="009964D3"/>
    <w:rsid w:val="009A0DE3"/>
    <w:rsid w:val="009A1643"/>
    <w:rsid w:val="009A215A"/>
    <w:rsid w:val="009A49D3"/>
    <w:rsid w:val="009A4F1B"/>
    <w:rsid w:val="009A66C5"/>
    <w:rsid w:val="009A79BA"/>
    <w:rsid w:val="009B14D1"/>
    <w:rsid w:val="009B1534"/>
    <w:rsid w:val="009B4963"/>
    <w:rsid w:val="009B4A3B"/>
    <w:rsid w:val="009B69D3"/>
    <w:rsid w:val="009B7BA7"/>
    <w:rsid w:val="009C04C1"/>
    <w:rsid w:val="009C0938"/>
    <w:rsid w:val="009C22C8"/>
    <w:rsid w:val="009C3F82"/>
    <w:rsid w:val="009C72DD"/>
    <w:rsid w:val="009C7DF5"/>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56C"/>
    <w:rsid w:val="00A2270B"/>
    <w:rsid w:val="00A23B89"/>
    <w:rsid w:val="00A23FE3"/>
    <w:rsid w:val="00A248C3"/>
    <w:rsid w:val="00A2496E"/>
    <w:rsid w:val="00A258B7"/>
    <w:rsid w:val="00A31909"/>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77193"/>
    <w:rsid w:val="00A82C52"/>
    <w:rsid w:val="00A8389C"/>
    <w:rsid w:val="00A86CB6"/>
    <w:rsid w:val="00A90D55"/>
    <w:rsid w:val="00A925D2"/>
    <w:rsid w:val="00A944D8"/>
    <w:rsid w:val="00A959E7"/>
    <w:rsid w:val="00A95BBA"/>
    <w:rsid w:val="00A961EE"/>
    <w:rsid w:val="00AA04B3"/>
    <w:rsid w:val="00AA1253"/>
    <w:rsid w:val="00AA1EA5"/>
    <w:rsid w:val="00AA1ED0"/>
    <w:rsid w:val="00AA28EF"/>
    <w:rsid w:val="00AA3593"/>
    <w:rsid w:val="00AA38CA"/>
    <w:rsid w:val="00AA493E"/>
    <w:rsid w:val="00AA73AF"/>
    <w:rsid w:val="00AB0A8A"/>
    <w:rsid w:val="00AB1754"/>
    <w:rsid w:val="00AB27DD"/>
    <w:rsid w:val="00AB5047"/>
    <w:rsid w:val="00AC439D"/>
    <w:rsid w:val="00AC5D0A"/>
    <w:rsid w:val="00AC713F"/>
    <w:rsid w:val="00AD067E"/>
    <w:rsid w:val="00AD2801"/>
    <w:rsid w:val="00AD6870"/>
    <w:rsid w:val="00AD68C5"/>
    <w:rsid w:val="00AE1273"/>
    <w:rsid w:val="00AE2D29"/>
    <w:rsid w:val="00AE4624"/>
    <w:rsid w:val="00AE5E14"/>
    <w:rsid w:val="00AE6115"/>
    <w:rsid w:val="00AE625B"/>
    <w:rsid w:val="00AF1668"/>
    <w:rsid w:val="00AF4FA5"/>
    <w:rsid w:val="00B07955"/>
    <w:rsid w:val="00B13C4D"/>
    <w:rsid w:val="00B140B8"/>
    <w:rsid w:val="00B14FAA"/>
    <w:rsid w:val="00B15D30"/>
    <w:rsid w:val="00B20624"/>
    <w:rsid w:val="00B2138A"/>
    <w:rsid w:val="00B23436"/>
    <w:rsid w:val="00B237F1"/>
    <w:rsid w:val="00B24F33"/>
    <w:rsid w:val="00B26354"/>
    <w:rsid w:val="00B26CA0"/>
    <w:rsid w:val="00B32179"/>
    <w:rsid w:val="00B33007"/>
    <w:rsid w:val="00B331A9"/>
    <w:rsid w:val="00B36183"/>
    <w:rsid w:val="00B36569"/>
    <w:rsid w:val="00B40A05"/>
    <w:rsid w:val="00B40A3E"/>
    <w:rsid w:val="00B427BB"/>
    <w:rsid w:val="00B449EE"/>
    <w:rsid w:val="00B50227"/>
    <w:rsid w:val="00B50510"/>
    <w:rsid w:val="00B522CD"/>
    <w:rsid w:val="00B55143"/>
    <w:rsid w:val="00B555C8"/>
    <w:rsid w:val="00B55917"/>
    <w:rsid w:val="00B643A6"/>
    <w:rsid w:val="00B64DD6"/>
    <w:rsid w:val="00B6710C"/>
    <w:rsid w:val="00B67E84"/>
    <w:rsid w:val="00B72076"/>
    <w:rsid w:val="00B72303"/>
    <w:rsid w:val="00B72C72"/>
    <w:rsid w:val="00B82277"/>
    <w:rsid w:val="00B86804"/>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40AB"/>
    <w:rsid w:val="00BD42E2"/>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18B1"/>
    <w:rsid w:val="00C13B34"/>
    <w:rsid w:val="00C13F26"/>
    <w:rsid w:val="00C1474E"/>
    <w:rsid w:val="00C16E9F"/>
    <w:rsid w:val="00C1713D"/>
    <w:rsid w:val="00C177F1"/>
    <w:rsid w:val="00C17EE6"/>
    <w:rsid w:val="00C20321"/>
    <w:rsid w:val="00C22F3A"/>
    <w:rsid w:val="00C23311"/>
    <w:rsid w:val="00C248BF"/>
    <w:rsid w:val="00C25978"/>
    <w:rsid w:val="00C261C6"/>
    <w:rsid w:val="00C26E7C"/>
    <w:rsid w:val="00C276CD"/>
    <w:rsid w:val="00C30A97"/>
    <w:rsid w:val="00C31DDC"/>
    <w:rsid w:val="00C34326"/>
    <w:rsid w:val="00C36201"/>
    <w:rsid w:val="00C368E8"/>
    <w:rsid w:val="00C36C3D"/>
    <w:rsid w:val="00C372C7"/>
    <w:rsid w:val="00C41C56"/>
    <w:rsid w:val="00C42443"/>
    <w:rsid w:val="00C42CBA"/>
    <w:rsid w:val="00C45EE1"/>
    <w:rsid w:val="00C5019E"/>
    <w:rsid w:val="00C51954"/>
    <w:rsid w:val="00C5377C"/>
    <w:rsid w:val="00C53E8A"/>
    <w:rsid w:val="00C54DF3"/>
    <w:rsid w:val="00C560A7"/>
    <w:rsid w:val="00C56FC8"/>
    <w:rsid w:val="00C60F23"/>
    <w:rsid w:val="00C61EEF"/>
    <w:rsid w:val="00C62EB2"/>
    <w:rsid w:val="00C662D1"/>
    <w:rsid w:val="00C70618"/>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005"/>
    <w:rsid w:val="00CC39D2"/>
    <w:rsid w:val="00CC69EC"/>
    <w:rsid w:val="00CD0491"/>
    <w:rsid w:val="00CD15BE"/>
    <w:rsid w:val="00CD1EF2"/>
    <w:rsid w:val="00CD32BD"/>
    <w:rsid w:val="00CD34C7"/>
    <w:rsid w:val="00CD5653"/>
    <w:rsid w:val="00CD5E6D"/>
    <w:rsid w:val="00CD63C8"/>
    <w:rsid w:val="00CF11E0"/>
    <w:rsid w:val="00CF158D"/>
    <w:rsid w:val="00CF4394"/>
    <w:rsid w:val="00D000A9"/>
    <w:rsid w:val="00D005DB"/>
    <w:rsid w:val="00D0064E"/>
    <w:rsid w:val="00D00981"/>
    <w:rsid w:val="00D00CBD"/>
    <w:rsid w:val="00D017AC"/>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21F8"/>
    <w:rsid w:val="00D42781"/>
    <w:rsid w:val="00D449F0"/>
    <w:rsid w:val="00D44A75"/>
    <w:rsid w:val="00D50C8C"/>
    <w:rsid w:val="00D51AC9"/>
    <w:rsid w:val="00D52393"/>
    <w:rsid w:val="00D523E4"/>
    <w:rsid w:val="00D5279D"/>
    <w:rsid w:val="00D52A1B"/>
    <w:rsid w:val="00D52FCC"/>
    <w:rsid w:val="00D53F14"/>
    <w:rsid w:val="00D54BE4"/>
    <w:rsid w:val="00D560DC"/>
    <w:rsid w:val="00D60483"/>
    <w:rsid w:val="00D61ABB"/>
    <w:rsid w:val="00D63577"/>
    <w:rsid w:val="00D67FD7"/>
    <w:rsid w:val="00D74261"/>
    <w:rsid w:val="00D7441B"/>
    <w:rsid w:val="00D76AB2"/>
    <w:rsid w:val="00D80490"/>
    <w:rsid w:val="00D829AD"/>
    <w:rsid w:val="00D82EE2"/>
    <w:rsid w:val="00D8545C"/>
    <w:rsid w:val="00D87788"/>
    <w:rsid w:val="00D877C8"/>
    <w:rsid w:val="00D90B9A"/>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D286D"/>
    <w:rsid w:val="00DD2CAF"/>
    <w:rsid w:val="00DD2E69"/>
    <w:rsid w:val="00DD3593"/>
    <w:rsid w:val="00DD469B"/>
    <w:rsid w:val="00DD64E0"/>
    <w:rsid w:val="00DE0C67"/>
    <w:rsid w:val="00DE6952"/>
    <w:rsid w:val="00DE7E74"/>
    <w:rsid w:val="00DF071B"/>
    <w:rsid w:val="00DF6EF8"/>
    <w:rsid w:val="00DF7EFC"/>
    <w:rsid w:val="00E00A69"/>
    <w:rsid w:val="00E0150A"/>
    <w:rsid w:val="00E017F0"/>
    <w:rsid w:val="00E01A0E"/>
    <w:rsid w:val="00E041E4"/>
    <w:rsid w:val="00E1012B"/>
    <w:rsid w:val="00E101F4"/>
    <w:rsid w:val="00E103C8"/>
    <w:rsid w:val="00E1085B"/>
    <w:rsid w:val="00E1308B"/>
    <w:rsid w:val="00E14581"/>
    <w:rsid w:val="00E15539"/>
    <w:rsid w:val="00E16541"/>
    <w:rsid w:val="00E217FB"/>
    <w:rsid w:val="00E2536E"/>
    <w:rsid w:val="00E25B8A"/>
    <w:rsid w:val="00E2632B"/>
    <w:rsid w:val="00E322F7"/>
    <w:rsid w:val="00E3369B"/>
    <w:rsid w:val="00E34B65"/>
    <w:rsid w:val="00E36343"/>
    <w:rsid w:val="00E36D76"/>
    <w:rsid w:val="00E405EA"/>
    <w:rsid w:val="00E408B7"/>
    <w:rsid w:val="00E41637"/>
    <w:rsid w:val="00E42789"/>
    <w:rsid w:val="00E43F59"/>
    <w:rsid w:val="00E464F0"/>
    <w:rsid w:val="00E50BEB"/>
    <w:rsid w:val="00E548FA"/>
    <w:rsid w:val="00E57ED4"/>
    <w:rsid w:val="00E6092F"/>
    <w:rsid w:val="00E62049"/>
    <w:rsid w:val="00E629DA"/>
    <w:rsid w:val="00E6469F"/>
    <w:rsid w:val="00E670F8"/>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307"/>
    <w:rsid w:val="00EB3823"/>
    <w:rsid w:val="00EB4792"/>
    <w:rsid w:val="00EB47D8"/>
    <w:rsid w:val="00EB57D3"/>
    <w:rsid w:val="00EB5EFD"/>
    <w:rsid w:val="00EB679F"/>
    <w:rsid w:val="00EB76E4"/>
    <w:rsid w:val="00EB7A4E"/>
    <w:rsid w:val="00EC02C9"/>
    <w:rsid w:val="00EC0E65"/>
    <w:rsid w:val="00EC2938"/>
    <w:rsid w:val="00EC38EF"/>
    <w:rsid w:val="00EC50C9"/>
    <w:rsid w:val="00EC58B4"/>
    <w:rsid w:val="00EC5BB2"/>
    <w:rsid w:val="00ED12F0"/>
    <w:rsid w:val="00ED4773"/>
    <w:rsid w:val="00ED664B"/>
    <w:rsid w:val="00ED6A61"/>
    <w:rsid w:val="00EE03BB"/>
    <w:rsid w:val="00EE0B44"/>
    <w:rsid w:val="00EE249A"/>
    <w:rsid w:val="00EE6FE0"/>
    <w:rsid w:val="00EE704A"/>
    <w:rsid w:val="00EE7840"/>
    <w:rsid w:val="00EF4C74"/>
    <w:rsid w:val="00EF5268"/>
    <w:rsid w:val="00EF608E"/>
    <w:rsid w:val="00F0044B"/>
    <w:rsid w:val="00F04554"/>
    <w:rsid w:val="00F04957"/>
    <w:rsid w:val="00F05807"/>
    <w:rsid w:val="00F05894"/>
    <w:rsid w:val="00F07052"/>
    <w:rsid w:val="00F0706C"/>
    <w:rsid w:val="00F11EBE"/>
    <w:rsid w:val="00F12BA8"/>
    <w:rsid w:val="00F130D0"/>
    <w:rsid w:val="00F14933"/>
    <w:rsid w:val="00F1516A"/>
    <w:rsid w:val="00F17B04"/>
    <w:rsid w:val="00F22A26"/>
    <w:rsid w:val="00F23D55"/>
    <w:rsid w:val="00F24072"/>
    <w:rsid w:val="00F25B0F"/>
    <w:rsid w:val="00F26432"/>
    <w:rsid w:val="00F26B1C"/>
    <w:rsid w:val="00F3197A"/>
    <w:rsid w:val="00F32139"/>
    <w:rsid w:val="00F33D56"/>
    <w:rsid w:val="00F34E08"/>
    <w:rsid w:val="00F41D91"/>
    <w:rsid w:val="00F42363"/>
    <w:rsid w:val="00F46964"/>
    <w:rsid w:val="00F46F9A"/>
    <w:rsid w:val="00F470FD"/>
    <w:rsid w:val="00F50F30"/>
    <w:rsid w:val="00F5126A"/>
    <w:rsid w:val="00F5126E"/>
    <w:rsid w:val="00F644AD"/>
    <w:rsid w:val="00F6636A"/>
    <w:rsid w:val="00F667C5"/>
    <w:rsid w:val="00F67E31"/>
    <w:rsid w:val="00F718A8"/>
    <w:rsid w:val="00F72183"/>
    <w:rsid w:val="00F76D01"/>
    <w:rsid w:val="00F81C35"/>
    <w:rsid w:val="00F82981"/>
    <w:rsid w:val="00F8311F"/>
    <w:rsid w:val="00F83248"/>
    <w:rsid w:val="00F83376"/>
    <w:rsid w:val="00F853AE"/>
    <w:rsid w:val="00F85C3F"/>
    <w:rsid w:val="00F90BE9"/>
    <w:rsid w:val="00F90E6E"/>
    <w:rsid w:val="00F93C74"/>
    <w:rsid w:val="00F93DCC"/>
    <w:rsid w:val="00F9435D"/>
    <w:rsid w:val="00F94DB5"/>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D6D26"/>
    <w:rsid w:val="00FE6396"/>
    <w:rsid w:val="00FE6469"/>
    <w:rsid w:val="00FF0EFB"/>
    <w:rsid w:val="00FF0FF7"/>
    <w:rsid w:val="00FF10A2"/>
    <w:rsid w:val="00FF1438"/>
    <w:rsid w:val="00FF246C"/>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4717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2126928">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A8CC-DD75-49DB-A4C5-4DA9F6FB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2011-11-16T12:35:00Z</cp:lastPrinted>
  <dcterms:created xsi:type="dcterms:W3CDTF">2011-11-28T15:44:00Z</dcterms:created>
  <dcterms:modified xsi:type="dcterms:W3CDTF">2012-05-23T17:24:00Z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