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326EA" w:rsidRDefault="00540BEF" w:rsidP="00190E48">
      <w:pPr>
        <w:tabs>
          <w:tab w:val="left" w:pos="288"/>
          <w:tab w:val="left" w:pos="4752"/>
        </w:tabs>
        <w:spacing w:line="240" w:lineRule="exact"/>
        <w:jc w:val="center"/>
        <w:rPr>
          <w:rFonts w:asciiTheme="minorHAnsi" w:hAnsiTheme="minorHAnsi"/>
          <w:color w:val="auto"/>
        </w:rPr>
      </w:pPr>
      <w:r w:rsidRPr="00F326EA">
        <w:rPr>
          <w:rFonts w:asciiTheme="minorHAnsi" w:hAnsiTheme="minorHAnsi"/>
          <w:color w:val="auto"/>
        </w:rPr>
        <w:t>RECORD OF PROCEEDINGS</w:t>
      </w:r>
    </w:p>
    <w:p w:rsidR="00540BEF" w:rsidRPr="00F326EA" w:rsidRDefault="00540BEF" w:rsidP="00190E48">
      <w:pPr>
        <w:tabs>
          <w:tab w:val="left" w:pos="288"/>
          <w:tab w:val="left" w:pos="4752"/>
        </w:tabs>
        <w:spacing w:line="240" w:lineRule="exact"/>
        <w:jc w:val="center"/>
        <w:rPr>
          <w:rFonts w:asciiTheme="minorHAnsi" w:hAnsiTheme="minorHAnsi"/>
          <w:color w:val="auto"/>
        </w:rPr>
      </w:pPr>
      <w:r w:rsidRPr="00F326EA">
        <w:rPr>
          <w:rFonts w:asciiTheme="minorHAnsi" w:hAnsiTheme="minorHAnsi"/>
          <w:color w:val="auto"/>
        </w:rPr>
        <w:t>PHYSICAL DISABILITY BOARD OF REVIEW</w:t>
      </w:r>
    </w:p>
    <w:p w:rsidR="00540BEF" w:rsidRPr="00F326EA" w:rsidRDefault="00540BEF" w:rsidP="00190E48">
      <w:pPr>
        <w:tabs>
          <w:tab w:val="left" w:pos="288"/>
          <w:tab w:val="left" w:pos="4752"/>
        </w:tabs>
        <w:spacing w:line="240" w:lineRule="exact"/>
        <w:jc w:val="both"/>
        <w:rPr>
          <w:rFonts w:asciiTheme="minorHAnsi" w:hAnsiTheme="minorHAnsi"/>
          <w:caps/>
          <w:color w:val="auto"/>
        </w:rPr>
      </w:pPr>
    </w:p>
    <w:p w:rsidR="00540BEF" w:rsidRPr="00F326EA" w:rsidRDefault="00540BEF" w:rsidP="00190E48">
      <w:pPr>
        <w:tabs>
          <w:tab w:val="left" w:pos="288"/>
          <w:tab w:val="left" w:pos="4752"/>
        </w:tabs>
        <w:spacing w:line="240" w:lineRule="exact"/>
        <w:ind w:right="-1260"/>
        <w:jc w:val="both"/>
        <w:rPr>
          <w:rFonts w:asciiTheme="minorHAnsi" w:hAnsiTheme="minorHAnsi"/>
          <w:caps/>
          <w:color w:val="auto"/>
        </w:rPr>
      </w:pPr>
      <w:r w:rsidRPr="00F326EA">
        <w:rPr>
          <w:rFonts w:asciiTheme="minorHAnsi" w:hAnsiTheme="minorHAnsi"/>
          <w:caps/>
          <w:color w:val="auto"/>
        </w:rPr>
        <w:t>NAME:</w:t>
      </w:r>
      <w:r w:rsidR="00326C08" w:rsidRPr="00F326EA">
        <w:rPr>
          <w:rFonts w:asciiTheme="minorHAnsi" w:hAnsiTheme="minorHAnsi"/>
          <w:caps/>
          <w:color w:val="auto"/>
        </w:rPr>
        <w:t xml:space="preserve"> </w:t>
      </w:r>
      <w:r w:rsidR="002205FA">
        <w:rPr>
          <w:rFonts w:asciiTheme="minorHAnsi" w:hAnsiTheme="minorHAnsi"/>
          <w:caps/>
          <w:color w:val="auto"/>
        </w:rPr>
        <w:t xml:space="preserve"> </w:t>
      </w:r>
      <w:r w:rsidR="0026699E">
        <w:rPr>
          <w:rFonts w:asciiTheme="minorHAnsi" w:hAnsiTheme="minorHAnsi"/>
          <w:caps/>
          <w:color w:val="auto"/>
        </w:rPr>
        <w:t>XXXXXX</w:t>
      </w:r>
      <w:r w:rsidRPr="00F326EA">
        <w:rPr>
          <w:rFonts w:asciiTheme="minorHAnsi" w:hAnsiTheme="minorHAnsi"/>
          <w:caps/>
          <w:color w:val="auto"/>
        </w:rPr>
        <w:tab/>
      </w:r>
      <w:r w:rsidRPr="00F326EA">
        <w:rPr>
          <w:rFonts w:asciiTheme="minorHAnsi" w:hAnsiTheme="minorHAnsi"/>
          <w:caps/>
          <w:color w:val="auto"/>
        </w:rPr>
        <w:tab/>
      </w:r>
      <w:r w:rsidR="00B427BB" w:rsidRPr="00F326EA">
        <w:rPr>
          <w:rFonts w:asciiTheme="minorHAnsi" w:hAnsiTheme="minorHAnsi"/>
          <w:caps/>
          <w:color w:val="auto"/>
        </w:rPr>
        <w:tab/>
      </w:r>
      <w:r w:rsidRPr="00F326EA">
        <w:rPr>
          <w:rFonts w:asciiTheme="minorHAnsi" w:hAnsiTheme="minorHAnsi"/>
          <w:caps/>
          <w:color w:val="auto"/>
        </w:rPr>
        <w:t xml:space="preserve">BRANCH OF SERVICE: </w:t>
      </w:r>
      <w:r w:rsidR="002205FA">
        <w:rPr>
          <w:rFonts w:asciiTheme="minorHAnsi" w:hAnsiTheme="minorHAnsi"/>
          <w:caps/>
          <w:color w:val="auto"/>
        </w:rPr>
        <w:t xml:space="preserve"> </w:t>
      </w:r>
      <w:r w:rsidR="00D00981" w:rsidRPr="00F326EA">
        <w:rPr>
          <w:rFonts w:asciiTheme="minorHAnsi" w:hAnsiTheme="minorHAnsi"/>
          <w:caps/>
          <w:color w:val="auto"/>
        </w:rPr>
        <w:t>marine corps</w:t>
      </w:r>
      <w:r w:rsidR="003A27B2" w:rsidRPr="00F326EA">
        <w:rPr>
          <w:rFonts w:asciiTheme="minorHAnsi" w:hAnsiTheme="minorHAnsi"/>
          <w:caps/>
          <w:color w:val="auto"/>
        </w:rPr>
        <w:t xml:space="preserve"> </w:t>
      </w:r>
    </w:p>
    <w:p w:rsidR="00540BEF" w:rsidRPr="00274226" w:rsidRDefault="00396779" w:rsidP="00190E48">
      <w:pPr>
        <w:tabs>
          <w:tab w:val="left" w:pos="288"/>
          <w:tab w:val="left" w:pos="4752"/>
        </w:tabs>
        <w:spacing w:line="240" w:lineRule="exact"/>
        <w:ind w:right="-900"/>
        <w:jc w:val="both"/>
        <w:rPr>
          <w:rFonts w:asciiTheme="minorHAnsi" w:hAnsiTheme="minorHAnsi"/>
          <w:caps/>
          <w:color w:val="auto"/>
        </w:rPr>
      </w:pPr>
      <w:r w:rsidRPr="00F326EA">
        <w:rPr>
          <w:rFonts w:asciiTheme="minorHAnsi" w:hAnsiTheme="minorHAnsi"/>
          <w:caps/>
          <w:color w:val="auto"/>
        </w:rPr>
        <w:t xml:space="preserve">CASE NUMBER: </w:t>
      </w:r>
      <w:r w:rsidR="002205FA">
        <w:rPr>
          <w:rFonts w:asciiTheme="minorHAnsi" w:hAnsiTheme="minorHAnsi"/>
          <w:caps/>
          <w:color w:val="auto"/>
        </w:rPr>
        <w:t xml:space="preserve"> </w:t>
      </w:r>
      <w:r w:rsidR="00540BEF" w:rsidRPr="00F326EA">
        <w:rPr>
          <w:rFonts w:asciiTheme="minorHAnsi" w:hAnsiTheme="minorHAnsi"/>
          <w:caps/>
          <w:color w:val="auto"/>
        </w:rPr>
        <w:t>PD</w:t>
      </w:r>
      <w:r w:rsidR="00D00981" w:rsidRPr="00F326EA">
        <w:rPr>
          <w:rFonts w:asciiTheme="minorHAnsi" w:hAnsiTheme="minorHAnsi"/>
          <w:caps/>
          <w:color w:val="auto"/>
        </w:rPr>
        <w:t>10</w:t>
      </w:r>
      <w:r w:rsidR="00540BEF" w:rsidRPr="00F326EA">
        <w:rPr>
          <w:rFonts w:asciiTheme="minorHAnsi" w:hAnsiTheme="minorHAnsi"/>
          <w:caps/>
          <w:color w:val="auto"/>
        </w:rPr>
        <w:t>00</w:t>
      </w:r>
      <w:r w:rsidR="00AC0A2D" w:rsidRPr="00F326EA">
        <w:rPr>
          <w:rFonts w:asciiTheme="minorHAnsi" w:hAnsiTheme="minorHAnsi"/>
          <w:caps/>
          <w:color w:val="auto"/>
        </w:rPr>
        <w:t>626</w:t>
      </w:r>
      <w:r w:rsidR="00540BEF" w:rsidRPr="00F326EA">
        <w:rPr>
          <w:rFonts w:asciiTheme="minorHAnsi" w:hAnsiTheme="minorHAnsi"/>
          <w:caps/>
          <w:color w:val="auto"/>
        </w:rPr>
        <w:tab/>
      </w:r>
      <w:r w:rsidR="00540BEF" w:rsidRPr="00F326EA">
        <w:rPr>
          <w:rFonts w:asciiTheme="minorHAnsi" w:hAnsiTheme="minorHAnsi"/>
          <w:caps/>
          <w:color w:val="auto"/>
        </w:rPr>
        <w:tab/>
      </w:r>
      <w:r w:rsidR="00B427BB" w:rsidRPr="00F326EA">
        <w:rPr>
          <w:rFonts w:asciiTheme="minorHAnsi" w:hAnsiTheme="minorHAnsi"/>
          <w:caps/>
          <w:color w:val="auto"/>
        </w:rPr>
        <w:tab/>
      </w:r>
      <w:r w:rsidR="00C22F3A" w:rsidRPr="00274226">
        <w:rPr>
          <w:rFonts w:asciiTheme="minorHAnsi" w:hAnsiTheme="minorHAnsi"/>
          <w:caps/>
          <w:color w:val="auto"/>
        </w:rPr>
        <w:t xml:space="preserve">SEPARATION DATE: </w:t>
      </w:r>
      <w:r w:rsidR="002205FA">
        <w:rPr>
          <w:rFonts w:asciiTheme="minorHAnsi" w:hAnsiTheme="minorHAnsi"/>
          <w:caps/>
          <w:color w:val="auto"/>
        </w:rPr>
        <w:t xml:space="preserve"> </w:t>
      </w:r>
      <w:r w:rsidR="00C22F3A" w:rsidRPr="00274226">
        <w:rPr>
          <w:rFonts w:asciiTheme="minorHAnsi" w:hAnsiTheme="minorHAnsi"/>
          <w:caps/>
          <w:color w:val="auto"/>
        </w:rPr>
        <w:t>200</w:t>
      </w:r>
      <w:r w:rsidR="00AC0A2D" w:rsidRPr="00274226">
        <w:rPr>
          <w:rFonts w:asciiTheme="minorHAnsi" w:hAnsiTheme="minorHAnsi"/>
          <w:caps/>
          <w:color w:val="auto"/>
        </w:rPr>
        <w:t>21011</w:t>
      </w:r>
    </w:p>
    <w:p w:rsidR="00AF1327" w:rsidRPr="00274226" w:rsidRDefault="00540BEF" w:rsidP="00190E48">
      <w:pPr>
        <w:tabs>
          <w:tab w:val="left" w:pos="288"/>
          <w:tab w:val="left" w:pos="4752"/>
        </w:tabs>
        <w:spacing w:line="240" w:lineRule="exact"/>
        <w:jc w:val="both"/>
        <w:rPr>
          <w:rFonts w:asciiTheme="minorHAnsi" w:hAnsiTheme="minorHAnsi"/>
          <w:caps/>
          <w:color w:val="auto"/>
        </w:rPr>
      </w:pPr>
      <w:r w:rsidRPr="00274226">
        <w:rPr>
          <w:rFonts w:asciiTheme="minorHAnsi" w:hAnsiTheme="minorHAnsi"/>
          <w:caps/>
          <w:color w:val="auto"/>
        </w:rPr>
        <w:t xml:space="preserve">BOARD DATE: </w:t>
      </w:r>
      <w:r w:rsidR="002205FA">
        <w:rPr>
          <w:rFonts w:asciiTheme="minorHAnsi" w:hAnsiTheme="minorHAnsi"/>
          <w:caps/>
          <w:color w:val="auto"/>
        </w:rPr>
        <w:t xml:space="preserve"> </w:t>
      </w:r>
      <w:r w:rsidR="00327CE6" w:rsidRPr="00274226">
        <w:rPr>
          <w:rFonts w:asciiTheme="minorHAnsi" w:hAnsiTheme="minorHAnsi"/>
          <w:caps/>
          <w:color w:val="auto"/>
        </w:rPr>
        <w:t>2011</w:t>
      </w:r>
      <w:r w:rsidR="00B23519">
        <w:rPr>
          <w:rFonts w:asciiTheme="minorHAnsi" w:hAnsiTheme="minorHAnsi"/>
          <w:caps/>
          <w:color w:val="auto"/>
        </w:rPr>
        <w:t xml:space="preserve">0610 </w:t>
      </w:r>
      <w:r w:rsidRPr="00274226">
        <w:rPr>
          <w:rFonts w:asciiTheme="minorHAnsi" w:hAnsiTheme="minorHAnsi"/>
          <w:caps/>
          <w:color w:val="auto"/>
        </w:rPr>
        <w:tab/>
      </w:r>
      <w:r w:rsidRPr="00274226">
        <w:rPr>
          <w:rFonts w:asciiTheme="minorHAnsi" w:hAnsiTheme="minorHAnsi"/>
          <w:caps/>
          <w:color w:val="auto"/>
        </w:rPr>
        <w:tab/>
      </w:r>
      <w:r w:rsidR="00B427BB" w:rsidRPr="00274226">
        <w:rPr>
          <w:rFonts w:asciiTheme="minorHAnsi" w:hAnsiTheme="minorHAnsi"/>
          <w:caps/>
          <w:color w:val="auto"/>
        </w:rPr>
        <w:tab/>
      </w:r>
    </w:p>
    <w:p w:rsidR="00B427BB" w:rsidRPr="00F326EA" w:rsidRDefault="00B427BB" w:rsidP="000B5629">
      <w:pPr>
        <w:pStyle w:val="Footer"/>
        <w:rPr>
          <w:color w:val="auto"/>
        </w:rPr>
      </w:pPr>
      <w:r w:rsidRPr="00274226">
        <w:rPr>
          <w:rFonts w:asciiTheme="minorHAnsi" w:hAnsiTheme="minorHAnsi"/>
          <w:color w:val="auto"/>
        </w:rPr>
        <w:t>______________________________________________________________________________</w:t>
      </w:r>
    </w:p>
    <w:p w:rsidR="00B522CD" w:rsidRPr="00F326EA" w:rsidRDefault="00B522CD" w:rsidP="00AF1668">
      <w:pPr>
        <w:tabs>
          <w:tab w:val="left" w:pos="288"/>
          <w:tab w:val="left" w:pos="4752"/>
        </w:tabs>
        <w:spacing w:line="240" w:lineRule="exact"/>
        <w:rPr>
          <w:rFonts w:asciiTheme="minorHAnsi" w:hAnsiTheme="minorHAnsi"/>
          <w:color w:val="auto"/>
        </w:rPr>
      </w:pPr>
    </w:p>
    <w:p w:rsidR="00B20624" w:rsidRPr="00326C08" w:rsidRDefault="002C6E5B" w:rsidP="00DD64E0">
      <w:pPr>
        <w:tabs>
          <w:tab w:val="left" w:pos="288"/>
          <w:tab w:val="left" w:pos="4752"/>
        </w:tabs>
        <w:spacing w:line="240" w:lineRule="exact"/>
        <w:jc w:val="both"/>
        <w:rPr>
          <w:rFonts w:asciiTheme="minorHAnsi" w:hAnsiTheme="minorHAnsi"/>
          <w:color w:val="auto"/>
          <w:szCs w:val="24"/>
        </w:rPr>
      </w:pPr>
      <w:r w:rsidRPr="00F326EA">
        <w:rPr>
          <w:rFonts w:asciiTheme="minorHAnsi" w:hAnsiTheme="minorHAnsi"/>
          <w:color w:val="auto"/>
          <w:u w:val="single"/>
        </w:rPr>
        <w:t>SUMMARY OF CASE</w:t>
      </w:r>
      <w:r w:rsidRPr="00F326EA">
        <w:rPr>
          <w:rFonts w:asciiTheme="minorHAnsi" w:hAnsiTheme="minorHAnsi"/>
          <w:color w:val="auto"/>
        </w:rPr>
        <w:t xml:space="preserve">:  </w:t>
      </w:r>
      <w:r w:rsidR="00327CE6" w:rsidRPr="00EC337D">
        <w:rPr>
          <w:rFonts w:asciiTheme="minorHAnsi" w:hAnsiTheme="minorHAnsi"/>
          <w:color w:val="auto"/>
        </w:rPr>
        <w:t>Data extracted from the available evidence of record reflects that this</w:t>
      </w:r>
      <w:r w:rsidRPr="00F326EA">
        <w:rPr>
          <w:rFonts w:asciiTheme="minorHAnsi" w:hAnsiTheme="minorHAnsi"/>
          <w:color w:val="auto"/>
          <w:szCs w:val="24"/>
        </w:rPr>
        <w:t xml:space="preserve"> covered individual (CI) was </w:t>
      </w:r>
      <w:r w:rsidR="00E322F7" w:rsidRPr="00F326EA">
        <w:rPr>
          <w:rFonts w:asciiTheme="minorHAnsi" w:hAnsiTheme="minorHAnsi"/>
          <w:color w:val="auto"/>
          <w:szCs w:val="24"/>
        </w:rPr>
        <w:t>an active duty</w:t>
      </w:r>
      <w:r w:rsidR="006D4E0E" w:rsidRPr="00F326EA">
        <w:rPr>
          <w:rFonts w:asciiTheme="minorHAnsi" w:hAnsiTheme="minorHAnsi"/>
          <w:color w:val="auto"/>
          <w:szCs w:val="24"/>
        </w:rPr>
        <w:t xml:space="preserve"> </w:t>
      </w:r>
      <w:r w:rsidR="00AC0A2D" w:rsidRPr="00F326EA">
        <w:rPr>
          <w:rFonts w:asciiTheme="minorHAnsi" w:hAnsiTheme="minorHAnsi"/>
          <w:color w:val="auto"/>
          <w:szCs w:val="24"/>
        </w:rPr>
        <w:t xml:space="preserve">Lance Corporal </w:t>
      </w:r>
      <w:r w:rsidR="00705C40" w:rsidRPr="00F326EA">
        <w:rPr>
          <w:rFonts w:asciiTheme="minorHAnsi" w:hAnsiTheme="minorHAnsi"/>
          <w:color w:val="auto"/>
          <w:szCs w:val="24"/>
        </w:rPr>
        <w:t>(</w:t>
      </w:r>
      <w:r w:rsidR="00AC0A2D" w:rsidRPr="00F326EA">
        <w:rPr>
          <w:rFonts w:asciiTheme="minorHAnsi" w:hAnsiTheme="minorHAnsi"/>
          <w:color w:val="auto"/>
          <w:szCs w:val="24"/>
        </w:rPr>
        <w:t>0311</w:t>
      </w:r>
      <w:r w:rsidR="00E322F7" w:rsidRPr="00F326EA">
        <w:rPr>
          <w:rFonts w:asciiTheme="minorHAnsi" w:hAnsiTheme="minorHAnsi"/>
          <w:color w:val="auto"/>
          <w:szCs w:val="24"/>
        </w:rPr>
        <w:t>,</w:t>
      </w:r>
      <w:r w:rsidR="00AC0A2D" w:rsidRPr="00F326EA">
        <w:rPr>
          <w:rFonts w:asciiTheme="minorHAnsi" w:hAnsiTheme="minorHAnsi"/>
          <w:color w:val="auto"/>
          <w:szCs w:val="24"/>
        </w:rPr>
        <w:t xml:space="preserve"> Infantryman</w:t>
      </w:r>
      <w:r w:rsidR="00E322F7" w:rsidRPr="00F326EA">
        <w:rPr>
          <w:rFonts w:asciiTheme="minorHAnsi" w:hAnsiTheme="minorHAnsi"/>
          <w:color w:val="auto"/>
          <w:szCs w:val="24"/>
        </w:rPr>
        <w:t xml:space="preserve">) </w:t>
      </w:r>
      <w:r w:rsidRPr="00F326EA">
        <w:rPr>
          <w:rFonts w:asciiTheme="minorHAnsi" w:hAnsiTheme="minorHAnsi"/>
          <w:color w:val="auto"/>
          <w:szCs w:val="24"/>
        </w:rPr>
        <w:t xml:space="preserve">medically separated from the </w:t>
      </w:r>
      <w:r w:rsidR="00AC0A2D" w:rsidRPr="00F326EA">
        <w:rPr>
          <w:rFonts w:asciiTheme="minorHAnsi" w:hAnsiTheme="minorHAnsi"/>
          <w:color w:val="auto"/>
          <w:szCs w:val="24"/>
        </w:rPr>
        <w:t>Marine Corps</w:t>
      </w:r>
      <w:r w:rsidRPr="00F326EA">
        <w:rPr>
          <w:rFonts w:asciiTheme="minorHAnsi" w:hAnsiTheme="minorHAnsi"/>
          <w:color w:val="auto"/>
          <w:szCs w:val="24"/>
        </w:rPr>
        <w:t xml:space="preserve"> in 200</w:t>
      </w:r>
      <w:r w:rsidR="00AC0A2D" w:rsidRPr="00F326EA">
        <w:rPr>
          <w:rFonts w:asciiTheme="minorHAnsi" w:hAnsiTheme="minorHAnsi"/>
          <w:color w:val="auto"/>
          <w:szCs w:val="24"/>
        </w:rPr>
        <w:t>2</w:t>
      </w:r>
      <w:r w:rsidRPr="00F326EA">
        <w:rPr>
          <w:rFonts w:asciiTheme="minorHAnsi" w:hAnsiTheme="minorHAnsi"/>
          <w:color w:val="auto"/>
          <w:szCs w:val="24"/>
        </w:rPr>
        <w:t xml:space="preserve">.  </w:t>
      </w:r>
      <w:r w:rsidRPr="00B23519">
        <w:rPr>
          <w:rFonts w:asciiTheme="minorHAnsi" w:hAnsiTheme="minorHAnsi"/>
          <w:color w:val="auto"/>
          <w:szCs w:val="24"/>
        </w:rPr>
        <w:t xml:space="preserve">The medical basis for the separation was </w:t>
      </w:r>
      <w:r w:rsidR="00274226" w:rsidRPr="00B23519">
        <w:rPr>
          <w:rFonts w:asciiTheme="minorHAnsi" w:hAnsiTheme="minorHAnsi"/>
          <w:color w:val="auto"/>
          <w:szCs w:val="24"/>
        </w:rPr>
        <w:t>o</w:t>
      </w:r>
      <w:r w:rsidR="00AC0A2D" w:rsidRPr="00B23519">
        <w:rPr>
          <w:rFonts w:asciiTheme="minorHAnsi" w:hAnsiTheme="minorHAnsi"/>
          <w:color w:val="auto"/>
          <w:szCs w:val="24"/>
        </w:rPr>
        <w:t xml:space="preserve">steochondral </w:t>
      </w:r>
      <w:r w:rsidR="00274226" w:rsidRPr="00B23519">
        <w:rPr>
          <w:rFonts w:asciiTheme="minorHAnsi" w:hAnsiTheme="minorHAnsi"/>
          <w:color w:val="auto"/>
          <w:szCs w:val="24"/>
        </w:rPr>
        <w:t>d</w:t>
      </w:r>
      <w:r w:rsidR="00AC0A2D" w:rsidRPr="00B23519">
        <w:rPr>
          <w:rFonts w:asciiTheme="minorHAnsi" w:hAnsiTheme="minorHAnsi"/>
          <w:color w:val="auto"/>
          <w:szCs w:val="24"/>
        </w:rPr>
        <w:t xml:space="preserve">efect of the </w:t>
      </w:r>
      <w:r w:rsidR="00274226" w:rsidRPr="00B23519">
        <w:rPr>
          <w:rFonts w:asciiTheme="minorHAnsi" w:hAnsiTheme="minorHAnsi"/>
          <w:color w:val="auto"/>
          <w:szCs w:val="24"/>
        </w:rPr>
        <w:t>l</w:t>
      </w:r>
      <w:r w:rsidR="00AC0A2D" w:rsidRPr="00B23519">
        <w:rPr>
          <w:rFonts w:asciiTheme="minorHAnsi" w:hAnsiTheme="minorHAnsi"/>
          <w:color w:val="auto"/>
          <w:szCs w:val="24"/>
        </w:rPr>
        <w:t xml:space="preserve">ateral </w:t>
      </w:r>
      <w:r w:rsidR="00274226" w:rsidRPr="00B23519">
        <w:rPr>
          <w:rFonts w:asciiTheme="minorHAnsi" w:hAnsiTheme="minorHAnsi"/>
          <w:color w:val="auto"/>
          <w:szCs w:val="24"/>
        </w:rPr>
        <w:t>t</w:t>
      </w:r>
      <w:r w:rsidR="00AC0A2D" w:rsidRPr="00B23519">
        <w:rPr>
          <w:rFonts w:asciiTheme="minorHAnsi" w:hAnsiTheme="minorHAnsi"/>
          <w:color w:val="auto"/>
          <w:szCs w:val="24"/>
        </w:rPr>
        <w:t xml:space="preserve">alar </w:t>
      </w:r>
      <w:r w:rsidR="00274226" w:rsidRPr="00B23519">
        <w:rPr>
          <w:rFonts w:asciiTheme="minorHAnsi" w:hAnsiTheme="minorHAnsi"/>
          <w:color w:val="auto"/>
          <w:szCs w:val="24"/>
        </w:rPr>
        <w:t>d</w:t>
      </w:r>
      <w:r w:rsidR="00AC0A2D" w:rsidRPr="00B23519">
        <w:rPr>
          <w:rFonts w:asciiTheme="minorHAnsi" w:hAnsiTheme="minorHAnsi"/>
          <w:color w:val="auto"/>
          <w:szCs w:val="24"/>
        </w:rPr>
        <w:t>ome.</w:t>
      </w:r>
      <w:r w:rsidR="00A74A23" w:rsidRPr="00B23519">
        <w:rPr>
          <w:rFonts w:asciiTheme="minorHAnsi" w:hAnsiTheme="minorHAnsi"/>
          <w:color w:val="auto"/>
          <w:szCs w:val="24"/>
        </w:rPr>
        <w:t xml:space="preserve">  The CI injured his left ankle after jumping from a ledge on </w:t>
      </w:r>
      <w:r w:rsidR="002205FA">
        <w:rPr>
          <w:rFonts w:asciiTheme="minorHAnsi" w:hAnsiTheme="minorHAnsi"/>
          <w:color w:val="auto"/>
          <w:szCs w:val="24"/>
        </w:rPr>
        <w:t xml:space="preserve">8 August </w:t>
      </w:r>
      <w:r w:rsidR="00A74A23" w:rsidRPr="00B23519">
        <w:rPr>
          <w:rFonts w:asciiTheme="minorHAnsi" w:hAnsiTheme="minorHAnsi"/>
          <w:color w:val="auto"/>
          <w:szCs w:val="24"/>
        </w:rPr>
        <w:t xml:space="preserve">1999.  He was treated conservatively and placed on eight months of limited duty (LIMDU).  </w:t>
      </w:r>
      <w:r w:rsidR="00274226" w:rsidRPr="00B23519">
        <w:rPr>
          <w:rFonts w:asciiTheme="minorHAnsi" w:hAnsiTheme="minorHAnsi"/>
          <w:color w:val="auto"/>
          <w:szCs w:val="24"/>
        </w:rPr>
        <w:t>H</w:t>
      </w:r>
      <w:r w:rsidR="00A74A23" w:rsidRPr="00B23519">
        <w:rPr>
          <w:rFonts w:asciiTheme="minorHAnsi" w:hAnsiTheme="minorHAnsi"/>
          <w:color w:val="auto"/>
          <w:szCs w:val="24"/>
        </w:rPr>
        <w:t xml:space="preserve">is pain persisted and he underwent surgical repair of a chondral defect of the left lateral talar dome.  </w:t>
      </w:r>
      <w:r w:rsidR="00FB677E" w:rsidRPr="00B23519">
        <w:rPr>
          <w:rFonts w:asciiTheme="minorHAnsi" w:hAnsiTheme="minorHAnsi"/>
          <w:color w:val="auto"/>
          <w:szCs w:val="24"/>
        </w:rPr>
        <w:t xml:space="preserve">He was placed on another LIMDU and continued rehabilitation.  He </w:t>
      </w:r>
      <w:r w:rsidR="00E322F7" w:rsidRPr="00B23519">
        <w:rPr>
          <w:rFonts w:asciiTheme="minorHAnsi" w:hAnsiTheme="minorHAnsi"/>
          <w:color w:val="auto"/>
          <w:szCs w:val="24"/>
        </w:rPr>
        <w:t xml:space="preserve">did not respond adequately to perform within his </w:t>
      </w:r>
      <w:r w:rsidR="00705C40" w:rsidRPr="00B23519">
        <w:rPr>
          <w:rFonts w:asciiTheme="minorHAnsi" w:hAnsiTheme="minorHAnsi"/>
          <w:color w:val="auto"/>
          <w:szCs w:val="24"/>
        </w:rPr>
        <w:t xml:space="preserve">military occupational </w:t>
      </w:r>
      <w:r w:rsidR="003A40B4" w:rsidRPr="00B23519">
        <w:rPr>
          <w:rFonts w:asciiTheme="minorHAnsi" w:hAnsiTheme="minorHAnsi"/>
          <w:color w:val="auto"/>
          <w:szCs w:val="24"/>
        </w:rPr>
        <w:t xml:space="preserve">specialty </w:t>
      </w:r>
      <w:r w:rsidR="00B86EDF" w:rsidRPr="00B23519">
        <w:rPr>
          <w:rFonts w:asciiTheme="minorHAnsi" w:hAnsiTheme="minorHAnsi"/>
          <w:color w:val="auto"/>
          <w:szCs w:val="24"/>
        </w:rPr>
        <w:t xml:space="preserve">(MOS) </w:t>
      </w:r>
      <w:r w:rsidR="00E322F7" w:rsidRPr="00B23519">
        <w:rPr>
          <w:rFonts w:asciiTheme="minorHAnsi" w:hAnsiTheme="minorHAnsi"/>
          <w:color w:val="auto"/>
          <w:szCs w:val="24"/>
        </w:rPr>
        <w:t xml:space="preserve">or </w:t>
      </w:r>
      <w:r w:rsidR="00274226" w:rsidRPr="00B23519">
        <w:rPr>
          <w:rFonts w:asciiTheme="minorHAnsi" w:hAnsiTheme="minorHAnsi"/>
          <w:color w:val="auto"/>
          <w:szCs w:val="24"/>
        </w:rPr>
        <w:t xml:space="preserve">to </w:t>
      </w:r>
      <w:r w:rsidR="00E322F7" w:rsidRPr="00B23519">
        <w:rPr>
          <w:rFonts w:asciiTheme="minorHAnsi" w:hAnsiTheme="minorHAnsi"/>
          <w:color w:val="auto"/>
          <w:szCs w:val="24"/>
        </w:rPr>
        <w:t xml:space="preserve">participate in </w:t>
      </w:r>
      <w:r w:rsidR="003A40B4" w:rsidRPr="00B23519">
        <w:rPr>
          <w:rFonts w:asciiTheme="minorHAnsi" w:hAnsiTheme="minorHAnsi"/>
          <w:color w:val="auto"/>
          <w:szCs w:val="24"/>
        </w:rPr>
        <w:t>a physical fitness test</w:t>
      </w:r>
      <w:r w:rsidR="00274226" w:rsidRPr="00B23519">
        <w:rPr>
          <w:rFonts w:asciiTheme="minorHAnsi" w:hAnsiTheme="minorHAnsi"/>
          <w:color w:val="auto"/>
          <w:szCs w:val="24"/>
        </w:rPr>
        <w:t>,</w:t>
      </w:r>
      <w:r w:rsidR="003A40B4" w:rsidRPr="00B23519">
        <w:rPr>
          <w:rFonts w:asciiTheme="minorHAnsi" w:hAnsiTheme="minorHAnsi"/>
          <w:color w:val="auto"/>
          <w:szCs w:val="24"/>
        </w:rPr>
        <w:t xml:space="preserve"> </w:t>
      </w:r>
      <w:r w:rsidR="00E322F7" w:rsidRPr="00B23519">
        <w:rPr>
          <w:rFonts w:asciiTheme="minorHAnsi" w:hAnsiTheme="minorHAnsi"/>
          <w:color w:val="auto"/>
          <w:szCs w:val="24"/>
        </w:rPr>
        <w:t>and underwent a</w:t>
      </w:r>
      <w:r w:rsidR="00FB677E" w:rsidRPr="00B23519">
        <w:rPr>
          <w:rFonts w:asciiTheme="minorHAnsi" w:hAnsiTheme="minorHAnsi"/>
          <w:color w:val="auto"/>
          <w:szCs w:val="24"/>
        </w:rPr>
        <w:t>nother</w:t>
      </w:r>
      <w:r w:rsidR="00E322F7" w:rsidRPr="00B23519">
        <w:rPr>
          <w:rFonts w:asciiTheme="minorHAnsi" w:hAnsiTheme="minorHAnsi"/>
          <w:color w:val="auto"/>
          <w:szCs w:val="24"/>
        </w:rPr>
        <w:t xml:space="preserve"> </w:t>
      </w:r>
      <w:r w:rsidR="00705C40" w:rsidRPr="00B23519">
        <w:rPr>
          <w:rFonts w:asciiTheme="minorHAnsi" w:hAnsiTheme="minorHAnsi"/>
          <w:color w:val="auto"/>
          <w:szCs w:val="24"/>
        </w:rPr>
        <w:t>Medical Evaluation Board (</w:t>
      </w:r>
      <w:r w:rsidR="00E322F7" w:rsidRPr="00B23519">
        <w:rPr>
          <w:rFonts w:asciiTheme="minorHAnsi" w:hAnsiTheme="minorHAnsi"/>
          <w:color w:val="auto"/>
          <w:szCs w:val="24"/>
        </w:rPr>
        <w:t>MEB</w:t>
      </w:r>
      <w:r w:rsidR="00705C40" w:rsidRPr="00B23519">
        <w:rPr>
          <w:rFonts w:asciiTheme="minorHAnsi" w:hAnsiTheme="minorHAnsi"/>
          <w:color w:val="auto"/>
          <w:szCs w:val="24"/>
        </w:rPr>
        <w:t>)</w:t>
      </w:r>
      <w:r w:rsidR="00FB677E" w:rsidRPr="00B23519">
        <w:rPr>
          <w:rFonts w:asciiTheme="minorHAnsi" w:hAnsiTheme="minorHAnsi"/>
          <w:color w:val="auto"/>
          <w:szCs w:val="24"/>
        </w:rPr>
        <w:t xml:space="preserve"> with referral to Physical Evaluation Board (PEB) which recommended separation.  The CI appealed</w:t>
      </w:r>
      <w:r w:rsidR="00274226" w:rsidRPr="00B23519">
        <w:rPr>
          <w:rFonts w:asciiTheme="minorHAnsi" w:hAnsiTheme="minorHAnsi"/>
          <w:color w:val="auto"/>
          <w:szCs w:val="24"/>
        </w:rPr>
        <w:t>,</w:t>
      </w:r>
      <w:r w:rsidR="00FB677E" w:rsidRPr="00B23519">
        <w:rPr>
          <w:rFonts w:asciiTheme="minorHAnsi" w:hAnsiTheme="minorHAnsi"/>
          <w:color w:val="auto"/>
          <w:szCs w:val="24"/>
        </w:rPr>
        <w:t xml:space="preserve"> and his separation was terminated to allow a second surgery on </w:t>
      </w:r>
      <w:r w:rsidR="002205FA">
        <w:rPr>
          <w:rFonts w:asciiTheme="minorHAnsi" w:hAnsiTheme="minorHAnsi"/>
          <w:color w:val="auto"/>
          <w:szCs w:val="24"/>
        </w:rPr>
        <w:t xml:space="preserve">8 August </w:t>
      </w:r>
      <w:r w:rsidR="00FB677E" w:rsidRPr="00B23519">
        <w:rPr>
          <w:rFonts w:asciiTheme="minorHAnsi" w:hAnsiTheme="minorHAnsi"/>
          <w:color w:val="auto"/>
          <w:szCs w:val="24"/>
        </w:rPr>
        <w:t>2001</w:t>
      </w:r>
      <w:r w:rsidR="002205FA">
        <w:rPr>
          <w:rFonts w:asciiTheme="minorHAnsi" w:hAnsiTheme="minorHAnsi"/>
          <w:color w:val="auto"/>
          <w:szCs w:val="24"/>
        </w:rPr>
        <w:t xml:space="preserve">.  </w:t>
      </w:r>
      <w:r w:rsidR="00274226" w:rsidRPr="00B23519">
        <w:rPr>
          <w:rFonts w:asciiTheme="minorHAnsi" w:hAnsiTheme="minorHAnsi"/>
          <w:color w:val="auto"/>
          <w:szCs w:val="24"/>
        </w:rPr>
        <w:t>H</w:t>
      </w:r>
      <w:r w:rsidR="00FB677E" w:rsidRPr="00B23519">
        <w:rPr>
          <w:rFonts w:asciiTheme="minorHAnsi" w:hAnsiTheme="minorHAnsi"/>
          <w:color w:val="auto"/>
          <w:szCs w:val="24"/>
        </w:rPr>
        <w:t xml:space="preserve">e remained unable to meet the requirements of his MOS.  </w:t>
      </w:r>
      <w:r w:rsidR="00806A72" w:rsidRPr="00B23519">
        <w:rPr>
          <w:rFonts w:asciiTheme="minorHAnsi" w:hAnsiTheme="minorHAnsi"/>
          <w:color w:val="auto"/>
          <w:szCs w:val="24"/>
        </w:rPr>
        <w:t xml:space="preserve">Osteochondral defect of the lateral talar dome, status post open ankle </w:t>
      </w:r>
      <w:proofErr w:type="spellStart"/>
      <w:r w:rsidR="00806A72" w:rsidRPr="00B23519">
        <w:rPr>
          <w:rFonts w:asciiTheme="minorHAnsi" w:hAnsiTheme="minorHAnsi"/>
          <w:color w:val="auto"/>
          <w:szCs w:val="24"/>
        </w:rPr>
        <w:t>arthrotomy</w:t>
      </w:r>
      <w:proofErr w:type="spellEnd"/>
      <w:r w:rsidR="00806A72" w:rsidRPr="00B23519">
        <w:rPr>
          <w:rFonts w:asciiTheme="minorHAnsi" w:hAnsiTheme="minorHAnsi"/>
          <w:color w:val="auto"/>
          <w:szCs w:val="24"/>
        </w:rPr>
        <w:t xml:space="preserve"> and debridement of the talar dome</w:t>
      </w:r>
      <w:r w:rsidR="002205FA">
        <w:rPr>
          <w:rFonts w:asciiTheme="minorHAnsi" w:hAnsiTheme="minorHAnsi"/>
          <w:color w:val="auto"/>
          <w:szCs w:val="24"/>
        </w:rPr>
        <w:t>,</w:t>
      </w:r>
      <w:r w:rsidR="00806A72" w:rsidRPr="00B23519">
        <w:rPr>
          <w:rFonts w:asciiTheme="minorHAnsi" w:hAnsiTheme="minorHAnsi"/>
          <w:color w:val="auto"/>
          <w:szCs w:val="24"/>
        </w:rPr>
        <w:t xml:space="preserve"> and </w:t>
      </w:r>
      <w:r w:rsidR="00274226" w:rsidRPr="00B23519">
        <w:rPr>
          <w:rFonts w:asciiTheme="minorHAnsi" w:hAnsiTheme="minorHAnsi"/>
          <w:color w:val="auto"/>
          <w:szCs w:val="24"/>
        </w:rPr>
        <w:t>status post</w:t>
      </w:r>
      <w:r w:rsidR="00806A72" w:rsidRPr="00B23519">
        <w:rPr>
          <w:rFonts w:asciiTheme="minorHAnsi" w:hAnsiTheme="minorHAnsi"/>
          <w:color w:val="auto"/>
          <w:szCs w:val="24"/>
        </w:rPr>
        <w:t xml:space="preserve"> arthroscopy for osteochondritits dessicans were determined to be medically unacceptable by the </w:t>
      </w:r>
      <w:r w:rsidR="00FB677E" w:rsidRPr="00B23519">
        <w:rPr>
          <w:rFonts w:asciiTheme="minorHAnsi" w:hAnsiTheme="minorHAnsi"/>
          <w:color w:val="auto"/>
          <w:szCs w:val="24"/>
        </w:rPr>
        <w:t xml:space="preserve">(fourth) </w:t>
      </w:r>
      <w:r w:rsidR="00806A72" w:rsidRPr="00B23519">
        <w:rPr>
          <w:rFonts w:asciiTheme="minorHAnsi" w:hAnsiTheme="minorHAnsi"/>
          <w:color w:val="auto"/>
          <w:szCs w:val="24"/>
        </w:rPr>
        <w:t>MEB</w:t>
      </w:r>
      <w:r w:rsidR="00B7590D">
        <w:rPr>
          <w:rFonts w:asciiTheme="minorHAnsi" w:hAnsiTheme="minorHAnsi"/>
          <w:color w:val="auto"/>
          <w:szCs w:val="24"/>
        </w:rPr>
        <w:t>,</w:t>
      </w:r>
      <w:r w:rsidR="00806A72" w:rsidRPr="00B23519">
        <w:rPr>
          <w:rFonts w:asciiTheme="minorHAnsi" w:hAnsiTheme="minorHAnsi"/>
          <w:color w:val="auto"/>
          <w:szCs w:val="24"/>
        </w:rPr>
        <w:t xml:space="preserve"> and </w:t>
      </w:r>
      <w:r w:rsidR="00274226" w:rsidRPr="00B23519">
        <w:rPr>
          <w:rFonts w:asciiTheme="minorHAnsi" w:hAnsiTheme="minorHAnsi"/>
          <w:color w:val="auto"/>
          <w:szCs w:val="24"/>
        </w:rPr>
        <w:t xml:space="preserve">were </w:t>
      </w:r>
      <w:r w:rsidR="00806A72" w:rsidRPr="00B23519">
        <w:rPr>
          <w:rFonts w:asciiTheme="minorHAnsi" w:hAnsiTheme="minorHAnsi"/>
          <w:color w:val="auto"/>
          <w:szCs w:val="24"/>
        </w:rPr>
        <w:t xml:space="preserve">forwarded to the </w:t>
      </w:r>
      <w:r w:rsidR="00FB677E" w:rsidRPr="00B23519">
        <w:rPr>
          <w:rFonts w:asciiTheme="minorHAnsi" w:hAnsiTheme="minorHAnsi"/>
          <w:color w:val="auto"/>
          <w:szCs w:val="24"/>
        </w:rPr>
        <w:t>PEB</w:t>
      </w:r>
      <w:r w:rsidR="002205FA">
        <w:rPr>
          <w:rFonts w:asciiTheme="minorHAnsi" w:hAnsiTheme="minorHAnsi"/>
          <w:color w:val="auto"/>
          <w:szCs w:val="24"/>
        </w:rPr>
        <w:t>.</w:t>
      </w:r>
      <w:r w:rsidR="00806A72">
        <w:rPr>
          <w:rFonts w:asciiTheme="minorHAnsi" w:hAnsiTheme="minorHAnsi"/>
          <w:color w:val="auto"/>
          <w:szCs w:val="24"/>
        </w:rPr>
        <w:t xml:space="preserve">  The PEB adjudicated the </w:t>
      </w:r>
      <w:proofErr w:type="spellStart"/>
      <w:r w:rsidR="00274226">
        <w:rPr>
          <w:rFonts w:asciiTheme="minorHAnsi" w:hAnsiTheme="minorHAnsi"/>
          <w:color w:val="auto"/>
          <w:szCs w:val="24"/>
        </w:rPr>
        <w:t>o</w:t>
      </w:r>
      <w:r w:rsidR="00806A72" w:rsidRPr="00F326EA">
        <w:rPr>
          <w:rFonts w:asciiTheme="minorHAnsi" w:hAnsiTheme="minorHAnsi"/>
          <w:color w:val="auto"/>
          <w:szCs w:val="24"/>
        </w:rPr>
        <w:t>steochondral</w:t>
      </w:r>
      <w:proofErr w:type="spellEnd"/>
      <w:r w:rsidR="00806A72" w:rsidRPr="00F326EA">
        <w:rPr>
          <w:rFonts w:asciiTheme="minorHAnsi" w:hAnsiTheme="minorHAnsi"/>
          <w:color w:val="auto"/>
          <w:szCs w:val="24"/>
        </w:rPr>
        <w:t xml:space="preserve"> </w:t>
      </w:r>
      <w:r w:rsidR="00274226">
        <w:rPr>
          <w:rFonts w:asciiTheme="minorHAnsi" w:hAnsiTheme="minorHAnsi"/>
          <w:color w:val="auto"/>
          <w:szCs w:val="24"/>
        </w:rPr>
        <w:t>d</w:t>
      </w:r>
      <w:r w:rsidR="00806A72" w:rsidRPr="00F326EA">
        <w:rPr>
          <w:rFonts w:asciiTheme="minorHAnsi" w:hAnsiTheme="minorHAnsi"/>
          <w:color w:val="auto"/>
          <w:szCs w:val="24"/>
        </w:rPr>
        <w:t xml:space="preserve">efect of the </w:t>
      </w:r>
      <w:r w:rsidR="00274226">
        <w:rPr>
          <w:rFonts w:asciiTheme="minorHAnsi" w:hAnsiTheme="minorHAnsi"/>
          <w:color w:val="auto"/>
          <w:szCs w:val="24"/>
        </w:rPr>
        <w:t>l</w:t>
      </w:r>
      <w:r w:rsidR="00806A72" w:rsidRPr="00F326EA">
        <w:rPr>
          <w:rFonts w:asciiTheme="minorHAnsi" w:hAnsiTheme="minorHAnsi"/>
          <w:color w:val="auto"/>
          <w:szCs w:val="24"/>
        </w:rPr>
        <w:t xml:space="preserve">ateral </w:t>
      </w:r>
      <w:r w:rsidR="00274226">
        <w:rPr>
          <w:rFonts w:asciiTheme="minorHAnsi" w:hAnsiTheme="minorHAnsi"/>
          <w:color w:val="auto"/>
          <w:szCs w:val="24"/>
        </w:rPr>
        <w:t>t</w:t>
      </w:r>
      <w:r w:rsidR="00806A72" w:rsidRPr="00F326EA">
        <w:rPr>
          <w:rFonts w:asciiTheme="minorHAnsi" w:hAnsiTheme="minorHAnsi"/>
          <w:color w:val="auto"/>
          <w:szCs w:val="24"/>
        </w:rPr>
        <w:t xml:space="preserve">alar </w:t>
      </w:r>
      <w:r w:rsidR="00274226">
        <w:rPr>
          <w:rFonts w:asciiTheme="minorHAnsi" w:hAnsiTheme="minorHAnsi"/>
          <w:color w:val="auto"/>
          <w:szCs w:val="24"/>
        </w:rPr>
        <w:t>d</w:t>
      </w:r>
      <w:r w:rsidR="00806A72" w:rsidRPr="00F326EA">
        <w:rPr>
          <w:rFonts w:asciiTheme="minorHAnsi" w:hAnsiTheme="minorHAnsi"/>
          <w:color w:val="auto"/>
          <w:szCs w:val="24"/>
        </w:rPr>
        <w:t>ome</w:t>
      </w:r>
      <w:r w:rsidR="00806A72" w:rsidRPr="00806A72">
        <w:rPr>
          <w:rFonts w:asciiTheme="minorHAnsi" w:hAnsiTheme="minorHAnsi"/>
          <w:color w:val="auto"/>
          <w:szCs w:val="24"/>
        </w:rPr>
        <w:t xml:space="preserve"> </w:t>
      </w:r>
      <w:r w:rsidR="00806A72">
        <w:rPr>
          <w:rFonts w:asciiTheme="minorHAnsi" w:hAnsiTheme="minorHAnsi"/>
          <w:color w:val="auto"/>
          <w:szCs w:val="24"/>
        </w:rPr>
        <w:t xml:space="preserve">as an unfitting condition and the </w:t>
      </w:r>
      <w:r w:rsidR="00274226">
        <w:rPr>
          <w:rFonts w:asciiTheme="minorHAnsi" w:hAnsiTheme="minorHAnsi"/>
          <w:color w:val="auto"/>
          <w:szCs w:val="24"/>
        </w:rPr>
        <w:t>status</w:t>
      </w:r>
      <w:r w:rsidR="00AC0A2D" w:rsidRPr="00AC0A2D">
        <w:rPr>
          <w:rFonts w:asciiTheme="minorHAnsi" w:hAnsiTheme="minorHAnsi"/>
          <w:color w:val="auto"/>
          <w:szCs w:val="24"/>
        </w:rPr>
        <w:t xml:space="preserve"> </w:t>
      </w:r>
      <w:r w:rsidR="00E93362">
        <w:rPr>
          <w:rFonts w:asciiTheme="minorHAnsi" w:hAnsiTheme="minorHAnsi"/>
          <w:color w:val="auto"/>
          <w:szCs w:val="24"/>
        </w:rPr>
        <w:t xml:space="preserve">post </w:t>
      </w:r>
      <w:r w:rsidR="00274226">
        <w:rPr>
          <w:rFonts w:asciiTheme="minorHAnsi" w:hAnsiTheme="minorHAnsi"/>
          <w:color w:val="auto"/>
          <w:szCs w:val="24"/>
        </w:rPr>
        <w:t>a</w:t>
      </w:r>
      <w:r w:rsidR="00AC0A2D" w:rsidRPr="00AC0A2D">
        <w:rPr>
          <w:rFonts w:asciiTheme="minorHAnsi" w:hAnsiTheme="minorHAnsi"/>
          <w:color w:val="auto"/>
          <w:szCs w:val="24"/>
        </w:rPr>
        <w:t xml:space="preserve">rthroscopy </w:t>
      </w:r>
      <w:r w:rsidR="00AC0A2D">
        <w:rPr>
          <w:rFonts w:asciiTheme="minorHAnsi" w:hAnsiTheme="minorHAnsi"/>
          <w:color w:val="auto"/>
          <w:szCs w:val="24"/>
        </w:rPr>
        <w:t>f</w:t>
      </w:r>
      <w:r w:rsidR="00AC0A2D" w:rsidRPr="00AC0A2D">
        <w:rPr>
          <w:rFonts w:asciiTheme="minorHAnsi" w:hAnsiTheme="minorHAnsi"/>
          <w:color w:val="auto"/>
          <w:szCs w:val="24"/>
        </w:rPr>
        <w:t xml:space="preserve">or </w:t>
      </w:r>
      <w:r w:rsidR="00274226">
        <w:rPr>
          <w:rFonts w:asciiTheme="minorHAnsi" w:hAnsiTheme="minorHAnsi"/>
          <w:color w:val="auto"/>
          <w:szCs w:val="24"/>
        </w:rPr>
        <w:t>o</w:t>
      </w:r>
      <w:r w:rsidR="00AC0A2D" w:rsidRPr="00AC0A2D">
        <w:rPr>
          <w:rFonts w:asciiTheme="minorHAnsi" w:hAnsiTheme="minorHAnsi"/>
          <w:color w:val="auto"/>
          <w:szCs w:val="24"/>
        </w:rPr>
        <w:t>steochondritis</w:t>
      </w:r>
      <w:r w:rsidR="00AC0A2D">
        <w:rPr>
          <w:rFonts w:asciiTheme="minorHAnsi" w:hAnsiTheme="minorHAnsi"/>
          <w:color w:val="auto"/>
          <w:szCs w:val="24"/>
        </w:rPr>
        <w:t xml:space="preserve"> </w:t>
      </w:r>
      <w:r w:rsidR="00274226">
        <w:rPr>
          <w:rFonts w:asciiTheme="minorHAnsi" w:hAnsiTheme="minorHAnsi"/>
          <w:color w:val="auto"/>
          <w:szCs w:val="24"/>
        </w:rPr>
        <w:t>d</w:t>
      </w:r>
      <w:r w:rsidR="00AC0A2D" w:rsidRPr="00AC0A2D">
        <w:rPr>
          <w:rFonts w:asciiTheme="minorHAnsi" w:hAnsiTheme="minorHAnsi"/>
          <w:color w:val="auto"/>
          <w:szCs w:val="24"/>
        </w:rPr>
        <w:t>esiccans</w:t>
      </w:r>
      <w:r w:rsidR="00AC0A2D">
        <w:rPr>
          <w:rFonts w:asciiTheme="minorHAnsi" w:hAnsiTheme="minorHAnsi"/>
          <w:color w:val="auto"/>
          <w:szCs w:val="24"/>
        </w:rPr>
        <w:t xml:space="preserve"> and </w:t>
      </w:r>
      <w:r w:rsidR="00274226">
        <w:rPr>
          <w:rFonts w:asciiTheme="minorHAnsi" w:hAnsiTheme="minorHAnsi"/>
          <w:color w:val="auto"/>
          <w:szCs w:val="24"/>
        </w:rPr>
        <w:t>status post</w:t>
      </w:r>
      <w:r w:rsidR="00AC0A2D" w:rsidRPr="00AC0A2D">
        <w:rPr>
          <w:rFonts w:asciiTheme="minorHAnsi" w:hAnsiTheme="minorHAnsi"/>
          <w:color w:val="auto"/>
          <w:szCs w:val="24"/>
        </w:rPr>
        <w:t xml:space="preserve"> </w:t>
      </w:r>
      <w:r w:rsidR="00274226">
        <w:rPr>
          <w:rFonts w:asciiTheme="minorHAnsi" w:hAnsiTheme="minorHAnsi"/>
          <w:color w:val="auto"/>
          <w:szCs w:val="24"/>
        </w:rPr>
        <w:t>o</w:t>
      </w:r>
      <w:r w:rsidR="00AC0A2D" w:rsidRPr="00AC0A2D">
        <w:rPr>
          <w:rFonts w:asciiTheme="minorHAnsi" w:hAnsiTheme="minorHAnsi"/>
          <w:color w:val="auto"/>
          <w:szCs w:val="24"/>
        </w:rPr>
        <w:t xml:space="preserve">pen </w:t>
      </w:r>
      <w:r w:rsidR="00274226">
        <w:rPr>
          <w:rFonts w:asciiTheme="minorHAnsi" w:hAnsiTheme="minorHAnsi"/>
          <w:color w:val="auto"/>
          <w:szCs w:val="24"/>
        </w:rPr>
        <w:t>a</w:t>
      </w:r>
      <w:r w:rsidR="00AC0A2D" w:rsidRPr="00AC0A2D">
        <w:rPr>
          <w:rFonts w:asciiTheme="minorHAnsi" w:hAnsiTheme="minorHAnsi"/>
          <w:color w:val="auto"/>
          <w:szCs w:val="24"/>
        </w:rPr>
        <w:t xml:space="preserve">nkle </w:t>
      </w:r>
      <w:r w:rsidR="00274226">
        <w:rPr>
          <w:rFonts w:asciiTheme="minorHAnsi" w:hAnsiTheme="minorHAnsi"/>
          <w:color w:val="auto"/>
          <w:szCs w:val="24"/>
        </w:rPr>
        <w:t>a</w:t>
      </w:r>
      <w:r w:rsidR="00AC0A2D" w:rsidRPr="00AC0A2D">
        <w:rPr>
          <w:rFonts w:asciiTheme="minorHAnsi" w:hAnsiTheme="minorHAnsi"/>
          <w:color w:val="auto"/>
          <w:szCs w:val="24"/>
        </w:rPr>
        <w:t xml:space="preserve">rthrotomy </w:t>
      </w:r>
      <w:r w:rsidR="00AC0A2D">
        <w:rPr>
          <w:rFonts w:asciiTheme="minorHAnsi" w:hAnsiTheme="minorHAnsi"/>
          <w:color w:val="auto"/>
          <w:szCs w:val="24"/>
        </w:rPr>
        <w:t>a</w:t>
      </w:r>
      <w:r w:rsidR="00AC0A2D" w:rsidRPr="00AC0A2D">
        <w:rPr>
          <w:rFonts w:asciiTheme="minorHAnsi" w:hAnsiTheme="minorHAnsi"/>
          <w:color w:val="auto"/>
          <w:szCs w:val="24"/>
        </w:rPr>
        <w:t>nd</w:t>
      </w:r>
      <w:r w:rsidR="00AC0A2D">
        <w:rPr>
          <w:rFonts w:asciiTheme="minorHAnsi" w:hAnsiTheme="minorHAnsi"/>
          <w:color w:val="auto"/>
          <w:szCs w:val="24"/>
        </w:rPr>
        <w:t xml:space="preserve"> </w:t>
      </w:r>
      <w:r w:rsidR="00274226">
        <w:rPr>
          <w:rFonts w:asciiTheme="minorHAnsi" w:hAnsiTheme="minorHAnsi"/>
          <w:color w:val="auto"/>
          <w:szCs w:val="24"/>
        </w:rPr>
        <w:t>d</w:t>
      </w:r>
      <w:r w:rsidR="00AC0A2D" w:rsidRPr="00AC0A2D">
        <w:rPr>
          <w:rFonts w:asciiTheme="minorHAnsi" w:hAnsiTheme="minorHAnsi"/>
          <w:color w:val="auto"/>
          <w:szCs w:val="24"/>
        </w:rPr>
        <w:t xml:space="preserve">ebridement </w:t>
      </w:r>
      <w:r w:rsidR="00AC0A2D">
        <w:rPr>
          <w:rFonts w:asciiTheme="minorHAnsi" w:hAnsiTheme="minorHAnsi"/>
          <w:color w:val="auto"/>
          <w:szCs w:val="24"/>
        </w:rPr>
        <w:t>o</w:t>
      </w:r>
      <w:r w:rsidR="00AC0A2D" w:rsidRPr="00AC0A2D">
        <w:rPr>
          <w:rFonts w:asciiTheme="minorHAnsi" w:hAnsiTheme="minorHAnsi"/>
          <w:color w:val="auto"/>
          <w:szCs w:val="24"/>
        </w:rPr>
        <w:t xml:space="preserve">f </w:t>
      </w:r>
      <w:r w:rsidR="00274226">
        <w:rPr>
          <w:rFonts w:asciiTheme="minorHAnsi" w:hAnsiTheme="minorHAnsi"/>
          <w:color w:val="auto"/>
          <w:szCs w:val="24"/>
        </w:rPr>
        <w:t>t</w:t>
      </w:r>
      <w:r w:rsidR="00AC0A2D" w:rsidRPr="00AC0A2D">
        <w:rPr>
          <w:rFonts w:asciiTheme="minorHAnsi" w:hAnsiTheme="minorHAnsi"/>
          <w:color w:val="auto"/>
          <w:szCs w:val="24"/>
        </w:rPr>
        <w:t xml:space="preserve">alar </w:t>
      </w:r>
      <w:r w:rsidR="00274226">
        <w:rPr>
          <w:rFonts w:asciiTheme="minorHAnsi" w:hAnsiTheme="minorHAnsi"/>
          <w:color w:val="auto"/>
          <w:szCs w:val="24"/>
        </w:rPr>
        <w:t>d</w:t>
      </w:r>
      <w:r w:rsidR="00AC0A2D" w:rsidRPr="00AC0A2D">
        <w:rPr>
          <w:rFonts w:asciiTheme="minorHAnsi" w:hAnsiTheme="minorHAnsi"/>
          <w:color w:val="auto"/>
          <w:szCs w:val="24"/>
        </w:rPr>
        <w:t>ome</w:t>
      </w:r>
      <w:r w:rsidR="00806A72">
        <w:rPr>
          <w:rFonts w:asciiTheme="minorHAnsi" w:hAnsiTheme="minorHAnsi"/>
          <w:color w:val="auto"/>
          <w:szCs w:val="24"/>
        </w:rPr>
        <w:t xml:space="preserve"> conditions as </w:t>
      </w:r>
      <w:r w:rsidR="002205FA">
        <w:rPr>
          <w:rFonts w:asciiTheme="minorHAnsi" w:hAnsiTheme="minorHAnsi"/>
          <w:color w:val="auto"/>
          <w:szCs w:val="24"/>
        </w:rPr>
        <w:t xml:space="preserve">category </w:t>
      </w:r>
      <w:r w:rsidR="00076967">
        <w:rPr>
          <w:rFonts w:asciiTheme="minorHAnsi" w:hAnsiTheme="minorHAnsi"/>
          <w:color w:val="auto"/>
          <w:szCs w:val="24"/>
        </w:rPr>
        <w:t xml:space="preserve">II, </w:t>
      </w:r>
      <w:r w:rsidR="00806A72">
        <w:rPr>
          <w:rFonts w:asciiTheme="minorHAnsi" w:hAnsiTheme="minorHAnsi"/>
          <w:color w:val="auto"/>
          <w:szCs w:val="24"/>
        </w:rPr>
        <w:t>related to the unfitting diagnosis</w:t>
      </w:r>
      <w:r w:rsidR="00F326EA">
        <w:rPr>
          <w:rFonts w:asciiTheme="minorHAnsi" w:hAnsiTheme="minorHAnsi"/>
          <w:color w:val="auto"/>
          <w:szCs w:val="24"/>
        </w:rPr>
        <w:t>.</w:t>
      </w:r>
      <w:r w:rsidR="00806A72">
        <w:rPr>
          <w:rFonts w:asciiTheme="minorHAnsi" w:hAnsiTheme="minorHAnsi"/>
          <w:color w:val="auto"/>
          <w:szCs w:val="24"/>
        </w:rPr>
        <w:t xml:space="preserve">  The PEB</w:t>
      </w:r>
      <w:r w:rsidR="00B20624" w:rsidRPr="00396779">
        <w:rPr>
          <w:rFonts w:asciiTheme="minorHAnsi" w:hAnsiTheme="minorHAnsi"/>
          <w:color w:val="auto"/>
          <w:szCs w:val="24"/>
        </w:rPr>
        <w:t xml:space="preserve"> rated </w:t>
      </w:r>
      <w:r w:rsidR="00806A72" w:rsidRPr="00396779">
        <w:rPr>
          <w:rFonts w:asciiTheme="minorHAnsi" w:hAnsiTheme="minorHAnsi"/>
          <w:color w:val="auto"/>
          <w:szCs w:val="24"/>
        </w:rPr>
        <w:t xml:space="preserve">the </w:t>
      </w:r>
      <w:r w:rsidR="00806A72">
        <w:rPr>
          <w:rFonts w:asciiTheme="minorHAnsi" w:hAnsiTheme="minorHAnsi"/>
          <w:color w:val="auto"/>
          <w:szCs w:val="24"/>
        </w:rPr>
        <w:t>c</w:t>
      </w:r>
      <w:r w:rsidR="00806A72" w:rsidRPr="00396779">
        <w:rPr>
          <w:rFonts w:asciiTheme="minorHAnsi" w:hAnsiTheme="minorHAnsi"/>
          <w:color w:val="auto"/>
          <w:szCs w:val="24"/>
        </w:rPr>
        <w:t xml:space="preserve">ondition </w:t>
      </w:r>
      <w:r w:rsidR="00806A72">
        <w:rPr>
          <w:rFonts w:asciiTheme="minorHAnsi" w:hAnsiTheme="minorHAnsi"/>
          <w:color w:val="auto"/>
          <w:szCs w:val="24"/>
        </w:rPr>
        <w:t xml:space="preserve">at </w:t>
      </w:r>
      <w:r w:rsidR="00F326EA">
        <w:rPr>
          <w:rFonts w:asciiTheme="minorHAnsi" w:hAnsiTheme="minorHAnsi"/>
          <w:color w:val="auto"/>
          <w:szCs w:val="24"/>
        </w:rPr>
        <w:t>10</w:t>
      </w:r>
      <w:r w:rsidR="00B20624" w:rsidRPr="00396779">
        <w:rPr>
          <w:rFonts w:asciiTheme="minorHAnsi" w:hAnsiTheme="minorHAnsi"/>
          <w:color w:val="auto"/>
          <w:szCs w:val="24"/>
        </w:rPr>
        <w:t xml:space="preserve">% with application of </w:t>
      </w:r>
      <w:r w:rsidR="00FB677E" w:rsidRPr="00FB677E">
        <w:rPr>
          <w:rFonts w:asciiTheme="minorHAnsi" w:hAnsiTheme="minorHAnsi"/>
          <w:color w:val="auto"/>
          <w:szCs w:val="24"/>
        </w:rPr>
        <w:t>SECNAVINST</w:t>
      </w:r>
      <w:r w:rsidR="00065E21" w:rsidRPr="00FB677E">
        <w:rPr>
          <w:rFonts w:asciiTheme="minorHAnsi" w:hAnsiTheme="minorHAnsi"/>
          <w:color w:val="auto"/>
          <w:szCs w:val="24"/>
        </w:rPr>
        <w:t xml:space="preserve"> 1850.4E </w:t>
      </w:r>
      <w:r w:rsidR="00FB677E">
        <w:rPr>
          <w:rFonts w:asciiTheme="minorHAnsi" w:hAnsiTheme="minorHAnsi"/>
          <w:color w:val="auto"/>
          <w:szCs w:val="24"/>
        </w:rPr>
        <w:t xml:space="preserve">and </w:t>
      </w:r>
      <w:r w:rsidR="00FB677E" w:rsidRPr="00FB677E">
        <w:rPr>
          <w:rFonts w:asciiTheme="minorHAnsi" w:hAnsiTheme="minorHAnsi"/>
          <w:color w:val="auto"/>
          <w:szCs w:val="24"/>
        </w:rPr>
        <w:t xml:space="preserve">the VA </w:t>
      </w:r>
      <w:r w:rsidR="002205FA">
        <w:rPr>
          <w:rFonts w:asciiTheme="minorHAnsi" w:hAnsiTheme="minorHAnsi"/>
          <w:color w:val="auto"/>
          <w:szCs w:val="24"/>
        </w:rPr>
        <w:t>S</w:t>
      </w:r>
      <w:r w:rsidR="00FB677E" w:rsidRPr="00FB677E">
        <w:rPr>
          <w:rFonts w:asciiTheme="minorHAnsi" w:hAnsiTheme="minorHAnsi"/>
          <w:color w:val="auto"/>
          <w:szCs w:val="24"/>
        </w:rPr>
        <w:t>chedule</w:t>
      </w:r>
      <w:r w:rsidR="00FB677E">
        <w:rPr>
          <w:rFonts w:asciiTheme="minorHAnsi" w:hAnsiTheme="minorHAnsi"/>
          <w:color w:val="auto"/>
          <w:szCs w:val="24"/>
        </w:rPr>
        <w:t xml:space="preserve"> </w:t>
      </w:r>
      <w:r w:rsidR="002205FA">
        <w:rPr>
          <w:rFonts w:asciiTheme="minorHAnsi" w:hAnsiTheme="minorHAnsi"/>
          <w:color w:val="auto"/>
          <w:szCs w:val="24"/>
        </w:rPr>
        <w:t>for Rating Disabilities</w:t>
      </w:r>
      <w:r w:rsidR="00FB677E">
        <w:rPr>
          <w:rFonts w:asciiTheme="minorHAnsi" w:hAnsiTheme="minorHAnsi"/>
          <w:color w:val="auto"/>
          <w:szCs w:val="24"/>
        </w:rPr>
        <w:t xml:space="preserve"> (VASRD)</w:t>
      </w:r>
      <w:r w:rsidR="00B20624" w:rsidRPr="00396779">
        <w:rPr>
          <w:rFonts w:asciiTheme="minorHAnsi" w:hAnsiTheme="minorHAnsi"/>
          <w:color w:val="auto"/>
          <w:szCs w:val="24"/>
        </w:rPr>
        <w:t>.</w:t>
      </w:r>
      <w:r w:rsidR="00FB677E">
        <w:rPr>
          <w:rFonts w:asciiTheme="minorHAnsi" w:hAnsiTheme="minorHAnsi"/>
          <w:color w:val="auto"/>
          <w:szCs w:val="24"/>
        </w:rPr>
        <w:t xml:space="preserve">  </w:t>
      </w:r>
      <w:r w:rsidR="00B20624" w:rsidRPr="00396779">
        <w:rPr>
          <w:rFonts w:asciiTheme="minorHAnsi" w:hAnsiTheme="minorHAnsi"/>
          <w:color w:val="auto"/>
        </w:rPr>
        <w:t xml:space="preserve">The CI </w:t>
      </w:r>
      <w:r w:rsidR="00190E48" w:rsidRPr="00F326EA">
        <w:rPr>
          <w:rFonts w:asciiTheme="minorHAnsi" w:hAnsiTheme="minorHAnsi"/>
          <w:color w:val="auto"/>
        </w:rPr>
        <w:t>made no appeals</w:t>
      </w:r>
      <w:r w:rsidR="00FB677E">
        <w:rPr>
          <w:rFonts w:asciiTheme="minorHAnsi" w:hAnsiTheme="minorHAnsi"/>
          <w:color w:val="auto"/>
        </w:rPr>
        <w:t xml:space="preserve"> </w:t>
      </w:r>
      <w:r w:rsidR="00B20624" w:rsidRPr="00F326EA">
        <w:rPr>
          <w:rFonts w:asciiTheme="minorHAnsi" w:hAnsiTheme="minorHAnsi"/>
          <w:color w:val="auto"/>
        </w:rPr>
        <w:t xml:space="preserve">and was medically separated with a </w:t>
      </w:r>
      <w:r w:rsidR="00F326EA" w:rsidRPr="00F326EA">
        <w:rPr>
          <w:rFonts w:asciiTheme="minorHAnsi" w:hAnsiTheme="minorHAnsi"/>
          <w:color w:val="auto"/>
        </w:rPr>
        <w:t>10</w:t>
      </w:r>
      <w:r w:rsidR="00B20624" w:rsidRPr="00F326EA">
        <w:rPr>
          <w:rFonts w:asciiTheme="minorHAnsi" w:hAnsiTheme="minorHAnsi"/>
          <w:color w:val="auto"/>
        </w:rPr>
        <w:t>% disability rating</w:t>
      </w:r>
      <w:r w:rsidR="0093125C">
        <w:rPr>
          <w:rFonts w:asciiTheme="minorHAnsi" w:hAnsiTheme="minorHAnsi"/>
          <w:color w:val="auto"/>
        </w:rPr>
        <w:t xml:space="preserve"> after an additional LIMDU period, </w:t>
      </w:r>
      <w:r w:rsidR="001770E0">
        <w:rPr>
          <w:rFonts w:asciiTheme="minorHAnsi" w:hAnsiTheme="minorHAnsi"/>
          <w:color w:val="auto"/>
        </w:rPr>
        <w:t xml:space="preserve">which the CI </w:t>
      </w:r>
      <w:r w:rsidR="0093125C" w:rsidRPr="001770E0">
        <w:rPr>
          <w:rFonts w:asciiTheme="minorHAnsi" w:hAnsiTheme="minorHAnsi" w:cs="Arial"/>
          <w:color w:val="000000"/>
          <w:szCs w:val="24"/>
        </w:rPr>
        <w:t>requested</w:t>
      </w:r>
      <w:r w:rsidR="00B20624" w:rsidRPr="001770E0">
        <w:rPr>
          <w:rFonts w:asciiTheme="minorHAnsi" w:hAnsiTheme="minorHAnsi"/>
          <w:color w:val="auto"/>
          <w:szCs w:val="24"/>
        </w:rPr>
        <w:t>.</w:t>
      </w:r>
      <w:r w:rsidR="00B20624" w:rsidRPr="00326C08">
        <w:rPr>
          <w:rFonts w:asciiTheme="minorHAnsi" w:hAnsiTheme="minorHAnsi"/>
          <w:color w:val="auto"/>
        </w:rPr>
        <w:t xml:space="preserve">  </w:t>
      </w:r>
    </w:p>
    <w:p w:rsidR="00B427BB" w:rsidRPr="00326C08" w:rsidRDefault="00B427BB">
      <w:pPr>
        <w:rPr>
          <w:color w:val="auto"/>
        </w:rPr>
      </w:pPr>
      <w:r w:rsidRPr="00326C08">
        <w:rPr>
          <w:rFonts w:asciiTheme="minorHAnsi" w:hAnsiTheme="minorHAnsi"/>
          <w:color w:val="auto"/>
        </w:rPr>
        <w:t>______________________________________________________________________________</w:t>
      </w:r>
    </w:p>
    <w:p w:rsidR="00B427BB" w:rsidRPr="00326C08" w:rsidRDefault="00B427BB" w:rsidP="00B427BB">
      <w:pPr>
        <w:tabs>
          <w:tab w:val="left" w:pos="288"/>
          <w:tab w:val="left" w:pos="4752"/>
        </w:tabs>
        <w:spacing w:line="240" w:lineRule="exact"/>
        <w:rPr>
          <w:rFonts w:asciiTheme="minorHAnsi" w:hAnsiTheme="minorHAnsi"/>
          <w:color w:val="auto"/>
        </w:rPr>
      </w:pPr>
    </w:p>
    <w:p w:rsidR="00691E61" w:rsidRPr="00396779" w:rsidRDefault="002C6E5B" w:rsidP="00DD64E0">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00274226">
        <w:rPr>
          <w:rFonts w:asciiTheme="minorHAnsi" w:hAnsiTheme="minorHAnsi"/>
          <w:color w:val="auto"/>
        </w:rPr>
        <w:t xml:space="preserve">: </w:t>
      </w:r>
      <w:r w:rsidR="00691E61" w:rsidRPr="00396779">
        <w:rPr>
          <w:rFonts w:asciiTheme="minorHAnsi" w:hAnsiTheme="minorHAnsi"/>
          <w:color w:val="auto"/>
          <w:szCs w:val="24"/>
        </w:rPr>
        <w:t>“</w:t>
      </w:r>
      <w:r w:rsidR="00F326EA">
        <w:rPr>
          <w:rFonts w:asciiTheme="minorHAnsi" w:hAnsiTheme="minorHAnsi"/>
          <w:color w:val="auto"/>
          <w:szCs w:val="24"/>
        </w:rPr>
        <w:t>I have been trying to re-open my case on my lumbar spondylosis because it has limited my daily movement and pain has been increasingly worse</w:t>
      </w:r>
      <w:r w:rsidR="00691E61" w:rsidRPr="00396779">
        <w:rPr>
          <w:rFonts w:asciiTheme="minorHAnsi" w:hAnsiTheme="minorHAnsi"/>
          <w:color w:val="auto"/>
          <w:szCs w:val="24"/>
        </w:rPr>
        <w:t>.”</w:t>
      </w:r>
      <w:r w:rsidR="00F326EA" w:rsidRPr="00F326EA">
        <w:rPr>
          <w:rFonts w:asciiTheme="minorHAnsi" w:hAnsiTheme="minorHAnsi"/>
          <w:color w:val="auto"/>
          <w:szCs w:val="24"/>
        </w:rPr>
        <w:t xml:space="preserve"> </w:t>
      </w:r>
      <w:r w:rsidR="00F326EA">
        <w:rPr>
          <w:rFonts w:asciiTheme="minorHAnsi" w:hAnsiTheme="minorHAnsi"/>
          <w:color w:val="auto"/>
          <w:szCs w:val="24"/>
        </w:rPr>
        <w:t xml:space="preserve"> </w:t>
      </w:r>
      <w:r w:rsidR="00806A72">
        <w:rPr>
          <w:rFonts w:asciiTheme="minorHAnsi" w:hAnsiTheme="minorHAnsi"/>
          <w:color w:val="auto"/>
          <w:szCs w:val="24"/>
        </w:rPr>
        <w:t>He also lists: arthroscopic debridement in left ankle – 20%, tinnitus – 10% and adju</w:t>
      </w:r>
      <w:r w:rsidR="00E676A1">
        <w:rPr>
          <w:rFonts w:asciiTheme="minorHAnsi" w:hAnsiTheme="minorHAnsi"/>
          <w:color w:val="auto"/>
          <w:szCs w:val="24"/>
        </w:rPr>
        <w:t xml:space="preserve">stment disorder </w:t>
      </w:r>
      <w:r w:rsidR="004D2EA3">
        <w:rPr>
          <w:rFonts w:asciiTheme="minorHAnsi" w:hAnsiTheme="minorHAnsi"/>
          <w:color w:val="auto"/>
          <w:szCs w:val="24"/>
        </w:rPr>
        <w:t xml:space="preserve">and </w:t>
      </w:r>
      <w:r w:rsidR="00E676A1">
        <w:rPr>
          <w:rFonts w:asciiTheme="minorHAnsi" w:hAnsiTheme="minorHAnsi"/>
          <w:color w:val="auto"/>
          <w:szCs w:val="24"/>
        </w:rPr>
        <w:t xml:space="preserve">depression - </w:t>
      </w:r>
      <w:r w:rsidR="00806A72">
        <w:rPr>
          <w:rFonts w:asciiTheme="minorHAnsi" w:hAnsiTheme="minorHAnsi"/>
          <w:color w:val="auto"/>
          <w:szCs w:val="24"/>
        </w:rPr>
        <w:t>10%.</w:t>
      </w:r>
    </w:p>
    <w:p w:rsidR="00B427BB" w:rsidRPr="00326C08" w:rsidRDefault="00B427BB" w:rsidP="00B427BB">
      <w:pPr>
        <w:rPr>
          <w:color w:val="auto"/>
        </w:rPr>
      </w:pPr>
      <w:r w:rsidRPr="00326C08">
        <w:rPr>
          <w:rFonts w:asciiTheme="minorHAnsi" w:hAnsiTheme="minorHAnsi"/>
          <w:color w:val="auto"/>
        </w:rPr>
        <w:t>_____________________________________________________________________________</w:t>
      </w:r>
    </w:p>
    <w:p w:rsidR="00CD1EF2" w:rsidRPr="00326C08" w:rsidRDefault="00CD1EF2" w:rsidP="00190E48">
      <w:pPr>
        <w:spacing w:line="240" w:lineRule="exact"/>
        <w:jc w:val="both"/>
        <w:rPr>
          <w:rFonts w:asciiTheme="minorHAnsi" w:hAnsiTheme="minorHAnsi"/>
          <w:color w:val="auto"/>
          <w:u w:val="single"/>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385"/>
        <w:gridCol w:w="1080"/>
        <w:gridCol w:w="990"/>
        <w:gridCol w:w="2250"/>
        <w:gridCol w:w="810"/>
        <w:gridCol w:w="765"/>
        <w:gridCol w:w="990"/>
      </w:tblGrid>
      <w:tr w:rsidR="00684E2B" w:rsidRPr="00F326EA" w:rsidTr="002205FA">
        <w:trPr>
          <w:trHeight w:val="233"/>
          <w:jc w:val="center"/>
        </w:trPr>
        <w:tc>
          <w:tcPr>
            <w:tcW w:w="4455" w:type="dxa"/>
            <w:gridSpan w:val="3"/>
            <w:tcBorders>
              <w:right w:val="thinThickThinSmallGap" w:sz="24" w:space="0" w:color="auto"/>
            </w:tcBorders>
            <w:shd w:val="clear" w:color="auto" w:fill="D9D9D9" w:themeFill="background1" w:themeFillShade="D9"/>
          </w:tcPr>
          <w:p w:rsidR="00684E2B" w:rsidRPr="00B86EDF" w:rsidRDefault="00684E2B" w:rsidP="00F326EA">
            <w:pPr>
              <w:pStyle w:val="ListParagraph"/>
              <w:spacing w:after="0" w:line="240" w:lineRule="exact"/>
              <w:ind w:left="0"/>
              <w:jc w:val="center"/>
              <w:rPr>
                <w:rFonts w:cs="Times New Roman"/>
                <w:b/>
                <w:sz w:val="18"/>
                <w:szCs w:val="18"/>
              </w:rPr>
            </w:pPr>
            <w:r w:rsidRPr="00B86EDF">
              <w:rPr>
                <w:rFonts w:cs="Times New Roman"/>
                <w:b/>
                <w:sz w:val="18"/>
                <w:szCs w:val="18"/>
              </w:rPr>
              <w:t xml:space="preserve">Service </w:t>
            </w:r>
            <w:r w:rsidR="00F326EA" w:rsidRPr="00B86EDF">
              <w:rPr>
                <w:rFonts w:cs="Times New Roman"/>
                <w:b/>
                <w:sz w:val="18"/>
                <w:szCs w:val="18"/>
              </w:rPr>
              <w:t>I</w:t>
            </w:r>
            <w:r w:rsidRPr="00B86EDF">
              <w:rPr>
                <w:rFonts w:cs="Times New Roman"/>
                <w:b/>
                <w:sz w:val="18"/>
                <w:szCs w:val="18"/>
              </w:rPr>
              <w:t>PEB</w:t>
            </w:r>
            <w:r w:rsidR="002B2645" w:rsidRPr="00B86EDF">
              <w:rPr>
                <w:rFonts w:cs="Times New Roman"/>
                <w:b/>
                <w:sz w:val="18"/>
                <w:szCs w:val="18"/>
              </w:rPr>
              <w:t xml:space="preserve"> – Dated </w:t>
            </w:r>
            <w:r w:rsidR="00F326EA" w:rsidRPr="00B86EDF">
              <w:rPr>
                <w:rFonts w:cs="Times New Roman"/>
                <w:b/>
                <w:sz w:val="18"/>
                <w:szCs w:val="18"/>
              </w:rPr>
              <w:t>20020530</w:t>
            </w:r>
          </w:p>
        </w:tc>
        <w:tc>
          <w:tcPr>
            <w:tcW w:w="4815" w:type="dxa"/>
            <w:gridSpan w:val="4"/>
            <w:tcBorders>
              <w:left w:val="thinThickThinSmallGap" w:sz="24" w:space="0" w:color="auto"/>
            </w:tcBorders>
            <w:shd w:val="clear" w:color="auto" w:fill="D9D9D9" w:themeFill="background1" w:themeFillShade="D9"/>
          </w:tcPr>
          <w:p w:rsidR="00684E2B" w:rsidRPr="00B86EDF" w:rsidRDefault="00684E2B" w:rsidP="00E86BAD">
            <w:pPr>
              <w:pStyle w:val="ListParagraph"/>
              <w:spacing w:after="0" w:line="240" w:lineRule="exact"/>
              <w:ind w:left="0"/>
              <w:jc w:val="center"/>
              <w:rPr>
                <w:rFonts w:cs="Times New Roman"/>
                <w:b/>
                <w:sz w:val="18"/>
                <w:szCs w:val="18"/>
              </w:rPr>
            </w:pPr>
            <w:r w:rsidRPr="00B86EDF">
              <w:rPr>
                <w:rFonts w:cs="Times New Roman"/>
                <w:b/>
                <w:sz w:val="18"/>
                <w:szCs w:val="18"/>
              </w:rPr>
              <w:t>VA (</w:t>
            </w:r>
            <w:r w:rsidR="00E86BAD" w:rsidRPr="00B86EDF">
              <w:rPr>
                <w:rFonts w:cs="Times New Roman"/>
                <w:b/>
                <w:sz w:val="18"/>
                <w:szCs w:val="18"/>
              </w:rPr>
              <w:t>15</w:t>
            </w:r>
            <w:r w:rsidRPr="00B86EDF">
              <w:rPr>
                <w:rFonts w:cs="Times New Roman"/>
                <w:b/>
                <w:sz w:val="18"/>
                <w:szCs w:val="18"/>
              </w:rPr>
              <w:t xml:space="preserve"> Mo. after Separation)</w:t>
            </w:r>
            <w:r w:rsidR="000C3C13" w:rsidRPr="00B86EDF">
              <w:rPr>
                <w:rFonts w:cs="Times New Roman"/>
                <w:b/>
                <w:sz w:val="18"/>
                <w:szCs w:val="18"/>
              </w:rPr>
              <w:t xml:space="preserve"> – All Effective </w:t>
            </w:r>
            <w:r w:rsidR="00F326EA" w:rsidRPr="00B86EDF">
              <w:rPr>
                <w:rFonts w:cs="Times New Roman"/>
                <w:b/>
                <w:sz w:val="18"/>
                <w:szCs w:val="18"/>
              </w:rPr>
              <w:t>20021012</w:t>
            </w:r>
          </w:p>
        </w:tc>
      </w:tr>
      <w:tr w:rsidR="002B2645" w:rsidRPr="00396779" w:rsidTr="002205FA">
        <w:trPr>
          <w:trHeight w:val="233"/>
          <w:jc w:val="center"/>
        </w:trPr>
        <w:tc>
          <w:tcPr>
            <w:tcW w:w="2385" w:type="dxa"/>
            <w:tcBorders>
              <w:bottom w:val="single" w:sz="4" w:space="0" w:color="000000" w:themeColor="text1"/>
            </w:tcBorders>
            <w:shd w:val="clear" w:color="auto" w:fill="D9D9D9" w:themeFill="background1" w:themeFillShade="D9"/>
          </w:tcPr>
          <w:p w:rsidR="002B2645" w:rsidRPr="00B86EDF" w:rsidRDefault="002B2645" w:rsidP="00190E48">
            <w:pPr>
              <w:pStyle w:val="ListParagraph"/>
              <w:spacing w:after="0" w:line="240" w:lineRule="exact"/>
              <w:ind w:left="0"/>
              <w:jc w:val="both"/>
              <w:rPr>
                <w:rFonts w:cs="Times New Roman"/>
                <w:b/>
                <w:sz w:val="18"/>
                <w:szCs w:val="18"/>
              </w:rPr>
            </w:pPr>
            <w:r w:rsidRPr="00B86EDF">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2B2645" w:rsidRPr="00B86EDF" w:rsidRDefault="002B2645" w:rsidP="005709F7">
            <w:pPr>
              <w:pStyle w:val="ListParagraph"/>
              <w:spacing w:after="0" w:line="240" w:lineRule="exact"/>
              <w:ind w:left="0"/>
              <w:jc w:val="center"/>
              <w:rPr>
                <w:rFonts w:cs="Times New Roman"/>
                <w:b/>
                <w:sz w:val="18"/>
                <w:szCs w:val="18"/>
              </w:rPr>
            </w:pPr>
            <w:r w:rsidRPr="00B86EDF">
              <w:rPr>
                <w:rFonts w:cs="Times New Roman"/>
                <w:b/>
                <w:sz w:val="18"/>
                <w:szCs w:val="18"/>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2B2645" w:rsidRPr="00B86EDF" w:rsidRDefault="002B2645" w:rsidP="005709F7">
            <w:pPr>
              <w:pStyle w:val="ListParagraph"/>
              <w:spacing w:after="0" w:line="240" w:lineRule="exact"/>
              <w:ind w:left="0"/>
              <w:jc w:val="center"/>
              <w:rPr>
                <w:rFonts w:cs="Times New Roman"/>
                <w:b/>
                <w:sz w:val="18"/>
                <w:szCs w:val="18"/>
              </w:rPr>
            </w:pPr>
            <w:r w:rsidRPr="00B86EDF">
              <w:rPr>
                <w:rFonts w:cs="Times New Roman"/>
                <w:b/>
                <w:sz w:val="18"/>
                <w:szCs w:val="18"/>
              </w:rPr>
              <w:t>Rating</w:t>
            </w:r>
          </w:p>
        </w:tc>
        <w:tc>
          <w:tcPr>
            <w:tcW w:w="2250" w:type="dxa"/>
            <w:tcBorders>
              <w:left w:val="thinThickThinSmallGap" w:sz="24" w:space="0" w:color="auto"/>
              <w:bottom w:val="single" w:sz="4" w:space="0" w:color="000000" w:themeColor="text1"/>
            </w:tcBorders>
            <w:shd w:val="clear" w:color="auto" w:fill="D9D9D9" w:themeFill="background1" w:themeFillShade="D9"/>
          </w:tcPr>
          <w:p w:rsidR="002B2645" w:rsidRPr="00B86EDF" w:rsidRDefault="002B2645" w:rsidP="00190E48">
            <w:pPr>
              <w:pStyle w:val="ListParagraph"/>
              <w:spacing w:after="0" w:line="240" w:lineRule="exact"/>
              <w:ind w:left="0"/>
              <w:jc w:val="both"/>
              <w:rPr>
                <w:rFonts w:cs="Times New Roman"/>
                <w:b/>
                <w:sz w:val="18"/>
                <w:szCs w:val="18"/>
              </w:rPr>
            </w:pPr>
            <w:r w:rsidRPr="00B86EDF">
              <w:rPr>
                <w:rFonts w:cs="Times New Roman"/>
                <w:b/>
                <w:sz w:val="18"/>
                <w:szCs w:val="18"/>
              </w:rPr>
              <w:t>Condition</w:t>
            </w:r>
          </w:p>
        </w:tc>
        <w:tc>
          <w:tcPr>
            <w:tcW w:w="81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765"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076967" w:rsidRPr="00396779" w:rsidTr="002205FA">
        <w:trPr>
          <w:trHeight w:val="233"/>
          <w:jc w:val="center"/>
        </w:trPr>
        <w:tc>
          <w:tcPr>
            <w:tcW w:w="2385" w:type="dxa"/>
            <w:tcBorders>
              <w:bottom w:val="single" w:sz="4" w:space="0" w:color="000000" w:themeColor="text1"/>
              <w:right w:val="single" w:sz="4" w:space="0" w:color="auto"/>
            </w:tcBorders>
            <w:shd w:val="clear" w:color="auto" w:fill="FFFFFF" w:themeFill="background1"/>
          </w:tcPr>
          <w:p w:rsidR="00076967" w:rsidRPr="00B86EDF" w:rsidRDefault="00076967" w:rsidP="002205FA">
            <w:pPr>
              <w:pStyle w:val="ListParagraph"/>
              <w:spacing w:after="0" w:line="180" w:lineRule="exact"/>
              <w:ind w:left="0"/>
              <w:jc w:val="both"/>
              <w:rPr>
                <w:rFonts w:cs="Times New Roman"/>
                <w:b/>
                <w:sz w:val="18"/>
                <w:szCs w:val="18"/>
              </w:rPr>
            </w:pPr>
            <w:proofErr w:type="spellStart"/>
            <w:r w:rsidRPr="00B86EDF">
              <w:rPr>
                <w:sz w:val="18"/>
                <w:szCs w:val="18"/>
              </w:rPr>
              <w:t>Osteochondral</w:t>
            </w:r>
            <w:proofErr w:type="spellEnd"/>
            <w:r>
              <w:rPr>
                <w:sz w:val="18"/>
                <w:szCs w:val="18"/>
              </w:rPr>
              <w:t xml:space="preserve"> </w:t>
            </w:r>
            <w:r w:rsidR="002205FA">
              <w:rPr>
                <w:sz w:val="18"/>
                <w:szCs w:val="18"/>
              </w:rPr>
              <w:t>D</w:t>
            </w:r>
            <w:r>
              <w:rPr>
                <w:sz w:val="18"/>
                <w:szCs w:val="18"/>
              </w:rPr>
              <w:t xml:space="preserve">efect </w:t>
            </w:r>
            <w:r w:rsidR="002205FA">
              <w:rPr>
                <w:sz w:val="18"/>
                <w:szCs w:val="18"/>
              </w:rPr>
              <w:t xml:space="preserve">of the Lateral </w:t>
            </w:r>
            <w:proofErr w:type="spellStart"/>
            <w:r w:rsidR="002205FA">
              <w:rPr>
                <w:sz w:val="18"/>
                <w:szCs w:val="18"/>
              </w:rPr>
              <w:t>Talar</w:t>
            </w:r>
            <w:proofErr w:type="spellEnd"/>
            <w:r w:rsidR="002205FA">
              <w:rPr>
                <w:sz w:val="18"/>
                <w:szCs w:val="18"/>
              </w:rPr>
              <w:t xml:space="preserve"> D</w:t>
            </w:r>
            <w:r w:rsidR="002205FA" w:rsidRPr="00B86EDF">
              <w:rPr>
                <w:sz w:val="18"/>
                <w:szCs w:val="18"/>
              </w:rPr>
              <w:t>ome</w:t>
            </w:r>
          </w:p>
        </w:tc>
        <w:tc>
          <w:tcPr>
            <w:tcW w:w="1080" w:type="dxa"/>
            <w:tcBorders>
              <w:left w:val="single" w:sz="4" w:space="0" w:color="auto"/>
              <w:bottom w:val="single" w:sz="4" w:space="0" w:color="000000" w:themeColor="text1"/>
              <w:right w:val="single" w:sz="4" w:space="0" w:color="auto"/>
            </w:tcBorders>
            <w:shd w:val="clear" w:color="auto" w:fill="FFFFFF" w:themeFill="background1"/>
          </w:tcPr>
          <w:p w:rsidR="00076967" w:rsidRPr="00B86EDF" w:rsidRDefault="002205FA" w:rsidP="00076967">
            <w:pPr>
              <w:pStyle w:val="ListParagraph"/>
              <w:spacing w:after="0" w:line="180" w:lineRule="exact"/>
              <w:ind w:left="0"/>
              <w:jc w:val="center"/>
              <w:rPr>
                <w:rFonts w:cs="Times New Roman"/>
                <w:b/>
                <w:sz w:val="18"/>
                <w:szCs w:val="18"/>
              </w:rPr>
            </w:pPr>
            <w:r w:rsidRPr="00B86EDF">
              <w:rPr>
                <w:rFonts w:cs="Times New Roman"/>
                <w:sz w:val="18"/>
                <w:szCs w:val="18"/>
              </w:rPr>
              <w:t>5299-5003</w:t>
            </w:r>
          </w:p>
        </w:tc>
        <w:tc>
          <w:tcPr>
            <w:tcW w:w="990" w:type="dxa"/>
            <w:tcBorders>
              <w:left w:val="single" w:sz="4" w:space="0" w:color="auto"/>
              <w:bottom w:val="single" w:sz="4" w:space="0" w:color="000000" w:themeColor="text1"/>
              <w:right w:val="thinThickThinSmallGap" w:sz="24" w:space="0" w:color="auto"/>
            </w:tcBorders>
            <w:shd w:val="clear" w:color="auto" w:fill="FFFFFF" w:themeFill="background1"/>
          </w:tcPr>
          <w:p w:rsidR="00076967" w:rsidRPr="00B86EDF" w:rsidRDefault="00076967" w:rsidP="00076967">
            <w:pPr>
              <w:pStyle w:val="ListParagraph"/>
              <w:spacing w:after="0" w:line="180" w:lineRule="exact"/>
              <w:ind w:left="0"/>
              <w:jc w:val="center"/>
              <w:rPr>
                <w:rFonts w:cs="Times New Roman"/>
                <w:b/>
                <w:sz w:val="18"/>
                <w:szCs w:val="18"/>
              </w:rPr>
            </w:pPr>
            <w:r w:rsidRPr="00B86EDF">
              <w:rPr>
                <w:rFonts w:cs="Times New Roman"/>
                <w:sz w:val="18"/>
                <w:szCs w:val="18"/>
              </w:rPr>
              <w:t>10%</w:t>
            </w:r>
          </w:p>
        </w:tc>
        <w:tc>
          <w:tcPr>
            <w:tcW w:w="2250" w:type="dxa"/>
            <w:vMerge w:val="restart"/>
            <w:tcBorders>
              <w:left w:val="thinThickThinSmallGap" w:sz="24" w:space="0" w:color="auto"/>
            </w:tcBorders>
            <w:shd w:val="clear" w:color="auto" w:fill="FFFFFF" w:themeFill="background1"/>
          </w:tcPr>
          <w:p w:rsidR="00076967" w:rsidRPr="00B86EDF" w:rsidRDefault="00076967" w:rsidP="00076967">
            <w:pPr>
              <w:pStyle w:val="ListParagraph"/>
              <w:spacing w:after="0" w:line="180" w:lineRule="exact"/>
              <w:ind w:left="0"/>
              <w:rPr>
                <w:rFonts w:cs="Times New Roman"/>
                <w:b/>
                <w:sz w:val="18"/>
                <w:szCs w:val="18"/>
              </w:rPr>
            </w:pPr>
            <w:r>
              <w:rPr>
                <w:rFonts w:cs="Times New Roman"/>
                <w:sz w:val="18"/>
                <w:szCs w:val="18"/>
              </w:rPr>
              <w:t xml:space="preserve">L </w:t>
            </w:r>
            <w:r w:rsidR="002205FA">
              <w:rPr>
                <w:rFonts w:cs="Times New Roman"/>
                <w:sz w:val="18"/>
                <w:szCs w:val="18"/>
              </w:rPr>
              <w:t>A</w:t>
            </w:r>
            <w:r w:rsidR="002205FA" w:rsidRPr="00F326EA">
              <w:rPr>
                <w:rFonts w:cs="Times New Roman"/>
                <w:sz w:val="18"/>
                <w:szCs w:val="18"/>
              </w:rPr>
              <w:t>nkle</w:t>
            </w:r>
            <w:r w:rsidR="002205FA">
              <w:rPr>
                <w:rFonts w:cs="Times New Roman"/>
                <w:sz w:val="18"/>
                <w:szCs w:val="18"/>
              </w:rPr>
              <w:t xml:space="preserve"> S/P Arthroscopic Debridement</w:t>
            </w:r>
          </w:p>
        </w:tc>
        <w:tc>
          <w:tcPr>
            <w:tcW w:w="810" w:type="dxa"/>
            <w:vMerge w:val="restart"/>
            <w:shd w:val="clear" w:color="auto" w:fill="FFFFFF" w:themeFill="background1"/>
          </w:tcPr>
          <w:p w:rsidR="00076967" w:rsidRPr="00396779" w:rsidRDefault="00076967" w:rsidP="00076967">
            <w:pPr>
              <w:pStyle w:val="ListParagraph"/>
              <w:spacing w:after="0" w:line="180" w:lineRule="exact"/>
              <w:ind w:left="0"/>
              <w:jc w:val="center"/>
              <w:rPr>
                <w:rFonts w:cs="Times New Roman"/>
                <w:b/>
                <w:sz w:val="20"/>
                <w:szCs w:val="20"/>
              </w:rPr>
            </w:pPr>
            <w:r w:rsidRPr="00034477">
              <w:rPr>
                <w:rFonts w:cs="Times New Roman"/>
                <w:sz w:val="18"/>
                <w:szCs w:val="18"/>
              </w:rPr>
              <w:t>5271</w:t>
            </w:r>
          </w:p>
        </w:tc>
        <w:tc>
          <w:tcPr>
            <w:tcW w:w="765" w:type="dxa"/>
            <w:vMerge w:val="restart"/>
            <w:shd w:val="clear" w:color="auto" w:fill="FFFFFF" w:themeFill="background1"/>
          </w:tcPr>
          <w:p w:rsidR="00076967" w:rsidRPr="00396779" w:rsidRDefault="00076967" w:rsidP="00076967">
            <w:pPr>
              <w:pStyle w:val="ListParagraph"/>
              <w:spacing w:after="0" w:line="180" w:lineRule="exact"/>
              <w:ind w:left="0"/>
              <w:jc w:val="center"/>
              <w:rPr>
                <w:rFonts w:cs="Times New Roman"/>
                <w:b/>
                <w:sz w:val="20"/>
                <w:szCs w:val="20"/>
              </w:rPr>
            </w:pPr>
            <w:r w:rsidRPr="00034477">
              <w:rPr>
                <w:rFonts w:cs="Times New Roman"/>
                <w:sz w:val="18"/>
                <w:szCs w:val="18"/>
              </w:rPr>
              <w:t>20%</w:t>
            </w:r>
          </w:p>
        </w:tc>
        <w:tc>
          <w:tcPr>
            <w:tcW w:w="990" w:type="dxa"/>
            <w:vMerge w:val="restart"/>
            <w:shd w:val="clear" w:color="auto" w:fill="FFFFFF" w:themeFill="background1"/>
          </w:tcPr>
          <w:p w:rsidR="00076967" w:rsidRPr="00396779" w:rsidRDefault="00076967" w:rsidP="00076967">
            <w:pPr>
              <w:pStyle w:val="ListParagraph"/>
              <w:spacing w:after="0" w:line="180" w:lineRule="exact"/>
              <w:ind w:left="0"/>
              <w:jc w:val="center"/>
              <w:rPr>
                <w:rFonts w:cs="Times New Roman"/>
                <w:b/>
                <w:sz w:val="20"/>
                <w:szCs w:val="20"/>
              </w:rPr>
            </w:pPr>
            <w:r w:rsidRPr="00034477">
              <w:rPr>
                <w:rFonts w:cs="Times New Roman"/>
                <w:sz w:val="18"/>
                <w:szCs w:val="18"/>
              </w:rPr>
              <w:t>20040116</w:t>
            </w:r>
          </w:p>
        </w:tc>
      </w:tr>
      <w:tr w:rsidR="00076967" w:rsidRPr="00396779" w:rsidTr="002205FA">
        <w:trPr>
          <w:trHeight w:val="125"/>
          <w:jc w:val="center"/>
        </w:trPr>
        <w:tc>
          <w:tcPr>
            <w:tcW w:w="3465" w:type="dxa"/>
            <w:gridSpan w:val="2"/>
            <w:tcBorders>
              <w:right w:val="single" w:sz="4" w:space="0" w:color="auto"/>
            </w:tcBorders>
            <w:shd w:val="clear" w:color="auto" w:fill="FFFFFF" w:themeFill="background1"/>
          </w:tcPr>
          <w:p w:rsidR="00076967" w:rsidRPr="00076967" w:rsidRDefault="002205FA" w:rsidP="002205FA">
            <w:pPr>
              <w:pStyle w:val="ListParagraph"/>
              <w:spacing w:after="0" w:line="180" w:lineRule="exact"/>
              <w:ind w:left="0"/>
              <w:rPr>
                <w:rFonts w:cs="Times New Roman"/>
                <w:sz w:val="18"/>
                <w:szCs w:val="18"/>
              </w:rPr>
            </w:pPr>
            <w:r>
              <w:rPr>
                <w:sz w:val="18"/>
                <w:szCs w:val="18"/>
              </w:rPr>
              <w:t>S/P</w:t>
            </w:r>
            <w:r w:rsidRPr="00076967">
              <w:rPr>
                <w:sz w:val="18"/>
                <w:szCs w:val="18"/>
              </w:rPr>
              <w:t xml:space="preserve"> Arthroscopy </w:t>
            </w:r>
            <w:r>
              <w:rPr>
                <w:sz w:val="18"/>
                <w:szCs w:val="18"/>
              </w:rPr>
              <w:t>f</w:t>
            </w:r>
            <w:r w:rsidRPr="00076967">
              <w:rPr>
                <w:sz w:val="18"/>
                <w:szCs w:val="18"/>
              </w:rPr>
              <w:t xml:space="preserve">or </w:t>
            </w:r>
            <w:proofErr w:type="spellStart"/>
            <w:r w:rsidRPr="00076967">
              <w:rPr>
                <w:sz w:val="18"/>
                <w:szCs w:val="18"/>
              </w:rPr>
              <w:t>Osteochondritits</w:t>
            </w:r>
            <w:proofErr w:type="spellEnd"/>
            <w:r w:rsidRPr="00076967">
              <w:rPr>
                <w:sz w:val="18"/>
                <w:szCs w:val="18"/>
              </w:rPr>
              <w:t xml:space="preserve"> </w:t>
            </w:r>
            <w:proofErr w:type="spellStart"/>
            <w:r w:rsidRPr="00076967">
              <w:rPr>
                <w:sz w:val="18"/>
                <w:szCs w:val="18"/>
              </w:rPr>
              <w:t>Dessicans</w:t>
            </w:r>
            <w:proofErr w:type="spellEnd"/>
          </w:p>
        </w:tc>
        <w:tc>
          <w:tcPr>
            <w:tcW w:w="990" w:type="dxa"/>
            <w:tcBorders>
              <w:left w:val="single" w:sz="4" w:space="0" w:color="auto"/>
              <w:right w:val="thinThickThinSmallGap" w:sz="24" w:space="0" w:color="auto"/>
            </w:tcBorders>
            <w:shd w:val="clear" w:color="auto" w:fill="FFFFFF" w:themeFill="background1"/>
          </w:tcPr>
          <w:p w:rsidR="00076967" w:rsidRPr="00076967" w:rsidRDefault="00076967" w:rsidP="00076967">
            <w:pPr>
              <w:pStyle w:val="ListParagraph"/>
              <w:spacing w:after="0" w:line="180" w:lineRule="exact"/>
              <w:ind w:left="0"/>
              <w:rPr>
                <w:rFonts w:cs="Times New Roman"/>
                <w:sz w:val="18"/>
                <w:szCs w:val="18"/>
              </w:rPr>
            </w:pPr>
            <w:r>
              <w:rPr>
                <w:rFonts w:cs="Times New Roman"/>
                <w:sz w:val="18"/>
                <w:szCs w:val="18"/>
              </w:rPr>
              <w:t>Cat II</w:t>
            </w:r>
          </w:p>
        </w:tc>
        <w:tc>
          <w:tcPr>
            <w:tcW w:w="2250" w:type="dxa"/>
            <w:vMerge/>
            <w:tcBorders>
              <w:left w:val="thinThickThinSmallGap" w:sz="24" w:space="0" w:color="auto"/>
            </w:tcBorders>
            <w:shd w:val="clear" w:color="auto" w:fill="FFFFFF" w:themeFill="background1"/>
          </w:tcPr>
          <w:p w:rsidR="00076967" w:rsidRDefault="00076967" w:rsidP="00076967">
            <w:pPr>
              <w:pStyle w:val="ListParagraph"/>
              <w:spacing w:after="0" w:line="180" w:lineRule="exact"/>
              <w:ind w:left="0"/>
              <w:jc w:val="both"/>
              <w:rPr>
                <w:rFonts w:cs="Times New Roman"/>
                <w:sz w:val="18"/>
                <w:szCs w:val="18"/>
              </w:rPr>
            </w:pPr>
          </w:p>
        </w:tc>
        <w:tc>
          <w:tcPr>
            <w:tcW w:w="810" w:type="dxa"/>
            <w:vMerge/>
            <w:shd w:val="clear" w:color="auto" w:fill="FFFFFF" w:themeFill="background1"/>
          </w:tcPr>
          <w:p w:rsidR="00076967" w:rsidRPr="00034477" w:rsidRDefault="00076967" w:rsidP="00076967">
            <w:pPr>
              <w:pStyle w:val="ListParagraph"/>
              <w:spacing w:after="0" w:line="180" w:lineRule="exact"/>
              <w:ind w:left="0"/>
              <w:jc w:val="center"/>
              <w:rPr>
                <w:rFonts w:cs="Times New Roman"/>
                <w:sz w:val="18"/>
                <w:szCs w:val="18"/>
              </w:rPr>
            </w:pPr>
          </w:p>
        </w:tc>
        <w:tc>
          <w:tcPr>
            <w:tcW w:w="765" w:type="dxa"/>
            <w:vMerge/>
            <w:shd w:val="clear" w:color="auto" w:fill="FFFFFF" w:themeFill="background1"/>
          </w:tcPr>
          <w:p w:rsidR="00076967" w:rsidRPr="00034477" w:rsidRDefault="00076967" w:rsidP="00076967">
            <w:pPr>
              <w:pStyle w:val="ListParagraph"/>
              <w:spacing w:after="0" w:line="180" w:lineRule="exact"/>
              <w:ind w:left="0"/>
              <w:jc w:val="center"/>
              <w:rPr>
                <w:rFonts w:cs="Times New Roman"/>
                <w:sz w:val="18"/>
                <w:szCs w:val="18"/>
              </w:rPr>
            </w:pPr>
          </w:p>
        </w:tc>
        <w:tc>
          <w:tcPr>
            <w:tcW w:w="990" w:type="dxa"/>
            <w:vMerge/>
            <w:shd w:val="clear" w:color="auto" w:fill="FFFFFF" w:themeFill="background1"/>
          </w:tcPr>
          <w:p w:rsidR="00076967" w:rsidRPr="00034477" w:rsidRDefault="00076967" w:rsidP="00076967">
            <w:pPr>
              <w:pStyle w:val="ListParagraph"/>
              <w:spacing w:after="0" w:line="180" w:lineRule="exact"/>
              <w:ind w:left="0"/>
              <w:jc w:val="center"/>
              <w:rPr>
                <w:rFonts w:cs="Times New Roman"/>
                <w:sz w:val="18"/>
                <w:szCs w:val="18"/>
              </w:rPr>
            </w:pPr>
          </w:p>
        </w:tc>
      </w:tr>
      <w:tr w:rsidR="00076967" w:rsidRPr="00396779" w:rsidTr="002205FA">
        <w:trPr>
          <w:trHeight w:val="125"/>
          <w:jc w:val="center"/>
        </w:trPr>
        <w:tc>
          <w:tcPr>
            <w:tcW w:w="3465" w:type="dxa"/>
            <w:gridSpan w:val="2"/>
            <w:tcBorders>
              <w:right w:val="single" w:sz="4" w:space="0" w:color="auto"/>
            </w:tcBorders>
            <w:shd w:val="clear" w:color="auto" w:fill="FFFFFF" w:themeFill="background1"/>
          </w:tcPr>
          <w:p w:rsidR="00076967" w:rsidRPr="00076967" w:rsidRDefault="00076967" w:rsidP="002205FA">
            <w:pPr>
              <w:pStyle w:val="ListParagraph"/>
              <w:spacing w:after="0" w:line="180" w:lineRule="exact"/>
              <w:ind w:left="0"/>
              <w:rPr>
                <w:rFonts w:cs="Times New Roman"/>
                <w:sz w:val="18"/>
                <w:szCs w:val="18"/>
              </w:rPr>
            </w:pPr>
            <w:r w:rsidRPr="00076967">
              <w:rPr>
                <w:sz w:val="18"/>
                <w:szCs w:val="18"/>
              </w:rPr>
              <w:t>S</w:t>
            </w:r>
            <w:r w:rsidR="002205FA" w:rsidRPr="00076967">
              <w:rPr>
                <w:sz w:val="18"/>
                <w:szCs w:val="18"/>
              </w:rPr>
              <w:t>/</w:t>
            </w:r>
            <w:r w:rsidRPr="00076967">
              <w:rPr>
                <w:sz w:val="18"/>
                <w:szCs w:val="18"/>
              </w:rPr>
              <w:t xml:space="preserve">P Open Ankle </w:t>
            </w:r>
            <w:proofErr w:type="spellStart"/>
            <w:r w:rsidRPr="00076967">
              <w:rPr>
                <w:sz w:val="18"/>
                <w:szCs w:val="18"/>
              </w:rPr>
              <w:t>Arthrotomy</w:t>
            </w:r>
            <w:proofErr w:type="spellEnd"/>
            <w:r w:rsidRPr="00076967">
              <w:rPr>
                <w:sz w:val="18"/>
                <w:szCs w:val="18"/>
              </w:rPr>
              <w:t xml:space="preserve"> </w:t>
            </w:r>
            <w:r w:rsidR="002205FA">
              <w:rPr>
                <w:sz w:val="18"/>
                <w:szCs w:val="18"/>
              </w:rPr>
              <w:t>a</w:t>
            </w:r>
            <w:r w:rsidR="002205FA" w:rsidRPr="00076967">
              <w:rPr>
                <w:sz w:val="18"/>
                <w:szCs w:val="18"/>
              </w:rPr>
              <w:t xml:space="preserve">nd </w:t>
            </w:r>
            <w:r w:rsidRPr="00076967">
              <w:rPr>
                <w:sz w:val="18"/>
                <w:szCs w:val="18"/>
              </w:rPr>
              <w:t xml:space="preserve">Debridement </w:t>
            </w:r>
            <w:r w:rsidR="002205FA">
              <w:rPr>
                <w:sz w:val="18"/>
                <w:szCs w:val="18"/>
              </w:rPr>
              <w:t>o</w:t>
            </w:r>
            <w:r w:rsidR="002205FA" w:rsidRPr="00076967">
              <w:rPr>
                <w:sz w:val="18"/>
                <w:szCs w:val="18"/>
              </w:rPr>
              <w:t>f</w:t>
            </w:r>
            <w:r w:rsidR="002205FA">
              <w:rPr>
                <w:sz w:val="18"/>
                <w:szCs w:val="18"/>
              </w:rPr>
              <w:t xml:space="preserve"> t</w:t>
            </w:r>
            <w:r w:rsidR="002205FA" w:rsidRPr="00076967">
              <w:rPr>
                <w:sz w:val="18"/>
                <w:szCs w:val="18"/>
              </w:rPr>
              <w:t xml:space="preserve">he </w:t>
            </w:r>
            <w:proofErr w:type="spellStart"/>
            <w:r w:rsidRPr="00076967">
              <w:rPr>
                <w:sz w:val="18"/>
                <w:szCs w:val="18"/>
              </w:rPr>
              <w:t>Talar</w:t>
            </w:r>
            <w:proofErr w:type="spellEnd"/>
            <w:r w:rsidRPr="00076967">
              <w:rPr>
                <w:sz w:val="18"/>
                <w:szCs w:val="18"/>
              </w:rPr>
              <w:t xml:space="preserve"> Dome </w:t>
            </w:r>
          </w:p>
        </w:tc>
        <w:tc>
          <w:tcPr>
            <w:tcW w:w="990" w:type="dxa"/>
            <w:tcBorders>
              <w:left w:val="single" w:sz="4" w:space="0" w:color="auto"/>
              <w:right w:val="thinThickThinSmallGap" w:sz="24" w:space="0" w:color="auto"/>
            </w:tcBorders>
            <w:shd w:val="clear" w:color="auto" w:fill="FFFFFF" w:themeFill="background1"/>
          </w:tcPr>
          <w:p w:rsidR="00076967" w:rsidRPr="00076967" w:rsidRDefault="00076967" w:rsidP="00076967">
            <w:pPr>
              <w:pStyle w:val="ListParagraph"/>
              <w:spacing w:after="0" w:line="180" w:lineRule="exact"/>
              <w:ind w:left="0"/>
              <w:rPr>
                <w:rFonts w:cs="Times New Roman"/>
                <w:sz w:val="18"/>
                <w:szCs w:val="18"/>
              </w:rPr>
            </w:pPr>
            <w:r>
              <w:rPr>
                <w:rFonts w:cs="Times New Roman"/>
                <w:sz w:val="18"/>
                <w:szCs w:val="18"/>
              </w:rPr>
              <w:t>Cat II</w:t>
            </w:r>
          </w:p>
        </w:tc>
        <w:tc>
          <w:tcPr>
            <w:tcW w:w="2250" w:type="dxa"/>
            <w:vMerge/>
            <w:tcBorders>
              <w:left w:val="thinThickThinSmallGap" w:sz="24" w:space="0" w:color="auto"/>
            </w:tcBorders>
            <w:shd w:val="clear" w:color="auto" w:fill="FFFFFF" w:themeFill="background1"/>
          </w:tcPr>
          <w:p w:rsidR="00076967" w:rsidRDefault="00076967" w:rsidP="00076967">
            <w:pPr>
              <w:pStyle w:val="ListParagraph"/>
              <w:spacing w:after="0" w:line="180" w:lineRule="exact"/>
              <w:ind w:left="0"/>
              <w:jc w:val="both"/>
              <w:rPr>
                <w:rFonts w:cs="Times New Roman"/>
                <w:sz w:val="18"/>
                <w:szCs w:val="18"/>
              </w:rPr>
            </w:pPr>
          </w:p>
        </w:tc>
        <w:tc>
          <w:tcPr>
            <w:tcW w:w="810" w:type="dxa"/>
            <w:vMerge/>
            <w:shd w:val="clear" w:color="auto" w:fill="FFFFFF" w:themeFill="background1"/>
          </w:tcPr>
          <w:p w:rsidR="00076967" w:rsidRPr="00034477" w:rsidRDefault="00076967" w:rsidP="00076967">
            <w:pPr>
              <w:pStyle w:val="ListParagraph"/>
              <w:spacing w:after="0" w:line="180" w:lineRule="exact"/>
              <w:ind w:left="0"/>
              <w:jc w:val="center"/>
              <w:rPr>
                <w:rFonts w:cs="Times New Roman"/>
                <w:sz w:val="18"/>
                <w:szCs w:val="18"/>
              </w:rPr>
            </w:pPr>
          </w:p>
        </w:tc>
        <w:tc>
          <w:tcPr>
            <w:tcW w:w="765" w:type="dxa"/>
            <w:vMerge/>
            <w:shd w:val="clear" w:color="auto" w:fill="FFFFFF" w:themeFill="background1"/>
          </w:tcPr>
          <w:p w:rsidR="00076967" w:rsidRPr="00034477" w:rsidRDefault="00076967" w:rsidP="00076967">
            <w:pPr>
              <w:pStyle w:val="ListParagraph"/>
              <w:spacing w:after="0" w:line="180" w:lineRule="exact"/>
              <w:ind w:left="0"/>
              <w:jc w:val="center"/>
              <w:rPr>
                <w:rFonts w:cs="Times New Roman"/>
                <w:sz w:val="18"/>
                <w:szCs w:val="18"/>
              </w:rPr>
            </w:pPr>
          </w:p>
        </w:tc>
        <w:tc>
          <w:tcPr>
            <w:tcW w:w="990" w:type="dxa"/>
            <w:vMerge/>
            <w:shd w:val="clear" w:color="auto" w:fill="FFFFFF" w:themeFill="background1"/>
          </w:tcPr>
          <w:p w:rsidR="00076967" w:rsidRPr="00034477" w:rsidRDefault="00076967" w:rsidP="00076967">
            <w:pPr>
              <w:pStyle w:val="ListParagraph"/>
              <w:spacing w:after="0" w:line="180" w:lineRule="exact"/>
              <w:ind w:left="0"/>
              <w:jc w:val="center"/>
              <w:rPr>
                <w:rFonts w:cs="Times New Roman"/>
                <w:sz w:val="18"/>
                <w:szCs w:val="18"/>
              </w:rPr>
            </w:pPr>
          </w:p>
        </w:tc>
      </w:tr>
      <w:tr w:rsidR="00FB677E" w:rsidRPr="00396779" w:rsidTr="002205FA">
        <w:trPr>
          <w:trHeight w:val="125"/>
          <w:jc w:val="center"/>
        </w:trPr>
        <w:tc>
          <w:tcPr>
            <w:tcW w:w="4455" w:type="dxa"/>
            <w:gridSpan w:val="3"/>
            <w:vMerge w:val="restart"/>
            <w:tcBorders>
              <w:right w:val="thinThickThinSmallGap" w:sz="24" w:space="0" w:color="auto"/>
            </w:tcBorders>
            <w:shd w:val="clear" w:color="auto" w:fill="FFFFFF" w:themeFill="background1"/>
          </w:tcPr>
          <w:p w:rsidR="00FB677E" w:rsidRPr="00B86EDF" w:rsidRDefault="00FB677E" w:rsidP="00076967">
            <w:pPr>
              <w:pStyle w:val="ListParagraph"/>
              <w:spacing w:after="0" w:line="180" w:lineRule="exact"/>
              <w:ind w:left="0"/>
              <w:jc w:val="center"/>
              <w:rPr>
                <w:rFonts w:cs="Times New Roman"/>
                <w:sz w:val="18"/>
                <w:szCs w:val="18"/>
              </w:rPr>
            </w:pPr>
            <w:r w:rsidRPr="00B86EDF">
              <w:rPr>
                <w:rFonts w:cs="Times New Roman"/>
                <w:sz w:val="18"/>
                <w:szCs w:val="18"/>
              </w:rPr>
              <w:t>↓No Additional MEB Entries↓</w:t>
            </w:r>
          </w:p>
        </w:tc>
        <w:tc>
          <w:tcPr>
            <w:tcW w:w="2250" w:type="dxa"/>
            <w:tcBorders>
              <w:left w:val="thinThickThinSmallGap" w:sz="24" w:space="0" w:color="auto"/>
            </w:tcBorders>
            <w:shd w:val="clear" w:color="auto" w:fill="FFFFFF" w:themeFill="background1"/>
          </w:tcPr>
          <w:p w:rsidR="00FB677E" w:rsidRPr="00B86EDF" w:rsidRDefault="006F03B8" w:rsidP="002205FA">
            <w:pPr>
              <w:pStyle w:val="ListParagraph"/>
              <w:spacing w:after="0" w:line="180" w:lineRule="exact"/>
              <w:ind w:left="0"/>
              <w:jc w:val="both"/>
              <w:rPr>
                <w:rFonts w:cs="Times New Roman"/>
                <w:sz w:val="18"/>
                <w:szCs w:val="18"/>
              </w:rPr>
            </w:pPr>
            <w:r>
              <w:rPr>
                <w:rFonts w:cs="Times New Roman"/>
                <w:sz w:val="18"/>
                <w:szCs w:val="18"/>
              </w:rPr>
              <w:t xml:space="preserve">Lumbar </w:t>
            </w:r>
            <w:r w:rsidR="002205FA">
              <w:rPr>
                <w:rFonts w:cs="Times New Roman"/>
                <w:sz w:val="18"/>
                <w:szCs w:val="18"/>
              </w:rPr>
              <w:t>S</w:t>
            </w:r>
            <w:r w:rsidR="00FB677E" w:rsidRPr="00B86EDF">
              <w:rPr>
                <w:rFonts w:cs="Times New Roman"/>
                <w:sz w:val="18"/>
                <w:szCs w:val="18"/>
              </w:rPr>
              <w:t>pondylosis</w:t>
            </w:r>
          </w:p>
        </w:tc>
        <w:tc>
          <w:tcPr>
            <w:tcW w:w="810" w:type="dxa"/>
            <w:shd w:val="clear" w:color="auto" w:fill="FFFFFF" w:themeFill="background1"/>
          </w:tcPr>
          <w:p w:rsidR="00FB677E" w:rsidRPr="00034477" w:rsidRDefault="00FB677E" w:rsidP="00076967">
            <w:pPr>
              <w:pStyle w:val="ListParagraph"/>
              <w:spacing w:after="0" w:line="180" w:lineRule="exact"/>
              <w:ind w:left="0"/>
              <w:jc w:val="center"/>
              <w:rPr>
                <w:rFonts w:cs="Times New Roman"/>
                <w:sz w:val="18"/>
                <w:szCs w:val="18"/>
              </w:rPr>
            </w:pPr>
            <w:r w:rsidRPr="00034477">
              <w:rPr>
                <w:rFonts w:cs="Times New Roman"/>
                <w:sz w:val="18"/>
                <w:szCs w:val="18"/>
              </w:rPr>
              <w:t xml:space="preserve">5293 </w:t>
            </w:r>
          </w:p>
        </w:tc>
        <w:tc>
          <w:tcPr>
            <w:tcW w:w="765" w:type="dxa"/>
            <w:shd w:val="clear" w:color="auto" w:fill="FFFFFF" w:themeFill="background1"/>
          </w:tcPr>
          <w:p w:rsidR="00FB677E" w:rsidRPr="00034477" w:rsidRDefault="00FB677E" w:rsidP="00076967">
            <w:pPr>
              <w:pStyle w:val="ListParagraph"/>
              <w:spacing w:after="0" w:line="180" w:lineRule="exact"/>
              <w:ind w:left="0"/>
              <w:jc w:val="center"/>
              <w:rPr>
                <w:rFonts w:cs="Times New Roman"/>
                <w:sz w:val="18"/>
                <w:szCs w:val="18"/>
              </w:rPr>
            </w:pPr>
            <w:r w:rsidRPr="00034477">
              <w:rPr>
                <w:rFonts w:cs="Times New Roman"/>
                <w:sz w:val="18"/>
                <w:szCs w:val="18"/>
              </w:rPr>
              <w:t>20%</w:t>
            </w:r>
          </w:p>
        </w:tc>
        <w:tc>
          <w:tcPr>
            <w:tcW w:w="990" w:type="dxa"/>
            <w:shd w:val="clear" w:color="auto" w:fill="FFFFFF" w:themeFill="background1"/>
          </w:tcPr>
          <w:p w:rsidR="00FB677E" w:rsidRPr="00034477" w:rsidRDefault="00FB677E" w:rsidP="00076967">
            <w:pPr>
              <w:pStyle w:val="ListParagraph"/>
              <w:spacing w:after="0" w:line="180" w:lineRule="exact"/>
              <w:ind w:left="0"/>
              <w:jc w:val="center"/>
              <w:rPr>
                <w:rFonts w:cs="Times New Roman"/>
                <w:sz w:val="18"/>
                <w:szCs w:val="18"/>
              </w:rPr>
            </w:pPr>
            <w:r w:rsidRPr="00034477">
              <w:rPr>
                <w:rFonts w:cs="Times New Roman"/>
                <w:sz w:val="18"/>
                <w:szCs w:val="18"/>
              </w:rPr>
              <w:t>20040116</w:t>
            </w:r>
          </w:p>
        </w:tc>
      </w:tr>
      <w:tr w:rsidR="00FB677E" w:rsidRPr="00396779" w:rsidTr="002205FA">
        <w:trPr>
          <w:trHeight w:val="125"/>
          <w:jc w:val="center"/>
        </w:trPr>
        <w:tc>
          <w:tcPr>
            <w:tcW w:w="4455" w:type="dxa"/>
            <w:gridSpan w:val="3"/>
            <w:vMerge/>
            <w:tcBorders>
              <w:right w:val="thinThickThinSmallGap" w:sz="24" w:space="0" w:color="auto"/>
            </w:tcBorders>
            <w:shd w:val="clear" w:color="auto" w:fill="FFFFFF" w:themeFill="background1"/>
          </w:tcPr>
          <w:p w:rsidR="00FB677E" w:rsidRPr="00B86EDF" w:rsidRDefault="00FB677E" w:rsidP="00076967">
            <w:pPr>
              <w:pStyle w:val="ListParagraph"/>
              <w:spacing w:after="0" w:line="180" w:lineRule="exact"/>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FB677E" w:rsidRPr="00B86EDF" w:rsidRDefault="00FB677E" w:rsidP="00076967">
            <w:pPr>
              <w:spacing w:line="180" w:lineRule="exact"/>
              <w:rPr>
                <w:rFonts w:cs="Times New Roman"/>
                <w:color w:val="auto"/>
                <w:sz w:val="18"/>
                <w:szCs w:val="18"/>
              </w:rPr>
            </w:pPr>
            <w:r w:rsidRPr="00B86EDF">
              <w:rPr>
                <w:rFonts w:cs="Times New Roman"/>
                <w:color w:val="auto"/>
                <w:sz w:val="18"/>
                <w:szCs w:val="18"/>
              </w:rPr>
              <w:t>Tinnitus</w:t>
            </w:r>
          </w:p>
        </w:tc>
        <w:tc>
          <w:tcPr>
            <w:tcW w:w="810" w:type="dxa"/>
            <w:shd w:val="clear" w:color="auto" w:fill="FFFFFF" w:themeFill="background1"/>
          </w:tcPr>
          <w:p w:rsidR="00FB677E" w:rsidRPr="00034477" w:rsidRDefault="00FB677E" w:rsidP="00076967">
            <w:pPr>
              <w:pStyle w:val="ListParagraph"/>
              <w:spacing w:after="0" w:line="180" w:lineRule="exact"/>
              <w:ind w:left="0"/>
              <w:jc w:val="center"/>
              <w:rPr>
                <w:rFonts w:cs="Times New Roman"/>
                <w:sz w:val="18"/>
                <w:szCs w:val="18"/>
              </w:rPr>
            </w:pPr>
            <w:r w:rsidRPr="00034477">
              <w:rPr>
                <w:rFonts w:cs="Times New Roman"/>
                <w:sz w:val="18"/>
                <w:szCs w:val="18"/>
              </w:rPr>
              <w:t>6260</w:t>
            </w:r>
          </w:p>
        </w:tc>
        <w:tc>
          <w:tcPr>
            <w:tcW w:w="765" w:type="dxa"/>
            <w:shd w:val="clear" w:color="auto" w:fill="FFFFFF" w:themeFill="background1"/>
          </w:tcPr>
          <w:p w:rsidR="00FB677E" w:rsidRPr="00034477" w:rsidRDefault="00FB677E" w:rsidP="00076967">
            <w:pPr>
              <w:pStyle w:val="ListParagraph"/>
              <w:spacing w:after="0" w:line="180" w:lineRule="exact"/>
              <w:ind w:left="0"/>
              <w:jc w:val="center"/>
              <w:rPr>
                <w:rFonts w:cs="Times New Roman"/>
                <w:sz w:val="18"/>
                <w:szCs w:val="18"/>
              </w:rPr>
            </w:pPr>
            <w:r w:rsidRPr="00034477">
              <w:rPr>
                <w:rFonts w:cs="Times New Roman"/>
                <w:sz w:val="18"/>
                <w:szCs w:val="18"/>
              </w:rPr>
              <w:t>10%</w:t>
            </w:r>
          </w:p>
        </w:tc>
        <w:tc>
          <w:tcPr>
            <w:tcW w:w="990" w:type="dxa"/>
            <w:shd w:val="clear" w:color="auto" w:fill="FFFFFF" w:themeFill="background1"/>
          </w:tcPr>
          <w:p w:rsidR="00FB677E" w:rsidRPr="00034477" w:rsidRDefault="00FB677E" w:rsidP="00076967">
            <w:pPr>
              <w:pStyle w:val="ListParagraph"/>
              <w:spacing w:after="0" w:line="180" w:lineRule="exact"/>
              <w:ind w:left="0"/>
              <w:jc w:val="center"/>
              <w:rPr>
                <w:rFonts w:cs="Times New Roman"/>
                <w:sz w:val="18"/>
                <w:szCs w:val="18"/>
              </w:rPr>
            </w:pPr>
            <w:r w:rsidRPr="00034477">
              <w:rPr>
                <w:rFonts w:cs="Times New Roman"/>
                <w:sz w:val="18"/>
                <w:szCs w:val="18"/>
              </w:rPr>
              <w:t>20040115</w:t>
            </w:r>
          </w:p>
        </w:tc>
      </w:tr>
      <w:tr w:rsidR="00FB677E" w:rsidRPr="00396779" w:rsidTr="002205FA">
        <w:trPr>
          <w:trHeight w:val="125"/>
          <w:jc w:val="center"/>
        </w:trPr>
        <w:tc>
          <w:tcPr>
            <w:tcW w:w="4455" w:type="dxa"/>
            <w:gridSpan w:val="3"/>
            <w:vMerge/>
            <w:tcBorders>
              <w:right w:val="thinThickThinSmallGap" w:sz="24" w:space="0" w:color="auto"/>
            </w:tcBorders>
            <w:shd w:val="clear" w:color="auto" w:fill="FFFFFF" w:themeFill="background1"/>
          </w:tcPr>
          <w:p w:rsidR="00FB677E" w:rsidRPr="00B86EDF" w:rsidRDefault="00FB677E" w:rsidP="00076967">
            <w:pPr>
              <w:pStyle w:val="ListParagraph"/>
              <w:spacing w:after="0" w:line="180" w:lineRule="exact"/>
              <w:ind w:left="0"/>
              <w:jc w:val="center"/>
              <w:rPr>
                <w:rFonts w:cs="Times New Roman"/>
                <w:sz w:val="18"/>
                <w:szCs w:val="18"/>
              </w:rPr>
            </w:pPr>
          </w:p>
        </w:tc>
        <w:tc>
          <w:tcPr>
            <w:tcW w:w="3825" w:type="dxa"/>
            <w:gridSpan w:val="3"/>
            <w:tcBorders>
              <w:left w:val="thinThickThinSmallGap" w:sz="24" w:space="0" w:color="auto"/>
            </w:tcBorders>
            <w:shd w:val="clear" w:color="auto" w:fill="FFFFFF" w:themeFill="background1"/>
          </w:tcPr>
          <w:p w:rsidR="00FB677E" w:rsidRPr="00034477" w:rsidRDefault="00FB677E" w:rsidP="00076967">
            <w:pPr>
              <w:pStyle w:val="ListParagraph"/>
              <w:spacing w:after="0" w:line="180" w:lineRule="exact"/>
              <w:ind w:left="0"/>
              <w:jc w:val="center"/>
              <w:rPr>
                <w:rFonts w:cs="Times New Roman"/>
                <w:sz w:val="18"/>
                <w:szCs w:val="18"/>
              </w:rPr>
            </w:pPr>
            <w:r w:rsidRPr="00034477">
              <w:rPr>
                <w:rFonts w:cs="Times New Roman"/>
                <w:sz w:val="18"/>
                <w:szCs w:val="18"/>
              </w:rPr>
              <w:t>NSC</w:t>
            </w:r>
            <w:r>
              <w:rPr>
                <w:rFonts w:cs="Times New Roman"/>
                <w:sz w:val="18"/>
                <w:szCs w:val="18"/>
              </w:rPr>
              <w:t xml:space="preserve"> x 2</w:t>
            </w:r>
          </w:p>
        </w:tc>
        <w:tc>
          <w:tcPr>
            <w:tcW w:w="990" w:type="dxa"/>
            <w:shd w:val="clear" w:color="auto" w:fill="FFFFFF" w:themeFill="background1"/>
          </w:tcPr>
          <w:p w:rsidR="00FB677E" w:rsidRPr="00034477" w:rsidRDefault="00FB677E" w:rsidP="00076967">
            <w:pPr>
              <w:pStyle w:val="ListParagraph"/>
              <w:spacing w:after="0" w:line="180" w:lineRule="exact"/>
              <w:ind w:left="0"/>
              <w:jc w:val="center"/>
              <w:rPr>
                <w:rFonts w:cs="Times New Roman"/>
                <w:sz w:val="18"/>
                <w:szCs w:val="18"/>
              </w:rPr>
            </w:pPr>
            <w:r w:rsidRPr="00034477">
              <w:rPr>
                <w:rFonts w:cs="Times New Roman"/>
                <w:sz w:val="18"/>
                <w:szCs w:val="18"/>
              </w:rPr>
              <w:t>20040115</w:t>
            </w:r>
          </w:p>
        </w:tc>
      </w:tr>
      <w:tr w:rsidR="00E86BAD" w:rsidRPr="00396779" w:rsidTr="002205FA">
        <w:trPr>
          <w:trHeight w:val="242"/>
          <w:jc w:val="center"/>
        </w:trPr>
        <w:tc>
          <w:tcPr>
            <w:tcW w:w="4455" w:type="dxa"/>
            <w:gridSpan w:val="3"/>
            <w:tcBorders>
              <w:right w:val="thinThickThinSmallGap" w:sz="24" w:space="0" w:color="auto"/>
            </w:tcBorders>
            <w:shd w:val="clear" w:color="auto" w:fill="D9D9D9" w:themeFill="background1" w:themeFillShade="D9"/>
          </w:tcPr>
          <w:p w:rsidR="00E86BAD" w:rsidRPr="00B86EDF" w:rsidRDefault="00B86EDF" w:rsidP="00F326EA">
            <w:pPr>
              <w:pStyle w:val="ListParagraph"/>
              <w:spacing w:after="0" w:line="240" w:lineRule="exact"/>
              <w:ind w:left="0"/>
              <w:jc w:val="center"/>
              <w:rPr>
                <w:rFonts w:cs="Times New Roman"/>
                <w:b/>
                <w:sz w:val="18"/>
                <w:szCs w:val="18"/>
              </w:rPr>
            </w:pPr>
            <w:r>
              <w:rPr>
                <w:rFonts w:cs="Times New Roman"/>
                <w:b/>
                <w:sz w:val="18"/>
                <w:szCs w:val="18"/>
              </w:rPr>
              <w:t>FINAL</w:t>
            </w:r>
            <w:r w:rsidR="00E86BAD" w:rsidRPr="00B86EDF">
              <w:rPr>
                <w:rFonts w:cs="Times New Roman"/>
                <w:b/>
                <w:sz w:val="18"/>
                <w:szCs w:val="18"/>
              </w:rPr>
              <w:t xml:space="preserve"> Combined: 10%</w:t>
            </w:r>
          </w:p>
        </w:tc>
        <w:tc>
          <w:tcPr>
            <w:tcW w:w="4815" w:type="dxa"/>
            <w:gridSpan w:val="4"/>
            <w:tcBorders>
              <w:left w:val="thinThickThinSmallGap" w:sz="24" w:space="0" w:color="auto"/>
            </w:tcBorders>
            <w:shd w:val="clear" w:color="auto" w:fill="D9D9D9" w:themeFill="background1" w:themeFillShade="D9"/>
          </w:tcPr>
          <w:p w:rsidR="00E86BAD" w:rsidRPr="00B86EDF" w:rsidRDefault="00E86BAD" w:rsidP="00E86BAD">
            <w:pPr>
              <w:pStyle w:val="ListParagraph"/>
              <w:spacing w:after="0" w:line="240" w:lineRule="exact"/>
              <w:ind w:left="0"/>
              <w:jc w:val="center"/>
              <w:rPr>
                <w:rFonts w:cs="Times New Roman"/>
                <w:b/>
                <w:sz w:val="18"/>
                <w:szCs w:val="18"/>
              </w:rPr>
            </w:pPr>
            <w:r w:rsidRPr="00B86EDF">
              <w:rPr>
                <w:rFonts w:cs="Times New Roman"/>
                <w:b/>
                <w:sz w:val="18"/>
                <w:szCs w:val="18"/>
              </w:rPr>
              <w:t>TOTAL Combined (</w:t>
            </w:r>
            <w:r w:rsidRPr="00B86EDF">
              <w:rPr>
                <w:rFonts w:cs="Times New Roman"/>
                <w:b/>
                <w:i/>
                <w:sz w:val="18"/>
                <w:szCs w:val="18"/>
              </w:rPr>
              <w:t>Includes Non-PEB Conditions</w:t>
            </w:r>
            <w:r w:rsidRPr="00B86EDF">
              <w:rPr>
                <w:rFonts w:cs="Times New Roman"/>
                <w:b/>
                <w:sz w:val="18"/>
                <w:szCs w:val="18"/>
              </w:rPr>
              <w:t>): 40%</w:t>
            </w:r>
          </w:p>
        </w:tc>
      </w:tr>
    </w:tbl>
    <w:p w:rsidR="00B427BB" w:rsidRPr="00C276CD" w:rsidRDefault="00B427BB" w:rsidP="00B427BB">
      <w:pPr>
        <w:rPr>
          <w:color w:val="auto"/>
        </w:rPr>
      </w:pPr>
      <w:r w:rsidRPr="00C276CD">
        <w:rPr>
          <w:rFonts w:asciiTheme="minorHAnsi" w:hAnsiTheme="minorHAnsi"/>
          <w:color w:val="auto"/>
        </w:rPr>
        <w:t>______________________________________________________________________________</w:t>
      </w:r>
    </w:p>
    <w:p w:rsidR="002205FA" w:rsidRDefault="002205FA" w:rsidP="000C65A0">
      <w:pPr>
        <w:spacing w:line="240" w:lineRule="exact"/>
        <w:jc w:val="both"/>
        <w:rPr>
          <w:rFonts w:asciiTheme="minorHAnsi" w:hAnsiTheme="minorHAnsi"/>
          <w:color w:val="auto"/>
          <w:szCs w:val="24"/>
          <w:u w:val="single"/>
        </w:rPr>
      </w:pPr>
    </w:p>
    <w:p w:rsidR="00DB63A4" w:rsidRDefault="002C6E5B" w:rsidP="000C65A0">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DB63A4" w:rsidRPr="002A2E80">
        <w:rPr>
          <w:rFonts w:asciiTheme="minorHAnsi" w:hAnsiTheme="minorHAnsi"/>
          <w:color w:val="auto"/>
          <w:szCs w:val="24"/>
        </w:rPr>
        <w:t xml:space="preserve">The Board acknowledges the sentiment expressed in the CI’s application, i.e., that there should be additional disability assigned for his significant impairment </w:t>
      </w:r>
      <w:r w:rsidR="00DB63A4">
        <w:rPr>
          <w:rFonts w:asciiTheme="minorHAnsi" w:hAnsiTheme="minorHAnsi"/>
          <w:color w:val="auto"/>
          <w:szCs w:val="24"/>
        </w:rPr>
        <w:t>from</w:t>
      </w:r>
      <w:r w:rsidR="00DB63A4" w:rsidRPr="002A2E80">
        <w:rPr>
          <w:rFonts w:asciiTheme="minorHAnsi" w:hAnsiTheme="minorHAnsi"/>
          <w:color w:val="auto"/>
          <w:szCs w:val="24"/>
        </w:rPr>
        <w:t xml:space="preserve"> his </w:t>
      </w:r>
      <w:r w:rsidR="00DB63A4" w:rsidRPr="00FB677E">
        <w:rPr>
          <w:rFonts w:asciiTheme="minorHAnsi" w:hAnsiTheme="minorHAnsi"/>
          <w:color w:val="auto"/>
          <w:szCs w:val="24"/>
        </w:rPr>
        <w:t>service-incurred musculoskeletal</w:t>
      </w:r>
      <w:r w:rsidR="00DB63A4" w:rsidRPr="002A2E80">
        <w:rPr>
          <w:rFonts w:asciiTheme="minorHAnsi" w:hAnsiTheme="minorHAnsi"/>
          <w:color w:val="auto"/>
          <w:szCs w:val="24"/>
        </w:rPr>
        <w:t xml:space="preserve"> conditions</w:t>
      </w:r>
      <w:r w:rsidR="002E635C">
        <w:rPr>
          <w:rFonts w:asciiTheme="minorHAnsi" w:hAnsiTheme="minorHAnsi"/>
          <w:color w:val="auto"/>
          <w:szCs w:val="24"/>
        </w:rPr>
        <w:t xml:space="preserve"> </w:t>
      </w:r>
      <w:r w:rsidR="002E635C" w:rsidRPr="00B23519">
        <w:rPr>
          <w:rFonts w:asciiTheme="minorHAnsi" w:hAnsiTheme="minorHAnsi"/>
          <w:color w:val="auto"/>
          <w:szCs w:val="24"/>
        </w:rPr>
        <w:t>which have worsened over time</w:t>
      </w:r>
      <w:r w:rsidR="00DB63A4" w:rsidRPr="00B23519">
        <w:rPr>
          <w:rFonts w:asciiTheme="minorHAnsi" w:hAnsiTheme="minorHAnsi"/>
          <w:color w:val="auto"/>
          <w:szCs w:val="24"/>
        </w:rPr>
        <w:t>.</w:t>
      </w:r>
      <w:r w:rsidR="00DB63A4" w:rsidRPr="002A2E80">
        <w:rPr>
          <w:rFonts w:asciiTheme="minorHAnsi" w:hAnsiTheme="minorHAnsi"/>
          <w:color w:val="auto"/>
          <w:szCs w:val="24"/>
        </w:rPr>
        <w:t xml:space="preserve">  It is a fact, however, that the </w:t>
      </w:r>
      <w:r w:rsidR="002205FA">
        <w:rPr>
          <w:rFonts w:asciiTheme="minorHAnsi" w:hAnsiTheme="minorHAnsi"/>
          <w:color w:val="auto"/>
          <w:szCs w:val="24"/>
        </w:rPr>
        <w:t>Disability Evaluation System (</w:t>
      </w:r>
      <w:r w:rsidR="00DB63A4" w:rsidRPr="002A2E80">
        <w:rPr>
          <w:rFonts w:asciiTheme="minorHAnsi" w:hAnsiTheme="minorHAnsi"/>
          <w:color w:val="auto"/>
          <w:szCs w:val="24"/>
        </w:rPr>
        <w:t>DES</w:t>
      </w:r>
      <w:r w:rsidR="002205FA">
        <w:rPr>
          <w:rFonts w:asciiTheme="minorHAnsi" w:hAnsiTheme="minorHAnsi"/>
          <w:color w:val="auto"/>
          <w:szCs w:val="24"/>
        </w:rPr>
        <w:t>)</w:t>
      </w:r>
      <w:r w:rsidR="00DB63A4" w:rsidRPr="002A2E80">
        <w:rPr>
          <w:rFonts w:asciiTheme="minorHAnsi" w:hAnsiTheme="minorHAnsi"/>
          <w:color w:val="auto"/>
          <w:szCs w:val="24"/>
        </w:rPr>
        <w:t xml:space="preserve"> has neither the role nor the authority to compensate service members for anticipated future severity or potential complications of conditions incurred in service or resulting in medical separation</w:t>
      </w:r>
      <w:r w:rsidR="00DB63A4">
        <w:rPr>
          <w:rFonts w:asciiTheme="minorHAnsi" w:hAnsiTheme="minorHAnsi"/>
          <w:color w:val="auto"/>
          <w:szCs w:val="24"/>
        </w:rPr>
        <w:t xml:space="preserve">.  </w:t>
      </w:r>
      <w:r w:rsidR="00DB63A4" w:rsidRPr="002A2E80">
        <w:rPr>
          <w:rFonts w:asciiTheme="minorHAnsi" w:hAnsiTheme="minorHAnsi"/>
          <w:color w:val="auto"/>
          <w:szCs w:val="24"/>
        </w:rPr>
        <w:t xml:space="preserve">The Board’s authority resides in evaluating the </w:t>
      </w:r>
      <w:r w:rsidR="00DB63A4" w:rsidRPr="00D41EB2">
        <w:rPr>
          <w:rFonts w:asciiTheme="minorHAnsi" w:hAnsiTheme="minorHAnsi"/>
          <w:color w:val="auto"/>
          <w:szCs w:val="24"/>
        </w:rPr>
        <w:t>fairness of DES fitness decisions and rating determinations for disabilit</w:t>
      </w:r>
      <w:r w:rsidR="00274226">
        <w:rPr>
          <w:rFonts w:asciiTheme="minorHAnsi" w:hAnsiTheme="minorHAnsi"/>
          <w:color w:val="auto"/>
          <w:szCs w:val="24"/>
        </w:rPr>
        <w:t>y at the time of separation</w:t>
      </w:r>
      <w:r w:rsidR="00DB63A4" w:rsidRPr="00D41EB2">
        <w:rPr>
          <w:rFonts w:asciiTheme="minorHAnsi" w:hAnsiTheme="minorHAnsi"/>
          <w:color w:val="auto"/>
          <w:szCs w:val="24"/>
        </w:rPr>
        <w:t xml:space="preserve">.  </w:t>
      </w:r>
      <w:r w:rsidR="00274226">
        <w:rPr>
          <w:rFonts w:asciiTheme="minorHAnsi" w:hAnsiTheme="minorHAnsi"/>
          <w:color w:val="auto"/>
          <w:szCs w:val="24"/>
        </w:rPr>
        <w:t>T</w:t>
      </w:r>
      <w:r w:rsidR="00DB63A4" w:rsidRPr="00D41EB2">
        <w:rPr>
          <w:rFonts w:asciiTheme="minorHAnsi" w:hAnsiTheme="minorHAnsi"/>
          <w:color w:val="auto"/>
          <w:szCs w:val="24"/>
        </w:rPr>
        <w:t xml:space="preserve">he mere presence of a diagnosis is not sufficient to render the condition unfitting.  However, the Department of Veterans Affairs, operating under a different set of laws (Title 38, United States Code), is empowered to periodically re-evaluate veterans for the purpose of adjusting the disability rating should his degree of impairment vary over time.  </w:t>
      </w:r>
    </w:p>
    <w:p w:rsidR="002C6E5B" w:rsidRPr="00396779" w:rsidRDefault="002C6E5B" w:rsidP="00AF1668">
      <w:pPr>
        <w:tabs>
          <w:tab w:val="left" w:pos="288"/>
          <w:tab w:val="left" w:pos="4752"/>
        </w:tabs>
        <w:spacing w:line="240" w:lineRule="exact"/>
        <w:rPr>
          <w:rFonts w:asciiTheme="minorHAnsi" w:hAnsiTheme="minorHAnsi"/>
          <w:color w:val="auto"/>
          <w:szCs w:val="24"/>
        </w:rPr>
      </w:pPr>
    </w:p>
    <w:p w:rsidR="00D90705" w:rsidRDefault="00FB677E" w:rsidP="000C65A0">
      <w:pPr>
        <w:pStyle w:val="PlainText"/>
        <w:spacing w:line="240" w:lineRule="exact"/>
        <w:jc w:val="both"/>
        <w:rPr>
          <w:rFonts w:asciiTheme="minorHAnsi" w:hAnsiTheme="minorHAnsi" w:cs="Arial"/>
          <w:color w:val="000000"/>
          <w:sz w:val="24"/>
          <w:szCs w:val="24"/>
        </w:rPr>
      </w:pPr>
      <w:proofErr w:type="gramStart"/>
      <w:r w:rsidRPr="00FB677E">
        <w:rPr>
          <w:rFonts w:asciiTheme="minorHAnsi" w:hAnsiTheme="minorHAnsi" w:cs="Arial"/>
          <w:color w:val="000000"/>
          <w:sz w:val="24"/>
          <w:szCs w:val="24"/>
          <w:u w:val="single"/>
        </w:rPr>
        <w:t xml:space="preserve">Left </w:t>
      </w:r>
      <w:r w:rsidR="002205FA">
        <w:rPr>
          <w:rFonts w:asciiTheme="minorHAnsi" w:hAnsiTheme="minorHAnsi" w:cs="Arial"/>
          <w:color w:val="000000"/>
          <w:sz w:val="24"/>
          <w:szCs w:val="24"/>
          <w:u w:val="single"/>
        </w:rPr>
        <w:t>A</w:t>
      </w:r>
      <w:r w:rsidRPr="00FB677E">
        <w:rPr>
          <w:rFonts w:asciiTheme="minorHAnsi" w:hAnsiTheme="minorHAnsi" w:cs="Arial"/>
          <w:color w:val="000000"/>
          <w:sz w:val="24"/>
          <w:szCs w:val="24"/>
          <w:u w:val="single"/>
        </w:rPr>
        <w:t>nkle</w:t>
      </w:r>
      <w:r>
        <w:rPr>
          <w:rFonts w:asciiTheme="minorHAnsi" w:hAnsiTheme="minorHAnsi" w:cs="Arial"/>
          <w:color w:val="000000"/>
          <w:sz w:val="24"/>
          <w:szCs w:val="24"/>
        </w:rPr>
        <w:t>.</w:t>
      </w:r>
      <w:proofErr w:type="gramEnd"/>
      <w:r>
        <w:rPr>
          <w:rFonts w:asciiTheme="minorHAnsi" w:hAnsiTheme="minorHAnsi" w:cs="Arial"/>
          <w:color w:val="000000"/>
          <w:sz w:val="24"/>
          <w:szCs w:val="24"/>
        </w:rPr>
        <w:t xml:space="preserve">  </w:t>
      </w:r>
      <w:r w:rsidR="006F264D">
        <w:rPr>
          <w:rFonts w:asciiTheme="minorHAnsi" w:hAnsiTheme="minorHAnsi" w:cs="Arial"/>
          <w:color w:val="000000"/>
          <w:sz w:val="24"/>
          <w:szCs w:val="24"/>
        </w:rPr>
        <w:t xml:space="preserve">The CI had a </w:t>
      </w:r>
      <w:r w:rsidR="0093125C">
        <w:rPr>
          <w:rFonts w:asciiTheme="minorHAnsi" w:hAnsiTheme="minorHAnsi" w:cs="Arial"/>
          <w:color w:val="000000"/>
          <w:sz w:val="24"/>
          <w:szCs w:val="24"/>
        </w:rPr>
        <w:t xml:space="preserve">distal avulsion fracture </w:t>
      </w:r>
      <w:r w:rsidR="001770E0">
        <w:rPr>
          <w:rFonts w:asciiTheme="minorHAnsi" w:hAnsiTheme="minorHAnsi" w:cs="Arial"/>
          <w:color w:val="000000"/>
          <w:sz w:val="24"/>
          <w:szCs w:val="24"/>
        </w:rPr>
        <w:t>of the tibia</w:t>
      </w:r>
      <w:r w:rsidR="006F264D">
        <w:rPr>
          <w:rFonts w:asciiTheme="minorHAnsi" w:hAnsiTheme="minorHAnsi" w:cs="Arial"/>
          <w:color w:val="000000"/>
          <w:sz w:val="24"/>
          <w:szCs w:val="24"/>
        </w:rPr>
        <w:t>;</w:t>
      </w:r>
      <w:r w:rsidR="0093125C">
        <w:rPr>
          <w:rFonts w:asciiTheme="minorHAnsi" w:hAnsiTheme="minorHAnsi" w:cs="Arial"/>
          <w:color w:val="000000"/>
          <w:sz w:val="24"/>
          <w:szCs w:val="24"/>
        </w:rPr>
        <w:t xml:space="preserve"> arthroscopic repair of a chondral defect of the left lateral talar dome was performed </w:t>
      </w:r>
      <w:r w:rsidR="002205FA">
        <w:rPr>
          <w:rFonts w:asciiTheme="minorHAnsi" w:hAnsiTheme="minorHAnsi" w:cs="Arial"/>
          <w:color w:val="000000"/>
          <w:sz w:val="24"/>
          <w:szCs w:val="24"/>
        </w:rPr>
        <w:t xml:space="preserve">on 8 January </w:t>
      </w:r>
      <w:r w:rsidR="0093125C">
        <w:rPr>
          <w:rFonts w:asciiTheme="minorHAnsi" w:hAnsiTheme="minorHAnsi" w:cs="Arial"/>
          <w:color w:val="000000"/>
          <w:sz w:val="24"/>
          <w:szCs w:val="24"/>
        </w:rPr>
        <w:t xml:space="preserve">2000.  </w:t>
      </w:r>
      <w:r w:rsidR="006F264D">
        <w:rPr>
          <w:rFonts w:asciiTheme="minorHAnsi" w:hAnsiTheme="minorHAnsi" w:cs="Arial"/>
          <w:color w:val="000000"/>
          <w:sz w:val="24"/>
          <w:szCs w:val="24"/>
        </w:rPr>
        <w:t xml:space="preserve">Symptoms persisted and </w:t>
      </w:r>
      <w:r w:rsidR="0093125C">
        <w:rPr>
          <w:rFonts w:asciiTheme="minorHAnsi" w:hAnsiTheme="minorHAnsi" w:cs="Arial"/>
          <w:color w:val="000000"/>
          <w:sz w:val="24"/>
          <w:szCs w:val="24"/>
        </w:rPr>
        <w:t>debridement of the left ankle with open arthrotomy of a bony spur and cartilaginous damage removal</w:t>
      </w:r>
      <w:r w:rsidR="006F264D">
        <w:rPr>
          <w:rFonts w:asciiTheme="minorHAnsi" w:hAnsiTheme="minorHAnsi" w:cs="Arial"/>
          <w:color w:val="000000"/>
          <w:sz w:val="24"/>
          <w:szCs w:val="24"/>
        </w:rPr>
        <w:t xml:space="preserve"> was performed on </w:t>
      </w:r>
      <w:r w:rsidR="002205FA">
        <w:rPr>
          <w:rFonts w:asciiTheme="minorHAnsi" w:hAnsiTheme="minorHAnsi" w:cs="Arial"/>
          <w:color w:val="000000"/>
          <w:sz w:val="24"/>
          <w:szCs w:val="24"/>
        </w:rPr>
        <w:t xml:space="preserve">8 August </w:t>
      </w:r>
      <w:r w:rsidR="006F264D">
        <w:rPr>
          <w:rFonts w:asciiTheme="minorHAnsi" w:hAnsiTheme="minorHAnsi" w:cs="Arial"/>
          <w:color w:val="000000"/>
          <w:sz w:val="24"/>
          <w:szCs w:val="24"/>
        </w:rPr>
        <w:t>2001</w:t>
      </w:r>
      <w:r w:rsidR="0093125C">
        <w:rPr>
          <w:rFonts w:asciiTheme="minorHAnsi" w:hAnsiTheme="minorHAnsi" w:cs="Arial"/>
          <w:color w:val="000000"/>
          <w:sz w:val="24"/>
          <w:szCs w:val="24"/>
        </w:rPr>
        <w:t xml:space="preserve">.  </w:t>
      </w:r>
      <w:r w:rsidR="006F264D">
        <w:rPr>
          <w:rFonts w:asciiTheme="minorHAnsi" w:hAnsiTheme="minorHAnsi" w:cs="Arial"/>
          <w:color w:val="000000"/>
          <w:sz w:val="24"/>
          <w:szCs w:val="24"/>
        </w:rPr>
        <w:t>An</w:t>
      </w:r>
      <w:r w:rsidR="0093125C">
        <w:rPr>
          <w:rFonts w:asciiTheme="minorHAnsi" w:hAnsiTheme="minorHAnsi" w:cs="Arial"/>
          <w:color w:val="000000"/>
          <w:sz w:val="24"/>
          <w:szCs w:val="24"/>
        </w:rPr>
        <w:t xml:space="preserve"> </w:t>
      </w:r>
      <w:r w:rsidR="002205FA">
        <w:rPr>
          <w:rFonts w:asciiTheme="minorHAnsi" w:hAnsiTheme="minorHAnsi" w:cs="Arial"/>
          <w:color w:val="000000"/>
          <w:sz w:val="24"/>
          <w:szCs w:val="24"/>
        </w:rPr>
        <w:t>o</w:t>
      </w:r>
      <w:r w:rsidR="0093125C">
        <w:rPr>
          <w:rFonts w:asciiTheme="minorHAnsi" w:hAnsiTheme="minorHAnsi" w:cs="Arial"/>
          <w:color w:val="000000"/>
          <w:sz w:val="24"/>
          <w:szCs w:val="24"/>
        </w:rPr>
        <w:t>rthopedist recommended return to full duty; however, the CI stated that he could not stand for longer than thirty minutes or walk without pain</w:t>
      </w:r>
      <w:r w:rsidR="006F264D">
        <w:rPr>
          <w:rFonts w:asciiTheme="minorHAnsi" w:hAnsiTheme="minorHAnsi" w:cs="Arial"/>
          <w:color w:val="000000"/>
          <w:sz w:val="24"/>
          <w:szCs w:val="24"/>
        </w:rPr>
        <w:t>.  H</w:t>
      </w:r>
      <w:r w:rsidR="0093125C">
        <w:rPr>
          <w:rFonts w:asciiTheme="minorHAnsi" w:hAnsiTheme="minorHAnsi" w:cs="Arial"/>
          <w:color w:val="000000"/>
          <w:sz w:val="24"/>
          <w:szCs w:val="24"/>
        </w:rPr>
        <w:t xml:space="preserve">e was again referred for PEB consideration.  </w:t>
      </w:r>
      <w:r w:rsidR="00D90705">
        <w:rPr>
          <w:rFonts w:asciiTheme="minorHAnsi" w:hAnsiTheme="minorHAnsi" w:cs="Arial"/>
          <w:color w:val="000000"/>
          <w:sz w:val="24"/>
          <w:szCs w:val="24"/>
        </w:rPr>
        <w:t xml:space="preserve">Two goniometric </w:t>
      </w:r>
      <w:proofErr w:type="gramStart"/>
      <w:r w:rsidR="002205FA">
        <w:rPr>
          <w:rFonts w:asciiTheme="minorHAnsi" w:hAnsiTheme="minorHAnsi" w:cs="Arial"/>
          <w:color w:val="000000"/>
          <w:sz w:val="24"/>
          <w:szCs w:val="24"/>
        </w:rPr>
        <w:t>range</w:t>
      </w:r>
      <w:proofErr w:type="gramEnd"/>
      <w:r w:rsidR="002205FA">
        <w:rPr>
          <w:rFonts w:asciiTheme="minorHAnsi" w:hAnsiTheme="minorHAnsi" w:cs="Arial"/>
          <w:color w:val="000000"/>
          <w:sz w:val="24"/>
          <w:szCs w:val="24"/>
        </w:rPr>
        <w:t xml:space="preserve"> of motion (ROM) </w:t>
      </w:r>
      <w:r w:rsidR="00D90705">
        <w:rPr>
          <w:rFonts w:asciiTheme="minorHAnsi" w:hAnsiTheme="minorHAnsi" w:cs="Arial"/>
          <w:color w:val="000000"/>
          <w:sz w:val="24"/>
          <w:szCs w:val="24"/>
        </w:rPr>
        <w:t>exams bracketing separation</w:t>
      </w:r>
      <w:r w:rsidR="00C31A7B" w:rsidRPr="00C31A7B">
        <w:rPr>
          <w:rFonts w:asciiTheme="minorHAnsi" w:hAnsiTheme="minorHAnsi" w:cs="Arial"/>
          <w:color w:val="000000"/>
          <w:sz w:val="24"/>
          <w:szCs w:val="24"/>
        </w:rPr>
        <w:t xml:space="preserve"> </w:t>
      </w:r>
      <w:r w:rsidR="00C31A7B">
        <w:rPr>
          <w:rFonts w:asciiTheme="minorHAnsi" w:hAnsiTheme="minorHAnsi" w:cs="Arial"/>
          <w:color w:val="000000"/>
          <w:sz w:val="24"/>
          <w:szCs w:val="24"/>
        </w:rPr>
        <w:t>are in evidence</w:t>
      </w:r>
      <w:r w:rsidR="00D90705">
        <w:rPr>
          <w:rFonts w:asciiTheme="minorHAnsi" w:hAnsiTheme="minorHAnsi" w:cs="Arial"/>
          <w:color w:val="000000"/>
          <w:sz w:val="24"/>
          <w:szCs w:val="24"/>
        </w:rPr>
        <w:t>.</w:t>
      </w:r>
    </w:p>
    <w:p w:rsidR="00D90705" w:rsidRDefault="00D90705" w:rsidP="00DB63A4">
      <w:pPr>
        <w:pStyle w:val="PlainText"/>
        <w:spacing w:line="240" w:lineRule="exact"/>
        <w:rPr>
          <w:rFonts w:asciiTheme="minorHAnsi" w:hAnsiTheme="minorHAnsi" w:cs="Arial"/>
          <w:color w:val="000000"/>
          <w:sz w:val="24"/>
          <w:szCs w:val="24"/>
        </w:rPr>
      </w:pPr>
    </w:p>
    <w:tbl>
      <w:tblPr>
        <w:tblW w:w="6739" w:type="dxa"/>
        <w:jc w:val="center"/>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9"/>
        <w:gridCol w:w="2070"/>
        <w:gridCol w:w="2340"/>
      </w:tblGrid>
      <w:tr w:rsidR="00C00D42" w:rsidRPr="0013147A" w:rsidTr="008A7633">
        <w:trPr>
          <w:trHeight w:val="467"/>
          <w:jc w:val="center"/>
        </w:trPr>
        <w:tc>
          <w:tcPr>
            <w:tcW w:w="232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C00D42" w:rsidRPr="0013147A" w:rsidRDefault="00C00D42" w:rsidP="00EE73E8">
            <w:pPr>
              <w:spacing w:line="200" w:lineRule="exact"/>
              <w:jc w:val="center"/>
              <w:rPr>
                <w:rFonts w:asciiTheme="minorHAnsi" w:eastAsia="Calibri" w:hAnsiTheme="minorHAnsi"/>
                <w:color w:val="000000" w:themeColor="text1"/>
                <w:sz w:val="20"/>
              </w:rPr>
            </w:pPr>
            <w:r w:rsidRPr="0013147A">
              <w:rPr>
                <w:rFonts w:asciiTheme="minorHAnsi" w:eastAsia="Calibri" w:hAnsiTheme="minorHAnsi"/>
                <w:color w:val="000000" w:themeColor="text1"/>
                <w:sz w:val="20"/>
              </w:rPr>
              <w:t>Goniometric ROM –</w:t>
            </w:r>
          </w:p>
          <w:p w:rsidR="00C00D42" w:rsidRPr="0013147A" w:rsidRDefault="00C00D42" w:rsidP="00EE73E8">
            <w:pPr>
              <w:spacing w:line="200" w:lineRule="exact"/>
              <w:jc w:val="center"/>
              <w:rPr>
                <w:rFonts w:asciiTheme="minorHAnsi" w:eastAsia="Calibri" w:hAnsiTheme="minorHAnsi"/>
                <w:color w:val="000000" w:themeColor="text1"/>
                <w:sz w:val="20"/>
              </w:rPr>
            </w:pPr>
            <w:r w:rsidRPr="0013147A">
              <w:rPr>
                <w:rFonts w:asciiTheme="minorHAnsi" w:eastAsia="Calibri" w:hAnsiTheme="minorHAnsi"/>
                <w:color w:val="000000" w:themeColor="text1"/>
                <w:sz w:val="20"/>
              </w:rPr>
              <w:t>Ankles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00D42" w:rsidRPr="0013147A" w:rsidRDefault="00C00D42" w:rsidP="00C00D42">
            <w:pPr>
              <w:spacing w:line="200" w:lineRule="exact"/>
              <w:jc w:val="center"/>
              <w:rPr>
                <w:rFonts w:asciiTheme="minorHAnsi" w:eastAsia="Calibri" w:hAnsiTheme="minorHAnsi"/>
                <w:color w:val="000000" w:themeColor="text1"/>
                <w:sz w:val="20"/>
              </w:rPr>
            </w:pPr>
            <w:r w:rsidRPr="0013147A">
              <w:rPr>
                <w:rFonts w:asciiTheme="minorHAnsi" w:eastAsia="Calibri" w:hAnsiTheme="minorHAnsi"/>
                <w:color w:val="000000" w:themeColor="text1"/>
                <w:sz w:val="20"/>
              </w:rPr>
              <w:t xml:space="preserve">MEB ~ </w:t>
            </w:r>
            <w:r>
              <w:rPr>
                <w:rFonts w:asciiTheme="minorHAnsi" w:eastAsia="Calibri" w:hAnsiTheme="minorHAnsi"/>
                <w:color w:val="000000" w:themeColor="text1"/>
                <w:sz w:val="20"/>
              </w:rPr>
              <w:t>8</w:t>
            </w:r>
            <w:r w:rsidRPr="0013147A">
              <w:rPr>
                <w:rFonts w:asciiTheme="minorHAnsi" w:eastAsia="Calibri" w:hAnsiTheme="minorHAnsi"/>
                <w:color w:val="000000" w:themeColor="text1"/>
                <w:sz w:val="20"/>
              </w:rPr>
              <w:t xml:space="preserve"> Mo. Pre-Sep</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00D42" w:rsidRPr="0013147A" w:rsidRDefault="00C00D42" w:rsidP="00C00D42">
            <w:pPr>
              <w:spacing w:line="200" w:lineRule="exact"/>
              <w:jc w:val="center"/>
              <w:rPr>
                <w:rFonts w:asciiTheme="minorHAnsi" w:eastAsia="Calibri" w:hAnsiTheme="minorHAnsi"/>
                <w:color w:val="000000" w:themeColor="text1"/>
                <w:sz w:val="20"/>
              </w:rPr>
            </w:pPr>
            <w:r w:rsidRPr="0013147A">
              <w:rPr>
                <w:rFonts w:asciiTheme="minorHAnsi" w:eastAsia="Calibri" w:hAnsiTheme="minorHAnsi"/>
                <w:color w:val="000000" w:themeColor="text1"/>
                <w:sz w:val="20"/>
              </w:rPr>
              <w:t>VA</w:t>
            </w:r>
            <w:r w:rsidRPr="0013147A">
              <w:rPr>
                <w:rFonts w:asciiTheme="minorHAnsi" w:eastAsiaTheme="minorHAnsi" w:hAnsiTheme="minorHAnsi" w:cstheme="minorBidi"/>
                <w:color w:val="000000" w:themeColor="text1"/>
                <w:sz w:val="20"/>
              </w:rPr>
              <w:t xml:space="preserve"> C&amp;P </w:t>
            </w:r>
            <w:r w:rsidRPr="0013147A">
              <w:rPr>
                <w:rFonts w:asciiTheme="minorHAnsi" w:eastAsia="Calibri" w:hAnsiTheme="minorHAnsi"/>
                <w:color w:val="000000" w:themeColor="text1"/>
                <w:sz w:val="20"/>
              </w:rPr>
              <w:t xml:space="preserve">~ </w:t>
            </w:r>
            <w:r>
              <w:rPr>
                <w:rFonts w:asciiTheme="minorHAnsi" w:eastAsia="Calibri" w:hAnsiTheme="minorHAnsi"/>
                <w:color w:val="000000" w:themeColor="text1"/>
                <w:sz w:val="20"/>
              </w:rPr>
              <w:t>15</w:t>
            </w:r>
            <w:r w:rsidRPr="0013147A">
              <w:rPr>
                <w:rFonts w:asciiTheme="minorHAnsi" w:eastAsia="Calibri" w:hAnsiTheme="minorHAnsi"/>
                <w:color w:val="000000" w:themeColor="text1"/>
                <w:sz w:val="20"/>
              </w:rPr>
              <w:t xml:space="preserve">Mo. </w:t>
            </w:r>
            <w:r>
              <w:rPr>
                <w:rFonts w:asciiTheme="minorHAnsi" w:eastAsia="Calibri" w:hAnsiTheme="minorHAnsi"/>
                <w:color w:val="000000" w:themeColor="text1"/>
                <w:sz w:val="20"/>
              </w:rPr>
              <w:t>Post</w:t>
            </w:r>
            <w:r w:rsidRPr="0013147A">
              <w:rPr>
                <w:rFonts w:asciiTheme="minorHAnsi" w:eastAsia="Calibri" w:hAnsiTheme="minorHAnsi"/>
                <w:color w:val="000000" w:themeColor="text1"/>
                <w:sz w:val="20"/>
              </w:rPr>
              <w:t>-Sep</w:t>
            </w:r>
          </w:p>
        </w:tc>
      </w:tr>
      <w:tr w:rsidR="00C00D42" w:rsidRPr="0013147A" w:rsidTr="008A7633">
        <w:trPr>
          <w:trHeight w:val="467"/>
          <w:jc w:val="center"/>
        </w:trPr>
        <w:tc>
          <w:tcPr>
            <w:tcW w:w="2329"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C00D42" w:rsidRPr="0013147A" w:rsidRDefault="00C00D42" w:rsidP="00EE73E8">
            <w:pPr>
              <w:spacing w:line="200" w:lineRule="exact"/>
              <w:jc w:val="center"/>
              <w:rPr>
                <w:rFonts w:asciiTheme="minorHAnsi" w:eastAsia="Calibri" w:hAnsiTheme="minorHAnsi"/>
                <w:color w:val="000000" w:themeColor="text1"/>
                <w:sz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00D42" w:rsidRPr="0013147A" w:rsidRDefault="00C00D42" w:rsidP="00EE73E8">
            <w:pPr>
              <w:spacing w:line="200" w:lineRule="exact"/>
              <w:jc w:val="center"/>
              <w:rPr>
                <w:rFonts w:asciiTheme="minorHAnsi" w:eastAsia="Calibri" w:hAnsiTheme="minorHAnsi"/>
                <w:color w:val="000000" w:themeColor="text1"/>
                <w:sz w:val="20"/>
              </w:rPr>
            </w:pPr>
            <w:r>
              <w:rPr>
                <w:rFonts w:asciiTheme="minorHAnsi" w:eastAsia="Calibri" w:hAnsiTheme="minorHAnsi"/>
                <w:color w:val="000000" w:themeColor="text1"/>
                <w:sz w:val="20"/>
              </w:rPr>
              <w:t>Left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00D42" w:rsidRPr="0013147A" w:rsidRDefault="00C00D42" w:rsidP="00EE73E8">
            <w:pPr>
              <w:spacing w:line="200" w:lineRule="exact"/>
              <w:jc w:val="center"/>
              <w:rPr>
                <w:rFonts w:asciiTheme="minorHAnsi" w:eastAsia="Calibri" w:hAnsiTheme="minorHAnsi"/>
                <w:color w:val="000000" w:themeColor="text1"/>
                <w:sz w:val="20"/>
              </w:rPr>
            </w:pPr>
            <w:r>
              <w:rPr>
                <w:rFonts w:asciiTheme="minorHAnsi" w:eastAsia="Calibri" w:hAnsiTheme="minorHAnsi"/>
                <w:color w:val="000000" w:themeColor="text1"/>
                <w:sz w:val="20"/>
              </w:rPr>
              <w:t>Left</w:t>
            </w:r>
          </w:p>
        </w:tc>
      </w:tr>
      <w:tr w:rsidR="00C00D42" w:rsidRPr="0013147A" w:rsidTr="008A7633">
        <w:trPr>
          <w:jc w:val="center"/>
        </w:trPr>
        <w:tc>
          <w:tcPr>
            <w:tcW w:w="2329" w:type="dxa"/>
            <w:tcBorders>
              <w:top w:val="single" w:sz="4" w:space="0" w:color="000000"/>
              <w:left w:val="single" w:sz="4" w:space="0" w:color="000000"/>
              <w:bottom w:val="single" w:sz="4" w:space="0" w:color="000000"/>
              <w:right w:val="single" w:sz="4" w:space="0" w:color="000000"/>
            </w:tcBorders>
            <w:vAlign w:val="center"/>
            <w:hideMark/>
          </w:tcPr>
          <w:p w:rsidR="00C00D42" w:rsidRPr="0013147A" w:rsidRDefault="00C00D42" w:rsidP="00D90705">
            <w:pPr>
              <w:spacing w:line="180" w:lineRule="exact"/>
              <w:rPr>
                <w:rFonts w:asciiTheme="minorHAnsi" w:eastAsia="Calibri" w:hAnsiTheme="minorHAnsi"/>
                <w:color w:val="000000" w:themeColor="text1"/>
                <w:sz w:val="18"/>
                <w:szCs w:val="18"/>
              </w:rPr>
            </w:pPr>
            <w:r w:rsidRPr="0013147A">
              <w:rPr>
                <w:rFonts w:asciiTheme="minorHAnsi" w:eastAsia="Calibri" w:hAnsiTheme="minorHAnsi"/>
                <w:color w:val="000000" w:themeColor="text1"/>
                <w:sz w:val="18"/>
                <w:szCs w:val="18"/>
              </w:rPr>
              <w:t>Dorsiflexion  (0-20)</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C00D42" w:rsidRPr="00B23519" w:rsidRDefault="00C00D42" w:rsidP="00EE73E8">
            <w:pPr>
              <w:spacing w:line="180" w:lineRule="exact"/>
              <w:jc w:val="center"/>
              <w:rPr>
                <w:rFonts w:asciiTheme="minorHAnsi" w:eastAsia="Calibri" w:hAnsiTheme="minorHAnsi"/>
                <w:color w:val="000000" w:themeColor="text1"/>
                <w:sz w:val="18"/>
                <w:szCs w:val="18"/>
              </w:rPr>
            </w:pPr>
            <w:r w:rsidRPr="00B23519">
              <w:rPr>
                <w:rFonts w:asciiTheme="minorHAnsi" w:eastAsia="Calibri" w:hAnsiTheme="minorHAnsi"/>
                <w:color w:val="000000" w:themeColor="text1"/>
                <w:sz w:val="18"/>
                <w:szCs w:val="18"/>
              </w:rPr>
              <w:t>15⁰</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0D42" w:rsidRPr="00B23519" w:rsidRDefault="00C00D42" w:rsidP="00EE73E8">
            <w:pPr>
              <w:spacing w:line="180" w:lineRule="exact"/>
              <w:jc w:val="center"/>
              <w:rPr>
                <w:rFonts w:asciiTheme="minorHAnsi" w:eastAsia="Calibri" w:hAnsiTheme="minorHAnsi"/>
                <w:color w:val="000000" w:themeColor="text1"/>
                <w:sz w:val="18"/>
                <w:szCs w:val="18"/>
              </w:rPr>
            </w:pPr>
            <w:r w:rsidRPr="00B23519">
              <w:rPr>
                <w:rFonts w:asciiTheme="minorHAnsi" w:eastAsia="Calibri" w:hAnsiTheme="minorHAnsi"/>
                <w:color w:val="000000" w:themeColor="text1"/>
                <w:sz w:val="18"/>
                <w:szCs w:val="18"/>
              </w:rPr>
              <w:t>20⁰ (pain at 15⁰)</w:t>
            </w:r>
          </w:p>
        </w:tc>
      </w:tr>
      <w:tr w:rsidR="00C00D42" w:rsidRPr="0013147A" w:rsidTr="008A7633">
        <w:trPr>
          <w:jc w:val="center"/>
        </w:trPr>
        <w:tc>
          <w:tcPr>
            <w:tcW w:w="2329" w:type="dxa"/>
            <w:tcBorders>
              <w:top w:val="single" w:sz="4" w:space="0" w:color="000000"/>
              <w:left w:val="single" w:sz="4" w:space="0" w:color="000000"/>
              <w:bottom w:val="single" w:sz="4" w:space="0" w:color="000000"/>
              <w:right w:val="single" w:sz="4" w:space="0" w:color="000000"/>
            </w:tcBorders>
            <w:vAlign w:val="center"/>
            <w:hideMark/>
          </w:tcPr>
          <w:p w:rsidR="00C00D42" w:rsidRPr="0013147A" w:rsidRDefault="00C00D42" w:rsidP="00D90705">
            <w:pPr>
              <w:spacing w:line="180" w:lineRule="exact"/>
              <w:rPr>
                <w:rFonts w:asciiTheme="minorHAnsi" w:eastAsia="Calibri" w:hAnsiTheme="minorHAnsi"/>
                <w:color w:val="000000" w:themeColor="text1"/>
                <w:sz w:val="18"/>
                <w:szCs w:val="18"/>
              </w:rPr>
            </w:pPr>
            <w:r w:rsidRPr="0013147A">
              <w:rPr>
                <w:rFonts w:asciiTheme="minorHAnsi" w:eastAsia="Calibri" w:hAnsiTheme="minorHAnsi"/>
                <w:color w:val="000000" w:themeColor="text1"/>
                <w:sz w:val="18"/>
                <w:szCs w:val="18"/>
              </w:rPr>
              <w:t>Plantar Flexion (0-45)</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C00D42" w:rsidRPr="00B23519" w:rsidRDefault="00C00D42" w:rsidP="00EE73E8">
            <w:pPr>
              <w:spacing w:line="180" w:lineRule="exact"/>
              <w:jc w:val="center"/>
              <w:rPr>
                <w:rFonts w:asciiTheme="minorHAnsi" w:eastAsia="Calibri" w:hAnsiTheme="minorHAnsi"/>
                <w:color w:val="000000" w:themeColor="text1"/>
                <w:sz w:val="18"/>
                <w:szCs w:val="18"/>
              </w:rPr>
            </w:pPr>
            <w:r w:rsidRPr="00B23519">
              <w:rPr>
                <w:rFonts w:asciiTheme="minorHAnsi" w:eastAsia="Calibri" w:hAnsiTheme="minorHAnsi"/>
                <w:color w:val="000000" w:themeColor="text1"/>
                <w:sz w:val="18"/>
                <w:szCs w:val="18"/>
              </w:rPr>
              <w:t>60-70⁰</w:t>
            </w:r>
            <w:r w:rsidR="00E93362">
              <w:rPr>
                <w:rFonts w:asciiTheme="minorHAnsi" w:eastAsia="Calibri" w:hAnsiTheme="minorHAnsi"/>
                <w:color w:val="000000" w:themeColor="text1"/>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0D42" w:rsidRPr="00B23519" w:rsidRDefault="00C00D42" w:rsidP="00EE73E8">
            <w:pPr>
              <w:spacing w:line="180" w:lineRule="exact"/>
              <w:jc w:val="center"/>
              <w:rPr>
                <w:rFonts w:asciiTheme="minorHAnsi" w:eastAsia="Calibri" w:hAnsiTheme="minorHAnsi"/>
                <w:color w:val="000000" w:themeColor="text1"/>
                <w:sz w:val="18"/>
                <w:szCs w:val="18"/>
              </w:rPr>
            </w:pPr>
            <w:r w:rsidRPr="00B23519">
              <w:rPr>
                <w:rFonts w:asciiTheme="minorHAnsi" w:eastAsia="Calibri" w:hAnsiTheme="minorHAnsi"/>
                <w:color w:val="000000" w:themeColor="text1"/>
                <w:sz w:val="18"/>
                <w:szCs w:val="18"/>
              </w:rPr>
              <w:t>45⁰ (Pain at 35⁰)</w:t>
            </w:r>
          </w:p>
        </w:tc>
      </w:tr>
      <w:tr w:rsidR="00C00D42" w:rsidRPr="0013147A" w:rsidTr="008A7633">
        <w:trPr>
          <w:jc w:val="center"/>
        </w:trPr>
        <w:tc>
          <w:tcPr>
            <w:tcW w:w="2329" w:type="dxa"/>
            <w:tcBorders>
              <w:top w:val="single" w:sz="4" w:space="0" w:color="000000"/>
              <w:left w:val="single" w:sz="4" w:space="0" w:color="000000"/>
              <w:bottom w:val="single" w:sz="4" w:space="0" w:color="000000"/>
              <w:right w:val="single" w:sz="4" w:space="0" w:color="000000"/>
            </w:tcBorders>
            <w:vAlign w:val="center"/>
            <w:hideMark/>
          </w:tcPr>
          <w:p w:rsidR="00C00D42" w:rsidRPr="0013147A" w:rsidRDefault="00C00D42" w:rsidP="00D90705">
            <w:pPr>
              <w:tabs>
                <w:tab w:val="left" w:pos="288"/>
                <w:tab w:val="left" w:pos="4752"/>
              </w:tabs>
              <w:spacing w:line="180" w:lineRule="exact"/>
              <w:rPr>
                <w:rFonts w:asciiTheme="minorHAnsi" w:eastAsiaTheme="minorHAnsi" w:hAnsiTheme="minorHAnsi"/>
                <w:color w:val="000000" w:themeColor="text1"/>
                <w:sz w:val="18"/>
                <w:szCs w:val="18"/>
              </w:rPr>
            </w:pPr>
            <w:r w:rsidRPr="0013147A">
              <w:rPr>
                <w:rFonts w:asciiTheme="minorHAnsi" w:eastAsiaTheme="minorHAnsi" w:hAnsiTheme="minorHAnsi"/>
                <w:color w:val="000000" w:themeColor="text1"/>
                <w:sz w:val="18"/>
                <w:szCs w:val="18"/>
              </w:rPr>
              <w:t>Comment</w:t>
            </w:r>
          </w:p>
        </w:tc>
        <w:tc>
          <w:tcPr>
            <w:tcW w:w="2070" w:type="dxa"/>
            <w:tcBorders>
              <w:top w:val="single" w:sz="4" w:space="0" w:color="000000"/>
              <w:left w:val="single" w:sz="4" w:space="0" w:color="000000"/>
              <w:bottom w:val="single" w:sz="4" w:space="0" w:color="000000"/>
              <w:right w:val="single" w:sz="4" w:space="0" w:color="000000"/>
            </w:tcBorders>
            <w:vAlign w:val="center"/>
          </w:tcPr>
          <w:p w:rsidR="00C00D42" w:rsidRPr="00B23519" w:rsidRDefault="00C00D42" w:rsidP="00EE73E8">
            <w:pPr>
              <w:spacing w:line="180" w:lineRule="exact"/>
              <w:contextualSpacing/>
              <w:rPr>
                <w:rFonts w:asciiTheme="minorHAnsi" w:eastAsia="Calibri" w:hAnsiTheme="minorHAnsi"/>
                <w:color w:val="000000" w:themeColor="text1"/>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C00D42" w:rsidRPr="00B23519" w:rsidRDefault="00C00D42" w:rsidP="00EE73E8">
            <w:pPr>
              <w:spacing w:line="180" w:lineRule="exact"/>
              <w:contextualSpacing/>
              <w:rPr>
                <w:rFonts w:asciiTheme="minorHAnsi" w:eastAsia="Calibri" w:hAnsiTheme="minorHAnsi"/>
                <w:color w:val="000000" w:themeColor="text1"/>
                <w:sz w:val="18"/>
                <w:szCs w:val="18"/>
              </w:rPr>
            </w:pPr>
            <w:r w:rsidRPr="00B23519">
              <w:rPr>
                <w:rFonts w:asciiTheme="minorHAnsi" w:eastAsia="Calibri" w:hAnsiTheme="minorHAnsi"/>
                <w:color w:val="000000" w:themeColor="text1"/>
                <w:sz w:val="18"/>
                <w:szCs w:val="18"/>
              </w:rPr>
              <w:t>DeLuca: Pain with repetition</w:t>
            </w:r>
          </w:p>
        </w:tc>
      </w:tr>
      <w:tr w:rsidR="00C00D42" w:rsidRPr="0013147A" w:rsidTr="008A7633">
        <w:trPr>
          <w:jc w:val="center"/>
        </w:trPr>
        <w:tc>
          <w:tcPr>
            <w:tcW w:w="2329" w:type="dxa"/>
            <w:tcBorders>
              <w:top w:val="single" w:sz="4" w:space="0" w:color="000000"/>
              <w:left w:val="single" w:sz="4" w:space="0" w:color="000000"/>
              <w:bottom w:val="single" w:sz="4" w:space="0" w:color="000000"/>
              <w:right w:val="single" w:sz="4" w:space="0" w:color="000000"/>
            </w:tcBorders>
            <w:vAlign w:val="center"/>
            <w:hideMark/>
          </w:tcPr>
          <w:p w:rsidR="00C00D42" w:rsidRPr="0013147A" w:rsidRDefault="00C00D42" w:rsidP="00D90705">
            <w:pPr>
              <w:tabs>
                <w:tab w:val="left" w:pos="288"/>
                <w:tab w:val="left" w:pos="4752"/>
              </w:tabs>
              <w:spacing w:line="180" w:lineRule="exact"/>
              <w:rPr>
                <w:rFonts w:asciiTheme="minorHAnsi" w:eastAsiaTheme="minorHAnsi" w:hAnsiTheme="minorHAnsi"/>
                <w:color w:val="000000" w:themeColor="text1"/>
                <w:sz w:val="18"/>
                <w:szCs w:val="18"/>
              </w:rPr>
            </w:pPr>
            <w:r w:rsidRPr="0013147A">
              <w:rPr>
                <w:rFonts w:asciiTheme="minorHAnsi" w:eastAsiaTheme="minorHAnsi" w:hAnsiTheme="minorHAnsi"/>
                <w:color w:val="000000" w:themeColor="text1"/>
                <w:sz w:val="18"/>
                <w:szCs w:val="18"/>
              </w:rPr>
              <w:t>§4.71a Rating</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C00D42" w:rsidRPr="00B23519" w:rsidRDefault="005E3E8C" w:rsidP="00EE73E8">
            <w:pPr>
              <w:spacing w:line="180" w:lineRule="exact"/>
              <w:contextualSpacing/>
              <w:jc w:val="center"/>
              <w:rPr>
                <w:rFonts w:asciiTheme="minorHAnsi" w:eastAsia="Calibri" w:hAnsiTheme="minorHAnsi"/>
                <w:color w:val="000000" w:themeColor="text1"/>
                <w:sz w:val="18"/>
                <w:szCs w:val="18"/>
              </w:rPr>
            </w:pPr>
            <w:r w:rsidRPr="00B23519">
              <w:rPr>
                <w:rFonts w:asciiTheme="minorHAnsi" w:eastAsia="Calibri" w:hAnsiTheme="minorHAnsi"/>
                <w:color w:val="000000" w:themeColor="text1"/>
                <w:sz w:val="18"/>
                <w:szCs w:val="18"/>
              </w:rPr>
              <w:t>10</w:t>
            </w:r>
            <w:r w:rsidR="00C00D42" w:rsidRPr="00B23519">
              <w:rPr>
                <w:rFonts w:asciiTheme="minorHAnsi" w:eastAsia="Calibri" w:hAnsiTheme="minorHAnsi"/>
                <w:color w:val="000000" w:themeColor="text1"/>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0D42" w:rsidRPr="00B23519" w:rsidRDefault="005E3E8C" w:rsidP="00EE73E8">
            <w:pPr>
              <w:spacing w:line="180" w:lineRule="exact"/>
              <w:contextualSpacing/>
              <w:jc w:val="center"/>
              <w:rPr>
                <w:rFonts w:asciiTheme="minorHAnsi" w:eastAsia="Calibri" w:hAnsiTheme="minorHAnsi"/>
                <w:color w:val="000000" w:themeColor="text1"/>
                <w:sz w:val="18"/>
                <w:szCs w:val="18"/>
              </w:rPr>
            </w:pPr>
            <w:r w:rsidRPr="00B23519">
              <w:rPr>
                <w:rFonts w:asciiTheme="minorHAnsi" w:eastAsia="Calibri" w:hAnsiTheme="minorHAnsi"/>
                <w:color w:val="000000" w:themeColor="text1"/>
                <w:sz w:val="18"/>
                <w:szCs w:val="18"/>
              </w:rPr>
              <w:t>10</w:t>
            </w:r>
            <w:r w:rsidR="00C00D42" w:rsidRPr="00B23519">
              <w:rPr>
                <w:rFonts w:asciiTheme="minorHAnsi" w:eastAsia="Calibri" w:hAnsiTheme="minorHAnsi"/>
                <w:color w:val="000000" w:themeColor="text1"/>
                <w:sz w:val="18"/>
                <w:szCs w:val="18"/>
              </w:rPr>
              <w:t>%</w:t>
            </w:r>
            <w:r w:rsidR="001E1380">
              <w:rPr>
                <w:rFonts w:asciiTheme="minorHAnsi" w:eastAsia="Calibri" w:hAnsiTheme="minorHAnsi"/>
                <w:color w:val="000000" w:themeColor="text1"/>
                <w:sz w:val="18"/>
                <w:szCs w:val="18"/>
              </w:rPr>
              <w:t xml:space="preserve"> </w:t>
            </w:r>
            <w:r w:rsidR="00E93362">
              <w:rPr>
                <w:rFonts w:asciiTheme="minorHAnsi" w:eastAsia="Calibri" w:hAnsiTheme="minorHAnsi"/>
                <w:color w:val="000000" w:themeColor="text1"/>
                <w:sz w:val="18"/>
                <w:szCs w:val="18"/>
              </w:rPr>
              <w:t>**</w:t>
            </w:r>
          </w:p>
        </w:tc>
      </w:tr>
    </w:tbl>
    <w:p w:rsidR="00E93362" w:rsidRDefault="00E93362" w:rsidP="00EB2658">
      <w:pPr>
        <w:pStyle w:val="PlainText"/>
        <w:spacing w:line="240" w:lineRule="exact"/>
        <w:jc w:val="both"/>
        <w:rPr>
          <w:rFonts w:asciiTheme="minorHAnsi" w:hAnsiTheme="minorHAnsi" w:cs="Arial"/>
          <w:color w:val="000000"/>
          <w:sz w:val="18"/>
          <w:szCs w:val="18"/>
        </w:rPr>
      </w:pPr>
      <w:r>
        <w:rPr>
          <w:rFonts w:asciiTheme="minorHAnsi" w:hAnsiTheme="minorHAnsi" w:cs="Arial"/>
          <w:color w:val="000000"/>
          <w:sz w:val="18"/>
          <w:szCs w:val="18"/>
        </w:rPr>
        <w:t xml:space="preserve">                                 </w:t>
      </w:r>
      <w:r w:rsidR="00465AAB">
        <w:rPr>
          <w:rFonts w:asciiTheme="minorHAnsi" w:hAnsiTheme="minorHAnsi" w:cs="Arial"/>
          <w:color w:val="000000"/>
          <w:sz w:val="18"/>
          <w:szCs w:val="18"/>
        </w:rPr>
        <w:t xml:space="preserve">    </w:t>
      </w:r>
      <w:r w:rsidRPr="00EB2658">
        <w:rPr>
          <w:rFonts w:asciiTheme="minorHAnsi" w:hAnsiTheme="minorHAnsi" w:cs="Arial"/>
          <w:color w:val="000000"/>
          <w:sz w:val="18"/>
          <w:szCs w:val="18"/>
        </w:rPr>
        <w:t>*Likely was a measurement error</w:t>
      </w:r>
      <w:r w:rsidR="006F03B8">
        <w:rPr>
          <w:rFonts w:asciiTheme="minorHAnsi" w:hAnsiTheme="minorHAnsi" w:cs="Arial"/>
          <w:color w:val="000000"/>
          <w:sz w:val="18"/>
          <w:szCs w:val="18"/>
        </w:rPr>
        <w:t>,</w:t>
      </w:r>
      <w:r w:rsidR="00EB2658">
        <w:rPr>
          <w:rFonts w:asciiTheme="minorHAnsi" w:hAnsiTheme="minorHAnsi" w:cs="Arial"/>
          <w:color w:val="000000"/>
          <w:sz w:val="18"/>
          <w:szCs w:val="18"/>
        </w:rPr>
        <w:t xml:space="preserve">  </w:t>
      </w:r>
      <w:r w:rsidRPr="00EB2658">
        <w:rPr>
          <w:rFonts w:asciiTheme="minorHAnsi" w:hAnsiTheme="minorHAnsi" w:cs="Arial"/>
          <w:color w:val="000000"/>
          <w:sz w:val="18"/>
          <w:szCs w:val="18"/>
        </w:rPr>
        <w:t xml:space="preserve"> **VA awarded 20%</w:t>
      </w:r>
    </w:p>
    <w:p w:rsidR="00E93362" w:rsidRPr="00E93362" w:rsidRDefault="00E93362" w:rsidP="00E93362">
      <w:pPr>
        <w:pStyle w:val="PlainText"/>
        <w:spacing w:line="240" w:lineRule="exact"/>
        <w:jc w:val="both"/>
        <w:rPr>
          <w:rFonts w:asciiTheme="minorHAnsi" w:hAnsiTheme="minorHAnsi" w:cs="Arial"/>
          <w:color w:val="000000"/>
          <w:sz w:val="18"/>
          <w:szCs w:val="18"/>
        </w:rPr>
      </w:pPr>
    </w:p>
    <w:p w:rsidR="00DB63A4" w:rsidRDefault="00B3002C" w:rsidP="000C65A0">
      <w:pPr>
        <w:pStyle w:val="PlainText"/>
        <w:spacing w:line="240" w:lineRule="exact"/>
        <w:jc w:val="both"/>
        <w:rPr>
          <w:rFonts w:asciiTheme="minorHAnsi" w:hAnsiTheme="minorHAnsi" w:cs="Arial"/>
          <w:color w:val="000000"/>
          <w:sz w:val="24"/>
          <w:szCs w:val="24"/>
        </w:rPr>
      </w:pPr>
      <w:r>
        <w:rPr>
          <w:rFonts w:asciiTheme="minorHAnsi" w:hAnsiTheme="minorHAnsi" w:cs="Arial"/>
          <w:color w:val="000000"/>
          <w:sz w:val="24"/>
          <w:szCs w:val="24"/>
        </w:rPr>
        <w:t xml:space="preserve">A </w:t>
      </w:r>
      <w:r w:rsidR="0093125C">
        <w:rPr>
          <w:rFonts w:asciiTheme="minorHAnsi" w:hAnsiTheme="minorHAnsi" w:cs="Arial"/>
          <w:color w:val="000000"/>
          <w:sz w:val="24"/>
          <w:szCs w:val="24"/>
        </w:rPr>
        <w:t>MEB exam</w:t>
      </w:r>
      <w:r w:rsidR="008A7633">
        <w:rPr>
          <w:rFonts w:asciiTheme="minorHAnsi" w:hAnsiTheme="minorHAnsi" w:cs="Arial"/>
          <w:color w:val="000000"/>
          <w:sz w:val="24"/>
          <w:szCs w:val="24"/>
        </w:rPr>
        <w:t xml:space="preserve"> on</w:t>
      </w:r>
      <w:r w:rsidR="0093125C">
        <w:rPr>
          <w:rFonts w:asciiTheme="minorHAnsi" w:hAnsiTheme="minorHAnsi" w:cs="Arial"/>
          <w:color w:val="000000"/>
          <w:sz w:val="24"/>
          <w:szCs w:val="24"/>
        </w:rPr>
        <w:t xml:space="preserve"> </w:t>
      </w:r>
      <w:r w:rsidR="008A7633">
        <w:rPr>
          <w:rFonts w:asciiTheme="minorHAnsi" w:hAnsiTheme="minorHAnsi" w:cs="Arial"/>
          <w:color w:val="000000"/>
          <w:sz w:val="24"/>
          <w:szCs w:val="24"/>
        </w:rPr>
        <w:t xml:space="preserve">29 January </w:t>
      </w:r>
      <w:r w:rsidR="00D90705">
        <w:rPr>
          <w:rFonts w:asciiTheme="minorHAnsi" w:hAnsiTheme="minorHAnsi" w:cs="Arial"/>
          <w:color w:val="000000"/>
          <w:sz w:val="24"/>
          <w:szCs w:val="24"/>
        </w:rPr>
        <w:t xml:space="preserve">2002 </w:t>
      </w:r>
      <w:r>
        <w:rPr>
          <w:rFonts w:asciiTheme="minorHAnsi" w:hAnsiTheme="minorHAnsi" w:cs="Arial"/>
          <w:color w:val="000000"/>
          <w:sz w:val="24"/>
          <w:szCs w:val="24"/>
        </w:rPr>
        <w:t>(</w:t>
      </w:r>
      <w:r w:rsidR="00D90705">
        <w:rPr>
          <w:rFonts w:asciiTheme="minorHAnsi" w:hAnsiTheme="minorHAnsi" w:cs="Arial"/>
          <w:color w:val="000000"/>
          <w:sz w:val="24"/>
          <w:szCs w:val="24"/>
        </w:rPr>
        <w:t>eight months prior to separation</w:t>
      </w:r>
      <w:r w:rsidR="000C65A0">
        <w:rPr>
          <w:rFonts w:asciiTheme="minorHAnsi" w:hAnsiTheme="minorHAnsi" w:cs="Arial"/>
          <w:color w:val="000000"/>
          <w:sz w:val="24"/>
          <w:szCs w:val="24"/>
        </w:rPr>
        <w:t xml:space="preserve"> and seven months after the second surgery</w:t>
      </w:r>
      <w:r>
        <w:rPr>
          <w:rFonts w:asciiTheme="minorHAnsi" w:hAnsiTheme="minorHAnsi" w:cs="Arial"/>
          <w:color w:val="000000"/>
          <w:sz w:val="24"/>
          <w:szCs w:val="24"/>
        </w:rPr>
        <w:t>) n</w:t>
      </w:r>
      <w:r w:rsidR="00D90705">
        <w:rPr>
          <w:rFonts w:asciiTheme="minorHAnsi" w:hAnsiTheme="minorHAnsi" w:cs="Arial"/>
          <w:color w:val="000000"/>
          <w:sz w:val="24"/>
          <w:szCs w:val="24"/>
        </w:rPr>
        <w:t>oted no swelling</w:t>
      </w:r>
      <w:r w:rsidR="00C00D42">
        <w:rPr>
          <w:rFonts w:asciiTheme="minorHAnsi" w:hAnsiTheme="minorHAnsi" w:cs="Arial"/>
          <w:color w:val="000000"/>
          <w:sz w:val="24"/>
          <w:szCs w:val="24"/>
        </w:rPr>
        <w:t>, edema</w:t>
      </w:r>
      <w:r w:rsidR="006F03B8">
        <w:rPr>
          <w:rFonts w:asciiTheme="minorHAnsi" w:hAnsiTheme="minorHAnsi" w:cs="Arial"/>
          <w:color w:val="000000"/>
          <w:sz w:val="24"/>
          <w:szCs w:val="24"/>
        </w:rPr>
        <w:t>,</w:t>
      </w:r>
      <w:r w:rsidR="00C00D42">
        <w:rPr>
          <w:rFonts w:asciiTheme="minorHAnsi" w:hAnsiTheme="minorHAnsi" w:cs="Arial"/>
          <w:color w:val="000000"/>
          <w:sz w:val="24"/>
          <w:szCs w:val="24"/>
        </w:rPr>
        <w:t xml:space="preserve"> or </w:t>
      </w:r>
      <w:proofErr w:type="spellStart"/>
      <w:r w:rsidR="00C00D42">
        <w:rPr>
          <w:rFonts w:asciiTheme="minorHAnsi" w:hAnsiTheme="minorHAnsi" w:cs="Arial"/>
          <w:color w:val="000000"/>
          <w:sz w:val="24"/>
          <w:szCs w:val="24"/>
        </w:rPr>
        <w:t>ecchymosis</w:t>
      </w:r>
      <w:proofErr w:type="spellEnd"/>
      <w:r w:rsidR="00C00D42">
        <w:rPr>
          <w:rFonts w:asciiTheme="minorHAnsi" w:hAnsiTheme="minorHAnsi" w:cs="Arial"/>
          <w:color w:val="000000"/>
          <w:sz w:val="24"/>
          <w:szCs w:val="24"/>
        </w:rPr>
        <w:t xml:space="preserve">.  A positive drawer sign persisted, but squeeze test was negative.  The VA compensation and pension (C&amp;P) exam was performed </w:t>
      </w:r>
      <w:r w:rsidR="008A7633">
        <w:rPr>
          <w:rFonts w:asciiTheme="minorHAnsi" w:hAnsiTheme="minorHAnsi" w:cs="Arial"/>
          <w:color w:val="000000"/>
          <w:sz w:val="24"/>
          <w:szCs w:val="24"/>
        </w:rPr>
        <w:t xml:space="preserve">16 January </w:t>
      </w:r>
      <w:r w:rsidR="00C00D42">
        <w:rPr>
          <w:rFonts w:asciiTheme="minorHAnsi" w:hAnsiTheme="minorHAnsi" w:cs="Arial"/>
          <w:color w:val="000000"/>
          <w:sz w:val="24"/>
          <w:szCs w:val="24"/>
        </w:rPr>
        <w:t xml:space="preserve">2004, fifteen months after separation.  Symptoms included ankle pain when he pivoted, </w:t>
      </w:r>
      <w:r w:rsidR="006F264D">
        <w:rPr>
          <w:rFonts w:asciiTheme="minorHAnsi" w:hAnsiTheme="minorHAnsi" w:cs="Arial"/>
          <w:color w:val="000000"/>
          <w:sz w:val="24"/>
          <w:szCs w:val="24"/>
        </w:rPr>
        <w:t>when</w:t>
      </w:r>
      <w:r w:rsidR="00C00D42">
        <w:rPr>
          <w:rFonts w:asciiTheme="minorHAnsi" w:hAnsiTheme="minorHAnsi" w:cs="Arial"/>
          <w:color w:val="000000"/>
          <w:sz w:val="24"/>
          <w:szCs w:val="24"/>
        </w:rPr>
        <w:t xml:space="preserve"> cold</w:t>
      </w:r>
      <w:r w:rsidR="006F264D">
        <w:rPr>
          <w:rFonts w:asciiTheme="minorHAnsi" w:hAnsiTheme="minorHAnsi" w:cs="Arial"/>
          <w:color w:val="000000"/>
          <w:sz w:val="24"/>
          <w:szCs w:val="24"/>
        </w:rPr>
        <w:t>,</w:t>
      </w:r>
      <w:r w:rsidR="00C00D42">
        <w:rPr>
          <w:rFonts w:asciiTheme="minorHAnsi" w:hAnsiTheme="minorHAnsi" w:cs="Arial"/>
          <w:color w:val="000000"/>
          <w:sz w:val="24"/>
          <w:szCs w:val="24"/>
        </w:rPr>
        <w:t xml:space="preserve"> and </w:t>
      </w:r>
      <w:r w:rsidR="006F264D">
        <w:rPr>
          <w:rFonts w:asciiTheme="minorHAnsi" w:hAnsiTheme="minorHAnsi" w:cs="Arial"/>
          <w:color w:val="000000"/>
          <w:sz w:val="24"/>
          <w:szCs w:val="24"/>
        </w:rPr>
        <w:t>at times</w:t>
      </w:r>
      <w:r w:rsidR="00C00D42">
        <w:rPr>
          <w:rFonts w:asciiTheme="minorHAnsi" w:hAnsiTheme="minorHAnsi" w:cs="Arial"/>
          <w:color w:val="000000"/>
          <w:sz w:val="24"/>
          <w:szCs w:val="24"/>
        </w:rPr>
        <w:t xml:space="preserve"> with walking.  He was working for the US</w:t>
      </w:r>
      <w:r w:rsidR="008A7633">
        <w:rPr>
          <w:rFonts w:asciiTheme="minorHAnsi" w:hAnsiTheme="minorHAnsi" w:cs="Arial"/>
          <w:color w:val="000000"/>
          <w:sz w:val="24"/>
          <w:szCs w:val="24"/>
        </w:rPr>
        <w:t xml:space="preserve"> Postal Service</w:t>
      </w:r>
      <w:r w:rsidR="00C00D42">
        <w:rPr>
          <w:rFonts w:asciiTheme="minorHAnsi" w:hAnsiTheme="minorHAnsi" w:cs="Arial"/>
          <w:color w:val="000000"/>
          <w:sz w:val="24"/>
          <w:szCs w:val="24"/>
        </w:rPr>
        <w:t xml:space="preserve"> a mail carrier.  Gait and posture were normal and steady without the use of an assistive device.  No evidence of effusion or edema was noted.  DeLuca criteria were negative except for pain with repetitive use.  </w:t>
      </w:r>
      <w:r w:rsidR="00C867E1">
        <w:rPr>
          <w:rFonts w:asciiTheme="minorHAnsi" w:hAnsiTheme="minorHAnsi" w:cs="Arial"/>
          <w:color w:val="000000"/>
          <w:sz w:val="24"/>
          <w:szCs w:val="24"/>
        </w:rPr>
        <w:t>Examination of the feet did not reveal evidence of abnormal weight bearing.  Imaging was unremarkable.</w:t>
      </w:r>
      <w:r w:rsidR="00BE7C22">
        <w:rPr>
          <w:rFonts w:asciiTheme="minorHAnsi" w:hAnsiTheme="minorHAnsi" w:cs="Arial"/>
          <w:color w:val="000000"/>
          <w:sz w:val="24"/>
          <w:szCs w:val="24"/>
        </w:rPr>
        <w:t xml:space="preserve">  Sensory and mot</w:t>
      </w:r>
      <w:r w:rsidR="006F03B8">
        <w:rPr>
          <w:rFonts w:asciiTheme="minorHAnsi" w:hAnsiTheme="minorHAnsi" w:cs="Arial"/>
          <w:color w:val="000000"/>
          <w:sz w:val="24"/>
          <w:szCs w:val="24"/>
        </w:rPr>
        <w:t>or exams were normal as were</w:t>
      </w:r>
      <w:r w:rsidR="00BE7C22">
        <w:rPr>
          <w:rFonts w:asciiTheme="minorHAnsi" w:hAnsiTheme="minorHAnsi" w:cs="Arial"/>
          <w:color w:val="000000"/>
          <w:sz w:val="24"/>
          <w:szCs w:val="24"/>
        </w:rPr>
        <w:t xml:space="preserve"> deep tendon reflexes.</w:t>
      </w:r>
      <w:r w:rsidR="001770E0">
        <w:rPr>
          <w:rFonts w:asciiTheme="minorHAnsi" w:hAnsiTheme="minorHAnsi" w:cs="Arial"/>
          <w:color w:val="000000"/>
          <w:sz w:val="24"/>
          <w:szCs w:val="24"/>
        </w:rPr>
        <w:t xml:space="preserve">  </w:t>
      </w:r>
      <w:r w:rsidR="00C867E1">
        <w:rPr>
          <w:rFonts w:asciiTheme="minorHAnsi" w:hAnsiTheme="minorHAnsi" w:cs="Arial"/>
          <w:color w:val="000000"/>
          <w:sz w:val="24"/>
          <w:szCs w:val="24"/>
        </w:rPr>
        <w:t>The PEB coded the ankle as 5299-5003, anal</w:t>
      </w:r>
      <w:r w:rsidR="006F03B8">
        <w:rPr>
          <w:rFonts w:asciiTheme="minorHAnsi" w:hAnsiTheme="minorHAnsi" w:cs="Arial"/>
          <w:color w:val="000000"/>
          <w:sz w:val="24"/>
          <w:szCs w:val="24"/>
        </w:rPr>
        <w:t xml:space="preserve">ogous to arthritis rated </w:t>
      </w:r>
      <w:r w:rsidR="00C867E1">
        <w:rPr>
          <w:rFonts w:asciiTheme="minorHAnsi" w:hAnsiTheme="minorHAnsi" w:cs="Arial"/>
          <w:color w:val="000000"/>
          <w:sz w:val="24"/>
          <w:szCs w:val="24"/>
        </w:rPr>
        <w:t xml:space="preserve">10%.  The VA coded the ankle as </w:t>
      </w:r>
      <w:proofErr w:type="gramStart"/>
      <w:r w:rsidR="00C867E1">
        <w:rPr>
          <w:rFonts w:asciiTheme="minorHAnsi" w:hAnsiTheme="minorHAnsi" w:cs="Arial"/>
          <w:color w:val="000000"/>
          <w:sz w:val="24"/>
          <w:szCs w:val="24"/>
        </w:rPr>
        <w:t>5271,</w:t>
      </w:r>
      <w:proofErr w:type="gramEnd"/>
      <w:r w:rsidR="00C867E1">
        <w:rPr>
          <w:rFonts w:asciiTheme="minorHAnsi" w:hAnsiTheme="minorHAnsi" w:cs="Arial"/>
          <w:color w:val="000000"/>
          <w:sz w:val="24"/>
          <w:szCs w:val="24"/>
        </w:rPr>
        <w:t xml:space="preserve"> limited </w:t>
      </w:r>
      <w:r w:rsidR="008A7633">
        <w:rPr>
          <w:rFonts w:asciiTheme="minorHAnsi" w:hAnsiTheme="minorHAnsi" w:cs="Arial"/>
          <w:color w:val="000000"/>
          <w:sz w:val="24"/>
          <w:szCs w:val="24"/>
        </w:rPr>
        <w:t>ROM</w:t>
      </w:r>
      <w:r w:rsidR="00C867E1">
        <w:rPr>
          <w:rFonts w:asciiTheme="minorHAnsi" w:hAnsiTheme="minorHAnsi" w:cs="Arial"/>
          <w:color w:val="000000"/>
          <w:sz w:val="24"/>
          <w:szCs w:val="24"/>
        </w:rPr>
        <w:t xml:space="preserve"> rated 20% for marked limitation</w:t>
      </w:r>
      <w:r w:rsidR="006F03B8">
        <w:rPr>
          <w:rFonts w:asciiTheme="minorHAnsi" w:hAnsiTheme="minorHAnsi" w:cs="Arial"/>
          <w:color w:val="000000"/>
          <w:sz w:val="24"/>
          <w:szCs w:val="24"/>
        </w:rPr>
        <w:t xml:space="preserve"> of motion</w:t>
      </w:r>
      <w:r w:rsidR="00C867E1">
        <w:rPr>
          <w:rFonts w:asciiTheme="minorHAnsi" w:hAnsiTheme="minorHAnsi" w:cs="Arial"/>
          <w:color w:val="000000"/>
          <w:sz w:val="24"/>
          <w:szCs w:val="24"/>
        </w:rPr>
        <w:t xml:space="preserve">.  </w:t>
      </w:r>
      <w:r w:rsidR="00EE6454">
        <w:rPr>
          <w:rFonts w:asciiTheme="minorHAnsi" w:hAnsiTheme="minorHAnsi" w:cs="Arial"/>
          <w:color w:val="000000"/>
          <w:sz w:val="24"/>
          <w:szCs w:val="24"/>
        </w:rPr>
        <w:t xml:space="preserve">The Board </w:t>
      </w:r>
      <w:r w:rsidR="00034CA1">
        <w:rPr>
          <w:rFonts w:asciiTheme="minorHAnsi" w:hAnsiTheme="minorHAnsi" w:cs="Arial"/>
          <w:color w:val="000000"/>
          <w:sz w:val="24"/>
          <w:szCs w:val="24"/>
        </w:rPr>
        <w:t>noted that the limitation of motion of dorsiflexion was only a reduction of 5</w:t>
      </w:r>
      <w:r w:rsidR="008A7633">
        <w:rPr>
          <w:rFonts w:asciiTheme="minorHAnsi" w:hAnsiTheme="minorHAnsi" w:cs="Arial"/>
          <w:color w:val="000000"/>
          <w:sz w:val="24"/>
          <w:szCs w:val="24"/>
        </w:rPr>
        <w:t xml:space="preserve"> degrees</w:t>
      </w:r>
      <w:r w:rsidR="00034CA1">
        <w:rPr>
          <w:rFonts w:asciiTheme="minorHAnsi" w:hAnsiTheme="minorHAnsi" w:cs="Arial"/>
          <w:color w:val="000000"/>
          <w:sz w:val="24"/>
          <w:szCs w:val="24"/>
        </w:rPr>
        <w:t xml:space="preserve"> and that there was no limitation of motion on plantar flexion at the VA examination</w:t>
      </w:r>
      <w:r w:rsidR="005E3E8C">
        <w:rPr>
          <w:rFonts w:asciiTheme="minorHAnsi" w:hAnsiTheme="minorHAnsi" w:cs="Arial"/>
          <w:color w:val="000000"/>
          <w:sz w:val="24"/>
          <w:szCs w:val="24"/>
        </w:rPr>
        <w:t>.</w:t>
      </w:r>
      <w:r w:rsidR="00034CA1">
        <w:rPr>
          <w:rFonts w:asciiTheme="minorHAnsi" w:hAnsiTheme="minorHAnsi" w:cs="Arial"/>
          <w:color w:val="000000"/>
          <w:sz w:val="24"/>
          <w:szCs w:val="24"/>
        </w:rPr>
        <w:t xml:space="preserve"> </w:t>
      </w:r>
      <w:r w:rsidR="0010445A">
        <w:rPr>
          <w:rFonts w:asciiTheme="minorHAnsi" w:hAnsiTheme="minorHAnsi" w:cs="Arial"/>
          <w:color w:val="000000"/>
          <w:sz w:val="24"/>
          <w:szCs w:val="24"/>
        </w:rPr>
        <w:t xml:space="preserve"> </w:t>
      </w:r>
      <w:r w:rsidR="005E3E8C">
        <w:rPr>
          <w:rFonts w:asciiTheme="minorHAnsi" w:hAnsiTheme="minorHAnsi" w:cs="Arial"/>
          <w:color w:val="000000"/>
          <w:sz w:val="24"/>
          <w:szCs w:val="24"/>
        </w:rPr>
        <w:t xml:space="preserve">The Board did not consider this to </w:t>
      </w:r>
      <w:r w:rsidR="00034CA1">
        <w:rPr>
          <w:rFonts w:asciiTheme="minorHAnsi" w:hAnsiTheme="minorHAnsi" w:cs="Arial"/>
          <w:color w:val="000000"/>
          <w:sz w:val="24"/>
          <w:szCs w:val="24"/>
        </w:rPr>
        <w:t xml:space="preserve">be marked (20%) and </w:t>
      </w:r>
      <w:r w:rsidR="006F03B8">
        <w:rPr>
          <w:rFonts w:asciiTheme="minorHAnsi" w:hAnsiTheme="minorHAnsi" w:cs="Arial"/>
          <w:color w:val="000000"/>
          <w:sz w:val="24"/>
          <w:szCs w:val="24"/>
        </w:rPr>
        <w:t xml:space="preserve">determined that it </w:t>
      </w:r>
      <w:r w:rsidR="00034CA1">
        <w:rPr>
          <w:rFonts w:asciiTheme="minorHAnsi" w:hAnsiTheme="minorHAnsi" w:cs="Arial"/>
          <w:color w:val="000000"/>
          <w:sz w:val="24"/>
          <w:szCs w:val="24"/>
        </w:rPr>
        <w:t xml:space="preserve">was at </w:t>
      </w:r>
      <w:r w:rsidR="006F03B8">
        <w:rPr>
          <w:rFonts w:asciiTheme="minorHAnsi" w:hAnsiTheme="minorHAnsi" w:cs="Arial"/>
          <w:color w:val="000000"/>
          <w:sz w:val="24"/>
          <w:szCs w:val="24"/>
        </w:rPr>
        <w:t>most</w:t>
      </w:r>
      <w:r w:rsidR="00034CA1">
        <w:rPr>
          <w:rFonts w:asciiTheme="minorHAnsi" w:hAnsiTheme="minorHAnsi" w:cs="Arial"/>
          <w:color w:val="000000"/>
          <w:sz w:val="24"/>
          <w:szCs w:val="24"/>
        </w:rPr>
        <w:t xml:space="preserve"> moderate (10%).  Alternatively, if considered to be mild</w:t>
      </w:r>
      <w:r w:rsidR="005E3E8C">
        <w:rPr>
          <w:rFonts w:asciiTheme="minorHAnsi" w:hAnsiTheme="minorHAnsi" w:cs="Arial"/>
          <w:color w:val="000000"/>
          <w:sz w:val="24"/>
          <w:szCs w:val="24"/>
        </w:rPr>
        <w:t xml:space="preserve"> (0%),</w:t>
      </w:r>
      <w:r w:rsidR="00034CA1">
        <w:rPr>
          <w:rFonts w:asciiTheme="minorHAnsi" w:hAnsiTheme="minorHAnsi" w:cs="Arial"/>
          <w:color w:val="000000"/>
          <w:sz w:val="24"/>
          <w:szCs w:val="24"/>
        </w:rPr>
        <w:t xml:space="preserve"> the presence of painful motion</w:t>
      </w:r>
      <w:r w:rsidR="00DE569E">
        <w:rPr>
          <w:rFonts w:asciiTheme="minorHAnsi" w:hAnsiTheme="minorHAnsi" w:cs="Arial"/>
          <w:color w:val="000000"/>
          <w:sz w:val="24"/>
          <w:szCs w:val="24"/>
        </w:rPr>
        <w:t>,</w:t>
      </w:r>
      <w:r w:rsidR="00034CA1">
        <w:rPr>
          <w:rFonts w:asciiTheme="minorHAnsi" w:hAnsiTheme="minorHAnsi" w:cs="Arial"/>
          <w:color w:val="000000"/>
          <w:sz w:val="24"/>
          <w:szCs w:val="24"/>
        </w:rPr>
        <w:t xml:space="preserve"> </w:t>
      </w:r>
      <w:r w:rsidR="00DE569E" w:rsidRPr="00DE569E">
        <w:rPr>
          <w:rFonts w:asciiTheme="minorHAnsi" w:hAnsiTheme="minorHAnsi"/>
          <w:sz w:val="24"/>
          <w:szCs w:val="24"/>
        </w:rPr>
        <w:t>IAW VASRD §4.59</w:t>
      </w:r>
      <w:r w:rsidR="00DE569E">
        <w:rPr>
          <w:rFonts w:asciiTheme="minorHAnsi" w:hAnsiTheme="minorHAnsi"/>
          <w:sz w:val="24"/>
          <w:szCs w:val="24"/>
        </w:rPr>
        <w:t>,</w:t>
      </w:r>
      <w:r w:rsidR="00DE569E" w:rsidRPr="003963C7">
        <w:rPr>
          <w:szCs w:val="24"/>
        </w:rPr>
        <w:t xml:space="preserve"> </w:t>
      </w:r>
      <w:r w:rsidR="00034CA1">
        <w:rPr>
          <w:rFonts w:asciiTheme="minorHAnsi" w:hAnsiTheme="minorHAnsi" w:cs="Arial"/>
          <w:color w:val="000000"/>
          <w:sz w:val="24"/>
          <w:szCs w:val="24"/>
        </w:rPr>
        <w:t xml:space="preserve">would also grant a rating of 10%.  </w:t>
      </w:r>
      <w:r w:rsidR="00DB63A4" w:rsidRPr="006B2337">
        <w:rPr>
          <w:rFonts w:asciiTheme="minorHAnsi" w:hAnsiTheme="minorHAnsi" w:cs="Arial"/>
          <w:color w:val="000000"/>
          <w:sz w:val="24"/>
          <w:szCs w:val="24"/>
        </w:rPr>
        <w:t>After due deliberation</w:t>
      </w:r>
      <w:r w:rsidR="0010445A">
        <w:rPr>
          <w:rFonts w:asciiTheme="minorHAnsi" w:hAnsiTheme="minorHAnsi" w:cs="Arial"/>
          <w:color w:val="000000"/>
          <w:sz w:val="24"/>
          <w:szCs w:val="24"/>
        </w:rPr>
        <w:t>,</w:t>
      </w:r>
      <w:r w:rsidR="00DB63A4" w:rsidRPr="006B2337">
        <w:rPr>
          <w:rFonts w:asciiTheme="minorHAnsi" w:hAnsiTheme="minorHAnsi" w:cs="Arial"/>
          <w:color w:val="000000"/>
          <w:sz w:val="24"/>
          <w:szCs w:val="24"/>
        </w:rPr>
        <w:t xml:space="preserve"> in consideration of the totality of the evidence, the Board concluded that there was </w:t>
      </w:r>
      <w:r w:rsidR="006F03B8">
        <w:rPr>
          <w:rFonts w:asciiTheme="minorHAnsi" w:hAnsiTheme="minorHAnsi" w:cs="Arial"/>
          <w:color w:val="000000"/>
          <w:sz w:val="24"/>
          <w:szCs w:val="24"/>
        </w:rPr>
        <w:t xml:space="preserve">no </w:t>
      </w:r>
      <w:r w:rsidR="00DB63A4" w:rsidRPr="006B2337">
        <w:rPr>
          <w:rFonts w:asciiTheme="minorHAnsi" w:hAnsiTheme="minorHAnsi" w:cs="Arial"/>
          <w:color w:val="000000"/>
          <w:sz w:val="24"/>
          <w:szCs w:val="24"/>
        </w:rPr>
        <w:t xml:space="preserve">cause to recommend a change from the PEB fitness adjudication for the </w:t>
      </w:r>
      <w:r w:rsidR="00BE7C22">
        <w:rPr>
          <w:rFonts w:asciiTheme="minorHAnsi" w:hAnsiTheme="minorHAnsi" w:cs="Arial"/>
          <w:color w:val="000000"/>
          <w:sz w:val="24"/>
          <w:szCs w:val="24"/>
        </w:rPr>
        <w:t>left ankle</w:t>
      </w:r>
      <w:r w:rsidR="00DB63A4" w:rsidRPr="006B2337">
        <w:rPr>
          <w:rFonts w:asciiTheme="minorHAnsi" w:hAnsiTheme="minorHAnsi" w:cs="Arial"/>
          <w:color w:val="000000"/>
          <w:sz w:val="24"/>
          <w:szCs w:val="24"/>
        </w:rPr>
        <w:t xml:space="preserve"> condition.</w:t>
      </w:r>
      <w:r w:rsidR="005E3E8C">
        <w:rPr>
          <w:rFonts w:asciiTheme="minorHAnsi" w:hAnsiTheme="minorHAnsi" w:cs="Arial"/>
          <w:color w:val="000000"/>
          <w:sz w:val="24"/>
          <w:szCs w:val="24"/>
        </w:rPr>
        <w:t xml:space="preserve">  If the MEB/PEB examination were used to rate the limitation of motion</w:t>
      </w:r>
      <w:r w:rsidR="006F03B8">
        <w:rPr>
          <w:rFonts w:asciiTheme="minorHAnsi" w:hAnsiTheme="minorHAnsi" w:cs="Arial"/>
          <w:color w:val="000000"/>
          <w:sz w:val="24"/>
          <w:szCs w:val="24"/>
        </w:rPr>
        <w:t>,</w:t>
      </w:r>
      <w:r w:rsidR="005E3E8C">
        <w:rPr>
          <w:rFonts w:asciiTheme="minorHAnsi" w:hAnsiTheme="minorHAnsi" w:cs="Arial"/>
          <w:color w:val="000000"/>
          <w:sz w:val="24"/>
          <w:szCs w:val="24"/>
        </w:rPr>
        <w:t xml:space="preserve"> the reduction of dorsiflexion was th</w:t>
      </w:r>
      <w:r w:rsidR="009F3951">
        <w:rPr>
          <w:rFonts w:asciiTheme="minorHAnsi" w:hAnsiTheme="minorHAnsi" w:cs="Arial"/>
          <w:color w:val="000000"/>
          <w:sz w:val="24"/>
          <w:szCs w:val="24"/>
        </w:rPr>
        <w:t>e same as in the VA examination</w:t>
      </w:r>
      <w:r w:rsidR="006F03B8">
        <w:rPr>
          <w:rFonts w:asciiTheme="minorHAnsi" w:hAnsiTheme="minorHAnsi" w:cs="Arial"/>
          <w:color w:val="000000"/>
          <w:sz w:val="24"/>
          <w:szCs w:val="24"/>
        </w:rPr>
        <w:t>,</w:t>
      </w:r>
      <w:r w:rsidR="009F3951">
        <w:rPr>
          <w:rFonts w:asciiTheme="minorHAnsi" w:hAnsiTheme="minorHAnsi" w:cs="Arial"/>
          <w:color w:val="000000"/>
          <w:sz w:val="24"/>
          <w:szCs w:val="24"/>
        </w:rPr>
        <w:t xml:space="preserve"> and </w:t>
      </w:r>
      <w:r w:rsidR="006F03B8">
        <w:rPr>
          <w:rFonts w:asciiTheme="minorHAnsi" w:hAnsiTheme="minorHAnsi" w:cs="Arial"/>
          <w:color w:val="000000"/>
          <w:sz w:val="24"/>
          <w:szCs w:val="24"/>
        </w:rPr>
        <w:t xml:space="preserve">the Board </w:t>
      </w:r>
      <w:r w:rsidR="009F3951">
        <w:rPr>
          <w:rFonts w:asciiTheme="minorHAnsi" w:hAnsiTheme="minorHAnsi" w:cs="Arial"/>
          <w:color w:val="000000"/>
          <w:sz w:val="24"/>
          <w:szCs w:val="24"/>
        </w:rPr>
        <w:t>would result in the same rating</w:t>
      </w:r>
      <w:r w:rsidR="006F03B8">
        <w:rPr>
          <w:rFonts w:asciiTheme="minorHAnsi" w:hAnsiTheme="minorHAnsi" w:cs="Arial"/>
          <w:color w:val="000000"/>
          <w:sz w:val="24"/>
          <w:szCs w:val="24"/>
        </w:rPr>
        <w:t xml:space="preserve"> of 10%</w:t>
      </w:r>
      <w:r w:rsidR="009431AA">
        <w:rPr>
          <w:rFonts w:asciiTheme="minorHAnsi" w:hAnsiTheme="minorHAnsi" w:cs="Arial"/>
          <w:color w:val="000000"/>
          <w:sz w:val="24"/>
          <w:szCs w:val="24"/>
        </w:rPr>
        <w:t xml:space="preserve"> due to painful motion</w:t>
      </w:r>
      <w:r w:rsidR="009F3951">
        <w:rPr>
          <w:rFonts w:asciiTheme="minorHAnsi" w:hAnsiTheme="minorHAnsi" w:cs="Arial"/>
          <w:color w:val="000000"/>
          <w:sz w:val="24"/>
          <w:szCs w:val="24"/>
        </w:rPr>
        <w:t xml:space="preserve">.  </w:t>
      </w:r>
    </w:p>
    <w:p w:rsidR="00414E02" w:rsidRPr="006B2337" w:rsidRDefault="00414E02" w:rsidP="000C65A0">
      <w:pPr>
        <w:pStyle w:val="PlainText"/>
        <w:spacing w:line="240" w:lineRule="exact"/>
        <w:jc w:val="both"/>
        <w:rPr>
          <w:rFonts w:asciiTheme="minorHAnsi" w:hAnsiTheme="minorHAnsi" w:cs="Arial"/>
          <w:color w:val="000000"/>
          <w:sz w:val="24"/>
          <w:szCs w:val="24"/>
        </w:rPr>
      </w:pPr>
    </w:p>
    <w:p w:rsidR="00DB63A4" w:rsidRPr="00EC337D" w:rsidRDefault="00DB63A4" w:rsidP="000C65A0">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w:t>
      </w:r>
      <w:r w:rsidRPr="00A76482">
        <w:rPr>
          <w:rFonts w:asciiTheme="minorHAnsi" w:eastAsia="HiddenHorzOCR" w:hAnsiTheme="minorHAnsi"/>
          <w:color w:val="auto"/>
          <w:szCs w:val="24"/>
        </w:rPr>
        <w:t xml:space="preserve">The CI’s application asserts that compensable ratings should be considered for </w:t>
      </w:r>
      <w:r w:rsidR="002E635C" w:rsidRPr="00A76482">
        <w:rPr>
          <w:rFonts w:asciiTheme="minorHAnsi" w:eastAsia="HiddenHorzOCR" w:hAnsiTheme="minorHAnsi"/>
          <w:color w:val="auto"/>
          <w:szCs w:val="24"/>
        </w:rPr>
        <w:t>lumbar spondylosis, tinnitus</w:t>
      </w:r>
      <w:r w:rsidR="009F3951" w:rsidRPr="00A76482">
        <w:rPr>
          <w:rFonts w:asciiTheme="minorHAnsi" w:eastAsia="HiddenHorzOCR" w:hAnsiTheme="minorHAnsi"/>
          <w:color w:val="auto"/>
          <w:szCs w:val="24"/>
        </w:rPr>
        <w:t>,</w:t>
      </w:r>
      <w:r w:rsidR="002E635C" w:rsidRPr="00A76482">
        <w:rPr>
          <w:rFonts w:asciiTheme="minorHAnsi" w:eastAsia="HiddenHorzOCR" w:hAnsiTheme="minorHAnsi"/>
          <w:color w:val="auto"/>
          <w:szCs w:val="24"/>
        </w:rPr>
        <w:t xml:space="preserve"> and an adjustment disorder with depression</w:t>
      </w:r>
      <w:r w:rsidRPr="00A76482">
        <w:rPr>
          <w:rFonts w:asciiTheme="minorHAnsi" w:eastAsia="HiddenHorzOCR" w:hAnsiTheme="minorHAnsi"/>
          <w:color w:val="auto"/>
          <w:szCs w:val="24"/>
        </w:rPr>
        <w:t xml:space="preserve">.  </w:t>
      </w:r>
      <w:r w:rsidR="009431AA">
        <w:rPr>
          <w:rFonts w:asciiTheme="minorHAnsi" w:eastAsia="HiddenHorzOCR" w:hAnsiTheme="minorHAnsi"/>
          <w:color w:val="auto"/>
          <w:szCs w:val="24"/>
        </w:rPr>
        <w:t>A</w:t>
      </w:r>
      <w:r w:rsidR="00A8204D">
        <w:rPr>
          <w:rFonts w:asciiTheme="minorHAnsi" w:eastAsia="HiddenHorzOCR" w:hAnsiTheme="minorHAnsi"/>
          <w:color w:val="auto"/>
          <w:szCs w:val="24"/>
        </w:rPr>
        <w:t xml:space="preserve"> </w:t>
      </w:r>
      <w:r w:rsidR="00B23519" w:rsidRPr="00A76482">
        <w:rPr>
          <w:rFonts w:asciiTheme="minorHAnsi" w:eastAsia="HiddenHorzOCR" w:hAnsiTheme="minorHAnsi"/>
          <w:color w:val="auto"/>
          <w:szCs w:val="24"/>
        </w:rPr>
        <w:t xml:space="preserve">single entry in the record </w:t>
      </w:r>
      <w:r w:rsidR="00A8204D">
        <w:rPr>
          <w:rFonts w:asciiTheme="minorHAnsi" w:eastAsia="HiddenHorzOCR" w:hAnsiTheme="minorHAnsi"/>
          <w:color w:val="auto"/>
          <w:szCs w:val="24"/>
        </w:rPr>
        <w:t xml:space="preserve">for back pain </w:t>
      </w:r>
      <w:r w:rsidR="00A76482" w:rsidRPr="00A76482">
        <w:rPr>
          <w:rFonts w:asciiTheme="minorHAnsi" w:eastAsia="HiddenHorzOCR" w:hAnsiTheme="minorHAnsi"/>
          <w:color w:val="auto"/>
          <w:szCs w:val="24"/>
        </w:rPr>
        <w:t xml:space="preserve">was </w:t>
      </w:r>
      <w:r w:rsidR="00A8204D">
        <w:rPr>
          <w:rFonts w:asciiTheme="minorHAnsi" w:eastAsia="HiddenHorzOCR" w:hAnsiTheme="minorHAnsi"/>
          <w:color w:val="auto"/>
          <w:szCs w:val="24"/>
        </w:rPr>
        <w:t xml:space="preserve">dated </w:t>
      </w:r>
      <w:r w:rsidR="008A7633">
        <w:rPr>
          <w:rFonts w:asciiTheme="minorHAnsi" w:eastAsia="HiddenHorzOCR" w:hAnsiTheme="minorHAnsi"/>
          <w:color w:val="auto"/>
          <w:szCs w:val="24"/>
        </w:rPr>
        <w:t xml:space="preserve">23 May </w:t>
      </w:r>
      <w:r w:rsidR="00A8204D">
        <w:rPr>
          <w:rFonts w:asciiTheme="minorHAnsi" w:eastAsia="HiddenHorzOCR" w:hAnsiTheme="minorHAnsi"/>
          <w:color w:val="auto"/>
          <w:szCs w:val="24"/>
        </w:rPr>
        <w:t>2002.  At</w:t>
      </w:r>
      <w:r w:rsidR="00A76482">
        <w:rPr>
          <w:rFonts w:asciiTheme="minorHAnsi" w:eastAsia="HiddenHorzOCR" w:hAnsiTheme="minorHAnsi"/>
          <w:color w:val="auto"/>
          <w:szCs w:val="24"/>
        </w:rPr>
        <w:t xml:space="preserve"> </w:t>
      </w:r>
      <w:r w:rsidR="00A76482" w:rsidRPr="00A76482">
        <w:rPr>
          <w:rFonts w:asciiTheme="minorHAnsi" w:eastAsia="HiddenHorzOCR" w:hAnsiTheme="minorHAnsi"/>
          <w:color w:val="auto"/>
          <w:szCs w:val="24"/>
        </w:rPr>
        <w:t xml:space="preserve">that time, </w:t>
      </w:r>
      <w:r w:rsidR="009431AA">
        <w:rPr>
          <w:rFonts w:asciiTheme="minorHAnsi" w:eastAsia="HiddenHorzOCR" w:hAnsiTheme="minorHAnsi"/>
          <w:color w:val="auto"/>
          <w:szCs w:val="24"/>
        </w:rPr>
        <w:t xml:space="preserve">the CI </w:t>
      </w:r>
      <w:r w:rsidR="009431AA">
        <w:rPr>
          <w:rFonts w:asciiTheme="minorHAnsi" w:eastAsia="HiddenHorzOCR" w:hAnsiTheme="minorHAnsi"/>
          <w:color w:val="auto"/>
          <w:szCs w:val="24"/>
        </w:rPr>
        <w:lastRenderedPageBreak/>
        <w:t xml:space="preserve">complained of </w:t>
      </w:r>
      <w:r w:rsidR="00B23519" w:rsidRPr="00A76482">
        <w:rPr>
          <w:rFonts w:asciiTheme="minorHAnsi" w:eastAsia="HiddenHorzOCR" w:hAnsiTheme="minorHAnsi"/>
          <w:color w:val="auto"/>
          <w:szCs w:val="24"/>
        </w:rPr>
        <w:t xml:space="preserve">one day </w:t>
      </w:r>
      <w:r w:rsidR="00E93362">
        <w:rPr>
          <w:rFonts w:asciiTheme="minorHAnsi" w:eastAsia="HiddenHorzOCR" w:hAnsiTheme="minorHAnsi"/>
          <w:color w:val="auto"/>
          <w:szCs w:val="24"/>
        </w:rPr>
        <w:t>of</w:t>
      </w:r>
      <w:r w:rsidR="00B23519" w:rsidRPr="00A76482">
        <w:rPr>
          <w:rFonts w:asciiTheme="minorHAnsi" w:eastAsia="HiddenHorzOCR" w:hAnsiTheme="minorHAnsi"/>
          <w:color w:val="auto"/>
          <w:szCs w:val="24"/>
        </w:rPr>
        <w:t xml:space="preserve"> back pain</w:t>
      </w:r>
      <w:r w:rsidR="009431AA">
        <w:rPr>
          <w:rFonts w:asciiTheme="minorHAnsi" w:eastAsia="HiddenHorzOCR" w:hAnsiTheme="minorHAnsi"/>
          <w:color w:val="auto"/>
          <w:szCs w:val="24"/>
        </w:rPr>
        <w:t>,</w:t>
      </w:r>
      <w:r w:rsidR="00A76482" w:rsidRPr="00A76482">
        <w:rPr>
          <w:rFonts w:asciiTheme="minorHAnsi" w:eastAsia="HiddenHorzOCR" w:hAnsiTheme="minorHAnsi"/>
          <w:color w:val="auto"/>
          <w:szCs w:val="24"/>
        </w:rPr>
        <w:t xml:space="preserve"> and was returned to full duty.  </w:t>
      </w:r>
      <w:r w:rsidR="00A8204D">
        <w:rPr>
          <w:rFonts w:asciiTheme="minorHAnsi" w:eastAsia="HiddenHorzOCR" w:hAnsiTheme="minorHAnsi"/>
          <w:color w:val="auto"/>
          <w:szCs w:val="24"/>
        </w:rPr>
        <w:t xml:space="preserve">The Board also notes that the CI checked “no” for item 12c, </w:t>
      </w:r>
      <w:r w:rsidR="009431AA">
        <w:rPr>
          <w:rFonts w:asciiTheme="minorHAnsi" w:eastAsia="HiddenHorzOCR" w:hAnsiTheme="minorHAnsi"/>
          <w:color w:val="auto"/>
          <w:szCs w:val="24"/>
        </w:rPr>
        <w:t xml:space="preserve">for history of </w:t>
      </w:r>
      <w:r w:rsidR="00A8204D">
        <w:rPr>
          <w:rFonts w:asciiTheme="minorHAnsi" w:eastAsia="HiddenHorzOCR" w:hAnsiTheme="minorHAnsi"/>
          <w:color w:val="auto"/>
          <w:szCs w:val="24"/>
        </w:rPr>
        <w:t>back pain, on the MEB history</w:t>
      </w:r>
      <w:r w:rsidR="008A7633">
        <w:rPr>
          <w:rFonts w:asciiTheme="minorHAnsi" w:eastAsia="HiddenHorzOCR" w:hAnsiTheme="minorHAnsi"/>
          <w:color w:val="auto"/>
          <w:szCs w:val="24"/>
        </w:rPr>
        <w:t>,</w:t>
      </w:r>
      <w:r w:rsidR="00A8204D">
        <w:rPr>
          <w:rFonts w:asciiTheme="minorHAnsi" w:eastAsia="HiddenHorzOCR" w:hAnsiTheme="minorHAnsi"/>
          <w:color w:val="auto"/>
          <w:szCs w:val="24"/>
        </w:rPr>
        <w:t xml:space="preserve"> </w:t>
      </w:r>
      <w:r w:rsidR="008A7633">
        <w:rPr>
          <w:rFonts w:asciiTheme="minorHAnsi" w:eastAsia="HiddenHorzOCR" w:hAnsiTheme="minorHAnsi"/>
          <w:color w:val="auto"/>
          <w:szCs w:val="24"/>
        </w:rPr>
        <w:t xml:space="preserve">23 January </w:t>
      </w:r>
      <w:r w:rsidR="00A8204D">
        <w:rPr>
          <w:rFonts w:asciiTheme="minorHAnsi" w:eastAsia="HiddenHorzOCR" w:hAnsiTheme="minorHAnsi"/>
          <w:color w:val="auto"/>
          <w:szCs w:val="24"/>
        </w:rPr>
        <w:t xml:space="preserve">2002.  </w:t>
      </w:r>
      <w:r w:rsidR="00414E02">
        <w:rPr>
          <w:rFonts w:asciiTheme="minorHAnsi" w:eastAsia="HiddenHorzOCR" w:hAnsiTheme="minorHAnsi"/>
          <w:color w:val="auto"/>
          <w:szCs w:val="24"/>
        </w:rPr>
        <w:t xml:space="preserve">Neither tinnitus nor adjustment disorder </w:t>
      </w:r>
      <w:r w:rsidR="00E93362">
        <w:rPr>
          <w:rFonts w:asciiTheme="minorHAnsi" w:eastAsia="HiddenHorzOCR" w:hAnsiTheme="minorHAnsi"/>
          <w:color w:val="auto"/>
          <w:szCs w:val="24"/>
        </w:rPr>
        <w:t xml:space="preserve">with depression </w:t>
      </w:r>
      <w:r w:rsidR="00414E02">
        <w:rPr>
          <w:rFonts w:asciiTheme="minorHAnsi" w:eastAsia="HiddenHorzOCR" w:hAnsiTheme="minorHAnsi"/>
          <w:color w:val="auto"/>
          <w:szCs w:val="24"/>
        </w:rPr>
        <w:t xml:space="preserve">was documented in the service treatment record.  </w:t>
      </w:r>
      <w:r w:rsidR="00E93362">
        <w:rPr>
          <w:rFonts w:asciiTheme="minorHAnsi" w:hAnsiTheme="minorHAnsi"/>
          <w:color w:val="auto"/>
          <w:szCs w:val="24"/>
        </w:rPr>
        <w:t>None</w:t>
      </w:r>
      <w:r w:rsidR="00A76482" w:rsidRPr="00A76482">
        <w:rPr>
          <w:rFonts w:asciiTheme="minorHAnsi" w:eastAsia="HiddenHorzOCR" w:hAnsiTheme="minorHAnsi"/>
          <w:color w:val="auto"/>
          <w:szCs w:val="24"/>
        </w:rPr>
        <w:t xml:space="preserve"> of these conditions </w:t>
      </w:r>
      <w:r w:rsidR="00A76482" w:rsidRPr="00A76482">
        <w:rPr>
          <w:rFonts w:asciiTheme="minorHAnsi" w:hAnsiTheme="minorHAnsi"/>
          <w:color w:val="auto"/>
          <w:szCs w:val="24"/>
        </w:rPr>
        <w:t xml:space="preserve">were documented in the DES file.  The Board does not have the authority under DoDI 6040.44 to render fitness or rating recommendations for any conditions not considered by the DES.  </w:t>
      </w:r>
      <w:r w:rsidRPr="00A76482">
        <w:rPr>
          <w:rFonts w:asciiTheme="minorHAnsi" w:hAnsiTheme="minorHAnsi"/>
          <w:color w:val="auto"/>
          <w:szCs w:val="24"/>
        </w:rPr>
        <w:t xml:space="preserve">The Board determined therefore that none of the stated conditions were subject to </w:t>
      </w:r>
      <w:r w:rsidR="004D2EA3">
        <w:rPr>
          <w:rFonts w:asciiTheme="minorHAnsi" w:hAnsiTheme="minorHAnsi"/>
          <w:color w:val="auto"/>
          <w:szCs w:val="24"/>
        </w:rPr>
        <w:t>s</w:t>
      </w:r>
      <w:r w:rsidRPr="00A76482">
        <w:rPr>
          <w:rFonts w:asciiTheme="minorHAnsi" w:hAnsiTheme="minorHAnsi"/>
          <w:color w:val="auto"/>
          <w:szCs w:val="24"/>
        </w:rPr>
        <w:t>ervice disability rating.</w:t>
      </w:r>
    </w:p>
    <w:p w:rsidR="00DB63A4" w:rsidRDefault="00DB63A4" w:rsidP="00DB63A4">
      <w:pPr>
        <w:spacing w:line="240" w:lineRule="exact"/>
        <w:jc w:val="both"/>
        <w:rPr>
          <w:rFonts w:asciiTheme="minorHAnsi" w:hAnsiTheme="minorHAnsi"/>
          <w:color w:val="auto"/>
          <w:szCs w:val="24"/>
        </w:rPr>
      </w:pPr>
    </w:p>
    <w:p w:rsidR="00DB63A4" w:rsidRDefault="00DB63A4" w:rsidP="00DB63A4">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8A7633">
        <w:rPr>
          <w:rFonts w:asciiTheme="minorHAnsi" w:hAnsiTheme="minorHAnsi"/>
          <w:color w:val="auto"/>
          <w:szCs w:val="24"/>
        </w:rPr>
        <w:t xml:space="preserve"> </w:t>
      </w:r>
      <w:r w:rsidRPr="00F6196E">
        <w:rPr>
          <w:rFonts w:asciiTheme="minorHAnsi" w:hAnsiTheme="minorHAnsi"/>
          <w:color w:val="auto"/>
          <w:szCs w:val="24"/>
        </w:rPr>
        <w:t xml:space="preserve">No other conditions were noted in the </w:t>
      </w:r>
      <w:r w:rsidR="0067543C">
        <w:rPr>
          <w:rFonts w:asciiTheme="minorHAnsi" w:hAnsiTheme="minorHAnsi"/>
          <w:color w:val="auto"/>
          <w:szCs w:val="24"/>
        </w:rPr>
        <w:t>MEB summary</w:t>
      </w:r>
      <w:r w:rsidRPr="00F6196E">
        <w:rPr>
          <w:rFonts w:asciiTheme="minorHAnsi" w:hAnsiTheme="minorHAnsi"/>
          <w:color w:val="auto"/>
          <w:szCs w:val="24"/>
        </w:rPr>
        <w:t>, identified by the CI on the MEB physical</w:t>
      </w:r>
      <w:r w:rsidR="009431AA">
        <w:rPr>
          <w:rFonts w:asciiTheme="minorHAnsi" w:hAnsiTheme="minorHAnsi"/>
          <w:color w:val="auto"/>
          <w:szCs w:val="24"/>
        </w:rPr>
        <w:t>,</w:t>
      </w:r>
      <w:r w:rsidRPr="00F6196E">
        <w:rPr>
          <w:rFonts w:asciiTheme="minorHAnsi" w:hAnsiTheme="minorHAnsi"/>
          <w:color w:val="auto"/>
          <w:szCs w:val="24"/>
        </w:rPr>
        <w:t xml:space="preserve"> or found elsewhere in the DES file.  </w:t>
      </w:r>
      <w:r w:rsidR="005C0AC4">
        <w:rPr>
          <w:rFonts w:asciiTheme="minorHAnsi" w:hAnsiTheme="minorHAnsi"/>
          <w:color w:val="auto"/>
          <w:szCs w:val="24"/>
        </w:rPr>
        <w:t>A</w:t>
      </w:r>
      <w:r w:rsidR="00C31A7B">
        <w:rPr>
          <w:rFonts w:asciiTheme="minorHAnsi" w:hAnsiTheme="minorHAnsi"/>
          <w:color w:val="auto"/>
          <w:szCs w:val="24"/>
        </w:rPr>
        <w:t xml:space="preserve"> right ankle condition</w:t>
      </w:r>
      <w:r w:rsidR="005C0AC4">
        <w:rPr>
          <w:rFonts w:asciiTheme="minorHAnsi" w:hAnsiTheme="minorHAnsi"/>
          <w:color w:val="auto"/>
          <w:szCs w:val="24"/>
        </w:rPr>
        <w:t xml:space="preserve">, </w:t>
      </w:r>
      <w:r w:rsidR="00C31A7B">
        <w:rPr>
          <w:rFonts w:asciiTheme="minorHAnsi" w:hAnsiTheme="minorHAnsi"/>
          <w:color w:val="auto"/>
          <w:szCs w:val="24"/>
        </w:rPr>
        <w:t xml:space="preserve">bilateral hearing loss </w:t>
      </w:r>
      <w:r w:rsidR="00C31A7B" w:rsidRPr="00711350">
        <w:rPr>
          <w:rFonts w:asciiTheme="minorHAnsi" w:hAnsiTheme="minorHAnsi"/>
          <w:color w:val="auto"/>
          <w:szCs w:val="24"/>
        </w:rPr>
        <w:t>and several other non-acute conditions were noted in the VA rating decision proximal to separation, but were not documented in the DES file.</w:t>
      </w:r>
      <w:r w:rsidR="002F47B2" w:rsidRPr="00A76482">
        <w:rPr>
          <w:rFonts w:asciiTheme="minorHAnsi" w:hAnsiTheme="minorHAnsi"/>
          <w:color w:val="auto"/>
          <w:szCs w:val="24"/>
        </w:rPr>
        <w:t xml:space="preserve">  </w:t>
      </w:r>
      <w:r w:rsidR="00C31A7B" w:rsidRPr="00B56F3D">
        <w:rPr>
          <w:rFonts w:asciiTheme="minorHAnsi" w:hAnsiTheme="minorHAnsi"/>
          <w:color w:val="auto"/>
          <w:szCs w:val="24"/>
        </w:rPr>
        <w:t>The Board therefore has no reasonable basis for recommending any additional unfitting conditions for separation rating.</w:t>
      </w:r>
    </w:p>
    <w:p w:rsidR="00B427BB" w:rsidRPr="00C276CD" w:rsidRDefault="00B427BB" w:rsidP="00DD64E0">
      <w:pPr>
        <w:jc w:val="both"/>
        <w:rPr>
          <w:color w:val="auto"/>
        </w:rPr>
      </w:pPr>
      <w:r w:rsidRPr="00C276CD">
        <w:rPr>
          <w:rFonts w:asciiTheme="minorHAnsi" w:hAnsiTheme="minorHAnsi"/>
          <w:color w:val="auto"/>
        </w:rPr>
        <w:t>______________________________________________________________________________</w:t>
      </w:r>
    </w:p>
    <w:p w:rsidR="00A90D55" w:rsidRPr="00C276CD" w:rsidRDefault="00A90D55" w:rsidP="008A7633">
      <w:pPr>
        <w:tabs>
          <w:tab w:val="left" w:pos="288"/>
          <w:tab w:val="left" w:pos="4752"/>
        </w:tabs>
        <w:spacing w:line="240" w:lineRule="exact"/>
        <w:jc w:val="both"/>
        <w:rPr>
          <w:rFonts w:asciiTheme="minorHAnsi" w:hAnsiTheme="minorHAnsi"/>
          <w:color w:val="auto"/>
        </w:rPr>
      </w:pPr>
    </w:p>
    <w:p w:rsidR="009431AA" w:rsidRPr="00CD15BE" w:rsidRDefault="00C56FC8" w:rsidP="008A7633">
      <w:pPr>
        <w:spacing w:line="240" w:lineRule="exact"/>
        <w:jc w:val="both"/>
        <w:rPr>
          <w:rFonts w:ascii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w:t>
      </w:r>
      <w:r w:rsidRPr="00414E02">
        <w:rPr>
          <w:rFonts w:asciiTheme="minorHAnsi" w:eastAsiaTheme="minorHAnsi" w:hAnsiTheme="minorHAnsi"/>
          <w:color w:val="auto"/>
          <w:szCs w:val="24"/>
        </w:rPr>
        <w:t xml:space="preserve">IAW DoDI 6040.44, provisions of DoD or Military Department regulations or guidelines relied upon by the PEB will not be considered by the Board to the extent </w:t>
      </w:r>
      <w:r w:rsidR="009431AA">
        <w:rPr>
          <w:rFonts w:asciiTheme="minorHAnsi" w:eastAsiaTheme="minorHAnsi" w:hAnsiTheme="minorHAnsi"/>
          <w:color w:val="auto"/>
          <w:szCs w:val="24"/>
        </w:rPr>
        <w:t xml:space="preserve">that </w:t>
      </w:r>
      <w:r w:rsidRPr="00414E02">
        <w:rPr>
          <w:rFonts w:asciiTheme="minorHAnsi" w:eastAsiaTheme="minorHAnsi" w:hAnsiTheme="minorHAnsi"/>
          <w:color w:val="auto"/>
          <w:szCs w:val="24"/>
        </w:rPr>
        <w:t xml:space="preserve">they were inconsistent with the VASRD in effect at the time of the adjudication. </w:t>
      </w:r>
      <w:r w:rsidR="001D68CF" w:rsidRPr="00414E02">
        <w:rPr>
          <w:rFonts w:asciiTheme="minorHAnsi" w:eastAsiaTheme="minorHAnsi" w:hAnsiTheme="minorHAnsi"/>
          <w:color w:val="auto"/>
          <w:szCs w:val="24"/>
        </w:rPr>
        <w:t xml:space="preserve"> </w:t>
      </w:r>
      <w:r w:rsidR="00C31A7B" w:rsidRPr="00414E02">
        <w:rPr>
          <w:rFonts w:asciiTheme="minorHAnsi" w:eastAsiaTheme="minorHAnsi" w:hAnsiTheme="minorHAnsi"/>
          <w:color w:val="auto"/>
          <w:szCs w:val="24"/>
        </w:rPr>
        <w:t xml:space="preserve">In the matter of the left ankle condition and </w:t>
      </w:r>
      <w:r w:rsidR="00C31A7B" w:rsidRPr="00414E02">
        <w:rPr>
          <w:rFonts w:asciiTheme="minorHAnsi" w:hAnsiTheme="minorHAnsi"/>
          <w:color w:val="auto"/>
          <w:szCs w:val="24"/>
        </w:rPr>
        <w:t>IAW VASRD §4.71a</w:t>
      </w:r>
      <w:r w:rsidR="00C31A7B" w:rsidRPr="00414E02">
        <w:rPr>
          <w:rFonts w:asciiTheme="minorHAnsi" w:eastAsiaTheme="minorHAnsi" w:hAnsiTheme="minorHAnsi"/>
          <w:color w:val="auto"/>
          <w:szCs w:val="24"/>
        </w:rPr>
        <w:t>, the Board unanimously recommends no change in the PEB adjudication</w:t>
      </w:r>
      <w:r w:rsidR="00C31A7B" w:rsidRPr="00414E02">
        <w:rPr>
          <w:rFonts w:asciiTheme="minorHAnsi" w:hAnsiTheme="minorHAnsi"/>
          <w:color w:val="auto"/>
          <w:szCs w:val="24"/>
        </w:rPr>
        <w:t xml:space="preserve">.  </w:t>
      </w:r>
      <w:r w:rsidR="009431AA" w:rsidRPr="00CD15BE">
        <w:rPr>
          <w:rFonts w:asciiTheme="minorHAnsi" w:hAnsiTheme="minorHAnsi"/>
          <w:color w:val="auto"/>
          <w:szCs w:val="24"/>
        </w:rPr>
        <w:t xml:space="preserve">The Board </w:t>
      </w:r>
      <w:r w:rsidR="009431AA" w:rsidRPr="009431AA">
        <w:rPr>
          <w:rFonts w:asciiTheme="minorHAnsi" w:hAnsiTheme="minorHAnsi"/>
          <w:color w:val="auto"/>
          <w:szCs w:val="24"/>
        </w:rPr>
        <w:t>unanimously a</w:t>
      </w:r>
      <w:r w:rsidR="009431AA" w:rsidRPr="00CD15BE">
        <w:rPr>
          <w:rFonts w:asciiTheme="minorHAnsi" w:hAnsiTheme="minorHAnsi"/>
          <w:color w:val="auto"/>
          <w:szCs w:val="24"/>
        </w:rPr>
        <w:t>grees that there w</w:t>
      </w:r>
      <w:r w:rsidR="009431AA">
        <w:rPr>
          <w:rFonts w:asciiTheme="minorHAnsi" w:hAnsiTheme="minorHAnsi"/>
          <w:color w:val="auto"/>
          <w:szCs w:val="24"/>
        </w:rPr>
        <w:t>ere</w:t>
      </w:r>
      <w:r w:rsidR="009431AA" w:rsidRPr="00CD15BE">
        <w:rPr>
          <w:rFonts w:asciiTheme="minorHAnsi" w:hAnsiTheme="minorHAnsi"/>
          <w:color w:val="auto"/>
          <w:szCs w:val="24"/>
        </w:rPr>
        <w:t xml:space="preserve"> no other condition</w:t>
      </w:r>
      <w:r w:rsidR="009431AA">
        <w:rPr>
          <w:rFonts w:asciiTheme="minorHAnsi" w:hAnsiTheme="minorHAnsi"/>
          <w:color w:val="auto"/>
          <w:szCs w:val="24"/>
        </w:rPr>
        <w:t>s</w:t>
      </w:r>
      <w:r w:rsidR="009431AA" w:rsidRPr="00CD15BE">
        <w:rPr>
          <w:rFonts w:asciiTheme="minorHAnsi" w:hAnsiTheme="minorHAnsi"/>
          <w:color w:val="auto"/>
          <w:szCs w:val="24"/>
        </w:rPr>
        <w:t xml:space="preserve"> eligible for </w:t>
      </w:r>
      <w:r w:rsidR="009431AA">
        <w:rPr>
          <w:rFonts w:asciiTheme="minorHAnsi" w:hAnsiTheme="minorHAnsi"/>
          <w:color w:val="auto"/>
          <w:szCs w:val="24"/>
        </w:rPr>
        <w:t>Board consideration</w:t>
      </w:r>
      <w:r w:rsidR="009431AA" w:rsidRPr="00CD15BE">
        <w:rPr>
          <w:rFonts w:asciiTheme="minorHAnsi" w:hAnsiTheme="minorHAnsi"/>
          <w:color w:val="auto"/>
          <w:szCs w:val="24"/>
        </w:rPr>
        <w:t xml:space="preserve"> which </w:t>
      </w:r>
      <w:r w:rsidR="009431AA">
        <w:rPr>
          <w:rFonts w:asciiTheme="minorHAnsi" w:hAnsiTheme="minorHAnsi"/>
          <w:color w:val="auto"/>
          <w:szCs w:val="24"/>
        </w:rPr>
        <w:t>could be recommended</w:t>
      </w:r>
      <w:r w:rsidR="009431AA" w:rsidRPr="00CD15BE">
        <w:rPr>
          <w:rFonts w:asciiTheme="minorHAnsi" w:hAnsiTheme="minorHAnsi"/>
          <w:color w:val="auto"/>
          <w:szCs w:val="24"/>
        </w:rPr>
        <w:t xml:space="preserve"> as additionally unfitting</w:t>
      </w:r>
      <w:r w:rsidR="009431AA">
        <w:rPr>
          <w:rFonts w:asciiTheme="minorHAnsi" w:hAnsiTheme="minorHAnsi"/>
          <w:color w:val="auto"/>
          <w:szCs w:val="24"/>
        </w:rPr>
        <w:t xml:space="preserve"> for rating at separation</w:t>
      </w:r>
      <w:r w:rsidR="009431AA" w:rsidRPr="00CD15BE">
        <w:rPr>
          <w:rFonts w:asciiTheme="minorHAnsi" w:hAnsiTheme="minorHAnsi"/>
          <w:color w:val="auto"/>
          <w:szCs w:val="24"/>
        </w:rPr>
        <w:t>.</w:t>
      </w:r>
    </w:p>
    <w:p w:rsidR="00B427BB" w:rsidRPr="00C276CD" w:rsidRDefault="00B427BB" w:rsidP="009431AA">
      <w:pPr>
        <w:spacing w:line="240" w:lineRule="exact"/>
        <w:jc w:val="both"/>
        <w:rPr>
          <w:color w:val="auto"/>
        </w:rPr>
      </w:pPr>
      <w:r w:rsidRPr="00C276CD">
        <w:rPr>
          <w:rFonts w:asciiTheme="minorHAnsi" w:hAnsiTheme="minorHAnsi"/>
          <w:color w:val="auto"/>
        </w:rPr>
        <w:t>______________________________________________________________________________</w:t>
      </w:r>
    </w:p>
    <w:p w:rsidR="00FB593A" w:rsidRPr="00C276CD" w:rsidRDefault="00FB593A" w:rsidP="00DD64E0">
      <w:pPr>
        <w:tabs>
          <w:tab w:val="left" w:pos="288"/>
          <w:tab w:val="left" w:pos="4752"/>
        </w:tabs>
        <w:spacing w:line="240" w:lineRule="exact"/>
        <w:jc w:val="both"/>
        <w:rPr>
          <w:rFonts w:asciiTheme="minorHAnsi" w:hAnsiTheme="minorHAnsi"/>
          <w:color w:val="auto"/>
        </w:rPr>
      </w:pPr>
    </w:p>
    <w:p w:rsidR="00C56FC8" w:rsidRPr="00B427BB" w:rsidRDefault="00C56FC8" w:rsidP="00DD64E0">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1770E0">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p>
    <w:p w:rsidR="004101B2" w:rsidRPr="0039677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414E02" w:rsidTr="0085089F">
        <w:trPr>
          <w:trHeight w:val="287"/>
          <w:jc w:val="center"/>
        </w:trPr>
        <w:tc>
          <w:tcPr>
            <w:tcW w:w="6480" w:type="dxa"/>
            <w:shd w:val="clear" w:color="auto" w:fill="D9D9D9"/>
          </w:tcPr>
          <w:p w:rsidR="00A95BBA" w:rsidRPr="001E198D" w:rsidRDefault="00A95BBA" w:rsidP="001E198D">
            <w:pPr>
              <w:tabs>
                <w:tab w:val="left" w:pos="288"/>
                <w:tab w:val="left" w:pos="4752"/>
              </w:tabs>
              <w:spacing w:line="240" w:lineRule="exact"/>
              <w:jc w:val="both"/>
              <w:rPr>
                <w:rFonts w:asciiTheme="minorHAnsi" w:hAnsiTheme="minorHAnsi"/>
                <w:b/>
                <w:color w:val="auto"/>
                <w:szCs w:val="24"/>
              </w:rPr>
            </w:pPr>
            <w:r w:rsidRPr="001E198D">
              <w:rPr>
                <w:rFonts w:asciiTheme="minorHAnsi" w:hAnsiTheme="minorHAnsi"/>
                <w:b/>
                <w:color w:val="auto"/>
                <w:szCs w:val="24"/>
              </w:rPr>
              <w:t>UNFITTING CONDITION</w:t>
            </w:r>
          </w:p>
        </w:tc>
        <w:tc>
          <w:tcPr>
            <w:tcW w:w="1710" w:type="dxa"/>
            <w:shd w:val="clear" w:color="auto" w:fill="D9D9D9"/>
          </w:tcPr>
          <w:p w:rsidR="00A95BBA" w:rsidRPr="001E198D" w:rsidRDefault="00A95BBA" w:rsidP="001E198D">
            <w:pPr>
              <w:tabs>
                <w:tab w:val="left" w:pos="288"/>
                <w:tab w:val="left" w:pos="4752"/>
              </w:tabs>
              <w:spacing w:line="240" w:lineRule="exact"/>
              <w:jc w:val="center"/>
              <w:rPr>
                <w:rFonts w:asciiTheme="minorHAnsi" w:hAnsiTheme="minorHAnsi"/>
                <w:b/>
                <w:color w:val="auto"/>
                <w:szCs w:val="24"/>
              </w:rPr>
            </w:pPr>
            <w:r w:rsidRPr="001E198D">
              <w:rPr>
                <w:rFonts w:asciiTheme="minorHAnsi" w:hAnsiTheme="minorHAnsi"/>
                <w:b/>
                <w:color w:val="auto"/>
                <w:szCs w:val="24"/>
              </w:rPr>
              <w:t>VASRD CODE</w:t>
            </w:r>
          </w:p>
        </w:tc>
        <w:tc>
          <w:tcPr>
            <w:tcW w:w="1170" w:type="dxa"/>
            <w:shd w:val="clear" w:color="auto" w:fill="D9D9D9"/>
          </w:tcPr>
          <w:p w:rsidR="00A95BBA" w:rsidRPr="001E198D" w:rsidRDefault="00A95BBA" w:rsidP="001E198D">
            <w:pPr>
              <w:tabs>
                <w:tab w:val="left" w:pos="288"/>
                <w:tab w:val="left" w:pos="4752"/>
              </w:tabs>
              <w:spacing w:line="240" w:lineRule="exact"/>
              <w:jc w:val="center"/>
              <w:rPr>
                <w:rFonts w:asciiTheme="minorHAnsi" w:hAnsiTheme="minorHAnsi"/>
                <w:b/>
                <w:color w:val="auto"/>
                <w:szCs w:val="24"/>
              </w:rPr>
            </w:pPr>
            <w:r w:rsidRPr="001E198D">
              <w:rPr>
                <w:rFonts w:asciiTheme="minorHAnsi" w:hAnsiTheme="minorHAnsi"/>
                <w:b/>
                <w:color w:val="auto"/>
                <w:szCs w:val="24"/>
              </w:rPr>
              <w:t>RATING</w:t>
            </w:r>
          </w:p>
        </w:tc>
      </w:tr>
      <w:tr w:rsidR="00034477" w:rsidRPr="00414E02" w:rsidTr="0085089F">
        <w:trPr>
          <w:jc w:val="center"/>
        </w:trPr>
        <w:tc>
          <w:tcPr>
            <w:tcW w:w="6480" w:type="dxa"/>
          </w:tcPr>
          <w:p w:rsidR="00034477" w:rsidRPr="001E198D" w:rsidRDefault="009431AA" w:rsidP="008A7633">
            <w:pPr>
              <w:pStyle w:val="ListParagraph"/>
              <w:spacing w:after="0" w:line="240" w:lineRule="exact"/>
              <w:ind w:left="0"/>
              <w:rPr>
                <w:rFonts w:cs="Times New Roman"/>
                <w:sz w:val="24"/>
                <w:szCs w:val="24"/>
              </w:rPr>
            </w:pPr>
            <w:proofErr w:type="spellStart"/>
            <w:r w:rsidRPr="001E198D">
              <w:rPr>
                <w:sz w:val="24"/>
                <w:szCs w:val="24"/>
              </w:rPr>
              <w:t>Osteochondral</w:t>
            </w:r>
            <w:proofErr w:type="spellEnd"/>
            <w:r w:rsidRPr="001E198D">
              <w:rPr>
                <w:sz w:val="24"/>
                <w:szCs w:val="24"/>
              </w:rPr>
              <w:t xml:space="preserve"> </w:t>
            </w:r>
            <w:r w:rsidR="008A7633" w:rsidRPr="001E198D">
              <w:rPr>
                <w:sz w:val="24"/>
                <w:szCs w:val="24"/>
              </w:rPr>
              <w:t xml:space="preserve">Defect </w:t>
            </w:r>
            <w:r w:rsidR="008A7633">
              <w:rPr>
                <w:sz w:val="24"/>
                <w:szCs w:val="24"/>
              </w:rPr>
              <w:t>o</w:t>
            </w:r>
            <w:r w:rsidR="008A7633" w:rsidRPr="001E198D">
              <w:rPr>
                <w:sz w:val="24"/>
                <w:szCs w:val="24"/>
              </w:rPr>
              <w:t xml:space="preserve">f </w:t>
            </w:r>
            <w:r w:rsidR="008A7633">
              <w:rPr>
                <w:sz w:val="24"/>
                <w:szCs w:val="24"/>
              </w:rPr>
              <w:t>t</w:t>
            </w:r>
            <w:r w:rsidR="008A7633" w:rsidRPr="001E198D">
              <w:rPr>
                <w:sz w:val="24"/>
                <w:szCs w:val="24"/>
              </w:rPr>
              <w:t xml:space="preserve">he Lateral </w:t>
            </w:r>
            <w:proofErr w:type="spellStart"/>
            <w:r w:rsidR="008A7633" w:rsidRPr="001E198D">
              <w:rPr>
                <w:sz w:val="24"/>
                <w:szCs w:val="24"/>
              </w:rPr>
              <w:t>Talar</w:t>
            </w:r>
            <w:proofErr w:type="spellEnd"/>
            <w:r w:rsidR="008A7633" w:rsidRPr="001E198D">
              <w:rPr>
                <w:sz w:val="24"/>
                <w:szCs w:val="24"/>
              </w:rPr>
              <w:t xml:space="preserve"> Dome</w:t>
            </w:r>
          </w:p>
        </w:tc>
        <w:tc>
          <w:tcPr>
            <w:tcW w:w="1710" w:type="dxa"/>
          </w:tcPr>
          <w:p w:rsidR="00034477" w:rsidRPr="001E198D" w:rsidRDefault="00C31A7B" w:rsidP="001E198D">
            <w:pPr>
              <w:pStyle w:val="ListParagraph"/>
              <w:spacing w:after="0" w:line="240" w:lineRule="exact"/>
              <w:ind w:left="0"/>
              <w:jc w:val="center"/>
              <w:rPr>
                <w:rFonts w:cs="Times New Roman"/>
                <w:sz w:val="24"/>
                <w:szCs w:val="24"/>
              </w:rPr>
            </w:pPr>
            <w:r w:rsidRPr="001E198D">
              <w:rPr>
                <w:rFonts w:cs="Times New Roman"/>
                <w:sz w:val="24"/>
                <w:szCs w:val="24"/>
              </w:rPr>
              <w:t>5299-5003</w:t>
            </w:r>
          </w:p>
        </w:tc>
        <w:tc>
          <w:tcPr>
            <w:tcW w:w="1170" w:type="dxa"/>
          </w:tcPr>
          <w:p w:rsidR="00034477" w:rsidRPr="001E198D" w:rsidRDefault="00C31A7B" w:rsidP="001E198D">
            <w:pPr>
              <w:tabs>
                <w:tab w:val="left" w:pos="288"/>
                <w:tab w:val="left" w:pos="4752"/>
              </w:tabs>
              <w:spacing w:line="240" w:lineRule="exact"/>
              <w:jc w:val="center"/>
              <w:rPr>
                <w:rFonts w:asciiTheme="minorHAnsi" w:hAnsiTheme="minorHAnsi"/>
                <w:color w:val="auto"/>
                <w:szCs w:val="24"/>
              </w:rPr>
            </w:pPr>
            <w:r w:rsidRPr="001E198D">
              <w:rPr>
                <w:rFonts w:asciiTheme="minorHAnsi" w:hAnsiTheme="minorHAnsi"/>
                <w:color w:val="auto"/>
                <w:szCs w:val="24"/>
              </w:rPr>
              <w:t>1</w:t>
            </w:r>
            <w:r w:rsidR="00034477" w:rsidRPr="001E198D">
              <w:rPr>
                <w:rFonts w:asciiTheme="minorHAnsi" w:hAnsiTheme="minorHAnsi"/>
                <w:color w:val="auto"/>
                <w:szCs w:val="24"/>
              </w:rPr>
              <w:t>0%</w:t>
            </w:r>
          </w:p>
        </w:tc>
      </w:tr>
      <w:tr w:rsidR="00034477" w:rsidRPr="00396779"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034477" w:rsidRPr="001E198D" w:rsidRDefault="00034477" w:rsidP="001E198D">
            <w:pPr>
              <w:tabs>
                <w:tab w:val="left" w:pos="288"/>
                <w:tab w:val="left" w:pos="4752"/>
              </w:tabs>
              <w:spacing w:line="240" w:lineRule="exact"/>
              <w:jc w:val="center"/>
              <w:rPr>
                <w:rFonts w:asciiTheme="minorHAnsi" w:hAnsiTheme="minorHAnsi"/>
                <w:b/>
                <w:color w:val="auto"/>
                <w:szCs w:val="24"/>
              </w:rPr>
            </w:pPr>
            <w:r w:rsidRPr="001E198D">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034477" w:rsidRPr="001E198D" w:rsidRDefault="00C31A7B" w:rsidP="001E198D">
            <w:pPr>
              <w:tabs>
                <w:tab w:val="left" w:pos="288"/>
                <w:tab w:val="left" w:pos="4752"/>
              </w:tabs>
              <w:spacing w:line="240" w:lineRule="exact"/>
              <w:jc w:val="center"/>
              <w:rPr>
                <w:rFonts w:asciiTheme="minorHAnsi" w:hAnsiTheme="minorHAnsi"/>
                <w:b/>
                <w:color w:val="auto"/>
                <w:szCs w:val="24"/>
              </w:rPr>
            </w:pPr>
            <w:r w:rsidRPr="001E198D">
              <w:rPr>
                <w:rFonts w:asciiTheme="minorHAnsi" w:hAnsiTheme="minorHAnsi"/>
                <w:b/>
                <w:color w:val="auto"/>
                <w:szCs w:val="24"/>
              </w:rPr>
              <w:t>1</w:t>
            </w:r>
            <w:r w:rsidR="00034477" w:rsidRPr="001E198D">
              <w:rPr>
                <w:rFonts w:asciiTheme="minorHAnsi" w:hAnsiTheme="minorHAnsi"/>
                <w:b/>
                <w:color w:val="auto"/>
                <w:szCs w:val="24"/>
              </w:rPr>
              <w:t>0%</w:t>
            </w:r>
          </w:p>
        </w:tc>
      </w:tr>
    </w:tbl>
    <w:p w:rsidR="00B427BB" w:rsidRPr="00006186" w:rsidRDefault="00FB1725" w:rsidP="00B427BB">
      <w:pPr>
        <w:rPr>
          <w:color w:val="auto"/>
        </w:rPr>
      </w:pPr>
      <w:r>
        <w:rPr>
          <w:rFonts w:asciiTheme="minorHAnsi" w:hAnsiTheme="minorHAnsi"/>
          <w:color w:val="auto"/>
        </w:rPr>
        <w:t>______________________________________________________________________________</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AC0A2D">
        <w:rPr>
          <w:rFonts w:asciiTheme="minorHAnsi" w:hAnsiTheme="minorHAnsi"/>
          <w:color w:val="auto"/>
        </w:rPr>
        <w:t>100419</w:t>
      </w:r>
      <w:r>
        <w:rPr>
          <w:rFonts w:asciiTheme="minorHAnsi" w:hAnsiTheme="minorHAnsi"/>
          <w:color w:val="auto"/>
        </w:rPr>
        <w:t>, w/atchs.</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46CC6" w:rsidRPr="00146CC6" w:rsidRDefault="00FB1725" w:rsidP="00146CC6">
      <w:pPr>
        <w:tabs>
          <w:tab w:val="left" w:pos="4680"/>
          <w:tab w:val="left" w:pos="4950"/>
        </w:tabs>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146CC6" w:rsidRDefault="00146CC6" w:rsidP="00146CC6">
      <w:pPr>
        <w:tabs>
          <w:tab w:val="left" w:pos="4680"/>
          <w:tab w:val="left" w:pos="4950"/>
        </w:tabs>
        <w:rPr>
          <w:rFonts w:asciiTheme="minorHAnsi" w:hAnsiTheme="minorHAnsi"/>
          <w:color w:val="auto"/>
        </w:rPr>
      </w:pPr>
      <w:r w:rsidRPr="00146CC6">
        <w:rPr>
          <w:rFonts w:asciiTheme="minorHAnsi" w:hAnsiTheme="minorHAnsi"/>
          <w:color w:val="auto"/>
        </w:rPr>
        <w:tab/>
        <w:t>President, Physical Disability Board of Review</w:t>
      </w:r>
    </w:p>
    <w:p w:rsidR="0026699E" w:rsidRDefault="0026699E">
      <w:pPr>
        <w:rPr>
          <w:rFonts w:asciiTheme="minorHAnsi" w:hAnsiTheme="minorHAnsi"/>
          <w:color w:val="auto"/>
        </w:rPr>
      </w:pPr>
      <w:r>
        <w:rPr>
          <w:rFonts w:asciiTheme="minorHAnsi" w:hAnsiTheme="minorHAnsi"/>
          <w:color w:val="auto"/>
        </w:rPr>
        <w:br w:type="page"/>
      </w:r>
    </w:p>
    <w:p w:rsidR="0026699E" w:rsidRDefault="0026699E" w:rsidP="00146CC6">
      <w:pPr>
        <w:tabs>
          <w:tab w:val="left" w:pos="4680"/>
          <w:tab w:val="left" w:pos="4950"/>
        </w:tabs>
        <w:rPr>
          <w:rFonts w:asciiTheme="minorHAnsi" w:hAnsiTheme="minorHAnsi"/>
          <w:color w:val="auto"/>
        </w:rPr>
      </w:pPr>
    </w:p>
    <w:p w:rsidR="0026699E" w:rsidRPr="0026699E" w:rsidRDefault="0026699E" w:rsidP="00146CC6">
      <w:pPr>
        <w:tabs>
          <w:tab w:val="left" w:pos="4680"/>
          <w:tab w:val="left" w:pos="4950"/>
        </w:tabs>
        <w:rPr>
          <w:rFonts w:asciiTheme="minorHAnsi" w:hAnsiTheme="minorHAnsi"/>
          <w:color w:val="auto"/>
        </w:rPr>
      </w:pPr>
    </w:p>
    <w:p w:rsidR="0026699E" w:rsidRPr="0026699E" w:rsidRDefault="00FB1725" w:rsidP="0026699E">
      <w:pPr>
        <w:jc w:val="both"/>
        <w:rPr>
          <w:color w:val="auto"/>
        </w:rPr>
      </w:pPr>
      <w:r w:rsidRPr="0026699E">
        <w:rPr>
          <w:rFonts w:asciiTheme="minorHAnsi" w:hAnsiTheme="minorHAnsi"/>
          <w:color w:val="auto"/>
        </w:rPr>
        <w:t xml:space="preserve">                             </w:t>
      </w:r>
      <w:r w:rsidRPr="0026699E">
        <w:rPr>
          <w:rFonts w:asciiTheme="minorHAnsi" w:hAnsiTheme="minorHAnsi"/>
          <w:color w:val="auto"/>
        </w:rPr>
        <w:tab/>
      </w:r>
      <w:r w:rsidRPr="0026699E">
        <w:rPr>
          <w:rFonts w:asciiTheme="minorHAnsi" w:hAnsiTheme="minorHAnsi"/>
          <w:color w:val="auto"/>
        </w:rPr>
        <w:tab/>
      </w:r>
      <w:r w:rsidR="0026699E" w:rsidRPr="0026699E">
        <w:rPr>
          <w:color w:val="auto"/>
        </w:rPr>
        <w:t xml:space="preserve">MEMORANDUM FOR DIRECTOR, SECRETARY OF THE NAVY COUNCIL OF REVIEW </w:t>
      </w:r>
    </w:p>
    <w:p w:rsidR="0026699E" w:rsidRPr="0026699E" w:rsidRDefault="0026699E" w:rsidP="0026699E">
      <w:pPr>
        <w:jc w:val="both"/>
        <w:rPr>
          <w:color w:val="auto"/>
        </w:rPr>
      </w:pPr>
      <w:r w:rsidRPr="0026699E">
        <w:rPr>
          <w:color w:val="auto"/>
        </w:rPr>
        <w:t xml:space="preserve">                                         BOARDS </w:t>
      </w:r>
    </w:p>
    <w:p w:rsidR="0026699E" w:rsidRPr="0026699E" w:rsidRDefault="0026699E" w:rsidP="0026699E">
      <w:pPr>
        <w:jc w:val="both"/>
        <w:rPr>
          <w:color w:val="auto"/>
        </w:rPr>
      </w:pPr>
    </w:p>
    <w:p w:rsidR="0026699E" w:rsidRPr="0026699E" w:rsidRDefault="0026699E" w:rsidP="0026699E">
      <w:pPr>
        <w:jc w:val="both"/>
        <w:rPr>
          <w:color w:val="auto"/>
        </w:rPr>
      </w:pPr>
      <w:proofErr w:type="spellStart"/>
      <w:r w:rsidRPr="0026699E">
        <w:rPr>
          <w:color w:val="auto"/>
        </w:rPr>
        <w:t>Subj</w:t>
      </w:r>
      <w:proofErr w:type="spellEnd"/>
      <w:r w:rsidRPr="0026699E">
        <w:rPr>
          <w:color w:val="auto"/>
        </w:rPr>
        <w:t>:  PHYSICAL DISABILITY BOARD OF REVIEW (PDBR) RECOMMENDATION</w:t>
      </w:r>
    </w:p>
    <w:p w:rsidR="0026699E" w:rsidRPr="0026699E" w:rsidRDefault="0026699E" w:rsidP="0026699E">
      <w:pPr>
        <w:tabs>
          <w:tab w:val="left" w:pos="630"/>
        </w:tabs>
        <w:jc w:val="both"/>
        <w:rPr>
          <w:color w:val="auto"/>
        </w:rPr>
      </w:pPr>
      <w:r w:rsidRPr="0026699E">
        <w:rPr>
          <w:color w:val="auto"/>
        </w:rPr>
        <w:t xml:space="preserve">    </w:t>
      </w:r>
      <w:r w:rsidRPr="0026699E">
        <w:rPr>
          <w:color w:val="auto"/>
        </w:rPr>
        <w:tab/>
        <w:t xml:space="preserve">ICO </w:t>
      </w:r>
      <w:r>
        <w:rPr>
          <w:color w:val="auto"/>
        </w:rPr>
        <w:t>XXXX</w:t>
      </w:r>
      <w:r w:rsidRPr="0026699E">
        <w:rPr>
          <w:color w:val="auto"/>
        </w:rPr>
        <w:t xml:space="preserve">, FORMER USMC, XXX XX </w:t>
      </w:r>
      <w:r>
        <w:rPr>
          <w:color w:val="auto"/>
        </w:rPr>
        <w:t>XXXX</w:t>
      </w:r>
    </w:p>
    <w:p w:rsidR="0026699E" w:rsidRPr="0026699E" w:rsidRDefault="0026699E" w:rsidP="0026699E">
      <w:pPr>
        <w:jc w:val="both"/>
        <w:rPr>
          <w:color w:val="auto"/>
        </w:rPr>
      </w:pPr>
    </w:p>
    <w:p w:rsidR="0026699E" w:rsidRPr="0026699E" w:rsidRDefault="0026699E" w:rsidP="0026699E">
      <w:pPr>
        <w:jc w:val="both"/>
        <w:rPr>
          <w:color w:val="auto"/>
        </w:rPr>
      </w:pPr>
      <w:r w:rsidRPr="0026699E">
        <w:rPr>
          <w:color w:val="auto"/>
        </w:rPr>
        <w:t>Ref:   (a) DoDI 6040.44</w:t>
      </w:r>
    </w:p>
    <w:p w:rsidR="0026699E" w:rsidRPr="0026699E" w:rsidRDefault="0026699E" w:rsidP="0026699E">
      <w:pPr>
        <w:jc w:val="both"/>
        <w:rPr>
          <w:color w:val="auto"/>
        </w:rPr>
      </w:pPr>
      <w:r w:rsidRPr="0026699E">
        <w:rPr>
          <w:color w:val="auto"/>
        </w:rPr>
        <w:t xml:space="preserve">          (b) PDBR </w:t>
      </w:r>
      <w:proofErr w:type="spellStart"/>
      <w:r w:rsidRPr="0026699E">
        <w:rPr>
          <w:color w:val="auto"/>
        </w:rPr>
        <w:t>ltr</w:t>
      </w:r>
      <w:proofErr w:type="spellEnd"/>
      <w:r w:rsidRPr="0026699E">
        <w:rPr>
          <w:color w:val="auto"/>
        </w:rPr>
        <w:t xml:space="preserve"> </w:t>
      </w:r>
      <w:proofErr w:type="spellStart"/>
      <w:r w:rsidRPr="0026699E">
        <w:rPr>
          <w:color w:val="auto"/>
        </w:rPr>
        <w:t>dtd</w:t>
      </w:r>
      <w:proofErr w:type="spellEnd"/>
      <w:r w:rsidRPr="0026699E">
        <w:rPr>
          <w:color w:val="auto"/>
        </w:rPr>
        <w:t xml:space="preserve"> 23 Aug 11</w:t>
      </w:r>
    </w:p>
    <w:p w:rsidR="0026699E" w:rsidRPr="0026699E" w:rsidRDefault="0026699E" w:rsidP="0026699E">
      <w:pPr>
        <w:jc w:val="both"/>
        <w:rPr>
          <w:color w:val="auto"/>
        </w:rPr>
      </w:pPr>
    </w:p>
    <w:p w:rsidR="0026699E" w:rsidRPr="0026699E" w:rsidRDefault="0026699E" w:rsidP="0026699E">
      <w:pPr>
        <w:rPr>
          <w:color w:val="auto"/>
        </w:rPr>
      </w:pPr>
      <w:r w:rsidRPr="0026699E">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26699E">
        <w:rPr>
          <w:color w:val="auto"/>
        </w:rPr>
        <w:t>’s records not be corrected to reflect a change in either his characterization of separation or in the disability rating previously assigned by the Department of the Navy’s Physical Evaluation Board.</w:t>
      </w:r>
    </w:p>
    <w:p w:rsidR="0026699E" w:rsidRPr="0026699E" w:rsidRDefault="0026699E" w:rsidP="0026699E">
      <w:pPr>
        <w:jc w:val="both"/>
        <w:rPr>
          <w:color w:val="auto"/>
        </w:rPr>
      </w:pPr>
    </w:p>
    <w:p w:rsidR="0026699E" w:rsidRPr="0026699E" w:rsidRDefault="0026699E" w:rsidP="0026699E">
      <w:pPr>
        <w:jc w:val="both"/>
        <w:rPr>
          <w:color w:val="auto"/>
        </w:rPr>
      </w:pPr>
    </w:p>
    <w:p w:rsidR="0026699E" w:rsidRPr="0026699E" w:rsidRDefault="0026699E" w:rsidP="0026699E">
      <w:pPr>
        <w:tabs>
          <w:tab w:val="left" w:pos="4680"/>
        </w:tabs>
        <w:jc w:val="both"/>
        <w:rPr>
          <w:color w:val="auto"/>
        </w:rPr>
      </w:pPr>
      <w:r w:rsidRPr="0026699E">
        <w:rPr>
          <w:color w:val="auto"/>
        </w:rPr>
        <w:tab/>
        <w:t>Assistant General Counsel</w:t>
      </w:r>
    </w:p>
    <w:p w:rsidR="0026699E" w:rsidRDefault="0026699E" w:rsidP="0026699E">
      <w:pPr>
        <w:jc w:val="both"/>
      </w:pPr>
      <w:r w:rsidRPr="0026699E">
        <w:rPr>
          <w:color w:val="auto"/>
        </w:rPr>
        <w:tab/>
      </w:r>
      <w:r w:rsidRPr="0026699E">
        <w:rPr>
          <w:color w:val="auto"/>
        </w:rPr>
        <w:tab/>
      </w:r>
      <w:r w:rsidRPr="0026699E">
        <w:rPr>
          <w:color w:val="auto"/>
        </w:rPr>
        <w:tab/>
      </w:r>
      <w:r w:rsidRPr="0026699E">
        <w:rPr>
          <w:color w:val="auto"/>
        </w:rPr>
        <w:tab/>
      </w:r>
      <w:r w:rsidRPr="0026699E">
        <w:rPr>
          <w:color w:val="auto"/>
        </w:rPr>
        <w:tab/>
      </w:r>
      <w:r w:rsidRPr="0026699E">
        <w:rPr>
          <w:color w:val="auto"/>
        </w:rPr>
        <w:tab/>
        <w:t xml:space="preserve">        (Manpower &amp; Reserve Affairs</w:t>
      </w:r>
      <w:r>
        <w:t>)</w:t>
      </w:r>
    </w:p>
    <w:p w:rsidR="0026699E" w:rsidRDefault="0026699E" w:rsidP="0026699E">
      <w:pPr>
        <w:jc w:val="both"/>
      </w:pPr>
      <w:r>
        <w:tab/>
      </w:r>
      <w:r>
        <w:tab/>
      </w:r>
      <w:r>
        <w:tab/>
      </w:r>
      <w:r>
        <w:tab/>
      </w:r>
      <w:r>
        <w:tab/>
      </w:r>
      <w:r>
        <w:tab/>
        <w:t xml:space="preserve">  </w:t>
      </w:r>
    </w:p>
    <w:p w:rsidR="00E86BAD" w:rsidRDefault="00E86BAD" w:rsidP="00146CC6">
      <w:pPr>
        <w:tabs>
          <w:tab w:val="left" w:pos="0"/>
          <w:tab w:val="left" w:pos="4320"/>
        </w:tabs>
        <w:spacing w:line="240" w:lineRule="exact"/>
        <w:jc w:val="both"/>
        <w:rPr>
          <w:rFonts w:asciiTheme="minorHAnsi" w:hAnsiTheme="minorHAnsi"/>
          <w:color w:val="auto"/>
          <w:sz w:val="18"/>
          <w:szCs w:val="18"/>
        </w:rPr>
      </w:pPr>
    </w:p>
    <w:sectPr w:rsidR="00E86BAD"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34" w:rsidRDefault="00320034">
      <w:r>
        <w:separator/>
      </w:r>
    </w:p>
  </w:endnote>
  <w:endnote w:type="continuationSeparator" w:id="0">
    <w:p w:rsidR="00320034" w:rsidRDefault="00320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5C" w:rsidRDefault="00586F9E">
    <w:pPr>
      <w:pStyle w:val="Footer"/>
      <w:framePr w:wrap="around" w:vAnchor="text" w:hAnchor="margin" w:xAlign="center" w:y="1"/>
      <w:rPr>
        <w:rStyle w:val="PageNumber"/>
      </w:rPr>
    </w:pPr>
    <w:r>
      <w:rPr>
        <w:rStyle w:val="PageNumber"/>
      </w:rPr>
      <w:fldChar w:fldCharType="begin"/>
    </w:r>
    <w:r w:rsidR="0093125C">
      <w:rPr>
        <w:rStyle w:val="PageNumber"/>
      </w:rPr>
      <w:instrText xml:space="preserve">PAGE  </w:instrText>
    </w:r>
    <w:r>
      <w:rPr>
        <w:rStyle w:val="PageNumber"/>
      </w:rPr>
      <w:fldChar w:fldCharType="separate"/>
    </w:r>
    <w:r w:rsidR="0093125C">
      <w:rPr>
        <w:rStyle w:val="PageNumber"/>
        <w:noProof/>
      </w:rPr>
      <w:t>2</w:t>
    </w:r>
    <w:r>
      <w:rPr>
        <w:rStyle w:val="PageNumber"/>
      </w:rPr>
      <w:fldChar w:fldCharType="end"/>
    </w:r>
  </w:p>
  <w:p w:rsidR="0093125C" w:rsidRDefault="0093125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5C" w:rsidRPr="00AC713F" w:rsidRDefault="00586F9E">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3125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26699E">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93125C" w:rsidRPr="00396779" w:rsidRDefault="0093125C" w:rsidP="002B0749">
    <w:pPr>
      <w:pStyle w:val="Footer"/>
      <w:jc w:val="right"/>
      <w:rPr>
        <w:rFonts w:asciiTheme="minorHAnsi" w:hAnsiTheme="minorHAnsi"/>
        <w:color w:val="auto"/>
      </w:rPr>
    </w:pPr>
    <w:r>
      <w:tab/>
    </w:r>
    <w:r>
      <w:tab/>
    </w:r>
    <w:r w:rsidRPr="00AC0A2D">
      <w:rPr>
        <w:rFonts w:asciiTheme="minorHAnsi" w:hAnsiTheme="minorHAnsi"/>
        <w:caps/>
        <w:color w:val="auto"/>
      </w:rPr>
      <w:t>PD1000626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34" w:rsidRDefault="00320034">
      <w:r>
        <w:separator/>
      </w:r>
    </w:p>
  </w:footnote>
  <w:footnote w:type="continuationSeparator" w:id="0">
    <w:p w:rsidR="00320034" w:rsidRDefault="00320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848D5"/>
    <w:multiLevelType w:val="hybridMultilevel"/>
    <w:tmpl w:val="781E8BCC"/>
    <w:lvl w:ilvl="0" w:tplc="14AA3F7A">
      <w:start w:val="6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970"/>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77"/>
    <w:rsid w:val="000344E6"/>
    <w:rsid w:val="00034CA1"/>
    <w:rsid w:val="00035C3A"/>
    <w:rsid w:val="00036E4B"/>
    <w:rsid w:val="000379D0"/>
    <w:rsid w:val="00040FC4"/>
    <w:rsid w:val="000416F8"/>
    <w:rsid w:val="00042C26"/>
    <w:rsid w:val="00043382"/>
    <w:rsid w:val="00044623"/>
    <w:rsid w:val="00051622"/>
    <w:rsid w:val="00052234"/>
    <w:rsid w:val="00053D7C"/>
    <w:rsid w:val="00054331"/>
    <w:rsid w:val="000577C9"/>
    <w:rsid w:val="0006431E"/>
    <w:rsid w:val="00065E21"/>
    <w:rsid w:val="00072433"/>
    <w:rsid w:val="00075702"/>
    <w:rsid w:val="00076967"/>
    <w:rsid w:val="000775C2"/>
    <w:rsid w:val="000806AD"/>
    <w:rsid w:val="00082482"/>
    <w:rsid w:val="0008708B"/>
    <w:rsid w:val="00092619"/>
    <w:rsid w:val="00092C66"/>
    <w:rsid w:val="00094E4F"/>
    <w:rsid w:val="000A2BCE"/>
    <w:rsid w:val="000A41E3"/>
    <w:rsid w:val="000A4BBA"/>
    <w:rsid w:val="000A5071"/>
    <w:rsid w:val="000B4C99"/>
    <w:rsid w:val="000B5629"/>
    <w:rsid w:val="000C06F6"/>
    <w:rsid w:val="000C1D34"/>
    <w:rsid w:val="000C2362"/>
    <w:rsid w:val="000C3C13"/>
    <w:rsid w:val="000C53F9"/>
    <w:rsid w:val="000C5813"/>
    <w:rsid w:val="000C65A0"/>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E7110"/>
    <w:rsid w:val="000F02BE"/>
    <w:rsid w:val="000F427B"/>
    <w:rsid w:val="000F7181"/>
    <w:rsid w:val="001008C1"/>
    <w:rsid w:val="001023DB"/>
    <w:rsid w:val="00103CCF"/>
    <w:rsid w:val="0010417F"/>
    <w:rsid w:val="001042D2"/>
    <w:rsid w:val="0010445A"/>
    <w:rsid w:val="0010530E"/>
    <w:rsid w:val="00105C07"/>
    <w:rsid w:val="00107EC5"/>
    <w:rsid w:val="001103CD"/>
    <w:rsid w:val="00114F20"/>
    <w:rsid w:val="001211AF"/>
    <w:rsid w:val="001219DF"/>
    <w:rsid w:val="00122ABE"/>
    <w:rsid w:val="001231DC"/>
    <w:rsid w:val="001272AE"/>
    <w:rsid w:val="001315DD"/>
    <w:rsid w:val="00134D71"/>
    <w:rsid w:val="00135385"/>
    <w:rsid w:val="001364D1"/>
    <w:rsid w:val="00142EBA"/>
    <w:rsid w:val="00143B79"/>
    <w:rsid w:val="0014410F"/>
    <w:rsid w:val="00146CC6"/>
    <w:rsid w:val="00150B8A"/>
    <w:rsid w:val="00150DCB"/>
    <w:rsid w:val="00151912"/>
    <w:rsid w:val="00153740"/>
    <w:rsid w:val="001541C5"/>
    <w:rsid w:val="0015623F"/>
    <w:rsid w:val="00156585"/>
    <w:rsid w:val="00156BA9"/>
    <w:rsid w:val="00161761"/>
    <w:rsid w:val="00166182"/>
    <w:rsid w:val="001745DD"/>
    <w:rsid w:val="001770E0"/>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3F01"/>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380"/>
    <w:rsid w:val="001E15C0"/>
    <w:rsid w:val="001E18E0"/>
    <w:rsid w:val="001E18E2"/>
    <w:rsid w:val="001E198D"/>
    <w:rsid w:val="001E19D0"/>
    <w:rsid w:val="001E2A30"/>
    <w:rsid w:val="00200AA0"/>
    <w:rsid w:val="00202325"/>
    <w:rsid w:val="00202736"/>
    <w:rsid w:val="00203652"/>
    <w:rsid w:val="00205B4F"/>
    <w:rsid w:val="002060B6"/>
    <w:rsid w:val="002066B5"/>
    <w:rsid w:val="00210B8E"/>
    <w:rsid w:val="002119B6"/>
    <w:rsid w:val="00212B40"/>
    <w:rsid w:val="00215ED6"/>
    <w:rsid w:val="00216049"/>
    <w:rsid w:val="00217606"/>
    <w:rsid w:val="00217C09"/>
    <w:rsid w:val="002205FA"/>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6699E"/>
    <w:rsid w:val="00270864"/>
    <w:rsid w:val="002712F7"/>
    <w:rsid w:val="0027159C"/>
    <w:rsid w:val="00273355"/>
    <w:rsid w:val="00274226"/>
    <w:rsid w:val="00274549"/>
    <w:rsid w:val="00274E46"/>
    <w:rsid w:val="00276C86"/>
    <w:rsid w:val="002810A4"/>
    <w:rsid w:val="00284A26"/>
    <w:rsid w:val="00287006"/>
    <w:rsid w:val="00292AB2"/>
    <w:rsid w:val="00294437"/>
    <w:rsid w:val="0029491D"/>
    <w:rsid w:val="00294BE4"/>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635C"/>
    <w:rsid w:val="002E7570"/>
    <w:rsid w:val="002E764B"/>
    <w:rsid w:val="002F0E28"/>
    <w:rsid w:val="002F287E"/>
    <w:rsid w:val="002F2D63"/>
    <w:rsid w:val="002F47B2"/>
    <w:rsid w:val="002F7F81"/>
    <w:rsid w:val="00300A36"/>
    <w:rsid w:val="0030678B"/>
    <w:rsid w:val="00310CD7"/>
    <w:rsid w:val="00320034"/>
    <w:rsid w:val="0032136A"/>
    <w:rsid w:val="00323E70"/>
    <w:rsid w:val="00325BA2"/>
    <w:rsid w:val="00326C08"/>
    <w:rsid w:val="00326F7F"/>
    <w:rsid w:val="00327CE6"/>
    <w:rsid w:val="003320E8"/>
    <w:rsid w:val="0033334F"/>
    <w:rsid w:val="0033555E"/>
    <w:rsid w:val="00336805"/>
    <w:rsid w:val="00337351"/>
    <w:rsid w:val="00341A54"/>
    <w:rsid w:val="00342A60"/>
    <w:rsid w:val="0034669F"/>
    <w:rsid w:val="00351498"/>
    <w:rsid w:val="00352B22"/>
    <w:rsid w:val="0035343C"/>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3882"/>
    <w:rsid w:val="003B5854"/>
    <w:rsid w:val="003B6764"/>
    <w:rsid w:val="003C0B06"/>
    <w:rsid w:val="003C331F"/>
    <w:rsid w:val="003C6068"/>
    <w:rsid w:val="003D2BA3"/>
    <w:rsid w:val="003D3C22"/>
    <w:rsid w:val="003D7089"/>
    <w:rsid w:val="003D7DDB"/>
    <w:rsid w:val="003E02C7"/>
    <w:rsid w:val="003E0543"/>
    <w:rsid w:val="003E0B5A"/>
    <w:rsid w:val="003E31E3"/>
    <w:rsid w:val="003E46D1"/>
    <w:rsid w:val="003E6214"/>
    <w:rsid w:val="003E79B2"/>
    <w:rsid w:val="003F070E"/>
    <w:rsid w:val="003F58B0"/>
    <w:rsid w:val="004007E9"/>
    <w:rsid w:val="00401825"/>
    <w:rsid w:val="00401BBC"/>
    <w:rsid w:val="00403BFB"/>
    <w:rsid w:val="00404B45"/>
    <w:rsid w:val="00406CC5"/>
    <w:rsid w:val="004074A4"/>
    <w:rsid w:val="004101B2"/>
    <w:rsid w:val="00410C24"/>
    <w:rsid w:val="004123D7"/>
    <w:rsid w:val="00412658"/>
    <w:rsid w:val="00414E02"/>
    <w:rsid w:val="00415740"/>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2F68"/>
    <w:rsid w:val="00465AAB"/>
    <w:rsid w:val="00466CED"/>
    <w:rsid w:val="00467592"/>
    <w:rsid w:val="00467690"/>
    <w:rsid w:val="004718E7"/>
    <w:rsid w:val="00472535"/>
    <w:rsid w:val="004761CC"/>
    <w:rsid w:val="00480D4A"/>
    <w:rsid w:val="00481DA1"/>
    <w:rsid w:val="0049255F"/>
    <w:rsid w:val="0049445D"/>
    <w:rsid w:val="00495350"/>
    <w:rsid w:val="00497156"/>
    <w:rsid w:val="004A0C79"/>
    <w:rsid w:val="004A24D2"/>
    <w:rsid w:val="004A3214"/>
    <w:rsid w:val="004A4136"/>
    <w:rsid w:val="004A417B"/>
    <w:rsid w:val="004B03F3"/>
    <w:rsid w:val="004B0CC9"/>
    <w:rsid w:val="004B0E77"/>
    <w:rsid w:val="004B2536"/>
    <w:rsid w:val="004B6AF3"/>
    <w:rsid w:val="004B715E"/>
    <w:rsid w:val="004B7169"/>
    <w:rsid w:val="004B79C9"/>
    <w:rsid w:val="004C5E33"/>
    <w:rsid w:val="004C6CDA"/>
    <w:rsid w:val="004D0F7E"/>
    <w:rsid w:val="004D10D4"/>
    <w:rsid w:val="004D16BD"/>
    <w:rsid w:val="004D2AAB"/>
    <w:rsid w:val="004D2EA3"/>
    <w:rsid w:val="004D6F2B"/>
    <w:rsid w:val="004E0248"/>
    <w:rsid w:val="004E21A3"/>
    <w:rsid w:val="004E32EA"/>
    <w:rsid w:val="004E6866"/>
    <w:rsid w:val="004F3222"/>
    <w:rsid w:val="004F3BFA"/>
    <w:rsid w:val="005000AB"/>
    <w:rsid w:val="005025EE"/>
    <w:rsid w:val="0051042B"/>
    <w:rsid w:val="00510588"/>
    <w:rsid w:val="0051146C"/>
    <w:rsid w:val="00511518"/>
    <w:rsid w:val="00514449"/>
    <w:rsid w:val="005157BD"/>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668F2"/>
    <w:rsid w:val="005709F7"/>
    <w:rsid w:val="005710A9"/>
    <w:rsid w:val="00571D1B"/>
    <w:rsid w:val="0058039C"/>
    <w:rsid w:val="00586F9E"/>
    <w:rsid w:val="00593043"/>
    <w:rsid w:val="00595BF0"/>
    <w:rsid w:val="005A1846"/>
    <w:rsid w:val="005A258C"/>
    <w:rsid w:val="005A3560"/>
    <w:rsid w:val="005A464E"/>
    <w:rsid w:val="005A5492"/>
    <w:rsid w:val="005A6C99"/>
    <w:rsid w:val="005A7D5D"/>
    <w:rsid w:val="005B011A"/>
    <w:rsid w:val="005B1D8F"/>
    <w:rsid w:val="005B1E94"/>
    <w:rsid w:val="005B5B3D"/>
    <w:rsid w:val="005B64CF"/>
    <w:rsid w:val="005C0AC4"/>
    <w:rsid w:val="005C16F3"/>
    <w:rsid w:val="005C3758"/>
    <w:rsid w:val="005E3064"/>
    <w:rsid w:val="005E3E8C"/>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136"/>
    <w:rsid w:val="00637BDC"/>
    <w:rsid w:val="006418C9"/>
    <w:rsid w:val="00642BD6"/>
    <w:rsid w:val="00645046"/>
    <w:rsid w:val="0064527A"/>
    <w:rsid w:val="00645EA2"/>
    <w:rsid w:val="00653D2D"/>
    <w:rsid w:val="006573F2"/>
    <w:rsid w:val="00662F08"/>
    <w:rsid w:val="00663589"/>
    <w:rsid w:val="006708E3"/>
    <w:rsid w:val="00670DDC"/>
    <w:rsid w:val="00671EB4"/>
    <w:rsid w:val="0067443B"/>
    <w:rsid w:val="0067543C"/>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624"/>
    <w:rsid w:val="006B67D9"/>
    <w:rsid w:val="006B6C14"/>
    <w:rsid w:val="006B715E"/>
    <w:rsid w:val="006C1D6E"/>
    <w:rsid w:val="006C2EF6"/>
    <w:rsid w:val="006C3A68"/>
    <w:rsid w:val="006C6AB1"/>
    <w:rsid w:val="006D2D39"/>
    <w:rsid w:val="006D4E0E"/>
    <w:rsid w:val="006D5CE2"/>
    <w:rsid w:val="006E06D1"/>
    <w:rsid w:val="006E1313"/>
    <w:rsid w:val="006E2DC8"/>
    <w:rsid w:val="006E369C"/>
    <w:rsid w:val="006E7356"/>
    <w:rsid w:val="006E77C8"/>
    <w:rsid w:val="006F03B8"/>
    <w:rsid w:val="006F149D"/>
    <w:rsid w:val="006F1A46"/>
    <w:rsid w:val="006F264D"/>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56794"/>
    <w:rsid w:val="0076100C"/>
    <w:rsid w:val="007612A5"/>
    <w:rsid w:val="00764D71"/>
    <w:rsid w:val="007651ED"/>
    <w:rsid w:val="00766C87"/>
    <w:rsid w:val="00773BF4"/>
    <w:rsid w:val="00781BD4"/>
    <w:rsid w:val="00784832"/>
    <w:rsid w:val="00785042"/>
    <w:rsid w:val="00785D77"/>
    <w:rsid w:val="00786111"/>
    <w:rsid w:val="00791F1E"/>
    <w:rsid w:val="00794F3D"/>
    <w:rsid w:val="00796045"/>
    <w:rsid w:val="007968AC"/>
    <w:rsid w:val="007969AB"/>
    <w:rsid w:val="007A0887"/>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24E0"/>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6A72"/>
    <w:rsid w:val="008078D8"/>
    <w:rsid w:val="00811D5B"/>
    <w:rsid w:val="00817713"/>
    <w:rsid w:val="008214B1"/>
    <w:rsid w:val="008220F1"/>
    <w:rsid w:val="0082340B"/>
    <w:rsid w:val="00827DB6"/>
    <w:rsid w:val="008304B2"/>
    <w:rsid w:val="00830999"/>
    <w:rsid w:val="00830D5E"/>
    <w:rsid w:val="00830F69"/>
    <w:rsid w:val="008312A2"/>
    <w:rsid w:val="00833418"/>
    <w:rsid w:val="00834458"/>
    <w:rsid w:val="00835841"/>
    <w:rsid w:val="00837465"/>
    <w:rsid w:val="00841243"/>
    <w:rsid w:val="00841457"/>
    <w:rsid w:val="0084374E"/>
    <w:rsid w:val="00844842"/>
    <w:rsid w:val="00844885"/>
    <w:rsid w:val="00844B09"/>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633"/>
    <w:rsid w:val="008A7F7E"/>
    <w:rsid w:val="008B04DB"/>
    <w:rsid w:val="008B27FD"/>
    <w:rsid w:val="008B3AF2"/>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6EB7"/>
    <w:rsid w:val="009102BF"/>
    <w:rsid w:val="009115F2"/>
    <w:rsid w:val="00914ADB"/>
    <w:rsid w:val="00923B25"/>
    <w:rsid w:val="0092402E"/>
    <w:rsid w:val="009259BA"/>
    <w:rsid w:val="009263CD"/>
    <w:rsid w:val="00926FCB"/>
    <w:rsid w:val="0093125C"/>
    <w:rsid w:val="0093311A"/>
    <w:rsid w:val="00942645"/>
    <w:rsid w:val="009431AA"/>
    <w:rsid w:val="00950A3A"/>
    <w:rsid w:val="00950D6B"/>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0B1E"/>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F3951"/>
    <w:rsid w:val="009F7809"/>
    <w:rsid w:val="009F7AF5"/>
    <w:rsid w:val="00A00D14"/>
    <w:rsid w:val="00A01408"/>
    <w:rsid w:val="00A02457"/>
    <w:rsid w:val="00A03190"/>
    <w:rsid w:val="00A0404B"/>
    <w:rsid w:val="00A0798C"/>
    <w:rsid w:val="00A07BDD"/>
    <w:rsid w:val="00A1105B"/>
    <w:rsid w:val="00A1213C"/>
    <w:rsid w:val="00A15B6B"/>
    <w:rsid w:val="00A15EB4"/>
    <w:rsid w:val="00A16876"/>
    <w:rsid w:val="00A200AA"/>
    <w:rsid w:val="00A20558"/>
    <w:rsid w:val="00A2186F"/>
    <w:rsid w:val="00A2270B"/>
    <w:rsid w:val="00A23B89"/>
    <w:rsid w:val="00A23FE3"/>
    <w:rsid w:val="00A248C3"/>
    <w:rsid w:val="00A2496E"/>
    <w:rsid w:val="00A258B7"/>
    <w:rsid w:val="00A3094E"/>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4A23"/>
    <w:rsid w:val="00A76094"/>
    <w:rsid w:val="00A76482"/>
    <w:rsid w:val="00A768E2"/>
    <w:rsid w:val="00A80AFB"/>
    <w:rsid w:val="00A8204D"/>
    <w:rsid w:val="00A82C52"/>
    <w:rsid w:val="00A86CB6"/>
    <w:rsid w:val="00A90D55"/>
    <w:rsid w:val="00A944D8"/>
    <w:rsid w:val="00A959E7"/>
    <w:rsid w:val="00A95BBA"/>
    <w:rsid w:val="00A961EE"/>
    <w:rsid w:val="00AA04B3"/>
    <w:rsid w:val="00AA1253"/>
    <w:rsid w:val="00AA1ED0"/>
    <w:rsid w:val="00AA28EF"/>
    <w:rsid w:val="00AA2B7B"/>
    <w:rsid w:val="00AA3593"/>
    <w:rsid w:val="00AA38CA"/>
    <w:rsid w:val="00AA493E"/>
    <w:rsid w:val="00AA73AF"/>
    <w:rsid w:val="00AB0A8A"/>
    <w:rsid w:val="00AB1754"/>
    <w:rsid w:val="00AB27DD"/>
    <w:rsid w:val="00AC0A2D"/>
    <w:rsid w:val="00AC439D"/>
    <w:rsid w:val="00AC713F"/>
    <w:rsid w:val="00AD067E"/>
    <w:rsid w:val="00AD2801"/>
    <w:rsid w:val="00AD6870"/>
    <w:rsid w:val="00AD68C5"/>
    <w:rsid w:val="00AE1273"/>
    <w:rsid w:val="00AE2D29"/>
    <w:rsid w:val="00AE4624"/>
    <w:rsid w:val="00AE5E14"/>
    <w:rsid w:val="00AE6115"/>
    <w:rsid w:val="00AE625B"/>
    <w:rsid w:val="00AF1327"/>
    <w:rsid w:val="00AF1668"/>
    <w:rsid w:val="00AF4FA5"/>
    <w:rsid w:val="00AF51DC"/>
    <w:rsid w:val="00AF6D7B"/>
    <w:rsid w:val="00B03A33"/>
    <w:rsid w:val="00B07955"/>
    <w:rsid w:val="00B140B8"/>
    <w:rsid w:val="00B14FAA"/>
    <w:rsid w:val="00B15D30"/>
    <w:rsid w:val="00B20624"/>
    <w:rsid w:val="00B23436"/>
    <w:rsid w:val="00B23519"/>
    <w:rsid w:val="00B237F1"/>
    <w:rsid w:val="00B26354"/>
    <w:rsid w:val="00B26CA0"/>
    <w:rsid w:val="00B3002C"/>
    <w:rsid w:val="00B30E5D"/>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C72"/>
    <w:rsid w:val="00B7590D"/>
    <w:rsid w:val="00B82277"/>
    <w:rsid w:val="00B86EDF"/>
    <w:rsid w:val="00B91676"/>
    <w:rsid w:val="00B95833"/>
    <w:rsid w:val="00BA1824"/>
    <w:rsid w:val="00BA2D98"/>
    <w:rsid w:val="00BA30D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E7C22"/>
    <w:rsid w:val="00BF0B7F"/>
    <w:rsid w:val="00BF0FFD"/>
    <w:rsid w:val="00BF4720"/>
    <w:rsid w:val="00BF4F49"/>
    <w:rsid w:val="00BF7B4F"/>
    <w:rsid w:val="00BF7B63"/>
    <w:rsid w:val="00C00D42"/>
    <w:rsid w:val="00C038EC"/>
    <w:rsid w:val="00C05C6D"/>
    <w:rsid w:val="00C06320"/>
    <w:rsid w:val="00C1122B"/>
    <w:rsid w:val="00C13B34"/>
    <w:rsid w:val="00C13F26"/>
    <w:rsid w:val="00C1474E"/>
    <w:rsid w:val="00C15D34"/>
    <w:rsid w:val="00C16E9F"/>
    <w:rsid w:val="00C1713D"/>
    <w:rsid w:val="00C177F1"/>
    <w:rsid w:val="00C17EE6"/>
    <w:rsid w:val="00C22F3A"/>
    <w:rsid w:val="00C23311"/>
    <w:rsid w:val="00C25978"/>
    <w:rsid w:val="00C261C6"/>
    <w:rsid w:val="00C26E7C"/>
    <w:rsid w:val="00C276CD"/>
    <w:rsid w:val="00C30A97"/>
    <w:rsid w:val="00C31A7B"/>
    <w:rsid w:val="00C31DDC"/>
    <w:rsid w:val="00C34326"/>
    <w:rsid w:val="00C36201"/>
    <w:rsid w:val="00C368E8"/>
    <w:rsid w:val="00C36C3D"/>
    <w:rsid w:val="00C372C7"/>
    <w:rsid w:val="00C42443"/>
    <w:rsid w:val="00C42CBA"/>
    <w:rsid w:val="00C439E1"/>
    <w:rsid w:val="00C5019E"/>
    <w:rsid w:val="00C5377C"/>
    <w:rsid w:val="00C53E8A"/>
    <w:rsid w:val="00C54DF3"/>
    <w:rsid w:val="00C560A7"/>
    <w:rsid w:val="00C56FC8"/>
    <w:rsid w:val="00C60F23"/>
    <w:rsid w:val="00C62EB2"/>
    <w:rsid w:val="00C71BEC"/>
    <w:rsid w:val="00C74D3A"/>
    <w:rsid w:val="00C80511"/>
    <w:rsid w:val="00C826F5"/>
    <w:rsid w:val="00C83740"/>
    <w:rsid w:val="00C8386F"/>
    <w:rsid w:val="00C84AD1"/>
    <w:rsid w:val="00C85579"/>
    <w:rsid w:val="00C863E5"/>
    <w:rsid w:val="00C867E1"/>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053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0705"/>
    <w:rsid w:val="00D910C2"/>
    <w:rsid w:val="00D9168C"/>
    <w:rsid w:val="00D9189B"/>
    <w:rsid w:val="00D91DA6"/>
    <w:rsid w:val="00D9706F"/>
    <w:rsid w:val="00D972D4"/>
    <w:rsid w:val="00DA195B"/>
    <w:rsid w:val="00DA6B55"/>
    <w:rsid w:val="00DA6B97"/>
    <w:rsid w:val="00DB0015"/>
    <w:rsid w:val="00DB2AAD"/>
    <w:rsid w:val="00DB626D"/>
    <w:rsid w:val="00DB6365"/>
    <w:rsid w:val="00DB63A4"/>
    <w:rsid w:val="00DC0BF1"/>
    <w:rsid w:val="00DC41C3"/>
    <w:rsid w:val="00DD286D"/>
    <w:rsid w:val="00DD2CAF"/>
    <w:rsid w:val="00DD3593"/>
    <w:rsid w:val="00DD64E0"/>
    <w:rsid w:val="00DE0C67"/>
    <w:rsid w:val="00DE390A"/>
    <w:rsid w:val="00DE3AF6"/>
    <w:rsid w:val="00DE569E"/>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0F8"/>
    <w:rsid w:val="00E676A1"/>
    <w:rsid w:val="00E67FAC"/>
    <w:rsid w:val="00E7200B"/>
    <w:rsid w:val="00E738CB"/>
    <w:rsid w:val="00E73C88"/>
    <w:rsid w:val="00E74437"/>
    <w:rsid w:val="00E7443D"/>
    <w:rsid w:val="00E81C3E"/>
    <w:rsid w:val="00E82B6D"/>
    <w:rsid w:val="00E86BAD"/>
    <w:rsid w:val="00E93362"/>
    <w:rsid w:val="00E97722"/>
    <w:rsid w:val="00EA1177"/>
    <w:rsid w:val="00EA118B"/>
    <w:rsid w:val="00EA11B6"/>
    <w:rsid w:val="00EA2181"/>
    <w:rsid w:val="00EA2DD8"/>
    <w:rsid w:val="00EA4475"/>
    <w:rsid w:val="00EA681F"/>
    <w:rsid w:val="00EB2658"/>
    <w:rsid w:val="00EB3307"/>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45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26EA"/>
    <w:rsid w:val="00F33D56"/>
    <w:rsid w:val="00F34E08"/>
    <w:rsid w:val="00F41D91"/>
    <w:rsid w:val="00F42363"/>
    <w:rsid w:val="00F46964"/>
    <w:rsid w:val="00F46F9A"/>
    <w:rsid w:val="00F470FD"/>
    <w:rsid w:val="00F50F30"/>
    <w:rsid w:val="00F5126A"/>
    <w:rsid w:val="00F5126E"/>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02B3"/>
    <w:rsid w:val="00FA2F7B"/>
    <w:rsid w:val="00FA3C97"/>
    <w:rsid w:val="00FA4D00"/>
    <w:rsid w:val="00FA78C8"/>
    <w:rsid w:val="00FB09FE"/>
    <w:rsid w:val="00FB101D"/>
    <w:rsid w:val="00FB1725"/>
    <w:rsid w:val="00FB593A"/>
    <w:rsid w:val="00FB6410"/>
    <w:rsid w:val="00FB677E"/>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C31A7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773493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83387878">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E3B3-6B43-4639-813B-AED6DA47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2011-08-03T18:32:00Z</cp:lastPrinted>
  <dcterms:created xsi:type="dcterms:W3CDTF">2012-03-08T14:05:00Z</dcterms:created>
  <dcterms:modified xsi:type="dcterms:W3CDTF">2012-03-08T14:05:00Z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