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813FB9">
        <w:rPr>
          <w:rFonts w:asciiTheme="minorHAnsi" w:hAnsiTheme="minorHAnsi"/>
          <w:caps/>
          <w:color w:val="auto"/>
        </w:rPr>
        <w:t xml:space="preserve"> </w:t>
      </w:r>
      <w:r>
        <w:rPr>
          <w:rFonts w:asciiTheme="minorHAnsi" w:hAnsiTheme="minorHAnsi"/>
          <w:caps/>
          <w:color w:val="auto"/>
        </w:rPr>
        <w:t xml:space="preserve"> </w:t>
      </w:r>
      <w:r w:rsidR="007D5AE0">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813FB9">
        <w:rPr>
          <w:rFonts w:asciiTheme="minorHAnsi" w:hAnsiTheme="minorHAnsi"/>
          <w:caps/>
          <w:color w:val="auto"/>
        </w:rPr>
        <w:t xml:space="preserve">    </w:t>
      </w:r>
      <w:r>
        <w:rPr>
          <w:rFonts w:asciiTheme="minorHAnsi" w:hAnsiTheme="minorHAnsi"/>
          <w:caps/>
          <w:color w:val="auto"/>
        </w:rPr>
        <w:t xml:space="preserve">BRANCH OF SERVICE: </w:t>
      </w:r>
      <w:r w:rsidR="00813FB9">
        <w:rPr>
          <w:rFonts w:asciiTheme="minorHAnsi" w:hAnsiTheme="minorHAnsi"/>
          <w:caps/>
          <w:color w:val="auto"/>
        </w:rPr>
        <w:t xml:space="preserve"> </w:t>
      </w:r>
      <w:r w:rsidRPr="00601DB4">
        <w:rPr>
          <w:rFonts w:asciiTheme="minorHAnsi" w:hAnsiTheme="minorHAnsi"/>
          <w:caps/>
          <w:color w:val="auto"/>
        </w:rPr>
        <w:t>AIR FORCE</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CASE NUMBER:</w:t>
      </w:r>
      <w:r w:rsidR="00813FB9">
        <w:rPr>
          <w:rFonts w:asciiTheme="minorHAnsi" w:hAnsiTheme="minorHAnsi"/>
          <w:caps/>
          <w:color w:val="auto"/>
        </w:rPr>
        <w:t xml:space="preserve"> </w:t>
      </w:r>
      <w:r>
        <w:rPr>
          <w:rFonts w:asciiTheme="minorHAnsi" w:hAnsiTheme="minorHAnsi"/>
          <w:caps/>
          <w:color w:val="auto"/>
        </w:rPr>
        <w:t xml:space="preserve"> PD</w:t>
      </w:r>
      <w:r w:rsidR="00601DB4">
        <w:rPr>
          <w:rFonts w:asciiTheme="minorHAnsi" w:hAnsiTheme="minorHAnsi"/>
          <w:caps/>
          <w:color w:val="auto"/>
        </w:rPr>
        <w:t>1000619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813FB9">
        <w:rPr>
          <w:rFonts w:asciiTheme="minorHAnsi" w:hAnsiTheme="minorHAnsi"/>
          <w:caps/>
          <w:color w:val="auto"/>
        </w:rPr>
        <w:t xml:space="preserve">         </w:t>
      </w:r>
      <w:r>
        <w:rPr>
          <w:rFonts w:asciiTheme="minorHAnsi" w:hAnsiTheme="minorHAnsi"/>
          <w:caps/>
          <w:color w:val="auto"/>
        </w:rPr>
        <w:t xml:space="preserve">SEPARATION DATE: </w:t>
      </w:r>
      <w:r w:rsidR="00813FB9">
        <w:rPr>
          <w:rFonts w:asciiTheme="minorHAnsi" w:hAnsiTheme="minorHAnsi"/>
          <w:caps/>
          <w:color w:val="auto"/>
        </w:rPr>
        <w:t xml:space="preserve"> </w:t>
      </w:r>
      <w:r>
        <w:rPr>
          <w:rFonts w:asciiTheme="minorHAnsi" w:hAnsiTheme="minorHAnsi"/>
          <w:caps/>
          <w:color w:val="auto"/>
        </w:rPr>
        <w:t>200</w:t>
      </w:r>
      <w:r w:rsidR="00601DB4">
        <w:rPr>
          <w:rFonts w:asciiTheme="minorHAnsi" w:hAnsiTheme="minorHAnsi"/>
          <w:caps/>
          <w:color w:val="auto"/>
        </w:rPr>
        <w:t>80519</w:t>
      </w:r>
    </w:p>
    <w:p w:rsidR="00520EC2"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813FB9">
        <w:rPr>
          <w:rFonts w:asciiTheme="minorHAnsi" w:hAnsiTheme="minorHAnsi"/>
          <w:caps/>
          <w:color w:val="auto"/>
        </w:rPr>
        <w:t xml:space="preserve"> </w:t>
      </w:r>
      <w:r>
        <w:rPr>
          <w:rFonts w:asciiTheme="minorHAnsi" w:hAnsiTheme="minorHAnsi"/>
          <w:caps/>
          <w:color w:val="auto"/>
        </w:rPr>
        <w:t>2010</w:t>
      </w:r>
      <w:r w:rsidR="00520EC2">
        <w:rPr>
          <w:rFonts w:asciiTheme="minorHAnsi" w:hAnsiTheme="minorHAnsi"/>
          <w:caps/>
          <w:color w:val="auto"/>
        </w:rPr>
        <w:t>0713</w:t>
      </w:r>
    </w:p>
    <w:p w:rsidR="00D560DC" w:rsidRPr="00520EC2" w:rsidRDefault="00D560DC" w:rsidP="00D560DC">
      <w:pPr>
        <w:tabs>
          <w:tab w:val="left" w:pos="288"/>
          <w:tab w:val="left" w:pos="4752"/>
        </w:tabs>
        <w:spacing w:line="240" w:lineRule="exact"/>
        <w:jc w:val="both"/>
        <w:rPr>
          <w:rFonts w:asciiTheme="minorHAnsi" w:hAnsiTheme="minorHAnsi"/>
          <w:b/>
          <w:caps/>
          <w:color w:val="auto"/>
          <w:u w:val="single"/>
        </w:rPr>
      </w:pPr>
      <w:r w:rsidRPr="00520EC2">
        <w:rPr>
          <w:rFonts w:asciiTheme="minorHAnsi" w:hAnsiTheme="minorHAnsi"/>
          <w:b/>
          <w:color w:val="auto"/>
          <w:u w:val="single"/>
        </w:rPr>
        <w:t>______________________________________________________________________________</w:t>
      </w:r>
    </w:p>
    <w:p w:rsidR="00081D83" w:rsidRPr="00520EC2" w:rsidRDefault="00081D83" w:rsidP="00DD64E0">
      <w:pPr>
        <w:tabs>
          <w:tab w:val="left" w:pos="288"/>
          <w:tab w:val="left" w:pos="4752"/>
        </w:tabs>
        <w:spacing w:line="240" w:lineRule="exact"/>
        <w:jc w:val="both"/>
        <w:rPr>
          <w:rFonts w:asciiTheme="minorHAnsi" w:hAnsiTheme="minorHAnsi"/>
          <w:b/>
          <w:color w:val="auto"/>
          <w:szCs w:val="24"/>
        </w:rPr>
      </w:pPr>
    </w:p>
    <w:p w:rsidR="00B20624" w:rsidRPr="00813FB9" w:rsidRDefault="00737283" w:rsidP="00DD64E0">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 xml:space="preserve">: </w:t>
      </w:r>
      <w:r>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002C6E5B"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C3613A">
        <w:rPr>
          <w:rFonts w:asciiTheme="minorHAnsi" w:hAnsiTheme="minorHAnsi"/>
          <w:color w:val="auto"/>
          <w:szCs w:val="24"/>
        </w:rPr>
        <w:t>active duty</w:t>
      </w:r>
      <w:r w:rsidR="006D4E0E" w:rsidRPr="00C3613A">
        <w:rPr>
          <w:rFonts w:asciiTheme="minorHAnsi" w:hAnsiTheme="minorHAnsi"/>
          <w:color w:val="auto"/>
          <w:szCs w:val="24"/>
        </w:rPr>
        <w:t xml:space="preserve"> </w:t>
      </w:r>
      <w:r w:rsidR="00C3613A">
        <w:rPr>
          <w:rFonts w:asciiTheme="minorHAnsi" w:hAnsiTheme="minorHAnsi"/>
          <w:color w:val="auto"/>
          <w:szCs w:val="24"/>
        </w:rPr>
        <w:t>Staff Sergeant (2W071, Munitions System Craftsman</w:t>
      </w:r>
      <w:r w:rsidR="00E322F7" w:rsidRPr="00C3613A">
        <w:rPr>
          <w:rFonts w:asciiTheme="minorHAnsi" w:hAnsiTheme="minorHAnsi"/>
          <w:color w:val="auto"/>
          <w:szCs w:val="24"/>
        </w:rPr>
        <w:t>)</w:t>
      </w:r>
      <w:r w:rsidR="00E322F7" w:rsidRPr="00396779">
        <w:rPr>
          <w:rFonts w:asciiTheme="minorHAnsi" w:hAnsiTheme="minorHAnsi"/>
          <w:color w:val="auto"/>
          <w:szCs w:val="24"/>
        </w:rPr>
        <w:t xml:space="preserve"> </w:t>
      </w:r>
      <w:r w:rsidR="002C6E5B" w:rsidRPr="00396779">
        <w:rPr>
          <w:rFonts w:asciiTheme="minorHAnsi" w:hAnsiTheme="minorHAnsi"/>
          <w:color w:val="auto"/>
          <w:szCs w:val="24"/>
        </w:rPr>
        <w:t xml:space="preserve">medically separated from the </w:t>
      </w:r>
      <w:r w:rsidR="00C3613A">
        <w:rPr>
          <w:rFonts w:asciiTheme="minorHAnsi" w:hAnsiTheme="minorHAnsi"/>
          <w:color w:val="auto"/>
          <w:szCs w:val="24"/>
        </w:rPr>
        <w:t>Air Force</w:t>
      </w:r>
      <w:r w:rsidR="002C6E5B" w:rsidRPr="00396779">
        <w:rPr>
          <w:rFonts w:asciiTheme="minorHAnsi" w:hAnsiTheme="minorHAnsi"/>
          <w:color w:val="auto"/>
          <w:szCs w:val="24"/>
        </w:rPr>
        <w:t xml:space="preserve"> in 200</w:t>
      </w:r>
      <w:r w:rsidR="00C3613A">
        <w:rPr>
          <w:rFonts w:asciiTheme="minorHAnsi" w:hAnsiTheme="minorHAnsi"/>
          <w:color w:val="auto"/>
          <w:szCs w:val="24"/>
        </w:rPr>
        <w:t>8</w:t>
      </w:r>
      <w:r w:rsidR="00F70EB6">
        <w:rPr>
          <w:rFonts w:asciiTheme="minorHAnsi" w:hAnsiTheme="minorHAnsi"/>
          <w:color w:val="auto"/>
          <w:szCs w:val="24"/>
        </w:rPr>
        <w:t>.</w:t>
      </w:r>
      <w:r w:rsidR="002C6E5B" w:rsidRPr="00396779">
        <w:rPr>
          <w:rFonts w:asciiTheme="minorHAnsi" w:hAnsiTheme="minorHAnsi"/>
          <w:color w:val="auto"/>
          <w:szCs w:val="24"/>
        </w:rPr>
        <w:t xml:space="preserve">  The medical basis for the separation was </w:t>
      </w:r>
      <w:r w:rsidR="00F70EB6">
        <w:rPr>
          <w:rFonts w:asciiTheme="minorHAnsi" w:hAnsiTheme="minorHAnsi"/>
          <w:color w:val="auto"/>
          <w:szCs w:val="24"/>
        </w:rPr>
        <w:t>d</w:t>
      </w:r>
      <w:r w:rsidR="00F226A3">
        <w:rPr>
          <w:rFonts w:asciiTheme="minorHAnsi" w:hAnsiTheme="minorHAnsi"/>
          <w:color w:val="auto"/>
          <w:szCs w:val="24"/>
        </w:rPr>
        <w:t xml:space="preserve">iabetes </w:t>
      </w:r>
      <w:r w:rsidR="00F70EB6">
        <w:rPr>
          <w:rFonts w:asciiTheme="minorHAnsi" w:hAnsiTheme="minorHAnsi"/>
          <w:color w:val="auto"/>
          <w:szCs w:val="24"/>
        </w:rPr>
        <w:t>m</w:t>
      </w:r>
      <w:r w:rsidR="00F226A3">
        <w:rPr>
          <w:rFonts w:asciiTheme="minorHAnsi" w:hAnsiTheme="minorHAnsi"/>
          <w:color w:val="auto"/>
          <w:szCs w:val="24"/>
        </w:rPr>
        <w:t xml:space="preserve">ellitus </w:t>
      </w:r>
      <w:r w:rsidR="00F70EB6">
        <w:rPr>
          <w:rFonts w:asciiTheme="minorHAnsi" w:hAnsiTheme="minorHAnsi"/>
          <w:color w:val="auto"/>
          <w:szCs w:val="24"/>
        </w:rPr>
        <w:t>t</w:t>
      </w:r>
      <w:r w:rsidR="00F226A3">
        <w:rPr>
          <w:rFonts w:asciiTheme="minorHAnsi" w:hAnsiTheme="minorHAnsi"/>
          <w:color w:val="auto"/>
          <w:szCs w:val="24"/>
        </w:rPr>
        <w:t xml:space="preserve">ype I (DM I). </w:t>
      </w:r>
      <w:r w:rsidR="0089491E">
        <w:rPr>
          <w:rFonts w:asciiTheme="minorHAnsi" w:hAnsiTheme="minorHAnsi"/>
          <w:color w:val="auto"/>
          <w:szCs w:val="24"/>
        </w:rPr>
        <w:t xml:space="preserve"> The CI continued to perform all primary in-garrison military duties</w:t>
      </w:r>
      <w:r w:rsidR="00FF3D20">
        <w:rPr>
          <w:rFonts w:asciiTheme="minorHAnsi" w:hAnsiTheme="minorHAnsi"/>
          <w:color w:val="auto"/>
          <w:szCs w:val="24"/>
        </w:rPr>
        <w:t>,</w:t>
      </w:r>
      <w:r w:rsidR="00DD28D4">
        <w:rPr>
          <w:rFonts w:asciiTheme="minorHAnsi" w:hAnsiTheme="minorHAnsi"/>
          <w:color w:val="auto"/>
          <w:szCs w:val="24"/>
        </w:rPr>
        <w:t xml:space="preserve"> but due to </w:t>
      </w:r>
      <w:r w:rsidR="00FF3D20">
        <w:rPr>
          <w:rFonts w:asciiTheme="minorHAnsi" w:hAnsiTheme="minorHAnsi"/>
          <w:color w:val="auto"/>
          <w:szCs w:val="24"/>
        </w:rPr>
        <w:t>overseas</w:t>
      </w:r>
      <w:r w:rsidR="008B4578">
        <w:rPr>
          <w:rFonts w:asciiTheme="minorHAnsi" w:hAnsiTheme="minorHAnsi"/>
          <w:color w:val="auto"/>
          <w:szCs w:val="24"/>
        </w:rPr>
        <w:t xml:space="preserve"> assignment</w:t>
      </w:r>
      <w:r w:rsidR="00FF3D20">
        <w:rPr>
          <w:rFonts w:asciiTheme="minorHAnsi" w:hAnsiTheme="minorHAnsi"/>
          <w:color w:val="auto"/>
          <w:szCs w:val="24"/>
        </w:rPr>
        <w:t xml:space="preserve"> restrictions</w:t>
      </w:r>
      <w:r w:rsidR="00DD28D4">
        <w:rPr>
          <w:rFonts w:asciiTheme="minorHAnsi" w:hAnsiTheme="minorHAnsi"/>
          <w:color w:val="auto"/>
          <w:szCs w:val="24"/>
        </w:rPr>
        <w:t xml:space="preserve"> the CI was referred for a </w:t>
      </w:r>
      <w:r w:rsidR="00DD28D4" w:rsidRPr="00326C08">
        <w:rPr>
          <w:rFonts w:asciiTheme="minorHAnsi" w:hAnsiTheme="minorHAnsi"/>
          <w:color w:val="auto"/>
          <w:szCs w:val="24"/>
        </w:rPr>
        <w:t>Medical Evaluation Board (MEB).</w:t>
      </w:r>
      <w:r w:rsidR="008B4578">
        <w:rPr>
          <w:rFonts w:asciiTheme="minorHAnsi" w:hAnsiTheme="minorHAnsi"/>
          <w:color w:val="auto"/>
          <w:szCs w:val="24"/>
        </w:rPr>
        <w:t xml:space="preserve"> </w:t>
      </w:r>
      <w:r w:rsidR="008C3EF7">
        <w:rPr>
          <w:rFonts w:asciiTheme="minorHAnsi" w:hAnsiTheme="minorHAnsi"/>
          <w:color w:val="auto"/>
          <w:szCs w:val="24"/>
        </w:rPr>
        <w:t xml:space="preserve"> </w:t>
      </w:r>
      <w:r w:rsidR="00D84DDF">
        <w:rPr>
          <w:rFonts w:asciiTheme="minorHAnsi" w:hAnsiTheme="minorHAnsi"/>
          <w:color w:val="auto"/>
          <w:szCs w:val="24"/>
        </w:rPr>
        <w:t xml:space="preserve">Diabetes and </w:t>
      </w:r>
      <w:r w:rsidR="008C3EF7">
        <w:rPr>
          <w:rFonts w:asciiTheme="minorHAnsi" w:hAnsiTheme="minorHAnsi"/>
          <w:color w:val="auto"/>
          <w:szCs w:val="24"/>
        </w:rPr>
        <w:t>pericarditis conditions</w:t>
      </w:r>
      <w:r w:rsidR="00AE5E14" w:rsidRPr="00396779">
        <w:rPr>
          <w:rFonts w:asciiTheme="minorHAnsi" w:hAnsiTheme="minorHAnsi"/>
          <w:color w:val="auto"/>
          <w:szCs w:val="24"/>
        </w:rPr>
        <w:t xml:space="preserve"> were addressed in the </w:t>
      </w:r>
      <w:r w:rsidR="00705C40" w:rsidRPr="00396779">
        <w:rPr>
          <w:rFonts w:asciiTheme="minorHAnsi" w:hAnsiTheme="minorHAnsi"/>
          <w:color w:val="auto"/>
          <w:szCs w:val="24"/>
        </w:rPr>
        <w:t>narrative summary (</w:t>
      </w:r>
      <w:r w:rsidR="00AE5E14" w:rsidRPr="00396779">
        <w:rPr>
          <w:rFonts w:asciiTheme="minorHAnsi" w:hAnsiTheme="minorHAnsi"/>
          <w:color w:val="auto"/>
          <w:szCs w:val="24"/>
        </w:rPr>
        <w:t>NARSUM</w:t>
      </w:r>
      <w:r w:rsidR="00705C40" w:rsidRPr="00396779">
        <w:rPr>
          <w:rFonts w:asciiTheme="minorHAnsi" w:hAnsiTheme="minorHAnsi"/>
          <w:color w:val="auto"/>
          <w:szCs w:val="24"/>
        </w:rPr>
        <w:t>)</w:t>
      </w:r>
      <w:r w:rsidR="00AE5E14" w:rsidRPr="00396779">
        <w:rPr>
          <w:rFonts w:asciiTheme="minorHAnsi" w:hAnsiTheme="minorHAnsi"/>
          <w:color w:val="auto"/>
          <w:szCs w:val="24"/>
        </w:rPr>
        <w:t xml:space="preserve"> and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AE5E14" w:rsidRPr="00396779">
        <w:rPr>
          <w:rFonts w:asciiTheme="minorHAnsi" w:hAnsiTheme="minorHAnsi"/>
          <w:color w:val="auto"/>
          <w:szCs w:val="24"/>
        </w:rPr>
        <w:t xml:space="preserve"> </w:t>
      </w:r>
      <w:r w:rsidR="008C3EF7" w:rsidRPr="008C3EF7">
        <w:rPr>
          <w:rFonts w:asciiTheme="minorHAnsi" w:hAnsiTheme="minorHAnsi"/>
          <w:color w:val="auto"/>
          <w:szCs w:val="24"/>
        </w:rPr>
        <w:t xml:space="preserve">on the </w:t>
      </w:r>
      <w:r w:rsidR="008C3EF7">
        <w:rPr>
          <w:rFonts w:asciiTheme="minorHAnsi" w:hAnsiTheme="minorHAnsi"/>
          <w:color w:val="auto"/>
          <w:szCs w:val="24"/>
        </w:rPr>
        <w:t xml:space="preserve">AF IMT 618.  </w:t>
      </w:r>
      <w:r w:rsidR="00694EEA" w:rsidRPr="00396779">
        <w:rPr>
          <w:rFonts w:asciiTheme="minorHAnsi" w:hAnsiTheme="minorHAnsi"/>
          <w:color w:val="auto"/>
          <w:szCs w:val="24"/>
        </w:rPr>
        <w:t xml:space="preserve">Additional conditions supported in the </w:t>
      </w:r>
      <w:r w:rsidR="00705C40" w:rsidRPr="00396779">
        <w:rPr>
          <w:rFonts w:asciiTheme="minorHAnsi" w:hAnsiTheme="minorHAnsi"/>
          <w:color w:val="auto"/>
          <w:szCs w:val="24"/>
        </w:rPr>
        <w:t>Disability Evaluation System (</w:t>
      </w:r>
      <w:r w:rsidR="00694EEA" w:rsidRPr="00396779">
        <w:rPr>
          <w:rFonts w:asciiTheme="minorHAnsi" w:hAnsiTheme="minorHAnsi"/>
          <w:color w:val="auto"/>
          <w:szCs w:val="24"/>
        </w:rPr>
        <w:t>DES</w:t>
      </w:r>
      <w:r w:rsidR="00705C40" w:rsidRPr="00396779">
        <w:rPr>
          <w:rFonts w:asciiTheme="minorHAnsi" w:hAnsiTheme="minorHAnsi"/>
          <w:color w:val="auto"/>
          <w:szCs w:val="24"/>
        </w:rPr>
        <w:t xml:space="preserve">) </w:t>
      </w:r>
      <w:r w:rsidR="00694EEA" w:rsidRPr="00396779">
        <w:rPr>
          <w:rFonts w:asciiTheme="minorHAnsi" w:hAnsiTheme="minorHAnsi"/>
          <w:color w:val="auto"/>
          <w:szCs w:val="24"/>
        </w:rPr>
        <w:t>packet are discussed below</w:t>
      </w:r>
      <w:r w:rsidR="00AE5E14" w:rsidRPr="00396779">
        <w:rPr>
          <w:rFonts w:asciiTheme="minorHAnsi" w:hAnsiTheme="minorHAnsi"/>
          <w:color w:val="auto"/>
          <w:szCs w:val="24"/>
        </w:rPr>
        <w:t xml:space="preserve">, but were not forwarded for PEB </w:t>
      </w:r>
      <w:r w:rsidR="00AE4624" w:rsidRPr="00396779">
        <w:rPr>
          <w:rFonts w:asciiTheme="minorHAnsi" w:hAnsiTheme="minorHAnsi"/>
          <w:color w:val="auto"/>
          <w:szCs w:val="24"/>
        </w:rPr>
        <w:t>adjudication</w:t>
      </w:r>
      <w:r w:rsidR="008C3EF7">
        <w:rPr>
          <w:rFonts w:asciiTheme="minorHAnsi" w:hAnsiTheme="minorHAnsi"/>
          <w:color w:val="auto"/>
          <w:szCs w:val="24"/>
        </w:rPr>
        <w:t>.</w:t>
      </w:r>
      <w:r w:rsidR="00522A2B">
        <w:rPr>
          <w:rFonts w:asciiTheme="minorHAnsi" w:hAnsiTheme="minorHAnsi"/>
          <w:color w:val="auto"/>
          <w:szCs w:val="24"/>
        </w:rPr>
        <w:t xml:space="preserve">  </w:t>
      </w:r>
      <w:r w:rsidRPr="00737283">
        <w:rPr>
          <w:rFonts w:asciiTheme="minorHAnsi" w:hAnsiTheme="minorHAnsi"/>
          <w:color w:val="auto"/>
          <w:szCs w:val="24"/>
        </w:rPr>
        <w:t xml:space="preserve">The PEB adjudicated the </w:t>
      </w:r>
      <w:r w:rsidR="00FF3D20">
        <w:rPr>
          <w:rFonts w:asciiTheme="minorHAnsi" w:hAnsiTheme="minorHAnsi"/>
          <w:color w:val="auto"/>
          <w:szCs w:val="24"/>
        </w:rPr>
        <w:t>DM</w:t>
      </w:r>
      <w:r w:rsidR="008C3EF7">
        <w:rPr>
          <w:rFonts w:asciiTheme="minorHAnsi" w:hAnsiTheme="minorHAnsi"/>
          <w:color w:val="auto"/>
          <w:szCs w:val="24"/>
        </w:rPr>
        <w:t xml:space="preserve"> </w:t>
      </w:r>
      <w:r w:rsidR="00F70EB6">
        <w:rPr>
          <w:rFonts w:asciiTheme="minorHAnsi" w:hAnsiTheme="minorHAnsi"/>
          <w:color w:val="auto"/>
          <w:szCs w:val="24"/>
        </w:rPr>
        <w:t>t</w:t>
      </w:r>
      <w:r w:rsidR="008C3EF7">
        <w:rPr>
          <w:rFonts w:asciiTheme="minorHAnsi" w:hAnsiTheme="minorHAnsi"/>
          <w:color w:val="auto"/>
          <w:szCs w:val="24"/>
        </w:rPr>
        <w:t xml:space="preserve">ype I </w:t>
      </w:r>
      <w:r w:rsidRPr="00737283">
        <w:rPr>
          <w:rFonts w:asciiTheme="minorHAnsi" w:hAnsiTheme="minorHAnsi"/>
          <w:color w:val="auto"/>
          <w:szCs w:val="24"/>
        </w:rPr>
        <w:t xml:space="preserve">as unfitting, rated </w:t>
      </w:r>
      <w:r w:rsidR="00522A2B">
        <w:rPr>
          <w:rFonts w:asciiTheme="minorHAnsi" w:hAnsiTheme="minorHAnsi"/>
          <w:color w:val="auto"/>
          <w:szCs w:val="24"/>
        </w:rPr>
        <w:t>20</w:t>
      </w:r>
      <w:r w:rsidRPr="00737283">
        <w:rPr>
          <w:rFonts w:asciiTheme="minorHAnsi" w:hAnsiTheme="minorHAnsi"/>
          <w:color w:val="auto"/>
          <w:szCs w:val="24"/>
        </w:rPr>
        <w:t>% with application of the Veterans’ Administration Schedule for Rating Disabilities (VASRD)</w:t>
      </w:r>
      <w:r w:rsidR="00522A2B">
        <w:rPr>
          <w:rFonts w:asciiTheme="minorHAnsi" w:hAnsiTheme="minorHAnsi"/>
          <w:color w:val="auto"/>
          <w:szCs w:val="24"/>
        </w:rPr>
        <w:t xml:space="preserve">.  </w:t>
      </w:r>
      <w:r w:rsidR="00B20624" w:rsidRPr="00396779">
        <w:rPr>
          <w:rFonts w:asciiTheme="minorHAnsi" w:hAnsiTheme="minorHAnsi"/>
          <w:color w:val="auto"/>
        </w:rPr>
        <w:t xml:space="preserve">The CI </w:t>
      </w:r>
      <w:r w:rsidR="00190E48" w:rsidRPr="00396779">
        <w:rPr>
          <w:rFonts w:asciiTheme="minorHAnsi" w:hAnsiTheme="minorHAnsi"/>
          <w:color w:val="auto"/>
        </w:rPr>
        <w:t xml:space="preserve">made </w:t>
      </w:r>
      <w:r w:rsidR="00190E48" w:rsidRPr="00522A2B">
        <w:rPr>
          <w:rFonts w:asciiTheme="minorHAnsi" w:hAnsiTheme="minorHAnsi"/>
          <w:color w:val="auto"/>
        </w:rPr>
        <w:t>no appeals,</w:t>
      </w:r>
      <w:r w:rsidR="00190E48" w:rsidRPr="00396779">
        <w:rPr>
          <w:rFonts w:asciiTheme="minorHAnsi" w:hAnsiTheme="minorHAnsi"/>
          <w:color w:val="auto"/>
        </w:rPr>
        <w:t xml:space="preserve"> </w:t>
      </w:r>
      <w:r w:rsidR="00B20624" w:rsidRPr="00396779">
        <w:rPr>
          <w:rFonts w:asciiTheme="minorHAnsi" w:hAnsiTheme="minorHAnsi"/>
          <w:color w:val="auto"/>
        </w:rPr>
        <w:t xml:space="preserve">and was medically </w:t>
      </w:r>
      <w:r w:rsidR="00B20624" w:rsidRPr="00813FB9">
        <w:rPr>
          <w:rFonts w:asciiTheme="minorHAnsi" w:hAnsiTheme="minorHAnsi"/>
          <w:color w:val="auto"/>
        </w:rPr>
        <w:t xml:space="preserve">separated with a </w:t>
      </w:r>
      <w:r w:rsidR="00522A2B" w:rsidRPr="00813FB9">
        <w:rPr>
          <w:rFonts w:asciiTheme="minorHAnsi" w:hAnsiTheme="minorHAnsi"/>
          <w:color w:val="auto"/>
        </w:rPr>
        <w:t>20</w:t>
      </w:r>
      <w:r w:rsidR="00B20624" w:rsidRPr="00813FB9">
        <w:rPr>
          <w:rFonts w:asciiTheme="minorHAnsi" w:hAnsiTheme="minorHAnsi"/>
          <w:color w:val="auto"/>
        </w:rPr>
        <w:t xml:space="preserve">% disability rating.  </w:t>
      </w:r>
    </w:p>
    <w:p w:rsidR="00106AD8" w:rsidRPr="00813FB9"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13FB9" w:rsidRDefault="00106AD8" w:rsidP="00106AD8">
      <w:pPr>
        <w:tabs>
          <w:tab w:val="left" w:pos="288"/>
          <w:tab w:val="left" w:pos="4752"/>
        </w:tabs>
        <w:spacing w:line="240" w:lineRule="exact"/>
        <w:rPr>
          <w:rFonts w:ascii="Calibri" w:hAnsi="Calibri"/>
          <w:color w:val="auto"/>
          <w:szCs w:val="24"/>
        </w:rPr>
      </w:pPr>
    </w:p>
    <w:p w:rsidR="00AA1ED0" w:rsidRPr="00326C08" w:rsidRDefault="002C6E5B" w:rsidP="00522A2B">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813FB9">
        <w:rPr>
          <w:rFonts w:asciiTheme="minorHAnsi" w:hAnsiTheme="minorHAnsi"/>
          <w:color w:val="auto"/>
          <w:szCs w:val="24"/>
        </w:rPr>
        <w:t>“</w:t>
      </w:r>
      <w:r w:rsidR="00522A2B">
        <w:rPr>
          <w:rFonts w:asciiTheme="minorHAnsi" w:hAnsiTheme="minorHAnsi"/>
          <w:color w:val="auto"/>
          <w:szCs w:val="24"/>
        </w:rPr>
        <w:t xml:space="preserve">When I was discharge from the military I was told that my pericarditis would not return.  I was told that </w:t>
      </w:r>
      <w:r w:rsidR="00EF6545">
        <w:rPr>
          <w:rFonts w:asciiTheme="minorHAnsi" w:hAnsiTheme="minorHAnsi"/>
          <w:color w:val="auto"/>
          <w:szCs w:val="24"/>
        </w:rPr>
        <w:t>that issue</w:t>
      </w:r>
      <w:r w:rsidR="00522A2B">
        <w:rPr>
          <w:rFonts w:asciiTheme="minorHAnsi" w:hAnsiTheme="minorHAnsi"/>
          <w:color w:val="auto"/>
          <w:szCs w:val="24"/>
        </w:rPr>
        <w:t xml:space="preserve"> had been resolved as documented on my AF </w:t>
      </w:r>
      <w:r w:rsidR="00FF3D20">
        <w:rPr>
          <w:rFonts w:asciiTheme="minorHAnsi" w:hAnsiTheme="minorHAnsi"/>
          <w:color w:val="auto"/>
          <w:szCs w:val="24"/>
        </w:rPr>
        <w:t>F</w:t>
      </w:r>
      <w:r w:rsidR="00522A2B">
        <w:rPr>
          <w:rFonts w:asciiTheme="minorHAnsi" w:hAnsiTheme="minorHAnsi"/>
          <w:color w:val="auto"/>
          <w:szCs w:val="24"/>
        </w:rPr>
        <w:t>orm 356.  This is not true even a year after my discharge; I was hospitalized for this same</w:t>
      </w:r>
      <w:r w:rsidR="00EF6545">
        <w:rPr>
          <w:rFonts w:asciiTheme="minorHAnsi" w:hAnsiTheme="minorHAnsi"/>
          <w:color w:val="auto"/>
          <w:szCs w:val="24"/>
        </w:rPr>
        <w:t xml:space="preserve"> issue.  My heard </w:t>
      </w:r>
      <w:r w:rsidR="000857B8">
        <w:rPr>
          <w:rFonts w:asciiTheme="minorHAnsi" w:hAnsiTheme="minorHAnsi"/>
          <w:color w:val="auto"/>
          <w:szCs w:val="24"/>
        </w:rPr>
        <w:t xml:space="preserve">[sic] </w:t>
      </w:r>
      <w:r w:rsidR="00EF6545">
        <w:rPr>
          <w:rFonts w:asciiTheme="minorHAnsi" w:hAnsiTheme="minorHAnsi"/>
          <w:color w:val="auto"/>
          <w:szCs w:val="24"/>
        </w:rPr>
        <w:t>doctor told me to take 30 days rest, I went back to the VA</w:t>
      </w:r>
      <w:r w:rsidR="00FF3D20">
        <w:rPr>
          <w:rFonts w:asciiTheme="minorHAnsi" w:hAnsiTheme="minorHAnsi"/>
          <w:color w:val="auto"/>
          <w:szCs w:val="24"/>
        </w:rPr>
        <w:t>,</w:t>
      </w:r>
      <w:r w:rsidR="00EF6545">
        <w:rPr>
          <w:rFonts w:asciiTheme="minorHAnsi" w:hAnsiTheme="minorHAnsi"/>
          <w:color w:val="auto"/>
          <w:szCs w:val="24"/>
        </w:rPr>
        <w:t xml:space="preserve"> fought the decision and was award 30% for my heart.  Lost my second job because of this and no</w:t>
      </w:r>
      <w:r w:rsidR="00D372FF">
        <w:rPr>
          <w:rFonts w:asciiTheme="minorHAnsi" w:hAnsiTheme="minorHAnsi"/>
          <w:color w:val="auto"/>
          <w:szCs w:val="24"/>
        </w:rPr>
        <w:t>w</w:t>
      </w:r>
      <w:r w:rsidR="00EF6545">
        <w:rPr>
          <w:rFonts w:asciiTheme="minorHAnsi" w:hAnsiTheme="minorHAnsi"/>
          <w:color w:val="auto"/>
          <w:szCs w:val="24"/>
        </w:rPr>
        <w:t xml:space="preserve"> I am currently unemployed due to the stress and other disorders associated with this disability.”</w:t>
      </w:r>
    </w:p>
    <w:p w:rsidR="00106AD8" w:rsidRPr="00813FB9"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EF6545" w:rsidRPr="00813FB9" w:rsidRDefault="00EF6545" w:rsidP="00D17DD9">
      <w:pPr>
        <w:rPr>
          <w:rFonts w:asciiTheme="minorHAnsi" w:hAnsiTheme="minorHAnsi"/>
          <w:color w:val="auto"/>
          <w:u w:val="single"/>
        </w:rPr>
      </w:pPr>
    </w:p>
    <w:p w:rsidR="002338CA" w:rsidRPr="00813FB9" w:rsidRDefault="002C6E5B" w:rsidP="00D17DD9">
      <w:pPr>
        <w:rPr>
          <w:rFonts w:asciiTheme="minorHAnsi" w:hAnsiTheme="minorHAnsi"/>
          <w:color w:val="auto"/>
        </w:rPr>
      </w:pPr>
      <w:r w:rsidRPr="00813FB9">
        <w:rPr>
          <w:rFonts w:asciiTheme="minorHAnsi" w:hAnsiTheme="minorHAnsi"/>
          <w:color w:val="auto"/>
          <w:u w:val="single"/>
        </w:rPr>
        <w:t>RATING COMPARISON</w:t>
      </w:r>
      <w:r w:rsidRPr="00813FB9">
        <w:rPr>
          <w:rFonts w:asciiTheme="minorHAnsi" w:hAnsiTheme="minorHAnsi"/>
          <w:color w:val="auto"/>
        </w:rPr>
        <w:t>:</w:t>
      </w:r>
    </w:p>
    <w:p w:rsidR="00F82981" w:rsidRPr="00813FB9" w:rsidRDefault="00F82981" w:rsidP="00190E48">
      <w:pPr>
        <w:tabs>
          <w:tab w:val="left" w:pos="288"/>
          <w:tab w:val="left" w:pos="4752"/>
        </w:tabs>
        <w:spacing w:line="240" w:lineRule="exact"/>
        <w:jc w:val="both"/>
        <w:rPr>
          <w:rFonts w:asciiTheme="minorHAnsi" w:hAnsiTheme="minorHAnsi"/>
          <w:color w:val="auto"/>
        </w:rPr>
      </w:pPr>
    </w:p>
    <w:tbl>
      <w:tblPr>
        <w:tblStyle w:val="TableGrid"/>
        <w:tblW w:w="9257" w:type="dxa"/>
        <w:jc w:val="center"/>
        <w:tblInd w:w="1161" w:type="dxa"/>
        <w:tblLayout w:type="fixed"/>
        <w:tblLook w:val="04A0"/>
      </w:tblPr>
      <w:tblGrid>
        <w:gridCol w:w="2250"/>
        <w:gridCol w:w="810"/>
        <w:gridCol w:w="990"/>
        <w:gridCol w:w="1978"/>
        <w:gridCol w:w="1080"/>
        <w:gridCol w:w="900"/>
        <w:gridCol w:w="1249"/>
      </w:tblGrid>
      <w:tr w:rsidR="00684E2B" w:rsidRPr="00813FB9" w:rsidTr="00FF3D20">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13FB9" w:rsidRDefault="00684E2B" w:rsidP="00396779">
            <w:pPr>
              <w:pStyle w:val="ListParagraph"/>
              <w:spacing w:after="0" w:line="240" w:lineRule="exact"/>
              <w:ind w:left="0"/>
              <w:jc w:val="center"/>
              <w:rPr>
                <w:rFonts w:cs="Times New Roman"/>
                <w:b/>
                <w:sz w:val="20"/>
                <w:szCs w:val="20"/>
              </w:rPr>
            </w:pPr>
            <w:r w:rsidRPr="00813FB9">
              <w:rPr>
                <w:rFonts w:cs="Times New Roman"/>
                <w:b/>
                <w:sz w:val="20"/>
                <w:szCs w:val="20"/>
              </w:rPr>
              <w:t xml:space="preserve">Service </w:t>
            </w:r>
            <w:r w:rsidR="00EF6545" w:rsidRPr="00813FB9">
              <w:rPr>
                <w:rFonts w:cs="Times New Roman"/>
                <w:b/>
                <w:sz w:val="20"/>
                <w:szCs w:val="20"/>
              </w:rPr>
              <w:t>I</w:t>
            </w:r>
            <w:r w:rsidRPr="00813FB9">
              <w:rPr>
                <w:rFonts w:cs="Times New Roman"/>
                <w:b/>
                <w:sz w:val="20"/>
                <w:szCs w:val="20"/>
              </w:rPr>
              <w:t>PEB</w:t>
            </w:r>
            <w:r w:rsidR="002B2645" w:rsidRPr="00813FB9">
              <w:rPr>
                <w:rFonts w:cs="Times New Roman"/>
                <w:b/>
                <w:sz w:val="20"/>
                <w:szCs w:val="20"/>
              </w:rPr>
              <w:t xml:space="preserve"> – Dated </w:t>
            </w:r>
            <w:r w:rsidR="00EF6545" w:rsidRPr="00813FB9">
              <w:rPr>
                <w:rFonts w:cs="Times New Roman"/>
                <w:b/>
                <w:sz w:val="20"/>
                <w:szCs w:val="20"/>
              </w:rPr>
              <w:t>20080327</w:t>
            </w:r>
          </w:p>
        </w:tc>
        <w:tc>
          <w:tcPr>
            <w:tcW w:w="5207" w:type="dxa"/>
            <w:gridSpan w:val="4"/>
            <w:tcBorders>
              <w:left w:val="thinThickThinSmallGap" w:sz="24" w:space="0" w:color="auto"/>
            </w:tcBorders>
            <w:shd w:val="clear" w:color="auto" w:fill="D9D9D9" w:themeFill="background1" w:themeFillShade="D9"/>
          </w:tcPr>
          <w:p w:rsidR="00684E2B" w:rsidRPr="00813FB9" w:rsidRDefault="00EF6545" w:rsidP="00EF6545">
            <w:pPr>
              <w:pStyle w:val="ListParagraph"/>
              <w:spacing w:after="0" w:line="240" w:lineRule="exact"/>
              <w:ind w:left="0"/>
              <w:jc w:val="center"/>
              <w:rPr>
                <w:rFonts w:cs="Times New Roman"/>
                <w:b/>
                <w:sz w:val="20"/>
                <w:szCs w:val="20"/>
              </w:rPr>
            </w:pPr>
            <w:r w:rsidRPr="00813FB9">
              <w:rPr>
                <w:rFonts w:cs="Times New Roman"/>
                <w:b/>
                <w:sz w:val="20"/>
                <w:szCs w:val="20"/>
              </w:rPr>
              <w:t xml:space="preserve">VA </w:t>
            </w:r>
            <w:proofErr w:type="gramStart"/>
            <w:r w:rsidRPr="00813FB9">
              <w:rPr>
                <w:rFonts w:cs="Times New Roman"/>
                <w:b/>
                <w:sz w:val="20"/>
                <w:szCs w:val="20"/>
              </w:rPr>
              <w:t>( 3</w:t>
            </w:r>
            <w:proofErr w:type="gramEnd"/>
            <w:r w:rsidRPr="00813FB9">
              <w:rPr>
                <w:rFonts w:cs="Times New Roman"/>
                <w:b/>
                <w:sz w:val="20"/>
                <w:szCs w:val="20"/>
              </w:rPr>
              <w:t xml:space="preserve"> </w:t>
            </w:r>
            <w:r w:rsidR="00684E2B" w:rsidRPr="00813FB9">
              <w:rPr>
                <w:rFonts w:cs="Times New Roman"/>
                <w:b/>
                <w:sz w:val="20"/>
                <w:szCs w:val="20"/>
              </w:rPr>
              <w:t xml:space="preserve">Mo. </w:t>
            </w:r>
            <w:r w:rsidRPr="00813FB9">
              <w:rPr>
                <w:rFonts w:cs="Times New Roman"/>
                <w:b/>
                <w:sz w:val="20"/>
                <w:szCs w:val="20"/>
              </w:rPr>
              <w:t>After</w:t>
            </w:r>
            <w:r w:rsidR="00684E2B" w:rsidRPr="00813FB9">
              <w:rPr>
                <w:rFonts w:cs="Times New Roman"/>
                <w:b/>
                <w:sz w:val="20"/>
                <w:szCs w:val="20"/>
              </w:rPr>
              <w:t xml:space="preserve"> Separation)</w:t>
            </w:r>
            <w:r w:rsidR="000C3C13" w:rsidRPr="00813FB9">
              <w:rPr>
                <w:rFonts w:cs="Times New Roman"/>
                <w:b/>
                <w:sz w:val="20"/>
                <w:szCs w:val="20"/>
              </w:rPr>
              <w:t xml:space="preserve"> – All Effective </w:t>
            </w:r>
            <w:r w:rsidR="006F48FC" w:rsidRPr="00813FB9">
              <w:rPr>
                <w:rFonts w:cs="Times New Roman"/>
                <w:b/>
                <w:sz w:val="20"/>
                <w:szCs w:val="20"/>
              </w:rPr>
              <w:t>200</w:t>
            </w:r>
            <w:r w:rsidRPr="00813FB9">
              <w:rPr>
                <w:rFonts w:cs="Times New Roman"/>
                <w:b/>
                <w:sz w:val="20"/>
                <w:szCs w:val="20"/>
              </w:rPr>
              <w:t>80520</w:t>
            </w:r>
          </w:p>
        </w:tc>
      </w:tr>
      <w:tr w:rsidR="00E44417" w:rsidRPr="00813FB9" w:rsidTr="00FF3D20">
        <w:trPr>
          <w:trHeight w:val="233"/>
          <w:jc w:val="center"/>
        </w:trPr>
        <w:tc>
          <w:tcPr>
            <w:tcW w:w="2250" w:type="dxa"/>
            <w:tcBorders>
              <w:bottom w:val="single" w:sz="4" w:space="0" w:color="000000" w:themeColor="text1"/>
            </w:tcBorders>
            <w:shd w:val="clear" w:color="auto" w:fill="D9D9D9" w:themeFill="background1" w:themeFillShade="D9"/>
          </w:tcPr>
          <w:p w:rsidR="002B2645" w:rsidRPr="00813FB9" w:rsidRDefault="002B2645" w:rsidP="00190E48">
            <w:pPr>
              <w:pStyle w:val="ListParagraph"/>
              <w:spacing w:after="0" w:line="240" w:lineRule="exact"/>
              <w:ind w:left="0"/>
              <w:jc w:val="both"/>
              <w:rPr>
                <w:rFonts w:cs="Times New Roman"/>
                <w:b/>
                <w:sz w:val="20"/>
                <w:szCs w:val="20"/>
              </w:rPr>
            </w:pPr>
            <w:r w:rsidRPr="00813FB9">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2B2645" w:rsidRPr="00813FB9" w:rsidRDefault="002B2645" w:rsidP="005709F7">
            <w:pPr>
              <w:pStyle w:val="ListParagraph"/>
              <w:spacing w:after="0" w:line="240" w:lineRule="exact"/>
              <w:ind w:left="0"/>
              <w:jc w:val="center"/>
              <w:rPr>
                <w:rFonts w:cs="Times New Roman"/>
                <w:b/>
                <w:sz w:val="20"/>
                <w:szCs w:val="20"/>
              </w:rPr>
            </w:pPr>
            <w:r w:rsidRPr="00813FB9">
              <w:rPr>
                <w:rFonts w:cs="Times New Roman"/>
                <w:b/>
                <w:sz w:val="20"/>
                <w:szCs w:val="20"/>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2B2645" w:rsidRPr="00813FB9" w:rsidRDefault="002B2645" w:rsidP="005709F7">
            <w:pPr>
              <w:pStyle w:val="ListParagraph"/>
              <w:spacing w:after="0" w:line="240" w:lineRule="exact"/>
              <w:ind w:left="0"/>
              <w:jc w:val="center"/>
              <w:rPr>
                <w:rFonts w:cs="Times New Roman"/>
                <w:b/>
                <w:sz w:val="20"/>
                <w:szCs w:val="20"/>
              </w:rPr>
            </w:pPr>
            <w:r w:rsidRPr="00813FB9">
              <w:rPr>
                <w:rFonts w:cs="Times New Roman"/>
                <w:b/>
                <w:sz w:val="20"/>
                <w:szCs w:val="20"/>
              </w:rPr>
              <w:t>Rating</w:t>
            </w:r>
          </w:p>
        </w:tc>
        <w:tc>
          <w:tcPr>
            <w:tcW w:w="1978" w:type="dxa"/>
            <w:tcBorders>
              <w:left w:val="thinThickThinSmallGap" w:sz="24" w:space="0" w:color="auto"/>
              <w:bottom w:val="single" w:sz="4" w:space="0" w:color="000000" w:themeColor="text1"/>
            </w:tcBorders>
            <w:shd w:val="clear" w:color="auto" w:fill="D9D9D9" w:themeFill="background1" w:themeFillShade="D9"/>
          </w:tcPr>
          <w:p w:rsidR="002B2645" w:rsidRPr="00813FB9" w:rsidRDefault="002B2645" w:rsidP="00190E48">
            <w:pPr>
              <w:pStyle w:val="ListParagraph"/>
              <w:spacing w:after="0" w:line="240" w:lineRule="exact"/>
              <w:ind w:left="0"/>
              <w:jc w:val="both"/>
              <w:rPr>
                <w:rFonts w:cs="Times New Roman"/>
                <w:b/>
                <w:sz w:val="20"/>
                <w:szCs w:val="20"/>
              </w:rPr>
            </w:pPr>
            <w:r w:rsidRPr="00813FB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813FB9" w:rsidRDefault="002B2645" w:rsidP="005709F7">
            <w:pPr>
              <w:pStyle w:val="ListParagraph"/>
              <w:spacing w:after="0" w:line="240" w:lineRule="exact"/>
              <w:ind w:left="0"/>
              <w:jc w:val="center"/>
              <w:rPr>
                <w:rFonts w:cs="Times New Roman"/>
                <w:b/>
                <w:sz w:val="20"/>
                <w:szCs w:val="20"/>
              </w:rPr>
            </w:pPr>
            <w:r w:rsidRPr="00813FB9">
              <w:rPr>
                <w:rFonts w:cs="Times New Roman"/>
                <w:b/>
                <w:sz w:val="20"/>
                <w:szCs w:val="20"/>
              </w:rPr>
              <w:t>Code</w:t>
            </w:r>
          </w:p>
        </w:tc>
        <w:tc>
          <w:tcPr>
            <w:tcW w:w="900" w:type="dxa"/>
            <w:tcBorders>
              <w:bottom w:val="single" w:sz="4" w:space="0" w:color="000000" w:themeColor="text1"/>
            </w:tcBorders>
            <w:shd w:val="clear" w:color="auto" w:fill="D9D9D9" w:themeFill="background1" w:themeFillShade="D9"/>
          </w:tcPr>
          <w:p w:rsidR="002B2645" w:rsidRPr="00813FB9" w:rsidRDefault="002B2645" w:rsidP="005709F7">
            <w:pPr>
              <w:pStyle w:val="ListParagraph"/>
              <w:spacing w:after="0" w:line="240" w:lineRule="exact"/>
              <w:ind w:left="0"/>
              <w:jc w:val="center"/>
              <w:rPr>
                <w:rFonts w:cs="Times New Roman"/>
                <w:b/>
                <w:sz w:val="20"/>
                <w:szCs w:val="20"/>
              </w:rPr>
            </w:pPr>
            <w:r w:rsidRPr="00813FB9">
              <w:rPr>
                <w:rFonts w:cs="Times New Roman"/>
                <w:b/>
                <w:sz w:val="20"/>
                <w:szCs w:val="20"/>
              </w:rPr>
              <w:t>Rating</w:t>
            </w:r>
          </w:p>
        </w:tc>
        <w:tc>
          <w:tcPr>
            <w:tcW w:w="1249" w:type="dxa"/>
            <w:tcBorders>
              <w:bottom w:val="single" w:sz="4" w:space="0" w:color="000000" w:themeColor="text1"/>
            </w:tcBorders>
            <w:shd w:val="clear" w:color="auto" w:fill="D9D9D9" w:themeFill="background1" w:themeFillShade="D9"/>
          </w:tcPr>
          <w:p w:rsidR="002B2645" w:rsidRPr="00813FB9" w:rsidRDefault="002B2645" w:rsidP="005709F7">
            <w:pPr>
              <w:pStyle w:val="ListParagraph"/>
              <w:spacing w:after="0" w:line="240" w:lineRule="exact"/>
              <w:ind w:left="0"/>
              <w:jc w:val="center"/>
              <w:rPr>
                <w:rFonts w:cs="Times New Roman"/>
                <w:b/>
                <w:sz w:val="20"/>
                <w:szCs w:val="20"/>
              </w:rPr>
            </w:pPr>
            <w:r w:rsidRPr="00813FB9">
              <w:rPr>
                <w:rFonts w:cs="Times New Roman"/>
                <w:b/>
                <w:sz w:val="20"/>
                <w:szCs w:val="20"/>
              </w:rPr>
              <w:t>Exam</w:t>
            </w:r>
          </w:p>
        </w:tc>
      </w:tr>
      <w:tr w:rsidR="00E44417" w:rsidRPr="00813FB9" w:rsidTr="00FF3D20">
        <w:trPr>
          <w:trHeight w:val="278"/>
          <w:jc w:val="center"/>
        </w:trPr>
        <w:tc>
          <w:tcPr>
            <w:tcW w:w="2250" w:type="dxa"/>
            <w:vMerge w:val="restart"/>
            <w:shd w:val="clear" w:color="auto" w:fill="FFFFFF" w:themeFill="background1"/>
            <w:vAlign w:val="center"/>
          </w:tcPr>
          <w:p w:rsidR="00E44417" w:rsidRPr="00813FB9" w:rsidRDefault="00E44417" w:rsidP="00FF3D20">
            <w:pPr>
              <w:pStyle w:val="ListParagraph"/>
              <w:spacing w:after="0" w:line="180" w:lineRule="exact"/>
              <w:ind w:left="0"/>
              <w:rPr>
                <w:rFonts w:cs="Times New Roman"/>
                <w:sz w:val="18"/>
                <w:szCs w:val="18"/>
              </w:rPr>
            </w:pPr>
            <w:r w:rsidRPr="00813FB9">
              <w:rPr>
                <w:rFonts w:cs="Times New Roman"/>
                <w:sz w:val="18"/>
                <w:szCs w:val="18"/>
              </w:rPr>
              <w:t>D</w:t>
            </w:r>
            <w:r w:rsidR="00D372FF" w:rsidRPr="00813FB9">
              <w:rPr>
                <w:rFonts w:cs="Times New Roman"/>
                <w:sz w:val="18"/>
                <w:szCs w:val="18"/>
              </w:rPr>
              <w:t xml:space="preserve">iabetes Mellitus Type </w:t>
            </w:r>
            <w:r w:rsidRPr="00813FB9">
              <w:rPr>
                <w:rFonts w:cs="Times New Roman"/>
                <w:sz w:val="18"/>
                <w:szCs w:val="18"/>
              </w:rPr>
              <w:t>I</w:t>
            </w:r>
          </w:p>
        </w:tc>
        <w:tc>
          <w:tcPr>
            <w:tcW w:w="810" w:type="dxa"/>
            <w:vMerge w:val="restart"/>
            <w:shd w:val="clear" w:color="auto" w:fill="FFFFFF" w:themeFill="background1"/>
            <w:vAlign w:val="center"/>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7913</w:t>
            </w:r>
          </w:p>
        </w:tc>
        <w:tc>
          <w:tcPr>
            <w:tcW w:w="990" w:type="dxa"/>
            <w:vMerge w:val="restart"/>
            <w:tcBorders>
              <w:right w:val="thinThickThinSmallGap" w:sz="24" w:space="0" w:color="auto"/>
            </w:tcBorders>
            <w:shd w:val="clear" w:color="auto" w:fill="FFFFFF" w:themeFill="background1"/>
            <w:vAlign w:val="center"/>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w:t>
            </w:r>
          </w:p>
        </w:tc>
        <w:tc>
          <w:tcPr>
            <w:tcW w:w="1978" w:type="dxa"/>
            <w:tcBorders>
              <w:left w:val="thinThickThinSmallGap" w:sz="24" w:space="0" w:color="auto"/>
            </w:tcBorders>
            <w:shd w:val="clear" w:color="auto" w:fill="FFFFFF" w:themeFill="background1"/>
          </w:tcPr>
          <w:p w:rsidR="00E44417" w:rsidRPr="00813FB9" w:rsidRDefault="00E44417" w:rsidP="00813FB9">
            <w:pPr>
              <w:pStyle w:val="ListParagraph"/>
              <w:spacing w:after="0" w:line="180" w:lineRule="exact"/>
              <w:ind w:left="0"/>
              <w:jc w:val="both"/>
              <w:rPr>
                <w:rFonts w:cs="Times New Roman"/>
                <w:sz w:val="18"/>
                <w:szCs w:val="18"/>
              </w:rPr>
            </w:pPr>
            <w:r w:rsidRPr="00813FB9">
              <w:rPr>
                <w:rFonts w:cs="Times New Roman"/>
                <w:sz w:val="18"/>
                <w:szCs w:val="18"/>
              </w:rPr>
              <w:t>D</w:t>
            </w:r>
            <w:r w:rsidR="00D372FF" w:rsidRPr="00813FB9">
              <w:rPr>
                <w:rFonts w:cs="Times New Roman"/>
                <w:sz w:val="18"/>
                <w:szCs w:val="18"/>
              </w:rPr>
              <w:t>iabetes Mellitus Type I</w:t>
            </w:r>
          </w:p>
        </w:tc>
        <w:tc>
          <w:tcPr>
            <w:tcW w:w="108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7913</w:t>
            </w:r>
          </w:p>
        </w:tc>
        <w:tc>
          <w:tcPr>
            <w:tcW w:w="90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w:t>
            </w:r>
          </w:p>
        </w:tc>
        <w:tc>
          <w:tcPr>
            <w:tcW w:w="1249"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E44417" w:rsidRPr="00813FB9" w:rsidTr="00FF3D20">
        <w:trPr>
          <w:trHeight w:val="125"/>
          <w:jc w:val="center"/>
        </w:trPr>
        <w:tc>
          <w:tcPr>
            <w:tcW w:w="2250" w:type="dxa"/>
            <w:vMerge/>
            <w:shd w:val="clear" w:color="auto" w:fill="FFFFFF" w:themeFill="background1"/>
          </w:tcPr>
          <w:p w:rsidR="00E44417" w:rsidRPr="00813FB9" w:rsidRDefault="00E44417" w:rsidP="00FF3D20">
            <w:pPr>
              <w:pStyle w:val="ListParagraph"/>
              <w:spacing w:after="0" w:line="180" w:lineRule="exact"/>
              <w:ind w:left="0"/>
              <w:rPr>
                <w:rFonts w:cs="Times New Roman"/>
                <w:sz w:val="18"/>
                <w:szCs w:val="18"/>
              </w:rPr>
            </w:pPr>
          </w:p>
        </w:tc>
        <w:tc>
          <w:tcPr>
            <w:tcW w:w="810" w:type="dxa"/>
            <w:vMerge/>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44417" w:rsidRPr="00813FB9" w:rsidRDefault="00E44417" w:rsidP="00813FB9">
            <w:pPr>
              <w:pStyle w:val="ListParagraph"/>
              <w:spacing w:after="0" w:line="180" w:lineRule="exact"/>
              <w:ind w:left="0"/>
              <w:rPr>
                <w:rFonts w:cs="Times New Roman"/>
                <w:sz w:val="18"/>
                <w:szCs w:val="18"/>
              </w:rPr>
            </w:pPr>
          </w:p>
        </w:tc>
        <w:tc>
          <w:tcPr>
            <w:tcW w:w="1978" w:type="dxa"/>
            <w:tcBorders>
              <w:left w:val="thinThickThinSmallGap" w:sz="24" w:space="0" w:color="auto"/>
            </w:tcBorders>
            <w:shd w:val="clear" w:color="auto" w:fill="FFFFFF" w:themeFill="background1"/>
          </w:tcPr>
          <w:p w:rsidR="00E44417" w:rsidRPr="00813FB9" w:rsidRDefault="00E44417" w:rsidP="00813FB9">
            <w:pPr>
              <w:pStyle w:val="ListParagraph"/>
              <w:spacing w:after="0" w:line="180" w:lineRule="exact"/>
              <w:ind w:left="0"/>
              <w:rPr>
                <w:rFonts w:cs="Times New Roman"/>
                <w:sz w:val="18"/>
                <w:szCs w:val="18"/>
              </w:rPr>
            </w:pPr>
            <w:r w:rsidRPr="00813FB9">
              <w:rPr>
                <w:rFonts w:cs="Times New Roman"/>
                <w:sz w:val="18"/>
                <w:szCs w:val="18"/>
              </w:rPr>
              <w:t>Diabetic Neuropathy Left Upper Extremity</w:t>
            </w:r>
          </w:p>
        </w:tc>
        <w:tc>
          <w:tcPr>
            <w:tcW w:w="108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8515</w:t>
            </w:r>
          </w:p>
        </w:tc>
        <w:tc>
          <w:tcPr>
            <w:tcW w:w="90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10%</w:t>
            </w:r>
          </w:p>
        </w:tc>
        <w:tc>
          <w:tcPr>
            <w:tcW w:w="1249"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E44417" w:rsidRPr="00813FB9" w:rsidTr="00FF3D20">
        <w:trPr>
          <w:trHeight w:val="125"/>
          <w:jc w:val="center"/>
        </w:trPr>
        <w:tc>
          <w:tcPr>
            <w:tcW w:w="2250" w:type="dxa"/>
            <w:vMerge/>
            <w:shd w:val="clear" w:color="auto" w:fill="FFFFFF" w:themeFill="background1"/>
          </w:tcPr>
          <w:p w:rsidR="00E44417" w:rsidRPr="00813FB9" w:rsidRDefault="00E44417" w:rsidP="00FF3D20">
            <w:pPr>
              <w:pStyle w:val="ListParagraph"/>
              <w:spacing w:after="0" w:line="180" w:lineRule="exact"/>
              <w:ind w:left="0"/>
              <w:rPr>
                <w:rFonts w:cs="Times New Roman"/>
                <w:sz w:val="18"/>
                <w:szCs w:val="18"/>
              </w:rPr>
            </w:pPr>
          </w:p>
        </w:tc>
        <w:tc>
          <w:tcPr>
            <w:tcW w:w="810" w:type="dxa"/>
            <w:vMerge/>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p>
        </w:tc>
        <w:tc>
          <w:tcPr>
            <w:tcW w:w="1978" w:type="dxa"/>
            <w:tcBorders>
              <w:left w:val="thinThickThinSmallGap" w:sz="24" w:space="0" w:color="auto"/>
            </w:tcBorders>
            <w:shd w:val="clear" w:color="auto" w:fill="FFFFFF" w:themeFill="background1"/>
          </w:tcPr>
          <w:p w:rsidR="00E44417" w:rsidRPr="00813FB9" w:rsidRDefault="00E44417" w:rsidP="00813FB9">
            <w:pPr>
              <w:pStyle w:val="ListParagraph"/>
              <w:spacing w:after="0" w:line="180" w:lineRule="exact"/>
              <w:ind w:left="0"/>
              <w:rPr>
                <w:rFonts w:cs="Times New Roman"/>
                <w:sz w:val="18"/>
                <w:szCs w:val="18"/>
              </w:rPr>
            </w:pPr>
            <w:r w:rsidRPr="00813FB9">
              <w:rPr>
                <w:rFonts w:cs="Times New Roman"/>
                <w:sz w:val="18"/>
                <w:szCs w:val="18"/>
              </w:rPr>
              <w:t>Diabetic Neuropathy Right Upper Extremity</w:t>
            </w:r>
          </w:p>
        </w:tc>
        <w:tc>
          <w:tcPr>
            <w:tcW w:w="108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8515</w:t>
            </w:r>
          </w:p>
        </w:tc>
        <w:tc>
          <w:tcPr>
            <w:tcW w:w="900"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10%</w:t>
            </w:r>
          </w:p>
        </w:tc>
        <w:tc>
          <w:tcPr>
            <w:tcW w:w="1249" w:type="dxa"/>
            <w:shd w:val="clear" w:color="auto" w:fill="FFFFFF" w:themeFill="background1"/>
          </w:tcPr>
          <w:p w:rsidR="00E44417"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E44417" w:rsidRPr="00813FB9" w:rsidTr="00FF3D20">
        <w:trPr>
          <w:trHeight w:val="125"/>
          <w:jc w:val="center"/>
        </w:trPr>
        <w:tc>
          <w:tcPr>
            <w:tcW w:w="2250" w:type="dxa"/>
            <w:tcBorders>
              <w:right w:val="single" w:sz="4" w:space="0" w:color="auto"/>
            </w:tcBorders>
            <w:shd w:val="clear" w:color="auto" w:fill="FFFFFF" w:themeFill="background1"/>
          </w:tcPr>
          <w:p w:rsidR="00042C26" w:rsidRPr="00813FB9" w:rsidRDefault="00E44417" w:rsidP="00FF3D20">
            <w:pPr>
              <w:pStyle w:val="ListParagraph"/>
              <w:spacing w:after="0" w:line="180" w:lineRule="exact"/>
              <w:ind w:left="0"/>
              <w:rPr>
                <w:rFonts w:cs="Times New Roman"/>
                <w:sz w:val="18"/>
                <w:szCs w:val="18"/>
              </w:rPr>
            </w:pPr>
            <w:r w:rsidRPr="00813FB9">
              <w:rPr>
                <w:rFonts w:cs="Times New Roman"/>
                <w:sz w:val="18"/>
                <w:szCs w:val="18"/>
              </w:rPr>
              <w:t>Pericarditis</w:t>
            </w:r>
          </w:p>
        </w:tc>
        <w:tc>
          <w:tcPr>
            <w:tcW w:w="810" w:type="dxa"/>
            <w:tcBorders>
              <w:left w:val="single" w:sz="4" w:space="0" w:color="auto"/>
            </w:tcBorders>
            <w:shd w:val="clear" w:color="auto" w:fill="FFFFFF" w:themeFill="background1"/>
          </w:tcPr>
          <w:p w:rsidR="00042C26" w:rsidRPr="00813FB9" w:rsidRDefault="004040DF" w:rsidP="00813FB9">
            <w:pPr>
              <w:pStyle w:val="ListParagraph"/>
              <w:spacing w:after="0" w:line="180" w:lineRule="exact"/>
              <w:ind w:left="0"/>
              <w:jc w:val="center"/>
              <w:rPr>
                <w:rFonts w:cs="Times New Roman"/>
                <w:sz w:val="18"/>
                <w:szCs w:val="18"/>
              </w:rPr>
            </w:pPr>
            <w:r w:rsidRPr="00813FB9">
              <w:rPr>
                <w:rFonts w:cs="Times New Roman"/>
                <w:sz w:val="18"/>
                <w:szCs w:val="18"/>
              </w:rPr>
              <w:t>7002</w:t>
            </w:r>
          </w:p>
        </w:tc>
        <w:tc>
          <w:tcPr>
            <w:tcW w:w="990" w:type="dxa"/>
            <w:tcBorders>
              <w:right w:val="thinThickThinSmallGap" w:sz="24" w:space="0" w:color="auto"/>
            </w:tcBorders>
            <w:shd w:val="clear" w:color="auto" w:fill="FFFFFF" w:themeFill="background1"/>
          </w:tcPr>
          <w:p w:rsidR="00042C26" w:rsidRPr="00813FB9" w:rsidRDefault="005E6DB3" w:rsidP="00813FB9">
            <w:pPr>
              <w:pStyle w:val="ListParagraph"/>
              <w:spacing w:after="0" w:line="180" w:lineRule="exact"/>
              <w:ind w:left="0"/>
              <w:jc w:val="center"/>
              <w:rPr>
                <w:rFonts w:cs="Times New Roman"/>
                <w:sz w:val="18"/>
                <w:szCs w:val="18"/>
              </w:rPr>
            </w:pPr>
            <w:r w:rsidRPr="00813FB9">
              <w:rPr>
                <w:rFonts w:cs="Times New Roman"/>
                <w:sz w:val="18"/>
                <w:szCs w:val="18"/>
              </w:rPr>
              <w:t>Category II</w:t>
            </w:r>
          </w:p>
        </w:tc>
        <w:tc>
          <w:tcPr>
            <w:tcW w:w="1978" w:type="dxa"/>
            <w:tcBorders>
              <w:left w:val="thinThickThinSmallGap" w:sz="24" w:space="0" w:color="auto"/>
            </w:tcBorders>
            <w:shd w:val="clear" w:color="auto" w:fill="FFFFFF" w:themeFill="background1"/>
          </w:tcPr>
          <w:p w:rsidR="00042C26" w:rsidRPr="00813FB9" w:rsidRDefault="004040DF" w:rsidP="00813FB9">
            <w:pPr>
              <w:pStyle w:val="ListParagraph"/>
              <w:spacing w:after="0" w:line="180" w:lineRule="exact"/>
              <w:ind w:left="0"/>
              <w:jc w:val="both"/>
              <w:rPr>
                <w:rFonts w:cs="Times New Roman"/>
                <w:sz w:val="18"/>
                <w:szCs w:val="18"/>
              </w:rPr>
            </w:pPr>
            <w:r w:rsidRPr="00813FB9">
              <w:rPr>
                <w:rFonts w:cs="Times New Roman"/>
                <w:sz w:val="18"/>
                <w:szCs w:val="18"/>
              </w:rPr>
              <w:t>Pericarditis</w:t>
            </w:r>
          </w:p>
        </w:tc>
        <w:tc>
          <w:tcPr>
            <w:tcW w:w="1080" w:type="dxa"/>
            <w:shd w:val="clear" w:color="auto" w:fill="FFFFFF" w:themeFill="background1"/>
          </w:tcPr>
          <w:p w:rsidR="00042C26" w:rsidRPr="00813FB9" w:rsidRDefault="004040DF" w:rsidP="00813FB9">
            <w:pPr>
              <w:pStyle w:val="ListParagraph"/>
              <w:spacing w:after="0" w:line="180" w:lineRule="exact"/>
              <w:ind w:left="0"/>
              <w:jc w:val="center"/>
              <w:rPr>
                <w:rFonts w:cs="Times New Roman"/>
                <w:sz w:val="18"/>
                <w:szCs w:val="18"/>
              </w:rPr>
            </w:pPr>
            <w:r w:rsidRPr="00813FB9">
              <w:rPr>
                <w:rFonts w:cs="Times New Roman"/>
                <w:sz w:val="18"/>
                <w:szCs w:val="18"/>
              </w:rPr>
              <w:t>7002</w:t>
            </w:r>
          </w:p>
        </w:tc>
        <w:tc>
          <w:tcPr>
            <w:tcW w:w="900" w:type="dxa"/>
            <w:shd w:val="clear" w:color="auto" w:fill="FFFFFF" w:themeFill="background1"/>
          </w:tcPr>
          <w:p w:rsidR="00042C26" w:rsidRPr="00813FB9" w:rsidRDefault="004040DF" w:rsidP="00813FB9">
            <w:pPr>
              <w:pStyle w:val="ListParagraph"/>
              <w:spacing w:after="0" w:line="180" w:lineRule="exact"/>
              <w:ind w:left="0"/>
              <w:jc w:val="center"/>
              <w:rPr>
                <w:rFonts w:cs="Times New Roman"/>
                <w:sz w:val="18"/>
                <w:szCs w:val="18"/>
              </w:rPr>
            </w:pPr>
            <w:r w:rsidRPr="00813FB9">
              <w:rPr>
                <w:rFonts w:cs="Times New Roman"/>
                <w:sz w:val="18"/>
                <w:szCs w:val="18"/>
              </w:rPr>
              <w:t>0%</w:t>
            </w:r>
            <w:r w:rsidR="00813FB9">
              <w:rPr>
                <w:rFonts w:cs="Times New Roman"/>
                <w:sz w:val="18"/>
                <w:szCs w:val="18"/>
              </w:rPr>
              <w:t>*</w:t>
            </w:r>
          </w:p>
        </w:tc>
        <w:tc>
          <w:tcPr>
            <w:tcW w:w="1249" w:type="dxa"/>
            <w:shd w:val="clear" w:color="auto" w:fill="FFFFFF" w:themeFill="background1"/>
          </w:tcPr>
          <w:p w:rsidR="00042C26" w:rsidRPr="00813FB9" w:rsidRDefault="00E44417"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22196E" w:rsidRPr="00813FB9" w:rsidTr="00FF3D20">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↓No Additional MEB</w:t>
            </w:r>
            <w:r w:rsidR="00813FB9" w:rsidRPr="00813FB9">
              <w:rPr>
                <w:rFonts w:cs="Times New Roman"/>
                <w:sz w:val="18"/>
                <w:szCs w:val="18"/>
              </w:rPr>
              <w:t>/PEB</w:t>
            </w:r>
            <w:r w:rsidRPr="00813FB9">
              <w:rPr>
                <w:rFonts w:cs="Times New Roman"/>
                <w:sz w:val="18"/>
                <w:szCs w:val="18"/>
              </w:rPr>
              <w:t xml:space="preserve"> Entries↓</w:t>
            </w:r>
          </w:p>
        </w:tc>
        <w:tc>
          <w:tcPr>
            <w:tcW w:w="1978" w:type="dxa"/>
            <w:tcBorders>
              <w:left w:val="thinThickThinSmallGap" w:sz="24" w:space="0" w:color="auto"/>
            </w:tcBorders>
            <w:shd w:val="clear" w:color="auto" w:fill="FFFFFF" w:themeFill="background1"/>
          </w:tcPr>
          <w:p w:rsidR="0022196E" w:rsidRPr="00813FB9" w:rsidRDefault="0022196E" w:rsidP="00813FB9">
            <w:pPr>
              <w:spacing w:line="180" w:lineRule="exact"/>
              <w:rPr>
                <w:rFonts w:cs="Times New Roman"/>
                <w:color w:val="auto"/>
                <w:sz w:val="18"/>
                <w:szCs w:val="18"/>
              </w:rPr>
            </w:pPr>
            <w:r w:rsidRPr="00813FB9">
              <w:rPr>
                <w:rFonts w:cs="Times New Roman"/>
                <w:color w:val="auto"/>
                <w:sz w:val="18"/>
                <w:szCs w:val="18"/>
              </w:rPr>
              <w:t>Left Knee Meniscus Tear</w:t>
            </w:r>
          </w:p>
        </w:tc>
        <w:tc>
          <w:tcPr>
            <w:tcW w:w="1080"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5299 5260</w:t>
            </w:r>
          </w:p>
        </w:tc>
        <w:tc>
          <w:tcPr>
            <w:tcW w:w="900"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10%</w:t>
            </w:r>
          </w:p>
        </w:tc>
        <w:tc>
          <w:tcPr>
            <w:tcW w:w="1249"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22196E" w:rsidRPr="00813FB9" w:rsidTr="00FF3D20">
        <w:trPr>
          <w:trHeight w:val="125"/>
          <w:jc w:val="center"/>
        </w:trPr>
        <w:tc>
          <w:tcPr>
            <w:tcW w:w="4050" w:type="dxa"/>
            <w:gridSpan w:val="3"/>
            <w:vMerge/>
            <w:tcBorders>
              <w:right w:val="thinThickThinSmallGap" w:sz="24" w:space="0" w:color="auto"/>
            </w:tcBorders>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p>
        </w:tc>
        <w:tc>
          <w:tcPr>
            <w:tcW w:w="1978" w:type="dxa"/>
            <w:tcBorders>
              <w:left w:val="thinThickThinSmallGap" w:sz="24" w:space="0" w:color="auto"/>
            </w:tcBorders>
            <w:shd w:val="clear" w:color="auto" w:fill="FFFFFF" w:themeFill="background1"/>
          </w:tcPr>
          <w:p w:rsidR="0022196E" w:rsidRPr="00813FB9" w:rsidRDefault="0022196E" w:rsidP="00813FB9">
            <w:pPr>
              <w:spacing w:line="180" w:lineRule="exact"/>
              <w:rPr>
                <w:color w:val="auto"/>
                <w:sz w:val="18"/>
                <w:szCs w:val="18"/>
              </w:rPr>
            </w:pPr>
            <w:r w:rsidRPr="00813FB9">
              <w:rPr>
                <w:color w:val="auto"/>
                <w:sz w:val="18"/>
                <w:szCs w:val="18"/>
              </w:rPr>
              <w:t>Osgood Schlatter Disease Right Knee</w:t>
            </w:r>
          </w:p>
        </w:tc>
        <w:tc>
          <w:tcPr>
            <w:tcW w:w="1080"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5299 5262</w:t>
            </w:r>
          </w:p>
        </w:tc>
        <w:tc>
          <w:tcPr>
            <w:tcW w:w="900"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10%</w:t>
            </w:r>
          </w:p>
        </w:tc>
        <w:tc>
          <w:tcPr>
            <w:tcW w:w="1249"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22196E" w:rsidRPr="00813FB9" w:rsidTr="00FF3D20">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p>
        </w:tc>
        <w:tc>
          <w:tcPr>
            <w:tcW w:w="3958" w:type="dxa"/>
            <w:gridSpan w:val="3"/>
            <w:tcBorders>
              <w:left w:val="thinThickThinSmallGap" w:sz="24" w:space="0" w:color="auto"/>
            </w:tcBorders>
            <w:shd w:val="clear" w:color="auto" w:fill="FFFFFF" w:themeFill="background1"/>
          </w:tcPr>
          <w:p w:rsidR="0022196E" w:rsidRPr="00813FB9" w:rsidRDefault="00813FB9" w:rsidP="00813FB9">
            <w:pPr>
              <w:pStyle w:val="ListParagraph"/>
              <w:spacing w:after="0" w:line="180" w:lineRule="exact"/>
              <w:ind w:left="0"/>
              <w:jc w:val="center"/>
              <w:rPr>
                <w:rFonts w:cs="Times New Roman"/>
                <w:sz w:val="18"/>
                <w:szCs w:val="18"/>
              </w:rPr>
            </w:pPr>
            <w:r w:rsidRPr="00813FB9">
              <w:rPr>
                <w:rFonts w:cs="Times New Roman"/>
                <w:sz w:val="18"/>
                <w:szCs w:val="18"/>
              </w:rPr>
              <w:t>Not Service Connected</w:t>
            </w:r>
            <w:r w:rsidR="0022196E" w:rsidRPr="00813FB9">
              <w:rPr>
                <w:rFonts w:cs="Times New Roman"/>
                <w:sz w:val="18"/>
                <w:szCs w:val="18"/>
              </w:rPr>
              <w:t xml:space="preserve"> x 2</w:t>
            </w:r>
          </w:p>
        </w:tc>
        <w:tc>
          <w:tcPr>
            <w:tcW w:w="1249" w:type="dxa"/>
            <w:shd w:val="clear" w:color="auto" w:fill="FFFFFF" w:themeFill="background1"/>
          </w:tcPr>
          <w:p w:rsidR="0022196E" w:rsidRPr="00813FB9" w:rsidRDefault="0022196E" w:rsidP="00813FB9">
            <w:pPr>
              <w:pStyle w:val="ListParagraph"/>
              <w:spacing w:after="0" w:line="180" w:lineRule="exact"/>
              <w:ind w:left="0"/>
              <w:jc w:val="center"/>
              <w:rPr>
                <w:rFonts w:cs="Times New Roman"/>
                <w:sz w:val="18"/>
                <w:szCs w:val="18"/>
              </w:rPr>
            </w:pPr>
            <w:r w:rsidRPr="00813FB9">
              <w:rPr>
                <w:rFonts w:cs="Times New Roman"/>
                <w:sz w:val="18"/>
                <w:szCs w:val="18"/>
              </w:rPr>
              <w:t>20081001</w:t>
            </w:r>
          </w:p>
        </w:tc>
      </w:tr>
      <w:tr w:rsidR="00C87F76" w:rsidRPr="00813FB9" w:rsidTr="00FF3D20">
        <w:trPr>
          <w:trHeight w:val="242"/>
          <w:jc w:val="center"/>
        </w:trPr>
        <w:tc>
          <w:tcPr>
            <w:tcW w:w="4050" w:type="dxa"/>
            <w:gridSpan w:val="3"/>
            <w:tcBorders>
              <w:right w:val="thinThickThinSmallGap" w:sz="24" w:space="0" w:color="auto"/>
            </w:tcBorders>
            <w:shd w:val="clear" w:color="auto" w:fill="D9D9D9" w:themeFill="background1" w:themeFillShade="D9"/>
          </w:tcPr>
          <w:p w:rsidR="00C87F76" w:rsidRPr="00813FB9" w:rsidRDefault="00C87F76" w:rsidP="009E6379">
            <w:pPr>
              <w:pStyle w:val="ListParagraph"/>
              <w:spacing w:after="0" w:line="240" w:lineRule="exact"/>
              <w:ind w:left="0"/>
              <w:jc w:val="center"/>
              <w:rPr>
                <w:rFonts w:cs="Times New Roman"/>
                <w:b/>
                <w:sz w:val="20"/>
                <w:szCs w:val="20"/>
              </w:rPr>
            </w:pPr>
            <w:r w:rsidRPr="00813FB9">
              <w:rPr>
                <w:rFonts w:cs="Times New Roman"/>
                <w:b/>
                <w:sz w:val="20"/>
                <w:szCs w:val="20"/>
              </w:rPr>
              <w:t xml:space="preserve">Combined: </w:t>
            </w:r>
            <w:r w:rsidR="00813FB9" w:rsidRPr="00813FB9">
              <w:rPr>
                <w:rFonts w:cs="Times New Roman"/>
                <w:b/>
                <w:sz w:val="20"/>
                <w:szCs w:val="20"/>
              </w:rPr>
              <w:t xml:space="preserve"> </w:t>
            </w:r>
            <w:r w:rsidR="00EF6545" w:rsidRPr="00813FB9">
              <w:rPr>
                <w:rFonts w:cs="Times New Roman"/>
                <w:b/>
                <w:sz w:val="20"/>
                <w:szCs w:val="20"/>
              </w:rPr>
              <w:t>2</w:t>
            </w:r>
            <w:r w:rsidRPr="00813FB9">
              <w:rPr>
                <w:rFonts w:cs="Times New Roman"/>
                <w:b/>
                <w:sz w:val="20"/>
                <w:szCs w:val="20"/>
              </w:rPr>
              <w:t>0%</w:t>
            </w:r>
          </w:p>
        </w:tc>
        <w:tc>
          <w:tcPr>
            <w:tcW w:w="5207" w:type="dxa"/>
            <w:gridSpan w:val="4"/>
            <w:tcBorders>
              <w:left w:val="thinThickThinSmallGap" w:sz="24" w:space="0" w:color="auto"/>
            </w:tcBorders>
            <w:shd w:val="clear" w:color="auto" w:fill="D9D9D9" w:themeFill="background1" w:themeFillShade="D9"/>
          </w:tcPr>
          <w:p w:rsidR="00C87F76" w:rsidRPr="00813FB9" w:rsidRDefault="00C87F76" w:rsidP="006F48FC">
            <w:pPr>
              <w:pStyle w:val="ListParagraph"/>
              <w:spacing w:after="0" w:line="240" w:lineRule="exact"/>
              <w:ind w:left="0"/>
              <w:jc w:val="center"/>
              <w:rPr>
                <w:rFonts w:cs="Times New Roman"/>
                <w:b/>
                <w:sz w:val="20"/>
                <w:szCs w:val="20"/>
              </w:rPr>
            </w:pPr>
            <w:r w:rsidRPr="00813FB9">
              <w:rPr>
                <w:rFonts w:cs="Times New Roman"/>
                <w:b/>
                <w:sz w:val="20"/>
                <w:szCs w:val="20"/>
              </w:rPr>
              <w:t>Combined</w:t>
            </w:r>
            <w:r w:rsidR="006F48FC" w:rsidRPr="00813FB9">
              <w:rPr>
                <w:rFonts w:cs="Times New Roman"/>
                <w:b/>
                <w:sz w:val="20"/>
                <w:szCs w:val="20"/>
              </w:rPr>
              <w:t xml:space="preserve">:  </w:t>
            </w:r>
            <w:r w:rsidR="0022196E" w:rsidRPr="00813FB9">
              <w:rPr>
                <w:rFonts w:cs="Times New Roman"/>
                <w:b/>
                <w:sz w:val="20"/>
                <w:szCs w:val="20"/>
              </w:rPr>
              <w:t>5</w:t>
            </w:r>
            <w:r w:rsidRPr="00813FB9">
              <w:rPr>
                <w:rFonts w:cs="Times New Roman"/>
                <w:b/>
                <w:sz w:val="20"/>
                <w:szCs w:val="20"/>
              </w:rPr>
              <w:t>0%</w:t>
            </w:r>
          </w:p>
        </w:tc>
      </w:tr>
    </w:tbl>
    <w:p w:rsidR="00106AD8" w:rsidRDefault="00106AD8" w:rsidP="00813FB9">
      <w:pPr>
        <w:tabs>
          <w:tab w:val="left" w:pos="288"/>
          <w:tab w:val="left" w:pos="4752"/>
        </w:tabs>
        <w:spacing w:line="240" w:lineRule="exact"/>
        <w:jc w:val="both"/>
        <w:rPr>
          <w:rFonts w:ascii="Calibri" w:hAnsi="Calibri"/>
          <w:color w:val="auto"/>
          <w:szCs w:val="24"/>
        </w:rPr>
      </w:pPr>
    </w:p>
    <w:p w:rsidR="00813FB9" w:rsidRPr="00813FB9" w:rsidRDefault="00813FB9" w:rsidP="00813FB9">
      <w:pPr>
        <w:tabs>
          <w:tab w:val="left" w:pos="288"/>
          <w:tab w:val="left" w:pos="4752"/>
        </w:tabs>
        <w:spacing w:line="240" w:lineRule="exact"/>
        <w:rPr>
          <w:rFonts w:asciiTheme="minorHAnsi" w:hAnsiTheme="minorHAnsi"/>
          <w:color w:val="auto"/>
          <w:sz w:val="20"/>
          <w:szCs w:val="18"/>
        </w:rPr>
      </w:pPr>
      <w:r w:rsidRPr="00813FB9">
        <w:rPr>
          <w:rFonts w:asciiTheme="minorHAnsi" w:hAnsiTheme="minorHAnsi"/>
          <w:color w:val="auto"/>
          <w:sz w:val="20"/>
          <w:szCs w:val="18"/>
        </w:rPr>
        <w:t xml:space="preserve">* </w:t>
      </w:r>
      <w:proofErr w:type="spellStart"/>
      <w:r w:rsidRPr="00813FB9">
        <w:rPr>
          <w:rFonts w:asciiTheme="minorHAnsi" w:hAnsiTheme="minorHAnsi"/>
          <w:color w:val="auto"/>
          <w:sz w:val="20"/>
          <w:szCs w:val="18"/>
        </w:rPr>
        <w:t>Pericarditis</w:t>
      </w:r>
      <w:proofErr w:type="spellEnd"/>
      <w:r w:rsidRPr="00813FB9">
        <w:rPr>
          <w:rFonts w:asciiTheme="minorHAnsi" w:hAnsiTheme="minorHAnsi"/>
          <w:color w:val="auto"/>
          <w:sz w:val="20"/>
          <w:szCs w:val="18"/>
        </w:rPr>
        <w:t xml:space="preserve"> increased to 30% and </w:t>
      </w:r>
      <w:r>
        <w:rPr>
          <w:rFonts w:asciiTheme="minorHAnsi" w:hAnsiTheme="minorHAnsi"/>
          <w:color w:val="auto"/>
          <w:sz w:val="20"/>
          <w:szCs w:val="18"/>
        </w:rPr>
        <w:t xml:space="preserve">added </w:t>
      </w:r>
      <w:r w:rsidRPr="00813FB9">
        <w:rPr>
          <w:rFonts w:asciiTheme="minorHAnsi" w:hAnsiTheme="minorHAnsi"/>
          <w:color w:val="auto"/>
          <w:sz w:val="20"/>
          <w:szCs w:val="18"/>
        </w:rPr>
        <w:t xml:space="preserve">adjustment disorder with depressed mood associated with </w:t>
      </w:r>
      <w:proofErr w:type="spellStart"/>
      <w:r w:rsidRPr="00813FB9">
        <w:rPr>
          <w:rFonts w:asciiTheme="minorHAnsi" w:hAnsiTheme="minorHAnsi"/>
          <w:color w:val="auto"/>
          <w:sz w:val="20"/>
          <w:szCs w:val="18"/>
        </w:rPr>
        <w:t>pericarditis</w:t>
      </w:r>
      <w:proofErr w:type="spellEnd"/>
      <w:r w:rsidRPr="00813FB9">
        <w:rPr>
          <w:rFonts w:asciiTheme="minorHAnsi" w:hAnsiTheme="minorHAnsi"/>
          <w:color w:val="auto"/>
          <w:sz w:val="20"/>
          <w:szCs w:val="18"/>
        </w:rPr>
        <w:t xml:space="preserve"> 50%</w:t>
      </w:r>
      <w:r w:rsidR="00FF3D20">
        <w:rPr>
          <w:rFonts w:asciiTheme="minorHAnsi" w:hAnsiTheme="minorHAnsi"/>
          <w:color w:val="auto"/>
          <w:sz w:val="20"/>
          <w:szCs w:val="18"/>
        </w:rPr>
        <w:t>,</w:t>
      </w:r>
      <w:r w:rsidRPr="00813FB9">
        <w:rPr>
          <w:rFonts w:asciiTheme="minorHAnsi" w:hAnsiTheme="minorHAnsi"/>
          <w:color w:val="auto"/>
          <w:sz w:val="20"/>
          <w:szCs w:val="18"/>
        </w:rPr>
        <w:t xml:space="preserve"> effective 20090501</w:t>
      </w:r>
    </w:p>
    <w:p w:rsidR="00813FB9" w:rsidRPr="00813FB9" w:rsidRDefault="00813FB9"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13FB9" w:rsidRDefault="00106AD8" w:rsidP="00106AD8">
      <w:pPr>
        <w:tabs>
          <w:tab w:val="left" w:pos="288"/>
          <w:tab w:val="left" w:pos="4752"/>
        </w:tabs>
        <w:spacing w:line="240" w:lineRule="exact"/>
        <w:rPr>
          <w:rFonts w:ascii="Calibri" w:hAnsi="Calibri"/>
          <w:color w:val="auto"/>
          <w:szCs w:val="24"/>
        </w:rPr>
      </w:pPr>
    </w:p>
    <w:p w:rsidR="00812AE3" w:rsidRPr="001F5378" w:rsidRDefault="002C6E5B" w:rsidP="00B00FD7">
      <w:pPr>
        <w:tabs>
          <w:tab w:val="left" w:pos="288"/>
          <w:tab w:val="left" w:pos="4752"/>
        </w:tabs>
        <w:spacing w:line="240" w:lineRule="exact"/>
        <w:jc w:val="both"/>
        <w:rPr>
          <w:rFonts w:asciiTheme="minorHAnsi" w:hAnsiTheme="minorHAnsi"/>
          <w:color w:val="auto"/>
          <w:szCs w:val="24"/>
        </w:rPr>
      </w:pPr>
      <w:r w:rsidRPr="00813FB9">
        <w:rPr>
          <w:rFonts w:asciiTheme="minorHAnsi" w:hAnsiTheme="minorHAnsi"/>
          <w:color w:val="auto"/>
          <w:szCs w:val="24"/>
          <w:u w:val="single"/>
        </w:rPr>
        <w:t>ANALYSIS SUMMARY</w:t>
      </w:r>
      <w:r w:rsidRPr="00813FB9">
        <w:rPr>
          <w:rFonts w:asciiTheme="minorHAnsi" w:hAnsiTheme="minorHAnsi"/>
          <w:color w:val="auto"/>
          <w:szCs w:val="24"/>
        </w:rPr>
        <w:t>:</w:t>
      </w:r>
      <w:r w:rsidR="00C276CD" w:rsidRPr="00813FB9">
        <w:rPr>
          <w:rFonts w:asciiTheme="minorHAnsi" w:hAnsiTheme="minorHAnsi"/>
          <w:color w:val="auto"/>
          <w:szCs w:val="24"/>
        </w:rPr>
        <w:t xml:space="preserve">  </w:t>
      </w:r>
      <w:r w:rsidR="00812AE3" w:rsidRPr="00813FB9">
        <w:rPr>
          <w:rFonts w:asciiTheme="minorHAnsi" w:hAnsiTheme="minorHAnsi"/>
          <w:color w:val="auto"/>
          <w:szCs w:val="24"/>
        </w:rPr>
        <w:t>The Board acknowledges the sentiment expressed in the CI’s application regarding</w:t>
      </w:r>
      <w:r w:rsidR="00812AE3" w:rsidRPr="007B5D59">
        <w:rPr>
          <w:rFonts w:asciiTheme="minorHAnsi" w:hAnsiTheme="minorHAnsi"/>
          <w:color w:val="auto"/>
          <w:szCs w:val="24"/>
        </w:rPr>
        <w:t xml:space="preserve"> the significant impact that</w:t>
      </w:r>
      <w:r w:rsidR="00812AE3">
        <w:rPr>
          <w:rFonts w:asciiTheme="minorHAnsi" w:hAnsiTheme="minorHAnsi"/>
          <w:color w:val="auto"/>
          <w:szCs w:val="24"/>
        </w:rPr>
        <w:t xml:space="preserve"> </w:t>
      </w:r>
      <w:r w:rsidR="00812AE3" w:rsidRPr="007B5D59">
        <w:rPr>
          <w:rFonts w:asciiTheme="minorHAnsi" w:hAnsiTheme="minorHAnsi"/>
          <w:color w:val="auto"/>
          <w:szCs w:val="24"/>
        </w:rPr>
        <w:t>his</w:t>
      </w:r>
      <w:r w:rsidR="00812AE3">
        <w:rPr>
          <w:rFonts w:asciiTheme="minorHAnsi" w:hAnsiTheme="minorHAnsi"/>
          <w:color w:val="auto"/>
          <w:szCs w:val="24"/>
        </w:rPr>
        <w:t xml:space="preserve"> </w:t>
      </w:r>
      <w:r w:rsidR="00812AE3" w:rsidRPr="007B5D59">
        <w:rPr>
          <w:rFonts w:asciiTheme="minorHAnsi" w:hAnsiTheme="minorHAnsi"/>
          <w:color w:val="auto"/>
          <w:szCs w:val="24"/>
        </w:rPr>
        <w:t>service-incurred conditions have had on</w:t>
      </w:r>
      <w:r w:rsidR="00812AE3">
        <w:rPr>
          <w:rFonts w:asciiTheme="minorHAnsi" w:hAnsiTheme="minorHAnsi"/>
          <w:color w:val="auto"/>
          <w:szCs w:val="24"/>
        </w:rPr>
        <w:t xml:space="preserve"> his </w:t>
      </w:r>
      <w:r w:rsidR="00812AE3" w:rsidRPr="007B5D59">
        <w:rPr>
          <w:rFonts w:asciiTheme="minorHAnsi" w:hAnsiTheme="minorHAnsi"/>
          <w:color w:val="auto"/>
          <w:szCs w:val="24"/>
        </w:rPr>
        <w:t>quality o</w:t>
      </w:r>
      <w:r w:rsidR="00FF24FF">
        <w:rPr>
          <w:rFonts w:asciiTheme="minorHAnsi" w:hAnsiTheme="minorHAnsi"/>
          <w:color w:val="auto"/>
          <w:szCs w:val="24"/>
        </w:rPr>
        <w:t>f life.  However, the military s</w:t>
      </w:r>
      <w:r w:rsidR="00812AE3" w:rsidRPr="007B5D59">
        <w:rPr>
          <w:rFonts w:asciiTheme="minorHAnsi" w:hAnsiTheme="minorHAnsi"/>
          <w:color w:val="auto"/>
          <w:szCs w:val="24"/>
        </w:rPr>
        <w:t xml:space="preserve">ervices, by law, can only rate and compensate for those conditions that were found unfitting for continued military service based on the severity of the condition </w:t>
      </w:r>
      <w:r w:rsidR="00812AE3" w:rsidRPr="007B5D59">
        <w:rPr>
          <w:rFonts w:asciiTheme="minorHAnsi" w:hAnsiTheme="minorHAnsi"/>
          <w:color w:val="auto"/>
          <w:szCs w:val="24"/>
        </w:rPr>
        <w:lastRenderedPageBreak/>
        <w:t>at the time of separation and not based on possible future changes.  The VA</w:t>
      </w:r>
      <w:r w:rsidR="00FF3D20">
        <w:rPr>
          <w:rFonts w:asciiTheme="minorHAnsi" w:hAnsiTheme="minorHAnsi"/>
          <w:color w:val="auto"/>
          <w:szCs w:val="24"/>
        </w:rPr>
        <w:t>,</w:t>
      </w:r>
      <w:r w:rsidR="00812AE3" w:rsidRPr="007B5D59">
        <w:rPr>
          <w:rFonts w:asciiTheme="minorHAnsi" w:hAnsiTheme="minorHAnsi"/>
          <w:color w:val="auto"/>
          <w:szCs w:val="24"/>
        </w:rPr>
        <w:t xml:space="preserve"> however</w:t>
      </w:r>
      <w:r w:rsidR="00FF3D20">
        <w:rPr>
          <w:rFonts w:asciiTheme="minorHAnsi" w:hAnsiTheme="minorHAnsi"/>
          <w:color w:val="auto"/>
          <w:szCs w:val="24"/>
        </w:rPr>
        <w:t>,</w:t>
      </w:r>
      <w:r w:rsidR="00812AE3" w:rsidRPr="007B5D59">
        <w:rPr>
          <w:rFonts w:asciiTheme="minorHAnsi" w:hAnsiTheme="minorHAnsi"/>
          <w:color w:val="auto"/>
          <w:szCs w:val="24"/>
        </w:rPr>
        <w:t xml:space="preserve"> can rate and compensate all service connected conditions without regard to their impact on</w:t>
      </w:r>
      <w:r w:rsidR="00812AE3">
        <w:rPr>
          <w:rFonts w:asciiTheme="minorHAnsi" w:hAnsiTheme="minorHAnsi"/>
          <w:color w:val="auto"/>
          <w:szCs w:val="24"/>
        </w:rPr>
        <w:t xml:space="preserve"> </w:t>
      </w:r>
      <w:r w:rsidR="00812AE3" w:rsidRPr="007B5D59">
        <w:rPr>
          <w:rFonts w:asciiTheme="minorHAnsi" w:hAnsiTheme="minorHAnsi"/>
          <w:color w:val="auto"/>
          <w:szCs w:val="24"/>
        </w:rPr>
        <w:t xml:space="preserve">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The Board’s threshold for countering DES fitness determinations is higher than the VASRD §4.3 reasonable doubt standard used for its rating recommendations but remains adherent to the DoDI 6040.44 “fair and equitable” standard. </w:t>
      </w:r>
      <w:r w:rsidR="00812AE3">
        <w:rPr>
          <w:rFonts w:asciiTheme="minorHAnsi" w:hAnsiTheme="minorHAnsi"/>
          <w:color w:val="auto"/>
          <w:szCs w:val="24"/>
        </w:rPr>
        <w:t xml:space="preserve"> </w:t>
      </w:r>
    </w:p>
    <w:p w:rsidR="001E3205" w:rsidRDefault="001E3205" w:rsidP="00B00FD7">
      <w:pPr>
        <w:spacing w:line="240" w:lineRule="exact"/>
        <w:jc w:val="both"/>
        <w:rPr>
          <w:rFonts w:asciiTheme="minorHAnsi" w:eastAsia="HiddenHorzOCR" w:hAnsiTheme="minorHAnsi"/>
          <w:color w:val="auto"/>
          <w:szCs w:val="24"/>
          <w:u w:val="single"/>
        </w:rPr>
      </w:pPr>
    </w:p>
    <w:p w:rsidR="00C227F4" w:rsidRDefault="001E3205" w:rsidP="00B00FD7">
      <w:pPr>
        <w:spacing w:line="240" w:lineRule="exact"/>
        <w:jc w:val="both"/>
        <w:rPr>
          <w:rFonts w:asciiTheme="minorHAnsi" w:hAnsiTheme="minorHAnsi"/>
          <w:color w:val="auto"/>
          <w:szCs w:val="24"/>
        </w:rPr>
      </w:pPr>
      <w:r>
        <w:rPr>
          <w:rFonts w:asciiTheme="minorHAnsi" w:eastAsia="HiddenHorzOCR" w:hAnsiTheme="minorHAnsi"/>
          <w:color w:val="auto"/>
          <w:szCs w:val="24"/>
          <w:u w:val="single"/>
        </w:rPr>
        <w:t xml:space="preserve">Type </w:t>
      </w:r>
      <w:proofErr w:type="gramStart"/>
      <w:r>
        <w:rPr>
          <w:rFonts w:asciiTheme="minorHAnsi" w:eastAsia="HiddenHorzOCR" w:hAnsiTheme="minorHAnsi"/>
          <w:color w:val="auto"/>
          <w:szCs w:val="24"/>
          <w:u w:val="single"/>
        </w:rPr>
        <w:t>I</w:t>
      </w:r>
      <w:proofErr w:type="gramEnd"/>
      <w:r>
        <w:rPr>
          <w:rFonts w:asciiTheme="minorHAnsi" w:eastAsia="HiddenHorzOCR" w:hAnsiTheme="minorHAnsi"/>
          <w:color w:val="auto"/>
          <w:szCs w:val="24"/>
          <w:u w:val="single"/>
        </w:rPr>
        <w:t xml:space="preserve"> Diabetes Me</w:t>
      </w:r>
      <w:r w:rsidR="0047425C">
        <w:rPr>
          <w:rFonts w:asciiTheme="minorHAnsi" w:eastAsia="HiddenHorzOCR" w:hAnsiTheme="minorHAnsi"/>
          <w:color w:val="auto"/>
          <w:szCs w:val="24"/>
          <w:u w:val="single"/>
        </w:rPr>
        <w:t>l</w:t>
      </w:r>
      <w:r>
        <w:rPr>
          <w:rFonts w:asciiTheme="minorHAnsi" w:eastAsia="HiddenHorzOCR" w:hAnsiTheme="minorHAnsi"/>
          <w:color w:val="auto"/>
          <w:szCs w:val="24"/>
          <w:u w:val="single"/>
        </w:rPr>
        <w:t>litus</w:t>
      </w:r>
      <w:r w:rsidR="00FF24FF">
        <w:rPr>
          <w:rFonts w:asciiTheme="minorHAnsi" w:eastAsia="HiddenHorzOCR" w:hAnsiTheme="minorHAnsi"/>
          <w:color w:val="auto"/>
          <w:szCs w:val="24"/>
          <w:u w:val="single"/>
        </w:rPr>
        <w:t>.</w:t>
      </w:r>
      <w:r w:rsidR="00C227F4">
        <w:rPr>
          <w:rFonts w:asciiTheme="minorHAnsi" w:eastAsia="HiddenHorzOCR" w:hAnsiTheme="minorHAnsi"/>
          <w:color w:val="auto"/>
          <w:szCs w:val="24"/>
        </w:rPr>
        <w:t xml:space="preserve">  </w:t>
      </w:r>
      <w:r w:rsidR="00C227F4" w:rsidRPr="00C227F4">
        <w:rPr>
          <w:rFonts w:asciiTheme="minorHAnsi" w:hAnsiTheme="minorHAnsi"/>
          <w:color w:val="auto"/>
          <w:szCs w:val="24"/>
        </w:rPr>
        <w:t xml:space="preserve">CI </w:t>
      </w:r>
      <w:r w:rsidR="00A8270B" w:rsidRPr="00C227F4">
        <w:rPr>
          <w:rFonts w:asciiTheme="minorHAnsi" w:hAnsiTheme="minorHAnsi"/>
          <w:color w:val="auto"/>
          <w:szCs w:val="24"/>
        </w:rPr>
        <w:t>was</w:t>
      </w:r>
      <w:r w:rsidR="00A8270B">
        <w:rPr>
          <w:rFonts w:asciiTheme="minorHAnsi" w:hAnsiTheme="minorHAnsi"/>
          <w:color w:val="auto"/>
          <w:szCs w:val="24"/>
        </w:rPr>
        <w:t xml:space="preserve"> diagnosed as type I insulin requiring </w:t>
      </w:r>
      <w:r w:rsidR="00FF3D20">
        <w:rPr>
          <w:rFonts w:asciiTheme="minorHAnsi" w:hAnsiTheme="minorHAnsi"/>
          <w:color w:val="auto"/>
          <w:szCs w:val="24"/>
        </w:rPr>
        <w:t>DM</w:t>
      </w:r>
      <w:r w:rsidR="00A8270B">
        <w:rPr>
          <w:rFonts w:asciiTheme="minorHAnsi" w:hAnsiTheme="minorHAnsi"/>
          <w:color w:val="auto"/>
          <w:szCs w:val="24"/>
        </w:rPr>
        <w:t xml:space="preserve"> </w:t>
      </w:r>
      <w:r w:rsidR="00C227F4">
        <w:rPr>
          <w:rFonts w:asciiTheme="minorHAnsi" w:hAnsiTheme="minorHAnsi"/>
          <w:color w:val="auto"/>
          <w:szCs w:val="24"/>
        </w:rPr>
        <w:t xml:space="preserve">in September 2007 </w:t>
      </w:r>
      <w:r w:rsidR="00A8270B">
        <w:rPr>
          <w:rFonts w:asciiTheme="minorHAnsi" w:hAnsiTheme="minorHAnsi"/>
          <w:color w:val="auto"/>
          <w:szCs w:val="24"/>
        </w:rPr>
        <w:t>and treated with insulin and diet without activity restriction.</w:t>
      </w:r>
      <w:r w:rsidR="009E144B">
        <w:rPr>
          <w:rFonts w:asciiTheme="minorHAnsi" w:hAnsiTheme="minorHAnsi"/>
          <w:color w:val="auto"/>
          <w:szCs w:val="24"/>
        </w:rPr>
        <w:t xml:space="preserve">  </w:t>
      </w:r>
      <w:r w:rsidR="00493CB0">
        <w:rPr>
          <w:rFonts w:asciiTheme="minorHAnsi" w:hAnsiTheme="minorHAnsi"/>
          <w:color w:val="auto"/>
          <w:szCs w:val="24"/>
        </w:rPr>
        <w:t xml:space="preserve">Service treatment records from November 2007 through </w:t>
      </w:r>
      <w:r w:rsidR="00B458C7">
        <w:rPr>
          <w:rFonts w:asciiTheme="minorHAnsi" w:hAnsiTheme="minorHAnsi"/>
          <w:color w:val="auto"/>
          <w:szCs w:val="24"/>
        </w:rPr>
        <w:t xml:space="preserve">separation document </w:t>
      </w:r>
      <w:r w:rsidR="00FF3D20">
        <w:rPr>
          <w:rFonts w:asciiTheme="minorHAnsi" w:hAnsiTheme="minorHAnsi"/>
          <w:color w:val="auto"/>
          <w:szCs w:val="24"/>
        </w:rPr>
        <w:t xml:space="preserve">the CI as </w:t>
      </w:r>
      <w:r w:rsidR="00B458C7">
        <w:rPr>
          <w:rFonts w:asciiTheme="minorHAnsi" w:hAnsiTheme="minorHAnsi"/>
          <w:color w:val="auto"/>
          <w:szCs w:val="24"/>
        </w:rPr>
        <w:t>feeling well</w:t>
      </w:r>
      <w:r w:rsidR="00493CB0">
        <w:rPr>
          <w:rFonts w:asciiTheme="minorHAnsi" w:hAnsiTheme="minorHAnsi"/>
          <w:color w:val="auto"/>
          <w:szCs w:val="24"/>
        </w:rPr>
        <w:t xml:space="preserve">.  </w:t>
      </w:r>
      <w:r w:rsidR="00FC7CED">
        <w:rPr>
          <w:rFonts w:asciiTheme="minorHAnsi" w:hAnsiTheme="minorHAnsi"/>
          <w:color w:val="auto"/>
          <w:szCs w:val="24"/>
        </w:rPr>
        <w:t xml:space="preserve">At the February </w:t>
      </w:r>
      <w:r w:rsidR="00FC7CED">
        <w:rPr>
          <w:rFonts w:asciiTheme="minorHAnsi" w:eastAsia="HiddenHorzOCR" w:hAnsiTheme="minorHAnsi"/>
          <w:color w:val="auto"/>
          <w:szCs w:val="24"/>
        </w:rPr>
        <w:t>14, 2008 follow up appointment he was feeling well and reported</w:t>
      </w:r>
      <w:r w:rsidR="00FF24FF">
        <w:rPr>
          <w:rFonts w:asciiTheme="minorHAnsi" w:eastAsia="HiddenHorzOCR" w:hAnsiTheme="minorHAnsi"/>
          <w:color w:val="auto"/>
          <w:szCs w:val="24"/>
        </w:rPr>
        <w:t xml:space="preserve"> good exercise habits and regular exercise more than three times per week</w:t>
      </w:r>
      <w:r w:rsidR="00FC7CED">
        <w:rPr>
          <w:rFonts w:asciiTheme="minorHAnsi" w:eastAsia="HiddenHorzOCR" w:hAnsiTheme="minorHAnsi"/>
          <w:color w:val="auto"/>
          <w:szCs w:val="24"/>
        </w:rPr>
        <w:t xml:space="preserve">.  </w:t>
      </w:r>
      <w:r w:rsidR="00493CB0">
        <w:rPr>
          <w:rFonts w:asciiTheme="minorHAnsi" w:hAnsiTheme="minorHAnsi"/>
          <w:color w:val="auto"/>
          <w:szCs w:val="24"/>
        </w:rPr>
        <w:t xml:space="preserve">There </w:t>
      </w:r>
      <w:r w:rsidR="00FC7CED">
        <w:rPr>
          <w:rFonts w:asciiTheme="minorHAnsi" w:hAnsiTheme="minorHAnsi"/>
          <w:color w:val="auto"/>
          <w:szCs w:val="24"/>
        </w:rPr>
        <w:t xml:space="preserve">were no episodes of ketoacidosis or hypoglycemic episodes requiring hospitalizations or frequent visits to a diabetic care provider, or complications (e.g. end organ damage to eye, nerve, kidney, vascular system).  Although the December 11, 2007 Wilford Hall Medical Center endocrinology note refers to a hospitalization </w:t>
      </w:r>
      <w:r w:rsidR="000857B8">
        <w:rPr>
          <w:rFonts w:asciiTheme="minorHAnsi" w:hAnsiTheme="minorHAnsi"/>
          <w:color w:val="auto"/>
          <w:szCs w:val="24"/>
        </w:rPr>
        <w:t xml:space="preserve">for diabetic ketoacidosis </w:t>
      </w:r>
      <w:r w:rsidR="00FC7CED">
        <w:rPr>
          <w:rFonts w:asciiTheme="minorHAnsi" w:hAnsiTheme="minorHAnsi"/>
          <w:color w:val="auto"/>
          <w:szCs w:val="24"/>
        </w:rPr>
        <w:t>in September 2007</w:t>
      </w:r>
      <w:r w:rsidR="000857B8">
        <w:rPr>
          <w:rFonts w:asciiTheme="minorHAnsi" w:hAnsiTheme="minorHAnsi"/>
          <w:color w:val="auto"/>
          <w:szCs w:val="24"/>
        </w:rPr>
        <w:t xml:space="preserve"> (</w:t>
      </w:r>
      <w:r w:rsidR="00FC7CED">
        <w:rPr>
          <w:rFonts w:asciiTheme="minorHAnsi" w:hAnsiTheme="minorHAnsi"/>
          <w:color w:val="auto"/>
          <w:szCs w:val="24"/>
        </w:rPr>
        <w:t>at time of initial diagnosis of diabetes</w:t>
      </w:r>
      <w:r w:rsidR="000857B8">
        <w:rPr>
          <w:rFonts w:asciiTheme="minorHAnsi" w:hAnsiTheme="minorHAnsi"/>
          <w:color w:val="auto"/>
          <w:szCs w:val="24"/>
        </w:rPr>
        <w:t>)</w:t>
      </w:r>
      <w:r w:rsidR="00FC7CED">
        <w:rPr>
          <w:rFonts w:asciiTheme="minorHAnsi" w:hAnsiTheme="minorHAnsi"/>
          <w:color w:val="auto"/>
          <w:szCs w:val="24"/>
        </w:rPr>
        <w:t xml:space="preserve">, review of the primary </w:t>
      </w:r>
      <w:r w:rsidR="000857B8">
        <w:rPr>
          <w:rFonts w:asciiTheme="minorHAnsi" w:hAnsiTheme="minorHAnsi"/>
          <w:color w:val="auto"/>
          <w:szCs w:val="24"/>
        </w:rPr>
        <w:t xml:space="preserve">medical </w:t>
      </w:r>
      <w:r w:rsidR="00FC7CED">
        <w:rPr>
          <w:rFonts w:asciiTheme="minorHAnsi" w:hAnsiTheme="minorHAnsi"/>
          <w:color w:val="auto"/>
          <w:szCs w:val="24"/>
        </w:rPr>
        <w:t xml:space="preserve">documentation shows </w:t>
      </w:r>
      <w:r w:rsidR="000857B8">
        <w:rPr>
          <w:rFonts w:asciiTheme="minorHAnsi" w:hAnsiTheme="minorHAnsi"/>
          <w:color w:val="auto"/>
          <w:szCs w:val="24"/>
        </w:rPr>
        <w:t xml:space="preserve">that </w:t>
      </w:r>
      <w:r w:rsidR="00FC7CED">
        <w:rPr>
          <w:rFonts w:asciiTheme="minorHAnsi" w:hAnsiTheme="minorHAnsi"/>
          <w:color w:val="auto"/>
          <w:szCs w:val="24"/>
        </w:rPr>
        <w:t>the CI was seen in the emergency room and released</w:t>
      </w:r>
      <w:r w:rsidR="000857B8">
        <w:rPr>
          <w:rFonts w:asciiTheme="minorHAnsi" w:hAnsiTheme="minorHAnsi"/>
          <w:color w:val="auto"/>
          <w:szCs w:val="24"/>
        </w:rPr>
        <w:t>,</w:t>
      </w:r>
      <w:r w:rsidR="00FC7CED">
        <w:rPr>
          <w:rFonts w:asciiTheme="minorHAnsi" w:hAnsiTheme="minorHAnsi"/>
          <w:color w:val="auto"/>
          <w:szCs w:val="24"/>
        </w:rPr>
        <w:t xml:space="preserve"> and that laboratory results did not show ketoacidosis.</w:t>
      </w:r>
      <w:r w:rsidR="009E144B">
        <w:rPr>
          <w:rFonts w:asciiTheme="minorHAnsi" w:hAnsiTheme="minorHAnsi"/>
          <w:color w:val="auto"/>
          <w:szCs w:val="24"/>
        </w:rPr>
        <w:t xml:space="preserve">  </w:t>
      </w:r>
      <w:r w:rsidR="00493CB0">
        <w:rPr>
          <w:rFonts w:asciiTheme="minorHAnsi" w:hAnsiTheme="minorHAnsi"/>
          <w:color w:val="auto"/>
          <w:szCs w:val="24"/>
        </w:rPr>
        <w:t>Post</w:t>
      </w:r>
      <w:r w:rsidR="00FF3D20">
        <w:rPr>
          <w:rFonts w:asciiTheme="minorHAnsi" w:hAnsiTheme="minorHAnsi"/>
          <w:color w:val="auto"/>
          <w:szCs w:val="24"/>
        </w:rPr>
        <w:t>-</w:t>
      </w:r>
      <w:r w:rsidR="00493CB0">
        <w:rPr>
          <w:rFonts w:asciiTheme="minorHAnsi" w:hAnsiTheme="minorHAnsi"/>
          <w:color w:val="auto"/>
          <w:szCs w:val="24"/>
        </w:rPr>
        <w:t>separation VA</w:t>
      </w:r>
      <w:r w:rsidR="000857B8">
        <w:rPr>
          <w:rFonts w:asciiTheme="minorHAnsi" w:hAnsiTheme="minorHAnsi"/>
          <w:color w:val="auto"/>
          <w:szCs w:val="24"/>
        </w:rPr>
        <w:t xml:space="preserve"> compensation and pension</w:t>
      </w:r>
      <w:r w:rsidR="00493CB0">
        <w:rPr>
          <w:rFonts w:asciiTheme="minorHAnsi" w:hAnsiTheme="minorHAnsi"/>
          <w:color w:val="auto"/>
          <w:szCs w:val="24"/>
        </w:rPr>
        <w:t xml:space="preserve"> </w:t>
      </w:r>
      <w:r w:rsidR="000857B8">
        <w:rPr>
          <w:rFonts w:asciiTheme="minorHAnsi" w:hAnsiTheme="minorHAnsi"/>
          <w:color w:val="auto"/>
          <w:szCs w:val="24"/>
        </w:rPr>
        <w:t>(</w:t>
      </w:r>
      <w:r w:rsidR="00493CB0">
        <w:rPr>
          <w:rFonts w:asciiTheme="minorHAnsi" w:hAnsiTheme="minorHAnsi"/>
          <w:color w:val="auto"/>
          <w:szCs w:val="24"/>
        </w:rPr>
        <w:t>C&amp;P</w:t>
      </w:r>
      <w:r w:rsidR="000857B8">
        <w:rPr>
          <w:rFonts w:asciiTheme="minorHAnsi" w:hAnsiTheme="minorHAnsi"/>
          <w:color w:val="auto"/>
          <w:szCs w:val="24"/>
        </w:rPr>
        <w:t>)</w:t>
      </w:r>
      <w:r w:rsidR="00493CB0">
        <w:rPr>
          <w:rFonts w:asciiTheme="minorHAnsi" w:hAnsiTheme="minorHAnsi"/>
          <w:color w:val="auto"/>
          <w:szCs w:val="24"/>
        </w:rPr>
        <w:t xml:space="preserve"> examinations document CI report of bilateral hand numbness and paresthesia, with onset about one year after separation, occurring intermittently resulting in service connected ratings for diabetic neuropathy of each upper extremity.  However, there was no</w:t>
      </w:r>
      <w:r w:rsidR="00B00FD7">
        <w:rPr>
          <w:rFonts w:asciiTheme="minorHAnsi" w:hAnsiTheme="minorHAnsi"/>
          <w:color w:val="auto"/>
          <w:szCs w:val="24"/>
        </w:rPr>
        <w:t xml:space="preserve"> evidence of diabetic neuropathy prior to separation.  There was no </w:t>
      </w:r>
      <w:r w:rsidR="00493CB0">
        <w:rPr>
          <w:rFonts w:asciiTheme="minorHAnsi" w:hAnsiTheme="minorHAnsi"/>
          <w:color w:val="auto"/>
          <w:szCs w:val="24"/>
        </w:rPr>
        <w:t>complaint of paresthesia or numbness prior to separation</w:t>
      </w:r>
      <w:r w:rsidR="00B00FD7">
        <w:rPr>
          <w:rFonts w:asciiTheme="minorHAnsi" w:hAnsiTheme="minorHAnsi"/>
          <w:color w:val="auto"/>
          <w:szCs w:val="24"/>
        </w:rPr>
        <w:t>.  D</w:t>
      </w:r>
      <w:r w:rsidR="00493CB0">
        <w:rPr>
          <w:rFonts w:asciiTheme="minorHAnsi" w:hAnsiTheme="minorHAnsi"/>
          <w:color w:val="auto"/>
          <w:szCs w:val="24"/>
        </w:rPr>
        <w:t>etailed sensory examination of the feet was normal on December 6, 2007</w:t>
      </w:r>
      <w:r w:rsidR="00520EC2">
        <w:rPr>
          <w:rFonts w:asciiTheme="minorHAnsi" w:hAnsiTheme="minorHAnsi"/>
          <w:color w:val="auto"/>
          <w:szCs w:val="24"/>
        </w:rPr>
        <w:t>;</w:t>
      </w:r>
      <w:r w:rsidR="00493CB0">
        <w:rPr>
          <w:rFonts w:asciiTheme="minorHAnsi" w:hAnsiTheme="minorHAnsi"/>
          <w:color w:val="auto"/>
          <w:szCs w:val="24"/>
        </w:rPr>
        <w:t xml:space="preserve"> the December 11, 2007 endocrinology appointment recorded that there was “no tingling, no numbness, </w:t>
      </w:r>
      <w:proofErr w:type="gramStart"/>
      <w:r w:rsidR="00493CB0">
        <w:rPr>
          <w:rFonts w:asciiTheme="minorHAnsi" w:hAnsiTheme="minorHAnsi"/>
          <w:color w:val="auto"/>
          <w:szCs w:val="24"/>
        </w:rPr>
        <w:t>no</w:t>
      </w:r>
      <w:proofErr w:type="gramEnd"/>
      <w:r w:rsidR="00493CB0">
        <w:rPr>
          <w:rFonts w:asciiTheme="minorHAnsi" w:hAnsiTheme="minorHAnsi"/>
          <w:color w:val="auto"/>
          <w:szCs w:val="24"/>
        </w:rPr>
        <w:t xml:space="preserve"> numbness of both feet</w:t>
      </w:r>
      <w:r w:rsidR="00FF3D20">
        <w:rPr>
          <w:rFonts w:asciiTheme="minorHAnsi" w:hAnsiTheme="minorHAnsi"/>
          <w:color w:val="auto"/>
          <w:szCs w:val="24"/>
        </w:rPr>
        <w:t>;</w:t>
      </w:r>
      <w:r w:rsidR="00493CB0">
        <w:rPr>
          <w:rFonts w:asciiTheme="minorHAnsi" w:hAnsiTheme="minorHAnsi"/>
          <w:color w:val="auto"/>
          <w:szCs w:val="24"/>
        </w:rPr>
        <w:t>” and a general sensory examination by his endocrinologist May 20, 2008 was also normal.</w:t>
      </w:r>
      <w:r w:rsidR="009E144B">
        <w:rPr>
          <w:rFonts w:asciiTheme="minorHAnsi" w:hAnsiTheme="minorHAnsi"/>
          <w:color w:val="auto"/>
          <w:szCs w:val="24"/>
        </w:rPr>
        <w:t xml:space="preserve">  </w:t>
      </w:r>
      <w:r w:rsidR="00FC7CED">
        <w:rPr>
          <w:rFonts w:asciiTheme="minorHAnsi" w:hAnsiTheme="minorHAnsi"/>
          <w:color w:val="auto"/>
          <w:szCs w:val="24"/>
        </w:rPr>
        <w:t xml:space="preserve">At the time of separation, the CI’s condition did not meet </w:t>
      </w:r>
      <w:r w:rsidR="00FF3D20">
        <w:rPr>
          <w:rFonts w:asciiTheme="minorHAnsi" w:hAnsiTheme="minorHAnsi"/>
          <w:color w:val="auto"/>
          <w:szCs w:val="24"/>
        </w:rPr>
        <w:t>DM</w:t>
      </w:r>
      <w:r w:rsidR="00FC7CED">
        <w:rPr>
          <w:rFonts w:asciiTheme="minorHAnsi" w:hAnsiTheme="minorHAnsi"/>
          <w:color w:val="auto"/>
          <w:szCs w:val="24"/>
        </w:rPr>
        <w:t xml:space="preserve"> rating criteria (7913) for either the 100% or the 60% rating levels since there were no episodes of ketoacidosis or hypoglycemic episodes requiring hospitalizations or frequent visits to a diabetic care provider, or complications.  Because he required insulin and dietary restrictions, he met the 20% rating level.  In addition to the requirement for insulin and dietary restrictions, the 40% rating requires that there be </w:t>
      </w:r>
      <w:r w:rsidR="00FC7CED" w:rsidRPr="00F56080">
        <w:rPr>
          <w:rFonts w:asciiTheme="minorHAnsi" w:hAnsiTheme="minorHAnsi"/>
          <w:color w:val="auto"/>
          <w:szCs w:val="24"/>
        </w:rPr>
        <w:t xml:space="preserve">regulation of activities </w:t>
      </w:r>
      <w:r w:rsidR="00FC7CED">
        <w:rPr>
          <w:rFonts w:asciiTheme="minorHAnsi" w:hAnsiTheme="minorHAnsi"/>
          <w:color w:val="auto"/>
          <w:szCs w:val="24"/>
        </w:rPr>
        <w:t xml:space="preserve">defined as </w:t>
      </w:r>
      <w:r w:rsidR="00FC7CED" w:rsidRPr="00F56080">
        <w:rPr>
          <w:rFonts w:asciiTheme="minorHAnsi" w:hAnsiTheme="minorHAnsi"/>
          <w:color w:val="auto"/>
          <w:szCs w:val="24"/>
        </w:rPr>
        <w:t>avoidance of strenuous occupational</w:t>
      </w:r>
      <w:r w:rsidR="00FC7CED">
        <w:rPr>
          <w:rFonts w:asciiTheme="minorHAnsi" w:hAnsiTheme="minorHAnsi"/>
          <w:color w:val="auto"/>
          <w:szCs w:val="24"/>
        </w:rPr>
        <w:t xml:space="preserve"> </w:t>
      </w:r>
      <w:r w:rsidR="00FC7CED" w:rsidRPr="00F56080">
        <w:rPr>
          <w:rFonts w:asciiTheme="minorHAnsi" w:hAnsiTheme="minorHAnsi"/>
          <w:color w:val="auto"/>
          <w:szCs w:val="24"/>
        </w:rPr>
        <w:t>and recreational activities</w:t>
      </w:r>
      <w:r w:rsidR="00FC7CED">
        <w:rPr>
          <w:rFonts w:asciiTheme="minorHAnsi" w:hAnsiTheme="minorHAnsi"/>
          <w:color w:val="auto"/>
          <w:szCs w:val="24"/>
        </w:rPr>
        <w:t xml:space="preserve">.  Evidence does not indicate a requirement for regulation of strenuous activities.  </w:t>
      </w:r>
      <w:r w:rsidR="00C227F4" w:rsidRPr="002A7D9B">
        <w:rPr>
          <w:rFonts w:asciiTheme="minorHAnsi" w:hAnsiTheme="minorHAnsi"/>
          <w:color w:val="auto"/>
          <w:szCs w:val="24"/>
        </w:rPr>
        <w:t>All evidence considered</w:t>
      </w:r>
      <w:proofErr w:type="gramStart"/>
      <w:r w:rsidR="00C227F4" w:rsidRPr="002A7D9B">
        <w:rPr>
          <w:rFonts w:asciiTheme="minorHAnsi" w:hAnsiTheme="minorHAnsi"/>
          <w:color w:val="auto"/>
          <w:szCs w:val="24"/>
        </w:rPr>
        <w:t>,</w:t>
      </w:r>
      <w:proofErr w:type="gramEnd"/>
      <w:r w:rsidR="00C227F4" w:rsidRPr="002A7D9B">
        <w:rPr>
          <w:rFonts w:asciiTheme="minorHAnsi" w:hAnsiTheme="minorHAnsi"/>
          <w:color w:val="auto"/>
          <w:szCs w:val="24"/>
        </w:rPr>
        <w:t xml:space="preserve"> there is not reasonable doubt in the CI’s favor supporting a change from the PEB’s rating decision for </w:t>
      </w:r>
      <w:r w:rsidR="00FF3D20">
        <w:rPr>
          <w:rFonts w:asciiTheme="minorHAnsi" w:hAnsiTheme="minorHAnsi"/>
          <w:color w:val="auto"/>
          <w:szCs w:val="24"/>
        </w:rPr>
        <w:t>DM</w:t>
      </w:r>
      <w:r w:rsidR="00C227F4">
        <w:rPr>
          <w:rFonts w:asciiTheme="minorHAnsi" w:hAnsiTheme="minorHAnsi"/>
          <w:color w:val="auto"/>
          <w:szCs w:val="24"/>
        </w:rPr>
        <w:t>, type 1, without complications (7913) at the time of permanent separation.</w:t>
      </w:r>
    </w:p>
    <w:p w:rsidR="00520EC2" w:rsidRPr="001E3205" w:rsidRDefault="00520EC2" w:rsidP="00B00FD7">
      <w:pPr>
        <w:spacing w:line="240" w:lineRule="exact"/>
        <w:jc w:val="both"/>
        <w:rPr>
          <w:rFonts w:asciiTheme="minorHAnsi" w:eastAsia="HiddenHorzOCR" w:hAnsiTheme="minorHAnsi"/>
          <w:color w:val="auto"/>
          <w:szCs w:val="24"/>
        </w:rPr>
      </w:pPr>
    </w:p>
    <w:p w:rsidR="00737283" w:rsidRDefault="00737283" w:rsidP="00B00FD7">
      <w:pPr>
        <w:spacing w:line="240" w:lineRule="exact"/>
        <w:jc w:val="both"/>
        <w:rPr>
          <w:rFonts w:asciiTheme="minorHAnsi" w:eastAsia="HiddenHorzOCR" w:hAnsiTheme="minorHAnsi"/>
          <w:color w:val="auto"/>
          <w:szCs w:val="24"/>
        </w:rPr>
      </w:pPr>
      <w:proofErr w:type="gramStart"/>
      <w:r w:rsidRPr="00737283">
        <w:rPr>
          <w:rFonts w:asciiTheme="minorHAnsi" w:eastAsia="HiddenHorzOCR" w:hAnsiTheme="minorHAnsi"/>
          <w:color w:val="auto"/>
          <w:szCs w:val="24"/>
          <w:u w:val="single"/>
        </w:rPr>
        <w:t xml:space="preserve">Other </w:t>
      </w:r>
      <w:r w:rsidR="002841E2" w:rsidRPr="00737283">
        <w:rPr>
          <w:rFonts w:asciiTheme="minorHAnsi" w:eastAsia="HiddenHorzOCR" w:hAnsiTheme="minorHAnsi"/>
          <w:color w:val="auto"/>
          <w:szCs w:val="24"/>
          <w:u w:val="single"/>
        </w:rPr>
        <w:t>PEB Conditions</w:t>
      </w:r>
      <w:r w:rsidR="00FF3D20">
        <w:rPr>
          <w:rFonts w:asciiTheme="minorHAnsi" w:eastAsia="HiddenHorzOCR" w:hAnsiTheme="minorHAnsi"/>
          <w:color w:val="auto"/>
          <w:szCs w:val="24"/>
          <w:u w:val="single"/>
        </w:rPr>
        <w:t>.</w:t>
      </w:r>
      <w:proofErr w:type="gramEnd"/>
      <w:r w:rsidR="00C56D89">
        <w:rPr>
          <w:rFonts w:asciiTheme="minorHAnsi" w:eastAsia="HiddenHorzOCR" w:hAnsiTheme="minorHAnsi"/>
          <w:color w:val="auto"/>
          <w:szCs w:val="24"/>
        </w:rPr>
        <w:t xml:space="preserve"> </w:t>
      </w:r>
      <w:r w:rsidR="002841E2">
        <w:rPr>
          <w:rFonts w:asciiTheme="minorHAnsi" w:eastAsia="HiddenHorzOCR" w:hAnsiTheme="minorHAnsi"/>
          <w:color w:val="auto"/>
          <w:szCs w:val="24"/>
        </w:rPr>
        <w:t xml:space="preserve"> </w:t>
      </w:r>
      <w:r w:rsidR="00D40892">
        <w:rPr>
          <w:rFonts w:asciiTheme="minorHAnsi" w:eastAsia="HiddenHorzOCR" w:hAnsiTheme="minorHAnsi"/>
          <w:color w:val="auto"/>
          <w:szCs w:val="24"/>
        </w:rPr>
        <w:t xml:space="preserve">The CI contends his pericarditis condition was unfitting and warrants disability rating.  Pericarditis was </w:t>
      </w:r>
      <w:r w:rsidRPr="00737283">
        <w:rPr>
          <w:rFonts w:asciiTheme="minorHAnsi" w:eastAsia="HiddenHorzOCR" w:hAnsiTheme="minorHAnsi"/>
          <w:color w:val="auto"/>
          <w:szCs w:val="24"/>
        </w:rPr>
        <w:t>forwarded by the MEB</w:t>
      </w:r>
      <w:r w:rsidR="00D40892">
        <w:rPr>
          <w:rFonts w:asciiTheme="minorHAnsi" w:eastAsia="HiddenHorzOCR" w:hAnsiTheme="minorHAnsi"/>
          <w:color w:val="auto"/>
          <w:szCs w:val="24"/>
        </w:rPr>
        <w:t xml:space="preserve">, but was </w:t>
      </w:r>
      <w:r w:rsidR="002841E2" w:rsidRPr="00737283">
        <w:rPr>
          <w:rFonts w:asciiTheme="minorHAnsi" w:eastAsia="HiddenHorzOCR" w:hAnsiTheme="minorHAnsi"/>
          <w:color w:val="auto"/>
          <w:szCs w:val="24"/>
        </w:rPr>
        <w:t xml:space="preserve">not </w:t>
      </w:r>
      <w:r w:rsidRPr="00737283">
        <w:rPr>
          <w:rFonts w:asciiTheme="minorHAnsi" w:eastAsia="HiddenHorzOCR" w:hAnsiTheme="minorHAnsi"/>
          <w:color w:val="auto"/>
          <w:szCs w:val="24"/>
        </w:rPr>
        <w:t>adjudicated as unfitting by the PEB</w:t>
      </w:r>
      <w:r w:rsidR="00D40892">
        <w:rPr>
          <w:rFonts w:asciiTheme="minorHAnsi" w:eastAsia="HiddenHorzOCR" w:hAnsiTheme="minorHAnsi"/>
          <w:color w:val="auto"/>
          <w:szCs w:val="24"/>
        </w:rPr>
        <w:t>.</w:t>
      </w:r>
      <w:r w:rsidR="004C73D8">
        <w:rPr>
          <w:rFonts w:asciiTheme="minorHAnsi" w:eastAsia="HiddenHorzOCR" w:hAnsiTheme="minorHAnsi"/>
          <w:color w:val="auto"/>
          <w:szCs w:val="24"/>
        </w:rPr>
        <w:t xml:space="preserve">  </w:t>
      </w:r>
      <w:r w:rsidR="00E70ADF">
        <w:rPr>
          <w:rFonts w:asciiTheme="minorHAnsi" w:eastAsia="HiddenHorzOCR" w:hAnsiTheme="minorHAnsi"/>
          <w:color w:val="auto"/>
          <w:szCs w:val="24"/>
        </w:rPr>
        <w:t xml:space="preserve">The MEB NARSUM and service treatment records record a history of intermittent pericarditis occurring approximately once per year from late 2002 / early 2003 to the time of the MEB in January 2008.  </w:t>
      </w:r>
      <w:r w:rsidR="00693646">
        <w:rPr>
          <w:rFonts w:asciiTheme="minorHAnsi" w:eastAsia="HiddenHorzOCR" w:hAnsiTheme="minorHAnsi"/>
          <w:color w:val="auto"/>
          <w:szCs w:val="24"/>
        </w:rPr>
        <w:t xml:space="preserve">The CI was </w:t>
      </w:r>
      <w:r w:rsidR="00E70ADF">
        <w:rPr>
          <w:rFonts w:asciiTheme="minorHAnsi" w:eastAsia="HiddenHorzOCR" w:hAnsiTheme="minorHAnsi"/>
          <w:color w:val="auto"/>
          <w:szCs w:val="24"/>
        </w:rPr>
        <w:t>hospitaliz</w:t>
      </w:r>
      <w:r w:rsidR="00693646">
        <w:rPr>
          <w:rFonts w:asciiTheme="minorHAnsi" w:eastAsia="HiddenHorzOCR" w:hAnsiTheme="minorHAnsi"/>
          <w:color w:val="auto"/>
          <w:szCs w:val="24"/>
        </w:rPr>
        <w:t xml:space="preserve">ed for </w:t>
      </w:r>
      <w:r w:rsidR="00E70ADF">
        <w:rPr>
          <w:rFonts w:asciiTheme="minorHAnsi" w:eastAsia="HiddenHorzOCR" w:hAnsiTheme="minorHAnsi"/>
          <w:color w:val="auto"/>
          <w:szCs w:val="24"/>
        </w:rPr>
        <w:t>the initial episode</w:t>
      </w:r>
      <w:r w:rsidR="00693646">
        <w:rPr>
          <w:rFonts w:asciiTheme="minorHAnsi" w:eastAsia="HiddenHorzOCR" w:hAnsiTheme="minorHAnsi"/>
          <w:color w:val="auto"/>
          <w:szCs w:val="24"/>
        </w:rPr>
        <w:t xml:space="preserve"> while assigned in Germany</w:t>
      </w:r>
      <w:r w:rsidR="00E70ADF">
        <w:rPr>
          <w:rFonts w:asciiTheme="minorHAnsi" w:eastAsia="HiddenHorzOCR" w:hAnsiTheme="minorHAnsi"/>
          <w:color w:val="auto"/>
          <w:szCs w:val="24"/>
        </w:rPr>
        <w:t>.</w:t>
      </w:r>
      <w:r w:rsidR="00693646">
        <w:rPr>
          <w:rFonts w:asciiTheme="minorHAnsi" w:eastAsia="HiddenHorzOCR" w:hAnsiTheme="minorHAnsi"/>
          <w:color w:val="auto"/>
          <w:szCs w:val="24"/>
        </w:rPr>
        <w:t xml:space="preserve">  The next hospitalization was </w:t>
      </w:r>
      <w:r w:rsidR="00E70ADF">
        <w:rPr>
          <w:rFonts w:asciiTheme="minorHAnsi" w:eastAsia="HiddenHorzOCR" w:hAnsiTheme="minorHAnsi"/>
          <w:color w:val="auto"/>
          <w:szCs w:val="24"/>
        </w:rPr>
        <w:t>in November 2005 for three days of symptoms of recurrent pericarditis</w:t>
      </w:r>
      <w:r w:rsidR="00693646">
        <w:rPr>
          <w:rFonts w:asciiTheme="minorHAnsi" w:eastAsia="HiddenHorzOCR" w:hAnsiTheme="minorHAnsi"/>
          <w:color w:val="auto"/>
          <w:szCs w:val="24"/>
        </w:rPr>
        <w:t xml:space="preserve">.  The CI </w:t>
      </w:r>
      <w:r w:rsidR="00E70ADF">
        <w:rPr>
          <w:rFonts w:asciiTheme="minorHAnsi" w:eastAsia="HiddenHorzOCR" w:hAnsiTheme="minorHAnsi"/>
          <w:color w:val="auto"/>
          <w:szCs w:val="24"/>
        </w:rPr>
        <w:t xml:space="preserve">underwent comprehensive cardiology evaluation (including normal cardiac catheterization) confirming the diagnosis.  He was treated with anti-inflammatory medication </w:t>
      </w:r>
      <w:r w:rsidR="00D40892">
        <w:rPr>
          <w:rFonts w:asciiTheme="minorHAnsi" w:eastAsia="HiddenHorzOCR" w:hAnsiTheme="minorHAnsi"/>
          <w:color w:val="auto"/>
          <w:szCs w:val="24"/>
        </w:rPr>
        <w:t>(</w:t>
      </w:r>
      <w:proofErr w:type="spellStart"/>
      <w:r w:rsidR="00D40892">
        <w:rPr>
          <w:rFonts w:asciiTheme="minorHAnsi" w:eastAsia="HiddenHorzOCR" w:hAnsiTheme="minorHAnsi"/>
          <w:color w:val="auto"/>
          <w:szCs w:val="24"/>
        </w:rPr>
        <w:t>indometh</w:t>
      </w:r>
      <w:r w:rsidR="00520EC2">
        <w:rPr>
          <w:rFonts w:asciiTheme="minorHAnsi" w:eastAsia="HiddenHorzOCR" w:hAnsiTheme="minorHAnsi"/>
          <w:color w:val="auto"/>
          <w:szCs w:val="24"/>
        </w:rPr>
        <w:t>a</w:t>
      </w:r>
      <w:r w:rsidR="00D40892">
        <w:rPr>
          <w:rFonts w:asciiTheme="minorHAnsi" w:eastAsia="HiddenHorzOCR" w:hAnsiTheme="minorHAnsi"/>
          <w:color w:val="auto"/>
          <w:szCs w:val="24"/>
        </w:rPr>
        <w:t>cin</w:t>
      </w:r>
      <w:proofErr w:type="spellEnd"/>
      <w:r w:rsidR="00D40892">
        <w:rPr>
          <w:rFonts w:asciiTheme="minorHAnsi" w:eastAsia="HiddenHorzOCR" w:hAnsiTheme="minorHAnsi"/>
          <w:color w:val="auto"/>
          <w:szCs w:val="24"/>
        </w:rPr>
        <w:t xml:space="preserve"> and </w:t>
      </w:r>
      <w:proofErr w:type="spellStart"/>
      <w:r w:rsidR="00D40892">
        <w:rPr>
          <w:rFonts w:asciiTheme="minorHAnsi" w:eastAsia="HiddenHorzOCR" w:hAnsiTheme="minorHAnsi"/>
          <w:color w:val="auto"/>
          <w:szCs w:val="24"/>
        </w:rPr>
        <w:t>colchicine</w:t>
      </w:r>
      <w:proofErr w:type="spellEnd"/>
      <w:r w:rsidR="00D40892">
        <w:rPr>
          <w:rFonts w:asciiTheme="minorHAnsi" w:eastAsia="HiddenHorzOCR" w:hAnsiTheme="minorHAnsi"/>
          <w:color w:val="auto"/>
          <w:szCs w:val="24"/>
        </w:rPr>
        <w:t>)</w:t>
      </w:r>
      <w:r w:rsidR="00FF3D20">
        <w:rPr>
          <w:rFonts w:asciiTheme="minorHAnsi" w:eastAsia="HiddenHorzOCR" w:hAnsiTheme="minorHAnsi"/>
          <w:color w:val="auto"/>
          <w:szCs w:val="24"/>
        </w:rPr>
        <w:t>,</w:t>
      </w:r>
      <w:r w:rsidR="00D40892">
        <w:rPr>
          <w:rFonts w:asciiTheme="minorHAnsi" w:eastAsia="HiddenHorzOCR" w:hAnsiTheme="minorHAnsi"/>
          <w:color w:val="auto"/>
          <w:szCs w:val="24"/>
        </w:rPr>
        <w:t xml:space="preserve"> </w:t>
      </w:r>
      <w:r w:rsidR="00E70ADF">
        <w:rPr>
          <w:rFonts w:asciiTheme="minorHAnsi" w:eastAsia="HiddenHorzOCR" w:hAnsiTheme="minorHAnsi"/>
          <w:color w:val="auto"/>
          <w:szCs w:val="24"/>
        </w:rPr>
        <w:t>with resolution of symptoms by the time of follow up with his cardiologist two weeks later on December 5, 2005.</w:t>
      </w:r>
      <w:r w:rsidR="0063357E">
        <w:rPr>
          <w:rFonts w:asciiTheme="minorHAnsi" w:eastAsia="HiddenHorzOCR" w:hAnsiTheme="minorHAnsi"/>
          <w:color w:val="auto"/>
          <w:szCs w:val="24"/>
        </w:rPr>
        <w:t xml:space="preserve">  A follow up cardiology appointment</w:t>
      </w:r>
      <w:r w:rsidR="00FF3D20">
        <w:rPr>
          <w:rFonts w:asciiTheme="minorHAnsi" w:eastAsia="HiddenHorzOCR" w:hAnsiTheme="minorHAnsi"/>
          <w:color w:val="auto"/>
          <w:szCs w:val="24"/>
        </w:rPr>
        <w:t xml:space="preserve"> on</w:t>
      </w:r>
      <w:r w:rsidR="0063357E">
        <w:rPr>
          <w:rFonts w:asciiTheme="minorHAnsi" w:eastAsia="HiddenHorzOCR" w:hAnsiTheme="minorHAnsi"/>
          <w:color w:val="auto"/>
          <w:szCs w:val="24"/>
        </w:rPr>
        <w:t xml:space="preserve"> February 21, 2007 documented one brief episode in the prior ten </w:t>
      </w:r>
      <w:r w:rsidR="0063357E">
        <w:rPr>
          <w:rFonts w:asciiTheme="minorHAnsi" w:eastAsia="HiddenHorzOCR" w:hAnsiTheme="minorHAnsi"/>
          <w:color w:val="auto"/>
          <w:szCs w:val="24"/>
        </w:rPr>
        <w:lastRenderedPageBreak/>
        <w:t xml:space="preserve">months and the CI was asymptomatic and exercising three days per week.  He was hospitalized for five days, June 21 </w:t>
      </w:r>
      <w:r w:rsidR="00FF3D20">
        <w:rPr>
          <w:rFonts w:asciiTheme="minorHAnsi" w:eastAsia="HiddenHorzOCR" w:hAnsiTheme="minorHAnsi"/>
          <w:color w:val="auto"/>
          <w:szCs w:val="24"/>
        </w:rPr>
        <w:t>-</w:t>
      </w:r>
      <w:r w:rsidR="0063357E">
        <w:rPr>
          <w:rFonts w:asciiTheme="minorHAnsi" w:eastAsia="HiddenHorzOCR" w:hAnsiTheme="minorHAnsi"/>
          <w:color w:val="auto"/>
          <w:szCs w:val="24"/>
        </w:rPr>
        <w:t xml:space="preserve"> 25, 2007 for recurrent pericarditis.  By the July 13, 2007 </w:t>
      </w:r>
      <w:proofErr w:type="spellStart"/>
      <w:r w:rsidR="0063357E">
        <w:rPr>
          <w:rFonts w:asciiTheme="minorHAnsi" w:eastAsia="HiddenHorzOCR" w:hAnsiTheme="minorHAnsi"/>
          <w:color w:val="auto"/>
          <w:szCs w:val="24"/>
        </w:rPr>
        <w:t>Wilford</w:t>
      </w:r>
      <w:proofErr w:type="spellEnd"/>
      <w:r w:rsidR="0063357E">
        <w:rPr>
          <w:rFonts w:asciiTheme="minorHAnsi" w:eastAsia="HiddenHorzOCR" w:hAnsiTheme="minorHAnsi"/>
          <w:color w:val="auto"/>
          <w:szCs w:val="24"/>
        </w:rPr>
        <w:t xml:space="preserve"> Hall Medical Center cardiology evaluation</w:t>
      </w:r>
      <w:r w:rsidR="00FF3D20">
        <w:rPr>
          <w:rFonts w:asciiTheme="minorHAnsi" w:eastAsia="HiddenHorzOCR" w:hAnsiTheme="minorHAnsi"/>
          <w:color w:val="auto"/>
          <w:szCs w:val="24"/>
        </w:rPr>
        <w:t>,</w:t>
      </w:r>
      <w:r w:rsidR="0063357E">
        <w:rPr>
          <w:rFonts w:asciiTheme="minorHAnsi" w:eastAsia="HiddenHorzOCR" w:hAnsiTheme="minorHAnsi"/>
          <w:color w:val="auto"/>
          <w:szCs w:val="24"/>
        </w:rPr>
        <w:t xml:space="preserve"> he was pain free.  The CI reported four episodes in four years with full resolution (asymptomatic between episodes) and denied other symptoms such as fainting</w:t>
      </w:r>
      <w:r w:rsidR="000857B8">
        <w:rPr>
          <w:rFonts w:asciiTheme="minorHAnsi" w:eastAsia="HiddenHorzOCR" w:hAnsiTheme="minorHAnsi"/>
          <w:color w:val="auto"/>
          <w:szCs w:val="24"/>
        </w:rPr>
        <w:t xml:space="preserve"> (post</w:t>
      </w:r>
      <w:r w:rsidR="00FF3D20">
        <w:rPr>
          <w:rFonts w:asciiTheme="minorHAnsi" w:eastAsia="HiddenHorzOCR" w:hAnsiTheme="minorHAnsi"/>
          <w:color w:val="auto"/>
          <w:szCs w:val="24"/>
        </w:rPr>
        <w:t>-</w:t>
      </w:r>
      <w:r w:rsidR="000857B8">
        <w:rPr>
          <w:rFonts w:asciiTheme="minorHAnsi" w:eastAsia="HiddenHorzOCR" w:hAnsiTheme="minorHAnsi"/>
          <w:color w:val="auto"/>
          <w:szCs w:val="24"/>
        </w:rPr>
        <w:t>separation C&amp;P examinations record report of recurrent syncope)</w:t>
      </w:r>
      <w:r w:rsidR="0063357E">
        <w:rPr>
          <w:rFonts w:asciiTheme="minorHAnsi" w:eastAsia="HiddenHorzOCR" w:hAnsiTheme="minorHAnsi"/>
          <w:color w:val="auto"/>
          <w:szCs w:val="24"/>
        </w:rPr>
        <w:t xml:space="preserve">.  The electrocardiogram was normal.  The CI remained asymptomatic at the time of a July 23, 2007 cardiology appointment and an echocardiogram </w:t>
      </w:r>
      <w:r w:rsidR="00FF3D20">
        <w:rPr>
          <w:rFonts w:asciiTheme="minorHAnsi" w:eastAsia="HiddenHorzOCR" w:hAnsiTheme="minorHAnsi"/>
          <w:color w:val="auto"/>
          <w:szCs w:val="24"/>
        </w:rPr>
        <w:t xml:space="preserve">on </w:t>
      </w:r>
      <w:r w:rsidR="0063357E">
        <w:rPr>
          <w:rFonts w:asciiTheme="minorHAnsi" w:eastAsia="HiddenHorzOCR" w:hAnsiTheme="minorHAnsi"/>
          <w:color w:val="auto"/>
          <w:szCs w:val="24"/>
        </w:rPr>
        <w:t>August 2, 2007 was normal (</w:t>
      </w:r>
      <w:r w:rsidR="00520EC2">
        <w:rPr>
          <w:rFonts w:asciiTheme="minorHAnsi" w:eastAsia="HiddenHorzOCR" w:hAnsiTheme="minorHAnsi"/>
          <w:color w:val="auto"/>
          <w:szCs w:val="24"/>
        </w:rPr>
        <w:t xml:space="preserve">normal heart function </w:t>
      </w:r>
      <w:r w:rsidR="0063357E">
        <w:rPr>
          <w:rFonts w:asciiTheme="minorHAnsi" w:eastAsia="HiddenHorzOCR" w:hAnsiTheme="minorHAnsi"/>
          <w:color w:val="auto"/>
          <w:szCs w:val="24"/>
        </w:rPr>
        <w:t>without the abnormal fluid collection seen with the condition).  Treatment with anti-inflammatory medication was continued.  Service treatment records documented no symptoms until February 2008.  A December 11, 2007 Wi</w:t>
      </w:r>
      <w:r w:rsidR="00693646">
        <w:rPr>
          <w:rFonts w:asciiTheme="minorHAnsi" w:eastAsia="HiddenHorzOCR" w:hAnsiTheme="minorHAnsi"/>
          <w:color w:val="auto"/>
          <w:szCs w:val="24"/>
        </w:rPr>
        <w:t>l</w:t>
      </w:r>
      <w:r w:rsidR="0063357E">
        <w:rPr>
          <w:rFonts w:asciiTheme="minorHAnsi" w:eastAsia="HiddenHorzOCR" w:hAnsiTheme="minorHAnsi"/>
          <w:color w:val="auto"/>
          <w:szCs w:val="24"/>
        </w:rPr>
        <w:t>ford Hall Medical Center cardiology follow up appoint</w:t>
      </w:r>
      <w:r w:rsidR="00693646">
        <w:rPr>
          <w:rFonts w:asciiTheme="minorHAnsi" w:eastAsia="HiddenHorzOCR" w:hAnsiTheme="minorHAnsi"/>
          <w:color w:val="auto"/>
          <w:szCs w:val="24"/>
        </w:rPr>
        <w:t>ment</w:t>
      </w:r>
      <w:r w:rsidR="0063357E">
        <w:rPr>
          <w:rFonts w:asciiTheme="minorHAnsi" w:eastAsia="HiddenHorzOCR" w:hAnsiTheme="minorHAnsi"/>
          <w:color w:val="auto"/>
          <w:szCs w:val="24"/>
        </w:rPr>
        <w:t xml:space="preserve"> records the CI was asymptomatic and that “he has been physically active with no limitations</w:t>
      </w:r>
      <w:r w:rsidR="00FF3D20">
        <w:rPr>
          <w:rFonts w:asciiTheme="minorHAnsi" w:eastAsia="HiddenHorzOCR" w:hAnsiTheme="minorHAnsi"/>
          <w:color w:val="auto"/>
          <w:szCs w:val="24"/>
        </w:rPr>
        <w:t>.</w:t>
      </w:r>
      <w:r w:rsidR="0063357E">
        <w:rPr>
          <w:rFonts w:asciiTheme="minorHAnsi" w:eastAsia="HiddenHorzOCR" w:hAnsiTheme="minorHAnsi"/>
          <w:color w:val="auto"/>
          <w:szCs w:val="24"/>
        </w:rPr>
        <w:t xml:space="preserve">”  The MEB NARSUM </w:t>
      </w:r>
      <w:r w:rsidR="00FF3D20">
        <w:rPr>
          <w:rFonts w:asciiTheme="minorHAnsi" w:eastAsia="HiddenHorzOCR" w:hAnsiTheme="minorHAnsi"/>
          <w:color w:val="auto"/>
          <w:szCs w:val="24"/>
        </w:rPr>
        <w:t xml:space="preserve">on </w:t>
      </w:r>
      <w:r w:rsidR="0063357E">
        <w:rPr>
          <w:rFonts w:asciiTheme="minorHAnsi" w:eastAsia="HiddenHorzOCR" w:hAnsiTheme="minorHAnsi"/>
          <w:color w:val="auto"/>
          <w:szCs w:val="24"/>
        </w:rPr>
        <w:t>January 9, 2008 records the CI was feeling well and had no complaint of chest pain, shortness of breath, or light headedness and had no duty restrictions.</w:t>
      </w:r>
      <w:r w:rsidR="00F70EB6">
        <w:rPr>
          <w:rFonts w:asciiTheme="minorHAnsi" w:eastAsia="HiddenHorzOCR" w:hAnsiTheme="minorHAnsi"/>
          <w:color w:val="auto"/>
          <w:szCs w:val="24"/>
        </w:rPr>
        <w:t xml:space="preserve">  </w:t>
      </w:r>
      <w:r w:rsidR="00D40892">
        <w:rPr>
          <w:rFonts w:asciiTheme="minorHAnsi" w:eastAsia="HiddenHorzOCR" w:hAnsiTheme="minorHAnsi"/>
          <w:color w:val="auto"/>
          <w:szCs w:val="24"/>
        </w:rPr>
        <w:t xml:space="preserve">The CI was seen in the emergency </w:t>
      </w:r>
      <w:r w:rsidR="00FF3D20">
        <w:rPr>
          <w:rFonts w:asciiTheme="minorHAnsi" w:eastAsia="HiddenHorzOCR" w:hAnsiTheme="minorHAnsi"/>
          <w:color w:val="auto"/>
          <w:szCs w:val="24"/>
        </w:rPr>
        <w:t xml:space="preserve">room </w:t>
      </w:r>
      <w:r w:rsidR="00D40892">
        <w:rPr>
          <w:rFonts w:asciiTheme="minorHAnsi" w:eastAsia="HiddenHorzOCR" w:hAnsiTheme="minorHAnsi"/>
          <w:color w:val="auto"/>
          <w:szCs w:val="24"/>
        </w:rPr>
        <w:t xml:space="preserve">on February 10, 2008 for chest pain consistent with his recurrent pericarditis.  The electrocardiogram was normal, without changes of pericarditis seen with prior episodes.  He was released after six hours and treated with colchicine (previously </w:t>
      </w:r>
      <w:r w:rsidR="00693646">
        <w:rPr>
          <w:rFonts w:asciiTheme="minorHAnsi" w:eastAsia="HiddenHorzOCR" w:hAnsiTheme="minorHAnsi"/>
          <w:color w:val="auto"/>
          <w:szCs w:val="24"/>
        </w:rPr>
        <w:t xml:space="preserve">very </w:t>
      </w:r>
      <w:r w:rsidR="00D40892">
        <w:rPr>
          <w:rFonts w:asciiTheme="minorHAnsi" w:eastAsia="HiddenHorzOCR" w:hAnsiTheme="minorHAnsi"/>
          <w:color w:val="auto"/>
          <w:szCs w:val="24"/>
        </w:rPr>
        <w:t xml:space="preserve">effective).  On </w:t>
      </w:r>
      <w:r w:rsidR="00FF24FF">
        <w:rPr>
          <w:rFonts w:asciiTheme="minorHAnsi" w:eastAsia="HiddenHorzOCR" w:hAnsiTheme="minorHAnsi"/>
          <w:color w:val="auto"/>
          <w:szCs w:val="24"/>
        </w:rPr>
        <w:t xml:space="preserve">a </w:t>
      </w:r>
      <w:r w:rsidR="00D40892">
        <w:rPr>
          <w:rFonts w:asciiTheme="minorHAnsi" w:eastAsia="HiddenHorzOCR" w:hAnsiTheme="minorHAnsi"/>
          <w:color w:val="auto"/>
          <w:szCs w:val="24"/>
        </w:rPr>
        <w:t xml:space="preserve">follow up </w:t>
      </w:r>
      <w:r w:rsidR="00FF24FF">
        <w:rPr>
          <w:rFonts w:asciiTheme="minorHAnsi" w:eastAsia="HiddenHorzOCR" w:hAnsiTheme="minorHAnsi"/>
          <w:color w:val="auto"/>
          <w:szCs w:val="24"/>
        </w:rPr>
        <w:t xml:space="preserve">visit </w:t>
      </w:r>
      <w:r w:rsidR="00D40892">
        <w:rPr>
          <w:rFonts w:asciiTheme="minorHAnsi" w:eastAsia="HiddenHorzOCR" w:hAnsiTheme="minorHAnsi"/>
          <w:color w:val="auto"/>
          <w:szCs w:val="24"/>
        </w:rPr>
        <w:t>four days later, his symptoms were resolved, he was feeling well</w:t>
      </w:r>
      <w:r w:rsidR="00FF24FF">
        <w:rPr>
          <w:rFonts w:asciiTheme="minorHAnsi" w:eastAsia="HiddenHorzOCR" w:hAnsiTheme="minorHAnsi"/>
          <w:color w:val="auto"/>
          <w:szCs w:val="24"/>
        </w:rPr>
        <w:t xml:space="preserve">, and was exercising regularly, more than three times per week.  </w:t>
      </w:r>
      <w:r w:rsidR="00D40892">
        <w:rPr>
          <w:rFonts w:asciiTheme="minorHAnsi" w:eastAsia="HiddenHorzOCR" w:hAnsiTheme="minorHAnsi"/>
          <w:color w:val="auto"/>
          <w:szCs w:val="24"/>
        </w:rPr>
        <w:t xml:space="preserve">An April 7, 2008 primary care encounter records mild symptoms for one week and the CI was advised to take the colchicine previously shown to be </w:t>
      </w:r>
      <w:r w:rsidR="00693646">
        <w:rPr>
          <w:rFonts w:asciiTheme="minorHAnsi" w:eastAsia="HiddenHorzOCR" w:hAnsiTheme="minorHAnsi"/>
          <w:color w:val="auto"/>
          <w:szCs w:val="24"/>
        </w:rPr>
        <w:t xml:space="preserve">very </w:t>
      </w:r>
      <w:r w:rsidR="00D40892">
        <w:rPr>
          <w:rFonts w:asciiTheme="minorHAnsi" w:eastAsia="HiddenHorzOCR" w:hAnsiTheme="minorHAnsi"/>
          <w:color w:val="auto"/>
          <w:szCs w:val="24"/>
        </w:rPr>
        <w:t>effective.  At the time of his separation physical examination there was no complaint of chest pain.</w:t>
      </w:r>
      <w:r w:rsidR="004C73D8">
        <w:rPr>
          <w:rFonts w:asciiTheme="minorHAnsi" w:eastAsia="HiddenHorzOCR" w:hAnsiTheme="minorHAnsi"/>
          <w:color w:val="auto"/>
          <w:szCs w:val="24"/>
        </w:rPr>
        <w:t xml:space="preserve">  Although the CI’s commander indicated concern for unpredictable recurrence, the </w:t>
      </w:r>
      <w:r w:rsidR="00D40892">
        <w:rPr>
          <w:rFonts w:asciiTheme="minorHAnsi" w:eastAsia="HiddenHorzOCR" w:hAnsiTheme="minorHAnsi"/>
          <w:color w:val="auto"/>
          <w:szCs w:val="24"/>
        </w:rPr>
        <w:t>cardiologist did not recommend any duty restrictions.</w:t>
      </w:r>
      <w:r w:rsidR="009E144B">
        <w:rPr>
          <w:rFonts w:asciiTheme="minorHAnsi" w:eastAsia="HiddenHorzOCR" w:hAnsiTheme="minorHAnsi"/>
          <w:color w:val="auto"/>
          <w:szCs w:val="24"/>
        </w:rPr>
        <w:t xml:space="preserve">  </w:t>
      </w:r>
      <w:r w:rsidR="004C73D8">
        <w:rPr>
          <w:rFonts w:asciiTheme="minorHAnsi" w:eastAsia="HiddenHorzOCR" w:hAnsiTheme="minorHAnsi"/>
          <w:color w:val="auto"/>
          <w:szCs w:val="24"/>
        </w:rPr>
        <w:t xml:space="preserve">The CI refers to hospitalization within one year of separation for his recurrent pericarditis.  The June 13, 2009 VA </w:t>
      </w:r>
      <w:r w:rsidR="00FF24FF">
        <w:rPr>
          <w:rFonts w:asciiTheme="minorHAnsi" w:eastAsia="HiddenHorzOCR" w:hAnsiTheme="minorHAnsi"/>
          <w:color w:val="auto"/>
          <w:szCs w:val="24"/>
        </w:rPr>
        <w:t xml:space="preserve">rating decision </w:t>
      </w:r>
      <w:r w:rsidR="004C73D8">
        <w:rPr>
          <w:rFonts w:asciiTheme="minorHAnsi" w:eastAsia="HiddenHorzOCR" w:hAnsiTheme="minorHAnsi"/>
          <w:color w:val="auto"/>
          <w:szCs w:val="24"/>
        </w:rPr>
        <w:t>cites an emergency room visit on December 9, 2008 but not hospitalization, for recurrent symptoms for which medications were adjusted.  The CI followed up with cardiology on January 15, 2009 reporting continued symptoms.  An April 24, 2009 C&amp;P examination records CI report that he plays basketball for leisure pursuit.</w:t>
      </w:r>
      <w:r w:rsidR="009E144B">
        <w:rPr>
          <w:rFonts w:asciiTheme="minorHAnsi" w:eastAsia="HiddenHorzOCR" w:hAnsiTheme="minorHAnsi"/>
          <w:color w:val="auto"/>
          <w:szCs w:val="24"/>
        </w:rPr>
        <w:t xml:space="preserve">  </w:t>
      </w:r>
      <w:r w:rsidR="00693646">
        <w:rPr>
          <w:rFonts w:asciiTheme="minorHAnsi" w:eastAsia="HiddenHorzOCR" w:hAnsiTheme="minorHAnsi"/>
          <w:color w:val="auto"/>
          <w:szCs w:val="24"/>
        </w:rPr>
        <w:t xml:space="preserve">Although the pericarditis was recurrent, </w:t>
      </w:r>
      <w:r w:rsidR="00C94B68">
        <w:rPr>
          <w:rFonts w:asciiTheme="minorHAnsi" w:eastAsia="HiddenHorzOCR" w:hAnsiTheme="minorHAnsi"/>
          <w:color w:val="auto"/>
          <w:szCs w:val="24"/>
        </w:rPr>
        <w:t xml:space="preserve">it occurred </w:t>
      </w:r>
      <w:r w:rsidR="00693646">
        <w:rPr>
          <w:rFonts w:asciiTheme="minorHAnsi" w:eastAsia="HiddenHorzOCR" w:hAnsiTheme="minorHAnsi"/>
          <w:color w:val="auto"/>
          <w:szCs w:val="24"/>
        </w:rPr>
        <w:t>approximately once per year</w:t>
      </w:r>
      <w:r w:rsidR="00C94B68">
        <w:rPr>
          <w:rFonts w:asciiTheme="minorHAnsi" w:eastAsia="HiddenHorzOCR" w:hAnsiTheme="minorHAnsi"/>
          <w:color w:val="auto"/>
          <w:szCs w:val="24"/>
        </w:rPr>
        <w:t xml:space="preserve"> without evidence of impairment to performance of duties within his military specialty.  The CI’s performance reports reflected excellent duty performance throughout the time he experienced this condition</w:t>
      </w:r>
      <w:r w:rsidR="00FF24FF">
        <w:rPr>
          <w:rFonts w:asciiTheme="minorHAnsi" w:eastAsia="HiddenHorzOCR" w:hAnsiTheme="minorHAnsi"/>
          <w:color w:val="auto"/>
          <w:szCs w:val="24"/>
        </w:rPr>
        <w:t>,</w:t>
      </w:r>
      <w:r w:rsidR="00C94B68">
        <w:rPr>
          <w:rFonts w:asciiTheme="minorHAnsi" w:eastAsia="HiddenHorzOCR" w:hAnsiTheme="minorHAnsi"/>
          <w:color w:val="auto"/>
          <w:szCs w:val="24"/>
        </w:rPr>
        <w:t xml:space="preserve"> with the last report closing April 2008.  In addition, there was </w:t>
      </w:r>
      <w:r w:rsidR="00693646">
        <w:rPr>
          <w:rFonts w:asciiTheme="minorHAnsi" w:eastAsia="HiddenHorzOCR" w:hAnsiTheme="minorHAnsi"/>
          <w:color w:val="auto"/>
          <w:szCs w:val="24"/>
        </w:rPr>
        <w:t>rapid complete response to routinely prescribed anti-inflammatory medication</w:t>
      </w:r>
      <w:r w:rsidR="00C94B68">
        <w:rPr>
          <w:rFonts w:asciiTheme="minorHAnsi" w:eastAsia="HiddenHorzOCR" w:hAnsiTheme="minorHAnsi"/>
          <w:color w:val="auto"/>
          <w:szCs w:val="24"/>
        </w:rPr>
        <w:t>.  In between episodes he was asymptomatic without physical limitations and t</w:t>
      </w:r>
      <w:r w:rsidR="00693646">
        <w:rPr>
          <w:rFonts w:asciiTheme="minorHAnsi" w:eastAsia="HiddenHorzOCR" w:hAnsiTheme="minorHAnsi"/>
          <w:color w:val="auto"/>
          <w:szCs w:val="24"/>
        </w:rPr>
        <w:t xml:space="preserve">he cardiologist </w:t>
      </w:r>
      <w:r w:rsidR="00C94B68">
        <w:rPr>
          <w:rFonts w:asciiTheme="minorHAnsi" w:eastAsia="HiddenHorzOCR" w:hAnsiTheme="minorHAnsi"/>
          <w:color w:val="auto"/>
          <w:szCs w:val="24"/>
        </w:rPr>
        <w:t xml:space="preserve">did not recommend any restrictions.  </w:t>
      </w:r>
      <w:r w:rsidRPr="00737283">
        <w:rPr>
          <w:rFonts w:asciiTheme="minorHAnsi" w:eastAsia="HiddenHorzOCR" w:hAnsiTheme="minorHAnsi"/>
          <w:color w:val="auto"/>
          <w:szCs w:val="24"/>
        </w:rPr>
        <w:t>All evidence considered</w:t>
      </w:r>
      <w:proofErr w:type="gramStart"/>
      <w:r w:rsidRPr="00737283">
        <w:rPr>
          <w:rFonts w:asciiTheme="minorHAnsi" w:eastAsia="HiddenHorzOCR" w:hAnsiTheme="minorHAnsi"/>
          <w:color w:val="auto"/>
          <w:szCs w:val="24"/>
        </w:rPr>
        <w:t>,</w:t>
      </w:r>
      <w:proofErr w:type="gramEnd"/>
      <w:r w:rsidRPr="00737283">
        <w:rPr>
          <w:rFonts w:asciiTheme="minorHAnsi" w:eastAsia="HiddenHorzOCR" w:hAnsiTheme="minorHAnsi"/>
          <w:color w:val="auto"/>
          <w:szCs w:val="24"/>
        </w:rPr>
        <w:t xml:space="preserve"> there is not reasonable doubt in the CI’s favor supporting recharacterization of the PEB fitness adjudication for </w:t>
      </w:r>
      <w:r w:rsidR="004C73D8">
        <w:rPr>
          <w:rFonts w:asciiTheme="minorHAnsi" w:eastAsia="HiddenHorzOCR" w:hAnsiTheme="minorHAnsi"/>
          <w:color w:val="auto"/>
          <w:szCs w:val="24"/>
        </w:rPr>
        <w:t>pericarditis.</w:t>
      </w:r>
    </w:p>
    <w:p w:rsidR="00737283" w:rsidRDefault="00737283" w:rsidP="00B00FD7">
      <w:pPr>
        <w:spacing w:line="240" w:lineRule="exact"/>
        <w:jc w:val="both"/>
        <w:rPr>
          <w:rFonts w:asciiTheme="minorHAnsi" w:eastAsia="HiddenHorzOCR" w:hAnsiTheme="minorHAnsi"/>
          <w:color w:val="auto"/>
          <w:szCs w:val="24"/>
        </w:rPr>
      </w:pPr>
    </w:p>
    <w:p w:rsidR="00737283" w:rsidRPr="00813FB9" w:rsidRDefault="00737283" w:rsidP="00B00FD7">
      <w:pPr>
        <w:tabs>
          <w:tab w:val="left" w:pos="288"/>
          <w:tab w:val="left" w:pos="4752"/>
        </w:tabs>
        <w:spacing w:line="240" w:lineRule="exact"/>
        <w:jc w:val="both"/>
        <w:rPr>
          <w:rFonts w:asciiTheme="minorHAnsi" w:hAnsiTheme="minorHAnsi"/>
          <w:color w:val="auto"/>
          <w:szCs w:val="24"/>
        </w:rPr>
      </w:pPr>
      <w:proofErr w:type="gramStart"/>
      <w:r w:rsidRPr="00737283">
        <w:rPr>
          <w:rFonts w:asciiTheme="minorHAnsi" w:hAnsiTheme="minorHAnsi"/>
          <w:color w:val="auto"/>
          <w:szCs w:val="24"/>
          <w:u w:val="single"/>
        </w:rPr>
        <w:t>Remaining Conditions</w:t>
      </w:r>
      <w:r w:rsidR="00FF24FF">
        <w:rPr>
          <w:rFonts w:asciiTheme="minorHAnsi" w:hAnsiTheme="minorHAnsi"/>
          <w:color w:val="auto"/>
          <w:szCs w:val="24"/>
          <w:u w:val="single"/>
        </w:rPr>
        <w:t>.</w:t>
      </w:r>
      <w:proofErr w:type="gramEnd"/>
      <w:r w:rsidR="00C56D89">
        <w:rPr>
          <w:rFonts w:asciiTheme="minorHAnsi" w:hAnsiTheme="minorHAnsi"/>
          <w:color w:val="auto"/>
          <w:szCs w:val="24"/>
        </w:rPr>
        <w:t xml:space="preserve"> </w:t>
      </w:r>
      <w:r w:rsidRPr="00737283">
        <w:rPr>
          <w:rFonts w:asciiTheme="minorHAnsi" w:hAnsiTheme="minorHAnsi"/>
          <w:color w:val="auto"/>
          <w:szCs w:val="24"/>
        </w:rPr>
        <w:t xml:space="preserve"> Other conditions identified in the DES file were </w:t>
      </w:r>
      <w:r w:rsidR="00A508BC">
        <w:rPr>
          <w:rFonts w:asciiTheme="minorHAnsi" w:hAnsiTheme="minorHAnsi"/>
          <w:color w:val="auto"/>
          <w:szCs w:val="24"/>
        </w:rPr>
        <w:t>hyperlip</w:t>
      </w:r>
      <w:r w:rsidR="00520EC2">
        <w:rPr>
          <w:rFonts w:asciiTheme="minorHAnsi" w:hAnsiTheme="minorHAnsi"/>
          <w:color w:val="auto"/>
          <w:szCs w:val="24"/>
        </w:rPr>
        <w:t>id</w:t>
      </w:r>
      <w:r w:rsidR="00A508BC">
        <w:rPr>
          <w:rFonts w:asciiTheme="minorHAnsi" w:hAnsiTheme="minorHAnsi"/>
          <w:color w:val="auto"/>
          <w:szCs w:val="24"/>
        </w:rPr>
        <w:t xml:space="preserve">emia and </w:t>
      </w:r>
      <w:r w:rsidR="005D7066">
        <w:rPr>
          <w:rFonts w:asciiTheme="minorHAnsi" w:hAnsiTheme="minorHAnsi"/>
          <w:color w:val="auto"/>
          <w:szCs w:val="24"/>
        </w:rPr>
        <w:t xml:space="preserve">a </w:t>
      </w:r>
      <w:r w:rsidR="00FE1457">
        <w:rPr>
          <w:rFonts w:asciiTheme="minorHAnsi" w:hAnsiTheme="minorHAnsi"/>
          <w:color w:val="auto"/>
          <w:szCs w:val="24"/>
        </w:rPr>
        <w:t>torn medial meniscus of the left knee status post surgery in May 2007.</w:t>
      </w:r>
      <w:r w:rsidR="006A5AFE">
        <w:rPr>
          <w:rFonts w:asciiTheme="minorHAnsi" w:eastAsia="HiddenHorzOCR" w:hAnsiTheme="minorHAnsi"/>
          <w:color w:val="auto"/>
          <w:szCs w:val="24"/>
        </w:rPr>
        <w:t xml:space="preserve">  Hyperlipidemia is a laboratory finding that</w:t>
      </w:r>
      <w:r w:rsidR="00520EC2">
        <w:rPr>
          <w:rFonts w:asciiTheme="minorHAnsi" w:eastAsia="HiddenHorzOCR" w:hAnsiTheme="minorHAnsi"/>
          <w:color w:val="auto"/>
          <w:szCs w:val="24"/>
        </w:rPr>
        <w:t>,</w:t>
      </w:r>
      <w:r w:rsidR="006A5AFE">
        <w:rPr>
          <w:rFonts w:asciiTheme="minorHAnsi" w:eastAsia="HiddenHorzOCR" w:hAnsiTheme="minorHAnsi"/>
          <w:color w:val="auto"/>
          <w:szCs w:val="24"/>
        </w:rPr>
        <w:t xml:space="preserve"> although treatment may be indicated, is not </w:t>
      </w:r>
      <w:r w:rsidR="000857B8">
        <w:rPr>
          <w:rFonts w:asciiTheme="minorHAnsi" w:eastAsia="HiddenHorzOCR" w:hAnsiTheme="minorHAnsi"/>
          <w:color w:val="auto"/>
          <w:szCs w:val="24"/>
        </w:rPr>
        <w:t xml:space="preserve">itself </w:t>
      </w:r>
      <w:r w:rsidR="006A5AFE">
        <w:rPr>
          <w:rFonts w:asciiTheme="minorHAnsi" w:eastAsia="HiddenHorzOCR" w:hAnsiTheme="minorHAnsi"/>
          <w:color w:val="auto"/>
          <w:szCs w:val="24"/>
        </w:rPr>
        <w:t>unfitting.  T</w:t>
      </w:r>
      <w:r w:rsidR="00FE1457">
        <w:rPr>
          <w:rFonts w:asciiTheme="minorHAnsi" w:hAnsiTheme="minorHAnsi"/>
          <w:color w:val="auto"/>
          <w:szCs w:val="24"/>
        </w:rPr>
        <w:t>he CI developed a torn medial meniscus of the left knee</w:t>
      </w:r>
      <w:r w:rsidR="006A5AFE">
        <w:rPr>
          <w:rFonts w:asciiTheme="minorHAnsi" w:hAnsiTheme="minorHAnsi"/>
          <w:color w:val="auto"/>
          <w:szCs w:val="24"/>
        </w:rPr>
        <w:t xml:space="preserve"> associated with sports activities.  He underwent arthroscopic surgery in May 2007.  At the orthopedics follow up </w:t>
      </w:r>
      <w:r w:rsidR="00FF24FF">
        <w:rPr>
          <w:rFonts w:asciiTheme="minorHAnsi" w:hAnsiTheme="minorHAnsi"/>
          <w:color w:val="auto"/>
          <w:szCs w:val="24"/>
        </w:rPr>
        <w:t xml:space="preserve">on </w:t>
      </w:r>
      <w:r w:rsidR="006A5AFE">
        <w:rPr>
          <w:rFonts w:asciiTheme="minorHAnsi" w:hAnsiTheme="minorHAnsi"/>
          <w:color w:val="auto"/>
          <w:szCs w:val="24"/>
        </w:rPr>
        <w:t>August 14, 2007 there was report of pain with running</w:t>
      </w:r>
      <w:r w:rsidR="00FF24FF">
        <w:rPr>
          <w:rFonts w:asciiTheme="minorHAnsi" w:hAnsiTheme="minorHAnsi"/>
          <w:color w:val="auto"/>
          <w:szCs w:val="24"/>
        </w:rPr>
        <w:t>;</w:t>
      </w:r>
      <w:r w:rsidR="006A5AFE">
        <w:rPr>
          <w:rFonts w:asciiTheme="minorHAnsi" w:hAnsiTheme="minorHAnsi"/>
          <w:color w:val="auto"/>
          <w:szCs w:val="24"/>
        </w:rPr>
        <w:t xml:space="preserve"> otherwise</w:t>
      </w:r>
      <w:r w:rsidR="00FF24FF">
        <w:rPr>
          <w:rFonts w:asciiTheme="minorHAnsi" w:hAnsiTheme="minorHAnsi"/>
          <w:color w:val="auto"/>
          <w:szCs w:val="24"/>
        </w:rPr>
        <w:t>,</w:t>
      </w:r>
      <w:r w:rsidR="006A5AFE">
        <w:rPr>
          <w:rFonts w:asciiTheme="minorHAnsi" w:hAnsiTheme="minorHAnsi"/>
          <w:color w:val="auto"/>
          <w:szCs w:val="24"/>
        </w:rPr>
        <w:t xml:space="preserve"> the CI could “</w:t>
      </w:r>
      <w:r w:rsidR="00FE1457">
        <w:rPr>
          <w:rFonts w:asciiTheme="minorHAnsi" w:eastAsia="HiddenHorzOCR" w:hAnsiTheme="minorHAnsi"/>
          <w:color w:val="auto"/>
          <w:szCs w:val="24"/>
        </w:rPr>
        <w:t>walk and perform without much difficulty</w:t>
      </w:r>
      <w:r w:rsidR="00FF24FF">
        <w:rPr>
          <w:rFonts w:asciiTheme="minorHAnsi" w:eastAsia="HiddenHorzOCR" w:hAnsiTheme="minorHAnsi"/>
          <w:color w:val="auto"/>
          <w:szCs w:val="24"/>
        </w:rPr>
        <w:t>.</w:t>
      </w:r>
      <w:r w:rsidR="006A5AFE">
        <w:rPr>
          <w:rFonts w:asciiTheme="minorHAnsi" w:eastAsia="HiddenHorzOCR" w:hAnsiTheme="minorHAnsi"/>
          <w:color w:val="auto"/>
          <w:szCs w:val="24"/>
        </w:rPr>
        <w:t>”  The physical examination was unremarkable</w:t>
      </w:r>
      <w:r w:rsidR="00FF24FF">
        <w:rPr>
          <w:rFonts w:asciiTheme="minorHAnsi" w:eastAsia="HiddenHorzOCR" w:hAnsiTheme="minorHAnsi"/>
          <w:color w:val="auto"/>
          <w:szCs w:val="24"/>
        </w:rPr>
        <w:t xml:space="preserve"> and</w:t>
      </w:r>
      <w:r w:rsidR="006A5AFE">
        <w:rPr>
          <w:rFonts w:asciiTheme="minorHAnsi" w:eastAsia="HiddenHorzOCR" w:hAnsiTheme="minorHAnsi"/>
          <w:color w:val="auto"/>
          <w:szCs w:val="24"/>
        </w:rPr>
        <w:t xml:space="preserve"> there w</w:t>
      </w:r>
      <w:r w:rsidR="00FF24FF">
        <w:rPr>
          <w:rFonts w:asciiTheme="minorHAnsi" w:eastAsia="HiddenHorzOCR" w:hAnsiTheme="minorHAnsi"/>
          <w:color w:val="auto"/>
          <w:szCs w:val="24"/>
        </w:rPr>
        <w:t>ere</w:t>
      </w:r>
      <w:r w:rsidR="006A5AFE">
        <w:rPr>
          <w:rFonts w:asciiTheme="minorHAnsi" w:eastAsia="HiddenHorzOCR" w:hAnsiTheme="minorHAnsi"/>
          <w:color w:val="auto"/>
          <w:szCs w:val="24"/>
        </w:rPr>
        <w:t xml:space="preserve"> </w:t>
      </w:r>
      <w:r w:rsidR="00FE1457">
        <w:rPr>
          <w:rFonts w:asciiTheme="minorHAnsi" w:eastAsia="HiddenHorzOCR" w:hAnsiTheme="minorHAnsi"/>
          <w:color w:val="auto"/>
          <w:szCs w:val="24"/>
        </w:rPr>
        <w:t>no instability</w:t>
      </w:r>
      <w:r w:rsidR="006A5AFE">
        <w:rPr>
          <w:rFonts w:asciiTheme="minorHAnsi" w:eastAsia="HiddenHorzOCR" w:hAnsiTheme="minorHAnsi"/>
          <w:color w:val="auto"/>
          <w:szCs w:val="24"/>
        </w:rPr>
        <w:t xml:space="preserve">, </w:t>
      </w:r>
      <w:r w:rsidR="00FE1457">
        <w:rPr>
          <w:rFonts w:asciiTheme="minorHAnsi" w:eastAsia="HiddenHorzOCR" w:hAnsiTheme="minorHAnsi"/>
          <w:color w:val="auto"/>
          <w:szCs w:val="24"/>
        </w:rPr>
        <w:t xml:space="preserve">pain, </w:t>
      </w:r>
      <w:r w:rsidR="006A5AFE">
        <w:rPr>
          <w:rFonts w:asciiTheme="minorHAnsi" w:eastAsia="HiddenHorzOCR" w:hAnsiTheme="minorHAnsi"/>
          <w:color w:val="auto"/>
          <w:szCs w:val="24"/>
        </w:rPr>
        <w:t xml:space="preserve">or </w:t>
      </w:r>
      <w:r w:rsidR="00FE1457">
        <w:rPr>
          <w:rFonts w:asciiTheme="minorHAnsi" w:eastAsia="HiddenHorzOCR" w:hAnsiTheme="minorHAnsi"/>
          <w:color w:val="auto"/>
          <w:szCs w:val="24"/>
        </w:rPr>
        <w:t>meniscus signs</w:t>
      </w:r>
      <w:r w:rsidR="006A5AFE">
        <w:rPr>
          <w:rFonts w:asciiTheme="minorHAnsi" w:eastAsia="HiddenHorzOCR" w:hAnsiTheme="minorHAnsi"/>
          <w:color w:val="auto"/>
          <w:szCs w:val="24"/>
        </w:rPr>
        <w:t xml:space="preserve">.  </w:t>
      </w:r>
      <w:r w:rsidR="000857B8">
        <w:rPr>
          <w:rFonts w:asciiTheme="minorHAnsi" w:eastAsia="HiddenHorzOCR" w:hAnsiTheme="minorHAnsi"/>
          <w:color w:val="auto"/>
          <w:szCs w:val="24"/>
        </w:rPr>
        <w:t>A</w:t>
      </w:r>
      <w:r w:rsidR="006A5AFE">
        <w:rPr>
          <w:rFonts w:asciiTheme="minorHAnsi" w:eastAsia="HiddenHorzOCR" w:hAnsiTheme="minorHAnsi"/>
          <w:color w:val="auto"/>
          <w:szCs w:val="24"/>
        </w:rPr>
        <w:t xml:space="preserve">t the September 13, 2007 orthopedics </w:t>
      </w:r>
      <w:proofErr w:type="gramStart"/>
      <w:r w:rsidR="006A5AFE">
        <w:rPr>
          <w:rFonts w:asciiTheme="minorHAnsi" w:eastAsia="HiddenHorzOCR" w:hAnsiTheme="minorHAnsi"/>
          <w:color w:val="auto"/>
          <w:szCs w:val="24"/>
        </w:rPr>
        <w:t>follow</w:t>
      </w:r>
      <w:proofErr w:type="gramEnd"/>
      <w:r w:rsidR="006A5AFE">
        <w:rPr>
          <w:rFonts w:asciiTheme="minorHAnsi" w:eastAsia="HiddenHorzOCR" w:hAnsiTheme="minorHAnsi"/>
          <w:color w:val="auto"/>
          <w:szCs w:val="24"/>
        </w:rPr>
        <w:t xml:space="preserve"> up</w:t>
      </w:r>
      <w:r w:rsidR="000857B8">
        <w:rPr>
          <w:rFonts w:asciiTheme="minorHAnsi" w:eastAsia="HiddenHorzOCR" w:hAnsiTheme="minorHAnsi"/>
          <w:color w:val="auto"/>
          <w:szCs w:val="24"/>
        </w:rPr>
        <w:t xml:space="preserve">, there were no changes </w:t>
      </w:r>
      <w:r w:rsidR="006A5AFE">
        <w:rPr>
          <w:rFonts w:asciiTheme="minorHAnsi" w:eastAsia="HiddenHorzOCR" w:hAnsiTheme="minorHAnsi"/>
          <w:color w:val="auto"/>
          <w:szCs w:val="24"/>
        </w:rPr>
        <w:t>and the surgeon recommended the cycle ergometry test instead of the run for fitness testing.  The MEB NARSUM</w:t>
      </w:r>
      <w:r w:rsidR="00FF24FF">
        <w:rPr>
          <w:rFonts w:asciiTheme="minorHAnsi" w:eastAsia="HiddenHorzOCR" w:hAnsiTheme="minorHAnsi"/>
          <w:color w:val="auto"/>
          <w:szCs w:val="24"/>
        </w:rPr>
        <w:t xml:space="preserve"> on</w:t>
      </w:r>
      <w:r w:rsidR="006A5AFE">
        <w:rPr>
          <w:rFonts w:asciiTheme="minorHAnsi" w:eastAsia="HiddenHorzOCR" w:hAnsiTheme="minorHAnsi"/>
          <w:color w:val="auto"/>
          <w:szCs w:val="24"/>
        </w:rPr>
        <w:t xml:space="preserve"> January 9, 2008 stated the knee was </w:t>
      </w:r>
      <w:r w:rsidR="00FE1457">
        <w:rPr>
          <w:rFonts w:asciiTheme="minorHAnsi" w:eastAsia="HiddenHorzOCR" w:hAnsiTheme="minorHAnsi"/>
          <w:color w:val="auto"/>
          <w:szCs w:val="24"/>
        </w:rPr>
        <w:t xml:space="preserve">repaired </w:t>
      </w:r>
      <w:r w:rsidR="006A5AFE">
        <w:rPr>
          <w:rFonts w:asciiTheme="minorHAnsi" w:eastAsia="HiddenHorzOCR" w:hAnsiTheme="minorHAnsi"/>
          <w:color w:val="auto"/>
          <w:szCs w:val="24"/>
        </w:rPr>
        <w:t xml:space="preserve">and </w:t>
      </w:r>
      <w:r w:rsidR="00FE1457">
        <w:rPr>
          <w:rFonts w:asciiTheme="minorHAnsi" w:eastAsia="HiddenHorzOCR" w:hAnsiTheme="minorHAnsi"/>
          <w:color w:val="auto"/>
          <w:szCs w:val="24"/>
        </w:rPr>
        <w:t>not duty limiting.</w:t>
      </w:r>
      <w:r w:rsidR="006A5AFE">
        <w:rPr>
          <w:rFonts w:asciiTheme="minorHAnsi" w:eastAsia="HiddenHorzOCR" w:hAnsiTheme="minorHAnsi"/>
          <w:color w:val="auto"/>
          <w:szCs w:val="24"/>
        </w:rPr>
        <w:t xml:space="preserve">  </w:t>
      </w:r>
      <w:r w:rsidR="005D7066">
        <w:rPr>
          <w:rFonts w:asciiTheme="minorHAnsi" w:hAnsiTheme="minorHAnsi"/>
          <w:color w:val="auto"/>
          <w:szCs w:val="24"/>
        </w:rPr>
        <w:t>None</w:t>
      </w:r>
      <w:r w:rsidRPr="00737283">
        <w:rPr>
          <w:rFonts w:asciiTheme="minorHAnsi" w:hAnsiTheme="minorHAnsi"/>
          <w:color w:val="auto"/>
          <w:szCs w:val="24"/>
        </w:rPr>
        <w:t xml:space="preserve"> of these condition</w:t>
      </w:r>
      <w:r w:rsidRPr="00A508BC">
        <w:rPr>
          <w:rFonts w:asciiTheme="minorHAnsi" w:hAnsiTheme="minorHAnsi"/>
          <w:color w:val="auto"/>
          <w:szCs w:val="24"/>
        </w:rPr>
        <w:t>s</w:t>
      </w:r>
      <w:r w:rsidRPr="00737283">
        <w:rPr>
          <w:rFonts w:asciiTheme="minorHAnsi" w:hAnsiTheme="minorHAnsi"/>
          <w:color w:val="auto"/>
          <w:szCs w:val="24"/>
        </w:rPr>
        <w:t xml:space="preserve"> </w:t>
      </w:r>
      <w:r w:rsidR="00A508BC">
        <w:rPr>
          <w:rFonts w:asciiTheme="minorHAnsi" w:hAnsiTheme="minorHAnsi"/>
          <w:color w:val="auto"/>
          <w:szCs w:val="24"/>
        </w:rPr>
        <w:t>was</w:t>
      </w:r>
      <w:r w:rsidRPr="00737283">
        <w:rPr>
          <w:rFonts w:asciiTheme="minorHAnsi" w:hAnsiTheme="minorHAnsi"/>
          <w:color w:val="auto"/>
          <w:szCs w:val="24"/>
        </w:rPr>
        <w:t xml:space="preserve"> clinically active during the MEB period, </w:t>
      </w:r>
      <w:r w:rsidRPr="00A508BC">
        <w:rPr>
          <w:rFonts w:asciiTheme="minorHAnsi" w:hAnsiTheme="minorHAnsi"/>
          <w:color w:val="auto"/>
          <w:szCs w:val="24"/>
        </w:rPr>
        <w:t>carried attached profiles</w:t>
      </w:r>
      <w:r w:rsidR="00A508BC">
        <w:rPr>
          <w:rFonts w:asciiTheme="minorHAnsi" w:hAnsiTheme="minorHAnsi"/>
          <w:color w:val="auto"/>
          <w:szCs w:val="24"/>
        </w:rPr>
        <w:t xml:space="preserve"> </w:t>
      </w:r>
      <w:r w:rsidRPr="00737283">
        <w:rPr>
          <w:rFonts w:asciiTheme="minorHAnsi" w:hAnsiTheme="minorHAnsi"/>
          <w:color w:val="auto"/>
          <w:szCs w:val="24"/>
        </w:rPr>
        <w:t xml:space="preserve">and none </w:t>
      </w:r>
      <w:r w:rsidRPr="00A508BC">
        <w:rPr>
          <w:rFonts w:asciiTheme="minorHAnsi" w:hAnsiTheme="minorHAnsi"/>
          <w:color w:val="auto"/>
          <w:szCs w:val="24"/>
        </w:rPr>
        <w:t>were implicated</w:t>
      </w:r>
      <w:r w:rsidRPr="00737283">
        <w:rPr>
          <w:rFonts w:asciiTheme="minorHAnsi" w:hAnsiTheme="minorHAnsi"/>
          <w:color w:val="auto"/>
          <w:szCs w:val="24"/>
        </w:rPr>
        <w:t xml:space="preserve"> in </w:t>
      </w:r>
      <w:r w:rsidRPr="00A508BC">
        <w:rPr>
          <w:rFonts w:asciiTheme="minorHAnsi" w:hAnsiTheme="minorHAnsi"/>
          <w:color w:val="auto"/>
          <w:szCs w:val="24"/>
        </w:rPr>
        <w:t>the commander’s statement</w:t>
      </w:r>
      <w:r w:rsidR="00A508BC">
        <w:rPr>
          <w:rFonts w:asciiTheme="minorHAnsi" w:hAnsiTheme="minorHAnsi"/>
          <w:color w:val="auto"/>
          <w:szCs w:val="24"/>
        </w:rPr>
        <w:t xml:space="preserve">.  </w:t>
      </w:r>
      <w:r w:rsidRPr="00737283">
        <w:rPr>
          <w:rFonts w:asciiTheme="minorHAnsi" w:hAnsiTheme="minorHAnsi"/>
          <w:color w:val="auto"/>
          <w:szCs w:val="24"/>
        </w:rPr>
        <w:t xml:space="preserve">These conditions were reviewed by the action officer and considered by the Board.  It was determined that none could be argued as unfitting and subject to separation rating.  Additionally </w:t>
      </w:r>
      <w:r w:rsidR="00A508BC">
        <w:rPr>
          <w:rFonts w:asciiTheme="minorHAnsi" w:hAnsiTheme="minorHAnsi"/>
          <w:color w:val="auto"/>
          <w:szCs w:val="24"/>
        </w:rPr>
        <w:t xml:space="preserve">Osgood </w:t>
      </w:r>
      <w:proofErr w:type="spellStart"/>
      <w:r w:rsidR="00A508BC">
        <w:rPr>
          <w:rFonts w:asciiTheme="minorHAnsi" w:hAnsiTheme="minorHAnsi"/>
          <w:color w:val="auto"/>
          <w:szCs w:val="24"/>
        </w:rPr>
        <w:t>Schlatter</w:t>
      </w:r>
      <w:proofErr w:type="spellEnd"/>
      <w:r w:rsidR="00A508BC">
        <w:rPr>
          <w:rFonts w:asciiTheme="minorHAnsi" w:hAnsiTheme="minorHAnsi"/>
          <w:color w:val="auto"/>
          <w:szCs w:val="24"/>
        </w:rPr>
        <w:t xml:space="preserve"> </w:t>
      </w:r>
      <w:r w:rsidR="00FF24FF">
        <w:rPr>
          <w:rFonts w:asciiTheme="minorHAnsi" w:hAnsiTheme="minorHAnsi"/>
          <w:color w:val="auto"/>
          <w:szCs w:val="24"/>
        </w:rPr>
        <w:t>d</w:t>
      </w:r>
      <w:r w:rsidR="00A508BC">
        <w:rPr>
          <w:rFonts w:asciiTheme="minorHAnsi" w:hAnsiTheme="minorHAnsi"/>
          <w:color w:val="auto"/>
          <w:szCs w:val="24"/>
        </w:rPr>
        <w:t xml:space="preserve">isease of </w:t>
      </w:r>
      <w:r w:rsidR="00457AD9">
        <w:rPr>
          <w:rFonts w:asciiTheme="minorHAnsi" w:hAnsiTheme="minorHAnsi"/>
          <w:color w:val="auto"/>
          <w:szCs w:val="24"/>
        </w:rPr>
        <w:t xml:space="preserve">the </w:t>
      </w:r>
      <w:r w:rsidR="00A508BC">
        <w:rPr>
          <w:rFonts w:asciiTheme="minorHAnsi" w:hAnsiTheme="minorHAnsi"/>
          <w:color w:val="auto"/>
          <w:szCs w:val="24"/>
        </w:rPr>
        <w:t xml:space="preserve">right knee, </w:t>
      </w:r>
      <w:r w:rsidR="00457AD9">
        <w:rPr>
          <w:rFonts w:asciiTheme="minorHAnsi" w:hAnsiTheme="minorHAnsi"/>
          <w:color w:val="auto"/>
          <w:szCs w:val="24"/>
        </w:rPr>
        <w:t xml:space="preserve">left upper extremity </w:t>
      </w:r>
      <w:r w:rsidR="00A508BC">
        <w:rPr>
          <w:rFonts w:asciiTheme="minorHAnsi" w:hAnsiTheme="minorHAnsi"/>
          <w:color w:val="auto"/>
          <w:szCs w:val="24"/>
        </w:rPr>
        <w:t>diabetic neuropathy</w:t>
      </w:r>
      <w:r w:rsidR="005D7066">
        <w:rPr>
          <w:rFonts w:asciiTheme="minorHAnsi" w:hAnsiTheme="minorHAnsi"/>
          <w:color w:val="auto"/>
          <w:szCs w:val="24"/>
        </w:rPr>
        <w:t xml:space="preserve">, </w:t>
      </w:r>
      <w:r w:rsidR="00457AD9">
        <w:rPr>
          <w:rFonts w:asciiTheme="minorHAnsi" w:hAnsiTheme="minorHAnsi"/>
          <w:color w:val="auto"/>
          <w:szCs w:val="24"/>
        </w:rPr>
        <w:t xml:space="preserve">right upper extremity </w:t>
      </w:r>
      <w:r w:rsidR="005D7066">
        <w:rPr>
          <w:rFonts w:asciiTheme="minorHAnsi" w:hAnsiTheme="minorHAnsi"/>
          <w:color w:val="auto"/>
          <w:szCs w:val="24"/>
        </w:rPr>
        <w:t>diabetic neuropathy and</w:t>
      </w:r>
      <w:r w:rsidRPr="00737283">
        <w:rPr>
          <w:rFonts w:asciiTheme="minorHAnsi" w:hAnsiTheme="minorHAnsi"/>
          <w:color w:val="auto"/>
          <w:szCs w:val="24"/>
        </w:rPr>
        <w:t xml:space="preserve"> several other non-acute conditions were noted in the VA rating decision proximal to separation, but were not documented in the DES file.  The Board does not have the authority under DoDI </w:t>
      </w:r>
      <w:r w:rsidRPr="00813FB9">
        <w:rPr>
          <w:rFonts w:asciiTheme="minorHAnsi" w:hAnsiTheme="minorHAnsi"/>
          <w:color w:val="auto"/>
          <w:szCs w:val="24"/>
        </w:rPr>
        <w:t xml:space="preserve">6040.44 to render fitness or rating recommendations for any conditions not considered by the </w:t>
      </w:r>
      <w:r w:rsidRPr="00813FB9">
        <w:rPr>
          <w:rFonts w:asciiTheme="minorHAnsi" w:hAnsiTheme="minorHAnsi"/>
          <w:color w:val="auto"/>
          <w:szCs w:val="24"/>
        </w:rPr>
        <w:lastRenderedPageBreak/>
        <w:t>DES.  The Board therefore has no reasonable basis for recommending any additional unfitting conditions for separation rating.</w:t>
      </w:r>
    </w:p>
    <w:p w:rsidR="00813FB9" w:rsidRPr="00520EC2" w:rsidRDefault="00813FB9" w:rsidP="00813FB9">
      <w:pPr>
        <w:pBdr>
          <w:bottom w:val="single" w:sz="4" w:space="1" w:color="auto"/>
        </w:pBdr>
        <w:spacing w:line="240" w:lineRule="exact"/>
        <w:jc w:val="both"/>
        <w:rPr>
          <w:rFonts w:asciiTheme="minorHAnsi" w:eastAsiaTheme="minorHAnsi" w:hAnsiTheme="minorHAnsi"/>
          <w:b/>
          <w:color w:val="auto"/>
          <w:szCs w:val="24"/>
        </w:rPr>
      </w:pPr>
    </w:p>
    <w:p w:rsidR="00813FB9" w:rsidRPr="00520EC2" w:rsidRDefault="00813FB9" w:rsidP="00813FB9">
      <w:pPr>
        <w:tabs>
          <w:tab w:val="left" w:pos="288"/>
          <w:tab w:val="left" w:pos="4752"/>
        </w:tabs>
        <w:spacing w:line="240" w:lineRule="exact"/>
        <w:jc w:val="both"/>
        <w:rPr>
          <w:rFonts w:asciiTheme="minorHAnsi" w:hAnsiTheme="minorHAnsi"/>
          <w:b/>
          <w:color w:val="auto"/>
          <w:szCs w:val="24"/>
        </w:rPr>
      </w:pPr>
    </w:p>
    <w:p w:rsidR="00C227F4" w:rsidRPr="00813FB9" w:rsidRDefault="00737283" w:rsidP="00B00FD7">
      <w:pPr>
        <w:spacing w:line="240" w:lineRule="exact"/>
        <w:jc w:val="both"/>
        <w:rPr>
          <w:rFonts w:asciiTheme="minorHAnsi" w:eastAsiaTheme="minorHAnsi" w:hAnsiTheme="minorHAnsi"/>
          <w:color w:val="auto"/>
          <w:szCs w:val="24"/>
        </w:rPr>
      </w:pPr>
      <w:r w:rsidRPr="00813FB9">
        <w:rPr>
          <w:rFonts w:asciiTheme="minorHAnsi" w:hAnsiTheme="minorHAnsi"/>
          <w:color w:val="auto"/>
          <w:szCs w:val="24"/>
          <w:u w:val="single"/>
        </w:rPr>
        <w:t>BOARD FINDINGS</w:t>
      </w:r>
      <w:r w:rsidRPr="00813FB9">
        <w:rPr>
          <w:rFonts w:asciiTheme="minorHAnsi" w:hAnsiTheme="minorHAnsi"/>
          <w:color w:val="auto"/>
          <w:szCs w:val="24"/>
        </w:rPr>
        <w:t>:</w:t>
      </w:r>
      <w:r w:rsidRPr="00813FB9">
        <w:rPr>
          <w:rFonts w:asciiTheme="minorHAnsi" w:eastAsiaTheme="minorHAnsi" w:hAnsiTheme="minorHAnsi"/>
          <w:color w:val="auto"/>
          <w:szCs w:val="24"/>
        </w:rPr>
        <w:t xml:space="preserve">  IAW DoDI 6040.44, provisions of DoD or Military Department regulations or gu</w:t>
      </w:r>
      <w:r w:rsidRPr="00737283">
        <w:rPr>
          <w:rFonts w:asciiTheme="minorHAnsi" w:eastAsiaTheme="minorHAnsi" w:hAnsiTheme="minorHAnsi"/>
          <w:color w:val="auto"/>
          <w:szCs w:val="24"/>
        </w:rPr>
        <w:t>idelines relied upon by the PEB will not be considered by the Board to the extent they were inconsistent with the VASRD in effect at the time of the adjudication.</w:t>
      </w:r>
      <w:r w:rsidR="00520EC2">
        <w:rPr>
          <w:rFonts w:asciiTheme="minorHAnsi" w:eastAsiaTheme="minorHAnsi" w:hAnsiTheme="minorHAnsi"/>
          <w:color w:val="auto"/>
          <w:szCs w:val="24"/>
        </w:rPr>
        <w:t xml:space="preserve">  </w:t>
      </w:r>
      <w:r w:rsidR="00C227F4" w:rsidRPr="001F5378">
        <w:rPr>
          <w:rFonts w:asciiTheme="minorHAnsi" w:hAnsiTheme="minorHAnsi"/>
          <w:color w:val="auto"/>
          <w:szCs w:val="24"/>
        </w:rPr>
        <w:t xml:space="preserve">In the matter of </w:t>
      </w:r>
      <w:r w:rsidR="00FF24FF">
        <w:rPr>
          <w:rFonts w:asciiTheme="minorHAnsi" w:hAnsiTheme="minorHAnsi"/>
          <w:color w:val="auto"/>
          <w:szCs w:val="24"/>
        </w:rPr>
        <w:t>DM</w:t>
      </w:r>
      <w:r w:rsidR="00C227F4">
        <w:rPr>
          <w:rFonts w:asciiTheme="minorHAnsi" w:hAnsiTheme="minorHAnsi"/>
          <w:color w:val="auto"/>
          <w:szCs w:val="24"/>
        </w:rPr>
        <w:t xml:space="preserve"> type I </w:t>
      </w:r>
      <w:r w:rsidR="00C227F4" w:rsidRPr="001F5378">
        <w:rPr>
          <w:rFonts w:asciiTheme="minorHAnsi" w:hAnsiTheme="minorHAnsi"/>
          <w:color w:val="auto"/>
          <w:szCs w:val="24"/>
        </w:rPr>
        <w:t>and IAW VASRD §</w:t>
      </w:r>
      <w:r w:rsidR="00C227F4">
        <w:rPr>
          <w:rFonts w:asciiTheme="minorHAnsi" w:hAnsiTheme="minorHAnsi"/>
          <w:color w:val="auto"/>
          <w:szCs w:val="24"/>
        </w:rPr>
        <w:t>4.119</w:t>
      </w:r>
      <w:r w:rsidR="00FF24FF">
        <w:rPr>
          <w:rFonts w:asciiTheme="minorHAnsi" w:hAnsiTheme="minorHAnsi"/>
          <w:color w:val="auto"/>
          <w:szCs w:val="24"/>
        </w:rPr>
        <w:t>,</w:t>
      </w:r>
      <w:r w:rsidR="00C227F4">
        <w:rPr>
          <w:rFonts w:asciiTheme="minorHAnsi" w:hAnsiTheme="minorHAnsi"/>
          <w:color w:val="auto"/>
          <w:szCs w:val="24"/>
        </w:rPr>
        <w:t xml:space="preserve"> </w:t>
      </w:r>
      <w:r w:rsidR="00C227F4" w:rsidRPr="001F5378">
        <w:rPr>
          <w:rFonts w:asciiTheme="minorHAnsi" w:hAnsiTheme="minorHAnsi"/>
          <w:color w:val="auto"/>
          <w:szCs w:val="24"/>
        </w:rPr>
        <w:t xml:space="preserve">the Board unanimously recommends no change in the PEB adjudication at </w:t>
      </w:r>
      <w:r w:rsidR="00C227F4">
        <w:rPr>
          <w:rFonts w:asciiTheme="minorHAnsi" w:hAnsiTheme="minorHAnsi"/>
          <w:color w:val="auto"/>
          <w:szCs w:val="24"/>
        </w:rPr>
        <w:t xml:space="preserve">permanent </w:t>
      </w:r>
      <w:r w:rsidR="00C227F4" w:rsidRPr="001F5378">
        <w:rPr>
          <w:rFonts w:asciiTheme="minorHAnsi" w:hAnsiTheme="minorHAnsi"/>
          <w:color w:val="auto"/>
          <w:szCs w:val="24"/>
        </w:rPr>
        <w:t>separation.</w:t>
      </w:r>
      <w:r w:rsidR="00C227F4">
        <w:rPr>
          <w:rFonts w:asciiTheme="minorHAnsi" w:hAnsiTheme="minorHAnsi"/>
          <w:color w:val="auto"/>
          <w:szCs w:val="24"/>
        </w:rPr>
        <w:t xml:space="preserve">  </w:t>
      </w:r>
      <w:r w:rsidR="00C227F4" w:rsidRPr="00396779">
        <w:rPr>
          <w:rFonts w:asciiTheme="minorHAnsi" w:hAnsiTheme="minorHAnsi"/>
          <w:color w:val="auto"/>
          <w:szCs w:val="24"/>
        </w:rPr>
        <w:t xml:space="preserve">In the matter of the </w:t>
      </w:r>
      <w:r w:rsidR="00C94B68">
        <w:rPr>
          <w:rFonts w:asciiTheme="minorHAnsi" w:hAnsiTheme="minorHAnsi"/>
          <w:color w:val="auto"/>
          <w:szCs w:val="24"/>
        </w:rPr>
        <w:t xml:space="preserve">recurrent pericarditis </w:t>
      </w:r>
      <w:r w:rsidR="00C227F4">
        <w:rPr>
          <w:rFonts w:asciiTheme="minorHAnsi" w:hAnsiTheme="minorHAnsi"/>
          <w:color w:val="auto"/>
          <w:szCs w:val="24"/>
        </w:rPr>
        <w:t xml:space="preserve">condition, or any other </w:t>
      </w:r>
      <w:r w:rsidR="00C227F4" w:rsidRPr="00B607A0">
        <w:rPr>
          <w:rFonts w:asciiTheme="minorHAnsi" w:hAnsiTheme="minorHAnsi"/>
          <w:color w:val="auto"/>
          <w:szCs w:val="24"/>
        </w:rPr>
        <w:t>medical conditions eligible for Board consideration</w:t>
      </w:r>
      <w:r w:rsidR="00FF24FF">
        <w:rPr>
          <w:rFonts w:asciiTheme="minorHAnsi" w:hAnsiTheme="minorHAnsi"/>
          <w:color w:val="auto"/>
          <w:szCs w:val="24"/>
        </w:rPr>
        <w:t>,</w:t>
      </w:r>
      <w:r w:rsidR="00C227F4" w:rsidRPr="00B607A0">
        <w:rPr>
          <w:rFonts w:asciiTheme="minorHAnsi" w:hAnsiTheme="minorHAnsi"/>
          <w:color w:val="auto"/>
          <w:szCs w:val="24"/>
        </w:rPr>
        <w:t xml:space="preserve"> the Board unanimously agrees that it cannot recommend any findings of unfit for additional rating at separation.</w:t>
      </w:r>
    </w:p>
    <w:p w:rsidR="00DD469B" w:rsidRPr="00813FB9" w:rsidRDefault="00DD469B" w:rsidP="00B00FD7">
      <w:pPr>
        <w:pBdr>
          <w:bottom w:val="single" w:sz="4" w:space="1" w:color="auto"/>
        </w:pBdr>
        <w:spacing w:line="240" w:lineRule="exact"/>
        <w:jc w:val="both"/>
        <w:rPr>
          <w:rFonts w:asciiTheme="minorHAnsi" w:eastAsiaTheme="minorHAnsi" w:hAnsiTheme="minorHAnsi"/>
          <w:b/>
          <w:color w:val="auto"/>
          <w:szCs w:val="24"/>
        </w:rPr>
      </w:pPr>
    </w:p>
    <w:p w:rsidR="00DD469B" w:rsidRPr="00813FB9" w:rsidRDefault="00DD469B" w:rsidP="00B00FD7">
      <w:pPr>
        <w:tabs>
          <w:tab w:val="left" w:pos="288"/>
          <w:tab w:val="left" w:pos="4752"/>
        </w:tabs>
        <w:spacing w:line="240" w:lineRule="exact"/>
        <w:jc w:val="both"/>
        <w:rPr>
          <w:rFonts w:asciiTheme="minorHAnsi" w:hAnsiTheme="minorHAnsi"/>
          <w:b/>
          <w:color w:val="auto"/>
          <w:szCs w:val="24"/>
        </w:rPr>
      </w:pPr>
    </w:p>
    <w:p w:rsidR="00DD469B" w:rsidRPr="00813FB9" w:rsidRDefault="00FE1457" w:rsidP="00FF24FF">
      <w:pPr>
        <w:spacing w:line="240" w:lineRule="exact"/>
        <w:jc w:val="both"/>
        <w:rPr>
          <w:rFonts w:asciiTheme="minorHAnsi" w:hAnsiTheme="minorHAnsi"/>
          <w:color w:val="auto"/>
          <w:szCs w:val="24"/>
        </w:rPr>
      </w:pPr>
      <w:r w:rsidRPr="00813FB9">
        <w:rPr>
          <w:rFonts w:asciiTheme="minorHAnsi" w:hAnsiTheme="minorHAnsi"/>
          <w:color w:val="auto"/>
          <w:szCs w:val="24"/>
          <w:u w:val="single"/>
        </w:rPr>
        <w:t>RECOMMENDATION</w:t>
      </w:r>
      <w:r w:rsidRPr="00813FB9">
        <w:rPr>
          <w:rFonts w:asciiTheme="minorHAnsi" w:hAnsiTheme="minorHAnsi"/>
          <w:color w:val="auto"/>
          <w:szCs w:val="24"/>
        </w:rPr>
        <w:t xml:space="preserve">:  </w:t>
      </w:r>
      <w:r w:rsidR="00DD469B" w:rsidRPr="00813FB9">
        <w:rPr>
          <w:rFonts w:asciiTheme="minorHAnsi" w:hAnsiTheme="minorHAnsi"/>
          <w:color w:val="auto"/>
          <w:szCs w:val="24"/>
        </w:rPr>
        <w:t xml:space="preserve">The Board therefore recommends that there be no recharacterization of the CI’s disability and separation determination, as follows: </w:t>
      </w:r>
    </w:p>
    <w:p w:rsidR="00DD469B" w:rsidRPr="00813FB9" w:rsidRDefault="00DD469B" w:rsidP="00B00FD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813FB9" w:rsidTr="00043C11">
        <w:trPr>
          <w:trHeight w:val="233"/>
          <w:jc w:val="center"/>
        </w:trPr>
        <w:tc>
          <w:tcPr>
            <w:tcW w:w="6480" w:type="dxa"/>
            <w:shd w:val="clear" w:color="auto" w:fill="D9D9D9"/>
            <w:vAlign w:val="center"/>
          </w:tcPr>
          <w:p w:rsidR="00DD469B" w:rsidRPr="00813FB9" w:rsidRDefault="00DD469B" w:rsidP="00B00FD7">
            <w:pPr>
              <w:tabs>
                <w:tab w:val="left" w:pos="288"/>
                <w:tab w:val="left" w:pos="4752"/>
              </w:tabs>
              <w:spacing w:line="240" w:lineRule="exact"/>
              <w:jc w:val="both"/>
              <w:rPr>
                <w:rFonts w:asciiTheme="minorHAnsi" w:hAnsiTheme="minorHAnsi"/>
                <w:b/>
                <w:color w:val="auto"/>
                <w:szCs w:val="24"/>
              </w:rPr>
            </w:pPr>
            <w:r w:rsidRPr="00813FB9">
              <w:rPr>
                <w:rFonts w:asciiTheme="minorHAnsi" w:hAnsiTheme="minorHAnsi"/>
                <w:b/>
                <w:color w:val="auto"/>
                <w:szCs w:val="24"/>
              </w:rPr>
              <w:t>UNFITTING CONDITION</w:t>
            </w:r>
          </w:p>
        </w:tc>
        <w:tc>
          <w:tcPr>
            <w:tcW w:w="1710" w:type="dxa"/>
            <w:shd w:val="clear" w:color="auto" w:fill="D9D9D9"/>
            <w:vAlign w:val="center"/>
          </w:tcPr>
          <w:p w:rsidR="00DD469B" w:rsidRPr="00813FB9" w:rsidRDefault="00DD469B" w:rsidP="00813FB9">
            <w:pPr>
              <w:tabs>
                <w:tab w:val="left" w:pos="288"/>
                <w:tab w:val="left" w:pos="4752"/>
              </w:tabs>
              <w:spacing w:line="240" w:lineRule="exact"/>
              <w:jc w:val="center"/>
              <w:rPr>
                <w:rFonts w:asciiTheme="minorHAnsi" w:hAnsiTheme="minorHAnsi"/>
                <w:b/>
                <w:color w:val="auto"/>
                <w:szCs w:val="24"/>
              </w:rPr>
            </w:pPr>
            <w:r w:rsidRPr="00813FB9">
              <w:rPr>
                <w:rFonts w:asciiTheme="minorHAnsi" w:hAnsiTheme="minorHAnsi"/>
                <w:b/>
                <w:color w:val="auto"/>
                <w:szCs w:val="24"/>
              </w:rPr>
              <w:t>VASRD CODE</w:t>
            </w:r>
          </w:p>
        </w:tc>
        <w:tc>
          <w:tcPr>
            <w:tcW w:w="1170" w:type="dxa"/>
            <w:shd w:val="clear" w:color="auto" w:fill="D9D9D9"/>
            <w:vAlign w:val="center"/>
          </w:tcPr>
          <w:p w:rsidR="00DD469B" w:rsidRPr="00813FB9" w:rsidRDefault="00DD469B" w:rsidP="00813FB9">
            <w:pPr>
              <w:tabs>
                <w:tab w:val="left" w:pos="288"/>
                <w:tab w:val="left" w:pos="4752"/>
              </w:tabs>
              <w:spacing w:line="240" w:lineRule="exact"/>
              <w:jc w:val="center"/>
              <w:rPr>
                <w:rFonts w:asciiTheme="minorHAnsi" w:hAnsiTheme="minorHAnsi"/>
                <w:b/>
                <w:color w:val="auto"/>
                <w:szCs w:val="24"/>
              </w:rPr>
            </w:pPr>
            <w:r w:rsidRPr="00813FB9">
              <w:rPr>
                <w:rFonts w:asciiTheme="minorHAnsi" w:hAnsiTheme="minorHAnsi"/>
                <w:b/>
                <w:color w:val="auto"/>
                <w:szCs w:val="24"/>
              </w:rPr>
              <w:t>RATING</w:t>
            </w:r>
          </w:p>
        </w:tc>
      </w:tr>
      <w:tr w:rsidR="00DD469B" w:rsidRPr="00813FB9" w:rsidTr="00043C11">
        <w:trPr>
          <w:jc w:val="center"/>
        </w:trPr>
        <w:tc>
          <w:tcPr>
            <w:tcW w:w="6480" w:type="dxa"/>
            <w:vAlign w:val="center"/>
          </w:tcPr>
          <w:p w:rsidR="00DD469B" w:rsidRPr="00813FB9" w:rsidRDefault="00C227F4" w:rsidP="00B00FD7">
            <w:pPr>
              <w:tabs>
                <w:tab w:val="left" w:pos="288"/>
                <w:tab w:val="left" w:pos="4752"/>
              </w:tabs>
              <w:spacing w:line="240" w:lineRule="exact"/>
              <w:jc w:val="both"/>
              <w:rPr>
                <w:rFonts w:asciiTheme="minorHAnsi" w:hAnsiTheme="minorHAnsi"/>
                <w:color w:val="auto"/>
                <w:szCs w:val="24"/>
              </w:rPr>
            </w:pPr>
            <w:r w:rsidRPr="00813FB9">
              <w:rPr>
                <w:rFonts w:asciiTheme="minorHAnsi" w:hAnsiTheme="minorHAnsi"/>
                <w:color w:val="auto"/>
                <w:szCs w:val="24"/>
              </w:rPr>
              <w:t>Diabetes Mellitus Type I</w:t>
            </w:r>
          </w:p>
        </w:tc>
        <w:tc>
          <w:tcPr>
            <w:tcW w:w="1710" w:type="dxa"/>
            <w:vAlign w:val="center"/>
          </w:tcPr>
          <w:p w:rsidR="00DD469B" w:rsidRPr="00813FB9" w:rsidRDefault="00C227F4" w:rsidP="00813FB9">
            <w:pPr>
              <w:tabs>
                <w:tab w:val="left" w:pos="288"/>
                <w:tab w:val="left" w:pos="4752"/>
              </w:tabs>
              <w:spacing w:line="240" w:lineRule="exact"/>
              <w:jc w:val="center"/>
              <w:rPr>
                <w:rFonts w:asciiTheme="minorHAnsi" w:hAnsiTheme="minorHAnsi"/>
                <w:color w:val="auto"/>
                <w:szCs w:val="24"/>
              </w:rPr>
            </w:pPr>
            <w:r w:rsidRPr="00813FB9">
              <w:rPr>
                <w:rFonts w:asciiTheme="minorHAnsi" w:hAnsiTheme="minorHAnsi"/>
                <w:color w:val="auto"/>
                <w:szCs w:val="24"/>
              </w:rPr>
              <w:t>7913</w:t>
            </w:r>
          </w:p>
        </w:tc>
        <w:tc>
          <w:tcPr>
            <w:tcW w:w="1170" w:type="dxa"/>
            <w:vAlign w:val="center"/>
          </w:tcPr>
          <w:p w:rsidR="00DD469B" w:rsidRPr="00813FB9" w:rsidRDefault="00C227F4" w:rsidP="00813FB9">
            <w:pPr>
              <w:tabs>
                <w:tab w:val="left" w:pos="288"/>
                <w:tab w:val="left" w:pos="4752"/>
              </w:tabs>
              <w:spacing w:line="240" w:lineRule="exact"/>
              <w:jc w:val="center"/>
              <w:rPr>
                <w:rFonts w:asciiTheme="minorHAnsi" w:hAnsiTheme="minorHAnsi"/>
                <w:color w:val="auto"/>
                <w:szCs w:val="24"/>
              </w:rPr>
            </w:pPr>
            <w:r w:rsidRPr="00813FB9">
              <w:rPr>
                <w:rFonts w:asciiTheme="minorHAnsi" w:hAnsiTheme="minorHAnsi"/>
                <w:color w:val="auto"/>
                <w:szCs w:val="24"/>
              </w:rPr>
              <w:t>2</w:t>
            </w:r>
            <w:r w:rsidR="00DD469B" w:rsidRPr="00813FB9">
              <w:rPr>
                <w:rFonts w:asciiTheme="minorHAnsi" w:hAnsiTheme="minorHAnsi"/>
                <w:color w:val="auto"/>
                <w:szCs w:val="24"/>
              </w:rPr>
              <w:t>0%</w:t>
            </w:r>
          </w:p>
        </w:tc>
      </w:tr>
      <w:tr w:rsidR="00DD469B" w:rsidRPr="00813FB9" w:rsidTr="00043C1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813FB9" w:rsidRDefault="00DD469B" w:rsidP="00813FB9">
            <w:pPr>
              <w:tabs>
                <w:tab w:val="left" w:pos="288"/>
                <w:tab w:val="left" w:pos="4752"/>
              </w:tabs>
              <w:spacing w:line="240" w:lineRule="exact"/>
              <w:jc w:val="center"/>
              <w:rPr>
                <w:rFonts w:asciiTheme="minorHAnsi" w:hAnsiTheme="minorHAnsi"/>
                <w:b/>
                <w:color w:val="auto"/>
                <w:szCs w:val="24"/>
              </w:rPr>
            </w:pPr>
            <w:r w:rsidRPr="00813FB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813FB9" w:rsidRDefault="00C227F4" w:rsidP="00813FB9">
            <w:pPr>
              <w:tabs>
                <w:tab w:val="left" w:pos="288"/>
                <w:tab w:val="left" w:pos="4752"/>
              </w:tabs>
              <w:spacing w:line="240" w:lineRule="exact"/>
              <w:jc w:val="center"/>
              <w:rPr>
                <w:rFonts w:asciiTheme="minorHAnsi" w:hAnsiTheme="minorHAnsi"/>
                <w:b/>
                <w:color w:val="auto"/>
                <w:szCs w:val="24"/>
              </w:rPr>
            </w:pPr>
            <w:r w:rsidRPr="00813FB9">
              <w:rPr>
                <w:rFonts w:asciiTheme="minorHAnsi" w:hAnsiTheme="minorHAnsi"/>
                <w:b/>
                <w:color w:val="auto"/>
                <w:szCs w:val="24"/>
              </w:rPr>
              <w:t>2</w:t>
            </w:r>
            <w:r w:rsidR="00DD469B" w:rsidRPr="00813FB9">
              <w:rPr>
                <w:rFonts w:asciiTheme="minorHAnsi" w:hAnsiTheme="minorHAnsi"/>
                <w:b/>
                <w:color w:val="auto"/>
                <w:szCs w:val="24"/>
              </w:rPr>
              <w:t>0%</w:t>
            </w:r>
          </w:p>
        </w:tc>
      </w:tr>
    </w:tbl>
    <w:p w:rsidR="00813FB9" w:rsidRPr="00813FB9" w:rsidRDefault="00813FB9" w:rsidP="00813FB9">
      <w:pPr>
        <w:pBdr>
          <w:bottom w:val="single" w:sz="4" w:space="1" w:color="auto"/>
        </w:pBdr>
        <w:spacing w:line="240" w:lineRule="exact"/>
        <w:jc w:val="both"/>
        <w:rPr>
          <w:rFonts w:asciiTheme="minorHAnsi" w:eastAsiaTheme="minorHAnsi" w:hAnsiTheme="minorHAnsi"/>
          <w:b/>
          <w:color w:val="auto"/>
          <w:szCs w:val="24"/>
        </w:rPr>
      </w:pPr>
    </w:p>
    <w:p w:rsidR="00813FB9" w:rsidRPr="00813FB9" w:rsidRDefault="00813FB9" w:rsidP="00813FB9">
      <w:pPr>
        <w:tabs>
          <w:tab w:val="left" w:pos="288"/>
          <w:tab w:val="left" w:pos="4752"/>
        </w:tabs>
        <w:spacing w:line="240" w:lineRule="exact"/>
        <w:jc w:val="both"/>
        <w:rPr>
          <w:rFonts w:asciiTheme="minorHAnsi" w:hAnsiTheme="minorHAnsi"/>
          <w:b/>
          <w:color w:val="auto"/>
          <w:szCs w:val="24"/>
        </w:rPr>
      </w:pPr>
    </w:p>
    <w:p w:rsidR="00DD469B" w:rsidRPr="00813FB9" w:rsidRDefault="00DD469B" w:rsidP="00B00FD7">
      <w:pPr>
        <w:tabs>
          <w:tab w:val="left" w:pos="288"/>
          <w:tab w:val="left" w:pos="4752"/>
        </w:tabs>
        <w:spacing w:line="240" w:lineRule="exact"/>
        <w:jc w:val="both"/>
        <w:rPr>
          <w:rFonts w:asciiTheme="minorHAnsi" w:hAnsiTheme="minorHAnsi"/>
          <w:color w:val="auto"/>
        </w:rPr>
      </w:pPr>
      <w:r w:rsidRPr="00813FB9">
        <w:rPr>
          <w:rFonts w:asciiTheme="minorHAnsi" w:hAnsiTheme="minorHAnsi"/>
          <w:color w:val="auto"/>
        </w:rPr>
        <w:t>The following documentary evidence was considered:</w:t>
      </w:r>
    </w:p>
    <w:p w:rsidR="00DD469B" w:rsidRPr="00DD469B" w:rsidRDefault="00DD469B" w:rsidP="00B00FD7">
      <w:pPr>
        <w:tabs>
          <w:tab w:val="left" w:pos="288"/>
          <w:tab w:val="left" w:pos="4752"/>
        </w:tabs>
        <w:spacing w:line="240" w:lineRule="exact"/>
        <w:jc w:val="both"/>
        <w:rPr>
          <w:rFonts w:asciiTheme="minorHAnsi" w:hAnsiTheme="minorHAnsi"/>
          <w:color w:val="auto"/>
        </w:rPr>
      </w:pPr>
    </w:p>
    <w:p w:rsidR="00DD469B" w:rsidRPr="00DD469B" w:rsidRDefault="00DD469B" w:rsidP="00B00FD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sidR="005D7066">
        <w:rPr>
          <w:rFonts w:asciiTheme="minorHAnsi" w:hAnsiTheme="minorHAnsi"/>
          <w:color w:val="auto"/>
        </w:rPr>
        <w:t>hibit A.  DD Form 294 dated 20100525</w:t>
      </w:r>
      <w:r w:rsidRPr="00DD469B">
        <w:rPr>
          <w:rFonts w:asciiTheme="minorHAnsi" w:hAnsiTheme="minorHAnsi"/>
          <w:color w:val="auto"/>
        </w:rPr>
        <w:t>, w/atchs.</w:t>
      </w:r>
    </w:p>
    <w:p w:rsidR="00DD469B" w:rsidRPr="00DD469B" w:rsidRDefault="00DD469B" w:rsidP="00B00FD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sidR="00C56D89">
        <w:rPr>
          <w:rFonts w:asciiTheme="minorHAnsi" w:hAnsiTheme="minorHAnsi"/>
          <w:color w:val="auto"/>
        </w:rPr>
        <w:t>Treatment Record</w:t>
      </w:r>
    </w:p>
    <w:p w:rsidR="00DD469B" w:rsidRPr="00DD469B" w:rsidRDefault="00DD469B" w:rsidP="00B00FD7">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C56D89">
        <w:rPr>
          <w:rFonts w:asciiTheme="minorHAnsi" w:hAnsiTheme="minorHAnsi"/>
          <w:color w:val="auto"/>
        </w:rPr>
        <w:t>erans' Affairs Treatment Record</w:t>
      </w:r>
    </w:p>
    <w:p w:rsidR="00DD469B" w:rsidRPr="00DD469B" w:rsidRDefault="00DD469B" w:rsidP="00B00FD7">
      <w:pPr>
        <w:tabs>
          <w:tab w:val="left" w:pos="288"/>
          <w:tab w:val="left" w:pos="4752"/>
        </w:tabs>
        <w:spacing w:line="240" w:lineRule="exact"/>
        <w:jc w:val="both"/>
        <w:rPr>
          <w:rFonts w:asciiTheme="minorHAnsi" w:hAnsiTheme="minorHAnsi"/>
          <w:color w:val="auto"/>
        </w:rPr>
      </w:pPr>
    </w:p>
    <w:p w:rsidR="00DD469B" w:rsidRPr="00DD469B" w:rsidRDefault="00DD469B" w:rsidP="00B00FD7">
      <w:pPr>
        <w:tabs>
          <w:tab w:val="left" w:pos="288"/>
          <w:tab w:val="left" w:pos="4752"/>
        </w:tabs>
        <w:spacing w:line="240" w:lineRule="exact"/>
        <w:jc w:val="both"/>
        <w:rPr>
          <w:rFonts w:asciiTheme="minorHAnsi" w:hAnsiTheme="minorHAnsi"/>
          <w:color w:val="auto"/>
        </w:rPr>
      </w:pPr>
    </w:p>
    <w:p w:rsidR="00DD469B" w:rsidRPr="00DD469B" w:rsidRDefault="00DD469B" w:rsidP="00B00FD7">
      <w:pPr>
        <w:tabs>
          <w:tab w:val="left" w:pos="288"/>
          <w:tab w:val="left" w:pos="4752"/>
        </w:tabs>
        <w:spacing w:line="240" w:lineRule="exact"/>
        <w:jc w:val="both"/>
        <w:rPr>
          <w:rFonts w:asciiTheme="minorHAnsi" w:hAnsiTheme="minorHAnsi"/>
          <w:color w:val="auto"/>
        </w:rPr>
      </w:pPr>
    </w:p>
    <w:p w:rsidR="00DD469B" w:rsidRPr="00DD469B" w:rsidRDefault="00DD469B" w:rsidP="00B00FD7">
      <w:pPr>
        <w:tabs>
          <w:tab w:val="left" w:pos="288"/>
          <w:tab w:val="left" w:pos="4752"/>
        </w:tabs>
        <w:spacing w:line="240" w:lineRule="exact"/>
        <w:jc w:val="both"/>
        <w:rPr>
          <w:rFonts w:asciiTheme="minorHAnsi" w:hAnsiTheme="minorHAnsi"/>
          <w:color w:val="auto"/>
        </w:rPr>
      </w:pPr>
    </w:p>
    <w:p w:rsidR="00DD469B" w:rsidRPr="00DD469B" w:rsidRDefault="00DD469B" w:rsidP="00B00FD7">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007D5AE0">
        <w:rPr>
          <w:rFonts w:asciiTheme="minorHAnsi" w:hAnsiTheme="minorHAnsi"/>
          <w:color w:val="auto"/>
        </w:rPr>
        <w:t xml:space="preserve"> </w:t>
      </w:r>
    </w:p>
    <w:p w:rsidR="00DD469B" w:rsidRPr="00DD469B" w:rsidRDefault="00DD469B" w:rsidP="00B00FD7">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Pr="00DD469B">
        <w:rPr>
          <w:rFonts w:asciiTheme="minorHAnsi" w:hAnsiTheme="minorHAnsi"/>
          <w:color w:val="auto"/>
        </w:rPr>
        <w:tab/>
      </w:r>
      <w:r w:rsidRPr="00DD469B">
        <w:rPr>
          <w:rFonts w:asciiTheme="minorHAnsi" w:hAnsiTheme="minorHAnsi"/>
          <w:color w:val="auto"/>
        </w:rPr>
        <w:tab/>
        <w:t>Deputy Director</w:t>
      </w:r>
    </w:p>
    <w:p w:rsidR="007D5AE0" w:rsidRDefault="00DD469B" w:rsidP="00B00F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D469B">
        <w:rPr>
          <w:rFonts w:asciiTheme="minorHAnsi" w:hAnsiTheme="minorHAnsi"/>
          <w:color w:val="auto"/>
        </w:rPr>
        <w:tab/>
        <w:t xml:space="preserve">                           </w:t>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t>Physical Disability Board of Review</w:t>
      </w:r>
    </w:p>
    <w:p w:rsidR="007D5AE0" w:rsidRDefault="007D5AE0">
      <w:pPr>
        <w:rPr>
          <w:rFonts w:asciiTheme="minorHAnsi" w:hAnsiTheme="minorHAnsi"/>
          <w:color w:val="auto"/>
        </w:rPr>
      </w:pPr>
      <w:r>
        <w:rPr>
          <w:rFonts w:asciiTheme="minorHAnsi" w:hAnsiTheme="minorHAnsi"/>
          <w:color w:val="auto"/>
        </w:rPr>
        <w:br w:type="page"/>
      </w:r>
    </w:p>
    <w:p w:rsidR="007D5AE0" w:rsidRPr="007D5AE0" w:rsidRDefault="007D5AE0" w:rsidP="007D5AE0">
      <w:pPr>
        <w:tabs>
          <w:tab w:val="left" w:pos="576"/>
        </w:tabs>
        <w:spacing w:line="240" w:lineRule="exact"/>
        <w:ind w:right="-1080"/>
        <w:rPr>
          <w:rFonts w:ascii="Times New Roman" w:hAnsi="Times New Roman"/>
          <w:color w:val="000080"/>
        </w:rPr>
      </w:pPr>
      <w:r w:rsidRPr="007D5AE0">
        <w:rPr>
          <w:rFonts w:ascii="Times New Roman" w:hAnsi="Times New Roman"/>
          <w:color w:val="000080"/>
        </w:rPr>
        <w:lastRenderedPageBreak/>
        <w:t>SAF/MRB</w:t>
      </w:r>
    </w:p>
    <w:p w:rsidR="007D5AE0" w:rsidRPr="007D5AE0" w:rsidRDefault="007D5AE0" w:rsidP="007D5AE0">
      <w:pPr>
        <w:tabs>
          <w:tab w:val="left" w:pos="576"/>
        </w:tabs>
        <w:spacing w:line="240" w:lineRule="exact"/>
        <w:ind w:right="-1080"/>
        <w:rPr>
          <w:rFonts w:ascii="Times New Roman" w:hAnsi="Times New Roman"/>
          <w:color w:val="000080"/>
        </w:rPr>
      </w:pPr>
      <w:r w:rsidRPr="007D5AE0">
        <w:rPr>
          <w:rFonts w:ascii="Times New Roman" w:hAnsi="Times New Roman"/>
          <w:color w:val="000080"/>
        </w:rPr>
        <w:t>1500 West Perimeter Road, Suite 3700</w:t>
      </w:r>
    </w:p>
    <w:p w:rsidR="007D5AE0" w:rsidRPr="007D5AE0" w:rsidRDefault="007D5AE0" w:rsidP="007D5AE0">
      <w:pPr>
        <w:tabs>
          <w:tab w:val="left" w:pos="576"/>
        </w:tabs>
        <w:spacing w:line="240" w:lineRule="exact"/>
        <w:ind w:right="-1080"/>
        <w:rPr>
          <w:rFonts w:ascii="Times New Roman" w:hAnsi="Times New Roman"/>
          <w:color w:val="000080"/>
        </w:rPr>
      </w:pPr>
      <w:r w:rsidRPr="007D5AE0">
        <w:rPr>
          <w:rFonts w:ascii="Times New Roman" w:hAnsi="Times New Roman"/>
          <w:color w:val="000080"/>
        </w:rPr>
        <w:t>Joint Base Andrews, NAF-Washington, MD  20762</w:t>
      </w:r>
    </w:p>
    <w:p w:rsidR="007D5AE0" w:rsidRPr="007D5AE0" w:rsidRDefault="007D5AE0" w:rsidP="007D5AE0">
      <w:pPr>
        <w:tabs>
          <w:tab w:val="left" w:pos="576"/>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360"/>
        <w:rPr>
          <w:rFonts w:ascii="Times New Roman" w:hAnsi="Times New Roman"/>
          <w:color w:val="000080"/>
        </w:rPr>
      </w:pPr>
      <w:r w:rsidRPr="007D5AE0">
        <w:rPr>
          <w:rFonts w:ascii="Times New Roman" w:hAnsi="Times New Roman"/>
          <w:color w:val="000080"/>
        </w:rPr>
        <w:tab/>
        <w:t xml:space="preserve">Reference your application submitted under the provisions of </w:t>
      </w:r>
      <w:proofErr w:type="spellStart"/>
      <w:r w:rsidRPr="007D5AE0">
        <w:rPr>
          <w:rFonts w:ascii="Times New Roman" w:hAnsi="Times New Roman"/>
          <w:color w:val="000080"/>
        </w:rPr>
        <w:t>DoDI</w:t>
      </w:r>
      <w:proofErr w:type="spellEnd"/>
      <w:r w:rsidRPr="007D5AE0">
        <w:rPr>
          <w:rFonts w:ascii="Times New Roman" w:hAnsi="Times New Roman"/>
          <w:color w:val="000080"/>
        </w:rPr>
        <w:t xml:space="preserve"> 6040.44 (Section 1554, 10 USC), PDBR Case Number PD-2010-00619.</w:t>
      </w: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360"/>
        <w:rPr>
          <w:rFonts w:ascii="Times New Roman" w:hAnsi="Times New Roman"/>
          <w:color w:val="000080"/>
        </w:rPr>
      </w:pPr>
      <w:r w:rsidRPr="007D5AE0">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rPr>
          <w:rFonts w:ascii="Times New Roman" w:hAnsi="Times New Roman"/>
          <w:color w:val="000080"/>
        </w:rPr>
      </w:pPr>
      <w:r w:rsidRPr="007D5AE0">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7D5AE0" w:rsidRPr="007D5AE0" w:rsidRDefault="007D5AE0" w:rsidP="007D5AE0">
      <w:pPr>
        <w:tabs>
          <w:tab w:val="left" w:pos="720"/>
        </w:tabs>
        <w:spacing w:line="240" w:lineRule="exact"/>
        <w:ind w:right="-36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r w:rsidRPr="007D5AE0">
        <w:rPr>
          <w:rFonts w:ascii="Times New Roman" w:hAnsi="Times New Roman"/>
          <w:color w:val="000080"/>
        </w:rPr>
        <w:tab/>
      </w:r>
      <w:r w:rsidRPr="007D5AE0">
        <w:rPr>
          <w:rFonts w:ascii="Times New Roman" w:hAnsi="Times New Roman"/>
          <w:color w:val="000080"/>
        </w:rPr>
        <w:tab/>
      </w:r>
      <w:r w:rsidRPr="007D5AE0">
        <w:rPr>
          <w:rFonts w:ascii="Times New Roman" w:hAnsi="Times New Roman"/>
          <w:color w:val="000080"/>
        </w:rPr>
        <w:tab/>
      </w:r>
      <w:r w:rsidRPr="007D5AE0">
        <w:rPr>
          <w:rFonts w:ascii="Times New Roman" w:hAnsi="Times New Roman"/>
          <w:color w:val="000080"/>
        </w:rPr>
        <w:tab/>
      </w:r>
      <w:r w:rsidRPr="007D5AE0">
        <w:rPr>
          <w:rFonts w:ascii="Times New Roman" w:hAnsi="Times New Roman"/>
          <w:color w:val="000080"/>
        </w:rPr>
        <w:tab/>
      </w:r>
      <w:r w:rsidRPr="007D5AE0">
        <w:rPr>
          <w:rFonts w:ascii="Times New Roman" w:hAnsi="Times New Roman"/>
          <w:color w:val="000080"/>
        </w:rPr>
        <w:tab/>
      </w:r>
      <w:r w:rsidRPr="007D5AE0">
        <w:rPr>
          <w:rFonts w:ascii="Times New Roman" w:hAnsi="Times New Roman"/>
          <w:color w:val="000080"/>
        </w:rPr>
        <w:tab/>
        <w:t>Sincerely,</w:t>
      </w: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7D5AE0" w:rsidRPr="007D5AE0" w:rsidRDefault="007D5AE0" w:rsidP="007D5AE0">
      <w:pPr>
        <w:tabs>
          <w:tab w:val="left" w:pos="720"/>
        </w:tabs>
        <w:spacing w:line="240" w:lineRule="exact"/>
        <w:ind w:left="5040" w:right="-1080"/>
        <w:rPr>
          <w:rFonts w:ascii="Times New Roman" w:hAnsi="Times New Roman"/>
          <w:color w:val="000080"/>
        </w:rPr>
      </w:pPr>
      <w:r w:rsidRPr="007D5AE0">
        <w:rPr>
          <w:rFonts w:ascii="Times New Roman" w:hAnsi="Times New Roman"/>
          <w:color w:val="000080"/>
        </w:rPr>
        <w:t>Director</w:t>
      </w:r>
    </w:p>
    <w:p w:rsidR="007D5AE0" w:rsidRPr="007D5AE0" w:rsidRDefault="007D5AE0" w:rsidP="007D5AE0">
      <w:pPr>
        <w:tabs>
          <w:tab w:val="left" w:pos="720"/>
        </w:tabs>
        <w:spacing w:line="240" w:lineRule="exact"/>
        <w:ind w:left="5040" w:right="-1080"/>
        <w:rPr>
          <w:rFonts w:ascii="Times New Roman" w:hAnsi="Times New Roman"/>
          <w:color w:val="000080"/>
        </w:rPr>
      </w:pPr>
      <w:r w:rsidRPr="007D5AE0">
        <w:rPr>
          <w:rFonts w:ascii="Times New Roman" w:hAnsi="Times New Roman"/>
          <w:color w:val="000080"/>
        </w:rPr>
        <w:t>Air Force Review Boards Agency</w:t>
      </w:r>
    </w:p>
    <w:p w:rsidR="007D5AE0" w:rsidRPr="007D5AE0" w:rsidRDefault="007D5AE0" w:rsidP="007D5AE0">
      <w:pPr>
        <w:tabs>
          <w:tab w:val="left" w:pos="720"/>
        </w:tabs>
        <w:spacing w:line="240" w:lineRule="exact"/>
        <w:ind w:right="-1080"/>
        <w:rPr>
          <w:rFonts w:ascii="Times New Roman" w:hAnsi="Times New Roman"/>
          <w:color w:val="000080"/>
        </w:rPr>
      </w:pPr>
    </w:p>
    <w:p w:rsidR="007D5AE0" w:rsidRPr="007D5AE0" w:rsidRDefault="007D5AE0" w:rsidP="007D5AE0">
      <w:pPr>
        <w:tabs>
          <w:tab w:val="left" w:pos="720"/>
        </w:tabs>
        <w:spacing w:line="240" w:lineRule="exact"/>
        <w:ind w:right="-1080"/>
        <w:rPr>
          <w:rFonts w:ascii="Times New Roman" w:hAnsi="Times New Roman"/>
          <w:color w:val="000080"/>
        </w:rPr>
      </w:pPr>
      <w:r w:rsidRPr="007D5AE0">
        <w:rPr>
          <w:rFonts w:ascii="Times New Roman" w:hAnsi="Times New Roman"/>
          <w:color w:val="000080"/>
        </w:rPr>
        <w:t>Attachment:</w:t>
      </w:r>
    </w:p>
    <w:p w:rsidR="007D5AE0" w:rsidRPr="007D5AE0" w:rsidRDefault="007D5AE0" w:rsidP="007D5AE0">
      <w:pPr>
        <w:tabs>
          <w:tab w:val="left" w:pos="720"/>
        </w:tabs>
        <w:spacing w:line="240" w:lineRule="exact"/>
        <w:ind w:right="-1080"/>
        <w:rPr>
          <w:rFonts w:ascii="Times New Roman" w:hAnsi="Times New Roman"/>
          <w:color w:val="000080"/>
        </w:rPr>
      </w:pPr>
      <w:r w:rsidRPr="007D5AE0">
        <w:rPr>
          <w:rFonts w:ascii="Times New Roman" w:hAnsi="Times New Roman"/>
          <w:color w:val="000080"/>
        </w:rPr>
        <w:t>Record of Proceedings</w:t>
      </w:r>
    </w:p>
    <w:p w:rsidR="00DD469B" w:rsidRPr="00DD469B" w:rsidRDefault="00DD469B" w:rsidP="00B00F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DD469B" w:rsidRPr="00DD469B"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CC" w:rsidRDefault="00040DCC">
      <w:r>
        <w:separator/>
      </w:r>
    </w:p>
  </w:endnote>
  <w:endnote w:type="continuationSeparator" w:id="0">
    <w:p w:rsidR="00040DCC" w:rsidRDefault="00040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68176C">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68176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D5AE0">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5D7066">
      <w:rPr>
        <w:rFonts w:asciiTheme="minorHAnsi" w:hAnsiTheme="minorHAnsi"/>
        <w:caps/>
        <w:color w:val="auto"/>
      </w:rPr>
      <w:t>10006</w:t>
    </w:r>
    <w:r w:rsidR="0047425C">
      <w:rPr>
        <w:rFonts w:asciiTheme="minorHAnsi" w:hAnsiTheme="minorHAnsi"/>
        <w:caps/>
        <w:color w:val="auto"/>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CC" w:rsidRDefault="00040DCC">
      <w:r>
        <w:separator/>
      </w:r>
    </w:p>
  </w:footnote>
  <w:footnote w:type="continuationSeparator" w:id="0">
    <w:p w:rsidR="00040DCC" w:rsidRDefault="0004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754"/>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DCC"/>
    <w:rsid w:val="00040FC4"/>
    <w:rsid w:val="000416F8"/>
    <w:rsid w:val="00042C26"/>
    <w:rsid w:val="00043382"/>
    <w:rsid w:val="00044623"/>
    <w:rsid w:val="00051622"/>
    <w:rsid w:val="00052234"/>
    <w:rsid w:val="00053D7C"/>
    <w:rsid w:val="00056C81"/>
    <w:rsid w:val="000577C9"/>
    <w:rsid w:val="0006431E"/>
    <w:rsid w:val="00065E21"/>
    <w:rsid w:val="00072433"/>
    <w:rsid w:val="00075702"/>
    <w:rsid w:val="000775C2"/>
    <w:rsid w:val="000806AD"/>
    <w:rsid w:val="00081D83"/>
    <w:rsid w:val="00082482"/>
    <w:rsid w:val="000857B8"/>
    <w:rsid w:val="00086F71"/>
    <w:rsid w:val="00087051"/>
    <w:rsid w:val="0008708B"/>
    <w:rsid w:val="000924AA"/>
    <w:rsid w:val="00092619"/>
    <w:rsid w:val="00092C66"/>
    <w:rsid w:val="00094E4F"/>
    <w:rsid w:val="000A151E"/>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2D96"/>
    <w:rsid w:val="000E3424"/>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249"/>
    <w:rsid w:val="001315DD"/>
    <w:rsid w:val="0013525F"/>
    <w:rsid w:val="00135385"/>
    <w:rsid w:val="001364D1"/>
    <w:rsid w:val="00142EBA"/>
    <w:rsid w:val="00143B79"/>
    <w:rsid w:val="00150B8A"/>
    <w:rsid w:val="00150DCB"/>
    <w:rsid w:val="00151912"/>
    <w:rsid w:val="00153740"/>
    <w:rsid w:val="001541C5"/>
    <w:rsid w:val="0015623F"/>
    <w:rsid w:val="00156585"/>
    <w:rsid w:val="00156A08"/>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3205"/>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196E"/>
    <w:rsid w:val="00225196"/>
    <w:rsid w:val="00225CB4"/>
    <w:rsid w:val="0023049F"/>
    <w:rsid w:val="002316F6"/>
    <w:rsid w:val="00232C9B"/>
    <w:rsid w:val="00232F09"/>
    <w:rsid w:val="002335D5"/>
    <w:rsid w:val="002338CA"/>
    <w:rsid w:val="00233FE5"/>
    <w:rsid w:val="00234B3B"/>
    <w:rsid w:val="0024174E"/>
    <w:rsid w:val="00241CB1"/>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1E2"/>
    <w:rsid w:val="00284A26"/>
    <w:rsid w:val="00284A7F"/>
    <w:rsid w:val="00287006"/>
    <w:rsid w:val="00292AB2"/>
    <w:rsid w:val="00294437"/>
    <w:rsid w:val="00296923"/>
    <w:rsid w:val="002A13BF"/>
    <w:rsid w:val="002A3237"/>
    <w:rsid w:val="002A58B7"/>
    <w:rsid w:val="002A5943"/>
    <w:rsid w:val="002A5C3C"/>
    <w:rsid w:val="002A685E"/>
    <w:rsid w:val="002A72C7"/>
    <w:rsid w:val="002B03B2"/>
    <w:rsid w:val="002B0749"/>
    <w:rsid w:val="002B2645"/>
    <w:rsid w:val="002B6FA0"/>
    <w:rsid w:val="002C2839"/>
    <w:rsid w:val="002C5F10"/>
    <w:rsid w:val="002C6E5B"/>
    <w:rsid w:val="002D18B4"/>
    <w:rsid w:val="002D231A"/>
    <w:rsid w:val="002D39A4"/>
    <w:rsid w:val="002D7FD8"/>
    <w:rsid w:val="002E1877"/>
    <w:rsid w:val="002E1C31"/>
    <w:rsid w:val="002E333A"/>
    <w:rsid w:val="002E3474"/>
    <w:rsid w:val="002E400C"/>
    <w:rsid w:val="002E49C3"/>
    <w:rsid w:val="002E5114"/>
    <w:rsid w:val="002E7570"/>
    <w:rsid w:val="002E764B"/>
    <w:rsid w:val="002F0E28"/>
    <w:rsid w:val="002F286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1C1"/>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0570"/>
    <w:rsid w:val="00393651"/>
    <w:rsid w:val="00395E12"/>
    <w:rsid w:val="00396779"/>
    <w:rsid w:val="00397DB7"/>
    <w:rsid w:val="003A27B2"/>
    <w:rsid w:val="003A40B4"/>
    <w:rsid w:val="003A41BA"/>
    <w:rsid w:val="003A6A99"/>
    <w:rsid w:val="003A7FF8"/>
    <w:rsid w:val="003B17AC"/>
    <w:rsid w:val="003B227A"/>
    <w:rsid w:val="003B5854"/>
    <w:rsid w:val="003B6764"/>
    <w:rsid w:val="003C26A6"/>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0DF"/>
    <w:rsid w:val="00404B45"/>
    <w:rsid w:val="00406CC5"/>
    <w:rsid w:val="004074A4"/>
    <w:rsid w:val="004101B2"/>
    <w:rsid w:val="004123D7"/>
    <w:rsid w:val="00412658"/>
    <w:rsid w:val="004172DB"/>
    <w:rsid w:val="00421424"/>
    <w:rsid w:val="00421485"/>
    <w:rsid w:val="00422B75"/>
    <w:rsid w:val="00433F36"/>
    <w:rsid w:val="0043503A"/>
    <w:rsid w:val="004427C6"/>
    <w:rsid w:val="0044384F"/>
    <w:rsid w:val="00444F80"/>
    <w:rsid w:val="00446018"/>
    <w:rsid w:val="004543BC"/>
    <w:rsid w:val="0045645D"/>
    <w:rsid w:val="004574C6"/>
    <w:rsid w:val="00457AD9"/>
    <w:rsid w:val="00457BCF"/>
    <w:rsid w:val="00457DCE"/>
    <w:rsid w:val="00460E3F"/>
    <w:rsid w:val="00462F68"/>
    <w:rsid w:val="00466CED"/>
    <w:rsid w:val="00467592"/>
    <w:rsid w:val="00467690"/>
    <w:rsid w:val="004718E7"/>
    <w:rsid w:val="00472535"/>
    <w:rsid w:val="0047425C"/>
    <w:rsid w:val="004761CC"/>
    <w:rsid w:val="00480D4A"/>
    <w:rsid w:val="00481DA1"/>
    <w:rsid w:val="00484212"/>
    <w:rsid w:val="00484FD2"/>
    <w:rsid w:val="0049255F"/>
    <w:rsid w:val="00493CB0"/>
    <w:rsid w:val="0049445D"/>
    <w:rsid w:val="00495350"/>
    <w:rsid w:val="00495C69"/>
    <w:rsid w:val="00497156"/>
    <w:rsid w:val="004A0C79"/>
    <w:rsid w:val="004A24D2"/>
    <w:rsid w:val="004A3214"/>
    <w:rsid w:val="004A4136"/>
    <w:rsid w:val="004A417B"/>
    <w:rsid w:val="004A4222"/>
    <w:rsid w:val="004B03F3"/>
    <w:rsid w:val="004B0CC9"/>
    <w:rsid w:val="004B2536"/>
    <w:rsid w:val="004B2BAA"/>
    <w:rsid w:val="004B31CA"/>
    <w:rsid w:val="004B6AF3"/>
    <w:rsid w:val="004B715E"/>
    <w:rsid w:val="004B7169"/>
    <w:rsid w:val="004B79C9"/>
    <w:rsid w:val="004C5E33"/>
    <w:rsid w:val="004C6AE0"/>
    <w:rsid w:val="004C6CDA"/>
    <w:rsid w:val="004C73D8"/>
    <w:rsid w:val="004D10D4"/>
    <w:rsid w:val="004D16BD"/>
    <w:rsid w:val="004D2AAB"/>
    <w:rsid w:val="004D4D2C"/>
    <w:rsid w:val="004D6F2B"/>
    <w:rsid w:val="004E0248"/>
    <w:rsid w:val="004E21A3"/>
    <w:rsid w:val="004E32EA"/>
    <w:rsid w:val="004E3361"/>
    <w:rsid w:val="004E6866"/>
    <w:rsid w:val="004F3222"/>
    <w:rsid w:val="004F3BFA"/>
    <w:rsid w:val="005000AB"/>
    <w:rsid w:val="0050150F"/>
    <w:rsid w:val="005025EE"/>
    <w:rsid w:val="00507389"/>
    <w:rsid w:val="00507D3E"/>
    <w:rsid w:val="00510588"/>
    <w:rsid w:val="0051146C"/>
    <w:rsid w:val="00514449"/>
    <w:rsid w:val="005157BD"/>
    <w:rsid w:val="00520EC2"/>
    <w:rsid w:val="005214A3"/>
    <w:rsid w:val="005222E7"/>
    <w:rsid w:val="00522A2B"/>
    <w:rsid w:val="00523A8B"/>
    <w:rsid w:val="00523E04"/>
    <w:rsid w:val="0052590B"/>
    <w:rsid w:val="00526591"/>
    <w:rsid w:val="00527178"/>
    <w:rsid w:val="005278CB"/>
    <w:rsid w:val="0053123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7066"/>
    <w:rsid w:val="005E3064"/>
    <w:rsid w:val="005E6DB3"/>
    <w:rsid w:val="005E72B2"/>
    <w:rsid w:val="005F1115"/>
    <w:rsid w:val="005F1AB6"/>
    <w:rsid w:val="005F27F2"/>
    <w:rsid w:val="005F3AFE"/>
    <w:rsid w:val="005F424D"/>
    <w:rsid w:val="005F6B6D"/>
    <w:rsid w:val="00601DB4"/>
    <w:rsid w:val="00605AAB"/>
    <w:rsid w:val="00606BEB"/>
    <w:rsid w:val="0061014A"/>
    <w:rsid w:val="0061054B"/>
    <w:rsid w:val="00613E26"/>
    <w:rsid w:val="00615641"/>
    <w:rsid w:val="00616959"/>
    <w:rsid w:val="006211D0"/>
    <w:rsid w:val="00624D0C"/>
    <w:rsid w:val="006274B4"/>
    <w:rsid w:val="006307BA"/>
    <w:rsid w:val="006315BA"/>
    <w:rsid w:val="0063357E"/>
    <w:rsid w:val="00634C4A"/>
    <w:rsid w:val="0063532E"/>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8176C"/>
    <w:rsid w:val="00681790"/>
    <w:rsid w:val="00684E2B"/>
    <w:rsid w:val="00690FDA"/>
    <w:rsid w:val="00691E61"/>
    <w:rsid w:val="00693646"/>
    <w:rsid w:val="00693C5E"/>
    <w:rsid w:val="00694EEA"/>
    <w:rsid w:val="006955B4"/>
    <w:rsid w:val="00696476"/>
    <w:rsid w:val="006A10FA"/>
    <w:rsid w:val="006A40E6"/>
    <w:rsid w:val="006A5AFE"/>
    <w:rsid w:val="006A5C07"/>
    <w:rsid w:val="006A75FA"/>
    <w:rsid w:val="006B07D5"/>
    <w:rsid w:val="006B1309"/>
    <w:rsid w:val="006B232A"/>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8FC"/>
    <w:rsid w:val="006F4F06"/>
    <w:rsid w:val="006F5A4E"/>
    <w:rsid w:val="006F5C2D"/>
    <w:rsid w:val="006F6005"/>
    <w:rsid w:val="00703B6C"/>
    <w:rsid w:val="00705C40"/>
    <w:rsid w:val="00706482"/>
    <w:rsid w:val="00706BEF"/>
    <w:rsid w:val="00707ECE"/>
    <w:rsid w:val="00710CE8"/>
    <w:rsid w:val="007116BC"/>
    <w:rsid w:val="007144DD"/>
    <w:rsid w:val="007165CE"/>
    <w:rsid w:val="00720968"/>
    <w:rsid w:val="00721705"/>
    <w:rsid w:val="00721D12"/>
    <w:rsid w:val="00721F8B"/>
    <w:rsid w:val="007237CE"/>
    <w:rsid w:val="00724688"/>
    <w:rsid w:val="0073062D"/>
    <w:rsid w:val="0073254D"/>
    <w:rsid w:val="00736A49"/>
    <w:rsid w:val="00737283"/>
    <w:rsid w:val="007419A1"/>
    <w:rsid w:val="00743B71"/>
    <w:rsid w:val="00743C2D"/>
    <w:rsid w:val="00743E36"/>
    <w:rsid w:val="007446F7"/>
    <w:rsid w:val="00744EBB"/>
    <w:rsid w:val="00745B0A"/>
    <w:rsid w:val="007468AC"/>
    <w:rsid w:val="00746AE2"/>
    <w:rsid w:val="00750C82"/>
    <w:rsid w:val="00757CCB"/>
    <w:rsid w:val="0076100C"/>
    <w:rsid w:val="007612A5"/>
    <w:rsid w:val="00763F95"/>
    <w:rsid w:val="007651ED"/>
    <w:rsid w:val="00766C87"/>
    <w:rsid w:val="0077749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3916"/>
    <w:rsid w:val="007D568A"/>
    <w:rsid w:val="007D574E"/>
    <w:rsid w:val="007D5AE0"/>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2AE3"/>
    <w:rsid w:val="00813FB9"/>
    <w:rsid w:val="00817713"/>
    <w:rsid w:val="008220F1"/>
    <w:rsid w:val="0082340B"/>
    <w:rsid w:val="008241EE"/>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789F"/>
    <w:rsid w:val="0085089F"/>
    <w:rsid w:val="00851A0E"/>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2BBD"/>
    <w:rsid w:val="0089491E"/>
    <w:rsid w:val="00896535"/>
    <w:rsid w:val="00896683"/>
    <w:rsid w:val="0089750B"/>
    <w:rsid w:val="00897589"/>
    <w:rsid w:val="008A2E3B"/>
    <w:rsid w:val="008A63A9"/>
    <w:rsid w:val="008A7F7E"/>
    <w:rsid w:val="008B04DB"/>
    <w:rsid w:val="008B27FD"/>
    <w:rsid w:val="008B3AF2"/>
    <w:rsid w:val="008B446D"/>
    <w:rsid w:val="008B4578"/>
    <w:rsid w:val="008B515D"/>
    <w:rsid w:val="008B5D31"/>
    <w:rsid w:val="008B6705"/>
    <w:rsid w:val="008C22F3"/>
    <w:rsid w:val="008C3EF7"/>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EFF"/>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1BEE"/>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144B"/>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08BC"/>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70B"/>
    <w:rsid w:val="00A82C52"/>
    <w:rsid w:val="00A86CB6"/>
    <w:rsid w:val="00A90C64"/>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5EDD"/>
    <w:rsid w:val="00AC713F"/>
    <w:rsid w:val="00AD067E"/>
    <w:rsid w:val="00AD2801"/>
    <w:rsid w:val="00AD6870"/>
    <w:rsid w:val="00AD68C5"/>
    <w:rsid w:val="00AE1273"/>
    <w:rsid w:val="00AE2D29"/>
    <w:rsid w:val="00AE4624"/>
    <w:rsid w:val="00AE5E14"/>
    <w:rsid w:val="00AE6115"/>
    <w:rsid w:val="00AE625B"/>
    <w:rsid w:val="00AF1668"/>
    <w:rsid w:val="00AF4FA5"/>
    <w:rsid w:val="00B00FD7"/>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37224"/>
    <w:rsid w:val="00B40A05"/>
    <w:rsid w:val="00B40A3E"/>
    <w:rsid w:val="00B427BB"/>
    <w:rsid w:val="00B449EE"/>
    <w:rsid w:val="00B458C7"/>
    <w:rsid w:val="00B50227"/>
    <w:rsid w:val="00B50510"/>
    <w:rsid w:val="00B522CD"/>
    <w:rsid w:val="00B55143"/>
    <w:rsid w:val="00B555C8"/>
    <w:rsid w:val="00B55917"/>
    <w:rsid w:val="00B621C8"/>
    <w:rsid w:val="00B643A6"/>
    <w:rsid w:val="00B64DD6"/>
    <w:rsid w:val="00B6710C"/>
    <w:rsid w:val="00B67E84"/>
    <w:rsid w:val="00B72076"/>
    <w:rsid w:val="00B72303"/>
    <w:rsid w:val="00B72C72"/>
    <w:rsid w:val="00B82277"/>
    <w:rsid w:val="00B909C4"/>
    <w:rsid w:val="00B91676"/>
    <w:rsid w:val="00B949C1"/>
    <w:rsid w:val="00B95833"/>
    <w:rsid w:val="00BA1824"/>
    <w:rsid w:val="00BA2D98"/>
    <w:rsid w:val="00BA30D1"/>
    <w:rsid w:val="00BA30E1"/>
    <w:rsid w:val="00BA4609"/>
    <w:rsid w:val="00BA5BE2"/>
    <w:rsid w:val="00BA7F46"/>
    <w:rsid w:val="00BB0A0A"/>
    <w:rsid w:val="00BB133C"/>
    <w:rsid w:val="00BB20C1"/>
    <w:rsid w:val="00BB45B5"/>
    <w:rsid w:val="00BB6064"/>
    <w:rsid w:val="00BB6C81"/>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756"/>
    <w:rsid w:val="00C05C6D"/>
    <w:rsid w:val="00C06E45"/>
    <w:rsid w:val="00C1122B"/>
    <w:rsid w:val="00C13B34"/>
    <w:rsid w:val="00C13F26"/>
    <w:rsid w:val="00C1474E"/>
    <w:rsid w:val="00C16E9F"/>
    <w:rsid w:val="00C1713D"/>
    <w:rsid w:val="00C177F1"/>
    <w:rsid w:val="00C17EE6"/>
    <w:rsid w:val="00C21AC6"/>
    <w:rsid w:val="00C227F4"/>
    <w:rsid w:val="00C22F3A"/>
    <w:rsid w:val="00C23311"/>
    <w:rsid w:val="00C25978"/>
    <w:rsid w:val="00C261C6"/>
    <w:rsid w:val="00C26DF0"/>
    <w:rsid w:val="00C26E7C"/>
    <w:rsid w:val="00C276CD"/>
    <w:rsid w:val="00C30A97"/>
    <w:rsid w:val="00C31DDC"/>
    <w:rsid w:val="00C34326"/>
    <w:rsid w:val="00C3613A"/>
    <w:rsid w:val="00C36201"/>
    <w:rsid w:val="00C368E8"/>
    <w:rsid w:val="00C36C3D"/>
    <w:rsid w:val="00C372C7"/>
    <w:rsid w:val="00C42443"/>
    <w:rsid w:val="00C42CBA"/>
    <w:rsid w:val="00C469D8"/>
    <w:rsid w:val="00C5019E"/>
    <w:rsid w:val="00C5377C"/>
    <w:rsid w:val="00C53E8A"/>
    <w:rsid w:val="00C54DF3"/>
    <w:rsid w:val="00C560A7"/>
    <w:rsid w:val="00C56D89"/>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4B68"/>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0AC"/>
    <w:rsid w:val="00D2321B"/>
    <w:rsid w:val="00D23DE4"/>
    <w:rsid w:val="00D26873"/>
    <w:rsid w:val="00D31683"/>
    <w:rsid w:val="00D3207B"/>
    <w:rsid w:val="00D336C8"/>
    <w:rsid w:val="00D339E8"/>
    <w:rsid w:val="00D3488D"/>
    <w:rsid w:val="00D3662E"/>
    <w:rsid w:val="00D372FF"/>
    <w:rsid w:val="00D40892"/>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9AD"/>
    <w:rsid w:val="00D82EE2"/>
    <w:rsid w:val="00D84DDF"/>
    <w:rsid w:val="00D8545C"/>
    <w:rsid w:val="00D868E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668B"/>
    <w:rsid w:val="00DD286D"/>
    <w:rsid w:val="00DD28D4"/>
    <w:rsid w:val="00DD2CAF"/>
    <w:rsid w:val="00DD3593"/>
    <w:rsid w:val="00DD469B"/>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17E27"/>
    <w:rsid w:val="00E239AC"/>
    <w:rsid w:val="00E2536E"/>
    <w:rsid w:val="00E25B8A"/>
    <w:rsid w:val="00E2632B"/>
    <w:rsid w:val="00E322F7"/>
    <w:rsid w:val="00E3369B"/>
    <w:rsid w:val="00E36D76"/>
    <w:rsid w:val="00E405EA"/>
    <w:rsid w:val="00E408B7"/>
    <w:rsid w:val="00E41637"/>
    <w:rsid w:val="00E42789"/>
    <w:rsid w:val="00E43F59"/>
    <w:rsid w:val="00E44417"/>
    <w:rsid w:val="00E464F0"/>
    <w:rsid w:val="00E50BEB"/>
    <w:rsid w:val="00E548FA"/>
    <w:rsid w:val="00E57ED4"/>
    <w:rsid w:val="00E6092F"/>
    <w:rsid w:val="00E62049"/>
    <w:rsid w:val="00E629DA"/>
    <w:rsid w:val="00E6469F"/>
    <w:rsid w:val="00E670F8"/>
    <w:rsid w:val="00E67FAC"/>
    <w:rsid w:val="00E70ADF"/>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EF6545"/>
    <w:rsid w:val="00F0044B"/>
    <w:rsid w:val="00F04957"/>
    <w:rsid w:val="00F05807"/>
    <w:rsid w:val="00F07052"/>
    <w:rsid w:val="00F0706C"/>
    <w:rsid w:val="00F11EBE"/>
    <w:rsid w:val="00F12BA8"/>
    <w:rsid w:val="00F130D0"/>
    <w:rsid w:val="00F14933"/>
    <w:rsid w:val="00F1516A"/>
    <w:rsid w:val="00F226A3"/>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62DB"/>
    <w:rsid w:val="00F6636A"/>
    <w:rsid w:val="00F667C5"/>
    <w:rsid w:val="00F67E31"/>
    <w:rsid w:val="00F70EB6"/>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CED"/>
    <w:rsid w:val="00FC7DBC"/>
    <w:rsid w:val="00FD076A"/>
    <w:rsid w:val="00FD0AA0"/>
    <w:rsid w:val="00FD1D5A"/>
    <w:rsid w:val="00FD5059"/>
    <w:rsid w:val="00FD554D"/>
    <w:rsid w:val="00FE1457"/>
    <w:rsid w:val="00FE6469"/>
    <w:rsid w:val="00FF0EFB"/>
    <w:rsid w:val="00FF0FF7"/>
    <w:rsid w:val="00FF10A2"/>
    <w:rsid w:val="00FF1438"/>
    <w:rsid w:val="00FF24FF"/>
    <w:rsid w:val="00FF3A38"/>
    <w:rsid w:val="00FF3C25"/>
    <w:rsid w:val="00FF3D20"/>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64E7-2AA0-43AC-8A40-297D095F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2011-08-03T18:39:00Z</cp:lastPrinted>
  <dcterms:created xsi:type="dcterms:W3CDTF">2011-07-15T18:24:00Z</dcterms:created>
  <dcterms:modified xsi:type="dcterms:W3CDTF">2012-05-14T21:56:00Z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