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Calibri" w:hAnsi="Calibri"/>
          <w:color w:val="auto"/>
        </w:rPr>
      </w:pPr>
      <w:r w:rsidRPr="00396779">
        <w:rPr>
          <w:rFonts w:ascii="Calibri" w:hAnsi="Calibri"/>
          <w:color w:val="auto"/>
        </w:rPr>
        <w:t>RECORD OF PROCEEDINGS</w:t>
      </w:r>
    </w:p>
    <w:p w:rsidR="00540BEF" w:rsidRPr="00396779" w:rsidRDefault="00540BEF" w:rsidP="00190E48">
      <w:pPr>
        <w:tabs>
          <w:tab w:val="left" w:pos="288"/>
          <w:tab w:val="left" w:pos="4752"/>
        </w:tabs>
        <w:spacing w:line="240" w:lineRule="exact"/>
        <w:jc w:val="center"/>
        <w:rPr>
          <w:rFonts w:ascii="Calibri" w:hAnsi="Calibri"/>
          <w:color w:val="auto"/>
        </w:rPr>
      </w:pPr>
      <w:r w:rsidRPr="00396779">
        <w:rPr>
          <w:rFonts w:ascii="Calibri" w:hAnsi="Calibri"/>
          <w:color w:val="auto"/>
        </w:rPr>
        <w:t>PHYSICAL DISABILITY BOARD OF REVIEW</w:t>
      </w:r>
    </w:p>
    <w:p w:rsidR="00540BEF" w:rsidRPr="00396779" w:rsidRDefault="00540BEF" w:rsidP="00190E48">
      <w:pPr>
        <w:tabs>
          <w:tab w:val="left" w:pos="288"/>
          <w:tab w:val="left" w:pos="4752"/>
        </w:tabs>
        <w:spacing w:line="240" w:lineRule="exact"/>
        <w:jc w:val="both"/>
        <w:rPr>
          <w:rFonts w:ascii="Calibri" w:hAnsi="Calibri"/>
          <w:caps/>
          <w:color w:val="auto"/>
        </w:rPr>
      </w:pPr>
    </w:p>
    <w:p w:rsidR="008B446D" w:rsidRDefault="008B446D" w:rsidP="008B446D">
      <w:pPr>
        <w:tabs>
          <w:tab w:val="left" w:pos="288"/>
          <w:tab w:val="left" w:pos="4752"/>
        </w:tabs>
        <w:spacing w:line="240" w:lineRule="exact"/>
        <w:ind w:right="-1260"/>
        <w:jc w:val="both"/>
        <w:rPr>
          <w:rFonts w:ascii="Calibri" w:hAnsi="Calibri"/>
          <w:caps/>
          <w:color w:val="auto"/>
        </w:rPr>
      </w:pPr>
      <w:r>
        <w:rPr>
          <w:rFonts w:ascii="Calibri" w:hAnsi="Calibri"/>
          <w:caps/>
          <w:color w:val="auto"/>
        </w:rPr>
        <w:t xml:space="preserve">NAME: </w:t>
      </w:r>
      <w:r w:rsidR="00624871">
        <w:rPr>
          <w:rFonts w:ascii="Calibri" w:hAnsi="Calibri"/>
          <w:caps/>
          <w:color w:val="auto"/>
        </w:rPr>
        <w:t xml:space="preserve"> </w:t>
      </w:r>
      <w:r w:rsidR="00541C38">
        <w:rPr>
          <w:rFonts w:ascii="Calibri" w:hAnsi="Calibri"/>
          <w:caps/>
          <w:color w:val="auto"/>
        </w:rPr>
        <w:t>XXXXXX</w:t>
      </w:r>
      <w:r>
        <w:rPr>
          <w:rFonts w:ascii="Calibri" w:hAnsi="Calibri"/>
          <w:caps/>
          <w:color w:val="auto"/>
        </w:rPr>
        <w:tab/>
      </w:r>
      <w:r>
        <w:rPr>
          <w:rFonts w:ascii="Calibri" w:hAnsi="Calibri"/>
          <w:caps/>
          <w:color w:val="auto"/>
        </w:rPr>
        <w:tab/>
      </w:r>
      <w:r>
        <w:rPr>
          <w:rFonts w:ascii="Calibri" w:hAnsi="Calibri"/>
          <w:caps/>
          <w:color w:val="auto"/>
        </w:rPr>
        <w:tab/>
        <w:t>BRANCH OF SERVICE:</w:t>
      </w:r>
      <w:r w:rsidR="00624871">
        <w:rPr>
          <w:rFonts w:ascii="Calibri" w:hAnsi="Calibri"/>
          <w:caps/>
          <w:color w:val="auto"/>
        </w:rPr>
        <w:t xml:space="preserve"> </w:t>
      </w:r>
      <w:r>
        <w:rPr>
          <w:rFonts w:ascii="Calibri" w:hAnsi="Calibri"/>
          <w:caps/>
          <w:color w:val="auto"/>
        </w:rPr>
        <w:t xml:space="preserve"> </w:t>
      </w:r>
      <w:r w:rsidRPr="00FF521E">
        <w:rPr>
          <w:rFonts w:ascii="Calibri" w:hAnsi="Calibri"/>
          <w:caps/>
          <w:color w:val="auto"/>
        </w:rPr>
        <w:t xml:space="preserve">marine corps </w:t>
      </w:r>
    </w:p>
    <w:p w:rsidR="008B446D" w:rsidRDefault="008B446D" w:rsidP="008B446D">
      <w:pPr>
        <w:tabs>
          <w:tab w:val="left" w:pos="288"/>
          <w:tab w:val="left" w:pos="4752"/>
        </w:tabs>
        <w:spacing w:line="240" w:lineRule="exact"/>
        <w:ind w:right="-900"/>
        <w:jc w:val="both"/>
        <w:rPr>
          <w:rFonts w:ascii="Calibri" w:hAnsi="Calibri"/>
          <w:caps/>
          <w:color w:val="auto"/>
        </w:rPr>
      </w:pPr>
      <w:r>
        <w:rPr>
          <w:rFonts w:ascii="Calibri" w:hAnsi="Calibri"/>
          <w:caps/>
          <w:color w:val="auto"/>
        </w:rPr>
        <w:t xml:space="preserve">CASE NUMBER: </w:t>
      </w:r>
      <w:r w:rsidR="00624871">
        <w:rPr>
          <w:rFonts w:ascii="Calibri" w:hAnsi="Calibri"/>
          <w:caps/>
          <w:color w:val="auto"/>
        </w:rPr>
        <w:t xml:space="preserve"> </w:t>
      </w:r>
      <w:r>
        <w:rPr>
          <w:rFonts w:ascii="Calibri" w:hAnsi="Calibri"/>
          <w:caps/>
          <w:color w:val="auto"/>
        </w:rPr>
        <w:t>PD</w:t>
      </w:r>
      <w:r w:rsidR="00FF521E">
        <w:rPr>
          <w:rFonts w:ascii="Calibri" w:hAnsi="Calibri"/>
          <w:caps/>
          <w:color w:val="auto"/>
        </w:rPr>
        <w:t>1000597</w:t>
      </w:r>
      <w:r>
        <w:rPr>
          <w:rFonts w:ascii="Calibri" w:hAnsi="Calibri"/>
          <w:caps/>
          <w:color w:val="auto"/>
        </w:rPr>
        <w:tab/>
      </w:r>
      <w:r>
        <w:rPr>
          <w:rFonts w:ascii="Calibri" w:hAnsi="Calibri"/>
          <w:caps/>
          <w:color w:val="auto"/>
        </w:rPr>
        <w:tab/>
      </w:r>
      <w:r>
        <w:rPr>
          <w:rFonts w:ascii="Calibri" w:hAnsi="Calibri"/>
          <w:caps/>
          <w:color w:val="auto"/>
        </w:rPr>
        <w:tab/>
        <w:t xml:space="preserve">SEPARATION DATE: </w:t>
      </w:r>
      <w:r w:rsidR="00624871">
        <w:rPr>
          <w:rFonts w:ascii="Calibri" w:hAnsi="Calibri"/>
          <w:caps/>
          <w:color w:val="auto"/>
        </w:rPr>
        <w:t xml:space="preserve"> </w:t>
      </w:r>
      <w:r>
        <w:rPr>
          <w:rFonts w:ascii="Calibri" w:hAnsi="Calibri"/>
          <w:caps/>
          <w:color w:val="auto"/>
        </w:rPr>
        <w:t>200</w:t>
      </w:r>
      <w:r w:rsidR="00FF521E">
        <w:rPr>
          <w:rFonts w:ascii="Calibri" w:hAnsi="Calibri"/>
          <w:caps/>
          <w:color w:val="auto"/>
        </w:rPr>
        <w:t>80330</w:t>
      </w:r>
    </w:p>
    <w:p w:rsidR="008B446D" w:rsidRDefault="008B446D" w:rsidP="008B446D">
      <w:pPr>
        <w:tabs>
          <w:tab w:val="left" w:pos="288"/>
          <w:tab w:val="left" w:pos="4752"/>
        </w:tabs>
        <w:spacing w:line="240" w:lineRule="exact"/>
        <w:jc w:val="both"/>
        <w:rPr>
          <w:rFonts w:ascii="Calibri" w:hAnsi="Calibri"/>
          <w:caps/>
          <w:color w:val="auto"/>
        </w:rPr>
      </w:pPr>
      <w:r>
        <w:rPr>
          <w:rFonts w:ascii="Calibri" w:hAnsi="Calibri"/>
          <w:caps/>
          <w:color w:val="auto"/>
        </w:rPr>
        <w:t xml:space="preserve">BOARD DATE: </w:t>
      </w:r>
      <w:r w:rsidR="00624871">
        <w:rPr>
          <w:rFonts w:ascii="Calibri" w:hAnsi="Calibri"/>
          <w:caps/>
          <w:color w:val="auto"/>
        </w:rPr>
        <w:t xml:space="preserve"> </w:t>
      </w:r>
      <w:r>
        <w:rPr>
          <w:rFonts w:ascii="Calibri" w:hAnsi="Calibri"/>
          <w:caps/>
          <w:color w:val="auto"/>
        </w:rPr>
        <w:t>201</w:t>
      </w:r>
      <w:r w:rsidR="00624871">
        <w:rPr>
          <w:rFonts w:ascii="Calibri" w:hAnsi="Calibri"/>
          <w:caps/>
          <w:color w:val="auto"/>
        </w:rPr>
        <w:t>1</w:t>
      </w:r>
      <w:r w:rsidR="00C63624">
        <w:rPr>
          <w:rFonts w:ascii="Calibri" w:hAnsi="Calibri"/>
          <w:caps/>
          <w:color w:val="auto"/>
        </w:rPr>
        <w:t>0407</w:t>
      </w:r>
      <w:r>
        <w:rPr>
          <w:rFonts w:ascii="Calibri" w:hAnsi="Calibri"/>
          <w:caps/>
          <w:color w:val="auto"/>
        </w:rPr>
        <w:tab/>
      </w:r>
      <w:r>
        <w:rPr>
          <w:rFonts w:ascii="Calibri" w:hAnsi="Calibri"/>
          <w:caps/>
          <w:color w:val="auto"/>
        </w:rPr>
        <w:tab/>
      </w:r>
      <w:r>
        <w:rPr>
          <w:rFonts w:ascii="Calibri" w:hAnsi="Calibri"/>
          <w:caps/>
          <w:color w:val="auto"/>
        </w:rPr>
        <w:tab/>
      </w:r>
      <w:r w:rsidR="00624871">
        <w:rPr>
          <w:rFonts w:ascii="Calibri" w:hAnsi="Calibri"/>
          <w:caps/>
          <w:color w:val="auto"/>
        </w:rPr>
        <w:tab/>
      </w:r>
    </w:p>
    <w:p w:rsidR="00D560DC" w:rsidRPr="00624871" w:rsidRDefault="00D560DC" w:rsidP="00D560DC">
      <w:pPr>
        <w:tabs>
          <w:tab w:val="left" w:pos="288"/>
          <w:tab w:val="left" w:pos="4752"/>
        </w:tabs>
        <w:spacing w:line="240" w:lineRule="exact"/>
        <w:jc w:val="both"/>
        <w:rPr>
          <w:rFonts w:ascii="Calibri" w:hAnsi="Calibri"/>
          <w:caps/>
          <w:color w:val="auto"/>
          <w:u w:val="single"/>
        </w:rPr>
      </w:pPr>
      <w:r w:rsidRPr="00624871">
        <w:rPr>
          <w:rFonts w:ascii="Calibri" w:hAnsi="Calibri"/>
          <w:color w:val="auto"/>
          <w:u w:val="single"/>
        </w:rPr>
        <w:t>______________________________________________________________________________</w:t>
      </w:r>
    </w:p>
    <w:p w:rsidR="00106AD8" w:rsidRPr="00624871" w:rsidRDefault="00106AD8" w:rsidP="00106AD8">
      <w:pPr>
        <w:tabs>
          <w:tab w:val="left" w:pos="288"/>
          <w:tab w:val="left" w:pos="4752"/>
        </w:tabs>
        <w:spacing w:line="240" w:lineRule="exact"/>
        <w:rPr>
          <w:rFonts w:ascii="Calibri" w:hAnsi="Calibri"/>
          <w:color w:val="auto"/>
          <w:szCs w:val="24"/>
        </w:rPr>
      </w:pPr>
    </w:p>
    <w:p w:rsidR="00B20624" w:rsidRPr="00624871" w:rsidRDefault="002C6E5B" w:rsidP="00DD64E0">
      <w:pPr>
        <w:tabs>
          <w:tab w:val="left" w:pos="288"/>
          <w:tab w:val="left" w:pos="4752"/>
        </w:tabs>
        <w:spacing w:line="240" w:lineRule="exact"/>
        <w:jc w:val="both"/>
        <w:rPr>
          <w:rFonts w:ascii="Calibri" w:hAnsi="Calibri"/>
          <w:color w:val="auto"/>
          <w:szCs w:val="24"/>
        </w:rPr>
      </w:pPr>
      <w:r w:rsidRPr="00624871">
        <w:rPr>
          <w:rFonts w:ascii="Calibri" w:hAnsi="Calibri"/>
          <w:color w:val="auto"/>
          <w:u w:val="single"/>
        </w:rPr>
        <w:t>SUMM</w:t>
      </w:r>
      <w:r w:rsidRPr="00396779">
        <w:rPr>
          <w:rFonts w:ascii="Calibri" w:hAnsi="Calibri"/>
          <w:color w:val="auto"/>
          <w:u w:val="single"/>
        </w:rPr>
        <w:t>ARY OF CASE</w:t>
      </w:r>
      <w:r w:rsidRPr="00396779">
        <w:rPr>
          <w:rFonts w:ascii="Calibri" w:hAnsi="Calibri"/>
          <w:color w:val="auto"/>
        </w:rPr>
        <w:t xml:space="preserve">:  </w:t>
      </w:r>
      <w:r w:rsidR="003A5BFF" w:rsidRPr="003A5BFF">
        <w:rPr>
          <w:rFonts w:ascii="Calibri" w:hAnsi="Calibri"/>
          <w:color w:val="auto"/>
        </w:rPr>
        <w:t>Data extracted from the available evidence of record reflects that this covered individual (CI) was an</w:t>
      </w:r>
      <w:r w:rsidR="00E322F7" w:rsidRPr="00FF521E">
        <w:rPr>
          <w:rFonts w:ascii="Calibri" w:hAnsi="Calibri"/>
          <w:color w:val="auto"/>
          <w:szCs w:val="24"/>
        </w:rPr>
        <w:t xml:space="preserve"> active duty</w:t>
      </w:r>
      <w:r w:rsidR="006D4E0E" w:rsidRPr="00FF521E">
        <w:rPr>
          <w:rFonts w:ascii="Calibri" w:hAnsi="Calibri"/>
          <w:color w:val="auto"/>
          <w:szCs w:val="24"/>
        </w:rPr>
        <w:t xml:space="preserve"> </w:t>
      </w:r>
      <w:r w:rsidR="00FF521E">
        <w:rPr>
          <w:rFonts w:ascii="Calibri" w:hAnsi="Calibri"/>
          <w:color w:val="auto"/>
          <w:szCs w:val="24"/>
        </w:rPr>
        <w:t>S</w:t>
      </w:r>
      <w:r w:rsidR="00140780">
        <w:rPr>
          <w:rFonts w:ascii="Calibri" w:hAnsi="Calibri"/>
          <w:color w:val="auto"/>
          <w:szCs w:val="24"/>
        </w:rPr>
        <w:t>gt</w:t>
      </w:r>
      <w:r w:rsidR="00FF521E">
        <w:rPr>
          <w:rFonts w:ascii="Calibri" w:hAnsi="Calibri"/>
          <w:color w:val="auto"/>
          <w:szCs w:val="24"/>
        </w:rPr>
        <w:t xml:space="preserve"> (0341, </w:t>
      </w:r>
      <w:proofErr w:type="spellStart"/>
      <w:r w:rsidR="00FF521E">
        <w:rPr>
          <w:rFonts w:ascii="Calibri" w:hAnsi="Calibri"/>
          <w:color w:val="auto"/>
          <w:szCs w:val="24"/>
        </w:rPr>
        <w:t>Mortarman</w:t>
      </w:r>
      <w:proofErr w:type="spellEnd"/>
      <w:r w:rsidR="00E322F7" w:rsidRPr="00FF521E">
        <w:rPr>
          <w:rFonts w:ascii="Calibri" w:hAnsi="Calibri"/>
          <w:color w:val="auto"/>
          <w:szCs w:val="24"/>
        </w:rPr>
        <w:t xml:space="preserve">) </w:t>
      </w:r>
      <w:r w:rsidRPr="00FF521E">
        <w:rPr>
          <w:rFonts w:ascii="Calibri" w:hAnsi="Calibri"/>
          <w:color w:val="auto"/>
          <w:szCs w:val="24"/>
        </w:rPr>
        <w:t xml:space="preserve">medically separated from the </w:t>
      </w:r>
      <w:r w:rsidR="00FF521E">
        <w:rPr>
          <w:rFonts w:ascii="Calibri" w:hAnsi="Calibri"/>
          <w:color w:val="auto"/>
          <w:szCs w:val="24"/>
        </w:rPr>
        <w:t>Marine Corps</w:t>
      </w:r>
      <w:r w:rsidRPr="00FF521E">
        <w:rPr>
          <w:rFonts w:ascii="Calibri" w:hAnsi="Calibri"/>
          <w:color w:val="auto"/>
          <w:szCs w:val="24"/>
        </w:rPr>
        <w:t xml:space="preserve"> in 200</w:t>
      </w:r>
      <w:r w:rsidR="00FF521E">
        <w:rPr>
          <w:rFonts w:ascii="Calibri" w:hAnsi="Calibri"/>
          <w:color w:val="auto"/>
          <w:szCs w:val="24"/>
        </w:rPr>
        <w:t>8.</w:t>
      </w:r>
      <w:r w:rsidRPr="00FF521E">
        <w:rPr>
          <w:rFonts w:ascii="Calibri" w:hAnsi="Calibri"/>
          <w:color w:val="auto"/>
          <w:szCs w:val="24"/>
        </w:rPr>
        <w:t xml:space="preserve"> </w:t>
      </w:r>
      <w:r w:rsidR="00D04DA6">
        <w:rPr>
          <w:rFonts w:ascii="Calibri" w:hAnsi="Calibri"/>
          <w:color w:val="auto"/>
          <w:szCs w:val="24"/>
        </w:rPr>
        <w:t xml:space="preserve"> </w:t>
      </w:r>
      <w:r w:rsidRPr="00FF521E">
        <w:rPr>
          <w:rFonts w:ascii="Calibri" w:hAnsi="Calibri"/>
          <w:color w:val="auto"/>
          <w:szCs w:val="24"/>
        </w:rPr>
        <w:t xml:space="preserve">The medical basis for the separation was </w:t>
      </w:r>
      <w:r w:rsidR="0070084D">
        <w:rPr>
          <w:rFonts w:ascii="Calibri" w:hAnsi="Calibri"/>
          <w:color w:val="auto"/>
          <w:szCs w:val="24"/>
        </w:rPr>
        <w:t>t</w:t>
      </w:r>
      <w:r w:rsidR="00FF521E">
        <w:rPr>
          <w:rFonts w:ascii="Calibri" w:hAnsi="Calibri"/>
          <w:color w:val="auto"/>
          <w:szCs w:val="24"/>
        </w:rPr>
        <w:t xml:space="preserve">raumatic </w:t>
      </w:r>
      <w:r w:rsidR="0070084D">
        <w:rPr>
          <w:rFonts w:ascii="Calibri" w:hAnsi="Calibri"/>
          <w:color w:val="auto"/>
          <w:szCs w:val="24"/>
        </w:rPr>
        <w:t>b</w:t>
      </w:r>
      <w:r w:rsidR="00FF521E">
        <w:rPr>
          <w:rFonts w:ascii="Calibri" w:hAnsi="Calibri"/>
          <w:color w:val="auto"/>
          <w:szCs w:val="24"/>
        </w:rPr>
        <w:t xml:space="preserve">rain </w:t>
      </w:r>
      <w:r w:rsidR="0070084D">
        <w:rPr>
          <w:rFonts w:ascii="Calibri" w:hAnsi="Calibri"/>
          <w:color w:val="auto"/>
          <w:szCs w:val="24"/>
        </w:rPr>
        <w:t>i</w:t>
      </w:r>
      <w:r w:rsidR="00FF521E">
        <w:rPr>
          <w:rFonts w:ascii="Calibri" w:hAnsi="Calibri"/>
          <w:color w:val="auto"/>
          <w:szCs w:val="24"/>
        </w:rPr>
        <w:t>njury (</w:t>
      </w:r>
      <w:r w:rsidR="00FF521E" w:rsidRPr="00140780">
        <w:rPr>
          <w:rFonts w:ascii="Calibri" w:hAnsi="Calibri"/>
          <w:color w:val="auto"/>
          <w:szCs w:val="24"/>
        </w:rPr>
        <w:t>TBI) with headaches</w:t>
      </w:r>
      <w:r w:rsidR="00FF521E">
        <w:rPr>
          <w:rFonts w:ascii="Calibri" w:hAnsi="Calibri"/>
          <w:color w:val="auto"/>
          <w:szCs w:val="24"/>
        </w:rPr>
        <w:t xml:space="preserve"> with mixed features including tension</w:t>
      </w:r>
      <w:r w:rsidR="000041EC">
        <w:rPr>
          <w:rFonts w:ascii="Calibri" w:hAnsi="Calibri"/>
          <w:color w:val="auto"/>
          <w:szCs w:val="24"/>
        </w:rPr>
        <w:t>,</w:t>
      </w:r>
      <w:r w:rsidR="00FF521E">
        <w:rPr>
          <w:rFonts w:ascii="Calibri" w:hAnsi="Calibri"/>
          <w:color w:val="auto"/>
          <w:szCs w:val="24"/>
        </w:rPr>
        <w:t xml:space="preserve"> and </w:t>
      </w:r>
      <w:r w:rsidR="0070084D">
        <w:rPr>
          <w:rFonts w:ascii="Calibri" w:hAnsi="Calibri"/>
          <w:color w:val="auto"/>
          <w:szCs w:val="24"/>
        </w:rPr>
        <w:t>p</w:t>
      </w:r>
      <w:r w:rsidR="00FF521E">
        <w:rPr>
          <w:rFonts w:ascii="Calibri" w:hAnsi="Calibri"/>
          <w:color w:val="auto"/>
          <w:szCs w:val="24"/>
        </w:rPr>
        <w:t xml:space="preserve">osttraumatic </w:t>
      </w:r>
      <w:r w:rsidR="0070084D">
        <w:rPr>
          <w:rFonts w:ascii="Calibri" w:hAnsi="Calibri"/>
          <w:color w:val="auto"/>
          <w:szCs w:val="24"/>
        </w:rPr>
        <w:t>s</w:t>
      </w:r>
      <w:r w:rsidR="00FF521E">
        <w:rPr>
          <w:rFonts w:ascii="Calibri" w:hAnsi="Calibri"/>
          <w:color w:val="auto"/>
          <w:szCs w:val="24"/>
        </w:rPr>
        <w:t xml:space="preserve">tress </w:t>
      </w:r>
      <w:r w:rsidR="0070084D">
        <w:rPr>
          <w:rFonts w:ascii="Calibri" w:hAnsi="Calibri"/>
          <w:color w:val="auto"/>
          <w:szCs w:val="24"/>
        </w:rPr>
        <w:t>d</w:t>
      </w:r>
      <w:r w:rsidR="00FF521E">
        <w:rPr>
          <w:rFonts w:ascii="Calibri" w:hAnsi="Calibri"/>
          <w:color w:val="auto"/>
          <w:szCs w:val="24"/>
        </w:rPr>
        <w:t>isorder (</w:t>
      </w:r>
      <w:r w:rsidR="00FF521E" w:rsidRPr="00140780">
        <w:rPr>
          <w:rFonts w:ascii="Calibri" w:hAnsi="Calibri"/>
          <w:color w:val="auto"/>
          <w:szCs w:val="24"/>
        </w:rPr>
        <w:t>PTSD</w:t>
      </w:r>
      <w:r w:rsidR="00FF521E">
        <w:rPr>
          <w:rFonts w:ascii="Calibri" w:hAnsi="Calibri"/>
          <w:color w:val="auto"/>
          <w:szCs w:val="24"/>
        </w:rPr>
        <w:t>).</w:t>
      </w:r>
      <w:r w:rsidR="00AA19CF">
        <w:rPr>
          <w:rFonts w:ascii="Calibri" w:hAnsi="Calibri"/>
          <w:color w:val="auto"/>
          <w:szCs w:val="24"/>
        </w:rPr>
        <w:t xml:space="preserve">  During the CI’s second deployment to Iraq, he sustained a concussion </w:t>
      </w:r>
      <w:r w:rsidR="0033554D">
        <w:rPr>
          <w:rFonts w:ascii="Calibri" w:hAnsi="Calibri"/>
          <w:color w:val="auto"/>
          <w:szCs w:val="24"/>
        </w:rPr>
        <w:t xml:space="preserve">(mild TBI) </w:t>
      </w:r>
      <w:r w:rsidR="00AA19CF">
        <w:rPr>
          <w:rFonts w:ascii="Calibri" w:hAnsi="Calibri"/>
          <w:color w:val="auto"/>
          <w:szCs w:val="24"/>
        </w:rPr>
        <w:t xml:space="preserve">due to an </w:t>
      </w:r>
      <w:r w:rsidR="0070084D">
        <w:rPr>
          <w:rFonts w:ascii="Calibri" w:hAnsi="Calibri"/>
          <w:color w:val="auto"/>
          <w:szCs w:val="24"/>
        </w:rPr>
        <w:t>improvised explosive device (</w:t>
      </w:r>
      <w:r w:rsidR="00AA19CF">
        <w:rPr>
          <w:rFonts w:ascii="Calibri" w:hAnsi="Calibri"/>
          <w:color w:val="auto"/>
          <w:szCs w:val="24"/>
        </w:rPr>
        <w:t>IED</w:t>
      </w:r>
      <w:r w:rsidR="0070084D">
        <w:rPr>
          <w:rFonts w:ascii="Calibri" w:hAnsi="Calibri"/>
          <w:color w:val="auto"/>
          <w:szCs w:val="24"/>
        </w:rPr>
        <w:t>)</w:t>
      </w:r>
      <w:r w:rsidR="000041EC">
        <w:rPr>
          <w:rFonts w:ascii="Calibri" w:hAnsi="Calibri"/>
          <w:color w:val="auto"/>
          <w:szCs w:val="24"/>
        </w:rPr>
        <w:t xml:space="preserve">.  </w:t>
      </w:r>
      <w:r w:rsidR="002506F4">
        <w:rPr>
          <w:rFonts w:ascii="Calibri" w:hAnsi="Calibri"/>
          <w:color w:val="auto"/>
          <w:szCs w:val="24"/>
        </w:rPr>
        <w:t>After returning home, h</w:t>
      </w:r>
      <w:r w:rsidR="006D5E34">
        <w:rPr>
          <w:rFonts w:ascii="Calibri" w:hAnsi="Calibri"/>
          <w:color w:val="auto"/>
          <w:szCs w:val="24"/>
        </w:rPr>
        <w:t>e developed symptoms diagnosed as PTSD</w:t>
      </w:r>
      <w:r w:rsidR="000041EC">
        <w:rPr>
          <w:rFonts w:ascii="Calibri" w:hAnsi="Calibri"/>
          <w:color w:val="auto"/>
          <w:szCs w:val="24"/>
        </w:rPr>
        <w:t xml:space="preserve">.  </w:t>
      </w:r>
      <w:r w:rsidR="00E322F7" w:rsidRPr="000B0605">
        <w:rPr>
          <w:rFonts w:ascii="Calibri" w:hAnsi="Calibri"/>
          <w:color w:val="auto"/>
          <w:szCs w:val="24"/>
        </w:rPr>
        <w:t>He</w:t>
      </w:r>
      <w:r w:rsidR="00E322F7" w:rsidRPr="00326C08">
        <w:rPr>
          <w:rFonts w:ascii="Calibri" w:hAnsi="Calibri"/>
          <w:color w:val="auto"/>
          <w:szCs w:val="24"/>
        </w:rPr>
        <w:t xml:space="preserve"> did not respond adequately to perform within his </w:t>
      </w:r>
      <w:r w:rsidR="00705C40" w:rsidRPr="00326C08">
        <w:rPr>
          <w:rFonts w:ascii="Calibri" w:hAnsi="Calibri"/>
          <w:color w:val="auto"/>
          <w:szCs w:val="24"/>
        </w:rPr>
        <w:t xml:space="preserve">military occupational </w:t>
      </w:r>
      <w:r w:rsidR="003A40B4" w:rsidRPr="00326C08">
        <w:rPr>
          <w:rFonts w:ascii="Calibri" w:hAnsi="Calibri"/>
          <w:color w:val="auto"/>
          <w:szCs w:val="24"/>
        </w:rPr>
        <w:t xml:space="preserve">specialty </w:t>
      </w:r>
      <w:r w:rsidR="00E322F7" w:rsidRPr="00326C08">
        <w:rPr>
          <w:rFonts w:ascii="Calibri" w:hAnsi="Calibri"/>
          <w:color w:val="auto"/>
          <w:szCs w:val="24"/>
        </w:rPr>
        <w:t xml:space="preserve">and underwent a </w:t>
      </w:r>
      <w:r w:rsidR="00705C40" w:rsidRPr="00326C08">
        <w:rPr>
          <w:rFonts w:ascii="Calibri" w:hAnsi="Calibri"/>
          <w:color w:val="auto"/>
          <w:szCs w:val="24"/>
        </w:rPr>
        <w:t>Medical Evaluation Board (</w:t>
      </w:r>
      <w:r w:rsidR="00E322F7" w:rsidRPr="00326C08">
        <w:rPr>
          <w:rFonts w:ascii="Calibri" w:hAnsi="Calibri"/>
          <w:color w:val="auto"/>
          <w:szCs w:val="24"/>
        </w:rPr>
        <w:t>MEB</w:t>
      </w:r>
      <w:r w:rsidR="00705C40" w:rsidRPr="00326C08">
        <w:rPr>
          <w:rFonts w:ascii="Calibri" w:hAnsi="Calibri"/>
          <w:color w:val="auto"/>
          <w:szCs w:val="24"/>
        </w:rPr>
        <w:t>)</w:t>
      </w:r>
      <w:r w:rsidR="00E322F7" w:rsidRPr="00326C08">
        <w:rPr>
          <w:rFonts w:ascii="Calibri" w:hAnsi="Calibri"/>
          <w:color w:val="auto"/>
          <w:szCs w:val="24"/>
        </w:rPr>
        <w:t>.</w:t>
      </w:r>
      <w:r w:rsidR="000B0605">
        <w:rPr>
          <w:rFonts w:ascii="Calibri" w:hAnsi="Calibri"/>
          <w:color w:val="auto"/>
          <w:szCs w:val="24"/>
        </w:rPr>
        <w:t xml:space="preserve"> </w:t>
      </w:r>
      <w:r w:rsidR="00D04DA6">
        <w:rPr>
          <w:rFonts w:ascii="Calibri" w:hAnsi="Calibri"/>
          <w:color w:val="auto"/>
          <w:szCs w:val="24"/>
        </w:rPr>
        <w:t xml:space="preserve"> </w:t>
      </w:r>
      <w:r w:rsidR="000B0605">
        <w:rPr>
          <w:rFonts w:ascii="Calibri" w:hAnsi="Calibri"/>
          <w:color w:val="auto"/>
          <w:szCs w:val="24"/>
        </w:rPr>
        <w:t xml:space="preserve">The </w:t>
      </w:r>
      <w:r w:rsidR="000258AB">
        <w:rPr>
          <w:rFonts w:ascii="Calibri" w:hAnsi="Calibri"/>
          <w:color w:val="auto"/>
          <w:szCs w:val="24"/>
        </w:rPr>
        <w:t xml:space="preserve">TBI, headaches, post-concussive syndrome, </w:t>
      </w:r>
      <w:r w:rsidR="003E5399">
        <w:rPr>
          <w:rFonts w:ascii="Calibri" w:hAnsi="Calibri"/>
          <w:color w:val="auto"/>
          <w:szCs w:val="24"/>
        </w:rPr>
        <w:t>PTSD</w:t>
      </w:r>
      <w:r w:rsidR="00FF52DE">
        <w:rPr>
          <w:rFonts w:ascii="Calibri" w:hAnsi="Calibri"/>
          <w:color w:val="auto"/>
          <w:szCs w:val="24"/>
        </w:rPr>
        <w:t xml:space="preserve">, </w:t>
      </w:r>
      <w:r w:rsidR="000258AB">
        <w:rPr>
          <w:rFonts w:ascii="Calibri" w:hAnsi="Calibri"/>
          <w:color w:val="auto"/>
          <w:szCs w:val="24"/>
        </w:rPr>
        <w:t>mood disorder,</w:t>
      </w:r>
      <w:r w:rsidR="00FF52DE">
        <w:rPr>
          <w:rFonts w:ascii="Calibri" w:hAnsi="Calibri"/>
          <w:color w:val="auto"/>
          <w:szCs w:val="24"/>
        </w:rPr>
        <w:t xml:space="preserve"> and </w:t>
      </w:r>
      <w:r w:rsidR="000258AB">
        <w:rPr>
          <w:rFonts w:ascii="Calibri" w:hAnsi="Calibri"/>
          <w:color w:val="auto"/>
          <w:szCs w:val="24"/>
        </w:rPr>
        <w:t>disturbed sleep</w:t>
      </w:r>
      <w:r w:rsidR="00FF52DE">
        <w:rPr>
          <w:rFonts w:ascii="Calibri" w:hAnsi="Calibri"/>
          <w:color w:val="auto"/>
          <w:szCs w:val="24"/>
        </w:rPr>
        <w:t xml:space="preserve"> </w:t>
      </w:r>
      <w:r w:rsidR="00FF52DE" w:rsidRPr="00396779">
        <w:rPr>
          <w:rFonts w:ascii="Calibri" w:hAnsi="Calibri"/>
          <w:color w:val="auto"/>
          <w:szCs w:val="24"/>
        </w:rPr>
        <w:t>were</w:t>
      </w:r>
      <w:r w:rsidR="00AE5E14" w:rsidRPr="00396779">
        <w:rPr>
          <w:rFonts w:ascii="Calibri" w:hAnsi="Calibri"/>
          <w:color w:val="auto"/>
          <w:szCs w:val="24"/>
        </w:rPr>
        <w:t xml:space="preserve"> addressed in the </w:t>
      </w:r>
      <w:r w:rsidR="00705C40" w:rsidRPr="00396779">
        <w:rPr>
          <w:rFonts w:ascii="Calibri" w:hAnsi="Calibri"/>
          <w:color w:val="auto"/>
          <w:szCs w:val="24"/>
        </w:rPr>
        <w:t>narrative summary (</w:t>
      </w:r>
      <w:r w:rsidR="00AE5E14" w:rsidRPr="00396779">
        <w:rPr>
          <w:rFonts w:ascii="Calibri" w:hAnsi="Calibri"/>
          <w:color w:val="auto"/>
          <w:szCs w:val="24"/>
        </w:rPr>
        <w:t>NARSUM</w:t>
      </w:r>
      <w:r w:rsidR="00705C40" w:rsidRPr="00396779">
        <w:rPr>
          <w:rFonts w:ascii="Calibri" w:hAnsi="Calibri"/>
          <w:color w:val="auto"/>
          <w:szCs w:val="24"/>
        </w:rPr>
        <w:t>)</w:t>
      </w:r>
      <w:r w:rsidR="00AE5E14" w:rsidRPr="00396779">
        <w:rPr>
          <w:rFonts w:ascii="Calibri" w:hAnsi="Calibri"/>
          <w:color w:val="auto"/>
          <w:szCs w:val="24"/>
        </w:rPr>
        <w:t xml:space="preserve"> and </w:t>
      </w:r>
      <w:r w:rsidR="00AE5E14" w:rsidRPr="0013525F">
        <w:rPr>
          <w:rFonts w:ascii="Calibri" w:hAnsi="Calibri"/>
          <w:color w:val="auto"/>
          <w:szCs w:val="24"/>
        </w:rPr>
        <w:t xml:space="preserve">forwarded to the </w:t>
      </w:r>
      <w:r w:rsidR="00B20624" w:rsidRPr="00396779">
        <w:rPr>
          <w:rFonts w:ascii="Calibri" w:hAnsi="Calibri"/>
          <w:color w:val="auto"/>
          <w:szCs w:val="24"/>
        </w:rPr>
        <w:t>Physical Evaluation Board (</w:t>
      </w:r>
      <w:r w:rsidR="00AE5E14" w:rsidRPr="00396779">
        <w:rPr>
          <w:rFonts w:ascii="Calibri" w:hAnsi="Calibri"/>
          <w:color w:val="auto"/>
          <w:szCs w:val="24"/>
        </w:rPr>
        <w:t>PEB</w:t>
      </w:r>
      <w:r w:rsidR="00B20624" w:rsidRPr="00396779">
        <w:rPr>
          <w:rFonts w:ascii="Calibri" w:hAnsi="Calibri"/>
          <w:color w:val="auto"/>
          <w:szCs w:val="24"/>
        </w:rPr>
        <w:t>)</w:t>
      </w:r>
      <w:r w:rsidR="00AE5E14" w:rsidRPr="00FF52DE">
        <w:rPr>
          <w:rFonts w:ascii="Calibri" w:hAnsi="Calibri"/>
          <w:color w:val="auto"/>
          <w:szCs w:val="24"/>
        </w:rPr>
        <w:t>.</w:t>
      </w:r>
      <w:r w:rsidR="00FF52DE">
        <w:rPr>
          <w:rFonts w:ascii="Calibri" w:hAnsi="Calibri"/>
          <w:color w:val="auto"/>
          <w:szCs w:val="24"/>
        </w:rPr>
        <w:t xml:space="preserve"> </w:t>
      </w:r>
      <w:r w:rsidR="003E5399">
        <w:rPr>
          <w:rFonts w:ascii="Calibri" w:hAnsi="Calibri"/>
          <w:color w:val="auto"/>
          <w:szCs w:val="24"/>
        </w:rPr>
        <w:t xml:space="preserve"> </w:t>
      </w:r>
      <w:r w:rsidR="00B20624" w:rsidRPr="00624871">
        <w:rPr>
          <w:rFonts w:ascii="Calibri" w:hAnsi="Calibri"/>
          <w:color w:val="auto"/>
          <w:szCs w:val="24"/>
        </w:rPr>
        <w:t>The PEB</w:t>
      </w:r>
      <w:r w:rsidR="002506F4">
        <w:rPr>
          <w:rFonts w:ascii="Calibri" w:hAnsi="Calibri"/>
          <w:color w:val="auto"/>
          <w:szCs w:val="24"/>
        </w:rPr>
        <w:t xml:space="preserve"> </w:t>
      </w:r>
      <w:r w:rsidR="00FB2A84">
        <w:rPr>
          <w:rFonts w:ascii="Calibri" w:hAnsi="Calibri"/>
          <w:color w:val="auto"/>
          <w:szCs w:val="24"/>
        </w:rPr>
        <w:t xml:space="preserve">found </w:t>
      </w:r>
      <w:r w:rsidR="002506F4">
        <w:rPr>
          <w:rFonts w:ascii="Calibri" w:hAnsi="Calibri"/>
          <w:color w:val="auto"/>
          <w:szCs w:val="24"/>
        </w:rPr>
        <w:t xml:space="preserve">him </w:t>
      </w:r>
      <w:r w:rsidR="00FB2A84">
        <w:rPr>
          <w:rFonts w:ascii="Calibri" w:hAnsi="Calibri"/>
          <w:color w:val="auto"/>
          <w:szCs w:val="24"/>
        </w:rPr>
        <w:t>fit and recommended return to duty</w:t>
      </w:r>
      <w:r w:rsidR="002506F4">
        <w:rPr>
          <w:rFonts w:ascii="Calibri" w:hAnsi="Calibri"/>
          <w:color w:val="auto"/>
          <w:szCs w:val="24"/>
        </w:rPr>
        <w:t>;</w:t>
      </w:r>
      <w:r w:rsidR="00FB5CF4">
        <w:rPr>
          <w:rFonts w:ascii="Calibri" w:hAnsi="Calibri"/>
          <w:color w:val="auto"/>
          <w:szCs w:val="24"/>
        </w:rPr>
        <w:t xml:space="preserve"> however</w:t>
      </w:r>
      <w:r w:rsidR="002506F4">
        <w:rPr>
          <w:rFonts w:ascii="Calibri" w:hAnsi="Calibri"/>
          <w:color w:val="auto"/>
          <w:szCs w:val="24"/>
        </w:rPr>
        <w:t>,</w:t>
      </w:r>
      <w:r w:rsidR="00FB5CF4">
        <w:rPr>
          <w:rFonts w:ascii="Calibri" w:hAnsi="Calibri"/>
          <w:color w:val="auto"/>
          <w:szCs w:val="24"/>
        </w:rPr>
        <w:t xml:space="preserve"> t</w:t>
      </w:r>
      <w:r w:rsidR="00FB2A84">
        <w:rPr>
          <w:rFonts w:ascii="Calibri" w:hAnsi="Calibri"/>
          <w:color w:val="auto"/>
          <w:szCs w:val="24"/>
        </w:rPr>
        <w:t xml:space="preserve">he CI requested reconsideration submitting additional evidence.  On reconsideration, the PEB adjudicated </w:t>
      </w:r>
      <w:r w:rsidR="00B20624" w:rsidRPr="00624871">
        <w:rPr>
          <w:rFonts w:ascii="Calibri" w:hAnsi="Calibri"/>
          <w:color w:val="auto"/>
          <w:szCs w:val="24"/>
        </w:rPr>
        <w:t xml:space="preserve">the </w:t>
      </w:r>
      <w:r w:rsidR="003E5399" w:rsidRPr="00624871">
        <w:rPr>
          <w:rFonts w:ascii="Calibri" w:hAnsi="Calibri"/>
          <w:color w:val="auto"/>
          <w:szCs w:val="24"/>
        </w:rPr>
        <w:t>PTSD</w:t>
      </w:r>
      <w:r w:rsidR="00B20624" w:rsidRPr="00624871">
        <w:rPr>
          <w:rFonts w:ascii="Calibri" w:hAnsi="Calibri"/>
          <w:color w:val="auto"/>
          <w:szCs w:val="24"/>
        </w:rPr>
        <w:t xml:space="preserve"> condition and </w:t>
      </w:r>
      <w:r w:rsidR="003E5399" w:rsidRPr="00624871">
        <w:rPr>
          <w:rFonts w:ascii="Calibri" w:hAnsi="Calibri"/>
          <w:color w:val="auto"/>
          <w:szCs w:val="24"/>
        </w:rPr>
        <w:t xml:space="preserve">TBI </w:t>
      </w:r>
      <w:r w:rsidR="00B20624" w:rsidRPr="00624871">
        <w:rPr>
          <w:rFonts w:ascii="Calibri" w:hAnsi="Calibri"/>
          <w:color w:val="auto"/>
          <w:szCs w:val="24"/>
        </w:rPr>
        <w:t xml:space="preserve">as unfitting, rated </w:t>
      </w:r>
      <w:r w:rsidR="003E5399" w:rsidRPr="00624871">
        <w:rPr>
          <w:rFonts w:ascii="Calibri" w:hAnsi="Calibri"/>
          <w:color w:val="auto"/>
          <w:szCs w:val="24"/>
        </w:rPr>
        <w:t>10</w:t>
      </w:r>
      <w:r w:rsidR="00B20624" w:rsidRPr="00624871">
        <w:rPr>
          <w:rFonts w:ascii="Calibri" w:hAnsi="Calibri"/>
          <w:color w:val="auto"/>
          <w:szCs w:val="24"/>
        </w:rPr>
        <w:t>% each</w:t>
      </w:r>
      <w:r w:rsidR="0070084D" w:rsidRPr="00624871">
        <w:rPr>
          <w:rFonts w:ascii="Calibri" w:hAnsi="Calibri"/>
          <w:color w:val="auto"/>
          <w:szCs w:val="24"/>
        </w:rPr>
        <w:t>,</w:t>
      </w:r>
      <w:r w:rsidR="00B20624" w:rsidRPr="00624871">
        <w:rPr>
          <w:rFonts w:ascii="Calibri" w:hAnsi="Calibri"/>
          <w:color w:val="auto"/>
          <w:szCs w:val="24"/>
        </w:rPr>
        <w:t xml:space="preserve"> </w:t>
      </w:r>
      <w:r w:rsidR="00B20624" w:rsidRPr="00140780">
        <w:rPr>
          <w:rFonts w:ascii="Calibri" w:hAnsi="Calibri"/>
          <w:color w:val="auto"/>
          <w:szCs w:val="24"/>
        </w:rPr>
        <w:t xml:space="preserve">with </w:t>
      </w:r>
      <w:r w:rsidR="00140780" w:rsidRPr="00140780">
        <w:rPr>
          <w:rFonts w:ascii="Calibri" w:hAnsi="Calibri"/>
          <w:color w:val="auto"/>
          <w:szCs w:val="24"/>
        </w:rPr>
        <w:t xml:space="preserve">likely </w:t>
      </w:r>
      <w:r w:rsidR="00B20624" w:rsidRPr="00140780">
        <w:rPr>
          <w:rFonts w:ascii="Calibri" w:hAnsi="Calibri"/>
          <w:color w:val="auto"/>
          <w:szCs w:val="24"/>
        </w:rPr>
        <w:t xml:space="preserve">application of the </w:t>
      </w:r>
      <w:r w:rsidR="00065E21" w:rsidRPr="00140780">
        <w:rPr>
          <w:rFonts w:ascii="Calibri" w:hAnsi="Calibri"/>
          <w:color w:val="auto"/>
          <w:szCs w:val="24"/>
        </w:rPr>
        <w:t>SECNAVINST 1850.4E</w:t>
      </w:r>
      <w:r w:rsidR="003E5399" w:rsidRPr="00140780">
        <w:rPr>
          <w:rFonts w:ascii="Calibri" w:hAnsi="Calibri"/>
          <w:color w:val="auto"/>
          <w:szCs w:val="24"/>
        </w:rPr>
        <w:t xml:space="preserve"> </w:t>
      </w:r>
      <w:r w:rsidR="00B20624" w:rsidRPr="00140780">
        <w:rPr>
          <w:rFonts w:ascii="Calibri" w:hAnsi="Calibri"/>
          <w:color w:val="auto"/>
          <w:szCs w:val="24"/>
        </w:rPr>
        <w:t>and DoDI 1332.39 (E2.A1.5)</w:t>
      </w:r>
      <w:r w:rsidR="00B20624" w:rsidRPr="00624871">
        <w:rPr>
          <w:rFonts w:ascii="Calibri" w:hAnsi="Calibri"/>
          <w:color w:val="auto"/>
          <w:szCs w:val="24"/>
        </w:rPr>
        <w:t xml:space="preserve">.  </w:t>
      </w:r>
      <w:r w:rsidR="00B20624" w:rsidRPr="00624871">
        <w:rPr>
          <w:rFonts w:ascii="Calibri" w:hAnsi="Calibri"/>
          <w:color w:val="auto"/>
        </w:rPr>
        <w:t xml:space="preserve">The CI </w:t>
      </w:r>
      <w:r w:rsidR="00190E48" w:rsidRPr="00624871">
        <w:rPr>
          <w:rFonts w:ascii="Calibri" w:hAnsi="Calibri"/>
          <w:color w:val="auto"/>
        </w:rPr>
        <w:t xml:space="preserve">made no </w:t>
      </w:r>
      <w:r w:rsidR="00FB2A84">
        <w:rPr>
          <w:rFonts w:ascii="Calibri" w:hAnsi="Calibri"/>
          <w:color w:val="auto"/>
        </w:rPr>
        <w:t xml:space="preserve">further </w:t>
      </w:r>
      <w:r w:rsidR="00190E48" w:rsidRPr="00624871">
        <w:rPr>
          <w:rFonts w:ascii="Calibri" w:hAnsi="Calibri"/>
          <w:color w:val="auto"/>
        </w:rPr>
        <w:t xml:space="preserve">appeals, </w:t>
      </w:r>
      <w:r w:rsidR="00B20624" w:rsidRPr="00624871">
        <w:rPr>
          <w:rFonts w:ascii="Calibri" w:hAnsi="Calibri"/>
          <w:color w:val="auto"/>
        </w:rPr>
        <w:t xml:space="preserve">and was medically separated with a </w:t>
      </w:r>
      <w:r w:rsidR="003E5399" w:rsidRPr="00624871">
        <w:rPr>
          <w:rFonts w:ascii="Calibri" w:hAnsi="Calibri"/>
          <w:color w:val="auto"/>
        </w:rPr>
        <w:t>20</w:t>
      </w:r>
      <w:r w:rsidR="00B20624" w:rsidRPr="00624871">
        <w:rPr>
          <w:rFonts w:ascii="Calibri" w:hAnsi="Calibri"/>
          <w:color w:val="auto"/>
        </w:rPr>
        <w:t xml:space="preserve">% combined disability rating.  </w:t>
      </w:r>
    </w:p>
    <w:p w:rsidR="00106AD8" w:rsidRPr="00624871"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624871" w:rsidRDefault="00106AD8" w:rsidP="00106AD8">
      <w:pPr>
        <w:tabs>
          <w:tab w:val="left" w:pos="288"/>
          <w:tab w:val="left" w:pos="4752"/>
        </w:tabs>
        <w:spacing w:line="240" w:lineRule="exact"/>
        <w:rPr>
          <w:rFonts w:ascii="Calibri" w:hAnsi="Calibri"/>
          <w:color w:val="auto"/>
          <w:szCs w:val="24"/>
        </w:rPr>
      </w:pPr>
    </w:p>
    <w:p w:rsidR="003A5BFF" w:rsidRDefault="002C6E5B" w:rsidP="002506F4">
      <w:pPr>
        <w:tabs>
          <w:tab w:val="left" w:pos="288"/>
          <w:tab w:val="left" w:pos="4752"/>
        </w:tabs>
        <w:spacing w:line="240" w:lineRule="exact"/>
        <w:jc w:val="both"/>
        <w:rPr>
          <w:rFonts w:ascii="Calibri" w:hAnsi="Calibri"/>
          <w:color w:val="auto"/>
          <w:szCs w:val="24"/>
        </w:rPr>
      </w:pPr>
      <w:r w:rsidRPr="00624871">
        <w:rPr>
          <w:rFonts w:ascii="Calibri" w:hAnsi="Calibri"/>
          <w:color w:val="auto"/>
          <w:u w:val="single"/>
        </w:rPr>
        <w:t>CI CONTENTION</w:t>
      </w:r>
      <w:r w:rsidRPr="00624871">
        <w:rPr>
          <w:rFonts w:ascii="Calibri" w:hAnsi="Calibri"/>
          <w:color w:val="auto"/>
        </w:rPr>
        <w:t xml:space="preserve">:  </w:t>
      </w:r>
      <w:r w:rsidR="00691E61" w:rsidRPr="00624871">
        <w:rPr>
          <w:rFonts w:ascii="Calibri" w:hAnsi="Calibri"/>
          <w:color w:val="auto"/>
          <w:szCs w:val="24"/>
        </w:rPr>
        <w:t xml:space="preserve">“I was assigned less than 50% disability rating by the military for my unfitting PTSD upon discharge from active duty. </w:t>
      </w:r>
      <w:r w:rsidR="00D04DA6" w:rsidRPr="00624871">
        <w:rPr>
          <w:rFonts w:ascii="Calibri" w:hAnsi="Calibri"/>
          <w:color w:val="auto"/>
          <w:szCs w:val="24"/>
        </w:rPr>
        <w:t xml:space="preserve"> </w:t>
      </w:r>
      <w:r w:rsidR="00691E61" w:rsidRPr="00624871">
        <w:rPr>
          <w:rFonts w:ascii="Calibri" w:hAnsi="Calibri"/>
          <w:color w:val="auto"/>
          <w:szCs w:val="24"/>
        </w:rPr>
        <w:t>In accordance with the class action notice, assign the highest final disability rating applicable consistent with 38 CFR4.I29 and DOD policy to the extent such</w:t>
      </w:r>
      <w:r w:rsidR="00691E61" w:rsidRPr="00396779">
        <w:rPr>
          <w:rFonts w:ascii="Calibri" w:hAnsi="Calibri"/>
          <w:color w:val="auto"/>
          <w:szCs w:val="24"/>
        </w:rPr>
        <w:t xml:space="preserve"> increase will not adversely affect my total compensation, including but not limited to </w:t>
      </w:r>
      <w:r w:rsidR="00691E61" w:rsidRPr="00624871">
        <w:rPr>
          <w:rFonts w:ascii="Calibri" w:hAnsi="Calibri"/>
          <w:color w:val="auto"/>
          <w:szCs w:val="24"/>
        </w:rPr>
        <w:t>compensation pursuant to CRSC.  Please see attached list of contentions regarding why the PDBR should make the changes request in Item 3</w:t>
      </w:r>
      <w:r w:rsidR="002506F4">
        <w:rPr>
          <w:rFonts w:ascii="Calibri" w:hAnsi="Calibri"/>
          <w:color w:val="auto"/>
          <w:szCs w:val="24"/>
        </w:rPr>
        <w:t>…M</w:t>
      </w:r>
      <w:r w:rsidR="00E12B30" w:rsidRPr="00624871">
        <w:rPr>
          <w:rFonts w:ascii="Calibri" w:hAnsi="Calibri"/>
          <w:color w:val="auto"/>
          <w:szCs w:val="24"/>
        </w:rPr>
        <w:t>y TBI has great</w:t>
      </w:r>
      <w:r w:rsidR="00875734" w:rsidRPr="00624871">
        <w:rPr>
          <w:rFonts w:ascii="Calibri" w:hAnsi="Calibri"/>
          <w:color w:val="auto"/>
          <w:szCs w:val="24"/>
        </w:rPr>
        <w:t>l</w:t>
      </w:r>
      <w:r w:rsidR="00E12B30" w:rsidRPr="00624871">
        <w:rPr>
          <w:rFonts w:ascii="Calibri" w:hAnsi="Calibri"/>
          <w:color w:val="auto"/>
          <w:szCs w:val="24"/>
        </w:rPr>
        <w:t xml:space="preserve">y </w:t>
      </w:r>
      <w:r w:rsidR="002506F4">
        <w:rPr>
          <w:rFonts w:ascii="Calibri" w:hAnsi="Calibri"/>
          <w:color w:val="auto"/>
          <w:szCs w:val="24"/>
        </w:rPr>
        <w:t>a</w:t>
      </w:r>
      <w:r w:rsidR="00E12B30" w:rsidRPr="00624871">
        <w:rPr>
          <w:rFonts w:ascii="Calibri" w:hAnsi="Calibri"/>
          <w:color w:val="auto"/>
          <w:szCs w:val="24"/>
        </w:rPr>
        <w:t>ffected my memory (short term and long term) and also brought on headaches which I never used to get before the blast injuries.”</w:t>
      </w:r>
      <w:r w:rsidR="00140780">
        <w:rPr>
          <w:rFonts w:ascii="Calibri" w:hAnsi="Calibri"/>
          <w:color w:val="auto"/>
          <w:szCs w:val="24"/>
        </w:rPr>
        <w:t xml:space="preserve"> </w:t>
      </w:r>
      <w:r w:rsidR="003A5BFF">
        <w:rPr>
          <w:rFonts w:ascii="Calibri" w:hAnsi="Calibri"/>
          <w:color w:val="auto"/>
          <w:szCs w:val="24"/>
        </w:rPr>
        <w:t xml:space="preserve"> </w:t>
      </w:r>
      <w:r w:rsidR="003A5BFF" w:rsidRPr="005C4D72">
        <w:rPr>
          <w:rFonts w:asciiTheme="minorHAnsi" w:hAnsiTheme="minorHAnsi"/>
          <w:color w:val="auto"/>
          <w:szCs w:val="24"/>
        </w:rPr>
        <w:t xml:space="preserve">This case is court remanded under the </w:t>
      </w:r>
      <w:r w:rsidR="003A5BFF" w:rsidRPr="005C4D72">
        <w:rPr>
          <w:rFonts w:asciiTheme="minorHAnsi" w:hAnsiTheme="minorHAnsi"/>
          <w:i/>
          <w:color w:val="auto"/>
          <w:szCs w:val="24"/>
        </w:rPr>
        <w:t>Sabo et al v. United States</w:t>
      </w:r>
      <w:r w:rsidR="003A5BFF" w:rsidRPr="005C4D72">
        <w:rPr>
          <w:rFonts w:asciiTheme="minorHAnsi" w:hAnsiTheme="minorHAnsi"/>
          <w:color w:val="auto"/>
          <w:szCs w:val="24"/>
        </w:rPr>
        <w:t xml:space="preserve"> class action suit.</w:t>
      </w:r>
    </w:p>
    <w:p w:rsidR="00106AD8" w:rsidRPr="00624871"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FB2A84" w:rsidRDefault="00FB2A84">
      <w:pPr>
        <w:rPr>
          <w:rFonts w:ascii="Calibri" w:hAnsi="Calibri"/>
          <w:color w:val="auto"/>
          <w:szCs w:val="24"/>
        </w:rPr>
      </w:pPr>
    </w:p>
    <w:p w:rsidR="002338CA" w:rsidRPr="00624871" w:rsidRDefault="002C6E5B" w:rsidP="00D17DD9">
      <w:pPr>
        <w:rPr>
          <w:rFonts w:ascii="Calibri" w:hAnsi="Calibri"/>
          <w:color w:val="auto"/>
        </w:rPr>
      </w:pPr>
      <w:r w:rsidRPr="00624871">
        <w:rPr>
          <w:rFonts w:ascii="Calibri" w:hAnsi="Calibri"/>
          <w:color w:val="auto"/>
          <w:u w:val="single"/>
        </w:rPr>
        <w:t>RATING COMPARISON</w:t>
      </w:r>
      <w:r w:rsidRPr="00624871">
        <w:rPr>
          <w:rFonts w:ascii="Calibri" w:hAnsi="Calibri"/>
          <w:color w:val="auto"/>
        </w:rPr>
        <w:t>:</w:t>
      </w:r>
    </w:p>
    <w:p w:rsidR="00F82981" w:rsidRPr="00624871" w:rsidRDefault="00F82981" w:rsidP="00190E48">
      <w:pPr>
        <w:tabs>
          <w:tab w:val="left" w:pos="288"/>
          <w:tab w:val="left" w:pos="4752"/>
        </w:tabs>
        <w:spacing w:line="240" w:lineRule="exact"/>
        <w:jc w:val="both"/>
        <w:rPr>
          <w:rFonts w:ascii="Calibri" w:hAnsi="Calibri"/>
          <w:color w:val="auto"/>
        </w:rPr>
      </w:pPr>
    </w:p>
    <w:tbl>
      <w:tblPr>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5"/>
        <w:gridCol w:w="1485"/>
        <w:gridCol w:w="833"/>
        <w:gridCol w:w="2002"/>
        <w:gridCol w:w="1395"/>
        <w:gridCol w:w="810"/>
        <w:gridCol w:w="1305"/>
      </w:tblGrid>
      <w:tr w:rsidR="00684E2B" w:rsidRPr="00396779" w:rsidTr="002506F4">
        <w:trPr>
          <w:trHeight w:val="233"/>
          <w:jc w:val="center"/>
        </w:trPr>
        <w:tc>
          <w:tcPr>
            <w:tcW w:w="4073" w:type="dxa"/>
            <w:gridSpan w:val="3"/>
            <w:tcBorders>
              <w:right w:val="thinThickThinSmallGap" w:sz="24" w:space="0" w:color="auto"/>
            </w:tcBorders>
            <w:shd w:val="clear" w:color="auto" w:fill="D9D9D9"/>
          </w:tcPr>
          <w:p w:rsidR="00684E2B" w:rsidRPr="0041089A" w:rsidRDefault="00684E2B" w:rsidP="0036257A">
            <w:pPr>
              <w:pStyle w:val="ListParagraph"/>
              <w:spacing w:after="0" w:line="240" w:lineRule="exact"/>
              <w:ind w:left="0"/>
              <w:jc w:val="center"/>
              <w:rPr>
                <w:b/>
                <w:sz w:val="20"/>
                <w:szCs w:val="20"/>
              </w:rPr>
            </w:pPr>
            <w:r w:rsidRPr="0041089A">
              <w:rPr>
                <w:b/>
                <w:sz w:val="20"/>
                <w:szCs w:val="20"/>
              </w:rPr>
              <w:t xml:space="preserve">Service </w:t>
            </w:r>
            <w:r w:rsidR="0036257A">
              <w:rPr>
                <w:b/>
                <w:sz w:val="20"/>
                <w:szCs w:val="20"/>
              </w:rPr>
              <w:t xml:space="preserve">Recon </w:t>
            </w:r>
            <w:r w:rsidRPr="0041089A">
              <w:rPr>
                <w:b/>
                <w:sz w:val="20"/>
                <w:szCs w:val="20"/>
              </w:rPr>
              <w:t>PEB</w:t>
            </w:r>
            <w:r w:rsidR="002B2645" w:rsidRPr="0041089A">
              <w:rPr>
                <w:b/>
                <w:sz w:val="20"/>
                <w:szCs w:val="20"/>
              </w:rPr>
              <w:t xml:space="preserve"> – </w:t>
            </w:r>
            <w:r w:rsidR="009C7B3E" w:rsidRPr="0041089A">
              <w:rPr>
                <w:b/>
                <w:sz w:val="20"/>
                <w:szCs w:val="20"/>
              </w:rPr>
              <w:t>200801</w:t>
            </w:r>
            <w:r w:rsidR="0036257A">
              <w:rPr>
                <w:b/>
                <w:sz w:val="20"/>
                <w:szCs w:val="20"/>
              </w:rPr>
              <w:t>10</w:t>
            </w:r>
          </w:p>
        </w:tc>
        <w:tc>
          <w:tcPr>
            <w:tcW w:w="5512" w:type="dxa"/>
            <w:gridSpan w:val="4"/>
            <w:tcBorders>
              <w:left w:val="thinThickThinSmallGap" w:sz="24" w:space="0" w:color="auto"/>
            </w:tcBorders>
            <w:shd w:val="clear" w:color="auto" w:fill="D9D9D9"/>
          </w:tcPr>
          <w:p w:rsidR="00684E2B" w:rsidRPr="0041089A" w:rsidRDefault="00684E2B" w:rsidP="0041089A">
            <w:pPr>
              <w:pStyle w:val="ListParagraph"/>
              <w:spacing w:after="0" w:line="240" w:lineRule="exact"/>
              <w:ind w:left="0"/>
              <w:jc w:val="center"/>
              <w:rPr>
                <w:b/>
                <w:sz w:val="20"/>
                <w:szCs w:val="20"/>
              </w:rPr>
            </w:pPr>
            <w:r w:rsidRPr="0041089A">
              <w:rPr>
                <w:b/>
                <w:sz w:val="20"/>
                <w:szCs w:val="20"/>
              </w:rPr>
              <w:t>VA (</w:t>
            </w:r>
            <w:r w:rsidR="00EA1BE2" w:rsidRPr="0041089A">
              <w:rPr>
                <w:b/>
                <w:sz w:val="20"/>
                <w:szCs w:val="20"/>
              </w:rPr>
              <w:t xml:space="preserve">6 </w:t>
            </w:r>
            <w:r w:rsidRPr="0041089A">
              <w:rPr>
                <w:b/>
                <w:sz w:val="20"/>
                <w:szCs w:val="20"/>
              </w:rPr>
              <w:t xml:space="preserve">Mo. </w:t>
            </w:r>
            <w:r w:rsidR="00EA1BE2" w:rsidRPr="0041089A">
              <w:rPr>
                <w:b/>
                <w:sz w:val="20"/>
                <w:szCs w:val="20"/>
              </w:rPr>
              <w:t>Post</w:t>
            </w:r>
            <w:r w:rsidRPr="0041089A">
              <w:rPr>
                <w:b/>
                <w:sz w:val="20"/>
                <w:szCs w:val="20"/>
              </w:rPr>
              <w:t xml:space="preserve"> Separation)</w:t>
            </w:r>
            <w:r w:rsidR="000C3C13" w:rsidRPr="0041089A">
              <w:rPr>
                <w:b/>
                <w:sz w:val="20"/>
                <w:szCs w:val="20"/>
              </w:rPr>
              <w:t xml:space="preserve"> – All Effective</w:t>
            </w:r>
            <w:r w:rsidR="00EA1BE2" w:rsidRPr="0041089A">
              <w:rPr>
                <w:b/>
                <w:sz w:val="20"/>
                <w:szCs w:val="20"/>
              </w:rPr>
              <w:t xml:space="preserve"> 20080401</w:t>
            </w:r>
          </w:p>
        </w:tc>
      </w:tr>
      <w:tr w:rsidR="002B2645" w:rsidRPr="00396779" w:rsidTr="002506F4">
        <w:trPr>
          <w:trHeight w:val="233"/>
          <w:jc w:val="center"/>
        </w:trPr>
        <w:tc>
          <w:tcPr>
            <w:tcW w:w="1755" w:type="dxa"/>
            <w:tcBorders>
              <w:bottom w:val="single" w:sz="4" w:space="0" w:color="000000"/>
            </w:tcBorders>
            <w:shd w:val="clear" w:color="auto" w:fill="D9D9D9"/>
          </w:tcPr>
          <w:p w:rsidR="002B2645" w:rsidRPr="0041089A" w:rsidRDefault="002B2645" w:rsidP="0041089A">
            <w:pPr>
              <w:pStyle w:val="ListParagraph"/>
              <w:spacing w:after="0" w:line="240" w:lineRule="exact"/>
              <w:ind w:left="0"/>
              <w:jc w:val="both"/>
              <w:rPr>
                <w:b/>
                <w:sz w:val="20"/>
                <w:szCs w:val="20"/>
              </w:rPr>
            </w:pPr>
            <w:r w:rsidRPr="0041089A">
              <w:rPr>
                <w:b/>
                <w:sz w:val="20"/>
                <w:szCs w:val="20"/>
              </w:rPr>
              <w:t>Condition</w:t>
            </w:r>
          </w:p>
        </w:tc>
        <w:tc>
          <w:tcPr>
            <w:tcW w:w="1485" w:type="dxa"/>
            <w:tcBorders>
              <w:bottom w:val="single" w:sz="4" w:space="0" w:color="000000"/>
            </w:tcBorders>
            <w:shd w:val="clear" w:color="auto" w:fill="D9D9D9"/>
          </w:tcPr>
          <w:p w:rsidR="002B2645" w:rsidRPr="0041089A" w:rsidRDefault="002B2645" w:rsidP="0041089A">
            <w:pPr>
              <w:pStyle w:val="ListParagraph"/>
              <w:spacing w:after="0" w:line="240" w:lineRule="exact"/>
              <w:ind w:left="0"/>
              <w:jc w:val="center"/>
              <w:rPr>
                <w:b/>
                <w:sz w:val="20"/>
                <w:szCs w:val="20"/>
              </w:rPr>
            </w:pPr>
            <w:r w:rsidRPr="0041089A">
              <w:rPr>
                <w:b/>
                <w:sz w:val="20"/>
                <w:szCs w:val="20"/>
              </w:rPr>
              <w:t>Code</w:t>
            </w:r>
          </w:p>
        </w:tc>
        <w:tc>
          <w:tcPr>
            <w:tcW w:w="833" w:type="dxa"/>
            <w:tcBorders>
              <w:bottom w:val="single" w:sz="4" w:space="0" w:color="000000"/>
              <w:right w:val="thinThickThinSmallGap" w:sz="24" w:space="0" w:color="auto"/>
            </w:tcBorders>
            <w:shd w:val="clear" w:color="auto" w:fill="D9D9D9"/>
          </w:tcPr>
          <w:p w:rsidR="002B2645" w:rsidRPr="0041089A" w:rsidRDefault="002B2645" w:rsidP="0041089A">
            <w:pPr>
              <w:pStyle w:val="ListParagraph"/>
              <w:spacing w:after="0" w:line="240" w:lineRule="exact"/>
              <w:ind w:left="0"/>
              <w:jc w:val="center"/>
              <w:rPr>
                <w:b/>
                <w:sz w:val="20"/>
                <w:szCs w:val="20"/>
              </w:rPr>
            </w:pPr>
            <w:r w:rsidRPr="0041089A">
              <w:rPr>
                <w:b/>
                <w:sz w:val="20"/>
                <w:szCs w:val="20"/>
              </w:rPr>
              <w:t>Rating</w:t>
            </w:r>
          </w:p>
        </w:tc>
        <w:tc>
          <w:tcPr>
            <w:tcW w:w="2002" w:type="dxa"/>
            <w:tcBorders>
              <w:left w:val="thinThickThinSmallGap" w:sz="24" w:space="0" w:color="auto"/>
              <w:bottom w:val="single" w:sz="4" w:space="0" w:color="000000"/>
            </w:tcBorders>
            <w:shd w:val="clear" w:color="auto" w:fill="D9D9D9"/>
          </w:tcPr>
          <w:p w:rsidR="002B2645" w:rsidRPr="0041089A" w:rsidRDefault="002B2645" w:rsidP="0041089A">
            <w:pPr>
              <w:pStyle w:val="ListParagraph"/>
              <w:spacing w:after="0" w:line="240" w:lineRule="exact"/>
              <w:ind w:left="0"/>
              <w:jc w:val="both"/>
              <w:rPr>
                <w:b/>
                <w:sz w:val="20"/>
                <w:szCs w:val="20"/>
              </w:rPr>
            </w:pPr>
            <w:r w:rsidRPr="0041089A">
              <w:rPr>
                <w:b/>
                <w:sz w:val="20"/>
                <w:szCs w:val="20"/>
              </w:rPr>
              <w:t>Condition</w:t>
            </w:r>
          </w:p>
        </w:tc>
        <w:tc>
          <w:tcPr>
            <w:tcW w:w="1395" w:type="dxa"/>
            <w:tcBorders>
              <w:bottom w:val="single" w:sz="4" w:space="0" w:color="000000"/>
            </w:tcBorders>
            <w:shd w:val="clear" w:color="auto" w:fill="D9D9D9"/>
          </w:tcPr>
          <w:p w:rsidR="002B2645" w:rsidRPr="0041089A" w:rsidRDefault="002B2645" w:rsidP="0041089A">
            <w:pPr>
              <w:pStyle w:val="ListParagraph"/>
              <w:spacing w:after="0" w:line="240" w:lineRule="exact"/>
              <w:ind w:left="0"/>
              <w:jc w:val="center"/>
              <w:rPr>
                <w:b/>
                <w:sz w:val="20"/>
                <w:szCs w:val="20"/>
              </w:rPr>
            </w:pPr>
            <w:r w:rsidRPr="0041089A">
              <w:rPr>
                <w:b/>
                <w:sz w:val="20"/>
                <w:szCs w:val="20"/>
              </w:rPr>
              <w:t>Code</w:t>
            </w:r>
          </w:p>
        </w:tc>
        <w:tc>
          <w:tcPr>
            <w:tcW w:w="810" w:type="dxa"/>
            <w:tcBorders>
              <w:bottom w:val="single" w:sz="4" w:space="0" w:color="000000"/>
            </w:tcBorders>
            <w:shd w:val="clear" w:color="auto" w:fill="D9D9D9"/>
          </w:tcPr>
          <w:p w:rsidR="002B2645" w:rsidRPr="0041089A" w:rsidRDefault="002B2645" w:rsidP="0041089A">
            <w:pPr>
              <w:pStyle w:val="ListParagraph"/>
              <w:spacing w:after="0" w:line="240" w:lineRule="exact"/>
              <w:ind w:left="0"/>
              <w:jc w:val="center"/>
              <w:rPr>
                <w:b/>
                <w:sz w:val="20"/>
                <w:szCs w:val="20"/>
              </w:rPr>
            </w:pPr>
            <w:r w:rsidRPr="0041089A">
              <w:rPr>
                <w:b/>
                <w:sz w:val="20"/>
                <w:szCs w:val="20"/>
              </w:rPr>
              <w:t>Rating</w:t>
            </w:r>
          </w:p>
        </w:tc>
        <w:tc>
          <w:tcPr>
            <w:tcW w:w="1305" w:type="dxa"/>
            <w:tcBorders>
              <w:bottom w:val="single" w:sz="4" w:space="0" w:color="000000"/>
            </w:tcBorders>
            <w:shd w:val="clear" w:color="auto" w:fill="D9D9D9"/>
          </w:tcPr>
          <w:p w:rsidR="002B2645" w:rsidRPr="0041089A" w:rsidRDefault="002B2645" w:rsidP="0041089A">
            <w:pPr>
              <w:pStyle w:val="ListParagraph"/>
              <w:spacing w:after="0" w:line="240" w:lineRule="exact"/>
              <w:ind w:left="0"/>
              <w:jc w:val="center"/>
              <w:rPr>
                <w:b/>
                <w:sz w:val="20"/>
                <w:szCs w:val="20"/>
              </w:rPr>
            </w:pPr>
            <w:r w:rsidRPr="0041089A">
              <w:rPr>
                <w:b/>
                <w:sz w:val="20"/>
                <w:szCs w:val="20"/>
              </w:rPr>
              <w:t>Exam</w:t>
            </w:r>
          </w:p>
        </w:tc>
      </w:tr>
      <w:tr w:rsidR="0036257A" w:rsidRPr="00396779" w:rsidTr="002506F4">
        <w:trPr>
          <w:trHeight w:val="278"/>
          <w:jc w:val="center"/>
        </w:trPr>
        <w:tc>
          <w:tcPr>
            <w:tcW w:w="1755" w:type="dxa"/>
            <w:shd w:val="clear" w:color="auto" w:fill="FFFFFF"/>
          </w:tcPr>
          <w:p w:rsidR="0036257A" w:rsidRPr="0041089A" w:rsidRDefault="0036257A" w:rsidP="0041089A">
            <w:pPr>
              <w:pStyle w:val="ListParagraph"/>
              <w:spacing w:after="0" w:line="240" w:lineRule="exact"/>
              <w:ind w:left="0"/>
              <w:jc w:val="both"/>
              <w:rPr>
                <w:sz w:val="18"/>
                <w:szCs w:val="18"/>
              </w:rPr>
            </w:pPr>
            <w:r w:rsidRPr="0041089A">
              <w:rPr>
                <w:sz w:val="18"/>
                <w:szCs w:val="18"/>
              </w:rPr>
              <w:t>TBI</w:t>
            </w:r>
          </w:p>
        </w:tc>
        <w:tc>
          <w:tcPr>
            <w:tcW w:w="1485" w:type="dxa"/>
            <w:shd w:val="clear" w:color="auto" w:fill="FFFFFF"/>
          </w:tcPr>
          <w:p w:rsidR="0036257A" w:rsidRPr="0041089A" w:rsidRDefault="0036257A" w:rsidP="00E12B30">
            <w:pPr>
              <w:pStyle w:val="ListParagraph"/>
              <w:spacing w:after="0" w:line="240" w:lineRule="exact"/>
              <w:ind w:left="0"/>
              <w:jc w:val="center"/>
              <w:rPr>
                <w:sz w:val="18"/>
                <w:szCs w:val="18"/>
              </w:rPr>
            </w:pPr>
            <w:r w:rsidRPr="0041089A">
              <w:rPr>
                <w:sz w:val="18"/>
                <w:szCs w:val="18"/>
              </w:rPr>
              <w:t>8045</w:t>
            </w:r>
            <w:r>
              <w:rPr>
                <w:sz w:val="18"/>
                <w:szCs w:val="18"/>
              </w:rPr>
              <w:t>-</w:t>
            </w:r>
            <w:r w:rsidRPr="0041089A">
              <w:rPr>
                <w:sz w:val="18"/>
                <w:szCs w:val="18"/>
              </w:rPr>
              <w:t>9304</w:t>
            </w:r>
          </w:p>
        </w:tc>
        <w:tc>
          <w:tcPr>
            <w:tcW w:w="833" w:type="dxa"/>
            <w:tcBorders>
              <w:right w:val="thinThickThinSmallGap" w:sz="24" w:space="0" w:color="auto"/>
            </w:tcBorders>
            <w:shd w:val="clear" w:color="auto" w:fill="FFFFFF"/>
          </w:tcPr>
          <w:p w:rsidR="0036257A" w:rsidRPr="0041089A" w:rsidRDefault="0036257A" w:rsidP="0041089A">
            <w:pPr>
              <w:pStyle w:val="ListParagraph"/>
              <w:spacing w:after="0" w:line="240" w:lineRule="exact"/>
              <w:ind w:left="0"/>
              <w:jc w:val="center"/>
              <w:rPr>
                <w:sz w:val="18"/>
                <w:szCs w:val="18"/>
              </w:rPr>
            </w:pPr>
            <w:r w:rsidRPr="0041089A">
              <w:rPr>
                <w:sz w:val="18"/>
                <w:szCs w:val="18"/>
              </w:rPr>
              <w:t>10%</w:t>
            </w:r>
          </w:p>
        </w:tc>
        <w:tc>
          <w:tcPr>
            <w:tcW w:w="2002" w:type="dxa"/>
            <w:vMerge w:val="restart"/>
            <w:tcBorders>
              <w:left w:val="thinThickThinSmallGap" w:sz="24" w:space="0" w:color="auto"/>
            </w:tcBorders>
            <w:shd w:val="clear" w:color="auto" w:fill="FFFFFF"/>
          </w:tcPr>
          <w:p w:rsidR="0036257A" w:rsidRPr="0041089A" w:rsidRDefault="0036257A" w:rsidP="0041089A">
            <w:pPr>
              <w:pStyle w:val="ListParagraph"/>
              <w:spacing w:after="0" w:line="240" w:lineRule="exact"/>
              <w:ind w:left="0"/>
              <w:jc w:val="both"/>
              <w:rPr>
                <w:sz w:val="18"/>
                <w:szCs w:val="18"/>
              </w:rPr>
            </w:pPr>
            <w:r w:rsidRPr="0041089A">
              <w:rPr>
                <w:sz w:val="18"/>
                <w:szCs w:val="18"/>
              </w:rPr>
              <w:t>TBI</w:t>
            </w:r>
          </w:p>
        </w:tc>
        <w:tc>
          <w:tcPr>
            <w:tcW w:w="1395" w:type="dxa"/>
            <w:vMerge w:val="restart"/>
            <w:shd w:val="clear" w:color="auto" w:fill="FFFFFF"/>
          </w:tcPr>
          <w:p w:rsidR="0036257A" w:rsidRPr="00221F5B" w:rsidRDefault="0036257A" w:rsidP="00E12B30">
            <w:pPr>
              <w:pStyle w:val="ListParagraph"/>
              <w:spacing w:after="0" w:line="240" w:lineRule="exact"/>
              <w:ind w:left="0"/>
              <w:jc w:val="center"/>
              <w:rPr>
                <w:sz w:val="18"/>
                <w:szCs w:val="18"/>
                <w:highlight w:val="yellow"/>
              </w:rPr>
            </w:pPr>
            <w:r w:rsidRPr="00806FD8">
              <w:rPr>
                <w:sz w:val="18"/>
                <w:szCs w:val="18"/>
              </w:rPr>
              <w:t>8045-9304</w:t>
            </w:r>
          </w:p>
        </w:tc>
        <w:tc>
          <w:tcPr>
            <w:tcW w:w="810" w:type="dxa"/>
            <w:vMerge w:val="restart"/>
            <w:shd w:val="clear" w:color="auto" w:fill="FFFFFF"/>
          </w:tcPr>
          <w:p w:rsidR="0036257A" w:rsidRPr="00221F5B" w:rsidRDefault="0036257A" w:rsidP="0041089A">
            <w:pPr>
              <w:pStyle w:val="ListParagraph"/>
              <w:spacing w:after="0" w:line="240" w:lineRule="exact"/>
              <w:ind w:left="0"/>
              <w:jc w:val="center"/>
              <w:rPr>
                <w:sz w:val="18"/>
                <w:szCs w:val="18"/>
                <w:highlight w:val="yellow"/>
              </w:rPr>
            </w:pPr>
            <w:r w:rsidRPr="00806FD8">
              <w:rPr>
                <w:sz w:val="18"/>
                <w:szCs w:val="18"/>
              </w:rPr>
              <w:t>30%</w:t>
            </w:r>
          </w:p>
        </w:tc>
        <w:tc>
          <w:tcPr>
            <w:tcW w:w="1305" w:type="dxa"/>
            <w:vMerge w:val="restart"/>
            <w:shd w:val="clear" w:color="auto" w:fill="FFFFFF"/>
          </w:tcPr>
          <w:p w:rsidR="0036257A" w:rsidRPr="0041089A" w:rsidRDefault="0036257A" w:rsidP="0041089A">
            <w:pPr>
              <w:pStyle w:val="ListParagraph"/>
              <w:spacing w:after="0" w:line="240" w:lineRule="exact"/>
              <w:ind w:left="0"/>
              <w:jc w:val="center"/>
              <w:rPr>
                <w:sz w:val="18"/>
                <w:szCs w:val="18"/>
              </w:rPr>
            </w:pPr>
            <w:r w:rsidRPr="0041089A">
              <w:rPr>
                <w:sz w:val="18"/>
                <w:szCs w:val="18"/>
              </w:rPr>
              <w:t>20080913</w:t>
            </w:r>
          </w:p>
        </w:tc>
      </w:tr>
      <w:tr w:rsidR="0036257A" w:rsidRPr="00396779" w:rsidTr="002506F4">
        <w:trPr>
          <w:trHeight w:val="278"/>
          <w:jc w:val="center"/>
        </w:trPr>
        <w:tc>
          <w:tcPr>
            <w:tcW w:w="1755" w:type="dxa"/>
            <w:shd w:val="clear" w:color="auto" w:fill="FFFFFF"/>
          </w:tcPr>
          <w:p w:rsidR="0036257A" w:rsidRPr="0041089A" w:rsidRDefault="0036257A" w:rsidP="0041089A">
            <w:pPr>
              <w:pStyle w:val="ListParagraph"/>
              <w:spacing w:after="0" w:line="240" w:lineRule="exact"/>
              <w:ind w:left="0"/>
              <w:jc w:val="both"/>
              <w:rPr>
                <w:sz w:val="18"/>
                <w:szCs w:val="18"/>
              </w:rPr>
            </w:pPr>
            <w:r>
              <w:rPr>
                <w:sz w:val="18"/>
                <w:szCs w:val="18"/>
              </w:rPr>
              <w:t xml:space="preserve">Post concussive </w:t>
            </w:r>
            <w:proofErr w:type="spellStart"/>
            <w:r>
              <w:rPr>
                <w:sz w:val="18"/>
                <w:szCs w:val="18"/>
              </w:rPr>
              <w:t>synd</w:t>
            </w:r>
            <w:proofErr w:type="spellEnd"/>
          </w:p>
        </w:tc>
        <w:tc>
          <w:tcPr>
            <w:tcW w:w="1485" w:type="dxa"/>
            <w:shd w:val="clear" w:color="auto" w:fill="FFFFFF"/>
          </w:tcPr>
          <w:p w:rsidR="0036257A" w:rsidRPr="0041089A" w:rsidRDefault="0036257A" w:rsidP="00E12B30">
            <w:pPr>
              <w:pStyle w:val="ListParagraph"/>
              <w:spacing w:after="0" w:line="240" w:lineRule="exact"/>
              <w:ind w:left="0"/>
              <w:jc w:val="center"/>
              <w:rPr>
                <w:sz w:val="18"/>
                <w:szCs w:val="18"/>
              </w:rPr>
            </w:pPr>
            <w:r>
              <w:rPr>
                <w:sz w:val="18"/>
                <w:szCs w:val="18"/>
              </w:rPr>
              <w:t>Cat 2</w:t>
            </w:r>
          </w:p>
        </w:tc>
        <w:tc>
          <w:tcPr>
            <w:tcW w:w="833" w:type="dxa"/>
            <w:tcBorders>
              <w:right w:val="thinThickThinSmallGap" w:sz="24" w:space="0" w:color="auto"/>
            </w:tcBorders>
            <w:shd w:val="clear" w:color="auto" w:fill="FFFFFF"/>
          </w:tcPr>
          <w:p w:rsidR="0036257A" w:rsidRPr="0041089A" w:rsidRDefault="0036257A" w:rsidP="0041089A">
            <w:pPr>
              <w:pStyle w:val="ListParagraph"/>
              <w:spacing w:after="0" w:line="240" w:lineRule="exact"/>
              <w:ind w:left="0"/>
              <w:jc w:val="center"/>
              <w:rPr>
                <w:sz w:val="18"/>
                <w:szCs w:val="18"/>
              </w:rPr>
            </w:pPr>
          </w:p>
        </w:tc>
        <w:tc>
          <w:tcPr>
            <w:tcW w:w="2002" w:type="dxa"/>
            <w:vMerge/>
            <w:tcBorders>
              <w:left w:val="thinThickThinSmallGap" w:sz="24" w:space="0" w:color="auto"/>
            </w:tcBorders>
            <w:shd w:val="clear" w:color="auto" w:fill="FFFFFF"/>
          </w:tcPr>
          <w:p w:rsidR="0036257A" w:rsidRPr="0041089A" w:rsidRDefault="0036257A" w:rsidP="0041089A">
            <w:pPr>
              <w:pStyle w:val="ListParagraph"/>
              <w:spacing w:after="0" w:line="240" w:lineRule="exact"/>
              <w:ind w:left="0"/>
              <w:jc w:val="both"/>
              <w:rPr>
                <w:sz w:val="18"/>
                <w:szCs w:val="18"/>
              </w:rPr>
            </w:pPr>
          </w:p>
        </w:tc>
        <w:tc>
          <w:tcPr>
            <w:tcW w:w="1395" w:type="dxa"/>
            <w:vMerge/>
            <w:shd w:val="clear" w:color="auto" w:fill="FFFFFF"/>
          </w:tcPr>
          <w:p w:rsidR="0036257A" w:rsidRPr="00221F5B" w:rsidRDefault="0036257A" w:rsidP="00E12B30">
            <w:pPr>
              <w:pStyle w:val="ListParagraph"/>
              <w:spacing w:after="0" w:line="240" w:lineRule="exact"/>
              <w:ind w:left="0"/>
              <w:jc w:val="center"/>
              <w:rPr>
                <w:sz w:val="18"/>
                <w:szCs w:val="18"/>
                <w:highlight w:val="yellow"/>
              </w:rPr>
            </w:pPr>
          </w:p>
        </w:tc>
        <w:tc>
          <w:tcPr>
            <w:tcW w:w="810" w:type="dxa"/>
            <w:vMerge/>
            <w:shd w:val="clear" w:color="auto" w:fill="FFFFFF"/>
          </w:tcPr>
          <w:p w:rsidR="0036257A" w:rsidRPr="00221F5B" w:rsidRDefault="0036257A" w:rsidP="0041089A">
            <w:pPr>
              <w:pStyle w:val="ListParagraph"/>
              <w:spacing w:after="0" w:line="240" w:lineRule="exact"/>
              <w:ind w:left="0"/>
              <w:jc w:val="center"/>
              <w:rPr>
                <w:sz w:val="18"/>
                <w:szCs w:val="18"/>
                <w:highlight w:val="yellow"/>
              </w:rPr>
            </w:pPr>
          </w:p>
        </w:tc>
        <w:tc>
          <w:tcPr>
            <w:tcW w:w="1305" w:type="dxa"/>
            <w:vMerge/>
            <w:shd w:val="clear" w:color="auto" w:fill="FFFFFF"/>
          </w:tcPr>
          <w:p w:rsidR="0036257A" w:rsidRPr="0041089A" w:rsidRDefault="0036257A" w:rsidP="0041089A">
            <w:pPr>
              <w:pStyle w:val="ListParagraph"/>
              <w:spacing w:after="0" w:line="240" w:lineRule="exact"/>
              <w:ind w:left="0"/>
              <w:jc w:val="center"/>
              <w:rPr>
                <w:sz w:val="18"/>
                <w:szCs w:val="18"/>
              </w:rPr>
            </w:pPr>
          </w:p>
        </w:tc>
      </w:tr>
      <w:tr w:rsidR="0036257A" w:rsidRPr="00396779" w:rsidTr="002506F4">
        <w:trPr>
          <w:trHeight w:val="125"/>
          <w:jc w:val="center"/>
        </w:trPr>
        <w:tc>
          <w:tcPr>
            <w:tcW w:w="1755" w:type="dxa"/>
            <w:shd w:val="clear" w:color="auto" w:fill="FFFFFF"/>
          </w:tcPr>
          <w:p w:rsidR="0036257A" w:rsidRPr="0041089A" w:rsidRDefault="0036257A" w:rsidP="0041089A">
            <w:pPr>
              <w:pStyle w:val="ListParagraph"/>
              <w:spacing w:after="0" w:line="240" w:lineRule="exact"/>
              <w:ind w:left="0"/>
              <w:jc w:val="both"/>
              <w:rPr>
                <w:sz w:val="18"/>
                <w:szCs w:val="18"/>
              </w:rPr>
            </w:pPr>
            <w:r w:rsidRPr="0041089A">
              <w:rPr>
                <w:sz w:val="18"/>
                <w:szCs w:val="18"/>
              </w:rPr>
              <w:t>PTSD</w:t>
            </w:r>
          </w:p>
        </w:tc>
        <w:tc>
          <w:tcPr>
            <w:tcW w:w="1485" w:type="dxa"/>
            <w:shd w:val="clear" w:color="auto" w:fill="FFFFFF"/>
          </w:tcPr>
          <w:p w:rsidR="0036257A" w:rsidRPr="0041089A" w:rsidRDefault="0036257A" w:rsidP="0041089A">
            <w:pPr>
              <w:pStyle w:val="ListParagraph"/>
              <w:spacing w:after="0" w:line="240" w:lineRule="exact"/>
              <w:ind w:left="0"/>
              <w:jc w:val="center"/>
              <w:rPr>
                <w:sz w:val="18"/>
                <w:szCs w:val="18"/>
              </w:rPr>
            </w:pPr>
            <w:r w:rsidRPr="0041089A">
              <w:rPr>
                <w:sz w:val="18"/>
                <w:szCs w:val="18"/>
              </w:rPr>
              <w:t>9411</w:t>
            </w:r>
          </w:p>
        </w:tc>
        <w:tc>
          <w:tcPr>
            <w:tcW w:w="833" w:type="dxa"/>
            <w:tcBorders>
              <w:right w:val="thinThickThinSmallGap" w:sz="24" w:space="0" w:color="auto"/>
            </w:tcBorders>
            <w:shd w:val="clear" w:color="auto" w:fill="FFFFFF"/>
          </w:tcPr>
          <w:p w:rsidR="0036257A" w:rsidRPr="0041089A" w:rsidRDefault="0036257A" w:rsidP="0041089A">
            <w:pPr>
              <w:pStyle w:val="ListParagraph"/>
              <w:spacing w:after="0" w:line="240" w:lineRule="exact"/>
              <w:ind w:left="0"/>
              <w:jc w:val="center"/>
              <w:rPr>
                <w:sz w:val="18"/>
                <w:szCs w:val="18"/>
              </w:rPr>
            </w:pPr>
            <w:r w:rsidRPr="0041089A">
              <w:rPr>
                <w:sz w:val="18"/>
                <w:szCs w:val="18"/>
              </w:rPr>
              <w:t>10%</w:t>
            </w:r>
          </w:p>
        </w:tc>
        <w:tc>
          <w:tcPr>
            <w:tcW w:w="2002" w:type="dxa"/>
            <w:vMerge w:val="restart"/>
            <w:tcBorders>
              <w:left w:val="thinThickThinSmallGap" w:sz="24" w:space="0" w:color="auto"/>
            </w:tcBorders>
            <w:shd w:val="clear" w:color="auto" w:fill="FFFFFF"/>
          </w:tcPr>
          <w:p w:rsidR="0036257A" w:rsidRPr="0041089A" w:rsidRDefault="0036257A" w:rsidP="0041089A">
            <w:pPr>
              <w:pStyle w:val="ListParagraph"/>
              <w:spacing w:after="0" w:line="240" w:lineRule="exact"/>
              <w:ind w:left="0"/>
              <w:jc w:val="both"/>
              <w:rPr>
                <w:sz w:val="18"/>
                <w:szCs w:val="18"/>
              </w:rPr>
            </w:pPr>
            <w:r w:rsidRPr="0041089A">
              <w:rPr>
                <w:sz w:val="18"/>
                <w:szCs w:val="18"/>
              </w:rPr>
              <w:t>PTSD</w:t>
            </w:r>
          </w:p>
        </w:tc>
        <w:tc>
          <w:tcPr>
            <w:tcW w:w="1395" w:type="dxa"/>
            <w:vMerge w:val="restart"/>
            <w:shd w:val="clear" w:color="auto" w:fill="FFFFFF"/>
          </w:tcPr>
          <w:p w:rsidR="0036257A" w:rsidRPr="00221F5B" w:rsidRDefault="0036257A" w:rsidP="0041089A">
            <w:pPr>
              <w:pStyle w:val="ListParagraph"/>
              <w:spacing w:after="0" w:line="240" w:lineRule="exact"/>
              <w:ind w:left="0"/>
              <w:jc w:val="center"/>
              <w:rPr>
                <w:sz w:val="18"/>
                <w:szCs w:val="18"/>
                <w:highlight w:val="yellow"/>
              </w:rPr>
            </w:pPr>
            <w:r w:rsidRPr="00806FD8">
              <w:rPr>
                <w:sz w:val="18"/>
                <w:szCs w:val="18"/>
              </w:rPr>
              <w:t>9411</w:t>
            </w:r>
          </w:p>
        </w:tc>
        <w:tc>
          <w:tcPr>
            <w:tcW w:w="810" w:type="dxa"/>
            <w:vMerge w:val="restart"/>
            <w:shd w:val="clear" w:color="auto" w:fill="FFFFFF"/>
          </w:tcPr>
          <w:p w:rsidR="0036257A" w:rsidRPr="00221F5B" w:rsidRDefault="0036257A" w:rsidP="0041089A">
            <w:pPr>
              <w:pStyle w:val="ListParagraph"/>
              <w:spacing w:after="0" w:line="240" w:lineRule="exact"/>
              <w:ind w:left="0"/>
              <w:jc w:val="center"/>
              <w:rPr>
                <w:sz w:val="18"/>
                <w:szCs w:val="18"/>
                <w:highlight w:val="yellow"/>
              </w:rPr>
            </w:pPr>
            <w:r w:rsidRPr="00806FD8">
              <w:rPr>
                <w:sz w:val="18"/>
                <w:szCs w:val="18"/>
              </w:rPr>
              <w:t>30%</w:t>
            </w:r>
          </w:p>
        </w:tc>
        <w:tc>
          <w:tcPr>
            <w:tcW w:w="1305" w:type="dxa"/>
            <w:vMerge w:val="restart"/>
            <w:shd w:val="clear" w:color="auto" w:fill="FFFFFF"/>
          </w:tcPr>
          <w:p w:rsidR="0036257A" w:rsidRPr="0041089A" w:rsidRDefault="0036257A" w:rsidP="0041089A">
            <w:pPr>
              <w:pStyle w:val="ListParagraph"/>
              <w:spacing w:after="0" w:line="240" w:lineRule="exact"/>
              <w:ind w:left="0"/>
              <w:jc w:val="center"/>
              <w:rPr>
                <w:sz w:val="18"/>
                <w:szCs w:val="18"/>
              </w:rPr>
            </w:pPr>
            <w:r w:rsidRPr="0041089A">
              <w:rPr>
                <w:sz w:val="18"/>
                <w:szCs w:val="18"/>
              </w:rPr>
              <w:t>20080828</w:t>
            </w:r>
          </w:p>
        </w:tc>
      </w:tr>
      <w:tr w:rsidR="0036257A" w:rsidRPr="00396779" w:rsidTr="002506F4">
        <w:trPr>
          <w:trHeight w:val="125"/>
          <w:jc w:val="center"/>
        </w:trPr>
        <w:tc>
          <w:tcPr>
            <w:tcW w:w="1755" w:type="dxa"/>
            <w:shd w:val="clear" w:color="auto" w:fill="FFFFFF"/>
          </w:tcPr>
          <w:p w:rsidR="0036257A" w:rsidRPr="0041089A" w:rsidRDefault="0036257A" w:rsidP="0041089A">
            <w:pPr>
              <w:pStyle w:val="ListParagraph"/>
              <w:spacing w:after="0" w:line="240" w:lineRule="exact"/>
              <w:ind w:left="0"/>
              <w:jc w:val="both"/>
              <w:rPr>
                <w:sz w:val="18"/>
                <w:szCs w:val="18"/>
              </w:rPr>
            </w:pPr>
            <w:r>
              <w:rPr>
                <w:sz w:val="18"/>
                <w:szCs w:val="18"/>
              </w:rPr>
              <w:t>Mood disorder</w:t>
            </w:r>
          </w:p>
        </w:tc>
        <w:tc>
          <w:tcPr>
            <w:tcW w:w="1485" w:type="dxa"/>
            <w:shd w:val="clear" w:color="auto" w:fill="FFFFFF"/>
          </w:tcPr>
          <w:p w:rsidR="0036257A" w:rsidRPr="0041089A" w:rsidRDefault="0036257A" w:rsidP="0041089A">
            <w:pPr>
              <w:pStyle w:val="ListParagraph"/>
              <w:spacing w:after="0" w:line="240" w:lineRule="exact"/>
              <w:ind w:left="0"/>
              <w:jc w:val="center"/>
              <w:rPr>
                <w:sz w:val="18"/>
                <w:szCs w:val="18"/>
              </w:rPr>
            </w:pPr>
            <w:r>
              <w:rPr>
                <w:sz w:val="18"/>
                <w:szCs w:val="18"/>
              </w:rPr>
              <w:t>Cat 2</w:t>
            </w:r>
          </w:p>
        </w:tc>
        <w:tc>
          <w:tcPr>
            <w:tcW w:w="833" w:type="dxa"/>
            <w:tcBorders>
              <w:right w:val="thinThickThinSmallGap" w:sz="24" w:space="0" w:color="auto"/>
            </w:tcBorders>
            <w:shd w:val="clear" w:color="auto" w:fill="FFFFFF"/>
          </w:tcPr>
          <w:p w:rsidR="0036257A" w:rsidRPr="0041089A" w:rsidRDefault="0036257A" w:rsidP="0041089A">
            <w:pPr>
              <w:pStyle w:val="ListParagraph"/>
              <w:spacing w:after="0" w:line="240" w:lineRule="exact"/>
              <w:ind w:left="0"/>
              <w:jc w:val="center"/>
              <w:rPr>
                <w:sz w:val="18"/>
                <w:szCs w:val="18"/>
              </w:rPr>
            </w:pPr>
          </w:p>
        </w:tc>
        <w:tc>
          <w:tcPr>
            <w:tcW w:w="2002" w:type="dxa"/>
            <w:vMerge/>
            <w:tcBorders>
              <w:left w:val="thinThickThinSmallGap" w:sz="24" w:space="0" w:color="auto"/>
            </w:tcBorders>
            <w:shd w:val="clear" w:color="auto" w:fill="FFFFFF"/>
          </w:tcPr>
          <w:p w:rsidR="0036257A" w:rsidRPr="0041089A" w:rsidRDefault="0036257A" w:rsidP="0041089A">
            <w:pPr>
              <w:pStyle w:val="ListParagraph"/>
              <w:spacing w:after="0" w:line="240" w:lineRule="exact"/>
              <w:ind w:left="0"/>
              <w:jc w:val="both"/>
              <w:rPr>
                <w:sz w:val="18"/>
                <w:szCs w:val="18"/>
              </w:rPr>
            </w:pPr>
          </w:p>
        </w:tc>
        <w:tc>
          <w:tcPr>
            <w:tcW w:w="1395" w:type="dxa"/>
            <w:vMerge/>
            <w:shd w:val="clear" w:color="auto" w:fill="FFFFFF"/>
          </w:tcPr>
          <w:p w:rsidR="0036257A" w:rsidRPr="00221F5B" w:rsidRDefault="0036257A" w:rsidP="0041089A">
            <w:pPr>
              <w:pStyle w:val="ListParagraph"/>
              <w:spacing w:after="0" w:line="240" w:lineRule="exact"/>
              <w:ind w:left="0"/>
              <w:jc w:val="center"/>
              <w:rPr>
                <w:sz w:val="18"/>
                <w:szCs w:val="18"/>
                <w:highlight w:val="yellow"/>
              </w:rPr>
            </w:pPr>
          </w:p>
        </w:tc>
        <w:tc>
          <w:tcPr>
            <w:tcW w:w="810" w:type="dxa"/>
            <w:vMerge/>
            <w:shd w:val="clear" w:color="auto" w:fill="FFFFFF"/>
          </w:tcPr>
          <w:p w:rsidR="0036257A" w:rsidRPr="00221F5B" w:rsidRDefault="0036257A" w:rsidP="0041089A">
            <w:pPr>
              <w:pStyle w:val="ListParagraph"/>
              <w:spacing w:after="0" w:line="240" w:lineRule="exact"/>
              <w:ind w:left="0"/>
              <w:jc w:val="center"/>
              <w:rPr>
                <w:sz w:val="18"/>
                <w:szCs w:val="18"/>
                <w:highlight w:val="yellow"/>
              </w:rPr>
            </w:pPr>
          </w:p>
        </w:tc>
        <w:tc>
          <w:tcPr>
            <w:tcW w:w="1305" w:type="dxa"/>
            <w:vMerge/>
            <w:shd w:val="clear" w:color="auto" w:fill="FFFFFF"/>
          </w:tcPr>
          <w:p w:rsidR="0036257A" w:rsidRPr="0041089A" w:rsidRDefault="0036257A" w:rsidP="0041089A">
            <w:pPr>
              <w:pStyle w:val="ListParagraph"/>
              <w:spacing w:after="0" w:line="240" w:lineRule="exact"/>
              <w:ind w:left="0"/>
              <w:jc w:val="center"/>
              <w:rPr>
                <w:sz w:val="18"/>
                <w:szCs w:val="18"/>
              </w:rPr>
            </w:pPr>
          </w:p>
        </w:tc>
      </w:tr>
      <w:tr w:rsidR="0036257A" w:rsidRPr="00396779" w:rsidTr="002506F4">
        <w:trPr>
          <w:trHeight w:val="125"/>
          <w:jc w:val="center"/>
        </w:trPr>
        <w:tc>
          <w:tcPr>
            <w:tcW w:w="1755" w:type="dxa"/>
            <w:shd w:val="clear" w:color="auto" w:fill="FFFFFF"/>
          </w:tcPr>
          <w:p w:rsidR="0036257A" w:rsidRPr="0041089A" w:rsidRDefault="0036257A" w:rsidP="0041089A">
            <w:pPr>
              <w:pStyle w:val="ListParagraph"/>
              <w:spacing w:after="0" w:line="240" w:lineRule="exact"/>
              <w:ind w:left="0"/>
              <w:jc w:val="both"/>
              <w:rPr>
                <w:sz w:val="18"/>
                <w:szCs w:val="18"/>
              </w:rPr>
            </w:pPr>
            <w:r>
              <w:rPr>
                <w:sz w:val="18"/>
                <w:szCs w:val="18"/>
              </w:rPr>
              <w:t>Disturbed sleep</w:t>
            </w:r>
          </w:p>
        </w:tc>
        <w:tc>
          <w:tcPr>
            <w:tcW w:w="1485" w:type="dxa"/>
            <w:shd w:val="clear" w:color="auto" w:fill="FFFFFF"/>
          </w:tcPr>
          <w:p w:rsidR="0036257A" w:rsidRPr="0041089A" w:rsidRDefault="0036257A" w:rsidP="0041089A">
            <w:pPr>
              <w:pStyle w:val="ListParagraph"/>
              <w:spacing w:after="0" w:line="240" w:lineRule="exact"/>
              <w:ind w:left="0"/>
              <w:jc w:val="center"/>
              <w:rPr>
                <w:sz w:val="18"/>
                <w:szCs w:val="18"/>
              </w:rPr>
            </w:pPr>
            <w:r>
              <w:rPr>
                <w:sz w:val="18"/>
                <w:szCs w:val="18"/>
              </w:rPr>
              <w:t>Cat 2</w:t>
            </w:r>
          </w:p>
        </w:tc>
        <w:tc>
          <w:tcPr>
            <w:tcW w:w="833" w:type="dxa"/>
            <w:tcBorders>
              <w:right w:val="thinThickThinSmallGap" w:sz="24" w:space="0" w:color="auto"/>
            </w:tcBorders>
            <w:shd w:val="clear" w:color="auto" w:fill="FFFFFF"/>
          </w:tcPr>
          <w:p w:rsidR="0036257A" w:rsidRPr="0041089A" w:rsidRDefault="0036257A" w:rsidP="0041089A">
            <w:pPr>
              <w:pStyle w:val="ListParagraph"/>
              <w:spacing w:after="0" w:line="240" w:lineRule="exact"/>
              <w:ind w:left="0"/>
              <w:jc w:val="center"/>
              <w:rPr>
                <w:sz w:val="18"/>
                <w:szCs w:val="18"/>
              </w:rPr>
            </w:pPr>
          </w:p>
        </w:tc>
        <w:tc>
          <w:tcPr>
            <w:tcW w:w="2002" w:type="dxa"/>
            <w:vMerge/>
            <w:tcBorders>
              <w:left w:val="thinThickThinSmallGap" w:sz="24" w:space="0" w:color="auto"/>
            </w:tcBorders>
            <w:shd w:val="clear" w:color="auto" w:fill="FFFFFF"/>
          </w:tcPr>
          <w:p w:rsidR="0036257A" w:rsidRPr="0041089A" w:rsidRDefault="0036257A" w:rsidP="0041089A">
            <w:pPr>
              <w:pStyle w:val="ListParagraph"/>
              <w:spacing w:after="0" w:line="240" w:lineRule="exact"/>
              <w:ind w:left="0"/>
              <w:jc w:val="both"/>
              <w:rPr>
                <w:sz w:val="18"/>
                <w:szCs w:val="18"/>
              </w:rPr>
            </w:pPr>
          </w:p>
        </w:tc>
        <w:tc>
          <w:tcPr>
            <w:tcW w:w="1395" w:type="dxa"/>
            <w:vMerge/>
            <w:shd w:val="clear" w:color="auto" w:fill="FFFFFF"/>
          </w:tcPr>
          <w:p w:rsidR="0036257A" w:rsidRPr="00221F5B" w:rsidRDefault="0036257A" w:rsidP="0041089A">
            <w:pPr>
              <w:pStyle w:val="ListParagraph"/>
              <w:spacing w:after="0" w:line="240" w:lineRule="exact"/>
              <w:ind w:left="0"/>
              <w:jc w:val="center"/>
              <w:rPr>
                <w:sz w:val="18"/>
                <w:szCs w:val="18"/>
                <w:highlight w:val="yellow"/>
              </w:rPr>
            </w:pPr>
          </w:p>
        </w:tc>
        <w:tc>
          <w:tcPr>
            <w:tcW w:w="810" w:type="dxa"/>
            <w:vMerge/>
            <w:shd w:val="clear" w:color="auto" w:fill="FFFFFF"/>
          </w:tcPr>
          <w:p w:rsidR="0036257A" w:rsidRPr="00221F5B" w:rsidRDefault="0036257A" w:rsidP="0041089A">
            <w:pPr>
              <w:pStyle w:val="ListParagraph"/>
              <w:spacing w:after="0" w:line="240" w:lineRule="exact"/>
              <w:ind w:left="0"/>
              <w:jc w:val="center"/>
              <w:rPr>
                <w:sz w:val="18"/>
                <w:szCs w:val="18"/>
                <w:highlight w:val="yellow"/>
              </w:rPr>
            </w:pPr>
          </w:p>
        </w:tc>
        <w:tc>
          <w:tcPr>
            <w:tcW w:w="1305" w:type="dxa"/>
            <w:vMerge/>
            <w:shd w:val="clear" w:color="auto" w:fill="FFFFFF"/>
          </w:tcPr>
          <w:p w:rsidR="0036257A" w:rsidRPr="0041089A" w:rsidRDefault="0036257A" w:rsidP="0041089A">
            <w:pPr>
              <w:pStyle w:val="ListParagraph"/>
              <w:spacing w:after="0" w:line="240" w:lineRule="exact"/>
              <w:ind w:left="0"/>
              <w:jc w:val="center"/>
              <w:rPr>
                <w:sz w:val="18"/>
                <w:szCs w:val="18"/>
              </w:rPr>
            </w:pPr>
          </w:p>
        </w:tc>
      </w:tr>
      <w:tr w:rsidR="00E76D15" w:rsidRPr="00396779" w:rsidTr="002506F4">
        <w:trPr>
          <w:trHeight w:val="125"/>
          <w:jc w:val="center"/>
        </w:trPr>
        <w:tc>
          <w:tcPr>
            <w:tcW w:w="4073" w:type="dxa"/>
            <w:gridSpan w:val="3"/>
            <w:vMerge w:val="restart"/>
            <w:tcBorders>
              <w:right w:val="thinThickThinSmallGap" w:sz="24" w:space="0" w:color="auto"/>
            </w:tcBorders>
            <w:shd w:val="clear" w:color="auto" w:fill="FFFFFF"/>
          </w:tcPr>
          <w:p w:rsidR="00E76D15" w:rsidRPr="0041089A" w:rsidRDefault="00E76D15" w:rsidP="0041089A">
            <w:pPr>
              <w:pStyle w:val="ListParagraph"/>
              <w:spacing w:line="240" w:lineRule="exact"/>
              <w:ind w:left="0"/>
              <w:jc w:val="center"/>
              <w:rPr>
                <w:sz w:val="18"/>
                <w:szCs w:val="18"/>
              </w:rPr>
            </w:pPr>
            <w:r w:rsidRPr="0041089A">
              <w:rPr>
                <w:sz w:val="18"/>
                <w:szCs w:val="18"/>
              </w:rPr>
              <w:t>↓No Additional MEB</w:t>
            </w:r>
            <w:r w:rsidR="00624871">
              <w:rPr>
                <w:sz w:val="18"/>
                <w:szCs w:val="18"/>
              </w:rPr>
              <w:t>/PEB</w:t>
            </w:r>
            <w:r w:rsidRPr="0041089A">
              <w:rPr>
                <w:sz w:val="18"/>
                <w:szCs w:val="18"/>
              </w:rPr>
              <w:t xml:space="preserve"> Entries↓</w:t>
            </w:r>
          </w:p>
        </w:tc>
        <w:tc>
          <w:tcPr>
            <w:tcW w:w="2002" w:type="dxa"/>
            <w:tcBorders>
              <w:left w:val="thinThickThinSmallGap" w:sz="24" w:space="0" w:color="auto"/>
            </w:tcBorders>
            <w:shd w:val="clear" w:color="auto" w:fill="FFFFFF"/>
          </w:tcPr>
          <w:p w:rsidR="00E76D15" w:rsidRPr="0041089A" w:rsidRDefault="00E76D15" w:rsidP="0041089A">
            <w:pPr>
              <w:pStyle w:val="ListParagraph"/>
              <w:spacing w:after="0" w:line="240" w:lineRule="exact"/>
              <w:ind w:left="0"/>
              <w:jc w:val="both"/>
              <w:rPr>
                <w:sz w:val="18"/>
                <w:szCs w:val="18"/>
              </w:rPr>
            </w:pPr>
            <w:r w:rsidRPr="0041089A">
              <w:rPr>
                <w:sz w:val="18"/>
                <w:szCs w:val="18"/>
              </w:rPr>
              <w:t xml:space="preserve">(R) Ankle </w:t>
            </w:r>
          </w:p>
        </w:tc>
        <w:tc>
          <w:tcPr>
            <w:tcW w:w="1395" w:type="dxa"/>
            <w:shd w:val="clear" w:color="auto" w:fill="FFFFFF"/>
          </w:tcPr>
          <w:p w:rsidR="00E76D15" w:rsidRPr="0041089A" w:rsidRDefault="00E76D15" w:rsidP="0041089A">
            <w:pPr>
              <w:pStyle w:val="ListParagraph"/>
              <w:spacing w:after="0" w:line="240" w:lineRule="exact"/>
              <w:ind w:left="0"/>
              <w:jc w:val="center"/>
              <w:rPr>
                <w:sz w:val="18"/>
                <w:szCs w:val="18"/>
              </w:rPr>
            </w:pPr>
            <w:r w:rsidRPr="0041089A">
              <w:rPr>
                <w:sz w:val="18"/>
                <w:szCs w:val="18"/>
              </w:rPr>
              <w:t>5271</w:t>
            </w:r>
          </w:p>
        </w:tc>
        <w:tc>
          <w:tcPr>
            <w:tcW w:w="810" w:type="dxa"/>
            <w:shd w:val="clear" w:color="auto" w:fill="FFFFFF"/>
          </w:tcPr>
          <w:p w:rsidR="00E76D15" w:rsidRPr="0041089A" w:rsidRDefault="00E76D15" w:rsidP="0041089A">
            <w:pPr>
              <w:pStyle w:val="ListParagraph"/>
              <w:spacing w:after="0" w:line="240" w:lineRule="exact"/>
              <w:ind w:left="0"/>
              <w:jc w:val="center"/>
              <w:rPr>
                <w:sz w:val="18"/>
                <w:szCs w:val="18"/>
              </w:rPr>
            </w:pPr>
            <w:r w:rsidRPr="0041089A">
              <w:rPr>
                <w:sz w:val="18"/>
                <w:szCs w:val="18"/>
              </w:rPr>
              <w:t>20%</w:t>
            </w:r>
          </w:p>
        </w:tc>
        <w:tc>
          <w:tcPr>
            <w:tcW w:w="1305" w:type="dxa"/>
            <w:shd w:val="clear" w:color="auto" w:fill="FFFFFF"/>
          </w:tcPr>
          <w:p w:rsidR="00E76D15" w:rsidRPr="0041089A" w:rsidRDefault="00E76D15" w:rsidP="0041089A">
            <w:pPr>
              <w:pStyle w:val="ListParagraph"/>
              <w:spacing w:after="0" w:line="240" w:lineRule="exact"/>
              <w:ind w:left="0"/>
              <w:jc w:val="center"/>
              <w:rPr>
                <w:sz w:val="18"/>
                <w:szCs w:val="18"/>
              </w:rPr>
            </w:pPr>
            <w:r w:rsidRPr="0041089A">
              <w:rPr>
                <w:sz w:val="18"/>
                <w:szCs w:val="18"/>
              </w:rPr>
              <w:t>20080828</w:t>
            </w:r>
          </w:p>
        </w:tc>
      </w:tr>
      <w:tr w:rsidR="00E76D15" w:rsidRPr="00396779" w:rsidTr="002506F4">
        <w:trPr>
          <w:trHeight w:val="125"/>
          <w:jc w:val="center"/>
        </w:trPr>
        <w:tc>
          <w:tcPr>
            <w:tcW w:w="4073" w:type="dxa"/>
            <w:gridSpan w:val="3"/>
            <w:vMerge/>
            <w:tcBorders>
              <w:right w:val="thinThickThinSmallGap" w:sz="24" w:space="0" w:color="auto"/>
            </w:tcBorders>
            <w:shd w:val="clear" w:color="auto" w:fill="FFFFFF"/>
          </w:tcPr>
          <w:p w:rsidR="00E76D15" w:rsidRPr="0041089A" w:rsidRDefault="00E76D15" w:rsidP="0041089A">
            <w:pPr>
              <w:pStyle w:val="ListParagraph"/>
              <w:spacing w:line="240" w:lineRule="exact"/>
              <w:ind w:left="0"/>
              <w:jc w:val="center"/>
              <w:rPr>
                <w:sz w:val="18"/>
                <w:szCs w:val="18"/>
              </w:rPr>
            </w:pPr>
          </w:p>
        </w:tc>
        <w:tc>
          <w:tcPr>
            <w:tcW w:w="2002" w:type="dxa"/>
            <w:tcBorders>
              <w:left w:val="thinThickThinSmallGap" w:sz="24" w:space="0" w:color="auto"/>
            </w:tcBorders>
            <w:shd w:val="clear" w:color="auto" w:fill="FFFFFF"/>
          </w:tcPr>
          <w:p w:rsidR="00E76D15" w:rsidRPr="0041089A" w:rsidRDefault="00FB2A84" w:rsidP="00FB2A84">
            <w:pPr>
              <w:spacing w:line="240" w:lineRule="exact"/>
              <w:rPr>
                <w:rFonts w:ascii="Calibri" w:eastAsia="Calibri" w:hAnsi="Calibri"/>
                <w:color w:val="auto"/>
                <w:sz w:val="18"/>
                <w:szCs w:val="18"/>
              </w:rPr>
            </w:pPr>
            <w:r>
              <w:rPr>
                <w:rFonts w:ascii="Calibri" w:eastAsia="Calibri" w:hAnsi="Calibri"/>
                <w:color w:val="auto"/>
                <w:sz w:val="18"/>
                <w:szCs w:val="18"/>
              </w:rPr>
              <w:t xml:space="preserve">Pes planus with </w:t>
            </w:r>
            <w:r w:rsidR="00E76D15" w:rsidRPr="0041089A">
              <w:rPr>
                <w:rFonts w:ascii="Calibri" w:eastAsia="Calibri" w:hAnsi="Calibri"/>
                <w:color w:val="auto"/>
                <w:sz w:val="18"/>
                <w:szCs w:val="18"/>
              </w:rPr>
              <w:t>Calluses</w:t>
            </w:r>
          </w:p>
        </w:tc>
        <w:tc>
          <w:tcPr>
            <w:tcW w:w="1395" w:type="dxa"/>
            <w:shd w:val="clear" w:color="auto" w:fill="FFFFFF"/>
          </w:tcPr>
          <w:p w:rsidR="00E76D15" w:rsidRPr="0041089A" w:rsidRDefault="00E76D15" w:rsidP="00E12B30">
            <w:pPr>
              <w:pStyle w:val="ListParagraph"/>
              <w:spacing w:after="0" w:line="240" w:lineRule="exact"/>
              <w:ind w:left="0"/>
              <w:jc w:val="center"/>
              <w:rPr>
                <w:sz w:val="18"/>
                <w:szCs w:val="18"/>
              </w:rPr>
            </w:pPr>
            <w:r w:rsidRPr="0041089A">
              <w:rPr>
                <w:sz w:val="18"/>
                <w:szCs w:val="18"/>
              </w:rPr>
              <w:t>5299</w:t>
            </w:r>
            <w:r w:rsidR="00E12B30">
              <w:rPr>
                <w:sz w:val="18"/>
                <w:szCs w:val="18"/>
              </w:rPr>
              <w:t>-</w:t>
            </w:r>
            <w:r w:rsidRPr="0041089A">
              <w:rPr>
                <w:sz w:val="18"/>
                <w:szCs w:val="18"/>
              </w:rPr>
              <w:t>5283</w:t>
            </w:r>
          </w:p>
        </w:tc>
        <w:tc>
          <w:tcPr>
            <w:tcW w:w="810" w:type="dxa"/>
            <w:shd w:val="clear" w:color="auto" w:fill="FFFFFF"/>
          </w:tcPr>
          <w:p w:rsidR="00E76D15" w:rsidRPr="0041089A" w:rsidRDefault="00E76D15" w:rsidP="0041089A">
            <w:pPr>
              <w:pStyle w:val="ListParagraph"/>
              <w:spacing w:after="0" w:line="240" w:lineRule="exact"/>
              <w:ind w:left="0"/>
              <w:jc w:val="center"/>
              <w:rPr>
                <w:sz w:val="18"/>
                <w:szCs w:val="18"/>
              </w:rPr>
            </w:pPr>
            <w:r w:rsidRPr="0041089A">
              <w:rPr>
                <w:sz w:val="18"/>
                <w:szCs w:val="18"/>
              </w:rPr>
              <w:t>20%</w:t>
            </w:r>
          </w:p>
        </w:tc>
        <w:tc>
          <w:tcPr>
            <w:tcW w:w="1305" w:type="dxa"/>
            <w:shd w:val="clear" w:color="auto" w:fill="FFFFFF"/>
          </w:tcPr>
          <w:p w:rsidR="00E76D15" w:rsidRPr="0041089A" w:rsidRDefault="00E76D15" w:rsidP="0041089A">
            <w:pPr>
              <w:pStyle w:val="ListParagraph"/>
              <w:spacing w:after="0" w:line="240" w:lineRule="exact"/>
              <w:ind w:left="0"/>
              <w:jc w:val="center"/>
              <w:rPr>
                <w:sz w:val="18"/>
                <w:szCs w:val="18"/>
              </w:rPr>
            </w:pPr>
            <w:r w:rsidRPr="0041089A">
              <w:rPr>
                <w:sz w:val="18"/>
                <w:szCs w:val="18"/>
              </w:rPr>
              <w:t>20080828</w:t>
            </w:r>
          </w:p>
        </w:tc>
      </w:tr>
      <w:tr w:rsidR="00E76D15" w:rsidRPr="00396779" w:rsidTr="002506F4">
        <w:trPr>
          <w:trHeight w:val="251"/>
          <w:jc w:val="center"/>
        </w:trPr>
        <w:tc>
          <w:tcPr>
            <w:tcW w:w="4073" w:type="dxa"/>
            <w:gridSpan w:val="3"/>
            <w:vMerge/>
            <w:tcBorders>
              <w:right w:val="thinThickThinSmallGap" w:sz="24" w:space="0" w:color="auto"/>
            </w:tcBorders>
            <w:shd w:val="clear" w:color="auto" w:fill="FFFFFF"/>
          </w:tcPr>
          <w:p w:rsidR="00E76D15" w:rsidRPr="0041089A" w:rsidRDefault="00E76D15" w:rsidP="0041089A">
            <w:pPr>
              <w:pStyle w:val="ListParagraph"/>
              <w:spacing w:line="240" w:lineRule="exact"/>
              <w:ind w:left="0"/>
              <w:jc w:val="center"/>
              <w:rPr>
                <w:sz w:val="18"/>
                <w:szCs w:val="18"/>
              </w:rPr>
            </w:pPr>
          </w:p>
        </w:tc>
        <w:tc>
          <w:tcPr>
            <w:tcW w:w="2002" w:type="dxa"/>
            <w:tcBorders>
              <w:left w:val="thinThickThinSmallGap" w:sz="24" w:space="0" w:color="auto"/>
            </w:tcBorders>
            <w:shd w:val="clear" w:color="auto" w:fill="FFFFFF"/>
          </w:tcPr>
          <w:p w:rsidR="00E76D15" w:rsidRPr="0041089A" w:rsidRDefault="00E76D15" w:rsidP="0041089A">
            <w:pPr>
              <w:spacing w:line="240" w:lineRule="exact"/>
              <w:jc w:val="both"/>
              <w:rPr>
                <w:rFonts w:ascii="Calibri" w:eastAsia="Calibri" w:hAnsi="Calibri"/>
                <w:color w:val="auto"/>
                <w:sz w:val="18"/>
                <w:szCs w:val="18"/>
              </w:rPr>
            </w:pPr>
            <w:r w:rsidRPr="0041089A">
              <w:rPr>
                <w:rFonts w:ascii="Calibri" w:eastAsia="Calibri" w:hAnsi="Calibri"/>
                <w:color w:val="auto"/>
                <w:sz w:val="18"/>
                <w:szCs w:val="18"/>
              </w:rPr>
              <w:t>Tinnitus</w:t>
            </w:r>
          </w:p>
        </w:tc>
        <w:tc>
          <w:tcPr>
            <w:tcW w:w="1395" w:type="dxa"/>
            <w:shd w:val="clear" w:color="auto" w:fill="FFFFFF"/>
          </w:tcPr>
          <w:p w:rsidR="00E76D15" w:rsidRPr="00221F5B" w:rsidRDefault="00E76D15" w:rsidP="0041089A">
            <w:pPr>
              <w:pStyle w:val="ListParagraph"/>
              <w:spacing w:after="0" w:line="240" w:lineRule="exact"/>
              <w:ind w:left="0"/>
              <w:jc w:val="center"/>
              <w:rPr>
                <w:sz w:val="18"/>
                <w:szCs w:val="18"/>
                <w:highlight w:val="yellow"/>
              </w:rPr>
            </w:pPr>
            <w:r w:rsidRPr="00806FD8">
              <w:rPr>
                <w:sz w:val="18"/>
                <w:szCs w:val="18"/>
              </w:rPr>
              <w:t>6260</w:t>
            </w:r>
          </w:p>
        </w:tc>
        <w:tc>
          <w:tcPr>
            <w:tcW w:w="810" w:type="dxa"/>
            <w:shd w:val="clear" w:color="auto" w:fill="FFFFFF"/>
          </w:tcPr>
          <w:p w:rsidR="00E76D15" w:rsidRPr="00221F5B" w:rsidRDefault="00E76D15" w:rsidP="0041089A">
            <w:pPr>
              <w:pStyle w:val="ListParagraph"/>
              <w:spacing w:after="0" w:line="240" w:lineRule="exact"/>
              <w:ind w:left="0"/>
              <w:jc w:val="center"/>
              <w:rPr>
                <w:sz w:val="18"/>
                <w:szCs w:val="18"/>
                <w:highlight w:val="yellow"/>
              </w:rPr>
            </w:pPr>
            <w:r w:rsidRPr="00806FD8">
              <w:rPr>
                <w:sz w:val="18"/>
                <w:szCs w:val="18"/>
              </w:rPr>
              <w:t>10%</w:t>
            </w:r>
          </w:p>
        </w:tc>
        <w:tc>
          <w:tcPr>
            <w:tcW w:w="1305" w:type="dxa"/>
            <w:shd w:val="clear" w:color="auto" w:fill="FFFFFF"/>
          </w:tcPr>
          <w:p w:rsidR="00E76D15" w:rsidRPr="0041089A" w:rsidRDefault="00E76D15" w:rsidP="0041089A">
            <w:pPr>
              <w:pStyle w:val="ListParagraph"/>
              <w:spacing w:after="0" w:line="240" w:lineRule="exact"/>
              <w:ind w:left="0"/>
              <w:jc w:val="center"/>
              <w:rPr>
                <w:sz w:val="18"/>
                <w:szCs w:val="18"/>
              </w:rPr>
            </w:pPr>
            <w:r w:rsidRPr="0041089A">
              <w:rPr>
                <w:sz w:val="18"/>
                <w:szCs w:val="18"/>
              </w:rPr>
              <w:t>20080828</w:t>
            </w:r>
          </w:p>
        </w:tc>
      </w:tr>
      <w:tr w:rsidR="00E76D15" w:rsidRPr="00396779" w:rsidTr="002506F4">
        <w:trPr>
          <w:trHeight w:val="260"/>
          <w:jc w:val="center"/>
        </w:trPr>
        <w:tc>
          <w:tcPr>
            <w:tcW w:w="4073" w:type="dxa"/>
            <w:gridSpan w:val="3"/>
            <w:vMerge/>
            <w:tcBorders>
              <w:right w:val="thinThickThinSmallGap" w:sz="24" w:space="0" w:color="auto"/>
            </w:tcBorders>
            <w:shd w:val="clear" w:color="auto" w:fill="FFFFFF"/>
          </w:tcPr>
          <w:p w:rsidR="00E76D15" w:rsidRPr="0041089A" w:rsidRDefault="00E76D15" w:rsidP="0041089A">
            <w:pPr>
              <w:pStyle w:val="ListParagraph"/>
              <w:spacing w:after="0" w:line="240" w:lineRule="exact"/>
              <w:ind w:left="0"/>
              <w:jc w:val="center"/>
              <w:rPr>
                <w:sz w:val="18"/>
                <w:szCs w:val="18"/>
              </w:rPr>
            </w:pPr>
          </w:p>
        </w:tc>
        <w:tc>
          <w:tcPr>
            <w:tcW w:w="2002" w:type="dxa"/>
            <w:tcBorders>
              <w:left w:val="thinThickThinSmallGap" w:sz="24" w:space="0" w:color="auto"/>
            </w:tcBorders>
            <w:shd w:val="clear" w:color="auto" w:fill="FFFFFF"/>
          </w:tcPr>
          <w:p w:rsidR="00E76D15" w:rsidRPr="0041089A" w:rsidRDefault="00E76D15" w:rsidP="0041089A">
            <w:pPr>
              <w:spacing w:line="240" w:lineRule="exact"/>
              <w:jc w:val="both"/>
              <w:rPr>
                <w:rFonts w:ascii="Calibri" w:eastAsia="Calibri" w:hAnsi="Calibri"/>
                <w:color w:val="auto"/>
                <w:sz w:val="18"/>
                <w:szCs w:val="18"/>
              </w:rPr>
            </w:pPr>
            <w:proofErr w:type="spellStart"/>
            <w:r w:rsidRPr="0041089A">
              <w:rPr>
                <w:rFonts w:ascii="Calibri" w:eastAsia="Calibri" w:hAnsi="Calibri"/>
                <w:color w:val="auto"/>
                <w:sz w:val="18"/>
                <w:szCs w:val="18"/>
              </w:rPr>
              <w:t>Epidydimalgia</w:t>
            </w:r>
            <w:proofErr w:type="spellEnd"/>
          </w:p>
        </w:tc>
        <w:tc>
          <w:tcPr>
            <w:tcW w:w="1395" w:type="dxa"/>
            <w:shd w:val="clear" w:color="auto" w:fill="FFFFFF"/>
          </w:tcPr>
          <w:p w:rsidR="00E76D15" w:rsidRPr="0041089A" w:rsidRDefault="00E76D15" w:rsidP="00E12B30">
            <w:pPr>
              <w:pStyle w:val="ListParagraph"/>
              <w:spacing w:after="0" w:line="240" w:lineRule="exact"/>
              <w:ind w:left="0"/>
              <w:jc w:val="center"/>
              <w:rPr>
                <w:sz w:val="18"/>
                <w:szCs w:val="18"/>
              </w:rPr>
            </w:pPr>
            <w:r w:rsidRPr="0041089A">
              <w:rPr>
                <w:sz w:val="18"/>
                <w:szCs w:val="18"/>
              </w:rPr>
              <w:t>7599</w:t>
            </w:r>
            <w:r w:rsidR="00E12B30">
              <w:rPr>
                <w:sz w:val="18"/>
                <w:szCs w:val="18"/>
              </w:rPr>
              <w:t>-</w:t>
            </w:r>
            <w:r w:rsidRPr="0041089A">
              <w:rPr>
                <w:sz w:val="18"/>
                <w:szCs w:val="18"/>
              </w:rPr>
              <w:t>7525</w:t>
            </w:r>
          </w:p>
        </w:tc>
        <w:tc>
          <w:tcPr>
            <w:tcW w:w="810" w:type="dxa"/>
            <w:shd w:val="clear" w:color="auto" w:fill="FFFFFF"/>
          </w:tcPr>
          <w:p w:rsidR="00E76D15" w:rsidRPr="0041089A" w:rsidRDefault="00E76D15" w:rsidP="0041089A">
            <w:pPr>
              <w:pStyle w:val="ListParagraph"/>
              <w:spacing w:after="0" w:line="240" w:lineRule="exact"/>
              <w:ind w:left="0"/>
              <w:jc w:val="center"/>
              <w:rPr>
                <w:sz w:val="18"/>
                <w:szCs w:val="18"/>
              </w:rPr>
            </w:pPr>
            <w:r w:rsidRPr="0041089A">
              <w:rPr>
                <w:sz w:val="18"/>
                <w:szCs w:val="18"/>
              </w:rPr>
              <w:t>10%</w:t>
            </w:r>
          </w:p>
        </w:tc>
        <w:tc>
          <w:tcPr>
            <w:tcW w:w="1305" w:type="dxa"/>
            <w:shd w:val="clear" w:color="auto" w:fill="FFFFFF"/>
          </w:tcPr>
          <w:p w:rsidR="00E76D15" w:rsidRPr="0041089A" w:rsidRDefault="00E76D15" w:rsidP="0041089A">
            <w:pPr>
              <w:pStyle w:val="ListParagraph"/>
              <w:spacing w:after="0" w:line="240" w:lineRule="exact"/>
              <w:ind w:left="0"/>
              <w:jc w:val="center"/>
              <w:rPr>
                <w:sz w:val="18"/>
                <w:szCs w:val="18"/>
              </w:rPr>
            </w:pPr>
            <w:r w:rsidRPr="0041089A">
              <w:rPr>
                <w:sz w:val="18"/>
                <w:szCs w:val="18"/>
              </w:rPr>
              <w:t>20080902</w:t>
            </w:r>
          </w:p>
        </w:tc>
      </w:tr>
      <w:tr w:rsidR="00E76D15" w:rsidRPr="00396779" w:rsidTr="002506F4">
        <w:trPr>
          <w:trHeight w:val="170"/>
          <w:jc w:val="center"/>
        </w:trPr>
        <w:tc>
          <w:tcPr>
            <w:tcW w:w="4073" w:type="dxa"/>
            <w:gridSpan w:val="3"/>
            <w:vMerge/>
            <w:tcBorders>
              <w:right w:val="thinThickThinSmallGap" w:sz="24" w:space="0" w:color="auto"/>
            </w:tcBorders>
            <w:shd w:val="clear" w:color="auto" w:fill="FFFFFF"/>
          </w:tcPr>
          <w:p w:rsidR="00E76D15" w:rsidRPr="0041089A" w:rsidRDefault="00E76D15" w:rsidP="0041089A">
            <w:pPr>
              <w:pStyle w:val="ListParagraph"/>
              <w:spacing w:line="240" w:lineRule="exact"/>
              <w:ind w:left="0"/>
              <w:jc w:val="center"/>
              <w:rPr>
                <w:sz w:val="18"/>
                <w:szCs w:val="18"/>
                <w:highlight w:val="yellow"/>
              </w:rPr>
            </w:pPr>
          </w:p>
        </w:tc>
        <w:tc>
          <w:tcPr>
            <w:tcW w:w="2002" w:type="dxa"/>
            <w:tcBorders>
              <w:left w:val="thinThickThinSmallGap" w:sz="24" w:space="0" w:color="auto"/>
            </w:tcBorders>
            <w:shd w:val="clear" w:color="auto" w:fill="FFFFFF"/>
          </w:tcPr>
          <w:p w:rsidR="00E76D15" w:rsidRPr="0041089A" w:rsidRDefault="00E76D15" w:rsidP="00FB2A84">
            <w:pPr>
              <w:pStyle w:val="ListParagraph"/>
              <w:spacing w:after="0" w:line="240" w:lineRule="auto"/>
              <w:ind w:left="0"/>
              <w:rPr>
                <w:sz w:val="18"/>
                <w:szCs w:val="18"/>
              </w:rPr>
            </w:pPr>
            <w:r w:rsidRPr="0041089A">
              <w:rPr>
                <w:sz w:val="18"/>
                <w:szCs w:val="18"/>
              </w:rPr>
              <w:t xml:space="preserve">(R) </w:t>
            </w:r>
            <w:r w:rsidR="00FB2A84">
              <w:rPr>
                <w:sz w:val="18"/>
                <w:szCs w:val="18"/>
              </w:rPr>
              <w:t>knee</w:t>
            </w:r>
            <w:r w:rsidRPr="0041089A">
              <w:rPr>
                <w:sz w:val="18"/>
                <w:szCs w:val="18"/>
              </w:rPr>
              <w:t xml:space="preserve"> </w:t>
            </w:r>
            <w:r w:rsidR="00FB2A84">
              <w:rPr>
                <w:sz w:val="18"/>
                <w:szCs w:val="18"/>
              </w:rPr>
              <w:t>p</w:t>
            </w:r>
            <w:r w:rsidRPr="0041089A">
              <w:rPr>
                <w:sz w:val="18"/>
                <w:szCs w:val="18"/>
              </w:rPr>
              <w:t>ain</w:t>
            </w:r>
            <w:r w:rsidR="00FB2A84">
              <w:rPr>
                <w:sz w:val="18"/>
                <w:szCs w:val="18"/>
              </w:rPr>
              <w:t>, (L) ankle pain, (B) hearing loss</w:t>
            </w:r>
          </w:p>
        </w:tc>
        <w:tc>
          <w:tcPr>
            <w:tcW w:w="1395" w:type="dxa"/>
            <w:shd w:val="clear" w:color="auto" w:fill="FFFFFF"/>
          </w:tcPr>
          <w:p w:rsidR="00E76D15" w:rsidRPr="0041089A" w:rsidRDefault="00806FD8" w:rsidP="00E12B30">
            <w:pPr>
              <w:pStyle w:val="ListParagraph"/>
              <w:spacing w:after="0" w:line="240" w:lineRule="exact"/>
              <w:ind w:left="0"/>
              <w:jc w:val="center"/>
              <w:rPr>
                <w:sz w:val="18"/>
                <w:szCs w:val="18"/>
              </w:rPr>
            </w:pPr>
            <w:r>
              <w:rPr>
                <w:sz w:val="18"/>
                <w:szCs w:val="18"/>
              </w:rPr>
              <w:t>NSC</w:t>
            </w:r>
          </w:p>
        </w:tc>
        <w:tc>
          <w:tcPr>
            <w:tcW w:w="810" w:type="dxa"/>
            <w:shd w:val="clear" w:color="auto" w:fill="FFFFFF"/>
            <w:vAlign w:val="center"/>
          </w:tcPr>
          <w:p w:rsidR="00E76D15" w:rsidRPr="0041089A" w:rsidRDefault="00E76D15" w:rsidP="0041089A">
            <w:pPr>
              <w:pStyle w:val="ListParagraph"/>
              <w:spacing w:after="0" w:line="240" w:lineRule="exact"/>
              <w:ind w:left="0"/>
              <w:jc w:val="center"/>
              <w:rPr>
                <w:b/>
                <w:sz w:val="18"/>
                <w:szCs w:val="18"/>
              </w:rPr>
            </w:pPr>
          </w:p>
        </w:tc>
        <w:tc>
          <w:tcPr>
            <w:tcW w:w="1305" w:type="dxa"/>
            <w:shd w:val="clear" w:color="auto" w:fill="FFFFFF"/>
          </w:tcPr>
          <w:p w:rsidR="00E76D15" w:rsidRPr="0041089A" w:rsidRDefault="00E76D15" w:rsidP="0041089A">
            <w:pPr>
              <w:pStyle w:val="ListParagraph"/>
              <w:spacing w:after="0" w:line="240" w:lineRule="exact"/>
              <w:ind w:left="0"/>
              <w:jc w:val="center"/>
              <w:rPr>
                <w:sz w:val="18"/>
                <w:szCs w:val="18"/>
              </w:rPr>
            </w:pPr>
            <w:r w:rsidRPr="0041089A">
              <w:rPr>
                <w:sz w:val="18"/>
                <w:szCs w:val="18"/>
              </w:rPr>
              <w:t>20080903</w:t>
            </w:r>
          </w:p>
        </w:tc>
      </w:tr>
      <w:tr w:rsidR="00C87F76" w:rsidRPr="00396779" w:rsidTr="002506F4">
        <w:trPr>
          <w:trHeight w:val="242"/>
          <w:jc w:val="center"/>
        </w:trPr>
        <w:tc>
          <w:tcPr>
            <w:tcW w:w="4073" w:type="dxa"/>
            <w:gridSpan w:val="3"/>
            <w:tcBorders>
              <w:right w:val="thinThickThinSmallGap" w:sz="24" w:space="0" w:color="auto"/>
            </w:tcBorders>
            <w:shd w:val="clear" w:color="auto" w:fill="D9D9D9"/>
          </w:tcPr>
          <w:p w:rsidR="00C87F76" w:rsidRPr="0041089A" w:rsidRDefault="003A5BFF" w:rsidP="003A5BFF">
            <w:pPr>
              <w:pStyle w:val="ListParagraph"/>
              <w:spacing w:after="0" w:line="240" w:lineRule="exact"/>
              <w:ind w:left="0"/>
              <w:jc w:val="center"/>
              <w:rPr>
                <w:b/>
                <w:sz w:val="20"/>
                <w:szCs w:val="20"/>
              </w:rPr>
            </w:pPr>
            <w:r>
              <w:rPr>
                <w:b/>
                <w:sz w:val="20"/>
                <w:szCs w:val="20"/>
              </w:rPr>
              <w:t>Total Combined</w:t>
            </w:r>
            <w:r w:rsidR="00C87F76" w:rsidRPr="0041089A">
              <w:rPr>
                <w:b/>
                <w:sz w:val="20"/>
                <w:szCs w:val="20"/>
              </w:rPr>
              <w:t xml:space="preserve">: </w:t>
            </w:r>
            <w:r w:rsidR="00624871">
              <w:rPr>
                <w:b/>
                <w:sz w:val="20"/>
                <w:szCs w:val="20"/>
              </w:rPr>
              <w:t xml:space="preserve"> </w:t>
            </w:r>
            <w:r w:rsidR="00FB5785" w:rsidRPr="0041089A">
              <w:rPr>
                <w:b/>
                <w:sz w:val="20"/>
                <w:szCs w:val="20"/>
              </w:rPr>
              <w:t>2</w:t>
            </w:r>
            <w:r w:rsidR="00C87F76" w:rsidRPr="0041089A">
              <w:rPr>
                <w:b/>
                <w:sz w:val="20"/>
                <w:szCs w:val="20"/>
              </w:rPr>
              <w:t>0%</w:t>
            </w:r>
          </w:p>
        </w:tc>
        <w:tc>
          <w:tcPr>
            <w:tcW w:w="5512" w:type="dxa"/>
            <w:gridSpan w:val="4"/>
            <w:tcBorders>
              <w:left w:val="thinThickThinSmallGap" w:sz="24" w:space="0" w:color="auto"/>
            </w:tcBorders>
            <w:shd w:val="clear" w:color="auto" w:fill="D9D9D9"/>
          </w:tcPr>
          <w:p w:rsidR="00C87F76" w:rsidRPr="0041089A" w:rsidRDefault="00624871" w:rsidP="001B71F7">
            <w:pPr>
              <w:pStyle w:val="ListParagraph"/>
              <w:spacing w:after="0" w:line="240" w:lineRule="exact"/>
              <w:ind w:left="0"/>
              <w:jc w:val="center"/>
              <w:rPr>
                <w:b/>
                <w:sz w:val="20"/>
                <w:szCs w:val="20"/>
              </w:rPr>
            </w:pPr>
            <w:r>
              <w:rPr>
                <w:b/>
                <w:sz w:val="20"/>
                <w:szCs w:val="20"/>
              </w:rPr>
              <w:t>Total</w:t>
            </w:r>
            <w:r w:rsidR="003A5BFF">
              <w:rPr>
                <w:b/>
                <w:sz w:val="20"/>
                <w:szCs w:val="20"/>
              </w:rPr>
              <w:t xml:space="preserve"> Combined</w:t>
            </w:r>
            <w:r w:rsidR="00EB3307" w:rsidRPr="0041089A">
              <w:rPr>
                <w:b/>
                <w:sz w:val="20"/>
                <w:szCs w:val="20"/>
              </w:rPr>
              <w:t>:</w:t>
            </w:r>
            <w:r>
              <w:rPr>
                <w:b/>
                <w:sz w:val="20"/>
                <w:szCs w:val="20"/>
              </w:rPr>
              <w:t xml:space="preserve"> </w:t>
            </w:r>
            <w:r w:rsidR="00C87F76" w:rsidRPr="0041089A">
              <w:rPr>
                <w:b/>
                <w:sz w:val="20"/>
                <w:szCs w:val="20"/>
              </w:rPr>
              <w:t xml:space="preserve"> </w:t>
            </w:r>
            <w:r w:rsidR="002B7BEF" w:rsidRPr="0041089A">
              <w:rPr>
                <w:b/>
                <w:sz w:val="20"/>
                <w:szCs w:val="20"/>
              </w:rPr>
              <w:t>8</w:t>
            </w:r>
            <w:r w:rsidR="00C87F76" w:rsidRPr="0041089A">
              <w:rPr>
                <w:b/>
                <w:sz w:val="20"/>
                <w:szCs w:val="20"/>
              </w:rPr>
              <w:t>0%</w:t>
            </w:r>
          </w:p>
        </w:tc>
      </w:tr>
    </w:tbl>
    <w:p w:rsidR="00401541" w:rsidRDefault="002C6E5B" w:rsidP="00401541">
      <w:pPr>
        <w:tabs>
          <w:tab w:val="left" w:pos="288"/>
          <w:tab w:val="left" w:pos="4752"/>
        </w:tabs>
        <w:spacing w:line="240" w:lineRule="exact"/>
        <w:jc w:val="both"/>
        <w:rPr>
          <w:rFonts w:ascii="Calibri" w:hAnsi="Calibri"/>
          <w:color w:val="auto"/>
          <w:szCs w:val="24"/>
        </w:rPr>
      </w:pPr>
      <w:r w:rsidRPr="00624871">
        <w:rPr>
          <w:rFonts w:ascii="Calibri" w:hAnsi="Calibri"/>
          <w:color w:val="auto"/>
          <w:szCs w:val="24"/>
          <w:u w:val="single"/>
        </w:rPr>
        <w:lastRenderedPageBreak/>
        <w:t>ANALYSIS SUMMARY</w:t>
      </w:r>
      <w:r w:rsidRPr="00624871">
        <w:rPr>
          <w:rFonts w:ascii="Calibri" w:hAnsi="Calibri"/>
          <w:color w:val="auto"/>
          <w:szCs w:val="24"/>
        </w:rPr>
        <w:t>:</w:t>
      </w:r>
      <w:r w:rsidR="00C276CD" w:rsidRPr="00624871">
        <w:rPr>
          <w:rFonts w:ascii="Calibri" w:hAnsi="Calibri"/>
          <w:color w:val="auto"/>
          <w:szCs w:val="24"/>
        </w:rPr>
        <w:t xml:space="preserve">  </w:t>
      </w:r>
      <w:r w:rsidR="00957E02" w:rsidRPr="00624871">
        <w:rPr>
          <w:rFonts w:ascii="Calibri" w:hAnsi="Calibri"/>
          <w:color w:val="auto"/>
          <w:szCs w:val="24"/>
        </w:rPr>
        <w:t xml:space="preserve">The Board acknowledges the sentiment expressed in the CI’s application regarding the significant impact that his service-incurred conditions have had on his quality of life.  However, the </w:t>
      </w:r>
      <w:r w:rsidR="002506F4">
        <w:rPr>
          <w:rFonts w:ascii="Calibri" w:hAnsi="Calibri"/>
          <w:color w:val="auto"/>
          <w:szCs w:val="24"/>
        </w:rPr>
        <w:t>m</w:t>
      </w:r>
      <w:r w:rsidR="00957E02" w:rsidRPr="00624871">
        <w:rPr>
          <w:rFonts w:ascii="Calibri" w:hAnsi="Calibri"/>
          <w:color w:val="auto"/>
          <w:szCs w:val="24"/>
        </w:rPr>
        <w:t xml:space="preserve">ilitary </w:t>
      </w:r>
      <w:r w:rsidR="002506F4">
        <w:rPr>
          <w:rFonts w:ascii="Calibri" w:hAnsi="Calibri"/>
          <w:color w:val="auto"/>
          <w:szCs w:val="24"/>
        </w:rPr>
        <w:t>s</w:t>
      </w:r>
      <w:r w:rsidR="00957E02" w:rsidRPr="00624871">
        <w:rPr>
          <w:rFonts w:ascii="Calibri" w:hAnsi="Calibri"/>
          <w:color w:val="auto"/>
          <w:szCs w:val="24"/>
        </w:rPr>
        <w:t>ervices, by law, can only rate and compensate for those conditions that were found unfitting for continued military service based on the severity of the condition at the time of separation and not based on possible future changes.  The VA</w:t>
      </w:r>
      <w:r w:rsidR="002506F4">
        <w:rPr>
          <w:rFonts w:ascii="Calibri" w:hAnsi="Calibri"/>
          <w:color w:val="auto"/>
          <w:szCs w:val="24"/>
        </w:rPr>
        <w:t>,</w:t>
      </w:r>
      <w:r w:rsidR="00957E02" w:rsidRPr="00624871">
        <w:rPr>
          <w:rFonts w:ascii="Calibri" w:hAnsi="Calibri"/>
          <w:color w:val="auto"/>
          <w:szCs w:val="24"/>
        </w:rPr>
        <w:t xml:space="preserve"> however</w:t>
      </w:r>
      <w:r w:rsidR="002506F4">
        <w:rPr>
          <w:rFonts w:ascii="Calibri" w:hAnsi="Calibri"/>
          <w:color w:val="auto"/>
          <w:szCs w:val="24"/>
        </w:rPr>
        <w:t>,</w:t>
      </w:r>
      <w:r w:rsidR="00957E02" w:rsidRPr="00624871">
        <w:rPr>
          <w:rFonts w:ascii="Calibri" w:hAnsi="Calibri"/>
          <w:color w:val="auto"/>
          <w:szCs w:val="24"/>
        </w:rPr>
        <w:t xml:space="preserve"> can rate and compensate</w:t>
      </w:r>
      <w:r w:rsidR="00957E02" w:rsidRPr="00401541">
        <w:rPr>
          <w:rFonts w:ascii="Calibri" w:hAnsi="Calibri"/>
          <w:color w:val="auto"/>
          <w:szCs w:val="24"/>
        </w:rPr>
        <w:t xml:space="preserv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w:t>
      </w:r>
      <w:r w:rsidR="000274F2" w:rsidRPr="000274F2">
        <w:rPr>
          <w:rFonts w:ascii="Calibri" w:hAnsi="Calibri"/>
          <w:color w:val="auto"/>
          <w:szCs w:val="24"/>
        </w:rPr>
        <w:t xml:space="preserve">The Board’s role is confined to the review of medical records and all evidence at hand to assess the fairness of PEB rating determinations, compared to </w:t>
      </w:r>
      <w:r w:rsidR="002506F4">
        <w:rPr>
          <w:rFonts w:ascii="Calibri" w:hAnsi="Calibri"/>
          <w:color w:val="auto"/>
          <w:szCs w:val="24"/>
        </w:rPr>
        <w:t>the VA Schedule for Rating Decisions (</w:t>
      </w:r>
      <w:r w:rsidR="000274F2" w:rsidRPr="000274F2">
        <w:rPr>
          <w:rFonts w:ascii="Calibri" w:hAnsi="Calibri"/>
          <w:color w:val="auto"/>
          <w:szCs w:val="24"/>
        </w:rPr>
        <w:t>VASRD</w:t>
      </w:r>
      <w:r w:rsidR="002506F4">
        <w:rPr>
          <w:rFonts w:ascii="Calibri" w:hAnsi="Calibri"/>
          <w:color w:val="auto"/>
          <w:szCs w:val="24"/>
        </w:rPr>
        <w:t>)</w:t>
      </w:r>
      <w:r w:rsidR="000274F2" w:rsidRPr="000274F2">
        <w:rPr>
          <w:rFonts w:ascii="Calibri" w:hAnsi="Calibri"/>
          <w:color w:val="auto"/>
          <w:szCs w:val="24"/>
        </w:rPr>
        <w:t xml:space="preserve"> standards, based on severity at the time of separation.</w:t>
      </w:r>
      <w:r w:rsidR="00957E02">
        <w:rPr>
          <w:rFonts w:ascii="Calibri" w:hAnsi="Calibri"/>
          <w:color w:val="auto"/>
          <w:szCs w:val="24"/>
        </w:rPr>
        <w:t xml:space="preserve">  </w:t>
      </w:r>
      <w:r w:rsidR="000274F2" w:rsidRPr="000274F2">
        <w:rPr>
          <w:rFonts w:ascii="Calibri" w:hAnsi="Calibri"/>
          <w:color w:val="auto"/>
          <w:szCs w:val="24"/>
        </w:rPr>
        <w:t>It must also judge the fairness of PEB fitness adjudications based on the fitness consequences of conditions as they existed at the time of separation.</w:t>
      </w:r>
      <w:r w:rsidR="00957E02">
        <w:rPr>
          <w:rFonts w:ascii="Calibri" w:hAnsi="Calibri"/>
          <w:color w:val="auto"/>
          <w:szCs w:val="24"/>
        </w:rPr>
        <w:t xml:space="preserve">  </w:t>
      </w:r>
      <w:r w:rsidR="00401541" w:rsidRPr="00401541">
        <w:rPr>
          <w:rFonts w:ascii="Calibri" w:hAnsi="Calibri"/>
          <w:color w:val="auto"/>
          <w:szCs w:val="24"/>
        </w:rPr>
        <w:t xml:space="preserve">The Board’s threshold for countering </w:t>
      </w:r>
      <w:r w:rsidR="002506F4">
        <w:rPr>
          <w:rFonts w:ascii="Calibri" w:hAnsi="Calibri"/>
          <w:color w:val="auto"/>
          <w:szCs w:val="24"/>
        </w:rPr>
        <w:t>the Disability Evaluation System (</w:t>
      </w:r>
      <w:r w:rsidR="00401541" w:rsidRPr="00401541">
        <w:rPr>
          <w:rFonts w:ascii="Calibri" w:hAnsi="Calibri"/>
          <w:color w:val="auto"/>
          <w:szCs w:val="24"/>
        </w:rPr>
        <w:t>DES</w:t>
      </w:r>
      <w:r w:rsidR="002506F4">
        <w:rPr>
          <w:rFonts w:ascii="Calibri" w:hAnsi="Calibri"/>
          <w:color w:val="auto"/>
          <w:szCs w:val="24"/>
        </w:rPr>
        <w:t>)</w:t>
      </w:r>
      <w:r w:rsidR="00401541" w:rsidRPr="00401541">
        <w:rPr>
          <w:rFonts w:ascii="Calibri" w:hAnsi="Calibri"/>
          <w:color w:val="auto"/>
          <w:szCs w:val="24"/>
        </w:rPr>
        <w:t xml:space="preserve"> fitness determinations is higher than the VASRD §4.3 reasonable doubt standard used for its rating recommendations but remains adherent to the DoDI 6040.44 “fair and equitable” standard.</w:t>
      </w:r>
      <w:r w:rsidR="00957E02">
        <w:rPr>
          <w:rFonts w:ascii="Calibri" w:hAnsi="Calibri"/>
          <w:color w:val="auto"/>
          <w:szCs w:val="24"/>
        </w:rPr>
        <w:t xml:space="preserve">  </w:t>
      </w:r>
      <w:r w:rsidR="00401541" w:rsidRPr="00401541">
        <w:rPr>
          <w:rFonts w:ascii="Calibri" w:hAnsi="Calibri"/>
          <w:color w:val="auto"/>
          <w:szCs w:val="24"/>
        </w:rPr>
        <w:t>Any changes in the VASRD rating criteria following the CI’s separation are not applicable in this case.</w:t>
      </w:r>
      <w:r w:rsidR="00624871">
        <w:rPr>
          <w:rFonts w:ascii="Calibri" w:hAnsi="Calibri"/>
          <w:color w:val="auto"/>
          <w:szCs w:val="24"/>
        </w:rPr>
        <w:t xml:space="preserve"> </w:t>
      </w:r>
    </w:p>
    <w:p w:rsidR="00FB5CF4" w:rsidRDefault="00FB5CF4" w:rsidP="0088560C">
      <w:pPr>
        <w:tabs>
          <w:tab w:val="left" w:pos="288"/>
          <w:tab w:val="left" w:pos="4752"/>
        </w:tabs>
        <w:spacing w:line="240" w:lineRule="exact"/>
        <w:jc w:val="both"/>
        <w:rPr>
          <w:rFonts w:ascii="Calibri" w:hAnsi="Calibri"/>
          <w:b/>
          <w:color w:val="auto"/>
          <w:szCs w:val="24"/>
        </w:rPr>
      </w:pPr>
    </w:p>
    <w:p w:rsidR="0088560C" w:rsidRPr="0088560C" w:rsidRDefault="00FB5CF4" w:rsidP="0088560C">
      <w:pPr>
        <w:tabs>
          <w:tab w:val="left" w:pos="288"/>
          <w:tab w:val="left" w:pos="4752"/>
        </w:tabs>
        <w:spacing w:line="240" w:lineRule="exact"/>
        <w:jc w:val="both"/>
        <w:rPr>
          <w:rFonts w:ascii="Calibri" w:hAnsi="Calibri"/>
          <w:color w:val="auto"/>
          <w:szCs w:val="24"/>
        </w:rPr>
      </w:pPr>
      <w:proofErr w:type="gramStart"/>
      <w:r w:rsidRPr="00FB5CF4">
        <w:rPr>
          <w:rFonts w:ascii="Calibri" w:hAnsi="Calibri"/>
          <w:color w:val="auto"/>
          <w:szCs w:val="24"/>
          <w:u w:val="single"/>
        </w:rPr>
        <w:t xml:space="preserve">PTSD </w:t>
      </w:r>
      <w:r w:rsidR="0033554D">
        <w:rPr>
          <w:rFonts w:ascii="Calibri" w:hAnsi="Calibri"/>
          <w:color w:val="auto"/>
          <w:szCs w:val="24"/>
          <w:u w:val="single"/>
        </w:rPr>
        <w:t xml:space="preserve">and </w:t>
      </w:r>
      <w:r w:rsidRPr="00FB5CF4">
        <w:rPr>
          <w:rFonts w:ascii="Calibri" w:hAnsi="Calibri"/>
          <w:color w:val="auto"/>
          <w:szCs w:val="24"/>
          <w:u w:val="single"/>
        </w:rPr>
        <w:t>TBI</w:t>
      </w:r>
      <w:r w:rsidR="002506F4" w:rsidRPr="002506F4">
        <w:rPr>
          <w:rFonts w:ascii="Calibri" w:hAnsi="Calibri"/>
          <w:color w:val="auto"/>
          <w:szCs w:val="24"/>
        </w:rPr>
        <w:t>.</w:t>
      </w:r>
      <w:proofErr w:type="gramEnd"/>
      <w:r w:rsidR="002506F4" w:rsidRPr="002506F4">
        <w:rPr>
          <w:rFonts w:ascii="Calibri" w:hAnsi="Calibri"/>
          <w:color w:val="auto"/>
          <w:szCs w:val="24"/>
        </w:rPr>
        <w:t xml:space="preserve"> </w:t>
      </w:r>
      <w:r w:rsidR="0033554D">
        <w:rPr>
          <w:rFonts w:ascii="Calibri" w:hAnsi="Calibri"/>
          <w:color w:val="auto"/>
          <w:szCs w:val="24"/>
        </w:rPr>
        <w:t xml:space="preserve"> </w:t>
      </w:r>
      <w:r w:rsidR="0088560C" w:rsidRPr="0088560C">
        <w:rPr>
          <w:rFonts w:ascii="Calibri" w:hAnsi="Calibri"/>
          <w:color w:val="auto"/>
          <w:szCs w:val="24"/>
        </w:rPr>
        <w:t xml:space="preserve">The PEB rating, as described above, was derived from DoDI 1332.39 and was within days </w:t>
      </w:r>
      <w:r w:rsidR="005026A1">
        <w:rPr>
          <w:rFonts w:ascii="Calibri" w:hAnsi="Calibri"/>
          <w:color w:val="auto"/>
          <w:szCs w:val="24"/>
        </w:rPr>
        <w:t>following</w:t>
      </w:r>
      <w:r w:rsidR="0088560C" w:rsidRPr="0088560C">
        <w:rPr>
          <w:rFonts w:ascii="Calibri" w:hAnsi="Calibri"/>
          <w:color w:val="auto"/>
          <w:szCs w:val="24"/>
        </w:rPr>
        <w:t xml:space="preserve"> the promulgation of the National Defense Authorization Act (NDAA) 2008 mandate for Department of Defense (DoD) adherence to </w:t>
      </w:r>
      <w:r w:rsidR="005B721B">
        <w:rPr>
          <w:rFonts w:ascii="Calibri" w:hAnsi="Calibri"/>
          <w:color w:val="auto"/>
          <w:szCs w:val="24"/>
        </w:rPr>
        <w:t xml:space="preserve">the </w:t>
      </w:r>
      <w:r w:rsidR="0088560C" w:rsidRPr="0088560C">
        <w:rPr>
          <w:rFonts w:ascii="Calibri" w:hAnsi="Calibri"/>
          <w:color w:val="auto"/>
          <w:szCs w:val="24"/>
        </w:rPr>
        <w:t xml:space="preserve">VASRD §4.129.  IAW DoDI 6040.44 and DoD guidance (which applies current VASRD §4.129 to all Board cases), the Board is obligated to recommend a minimum 50% PTSD </w:t>
      </w:r>
      <w:r w:rsidR="005B721B">
        <w:rPr>
          <w:rFonts w:ascii="Calibri" w:hAnsi="Calibri"/>
          <w:color w:val="auto"/>
          <w:szCs w:val="24"/>
        </w:rPr>
        <w:t>rating for a retroactive six-</w:t>
      </w:r>
      <w:r w:rsidR="0088560C" w:rsidRPr="0088560C">
        <w:rPr>
          <w:rFonts w:ascii="Calibri" w:hAnsi="Calibri"/>
          <w:color w:val="auto"/>
          <w:szCs w:val="24"/>
        </w:rPr>
        <w:t>month period on the Temporary Disability Retired List (TDRL).  The Board must then determine the most appropriate fit with VASRD §4.130 criteria at six months for its permanent rating recommendation.  By policy and precedent the Board will assess a rating recommendation for the TBI at separation and a permanent rating at six months post</w:t>
      </w:r>
      <w:r w:rsidR="005B721B">
        <w:rPr>
          <w:rFonts w:ascii="Calibri" w:hAnsi="Calibri"/>
          <w:color w:val="auto"/>
          <w:szCs w:val="24"/>
        </w:rPr>
        <w:t>-</w:t>
      </w:r>
      <w:r w:rsidR="0088560C" w:rsidRPr="0088560C">
        <w:rPr>
          <w:rFonts w:ascii="Calibri" w:hAnsi="Calibri"/>
          <w:color w:val="auto"/>
          <w:szCs w:val="24"/>
        </w:rPr>
        <w:t>separation (per retroactive application of §4.129 as above) based on the highest probative value information available describing the condition.  The Board is required to adhere solely to the VA disability rating guidelines IAW DoDI 6040.44 and the N</w:t>
      </w:r>
      <w:r w:rsidR="005B721B">
        <w:rPr>
          <w:rFonts w:ascii="Calibri" w:hAnsi="Calibri"/>
          <w:color w:val="auto"/>
          <w:szCs w:val="24"/>
        </w:rPr>
        <w:t xml:space="preserve">DAA </w:t>
      </w:r>
      <w:r w:rsidR="0088560C" w:rsidRPr="0088560C">
        <w:rPr>
          <w:rFonts w:ascii="Calibri" w:hAnsi="Calibri"/>
          <w:color w:val="auto"/>
          <w:szCs w:val="24"/>
        </w:rPr>
        <w:t xml:space="preserve">2008 which includes adherence to any concurrent applicable disability rating policy changes issued via </w:t>
      </w:r>
      <w:r w:rsidR="005B721B">
        <w:rPr>
          <w:rFonts w:ascii="Calibri" w:hAnsi="Calibri"/>
          <w:color w:val="auto"/>
          <w:szCs w:val="24"/>
        </w:rPr>
        <w:t>“</w:t>
      </w:r>
      <w:r w:rsidR="0088560C" w:rsidRPr="0088560C">
        <w:rPr>
          <w:rFonts w:ascii="Calibri" w:hAnsi="Calibri"/>
          <w:color w:val="auto"/>
          <w:szCs w:val="24"/>
        </w:rPr>
        <w:t>FAST</w:t>
      </w:r>
      <w:r w:rsidR="005B721B">
        <w:rPr>
          <w:rFonts w:ascii="Calibri" w:hAnsi="Calibri"/>
          <w:color w:val="auto"/>
          <w:szCs w:val="24"/>
        </w:rPr>
        <w:t>”</w:t>
      </w:r>
      <w:r w:rsidR="0088560C" w:rsidRPr="0088560C">
        <w:rPr>
          <w:rFonts w:ascii="Calibri" w:hAnsi="Calibri"/>
          <w:color w:val="auto"/>
          <w:szCs w:val="24"/>
        </w:rPr>
        <w:t xml:space="preserve"> or Training Letters based on the CI’s separation date.  The most current rating criteria for TBI became effective </w:t>
      </w:r>
      <w:r w:rsidR="007C52B8">
        <w:rPr>
          <w:rFonts w:ascii="Calibri" w:hAnsi="Calibri"/>
          <w:color w:val="auto"/>
          <w:szCs w:val="24"/>
        </w:rPr>
        <w:t xml:space="preserve">23 </w:t>
      </w:r>
      <w:r w:rsidR="0088560C" w:rsidRPr="0088560C">
        <w:rPr>
          <w:rFonts w:ascii="Calibri" w:hAnsi="Calibri"/>
          <w:color w:val="auto"/>
          <w:szCs w:val="24"/>
        </w:rPr>
        <w:t>October 2008 after the end of the CI’s constructive TDRL period (</w:t>
      </w:r>
      <w:r w:rsidR="007C52B8">
        <w:rPr>
          <w:rFonts w:ascii="Calibri" w:hAnsi="Calibri"/>
          <w:color w:val="auto"/>
          <w:szCs w:val="24"/>
        </w:rPr>
        <w:t xml:space="preserve">30 </w:t>
      </w:r>
      <w:r w:rsidR="0088560C" w:rsidRPr="0088560C">
        <w:rPr>
          <w:rFonts w:ascii="Calibri" w:hAnsi="Calibri"/>
          <w:color w:val="auto"/>
          <w:szCs w:val="24"/>
        </w:rPr>
        <w:t>September 2008), thus the rules in effect preceding the current criteria are to be used IAW DoDI 6040.44; in this case TL 06-03 (February 2006) and TL 07-05 (</w:t>
      </w:r>
      <w:r w:rsidR="007C52B8">
        <w:rPr>
          <w:rFonts w:ascii="Calibri" w:hAnsi="Calibri"/>
          <w:color w:val="auto"/>
          <w:szCs w:val="24"/>
        </w:rPr>
        <w:t xml:space="preserve">31 </w:t>
      </w:r>
      <w:r w:rsidR="0088560C" w:rsidRPr="0088560C">
        <w:rPr>
          <w:rFonts w:ascii="Calibri" w:hAnsi="Calibri"/>
          <w:color w:val="auto"/>
          <w:szCs w:val="24"/>
        </w:rPr>
        <w:t>August 2007).  VA Training Letter, TL07-05, specifically addressed the need for a more comprehensive rating approach to TBI and provided guidance for rating TBI by combining separate ratings from each component of the symptom complex.  The PEB rated CI’s TBI and post-concussive syndrome symptoms using VASRD code 8045-9304 (dementia due to head trauma)</w:t>
      </w:r>
      <w:r w:rsidR="005B721B">
        <w:rPr>
          <w:rFonts w:ascii="Calibri" w:hAnsi="Calibri"/>
          <w:color w:val="auto"/>
          <w:szCs w:val="24"/>
        </w:rPr>
        <w:t>;</w:t>
      </w:r>
      <w:r w:rsidR="0088560C" w:rsidRPr="0088560C">
        <w:rPr>
          <w:rFonts w:ascii="Calibri" w:hAnsi="Calibri"/>
          <w:color w:val="auto"/>
          <w:szCs w:val="24"/>
        </w:rPr>
        <w:t xml:space="preserve"> however, it is not clear if the PEB applied guidance contained in TL 06-03 and TL 07-05, and is presumed to be highly unlikely.  The Board concluded that the PEB found the TBI condition unfitting due to the subjective cognitive symptoms because the remaining manifestations of TBI, headache and tinnitus would not have been found unfitting.  The most proximate sources of comprehensive evidence on which to base the permanent rating recommendations in this case are the VA psychiatry, TBI</w:t>
      </w:r>
      <w:r w:rsidR="0033554D">
        <w:rPr>
          <w:rFonts w:ascii="Calibri" w:hAnsi="Calibri"/>
          <w:color w:val="auto"/>
          <w:szCs w:val="24"/>
        </w:rPr>
        <w:t>,</w:t>
      </w:r>
      <w:r w:rsidR="0088560C" w:rsidRPr="0088560C">
        <w:rPr>
          <w:rFonts w:ascii="Calibri" w:hAnsi="Calibri"/>
          <w:color w:val="auto"/>
          <w:szCs w:val="24"/>
        </w:rPr>
        <w:t xml:space="preserve"> and general medical </w:t>
      </w:r>
      <w:r w:rsidR="005B721B">
        <w:rPr>
          <w:rFonts w:ascii="Calibri" w:hAnsi="Calibri"/>
          <w:color w:val="auto"/>
          <w:szCs w:val="24"/>
        </w:rPr>
        <w:t>c</w:t>
      </w:r>
      <w:r w:rsidR="0088560C" w:rsidRPr="0088560C">
        <w:rPr>
          <w:rFonts w:ascii="Calibri" w:hAnsi="Calibri"/>
          <w:color w:val="auto"/>
          <w:szCs w:val="24"/>
        </w:rPr>
        <w:t xml:space="preserve">ompensation and </w:t>
      </w:r>
      <w:r w:rsidR="005B721B">
        <w:rPr>
          <w:rFonts w:ascii="Calibri" w:hAnsi="Calibri"/>
          <w:color w:val="auto"/>
          <w:szCs w:val="24"/>
        </w:rPr>
        <w:t>p</w:t>
      </w:r>
      <w:r w:rsidR="0088560C" w:rsidRPr="0088560C">
        <w:rPr>
          <w:rFonts w:ascii="Calibri" w:hAnsi="Calibri"/>
          <w:color w:val="auto"/>
          <w:szCs w:val="24"/>
        </w:rPr>
        <w:t xml:space="preserve">ension (C&amp;P) examinations, performed approximately five months after separation.  The MEB evaluation and service treatment records retain probative value as a useful baseline in the Board’s efforts to arrive at a fair permanent rating recommendation.  </w:t>
      </w:r>
    </w:p>
    <w:p w:rsidR="0088560C" w:rsidRPr="0088560C" w:rsidRDefault="0088560C" w:rsidP="0088560C">
      <w:pPr>
        <w:tabs>
          <w:tab w:val="left" w:pos="288"/>
          <w:tab w:val="left" w:pos="4752"/>
        </w:tabs>
        <w:spacing w:line="240" w:lineRule="exact"/>
        <w:jc w:val="both"/>
        <w:rPr>
          <w:rFonts w:ascii="Calibri" w:hAnsi="Calibri"/>
          <w:b/>
          <w:color w:val="auto"/>
          <w:szCs w:val="24"/>
        </w:rPr>
      </w:pPr>
    </w:p>
    <w:p w:rsidR="0088560C" w:rsidRPr="0088560C" w:rsidRDefault="0088560C" w:rsidP="0088560C">
      <w:pPr>
        <w:tabs>
          <w:tab w:val="left" w:pos="288"/>
          <w:tab w:val="left" w:pos="4752"/>
        </w:tabs>
        <w:spacing w:line="240" w:lineRule="exact"/>
        <w:jc w:val="both"/>
        <w:rPr>
          <w:rFonts w:ascii="Calibri" w:hAnsi="Calibri"/>
          <w:color w:val="auto"/>
          <w:szCs w:val="24"/>
        </w:rPr>
      </w:pPr>
      <w:r w:rsidRPr="0088560C">
        <w:rPr>
          <w:rFonts w:ascii="Calibri" w:hAnsi="Calibri"/>
          <w:color w:val="auto"/>
          <w:szCs w:val="24"/>
        </w:rPr>
        <w:t>First, the Board considered the rating</w:t>
      </w:r>
      <w:r w:rsidR="0033554D">
        <w:rPr>
          <w:rFonts w:ascii="Calibri" w:hAnsi="Calibri"/>
          <w:color w:val="auto"/>
          <w:szCs w:val="24"/>
        </w:rPr>
        <w:t>s</w:t>
      </w:r>
      <w:r w:rsidRPr="0088560C">
        <w:rPr>
          <w:rFonts w:ascii="Calibri" w:hAnsi="Calibri"/>
          <w:color w:val="auto"/>
          <w:szCs w:val="24"/>
        </w:rPr>
        <w:t xml:space="preserve"> for PTSD and TBI entering the constructive TDRL period.  </w:t>
      </w:r>
    </w:p>
    <w:p w:rsidR="0088560C" w:rsidRPr="0088560C" w:rsidRDefault="0088560C" w:rsidP="0088560C">
      <w:pPr>
        <w:tabs>
          <w:tab w:val="left" w:pos="288"/>
          <w:tab w:val="left" w:pos="4752"/>
        </w:tabs>
        <w:spacing w:line="240" w:lineRule="exact"/>
        <w:jc w:val="both"/>
        <w:rPr>
          <w:rFonts w:ascii="Calibri" w:hAnsi="Calibri"/>
          <w:color w:val="auto"/>
          <w:szCs w:val="24"/>
        </w:rPr>
      </w:pPr>
      <w:r w:rsidRPr="0088560C">
        <w:rPr>
          <w:rFonts w:ascii="Calibri" w:hAnsi="Calibri"/>
          <w:color w:val="auto"/>
          <w:szCs w:val="24"/>
        </w:rPr>
        <w:t xml:space="preserve">With regard to the TDRL rating for PTSD, all members agreed that the §4.130 criteria for a rating higher than 50% were not met at the time of separation, and therefore the minimum 50% TDRL rating IAW §4.29 is applicable.  The CI’s symptoms at the time of the MEB psychiatry </w:t>
      </w:r>
      <w:r w:rsidR="005B721B">
        <w:rPr>
          <w:rFonts w:ascii="Calibri" w:hAnsi="Calibri"/>
          <w:color w:val="auto"/>
          <w:szCs w:val="24"/>
        </w:rPr>
        <w:t xml:space="preserve">NARSUM in </w:t>
      </w:r>
      <w:r w:rsidRPr="0088560C">
        <w:rPr>
          <w:rFonts w:ascii="Calibri" w:hAnsi="Calibri"/>
          <w:color w:val="auto"/>
          <w:szCs w:val="24"/>
        </w:rPr>
        <w:t xml:space="preserve">October 2007, five months before separation, were mild to moderate.  Married in </w:t>
      </w:r>
      <w:r w:rsidRPr="0088560C">
        <w:rPr>
          <w:rFonts w:ascii="Calibri" w:hAnsi="Calibri"/>
          <w:color w:val="auto"/>
          <w:szCs w:val="24"/>
        </w:rPr>
        <w:lastRenderedPageBreak/>
        <w:t>November 2006, the CI reported his marriage was going well.  The CI reported problems with irritability at work but was able to perform his assigned duties.  The psychiatrist opined a good prognosis for continued improvement.  The CI was assigned as a Police Sergeant, duties that were outside his primary military specialty.  His commander</w:t>
      </w:r>
      <w:r w:rsidR="005B721B">
        <w:rPr>
          <w:rFonts w:ascii="Calibri" w:hAnsi="Calibri"/>
          <w:color w:val="auto"/>
          <w:szCs w:val="24"/>
        </w:rPr>
        <w:t xml:space="preserve"> </w:t>
      </w:r>
      <w:r w:rsidRPr="0088560C">
        <w:rPr>
          <w:rFonts w:ascii="Calibri" w:hAnsi="Calibri"/>
          <w:color w:val="auto"/>
          <w:szCs w:val="24"/>
        </w:rPr>
        <w:t xml:space="preserve">reported </w:t>
      </w:r>
      <w:r w:rsidR="005B721B">
        <w:rPr>
          <w:rFonts w:ascii="Calibri" w:hAnsi="Calibri"/>
          <w:color w:val="auto"/>
          <w:szCs w:val="24"/>
        </w:rPr>
        <w:t xml:space="preserve">in </w:t>
      </w:r>
      <w:r w:rsidR="005B721B" w:rsidRPr="0088560C">
        <w:rPr>
          <w:rFonts w:ascii="Calibri" w:hAnsi="Calibri"/>
          <w:color w:val="auto"/>
          <w:szCs w:val="24"/>
        </w:rPr>
        <w:t xml:space="preserve">October 2007 </w:t>
      </w:r>
      <w:r w:rsidRPr="0088560C">
        <w:rPr>
          <w:rFonts w:ascii="Calibri" w:hAnsi="Calibri"/>
          <w:color w:val="auto"/>
          <w:szCs w:val="24"/>
        </w:rPr>
        <w:t xml:space="preserve">that he was an above average performer in that </w:t>
      </w:r>
      <w:proofErr w:type="gramStart"/>
      <w:r w:rsidRPr="0088560C">
        <w:rPr>
          <w:rFonts w:ascii="Calibri" w:hAnsi="Calibri"/>
          <w:color w:val="auto"/>
          <w:szCs w:val="24"/>
        </w:rPr>
        <w:t>capacity,</w:t>
      </w:r>
      <w:proofErr w:type="gramEnd"/>
      <w:r w:rsidRPr="0088560C">
        <w:rPr>
          <w:rFonts w:ascii="Calibri" w:hAnsi="Calibri"/>
          <w:color w:val="auto"/>
          <w:szCs w:val="24"/>
        </w:rPr>
        <w:t xml:space="preserve"> was organized, motivated, and professional.  By the time of </w:t>
      </w:r>
      <w:r w:rsidR="005B721B">
        <w:rPr>
          <w:rFonts w:ascii="Calibri" w:hAnsi="Calibri"/>
          <w:color w:val="auto"/>
          <w:szCs w:val="24"/>
        </w:rPr>
        <w:t xml:space="preserve">the </w:t>
      </w:r>
      <w:r w:rsidRPr="0088560C">
        <w:rPr>
          <w:rFonts w:ascii="Calibri" w:hAnsi="Calibri"/>
          <w:color w:val="auto"/>
          <w:szCs w:val="24"/>
        </w:rPr>
        <w:t xml:space="preserve">November and December 2007 Deployment Health Services appointments, CI reported sleep was good, no nightmares, and improving memory with medication.  Irritability was recorded as decreased but still present.  The PEB initially found the CI fit for duty; however, the CI requested reconsideration by the PEB contending he was not fit, submitting personal statements from himself and his wife.  </w:t>
      </w:r>
    </w:p>
    <w:p w:rsidR="0088560C" w:rsidRPr="0088560C" w:rsidRDefault="0088560C" w:rsidP="0088560C">
      <w:pPr>
        <w:tabs>
          <w:tab w:val="left" w:pos="288"/>
          <w:tab w:val="left" w:pos="4752"/>
        </w:tabs>
        <w:spacing w:line="240" w:lineRule="exact"/>
        <w:jc w:val="both"/>
        <w:rPr>
          <w:rFonts w:ascii="Calibri" w:hAnsi="Calibri"/>
          <w:color w:val="auto"/>
          <w:szCs w:val="24"/>
        </w:rPr>
      </w:pPr>
    </w:p>
    <w:p w:rsidR="0088560C" w:rsidRPr="0088560C" w:rsidRDefault="0088560C" w:rsidP="0088560C">
      <w:pPr>
        <w:tabs>
          <w:tab w:val="left" w:pos="288"/>
          <w:tab w:val="left" w:pos="4752"/>
        </w:tabs>
        <w:spacing w:line="240" w:lineRule="exact"/>
        <w:jc w:val="both"/>
        <w:rPr>
          <w:rFonts w:ascii="Calibri" w:hAnsi="Calibri"/>
          <w:color w:val="auto"/>
          <w:szCs w:val="24"/>
        </w:rPr>
      </w:pPr>
      <w:r w:rsidRPr="0088560C">
        <w:rPr>
          <w:rFonts w:ascii="Calibri" w:hAnsi="Calibri"/>
          <w:color w:val="auto"/>
          <w:szCs w:val="24"/>
        </w:rPr>
        <w:t xml:space="preserve">With regard to the TDRL rating for TBI, the Board </w:t>
      </w:r>
      <w:r w:rsidR="0033554D">
        <w:rPr>
          <w:rFonts w:ascii="Calibri" w:hAnsi="Calibri"/>
          <w:color w:val="auto"/>
          <w:szCs w:val="24"/>
        </w:rPr>
        <w:t xml:space="preserve">concurred </w:t>
      </w:r>
      <w:r w:rsidRPr="0088560C">
        <w:rPr>
          <w:rFonts w:ascii="Calibri" w:hAnsi="Calibri"/>
          <w:color w:val="auto"/>
          <w:szCs w:val="24"/>
        </w:rPr>
        <w:t xml:space="preserve">with the rating adjudicated by the PEB.  The Board noted the neuropsychological (NP) testing in September 2007 showing memory impairment. </w:t>
      </w:r>
      <w:r w:rsidR="0033554D">
        <w:rPr>
          <w:rFonts w:ascii="Calibri" w:hAnsi="Calibri"/>
          <w:color w:val="auto"/>
          <w:szCs w:val="24"/>
        </w:rPr>
        <w:t xml:space="preserve"> </w:t>
      </w:r>
      <w:r w:rsidRPr="0088560C">
        <w:rPr>
          <w:rFonts w:ascii="Calibri" w:hAnsi="Calibri"/>
          <w:color w:val="auto"/>
          <w:szCs w:val="24"/>
        </w:rPr>
        <w:t>At that time, the CI reported having an extremely difficult time with online college courses.  NP testing concluded there was moderately impaired memory, decreased efficiency of cognitive processing, impaired higher level processing skills and mild verbal impairment.  The findings were considered to be consistent with the sequelae of TBI.  The Board also considered the commander’s comments reflecting satisfactory performance of duties and evidence in other DES documents regarding the CI’s cognitive complaints.  The general NARSUM</w:t>
      </w:r>
      <w:r w:rsidR="005B721B">
        <w:rPr>
          <w:rFonts w:ascii="Calibri" w:hAnsi="Calibri"/>
          <w:color w:val="auto"/>
          <w:szCs w:val="24"/>
        </w:rPr>
        <w:t xml:space="preserve"> in</w:t>
      </w:r>
      <w:r w:rsidRPr="0088560C">
        <w:rPr>
          <w:rFonts w:ascii="Calibri" w:hAnsi="Calibri"/>
          <w:color w:val="auto"/>
          <w:szCs w:val="24"/>
        </w:rPr>
        <w:t xml:space="preserve"> October 2007 recorded that</w:t>
      </w:r>
      <w:r w:rsidR="005B721B">
        <w:rPr>
          <w:rFonts w:ascii="Calibri" w:hAnsi="Calibri"/>
          <w:color w:val="auto"/>
          <w:szCs w:val="24"/>
        </w:rPr>
        <w:t>,</w:t>
      </w:r>
      <w:r w:rsidRPr="0088560C">
        <w:rPr>
          <w:rFonts w:ascii="Calibri" w:hAnsi="Calibri"/>
          <w:color w:val="auto"/>
          <w:szCs w:val="24"/>
        </w:rPr>
        <w:t xml:space="preserve"> since the head injury, the CI continued to have headaches, tinnitus, irritability, problems with recent memory, and disturbed sleep.  Neurologic examination was normal and a</w:t>
      </w:r>
      <w:r w:rsidR="005B721B">
        <w:rPr>
          <w:rFonts w:ascii="Calibri" w:hAnsi="Calibri"/>
          <w:color w:val="auto"/>
          <w:szCs w:val="24"/>
        </w:rPr>
        <w:t xml:space="preserve"> magnetic resonance imaging (</w:t>
      </w:r>
      <w:r w:rsidRPr="0088560C">
        <w:rPr>
          <w:rFonts w:ascii="Calibri" w:hAnsi="Calibri"/>
          <w:color w:val="auto"/>
          <w:szCs w:val="24"/>
        </w:rPr>
        <w:t>MRI</w:t>
      </w:r>
      <w:r w:rsidR="005B721B">
        <w:rPr>
          <w:rFonts w:ascii="Calibri" w:hAnsi="Calibri"/>
          <w:color w:val="auto"/>
          <w:szCs w:val="24"/>
        </w:rPr>
        <w:t>)</w:t>
      </w:r>
      <w:r w:rsidRPr="0088560C">
        <w:rPr>
          <w:rFonts w:ascii="Calibri" w:hAnsi="Calibri"/>
          <w:color w:val="auto"/>
          <w:szCs w:val="24"/>
        </w:rPr>
        <w:t xml:space="preserve"> of the brain earlier that year was noted to be normal (consistent with mild TBI).  Speech was fluent, goal directed, with an appropriate fund of knowledge.  The examiner stated that attention, concentration, and recent and remote memory appeared be intact.  In the psychiatry NARSUM</w:t>
      </w:r>
      <w:r w:rsidR="005B721B">
        <w:rPr>
          <w:rFonts w:ascii="Calibri" w:hAnsi="Calibri"/>
          <w:color w:val="auto"/>
          <w:szCs w:val="24"/>
        </w:rPr>
        <w:t xml:space="preserve"> in</w:t>
      </w:r>
      <w:r w:rsidRPr="0088560C">
        <w:rPr>
          <w:rFonts w:ascii="Calibri" w:hAnsi="Calibri"/>
          <w:color w:val="auto"/>
          <w:szCs w:val="24"/>
        </w:rPr>
        <w:t xml:space="preserve"> October 2007, the psychiatrist wrote, “He is currently taking correspondence courses in psychology through Upper Iowa University.  He reports he is doing well in the courses and is not experiencing significant difficulties in studying his assigned material.”  The CI scored 27/30 on the mini-mental status examination (tests orientation, attention, calculation, recall, language and motor skills; a score below 20 indicates cognitive impairment).  On the MEB </w:t>
      </w:r>
      <w:r w:rsidR="005B721B">
        <w:rPr>
          <w:rFonts w:ascii="Calibri" w:hAnsi="Calibri"/>
          <w:color w:val="auto"/>
          <w:szCs w:val="24"/>
        </w:rPr>
        <w:t>h</w:t>
      </w:r>
      <w:r w:rsidRPr="0088560C">
        <w:rPr>
          <w:rFonts w:ascii="Calibri" w:hAnsi="Calibri"/>
          <w:color w:val="auto"/>
          <w:szCs w:val="24"/>
        </w:rPr>
        <w:t xml:space="preserve">istory and </w:t>
      </w:r>
      <w:r w:rsidR="005B721B">
        <w:rPr>
          <w:rFonts w:ascii="Calibri" w:hAnsi="Calibri"/>
          <w:color w:val="auto"/>
          <w:szCs w:val="24"/>
        </w:rPr>
        <w:t>p</w:t>
      </w:r>
      <w:r w:rsidRPr="0088560C">
        <w:rPr>
          <w:rFonts w:ascii="Calibri" w:hAnsi="Calibri"/>
          <w:color w:val="auto"/>
          <w:szCs w:val="24"/>
        </w:rPr>
        <w:t xml:space="preserve">hysical </w:t>
      </w:r>
      <w:r w:rsidR="005B721B">
        <w:rPr>
          <w:rFonts w:ascii="Calibri" w:hAnsi="Calibri"/>
          <w:color w:val="auto"/>
          <w:szCs w:val="24"/>
        </w:rPr>
        <w:t>e</w:t>
      </w:r>
      <w:r w:rsidRPr="0088560C">
        <w:rPr>
          <w:rFonts w:ascii="Calibri" w:hAnsi="Calibri"/>
          <w:color w:val="auto"/>
          <w:szCs w:val="24"/>
        </w:rPr>
        <w:t xml:space="preserve">xamination </w:t>
      </w:r>
      <w:r w:rsidR="005B721B">
        <w:rPr>
          <w:rFonts w:ascii="Calibri" w:hAnsi="Calibri"/>
          <w:color w:val="auto"/>
          <w:szCs w:val="24"/>
        </w:rPr>
        <w:t>(DD F</w:t>
      </w:r>
      <w:r w:rsidRPr="0088560C">
        <w:rPr>
          <w:rFonts w:ascii="Calibri" w:hAnsi="Calibri"/>
          <w:color w:val="auto"/>
          <w:szCs w:val="24"/>
        </w:rPr>
        <w:t>orm 2807</w:t>
      </w:r>
      <w:r w:rsidR="005B721B">
        <w:rPr>
          <w:rFonts w:ascii="Calibri" w:hAnsi="Calibri"/>
          <w:color w:val="auto"/>
          <w:szCs w:val="24"/>
        </w:rPr>
        <w:t>)</w:t>
      </w:r>
      <w:r w:rsidRPr="0088560C">
        <w:rPr>
          <w:rFonts w:ascii="Calibri" w:hAnsi="Calibri"/>
          <w:color w:val="auto"/>
          <w:szCs w:val="24"/>
        </w:rPr>
        <w:t xml:space="preserve">, the CI checked </w:t>
      </w:r>
      <w:r w:rsidR="0057478E">
        <w:rPr>
          <w:rFonts w:ascii="Calibri" w:hAnsi="Calibri"/>
          <w:color w:val="auto"/>
          <w:szCs w:val="24"/>
        </w:rPr>
        <w:t>“</w:t>
      </w:r>
      <w:r w:rsidRPr="0088560C">
        <w:rPr>
          <w:rFonts w:ascii="Calibri" w:hAnsi="Calibri"/>
          <w:color w:val="auto"/>
          <w:szCs w:val="24"/>
        </w:rPr>
        <w:t>no</w:t>
      </w:r>
      <w:r w:rsidR="0057478E">
        <w:rPr>
          <w:rFonts w:ascii="Calibri" w:hAnsi="Calibri"/>
          <w:color w:val="auto"/>
          <w:szCs w:val="24"/>
        </w:rPr>
        <w:t>”</w:t>
      </w:r>
      <w:r w:rsidRPr="0088560C">
        <w:rPr>
          <w:rFonts w:ascii="Calibri" w:hAnsi="Calibri"/>
          <w:color w:val="auto"/>
          <w:szCs w:val="24"/>
        </w:rPr>
        <w:t xml:space="preserve"> to the frequent or severe headaches (question 15b), but </w:t>
      </w:r>
      <w:r w:rsidR="005B721B">
        <w:rPr>
          <w:rFonts w:ascii="Calibri" w:hAnsi="Calibri"/>
          <w:color w:val="auto"/>
          <w:szCs w:val="24"/>
        </w:rPr>
        <w:t xml:space="preserve">a </w:t>
      </w:r>
      <w:r w:rsidRPr="0088560C">
        <w:rPr>
          <w:rFonts w:ascii="Calibri" w:hAnsi="Calibri"/>
          <w:color w:val="auto"/>
          <w:szCs w:val="24"/>
        </w:rPr>
        <w:t>report of tinnitus was made.  At the November 2007 Deployment Health Services appointment, CI reported improving memory with medication.  The Board concluded TBI</w:t>
      </w:r>
      <w:r w:rsidR="005B721B">
        <w:rPr>
          <w:rFonts w:ascii="Calibri" w:hAnsi="Calibri"/>
          <w:color w:val="auto"/>
          <w:szCs w:val="24"/>
        </w:rPr>
        <w:t>-</w:t>
      </w:r>
      <w:r w:rsidRPr="0088560C">
        <w:rPr>
          <w:rFonts w:ascii="Calibri" w:hAnsi="Calibri"/>
          <w:color w:val="auto"/>
          <w:szCs w:val="24"/>
        </w:rPr>
        <w:t xml:space="preserve">related cognitive symptoms were </w:t>
      </w:r>
      <w:r w:rsidR="0057478E">
        <w:rPr>
          <w:rFonts w:ascii="Calibri" w:hAnsi="Calibri"/>
          <w:color w:val="auto"/>
          <w:szCs w:val="24"/>
        </w:rPr>
        <w:t xml:space="preserve">mostly </w:t>
      </w:r>
      <w:r w:rsidRPr="0088560C">
        <w:rPr>
          <w:rFonts w:ascii="Calibri" w:hAnsi="Calibri"/>
          <w:color w:val="auto"/>
          <w:szCs w:val="24"/>
        </w:rPr>
        <w:t xml:space="preserve">subjective and likely enhanced by the PTSD.  After due deliberation, the Board agreed with the PEB rating of 10% </w:t>
      </w:r>
      <w:r w:rsidR="0057478E">
        <w:rPr>
          <w:rFonts w:ascii="Calibri" w:hAnsi="Calibri"/>
          <w:color w:val="auto"/>
          <w:szCs w:val="24"/>
        </w:rPr>
        <w:t xml:space="preserve">for TBI </w:t>
      </w:r>
      <w:r w:rsidRPr="0088560C">
        <w:rPr>
          <w:rFonts w:ascii="Calibri" w:hAnsi="Calibri"/>
          <w:color w:val="auto"/>
          <w:szCs w:val="24"/>
        </w:rPr>
        <w:t>(8045-9304)</w:t>
      </w:r>
      <w:r w:rsidR="0057478E">
        <w:rPr>
          <w:rFonts w:ascii="Calibri" w:hAnsi="Calibri"/>
          <w:color w:val="auto"/>
          <w:szCs w:val="24"/>
        </w:rPr>
        <w:t xml:space="preserve"> at the time of separation.</w:t>
      </w:r>
      <w:r w:rsidRPr="0088560C">
        <w:rPr>
          <w:rFonts w:ascii="Calibri" w:hAnsi="Calibri"/>
          <w:color w:val="auto"/>
          <w:szCs w:val="24"/>
        </w:rPr>
        <w:t xml:space="preserve">  IAW TL 07-05, consideration for separate rating from each component of the TBI symptom complex was required, even though the headaches or tinnitus were not individually unfitting.  The headaches considered for separate rating did not attain a minimum rating and w</w:t>
      </w:r>
      <w:r w:rsidR="005026A1">
        <w:rPr>
          <w:rFonts w:ascii="Calibri" w:hAnsi="Calibri"/>
          <w:color w:val="auto"/>
          <w:szCs w:val="24"/>
        </w:rPr>
        <w:t>ere</w:t>
      </w:r>
      <w:r w:rsidRPr="0088560C">
        <w:rPr>
          <w:rFonts w:ascii="Calibri" w:hAnsi="Calibri"/>
          <w:color w:val="auto"/>
          <w:szCs w:val="24"/>
        </w:rPr>
        <w:t xml:space="preserve"> considered under the TBI code with the subjective cognitive symptoms.  Therefore, the Board recommends a rating of 8045-9304 (subjective cognitive symptoms and headaches) at 10%; and an additional rating of 8045-6260 at 10% (tinnitus) for residuals of TBI for this case for the separation rating under code 8045.</w:t>
      </w:r>
    </w:p>
    <w:p w:rsidR="0088560C" w:rsidRPr="0088560C" w:rsidRDefault="0088560C" w:rsidP="0088560C">
      <w:pPr>
        <w:tabs>
          <w:tab w:val="left" w:pos="288"/>
          <w:tab w:val="left" w:pos="4752"/>
        </w:tabs>
        <w:spacing w:line="240" w:lineRule="exact"/>
        <w:jc w:val="both"/>
        <w:rPr>
          <w:rFonts w:ascii="Calibri" w:hAnsi="Calibri"/>
          <w:color w:val="auto"/>
          <w:szCs w:val="24"/>
        </w:rPr>
      </w:pPr>
    </w:p>
    <w:p w:rsidR="0088560C" w:rsidRPr="0088560C" w:rsidRDefault="0088560C" w:rsidP="0088560C">
      <w:pPr>
        <w:tabs>
          <w:tab w:val="left" w:pos="288"/>
          <w:tab w:val="left" w:pos="4752"/>
        </w:tabs>
        <w:spacing w:line="240" w:lineRule="exact"/>
        <w:jc w:val="both"/>
        <w:rPr>
          <w:rFonts w:ascii="Calibri" w:hAnsi="Calibri"/>
          <w:color w:val="auto"/>
          <w:szCs w:val="24"/>
        </w:rPr>
      </w:pPr>
      <w:r w:rsidRPr="0088560C">
        <w:rPr>
          <w:rFonts w:ascii="Calibri" w:hAnsi="Calibri"/>
          <w:color w:val="auto"/>
          <w:szCs w:val="24"/>
        </w:rPr>
        <w:t>Next the Board turned its attention to the permanent rating recommendations for PTSD and TBI</w:t>
      </w:r>
      <w:r w:rsidR="0057478E">
        <w:rPr>
          <w:rFonts w:ascii="Calibri" w:hAnsi="Calibri"/>
          <w:color w:val="auto"/>
          <w:szCs w:val="24"/>
        </w:rPr>
        <w:t xml:space="preserve"> at the end of the constructive TDRL period.</w:t>
      </w:r>
      <w:r w:rsidRPr="0088560C">
        <w:rPr>
          <w:rFonts w:ascii="Calibri" w:hAnsi="Calibri"/>
          <w:color w:val="auto"/>
          <w:szCs w:val="24"/>
        </w:rPr>
        <w:t xml:space="preserve">  At the time of the VA psychiatry C&amp;P examination, five months after separation, the CI reported ongoing symptoms of PTSD.  He had discontinued medication and psychotherapy at the time of discharge from the Marines, and therefore had no treatment for five months.  He had experienced weight gain he attributed to </w:t>
      </w:r>
      <w:r w:rsidR="0057478E">
        <w:rPr>
          <w:rFonts w:ascii="Calibri" w:hAnsi="Calibri"/>
          <w:color w:val="auto"/>
          <w:szCs w:val="24"/>
        </w:rPr>
        <w:t xml:space="preserve">previous </w:t>
      </w:r>
      <w:r w:rsidRPr="0088560C">
        <w:rPr>
          <w:rFonts w:ascii="Calibri" w:hAnsi="Calibri"/>
          <w:color w:val="auto"/>
          <w:szCs w:val="24"/>
        </w:rPr>
        <w:t>medication</w:t>
      </w:r>
      <w:r w:rsidR="0057478E">
        <w:rPr>
          <w:rFonts w:ascii="Calibri" w:hAnsi="Calibri"/>
          <w:color w:val="auto"/>
          <w:szCs w:val="24"/>
        </w:rPr>
        <w:t xml:space="preserve"> treatment</w:t>
      </w:r>
      <w:r w:rsidRPr="0088560C">
        <w:rPr>
          <w:rFonts w:ascii="Calibri" w:hAnsi="Calibri"/>
          <w:color w:val="auto"/>
          <w:szCs w:val="24"/>
        </w:rPr>
        <w:t xml:space="preserve">.  He endorsed persistent symptoms of PTSD including daily intrusive thoughts, irritability, hypervigilance, exaggerated startle response, sleep difficulties, nightmares at least once per week, mild anxiety, moderate depressed feelings, decreased interest in activities, and emotional numbing.  He avoided people, places, activities or conversations that aroused unpleasant memories.  He felt detached from others except his wife, reported having few friends, and a preference to socially isolate.  He was not employed </w:t>
      </w:r>
      <w:r w:rsidRPr="0088560C">
        <w:rPr>
          <w:rFonts w:ascii="Calibri" w:hAnsi="Calibri"/>
          <w:color w:val="auto"/>
          <w:szCs w:val="24"/>
        </w:rPr>
        <w:lastRenderedPageBreak/>
        <w:t>but was taking online college courses with an emphasis in psychology</w:t>
      </w:r>
      <w:r w:rsidR="005B721B">
        <w:rPr>
          <w:rFonts w:ascii="Calibri" w:hAnsi="Calibri"/>
          <w:color w:val="auto"/>
          <w:szCs w:val="24"/>
        </w:rPr>
        <w:t>,</w:t>
      </w:r>
      <w:r w:rsidRPr="0088560C">
        <w:rPr>
          <w:rFonts w:ascii="Calibri" w:hAnsi="Calibri"/>
          <w:color w:val="auto"/>
          <w:szCs w:val="24"/>
        </w:rPr>
        <w:t xml:space="preserve"> with a goal to complete his </w:t>
      </w:r>
      <w:r w:rsidR="007C52B8">
        <w:rPr>
          <w:rFonts w:ascii="Calibri" w:hAnsi="Calibri"/>
          <w:color w:val="auto"/>
          <w:szCs w:val="24"/>
        </w:rPr>
        <w:t>b</w:t>
      </w:r>
      <w:r w:rsidRPr="0088560C">
        <w:rPr>
          <w:rFonts w:ascii="Calibri" w:hAnsi="Calibri"/>
          <w:color w:val="auto"/>
          <w:szCs w:val="24"/>
        </w:rPr>
        <w:t xml:space="preserve">achelor’s degree in one year (he already had earned an </w:t>
      </w:r>
      <w:r w:rsidR="007C52B8">
        <w:rPr>
          <w:rFonts w:ascii="Calibri" w:hAnsi="Calibri"/>
          <w:color w:val="auto"/>
          <w:szCs w:val="24"/>
        </w:rPr>
        <w:t>a</w:t>
      </w:r>
      <w:r w:rsidRPr="0088560C">
        <w:rPr>
          <w:rFonts w:ascii="Calibri" w:hAnsi="Calibri"/>
          <w:color w:val="auto"/>
          <w:szCs w:val="24"/>
        </w:rPr>
        <w:t>ssociate’s degree prior to entering military service).  He complained that problems with concentration, focus and memory impaired his ability to study and he was earning poor grades.  There was no reported substance abuse or panic attacks.  On mental status examination, the CI was alert, oriented in all spheres, appropriately dressed and groomed with normal speech, thought processes, judgment and insight.  There was no suicidal or homicidal ideation, hallucinations, delusions, or abnormal psychomotor activity.  The CI reported his mood as irritable and grumpy.  The examiner noted the mood to range from anxious to normal</w:t>
      </w:r>
      <w:r w:rsidR="005B721B">
        <w:rPr>
          <w:rFonts w:ascii="Calibri" w:hAnsi="Calibri"/>
          <w:color w:val="auto"/>
          <w:szCs w:val="24"/>
        </w:rPr>
        <w:t>,</w:t>
      </w:r>
      <w:r w:rsidRPr="0088560C">
        <w:rPr>
          <w:rFonts w:ascii="Calibri" w:hAnsi="Calibri"/>
          <w:color w:val="auto"/>
          <w:szCs w:val="24"/>
        </w:rPr>
        <w:t xml:space="preserve"> with appropriate and full range of mood congruent affect.  The examiner indicated that there were no cognitive or memory deficits noted during the mental status examination.  The examiner concluded the CI’s PTSD was chronic and moderate in severity with a </w:t>
      </w:r>
      <w:r w:rsidR="005B721B">
        <w:rPr>
          <w:rFonts w:ascii="Calibri" w:hAnsi="Calibri"/>
          <w:color w:val="auto"/>
          <w:szCs w:val="24"/>
        </w:rPr>
        <w:t>g</w:t>
      </w:r>
      <w:r w:rsidRPr="0088560C">
        <w:rPr>
          <w:rFonts w:ascii="Calibri" w:hAnsi="Calibri"/>
          <w:color w:val="auto"/>
          <w:szCs w:val="24"/>
        </w:rPr>
        <w:t xml:space="preserve">lobal </w:t>
      </w:r>
      <w:r w:rsidR="005B721B">
        <w:rPr>
          <w:rFonts w:ascii="Calibri" w:hAnsi="Calibri"/>
          <w:color w:val="auto"/>
          <w:szCs w:val="24"/>
        </w:rPr>
        <w:t>a</w:t>
      </w:r>
      <w:r w:rsidRPr="0088560C">
        <w:rPr>
          <w:rFonts w:ascii="Calibri" w:hAnsi="Calibri"/>
          <w:color w:val="auto"/>
          <w:szCs w:val="24"/>
        </w:rPr>
        <w:t xml:space="preserve">ssessment of </w:t>
      </w:r>
      <w:r w:rsidR="005B721B">
        <w:rPr>
          <w:rFonts w:ascii="Calibri" w:hAnsi="Calibri"/>
          <w:color w:val="auto"/>
          <w:szCs w:val="24"/>
        </w:rPr>
        <w:t>f</w:t>
      </w:r>
      <w:r w:rsidRPr="0088560C">
        <w:rPr>
          <w:rFonts w:ascii="Calibri" w:hAnsi="Calibri"/>
          <w:color w:val="auto"/>
          <w:szCs w:val="24"/>
        </w:rPr>
        <w:t xml:space="preserve">unctioning of 55 (for moderate symptoms).  At the time of the </w:t>
      </w:r>
      <w:r w:rsidR="005B721B">
        <w:rPr>
          <w:rFonts w:ascii="Calibri" w:hAnsi="Calibri"/>
          <w:color w:val="auto"/>
          <w:szCs w:val="24"/>
        </w:rPr>
        <w:t>g</w:t>
      </w:r>
      <w:r w:rsidRPr="0088560C">
        <w:rPr>
          <w:rFonts w:ascii="Calibri" w:hAnsi="Calibri"/>
          <w:color w:val="auto"/>
          <w:szCs w:val="24"/>
        </w:rPr>
        <w:t xml:space="preserve">eneral C&amp;P, five months after separation, the CI reported daily headaches, difficulty with concentration and short term memory, as well as symptoms of PTSD.  The examiner observed the CI was friendly, cooperative, in no acute distress, with appropriate and broad affect and mood.  </w:t>
      </w:r>
      <w:r w:rsidR="005B721B">
        <w:rPr>
          <w:rFonts w:ascii="Calibri" w:hAnsi="Calibri"/>
          <w:color w:val="auto"/>
          <w:szCs w:val="24"/>
        </w:rPr>
        <w:t>His b</w:t>
      </w:r>
      <w:r w:rsidRPr="0088560C">
        <w:rPr>
          <w:rFonts w:ascii="Calibri" w:hAnsi="Calibri"/>
          <w:color w:val="auto"/>
          <w:szCs w:val="24"/>
        </w:rPr>
        <w:t>ehavior, speech, thought processes and insight were normal.  The examiner recorded, “Memory is good for immediate, recent, and remote events</w:t>
      </w:r>
      <w:r w:rsidR="005B721B">
        <w:rPr>
          <w:rFonts w:ascii="Calibri" w:hAnsi="Calibri"/>
          <w:color w:val="auto"/>
          <w:szCs w:val="24"/>
        </w:rPr>
        <w:t>,</w:t>
      </w:r>
      <w:r w:rsidRPr="0088560C">
        <w:rPr>
          <w:rFonts w:ascii="Calibri" w:hAnsi="Calibri"/>
          <w:color w:val="auto"/>
          <w:szCs w:val="24"/>
        </w:rPr>
        <w:t xml:space="preserve">” and “Attention and concentration are good.”  The CI underwent TBI C&amp;P examination five and one half months after separation.  He reported headaches and short term memory problems with poor retention of recently read material.  He stated that his wife had to help him to remember appointments and that he required a Palm Pilot to compensate for his memory problem.  Long term memory was reported as intact.  The CI stated he was a full time student with a goal of pursuing a career as lawyer (a goal that was incongruent with the reported severity of his cognitive symptoms and poor grades).  The mini-mental status examination, which includes tests of concentration and recall memory, was completely normal with a score of 30/30 (a score below 20 indicates cognitive impairment).  The neurologic examination was normal.  Tinnitus occurring once a day and lasting several seconds to several minutes in the right ear was reported in the hearing C&amp;P examination.  </w:t>
      </w:r>
    </w:p>
    <w:p w:rsidR="0088560C" w:rsidRPr="0088560C" w:rsidRDefault="0088560C" w:rsidP="0088560C">
      <w:pPr>
        <w:tabs>
          <w:tab w:val="left" w:pos="288"/>
          <w:tab w:val="left" w:pos="4752"/>
        </w:tabs>
        <w:spacing w:line="240" w:lineRule="exact"/>
        <w:jc w:val="both"/>
        <w:rPr>
          <w:rFonts w:ascii="Calibri" w:hAnsi="Calibri"/>
          <w:b/>
          <w:color w:val="auto"/>
          <w:szCs w:val="24"/>
        </w:rPr>
      </w:pPr>
    </w:p>
    <w:p w:rsidR="0088560C" w:rsidRPr="0088560C" w:rsidRDefault="0088560C" w:rsidP="0088560C">
      <w:pPr>
        <w:tabs>
          <w:tab w:val="left" w:pos="288"/>
          <w:tab w:val="left" w:pos="4752"/>
        </w:tabs>
        <w:spacing w:line="240" w:lineRule="exact"/>
        <w:jc w:val="both"/>
        <w:rPr>
          <w:rFonts w:ascii="Calibri" w:hAnsi="Calibri"/>
          <w:color w:val="auto"/>
          <w:szCs w:val="24"/>
        </w:rPr>
      </w:pPr>
      <w:r w:rsidRPr="0088560C">
        <w:rPr>
          <w:rFonts w:ascii="Calibri" w:hAnsi="Calibri"/>
          <w:color w:val="auto"/>
          <w:szCs w:val="24"/>
        </w:rPr>
        <w:t xml:space="preserve">The various examination reports recorded overlapping symptoms for both TBI and PTSD, particularly irritability, cognitive problems, and disturbed sleep.  In particular, the Board noted the prominence of subjective cognitive complaints associated both with TBI and PTSD.  Difficulties with concentration and memory can be due to both PTSD and mild </w:t>
      </w:r>
      <w:r w:rsidR="007C52B8">
        <w:rPr>
          <w:rFonts w:ascii="Calibri" w:hAnsi="Calibri"/>
          <w:color w:val="auto"/>
          <w:szCs w:val="24"/>
        </w:rPr>
        <w:t>TBI</w:t>
      </w:r>
      <w:r w:rsidRPr="0088560C">
        <w:rPr>
          <w:rFonts w:ascii="Calibri" w:hAnsi="Calibri"/>
          <w:color w:val="auto"/>
          <w:szCs w:val="24"/>
        </w:rPr>
        <w:t xml:space="preserve"> with the former aggravating symptoms due to the latter.  Although the CI’s cognitive symptoms were attributed to TBI, the Board also noted that service treatment records reflected a direct temporal relationship between the onset of PTSD symptoms and cognitive complaints.</w:t>
      </w:r>
      <w:r w:rsidR="00806FD8">
        <w:rPr>
          <w:rFonts w:ascii="Calibri" w:hAnsi="Calibri"/>
          <w:color w:val="auto"/>
          <w:szCs w:val="24"/>
        </w:rPr>
        <w:t xml:space="preserve">  </w:t>
      </w:r>
      <w:r w:rsidRPr="0088560C">
        <w:rPr>
          <w:rFonts w:ascii="Calibri" w:hAnsi="Calibri"/>
          <w:color w:val="auto"/>
          <w:szCs w:val="24"/>
        </w:rPr>
        <w:t>IAW VA rating guidance for TBI (TL 07-05), more than one rating cannot be assigned for the same symptoms (i.e. a rating for PTSD and a rating for TBI that each are based on the same cognitive symptoms):</w:t>
      </w:r>
      <w:r w:rsidR="005026A1">
        <w:rPr>
          <w:rFonts w:ascii="Calibri" w:hAnsi="Calibri"/>
          <w:color w:val="auto"/>
          <w:szCs w:val="24"/>
        </w:rPr>
        <w:t xml:space="preserve"> </w:t>
      </w:r>
      <w:r w:rsidRPr="0088560C">
        <w:rPr>
          <w:rFonts w:ascii="Calibri" w:hAnsi="Calibri"/>
          <w:color w:val="auto"/>
          <w:szCs w:val="24"/>
        </w:rPr>
        <w:t xml:space="preserve"> “Evaluate each residual disability separately and combine under §4.125 as long as the same signs and symptoms are not used to support more than one evaluation.  Symptoms of cognitive impairment and mental disorders such as depression and PTSD often overlap.  In such cases, a single evaluation taking into account both conditions may be the most appropriate way to evaluate them.”  Therefore, due to the marked overlap</w:t>
      </w:r>
      <w:r w:rsidR="0057478E">
        <w:rPr>
          <w:rFonts w:ascii="Calibri" w:hAnsi="Calibri"/>
          <w:color w:val="auto"/>
          <w:szCs w:val="24"/>
        </w:rPr>
        <w:t xml:space="preserve">ping </w:t>
      </w:r>
      <w:r w:rsidRPr="0088560C">
        <w:rPr>
          <w:rFonts w:ascii="Calibri" w:hAnsi="Calibri"/>
          <w:color w:val="auto"/>
          <w:szCs w:val="24"/>
        </w:rPr>
        <w:t>and intertwined symptoms, and IAW VA guidance in the VASRD and TL 07-05, the Board concluded that the symptoms of TBI, particularly the cognitive complaints</w:t>
      </w:r>
      <w:r w:rsidR="007C52B8">
        <w:rPr>
          <w:rFonts w:ascii="Calibri" w:hAnsi="Calibri"/>
          <w:color w:val="auto"/>
          <w:szCs w:val="24"/>
        </w:rPr>
        <w:t>,</w:t>
      </w:r>
      <w:r w:rsidRPr="0088560C">
        <w:rPr>
          <w:rFonts w:ascii="Calibri" w:hAnsi="Calibri"/>
          <w:color w:val="auto"/>
          <w:szCs w:val="24"/>
        </w:rPr>
        <w:t xml:space="preserve"> were most appropriately rated in combination with the symptoms of PTSD as a single evaluation (9411-8045) using the general rating formula for mental disorders.</w:t>
      </w:r>
      <w:r w:rsidR="00594945">
        <w:rPr>
          <w:rFonts w:ascii="Calibri" w:hAnsi="Calibri"/>
          <w:color w:val="auto"/>
          <w:szCs w:val="24"/>
        </w:rPr>
        <w:t xml:space="preserve">  </w:t>
      </w:r>
    </w:p>
    <w:p w:rsidR="0088560C" w:rsidRPr="0088560C" w:rsidRDefault="0088560C" w:rsidP="0088560C">
      <w:pPr>
        <w:tabs>
          <w:tab w:val="left" w:pos="288"/>
          <w:tab w:val="left" w:pos="4752"/>
        </w:tabs>
        <w:spacing w:line="240" w:lineRule="exact"/>
        <w:jc w:val="both"/>
        <w:rPr>
          <w:rFonts w:ascii="Calibri" w:hAnsi="Calibri"/>
          <w:color w:val="auto"/>
          <w:szCs w:val="24"/>
        </w:rPr>
      </w:pPr>
    </w:p>
    <w:p w:rsidR="0088560C" w:rsidRDefault="0088560C" w:rsidP="0088560C">
      <w:pPr>
        <w:tabs>
          <w:tab w:val="left" w:pos="288"/>
          <w:tab w:val="left" w:pos="4752"/>
        </w:tabs>
        <w:spacing w:line="240" w:lineRule="exact"/>
        <w:jc w:val="both"/>
        <w:rPr>
          <w:rFonts w:ascii="Calibri" w:hAnsi="Calibri"/>
          <w:color w:val="auto"/>
          <w:szCs w:val="24"/>
        </w:rPr>
      </w:pPr>
      <w:r w:rsidRPr="0088560C">
        <w:rPr>
          <w:rFonts w:ascii="Calibri" w:hAnsi="Calibri"/>
          <w:color w:val="auto"/>
          <w:szCs w:val="24"/>
        </w:rPr>
        <w:t>As regards to the permanent rating recommendation, all members agreed that the §4.130 criteria for a 10% rating were exceeded and the threshold for a 70% rating was not met.  The deliberation turned to discussions for a 30% v</w:t>
      </w:r>
      <w:r w:rsidR="007C52B8">
        <w:rPr>
          <w:rFonts w:ascii="Calibri" w:hAnsi="Calibri"/>
          <w:color w:val="auto"/>
          <w:szCs w:val="24"/>
        </w:rPr>
        <w:t>ersus</w:t>
      </w:r>
      <w:r w:rsidRPr="0088560C">
        <w:rPr>
          <w:rFonts w:ascii="Calibri" w:hAnsi="Calibri"/>
          <w:color w:val="auto"/>
          <w:szCs w:val="24"/>
        </w:rPr>
        <w:t xml:space="preserve"> 50% permanent rating recommendation.  With regard to a 50% evaluation, “occupational and social impairment with reduced reliability and productivity</w:t>
      </w:r>
      <w:r w:rsidR="007C52B8">
        <w:rPr>
          <w:rFonts w:ascii="Calibri" w:hAnsi="Calibri"/>
          <w:color w:val="auto"/>
          <w:szCs w:val="24"/>
        </w:rPr>
        <w:t>,</w:t>
      </w:r>
      <w:r w:rsidRPr="0088560C">
        <w:rPr>
          <w:rFonts w:ascii="Calibri" w:hAnsi="Calibri"/>
          <w:color w:val="auto"/>
          <w:szCs w:val="24"/>
        </w:rPr>
        <w:t xml:space="preserve">” reduced reliability and productivity could be surmised from some of the documented symptoms including the CI’s disturbances of mood, irritability, and avoidance.  </w:t>
      </w:r>
      <w:r w:rsidRPr="0088560C">
        <w:rPr>
          <w:rFonts w:ascii="Calibri" w:hAnsi="Calibri"/>
          <w:color w:val="auto"/>
          <w:szCs w:val="24"/>
        </w:rPr>
        <w:lastRenderedPageBreak/>
        <w:t xml:space="preserve">While these symptoms may have interfered with work and social relationships, it was not clear that they represented a barrier to establishing and maintaining such relationships that arose to the 50% rating level.  Board members considered the evidence of the C&amp;P examinations with regard to the severity of the CI’s cognitive complaints concluding the objective examination evidence more nearly approximated a mild severity.  The Board noted the absence of other symptoms that would otherwise support a 50% evaluation including flattened affect; circumstantial, circumlocutory, or stereotyped speech; impaired judgment; or impaired abstract thinking.  </w:t>
      </w:r>
      <w:r w:rsidR="0057478E">
        <w:rPr>
          <w:rFonts w:ascii="Calibri" w:hAnsi="Calibri"/>
          <w:color w:val="auto"/>
          <w:szCs w:val="24"/>
        </w:rPr>
        <w:t xml:space="preserve">Board also noted that there was no mention of marital relationship difficulties, and that the symptoms appeared to be stable compared to the time of the MEB when he was performing </w:t>
      </w:r>
      <w:r w:rsidR="00ED5C98">
        <w:rPr>
          <w:rFonts w:ascii="Calibri" w:hAnsi="Calibri"/>
          <w:color w:val="auto"/>
          <w:szCs w:val="24"/>
        </w:rPr>
        <w:t xml:space="preserve">job </w:t>
      </w:r>
      <w:r w:rsidR="0057478E">
        <w:rPr>
          <w:rFonts w:ascii="Calibri" w:hAnsi="Calibri"/>
          <w:color w:val="auto"/>
          <w:szCs w:val="24"/>
        </w:rPr>
        <w:t xml:space="preserve">duties </w:t>
      </w:r>
      <w:r w:rsidR="0057478E" w:rsidRPr="00594945">
        <w:rPr>
          <w:rFonts w:ascii="Calibri" w:hAnsi="Calibri"/>
          <w:color w:val="auto"/>
          <w:szCs w:val="24"/>
        </w:rPr>
        <w:t xml:space="preserve">satisfactorily.  </w:t>
      </w:r>
      <w:r w:rsidR="00594945" w:rsidRPr="00594945">
        <w:rPr>
          <w:rFonts w:ascii="Calibri" w:hAnsi="Calibri"/>
          <w:color w:val="auto"/>
          <w:szCs w:val="24"/>
        </w:rPr>
        <w:t>Considering the CI’s conditions of TBI and PTSD separately would be rated at 10% for PTSD, 10% for TBI-cognitive and subjective symptoms, and 10% for TBI-</w:t>
      </w:r>
      <w:r w:rsidR="007C52B8">
        <w:rPr>
          <w:rFonts w:ascii="Calibri" w:hAnsi="Calibri"/>
          <w:color w:val="auto"/>
          <w:szCs w:val="24"/>
        </w:rPr>
        <w:t>t</w:t>
      </w:r>
      <w:r w:rsidR="00594945" w:rsidRPr="00594945">
        <w:rPr>
          <w:rFonts w:ascii="Calibri" w:hAnsi="Calibri"/>
          <w:color w:val="auto"/>
          <w:szCs w:val="24"/>
        </w:rPr>
        <w:t>innitus</w:t>
      </w:r>
      <w:r w:rsidR="005A1C13">
        <w:rPr>
          <w:rFonts w:ascii="Calibri" w:hAnsi="Calibri"/>
          <w:color w:val="auto"/>
          <w:szCs w:val="24"/>
        </w:rPr>
        <w:t xml:space="preserve"> (combined 30%)</w:t>
      </w:r>
      <w:r w:rsidR="00594945" w:rsidRPr="00594945">
        <w:rPr>
          <w:rFonts w:ascii="Calibri" w:hAnsi="Calibri"/>
          <w:color w:val="auto"/>
          <w:szCs w:val="24"/>
        </w:rPr>
        <w:t xml:space="preserve">; </w:t>
      </w:r>
      <w:r w:rsidR="007C52B8">
        <w:rPr>
          <w:rFonts w:ascii="Calibri" w:hAnsi="Calibri"/>
          <w:color w:val="auto"/>
          <w:szCs w:val="24"/>
        </w:rPr>
        <w:t>h</w:t>
      </w:r>
      <w:r w:rsidR="00594945" w:rsidRPr="00594945">
        <w:rPr>
          <w:rFonts w:ascii="Calibri" w:hAnsi="Calibri"/>
          <w:color w:val="auto"/>
          <w:szCs w:val="24"/>
        </w:rPr>
        <w:t xml:space="preserve">owever, with consideration of the combined symptoms of PTSD and TBI on occupational and social impairment, the PTSD plus TBI would rate at 30%.  Therefore, coding which considered the combined mental disorder rating aspects of both TBI and PTSD provided </w:t>
      </w:r>
      <w:proofErr w:type="gramStart"/>
      <w:r w:rsidR="00594945" w:rsidRPr="00594945">
        <w:rPr>
          <w:rFonts w:ascii="Calibri" w:hAnsi="Calibri"/>
          <w:color w:val="auto"/>
          <w:szCs w:val="24"/>
        </w:rPr>
        <w:t>a predominate</w:t>
      </w:r>
      <w:proofErr w:type="gramEnd"/>
      <w:r w:rsidR="00594945" w:rsidRPr="00594945">
        <w:rPr>
          <w:rFonts w:ascii="Calibri" w:hAnsi="Calibri"/>
          <w:color w:val="auto"/>
          <w:szCs w:val="24"/>
        </w:rPr>
        <w:t xml:space="preserve"> coding schema in favor of the CI</w:t>
      </w:r>
      <w:r w:rsidR="005A1C13">
        <w:rPr>
          <w:rFonts w:ascii="Calibri" w:hAnsi="Calibri"/>
          <w:color w:val="auto"/>
          <w:szCs w:val="24"/>
        </w:rPr>
        <w:t xml:space="preserve"> and that better described his level of disability</w:t>
      </w:r>
      <w:r w:rsidR="00594945" w:rsidRPr="00594945">
        <w:rPr>
          <w:rFonts w:ascii="Calibri" w:hAnsi="Calibri"/>
          <w:color w:val="auto"/>
          <w:szCs w:val="24"/>
        </w:rPr>
        <w:t xml:space="preserve">.  </w:t>
      </w:r>
      <w:r w:rsidRPr="00594945">
        <w:rPr>
          <w:rFonts w:ascii="Calibri" w:hAnsi="Calibri"/>
          <w:color w:val="auto"/>
          <w:szCs w:val="24"/>
        </w:rPr>
        <w:t xml:space="preserve">After due deliberation considering the totality of the evidence </w:t>
      </w:r>
      <w:r w:rsidR="005A1C13" w:rsidRPr="005A1C13">
        <w:rPr>
          <w:rFonts w:ascii="Calibri" w:hAnsi="Calibri"/>
          <w:color w:val="auto"/>
          <w:szCs w:val="24"/>
        </w:rPr>
        <w:t>and mindful of VASRD §4.3 (reasonable doubt)</w:t>
      </w:r>
      <w:r w:rsidR="005A1C13">
        <w:rPr>
          <w:rFonts w:ascii="Calibri" w:hAnsi="Calibri"/>
          <w:color w:val="auto"/>
          <w:szCs w:val="24"/>
        </w:rPr>
        <w:t xml:space="preserve">, </w:t>
      </w:r>
      <w:r w:rsidRPr="00594945">
        <w:rPr>
          <w:rFonts w:ascii="Calibri" w:hAnsi="Calibri"/>
          <w:color w:val="auto"/>
          <w:szCs w:val="24"/>
        </w:rPr>
        <w:t>the Board recommends a permanent</w:t>
      </w:r>
      <w:r w:rsidRPr="0088560C">
        <w:rPr>
          <w:rFonts w:ascii="Calibri" w:hAnsi="Calibri"/>
          <w:color w:val="auto"/>
          <w:szCs w:val="24"/>
        </w:rPr>
        <w:t xml:space="preserve"> combined PTSD-</w:t>
      </w:r>
      <w:r w:rsidRPr="00EF022A">
        <w:rPr>
          <w:rFonts w:ascii="Calibri" w:hAnsi="Calibri"/>
          <w:color w:val="auto"/>
          <w:szCs w:val="24"/>
        </w:rPr>
        <w:t>TBI (8045</w:t>
      </w:r>
      <w:r w:rsidR="00B3637D" w:rsidRPr="00EF022A">
        <w:rPr>
          <w:rFonts w:ascii="Calibri" w:hAnsi="Calibri"/>
          <w:color w:val="auto"/>
          <w:szCs w:val="24"/>
        </w:rPr>
        <w:t>-9411</w:t>
      </w:r>
      <w:r w:rsidRPr="00EF022A">
        <w:rPr>
          <w:rFonts w:ascii="Calibri" w:hAnsi="Calibri"/>
          <w:color w:val="auto"/>
          <w:szCs w:val="24"/>
        </w:rPr>
        <w:t>) disability</w:t>
      </w:r>
      <w:r w:rsidRPr="0088560C">
        <w:rPr>
          <w:rFonts w:ascii="Calibri" w:hAnsi="Calibri"/>
          <w:color w:val="auto"/>
          <w:szCs w:val="24"/>
        </w:rPr>
        <w:t xml:space="preserve"> rating of 30% </w:t>
      </w:r>
      <w:r w:rsidR="005A1C13">
        <w:rPr>
          <w:rFonts w:ascii="Calibri" w:hAnsi="Calibri"/>
          <w:color w:val="auto"/>
          <w:szCs w:val="24"/>
        </w:rPr>
        <w:t xml:space="preserve">and a TBI-tinnitus (8045-6260) disability rating of 10% </w:t>
      </w:r>
      <w:r w:rsidRPr="0088560C">
        <w:rPr>
          <w:rFonts w:ascii="Calibri" w:hAnsi="Calibri"/>
          <w:color w:val="auto"/>
          <w:szCs w:val="24"/>
        </w:rPr>
        <w:t>in this case.</w:t>
      </w:r>
    </w:p>
    <w:p w:rsidR="00140780" w:rsidRDefault="00140780" w:rsidP="00311CF8">
      <w:pPr>
        <w:tabs>
          <w:tab w:val="left" w:pos="288"/>
          <w:tab w:val="left" w:pos="4752"/>
        </w:tabs>
        <w:spacing w:line="240" w:lineRule="exact"/>
        <w:jc w:val="both"/>
        <w:rPr>
          <w:rFonts w:ascii="Calibri" w:hAnsi="Calibri"/>
          <w:color w:val="auto"/>
          <w:szCs w:val="24"/>
        </w:rPr>
      </w:pPr>
    </w:p>
    <w:p w:rsidR="00106AD8" w:rsidRPr="00624871" w:rsidRDefault="0033554D" w:rsidP="00106AD8">
      <w:pPr>
        <w:pBdr>
          <w:bottom w:val="single" w:sz="12" w:space="1" w:color="auto"/>
        </w:pBdr>
        <w:tabs>
          <w:tab w:val="left" w:pos="288"/>
          <w:tab w:val="left" w:pos="4752"/>
        </w:tabs>
        <w:spacing w:line="240" w:lineRule="exact"/>
        <w:jc w:val="both"/>
        <w:rPr>
          <w:rFonts w:ascii="Calibri" w:hAnsi="Calibri"/>
          <w:color w:val="auto"/>
          <w:szCs w:val="24"/>
        </w:rPr>
      </w:pPr>
      <w:proofErr w:type="gramStart"/>
      <w:r w:rsidRPr="0033554D">
        <w:rPr>
          <w:rFonts w:ascii="Calibri" w:hAnsi="Calibri"/>
          <w:color w:val="auto"/>
          <w:szCs w:val="24"/>
          <w:u w:val="single"/>
        </w:rPr>
        <w:t>Remaining Conditions</w:t>
      </w:r>
      <w:r w:rsidR="007C52B8">
        <w:rPr>
          <w:rFonts w:ascii="Calibri" w:hAnsi="Calibri"/>
          <w:color w:val="auto"/>
          <w:szCs w:val="24"/>
          <w:u w:val="single"/>
        </w:rPr>
        <w:t>.</w:t>
      </w:r>
      <w:proofErr w:type="gramEnd"/>
      <w:r>
        <w:rPr>
          <w:rFonts w:ascii="Calibri" w:hAnsi="Calibri"/>
          <w:color w:val="auto"/>
          <w:szCs w:val="24"/>
        </w:rPr>
        <w:t xml:space="preserve"> </w:t>
      </w:r>
      <w:r w:rsidR="005026A1">
        <w:rPr>
          <w:rFonts w:ascii="Calibri" w:hAnsi="Calibri"/>
          <w:color w:val="auto"/>
          <w:szCs w:val="24"/>
        </w:rPr>
        <w:t xml:space="preserve"> </w:t>
      </w:r>
      <w:r w:rsidR="00CD0B76">
        <w:rPr>
          <w:rFonts w:ascii="Calibri" w:hAnsi="Calibri"/>
          <w:color w:val="auto"/>
          <w:szCs w:val="24"/>
        </w:rPr>
        <w:t>A</w:t>
      </w:r>
      <w:r w:rsidR="00CD0B76" w:rsidRPr="00CD0B76">
        <w:rPr>
          <w:rFonts w:ascii="Calibri" w:hAnsi="Calibri"/>
          <w:color w:val="auto"/>
          <w:szCs w:val="24"/>
        </w:rPr>
        <w:t>dditional condition</w:t>
      </w:r>
      <w:r w:rsidR="00CD0B76">
        <w:rPr>
          <w:rFonts w:ascii="Calibri" w:hAnsi="Calibri"/>
          <w:color w:val="auto"/>
          <w:szCs w:val="24"/>
        </w:rPr>
        <w:t>s</w:t>
      </w:r>
      <w:r w:rsidR="00CD0B76" w:rsidRPr="00CD0B76">
        <w:rPr>
          <w:rFonts w:ascii="Calibri" w:hAnsi="Calibri"/>
          <w:color w:val="auto"/>
          <w:szCs w:val="24"/>
        </w:rPr>
        <w:t xml:space="preserve">, were noted in the VA rating decision, but were </w:t>
      </w:r>
      <w:r w:rsidR="0072531E">
        <w:rPr>
          <w:rFonts w:ascii="Calibri" w:hAnsi="Calibri"/>
          <w:color w:val="auto"/>
          <w:szCs w:val="24"/>
        </w:rPr>
        <w:t xml:space="preserve">not documented in the DES file including right ankle condition, </w:t>
      </w:r>
      <w:proofErr w:type="spellStart"/>
      <w:r w:rsidR="0072531E">
        <w:rPr>
          <w:rFonts w:ascii="Calibri" w:hAnsi="Calibri"/>
          <w:color w:val="auto"/>
          <w:szCs w:val="24"/>
        </w:rPr>
        <w:t>epidymalgia</w:t>
      </w:r>
      <w:proofErr w:type="spellEnd"/>
      <w:r w:rsidR="0072531E">
        <w:rPr>
          <w:rFonts w:ascii="Calibri" w:hAnsi="Calibri"/>
          <w:color w:val="auto"/>
          <w:szCs w:val="24"/>
        </w:rPr>
        <w:t xml:space="preserve">, and pes planus with plantar </w:t>
      </w:r>
      <w:proofErr w:type="spellStart"/>
      <w:r w:rsidR="0072531E">
        <w:rPr>
          <w:rFonts w:ascii="Calibri" w:hAnsi="Calibri"/>
          <w:color w:val="auto"/>
          <w:szCs w:val="24"/>
        </w:rPr>
        <w:t>callouses</w:t>
      </w:r>
      <w:proofErr w:type="spellEnd"/>
      <w:r w:rsidR="0072531E">
        <w:rPr>
          <w:rFonts w:ascii="Calibri" w:hAnsi="Calibri"/>
          <w:color w:val="auto"/>
          <w:szCs w:val="24"/>
        </w:rPr>
        <w:t>.  The CI’s tinnitus was</w:t>
      </w:r>
      <w:r w:rsidR="001A072D">
        <w:rPr>
          <w:rFonts w:ascii="Calibri" w:hAnsi="Calibri"/>
          <w:color w:val="auto"/>
          <w:szCs w:val="24"/>
        </w:rPr>
        <w:t xml:space="preserve"> not separately unfitting and was</w:t>
      </w:r>
      <w:r w:rsidR="0072531E">
        <w:rPr>
          <w:rFonts w:ascii="Calibri" w:hAnsi="Calibri"/>
          <w:color w:val="auto"/>
          <w:szCs w:val="24"/>
        </w:rPr>
        <w:t xml:space="preserve"> considered in his rating for TBI.  Service treatment records show care for sprained </w:t>
      </w:r>
      <w:r w:rsidR="009E73B5">
        <w:rPr>
          <w:rFonts w:ascii="Calibri" w:hAnsi="Calibri"/>
          <w:color w:val="auto"/>
          <w:szCs w:val="24"/>
        </w:rPr>
        <w:t xml:space="preserve">right </w:t>
      </w:r>
      <w:r w:rsidR="0072531E">
        <w:rPr>
          <w:rFonts w:ascii="Calibri" w:hAnsi="Calibri"/>
          <w:color w:val="auto"/>
          <w:szCs w:val="24"/>
        </w:rPr>
        <w:t>ankle in</w:t>
      </w:r>
      <w:r w:rsidR="009E73B5">
        <w:rPr>
          <w:rFonts w:ascii="Calibri" w:hAnsi="Calibri"/>
          <w:color w:val="auto"/>
          <w:szCs w:val="24"/>
        </w:rPr>
        <w:t xml:space="preserve"> 2005 and sprain left ankle in 2006-2007</w:t>
      </w:r>
      <w:r w:rsidR="007C52B8">
        <w:rPr>
          <w:rFonts w:ascii="Calibri" w:hAnsi="Calibri"/>
          <w:color w:val="auto"/>
          <w:szCs w:val="24"/>
        </w:rPr>
        <w:t>;</w:t>
      </w:r>
      <w:r w:rsidR="009E73B5">
        <w:rPr>
          <w:rFonts w:ascii="Calibri" w:hAnsi="Calibri"/>
          <w:color w:val="auto"/>
          <w:szCs w:val="24"/>
        </w:rPr>
        <w:t xml:space="preserve"> </w:t>
      </w:r>
      <w:r w:rsidR="0072531E">
        <w:rPr>
          <w:rFonts w:ascii="Calibri" w:hAnsi="Calibri"/>
          <w:color w:val="auto"/>
          <w:szCs w:val="24"/>
        </w:rPr>
        <w:t>however</w:t>
      </w:r>
      <w:r w:rsidR="007C52B8">
        <w:rPr>
          <w:rFonts w:ascii="Calibri" w:hAnsi="Calibri"/>
          <w:color w:val="auto"/>
          <w:szCs w:val="24"/>
        </w:rPr>
        <w:t>,</w:t>
      </w:r>
      <w:r w:rsidR="0072531E">
        <w:rPr>
          <w:rFonts w:ascii="Calibri" w:hAnsi="Calibri"/>
          <w:color w:val="auto"/>
          <w:szCs w:val="24"/>
        </w:rPr>
        <w:t xml:space="preserve"> these conditions were not a focus of clinical attention during the MEB period and</w:t>
      </w:r>
      <w:r w:rsidR="007C52B8">
        <w:rPr>
          <w:rFonts w:ascii="Calibri" w:hAnsi="Calibri"/>
          <w:color w:val="auto"/>
          <w:szCs w:val="24"/>
        </w:rPr>
        <w:t>,</w:t>
      </w:r>
      <w:r w:rsidR="0072531E">
        <w:rPr>
          <w:rFonts w:ascii="Calibri" w:hAnsi="Calibri"/>
          <w:color w:val="auto"/>
          <w:szCs w:val="24"/>
        </w:rPr>
        <w:t xml:space="preserve"> along with the foot condition, were not indicated as causing symptoms at the time of the MEB </w:t>
      </w:r>
      <w:r w:rsidR="001A072D">
        <w:rPr>
          <w:rFonts w:ascii="Calibri" w:hAnsi="Calibri"/>
          <w:color w:val="auto"/>
          <w:szCs w:val="24"/>
        </w:rPr>
        <w:t>examination</w:t>
      </w:r>
      <w:r w:rsidR="0072531E">
        <w:rPr>
          <w:rFonts w:ascii="Calibri" w:hAnsi="Calibri"/>
          <w:color w:val="auto"/>
          <w:szCs w:val="24"/>
        </w:rPr>
        <w:t>.</w:t>
      </w:r>
      <w:r w:rsidR="009E73B5">
        <w:rPr>
          <w:rFonts w:ascii="Calibri" w:hAnsi="Calibri"/>
          <w:color w:val="auto"/>
          <w:szCs w:val="24"/>
        </w:rPr>
        <w:t xml:space="preserve">  CI sought care for </w:t>
      </w:r>
      <w:proofErr w:type="spellStart"/>
      <w:r w:rsidR="009E73B5">
        <w:rPr>
          <w:rFonts w:ascii="Calibri" w:hAnsi="Calibri"/>
          <w:color w:val="auto"/>
          <w:szCs w:val="24"/>
        </w:rPr>
        <w:t>epidyd</w:t>
      </w:r>
      <w:r w:rsidR="001A072D">
        <w:rPr>
          <w:rFonts w:ascii="Calibri" w:hAnsi="Calibri"/>
          <w:color w:val="auto"/>
          <w:szCs w:val="24"/>
        </w:rPr>
        <w:t>i</w:t>
      </w:r>
      <w:r w:rsidR="009E73B5">
        <w:rPr>
          <w:rFonts w:ascii="Calibri" w:hAnsi="Calibri"/>
          <w:color w:val="auto"/>
          <w:szCs w:val="24"/>
        </w:rPr>
        <w:t>malgia</w:t>
      </w:r>
      <w:proofErr w:type="spellEnd"/>
      <w:r w:rsidR="009E73B5">
        <w:rPr>
          <w:rFonts w:ascii="Calibri" w:hAnsi="Calibri"/>
          <w:color w:val="auto"/>
          <w:szCs w:val="24"/>
        </w:rPr>
        <w:t xml:space="preserve"> in 2006 and 2007</w:t>
      </w:r>
      <w:r w:rsidR="007C52B8">
        <w:rPr>
          <w:rFonts w:ascii="Calibri" w:hAnsi="Calibri"/>
          <w:color w:val="auto"/>
          <w:szCs w:val="24"/>
        </w:rPr>
        <w:t xml:space="preserve">; however, </w:t>
      </w:r>
      <w:r w:rsidR="009E73B5">
        <w:rPr>
          <w:rFonts w:ascii="Calibri" w:hAnsi="Calibri"/>
          <w:color w:val="auto"/>
          <w:szCs w:val="24"/>
        </w:rPr>
        <w:t xml:space="preserve">the condition was not identified as a condition </w:t>
      </w:r>
      <w:r w:rsidR="007C52B8">
        <w:rPr>
          <w:rFonts w:ascii="Calibri" w:hAnsi="Calibri"/>
          <w:color w:val="auto"/>
          <w:szCs w:val="24"/>
        </w:rPr>
        <w:t xml:space="preserve">that did not meet </w:t>
      </w:r>
      <w:r w:rsidR="009E73B5">
        <w:rPr>
          <w:rFonts w:ascii="Calibri" w:hAnsi="Calibri"/>
          <w:color w:val="auto"/>
          <w:szCs w:val="24"/>
        </w:rPr>
        <w:t xml:space="preserve">medical retention standards or interfering with performance of duties.  </w:t>
      </w:r>
      <w:r w:rsidR="00CD0B76" w:rsidRPr="00CD0B76">
        <w:rPr>
          <w:rFonts w:ascii="Calibri" w:hAnsi="Calibri"/>
          <w:color w:val="auto"/>
          <w:szCs w:val="24"/>
        </w:rPr>
        <w:t>The Board does not have the authority under DoDI 6040.44 to render fitness or rating recommendations for any conditio</w:t>
      </w:r>
      <w:r w:rsidR="00CD0B76">
        <w:rPr>
          <w:rFonts w:ascii="Calibri" w:hAnsi="Calibri"/>
          <w:color w:val="auto"/>
          <w:szCs w:val="24"/>
        </w:rPr>
        <w:t xml:space="preserve">ns not considered by the DES. </w:t>
      </w:r>
      <w:r w:rsidR="00221F5B">
        <w:rPr>
          <w:rFonts w:ascii="Calibri" w:hAnsi="Calibri"/>
          <w:color w:val="auto"/>
          <w:szCs w:val="24"/>
        </w:rPr>
        <w:t xml:space="preserve"> </w:t>
      </w:r>
      <w:r w:rsidR="00636E82" w:rsidRPr="00636E82">
        <w:rPr>
          <w:rFonts w:ascii="Calibri" w:hAnsi="Calibri"/>
          <w:color w:val="auto"/>
          <w:szCs w:val="24"/>
        </w:rPr>
        <w:t>The Board therefore has no reasonable basis for recommending any additional unfitting conditions for separation rating.</w:t>
      </w:r>
    </w:p>
    <w:p w:rsidR="00997D50" w:rsidRPr="00624871" w:rsidRDefault="00997D50"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624871" w:rsidRDefault="00106AD8" w:rsidP="00106AD8">
      <w:pPr>
        <w:tabs>
          <w:tab w:val="left" w:pos="288"/>
          <w:tab w:val="left" w:pos="4752"/>
        </w:tabs>
        <w:spacing w:line="240" w:lineRule="exact"/>
        <w:rPr>
          <w:rFonts w:ascii="Calibri" w:hAnsi="Calibri"/>
          <w:color w:val="auto"/>
          <w:szCs w:val="24"/>
        </w:rPr>
      </w:pPr>
    </w:p>
    <w:p w:rsidR="00412658" w:rsidRPr="00C71E74" w:rsidRDefault="00C56FC8" w:rsidP="00DD64E0">
      <w:pPr>
        <w:spacing w:line="240" w:lineRule="exact"/>
        <w:jc w:val="both"/>
        <w:rPr>
          <w:rFonts w:ascii="Calibri" w:hAnsi="Calibri"/>
          <w:color w:val="auto"/>
          <w:szCs w:val="24"/>
        </w:rPr>
      </w:pPr>
      <w:r w:rsidRPr="00624871">
        <w:rPr>
          <w:rFonts w:ascii="Calibri" w:hAnsi="Calibri"/>
          <w:color w:val="auto"/>
          <w:szCs w:val="24"/>
          <w:u w:val="single"/>
        </w:rPr>
        <w:t>BOARD FINDINGS</w:t>
      </w:r>
      <w:r w:rsidRPr="00624871">
        <w:rPr>
          <w:rFonts w:ascii="Calibri" w:hAnsi="Calibri"/>
          <w:color w:val="auto"/>
          <w:szCs w:val="24"/>
        </w:rPr>
        <w:t>:</w:t>
      </w:r>
      <w:r w:rsidRPr="00624871">
        <w:rPr>
          <w:rFonts w:ascii="Calibri" w:eastAsia="Calibri" w:hAnsi="Calibri"/>
          <w:color w:val="auto"/>
          <w:szCs w:val="24"/>
        </w:rPr>
        <w:t xml:space="preserve">  IAW DoDI 6040.44, provisions of DoD or Military Department regulations or guidelines relied upon by the PEB will not be considered by the Board to the extent they were inconsistent with</w:t>
      </w:r>
      <w:r w:rsidRPr="00396779">
        <w:rPr>
          <w:rFonts w:ascii="Calibri" w:eastAsia="Calibri" w:hAnsi="Calibri"/>
          <w:color w:val="auto"/>
          <w:szCs w:val="24"/>
        </w:rPr>
        <w:t xml:space="preserve"> the VASRD in effect at the time of the adjudication. </w:t>
      </w:r>
      <w:r w:rsidR="001D68CF" w:rsidRPr="00396779">
        <w:rPr>
          <w:rFonts w:ascii="Calibri" w:eastAsia="Calibri" w:hAnsi="Calibri"/>
          <w:color w:val="auto"/>
          <w:szCs w:val="24"/>
        </w:rPr>
        <w:t xml:space="preserve"> </w:t>
      </w:r>
      <w:r w:rsidR="002657D3" w:rsidRPr="00AE3316">
        <w:rPr>
          <w:rFonts w:ascii="Calibri" w:eastAsia="Calibri" w:hAnsi="Calibri"/>
          <w:color w:val="auto"/>
          <w:szCs w:val="24"/>
        </w:rPr>
        <w:t>As discussed above, some Board recommendations in this</w:t>
      </w:r>
      <w:r w:rsidR="002657D3">
        <w:rPr>
          <w:rFonts w:ascii="Calibri" w:eastAsia="Calibri" w:hAnsi="Calibri"/>
          <w:color w:val="auto"/>
          <w:szCs w:val="24"/>
        </w:rPr>
        <w:t xml:space="preserve"> case are IAW application of TL07-</w:t>
      </w:r>
      <w:proofErr w:type="gramStart"/>
      <w:r w:rsidR="002657D3">
        <w:rPr>
          <w:rFonts w:ascii="Calibri" w:eastAsia="Calibri" w:hAnsi="Calibri"/>
          <w:color w:val="auto"/>
          <w:szCs w:val="24"/>
        </w:rPr>
        <w:t>05,</w:t>
      </w:r>
      <w:proofErr w:type="gramEnd"/>
      <w:r w:rsidR="002657D3">
        <w:rPr>
          <w:rFonts w:ascii="Calibri" w:eastAsia="Calibri" w:hAnsi="Calibri"/>
          <w:color w:val="auto"/>
          <w:szCs w:val="24"/>
        </w:rPr>
        <w:t xml:space="preserve"> issued </w:t>
      </w:r>
      <w:r w:rsidR="007C52B8">
        <w:rPr>
          <w:rFonts w:ascii="Calibri" w:eastAsia="Calibri" w:hAnsi="Calibri"/>
          <w:color w:val="auto"/>
          <w:szCs w:val="24"/>
        </w:rPr>
        <w:t xml:space="preserve">31 August </w:t>
      </w:r>
      <w:r w:rsidR="002657D3" w:rsidRPr="008C4708">
        <w:rPr>
          <w:rFonts w:ascii="Calibri" w:hAnsi="Calibri"/>
          <w:color w:val="auto"/>
          <w:szCs w:val="24"/>
        </w:rPr>
        <w:t>2007,</w:t>
      </w:r>
      <w:r w:rsidR="002657D3" w:rsidRPr="008C4708">
        <w:rPr>
          <w:rFonts w:ascii="Calibri" w:eastAsia="Calibri" w:hAnsi="Calibri"/>
          <w:color w:val="auto"/>
          <w:szCs w:val="24"/>
        </w:rPr>
        <w:t xml:space="preserve"> to rating under VASRD code 8045 prior to promulgation of the current standards </w:t>
      </w:r>
      <w:r w:rsidR="002657D3" w:rsidRPr="008C4708">
        <w:rPr>
          <w:rFonts w:ascii="Calibri" w:hAnsi="Calibri"/>
          <w:color w:val="auto"/>
          <w:szCs w:val="24"/>
        </w:rPr>
        <w:t xml:space="preserve">effective </w:t>
      </w:r>
      <w:r w:rsidR="007C52B8">
        <w:rPr>
          <w:rFonts w:ascii="Calibri" w:hAnsi="Calibri"/>
          <w:color w:val="auto"/>
          <w:szCs w:val="24"/>
        </w:rPr>
        <w:t xml:space="preserve">23 October </w:t>
      </w:r>
      <w:r w:rsidR="002657D3" w:rsidRPr="008C4708">
        <w:rPr>
          <w:rFonts w:ascii="Calibri" w:hAnsi="Calibri"/>
          <w:color w:val="auto"/>
          <w:szCs w:val="24"/>
        </w:rPr>
        <w:t>2008.</w:t>
      </w:r>
      <w:r w:rsidR="002657D3">
        <w:rPr>
          <w:rFonts w:ascii="Calibri" w:hAnsi="Calibri"/>
          <w:color w:val="auto"/>
          <w:szCs w:val="24"/>
        </w:rPr>
        <w:t xml:space="preserve">  </w:t>
      </w:r>
      <w:r w:rsidR="0072531E" w:rsidRPr="0072531E">
        <w:rPr>
          <w:rFonts w:ascii="Calibri" w:eastAsia="Calibri" w:hAnsi="Calibri"/>
          <w:color w:val="auto"/>
          <w:szCs w:val="24"/>
        </w:rPr>
        <w:t>In the matter of the P</w:t>
      </w:r>
      <w:r w:rsidR="007C52B8">
        <w:rPr>
          <w:rFonts w:ascii="Calibri" w:eastAsia="Calibri" w:hAnsi="Calibri"/>
          <w:color w:val="auto"/>
          <w:szCs w:val="24"/>
        </w:rPr>
        <w:t xml:space="preserve">TSD </w:t>
      </w:r>
      <w:r w:rsidR="0072531E" w:rsidRPr="0072531E">
        <w:rPr>
          <w:rFonts w:ascii="Calibri" w:eastAsia="Calibri" w:hAnsi="Calibri"/>
          <w:color w:val="auto"/>
          <w:szCs w:val="24"/>
        </w:rPr>
        <w:t xml:space="preserve">condition, the Board </w:t>
      </w:r>
      <w:r w:rsidR="0072531E" w:rsidRPr="00C06297">
        <w:rPr>
          <w:rFonts w:ascii="Calibri" w:eastAsia="Calibri" w:hAnsi="Calibri"/>
          <w:color w:val="auto"/>
          <w:szCs w:val="24"/>
        </w:rPr>
        <w:t>unanimously</w:t>
      </w:r>
      <w:r w:rsidR="0072531E" w:rsidRPr="0072531E">
        <w:rPr>
          <w:rFonts w:ascii="Calibri" w:eastAsia="Calibri" w:hAnsi="Calibri"/>
          <w:color w:val="auto"/>
          <w:szCs w:val="24"/>
        </w:rPr>
        <w:t xml:space="preserve"> recommends an initial TDRL rating of 50% in retroactive compliance with VASRD §4.129 as DOD directed</w:t>
      </w:r>
      <w:r w:rsidR="002657D3">
        <w:rPr>
          <w:rFonts w:ascii="Calibri" w:eastAsia="Calibri" w:hAnsi="Calibri"/>
          <w:color w:val="auto"/>
          <w:szCs w:val="24"/>
        </w:rPr>
        <w:t>.</w:t>
      </w:r>
      <w:r w:rsidR="0072531E" w:rsidRPr="0072531E">
        <w:rPr>
          <w:rFonts w:ascii="Calibri" w:eastAsia="Calibri" w:hAnsi="Calibri"/>
          <w:color w:val="auto"/>
          <w:szCs w:val="24"/>
        </w:rPr>
        <w:t xml:space="preserve"> </w:t>
      </w:r>
      <w:r w:rsidR="005026A1">
        <w:rPr>
          <w:rFonts w:ascii="Calibri" w:eastAsia="Calibri" w:hAnsi="Calibri"/>
          <w:color w:val="auto"/>
          <w:szCs w:val="24"/>
        </w:rPr>
        <w:t xml:space="preserve"> </w:t>
      </w:r>
      <w:r w:rsidR="002657D3" w:rsidRPr="00396779">
        <w:rPr>
          <w:rFonts w:ascii="Calibri" w:eastAsia="Calibri" w:hAnsi="Calibri"/>
          <w:color w:val="auto"/>
          <w:szCs w:val="24"/>
        </w:rPr>
        <w:t xml:space="preserve">In the matter of </w:t>
      </w:r>
      <w:r w:rsidR="002657D3">
        <w:rPr>
          <w:rFonts w:ascii="Calibri" w:eastAsia="Calibri" w:hAnsi="Calibri"/>
          <w:color w:val="auto"/>
          <w:szCs w:val="24"/>
        </w:rPr>
        <w:t xml:space="preserve">the </w:t>
      </w:r>
      <w:r w:rsidR="005026A1">
        <w:rPr>
          <w:rFonts w:ascii="Calibri" w:eastAsia="Calibri" w:hAnsi="Calibri"/>
          <w:color w:val="auto"/>
          <w:szCs w:val="24"/>
        </w:rPr>
        <w:t xml:space="preserve">constructive </w:t>
      </w:r>
      <w:r w:rsidR="002657D3">
        <w:rPr>
          <w:rFonts w:ascii="Calibri" w:eastAsia="Calibri" w:hAnsi="Calibri"/>
          <w:color w:val="auto"/>
          <w:szCs w:val="24"/>
        </w:rPr>
        <w:t>TDRL</w:t>
      </w:r>
      <w:r w:rsidR="005026A1">
        <w:rPr>
          <w:rFonts w:ascii="Calibri" w:eastAsia="Calibri" w:hAnsi="Calibri"/>
          <w:color w:val="auto"/>
          <w:szCs w:val="24"/>
        </w:rPr>
        <w:t>-entry</w:t>
      </w:r>
      <w:r w:rsidR="002657D3">
        <w:rPr>
          <w:rFonts w:ascii="Calibri" w:eastAsia="Calibri" w:hAnsi="Calibri"/>
          <w:color w:val="auto"/>
          <w:szCs w:val="24"/>
        </w:rPr>
        <w:t xml:space="preserve"> rating for TBI </w:t>
      </w:r>
      <w:r w:rsidR="002657D3" w:rsidRPr="00396779">
        <w:rPr>
          <w:rFonts w:ascii="Calibri" w:eastAsia="Calibri" w:hAnsi="Calibri"/>
          <w:color w:val="auto"/>
          <w:szCs w:val="24"/>
        </w:rPr>
        <w:t xml:space="preserve">and </w:t>
      </w:r>
      <w:r w:rsidR="002657D3" w:rsidRPr="00C06297">
        <w:rPr>
          <w:rFonts w:ascii="Calibri" w:eastAsia="Calibri" w:hAnsi="Calibri"/>
          <w:color w:val="auto"/>
          <w:szCs w:val="24"/>
        </w:rPr>
        <w:t>IAW VASRD §4.124a</w:t>
      </w:r>
      <w:r w:rsidR="002657D3" w:rsidRPr="00396779">
        <w:rPr>
          <w:rFonts w:ascii="Calibri" w:eastAsia="Calibri" w:hAnsi="Calibri"/>
          <w:color w:val="auto"/>
          <w:szCs w:val="24"/>
        </w:rPr>
        <w:t xml:space="preserve">, the Board </w:t>
      </w:r>
      <w:r w:rsidR="002657D3" w:rsidRPr="00C06297">
        <w:rPr>
          <w:rFonts w:ascii="Calibri" w:eastAsia="Calibri" w:hAnsi="Calibri"/>
          <w:color w:val="auto"/>
          <w:szCs w:val="24"/>
        </w:rPr>
        <w:t>unanimously</w:t>
      </w:r>
      <w:r w:rsidR="002657D3" w:rsidRPr="00396779">
        <w:rPr>
          <w:rFonts w:ascii="Calibri" w:eastAsia="Calibri" w:hAnsi="Calibri"/>
          <w:color w:val="auto"/>
          <w:szCs w:val="24"/>
        </w:rPr>
        <w:t xml:space="preserve"> recommends </w:t>
      </w:r>
      <w:r w:rsidR="002657D3">
        <w:rPr>
          <w:rFonts w:ascii="Calibri" w:eastAsia="Calibri" w:hAnsi="Calibri"/>
          <w:color w:val="auto"/>
          <w:szCs w:val="24"/>
        </w:rPr>
        <w:t xml:space="preserve">no </w:t>
      </w:r>
      <w:r w:rsidR="002657D3" w:rsidRPr="00396779">
        <w:rPr>
          <w:rFonts w:ascii="Calibri" w:eastAsia="Calibri" w:hAnsi="Calibri"/>
          <w:color w:val="auto"/>
          <w:szCs w:val="24"/>
        </w:rPr>
        <w:t>change in the PEB rating</w:t>
      </w:r>
      <w:r w:rsidR="002657D3" w:rsidRPr="00C06297">
        <w:rPr>
          <w:rFonts w:ascii="Calibri" w:eastAsia="Calibri" w:hAnsi="Calibri"/>
          <w:color w:val="auto"/>
          <w:szCs w:val="24"/>
        </w:rPr>
        <w:t xml:space="preserve"> of 8045-9304 at 10% (</w:t>
      </w:r>
      <w:r w:rsidR="00ED5C98">
        <w:rPr>
          <w:rFonts w:ascii="Calibri" w:eastAsia="Calibri" w:hAnsi="Calibri"/>
          <w:color w:val="auto"/>
          <w:szCs w:val="24"/>
        </w:rPr>
        <w:t xml:space="preserve">with </w:t>
      </w:r>
      <w:r w:rsidR="002657D3" w:rsidRPr="00C06297">
        <w:rPr>
          <w:rFonts w:ascii="Calibri" w:eastAsia="Calibri" w:hAnsi="Calibri"/>
          <w:color w:val="auto"/>
          <w:szCs w:val="24"/>
        </w:rPr>
        <w:t xml:space="preserve">subjective headaches), but with the addition of </w:t>
      </w:r>
      <w:r w:rsidR="00ED5C98">
        <w:rPr>
          <w:rFonts w:ascii="Calibri" w:eastAsia="Calibri" w:hAnsi="Calibri"/>
          <w:color w:val="auto"/>
          <w:szCs w:val="24"/>
        </w:rPr>
        <w:t>tinnitus (</w:t>
      </w:r>
      <w:r w:rsidR="002657D3" w:rsidRPr="00C06297">
        <w:rPr>
          <w:rFonts w:ascii="Calibri" w:eastAsia="Calibri" w:hAnsi="Calibri"/>
          <w:color w:val="auto"/>
          <w:szCs w:val="24"/>
        </w:rPr>
        <w:t>8045-6260</w:t>
      </w:r>
      <w:r w:rsidR="00ED5C98">
        <w:rPr>
          <w:rFonts w:ascii="Calibri" w:eastAsia="Calibri" w:hAnsi="Calibri"/>
          <w:color w:val="auto"/>
          <w:szCs w:val="24"/>
        </w:rPr>
        <w:t>)</w:t>
      </w:r>
      <w:r w:rsidR="002657D3" w:rsidRPr="00C06297">
        <w:rPr>
          <w:rFonts w:ascii="Calibri" w:eastAsia="Calibri" w:hAnsi="Calibri"/>
          <w:color w:val="auto"/>
          <w:szCs w:val="24"/>
        </w:rPr>
        <w:t xml:space="preserve"> at 10% IAW </w:t>
      </w:r>
      <w:r w:rsidR="005026A1" w:rsidRPr="00C06297">
        <w:rPr>
          <w:rFonts w:ascii="Calibri" w:eastAsia="Calibri" w:hAnsi="Calibri"/>
          <w:color w:val="auto"/>
          <w:szCs w:val="24"/>
        </w:rPr>
        <w:t>§</w:t>
      </w:r>
      <w:r w:rsidR="002657D3" w:rsidRPr="00C06297">
        <w:rPr>
          <w:rFonts w:ascii="Calibri" w:eastAsia="Calibri" w:hAnsi="Calibri"/>
          <w:color w:val="auto"/>
          <w:szCs w:val="24"/>
        </w:rPr>
        <w:t xml:space="preserve">4.87a and </w:t>
      </w:r>
      <w:r w:rsidR="002657D3">
        <w:rPr>
          <w:rFonts w:ascii="Calibri" w:eastAsia="Calibri" w:hAnsi="Calibri"/>
          <w:color w:val="auto"/>
          <w:szCs w:val="24"/>
        </w:rPr>
        <w:t>TL</w:t>
      </w:r>
      <w:r w:rsidR="00C06297">
        <w:rPr>
          <w:rFonts w:ascii="Calibri" w:eastAsia="Calibri" w:hAnsi="Calibri"/>
          <w:color w:val="auto"/>
          <w:szCs w:val="24"/>
        </w:rPr>
        <w:t xml:space="preserve"> </w:t>
      </w:r>
      <w:r w:rsidR="002657D3">
        <w:rPr>
          <w:rFonts w:ascii="Calibri" w:eastAsia="Calibri" w:hAnsi="Calibri"/>
          <w:color w:val="auto"/>
          <w:szCs w:val="24"/>
        </w:rPr>
        <w:t xml:space="preserve">07-05.  In </w:t>
      </w:r>
      <w:r w:rsidR="002657D3" w:rsidRPr="00C71E74">
        <w:rPr>
          <w:rFonts w:ascii="Calibri" w:eastAsia="Calibri" w:hAnsi="Calibri"/>
          <w:color w:val="auto"/>
          <w:szCs w:val="24"/>
        </w:rPr>
        <w:t xml:space="preserve">the matter of a permanent rating for PTSD and TBI, the Board unanimously agreed that IAW TL 07-05, the symptoms of PTSD and TBI were most appropriately </w:t>
      </w:r>
      <w:r w:rsidR="00C06297" w:rsidRPr="00C71E74">
        <w:rPr>
          <w:rFonts w:ascii="Calibri" w:eastAsia="Calibri" w:hAnsi="Calibri"/>
          <w:color w:val="auto"/>
          <w:szCs w:val="24"/>
        </w:rPr>
        <w:t xml:space="preserve">evaluated </w:t>
      </w:r>
      <w:r w:rsidR="002657D3" w:rsidRPr="00C71E74">
        <w:rPr>
          <w:rFonts w:ascii="Calibri" w:eastAsia="Calibri" w:hAnsi="Calibri"/>
          <w:color w:val="auto"/>
          <w:szCs w:val="24"/>
        </w:rPr>
        <w:t xml:space="preserve">in combination </w:t>
      </w:r>
      <w:r w:rsidR="00C06297" w:rsidRPr="00C71E74">
        <w:rPr>
          <w:rFonts w:ascii="Calibri" w:eastAsia="Calibri" w:hAnsi="Calibri"/>
          <w:color w:val="auto"/>
          <w:szCs w:val="24"/>
        </w:rPr>
        <w:t>(8045</w:t>
      </w:r>
      <w:r w:rsidR="00B3637D" w:rsidRPr="00C71E74">
        <w:rPr>
          <w:rFonts w:ascii="Calibri" w:eastAsia="Calibri" w:hAnsi="Calibri"/>
          <w:color w:val="auto"/>
          <w:szCs w:val="24"/>
        </w:rPr>
        <w:t>-9411</w:t>
      </w:r>
      <w:r w:rsidR="00C06297" w:rsidRPr="00C71E74">
        <w:rPr>
          <w:rFonts w:ascii="Calibri" w:eastAsia="Calibri" w:hAnsi="Calibri"/>
          <w:color w:val="auto"/>
          <w:szCs w:val="24"/>
        </w:rPr>
        <w:t>) and recommends a 30% permanent rating</w:t>
      </w:r>
      <w:r w:rsidR="005026A1" w:rsidRPr="00C71E74">
        <w:rPr>
          <w:rFonts w:ascii="Calibri" w:eastAsia="Calibri" w:hAnsi="Calibri"/>
          <w:color w:val="auto"/>
          <w:szCs w:val="24"/>
        </w:rPr>
        <w:t xml:space="preserve"> and continuation of the rating for tinnitus (8045-6260) at 10% IAW §4.87a</w:t>
      </w:r>
      <w:r w:rsidR="00C06297" w:rsidRPr="00C71E74">
        <w:rPr>
          <w:rFonts w:ascii="Calibri" w:eastAsia="Calibri" w:hAnsi="Calibri"/>
          <w:color w:val="auto"/>
          <w:szCs w:val="24"/>
        </w:rPr>
        <w:t>.</w:t>
      </w:r>
      <w:r w:rsidR="005026A1" w:rsidRPr="00C71E74">
        <w:rPr>
          <w:rFonts w:ascii="Calibri" w:eastAsia="Calibri" w:hAnsi="Calibri"/>
          <w:color w:val="auto"/>
          <w:szCs w:val="24"/>
        </w:rPr>
        <w:t xml:space="preserve">  </w:t>
      </w:r>
      <w:r w:rsidR="00412658" w:rsidRPr="00C71E74">
        <w:rPr>
          <w:rFonts w:ascii="Calibri" w:eastAsia="Calibri" w:hAnsi="Calibri"/>
          <w:color w:val="auto"/>
          <w:szCs w:val="24"/>
        </w:rPr>
        <w:t>The Board unanimously agrees</w:t>
      </w:r>
      <w:r w:rsidR="00412658" w:rsidRPr="00C71E74">
        <w:rPr>
          <w:rFonts w:ascii="Calibri" w:hAnsi="Calibri"/>
          <w:color w:val="auto"/>
          <w:szCs w:val="24"/>
        </w:rPr>
        <w:t xml:space="preserve"> that there were no other conditions eligible for Board consideration which could be recommended as additionally unfitting for rating at separation.</w:t>
      </w:r>
    </w:p>
    <w:p w:rsidR="00106AD8" w:rsidRPr="00C71E74"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71E74" w:rsidRDefault="00106AD8" w:rsidP="00106AD8">
      <w:pPr>
        <w:tabs>
          <w:tab w:val="left" w:pos="288"/>
          <w:tab w:val="left" w:pos="4752"/>
        </w:tabs>
        <w:spacing w:line="240" w:lineRule="exact"/>
        <w:rPr>
          <w:rFonts w:ascii="Calibri" w:hAnsi="Calibri"/>
          <w:color w:val="auto"/>
          <w:szCs w:val="24"/>
        </w:rPr>
      </w:pPr>
    </w:p>
    <w:p w:rsidR="00DF071B" w:rsidRPr="00C71E74" w:rsidRDefault="00C56FC8" w:rsidP="00025465">
      <w:pPr>
        <w:tabs>
          <w:tab w:val="left" w:pos="288"/>
          <w:tab w:val="left" w:pos="4752"/>
        </w:tabs>
        <w:spacing w:line="240" w:lineRule="exact"/>
        <w:jc w:val="both"/>
        <w:rPr>
          <w:rFonts w:ascii="Calibri" w:hAnsi="Calibri"/>
          <w:color w:val="auto"/>
          <w:szCs w:val="24"/>
        </w:rPr>
      </w:pPr>
      <w:r w:rsidRPr="00C71E74">
        <w:rPr>
          <w:rFonts w:ascii="Calibri" w:hAnsi="Calibri"/>
          <w:color w:val="auto"/>
          <w:szCs w:val="24"/>
          <w:u w:val="single"/>
        </w:rPr>
        <w:lastRenderedPageBreak/>
        <w:t>RECOMMENDATION</w:t>
      </w:r>
      <w:r w:rsidRPr="00C71E74">
        <w:rPr>
          <w:rFonts w:ascii="Calibri" w:hAnsi="Calibri"/>
          <w:color w:val="auto"/>
          <w:szCs w:val="24"/>
        </w:rPr>
        <w:t>:</w:t>
      </w:r>
      <w:r w:rsidRPr="00C71E74">
        <w:rPr>
          <w:rFonts w:ascii="Calibri" w:hAnsi="Calibri"/>
          <w:color w:val="000080"/>
          <w:szCs w:val="24"/>
        </w:rPr>
        <w:t xml:space="preserve"> </w:t>
      </w:r>
      <w:r w:rsidR="00DF071B" w:rsidRPr="00C71E74">
        <w:rPr>
          <w:rFonts w:ascii="Calibri" w:hAnsi="Calibri"/>
          <w:color w:val="auto"/>
          <w:szCs w:val="24"/>
        </w:rPr>
        <w:t>The Board recommends that the CI’s prior determination be modified as follows</w:t>
      </w:r>
      <w:r w:rsidR="007C52B8">
        <w:rPr>
          <w:rFonts w:ascii="Calibri" w:hAnsi="Calibri"/>
          <w:color w:val="auto"/>
          <w:szCs w:val="24"/>
        </w:rPr>
        <w:t>:</w:t>
      </w:r>
      <w:r w:rsidR="00DF071B" w:rsidRPr="00C71E74">
        <w:rPr>
          <w:rFonts w:ascii="Calibri" w:hAnsi="Calibri"/>
          <w:color w:val="auto"/>
          <w:szCs w:val="24"/>
        </w:rPr>
        <w:t xml:space="preserve"> TDRL at </w:t>
      </w:r>
      <w:r w:rsidR="00C2195B" w:rsidRPr="00C71E74">
        <w:rPr>
          <w:rFonts w:ascii="Calibri" w:hAnsi="Calibri"/>
          <w:color w:val="auto"/>
          <w:szCs w:val="24"/>
        </w:rPr>
        <w:t>60</w:t>
      </w:r>
      <w:r w:rsidR="00DF071B" w:rsidRPr="00C71E74">
        <w:rPr>
          <w:rFonts w:ascii="Calibri" w:hAnsi="Calibri"/>
          <w:color w:val="auto"/>
          <w:szCs w:val="24"/>
        </w:rPr>
        <w:t xml:space="preserve">% for </w:t>
      </w:r>
      <w:r w:rsidR="007C52B8">
        <w:rPr>
          <w:rFonts w:ascii="Calibri" w:hAnsi="Calibri"/>
          <w:color w:val="auto"/>
          <w:szCs w:val="24"/>
        </w:rPr>
        <w:t>six</w:t>
      </w:r>
      <w:r w:rsidR="00DF071B" w:rsidRPr="00C71E74">
        <w:rPr>
          <w:rFonts w:ascii="Calibri" w:hAnsi="Calibri"/>
          <w:color w:val="auto"/>
          <w:szCs w:val="24"/>
        </w:rPr>
        <w:t xml:space="preserve"> months following CI’s prior medical separation (PTSD at minimum of 50% IAW §4.129 and </w:t>
      </w:r>
      <w:proofErr w:type="gramStart"/>
      <w:r w:rsidR="00DF071B" w:rsidRPr="00C71E74">
        <w:rPr>
          <w:rFonts w:ascii="Calibri" w:hAnsi="Calibri"/>
          <w:color w:val="auto"/>
          <w:szCs w:val="24"/>
        </w:rPr>
        <w:t>DoD</w:t>
      </w:r>
      <w:proofErr w:type="gramEnd"/>
      <w:r w:rsidR="00DF071B" w:rsidRPr="00C71E74">
        <w:rPr>
          <w:rFonts w:ascii="Calibri" w:hAnsi="Calibri"/>
          <w:color w:val="auto"/>
          <w:szCs w:val="24"/>
        </w:rPr>
        <w:t xml:space="preserve"> direction) and then a permanent </w:t>
      </w:r>
      <w:r w:rsidR="005026A1" w:rsidRPr="00C71E74">
        <w:rPr>
          <w:rFonts w:ascii="Calibri" w:hAnsi="Calibri"/>
          <w:color w:val="auto"/>
          <w:szCs w:val="24"/>
        </w:rPr>
        <w:t>4</w:t>
      </w:r>
      <w:r w:rsidR="00C2195B" w:rsidRPr="00C71E74">
        <w:rPr>
          <w:rFonts w:ascii="Calibri" w:hAnsi="Calibri"/>
          <w:color w:val="auto"/>
          <w:szCs w:val="24"/>
        </w:rPr>
        <w:t>0</w:t>
      </w:r>
      <w:r w:rsidR="00DF071B" w:rsidRPr="00C71E74">
        <w:rPr>
          <w:rFonts w:ascii="Calibri" w:hAnsi="Calibri"/>
          <w:color w:val="auto"/>
          <w:szCs w:val="24"/>
        </w:rPr>
        <w:t>% disability retirement as below</w:t>
      </w:r>
      <w:r w:rsidR="007C52B8">
        <w:rPr>
          <w:rFonts w:ascii="Calibri" w:hAnsi="Calibri"/>
          <w:color w:val="auto"/>
          <w:szCs w:val="24"/>
        </w:rPr>
        <w:t>:</w:t>
      </w:r>
    </w:p>
    <w:p w:rsidR="00DB0015" w:rsidRPr="00C71E74" w:rsidRDefault="00DB0015" w:rsidP="00190E48">
      <w:pPr>
        <w:spacing w:line="240" w:lineRule="exact"/>
        <w:jc w:val="both"/>
        <w:rPr>
          <w:rFonts w:ascii="Calibri" w:hAnsi="Calibr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C71E74" w:rsidTr="0085089F">
        <w:trPr>
          <w:jc w:val="center"/>
        </w:trPr>
        <w:tc>
          <w:tcPr>
            <w:tcW w:w="4950" w:type="dxa"/>
            <w:shd w:val="clear" w:color="auto" w:fill="D9D9D9"/>
          </w:tcPr>
          <w:p w:rsidR="00DB0015" w:rsidRPr="00C71E74" w:rsidRDefault="00DB0015" w:rsidP="00190E48">
            <w:pPr>
              <w:tabs>
                <w:tab w:val="left" w:pos="288"/>
                <w:tab w:val="left" w:pos="4752"/>
              </w:tabs>
              <w:spacing w:line="240" w:lineRule="exact"/>
              <w:jc w:val="both"/>
              <w:rPr>
                <w:rFonts w:ascii="Calibri" w:hAnsi="Calibri"/>
                <w:b/>
                <w:color w:val="auto"/>
                <w:szCs w:val="24"/>
              </w:rPr>
            </w:pPr>
            <w:r w:rsidRPr="00C71E74">
              <w:rPr>
                <w:rFonts w:ascii="Calibri" w:hAnsi="Calibri"/>
                <w:b/>
                <w:color w:val="auto"/>
                <w:szCs w:val="24"/>
              </w:rPr>
              <w:t>UNFITTING CONDITION</w:t>
            </w:r>
          </w:p>
        </w:tc>
        <w:tc>
          <w:tcPr>
            <w:tcW w:w="1710" w:type="dxa"/>
            <w:shd w:val="clear" w:color="auto" w:fill="D9D9D9"/>
          </w:tcPr>
          <w:p w:rsidR="00DB0015" w:rsidRPr="00C71E74" w:rsidRDefault="00DB0015" w:rsidP="007D6BFE">
            <w:pPr>
              <w:tabs>
                <w:tab w:val="left" w:pos="288"/>
                <w:tab w:val="left" w:pos="4752"/>
              </w:tabs>
              <w:spacing w:line="240" w:lineRule="exact"/>
              <w:jc w:val="center"/>
              <w:rPr>
                <w:rFonts w:ascii="Calibri" w:hAnsi="Calibri"/>
                <w:b/>
                <w:color w:val="auto"/>
                <w:szCs w:val="24"/>
              </w:rPr>
            </w:pPr>
            <w:r w:rsidRPr="00C71E74">
              <w:rPr>
                <w:rFonts w:ascii="Calibri" w:hAnsi="Calibri"/>
                <w:b/>
                <w:color w:val="auto"/>
                <w:szCs w:val="24"/>
              </w:rPr>
              <w:t>VASRD CODE</w:t>
            </w:r>
          </w:p>
        </w:tc>
        <w:tc>
          <w:tcPr>
            <w:tcW w:w="1170" w:type="dxa"/>
            <w:shd w:val="clear" w:color="auto" w:fill="D9D9D9"/>
          </w:tcPr>
          <w:p w:rsidR="00DB0015" w:rsidRPr="00C71E74" w:rsidRDefault="00DB0015" w:rsidP="007D6BFE">
            <w:pPr>
              <w:tabs>
                <w:tab w:val="left" w:pos="288"/>
                <w:tab w:val="left" w:pos="4752"/>
              </w:tabs>
              <w:spacing w:line="240" w:lineRule="exact"/>
              <w:jc w:val="center"/>
              <w:rPr>
                <w:rFonts w:ascii="Calibri" w:hAnsi="Calibri"/>
                <w:b/>
                <w:color w:val="auto"/>
                <w:szCs w:val="24"/>
              </w:rPr>
            </w:pPr>
            <w:r w:rsidRPr="00C71E74">
              <w:rPr>
                <w:rFonts w:ascii="Calibri" w:hAnsi="Calibri"/>
                <w:b/>
                <w:color w:val="auto"/>
                <w:szCs w:val="24"/>
              </w:rPr>
              <w:t>TDRL RATING</w:t>
            </w:r>
          </w:p>
        </w:tc>
        <w:tc>
          <w:tcPr>
            <w:tcW w:w="1530" w:type="dxa"/>
            <w:shd w:val="pct15" w:color="auto" w:fill="auto"/>
          </w:tcPr>
          <w:p w:rsidR="00DB0015" w:rsidRPr="00C71E74" w:rsidRDefault="00DB0015" w:rsidP="007D6BFE">
            <w:pPr>
              <w:tabs>
                <w:tab w:val="left" w:pos="288"/>
                <w:tab w:val="left" w:pos="4752"/>
              </w:tabs>
              <w:spacing w:line="240" w:lineRule="exact"/>
              <w:jc w:val="center"/>
              <w:rPr>
                <w:rFonts w:ascii="Calibri" w:hAnsi="Calibri"/>
                <w:b/>
                <w:color w:val="auto"/>
                <w:szCs w:val="24"/>
              </w:rPr>
            </w:pPr>
            <w:r w:rsidRPr="00C71E74">
              <w:rPr>
                <w:rFonts w:ascii="Calibri" w:hAnsi="Calibri"/>
                <w:b/>
                <w:color w:val="auto"/>
                <w:szCs w:val="24"/>
              </w:rPr>
              <w:t>PERMANENT</w:t>
            </w:r>
          </w:p>
          <w:p w:rsidR="00DB0015" w:rsidRPr="00C71E74" w:rsidRDefault="00DB0015" w:rsidP="007D6BFE">
            <w:pPr>
              <w:tabs>
                <w:tab w:val="left" w:pos="288"/>
                <w:tab w:val="left" w:pos="4752"/>
              </w:tabs>
              <w:spacing w:line="240" w:lineRule="exact"/>
              <w:jc w:val="center"/>
              <w:rPr>
                <w:rFonts w:ascii="Calibri" w:hAnsi="Calibri"/>
                <w:b/>
                <w:color w:val="auto"/>
                <w:szCs w:val="24"/>
              </w:rPr>
            </w:pPr>
            <w:r w:rsidRPr="00C71E74">
              <w:rPr>
                <w:rFonts w:ascii="Calibri" w:hAnsi="Calibri"/>
                <w:b/>
                <w:color w:val="auto"/>
                <w:szCs w:val="24"/>
              </w:rPr>
              <w:t>RATING</w:t>
            </w:r>
          </w:p>
        </w:tc>
      </w:tr>
      <w:tr w:rsidR="00DB0015" w:rsidRPr="00C71E74" w:rsidTr="00594945">
        <w:trPr>
          <w:trHeight w:val="188"/>
          <w:jc w:val="center"/>
        </w:trPr>
        <w:tc>
          <w:tcPr>
            <w:tcW w:w="4950" w:type="dxa"/>
          </w:tcPr>
          <w:p w:rsidR="00DB0015" w:rsidRPr="00C71E74" w:rsidRDefault="007C52B8" w:rsidP="007C52B8">
            <w:pPr>
              <w:tabs>
                <w:tab w:val="left" w:pos="288"/>
                <w:tab w:val="left" w:pos="4752"/>
              </w:tabs>
              <w:spacing w:before="20" w:line="240" w:lineRule="exact"/>
              <w:jc w:val="both"/>
              <w:rPr>
                <w:rFonts w:ascii="Calibri" w:hAnsi="Calibri"/>
                <w:color w:val="auto"/>
                <w:szCs w:val="24"/>
              </w:rPr>
            </w:pPr>
            <w:r>
              <w:rPr>
                <w:rFonts w:ascii="Calibri" w:hAnsi="Calibri"/>
                <w:color w:val="auto"/>
                <w:szCs w:val="24"/>
              </w:rPr>
              <w:t>Postt</w:t>
            </w:r>
            <w:r w:rsidR="00DB0015" w:rsidRPr="00C71E74">
              <w:rPr>
                <w:rFonts w:ascii="Calibri" w:hAnsi="Calibri"/>
                <w:color w:val="auto"/>
                <w:szCs w:val="24"/>
              </w:rPr>
              <w:t>raumatic Stress Disorder</w:t>
            </w:r>
          </w:p>
        </w:tc>
        <w:tc>
          <w:tcPr>
            <w:tcW w:w="1710" w:type="dxa"/>
            <w:tcBorders>
              <w:bottom w:val="single" w:sz="4" w:space="0" w:color="000000"/>
            </w:tcBorders>
          </w:tcPr>
          <w:p w:rsidR="00DB0015" w:rsidRPr="00C71E74" w:rsidRDefault="00DB0015" w:rsidP="00911490">
            <w:pPr>
              <w:tabs>
                <w:tab w:val="left" w:pos="288"/>
                <w:tab w:val="left" w:pos="4752"/>
              </w:tabs>
              <w:spacing w:before="20" w:line="240" w:lineRule="exact"/>
              <w:jc w:val="center"/>
              <w:rPr>
                <w:rFonts w:ascii="Calibri" w:hAnsi="Calibri"/>
                <w:color w:val="auto"/>
                <w:szCs w:val="24"/>
              </w:rPr>
            </w:pPr>
            <w:r w:rsidRPr="00C71E74">
              <w:rPr>
                <w:rFonts w:ascii="Calibri" w:hAnsi="Calibri"/>
                <w:color w:val="auto"/>
                <w:szCs w:val="24"/>
              </w:rPr>
              <w:t>9411</w:t>
            </w:r>
          </w:p>
        </w:tc>
        <w:tc>
          <w:tcPr>
            <w:tcW w:w="1170" w:type="dxa"/>
            <w:tcBorders>
              <w:bottom w:val="single" w:sz="4" w:space="0" w:color="000000"/>
            </w:tcBorders>
          </w:tcPr>
          <w:p w:rsidR="00DB0015" w:rsidRPr="00C71E74" w:rsidRDefault="00DB0015" w:rsidP="00911490">
            <w:pPr>
              <w:tabs>
                <w:tab w:val="left" w:pos="288"/>
                <w:tab w:val="left" w:pos="4752"/>
              </w:tabs>
              <w:spacing w:before="20" w:line="240" w:lineRule="exact"/>
              <w:jc w:val="center"/>
              <w:rPr>
                <w:rFonts w:ascii="Calibri" w:hAnsi="Calibri"/>
                <w:color w:val="auto"/>
                <w:szCs w:val="24"/>
              </w:rPr>
            </w:pPr>
            <w:r w:rsidRPr="00C71E74">
              <w:rPr>
                <w:rFonts w:ascii="Calibri" w:hAnsi="Calibri"/>
                <w:color w:val="auto"/>
                <w:szCs w:val="24"/>
              </w:rPr>
              <w:t>50%</w:t>
            </w:r>
          </w:p>
        </w:tc>
        <w:tc>
          <w:tcPr>
            <w:tcW w:w="1530" w:type="dxa"/>
            <w:tcBorders>
              <w:bottom w:val="single" w:sz="4" w:space="0" w:color="000000"/>
            </w:tcBorders>
            <w:shd w:val="clear" w:color="auto" w:fill="D9D9D9" w:themeFill="background1" w:themeFillShade="D9"/>
          </w:tcPr>
          <w:p w:rsidR="00DB0015" w:rsidRPr="00C71E74" w:rsidRDefault="00594945" w:rsidP="00104E6F">
            <w:pPr>
              <w:tabs>
                <w:tab w:val="left" w:pos="288"/>
                <w:tab w:val="left" w:pos="4752"/>
              </w:tabs>
              <w:spacing w:before="20" w:line="240" w:lineRule="exact"/>
              <w:jc w:val="center"/>
              <w:rPr>
                <w:rFonts w:ascii="Calibri" w:hAnsi="Calibri"/>
                <w:color w:val="auto"/>
                <w:szCs w:val="24"/>
              </w:rPr>
            </w:pPr>
            <w:r w:rsidRPr="00C71E74">
              <w:rPr>
                <w:rFonts w:ascii="Calibri" w:hAnsi="Calibri"/>
                <w:color w:val="auto"/>
                <w:szCs w:val="24"/>
              </w:rPr>
              <w:t>-</w:t>
            </w:r>
          </w:p>
        </w:tc>
      </w:tr>
      <w:tr w:rsidR="00C2195B" w:rsidRPr="00C71E74" w:rsidTr="00594945">
        <w:trPr>
          <w:trHeight w:val="188"/>
          <w:jc w:val="center"/>
        </w:trPr>
        <w:tc>
          <w:tcPr>
            <w:tcW w:w="4950" w:type="dxa"/>
          </w:tcPr>
          <w:p w:rsidR="00C2195B" w:rsidRPr="00C71E74" w:rsidRDefault="00C2195B" w:rsidP="00911490">
            <w:pPr>
              <w:tabs>
                <w:tab w:val="left" w:pos="288"/>
                <w:tab w:val="left" w:pos="4752"/>
              </w:tabs>
              <w:spacing w:before="20" w:line="240" w:lineRule="exact"/>
              <w:jc w:val="both"/>
              <w:rPr>
                <w:rFonts w:ascii="Calibri" w:hAnsi="Calibri"/>
                <w:color w:val="auto"/>
                <w:szCs w:val="24"/>
              </w:rPr>
            </w:pPr>
            <w:r w:rsidRPr="00C71E74">
              <w:rPr>
                <w:rFonts w:ascii="Calibri" w:hAnsi="Calibri"/>
                <w:color w:val="auto"/>
                <w:szCs w:val="24"/>
              </w:rPr>
              <w:t>Traumatic Brain Injury</w:t>
            </w:r>
          </w:p>
        </w:tc>
        <w:tc>
          <w:tcPr>
            <w:tcW w:w="1710" w:type="dxa"/>
            <w:tcBorders>
              <w:bottom w:val="single" w:sz="4" w:space="0" w:color="000000"/>
            </w:tcBorders>
          </w:tcPr>
          <w:p w:rsidR="00C2195B" w:rsidRPr="00C71E74" w:rsidRDefault="00C2195B" w:rsidP="00911490">
            <w:pPr>
              <w:tabs>
                <w:tab w:val="left" w:pos="288"/>
                <w:tab w:val="left" w:pos="4752"/>
              </w:tabs>
              <w:spacing w:before="20" w:line="240" w:lineRule="exact"/>
              <w:jc w:val="center"/>
              <w:rPr>
                <w:rFonts w:ascii="Calibri" w:hAnsi="Calibri"/>
                <w:color w:val="auto"/>
                <w:szCs w:val="24"/>
              </w:rPr>
            </w:pPr>
            <w:r w:rsidRPr="00C71E74">
              <w:rPr>
                <w:rFonts w:ascii="Calibri" w:hAnsi="Calibri"/>
                <w:color w:val="auto"/>
                <w:szCs w:val="24"/>
              </w:rPr>
              <w:t>8045</w:t>
            </w:r>
            <w:r w:rsidR="00221F5B" w:rsidRPr="00C71E74">
              <w:rPr>
                <w:rFonts w:ascii="Calibri" w:hAnsi="Calibri"/>
                <w:color w:val="auto"/>
                <w:szCs w:val="24"/>
              </w:rPr>
              <w:t>-9304</w:t>
            </w:r>
          </w:p>
        </w:tc>
        <w:tc>
          <w:tcPr>
            <w:tcW w:w="1170" w:type="dxa"/>
            <w:tcBorders>
              <w:bottom w:val="single" w:sz="4" w:space="0" w:color="000000"/>
            </w:tcBorders>
          </w:tcPr>
          <w:p w:rsidR="00C2195B" w:rsidRPr="00C71E74" w:rsidRDefault="00C2195B" w:rsidP="00911490">
            <w:pPr>
              <w:tabs>
                <w:tab w:val="left" w:pos="288"/>
                <w:tab w:val="left" w:pos="4752"/>
              </w:tabs>
              <w:spacing w:before="20" w:line="240" w:lineRule="exact"/>
              <w:jc w:val="center"/>
              <w:rPr>
                <w:rFonts w:ascii="Calibri" w:hAnsi="Calibri"/>
                <w:color w:val="auto"/>
                <w:szCs w:val="24"/>
              </w:rPr>
            </w:pPr>
            <w:r w:rsidRPr="00C71E74">
              <w:rPr>
                <w:rFonts w:ascii="Calibri" w:hAnsi="Calibri"/>
                <w:color w:val="auto"/>
                <w:szCs w:val="24"/>
              </w:rPr>
              <w:t>10%</w:t>
            </w:r>
          </w:p>
        </w:tc>
        <w:tc>
          <w:tcPr>
            <w:tcW w:w="1530" w:type="dxa"/>
            <w:tcBorders>
              <w:bottom w:val="single" w:sz="4" w:space="0" w:color="000000"/>
            </w:tcBorders>
            <w:shd w:val="clear" w:color="auto" w:fill="D9D9D9" w:themeFill="background1" w:themeFillShade="D9"/>
          </w:tcPr>
          <w:p w:rsidR="00C2195B" w:rsidRPr="00C71E74" w:rsidRDefault="00594945" w:rsidP="00911490">
            <w:pPr>
              <w:tabs>
                <w:tab w:val="left" w:pos="288"/>
                <w:tab w:val="left" w:pos="4752"/>
              </w:tabs>
              <w:spacing w:before="20" w:line="240" w:lineRule="exact"/>
              <w:jc w:val="center"/>
              <w:rPr>
                <w:rFonts w:ascii="Calibri" w:hAnsi="Calibri"/>
                <w:color w:val="auto"/>
                <w:szCs w:val="24"/>
              </w:rPr>
            </w:pPr>
            <w:r w:rsidRPr="00C71E74">
              <w:rPr>
                <w:rFonts w:ascii="Calibri" w:hAnsi="Calibri"/>
                <w:color w:val="auto"/>
                <w:szCs w:val="24"/>
              </w:rPr>
              <w:t>-</w:t>
            </w:r>
          </w:p>
        </w:tc>
      </w:tr>
      <w:tr w:rsidR="005026A1" w:rsidRPr="00C71E74" w:rsidTr="00594945">
        <w:trPr>
          <w:trHeight w:val="188"/>
          <w:jc w:val="center"/>
        </w:trPr>
        <w:tc>
          <w:tcPr>
            <w:tcW w:w="4950" w:type="dxa"/>
          </w:tcPr>
          <w:p w:rsidR="005026A1" w:rsidRPr="00C71E74" w:rsidRDefault="005026A1" w:rsidP="00DF12C3">
            <w:pPr>
              <w:tabs>
                <w:tab w:val="left" w:pos="288"/>
                <w:tab w:val="left" w:pos="4752"/>
              </w:tabs>
              <w:spacing w:before="20" w:line="240" w:lineRule="exact"/>
              <w:jc w:val="both"/>
              <w:rPr>
                <w:rFonts w:ascii="Calibri" w:hAnsi="Calibri"/>
                <w:color w:val="auto"/>
                <w:szCs w:val="24"/>
              </w:rPr>
            </w:pPr>
            <w:r w:rsidRPr="00C71E74">
              <w:rPr>
                <w:rFonts w:ascii="Calibri" w:hAnsi="Calibri"/>
                <w:color w:val="auto"/>
                <w:szCs w:val="24"/>
              </w:rPr>
              <w:t>PTSD with TBI</w:t>
            </w:r>
          </w:p>
        </w:tc>
        <w:tc>
          <w:tcPr>
            <w:tcW w:w="1710" w:type="dxa"/>
            <w:tcBorders>
              <w:bottom w:val="single" w:sz="4" w:space="0" w:color="000000"/>
            </w:tcBorders>
          </w:tcPr>
          <w:p w:rsidR="005026A1" w:rsidRPr="00C71E74" w:rsidRDefault="005026A1" w:rsidP="00DF12C3">
            <w:pPr>
              <w:tabs>
                <w:tab w:val="left" w:pos="288"/>
                <w:tab w:val="left" w:pos="4752"/>
              </w:tabs>
              <w:spacing w:before="20" w:line="240" w:lineRule="exact"/>
              <w:jc w:val="center"/>
              <w:rPr>
                <w:rFonts w:ascii="Calibri" w:hAnsi="Calibri"/>
                <w:color w:val="auto"/>
                <w:szCs w:val="24"/>
              </w:rPr>
            </w:pPr>
            <w:r w:rsidRPr="00C71E74">
              <w:rPr>
                <w:rFonts w:ascii="Calibri" w:hAnsi="Calibri"/>
                <w:color w:val="auto"/>
                <w:szCs w:val="24"/>
              </w:rPr>
              <w:t>8045</w:t>
            </w:r>
            <w:r w:rsidR="00B3637D" w:rsidRPr="00C71E74">
              <w:rPr>
                <w:rFonts w:ascii="Calibri" w:hAnsi="Calibri"/>
                <w:color w:val="auto"/>
                <w:szCs w:val="24"/>
              </w:rPr>
              <w:t>-9411</w:t>
            </w:r>
          </w:p>
        </w:tc>
        <w:tc>
          <w:tcPr>
            <w:tcW w:w="1170" w:type="dxa"/>
            <w:tcBorders>
              <w:bottom w:val="single" w:sz="4" w:space="0" w:color="000000"/>
            </w:tcBorders>
            <w:shd w:val="clear" w:color="auto" w:fill="D9D9D9" w:themeFill="background1" w:themeFillShade="D9"/>
          </w:tcPr>
          <w:p w:rsidR="005026A1" w:rsidRPr="00C71E74" w:rsidRDefault="00594945" w:rsidP="00DF12C3">
            <w:pPr>
              <w:tabs>
                <w:tab w:val="left" w:pos="288"/>
                <w:tab w:val="left" w:pos="4752"/>
              </w:tabs>
              <w:spacing w:before="20" w:line="240" w:lineRule="exact"/>
              <w:jc w:val="center"/>
              <w:rPr>
                <w:rFonts w:ascii="Calibri" w:hAnsi="Calibri"/>
                <w:color w:val="auto"/>
                <w:szCs w:val="24"/>
              </w:rPr>
            </w:pPr>
            <w:r w:rsidRPr="00C71E74">
              <w:rPr>
                <w:rFonts w:ascii="Calibri" w:hAnsi="Calibri"/>
                <w:color w:val="auto"/>
                <w:szCs w:val="24"/>
              </w:rPr>
              <w:t>-</w:t>
            </w:r>
          </w:p>
        </w:tc>
        <w:tc>
          <w:tcPr>
            <w:tcW w:w="1530" w:type="dxa"/>
            <w:tcBorders>
              <w:bottom w:val="single" w:sz="4" w:space="0" w:color="000000"/>
            </w:tcBorders>
          </w:tcPr>
          <w:p w:rsidR="005026A1" w:rsidRPr="00C71E74" w:rsidRDefault="005026A1" w:rsidP="00DF12C3">
            <w:pPr>
              <w:tabs>
                <w:tab w:val="left" w:pos="288"/>
                <w:tab w:val="left" w:pos="4752"/>
              </w:tabs>
              <w:spacing w:before="20" w:line="240" w:lineRule="exact"/>
              <w:jc w:val="center"/>
              <w:rPr>
                <w:rFonts w:ascii="Calibri" w:hAnsi="Calibri"/>
                <w:color w:val="auto"/>
                <w:szCs w:val="24"/>
              </w:rPr>
            </w:pPr>
            <w:r w:rsidRPr="00C71E74">
              <w:rPr>
                <w:rFonts w:ascii="Calibri" w:hAnsi="Calibri"/>
                <w:color w:val="auto"/>
                <w:szCs w:val="24"/>
              </w:rPr>
              <w:t>30%</w:t>
            </w:r>
          </w:p>
        </w:tc>
      </w:tr>
      <w:tr w:rsidR="005026A1" w:rsidRPr="00C71E74" w:rsidTr="00911490">
        <w:trPr>
          <w:trHeight w:val="188"/>
          <w:jc w:val="center"/>
        </w:trPr>
        <w:tc>
          <w:tcPr>
            <w:tcW w:w="4950" w:type="dxa"/>
          </w:tcPr>
          <w:p w:rsidR="005026A1" w:rsidRPr="00C71E74" w:rsidRDefault="005026A1" w:rsidP="00DF12C3">
            <w:pPr>
              <w:tabs>
                <w:tab w:val="left" w:pos="288"/>
                <w:tab w:val="left" w:pos="4752"/>
              </w:tabs>
              <w:spacing w:before="20" w:line="240" w:lineRule="exact"/>
              <w:jc w:val="both"/>
              <w:rPr>
                <w:rFonts w:ascii="Calibri" w:hAnsi="Calibri"/>
                <w:color w:val="auto"/>
                <w:szCs w:val="24"/>
              </w:rPr>
            </w:pPr>
            <w:r w:rsidRPr="00C71E74">
              <w:rPr>
                <w:rFonts w:ascii="Calibri" w:hAnsi="Calibri"/>
                <w:color w:val="auto"/>
                <w:szCs w:val="24"/>
              </w:rPr>
              <w:t>Tinnitus as residual of TBI</w:t>
            </w:r>
          </w:p>
        </w:tc>
        <w:tc>
          <w:tcPr>
            <w:tcW w:w="1710" w:type="dxa"/>
            <w:tcBorders>
              <w:bottom w:val="single" w:sz="4" w:space="0" w:color="000000"/>
            </w:tcBorders>
          </w:tcPr>
          <w:p w:rsidR="005026A1" w:rsidRPr="00C71E74" w:rsidRDefault="005026A1" w:rsidP="00DF12C3">
            <w:pPr>
              <w:tabs>
                <w:tab w:val="left" w:pos="288"/>
                <w:tab w:val="left" w:pos="4752"/>
              </w:tabs>
              <w:spacing w:before="20" w:line="240" w:lineRule="exact"/>
              <w:jc w:val="center"/>
              <w:rPr>
                <w:rFonts w:ascii="Calibri" w:hAnsi="Calibri"/>
                <w:color w:val="auto"/>
                <w:szCs w:val="24"/>
              </w:rPr>
            </w:pPr>
            <w:r w:rsidRPr="00C71E74">
              <w:rPr>
                <w:rFonts w:ascii="Calibri" w:hAnsi="Calibri"/>
                <w:color w:val="auto"/>
                <w:szCs w:val="24"/>
              </w:rPr>
              <w:t>8045-6260</w:t>
            </w:r>
          </w:p>
        </w:tc>
        <w:tc>
          <w:tcPr>
            <w:tcW w:w="1170" w:type="dxa"/>
            <w:tcBorders>
              <w:bottom w:val="single" w:sz="4" w:space="0" w:color="000000"/>
            </w:tcBorders>
          </w:tcPr>
          <w:p w:rsidR="005026A1" w:rsidRPr="00C71E74" w:rsidRDefault="005026A1" w:rsidP="00DF12C3">
            <w:pPr>
              <w:tabs>
                <w:tab w:val="left" w:pos="288"/>
                <w:tab w:val="left" w:pos="4752"/>
              </w:tabs>
              <w:spacing w:before="20" w:line="240" w:lineRule="exact"/>
              <w:jc w:val="center"/>
              <w:rPr>
                <w:rFonts w:ascii="Calibri" w:hAnsi="Calibri"/>
                <w:color w:val="auto"/>
                <w:szCs w:val="24"/>
              </w:rPr>
            </w:pPr>
            <w:r w:rsidRPr="00C71E74">
              <w:rPr>
                <w:rFonts w:ascii="Calibri" w:hAnsi="Calibri"/>
                <w:color w:val="auto"/>
                <w:szCs w:val="24"/>
              </w:rPr>
              <w:t>10%</w:t>
            </w:r>
          </w:p>
        </w:tc>
        <w:tc>
          <w:tcPr>
            <w:tcW w:w="1530" w:type="dxa"/>
            <w:tcBorders>
              <w:bottom w:val="single" w:sz="4" w:space="0" w:color="000000"/>
            </w:tcBorders>
          </w:tcPr>
          <w:p w:rsidR="005026A1" w:rsidRPr="00C71E74" w:rsidRDefault="005026A1" w:rsidP="00DF12C3">
            <w:pPr>
              <w:tabs>
                <w:tab w:val="left" w:pos="288"/>
                <w:tab w:val="left" w:pos="4752"/>
              </w:tabs>
              <w:spacing w:before="20" w:line="240" w:lineRule="exact"/>
              <w:jc w:val="center"/>
              <w:rPr>
                <w:rFonts w:ascii="Calibri" w:hAnsi="Calibri"/>
                <w:color w:val="auto"/>
                <w:szCs w:val="24"/>
              </w:rPr>
            </w:pPr>
            <w:r w:rsidRPr="00C71E74">
              <w:rPr>
                <w:rFonts w:ascii="Calibri" w:hAnsi="Calibri"/>
                <w:color w:val="auto"/>
                <w:szCs w:val="24"/>
              </w:rPr>
              <w:t>10%</w:t>
            </w:r>
          </w:p>
        </w:tc>
      </w:tr>
      <w:tr w:rsidR="00DB0015" w:rsidRPr="005026A1" w:rsidTr="00911490">
        <w:tblPrEx>
          <w:tblLook w:val="0000"/>
        </w:tblPrEx>
        <w:trPr>
          <w:gridBefore w:val="1"/>
          <w:wBefore w:w="4950" w:type="dxa"/>
          <w:trHeight w:val="188"/>
          <w:jc w:val="center"/>
        </w:trPr>
        <w:tc>
          <w:tcPr>
            <w:tcW w:w="1710" w:type="dxa"/>
            <w:tcBorders>
              <w:left w:val="single" w:sz="4" w:space="0" w:color="auto"/>
            </w:tcBorders>
            <w:shd w:val="pct15" w:color="auto" w:fill="auto"/>
          </w:tcPr>
          <w:p w:rsidR="00DB0015" w:rsidRPr="00C71E74" w:rsidRDefault="00DB0015" w:rsidP="00911490">
            <w:pPr>
              <w:tabs>
                <w:tab w:val="left" w:pos="288"/>
                <w:tab w:val="left" w:pos="4752"/>
              </w:tabs>
              <w:spacing w:before="20" w:line="240" w:lineRule="exact"/>
              <w:jc w:val="center"/>
              <w:rPr>
                <w:rFonts w:ascii="Calibri" w:hAnsi="Calibri"/>
                <w:b/>
                <w:color w:val="auto"/>
                <w:szCs w:val="24"/>
              </w:rPr>
            </w:pPr>
            <w:r w:rsidRPr="00C71E74">
              <w:rPr>
                <w:rFonts w:ascii="Calibri" w:hAnsi="Calibri"/>
                <w:b/>
                <w:color w:val="auto"/>
                <w:szCs w:val="24"/>
              </w:rPr>
              <w:t>COMBINED</w:t>
            </w:r>
          </w:p>
        </w:tc>
        <w:tc>
          <w:tcPr>
            <w:tcW w:w="1170" w:type="dxa"/>
            <w:tcBorders>
              <w:left w:val="single" w:sz="4" w:space="0" w:color="auto"/>
            </w:tcBorders>
            <w:shd w:val="pct15" w:color="auto" w:fill="auto"/>
          </w:tcPr>
          <w:p w:rsidR="00DB0015" w:rsidRPr="00C71E74" w:rsidRDefault="00C2195B" w:rsidP="00C2195B">
            <w:pPr>
              <w:tabs>
                <w:tab w:val="left" w:pos="288"/>
                <w:tab w:val="left" w:pos="4752"/>
              </w:tabs>
              <w:spacing w:before="20" w:line="240" w:lineRule="exact"/>
              <w:jc w:val="center"/>
              <w:rPr>
                <w:rFonts w:ascii="Calibri" w:hAnsi="Calibri"/>
                <w:b/>
                <w:color w:val="auto"/>
                <w:szCs w:val="24"/>
              </w:rPr>
            </w:pPr>
            <w:r w:rsidRPr="00C71E74">
              <w:rPr>
                <w:rFonts w:ascii="Calibri" w:hAnsi="Calibri"/>
                <w:b/>
                <w:color w:val="auto"/>
                <w:szCs w:val="24"/>
              </w:rPr>
              <w:t>6</w:t>
            </w:r>
            <w:r w:rsidR="007E71B1" w:rsidRPr="00C71E74">
              <w:rPr>
                <w:rFonts w:ascii="Calibri" w:hAnsi="Calibri"/>
                <w:b/>
                <w:color w:val="auto"/>
                <w:szCs w:val="24"/>
              </w:rPr>
              <w:t>0</w:t>
            </w:r>
            <w:r w:rsidR="00DB0015" w:rsidRPr="00C71E74">
              <w:rPr>
                <w:rFonts w:ascii="Calibri" w:hAnsi="Calibri"/>
                <w:b/>
                <w:color w:val="auto"/>
                <w:szCs w:val="24"/>
              </w:rPr>
              <w:t>%</w:t>
            </w:r>
          </w:p>
        </w:tc>
        <w:tc>
          <w:tcPr>
            <w:tcW w:w="1530" w:type="dxa"/>
            <w:shd w:val="pct15" w:color="auto" w:fill="auto"/>
          </w:tcPr>
          <w:p w:rsidR="00DB0015" w:rsidRPr="005026A1" w:rsidRDefault="005026A1" w:rsidP="002657D3">
            <w:pPr>
              <w:tabs>
                <w:tab w:val="left" w:pos="288"/>
                <w:tab w:val="left" w:pos="4752"/>
              </w:tabs>
              <w:spacing w:before="20" w:line="240" w:lineRule="exact"/>
              <w:jc w:val="center"/>
              <w:rPr>
                <w:rFonts w:ascii="Calibri" w:hAnsi="Calibri"/>
                <w:b/>
                <w:color w:val="auto"/>
                <w:szCs w:val="24"/>
              </w:rPr>
            </w:pPr>
            <w:r w:rsidRPr="00C71E74">
              <w:rPr>
                <w:rFonts w:ascii="Calibri" w:hAnsi="Calibri"/>
                <w:b/>
                <w:color w:val="auto"/>
                <w:szCs w:val="24"/>
              </w:rPr>
              <w:t>4</w:t>
            </w:r>
            <w:r w:rsidR="007E71B1" w:rsidRPr="00C71E74">
              <w:rPr>
                <w:rFonts w:ascii="Calibri" w:hAnsi="Calibri"/>
                <w:b/>
                <w:color w:val="auto"/>
                <w:szCs w:val="24"/>
              </w:rPr>
              <w:t>0</w:t>
            </w:r>
            <w:r w:rsidR="00DB0015" w:rsidRPr="00C71E74">
              <w:rPr>
                <w:rFonts w:ascii="Calibri" w:hAnsi="Calibri"/>
                <w:b/>
                <w:color w:val="auto"/>
                <w:szCs w:val="24"/>
              </w:rPr>
              <w:t>%</w:t>
            </w:r>
          </w:p>
        </w:tc>
      </w:tr>
    </w:tbl>
    <w:p w:rsidR="00106AD8" w:rsidRPr="005026A1"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5026A1" w:rsidRDefault="00106AD8" w:rsidP="00106AD8">
      <w:pPr>
        <w:tabs>
          <w:tab w:val="left" w:pos="288"/>
          <w:tab w:val="left" w:pos="4752"/>
        </w:tabs>
        <w:spacing w:line="240" w:lineRule="exact"/>
        <w:rPr>
          <w:rFonts w:ascii="Calibri" w:hAnsi="Calibri"/>
          <w:color w:val="auto"/>
          <w:szCs w:val="24"/>
        </w:rPr>
      </w:pPr>
    </w:p>
    <w:p w:rsidR="00D91DA6" w:rsidRPr="005026A1" w:rsidRDefault="00FB1725" w:rsidP="00190E48">
      <w:pPr>
        <w:tabs>
          <w:tab w:val="left" w:pos="288"/>
          <w:tab w:val="left" w:pos="4752"/>
        </w:tabs>
        <w:spacing w:line="240" w:lineRule="exact"/>
        <w:jc w:val="both"/>
        <w:rPr>
          <w:rFonts w:ascii="Calibri" w:hAnsi="Calibri"/>
          <w:color w:val="auto"/>
        </w:rPr>
      </w:pPr>
      <w:r w:rsidRPr="005026A1">
        <w:rPr>
          <w:rFonts w:ascii="Calibri" w:hAnsi="Calibri"/>
          <w:color w:val="auto"/>
        </w:rPr>
        <w:t>The following documentary evidence was considered:</w:t>
      </w:r>
    </w:p>
    <w:p w:rsidR="00EB5EFD" w:rsidRPr="00624871" w:rsidRDefault="00EB5EFD" w:rsidP="00190E48">
      <w:pPr>
        <w:tabs>
          <w:tab w:val="left" w:pos="288"/>
          <w:tab w:val="left" w:pos="4752"/>
        </w:tabs>
        <w:spacing w:line="240" w:lineRule="exact"/>
        <w:jc w:val="both"/>
        <w:rPr>
          <w:rFonts w:ascii="Calibri" w:hAnsi="Calibri"/>
          <w:color w:val="auto"/>
        </w:rPr>
      </w:pPr>
    </w:p>
    <w:p w:rsidR="00114F20" w:rsidRPr="00006186" w:rsidRDefault="00FB1725" w:rsidP="00190E48">
      <w:pPr>
        <w:tabs>
          <w:tab w:val="left" w:pos="288"/>
          <w:tab w:val="left" w:pos="4752"/>
        </w:tabs>
        <w:spacing w:line="240" w:lineRule="exact"/>
        <w:jc w:val="both"/>
        <w:rPr>
          <w:rFonts w:ascii="Calibri" w:hAnsi="Calibri"/>
          <w:color w:val="auto"/>
        </w:rPr>
      </w:pPr>
      <w:r>
        <w:rPr>
          <w:rFonts w:ascii="Calibri" w:hAnsi="Calibri"/>
          <w:color w:val="auto"/>
        </w:rPr>
        <w:t xml:space="preserve">Exhibit A.  DD Form </w:t>
      </w:r>
      <w:proofErr w:type="gramStart"/>
      <w:r>
        <w:rPr>
          <w:rFonts w:ascii="Calibri" w:hAnsi="Calibri"/>
          <w:color w:val="auto"/>
        </w:rPr>
        <w:t>294,</w:t>
      </w:r>
      <w:proofErr w:type="gramEnd"/>
      <w:r>
        <w:rPr>
          <w:rFonts w:ascii="Calibri" w:hAnsi="Calibri"/>
          <w:color w:val="auto"/>
        </w:rPr>
        <w:t xml:space="preserve"> dated 20</w:t>
      </w:r>
      <w:r w:rsidR="00221F5B" w:rsidRPr="002657D3">
        <w:rPr>
          <w:rFonts w:ascii="Calibri" w:hAnsi="Calibri"/>
          <w:color w:val="auto"/>
        </w:rPr>
        <w:t>100517</w:t>
      </w:r>
      <w:r>
        <w:rPr>
          <w:rFonts w:ascii="Calibri" w:hAnsi="Calibri"/>
          <w:color w:val="auto"/>
        </w:rPr>
        <w:t>, w/</w:t>
      </w:r>
      <w:proofErr w:type="spellStart"/>
      <w:r>
        <w:rPr>
          <w:rFonts w:ascii="Calibri" w:hAnsi="Calibri"/>
          <w:color w:val="auto"/>
        </w:rPr>
        <w:t>atchs</w:t>
      </w:r>
      <w:proofErr w:type="spellEnd"/>
      <w:r>
        <w:rPr>
          <w:rFonts w:ascii="Calibri" w:hAnsi="Calibri"/>
          <w:color w:val="auto"/>
        </w:rPr>
        <w:t>.</w:t>
      </w:r>
    </w:p>
    <w:p w:rsidR="00114F20" w:rsidRPr="00006186" w:rsidRDefault="00FB1725" w:rsidP="00190E48">
      <w:pPr>
        <w:tabs>
          <w:tab w:val="left" w:pos="288"/>
          <w:tab w:val="left" w:pos="4752"/>
        </w:tabs>
        <w:spacing w:line="240" w:lineRule="exact"/>
        <w:jc w:val="both"/>
        <w:rPr>
          <w:rFonts w:ascii="Calibri" w:hAnsi="Calibri"/>
          <w:color w:val="auto"/>
        </w:rPr>
      </w:pPr>
      <w:r>
        <w:rPr>
          <w:rFonts w:ascii="Calibri" w:hAnsi="Calibri"/>
          <w:color w:val="auto"/>
        </w:rPr>
        <w:t xml:space="preserve">Exhibit B.  </w:t>
      </w:r>
      <w:proofErr w:type="gramStart"/>
      <w:r>
        <w:rPr>
          <w:rFonts w:ascii="Calibri" w:hAnsi="Calibri"/>
          <w:color w:val="auto"/>
        </w:rPr>
        <w:t>Service Treatment Record.</w:t>
      </w:r>
      <w:proofErr w:type="gramEnd"/>
    </w:p>
    <w:p w:rsidR="00114F20" w:rsidRDefault="00FB1725" w:rsidP="00190E48">
      <w:pPr>
        <w:tabs>
          <w:tab w:val="left" w:pos="288"/>
          <w:tab w:val="left" w:pos="4752"/>
        </w:tabs>
        <w:spacing w:line="240" w:lineRule="exact"/>
        <w:jc w:val="both"/>
        <w:rPr>
          <w:rFonts w:ascii="Calibri" w:hAnsi="Calibri"/>
          <w:color w:val="auto"/>
        </w:rPr>
      </w:pPr>
      <w:r>
        <w:rPr>
          <w:rFonts w:ascii="Calibri" w:hAnsi="Calibri"/>
          <w:color w:val="auto"/>
        </w:rPr>
        <w:t xml:space="preserve">Exhibit C.  </w:t>
      </w:r>
      <w:proofErr w:type="gramStart"/>
      <w:r>
        <w:rPr>
          <w:rFonts w:ascii="Calibri" w:hAnsi="Calibri"/>
          <w:color w:val="auto"/>
        </w:rPr>
        <w:t>Department of Veterans' Affairs Treatment Record.</w:t>
      </w:r>
      <w:proofErr w:type="gramEnd"/>
    </w:p>
    <w:p w:rsidR="003336DB" w:rsidRDefault="003336DB" w:rsidP="00190E48">
      <w:pPr>
        <w:tabs>
          <w:tab w:val="left" w:pos="288"/>
          <w:tab w:val="left" w:pos="4752"/>
        </w:tabs>
        <w:spacing w:line="240" w:lineRule="exact"/>
        <w:jc w:val="both"/>
        <w:rPr>
          <w:rFonts w:ascii="Calibri" w:hAnsi="Calibri"/>
          <w:color w:val="auto"/>
        </w:rPr>
      </w:pPr>
    </w:p>
    <w:p w:rsidR="003336DB" w:rsidRDefault="003336DB" w:rsidP="00190E48">
      <w:pPr>
        <w:tabs>
          <w:tab w:val="left" w:pos="288"/>
          <w:tab w:val="left" w:pos="4752"/>
        </w:tabs>
        <w:spacing w:line="240" w:lineRule="exact"/>
        <w:jc w:val="both"/>
        <w:rPr>
          <w:rFonts w:ascii="Calibri" w:hAnsi="Calibri"/>
          <w:color w:val="auto"/>
        </w:rPr>
      </w:pPr>
    </w:p>
    <w:p w:rsidR="003336DB" w:rsidRDefault="003336DB" w:rsidP="00190E48">
      <w:pPr>
        <w:tabs>
          <w:tab w:val="left" w:pos="288"/>
          <w:tab w:val="left" w:pos="4752"/>
        </w:tabs>
        <w:spacing w:line="240" w:lineRule="exact"/>
        <w:jc w:val="both"/>
        <w:rPr>
          <w:rFonts w:ascii="Calibri" w:hAnsi="Calibri"/>
          <w:color w:val="auto"/>
        </w:rPr>
      </w:pPr>
    </w:p>
    <w:p w:rsidR="003336DB" w:rsidRDefault="003336DB" w:rsidP="00190E48">
      <w:pPr>
        <w:tabs>
          <w:tab w:val="left" w:pos="288"/>
          <w:tab w:val="left" w:pos="4752"/>
        </w:tabs>
        <w:spacing w:line="240" w:lineRule="exact"/>
        <w:jc w:val="both"/>
        <w:rPr>
          <w:rFonts w:ascii="Calibri" w:hAnsi="Calibri"/>
          <w:color w:val="auto"/>
        </w:rPr>
      </w:pPr>
    </w:p>
    <w:p w:rsidR="00D91DA6" w:rsidRPr="00006186" w:rsidRDefault="00FB1725" w:rsidP="00190E48">
      <w:pPr>
        <w:tabs>
          <w:tab w:val="left" w:pos="0"/>
          <w:tab w:val="left" w:pos="4320"/>
        </w:tabs>
        <w:spacing w:line="240" w:lineRule="exact"/>
        <w:jc w:val="both"/>
        <w:rPr>
          <w:rFonts w:ascii="Calibri" w:hAnsi="Calibri"/>
          <w:color w:val="auto"/>
        </w:rPr>
      </w:pPr>
      <w:r>
        <w:rPr>
          <w:rFonts w:ascii="Calibri" w:hAnsi="Calibri"/>
          <w:color w:val="auto"/>
        </w:rPr>
        <w:t xml:space="preserve">                             </w:t>
      </w:r>
      <w:r>
        <w:rPr>
          <w:rFonts w:ascii="Calibri" w:hAnsi="Calibri"/>
          <w:color w:val="auto"/>
        </w:rPr>
        <w:tab/>
      </w:r>
      <w:r>
        <w:rPr>
          <w:rFonts w:ascii="Calibri" w:hAnsi="Calibri"/>
          <w:color w:val="auto"/>
        </w:rPr>
        <w:tab/>
      </w:r>
    </w:p>
    <w:p w:rsidR="00D91DA6" w:rsidRPr="00006186" w:rsidRDefault="00FB1725" w:rsidP="00190E48">
      <w:pPr>
        <w:tabs>
          <w:tab w:val="left" w:pos="0"/>
          <w:tab w:val="left" w:pos="4320"/>
        </w:tabs>
        <w:spacing w:line="240" w:lineRule="exact"/>
        <w:jc w:val="both"/>
        <w:rPr>
          <w:rFonts w:ascii="Calibri" w:hAnsi="Calibri"/>
          <w:color w:val="auto"/>
        </w:rPr>
      </w:pPr>
      <w:r>
        <w:rPr>
          <w:rFonts w:ascii="Calibri" w:hAnsi="Calibri"/>
          <w:color w:val="auto"/>
        </w:rPr>
        <w:t xml:space="preserve">                             </w:t>
      </w:r>
      <w:r>
        <w:rPr>
          <w:rFonts w:ascii="Calibri" w:hAnsi="Calibri"/>
          <w:color w:val="auto"/>
        </w:rPr>
        <w:tab/>
      </w:r>
      <w:r>
        <w:rPr>
          <w:rFonts w:ascii="Calibri" w:hAnsi="Calibri"/>
          <w:color w:val="auto"/>
        </w:rPr>
        <w:tab/>
        <w:t>Deputy Director</w:t>
      </w:r>
    </w:p>
    <w:p w:rsidR="00B522CD" w:rsidRDefault="00FB1725" w:rsidP="00190E48">
      <w:pPr>
        <w:tabs>
          <w:tab w:val="left" w:pos="288"/>
          <w:tab w:val="left" w:pos="4320"/>
          <w:tab w:val="left" w:pos="4410"/>
          <w:tab w:val="left" w:pos="4770"/>
          <w:tab w:val="left" w:pos="4860"/>
          <w:tab w:val="left" w:pos="5040"/>
        </w:tabs>
        <w:spacing w:line="240" w:lineRule="exact"/>
        <w:jc w:val="both"/>
        <w:rPr>
          <w:rFonts w:ascii="Calibri" w:hAnsi="Calibri"/>
          <w:color w:val="auto"/>
        </w:rPr>
      </w:pPr>
      <w:r>
        <w:rPr>
          <w:rFonts w:ascii="Calibri" w:hAnsi="Calibri"/>
          <w:color w:val="auto"/>
        </w:rPr>
        <w:tab/>
        <w:t xml:space="preserve">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t>Physical Disability Board of Review</w:t>
      </w:r>
    </w:p>
    <w:p w:rsidR="00541C38" w:rsidRDefault="00541C38">
      <w:pPr>
        <w:rPr>
          <w:rFonts w:ascii="Calibri" w:hAnsi="Calibri"/>
          <w:color w:val="auto"/>
        </w:rPr>
      </w:pPr>
      <w:r>
        <w:rPr>
          <w:rFonts w:ascii="Calibri" w:hAnsi="Calibri"/>
          <w:color w:val="auto"/>
        </w:rPr>
        <w:br w:type="page"/>
      </w:r>
    </w:p>
    <w:p w:rsidR="00541C38" w:rsidRPr="00541C38" w:rsidRDefault="00541C38" w:rsidP="00190E48">
      <w:pPr>
        <w:tabs>
          <w:tab w:val="left" w:pos="288"/>
          <w:tab w:val="left" w:pos="4320"/>
          <w:tab w:val="left" w:pos="4410"/>
          <w:tab w:val="left" w:pos="4770"/>
          <w:tab w:val="left" w:pos="4860"/>
          <w:tab w:val="left" w:pos="5040"/>
        </w:tabs>
        <w:spacing w:line="240" w:lineRule="exact"/>
        <w:jc w:val="both"/>
        <w:rPr>
          <w:rFonts w:ascii="Calibri" w:hAnsi="Calibri"/>
          <w:color w:val="auto"/>
        </w:rPr>
      </w:pPr>
    </w:p>
    <w:p w:rsidR="00541C38" w:rsidRPr="00541C38" w:rsidRDefault="00541C38" w:rsidP="00541C38">
      <w:pPr>
        <w:rPr>
          <w:color w:val="auto"/>
        </w:rPr>
      </w:pPr>
      <w:r w:rsidRPr="00541C38">
        <w:rPr>
          <w:color w:val="auto"/>
        </w:rPr>
        <w:t>MEMORANDUM FOR DEPUTY COMMANDANT, MANPOWER &amp; RESERVE AFFAIRS</w:t>
      </w:r>
    </w:p>
    <w:p w:rsidR="00541C38" w:rsidRPr="00541C38" w:rsidRDefault="00541C38" w:rsidP="00541C38">
      <w:pPr>
        <w:rPr>
          <w:color w:val="auto"/>
        </w:rPr>
      </w:pPr>
    </w:p>
    <w:p w:rsidR="00541C38" w:rsidRPr="00541C38" w:rsidRDefault="00541C38" w:rsidP="00541C38">
      <w:pPr>
        <w:rPr>
          <w:color w:val="auto"/>
        </w:rPr>
      </w:pPr>
      <w:proofErr w:type="spellStart"/>
      <w:r w:rsidRPr="00541C38">
        <w:rPr>
          <w:color w:val="auto"/>
        </w:rPr>
        <w:t>Subj</w:t>
      </w:r>
      <w:proofErr w:type="spellEnd"/>
      <w:r w:rsidRPr="00541C38">
        <w:rPr>
          <w:color w:val="auto"/>
        </w:rPr>
        <w:t>:  PHYSICAL DISABILITY BOARD OF REVIEW (PDBR) RECOMMENDATION</w:t>
      </w:r>
    </w:p>
    <w:p w:rsidR="00541C38" w:rsidRPr="00541C38" w:rsidRDefault="00541C38" w:rsidP="00541C38">
      <w:pPr>
        <w:tabs>
          <w:tab w:val="left" w:pos="630"/>
        </w:tabs>
        <w:rPr>
          <w:color w:val="auto"/>
        </w:rPr>
      </w:pPr>
      <w:r w:rsidRPr="00541C38">
        <w:rPr>
          <w:color w:val="auto"/>
        </w:rPr>
        <w:t xml:space="preserve">          </w:t>
      </w:r>
      <w:r w:rsidRPr="00541C38">
        <w:rPr>
          <w:color w:val="auto"/>
        </w:rPr>
        <w:tab/>
        <w:t xml:space="preserve">ICO </w:t>
      </w:r>
      <w:r>
        <w:rPr>
          <w:color w:val="auto"/>
        </w:rPr>
        <w:t>XXXXX</w:t>
      </w:r>
      <w:r w:rsidRPr="00541C38">
        <w:rPr>
          <w:color w:val="auto"/>
        </w:rPr>
        <w:t xml:space="preserve">, FORMER USMC, XXX XX </w:t>
      </w:r>
      <w:r>
        <w:rPr>
          <w:color w:val="auto"/>
        </w:rPr>
        <w:t>XXXX</w:t>
      </w:r>
    </w:p>
    <w:p w:rsidR="00541C38" w:rsidRPr="00541C38" w:rsidRDefault="00541C38" w:rsidP="00541C38">
      <w:pPr>
        <w:rPr>
          <w:color w:val="auto"/>
        </w:rPr>
      </w:pPr>
    </w:p>
    <w:p w:rsidR="00541C38" w:rsidRPr="00541C38" w:rsidRDefault="00541C38" w:rsidP="00541C38">
      <w:pPr>
        <w:rPr>
          <w:color w:val="auto"/>
        </w:rPr>
      </w:pPr>
      <w:r w:rsidRPr="00541C38">
        <w:rPr>
          <w:color w:val="auto"/>
        </w:rPr>
        <w:t>Ref:   (a) DoDI 6040.44</w:t>
      </w:r>
    </w:p>
    <w:p w:rsidR="00541C38" w:rsidRPr="00541C38" w:rsidRDefault="00541C38" w:rsidP="00541C38">
      <w:pPr>
        <w:rPr>
          <w:color w:val="auto"/>
        </w:rPr>
      </w:pPr>
    </w:p>
    <w:p w:rsidR="00541C38" w:rsidRPr="00541C38" w:rsidRDefault="00541C38" w:rsidP="00541C38">
      <w:pPr>
        <w:rPr>
          <w:color w:val="auto"/>
        </w:rPr>
      </w:pPr>
      <w:r w:rsidRPr="00541C38">
        <w:rPr>
          <w:color w:val="auto"/>
        </w:rPr>
        <w:t>1.  I have reviewed the subject case pursuant to reference (a).  The subject member’s official records are to be corrected to reflect the following retroactive disposition:</w:t>
      </w:r>
    </w:p>
    <w:p w:rsidR="00541C38" w:rsidRPr="00541C38" w:rsidRDefault="00541C38" w:rsidP="00541C38">
      <w:pPr>
        <w:rPr>
          <w:color w:val="auto"/>
        </w:rPr>
      </w:pPr>
    </w:p>
    <w:p w:rsidR="00541C38" w:rsidRPr="00541C38" w:rsidRDefault="00541C38" w:rsidP="00541C38">
      <w:pPr>
        <w:rPr>
          <w:color w:val="auto"/>
        </w:rPr>
      </w:pPr>
      <w:r w:rsidRPr="00541C38">
        <w:rPr>
          <w:color w:val="auto"/>
        </w:rPr>
        <w:tab/>
        <w:t>a. Separation from the naval service due to physical disability with placement on the Temporary Disability Retired List with a disability rating of 60 percent for the period 30 March 2008 thru 29 September 2008.</w:t>
      </w:r>
    </w:p>
    <w:p w:rsidR="00541C38" w:rsidRPr="00541C38" w:rsidRDefault="00541C38" w:rsidP="00541C38">
      <w:pPr>
        <w:rPr>
          <w:color w:val="auto"/>
        </w:rPr>
      </w:pPr>
    </w:p>
    <w:p w:rsidR="00541C38" w:rsidRPr="00541C38" w:rsidRDefault="00541C38" w:rsidP="00541C38">
      <w:pPr>
        <w:rPr>
          <w:color w:val="auto"/>
        </w:rPr>
      </w:pPr>
      <w:r w:rsidRPr="00541C38">
        <w:rPr>
          <w:color w:val="auto"/>
        </w:rPr>
        <w:tab/>
        <w:t>b. Final separation from naval service due to physical disability effective 30 September 2008  with a disability rating of 40 percent and placement on the Permanent Disability Retired List.</w:t>
      </w:r>
    </w:p>
    <w:p w:rsidR="00541C38" w:rsidRPr="00541C38" w:rsidRDefault="00541C38" w:rsidP="00541C38">
      <w:pPr>
        <w:rPr>
          <w:color w:val="auto"/>
        </w:rPr>
      </w:pPr>
    </w:p>
    <w:p w:rsidR="00541C38" w:rsidRPr="00541C38" w:rsidRDefault="00541C38" w:rsidP="00541C38">
      <w:pPr>
        <w:rPr>
          <w:color w:val="auto"/>
        </w:rPr>
      </w:pPr>
      <w:r w:rsidRPr="00541C38">
        <w:rPr>
          <w:color w:val="auto"/>
        </w:rPr>
        <w:t>2.  Please ensure all necessary actions are taken to implement this decision, including the recoupment of previously paid funds if appropriate, and notification to the subject member once those actions are completed.</w:t>
      </w:r>
    </w:p>
    <w:p w:rsidR="00541C38" w:rsidRPr="00541C38" w:rsidRDefault="00541C38" w:rsidP="00541C38">
      <w:pPr>
        <w:rPr>
          <w:color w:val="auto"/>
        </w:rPr>
      </w:pPr>
    </w:p>
    <w:p w:rsidR="00541C38" w:rsidRPr="00541C38" w:rsidRDefault="00541C38" w:rsidP="00541C38">
      <w:pPr>
        <w:rPr>
          <w:color w:val="auto"/>
        </w:rPr>
      </w:pPr>
    </w:p>
    <w:p w:rsidR="00541C38" w:rsidRPr="00541C38" w:rsidRDefault="00541C38" w:rsidP="00541C38">
      <w:pPr>
        <w:rPr>
          <w:color w:val="auto"/>
        </w:rPr>
      </w:pPr>
    </w:p>
    <w:p w:rsidR="00541C38" w:rsidRPr="00541C38" w:rsidRDefault="00541C38" w:rsidP="00541C38">
      <w:pPr>
        <w:tabs>
          <w:tab w:val="left" w:pos="4680"/>
        </w:tabs>
        <w:rPr>
          <w:color w:val="auto"/>
        </w:rPr>
      </w:pPr>
      <w:r w:rsidRPr="00541C38">
        <w:rPr>
          <w:color w:val="auto"/>
        </w:rPr>
        <w:tab/>
      </w:r>
    </w:p>
    <w:p w:rsidR="00541C38" w:rsidRPr="00541C38" w:rsidRDefault="00541C38" w:rsidP="00541C38">
      <w:pPr>
        <w:rPr>
          <w:color w:val="auto"/>
        </w:rPr>
      </w:pPr>
      <w:r w:rsidRPr="00541C38">
        <w:rPr>
          <w:color w:val="auto"/>
        </w:rPr>
        <w:tab/>
      </w:r>
      <w:r w:rsidRPr="00541C38">
        <w:rPr>
          <w:color w:val="auto"/>
        </w:rPr>
        <w:tab/>
      </w:r>
      <w:r w:rsidRPr="00541C38">
        <w:rPr>
          <w:color w:val="auto"/>
        </w:rPr>
        <w:tab/>
      </w:r>
      <w:r w:rsidRPr="00541C38">
        <w:rPr>
          <w:color w:val="auto"/>
        </w:rPr>
        <w:tab/>
      </w:r>
      <w:r w:rsidRPr="00541C38">
        <w:rPr>
          <w:color w:val="auto"/>
        </w:rPr>
        <w:tab/>
      </w:r>
      <w:r w:rsidRPr="00541C38">
        <w:rPr>
          <w:color w:val="auto"/>
        </w:rPr>
        <w:tab/>
        <w:t xml:space="preserve">      Principal Deputy</w:t>
      </w:r>
    </w:p>
    <w:p w:rsidR="00541C38" w:rsidRPr="00541C38" w:rsidRDefault="00541C38" w:rsidP="00541C38">
      <w:pPr>
        <w:rPr>
          <w:color w:val="auto"/>
        </w:rPr>
      </w:pPr>
      <w:r w:rsidRPr="00541C38">
        <w:rPr>
          <w:color w:val="auto"/>
        </w:rPr>
        <w:tab/>
      </w:r>
      <w:r w:rsidRPr="00541C38">
        <w:rPr>
          <w:color w:val="auto"/>
        </w:rPr>
        <w:tab/>
      </w:r>
      <w:r w:rsidRPr="00541C38">
        <w:rPr>
          <w:color w:val="auto"/>
        </w:rPr>
        <w:tab/>
      </w:r>
      <w:r w:rsidRPr="00541C38">
        <w:rPr>
          <w:color w:val="auto"/>
        </w:rPr>
        <w:tab/>
      </w:r>
      <w:r w:rsidRPr="00541C38">
        <w:rPr>
          <w:color w:val="auto"/>
        </w:rPr>
        <w:tab/>
      </w:r>
      <w:r w:rsidRPr="00541C38">
        <w:rPr>
          <w:color w:val="auto"/>
        </w:rPr>
        <w:tab/>
        <w:t xml:space="preserve">      Assistant Secretary of the Navy</w:t>
      </w:r>
    </w:p>
    <w:p w:rsidR="00541C38" w:rsidRPr="00541C38" w:rsidRDefault="00541C38" w:rsidP="00541C38">
      <w:pPr>
        <w:rPr>
          <w:color w:val="auto"/>
        </w:rPr>
      </w:pPr>
      <w:r w:rsidRPr="00541C38">
        <w:rPr>
          <w:color w:val="auto"/>
        </w:rPr>
        <w:tab/>
      </w:r>
      <w:r w:rsidRPr="00541C38">
        <w:rPr>
          <w:color w:val="auto"/>
        </w:rPr>
        <w:tab/>
      </w:r>
      <w:r w:rsidRPr="00541C38">
        <w:rPr>
          <w:color w:val="auto"/>
        </w:rPr>
        <w:tab/>
      </w:r>
      <w:r w:rsidRPr="00541C38">
        <w:rPr>
          <w:color w:val="auto"/>
        </w:rPr>
        <w:tab/>
      </w:r>
      <w:r w:rsidRPr="00541C38">
        <w:rPr>
          <w:color w:val="auto"/>
        </w:rPr>
        <w:tab/>
      </w:r>
      <w:r w:rsidRPr="00541C38">
        <w:rPr>
          <w:color w:val="auto"/>
        </w:rPr>
        <w:tab/>
        <w:t xml:space="preserve">        (Manpower &amp; Reserve Affairs)</w:t>
      </w:r>
    </w:p>
    <w:p w:rsidR="00541C38" w:rsidRDefault="00541C38" w:rsidP="00541C38"/>
    <w:p w:rsidR="00541C38" w:rsidRPr="00006186" w:rsidRDefault="00541C38" w:rsidP="00190E48">
      <w:pPr>
        <w:tabs>
          <w:tab w:val="left" w:pos="288"/>
          <w:tab w:val="left" w:pos="4320"/>
          <w:tab w:val="left" w:pos="4410"/>
          <w:tab w:val="left" w:pos="4770"/>
          <w:tab w:val="left" w:pos="4860"/>
          <w:tab w:val="left" w:pos="5040"/>
        </w:tabs>
        <w:spacing w:line="240" w:lineRule="exact"/>
        <w:jc w:val="both"/>
        <w:rPr>
          <w:rFonts w:ascii="Calibri" w:hAnsi="Calibri"/>
          <w:color w:val="auto"/>
        </w:rPr>
      </w:pPr>
    </w:p>
    <w:sectPr w:rsidR="00541C38"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F6" w:rsidRDefault="00A46CF6">
      <w:r>
        <w:separator/>
      </w:r>
    </w:p>
  </w:endnote>
  <w:endnote w:type="continuationSeparator" w:id="0">
    <w:p w:rsidR="00A46CF6" w:rsidRDefault="00A46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B0" w:rsidRDefault="00612E93">
    <w:pPr>
      <w:pStyle w:val="Footer"/>
      <w:framePr w:wrap="around" w:vAnchor="text" w:hAnchor="margin" w:xAlign="center" w:y="1"/>
      <w:rPr>
        <w:rStyle w:val="PageNumber"/>
      </w:rPr>
    </w:pPr>
    <w:r>
      <w:rPr>
        <w:rStyle w:val="PageNumber"/>
      </w:rPr>
      <w:fldChar w:fldCharType="begin"/>
    </w:r>
    <w:r w:rsidR="005D11B0">
      <w:rPr>
        <w:rStyle w:val="PageNumber"/>
      </w:rPr>
      <w:instrText xml:space="preserve">PAGE  </w:instrText>
    </w:r>
    <w:r>
      <w:rPr>
        <w:rStyle w:val="PageNumber"/>
      </w:rPr>
      <w:fldChar w:fldCharType="separate"/>
    </w:r>
    <w:r w:rsidR="005D11B0">
      <w:rPr>
        <w:rStyle w:val="PageNumber"/>
        <w:noProof/>
      </w:rPr>
      <w:t>2</w:t>
    </w:r>
    <w:r>
      <w:rPr>
        <w:rStyle w:val="PageNumber"/>
      </w:rPr>
      <w:fldChar w:fldCharType="end"/>
    </w:r>
  </w:p>
  <w:p w:rsidR="005D11B0" w:rsidRDefault="005D11B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B0" w:rsidRPr="00AC713F" w:rsidRDefault="00612E93">
    <w:pPr>
      <w:pStyle w:val="Footer"/>
      <w:framePr w:wrap="around" w:vAnchor="text" w:hAnchor="margin" w:xAlign="center" w:y="1"/>
      <w:rPr>
        <w:rStyle w:val="PageNumber"/>
        <w:rFonts w:ascii="Calibri" w:hAnsi="Calibri"/>
        <w:color w:val="auto"/>
      </w:rPr>
    </w:pPr>
    <w:r w:rsidRPr="00AC713F">
      <w:rPr>
        <w:rStyle w:val="PageNumber"/>
        <w:rFonts w:ascii="Calibri" w:hAnsi="Calibri"/>
        <w:color w:val="auto"/>
      </w:rPr>
      <w:fldChar w:fldCharType="begin"/>
    </w:r>
    <w:r w:rsidR="005D11B0" w:rsidRPr="00AC713F">
      <w:rPr>
        <w:rStyle w:val="PageNumber"/>
        <w:rFonts w:ascii="Calibri" w:hAnsi="Calibri"/>
        <w:color w:val="auto"/>
      </w:rPr>
      <w:instrText xml:space="preserve">PAGE  </w:instrText>
    </w:r>
    <w:r w:rsidRPr="00AC713F">
      <w:rPr>
        <w:rStyle w:val="PageNumber"/>
        <w:rFonts w:ascii="Calibri" w:hAnsi="Calibri"/>
        <w:color w:val="auto"/>
      </w:rPr>
      <w:fldChar w:fldCharType="separate"/>
    </w:r>
    <w:r w:rsidR="00541C38">
      <w:rPr>
        <w:rStyle w:val="PageNumber"/>
        <w:rFonts w:ascii="Calibri" w:hAnsi="Calibri"/>
        <w:noProof/>
        <w:color w:val="auto"/>
      </w:rPr>
      <w:t>2</w:t>
    </w:r>
    <w:r w:rsidRPr="00AC713F">
      <w:rPr>
        <w:rStyle w:val="PageNumber"/>
        <w:rFonts w:ascii="Calibri" w:hAnsi="Calibri"/>
        <w:color w:val="auto"/>
      </w:rPr>
      <w:fldChar w:fldCharType="end"/>
    </w:r>
  </w:p>
  <w:p w:rsidR="005D11B0" w:rsidRPr="00396779" w:rsidRDefault="005D11B0" w:rsidP="002B0749">
    <w:pPr>
      <w:pStyle w:val="Footer"/>
      <w:jc w:val="right"/>
      <w:rPr>
        <w:rFonts w:ascii="Calibri" w:hAnsi="Calibri"/>
        <w:color w:val="auto"/>
      </w:rPr>
    </w:pPr>
    <w:r>
      <w:tab/>
    </w:r>
    <w:r>
      <w:tab/>
    </w:r>
    <w:r w:rsidRPr="00396779">
      <w:rPr>
        <w:rFonts w:ascii="Calibri" w:hAnsi="Calibri"/>
        <w:caps/>
        <w:color w:val="auto"/>
      </w:rPr>
      <w:t>PD</w:t>
    </w:r>
    <w:r>
      <w:rPr>
        <w:rFonts w:ascii="Calibri" w:hAnsi="Calibri"/>
        <w:caps/>
        <w:color w:val="auto"/>
      </w:rPr>
      <w:t>1000597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F6" w:rsidRDefault="00A46CF6">
      <w:r>
        <w:separator/>
      </w:r>
    </w:p>
  </w:footnote>
  <w:footnote w:type="continuationSeparator" w:id="0">
    <w:p w:rsidR="00A46CF6" w:rsidRDefault="00A46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0898"/>
  </w:hdrShapeDefaults>
  <w:footnotePr>
    <w:numRestart w:val="eachSect"/>
    <w:footnote w:id="-1"/>
    <w:footnote w:id="0"/>
  </w:footnotePr>
  <w:endnotePr>
    <w:endnote w:id="-1"/>
    <w:endnote w:id="0"/>
  </w:endnotePr>
  <w:compat/>
  <w:rsids>
    <w:rsidRoot w:val="001C28D1"/>
    <w:rsid w:val="000041EC"/>
    <w:rsid w:val="000059FA"/>
    <w:rsid w:val="00006186"/>
    <w:rsid w:val="00006F87"/>
    <w:rsid w:val="00010ABA"/>
    <w:rsid w:val="00012428"/>
    <w:rsid w:val="00013417"/>
    <w:rsid w:val="000145C2"/>
    <w:rsid w:val="0001473F"/>
    <w:rsid w:val="00014A9E"/>
    <w:rsid w:val="00021361"/>
    <w:rsid w:val="00022CF3"/>
    <w:rsid w:val="000233C6"/>
    <w:rsid w:val="00023913"/>
    <w:rsid w:val="00023D43"/>
    <w:rsid w:val="00025465"/>
    <w:rsid w:val="000258AB"/>
    <w:rsid w:val="000274F2"/>
    <w:rsid w:val="00032E07"/>
    <w:rsid w:val="000332CA"/>
    <w:rsid w:val="0003374E"/>
    <w:rsid w:val="000344E6"/>
    <w:rsid w:val="00035C3A"/>
    <w:rsid w:val="00036E4B"/>
    <w:rsid w:val="000379D0"/>
    <w:rsid w:val="00040FC4"/>
    <w:rsid w:val="000416F8"/>
    <w:rsid w:val="00042C26"/>
    <w:rsid w:val="00043382"/>
    <w:rsid w:val="00044623"/>
    <w:rsid w:val="000461C9"/>
    <w:rsid w:val="00051622"/>
    <w:rsid w:val="00052234"/>
    <w:rsid w:val="000531F7"/>
    <w:rsid w:val="00053D7C"/>
    <w:rsid w:val="000577C9"/>
    <w:rsid w:val="0006431E"/>
    <w:rsid w:val="00065E21"/>
    <w:rsid w:val="00070010"/>
    <w:rsid w:val="00072433"/>
    <w:rsid w:val="00074190"/>
    <w:rsid w:val="00075702"/>
    <w:rsid w:val="000775C2"/>
    <w:rsid w:val="000775EC"/>
    <w:rsid w:val="000806AD"/>
    <w:rsid w:val="00082482"/>
    <w:rsid w:val="0008708B"/>
    <w:rsid w:val="00092619"/>
    <w:rsid w:val="00092C66"/>
    <w:rsid w:val="00094E4F"/>
    <w:rsid w:val="000A2BCE"/>
    <w:rsid w:val="000A41E3"/>
    <w:rsid w:val="000A4BBA"/>
    <w:rsid w:val="000A5071"/>
    <w:rsid w:val="000B0183"/>
    <w:rsid w:val="000B0605"/>
    <w:rsid w:val="000B284F"/>
    <w:rsid w:val="000B4C99"/>
    <w:rsid w:val="000C06F6"/>
    <w:rsid w:val="000C1D34"/>
    <w:rsid w:val="000C2362"/>
    <w:rsid w:val="000C2585"/>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7181"/>
    <w:rsid w:val="000F7D28"/>
    <w:rsid w:val="001008C1"/>
    <w:rsid w:val="001023DB"/>
    <w:rsid w:val="00103CCF"/>
    <w:rsid w:val="0010417F"/>
    <w:rsid w:val="001042D2"/>
    <w:rsid w:val="0010477C"/>
    <w:rsid w:val="00104E6F"/>
    <w:rsid w:val="0010530E"/>
    <w:rsid w:val="00105C07"/>
    <w:rsid w:val="00106AD8"/>
    <w:rsid w:val="00107EC5"/>
    <w:rsid w:val="001103CD"/>
    <w:rsid w:val="00114F20"/>
    <w:rsid w:val="001211AF"/>
    <w:rsid w:val="001219DF"/>
    <w:rsid w:val="00122ABE"/>
    <w:rsid w:val="001231DC"/>
    <w:rsid w:val="001272AE"/>
    <w:rsid w:val="001313F9"/>
    <w:rsid w:val="001315DD"/>
    <w:rsid w:val="0013525F"/>
    <w:rsid w:val="00135385"/>
    <w:rsid w:val="001364D1"/>
    <w:rsid w:val="00140780"/>
    <w:rsid w:val="00142EBA"/>
    <w:rsid w:val="00143B79"/>
    <w:rsid w:val="0014466E"/>
    <w:rsid w:val="00150B8A"/>
    <w:rsid w:val="00150DCB"/>
    <w:rsid w:val="00151912"/>
    <w:rsid w:val="00151FBB"/>
    <w:rsid w:val="00153740"/>
    <w:rsid w:val="001541C5"/>
    <w:rsid w:val="0015623F"/>
    <w:rsid w:val="00156585"/>
    <w:rsid w:val="00156BA9"/>
    <w:rsid w:val="00161761"/>
    <w:rsid w:val="00166182"/>
    <w:rsid w:val="001745DD"/>
    <w:rsid w:val="00177659"/>
    <w:rsid w:val="001779E5"/>
    <w:rsid w:val="00181D9D"/>
    <w:rsid w:val="00182A4C"/>
    <w:rsid w:val="00183F77"/>
    <w:rsid w:val="001844D8"/>
    <w:rsid w:val="00184CFE"/>
    <w:rsid w:val="00185DA8"/>
    <w:rsid w:val="00185ECB"/>
    <w:rsid w:val="001865E0"/>
    <w:rsid w:val="001870F0"/>
    <w:rsid w:val="00190E48"/>
    <w:rsid w:val="0019273F"/>
    <w:rsid w:val="00193814"/>
    <w:rsid w:val="00193AD5"/>
    <w:rsid w:val="00194930"/>
    <w:rsid w:val="001A072D"/>
    <w:rsid w:val="001A08CD"/>
    <w:rsid w:val="001A0A1E"/>
    <w:rsid w:val="001A5320"/>
    <w:rsid w:val="001A5E62"/>
    <w:rsid w:val="001A6848"/>
    <w:rsid w:val="001A7538"/>
    <w:rsid w:val="001A7F0A"/>
    <w:rsid w:val="001B0B1A"/>
    <w:rsid w:val="001B4EC2"/>
    <w:rsid w:val="001B5B59"/>
    <w:rsid w:val="001B60E0"/>
    <w:rsid w:val="001B71F7"/>
    <w:rsid w:val="001B7C8C"/>
    <w:rsid w:val="001C169B"/>
    <w:rsid w:val="001C181A"/>
    <w:rsid w:val="001C1877"/>
    <w:rsid w:val="001C2053"/>
    <w:rsid w:val="001C252F"/>
    <w:rsid w:val="001C28D1"/>
    <w:rsid w:val="001C5CFC"/>
    <w:rsid w:val="001C63BB"/>
    <w:rsid w:val="001C7418"/>
    <w:rsid w:val="001C79EB"/>
    <w:rsid w:val="001C7EBE"/>
    <w:rsid w:val="001D0051"/>
    <w:rsid w:val="001D2224"/>
    <w:rsid w:val="001D31AA"/>
    <w:rsid w:val="001D350E"/>
    <w:rsid w:val="001D4F88"/>
    <w:rsid w:val="001D68CF"/>
    <w:rsid w:val="001D6A8C"/>
    <w:rsid w:val="001D7A56"/>
    <w:rsid w:val="001E15C0"/>
    <w:rsid w:val="001E18E0"/>
    <w:rsid w:val="001E18E2"/>
    <w:rsid w:val="001E19D0"/>
    <w:rsid w:val="001E2A30"/>
    <w:rsid w:val="001E4581"/>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1F5B"/>
    <w:rsid w:val="00225196"/>
    <w:rsid w:val="00225CB4"/>
    <w:rsid w:val="0023049F"/>
    <w:rsid w:val="002316F6"/>
    <w:rsid w:val="00232C9B"/>
    <w:rsid w:val="00232F09"/>
    <w:rsid w:val="002335D5"/>
    <w:rsid w:val="002338CA"/>
    <w:rsid w:val="00233FE5"/>
    <w:rsid w:val="00234B3B"/>
    <w:rsid w:val="0024174E"/>
    <w:rsid w:val="00241B60"/>
    <w:rsid w:val="0024227D"/>
    <w:rsid w:val="00242D14"/>
    <w:rsid w:val="00246860"/>
    <w:rsid w:val="00246DFF"/>
    <w:rsid w:val="00246E89"/>
    <w:rsid w:val="00247596"/>
    <w:rsid w:val="002506F4"/>
    <w:rsid w:val="0025183C"/>
    <w:rsid w:val="002528EC"/>
    <w:rsid w:val="00255049"/>
    <w:rsid w:val="00257DE5"/>
    <w:rsid w:val="00260531"/>
    <w:rsid w:val="0026318D"/>
    <w:rsid w:val="002657D3"/>
    <w:rsid w:val="00270864"/>
    <w:rsid w:val="002712F7"/>
    <w:rsid w:val="0027159C"/>
    <w:rsid w:val="00272855"/>
    <w:rsid w:val="00274549"/>
    <w:rsid w:val="00274E46"/>
    <w:rsid w:val="00276C86"/>
    <w:rsid w:val="002810A4"/>
    <w:rsid w:val="00284A26"/>
    <w:rsid w:val="00287006"/>
    <w:rsid w:val="00292AB2"/>
    <w:rsid w:val="00294437"/>
    <w:rsid w:val="002A2147"/>
    <w:rsid w:val="002A3237"/>
    <w:rsid w:val="002A58B7"/>
    <w:rsid w:val="002A5943"/>
    <w:rsid w:val="002A5C3C"/>
    <w:rsid w:val="002A685E"/>
    <w:rsid w:val="002A72C7"/>
    <w:rsid w:val="002B03B2"/>
    <w:rsid w:val="002B0749"/>
    <w:rsid w:val="002B0B59"/>
    <w:rsid w:val="002B2645"/>
    <w:rsid w:val="002B31EA"/>
    <w:rsid w:val="002B6FA0"/>
    <w:rsid w:val="002B7BEF"/>
    <w:rsid w:val="002C5F10"/>
    <w:rsid w:val="002C6E5B"/>
    <w:rsid w:val="002D0585"/>
    <w:rsid w:val="002D18B4"/>
    <w:rsid w:val="002D231A"/>
    <w:rsid w:val="002D79F4"/>
    <w:rsid w:val="002E100E"/>
    <w:rsid w:val="002E1877"/>
    <w:rsid w:val="002E1C31"/>
    <w:rsid w:val="002E333A"/>
    <w:rsid w:val="002E3474"/>
    <w:rsid w:val="002E400C"/>
    <w:rsid w:val="002E49C3"/>
    <w:rsid w:val="002E5114"/>
    <w:rsid w:val="002E7570"/>
    <w:rsid w:val="002E764B"/>
    <w:rsid w:val="002F0E28"/>
    <w:rsid w:val="002F287E"/>
    <w:rsid w:val="002F2D63"/>
    <w:rsid w:val="002F4415"/>
    <w:rsid w:val="002F5063"/>
    <w:rsid w:val="002F7083"/>
    <w:rsid w:val="002F7F81"/>
    <w:rsid w:val="00300A36"/>
    <w:rsid w:val="003022B7"/>
    <w:rsid w:val="0030678B"/>
    <w:rsid w:val="00310CD7"/>
    <w:rsid w:val="00311CF8"/>
    <w:rsid w:val="0032136A"/>
    <w:rsid w:val="00323E70"/>
    <w:rsid w:val="00325BA2"/>
    <w:rsid w:val="00326C08"/>
    <w:rsid w:val="00326F7F"/>
    <w:rsid w:val="00331A4A"/>
    <w:rsid w:val="003320E8"/>
    <w:rsid w:val="0033334F"/>
    <w:rsid w:val="003336DB"/>
    <w:rsid w:val="0033554D"/>
    <w:rsid w:val="0033555E"/>
    <w:rsid w:val="00336805"/>
    <w:rsid w:val="00337351"/>
    <w:rsid w:val="00341A54"/>
    <w:rsid w:val="0034669F"/>
    <w:rsid w:val="00351498"/>
    <w:rsid w:val="00352B22"/>
    <w:rsid w:val="00353569"/>
    <w:rsid w:val="00354547"/>
    <w:rsid w:val="003567DE"/>
    <w:rsid w:val="003574F3"/>
    <w:rsid w:val="003579FC"/>
    <w:rsid w:val="0036257A"/>
    <w:rsid w:val="0036319E"/>
    <w:rsid w:val="003632A4"/>
    <w:rsid w:val="00363362"/>
    <w:rsid w:val="003636C0"/>
    <w:rsid w:val="00367D4F"/>
    <w:rsid w:val="00370743"/>
    <w:rsid w:val="00370EF5"/>
    <w:rsid w:val="0037135B"/>
    <w:rsid w:val="00372251"/>
    <w:rsid w:val="0037520D"/>
    <w:rsid w:val="00375724"/>
    <w:rsid w:val="00375809"/>
    <w:rsid w:val="0037628C"/>
    <w:rsid w:val="00376B81"/>
    <w:rsid w:val="00377BD2"/>
    <w:rsid w:val="003821E1"/>
    <w:rsid w:val="00383790"/>
    <w:rsid w:val="00384866"/>
    <w:rsid w:val="003857D4"/>
    <w:rsid w:val="00385D6F"/>
    <w:rsid w:val="00387095"/>
    <w:rsid w:val="00390092"/>
    <w:rsid w:val="00390E78"/>
    <w:rsid w:val="00393651"/>
    <w:rsid w:val="00395E12"/>
    <w:rsid w:val="00396779"/>
    <w:rsid w:val="00397DB7"/>
    <w:rsid w:val="003A27B2"/>
    <w:rsid w:val="003A40B4"/>
    <w:rsid w:val="003A41BA"/>
    <w:rsid w:val="003A55E0"/>
    <w:rsid w:val="003A5BFF"/>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5399"/>
    <w:rsid w:val="003E6214"/>
    <w:rsid w:val="003E7862"/>
    <w:rsid w:val="003F070E"/>
    <w:rsid w:val="003F58B0"/>
    <w:rsid w:val="004007E9"/>
    <w:rsid w:val="00400BE7"/>
    <w:rsid w:val="00401541"/>
    <w:rsid w:val="00401825"/>
    <w:rsid w:val="00401BBC"/>
    <w:rsid w:val="004039B7"/>
    <w:rsid w:val="00403BFB"/>
    <w:rsid w:val="00404B45"/>
    <w:rsid w:val="00406CC5"/>
    <w:rsid w:val="004074A4"/>
    <w:rsid w:val="004101B2"/>
    <w:rsid w:val="0041089A"/>
    <w:rsid w:val="004123D7"/>
    <w:rsid w:val="00412658"/>
    <w:rsid w:val="004172DB"/>
    <w:rsid w:val="00421485"/>
    <w:rsid w:val="00422B75"/>
    <w:rsid w:val="004268AF"/>
    <w:rsid w:val="00431ECB"/>
    <w:rsid w:val="00433F36"/>
    <w:rsid w:val="0043503A"/>
    <w:rsid w:val="0044384F"/>
    <w:rsid w:val="00444F80"/>
    <w:rsid w:val="00446018"/>
    <w:rsid w:val="004543BC"/>
    <w:rsid w:val="0045645D"/>
    <w:rsid w:val="00456611"/>
    <w:rsid w:val="004574C6"/>
    <w:rsid w:val="00457A2C"/>
    <w:rsid w:val="00457BCF"/>
    <w:rsid w:val="00457DCE"/>
    <w:rsid w:val="00460E3F"/>
    <w:rsid w:val="00462F68"/>
    <w:rsid w:val="00466CED"/>
    <w:rsid w:val="00467592"/>
    <w:rsid w:val="00467690"/>
    <w:rsid w:val="004718E7"/>
    <w:rsid w:val="00472535"/>
    <w:rsid w:val="00473932"/>
    <w:rsid w:val="004761CC"/>
    <w:rsid w:val="00480D4A"/>
    <w:rsid w:val="00481DA1"/>
    <w:rsid w:val="00484212"/>
    <w:rsid w:val="0049255F"/>
    <w:rsid w:val="0049445D"/>
    <w:rsid w:val="00495350"/>
    <w:rsid w:val="00497156"/>
    <w:rsid w:val="004A0C79"/>
    <w:rsid w:val="004A14EA"/>
    <w:rsid w:val="004A24D2"/>
    <w:rsid w:val="004A3214"/>
    <w:rsid w:val="004A4136"/>
    <w:rsid w:val="004A417B"/>
    <w:rsid w:val="004A4222"/>
    <w:rsid w:val="004B03F3"/>
    <w:rsid w:val="004B0CC9"/>
    <w:rsid w:val="004B2536"/>
    <w:rsid w:val="004B4BED"/>
    <w:rsid w:val="004B64C3"/>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026A1"/>
    <w:rsid w:val="00505964"/>
    <w:rsid w:val="00510588"/>
    <w:rsid w:val="0051146C"/>
    <w:rsid w:val="00514449"/>
    <w:rsid w:val="005157BD"/>
    <w:rsid w:val="005214A3"/>
    <w:rsid w:val="005222E7"/>
    <w:rsid w:val="00523A8B"/>
    <w:rsid w:val="00523E04"/>
    <w:rsid w:val="00525715"/>
    <w:rsid w:val="0052590B"/>
    <w:rsid w:val="00526591"/>
    <w:rsid w:val="00526E7D"/>
    <w:rsid w:val="00527178"/>
    <w:rsid w:val="0052789B"/>
    <w:rsid w:val="005278CB"/>
    <w:rsid w:val="00534D42"/>
    <w:rsid w:val="005350A5"/>
    <w:rsid w:val="00536379"/>
    <w:rsid w:val="00537238"/>
    <w:rsid w:val="005400C5"/>
    <w:rsid w:val="00540BEF"/>
    <w:rsid w:val="00541C38"/>
    <w:rsid w:val="00541F72"/>
    <w:rsid w:val="00542C9A"/>
    <w:rsid w:val="005436C2"/>
    <w:rsid w:val="005442D4"/>
    <w:rsid w:val="0054586A"/>
    <w:rsid w:val="0054631F"/>
    <w:rsid w:val="0055288D"/>
    <w:rsid w:val="005534C0"/>
    <w:rsid w:val="00555259"/>
    <w:rsid w:val="00560D57"/>
    <w:rsid w:val="00562A94"/>
    <w:rsid w:val="005709F7"/>
    <w:rsid w:val="005710A9"/>
    <w:rsid w:val="00571D1B"/>
    <w:rsid w:val="005733E7"/>
    <w:rsid w:val="005738F5"/>
    <w:rsid w:val="0057478E"/>
    <w:rsid w:val="0058039C"/>
    <w:rsid w:val="00593043"/>
    <w:rsid w:val="00594945"/>
    <w:rsid w:val="00594CA4"/>
    <w:rsid w:val="00595BF0"/>
    <w:rsid w:val="00597B70"/>
    <w:rsid w:val="005A1846"/>
    <w:rsid w:val="005A1C13"/>
    <w:rsid w:val="005A258C"/>
    <w:rsid w:val="005A3560"/>
    <w:rsid w:val="005A3A09"/>
    <w:rsid w:val="005A464E"/>
    <w:rsid w:val="005A6C99"/>
    <w:rsid w:val="005A7D5D"/>
    <w:rsid w:val="005B011A"/>
    <w:rsid w:val="005B1D8F"/>
    <w:rsid w:val="005B1E94"/>
    <w:rsid w:val="005B2590"/>
    <w:rsid w:val="005B5B3D"/>
    <w:rsid w:val="005B64CF"/>
    <w:rsid w:val="005B721B"/>
    <w:rsid w:val="005C16F3"/>
    <w:rsid w:val="005C3758"/>
    <w:rsid w:val="005D11B0"/>
    <w:rsid w:val="005D745A"/>
    <w:rsid w:val="005E1500"/>
    <w:rsid w:val="005E3064"/>
    <w:rsid w:val="005E72B2"/>
    <w:rsid w:val="005F1115"/>
    <w:rsid w:val="005F1AB6"/>
    <w:rsid w:val="005F27F2"/>
    <w:rsid w:val="005F3AFE"/>
    <w:rsid w:val="005F424D"/>
    <w:rsid w:val="005F6B6D"/>
    <w:rsid w:val="00605AAB"/>
    <w:rsid w:val="00606BEB"/>
    <w:rsid w:val="0061007A"/>
    <w:rsid w:val="0061014A"/>
    <w:rsid w:val="0061054B"/>
    <w:rsid w:val="00612E93"/>
    <w:rsid w:val="00613E26"/>
    <w:rsid w:val="00615641"/>
    <w:rsid w:val="00616959"/>
    <w:rsid w:val="00620302"/>
    <w:rsid w:val="006211D0"/>
    <w:rsid w:val="00624871"/>
    <w:rsid w:val="00624D0C"/>
    <w:rsid w:val="006274B4"/>
    <w:rsid w:val="006307BA"/>
    <w:rsid w:val="006315BA"/>
    <w:rsid w:val="00634C4A"/>
    <w:rsid w:val="0063532E"/>
    <w:rsid w:val="00636E82"/>
    <w:rsid w:val="00637BDC"/>
    <w:rsid w:val="006418C9"/>
    <w:rsid w:val="00642BD6"/>
    <w:rsid w:val="00645046"/>
    <w:rsid w:val="0064527A"/>
    <w:rsid w:val="00645EA2"/>
    <w:rsid w:val="0065201A"/>
    <w:rsid w:val="006526F6"/>
    <w:rsid w:val="00653D2D"/>
    <w:rsid w:val="006556E8"/>
    <w:rsid w:val="0065666C"/>
    <w:rsid w:val="006573F2"/>
    <w:rsid w:val="00662F08"/>
    <w:rsid w:val="00663589"/>
    <w:rsid w:val="0067049F"/>
    <w:rsid w:val="006708E3"/>
    <w:rsid w:val="00670DDC"/>
    <w:rsid w:val="00671EB4"/>
    <w:rsid w:val="0067443B"/>
    <w:rsid w:val="00684E2B"/>
    <w:rsid w:val="00685D3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D5E34"/>
    <w:rsid w:val="006E06D1"/>
    <w:rsid w:val="006E1313"/>
    <w:rsid w:val="006E2DC8"/>
    <w:rsid w:val="006E7356"/>
    <w:rsid w:val="006E77C8"/>
    <w:rsid w:val="006F149D"/>
    <w:rsid w:val="006F1A46"/>
    <w:rsid w:val="006F4F06"/>
    <w:rsid w:val="006F5A4E"/>
    <w:rsid w:val="006F6005"/>
    <w:rsid w:val="0070084D"/>
    <w:rsid w:val="00703B6C"/>
    <w:rsid w:val="00705C40"/>
    <w:rsid w:val="00706482"/>
    <w:rsid w:val="00706BEF"/>
    <w:rsid w:val="00707ECE"/>
    <w:rsid w:val="00710CE8"/>
    <w:rsid w:val="00711283"/>
    <w:rsid w:val="007116BC"/>
    <w:rsid w:val="007133BF"/>
    <w:rsid w:val="007165CE"/>
    <w:rsid w:val="00720968"/>
    <w:rsid w:val="00721705"/>
    <w:rsid w:val="00721D12"/>
    <w:rsid w:val="00721F8B"/>
    <w:rsid w:val="007237CE"/>
    <w:rsid w:val="00724688"/>
    <w:rsid w:val="0072531E"/>
    <w:rsid w:val="0073062D"/>
    <w:rsid w:val="0073254D"/>
    <w:rsid w:val="00736A49"/>
    <w:rsid w:val="007419A1"/>
    <w:rsid w:val="00743B71"/>
    <w:rsid w:val="00743C2D"/>
    <w:rsid w:val="00743E36"/>
    <w:rsid w:val="007446F7"/>
    <w:rsid w:val="00744EBB"/>
    <w:rsid w:val="00745B0A"/>
    <w:rsid w:val="007468AC"/>
    <w:rsid w:val="00746AE2"/>
    <w:rsid w:val="007502D2"/>
    <w:rsid w:val="00750C82"/>
    <w:rsid w:val="007605E8"/>
    <w:rsid w:val="0076100C"/>
    <w:rsid w:val="007612A5"/>
    <w:rsid w:val="00763015"/>
    <w:rsid w:val="00763F95"/>
    <w:rsid w:val="007651ED"/>
    <w:rsid w:val="00766C87"/>
    <w:rsid w:val="00772E78"/>
    <w:rsid w:val="00780378"/>
    <w:rsid w:val="00781BD4"/>
    <w:rsid w:val="00784832"/>
    <w:rsid w:val="00785D77"/>
    <w:rsid w:val="00786111"/>
    <w:rsid w:val="00791F1E"/>
    <w:rsid w:val="00794F3D"/>
    <w:rsid w:val="00796045"/>
    <w:rsid w:val="007968AC"/>
    <w:rsid w:val="007969AB"/>
    <w:rsid w:val="00797882"/>
    <w:rsid w:val="007A0B39"/>
    <w:rsid w:val="007A14A4"/>
    <w:rsid w:val="007A168F"/>
    <w:rsid w:val="007A28E4"/>
    <w:rsid w:val="007A2C9F"/>
    <w:rsid w:val="007A3BB3"/>
    <w:rsid w:val="007A5AD1"/>
    <w:rsid w:val="007A5B7B"/>
    <w:rsid w:val="007A7AC5"/>
    <w:rsid w:val="007B0A06"/>
    <w:rsid w:val="007B5C5C"/>
    <w:rsid w:val="007B7B37"/>
    <w:rsid w:val="007B7C41"/>
    <w:rsid w:val="007C11E9"/>
    <w:rsid w:val="007C35A9"/>
    <w:rsid w:val="007C433E"/>
    <w:rsid w:val="007C4452"/>
    <w:rsid w:val="007C4B3C"/>
    <w:rsid w:val="007C4DB1"/>
    <w:rsid w:val="007C52B8"/>
    <w:rsid w:val="007C6046"/>
    <w:rsid w:val="007C6DC1"/>
    <w:rsid w:val="007D0292"/>
    <w:rsid w:val="007D1E0C"/>
    <w:rsid w:val="007D21AC"/>
    <w:rsid w:val="007D3882"/>
    <w:rsid w:val="007D568A"/>
    <w:rsid w:val="007D574E"/>
    <w:rsid w:val="007D6BFE"/>
    <w:rsid w:val="007E2046"/>
    <w:rsid w:val="007E3883"/>
    <w:rsid w:val="007E3F7B"/>
    <w:rsid w:val="007E4FBB"/>
    <w:rsid w:val="007E55BF"/>
    <w:rsid w:val="007E71B1"/>
    <w:rsid w:val="007E7B4E"/>
    <w:rsid w:val="007F0CE2"/>
    <w:rsid w:val="007F0EFF"/>
    <w:rsid w:val="007F1375"/>
    <w:rsid w:val="00803850"/>
    <w:rsid w:val="00804385"/>
    <w:rsid w:val="00805AFD"/>
    <w:rsid w:val="00806FD8"/>
    <w:rsid w:val="008078D8"/>
    <w:rsid w:val="00811D5B"/>
    <w:rsid w:val="008162A2"/>
    <w:rsid w:val="00817713"/>
    <w:rsid w:val="008220F1"/>
    <w:rsid w:val="0082340B"/>
    <w:rsid w:val="00827DB6"/>
    <w:rsid w:val="008304B2"/>
    <w:rsid w:val="00830999"/>
    <w:rsid w:val="00830D5E"/>
    <w:rsid w:val="00830F69"/>
    <w:rsid w:val="00831D7D"/>
    <w:rsid w:val="00833418"/>
    <w:rsid w:val="00834458"/>
    <w:rsid w:val="00835841"/>
    <w:rsid w:val="00836104"/>
    <w:rsid w:val="00837465"/>
    <w:rsid w:val="00841243"/>
    <w:rsid w:val="00841457"/>
    <w:rsid w:val="0084374E"/>
    <w:rsid w:val="00844842"/>
    <w:rsid w:val="00844D6D"/>
    <w:rsid w:val="00844DD0"/>
    <w:rsid w:val="0085089F"/>
    <w:rsid w:val="0085206E"/>
    <w:rsid w:val="00852AD4"/>
    <w:rsid w:val="00852BA8"/>
    <w:rsid w:val="00853718"/>
    <w:rsid w:val="008541EF"/>
    <w:rsid w:val="00856AC7"/>
    <w:rsid w:val="00856FA4"/>
    <w:rsid w:val="0086162B"/>
    <w:rsid w:val="00861D5C"/>
    <w:rsid w:val="00865207"/>
    <w:rsid w:val="008656A7"/>
    <w:rsid w:val="00865EED"/>
    <w:rsid w:val="00866231"/>
    <w:rsid w:val="00871262"/>
    <w:rsid w:val="00871D4E"/>
    <w:rsid w:val="00871E7B"/>
    <w:rsid w:val="00875734"/>
    <w:rsid w:val="00875B51"/>
    <w:rsid w:val="00875F2D"/>
    <w:rsid w:val="008764DC"/>
    <w:rsid w:val="00876DBA"/>
    <w:rsid w:val="00882CC2"/>
    <w:rsid w:val="00883930"/>
    <w:rsid w:val="0088560C"/>
    <w:rsid w:val="008916EB"/>
    <w:rsid w:val="008936B8"/>
    <w:rsid w:val="00896535"/>
    <w:rsid w:val="00896683"/>
    <w:rsid w:val="0089750B"/>
    <w:rsid w:val="00897589"/>
    <w:rsid w:val="008A63A9"/>
    <w:rsid w:val="008A6AFD"/>
    <w:rsid w:val="008A7F7E"/>
    <w:rsid w:val="008B04DB"/>
    <w:rsid w:val="008B0918"/>
    <w:rsid w:val="008B27FD"/>
    <w:rsid w:val="008B3AF2"/>
    <w:rsid w:val="008B446D"/>
    <w:rsid w:val="008B515D"/>
    <w:rsid w:val="008B5D31"/>
    <w:rsid w:val="008B6705"/>
    <w:rsid w:val="008C22F3"/>
    <w:rsid w:val="008D795D"/>
    <w:rsid w:val="008D7B07"/>
    <w:rsid w:val="008E1E94"/>
    <w:rsid w:val="008E2D99"/>
    <w:rsid w:val="008E4A60"/>
    <w:rsid w:val="008E744D"/>
    <w:rsid w:val="008F1E08"/>
    <w:rsid w:val="00900D8F"/>
    <w:rsid w:val="009014E3"/>
    <w:rsid w:val="00901687"/>
    <w:rsid w:val="009026E8"/>
    <w:rsid w:val="00906B93"/>
    <w:rsid w:val="00906EB7"/>
    <w:rsid w:val="00907709"/>
    <w:rsid w:val="009102BF"/>
    <w:rsid w:val="00911490"/>
    <w:rsid w:val="009115F2"/>
    <w:rsid w:val="00914ADB"/>
    <w:rsid w:val="009206A0"/>
    <w:rsid w:val="00923B25"/>
    <w:rsid w:val="0092402E"/>
    <w:rsid w:val="009259BA"/>
    <w:rsid w:val="00926952"/>
    <w:rsid w:val="00926FCB"/>
    <w:rsid w:val="00931F57"/>
    <w:rsid w:val="0093311A"/>
    <w:rsid w:val="00942645"/>
    <w:rsid w:val="00944FDE"/>
    <w:rsid w:val="009472E9"/>
    <w:rsid w:val="00950A3A"/>
    <w:rsid w:val="0095340A"/>
    <w:rsid w:val="00954581"/>
    <w:rsid w:val="0095466C"/>
    <w:rsid w:val="00954E5B"/>
    <w:rsid w:val="009576BC"/>
    <w:rsid w:val="00957E02"/>
    <w:rsid w:val="00960357"/>
    <w:rsid w:val="0096168C"/>
    <w:rsid w:val="00961840"/>
    <w:rsid w:val="00962F2D"/>
    <w:rsid w:val="009672CD"/>
    <w:rsid w:val="00972996"/>
    <w:rsid w:val="009732B8"/>
    <w:rsid w:val="00975C72"/>
    <w:rsid w:val="009762B0"/>
    <w:rsid w:val="00976869"/>
    <w:rsid w:val="00977740"/>
    <w:rsid w:val="00977CB4"/>
    <w:rsid w:val="0098089E"/>
    <w:rsid w:val="009809B8"/>
    <w:rsid w:val="009811CF"/>
    <w:rsid w:val="0098222D"/>
    <w:rsid w:val="00985099"/>
    <w:rsid w:val="0099421F"/>
    <w:rsid w:val="00997D50"/>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2A71"/>
    <w:rsid w:val="009C3F82"/>
    <w:rsid w:val="009C72DD"/>
    <w:rsid w:val="009C7B3E"/>
    <w:rsid w:val="009C7DF5"/>
    <w:rsid w:val="009D056C"/>
    <w:rsid w:val="009D060F"/>
    <w:rsid w:val="009D0E82"/>
    <w:rsid w:val="009D1ADE"/>
    <w:rsid w:val="009D37CA"/>
    <w:rsid w:val="009D7EC5"/>
    <w:rsid w:val="009E09D0"/>
    <w:rsid w:val="009E1283"/>
    <w:rsid w:val="009E3A7F"/>
    <w:rsid w:val="009E5303"/>
    <w:rsid w:val="009E57B1"/>
    <w:rsid w:val="009E6379"/>
    <w:rsid w:val="009E73B5"/>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0F6B"/>
    <w:rsid w:val="00A32743"/>
    <w:rsid w:val="00A34A59"/>
    <w:rsid w:val="00A414A9"/>
    <w:rsid w:val="00A44CCA"/>
    <w:rsid w:val="00A44D75"/>
    <w:rsid w:val="00A46CF6"/>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1B8A"/>
    <w:rsid w:val="00A82C52"/>
    <w:rsid w:val="00A86CB6"/>
    <w:rsid w:val="00A87A0A"/>
    <w:rsid w:val="00A907C8"/>
    <w:rsid w:val="00A90D55"/>
    <w:rsid w:val="00A944D8"/>
    <w:rsid w:val="00A959E7"/>
    <w:rsid w:val="00A95BBA"/>
    <w:rsid w:val="00A961EE"/>
    <w:rsid w:val="00AA04B3"/>
    <w:rsid w:val="00AA1253"/>
    <w:rsid w:val="00AA19CF"/>
    <w:rsid w:val="00AA1ED0"/>
    <w:rsid w:val="00AA28EF"/>
    <w:rsid w:val="00AA3593"/>
    <w:rsid w:val="00AA38CA"/>
    <w:rsid w:val="00AA493E"/>
    <w:rsid w:val="00AA73AF"/>
    <w:rsid w:val="00AB0A8A"/>
    <w:rsid w:val="00AB1754"/>
    <w:rsid w:val="00AB27DD"/>
    <w:rsid w:val="00AC439D"/>
    <w:rsid w:val="00AC5F57"/>
    <w:rsid w:val="00AC713F"/>
    <w:rsid w:val="00AD067E"/>
    <w:rsid w:val="00AD09D7"/>
    <w:rsid w:val="00AD2801"/>
    <w:rsid w:val="00AD6870"/>
    <w:rsid w:val="00AD68C5"/>
    <w:rsid w:val="00AE1273"/>
    <w:rsid w:val="00AE2D29"/>
    <w:rsid w:val="00AE4624"/>
    <w:rsid w:val="00AE5E14"/>
    <w:rsid w:val="00AE6115"/>
    <w:rsid w:val="00AE625B"/>
    <w:rsid w:val="00AF1668"/>
    <w:rsid w:val="00AF4FA5"/>
    <w:rsid w:val="00B012E6"/>
    <w:rsid w:val="00B07955"/>
    <w:rsid w:val="00B140B8"/>
    <w:rsid w:val="00B14FAA"/>
    <w:rsid w:val="00B15D30"/>
    <w:rsid w:val="00B20624"/>
    <w:rsid w:val="00B23436"/>
    <w:rsid w:val="00B237F1"/>
    <w:rsid w:val="00B24F33"/>
    <w:rsid w:val="00B26354"/>
    <w:rsid w:val="00B26CA0"/>
    <w:rsid w:val="00B32179"/>
    <w:rsid w:val="00B33007"/>
    <w:rsid w:val="00B331A9"/>
    <w:rsid w:val="00B3637D"/>
    <w:rsid w:val="00B36569"/>
    <w:rsid w:val="00B40A05"/>
    <w:rsid w:val="00B40A3E"/>
    <w:rsid w:val="00B427BB"/>
    <w:rsid w:val="00B449EE"/>
    <w:rsid w:val="00B50227"/>
    <w:rsid w:val="00B50510"/>
    <w:rsid w:val="00B522CD"/>
    <w:rsid w:val="00B55143"/>
    <w:rsid w:val="00B555C8"/>
    <w:rsid w:val="00B55917"/>
    <w:rsid w:val="00B643A6"/>
    <w:rsid w:val="00B64DD6"/>
    <w:rsid w:val="00B6710C"/>
    <w:rsid w:val="00B67891"/>
    <w:rsid w:val="00B67E84"/>
    <w:rsid w:val="00B72076"/>
    <w:rsid w:val="00B72303"/>
    <w:rsid w:val="00B72C72"/>
    <w:rsid w:val="00B82277"/>
    <w:rsid w:val="00B831ED"/>
    <w:rsid w:val="00B91676"/>
    <w:rsid w:val="00B91BB0"/>
    <w:rsid w:val="00B93F00"/>
    <w:rsid w:val="00B95833"/>
    <w:rsid w:val="00BA1824"/>
    <w:rsid w:val="00BA2D98"/>
    <w:rsid w:val="00BA30D1"/>
    <w:rsid w:val="00BA30E1"/>
    <w:rsid w:val="00BA4609"/>
    <w:rsid w:val="00BA5BE2"/>
    <w:rsid w:val="00BA7F46"/>
    <w:rsid w:val="00BB0A0A"/>
    <w:rsid w:val="00BB133C"/>
    <w:rsid w:val="00BB30BE"/>
    <w:rsid w:val="00BB402E"/>
    <w:rsid w:val="00BB45B5"/>
    <w:rsid w:val="00BB6064"/>
    <w:rsid w:val="00BC09D1"/>
    <w:rsid w:val="00BC1CF3"/>
    <w:rsid w:val="00BC3573"/>
    <w:rsid w:val="00BC38A7"/>
    <w:rsid w:val="00BC7F82"/>
    <w:rsid w:val="00BD0848"/>
    <w:rsid w:val="00BD2579"/>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06297"/>
    <w:rsid w:val="00C1122B"/>
    <w:rsid w:val="00C13B34"/>
    <w:rsid w:val="00C13F26"/>
    <w:rsid w:val="00C1474E"/>
    <w:rsid w:val="00C16E9F"/>
    <w:rsid w:val="00C1713D"/>
    <w:rsid w:val="00C177F1"/>
    <w:rsid w:val="00C17EE6"/>
    <w:rsid w:val="00C2195B"/>
    <w:rsid w:val="00C22F3A"/>
    <w:rsid w:val="00C23311"/>
    <w:rsid w:val="00C246EE"/>
    <w:rsid w:val="00C25978"/>
    <w:rsid w:val="00C261C6"/>
    <w:rsid w:val="00C26E7C"/>
    <w:rsid w:val="00C276CD"/>
    <w:rsid w:val="00C30A97"/>
    <w:rsid w:val="00C31DDC"/>
    <w:rsid w:val="00C336BD"/>
    <w:rsid w:val="00C34326"/>
    <w:rsid w:val="00C35767"/>
    <w:rsid w:val="00C36201"/>
    <w:rsid w:val="00C368E8"/>
    <w:rsid w:val="00C36C3D"/>
    <w:rsid w:val="00C372C7"/>
    <w:rsid w:val="00C40121"/>
    <w:rsid w:val="00C42443"/>
    <w:rsid w:val="00C42CBA"/>
    <w:rsid w:val="00C50171"/>
    <w:rsid w:val="00C5019E"/>
    <w:rsid w:val="00C5377C"/>
    <w:rsid w:val="00C53E8A"/>
    <w:rsid w:val="00C54DF3"/>
    <w:rsid w:val="00C560A7"/>
    <w:rsid w:val="00C56FC8"/>
    <w:rsid w:val="00C60F23"/>
    <w:rsid w:val="00C626DF"/>
    <w:rsid w:val="00C62EB2"/>
    <w:rsid w:val="00C63624"/>
    <w:rsid w:val="00C71BEC"/>
    <w:rsid w:val="00C71E74"/>
    <w:rsid w:val="00C71FF4"/>
    <w:rsid w:val="00C74D3A"/>
    <w:rsid w:val="00C80511"/>
    <w:rsid w:val="00C81F14"/>
    <w:rsid w:val="00C826F5"/>
    <w:rsid w:val="00C82EE3"/>
    <w:rsid w:val="00C83740"/>
    <w:rsid w:val="00C84AD1"/>
    <w:rsid w:val="00C85579"/>
    <w:rsid w:val="00C863E5"/>
    <w:rsid w:val="00C87BE6"/>
    <w:rsid w:val="00C87F76"/>
    <w:rsid w:val="00C91618"/>
    <w:rsid w:val="00C931FC"/>
    <w:rsid w:val="00C932C5"/>
    <w:rsid w:val="00C93A5E"/>
    <w:rsid w:val="00C9650E"/>
    <w:rsid w:val="00CA068D"/>
    <w:rsid w:val="00CA1228"/>
    <w:rsid w:val="00CA282D"/>
    <w:rsid w:val="00CA4670"/>
    <w:rsid w:val="00CA6B1A"/>
    <w:rsid w:val="00CB20DC"/>
    <w:rsid w:val="00CB23DC"/>
    <w:rsid w:val="00CB2487"/>
    <w:rsid w:val="00CB28E2"/>
    <w:rsid w:val="00CB7A3E"/>
    <w:rsid w:val="00CB7FF7"/>
    <w:rsid w:val="00CC020E"/>
    <w:rsid w:val="00CC0D0E"/>
    <w:rsid w:val="00CC19B3"/>
    <w:rsid w:val="00CC2044"/>
    <w:rsid w:val="00CC39D2"/>
    <w:rsid w:val="00CC69EC"/>
    <w:rsid w:val="00CD0B76"/>
    <w:rsid w:val="00CD15BE"/>
    <w:rsid w:val="00CD1EF2"/>
    <w:rsid w:val="00CD32BD"/>
    <w:rsid w:val="00CD34C7"/>
    <w:rsid w:val="00CD40F7"/>
    <w:rsid w:val="00CD5653"/>
    <w:rsid w:val="00CD5E6D"/>
    <w:rsid w:val="00CD63C8"/>
    <w:rsid w:val="00CF0EF6"/>
    <w:rsid w:val="00CF158D"/>
    <w:rsid w:val="00CF4394"/>
    <w:rsid w:val="00D000A9"/>
    <w:rsid w:val="00D005DB"/>
    <w:rsid w:val="00D0064E"/>
    <w:rsid w:val="00D0064F"/>
    <w:rsid w:val="00D00981"/>
    <w:rsid w:val="00D02596"/>
    <w:rsid w:val="00D0280D"/>
    <w:rsid w:val="00D04DA6"/>
    <w:rsid w:val="00D07A72"/>
    <w:rsid w:val="00D10577"/>
    <w:rsid w:val="00D12651"/>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155E"/>
    <w:rsid w:val="00D449F0"/>
    <w:rsid w:val="00D50C8C"/>
    <w:rsid w:val="00D52393"/>
    <w:rsid w:val="00D523E4"/>
    <w:rsid w:val="00D5279D"/>
    <w:rsid w:val="00D52A1B"/>
    <w:rsid w:val="00D52FCC"/>
    <w:rsid w:val="00D53F14"/>
    <w:rsid w:val="00D54BE4"/>
    <w:rsid w:val="00D560DC"/>
    <w:rsid w:val="00D60483"/>
    <w:rsid w:val="00D61ABB"/>
    <w:rsid w:val="00D63577"/>
    <w:rsid w:val="00D67FD7"/>
    <w:rsid w:val="00D72AAA"/>
    <w:rsid w:val="00D74261"/>
    <w:rsid w:val="00D7441B"/>
    <w:rsid w:val="00D75551"/>
    <w:rsid w:val="00D76AB2"/>
    <w:rsid w:val="00D80490"/>
    <w:rsid w:val="00D829AD"/>
    <w:rsid w:val="00D82EE2"/>
    <w:rsid w:val="00D8545C"/>
    <w:rsid w:val="00D87788"/>
    <w:rsid w:val="00D877C8"/>
    <w:rsid w:val="00D910C2"/>
    <w:rsid w:val="00D9168C"/>
    <w:rsid w:val="00D9189B"/>
    <w:rsid w:val="00D91DA6"/>
    <w:rsid w:val="00D956FA"/>
    <w:rsid w:val="00D9706F"/>
    <w:rsid w:val="00D972D4"/>
    <w:rsid w:val="00DA195B"/>
    <w:rsid w:val="00DA6B55"/>
    <w:rsid w:val="00DA6B97"/>
    <w:rsid w:val="00DB0015"/>
    <w:rsid w:val="00DB2AAD"/>
    <w:rsid w:val="00DB626D"/>
    <w:rsid w:val="00DB6365"/>
    <w:rsid w:val="00DC0BF1"/>
    <w:rsid w:val="00DC41C3"/>
    <w:rsid w:val="00DC44B7"/>
    <w:rsid w:val="00DD286D"/>
    <w:rsid w:val="00DD2CAF"/>
    <w:rsid w:val="00DD3593"/>
    <w:rsid w:val="00DD64E0"/>
    <w:rsid w:val="00DE0C67"/>
    <w:rsid w:val="00DE6952"/>
    <w:rsid w:val="00DE7E74"/>
    <w:rsid w:val="00DF071B"/>
    <w:rsid w:val="00DF262F"/>
    <w:rsid w:val="00DF6EF8"/>
    <w:rsid w:val="00DF7971"/>
    <w:rsid w:val="00DF7BCD"/>
    <w:rsid w:val="00E00A69"/>
    <w:rsid w:val="00E017F0"/>
    <w:rsid w:val="00E01A0E"/>
    <w:rsid w:val="00E041E4"/>
    <w:rsid w:val="00E06CFA"/>
    <w:rsid w:val="00E1012B"/>
    <w:rsid w:val="00E103C8"/>
    <w:rsid w:val="00E1085B"/>
    <w:rsid w:val="00E12B30"/>
    <w:rsid w:val="00E1308B"/>
    <w:rsid w:val="00E14581"/>
    <w:rsid w:val="00E15539"/>
    <w:rsid w:val="00E16541"/>
    <w:rsid w:val="00E2173B"/>
    <w:rsid w:val="00E2536E"/>
    <w:rsid w:val="00E25B8A"/>
    <w:rsid w:val="00E2632B"/>
    <w:rsid w:val="00E322F7"/>
    <w:rsid w:val="00E3369B"/>
    <w:rsid w:val="00E36D76"/>
    <w:rsid w:val="00E405EA"/>
    <w:rsid w:val="00E408B7"/>
    <w:rsid w:val="00E41637"/>
    <w:rsid w:val="00E42789"/>
    <w:rsid w:val="00E43F59"/>
    <w:rsid w:val="00E45137"/>
    <w:rsid w:val="00E464F0"/>
    <w:rsid w:val="00E50BEB"/>
    <w:rsid w:val="00E548FA"/>
    <w:rsid w:val="00E57ED4"/>
    <w:rsid w:val="00E6092F"/>
    <w:rsid w:val="00E62049"/>
    <w:rsid w:val="00E629DA"/>
    <w:rsid w:val="00E6469F"/>
    <w:rsid w:val="00E670F8"/>
    <w:rsid w:val="00E67FAC"/>
    <w:rsid w:val="00E7200B"/>
    <w:rsid w:val="00E738CB"/>
    <w:rsid w:val="00E73C88"/>
    <w:rsid w:val="00E74437"/>
    <w:rsid w:val="00E7443D"/>
    <w:rsid w:val="00E76D15"/>
    <w:rsid w:val="00E76EC9"/>
    <w:rsid w:val="00E806E0"/>
    <w:rsid w:val="00E81C3E"/>
    <w:rsid w:val="00E82B6D"/>
    <w:rsid w:val="00EA1177"/>
    <w:rsid w:val="00EA118B"/>
    <w:rsid w:val="00EA11B6"/>
    <w:rsid w:val="00EA1BE2"/>
    <w:rsid w:val="00EA2181"/>
    <w:rsid w:val="00EA2DD8"/>
    <w:rsid w:val="00EA4475"/>
    <w:rsid w:val="00EA5771"/>
    <w:rsid w:val="00EA681F"/>
    <w:rsid w:val="00EB1167"/>
    <w:rsid w:val="00EB27C3"/>
    <w:rsid w:val="00EB3307"/>
    <w:rsid w:val="00EB3823"/>
    <w:rsid w:val="00EB47D8"/>
    <w:rsid w:val="00EB4FCB"/>
    <w:rsid w:val="00EB57D3"/>
    <w:rsid w:val="00EB5EFD"/>
    <w:rsid w:val="00EB679F"/>
    <w:rsid w:val="00EB76E4"/>
    <w:rsid w:val="00EC0E65"/>
    <w:rsid w:val="00EC2938"/>
    <w:rsid w:val="00EC38EF"/>
    <w:rsid w:val="00EC50C9"/>
    <w:rsid w:val="00EC58B4"/>
    <w:rsid w:val="00EC5BB2"/>
    <w:rsid w:val="00EC5F0A"/>
    <w:rsid w:val="00EC635D"/>
    <w:rsid w:val="00ED12F0"/>
    <w:rsid w:val="00ED3D75"/>
    <w:rsid w:val="00ED4773"/>
    <w:rsid w:val="00ED5C98"/>
    <w:rsid w:val="00ED664B"/>
    <w:rsid w:val="00ED6A61"/>
    <w:rsid w:val="00EE03BB"/>
    <w:rsid w:val="00EE0B44"/>
    <w:rsid w:val="00EE0FCB"/>
    <w:rsid w:val="00EE38DC"/>
    <w:rsid w:val="00EE42F9"/>
    <w:rsid w:val="00EE6FE0"/>
    <w:rsid w:val="00EE704A"/>
    <w:rsid w:val="00EE7840"/>
    <w:rsid w:val="00EF022A"/>
    <w:rsid w:val="00EF0584"/>
    <w:rsid w:val="00EF4C74"/>
    <w:rsid w:val="00EF5268"/>
    <w:rsid w:val="00EF608E"/>
    <w:rsid w:val="00F0044B"/>
    <w:rsid w:val="00F01580"/>
    <w:rsid w:val="00F04957"/>
    <w:rsid w:val="00F05807"/>
    <w:rsid w:val="00F07052"/>
    <w:rsid w:val="00F0706C"/>
    <w:rsid w:val="00F11EBE"/>
    <w:rsid w:val="00F12BA8"/>
    <w:rsid w:val="00F12BE0"/>
    <w:rsid w:val="00F130D0"/>
    <w:rsid w:val="00F14933"/>
    <w:rsid w:val="00F1516A"/>
    <w:rsid w:val="00F202C6"/>
    <w:rsid w:val="00F22A26"/>
    <w:rsid w:val="00F24072"/>
    <w:rsid w:val="00F26432"/>
    <w:rsid w:val="00F31214"/>
    <w:rsid w:val="00F3197A"/>
    <w:rsid w:val="00F32139"/>
    <w:rsid w:val="00F33D56"/>
    <w:rsid w:val="00F34E08"/>
    <w:rsid w:val="00F41D91"/>
    <w:rsid w:val="00F42363"/>
    <w:rsid w:val="00F46964"/>
    <w:rsid w:val="00F46F9A"/>
    <w:rsid w:val="00F470FD"/>
    <w:rsid w:val="00F50F30"/>
    <w:rsid w:val="00F5126A"/>
    <w:rsid w:val="00F5126E"/>
    <w:rsid w:val="00F5654E"/>
    <w:rsid w:val="00F6636A"/>
    <w:rsid w:val="00F667C5"/>
    <w:rsid w:val="00F67E31"/>
    <w:rsid w:val="00F718A8"/>
    <w:rsid w:val="00F72183"/>
    <w:rsid w:val="00F76D01"/>
    <w:rsid w:val="00F81C35"/>
    <w:rsid w:val="00F82981"/>
    <w:rsid w:val="00F8311F"/>
    <w:rsid w:val="00F83248"/>
    <w:rsid w:val="00F83376"/>
    <w:rsid w:val="00F853AE"/>
    <w:rsid w:val="00F93190"/>
    <w:rsid w:val="00F93C74"/>
    <w:rsid w:val="00F93DCC"/>
    <w:rsid w:val="00F93F0C"/>
    <w:rsid w:val="00F9435D"/>
    <w:rsid w:val="00F97740"/>
    <w:rsid w:val="00FA2F7B"/>
    <w:rsid w:val="00FA3C97"/>
    <w:rsid w:val="00FA78C8"/>
    <w:rsid w:val="00FB09FE"/>
    <w:rsid w:val="00FB101D"/>
    <w:rsid w:val="00FB1725"/>
    <w:rsid w:val="00FB2A84"/>
    <w:rsid w:val="00FB33FA"/>
    <w:rsid w:val="00FB5785"/>
    <w:rsid w:val="00FB593A"/>
    <w:rsid w:val="00FB5CF4"/>
    <w:rsid w:val="00FB6410"/>
    <w:rsid w:val="00FB6DD8"/>
    <w:rsid w:val="00FB6E82"/>
    <w:rsid w:val="00FC0042"/>
    <w:rsid w:val="00FC0F60"/>
    <w:rsid w:val="00FC2A13"/>
    <w:rsid w:val="00FC4284"/>
    <w:rsid w:val="00FC4576"/>
    <w:rsid w:val="00FC78FB"/>
    <w:rsid w:val="00FC7DBC"/>
    <w:rsid w:val="00FD076A"/>
    <w:rsid w:val="00FD0AA0"/>
    <w:rsid w:val="00FD1D5A"/>
    <w:rsid w:val="00FD3C5D"/>
    <w:rsid w:val="00FD5059"/>
    <w:rsid w:val="00FD554D"/>
    <w:rsid w:val="00FE6469"/>
    <w:rsid w:val="00FE6A3B"/>
    <w:rsid w:val="00FF0FF7"/>
    <w:rsid w:val="00FF10A2"/>
    <w:rsid w:val="00FF1438"/>
    <w:rsid w:val="00FF3A38"/>
    <w:rsid w:val="00FF3C25"/>
    <w:rsid w:val="00FF521E"/>
    <w:rsid w:val="00FF52DE"/>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17868531">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492C-5A81-4B44-9359-D334F717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2011-04-07T13:55:00Z</cp:lastPrinted>
  <dcterms:created xsi:type="dcterms:W3CDTF">2012-03-08T14:28:00Z</dcterms:created>
  <dcterms:modified xsi:type="dcterms:W3CDTF">2012-03-08T14:28:00Z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