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491D6D">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491D6D">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491D6D">
      <w:pPr>
        <w:tabs>
          <w:tab w:val="left" w:pos="288"/>
          <w:tab w:val="left" w:pos="4752"/>
        </w:tabs>
        <w:spacing w:line="240" w:lineRule="exact"/>
        <w:jc w:val="both"/>
        <w:rPr>
          <w:rFonts w:asciiTheme="minorHAnsi" w:hAnsiTheme="minorHAnsi"/>
          <w:caps/>
          <w:color w:val="auto"/>
        </w:rPr>
      </w:pPr>
    </w:p>
    <w:p w:rsidR="00540BEF" w:rsidRPr="009D4E68" w:rsidRDefault="00540BEF" w:rsidP="00491D6D">
      <w:pPr>
        <w:tabs>
          <w:tab w:val="left" w:pos="288"/>
          <w:tab w:val="left" w:pos="4752"/>
        </w:tabs>
        <w:spacing w:line="240" w:lineRule="exact"/>
        <w:ind w:right="-1260"/>
        <w:jc w:val="both"/>
        <w:rPr>
          <w:rFonts w:asciiTheme="minorHAnsi" w:hAnsiTheme="minorHAnsi"/>
          <w:caps/>
          <w:color w:val="auto"/>
        </w:rPr>
      </w:pPr>
      <w:r w:rsidRPr="009D4E68">
        <w:rPr>
          <w:rFonts w:asciiTheme="minorHAnsi" w:hAnsiTheme="minorHAnsi"/>
          <w:caps/>
          <w:color w:val="auto"/>
        </w:rPr>
        <w:t>NAME:</w:t>
      </w:r>
      <w:r w:rsidR="00C04E08" w:rsidRPr="009D4E68">
        <w:rPr>
          <w:rFonts w:asciiTheme="minorHAnsi" w:hAnsiTheme="minorHAnsi"/>
          <w:caps/>
          <w:color w:val="auto"/>
        </w:rPr>
        <w:t xml:space="preserve"> </w:t>
      </w:r>
      <w:r w:rsidR="00C6453F" w:rsidRPr="009D4E68">
        <w:rPr>
          <w:rFonts w:asciiTheme="minorHAnsi" w:hAnsiTheme="minorHAnsi"/>
          <w:caps/>
          <w:color w:val="auto"/>
        </w:rPr>
        <w:t xml:space="preserve"> </w:t>
      </w:r>
      <w:r w:rsidR="00441DD8">
        <w:rPr>
          <w:rFonts w:asciiTheme="minorHAnsi" w:hAnsiTheme="minorHAnsi"/>
          <w:caps/>
          <w:color w:val="auto"/>
        </w:rPr>
        <w:t>XXXXX</w:t>
      </w:r>
      <w:r w:rsidRPr="009D4E68">
        <w:rPr>
          <w:rFonts w:asciiTheme="minorHAnsi" w:hAnsiTheme="minorHAnsi"/>
          <w:caps/>
          <w:color w:val="auto"/>
        </w:rPr>
        <w:tab/>
      </w:r>
      <w:r w:rsidR="00C04E08" w:rsidRPr="009D4E68">
        <w:rPr>
          <w:rFonts w:asciiTheme="minorHAnsi" w:hAnsiTheme="minorHAnsi"/>
          <w:caps/>
          <w:color w:val="auto"/>
        </w:rPr>
        <w:t xml:space="preserve">     </w:t>
      </w:r>
      <w:r w:rsidR="001A6ACB">
        <w:rPr>
          <w:rFonts w:asciiTheme="minorHAnsi" w:hAnsiTheme="minorHAnsi"/>
          <w:caps/>
          <w:color w:val="auto"/>
        </w:rPr>
        <w:tab/>
      </w:r>
      <w:r w:rsidR="001A6ACB">
        <w:rPr>
          <w:rFonts w:asciiTheme="minorHAnsi" w:hAnsiTheme="minorHAnsi"/>
          <w:caps/>
          <w:color w:val="auto"/>
        </w:rPr>
        <w:tab/>
      </w:r>
      <w:r w:rsidRPr="009D4E68">
        <w:rPr>
          <w:rFonts w:asciiTheme="minorHAnsi" w:hAnsiTheme="minorHAnsi"/>
          <w:caps/>
          <w:color w:val="auto"/>
        </w:rPr>
        <w:t xml:space="preserve">BRANCH OF SERVICE: </w:t>
      </w:r>
      <w:r w:rsidR="00E1012B" w:rsidRPr="009D4E68">
        <w:rPr>
          <w:rFonts w:asciiTheme="minorHAnsi" w:hAnsiTheme="minorHAnsi"/>
          <w:caps/>
          <w:color w:val="auto"/>
        </w:rPr>
        <w:t xml:space="preserve"> </w:t>
      </w:r>
      <w:r w:rsidR="00C04E08" w:rsidRPr="009D4E68">
        <w:rPr>
          <w:rFonts w:asciiTheme="minorHAnsi" w:hAnsiTheme="minorHAnsi"/>
          <w:caps/>
          <w:color w:val="auto"/>
        </w:rPr>
        <w:t>Marine</w:t>
      </w:r>
    </w:p>
    <w:p w:rsidR="00C04E08" w:rsidRPr="009D4E68" w:rsidRDefault="00540BEF" w:rsidP="00491D6D">
      <w:pPr>
        <w:tabs>
          <w:tab w:val="left" w:pos="288"/>
          <w:tab w:val="left" w:pos="4752"/>
        </w:tabs>
        <w:spacing w:line="240" w:lineRule="exact"/>
        <w:ind w:right="-900"/>
        <w:jc w:val="both"/>
        <w:rPr>
          <w:rFonts w:asciiTheme="minorHAnsi" w:hAnsiTheme="minorHAnsi"/>
          <w:caps/>
          <w:color w:val="auto"/>
        </w:rPr>
      </w:pPr>
      <w:r w:rsidRPr="009D4E68">
        <w:rPr>
          <w:rFonts w:asciiTheme="minorHAnsi" w:hAnsiTheme="minorHAnsi"/>
          <w:caps/>
          <w:color w:val="auto"/>
        </w:rPr>
        <w:t>CASE NUMBER:  PD</w:t>
      </w:r>
      <w:r w:rsidR="005E36B2" w:rsidRPr="009D4E68">
        <w:rPr>
          <w:rFonts w:asciiTheme="minorHAnsi" w:hAnsiTheme="minorHAnsi"/>
          <w:caps/>
          <w:color w:val="auto"/>
        </w:rPr>
        <w:t>1000591</w:t>
      </w:r>
      <w:r w:rsidRPr="009D4E68">
        <w:rPr>
          <w:rFonts w:asciiTheme="minorHAnsi" w:hAnsiTheme="minorHAnsi"/>
          <w:caps/>
          <w:color w:val="auto"/>
        </w:rPr>
        <w:tab/>
      </w:r>
      <w:r w:rsidRPr="009D4E68">
        <w:rPr>
          <w:rFonts w:asciiTheme="minorHAnsi" w:hAnsiTheme="minorHAnsi"/>
          <w:caps/>
          <w:color w:val="auto"/>
        </w:rPr>
        <w:tab/>
      </w:r>
      <w:r w:rsidR="001A6ACB">
        <w:rPr>
          <w:rFonts w:asciiTheme="minorHAnsi" w:hAnsiTheme="minorHAnsi"/>
          <w:caps/>
          <w:color w:val="auto"/>
        </w:rPr>
        <w:tab/>
      </w:r>
      <w:r w:rsidR="00C22F3A" w:rsidRPr="009D4E68">
        <w:rPr>
          <w:rFonts w:asciiTheme="minorHAnsi" w:hAnsiTheme="minorHAnsi"/>
          <w:caps/>
          <w:color w:val="auto"/>
        </w:rPr>
        <w:t xml:space="preserve">SEPARATION DATE: </w:t>
      </w:r>
      <w:r w:rsidR="00C6453F" w:rsidRPr="009D4E68">
        <w:rPr>
          <w:rFonts w:asciiTheme="minorHAnsi" w:hAnsiTheme="minorHAnsi"/>
          <w:caps/>
          <w:color w:val="auto"/>
        </w:rPr>
        <w:t xml:space="preserve"> </w:t>
      </w:r>
      <w:r w:rsidR="00C04E08" w:rsidRPr="009D4E68">
        <w:rPr>
          <w:rFonts w:asciiTheme="minorHAnsi" w:hAnsiTheme="minorHAnsi"/>
          <w:caps/>
          <w:color w:val="auto"/>
        </w:rPr>
        <w:t>20020331</w:t>
      </w:r>
    </w:p>
    <w:p w:rsidR="00540BEF" w:rsidRPr="009D4E68" w:rsidRDefault="00540BEF" w:rsidP="00491D6D">
      <w:pPr>
        <w:tabs>
          <w:tab w:val="left" w:pos="288"/>
          <w:tab w:val="left" w:pos="4752"/>
        </w:tabs>
        <w:spacing w:line="240" w:lineRule="exact"/>
        <w:jc w:val="both"/>
        <w:rPr>
          <w:rFonts w:asciiTheme="minorHAnsi" w:hAnsiTheme="minorHAnsi"/>
          <w:caps/>
          <w:color w:val="auto"/>
        </w:rPr>
      </w:pPr>
      <w:r w:rsidRPr="009D4E68">
        <w:rPr>
          <w:rFonts w:asciiTheme="minorHAnsi" w:hAnsiTheme="minorHAnsi"/>
          <w:caps/>
          <w:color w:val="auto"/>
        </w:rPr>
        <w:t xml:space="preserve">BOARD DATE: </w:t>
      </w:r>
      <w:r w:rsidR="00C6453F" w:rsidRPr="009D4E68">
        <w:rPr>
          <w:rFonts w:asciiTheme="minorHAnsi" w:hAnsiTheme="minorHAnsi"/>
          <w:caps/>
          <w:color w:val="auto"/>
        </w:rPr>
        <w:t xml:space="preserve"> </w:t>
      </w:r>
      <w:r w:rsidR="000F02BE" w:rsidRPr="009D4E68">
        <w:rPr>
          <w:rFonts w:asciiTheme="minorHAnsi" w:hAnsiTheme="minorHAnsi"/>
          <w:caps/>
          <w:color w:val="auto"/>
        </w:rPr>
        <w:t>201</w:t>
      </w:r>
      <w:r w:rsidR="00491D6D" w:rsidRPr="009D4E68">
        <w:rPr>
          <w:rFonts w:asciiTheme="minorHAnsi" w:hAnsiTheme="minorHAnsi"/>
          <w:caps/>
          <w:color w:val="auto"/>
        </w:rPr>
        <w:t>1</w:t>
      </w:r>
      <w:r w:rsidR="00213208" w:rsidRPr="009D4E68">
        <w:rPr>
          <w:rFonts w:asciiTheme="minorHAnsi" w:hAnsiTheme="minorHAnsi"/>
          <w:caps/>
          <w:color w:val="auto"/>
        </w:rPr>
        <w:t>0316</w:t>
      </w:r>
      <w:r w:rsidRPr="009D4E68">
        <w:rPr>
          <w:rFonts w:asciiTheme="minorHAnsi" w:hAnsiTheme="minorHAnsi"/>
          <w:caps/>
          <w:color w:val="auto"/>
        </w:rPr>
        <w:tab/>
      </w:r>
      <w:r w:rsidRPr="009D4E68">
        <w:rPr>
          <w:rFonts w:asciiTheme="minorHAnsi" w:hAnsiTheme="minorHAnsi"/>
          <w:caps/>
          <w:color w:val="auto"/>
        </w:rPr>
        <w:tab/>
      </w:r>
    </w:p>
    <w:p w:rsidR="00540BEF" w:rsidRPr="009D4E68" w:rsidRDefault="00540BEF" w:rsidP="00491D6D">
      <w:pPr>
        <w:tabs>
          <w:tab w:val="left" w:pos="288"/>
          <w:tab w:val="left" w:pos="4752"/>
        </w:tabs>
        <w:spacing w:line="240" w:lineRule="exact"/>
        <w:jc w:val="both"/>
        <w:rPr>
          <w:rFonts w:asciiTheme="minorHAnsi" w:hAnsiTheme="minorHAnsi"/>
          <w:caps/>
          <w:color w:val="auto"/>
        </w:rPr>
      </w:pPr>
      <w:r w:rsidRPr="009D4E68">
        <w:rPr>
          <w:rFonts w:asciiTheme="minorHAnsi" w:hAnsiTheme="minorHAnsi"/>
          <w:color w:val="auto"/>
          <w:u w:val="single"/>
        </w:rPr>
        <w:t>_______________________________________________________________</w:t>
      </w:r>
      <w:r w:rsidRPr="009D4E68">
        <w:rPr>
          <w:rFonts w:asciiTheme="minorHAnsi" w:hAnsiTheme="minorHAnsi"/>
          <w:color w:val="auto"/>
        </w:rPr>
        <w:t>_</w:t>
      </w:r>
      <w:r w:rsidR="00AC713F" w:rsidRPr="009D4E68">
        <w:rPr>
          <w:rFonts w:asciiTheme="minorHAnsi" w:hAnsiTheme="minorHAnsi"/>
          <w:color w:val="auto"/>
        </w:rPr>
        <w:t>___________</w:t>
      </w:r>
    </w:p>
    <w:p w:rsidR="00B522CD" w:rsidRPr="009D4E68" w:rsidRDefault="00B522CD" w:rsidP="00491D6D">
      <w:pPr>
        <w:tabs>
          <w:tab w:val="left" w:pos="288"/>
          <w:tab w:val="left" w:pos="4752"/>
        </w:tabs>
        <w:spacing w:line="240" w:lineRule="exact"/>
        <w:jc w:val="both"/>
        <w:rPr>
          <w:color w:val="000080"/>
          <w:szCs w:val="24"/>
        </w:rPr>
      </w:pPr>
    </w:p>
    <w:p w:rsidR="00A22199" w:rsidRPr="009D4E68" w:rsidRDefault="002C6E5B" w:rsidP="00491D6D">
      <w:pPr>
        <w:pStyle w:val="ListParagraph"/>
        <w:spacing w:after="0" w:line="240" w:lineRule="exact"/>
        <w:ind w:left="0"/>
        <w:jc w:val="both"/>
        <w:rPr>
          <w:rFonts w:cs="Times New Roman"/>
          <w:sz w:val="24"/>
          <w:szCs w:val="24"/>
        </w:rPr>
      </w:pPr>
      <w:r w:rsidRPr="009D4E68">
        <w:rPr>
          <w:rFonts w:ascii="Calibri" w:hAnsi="Calibri"/>
          <w:sz w:val="24"/>
          <w:szCs w:val="24"/>
          <w:u w:val="single"/>
        </w:rPr>
        <w:t>SUMMARY OF CASE</w:t>
      </w:r>
      <w:r w:rsidRPr="009D4E68">
        <w:rPr>
          <w:rFonts w:ascii="Calibri" w:hAnsi="Calibri"/>
          <w:sz w:val="24"/>
          <w:szCs w:val="24"/>
        </w:rPr>
        <w:t xml:space="preserve">: </w:t>
      </w:r>
      <w:r w:rsidR="00491D6D" w:rsidRPr="009D4E68">
        <w:rPr>
          <w:rFonts w:ascii="Calibri" w:hAnsi="Calibri"/>
          <w:sz w:val="24"/>
          <w:szCs w:val="24"/>
        </w:rPr>
        <w:t xml:space="preserve"> </w:t>
      </w:r>
      <w:r w:rsidR="00854F10" w:rsidRPr="009D4E68">
        <w:rPr>
          <w:sz w:val="24"/>
          <w:szCs w:val="24"/>
        </w:rPr>
        <w:t>Data extracted from the available evidence of record reflects that this covered individual (CI)</w:t>
      </w:r>
      <w:r w:rsidRPr="009D4E68">
        <w:rPr>
          <w:rFonts w:ascii="Calibri" w:hAnsi="Calibri"/>
          <w:sz w:val="24"/>
          <w:szCs w:val="24"/>
        </w:rPr>
        <w:t xml:space="preserve"> was </w:t>
      </w:r>
      <w:r w:rsidR="00E322F7" w:rsidRPr="009D4E68">
        <w:rPr>
          <w:rFonts w:ascii="Calibri" w:hAnsi="Calibri"/>
          <w:sz w:val="24"/>
          <w:szCs w:val="24"/>
        </w:rPr>
        <w:t xml:space="preserve">an </w:t>
      </w:r>
      <w:r w:rsidR="001A6ACB">
        <w:rPr>
          <w:rFonts w:ascii="Calibri" w:hAnsi="Calibri"/>
          <w:sz w:val="24"/>
          <w:szCs w:val="24"/>
        </w:rPr>
        <w:t>a</w:t>
      </w:r>
      <w:r w:rsidR="00C04E08" w:rsidRPr="009D4E68">
        <w:rPr>
          <w:rFonts w:ascii="Calibri" w:hAnsi="Calibri"/>
          <w:sz w:val="24"/>
          <w:szCs w:val="24"/>
        </w:rPr>
        <w:t xml:space="preserve">ctive </w:t>
      </w:r>
      <w:r w:rsidR="001A6ACB">
        <w:rPr>
          <w:rFonts w:ascii="Calibri" w:hAnsi="Calibri"/>
          <w:sz w:val="24"/>
          <w:szCs w:val="24"/>
        </w:rPr>
        <w:t>d</w:t>
      </w:r>
      <w:r w:rsidR="00C04E08" w:rsidRPr="009D4E68">
        <w:rPr>
          <w:rFonts w:ascii="Calibri" w:hAnsi="Calibri"/>
          <w:sz w:val="24"/>
          <w:szCs w:val="24"/>
        </w:rPr>
        <w:t xml:space="preserve">uty </w:t>
      </w:r>
      <w:proofErr w:type="spellStart"/>
      <w:r w:rsidR="00C04E08" w:rsidRPr="009D4E68">
        <w:rPr>
          <w:rFonts w:ascii="Calibri" w:hAnsi="Calibri"/>
          <w:sz w:val="24"/>
          <w:szCs w:val="24"/>
        </w:rPr>
        <w:t>LC</w:t>
      </w:r>
      <w:r w:rsidR="009D4E68">
        <w:rPr>
          <w:rFonts w:ascii="Calibri" w:hAnsi="Calibri"/>
          <w:sz w:val="24"/>
          <w:szCs w:val="24"/>
        </w:rPr>
        <w:t>pl</w:t>
      </w:r>
      <w:proofErr w:type="spellEnd"/>
      <w:r w:rsidR="00C04E08" w:rsidRPr="009D4E68">
        <w:rPr>
          <w:rFonts w:ascii="Calibri" w:hAnsi="Calibri"/>
          <w:sz w:val="24"/>
          <w:szCs w:val="24"/>
        </w:rPr>
        <w:t xml:space="preserve"> (0311, Rifleman) medically separated from the Marine Corps in 2002 after a total of </w:t>
      </w:r>
      <w:r w:rsidR="001A6ACB">
        <w:rPr>
          <w:rFonts w:ascii="Calibri" w:hAnsi="Calibri"/>
          <w:sz w:val="24"/>
          <w:szCs w:val="24"/>
        </w:rPr>
        <w:t xml:space="preserve">four </w:t>
      </w:r>
      <w:r w:rsidR="00C04E08" w:rsidRPr="009D4E68">
        <w:rPr>
          <w:rFonts w:ascii="Calibri" w:hAnsi="Calibri"/>
          <w:sz w:val="24"/>
          <w:szCs w:val="24"/>
        </w:rPr>
        <w:t>years</w:t>
      </w:r>
      <w:r w:rsidR="001A6ACB">
        <w:rPr>
          <w:rFonts w:ascii="Calibri" w:hAnsi="Calibri"/>
          <w:sz w:val="24"/>
          <w:szCs w:val="24"/>
        </w:rPr>
        <w:t xml:space="preserve"> of service</w:t>
      </w:r>
      <w:r w:rsidR="00094AA6">
        <w:rPr>
          <w:rFonts w:ascii="Calibri" w:hAnsi="Calibri"/>
          <w:sz w:val="24"/>
          <w:szCs w:val="24"/>
        </w:rPr>
        <w:t xml:space="preserve">.  </w:t>
      </w:r>
      <w:r w:rsidR="00C04E08" w:rsidRPr="009D4E68">
        <w:rPr>
          <w:rFonts w:ascii="Calibri" w:hAnsi="Calibri"/>
          <w:sz w:val="24"/>
          <w:szCs w:val="24"/>
        </w:rPr>
        <w:t xml:space="preserve">The medical basis for the separation was </w:t>
      </w:r>
      <w:r w:rsidR="001A6ACB">
        <w:rPr>
          <w:rFonts w:ascii="Calibri" w:hAnsi="Calibri"/>
          <w:sz w:val="24"/>
          <w:szCs w:val="24"/>
        </w:rPr>
        <w:t>s</w:t>
      </w:r>
      <w:r w:rsidR="00C04E08" w:rsidRPr="009D4E68">
        <w:rPr>
          <w:rFonts w:ascii="Calibri" w:hAnsi="Calibri"/>
          <w:sz w:val="24"/>
          <w:szCs w:val="24"/>
        </w:rPr>
        <w:t xml:space="preserve">tatus </w:t>
      </w:r>
      <w:r w:rsidR="001A6ACB">
        <w:rPr>
          <w:rFonts w:ascii="Calibri" w:hAnsi="Calibri"/>
          <w:sz w:val="24"/>
          <w:szCs w:val="24"/>
        </w:rPr>
        <w:t>p</w:t>
      </w:r>
      <w:r w:rsidR="00C04E08" w:rsidRPr="009D4E68">
        <w:rPr>
          <w:rFonts w:ascii="Calibri" w:hAnsi="Calibri"/>
          <w:sz w:val="24"/>
          <w:szCs w:val="24"/>
        </w:rPr>
        <w:t>ost</w:t>
      </w:r>
      <w:r w:rsidR="001A6ACB">
        <w:rPr>
          <w:rFonts w:ascii="Calibri" w:hAnsi="Calibri"/>
          <w:sz w:val="24"/>
          <w:szCs w:val="24"/>
        </w:rPr>
        <w:t xml:space="preserve"> (S/P)</w:t>
      </w:r>
      <w:r w:rsidR="00C04E08" w:rsidRPr="009D4E68">
        <w:rPr>
          <w:rFonts w:ascii="Calibri" w:hAnsi="Calibri"/>
          <w:sz w:val="24"/>
          <w:szCs w:val="24"/>
        </w:rPr>
        <w:t xml:space="preserve"> </w:t>
      </w:r>
      <w:r w:rsidR="001A6ACB">
        <w:rPr>
          <w:rFonts w:ascii="Calibri" w:hAnsi="Calibri"/>
          <w:sz w:val="24"/>
          <w:szCs w:val="24"/>
        </w:rPr>
        <w:t>c</w:t>
      </w:r>
      <w:r w:rsidR="00C04E08" w:rsidRPr="009D4E68">
        <w:rPr>
          <w:rFonts w:ascii="Calibri" w:hAnsi="Calibri"/>
          <w:sz w:val="24"/>
          <w:szCs w:val="24"/>
        </w:rPr>
        <w:t xml:space="preserve">losed </w:t>
      </w:r>
      <w:r w:rsidR="00C6453F" w:rsidRPr="009D4E68">
        <w:rPr>
          <w:rFonts w:ascii="Calibri" w:hAnsi="Calibri"/>
          <w:sz w:val="24"/>
          <w:szCs w:val="24"/>
        </w:rPr>
        <w:t>(</w:t>
      </w:r>
      <w:r w:rsidR="001A6ACB">
        <w:rPr>
          <w:rFonts w:ascii="Calibri" w:hAnsi="Calibri"/>
          <w:sz w:val="24"/>
          <w:szCs w:val="24"/>
        </w:rPr>
        <w:t>l</w:t>
      </w:r>
      <w:r w:rsidR="00C6453F" w:rsidRPr="009D4E68">
        <w:rPr>
          <w:rFonts w:ascii="Calibri" w:hAnsi="Calibri"/>
          <w:sz w:val="24"/>
          <w:szCs w:val="24"/>
        </w:rPr>
        <w:t xml:space="preserve">eft) </w:t>
      </w:r>
      <w:r w:rsidR="001A6ACB">
        <w:rPr>
          <w:rFonts w:ascii="Calibri" w:hAnsi="Calibri"/>
          <w:sz w:val="24"/>
          <w:szCs w:val="24"/>
        </w:rPr>
        <w:t>t</w:t>
      </w:r>
      <w:r w:rsidR="00C04E08" w:rsidRPr="009D4E68">
        <w:rPr>
          <w:rFonts w:ascii="Calibri" w:hAnsi="Calibri"/>
          <w:sz w:val="24"/>
          <w:szCs w:val="24"/>
        </w:rPr>
        <w:t xml:space="preserve">ibia and </w:t>
      </w:r>
      <w:r w:rsidR="001A6ACB">
        <w:rPr>
          <w:rFonts w:ascii="Calibri" w:hAnsi="Calibri"/>
          <w:sz w:val="24"/>
          <w:szCs w:val="24"/>
        </w:rPr>
        <w:t>f</w:t>
      </w:r>
      <w:r w:rsidR="00C04E08" w:rsidRPr="009D4E68">
        <w:rPr>
          <w:rFonts w:ascii="Calibri" w:hAnsi="Calibri"/>
          <w:sz w:val="24"/>
          <w:szCs w:val="24"/>
        </w:rPr>
        <w:t xml:space="preserve">ibula </w:t>
      </w:r>
      <w:r w:rsidR="001A6ACB">
        <w:rPr>
          <w:rFonts w:ascii="Calibri" w:hAnsi="Calibri"/>
          <w:sz w:val="24"/>
          <w:szCs w:val="24"/>
        </w:rPr>
        <w:t>f</w:t>
      </w:r>
      <w:r w:rsidR="00C04E08" w:rsidRPr="009D4E68">
        <w:rPr>
          <w:rFonts w:ascii="Calibri" w:hAnsi="Calibri"/>
          <w:sz w:val="24"/>
          <w:szCs w:val="24"/>
        </w:rPr>
        <w:t xml:space="preserve">racture.  </w:t>
      </w:r>
      <w:r w:rsidR="00AC0EBA" w:rsidRPr="009D4E68">
        <w:rPr>
          <w:rFonts w:ascii="Calibri" w:hAnsi="Calibri"/>
          <w:sz w:val="24"/>
          <w:szCs w:val="24"/>
        </w:rPr>
        <w:t>The CI injured his left lower leg in November 1999</w:t>
      </w:r>
      <w:r w:rsidR="0037386F" w:rsidRPr="009D4E68">
        <w:rPr>
          <w:rFonts w:ascii="Calibri" w:hAnsi="Calibri"/>
          <w:sz w:val="24"/>
          <w:szCs w:val="24"/>
        </w:rPr>
        <w:t xml:space="preserve"> during which </w:t>
      </w:r>
      <w:r w:rsidR="001A6ACB">
        <w:rPr>
          <w:rFonts w:ascii="Calibri" w:hAnsi="Calibri"/>
          <w:sz w:val="24"/>
          <w:szCs w:val="24"/>
        </w:rPr>
        <w:t xml:space="preserve">he </w:t>
      </w:r>
      <w:r w:rsidR="0037386F" w:rsidRPr="009D4E68">
        <w:rPr>
          <w:rFonts w:ascii="Calibri" w:hAnsi="Calibri"/>
          <w:sz w:val="24"/>
          <w:szCs w:val="24"/>
        </w:rPr>
        <w:t>sustain</w:t>
      </w:r>
      <w:r w:rsidR="001A6ACB">
        <w:rPr>
          <w:rFonts w:ascii="Calibri" w:hAnsi="Calibri"/>
          <w:sz w:val="24"/>
          <w:szCs w:val="24"/>
        </w:rPr>
        <w:t>ed</w:t>
      </w:r>
      <w:r w:rsidR="0037386F" w:rsidRPr="009D4E68">
        <w:rPr>
          <w:rFonts w:ascii="Calibri" w:hAnsi="Calibri"/>
          <w:sz w:val="24"/>
          <w:szCs w:val="24"/>
        </w:rPr>
        <w:t xml:space="preserve"> a closed fracture to the left tibia and fibula.  </w:t>
      </w:r>
      <w:r w:rsidR="006F30D4" w:rsidRPr="009D4E68">
        <w:rPr>
          <w:rFonts w:ascii="Calibri" w:hAnsi="Calibri"/>
          <w:sz w:val="24"/>
          <w:szCs w:val="24"/>
        </w:rPr>
        <w:t>Initially he was managed with cast immobilization and subsequent activity progression; however</w:t>
      </w:r>
      <w:r w:rsidR="001A6ACB">
        <w:rPr>
          <w:rFonts w:ascii="Calibri" w:hAnsi="Calibri"/>
          <w:sz w:val="24"/>
          <w:szCs w:val="24"/>
        </w:rPr>
        <w:t>,</w:t>
      </w:r>
      <w:r w:rsidR="006F30D4" w:rsidRPr="009D4E68">
        <w:rPr>
          <w:rFonts w:ascii="Calibri" w:hAnsi="Calibri"/>
          <w:sz w:val="24"/>
          <w:szCs w:val="24"/>
        </w:rPr>
        <w:t xml:space="preserve"> the CI continued to complain of leg length inequality and pain throughout the left lower extremity.  In December 2000, the CI </w:t>
      </w:r>
      <w:r w:rsidR="00AE4C2E" w:rsidRPr="009D4E68">
        <w:rPr>
          <w:rFonts w:ascii="Calibri" w:hAnsi="Calibri"/>
          <w:sz w:val="24"/>
          <w:szCs w:val="24"/>
        </w:rPr>
        <w:t>underwent a</w:t>
      </w:r>
      <w:r w:rsidR="006F30D4" w:rsidRPr="009D4E68">
        <w:rPr>
          <w:rFonts w:ascii="Calibri" w:hAnsi="Calibri"/>
          <w:sz w:val="24"/>
          <w:szCs w:val="24"/>
        </w:rPr>
        <w:t xml:space="preserve"> corrective </w:t>
      </w:r>
      <w:proofErr w:type="spellStart"/>
      <w:r w:rsidR="006F30D4" w:rsidRPr="009D4E68">
        <w:rPr>
          <w:rFonts w:ascii="Calibri" w:hAnsi="Calibri"/>
          <w:sz w:val="24"/>
          <w:szCs w:val="24"/>
        </w:rPr>
        <w:t>osteotomy</w:t>
      </w:r>
      <w:proofErr w:type="spellEnd"/>
      <w:r w:rsidR="006F30D4" w:rsidRPr="009D4E68">
        <w:rPr>
          <w:rFonts w:ascii="Calibri" w:hAnsi="Calibri"/>
          <w:sz w:val="24"/>
          <w:szCs w:val="24"/>
        </w:rPr>
        <w:t xml:space="preserve"> for both the left tibia and fibula.  At this time, a partial injury to the superficial peroneal nerve was noted.  The CI was placed on </w:t>
      </w:r>
      <w:r w:rsidR="001A6ACB">
        <w:rPr>
          <w:rFonts w:ascii="Calibri" w:hAnsi="Calibri"/>
          <w:sz w:val="24"/>
          <w:szCs w:val="24"/>
        </w:rPr>
        <w:t>l</w:t>
      </w:r>
      <w:r w:rsidR="006F30D4" w:rsidRPr="009D4E68">
        <w:rPr>
          <w:rFonts w:ascii="Calibri" w:hAnsi="Calibri"/>
          <w:sz w:val="24"/>
          <w:szCs w:val="24"/>
        </w:rPr>
        <w:t xml:space="preserve">imited </w:t>
      </w:r>
      <w:r w:rsidR="001A6ACB">
        <w:rPr>
          <w:rFonts w:ascii="Calibri" w:hAnsi="Calibri"/>
          <w:sz w:val="24"/>
          <w:szCs w:val="24"/>
        </w:rPr>
        <w:t>d</w:t>
      </w:r>
      <w:r w:rsidR="006F30D4" w:rsidRPr="009D4E68">
        <w:rPr>
          <w:rFonts w:ascii="Calibri" w:hAnsi="Calibri"/>
          <w:sz w:val="24"/>
          <w:szCs w:val="24"/>
        </w:rPr>
        <w:t xml:space="preserve">uty (LIMDU) for </w:t>
      </w:r>
      <w:r w:rsidR="001A6ACB">
        <w:rPr>
          <w:rFonts w:ascii="Calibri" w:hAnsi="Calibri"/>
          <w:sz w:val="24"/>
          <w:szCs w:val="24"/>
        </w:rPr>
        <w:t>eight</w:t>
      </w:r>
      <w:r w:rsidR="006F30D4" w:rsidRPr="009D4E68">
        <w:rPr>
          <w:rFonts w:ascii="Calibri" w:hAnsi="Calibri"/>
          <w:sz w:val="24"/>
          <w:szCs w:val="24"/>
        </w:rPr>
        <w:t xml:space="preserve"> months</w:t>
      </w:r>
      <w:r w:rsidR="001A6ACB">
        <w:rPr>
          <w:rFonts w:ascii="Calibri" w:hAnsi="Calibri"/>
          <w:sz w:val="24"/>
          <w:szCs w:val="24"/>
        </w:rPr>
        <w:t xml:space="preserve">. </w:t>
      </w:r>
      <w:r w:rsidR="006C0EF5" w:rsidRPr="009D4E68">
        <w:rPr>
          <w:rFonts w:ascii="Calibri" w:hAnsi="Calibri"/>
          <w:sz w:val="24"/>
          <w:szCs w:val="24"/>
        </w:rPr>
        <w:t xml:space="preserve"> Despite the extensive LIMDU, the CI was unable to return to full duty and was referred to a Medical Evaluation Board (MEB).  The MEB found</w:t>
      </w:r>
      <w:r w:rsidR="00DE19A6">
        <w:rPr>
          <w:rFonts w:ascii="Calibri" w:hAnsi="Calibri"/>
          <w:sz w:val="24"/>
          <w:szCs w:val="24"/>
        </w:rPr>
        <w:t xml:space="preserve"> that</w:t>
      </w:r>
      <w:r w:rsidR="001A6ACB">
        <w:rPr>
          <w:rFonts w:ascii="Calibri" w:hAnsi="Calibri"/>
          <w:sz w:val="24"/>
          <w:szCs w:val="24"/>
        </w:rPr>
        <w:t>,</w:t>
      </w:r>
      <w:r w:rsidR="006C0EF5" w:rsidRPr="009D4E68">
        <w:rPr>
          <w:rFonts w:ascii="Calibri" w:hAnsi="Calibri"/>
          <w:sz w:val="24"/>
          <w:szCs w:val="24"/>
        </w:rPr>
        <w:t xml:space="preserve"> “despite an attempted restoration of mechanical axis and length, this has not improved the patient’s complaints of activity rela</w:t>
      </w:r>
      <w:r w:rsidR="00C6453F" w:rsidRPr="009D4E68">
        <w:rPr>
          <w:rFonts w:ascii="Calibri" w:hAnsi="Calibri"/>
          <w:sz w:val="24"/>
          <w:szCs w:val="24"/>
        </w:rPr>
        <w:t>ted to his work</w:t>
      </w:r>
      <w:r w:rsidR="001A6ACB">
        <w:rPr>
          <w:rFonts w:ascii="Calibri" w:hAnsi="Calibri"/>
          <w:sz w:val="24"/>
          <w:szCs w:val="24"/>
        </w:rPr>
        <w:t>,</w:t>
      </w:r>
      <w:r w:rsidR="00C6453F" w:rsidRPr="009D4E68">
        <w:rPr>
          <w:rFonts w:ascii="Calibri" w:hAnsi="Calibri"/>
          <w:sz w:val="24"/>
          <w:szCs w:val="24"/>
        </w:rPr>
        <w:t>” and forwarded</w:t>
      </w:r>
      <w:r w:rsidR="001A6ACB">
        <w:rPr>
          <w:rFonts w:ascii="Calibri" w:hAnsi="Calibri"/>
          <w:sz w:val="24"/>
          <w:szCs w:val="24"/>
        </w:rPr>
        <w:t xml:space="preserve"> </w:t>
      </w:r>
      <w:r w:rsidR="006C0EF5" w:rsidRPr="009D4E68">
        <w:rPr>
          <w:rFonts w:ascii="Calibri" w:hAnsi="Calibri"/>
          <w:sz w:val="24"/>
          <w:szCs w:val="24"/>
        </w:rPr>
        <w:t xml:space="preserve">S/P </w:t>
      </w:r>
      <w:r w:rsidR="001A6ACB">
        <w:rPr>
          <w:rFonts w:ascii="Calibri" w:hAnsi="Calibri"/>
          <w:sz w:val="24"/>
          <w:szCs w:val="24"/>
        </w:rPr>
        <w:t>c</w:t>
      </w:r>
      <w:r w:rsidR="006C0EF5" w:rsidRPr="009D4E68">
        <w:rPr>
          <w:rFonts w:ascii="Calibri" w:hAnsi="Calibri"/>
          <w:sz w:val="24"/>
          <w:szCs w:val="24"/>
        </w:rPr>
        <w:t xml:space="preserve">losed </w:t>
      </w:r>
      <w:r w:rsidR="001A6ACB">
        <w:rPr>
          <w:rFonts w:ascii="Calibri" w:hAnsi="Calibri"/>
          <w:sz w:val="24"/>
          <w:szCs w:val="24"/>
        </w:rPr>
        <w:t>t</w:t>
      </w:r>
      <w:r w:rsidR="006C0EF5" w:rsidRPr="009D4E68">
        <w:rPr>
          <w:rFonts w:ascii="Calibri" w:hAnsi="Calibri"/>
          <w:sz w:val="24"/>
          <w:szCs w:val="24"/>
        </w:rPr>
        <w:t xml:space="preserve">ibia and </w:t>
      </w:r>
      <w:r w:rsidR="001A6ACB">
        <w:rPr>
          <w:rFonts w:ascii="Calibri" w:hAnsi="Calibri"/>
          <w:sz w:val="24"/>
          <w:szCs w:val="24"/>
        </w:rPr>
        <w:t>f</w:t>
      </w:r>
      <w:r w:rsidR="006C0EF5" w:rsidRPr="009D4E68">
        <w:rPr>
          <w:rFonts w:ascii="Calibri" w:hAnsi="Calibri"/>
          <w:sz w:val="24"/>
          <w:szCs w:val="24"/>
        </w:rPr>
        <w:t xml:space="preserve">ibula </w:t>
      </w:r>
      <w:r w:rsidR="001A6ACB">
        <w:rPr>
          <w:rFonts w:ascii="Calibri" w:hAnsi="Calibri"/>
          <w:sz w:val="24"/>
          <w:szCs w:val="24"/>
        </w:rPr>
        <w:t>f</w:t>
      </w:r>
      <w:r w:rsidR="006C0EF5" w:rsidRPr="009D4E68">
        <w:rPr>
          <w:rFonts w:ascii="Calibri" w:hAnsi="Calibri"/>
          <w:sz w:val="24"/>
          <w:szCs w:val="24"/>
        </w:rPr>
        <w:t xml:space="preserve">ractures, </w:t>
      </w:r>
      <w:proofErr w:type="spellStart"/>
      <w:r w:rsidR="001A6ACB" w:rsidRPr="00F87563">
        <w:rPr>
          <w:rFonts w:ascii="Calibri" w:hAnsi="Calibri"/>
          <w:sz w:val="24"/>
          <w:szCs w:val="24"/>
        </w:rPr>
        <w:t>m</w:t>
      </w:r>
      <w:r w:rsidR="006C0EF5" w:rsidRPr="00F87563">
        <w:rPr>
          <w:rFonts w:ascii="Calibri" w:hAnsi="Calibri"/>
          <w:sz w:val="24"/>
          <w:szCs w:val="24"/>
        </w:rPr>
        <w:t>alunion</w:t>
      </w:r>
      <w:proofErr w:type="spellEnd"/>
      <w:r w:rsidR="006C0EF5" w:rsidRPr="00F87563">
        <w:rPr>
          <w:rFonts w:ascii="Calibri" w:hAnsi="Calibri"/>
          <w:sz w:val="24"/>
          <w:szCs w:val="24"/>
        </w:rPr>
        <w:t xml:space="preserve">, S/P </w:t>
      </w:r>
      <w:r w:rsidR="001A6ACB" w:rsidRPr="00F87563">
        <w:rPr>
          <w:rFonts w:ascii="Calibri" w:hAnsi="Calibri"/>
          <w:sz w:val="24"/>
          <w:szCs w:val="24"/>
        </w:rPr>
        <w:t>c</w:t>
      </w:r>
      <w:r w:rsidR="006C0EF5" w:rsidRPr="00F87563">
        <w:rPr>
          <w:rFonts w:ascii="Calibri" w:hAnsi="Calibri"/>
          <w:sz w:val="24"/>
          <w:szCs w:val="24"/>
        </w:rPr>
        <w:t xml:space="preserve">orrective </w:t>
      </w:r>
      <w:proofErr w:type="spellStart"/>
      <w:r w:rsidR="001A6ACB" w:rsidRPr="00F87563">
        <w:rPr>
          <w:rFonts w:ascii="Calibri" w:hAnsi="Calibri"/>
          <w:sz w:val="24"/>
          <w:szCs w:val="24"/>
        </w:rPr>
        <w:t>o</w:t>
      </w:r>
      <w:r w:rsidR="006C0EF5" w:rsidRPr="00F87563">
        <w:rPr>
          <w:rFonts w:ascii="Calibri" w:hAnsi="Calibri"/>
          <w:sz w:val="24"/>
          <w:szCs w:val="24"/>
        </w:rPr>
        <w:t>steotomy</w:t>
      </w:r>
      <w:proofErr w:type="spellEnd"/>
      <w:r w:rsidR="006C0EF5" w:rsidRPr="00F87563">
        <w:rPr>
          <w:rFonts w:ascii="Calibri" w:hAnsi="Calibri"/>
          <w:sz w:val="24"/>
          <w:szCs w:val="24"/>
        </w:rPr>
        <w:t xml:space="preserve">, and S/P </w:t>
      </w:r>
      <w:r w:rsidR="001A6ACB" w:rsidRPr="00F87563">
        <w:rPr>
          <w:rFonts w:ascii="Calibri" w:hAnsi="Calibri"/>
          <w:sz w:val="24"/>
          <w:szCs w:val="24"/>
        </w:rPr>
        <w:t>p</w:t>
      </w:r>
      <w:r w:rsidR="006C0EF5" w:rsidRPr="00F87563">
        <w:rPr>
          <w:rFonts w:ascii="Calibri" w:hAnsi="Calibri"/>
          <w:sz w:val="24"/>
          <w:szCs w:val="24"/>
        </w:rPr>
        <w:t xml:space="preserve">artial </w:t>
      </w:r>
      <w:r w:rsidR="001A6ACB" w:rsidRPr="00F87563">
        <w:rPr>
          <w:rFonts w:ascii="Calibri" w:hAnsi="Calibri"/>
          <w:sz w:val="24"/>
          <w:szCs w:val="24"/>
        </w:rPr>
        <w:t>i</w:t>
      </w:r>
      <w:r w:rsidR="006C0EF5" w:rsidRPr="00F87563">
        <w:rPr>
          <w:rFonts w:ascii="Calibri" w:hAnsi="Calibri"/>
          <w:sz w:val="24"/>
          <w:szCs w:val="24"/>
        </w:rPr>
        <w:t xml:space="preserve">njury </w:t>
      </w:r>
      <w:r w:rsidR="000A325D" w:rsidRPr="00F87563">
        <w:rPr>
          <w:rFonts w:ascii="Calibri" w:hAnsi="Calibri"/>
          <w:sz w:val="24"/>
          <w:szCs w:val="24"/>
        </w:rPr>
        <w:t>to</w:t>
      </w:r>
      <w:r w:rsidR="00C6453F" w:rsidRPr="00F87563">
        <w:rPr>
          <w:rFonts w:ascii="Calibri" w:hAnsi="Calibri"/>
          <w:sz w:val="24"/>
          <w:szCs w:val="24"/>
        </w:rPr>
        <w:t xml:space="preserve"> the </w:t>
      </w:r>
      <w:r w:rsidR="001A6ACB" w:rsidRPr="00F87563">
        <w:rPr>
          <w:rFonts w:ascii="Calibri" w:hAnsi="Calibri"/>
          <w:sz w:val="24"/>
          <w:szCs w:val="24"/>
        </w:rPr>
        <w:t>s</w:t>
      </w:r>
      <w:r w:rsidR="00C6453F" w:rsidRPr="00F87563">
        <w:rPr>
          <w:rFonts w:ascii="Calibri" w:hAnsi="Calibri"/>
          <w:sz w:val="24"/>
          <w:szCs w:val="24"/>
        </w:rPr>
        <w:t xml:space="preserve">uperficial </w:t>
      </w:r>
      <w:r w:rsidR="001A6ACB" w:rsidRPr="00F87563">
        <w:rPr>
          <w:rFonts w:ascii="Calibri" w:hAnsi="Calibri"/>
          <w:sz w:val="24"/>
          <w:szCs w:val="24"/>
        </w:rPr>
        <w:t>p</w:t>
      </w:r>
      <w:r w:rsidR="00C6453F" w:rsidRPr="00F87563">
        <w:rPr>
          <w:rFonts w:ascii="Calibri" w:hAnsi="Calibri"/>
          <w:sz w:val="24"/>
          <w:szCs w:val="24"/>
        </w:rPr>
        <w:t>eroneal</w:t>
      </w:r>
      <w:r w:rsidR="00C6453F" w:rsidRPr="009D4E68">
        <w:rPr>
          <w:rFonts w:ascii="Calibri" w:hAnsi="Calibri"/>
          <w:sz w:val="24"/>
          <w:szCs w:val="24"/>
        </w:rPr>
        <w:t xml:space="preserve"> </w:t>
      </w:r>
      <w:r w:rsidR="001A6ACB">
        <w:rPr>
          <w:rFonts w:ascii="Calibri" w:hAnsi="Calibri"/>
          <w:sz w:val="24"/>
          <w:szCs w:val="24"/>
        </w:rPr>
        <w:t>n</w:t>
      </w:r>
      <w:r w:rsidR="00C6453F" w:rsidRPr="009D4E68">
        <w:rPr>
          <w:rFonts w:ascii="Calibri" w:hAnsi="Calibri"/>
          <w:sz w:val="24"/>
          <w:szCs w:val="24"/>
        </w:rPr>
        <w:t>erve</w:t>
      </w:r>
      <w:r w:rsidR="000A325D" w:rsidRPr="009D4E68">
        <w:rPr>
          <w:rFonts w:ascii="Calibri" w:hAnsi="Calibri"/>
          <w:sz w:val="24"/>
          <w:szCs w:val="24"/>
        </w:rPr>
        <w:t xml:space="preserve"> to the </w:t>
      </w:r>
      <w:r w:rsidR="001A6ACB">
        <w:rPr>
          <w:rFonts w:ascii="Calibri" w:hAnsi="Calibri"/>
          <w:sz w:val="24"/>
          <w:szCs w:val="24"/>
        </w:rPr>
        <w:t xml:space="preserve">informal </w:t>
      </w:r>
      <w:r w:rsidR="000A325D" w:rsidRPr="009D4E68">
        <w:rPr>
          <w:rFonts w:ascii="Calibri" w:hAnsi="Calibri"/>
          <w:sz w:val="24"/>
          <w:szCs w:val="24"/>
        </w:rPr>
        <w:t>Physical Evaluation Board (</w:t>
      </w:r>
      <w:r w:rsidR="001A6ACB">
        <w:rPr>
          <w:rFonts w:ascii="Calibri" w:hAnsi="Calibri"/>
          <w:sz w:val="24"/>
          <w:szCs w:val="24"/>
        </w:rPr>
        <w:t>I</w:t>
      </w:r>
      <w:r w:rsidR="000A325D" w:rsidRPr="009D4E68">
        <w:rPr>
          <w:rFonts w:ascii="Calibri" w:hAnsi="Calibri"/>
          <w:sz w:val="24"/>
          <w:szCs w:val="24"/>
        </w:rPr>
        <w:t>PEB)</w:t>
      </w:r>
      <w:r w:rsidR="001A6ACB">
        <w:rPr>
          <w:rFonts w:ascii="Calibri" w:hAnsi="Calibri"/>
          <w:sz w:val="24"/>
          <w:szCs w:val="24"/>
        </w:rPr>
        <w:t>.</w:t>
      </w:r>
      <w:r w:rsidR="000A325D" w:rsidRPr="009D4E68">
        <w:rPr>
          <w:rFonts w:ascii="Calibri" w:hAnsi="Calibri"/>
          <w:sz w:val="24"/>
          <w:szCs w:val="24"/>
        </w:rPr>
        <w:t xml:space="preserve">  The </w:t>
      </w:r>
      <w:r w:rsidR="001A6ACB">
        <w:rPr>
          <w:rFonts w:ascii="Calibri" w:hAnsi="Calibri"/>
          <w:sz w:val="24"/>
          <w:szCs w:val="24"/>
        </w:rPr>
        <w:t>IPEB</w:t>
      </w:r>
      <w:r w:rsidR="000A325D" w:rsidRPr="009D4E68">
        <w:rPr>
          <w:rFonts w:ascii="Calibri" w:hAnsi="Calibri"/>
          <w:sz w:val="24"/>
          <w:szCs w:val="24"/>
        </w:rPr>
        <w:t xml:space="preserve"> adjudicated “</w:t>
      </w:r>
      <w:r w:rsidR="000A325D" w:rsidRPr="009D4E68">
        <w:rPr>
          <w:rFonts w:cs="Times New Roman"/>
          <w:sz w:val="24"/>
          <w:szCs w:val="24"/>
        </w:rPr>
        <w:t xml:space="preserve">S/P </w:t>
      </w:r>
      <w:r w:rsidR="001A6ACB">
        <w:rPr>
          <w:rFonts w:cs="Times New Roman"/>
          <w:sz w:val="24"/>
          <w:szCs w:val="24"/>
        </w:rPr>
        <w:t>c</w:t>
      </w:r>
      <w:r w:rsidR="000A325D" w:rsidRPr="009D4E68">
        <w:rPr>
          <w:rFonts w:cs="Times New Roman"/>
          <w:sz w:val="24"/>
          <w:szCs w:val="24"/>
        </w:rPr>
        <w:t xml:space="preserve">losed </w:t>
      </w:r>
      <w:r w:rsidR="001A6ACB">
        <w:rPr>
          <w:rFonts w:cs="Times New Roman"/>
          <w:sz w:val="24"/>
          <w:szCs w:val="24"/>
        </w:rPr>
        <w:t>t</w:t>
      </w:r>
      <w:r w:rsidR="000A325D" w:rsidRPr="009D4E68">
        <w:rPr>
          <w:rFonts w:cs="Times New Roman"/>
          <w:sz w:val="24"/>
          <w:szCs w:val="24"/>
        </w:rPr>
        <w:t xml:space="preserve">ibia and </w:t>
      </w:r>
      <w:r w:rsidR="001A6ACB">
        <w:rPr>
          <w:rFonts w:cs="Times New Roman"/>
          <w:sz w:val="24"/>
          <w:szCs w:val="24"/>
        </w:rPr>
        <w:t>f</w:t>
      </w:r>
      <w:r w:rsidR="000A325D" w:rsidRPr="009D4E68">
        <w:rPr>
          <w:rFonts w:cs="Times New Roman"/>
          <w:sz w:val="24"/>
          <w:szCs w:val="24"/>
        </w:rPr>
        <w:t xml:space="preserve">ibula </w:t>
      </w:r>
      <w:r w:rsidR="001A6ACB">
        <w:rPr>
          <w:rFonts w:cs="Times New Roman"/>
          <w:sz w:val="24"/>
          <w:szCs w:val="24"/>
        </w:rPr>
        <w:t>f</w:t>
      </w:r>
      <w:r w:rsidR="000A325D" w:rsidRPr="009D4E68">
        <w:rPr>
          <w:rFonts w:cs="Times New Roman"/>
          <w:sz w:val="24"/>
          <w:szCs w:val="24"/>
        </w:rPr>
        <w:t>ractures</w:t>
      </w:r>
      <w:r w:rsidR="000A325D" w:rsidRPr="009D4E68">
        <w:rPr>
          <w:sz w:val="24"/>
          <w:szCs w:val="24"/>
        </w:rPr>
        <w:t>” as unfitting</w:t>
      </w:r>
      <w:r w:rsidR="001A6ACB">
        <w:rPr>
          <w:sz w:val="24"/>
          <w:szCs w:val="24"/>
        </w:rPr>
        <w:t>,</w:t>
      </w:r>
      <w:r w:rsidR="000A325D" w:rsidRPr="009D4E68">
        <w:rPr>
          <w:sz w:val="24"/>
          <w:szCs w:val="24"/>
        </w:rPr>
        <w:t xml:space="preserve"> rated 10%</w:t>
      </w:r>
      <w:r w:rsidR="001A6ACB">
        <w:rPr>
          <w:sz w:val="24"/>
          <w:szCs w:val="24"/>
        </w:rPr>
        <w:t>,</w:t>
      </w:r>
      <w:r w:rsidR="000A325D" w:rsidRPr="009D4E68">
        <w:rPr>
          <w:sz w:val="24"/>
          <w:szCs w:val="24"/>
        </w:rPr>
        <w:t xml:space="preserve"> coded 5299-5003.</w:t>
      </w:r>
      <w:r w:rsidR="00A22199" w:rsidRPr="009D4E68">
        <w:rPr>
          <w:sz w:val="24"/>
          <w:szCs w:val="24"/>
        </w:rPr>
        <w:t xml:space="preserve">  The </w:t>
      </w:r>
      <w:r w:rsidR="001A6ACB">
        <w:rPr>
          <w:sz w:val="24"/>
          <w:szCs w:val="24"/>
        </w:rPr>
        <w:t>I</w:t>
      </w:r>
      <w:r w:rsidR="00A22199" w:rsidRPr="009D4E68">
        <w:rPr>
          <w:sz w:val="24"/>
          <w:szCs w:val="24"/>
        </w:rPr>
        <w:t xml:space="preserve">PEB adjudicated </w:t>
      </w:r>
      <w:r w:rsidR="00F87563">
        <w:rPr>
          <w:sz w:val="24"/>
          <w:szCs w:val="24"/>
        </w:rPr>
        <w:t xml:space="preserve">the remaining conditions as </w:t>
      </w:r>
      <w:r w:rsidR="00A22199" w:rsidRPr="009D4E68">
        <w:rPr>
          <w:rFonts w:cs="Times New Roman"/>
          <w:sz w:val="24"/>
          <w:szCs w:val="24"/>
        </w:rPr>
        <w:t>Category II (</w:t>
      </w:r>
      <w:r w:rsidR="001A6ACB">
        <w:rPr>
          <w:rFonts w:cs="Times New Roman"/>
          <w:sz w:val="24"/>
          <w:szCs w:val="24"/>
        </w:rPr>
        <w:t>c</w:t>
      </w:r>
      <w:r w:rsidR="00A22199" w:rsidRPr="009D4E68">
        <w:rPr>
          <w:rFonts w:cs="Times New Roman"/>
          <w:sz w:val="24"/>
          <w:szCs w:val="24"/>
        </w:rPr>
        <w:t xml:space="preserve">onditions that contribute to the unfitting condition). </w:t>
      </w:r>
      <w:r w:rsidR="001A6ACB">
        <w:rPr>
          <w:rFonts w:cs="Times New Roman"/>
          <w:sz w:val="24"/>
          <w:szCs w:val="24"/>
        </w:rPr>
        <w:t xml:space="preserve"> The CI did not appeal, and was </w:t>
      </w:r>
      <w:r w:rsidR="00A22199" w:rsidRPr="009D4E68">
        <w:rPr>
          <w:rFonts w:cs="Times New Roman"/>
          <w:sz w:val="24"/>
          <w:szCs w:val="24"/>
        </w:rPr>
        <w:t>medically separated with a disability rating of 10%.</w:t>
      </w:r>
    </w:p>
    <w:p w:rsidR="00923B25" w:rsidRPr="009D4E68" w:rsidRDefault="008B5D31" w:rsidP="00491D6D">
      <w:pPr>
        <w:tabs>
          <w:tab w:val="left" w:pos="288"/>
          <w:tab w:val="left" w:pos="4752"/>
        </w:tabs>
        <w:spacing w:line="240" w:lineRule="exact"/>
        <w:jc w:val="both"/>
        <w:rPr>
          <w:rFonts w:asciiTheme="minorHAnsi" w:hAnsiTheme="minorHAnsi"/>
          <w:color w:val="auto"/>
          <w:szCs w:val="24"/>
        </w:rPr>
      </w:pPr>
      <w:r w:rsidRPr="009D4E68">
        <w:rPr>
          <w:rFonts w:asciiTheme="minorHAnsi" w:hAnsiTheme="minorHAnsi"/>
          <w:color w:val="auto"/>
          <w:szCs w:val="24"/>
          <w:u w:val="single"/>
        </w:rPr>
        <w:t>_______________________________________________________________</w:t>
      </w:r>
      <w:r w:rsidRPr="009D4E68">
        <w:rPr>
          <w:rFonts w:asciiTheme="minorHAnsi" w:hAnsiTheme="minorHAnsi"/>
          <w:color w:val="auto"/>
          <w:szCs w:val="24"/>
        </w:rPr>
        <w:t>_</w:t>
      </w:r>
      <w:r w:rsidR="00AC713F" w:rsidRPr="009D4E68">
        <w:rPr>
          <w:rFonts w:asciiTheme="minorHAnsi" w:hAnsiTheme="minorHAnsi"/>
          <w:color w:val="auto"/>
          <w:szCs w:val="24"/>
        </w:rPr>
        <w:t>___________</w:t>
      </w:r>
    </w:p>
    <w:p w:rsidR="0085089F" w:rsidRPr="009D4E68" w:rsidRDefault="0085089F" w:rsidP="00491D6D">
      <w:pPr>
        <w:tabs>
          <w:tab w:val="left" w:pos="288"/>
          <w:tab w:val="left" w:pos="4752"/>
        </w:tabs>
        <w:spacing w:line="240" w:lineRule="exact"/>
        <w:jc w:val="both"/>
        <w:rPr>
          <w:rFonts w:asciiTheme="minorHAnsi" w:hAnsiTheme="minorHAnsi"/>
          <w:color w:val="auto"/>
          <w:szCs w:val="24"/>
          <w:u w:val="single"/>
        </w:rPr>
      </w:pPr>
    </w:p>
    <w:p w:rsidR="00C04E08" w:rsidRPr="009D4E68" w:rsidRDefault="002C6E5B" w:rsidP="00491D6D">
      <w:pPr>
        <w:autoSpaceDE w:val="0"/>
        <w:autoSpaceDN w:val="0"/>
        <w:adjustRightInd w:val="0"/>
        <w:spacing w:line="240" w:lineRule="exact"/>
        <w:jc w:val="both"/>
        <w:rPr>
          <w:rFonts w:asciiTheme="minorHAnsi" w:hAnsiTheme="minorHAnsi"/>
          <w:color w:val="auto"/>
          <w:szCs w:val="24"/>
          <w:u w:val="single"/>
        </w:rPr>
      </w:pPr>
      <w:r w:rsidRPr="009D4E68">
        <w:rPr>
          <w:rFonts w:ascii="Calibri" w:hAnsi="Calibri"/>
          <w:color w:val="auto"/>
          <w:szCs w:val="24"/>
          <w:u w:val="single"/>
        </w:rPr>
        <w:t>CI CONTENTION</w:t>
      </w:r>
      <w:r w:rsidRPr="009D4E68">
        <w:rPr>
          <w:rFonts w:ascii="Calibri" w:hAnsi="Calibri"/>
          <w:color w:val="auto"/>
          <w:szCs w:val="24"/>
        </w:rPr>
        <w:t>:</w:t>
      </w:r>
      <w:r w:rsidRPr="009D4E68">
        <w:rPr>
          <w:rFonts w:ascii="Calibri" w:hAnsi="Calibri"/>
          <w:color w:val="000080"/>
          <w:szCs w:val="24"/>
        </w:rPr>
        <w:t xml:space="preserve">  </w:t>
      </w:r>
      <w:r w:rsidRPr="009D4E68">
        <w:rPr>
          <w:rFonts w:ascii="Calibri" w:hAnsi="Calibri"/>
          <w:color w:val="auto"/>
          <w:szCs w:val="24"/>
        </w:rPr>
        <w:t>The CI states:</w:t>
      </w:r>
      <w:r w:rsidR="00C932C5" w:rsidRPr="009D4E68">
        <w:rPr>
          <w:rFonts w:ascii="Calibri" w:hAnsi="Calibri"/>
          <w:color w:val="auto"/>
          <w:szCs w:val="24"/>
        </w:rPr>
        <w:t xml:space="preserve"> </w:t>
      </w:r>
      <w:r w:rsidR="00C6453F" w:rsidRPr="009D4E68">
        <w:rPr>
          <w:rFonts w:ascii="Calibri" w:hAnsi="Calibri"/>
          <w:color w:val="auto"/>
          <w:szCs w:val="24"/>
        </w:rPr>
        <w:t xml:space="preserve"> </w:t>
      </w:r>
      <w:r w:rsidR="00C04E08" w:rsidRPr="009D4E68">
        <w:rPr>
          <w:rFonts w:ascii="Calibri" w:hAnsi="Calibri"/>
          <w:color w:val="auto"/>
          <w:szCs w:val="24"/>
        </w:rPr>
        <w:t>“</w:t>
      </w:r>
      <w:r w:rsidR="00C04E08" w:rsidRPr="009D4E68">
        <w:rPr>
          <w:rFonts w:asciiTheme="minorHAnsi" w:hAnsiTheme="minorHAnsi"/>
          <w:color w:val="auto"/>
          <w:szCs w:val="24"/>
        </w:rPr>
        <w:t>Left leg is extremely painful and pretty much useless.  Leg is very weak and gives out at times unexpectedly.  Changes have been made and I feel I should be rated higher</w:t>
      </w:r>
      <w:r w:rsidR="00C6453F" w:rsidRPr="009D4E68">
        <w:rPr>
          <w:rFonts w:asciiTheme="minorHAnsi" w:hAnsiTheme="minorHAnsi"/>
          <w:color w:val="auto"/>
          <w:szCs w:val="24"/>
        </w:rPr>
        <w:t>.</w:t>
      </w:r>
      <w:r w:rsidR="00C04E08" w:rsidRPr="009D4E68">
        <w:rPr>
          <w:rFonts w:asciiTheme="minorHAnsi" w:hAnsiTheme="minorHAnsi"/>
          <w:color w:val="auto"/>
          <w:szCs w:val="24"/>
        </w:rPr>
        <w:t>”</w:t>
      </w:r>
    </w:p>
    <w:p w:rsidR="00BD6297" w:rsidRPr="009D4E68" w:rsidRDefault="00C04E08" w:rsidP="00491D6D">
      <w:pPr>
        <w:tabs>
          <w:tab w:val="left" w:pos="288"/>
          <w:tab w:val="left" w:pos="4752"/>
        </w:tabs>
        <w:spacing w:line="240" w:lineRule="exact"/>
        <w:jc w:val="both"/>
        <w:rPr>
          <w:rFonts w:ascii="Calibri" w:hAnsi="Calibri"/>
          <w:color w:val="auto"/>
          <w:szCs w:val="24"/>
        </w:rPr>
      </w:pPr>
      <w:r w:rsidRPr="009D4E68">
        <w:rPr>
          <w:rFonts w:asciiTheme="minorHAnsi" w:hAnsiTheme="minorHAnsi"/>
          <w:color w:val="auto"/>
          <w:szCs w:val="24"/>
          <w:u w:val="single"/>
        </w:rPr>
        <w:t>_______________________________________________________________</w:t>
      </w:r>
      <w:r w:rsidRPr="009D4E68">
        <w:rPr>
          <w:rFonts w:asciiTheme="minorHAnsi" w:hAnsiTheme="minorHAnsi"/>
          <w:color w:val="auto"/>
          <w:szCs w:val="24"/>
        </w:rPr>
        <w:t>_______________</w:t>
      </w:r>
    </w:p>
    <w:p w:rsidR="001A6ACB" w:rsidRDefault="001A6ACB" w:rsidP="009D4E68">
      <w:pPr>
        <w:rPr>
          <w:rFonts w:ascii="Calibri" w:hAnsi="Calibri"/>
          <w:color w:val="auto"/>
          <w:u w:val="single"/>
        </w:rPr>
      </w:pPr>
    </w:p>
    <w:p w:rsidR="002338CA" w:rsidRPr="009D4E68" w:rsidRDefault="002C6E5B" w:rsidP="009D4E68">
      <w:pPr>
        <w:rPr>
          <w:rFonts w:ascii="Calibri" w:hAnsi="Calibri"/>
          <w:color w:val="auto"/>
          <w:u w:val="single"/>
        </w:rPr>
      </w:pPr>
      <w:r w:rsidRPr="009D4E68">
        <w:rPr>
          <w:rFonts w:ascii="Calibri" w:hAnsi="Calibri"/>
          <w:color w:val="auto"/>
          <w:u w:val="single"/>
        </w:rPr>
        <w:t>RATING COMPARISON</w:t>
      </w:r>
      <w:r w:rsidRPr="009D4E68">
        <w:rPr>
          <w:rFonts w:ascii="Calibri" w:hAnsi="Calibri"/>
          <w:color w:val="auto"/>
        </w:rPr>
        <w:t>:</w:t>
      </w:r>
      <w:r w:rsidR="000936FA" w:rsidRPr="009D4E68">
        <w:rPr>
          <w:rFonts w:ascii="Calibri" w:hAnsi="Calibri"/>
          <w:color w:val="auto"/>
        </w:rPr>
        <w:t xml:space="preserve">  </w:t>
      </w:r>
    </w:p>
    <w:p w:rsidR="00491D6D" w:rsidRPr="009D4E68" w:rsidRDefault="00491D6D" w:rsidP="00491D6D">
      <w:pPr>
        <w:spacing w:line="240" w:lineRule="exact"/>
        <w:jc w:val="both"/>
        <w:rPr>
          <w:rFonts w:ascii="Calibri" w:hAnsi="Calibri"/>
          <w:color w:val="auto"/>
        </w:rPr>
      </w:pPr>
    </w:p>
    <w:tbl>
      <w:tblPr>
        <w:tblStyle w:val="TableGrid"/>
        <w:tblW w:w="9270" w:type="dxa"/>
        <w:jc w:val="center"/>
        <w:tblLayout w:type="fixed"/>
        <w:tblLook w:val="04A0"/>
      </w:tblPr>
      <w:tblGrid>
        <w:gridCol w:w="2295"/>
        <w:gridCol w:w="1080"/>
        <w:gridCol w:w="810"/>
        <w:gridCol w:w="2610"/>
        <w:gridCol w:w="675"/>
        <w:gridCol w:w="810"/>
        <w:gridCol w:w="990"/>
      </w:tblGrid>
      <w:tr w:rsidR="00C04E08" w:rsidRPr="009D4E68" w:rsidTr="00C04E08">
        <w:trPr>
          <w:trHeight w:val="233"/>
          <w:jc w:val="center"/>
        </w:trPr>
        <w:tc>
          <w:tcPr>
            <w:tcW w:w="4185" w:type="dxa"/>
            <w:gridSpan w:val="3"/>
            <w:shd w:val="clear" w:color="auto" w:fill="D9D9D9" w:themeFill="background1" w:themeFillShade="D9"/>
          </w:tcPr>
          <w:p w:rsidR="00C04E08" w:rsidRPr="009D4E68" w:rsidRDefault="00C04E08" w:rsidP="00491D6D">
            <w:pPr>
              <w:pStyle w:val="ListParagraph"/>
              <w:spacing w:after="0" w:line="240" w:lineRule="exact"/>
              <w:ind w:left="0"/>
              <w:jc w:val="center"/>
              <w:rPr>
                <w:rFonts w:cs="Times New Roman"/>
                <w:b/>
                <w:sz w:val="20"/>
                <w:szCs w:val="20"/>
              </w:rPr>
            </w:pPr>
            <w:r w:rsidRPr="009D4E68">
              <w:rPr>
                <w:rFonts w:cs="Times New Roman"/>
                <w:b/>
                <w:sz w:val="20"/>
                <w:szCs w:val="20"/>
              </w:rPr>
              <w:t>Service IPEB – Dated 20011213</w:t>
            </w:r>
          </w:p>
        </w:tc>
        <w:tc>
          <w:tcPr>
            <w:tcW w:w="5085" w:type="dxa"/>
            <w:gridSpan w:val="4"/>
            <w:shd w:val="clear" w:color="auto" w:fill="D9D9D9" w:themeFill="background1" w:themeFillShade="D9"/>
          </w:tcPr>
          <w:p w:rsidR="00C04E08" w:rsidRPr="009D4E68" w:rsidRDefault="00C04E08" w:rsidP="00491D6D">
            <w:pPr>
              <w:pStyle w:val="ListParagraph"/>
              <w:spacing w:after="0" w:line="240" w:lineRule="exact"/>
              <w:ind w:left="0"/>
              <w:jc w:val="center"/>
              <w:rPr>
                <w:rFonts w:cs="Times New Roman"/>
                <w:b/>
                <w:sz w:val="20"/>
                <w:szCs w:val="20"/>
              </w:rPr>
            </w:pPr>
            <w:r w:rsidRPr="009D4E68">
              <w:rPr>
                <w:rFonts w:cs="Times New Roman"/>
                <w:b/>
                <w:sz w:val="20"/>
                <w:szCs w:val="20"/>
              </w:rPr>
              <w:t>VA (</w:t>
            </w:r>
            <w:r w:rsidR="00491D6D" w:rsidRPr="009D4E68">
              <w:rPr>
                <w:rFonts w:cs="Times New Roman"/>
                <w:b/>
                <w:sz w:val="20"/>
                <w:szCs w:val="20"/>
              </w:rPr>
              <w:t>7</w:t>
            </w:r>
            <w:r w:rsidRPr="009D4E68">
              <w:rPr>
                <w:rFonts w:cs="Times New Roman"/>
                <w:b/>
                <w:sz w:val="20"/>
                <w:szCs w:val="20"/>
              </w:rPr>
              <w:t xml:space="preserve"> Mo. after Separation) – All Effective: </w:t>
            </w:r>
            <w:r w:rsidR="00491D6D" w:rsidRPr="009D4E68">
              <w:rPr>
                <w:rFonts w:cs="Times New Roman"/>
                <w:b/>
                <w:sz w:val="20"/>
                <w:szCs w:val="20"/>
              </w:rPr>
              <w:t xml:space="preserve"> </w:t>
            </w:r>
            <w:r w:rsidRPr="009D4E68">
              <w:rPr>
                <w:rFonts w:cs="Times New Roman"/>
                <w:b/>
                <w:sz w:val="20"/>
                <w:szCs w:val="20"/>
              </w:rPr>
              <w:t>20020401</w:t>
            </w:r>
          </w:p>
        </w:tc>
      </w:tr>
      <w:tr w:rsidR="00C04E08" w:rsidRPr="009D4E68" w:rsidTr="00491D6D">
        <w:trPr>
          <w:trHeight w:val="233"/>
          <w:jc w:val="center"/>
        </w:trPr>
        <w:tc>
          <w:tcPr>
            <w:tcW w:w="2295" w:type="dxa"/>
            <w:shd w:val="clear" w:color="auto" w:fill="D9D9D9" w:themeFill="background1" w:themeFillShade="D9"/>
          </w:tcPr>
          <w:p w:rsidR="00C04E08" w:rsidRPr="009D4E68" w:rsidRDefault="00C04E08" w:rsidP="00491D6D">
            <w:pPr>
              <w:pStyle w:val="ListParagraph"/>
              <w:spacing w:after="0" w:line="240" w:lineRule="exact"/>
              <w:ind w:left="0"/>
              <w:jc w:val="both"/>
              <w:rPr>
                <w:rFonts w:cs="Times New Roman"/>
                <w:b/>
                <w:sz w:val="20"/>
                <w:szCs w:val="20"/>
              </w:rPr>
            </w:pPr>
            <w:r w:rsidRPr="009D4E68">
              <w:rPr>
                <w:rFonts w:cs="Times New Roman"/>
                <w:b/>
                <w:sz w:val="20"/>
                <w:szCs w:val="20"/>
              </w:rPr>
              <w:t>Condition</w:t>
            </w:r>
          </w:p>
        </w:tc>
        <w:tc>
          <w:tcPr>
            <w:tcW w:w="1080" w:type="dxa"/>
            <w:shd w:val="clear" w:color="auto" w:fill="D9D9D9" w:themeFill="background1" w:themeFillShade="D9"/>
          </w:tcPr>
          <w:p w:rsidR="00C04E08" w:rsidRPr="009D4E68" w:rsidRDefault="00C04E08" w:rsidP="00491D6D">
            <w:pPr>
              <w:pStyle w:val="ListParagraph"/>
              <w:spacing w:after="0" w:line="240" w:lineRule="exact"/>
              <w:ind w:left="0"/>
              <w:jc w:val="both"/>
              <w:rPr>
                <w:rFonts w:cs="Times New Roman"/>
                <w:b/>
                <w:sz w:val="20"/>
                <w:szCs w:val="20"/>
              </w:rPr>
            </w:pPr>
            <w:r w:rsidRPr="009D4E68">
              <w:rPr>
                <w:rFonts w:cs="Times New Roman"/>
                <w:b/>
                <w:sz w:val="20"/>
                <w:szCs w:val="20"/>
              </w:rPr>
              <w:t>Code</w:t>
            </w:r>
          </w:p>
        </w:tc>
        <w:tc>
          <w:tcPr>
            <w:tcW w:w="810" w:type="dxa"/>
            <w:shd w:val="clear" w:color="auto" w:fill="D9D9D9" w:themeFill="background1" w:themeFillShade="D9"/>
          </w:tcPr>
          <w:p w:rsidR="00C04E08" w:rsidRPr="009D4E68" w:rsidRDefault="00C04E08" w:rsidP="00491D6D">
            <w:pPr>
              <w:pStyle w:val="ListParagraph"/>
              <w:spacing w:after="0" w:line="240" w:lineRule="exact"/>
              <w:ind w:left="0"/>
              <w:rPr>
                <w:rFonts w:cs="Times New Roman"/>
                <w:b/>
                <w:sz w:val="20"/>
                <w:szCs w:val="20"/>
              </w:rPr>
            </w:pPr>
            <w:r w:rsidRPr="009D4E68">
              <w:rPr>
                <w:rFonts w:cs="Times New Roman"/>
                <w:b/>
                <w:sz w:val="20"/>
                <w:szCs w:val="20"/>
              </w:rPr>
              <w:t>Rating</w:t>
            </w:r>
          </w:p>
        </w:tc>
        <w:tc>
          <w:tcPr>
            <w:tcW w:w="2610" w:type="dxa"/>
            <w:shd w:val="clear" w:color="auto" w:fill="D9D9D9" w:themeFill="background1" w:themeFillShade="D9"/>
          </w:tcPr>
          <w:p w:rsidR="00C04E08" w:rsidRPr="009D4E68" w:rsidRDefault="00C04E08" w:rsidP="00491D6D">
            <w:pPr>
              <w:pStyle w:val="ListParagraph"/>
              <w:spacing w:after="0" w:line="240" w:lineRule="exact"/>
              <w:ind w:left="0"/>
              <w:rPr>
                <w:rFonts w:cs="Times New Roman"/>
                <w:b/>
                <w:sz w:val="20"/>
                <w:szCs w:val="20"/>
              </w:rPr>
            </w:pPr>
            <w:r w:rsidRPr="009D4E68">
              <w:rPr>
                <w:rFonts w:cs="Times New Roman"/>
                <w:b/>
                <w:sz w:val="20"/>
                <w:szCs w:val="20"/>
              </w:rPr>
              <w:t>Condition</w:t>
            </w:r>
          </w:p>
        </w:tc>
        <w:tc>
          <w:tcPr>
            <w:tcW w:w="675" w:type="dxa"/>
            <w:shd w:val="clear" w:color="auto" w:fill="D9D9D9" w:themeFill="background1" w:themeFillShade="D9"/>
          </w:tcPr>
          <w:p w:rsidR="00C04E08" w:rsidRPr="009D4E68" w:rsidRDefault="00C04E08" w:rsidP="00491D6D">
            <w:pPr>
              <w:pStyle w:val="ListParagraph"/>
              <w:spacing w:after="0" w:line="240" w:lineRule="exact"/>
              <w:ind w:left="0"/>
              <w:jc w:val="both"/>
              <w:rPr>
                <w:rFonts w:cs="Times New Roman"/>
                <w:b/>
                <w:sz w:val="20"/>
                <w:szCs w:val="20"/>
              </w:rPr>
            </w:pPr>
            <w:r w:rsidRPr="009D4E68">
              <w:rPr>
                <w:rFonts w:cs="Times New Roman"/>
                <w:b/>
                <w:sz w:val="20"/>
                <w:szCs w:val="20"/>
              </w:rPr>
              <w:t>Code</w:t>
            </w:r>
          </w:p>
        </w:tc>
        <w:tc>
          <w:tcPr>
            <w:tcW w:w="810" w:type="dxa"/>
            <w:shd w:val="clear" w:color="auto" w:fill="D9D9D9" w:themeFill="background1" w:themeFillShade="D9"/>
          </w:tcPr>
          <w:p w:rsidR="00C04E08" w:rsidRPr="009D4E68" w:rsidRDefault="00C04E08" w:rsidP="00491D6D">
            <w:pPr>
              <w:pStyle w:val="ListParagraph"/>
              <w:spacing w:after="0" w:line="240" w:lineRule="exact"/>
              <w:ind w:left="0"/>
              <w:jc w:val="both"/>
              <w:rPr>
                <w:rFonts w:cs="Times New Roman"/>
                <w:b/>
                <w:sz w:val="20"/>
                <w:szCs w:val="20"/>
              </w:rPr>
            </w:pPr>
            <w:r w:rsidRPr="009D4E68">
              <w:rPr>
                <w:rFonts w:cs="Times New Roman"/>
                <w:b/>
                <w:sz w:val="20"/>
                <w:szCs w:val="20"/>
              </w:rPr>
              <w:t>Rating</w:t>
            </w:r>
          </w:p>
        </w:tc>
        <w:tc>
          <w:tcPr>
            <w:tcW w:w="990" w:type="dxa"/>
            <w:shd w:val="clear" w:color="auto" w:fill="D9D9D9" w:themeFill="background1" w:themeFillShade="D9"/>
          </w:tcPr>
          <w:p w:rsidR="00C04E08" w:rsidRPr="009D4E68" w:rsidRDefault="00C04E08" w:rsidP="00491D6D">
            <w:pPr>
              <w:pStyle w:val="ListParagraph"/>
              <w:spacing w:after="0" w:line="240" w:lineRule="exact"/>
              <w:ind w:left="0"/>
              <w:jc w:val="center"/>
              <w:rPr>
                <w:rFonts w:cs="Times New Roman"/>
                <w:b/>
                <w:sz w:val="20"/>
                <w:szCs w:val="20"/>
              </w:rPr>
            </w:pPr>
            <w:r w:rsidRPr="009D4E68">
              <w:rPr>
                <w:rFonts w:cs="Times New Roman"/>
                <w:b/>
                <w:sz w:val="20"/>
                <w:szCs w:val="20"/>
              </w:rPr>
              <w:t>Exam</w:t>
            </w:r>
          </w:p>
        </w:tc>
      </w:tr>
      <w:tr w:rsidR="00DA74EB" w:rsidRPr="009D4E68" w:rsidTr="00491D6D">
        <w:trPr>
          <w:trHeight w:val="287"/>
          <w:jc w:val="center"/>
        </w:trPr>
        <w:tc>
          <w:tcPr>
            <w:tcW w:w="2295" w:type="dxa"/>
            <w:vMerge w:val="restart"/>
            <w:shd w:val="clear" w:color="auto" w:fill="FFFFFF" w:themeFill="background1"/>
          </w:tcPr>
          <w:p w:rsidR="00DA74EB" w:rsidRPr="009D4E68" w:rsidRDefault="00DA74EB" w:rsidP="001D76C5">
            <w:pPr>
              <w:pStyle w:val="ListParagraph"/>
              <w:spacing w:after="0" w:line="200" w:lineRule="exact"/>
              <w:ind w:left="0"/>
              <w:jc w:val="both"/>
              <w:rPr>
                <w:rFonts w:cs="Times New Roman"/>
                <w:sz w:val="18"/>
                <w:szCs w:val="18"/>
              </w:rPr>
            </w:pPr>
            <w:r w:rsidRPr="009D4E68">
              <w:rPr>
                <w:rFonts w:cs="Times New Roman"/>
                <w:sz w:val="18"/>
                <w:szCs w:val="18"/>
              </w:rPr>
              <w:t>S/P Closed Tibia and Fibula Fractures</w:t>
            </w:r>
          </w:p>
        </w:tc>
        <w:tc>
          <w:tcPr>
            <w:tcW w:w="1080" w:type="dxa"/>
            <w:vMerge w:val="restart"/>
            <w:shd w:val="clear" w:color="auto" w:fill="FFFFFF" w:themeFill="background1"/>
          </w:tcPr>
          <w:p w:rsidR="00DA74EB" w:rsidRPr="009D4E68" w:rsidRDefault="00DA74EB" w:rsidP="001D76C5">
            <w:pPr>
              <w:pStyle w:val="ListParagraph"/>
              <w:spacing w:after="0" w:line="200" w:lineRule="exact"/>
              <w:ind w:left="0"/>
              <w:jc w:val="center"/>
              <w:rPr>
                <w:rFonts w:cs="Times New Roman"/>
                <w:sz w:val="18"/>
                <w:szCs w:val="18"/>
              </w:rPr>
            </w:pPr>
            <w:r w:rsidRPr="009D4E68">
              <w:rPr>
                <w:rFonts w:cs="Times New Roman"/>
                <w:sz w:val="18"/>
                <w:szCs w:val="18"/>
              </w:rPr>
              <w:t>5299-5003</w:t>
            </w:r>
          </w:p>
        </w:tc>
        <w:tc>
          <w:tcPr>
            <w:tcW w:w="810" w:type="dxa"/>
            <w:vMerge w:val="restart"/>
            <w:shd w:val="clear" w:color="auto" w:fill="FFFFFF" w:themeFill="background1"/>
          </w:tcPr>
          <w:p w:rsidR="00DA74EB" w:rsidRPr="009D4E68" w:rsidRDefault="00DA74EB" w:rsidP="001D76C5">
            <w:pPr>
              <w:pStyle w:val="ListParagraph"/>
              <w:spacing w:after="0" w:line="200" w:lineRule="exact"/>
              <w:ind w:left="0"/>
              <w:jc w:val="center"/>
              <w:rPr>
                <w:rFonts w:cs="Times New Roman"/>
                <w:sz w:val="18"/>
                <w:szCs w:val="18"/>
              </w:rPr>
            </w:pPr>
            <w:r w:rsidRPr="009D4E68">
              <w:rPr>
                <w:rFonts w:cs="Times New Roman"/>
                <w:sz w:val="18"/>
                <w:szCs w:val="18"/>
              </w:rPr>
              <w:t>10%</w:t>
            </w:r>
          </w:p>
        </w:tc>
        <w:tc>
          <w:tcPr>
            <w:tcW w:w="2610" w:type="dxa"/>
            <w:shd w:val="clear" w:color="auto" w:fill="FFFFFF" w:themeFill="background1"/>
          </w:tcPr>
          <w:p w:rsidR="00DA74EB" w:rsidRPr="009D4E68" w:rsidRDefault="00DA74EB" w:rsidP="001D76C5">
            <w:pPr>
              <w:pStyle w:val="ListParagraph"/>
              <w:spacing w:after="0" w:line="200" w:lineRule="exact"/>
              <w:ind w:left="0"/>
              <w:rPr>
                <w:rFonts w:cs="Times New Roman"/>
                <w:sz w:val="18"/>
                <w:szCs w:val="18"/>
              </w:rPr>
            </w:pPr>
            <w:r w:rsidRPr="009D4E68">
              <w:rPr>
                <w:rFonts w:cs="Times New Roman"/>
                <w:sz w:val="18"/>
                <w:szCs w:val="18"/>
              </w:rPr>
              <w:t xml:space="preserve">Residuals of </w:t>
            </w:r>
            <w:proofErr w:type="spellStart"/>
            <w:r w:rsidRPr="009D4E68">
              <w:rPr>
                <w:rFonts w:cs="Times New Roman"/>
                <w:sz w:val="18"/>
                <w:szCs w:val="18"/>
              </w:rPr>
              <w:t>Osteotomy</w:t>
            </w:r>
            <w:proofErr w:type="spellEnd"/>
            <w:r w:rsidRPr="009D4E68">
              <w:rPr>
                <w:rFonts w:cs="Times New Roman"/>
                <w:sz w:val="18"/>
                <w:szCs w:val="18"/>
              </w:rPr>
              <w:t xml:space="preserve"> 2</w:t>
            </w:r>
            <w:r w:rsidRPr="009D4E68">
              <w:rPr>
                <w:rFonts w:cs="Times New Roman"/>
                <w:sz w:val="18"/>
                <w:szCs w:val="18"/>
                <w:vertAlign w:val="superscript"/>
              </w:rPr>
              <w:t>nd</w:t>
            </w:r>
            <w:r w:rsidRPr="009D4E68">
              <w:rPr>
                <w:rFonts w:cs="Times New Roman"/>
                <w:sz w:val="18"/>
                <w:szCs w:val="18"/>
              </w:rPr>
              <w:t xml:space="preserve"> to Left </w:t>
            </w:r>
            <w:proofErr w:type="spellStart"/>
            <w:r w:rsidRPr="009D4E68">
              <w:rPr>
                <w:rFonts w:cs="Times New Roman"/>
                <w:sz w:val="18"/>
                <w:szCs w:val="18"/>
              </w:rPr>
              <w:t>Tibiofibular</w:t>
            </w:r>
            <w:proofErr w:type="spellEnd"/>
            <w:r w:rsidRPr="009D4E68">
              <w:rPr>
                <w:rFonts w:cs="Times New Roman"/>
                <w:sz w:val="18"/>
                <w:szCs w:val="18"/>
              </w:rPr>
              <w:t xml:space="preserve"> </w:t>
            </w:r>
            <w:proofErr w:type="spellStart"/>
            <w:r w:rsidRPr="009D4E68">
              <w:rPr>
                <w:rFonts w:cs="Times New Roman"/>
                <w:sz w:val="18"/>
                <w:szCs w:val="18"/>
              </w:rPr>
              <w:t>Fx</w:t>
            </w:r>
            <w:proofErr w:type="spellEnd"/>
            <w:r w:rsidRPr="009D4E68">
              <w:rPr>
                <w:rFonts w:cs="Times New Roman"/>
                <w:sz w:val="18"/>
                <w:szCs w:val="18"/>
              </w:rPr>
              <w:t xml:space="preserve"> &amp; Scar</w:t>
            </w:r>
          </w:p>
        </w:tc>
        <w:tc>
          <w:tcPr>
            <w:tcW w:w="675" w:type="dxa"/>
            <w:shd w:val="clear" w:color="auto" w:fill="FFFFFF" w:themeFill="background1"/>
          </w:tcPr>
          <w:p w:rsidR="00DA74EB" w:rsidRPr="009D4E68" w:rsidRDefault="00DA74EB" w:rsidP="001D76C5">
            <w:pPr>
              <w:pStyle w:val="ListParagraph"/>
              <w:spacing w:after="0" w:line="200" w:lineRule="exact"/>
              <w:ind w:left="0"/>
              <w:jc w:val="center"/>
              <w:rPr>
                <w:rFonts w:cs="Times New Roman"/>
                <w:sz w:val="18"/>
                <w:szCs w:val="18"/>
              </w:rPr>
            </w:pPr>
            <w:r w:rsidRPr="009D4E68">
              <w:rPr>
                <w:rFonts w:cs="Times New Roman"/>
                <w:sz w:val="18"/>
                <w:szCs w:val="18"/>
              </w:rPr>
              <w:t>5275-5262</w:t>
            </w:r>
          </w:p>
        </w:tc>
        <w:tc>
          <w:tcPr>
            <w:tcW w:w="810" w:type="dxa"/>
            <w:shd w:val="clear" w:color="auto" w:fill="FFFFFF" w:themeFill="background1"/>
          </w:tcPr>
          <w:p w:rsidR="00DA74EB" w:rsidRPr="009D4E68" w:rsidRDefault="00DA74EB" w:rsidP="001D76C5">
            <w:pPr>
              <w:pStyle w:val="ListParagraph"/>
              <w:spacing w:after="0" w:line="200" w:lineRule="exact"/>
              <w:ind w:left="0"/>
              <w:jc w:val="center"/>
              <w:rPr>
                <w:rFonts w:cs="Times New Roman"/>
                <w:sz w:val="18"/>
                <w:szCs w:val="18"/>
              </w:rPr>
            </w:pPr>
            <w:r w:rsidRPr="009D4E68">
              <w:rPr>
                <w:rFonts w:cs="Times New Roman"/>
                <w:sz w:val="18"/>
                <w:szCs w:val="18"/>
              </w:rPr>
              <w:t>20%</w:t>
            </w:r>
          </w:p>
        </w:tc>
        <w:tc>
          <w:tcPr>
            <w:tcW w:w="990" w:type="dxa"/>
            <w:shd w:val="clear" w:color="auto" w:fill="FFFFFF" w:themeFill="background1"/>
          </w:tcPr>
          <w:p w:rsidR="00DA74EB" w:rsidRPr="009D4E68" w:rsidRDefault="00DA74EB" w:rsidP="001D76C5">
            <w:pPr>
              <w:pStyle w:val="ListParagraph"/>
              <w:spacing w:after="0" w:line="200" w:lineRule="exact"/>
              <w:ind w:left="0"/>
              <w:jc w:val="center"/>
              <w:rPr>
                <w:rFonts w:cs="Times New Roman"/>
                <w:sz w:val="18"/>
                <w:szCs w:val="18"/>
              </w:rPr>
            </w:pPr>
            <w:r w:rsidRPr="009D4E68">
              <w:rPr>
                <w:rFonts w:cs="Times New Roman"/>
                <w:sz w:val="18"/>
                <w:szCs w:val="18"/>
              </w:rPr>
              <w:t>20021004</w:t>
            </w:r>
          </w:p>
        </w:tc>
      </w:tr>
      <w:tr w:rsidR="00DA74EB" w:rsidRPr="009D4E68" w:rsidTr="00491D6D">
        <w:trPr>
          <w:trHeight w:val="287"/>
          <w:jc w:val="center"/>
        </w:trPr>
        <w:tc>
          <w:tcPr>
            <w:tcW w:w="2295" w:type="dxa"/>
            <w:vMerge/>
            <w:shd w:val="clear" w:color="auto" w:fill="FFFFFF" w:themeFill="background1"/>
          </w:tcPr>
          <w:p w:rsidR="00DA74EB" w:rsidRPr="009D4E68" w:rsidRDefault="00DA74EB" w:rsidP="00C6453F">
            <w:pPr>
              <w:pStyle w:val="ListParagraph"/>
              <w:spacing w:after="0" w:line="200" w:lineRule="exact"/>
              <w:ind w:left="0"/>
              <w:jc w:val="both"/>
              <w:rPr>
                <w:rFonts w:cs="Times New Roman"/>
                <w:sz w:val="18"/>
                <w:szCs w:val="18"/>
              </w:rPr>
            </w:pPr>
          </w:p>
        </w:tc>
        <w:tc>
          <w:tcPr>
            <w:tcW w:w="1080" w:type="dxa"/>
            <w:vMerge/>
            <w:shd w:val="clear" w:color="auto" w:fill="FFFFFF" w:themeFill="background1"/>
          </w:tcPr>
          <w:p w:rsidR="00DA74EB" w:rsidRPr="009D4E68" w:rsidRDefault="00DA74EB" w:rsidP="00C6453F">
            <w:pPr>
              <w:pStyle w:val="ListParagraph"/>
              <w:spacing w:after="0" w:line="200" w:lineRule="exact"/>
              <w:ind w:left="0"/>
              <w:jc w:val="center"/>
              <w:rPr>
                <w:rFonts w:cs="Times New Roman"/>
                <w:sz w:val="18"/>
                <w:szCs w:val="18"/>
              </w:rPr>
            </w:pPr>
          </w:p>
        </w:tc>
        <w:tc>
          <w:tcPr>
            <w:tcW w:w="810" w:type="dxa"/>
            <w:vMerge/>
            <w:shd w:val="clear" w:color="auto" w:fill="FFFFFF" w:themeFill="background1"/>
          </w:tcPr>
          <w:p w:rsidR="00DA74EB" w:rsidRPr="009D4E68" w:rsidRDefault="00DA74EB" w:rsidP="00C6453F">
            <w:pPr>
              <w:pStyle w:val="ListParagraph"/>
              <w:spacing w:after="0" w:line="200" w:lineRule="exact"/>
              <w:ind w:left="0"/>
              <w:jc w:val="center"/>
              <w:rPr>
                <w:rFonts w:cs="Times New Roman"/>
                <w:sz w:val="18"/>
                <w:szCs w:val="18"/>
              </w:rPr>
            </w:pPr>
          </w:p>
        </w:tc>
        <w:tc>
          <w:tcPr>
            <w:tcW w:w="2610" w:type="dxa"/>
            <w:shd w:val="clear" w:color="auto" w:fill="FFFFFF" w:themeFill="background1"/>
          </w:tcPr>
          <w:p w:rsidR="00DA74EB" w:rsidRPr="009D4E68" w:rsidRDefault="00DA74EB" w:rsidP="001D76C5">
            <w:pPr>
              <w:autoSpaceDE w:val="0"/>
              <w:autoSpaceDN w:val="0"/>
              <w:adjustRightInd w:val="0"/>
              <w:spacing w:line="200" w:lineRule="exact"/>
              <w:rPr>
                <w:rFonts w:cs="Times New Roman"/>
                <w:sz w:val="18"/>
                <w:szCs w:val="18"/>
              </w:rPr>
            </w:pPr>
            <w:r w:rsidRPr="009D4E68">
              <w:rPr>
                <w:color w:val="auto"/>
                <w:sz w:val="18"/>
                <w:szCs w:val="18"/>
              </w:rPr>
              <w:t xml:space="preserve">Left Knee </w:t>
            </w:r>
            <w:proofErr w:type="spellStart"/>
            <w:r w:rsidRPr="009D4E68">
              <w:rPr>
                <w:color w:val="auto"/>
                <w:sz w:val="18"/>
                <w:szCs w:val="18"/>
              </w:rPr>
              <w:t>Lig</w:t>
            </w:r>
            <w:proofErr w:type="spellEnd"/>
            <w:r w:rsidRPr="009D4E68">
              <w:rPr>
                <w:color w:val="auto"/>
                <w:sz w:val="18"/>
                <w:szCs w:val="18"/>
              </w:rPr>
              <w:t xml:space="preserve"> … </w:t>
            </w:r>
            <w:r w:rsidRPr="009D4E68">
              <w:rPr>
                <w:rFonts w:cs="Times New Roman"/>
                <w:color w:val="auto"/>
                <w:sz w:val="18"/>
                <w:szCs w:val="18"/>
              </w:rPr>
              <w:t>2</w:t>
            </w:r>
            <w:r w:rsidRPr="009D4E68">
              <w:rPr>
                <w:rFonts w:cs="Times New Roman"/>
                <w:color w:val="auto"/>
                <w:sz w:val="18"/>
                <w:szCs w:val="18"/>
                <w:vertAlign w:val="superscript"/>
              </w:rPr>
              <w:t>nd</w:t>
            </w:r>
            <w:r w:rsidRPr="009D4E68">
              <w:rPr>
                <w:color w:val="auto"/>
                <w:sz w:val="18"/>
                <w:szCs w:val="18"/>
              </w:rPr>
              <w:t xml:space="preserve"> </w:t>
            </w:r>
            <w:proofErr w:type="spellStart"/>
            <w:r w:rsidRPr="009D4E68">
              <w:rPr>
                <w:color w:val="auto"/>
                <w:sz w:val="18"/>
                <w:szCs w:val="18"/>
              </w:rPr>
              <w:t>LTib</w:t>
            </w:r>
            <w:proofErr w:type="spellEnd"/>
            <w:r w:rsidRPr="009D4E68">
              <w:rPr>
                <w:color w:val="auto"/>
                <w:sz w:val="18"/>
                <w:szCs w:val="18"/>
              </w:rPr>
              <w:t>-Fib …</w:t>
            </w:r>
          </w:p>
        </w:tc>
        <w:tc>
          <w:tcPr>
            <w:tcW w:w="675" w:type="dxa"/>
            <w:shd w:val="clear" w:color="auto" w:fill="FFFFFF" w:themeFill="background1"/>
          </w:tcPr>
          <w:p w:rsidR="00DA74EB" w:rsidRPr="009D4E68" w:rsidRDefault="00DA74EB" w:rsidP="001D76C5">
            <w:pPr>
              <w:pStyle w:val="ListParagraph"/>
              <w:spacing w:line="200" w:lineRule="exact"/>
              <w:ind w:left="0"/>
              <w:jc w:val="center"/>
              <w:rPr>
                <w:rFonts w:cs="Times New Roman"/>
                <w:sz w:val="18"/>
                <w:szCs w:val="18"/>
              </w:rPr>
            </w:pPr>
            <w:r w:rsidRPr="009D4E68">
              <w:rPr>
                <w:rFonts w:cs="Times New Roman"/>
                <w:sz w:val="18"/>
                <w:szCs w:val="18"/>
              </w:rPr>
              <w:t>5299-5260</w:t>
            </w:r>
          </w:p>
        </w:tc>
        <w:tc>
          <w:tcPr>
            <w:tcW w:w="810" w:type="dxa"/>
            <w:shd w:val="clear" w:color="auto" w:fill="FFFFFF" w:themeFill="background1"/>
          </w:tcPr>
          <w:p w:rsidR="00DA74EB" w:rsidRPr="009D4E68" w:rsidRDefault="00DA74EB" w:rsidP="001D76C5">
            <w:pPr>
              <w:pStyle w:val="ListParagraph"/>
              <w:spacing w:line="200" w:lineRule="exact"/>
              <w:ind w:left="0"/>
              <w:jc w:val="center"/>
              <w:rPr>
                <w:rFonts w:cs="Times New Roman"/>
                <w:sz w:val="18"/>
                <w:szCs w:val="18"/>
              </w:rPr>
            </w:pPr>
            <w:r w:rsidRPr="009D4E68">
              <w:rPr>
                <w:rFonts w:cs="Times New Roman"/>
                <w:sz w:val="18"/>
                <w:szCs w:val="18"/>
              </w:rPr>
              <w:t>10%</w:t>
            </w:r>
          </w:p>
        </w:tc>
        <w:tc>
          <w:tcPr>
            <w:tcW w:w="990" w:type="dxa"/>
            <w:shd w:val="clear" w:color="auto" w:fill="FFFFFF" w:themeFill="background1"/>
          </w:tcPr>
          <w:p w:rsidR="00DA74EB" w:rsidRPr="009D4E68" w:rsidRDefault="00DA74EB" w:rsidP="001D76C5">
            <w:pPr>
              <w:pStyle w:val="ListParagraph"/>
              <w:spacing w:line="200" w:lineRule="exact"/>
              <w:ind w:left="0"/>
              <w:jc w:val="center"/>
              <w:rPr>
                <w:rFonts w:cs="Times New Roman"/>
                <w:sz w:val="18"/>
                <w:szCs w:val="18"/>
              </w:rPr>
            </w:pPr>
            <w:r w:rsidRPr="009D4E68">
              <w:rPr>
                <w:rFonts w:cs="Times New Roman"/>
                <w:sz w:val="18"/>
                <w:szCs w:val="18"/>
              </w:rPr>
              <w:t>20021004</w:t>
            </w:r>
          </w:p>
        </w:tc>
      </w:tr>
      <w:tr w:rsidR="00DA74EB" w:rsidRPr="009D4E68" w:rsidTr="00DA74EB">
        <w:trPr>
          <w:trHeight w:val="260"/>
          <w:jc w:val="center"/>
        </w:trPr>
        <w:tc>
          <w:tcPr>
            <w:tcW w:w="2295" w:type="dxa"/>
            <w:vMerge/>
            <w:tcBorders>
              <w:bottom w:val="single" w:sz="4" w:space="0" w:color="000000" w:themeColor="text1"/>
            </w:tcBorders>
            <w:shd w:val="clear" w:color="auto" w:fill="FFFFFF" w:themeFill="background1"/>
          </w:tcPr>
          <w:p w:rsidR="00DA74EB" w:rsidRPr="009D4E68" w:rsidRDefault="00DA74EB" w:rsidP="00C6453F">
            <w:pPr>
              <w:pStyle w:val="ListParagraph"/>
              <w:spacing w:line="200" w:lineRule="exact"/>
              <w:ind w:left="0"/>
              <w:jc w:val="both"/>
              <w:rPr>
                <w:rFonts w:cs="Times New Roman"/>
                <w:sz w:val="18"/>
                <w:szCs w:val="18"/>
              </w:rPr>
            </w:pPr>
          </w:p>
        </w:tc>
        <w:tc>
          <w:tcPr>
            <w:tcW w:w="1080" w:type="dxa"/>
            <w:vMerge/>
            <w:tcBorders>
              <w:bottom w:val="single" w:sz="4" w:space="0" w:color="000000" w:themeColor="text1"/>
            </w:tcBorders>
            <w:shd w:val="clear" w:color="auto" w:fill="FFFFFF" w:themeFill="background1"/>
          </w:tcPr>
          <w:p w:rsidR="00DA74EB" w:rsidRPr="009D4E68" w:rsidRDefault="00DA74EB" w:rsidP="00CC1A69">
            <w:pPr>
              <w:pStyle w:val="ListParagraph"/>
              <w:spacing w:line="200" w:lineRule="exact"/>
              <w:ind w:left="0"/>
              <w:jc w:val="center"/>
              <w:rPr>
                <w:rFonts w:cs="Times New Roman"/>
                <w:sz w:val="18"/>
                <w:szCs w:val="18"/>
              </w:rPr>
            </w:pPr>
          </w:p>
        </w:tc>
        <w:tc>
          <w:tcPr>
            <w:tcW w:w="810" w:type="dxa"/>
            <w:vMerge/>
            <w:tcBorders>
              <w:bottom w:val="single" w:sz="4" w:space="0" w:color="000000" w:themeColor="text1"/>
            </w:tcBorders>
            <w:shd w:val="clear" w:color="auto" w:fill="FFFFFF" w:themeFill="background1"/>
          </w:tcPr>
          <w:p w:rsidR="00DA74EB" w:rsidRPr="009D4E68" w:rsidRDefault="00DA74EB" w:rsidP="00CC1A69">
            <w:pPr>
              <w:pStyle w:val="ListParagraph"/>
              <w:spacing w:line="200" w:lineRule="exact"/>
              <w:ind w:left="0"/>
              <w:jc w:val="center"/>
              <w:rPr>
                <w:rFonts w:cs="Times New Roman"/>
                <w:sz w:val="18"/>
                <w:szCs w:val="18"/>
              </w:rPr>
            </w:pPr>
          </w:p>
        </w:tc>
        <w:tc>
          <w:tcPr>
            <w:tcW w:w="2610" w:type="dxa"/>
            <w:tcBorders>
              <w:bottom w:val="single" w:sz="4" w:space="0" w:color="000000" w:themeColor="text1"/>
            </w:tcBorders>
            <w:shd w:val="clear" w:color="auto" w:fill="FFFFFF" w:themeFill="background1"/>
          </w:tcPr>
          <w:p w:rsidR="00DA74EB" w:rsidRPr="009D4E68" w:rsidRDefault="00DA74EB" w:rsidP="001D76C5">
            <w:pPr>
              <w:autoSpaceDE w:val="0"/>
              <w:autoSpaceDN w:val="0"/>
              <w:adjustRightInd w:val="0"/>
              <w:spacing w:line="200" w:lineRule="exact"/>
              <w:rPr>
                <w:color w:val="auto"/>
                <w:sz w:val="18"/>
                <w:szCs w:val="18"/>
              </w:rPr>
            </w:pPr>
            <w:r w:rsidRPr="009D4E68">
              <w:rPr>
                <w:color w:val="auto"/>
                <w:sz w:val="18"/>
                <w:szCs w:val="18"/>
              </w:rPr>
              <w:t xml:space="preserve">Left Ankle </w:t>
            </w:r>
            <w:proofErr w:type="spellStart"/>
            <w:r w:rsidRPr="009D4E68">
              <w:rPr>
                <w:color w:val="auto"/>
                <w:sz w:val="18"/>
                <w:szCs w:val="18"/>
              </w:rPr>
              <w:t>Lig</w:t>
            </w:r>
            <w:proofErr w:type="spellEnd"/>
            <w:r w:rsidRPr="009D4E68">
              <w:rPr>
                <w:color w:val="auto"/>
                <w:sz w:val="18"/>
                <w:szCs w:val="18"/>
              </w:rPr>
              <w:t xml:space="preserve"> … </w:t>
            </w:r>
            <w:r w:rsidRPr="009D4E68">
              <w:rPr>
                <w:rFonts w:cs="Times New Roman"/>
                <w:color w:val="auto"/>
                <w:sz w:val="18"/>
                <w:szCs w:val="18"/>
              </w:rPr>
              <w:t>2</w:t>
            </w:r>
            <w:r w:rsidRPr="009D4E68">
              <w:rPr>
                <w:rFonts w:cs="Times New Roman"/>
                <w:color w:val="auto"/>
                <w:sz w:val="18"/>
                <w:szCs w:val="18"/>
                <w:vertAlign w:val="superscript"/>
              </w:rPr>
              <w:t>nd</w:t>
            </w:r>
            <w:r w:rsidRPr="009D4E68">
              <w:rPr>
                <w:color w:val="auto"/>
                <w:sz w:val="18"/>
                <w:szCs w:val="18"/>
              </w:rPr>
              <w:t xml:space="preserve"> </w:t>
            </w:r>
            <w:proofErr w:type="spellStart"/>
            <w:r w:rsidRPr="009D4E68">
              <w:rPr>
                <w:color w:val="auto"/>
                <w:sz w:val="18"/>
                <w:szCs w:val="18"/>
              </w:rPr>
              <w:t>LTib</w:t>
            </w:r>
            <w:proofErr w:type="spellEnd"/>
            <w:r w:rsidRPr="009D4E68">
              <w:rPr>
                <w:color w:val="auto"/>
                <w:sz w:val="18"/>
                <w:szCs w:val="18"/>
              </w:rPr>
              <w:t>-Fib …</w:t>
            </w:r>
          </w:p>
        </w:tc>
        <w:tc>
          <w:tcPr>
            <w:tcW w:w="675" w:type="dxa"/>
            <w:tcBorders>
              <w:bottom w:val="single" w:sz="4" w:space="0" w:color="000000" w:themeColor="text1"/>
            </w:tcBorders>
            <w:shd w:val="clear" w:color="auto" w:fill="FFFFFF" w:themeFill="background1"/>
          </w:tcPr>
          <w:p w:rsidR="00DA74EB" w:rsidRPr="009D4E68" w:rsidRDefault="00DA74EB" w:rsidP="001D76C5">
            <w:pPr>
              <w:pStyle w:val="ListParagraph"/>
              <w:spacing w:after="0" w:line="200" w:lineRule="exact"/>
              <w:ind w:left="0"/>
              <w:jc w:val="center"/>
              <w:rPr>
                <w:rFonts w:cs="Times New Roman"/>
                <w:sz w:val="18"/>
                <w:szCs w:val="18"/>
              </w:rPr>
            </w:pPr>
            <w:r w:rsidRPr="009D4E68">
              <w:rPr>
                <w:rFonts w:cs="Times New Roman"/>
                <w:sz w:val="18"/>
                <w:szCs w:val="18"/>
              </w:rPr>
              <w:t>5262</w:t>
            </w:r>
          </w:p>
        </w:tc>
        <w:tc>
          <w:tcPr>
            <w:tcW w:w="810" w:type="dxa"/>
            <w:tcBorders>
              <w:bottom w:val="single" w:sz="4" w:space="0" w:color="000000" w:themeColor="text1"/>
            </w:tcBorders>
            <w:shd w:val="clear" w:color="auto" w:fill="FFFFFF" w:themeFill="background1"/>
          </w:tcPr>
          <w:p w:rsidR="00DA74EB" w:rsidRPr="009D4E68" w:rsidRDefault="00DA74EB" w:rsidP="001D76C5">
            <w:pPr>
              <w:pStyle w:val="ListParagraph"/>
              <w:spacing w:after="0" w:line="200" w:lineRule="exact"/>
              <w:ind w:left="0"/>
              <w:jc w:val="center"/>
              <w:rPr>
                <w:rFonts w:cs="Times New Roman"/>
                <w:sz w:val="18"/>
                <w:szCs w:val="18"/>
              </w:rPr>
            </w:pPr>
            <w:r w:rsidRPr="009D4E68">
              <w:rPr>
                <w:rFonts w:cs="Times New Roman"/>
                <w:sz w:val="18"/>
                <w:szCs w:val="18"/>
              </w:rPr>
              <w:t>10%</w:t>
            </w:r>
          </w:p>
        </w:tc>
        <w:tc>
          <w:tcPr>
            <w:tcW w:w="990" w:type="dxa"/>
            <w:tcBorders>
              <w:bottom w:val="single" w:sz="4" w:space="0" w:color="000000" w:themeColor="text1"/>
            </w:tcBorders>
            <w:shd w:val="clear" w:color="auto" w:fill="FFFFFF" w:themeFill="background1"/>
          </w:tcPr>
          <w:p w:rsidR="00DA74EB" w:rsidRPr="009D4E68" w:rsidRDefault="00DA74EB" w:rsidP="001D76C5">
            <w:pPr>
              <w:pStyle w:val="ListParagraph"/>
              <w:spacing w:after="0" w:line="200" w:lineRule="exact"/>
              <w:ind w:left="0"/>
              <w:jc w:val="center"/>
              <w:rPr>
                <w:rFonts w:cs="Times New Roman"/>
                <w:sz w:val="18"/>
                <w:szCs w:val="18"/>
              </w:rPr>
            </w:pPr>
            <w:r w:rsidRPr="009D4E68">
              <w:rPr>
                <w:rFonts w:cs="Times New Roman"/>
                <w:sz w:val="18"/>
                <w:szCs w:val="18"/>
              </w:rPr>
              <w:t>20021004</w:t>
            </w:r>
          </w:p>
        </w:tc>
      </w:tr>
      <w:tr w:rsidR="001A6ACB" w:rsidRPr="009D4E68" w:rsidTr="00355BCF">
        <w:trPr>
          <w:trHeight w:val="614"/>
          <w:jc w:val="center"/>
        </w:trPr>
        <w:tc>
          <w:tcPr>
            <w:tcW w:w="2295" w:type="dxa"/>
            <w:tcBorders>
              <w:bottom w:val="single" w:sz="4" w:space="0" w:color="000000" w:themeColor="text1"/>
            </w:tcBorders>
            <w:shd w:val="clear" w:color="auto" w:fill="FFFFFF" w:themeFill="background1"/>
          </w:tcPr>
          <w:p w:rsidR="001A6ACB" w:rsidRPr="009D4E68" w:rsidRDefault="001A6ACB" w:rsidP="00C6453F">
            <w:pPr>
              <w:pStyle w:val="ListParagraph"/>
              <w:spacing w:line="200" w:lineRule="exact"/>
              <w:ind w:left="0"/>
              <w:jc w:val="both"/>
              <w:rPr>
                <w:rFonts w:cs="Times New Roman"/>
                <w:sz w:val="18"/>
                <w:szCs w:val="18"/>
              </w:rPr>
            </w:pPr>
            <w:proofErr w:type="spellStart"/>
            <w:r w:rsidRPr="009D4E68">
              <w:rPr>
                <w:rFonts w:cs="Times New Roman"/>
                <w:sz w:val="18"/>
                <w:szCs w:val="18"/>
              </w:rPr>
              <w:t>Malunion</w:t>
            </w:r>
            <w:proofErr w:type="spellEnd"/>
            <w:r w:rsidRPr="009D4E68">
              <w:rPr>
                <w:rFonts w:cs="Times New Roman"/>
                <w:sz w:val="18"/>
                <w:szCs w:val="18"/>
              </w:rPr>
              <w:t xml:space="preserve">, S/P corrective </w:t>
            </w:r>
            <w:proofErr w:type="spellStart"/>
            <w:r w:rsidRPr="009D4E68">
              <w:rPr>
                <w:rFonts w:cs="Times New Roman"/>
                <w:sz w:val="18"/>
                <w:szCs w:val="18"/>
              </w:rPr>
              <w:t>osteotomy</w:t>
            </w:r>
            <w:proofErr w:type="spellEnd"/>
          </w:p>
        </w:tc>
        <w:tc>
          <w:tcPr>
            <w:tcW w:w="1890" w:type="dxa"/>
            <w:gridSpan w:val="2"/>
            <w:vMerge w:val="restart"/>
            <w:tcBorders>
              <w:bottom w:val="single" w:sz="4" w:space="0" w:color="000000" w:themeColor="text1"/>
            </w:tcBorders>
            <w:shd w:val="clear" w:color="auto" w:fill="FFFFFF" w:themeFill="background1"/>
          </w:tcPr>
          <w:p w:rsidR="001A6ACB" w:rsidRPr="009D4E68" w:rsidRDefault="001A6ACB" w:rsidP="00CC1A69">
            <w:pPr>
              <w:pStyle w:val="ListParagraph"/>
              <w:spacing w:line="200" w:lineRule="exact"/>
              <w:ind w:left="0"/>
              <w:jc w:val="center"/>
              <w:rPr>
                <w:rFonts w:cs="Times New Roman"/>
                <w:sz w:val="18"/>
                <w:szCs w:val="18"/>
              </w:rPr>
            </w:pPr>
            <w:r w:rsidRPr="009D4E68">
              <w:rPr>
                <w:rFonts w:cs="Times New Roman"/>
                <w:sz w:val="18"/>
                <w:szCs w:val="18"/>
              </w:rPr>
              <w:t>Category II</w:t>
            </w:r>
          </w:p>
        </w:tc>
        <w:tc>
          <w:tcPr>
            <w:tcW w:w="5085" w:type="dxa"/>
            <w:gridSpan w:val="4"/>
            <w:shd w:val="clear" w:color="auto" w:fill="FFFFFF" w:themeFill="background1"/>
          </w:tcPr>
          <w:p w:rsidR="001A6ACB" w:rsidRPr="009D4E68" w:rsidRDefault="001A6ACB" w:rsidP="00C6453F">
            <w:pPr>
              <w:pStyle w:val="ListParagraph"/>
              <w:spacing w:line="200" w:lineRule="exact"/>
              <w:ind w:left="0"/>
              <w:jc w:val="center"/>
              <w:rPr>
                <w:rFonts w:cs="Times New Roman"/>
                <w:sz w:val="18"/>
                <w:szCs w:val="18"/>
              </w:rPr>
            </w:pPr>
            <w:r w:rsidRPr="009D4E68">
              <w:rPr>
                <w:rFonts w:cs="Times New Roman"/>
                <w:i/>
                <w:sz w:val="18"/>
                <w:szCs w:val="18"/>
              </w:rPr>
              <w:t>see above</w:t>
            </w:r>
          </w:p>
        </w:tc>
      </w:tr>
      <w:tr w:rsidR="000936FA" w:rsidRPr="009D4E68" w:rsidTr="00491D6D">
        <w:trPr>
          <w:trHeight w:val="125"/>
          <w:jc w:val="center"/>
        </w:trPr>
        <w:tc>
          <w:tcPr>
            <w:tcW w:w="2295" w:type="dxa"/>
            <w:shd w:val="clear" w:color="auto" w:fill="FFFFFF" w:themeFill="background1"/>
          </w:tcPr>
          <w:p w:rsidR="000936FA" w:rsidRPr="009D4E68" w:rsidRDefault="000936FA" w:rsidP="00C6453F">
            <w:pPr>
              <w:pStyle w:val="ListParagraph"/>
              <w:spacing w:after="0" w:line="200" w:lineRule="exact"/>
              <w:ind w:left="0"/>
              <w:jc w:val="both"/>
              <w:rPr>
                <w:rFonts w:cs="Times New Roman"/>
                <w:sz w:val="18"/>
                <w:szCs w:val="18"/>
              </w:rPr>
            </w:pPr>
            <w:r w:rsidRPr="009D4E68">
              <w:rPr>
                <w:rFonts w:cs="Times New Roman"/>
                <w:sz w:val="18"/>
                <w:szCs w:val="18"/>
              </w:rPr>
              <w:t>S/P Partial Injury to the Superficial Peroneal Nerve</w:t>
            </w:r>
          </w:p>
        </w:tc>
        <w:tc>
          <w:tcPr>
            <w:tcW w:w="1890" w:type="dxa"/>
            <w:gridSpan w:val="2"/>
            <w:vMerge/>
            <w:shd w:val="clear" w:color="auto" w:fill="FFFFFF" w:themeFill="background1"/>
          </w:tcPr>
          <w:p w:rsidR="000936FA" w:rsidRPr="009D4E68" w:rsidRDefault="000936FA" w:rsidP="00CC1A69">
            <w:pPr>
              <w:pStyle w:val="ListParagraph"/>
              <w:spacing w:after="0" w:line="200" w:lineRule="exact"/>
              <w:ind w:left="0"/>
              <w:jc w:val="center"/>
              <w:rPr>
                <w:rFonts w:cs="Times New Roman"/>
                <w:sz w:val="18"/>
                <w:szCs w:val="18"/>
              </w:rPr>
            </w:pPr>
          </w:p>
        </w:tc>
        <w:tc>
          <w:tcPr>
            <w:tcW w:w="2610" w:type="dxa"/>
            <w:shd w:val="clear" w:color="auto" w:fill="FFFFFF" w:themeFill="background1"/>
          </w:tcPr>
          <w:p w:rsidR="000936FA" w:rsidRPr="009D4E68" w:rsidRDefault="000936FA" w:rsidP="001D76C5">
            <w:pPr>
              <w:pStyle w:val="ListParagraph"/>
              <w:spacing w:after="0" w:line="200" w:lineRule="exact"/>
              <w:ind w:left="0"/>
              <w:rPr>
                <w:rFonts w:cs="Times New Roman"/>
                <w:sz w:val="18"/>
                <w:szCs w:val="18"/>
              </w:rPr>
            </w:pPr>
            <w:r w:rsidRPr="009D4E68">
              <w:rPr>
                <w:rFonts w:cs="Times New Roman"/>
                <w:sz w:val="18"/>
                <w:szCs w:val="18"/>
              </w:rPr>
              <w:t>Paresthesias of the Peroneal Nerve</w:t>
            </w:r>
          </w:p>
        </w:tc>
        <w:tc>
          <w:tcPr>
            <w:tcW w:w="675" w:type="dxa"/>
            <w:shd w:val="clear" w:color="auto" w:fill="FFFFFF" w:themeFill="background1"/>
          </w:tcPr>
          <w:p w:rsidR="000936FA" w:rsidRPr="009D4E68" w:rsidRDefault="000936FA" w:rsidP="001D76C5">
            <w:pPr>
              <w:pStyle w:val="ListParagraph"/>
              <w:spacing w:after="0" w:line="200" w:lineRule="exact"/>
              <w:ind w:left="0"/>
              <w:jc w:val="center"/>
              <w:rPr>
                <w:rFonts w:cs="Times New Roman"/>
                <w:sz w:val="18"/>
                <w:szCs w:val="18"/>
              </w:rPr>
            </w:pPr>
            <w:r w:rsidRPr="009D4E68">
              <w:rPr>
                <w:rFonts w:cs="Times New Roman"/>
                <w:sz w:val="18"/>
                <w:szCs w:val="18"/>
              </w:rPr>
              <w:t>8520</w:t>
            </w:r>
          </w:p>
        </w:tc>
        <w:tc>
          <w:tcPr>
            <w:tcW w:w="810" w:type="dxa"/>
            <w:shd w:val="clear" w:color="auto" w:fill="FFFFFF" w:themeFill="background1"/>
          </w:tcPr>
          <w:p w:rsidR="000936FA" w:rsidRPr="009D4E68" w:rsidRDefault="000936FA" w:rsidP="001D76C5">
            <w:pPr>
              <w:pStyle w:val="ListParagraph"/>
              <w:spacing w:after="0" w:line="200" w:lineRule="exact"/>
              <w:ind w:left="0"/>
              <w:jc w:val="center"/>
              <w:rPr>
                <w:rFonts w:cs="Times New Roman"/>
                <w:sz w:val="18"/>
                <w:szCs w:val="18"/>
              </w:rPr>
            </w:pPr>
            <w:r w:rsidRPr="009D4E68">
              <w:rPr>
                <w:rFonts w:cs="Times New Roman"/>
                <w:sz w:val="18"/>
                <w:szCs w:val="18"/>
              </w:rPr>
              <w:t>10%</w:t>
            </w:r>
          </w:p>
        </w:tc>
        <w:tc>
          <w:tcPr>
            <w:tcW w:w="990" w:type="dxa"/>
            <w:shd w:val="clear" w:color="auto" w:fill="FFFFFF" w:themeFill="background1"/>
          </w:tcPr>
          <w:p w:rsidR="000936FA" w:rsidRPr="009D4E68" w:rsidRDefault="001822A4" w:rsidP="001D76C5">
            <w:pPr>
              <w:pStyle w:val="ListParagraph"/>
              <w:spacing w:after="0" w:line="200" w:lineRule="exact"/>
              <w:ind w:left="0"/>
              <w:jc w:val="center"/>
              <w:rPr>
                <w:rFonts w:cs="Times New Roman"/>
                <w:sz w:val="18"/>
                <w:szCs w:val="18"/>
              </w:rPr>
            </w:pPr>
            <w:r w:rsidRPr="009D4E68">
              <w:rPr>
                <w:rFonts w:cs="Times New Roman"/>
                <w:sz w:val="18"/>
                <w:szCs w:val="18"/>
              </w:rPr>
              <w:t>20021004</w:t>
            </w:r>
          </w:p>
        </w:tc>
      </w:tr>
      <w:tr w:rsidR="000936FA" w:rsidRPr="009D4E68" w:rsidTr="00917844">
        <w:trPr>
          <w:trHeight w:val="125"/>
          <w:jc w:val="center"/>
        </w:trPr>
        <w:tc>
          <w:tcPr>
            <w:tcW w:w="4185" w:type="dxa"/>
            <w:gridSpan w:val="3"/>
            <w:shd w:val="clear" w:color="auto" w:fill="FFFFFF" w:themeFill="background1"/>
          </w:tcPr>
          <w:p w:rsidR="000936FA" w:rsidRPr="009D4E68" w:rsidRDefault="000936FA" w:rsidP="00C6453F">
            <w:pPr>
              <w:pStyle w:val="ListParagraph"/>
              <w:spacing w:after="0" w:line="200" w:lineRule="exact"/>
              <w:ind w:left="0"/>
              <w:jc w:val="center"/>
              <w:rPr>
                <w:rFonts w:cs="Times New Roman"/>
                <w:sz w:val="18"/>
                <w:szCs w:val="18"/>
              </w:rPr>
            </w:pPr>
            <w:r w:rsidRPr="009D4E68">
              <w:rPr>
                <w:rFonts w:cs="Times New Roman"/>
                <w:sz w:val="18"/>
                <w:szCs w:val="18"/>
              </w:rPr>
              <w:t>↓No Additional MEB/PEB Entries↓</w:t>
            </w:r>
          </w:p>
        </w:tc>
        <w:tc>
          <w:tcPr>
            <w:tcW w:w="2610" w:type="dxa"/>
            <w:shd w:val="clear" w:color="auto" w:fill="FFFFFF" w:themeFill="background1"/>
          </w:tcPr>
          <w:p w:rsidR="000936FA" w:rsidRPr="009D4E68" w:rsidRDefault="001822A4" w:rsidP="001822A4">
            <w:pPr>
              <w:spacing w:line="200" w:lineRule="exact"/>
              <w:rPr>
                <w:rFonts w:cs="Times New Roman"/>
                <w:color w:val="auto"/>
                <w:sz w:val="18"/>
                <w:szCs w:val="18"/>
              </w:rPr>
            </w:pPr>
            <w:r w:rsidRPr="009D4E68">
              <w:rPr>
                <w:rFonts w:cs="Times New Roman"/>
                <w:color w:val="auto"/>
                <w:sz w:val="18"/>
                <w:szCs w:val="18"/>
              </w:rPr>
              <w:t xml:space="preserve">HTN </w:t>
            </w:r>
          </w:p>
        </w:tc>
        <w:tc>
          <w:tcPr>
            <w:tcW w:w="675" w:type="dxa"/>
            <w:shd w:val="clear" w:color="auto" w:fill="FFFFFF" w:themeFill="background1"/>
          </w:tcPr>
          <w:p w:rsidR="000936FA" w:rsidRPr="009D4E68" w:rsidRDefault="001822A4" w:rsidP="00C6453F">
            <w:pPr>
              <w:pStyle w:val="ListParagraph"/>
              <w:spacing w:after="0" w:line="200" w:lineRule="exact"/>
              <w:ind w:left="0"/>
              <w:jc w:val="both"/>
              <w:rPr>
                <w:rFonts w:cs="Times New Roman"/>
                <w:sz w:val="18"/>
                <w:szCs w:val="18"/>
              </w:rPr>
            </w:pPr>
            <w:r w:rsidRPr="009D4E68">
              <w:rPr>
                <w:rFonts w:cs="Times New Roman"/>
                <w:sz w:val="18"/>
                <w:szCs w:val="18"/>
              </w:rPr>
              <w:t>7101</w:t>
            </w:r>
          </w:p>
        </w:tc>
        <w:tc>
          <w:tcPr>
            <w:tcW w:w="810" w:type="dxa"/>
            <w:shd w:val="clear" w:color="auto" w:fill="FFFFFF" w:themeFill="background1"/>
          </w:tcPr>
          <w:p w:rsidR="000936FA" w:rsidRPr="009D4E68" w:rsidRDefault="001822A4" w:rsidP="001822A4">
            <w:pPr>
              <w:pStyle w:val="ListParagraph"/>
              <w:spacing w:after="0" w:line="200" w:lineRule="exact"/>
              <w:ind w:left="0"/>
              <w:jc w:val="center"/>
              <w:rPr>
                <w:rFonts w:cs="Times New Roman"/>
                <w:sz w:val="18"/>
                <w:szCs w:val="18"/>
              </w:rPr>
            </w:pPr>
            <w:r w:rsidRPr="009D4E68">
              <w:rPr>
                <w:rFonts w:cs="Times New Roman"/>
                <w:sz w:val="18"/>
                <w:szCs w:val="18"/>
              </w:rPr>
              <w:t>10%</w:t>
            </w:r>
          </w:p>
        </w:tc>
        <w:tc>
          <w:tcPr>
            <w:tcW w:w="990" w:type="dxa"/>
            <w:shd w:val="clear" w:color="auto" w:fill="FFFFFF" w:themeFill="background1"/>
          </w:tcPr>
          <w:p w:rsidR="000936FA" w:rsidRPr="009D4E68" w:rsidRDefault="001822A4" w:rsidP="00C6453F">
            <w:pPr>
              <w:pStyle w:val="ListParagraph"/>
              <w:spacing w:after="0" w:line="200" w:lineRule="exact"/>
              <w:ind w:left="0"/>
              <w:jc w:val="both"/>
              <w:rPr>
                <w:rFonts w:cs="Times New Roman"/>
                <w:sz w:val="18"/>
                <w:szCs w:val="18"/>
              </w:rPr>
            </w:pPr>
            <w:r w:rsidRPr="009D4E68">
              <w:rPr>
                <w:rFonts w:cs="Times New Roman"/>
                <w:sz w:val="18"/>
                <w:szCs w:val="18"/>
              </w:rPr>
              <w:t>20021004</w:t>
            </w:r>
          </w:p>
        </w:tc>
      </w:tr>
      <w:tr w:rsidR="000936FA" w:rsidRPr="009D4E68" w:rsidTr="00C04E08">
        <w:trPr>
          <w:trHeight w:val="242"/>
          <w:jc w:val="center"/>
        </w:trPr>
        <w:tc>
          <w:tcPr>
            <w:tcW w:w="4185" w:type="dxa"/>
            <w:gridSpan w:val="3"/>
            <w:shd w:val="clear" w:color="auto" w:fill="D9D9D9" w:themeFill="background1" w:themeFillShade="D9"/>
          </w:tcPr>
          <w:p w:rsidR="000936FA" w:rsidRPr="009D4E68" w:rsidRDefault="000936FA" w:rsidP="001A6ACB">
            <w:pPr>
              <w:pStyle w:val="ListParagraph"/>
              <w:spacing w:after="0" w:line="240" w:lineRule="exact"/>
              <w:ind w:left="0"/>
              <w:jc w:val="center"/>
              <w:rPr>
                <w:rFonts w:cs="Times New Roman"/>
                <w:b/>
                <w:sz w:val="20"/>
                <w:szCs w:val="20"/>
              </w:rPr>
            </w:pPr>
            <w:r w:rsidRPr="009D4E68">
              <w:rPr>
                <w:rFonts w:cs="Times New Roman"/>
                <w:b/>
                <w:sz w:val="20"/>
                <w:szCs w:val="20"/>
              </w:rPr>
              <w:t>TOTAL Combined: 10%</w:t>
            </w:r>
          </w:p>
        </w:tc>
        <w:tc>
          <w:tcPr>
            <w:tcW w:w="5085" w:type="dxa"/>
            <w:gridSpan w:val="4"/>
            <w:shd w:val="clear" w:color="auto" w:fill="D9D9D9" w:themeFill="background1" w:themeFillShade="D9"/>
          </w:tcPr>
          <w:p w:rsidR="000936FA" w:rsidRPr="009D4E68" w:rsidRDefault="000936FA" w:rsidP="001A6ACB">
            <w:pPr>
              <w:pStyle w:val="ListParagraph"/>
              <w:spacing w:after="0" w:line="240" w:lineRule="exact"/>
              <w:ind w:left="0"/>
              <w:jc w:val="center"/>
              <w:rPr>
                <w:rFonts w:cs="Times New Roman"/>
                <w:b/>
                <w:sz w:val="20"/>
                <w:szCs w:val="20"/>
              </w:rPr>
            </w:pPr>
            <w:r w:rsidRPr="009D4E68">
              <w:rPr>
                <w:rFonts w:cs="Times New Roman"/>
                <w:b/>
                <w:sz w:val="20"/>
                <w:szCs w:val="20"/>
              </w:rPr>
              <w:t>TOTAL Combined: 50%</w:t>
            </w:r>
            <w:r w:rsidR="001822A4" w:rsidRPr="009D4E68">
              <w:rPr>
                <w:rFonts w:cs="Times New Roman"/>
                <w:b/>
                <w:sz w:val="20"/>
                <w:szCs w:val="20"/>
              </w:rPr>
              <w:t>*</w:t>
            </w:r>
          </w:p>
        </w:tc>
      </w:tr>
    </w:tbl>
    <w:p w:rsidR="00C04E08" w:rsidRPr="009D4E68" w:rsidRDefault="001822A4" w:rsidP="00491D6D">
      <w:pPr>
        <w:tabs>
          <w:tab w:val="left" w:pos="288"/>
          <w:tab w:val="left" w:pos="4752"/>
        </w:tabs>
        <w:spacing w:line="240" w:lineRule="exact"/>
        <w:rPr>
          <w:rFonts w:asciiTheme="minorHAnsi" w:hAnsiTheme="minorHAnsi"/>
          <w:color w:val="auto"/>
          <w:sz w:val="22"/>
        </w:rPr>
      </w:pPr>
      <w:r w:rsidRPr="009D4E68">
        <w:rPr>
          <w:rFonts w:asciiTheme="minorHAnsi" w:hAnsiTheme="minorHAnsi"/>
          <w:color w:val="auto"/>
          <w:sz w:val="22"/>
        </w:rPr>
        <w:t>* 100% effective 20041126 with added Bipolar Disorder (100%)</w:t>
      </w:r>
      <w:r w:rsidR="00A47F35" w:rsidRPr="009D4E68">
        <w:rPr>
          <w:rFonts w:asciiTheme="minorHAnsi" w:hAnsiTheme="minorHAnsi"/>
          <w:color w:val="auto"/>
          <w:sz w:val="22"/>
        </w:rPr>
        <w:t xml:space="preserve"> with earlier Adjustment Disorder attributed to Left Leg condition.  </w:t>
      </w:r>
    </w:p>
    <w:p w:rsidR="00491D6D" w:rsidRPr="009D4E68" w:rsidRDefault="00491D6D" w:rsidP="00491D6D">
      <w:pPr>
        <w:tabs>
          <w:tab w:val="left" w:pos="288"/>
          <w:tab w:val="left" w:pos="4752"/>
        </w:tabs>
        <w:spacing w:line="240" w:lineRule="exact"/>
        <w:jc w:val="both"/>
        <w:rPr>
          <w:rFonts w:asciiTheme="minorHAnsi" w:hAnsiTheme="minorHAnsi"/>
          <w:color w:val="auto"/>
        </w:rPr>
      </w:pPr>
      <w:r w:rsidRPr="009D4E68">
        <w:rPr>
          <w:rFonts w:asciiTheme="minorHAnsi" w:hAnsiTheme="minorHAnsi"/>
          <w:color w:val="auto"/>
          <w:u w:val="single"/>
        </w:rPr>
        <w:t>_______________________________________________________________</w:t>
      </w:r>
      <w:r w:rsidRPr="009D4E68">
        <w:rPr>
          <w:rFonts w:asciiTheme="minorHAnsi" w:hAnsiTheme="minorHAnsi"/>
          <w:color w:val="auto"/>
        </w:rPr>
        <w:t>______________</w:t>
      </w:r>
    </w:p>
    <w:p w:rsidR="00094AA6" w:rsidRDefault="00094AA6" w:rsidP="00213208">
      <w:pPr>
        <w:tabs>
          <w:tab w:val="left" w:pos="288"/>
          <w:tab w:val="left" w:pos="4752"/>
        </w:tabs>
        <w:spacing w:line="240" w:lineRule="exact"/>
        <w:jc w:val="both"/>
        <w:rPr>
          <w:rFonts w:asciiTheme="minorHAnsi" w:hAnsiTheme="minorHAnsi"/>
          <w:color w:val="auto"/>
          <w:szCs w:val="24"/>
          <w:u w:val="single"/>
        </w:rPr>
      </w:pPr>
    </w:p>
    <w:p w:rsidR="00BB1192" w:rsidRPr="009D4E68" w:rsidRDefault="002C6E5B" w:rsidP="00213208">
      <w:pPr>
        <w:tabs>
          <w:tab w:val="left" w:pos="288"/>
          <w:tab w:val="left" w:pos="4752"/>
        </w:tabs>
        <w:spacing w:line="240" w:lineRule="exact"/>
        <w:jc w:val="both"/>
        <w:rPr>
          <w:rFonts w:asciiTheme="minorHAnsi" w:hAnsiTheme="minorHAnsi"/>
          <w:color w:val="auto"/>
          <w:szCs w:val="24"/>
        </w:rPr>
      </w:pPr>
      <w:r w:rsidRPr="009D4E68">
        <w:rPr>
          <w:rFonts w:asciiTheme="minorHAnsi" w:hAnsiTheme="minorHAnsi"/>
          <w:color w:val="auto"/>
          <w:szCs w:val="24"/>
          <w:u w:val="single"/>
        </w:rPr>
        <w:lastRenderedPageBreak/>
        <w:t>ANALYSIS SUMMARY</w:t>
      </w:r>
      <w:r w:rsidRPr="009D4E68">
        <w:rPr>
          <w:rFonts w:asciiTheme="minorHAnsi" w:hAnsiTheme="minorHAnsi"/>
          <w:color w:val="auto"/>
          <w:szCs w:val="24"/>
        </w:rPr>
        <w:t>:</w:t>
      </w:r>
      <w:r w:rsidR="00A830B5" w:rsidRPr="009D4E68">
        <w:rPr>
          <w:rFonts w:asciiTheme="minorHAnsi" w:hAnsiTheme="minorHAnsi"/>
          <w:color w:val="auto"/>
          <w:szCs w:val="24"/>
        </w:rPr>
        <w:t xml:space="preserve">  </w:t>
      </w:r>
      <w:r w:rsidR="0085486F" w:rsidRPr="009D4E68">
        <w:rPr>
          <w:rFonts w:asciiTheme="minorHAnsi" w:hAnsiTheme="minorHAnsi"/>
          <w:color w:val="auto"/>
          <w:szCs w:val="24"/>
        </w:rPr>
        <w:t>The Board acknowledges the sentiment expressed in the CI’s application, i.e.</w:t>
      </w:r>
      <w:r w:rsidR="004B797D">
        <w:rPr>
          <w:rFonts w:asciiTheme="minorHAnsi" w:hAnsiTheme="minorHAnsi"/>
          <w:color w:val="auto"/>
          <w:szCs w:val="24"/>
        </w:rPr>
        <w:t>,</w:t>
      </w:r>
      <w:r w:rsidR="0085486F" w:rsidRPr="009D4E68">
        <w:rPr>
          <w:rFonts w:asciiTheme="minorHAnsi" w:hAnsiTheme="minorHAnsi"/>
          <w:color w:val="auto"/>
          <w:szCs w:val="24"/>
        </w:rPr>
        <w:t xml:space="preserve"> that </w:t>
      </w:r>
      <w:r w:rsidR="00E56BC9" w:rsidRPr="009D4E68">
        <w:rPr>
          <w:rFonts w:asciiTheme="minorHAnsi" w:hAnsiTheme="minorHAnsi"/>
          <w:color w:val="auto"/>
          <w:szCs w:val="24"/>
        </w:rPr>
        <w:t>t</w:t>
      </w:r>
      <w:r w:rsidR="0085486F" w:rsidRPr="009D4E68">
        <w:rPr>
          <w:rFonts w:asciiTheme="minorHAnsi" w:hAnsiTheme="minorHAnsi"/>
          <w:color w:val="auto"/>
          <w:szCs w:val="24"/>
        </w:rPr>
        <w:t xml:space="preserve">here should be </w:t>
      </w:r>
      <w:r w:rsidR="00E56BC9" w:rsidRPr="009D4E68">
        <w:rPr>
          <w:rFonts w:asciiTheme="minorHAnsi" w:hAnsiTheme="minorHAnsi"/>
          <w:color w:val="auto"/>
          <w:szCs w:val="24"/>
        </w:rPr>
        <w:t>additi</w:t>
      </w:r>
      <w:r w:rsidR="0085486F" w:rsidRPr="009D4E68">
        <w:rPr>
          <w:rFonts w:asciiTheme="minorHAnsi" w:hAnsiTheme="minorHAnsi"/>
          <w:color w:val="auto"/>
          <w:szCs w:val="24"/>
        </w:rPr>
        <w:t>onal disability</w:t>
      </w:r>
      <w:r w:rsidR="004B797D">
        <w:rPr>
          <w:rFonts w:asciiTheme="minorHAnsi" w:hAnsiTheme="minorHAnsi"/>
          <w:color w:val="auto"/>
          <w:szCs w:val="24"/>
        </w:rPr>
        <w:t>-</w:t>
      </w:r>
      <w:r w:rsidR="0085486F" w:rsidRPr="009D4E68">
        <w:rPr>
          <w:rFonts w:asciiTheme="minorHAnsi" w:hAnsiTheme="minorHAnsi"/>
          <w:color w:val="auto"/>
          <w:szCs w:val="24"/>
        </w:rPr>
        <w:t xml:space="preserve">assigned for conditions which were connected with his </w:t>
      </w:r>
      <w:r w:rsidR="00AE4C2E" w:rsidRPr="009D4E68">
        <w:rPr>
          <w:rFonts w:asciiTheme="minorHAnsi" w:hAnsiTheme="minorHAnsi"/>
          <w:color w:val="auto"/>
          <w:szCs w:val="24"/>
        </w:rPr>
        <w:t>tibia</w:t>
      </w:r>
      <w:r w:rsidR="004B797D">
        <w:rPr>
          <w:rFonts w:asciiTheme="minorHAnsi" w:hAnsiTheme="minorHAnsi"/>
          <w:color w:val="auto"/>
          <w:szCs w:val="24"/>
        </w:rPr>
        <w:t xml:space="preserve"> and </w:t>
      </w:r>
      <w:r w:rsidR="0085486F" w:rsidRPr="009D4E68">
        <w:rPr>
          <w:rFonts w:asciiTheme="minorHAnsi" w:hAnsiTheme="minorHAnsi"/>
          <w:color w:val="auto"/>
          <w:szCs w:val="24"/>
        </w:rPr>
        <w:t>fibula fractures condition</w:t>
      </w:r>
      <w:r w:rsidR="004B797D">
        <w:rPr>
          <w:rFonts w:asciiTheme="minorHAnsi" w:hAnsiTheme="minorHAnsi"/>
          <w:color w:val="auto"/>
          <w:szCs w:val="24"/>
        </w:rPr>
        <w:t>,</w:t>
      </w:r>
      <w:r w:rsidR="0085486F" w:rsidRPr="009D4E68">
        <w:rPr>
          <w:rFonts w:asciiTheme="minorHAnsi" w:hAnsiTheme="minorHAnsi"/>
          <w:color w:val="auto"/>
          <w:szCs w:val="24"/>
        </w:rPr>
        <w:t xml:space="preserve"> and the gravity of his </w:t>
      </w:r>
      <w:r w:rsidR="00E56BC9" w:rsidRPr="009D4E68">
        <w:rPr>
          <w:rFonts w:asciiTheme="minorHAnsi" w:hAnsiTheme="minorHAnsi"/>
          <w:color w:val="auto"/>
          <w:szCs w:val="24"/>
        </w:rPr>
        <w:t>condition</w:t>
      </w:r>
      <w:r w:rsidR="0085486F" w:rsidRPr="009D4E68">
        <w:rPr>
          <w:rFonts w:asciiTheme="minorHAnsi" w:hAnsiTheme="minorHAnsi"/>
          <w:color w:val="auto"/>
          <w:szCs w:val="24"/>
        </w:rPr>
        <w:t xml:space="preserve"> and consequences which merit a higher separation rating.  It is a fact</w:t>
      </w:r>
      <w:r w:rsidR="004B797D">
        <w:rPr>
          <w:rFonts w:asciiTheme="minorHAnsi" w:hAnsiTheme="minorHAnsi"/>
          <w:color w:val="auto"/>
          <w:szCs w:val="24"/>
        </w:rPr>
        <w:t>,</w:t>
      </w:r>
      <w:r w:rsidR="0085486F" w:rsidRPr="009D4E68">
        <w:rPr>
          <w:rFonts w:asciiTheme="minorHAnsi" w:hAnsiTheme="minorHAnsi"/>
          <w:color w:val="auto"/>
          <w:szCs w:val="24"/>
        </w:rPr>
        <w:t xml:space="preserve"> however</w:t>
      </w:r>
      <w:r w:rsidR="004B797D">
        <w:rPr>
          <w:rFonts w:asciiTheme="minorHAnsi" w:hAnsiTheme="minorHAnsi"/>
          <w:color w:val="auto"/>
          <w:szCs w:val="24"/>
        </w:rPr>
        <w:t>,</w:t>
      </w:r>
      <w:r w:rsidR="0085486F" w:rsidRPr="009D4E68">
        <w:rPr>
          <w:rFonts w:asciiTheme="minorHAnsi" w:hAnsiTheme="minorHAnsi"/>
          <w:color w:val="auto"/>
          <w:szCs w:val="24"/>
        </w:rPr>
        <w:t xml:space="preserve"> that the Disability Evaluation System (DES) has neither the role nor the authority to compensate service members for conditions that did not impair duty performance or potential complications resulting in medical separation.  This role and authority is granted by Congress to the Veterans Administration.</w:t>
      </w:r>
      <w:r w:rsidR="00765220" w:rsidRPr="009D4E68">
        <w:rPr>
          <w:rFonts w:asciiTheme="minorHAnsi" w:hAnsiTheme="minorHAnsi"/>
          <w:color w:val="auto"/>
          <w:szCs w:val="24"/>
        </w:rPr>
        <w:t xml:space="preserve">  A “crystal ball” requirement is not imposed on the service PEBs </w:t>
      </w:r>
      <w:r w:rsidR="001B5F19" w:rsidRPr="009D4E68">
        <w:rPr>
          <w:rFonts w:asciiTheme="minorHAnsi" w:hAnsiTheme="minorHAnsi"/>
          <w:color w:val="auto"/>
          <w:szCs w:val="24"/>
        </w:rPr>
        <w:t>by the Board</w:t>
      </w:r>
      <w:r w:rsidR="004B797D">
        <w:rPr>
          <w:rFonts w:asciiTheme="minorHAnsi" w:hAnsiTheme="minorHAnsi"/>
          <w:color w:val="auto"/>
          <w:szCs w:val="24"/>
        </w:rPr>
        <w:t>;</w:t>
      </w:r>
      <w:r w:rsidR="001B5F19" w:rsidRPr="009D4E68">
        <w:rPr>
          <w:rFonts w:asciiTheme="minorHAnsi" w:hAnsiTheme="minorHAnsi"/>
          <w:color w:val="auto"/>
          <w:szCs w:val="24"/>
        </w:rPr>
        <w:t xml:space="preserve"> the 12</w:t>
      </w:r>
      <w:r w:rsidR="001A6ACB">
        <w:rPr>
          <w:rFonts w:asciiTheme="minorHAnsi" w:hAnsiTheme="minorHAnsi"/>
          <w:color w:val="auto"/>
          <w:szCs w:val="24"/>
        </w:rPr>
        <w:t>-</w:t>
      </w:r>
      <w:r w:rsidR="001B5F19" w:rsidRPr="009D4E68">
        <w:rPr>
          <w:rFonts w:asciiTheme="minorHAnsi" w:hAnsiTheme="minorHAnsi"/>
          <w:color w:val="auto"/>
          <w:szCs w:val="24"/>
        </w:rPr>
        <w:t>month window specified in DoDI 6040.44 is appropriate for rating comparisons, but not for new developments or increased disability after separation.</w:t>
      </w:r>
      <w:r w:rsidR="002C4284">
        <w:rPr>
          <w:rFonts w:asciiTheme="minorHAnsi" w:hAnsiTheme="minorHAnsi"/>
          <w:color w:val="auto"/>
          <w:szCs w:val="24"/>
        </w:rPr>
        <w:t xml:space="preserve">  </w:t>
      </w:r>
      <w:r w:rsidR="00A830B5" w:rsidRPr="009D4E68">
        <w:rPr>
          <w:rFonts w:asciiTheme="minorHAnsi" w:hAnsiTheme="minorHAnsi"/>
          <w:color w:val="auto"/>
          <w:szCs w:val="24"/>
        </w:rPr>
        <w:t>This case focuses on the fact that</w:t>
      </w:r>
      <w:r w:rsidR="002C4284">
        <w:rPr>
          <w:rFonts w:asciiTheme="minorHAnsi" w:hAnsiTheme="minorHAnsi"/>
          <w:color w:val="auto"/>
          <w:szCs w:val="24"/>
        </w:rPr>
        <w:t>,</w:t>
      </w:r>
      <w:r w:rsidR="00A830B5" w:rsidRPr="009D4E68">
        <w:rPr>
          <w:rFonts w:asciiTheme="minorHAnsi" w:hAnsiTheme="minorHAnsi"/>
          <w:color w:val="auto"/>
          <w:szCs w:val="24"/>
        </w:rPr>
        <w:t xml:space="preserve"> although the CI had extensive tibia</w:t>
      </w:r>
      <w:r w:rsidR="004B797D">
        <w:rPr>
          <w:rFonts w:asciiTheme="minorHAnsi" w:hAnsiTheme="minorHAnsi"/>
          <w:color w:val="auto"/>
          <w:szCs w:val="24"/>
        </w:rPr>
        <w:t xml:space="preserve"> and </w:t>
      </w:r>
      <w:r w:rsidR="00A830B5" w:rsidRPr="009D4E68">
        <w:rPr>
          <w:rFonts w:asciiTheme="minorHAnsi" w:hAnsiTheme="minorHAnsi"/>
          <w:color w:val="auto"/>
          <w:szCs w:val="24"/>
        </w:rPr>
        <w:t>fibula surgeries</w:t>
      </w:r>
      <w:r w:rsidR="002C4284">
        <w:rPr>
          <w:rFonts w:asciiTheme="minorHAnsi" w:hAnsiTheme="minorHAnsi"/>
          <w:color w:val="auto"/>
          <w:szCs w:val="24"/>
        </w:rPr>
        <w:t xml:space="preserve">, </w:t>
      </w:r>
      <w:r w:rsidR="004B797D">
        <w:rPr>
          <w:rFonts w:asciiTheme="minorHAnsi" w:hAnsiTheme="minorHAnsi"/>
          <w:color w:val="auto"/>
          <w:szCs w:val="24"/>
        </w:rPr>
        <w:t>the</w:t>
      </w:r>
      <w:r w:rsidR="002C4284">
        <w:rPr>
          <w:rFonts w:asciiTheme="minorHAnsi" w:hAnsiTheme="minorHAnsi"/>
          <w:color w:val="auto"/>
          <w:szCs w:val="24"/>
        </w:rPr>
        <w:t xml:space="preserve"> unremitting pain prevented him from performing his duties.  </w:t>
      </w:r>
      <w:r w:rsidR="00160B6B" w:rsidRPr="009D4E68">
        <w:rPr>
          <w:rFonts w:asciiTheme="minorHAnsi" w:hAnsiTheme="minorHAnsi"/>
          <w:color w:val="auto"/>
          <w:szCs w:val="24"/>
        </w:rPr>
        <w:t>The PEB and the VA differ on coding issues and rating</w:t>
      </w:r>
      <w:r w:rsidR="00A47F35" w:rsidRPr="009D4E68">
        <w:rPr>
          <w:rFonts w:asciiTheme="minorHAnsi" w:hAnsiTheme="minorHAnsi"/>
          <w:color w:val="auto"/>
          <w:szCs w:val="24"/>
        </w:rPr>
        <w:t>s</w:t>
      </w:r>
      <w:r w:rsidR="00160B6B" w:rsidRPr="009D4E68">
        <w:rPr>
          <w:rFonts w:asciiTheme="minorHAnsi" w:hAnsiTheme="minorHAnsi"/>
          <w:color w:val="auto"/>
          <w:szCs w:val="24"/>
        </w:rPr>
        <w:t xml:space="preserve"> </w:t>
      </w:r>
      <w:r w:rsidR="00A47F35" w:rsidRPr="009D4E68">
        <w:rPr>
          <w:rFonts w:asciiTheme="minorHAnsi" w:hAnsiTheme="minorHAnsi"/>
          <w:color w:val="auto"/>
          <w:szCs w:val="24"/>
        </w:rPr>
        <w:t>regarding</w:t>
      </w:r>
      <w:r w:rsidR="00160B6B" w:rsidRPr="009D4E68">
        <w:rPr>
          <w:rFonts w:asciiTheme="minorHAnsi" w:hAnsiTheme="minorHAnsi"/>
          <w:color w:val="auto"/>
          <w:szCs w:val="24"/>
        </w:rPr>
        <w:t xml:space="preserve"> </w:t>
      </w:r>
      <w:r w:rsidR="00A47F35" w:rsidRPr="009D4E68">
        <w:rPr>
          <w:rFonts w:asciiTheme="minorHAnsi" w:hAnsiTheme="minorHAnsi"/>
          <w:color w:val="auto"/>
          <w:szCs w:val="24"/>
        </w:rPr>
        <w:t>the left lower leg conditions</w:t>
      </w:r>
      <w:r w:rsidR="002C4284">
        <w:rPr>
          <w:rFonts w:asciiTheme="minorHAnsi" w:hAnsiTheme="minorHAnsi"/>
          <w:color w:val="auto"/>
          <w:szCs w:val="24"/>
        </w:rPr>
        <w:t>,</w:t>
      </w:r>
      <w:r w:rsidR="00A47F35" w:rsidRPr="009D4E68">
        <w:rPr>
          <w:rFonts w:asciiTheme="minorHAnsi" w:hAnsiTheme="minorHAnsi"/>
          <w:color w:val="auto"/>
          <w:szCs w:val="24"/>
        </w:rPr>
        <w:t xml:space="preserve"> including differing joints (leg, ankle and knee), scars, and the nerve condition</w:t>
      </w:r>
      <w:r w:rsidR="00102608" w:rsidRPr="009D4E68">
        <w:rPr>
          <w:rFonts w:asciiTheme="minorHAnsi" w:hAnsiTheme="minorHAnsi"/>
          <w:color w:val="auto"/>
          <w:szCs w:val="24"/>
        </w:rPr>
        <w:t>.</w:t>
      </w:r>
      <w:r w:rsidR="00A47F35" w:rsidRPr="009D4E68">
        <w:rPr>
          <w:rFonts w:asciiTheme="minorHAnsi" w:hAnsiTheme="minorHAnsi"/>
          <w:color w:val="auto"/>
          <w:szCs w:val="24"/>
        </w:rPr>
        <w:t xml:space="preserve">  </w:t>
      </w:r>
      <w:r w:rsidR="00BB1192" w:rsidRPr="009D4E68">
        <w:rPr>
          <w:rFonts w:asciiTheme="minorHAnsi" w:hAnsiTheme="minorHAnsi"/>
          <w:color w:val="auto"/>
          <w:szCs w:val="24"/>
        </w:rPr>
        <w:t xml:space="preserve">A tear of the </w:t>
      </w:r>
      <w:r w:rsidR="002C4284">
        <w:rPr>
          <w:rFonts w:asciiTheme="minorHAnsi" w:hAnsiTheme="minorHAnsi"/>
          <w:color w:val="auto"/>
          <w:szCs w:val="24"/>
        </w:rPr>
        <w:t>p</w:t>
      </w:r>
      <w:r w:rsidR="00BB1192" w:rsidRPr="009D4E68">
        <w:rPr>
          <w:rFonts w:asciiTheme="minorHAnsi" w:hAnsiTheme="minorHAnsi"/>
          <w:color w:val="auto"/>
          <w:szCs w:val="24"/>
        </w:rPr>
        <w:t xml:space="preserve">eroneal </w:t>
      </w:r>
      <w:r w:rsidR="002C4284">
        <w:rPr>
          <w:rFonts w:asciiTheme="minorHAnsi" w:hAnsiTheme="minorHAnsi"/>
          <w:color w:val="auto"/>
          <w:szCs w:val="24"/>
        </w:rPr>
        <w:t>n</w:t>
      </w:r>
      <w:r w:rsidR="00BB1192" w:rsidRPr="009D4E68">
        <w:rPr>
          <w:rFonts w:asciiTheme="minorHAnsi" w:hAnsiTheme="minorHAnsi"/>
          <w:color w:val="auto"/>
          <w:szCs w:val="24"/>
        </w:rPr>
        <w:t>erve was noted on surgery</w:t>
      </w:r>
      <w:r w:rsidR="004B797D">
        <w:rPr>
          <w:rFonts w:asciiTheme="minorHAnsi" w:hAnsiTheme="minorHAnsi"/>
          <w:color w:val="auto"/>
          <w:szCs w:val="24"/>
        </w:rPr>
        <w:t>,</w:t>
      </w:r>
      <w:r w:rsidR="00BB1192" w:rsidRPr="009D4E68">
        <w:rPr>
          <w:rFonts w:asciiTheme="minorHAnsi" w:hAnsiTheme="minorHAnsi"/>
          <w:color w:val="auto"/>
          <w:szCs w:val="24"/>
        </w:rPr>
        <w:t xml:space="preserve"> and this contributed to his post</w:t>
      </w:r>
      <w:r w:rsidR="002C4284">
        <w:rPr>
          <w:rFonts w:asciiTheme="minorHAnsi" w:hAnsiTheme="minorHAnsi"/>
          <w:color w:val="auto"/>
          <w:szCs w:val="24"/>
        </w:rPr>
        <w:t>-</w:t>
      </w:r>
      <w:r w:rsidR="00BB1192" w:rsidRPr="009D4E68">
        <w:rPr>
          <w:rFonts w:asciiTheme="minorHAnsi" w:hAnsiTheme="minorHAnsi"/>
          <w:color w:val="auto"/>
          <w:szCs w:val="24"/>
        </w:rPr>
        <w:t xml:space="preserve">operative </w:t>
      </w:r>
      <w:proofErr w:type="spellStart"/>
      <w:r w:rsidR="00BB1192" w:rsidRPr="009D4E68">
        <w:rPr>
          <w:rFonts w:asciiTheme="minorHAnsi" w:hAnsiTheme="minorHAnsi"/>
          <w:color w:val="auto"/>
          <w:szCs w:val="24"/>
        </w:rPr>
        <w:t>symptomatology</w:t>
      </w:r>
      <w:proofErr w:type="spellEnd"/>
      <w:r w:rsidR="00BB1192" w:rsidRPr="009D4E68">
        <w:rPr>
          <w:rFonts w:asciiTheme="minorHAnsi" w:hAnsiTheme="minorHAnsi"/>
          <w:color w:val="auto"/>
          <w:szCs w:val="24"/>
        </w:rPr>
        <w:t xml:space="preserve"> and poor recovery. </w:t>
      </w:r>
      <w:r w:rsidR="002C4284">
        <w:rPr>
          <w:rFonts w:asciiTheme="minorHAnsi" w:hAnsiTheme="minorHAnsi"/>
          <w:color w:val="auto"/>
          <w:szCs w:val="24"/>
        </w:rPr>
        <w:t xml:space="preserve"> His condition involved more an injury to his knee; </w:t>
      </w:r>
      <w:r w:rsidR="00213208" w:rsidRPr="009D4E68">
        <w:rPr>
          <w:rFonts w:asciiTheme="minorHAnsi" w:hAnsiTheme="minorHAnsi"/>
          <w:color w:val="auto"/>
          <w:szCs w:val="24"/>
        </w:rPr>
        <w:t xml:space="preserve">the </w:t>
      </w:r>
      <w:proofErr w:type="spellStart"/>
      <w:r w:rsidR="00213208" w:rsidRPr="009D4E68">
        <w:rPr>
          <w:rFonts w:asciiTheme="minorHAnsi" w:hAnsiTheme="minorHAnsi"/>
          <w:color w:val="auto"/>
          <w:szCs w:val="24"/>
        </w:rPr>
        <w:t>midshaft</w:t>
      </w:r>
      <w:proofErr w:type="spellEnd"/>
      <w:r w:rsidR="00213208" w:rsidRPr="009D4E68">
        <w:rPr>
          <w:rFonts w:asciiTheme="minorHAnsi" w:hAnsiTheme="minorHAnsi"/>
          <w:color w:val="auto"/>
          <w:szCs w:val="24"/>
        </w:rPr>
        <w:t xml:space="preserve"> of the left knee and ankle, peroneal nerve, weakness and antalgic gait</w:t>
      </w:r>
      <w:r w:rsidR="002C4284">
        <w:rPr>
          <w:rFonts w:asciiTheme="minorHAnsi" w:hAnsiTheme="minorHAnsi"/>
          <w:color w:val="auto"/>
          <w:szCs w:val="24"/>
        </w:rPr>
        <w:t xml:space="preserve"> contributed to his pain</w:t>
      </w:r>
      <w:r w:rsidR="00213208" w:rsidRPr="009D4E68">
        <w:rPr>
          <w:rFonts w:asciiTheme="minorHAnsi" w:hAnsiTheme="minorHAnsi"/>
          <w:color w:val="auto"/>
          <w:szCs w:val="24"/>
        </w:rPr>
        <w:t>.</w:t>
      </w:r>
      <w:r w:rsidR="00BB1192" w:rsidRPr="009D4E68">
        <w:rPr>
          <w:rFonts w:asciiTheme="minorHAnsi" w:hAnsiTheme="minorHAnsi"/>
          <w:color w:val="auto"/>
          <w:szCs w:val="24"/>
        </w:rPr>
        <w:t xml:space="preserve"> </w:t>
      </w:r>
    </w:p>
    <w:p w:rsidR="00A830B5" w:rsidRPr="009D4E68" w:rsidRDefault="00A830B5" w:rsidP="00491D6D">
      <w:pPr>
        <w:tabs>
          <w:tab w:val="left" w:pos="288"/>
          <w:tab w:val="left" w:pos="4752"/>
        </w:tabs>
        <w:spacing w:line="240" w:lineRule="exact"/>
        <w:jc w:val="both"/>
        <w:rPr>
          <w:rFonts w:asciiTheme="minorHAnsi" w:hAnsiTheme="minorHAnsi"/>
          <w:color w:val="auto"/>
          <w:szCs w:val="24"/>
        </w:rPr>
      </w:pPr>
    </w:p>
    <w:p w:rsidR="002C4284" w:rsidRDefault="00BB1192"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roofErr w:type="gramStart"/>
      <w:r w:rsidRPr="009D4E68">
        <w:rPr>
          <w:rFonts w:asciiTheme="minorHAnsi" w:hAnsiTheme="minorHAnsi"/>
          <w:color w:val="auto"/>
          <w:szCs w:val="24"/>
          <w:u w:val="single"/>
        </w:rPr>
        <w:t>Left Lower Leg Condition</w:t>
      </w:r>
      <w:r w:rsidR="002C4284">
        <w:rPr>
          <w:rFonts w:asciiTheme="minorHAnsi" w:hAnsiTheme="minorHAnsi"/>
          <w:color w:val="auto"/>
          <w:szCs w:val="24"/>
          <w:u w:val="single"/>
        </w:rPr>
        <w:t>.</w:t>
      </w:r>
      <w:proofErr w:type="gramEnd"/>
      <w:r w:rsidRPr="009D4E68">
        <w:rPr>
          <w:rFonts w:asciiTheme="minorHAnsi" w:hAnsiTheme="minorHAnsi"/>
          <w:color w:val="auto"/>
          <w:szCs w:val="24"/>
        </w:rPr>
        <w:t xml:space="preserve">  The CI’s left tibia and fibula fractures</w:t>
      </w:r>
      <w:r w:rsidR="006C272A" w:rsidRPr="009D4E68">
        <w:rPr>
          <w:rFonts w:asciiTheme="minorHAnsi" w:hAnsiTheme="minorHAnsi"/>
          <w:color w:val="auto"/>
          <w:szCs w:val="24"/>
        </w:rPr>
        <w:t xml:space="preserve"> w</w:t>
      </w:r>
      <w:r w:rsidR="002C4284">
        <w:rPr>
          <w:rFonts w:asciiTheme="minorHAnsi" w:hAnsiTheme="minorHAnsi"/>
          <w:color w:val="auto"/>
          <w:szCs w:val="24"/>
        </w:rPr>
        <w:t>ere</w:t>
      </w:r>
      <w:r w:rsidR="006C272A" w:rsidRPr="009D4E68">
        <w:rPr>
          <w:rFonts w:asciiTheme="minorHAnsi" w:hAnsiTheme="minorHAnsi"/>
          <w:color w:val="auto"/>
          <w:szCs w:val="24"/>
        </w:rPr>
        <w:t xml:space="preserve"> initially treated conservatively including a </w:t>
      </w:r>
      <w:proofErr w:type="spellStart"/>
      <w:r w:rsidR="006C272A" w:rsidRPr="009D4E68">
        <w:rPr>
          <w:rFonts w:asciiTheme="minorHAnsi" w:hAnsiTheme="minorHAnsi"/>
          <w:color w:val="auto"/>
          <w:szCs w:val="24"/>
        </w:rPr>
        <w:t>calcaneal</w:t>
      </w:r>
      <w:proofErr w:type="spellEnd"/>
      <w:r w:rsidR="006C272A" w:rsidRPr="009D4E68">
        <w:rPr>
          <w:rFonts w:asciiTheme="minorHAnsi" w:hAnsiTheme="minorHAnsi"/>
          <w:color w:val="auto"/>
          <w:szCs w:val="24"/>
        </w:rPr>
        <w:t xml:space="preserve"> (foot) pin for traction.  S</w:t>
      </w:r>
      <w:r w:rsidRPr="009D4E68">
        <w:rPr>
          <w:rFonts w:asciiTheme="minorHAnsi" w:hAnsiTheme="minorHAnsi"/>
          <w:color w:val="auto"/>
          <w:szCs w:val="24"/>
        </w:rPr>
        <w:t xml:space="preserve">ubsequent </w:t>
      </w:r>
      <w:r w:rsidR="006C272A" w:rsidRPr="009D4E68">
        <w:rPr>
          <w:rFonts w:asciiTheme="minorHAnsi" w:hAnsiTheme="minorHAnsi"/>
          <w:color w:val="auto"/>
          <w:szCs w:val="24"/>
        </w:rPr>
        <w:t xml:space="preserve">lower leg </w:t>
      </w:r>
      <w:proofErr w:type="spellStart"/>
      <w:r w:rsidRPr="009D4E68">
        <w:rPr>
          <w:rFonts w:asciiTheme="minorHAnsi" w:hAnsiTheme="minorHAnsi"/>
          <w:color w:val="auto"/>
          <w:szCs w:val="24"/>
        </w:rPr>
        <w:t>angulation</w:t>
      </w:r>
      <w:proofErr w:type="spellEnd"/>
      <w:r w:rsidRPr="009D4E68">
        <w:rPr>
          <w:rFonts w:asciiTheme="minorHAnsi" w:hAnsiTheme="minorHAnsi"/>
          <w:color w:val="auto"/>
          <w:szCs w:val="24"/>
        </w:rPr>
        <w:t xml:space="preserve"> and shortening deformity </w:t>
      </w:r>
      <w:r w:rsidR="006C272A" w:rsidRPr="009D4E68">
        <w:rPr>
          <w:rFonts w:asciiTheme="minorHAnsi" w:hAnsiTheme="minorHAnsi"/>
          <w:color w:val="auto"/>
          <w:szCs w:val="24"/>
        </w:rPr>
        <w:t xml:space="preserve">with pain </w:t>
      </w:r>
      <w:r w:rsidRPr="009D4E68">
        <w:rPr>
          <w:rFonts w:asciiTheme="minorHAnsi" w:hAnsiTheme="minorHAnsi"/>
          <w:color w:val="auto"/>
          <w:szCs w:val="24"/>
        </w:rPr>
        <w:t xml:space="preserve">was surgically corrected, </w:t>
      </w:r>
      <w:r w:rsidR="002C4284">
        <w:rPr>
          <w:rFonts w:asciiTheme="minorHAnsi" w:hAnsiTheme="minorHAnsi"/>
          <w:color w:val="auto"/>
          <w:szCs w:val="24"/>
        </w:rPr>
        <w:t xml:space="preserve">with no symptom relief.  </w:t>
      </w:r>
      <w:r w:rsidR="00F75EED" w:rsidRPr="009D4E68">
        <w:rPr>
          <w:rFonts w:asciiTheme="minorHAnsi" w:hAnsiTheme="minorHAnsi"/>
          <w:color w:val="auto"/>
          <w:szCs w:val="24"/>
        </w:rPr>
        <w:t xml:space="preserve">The PEB rated the CI’s left lower leg condition as S/P </w:t>
      </w:r>
      <w:r w:rsidR="002C4284">
        <w:rPr>
          <w:rFonts w:asciiTheme="minorHAnsi" w:hAnsiTheme="minorHAnsi"/>
          <w:color w:val="auto"/>
          <w:szCs w:val="24"/>
        </w:rPr>
        <w:t>c</w:t>
      </w:r>
      <w:r w:rsidR="00F75EED" w:rsidRPr="009D4E68">
        <w:rPr>
          <w:rFonts w:asciiTheme="minorHAnsi" w:hAnsiTheme="minorHAnsi"/>
          <w:color w:val="auto"/>
          <w:szCs w:val="24"/>
        </w:rPr>
        <w:t xml:space="preserve">losed </w:t>
      </w:r>
      <w:r w:rsidR="002C4284">
        <w:rPr>
          <w:rFonts w:asciiTheme="minorHAnsi" w:hAnsiTheme="minorHAnsi"/>
          <w:color w:val="auto"/>
          <w:szCs w:val="24"/>
        </w:rPr>
        <w:t>t</w:t>
      </w:r>
      <w:r w:rsidR="00F75EED" w:rsidRPr="009D4E68">
        <w:rPr>
          <w:rFonts w:asciiTheme="minorHAnsi" w:hAnsiTheme="minorHAnsi"/>
          <w:color w:val="auto"/>
          <w:szCs w:val="24"/>
        </w:rPr>
        <w:t xml:space="preserve">ibia and </w:t>
      </w:r>
      <w:r w:rsidR="002C4284">
        <w:rPr>
          <w:rFonts w:asciiTheme="minorHAnsi" w:hAnsiTheme="minorHAnsi"/>
          <w:color w:val="auto"/>
          <w:szCs w:val="24"/>
        </w:rPr>
        <w:t>f</w:t>
      </w:r>
      <w:r w:rsidR="00F75EED" w:rsidRPr="009D4E68">
        <w:rPr>
          <w:rFonts w:asciiTheme="minorHAnsi" w:hAnsiTheme="minorHAnsi"/>
          <w:color w:val="auto"/>
          <w:szCs w:val="24"/>
        </w:rPr>
        <w:t xml:space="preserve">ibula </w:t>
      </w:r>
      <w:r w:rsidR="002C4284">
        <w:rPr>
          <w:rFonts w:asciiTheme="minorHAnsi" w:hAnsiTheme="minorHAnsi"/>
          <w:color w:val="auto"/>
          <w:szCs w:val="24"/>
        </w:rPr>
        <w:t>f</w:t>
      </w:r>
      <w:r w:rsidR="00F75EED" w:rsidRPr="009D4E68">
        <w:rPr>
          <w:rFonts w:asciiTheme="minorHAnsi" w:hAnsiTheme="minorHAnsi"/>
          <w:color w:val="auto"/>
          <w:szCs w:val="24"/>
        </w:rPr>
        <w:t>ractures analogously</w:t>
      </w:r>
      <w:r w:rsidR="004B797D">
        <w:rPr>
          <w:rFonts w:asciiTheme="minorHAnsi" w:hAnsiTheme="minorHAnsi"/>
          <w:color w:val="auto"/>
          <w:szCs w:val="24"/>
        </w:rPr>
        <w:t>,</w:t>
      </w:r>
      <w:r w:rsidR="00F75EED" w:rsidRPr="009D4E68">
        <w:rPr>
          <w:rFonts w:asciiTheme="minorHAnsi" w:hAnsiTheme="minorHAnsi"/>
          <w:color w:val="auto"/>
          <w:szCs w:val="24"/>
        </w:rPr>
        <w:t xml:space="preserve"> coded to arthritis of the knee (5299-5003)</w:t>
      </w:r>
      <w:r w:rsidR="002C4284">
        <w:rPr>
          <w:rFonts w:asciiTheme="minorHAnsi" w:hAnsiTheme="minorHAnsi"/>
          <w:color w:val="auto"/>
          <w:szCs w:val="24"/>
        </w:rPr>
        <w:t>,</w:t>
      </w:r>
      <w:r w:rsidR="00F75EED" w:rsidRPr="009D4E68">
        <w:rPr>
          <w:rFonts w:asciiTheme="minorHAnsi" w:hAnsiTheme="minorHAnsi"/>
          <w:color w:val="auto"/>
          <w:szCs w:val="24"/>
        </w:rPr>
        <w:t xml:space="preserve"> and appeared to consider </w:t>
      </w:r>
      <w:r w:rsidR="002C4284">
        <w:rPr>
          <w:rFonts w:asciiTheme="minorHAnsi" w:hAnsiTheme="minorHAnsi"/>
          <w:color w:val="auto"/>
          <w:szCs w:val="24"/>
        </w:rPr>
        <w:t xml:space="preserve">the </w:t>
      </w:r>
      <w:r w:rsidR="00F75EED" w:rsidRPr="009D4E68">
        <w:rPr>
          <w:rFonts w:asciiTheme="minorHAnsi" w:hAnsiTheme="minorHAnsi"/>
          <w:color w:val="auto"/>
          <w:szCs w:val="24"/>
        </w:rPr>
        <w:t xml:space="preserve">impaired knee function alone for coding.  </w:t>
      </w:r>
      <w:r w:rsidR="002C4284">
        <w:rPr>
          <w:rFonts w:asciiTheme="minorHAnsi" w:hAnsiTheme="minorHAnsi"/>
          <w:color w:val="auto"/>
          <w:szCs w:val="24"/>
        </w:rPr>
        <w:t>However, t</w:t>
      </w:r>
      <w:r w:rsidR="001B5F19" w:rsidRPr="009D4E68">
        <w:rPr>
          <w:rFonts w:asciiTheme="minorHAnsi" w:hAnsiTheme="minorHAnsi"/>
          <w:color w:val="auto"/>
          <w:szCs w:val="24"/>
        </w:rPr>
        <w:t xml:space="preserve">he Board </w:t>
      </w:r>
      <w:r w:rsidR="00F75EED" w:rsidRPr="009D4E68">
        <w:rPr>
          <w:rFonts w:asciiTheme="minorHAnsi" w:hAnsiTheme="minorHAnsi"/>
          <w:color w:val="auto"/>
          <w:szCs w:val="24"/>
        </w:rPr>
        <w:t xml:space="preserve">considered the primary unfitting condition </w:t>
      </w:r>
      <w:r w:rsidR="002C4284">
        <w:rPr>
          <w:rFonts w:asciiTheme="minorHAnsi" w:hAnsiTheme="minorHAnsi"/>
          <w:color w:val="auto"/>
          <w:szCs w:val="24"/>
        </w:rPr>
        <w:t xml:space="preserve">to be </w:t>
      </w:r>
      <w:r w:rsidR="00F75EED" w:rsidRPr="009D4E68">
        <w:rPr>
          <w:rFonts w:asciiTheme="minorHAnsi" w:hAnsiTheme="minorHAnsi"/>
          <w:color w:val="auto"/>
          <w:szCs w:val="24"/>
        </w:rPr>
        <w:t>the le</w:t>
      </w:r>
      <w:r w:rsidR="008701AD">
        <w:rPr>
          <w:rFonts w:asciiTheme="minorHAnsi" w:hAnsiTheme="minorHAnsi"/>
          <w:color w:val="auto"/>
          <w:szCs w:val="24"/>
        </w:rPr>
        <w:t>ft lower extremity pain as the CI was</w:t>
      </w:r>
      <w:r w:rsidR="00506495">
        <w:rPr>
          <w:rFonts w:asciiTheme="minorHAnsi" w:hAnsiTheme="minorHAnsi"/>
          <w:color w:val="auto"/>
          <w:szCs w:val="24"/>
        </w:rPr>
        <w:t xml:space="preserve"> </w:t>
      </w:r>
      <w:r w:rsidR="00384E24" w:rsidRPr="009D4E68">
        <w:rPr>
          <w:rFonts w:asciiTheme="minorHAnsi" w:hAnsiTheme="minorHAnsi"/>
          <w:color w:val="auto"/>
          <w:szCs w:val="24"/>
        </w:rPr>
        <w:t xml:space="preserve">unable to perform simple activities such as prolonged </w:t>
      </w:r>
      <w:r w:rsidR="00506495">
        <w:rPr>
          <w:rFonts w:asciiTheme="minorHAnsi" w:hAnsiTheme="minorHAnsi"/>
          <w:color w:val="auto"/>
          <w:szCs w:val="24"/>
        </w:rPr>
        <w:t>walking,</w:t>
      </w:r>
      <w:r w:rsidR="00F75EED" w:rsidRPr="009D4E68">
        <w:rPr>
          <w:rFonts w:asciiTheme="minorHAnsi" w:hAnsiTheme="minorHAnsi"/>
          <w:color w:val="auto"/>
          <w:szCs w:val="24"/>
        </w:rPr>
        <w:t xml:space="preserve"> standing</w:t>
      </w:r>
      <w:r w:rsidR="00506495">
        <w:rPr>
          <w:rFonts w:asciiTheme="minorHAnsi" w:hAnsiTheme="minorHAnsi"/>
          <w:color w:val="auto"/>
          <w:szCs w:val="24"/>
        </w:rPr>
        <w:t>,</w:t>
      </w:r>
      <w:r w:rsidR="00384E24" w:rsidRPr="009D4E68">
        <w:rPr>
          <w:rFonts w:asciiTheme="minorHAnsi" w:hAnsiTheme="minorHAnsi"/>
          <w:color w:val="auto"/>
          <w:szCs w:val="24"/>
        </w:rPr>
        <w:t xml:space="preserve"> </w:t>
      </w:r>
      <w:r w:rsidR="00F75EED" w:rsidRPr="009D4E68">
        <w:rPr>
          <w:rFonts w:asciiTheme="minorHAnsi" w:hAnsiTheme="minorHAnsi"/>
          <w:color w:val="auto"/>
          <w:szCs w:val="24"/>
        </w:rPr>
        <w:t xml:space="preserve">running or physical </w:t>
      </w:r>
      <w:r w:rsidR="00384E24" w:rsidRPr="009D4E68">
        <w:rPr>
          <w:rFonts w:asciiTheme="minorHAnsi" w:hAnsiTheme="minorHAnsi"/>
          <w:color w:val="auto"/>
          <w:szCs w:val="24"/>
        </w:rPr>
        <w:t xml:space="preserve">training.  The primary injury was not to the left knee, but </w:t>
      </w:r>
      <w:r w:rsidR="00506495">
        <w:rPr>
          <w:rFonts w:asciiTheme="minorHAnsi" w:hAnsiTheme="minorHAnsi"/>
          <w:color w:val="auto"/>
          <w:szCs w:val="24"/>
        </w:rPr>
        <w:t xml:space="preserve">rather </w:t>
      </w:r>
      <w:r w:rsidR="004B797D">
        <w:rPr>
          <w:rFonts w:asciiTheme="minorHAnsi" w:hAnsiTheme="minorHAnsi"/>
          <w:color w:val="auto"/>
          <w:szCs w:val="24"/>
        </w:rPr>
        <w:t xml:space="preserve">to the </w:t>
      </w:r>
      <w:r w:rsidR="00384E24" w:rsidRPr="009D4E68">
        <w:rPr>
          <w:rFonts w:asciiTheme="minorHAnsi" w:hAnsiTheme="minorHAnsi"/>
          <w:color w:val="auto"/>
          <w:szCs w:val="24"/>
        </w:rPr>
        <w:t xml:space="preserve">prolonged (pre-surgical) left lower leg </w:t>
      </w:r>
      <w:proofErr w:type="spellStart"/>
      <w:r w:rsidR="00384E24" w:rsidRPr="009D4E68">
        <w:rPr>
          <w:rFonts w:asciiTheme="minorHAnsi" w:hAnsiTheme="minorHAnsi"/>
          <w:color w:val="auto"/>
          <w:szCs w:val="24"/>
        </w:rPr>
        <w:t>angulation</w:t>
      </w:r>
      <w:proofErr w:type="spellEnd"/>
      <w:r w:rsidR="00384E24" w:rsidRPr="009D4E68">
        <w:rPr>
          <w:rFonts w:asciiTheme="minorHAnsi" w:hAnsiTheme="minorHAnsi"/>
          <w:color w:val="auto"/>
          <w:szCs w:val="24"/>
        </w:rPr>
        <w:t xml:space="preserve"> and shortening </w:t>
      </w:r>
      <w:r w:rsidR="004B797D">
        <w:rPr>
          <w:rFonts w:asciiTheme="minorHAnsi" w:hAnsiTheme="minorHAnsi"/>
          <w:color w:val="auto"/>
          <w:szCs w:val="24"/>
        </w:rPr>
        <w:t xml:space="preserve">which </w:t>
      </w:r>
      <w:r w:rsidR="00384E24" w:rsidRPr="009D4E68">
        <w:rPr>
          <w:rFonts w:asciiTheme="minorHAnsi" w:hAnsiTheme="minorHAnsi"/>
          <w:color w:val="auto"/>
          <w:szCs w:val="24"/>
        </w:rPr>
        <w:t>impact</w:t>
      </w:r>
      <w:r w:rsidR="00506495">
        <w:rPr>
          <w:rFonts w:asciiTheme="minorHAnsi" w:hAnsiTheme="minorHAnsi"/>
          <w:color w:val="auto"/>
          <w:szCs w:val="24"/>
        </w:rPr>
        <w:t>ed</w:t>
      </w:r>
      <w:r w:rsidR="00384E24" w:rsidRPr="009D4E68">
        <w:rPr>
          <w:rFonts w:asciiTheme="minorHAnsi" w:hAnsiTheme="minorHAnsi"/>
          <w:color w:val="auto"/>
          <w:szCs w:val="24"/>
        </w:rPr>
        <w:t xml:space="preserve"> the left knee and ankle.</w:t>
      </w:r>
      <w:r w:rsidR="00F75EED" w:rsidRPr="009D4E68">
        <w:rPr>
          <w:rFonts w:asciiTheme="minorHAnsi" w:hAnsiTheme="minorHAnsi"/>
          <w:color w:val="auto"/>
          <w:szCs w:val="24"/>
        </w:rPr>
        <w:t xml:space="preserve"> </w:t>
      </w:r>
      <w:r w:rsidR="00384E24" w:rsidRPr="009D4E68">
        <w:rPr>
          <w:rFonts w:asciiTheme="minorHAnsi" w:hAnsiTheme="minorHAnsi"/>
          <w:color w:val="auto"/>
          <w:szCs w:val="24"/>
        </w:rPr>
        <w:t xml:space="preserve"> </w:t>
      </w:r>
    </w:p>
    <w:p w:rsidR="002C4284" w:rsidRDefault="002C4284"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F75EED" w:rsidRPr="009D4E68" w:rsidRDefault="00384E24"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r w:rsidRPr="009D4E68">
        <w:rPr>
          <w:rFonts w:asciiTheme="minorHAnsi" w:hAnsiTheme="minorHAnsi"/>
          <w:color w:val="auto"/>
          <w:szCs w:val="24"/>
        </w:rPr>
        <w:t xml:space="preserve">There were two </w:t>
      </w:r>
      <w:proofErr w:type="gramStart"/>
      <w:r w:rsidR="00DE19A6">
        <w:rPr>
          <w:rFonts w:asciiTheme="minorHAnsi" w:hAnsiTheme="minorHAnsi"/>
          <w:color w:val="auto"/>
          <w:szCs w:val="24"/>
        </w:rPr>
        <w:t>range</w:t>
      </w:r>
      <w:proofErr w:type="gramEnd"/>
      <w:r w:rsidR="00DE19A6">
        <w:rPr>
          <w:rFonts w:asciiTheme="minorHAnsi" w:hAnsiTheme="minorHAnsi"/>
          <w:color w:val="auto"/>
          <w:szCs w:val="24"/>
        </w:rPr>
        <w:t xml:space="preserve"> of motion (ROM) </w:t>
      </w:r>
      <w:r w:rsidRPr="009D4E68">
        <w:rPr>
          <w:rFonts w:asciiTheme="minorHAnsi" w:hAnsiTheme="minorHAnsi"/>
          <w:color w:val="auto"/>
          <w:szCs w:val="24"/>
        </w:rPr>
        <w:t xml:space="preserve">evaluations in evidence which the Board weighed in arriving at its rating recommendation.  Both of these exams are summarized in the chart below. </w:t>
      </w:r>
    </w:p>
    <w:p w:rsidR="00384E24" w:rsidRPr="009D4E68" w:rsidRDefault="00384E24"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tbl>
      <w:tblPr>
        <w:tblW w:w="9333" w:type="dxa"/>
        <w:jc w:val="center"/>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2610"/>
        <w:gridCol w:w="4486"/>
      </w:tblGrid>
      <w:tr w:rsidR="00384E24" w:rsidRPr="009D4E68" w:rsidTr="00BC7DC1">
        <w:trPr>
          <w:jc w:val="center"/>
        </w:trPr>
        <w:tc>
          <w:tcPr>
            <w:tcW w:w="2237" w:type="dxa"/>
            <w:shd w:val="clear" w:color="auto" w:fill="D9D9D9" w:themeFill="background1" w:themeFillShade="D9"/>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Left Knee</w:t>
            </w:r>
          </w:p>
        </w:tc>
        <w:tc>
          <w:tcPr>
            <w:tcW w:w="7096" w:type="dxa"/>
            <w:gridSpan w:val="2"/>
            <w:shd w:val="clear" w:color="auto" w:fill="D9D9D9" w:themeFill="background1" w:themeFillShade="D9"/>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 xml:space="preserve">Surgery:  20001219   </w:t>
            </w:r>
            <w:r w:rsidR="003136D4" w:rsidRPr="009D4E68">
              <w:rPr>
                <w:rFonts w:ascii="Calibri" w:eastAsia="Calibri" w:hAnsi="Calibri"/>
                <w:color w:val="auto"/>
                <w:sz w:val="22"/>
                <w:szCs w:val="22"/>
              </w:rPr>
              <w:t xml:space="preserve">(remove rod 20010319) </w:t>
            </w:r>
            <w:r w:rsidR="00BC7DC1" w:rsidRPr="009D4E68">
              <w:rPr>
                <w:rFonts w:ascii="Calibri" w:eastAsia="Calibri" w:hAnsi="Calibri"/>
                <w:color w:val="auto"/>
                <w:sz w:val="22"/>
                <w:szCs w:val="22"/>
              </w:rPr>
              <w:t xml:space="preserve">   </w:t>
            </w:r>
            <w:r w:rsidRPr="009D4E68">
              <w:rPr>
                <w:rFonts w:ascii="Calibri" w:eastAsia="Calibri" w:hAnsi="Calibri"/>
                <w:color w:val="auto"/>
                <w:sz w:val="22"/>
                <w:szCs w:val="22"/>
              </w:rPr>
              <w:t xml:space="preserve">    Separation Date: 20020331</w:t>
            </w:r>
          </w:p>
        </w:tc>
      </w:tr>
      <w:tr w:rsidR="00BC7DC1" w:rsidRPr="009D4E68" w:rsidTr="00BC7DC1">
        <w:trPr>
          <w:jc w:val="center"/>
        </w:trPr>
        <w:tc>
          <w:tcPr>
            <w:tcW w:w="2237" w:type="dxa"/>
            <w:shd w:val="clear" w:color="auto" w:fill="D9D9D9" w:themeFill="background1" w:themeFillShade="D9"/>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Goniometric ROM</w:t>
            </w:r>
          </w:p>
        </w:tc>
        <w:tc>
          <w:tcPr>
            <w:tcW w:w="2610" w:type="dxa"/>
            <w:shd w:val="clear" w:color="auto" w:fill="D9D9D9" w:themeFill="background1" w:themeFillShade="D9"/>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MEB – 20010815</w:t>
            </w:r>
          </w:p>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 7 mo</w:t>
            </w:r>
            <w:r w:rsidR="00DE19A6">
              <w:rPr>
                <w:rFonts w:ascii="Calibri" w:eastAsia="Calibri" w:hAnsi="Calibri"/>
                <w:color w:val="auto"/>
                <w:sz w:val="22"/>
                <w:szCs w:val="22"/>
              </w:rPr>
              <w:t>s</w:t>
            </w:r>
            <w:r w:rsidRPr="009D4E68">
              <w:rPr>
                <w:rFonts w:ascii="Calibri" w:eastAsia="Calibri" w:hAnsi="Calibri"/>
                <w:color w:val="auto"/>
                <w:sz w:val="22"/>
                <w:szCs w:val="22"/>
              </w:rPr>
              <w:t>. Pre-separation</w:t>
            </w:r>
          </w:p>
        </w:tc>
        <w:tc>
          <w:tcPr>
            <w:tcW w:w="4486" w:type="dxa"/>
            <w:shd w:val="clear" w:color="auto" w:fill="D9D9D9" w:themeFill="background1" w:themeFillShade="D9"/>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VA</w:t>
            </w:r>
            <w:r w:rsidRPr="009D4E68">
              <w:rPr>
                <w:rFonts w:ascii="Calibri" w:eastAsiaTheme="minorHAnsi" w:hAnsi="Calibri" w:cstheme="minorBidi"/>
                <w:color w:val="auto"/>
                <w:sz w:val="22"/>
                <w:szCs w:val="22"/>
              </w:rPr>
              <w:t xml:space="preserve"> C&amp;P – </w:t>
            </w:r>
            <w:r w:rsidRPr="009D4E68">
              <w:rPr>
                <w:rFonts w:ascii="Calibri" w:eastAsia="Calibri" w:hAnsi="Calibri"/>
                <w:color w:val="auto"/>
                <w:sz w:val="22"/>
                <w:szCs w:val="22"/>
              </w:rPr>
              <w:t>20021004</w:t>
            </w:r>
          </w:p>
          <w:p w:rsidR="00384E24" w:rsidRPr="009D4E68" w:rsidRDefault="00384E24" w:rsidP="00DE19A6">
            <w:pPr>
              <w:spacing w:line="240" w:lineRule="exact"/>
              <w:contextualSpacing/>
              <w:jc w:val="center"/>
              <w:rPr>
                <w:rFonts w:ascii="Calibri" w:eastAsiaTheme="minorHAnsi" w:hAnsi="Calibri" w:cstheme="minorBidi"/>
                <w:color w:val="auto"/>
                <w:sz w:val="22"/>
                <w:szCs w:val="22"/>
              </w:rPr>
            </w:pPr>
            <w:r w:rsidRPr="009D4E68">
              <w:rPr>
                <w:rFonts w:ascii="Calibri" w:eastAsia="Calibri" w:hAnsi="Calibri"/>
                <w:color w:val="auto"/>
                <w:sz w:val="22"/>
                <w:szCs w:val="22"/>
              </w:rPr>
              <w:t>~ 7 mo</w:t>
            </w:r>
            <w:r w:rsidR="00DE19A6">
              <w:rPr>
                <w:rFonts w:ascii="Calibri" w:eastAsia="Calibri" w:hAnsi="Calibri"/>
                <w:color w:val="auto"/>
                <w:sz w:val="22"/>
                <w:szCs w:val="22"/>
              </w:rPr>
              <w:t>s.</w:t>
            </w:r>
            <w:r w:rsidRPr="009D4E68">
              <w:rPr>
                <w:rFonts w:ascii="Calibri" w:eastAsia="Calibri" w:hAnsi="Calibri"/>
                <w:color w:val="auto"/>
                <w:sz w:val="22"/>
                <w:szCs w:val="22"/>
              </w:rPr>
              <w:t xml:space="preserve"> Post-separation</w:t>
            </w:r>
          </w:p>
        </w:tc>
      </w:tr>
      <w:tr w:rsidR="00BC7DC1" w:rsidRPr="009D4E68" w:rsidTr="00BC7DC1">
        <w:trPr>
          <w:jc w:val="center"/>
        </w:trPr>
        <w:tc>
          <w:tcPr>
            <w:tcW w:w="2237" w:type="dxa"/>
          </w:tcPr>
          <w:p w:rsidR="00384E24" w:rsidRPr="009D4E68" w:rsidRDefault="00384E24" w:rsidP="001D76C5">
            <w:pPr>
              <w:spacing w:line="240" w:lineRule="exact"/>
              <w:contextualSpacing/>
              <w:rPr>
                <w:rFonts w:ascii="Calibri" w:eastAsia="Calibri" w:hAnsi="Calibri"/>
                <w:color w:val="auto"/>
                <w:sz w:val="22"/>
                <w:szCs w:val="22"/>
              </w:rPr>
            </w:pPr>
            <w:r w:rsidRPr="009D4E68">
              <w:rPr>
                <w:rFonts w:ascii="Calibri" w:eastAsia="Calibri" w:hAnsi="Calibri"/>
                <w:color w:val="auto"/>
                <w:sz w:val="22"/>
                <w:szCs w:val="22"/>
              </w:rPr>
              <w:t>Flexion 0-140⁰ normal</w:t>
            </w:r>
          </w:p>
        </w:tc>
        <w:tc>
          <w:tcPr>
            <w:tcW w:w="2610" w:type="dxa"/>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0⁰-135⁰</w:t>
            </w:r>
          </w:p>
        </w:tc>
        <w:tc>
          <w:tcPr>
            <w:tcW w:w="4486" w:type="dxa"/>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3⁰-120⁰</w:t>
            </w:r>
          </w:p>
        </w:tc>
      </w:tr>
      <w:tr w:rsidR="00BC7DC1" w:rsidRPr="009D4E68" w:rsidTr="00BC7DC1">
        <w:trPr>
          <w:jc w:val="center"/>
        </w:trPr>
        <w:tc>
          <w:tcPr>
            <w:tcW w:w="2237" w:type="dxa"/>
          </w:tcPr>
          <w:p w:rsidR="00384E24" w:rsidRPr="009D4E68" w:rsidRDefault="00384E24" w:rsidP="001D76C5">
            <w:pPr>
              <w:spacing w:line="240" w:lineRule="exact"/>
              <w:contextualSpacing/>
              <w:rPr>
                <w:rFonts w:ascii="Calibri" w:eastAsia="Calibri" w:hAnsi="Calibri"/>
                <w:color w:val="auto"/>
                <w:sz w:val="22"/>
                <w:szCs w:val="22"/>
              </w:rPr>
            </w:pPr>
            <w:r w:rsidRPr="009D4E68">
              <w:rPr>
                <w:rFonts w:ascii="Calibri" w:eastAsia="Calibri" w:hAnsi="Calibri"/>
                <w:color w:val="auto"/>
                <w:sz w:val="22"/>
                <w:szCs w:val="22"/>
              </w:rPr>
              <w:t>Extension 0⁰ normal</w:t>
            </w:r>
          </w:p>
        </w:tc>
        <w:tc>
          <w:tcPr>
            <w:tcW w:w="2610" w:type="dxa"/>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0⁰</w:t>
            </w:r>
          </w:p>
        </w:tc>
        <w:tc>
          <w:tcPr>
            <w:tcW w:w="4486" w:type="dxa"/>
          </w:tcPr>
          <w:p w:rsidR="00384E24" w:rsidRPr="009D4E68" w:rsidRDefault="00384E24" w:rsidP="001D76C5">
            <w:pPr>
              <w:spacing w:line="240" w:lineRule="exact"/>
              <w:contextualSpacing/>
              <w:jc w:val="center"/>
              <w:rPr>
                <w:rFonts w:ascii="Calibri" w:eastAsia="Calibri" w:hAnsi="Calibri"/>
                <w:color w:val="auto"/>
                <w:sz w:val="22"/>
                <w:szCs w:val="22"/>
              </w:rPr>
            </w:pPr>
            <w:r w:rsidRPr="009D4E68">
              <w:rPr>
                <w:rFonts w:ascii="Calibri" w:eastAsia="Calibri" w:hAnsi="Calibri"/>
                <w:color w:val="auto"/>
                <w:sz w:val="22"/>
                <w:szCs w:val="22"/>
              </w:rPr>
              <w:t>3⁰</w:t>
            </w:r>
          </w:p>
        </w:tc>
      </w:tr>
      <w:tr w:rsidR="00BC7DC1" w:rsidRPr="009D4E68" w:rsidTr="00BC7DC1">
        <w:trPr>
          <w:jc w:val="center"/>
        </w:trPr>
        <w:tc>
          <w:tcPr>
            <w:tcW w:w="2237" w:type="dxa"/>
          </w:tcPr>
          <w:p w:rsidR="00384E24" w:rsidRPr="009D4E68" w:rsidRDefault="00384E24" w:rsidP="001D76C5">
            <w:pPr>
              <w:tabs>
                <w:tab w:val="left" w:pos="288"/>
                <w:tab w:val="left" w:pos="4752"/>
              </w:tabs>
              <w:spacing w:line="240" w:lineRule="exact"/>
              <w:rPr>
                <w:rFonts w:asciiTheme="minorHAnsi" w:eastAsiaTheme="minorHAnsi" w:hAnsiTheme="minorHAnsi"/>
                <w:color w:val="auto"/>
                <w:sz w:val="22"/>
                <w:szCs w:val="22"/>
              </w:rPr>
            </w:pPr>
            <w:r w:rsidRPr="009D4E68">
              <w:rPr>
                <w:rFonts w:asciiTheme="minorHAnsi" w:eastAsiaTheme="minorHAnsi" w:hAnsiTheme="minorHAnsi"/>
                <w:color w:val="auto"/>
                <w:sz w:val="22"/>
                <w:szCs w:val="22"/>
              </w:rPr>
              <w:t>Comments (+ Leg)</w:t>
            </w:r>
          </w:p>
          <w:p w:rsidR="00384E24" w:rsidRPr="009D4E68" w:rsidRDefault="00384E24" w:rsidP="001D76C5">
            <w:pPr>
              <w:tabs>
                <w:tab w:val="left" w:pos="288"/>
                <w:tab w:val="left" w:pos="4752"/>
              </w:tabs>
              <w:spacing w:line="240" w:lineRule="exact"/>
              <w:rPr>
                <w:rFonts w:asciiTheme="minorHAnsi" w:eastAsiaTheme="minorHAnsi" w:hAnsiTheme="minorHAnsi"/>
                <w:color w:val="auto"/>
                <w:sz w:val="22"/>
                <w:szCs w:val="22"/>
              </w:rPr>
            </w:pPr>
          </w:p>
        </w:tc>
        <w:tc>
          <w:tcPr>
            <w:tcW w:w="2610" w:type="dxa"/>
          </w:tcPr>
          <w:p w:rsidR="00384E24" w:rsidRPr="009D4E68" w:rsidRDefault="00384E24" w:rsidP="00DE19A6">
            <w:pPr>
              <w:tabs>
                <w:tab w:val="left" w:pos="288"/>
                <w:tab w:val="left" w:pos="4752"/>
              </w:tabs>
              <w:spacing w:line="240" w:lineRule="exact"/>
              <w:rPr>
                <w:rFonts w:asciiTheme="minorHAnsi" w:eastAsiaTheme="minorHAnsi" w:hAnsiTheme="minorHAnsi"/>
                <w:color w:val="auto"/>
                <w:sz w:val="22"/>
                <w:szCs w:val="22"/>
              </w:rPr>
            </w:pPr>
            <w:r w:rsidRPr="009D4E68">
              <w:rPr>
                <w:rFonts w:asciiTheme="minorHAnsi" w:eastAsiaTheme="minorHAnsi" w:hAnsiTheme="minorHAnsi"/>
                <w:color w:val="auto"/>
                <w:sz w:val="22"/>
                <w:szCs w:val="22"/>
              </w:rPr>
              <w:t>Non tender</w:t>
            </w:r>
            <w:r w:rsidR="003136D4" w:rsidRPr="009D4E68">
              <w:rPr>
                <w:rFonts w:asciiTheme="minorHAnsi" w:eastAsiaTheme="minorHAnsi" w:hAnsiTheme="minorHAnsi"/>
                <w:color w:val="auto"/>
                <w:sz w:val="22"/>
                <w:szCs w:val="22"/>
              </w:rPr>
              <w:t xml:space="preserve"> (MEB exam w/TTP mid-medial </w:t>
            </w:r>
            <w:proofErr w:type="spellStart"/>
            <w:r w:rsidR="003136D4" w:rsidRPr="009D4E68">
              <w:rPr>
                <w:rFonts w:asciiTheme="minorHAnsi" w:eastAsiaTheme="minorHAnsi" w:hAnsiTheme="minorHAnsi"/>
                <w:color w:val="auto"/>
                <w:sz w:val="22"/>
                <w:szCs w:val="22"/>
              </w:rPr>
              <w:t>tib</w:t>
            </w:r>
            <w:proofErr w:type="spellEnd"/>
            <w:r w:rsidR="003136D4" w:rsidRPr="009D4E68">
              <w:rPr>
                <w:rFonts w:asciiTheme="minorHAnsi" w:eastAsiaTheme="minorHAnsi" w:hAnsiTheme="minorHAnsi"/>
                <w:color w:val="auto"/>
                <w:sz w:val="22"/>
                <w:szCs w:val="22"/>
              </w:rPr>
              <w:t xml:space="preserve"> shaft</w:t>
            </w:r>
            <w:r w:rsidR="00BC7DC1" w:rsidRPr="009D4E68">
              <w:rPr>
                <w:rFonts w:asciiTheme="minorHAnsi" w:eastAsiaTheme="minorHAnsi" w:hAnsiTheme="minorHAnsi"/>
                <w:color w:val="auto"/>
                <w:sz w:val="22"/>
                <w:szCs w:val="22"/>
              </w:rPr>
              <w:t xml:space="preserve">; </w:t>
            </w:r>
            <w:r w:rsidR="00BC7DC1" w:rsidRPr="009D4E68">
              <w:rPr>
                <w:rFonts w:asciiTheme="minorHAnsi" w:hAnsiTheme="minorHAnsi"/>
                <w:color w:val="auto"/>
                <w:szCs w:val="24"/>
              </w:rPr>
              <w:t>exquisitely tender scar</w:t>
            </w:r>
            <w:r w:rsidR="003136D4" w:rsidRPr="009D4E68">
              <w:rPr>
                <w:rFonts w:asciiTheme="minorHAnsi" w:eastAsiaTheme="minorHAnsi" w:hAnsiTheme="minorHAnsi"/>
                <w:color w:val="auto"/>
                <w:sz w:val="22"/>
                <w:szCs w:val="22"/>
              </w:rPr>
              <w:t>)</w:t>
            </w:r>
          </w:p>
        </w:tc>
        <w:tc>
          <w:tcPr>
            <w:tcW w:w="4486" w:type="dxa"/>
          </w:tcPr>
          <w:p w:rsidR="00384E24" w:rsidRPr="009D4E68" w:rsidRDefault="00384E24" w:rsidP="00DE19A6">
            <w:pPr>
              <w:tabs>
                <w:tab w:val="left" w:pos="288"/>
                <w:tab w:val="left" w:pos="4752"/>
              </w:tabs>
              <w:spacing w:line="240" w:lineRule="exact"/>
              <w:rPr>
                <w:rFonts w:asciiTheme="minorHAnsi" w:eastAsiaTheme="minorHAnsi" w:hAnsiTheme="minorHAnsi"/>
                <w:color w:val="auto"/>
                <w:sz w:val="22"/>
                <w:szCs w:val="22"/>
              </w:rPr>
            </w:pPr>
            <w:r w:rsidRPr="009D4E68">
              <w:rPr>
                <w:rFonts w:asciiTheme="minorHAnsi" w:eastAsiaTheme="minorHAnsi" w:hAnsiTheme="minorHAnsi"/>
                <w:color w:val="auto"/>
                <w:sz w:val="22"/>
                <w:szCs w:val="22"/>
              </w:rPr>
              <w:t xml:space="preserve">LLE very painful; </w:t>
            </w:r>
            <w:proofErr w:type="spellStart"/>
            <w:r w:rsidR="00632F6D" w:rsidRPr="009D4E68">
              <w:rPr>
                <w:rFonts w:asciiTheme="minorHAnsi" w:eastAsiaTheme="minorHAnsi" w:hAnsiTheme="minorHAnsi"/>
                <w:color w:val="auto"/>
                <w:sz w:val="22"/>
                <w:szCs w:val="22"/>
              </w:rPr>
              <w:t>sl</w:t>
            </w:r>
            <w:proofErr w:type="spellEnd"/>
            <w:r w:rsidR="00632F6D" w:rsidRPr="009D4E68">
              <w:rPr>
                <w:rFonts w:asciiTheme="minorHAnsi" w:eastAsiaTheme="minorHAnsi" w:hAnsiTheme="minorHAnsi"/>
                <w:color w:val="auto"/>
                <w:sz w:val="22"/>
                <w:szCs w:val="22"/>
              </w:rPr>
              <w:t xml:space="preserve"> </w:t>
            </w:r>
            <w:proofErr w:type="spellStart"/>
            <w:r w:rsidRPr="009D4E68">
              <w:rPr>
                <w:rFonts w:asciiTheme="minorHAnsi" w:eastAsiaTheme="minorHAnsi" w:hAnsiTheme="minorHAnsi"/>
                <w:color w:val="auto"/>
                <w:sz w:val="22"/>
                <w:szCs w:val="22"/>
              </w:rPr>
              <w:t>antalgic</w:t>
            </w:r>
            <w:proofErr w:type="spellEnd"/>
            <w:r w:rsidRPr="009D4E68">
              <w:rPr>
                <w:rFonts w:asciiTheme="minorHAnsi" w:eastAsiaTheme="minorHAnsi" w:hAnsiTheme="minorHAnsi"/>
                <w:color w:val="auto"/>
                <w:sz w:val="22"/>
                <w:szCs w:val="22"/>
              </w:rPr>
              <w:t xml:space="preserve"> gait; leg bowed medially; mod fatigue/weakness on rep 5</w:t>
            </w:r>
            <w:r w:rsidR="003136D4" w:rsidRPr="009D4E68">
              <w:rPr>
                <w:rFonts w:ascii="Calibri" w:eastAsia="Calibri" w:hAnsi="Calibri"/>
                <w:color w:val="auto"/>
                <w:sz w:val="22"/>
                <w:szCs w:val="22"/>
              </w:rPr>
              <w:t>⁰</w:t>
            </w:r>
            <w:r w:rsidRPr="009D4E68">
              <w:rPr>
                <w:rFonts w:asciiTheme="minorHAnsi" w:eastAsiaTheme="minorHAnsi" w:hAnsiTheme="minorHAnsi"/>
                <w:color w:val="auto"/>
                <w:sz w:val="22"/>
                <w:szCs w:val="22"/>
              </w:rPr>
              <w:t>-110</w:t>
            </w:r>
            <w:r w:rsidRPr="009D4E68">
              <w:rPr>
                <w:rFonts w:ascii="Calibri" w:eastAsia="Calibri" w:hAnsi="Calibri"/>
                <w:color w:val="auto"/>
                <w:sz w:val="22"/>
                <w:szCs w:val="22"/>
              </w:rPr>
              <w:t xml:space="preserve">⁰; </w:t>
            </w:r>
            <w:proofErr w:type="spellStart"/>
            <w:r w:rsidRPr="009D4E68">
              <w:rPr>
                <w:rFonts w:ascii="Calibri" w:eastAsia="Calibri" w:hAnsi="Calibri"/>
                <w:color w:val="auto"/>
                <w:sz w:val="22"/>
                <w:szCs w:val="22"/>
              </w:rPr>
              <w:t>neg</w:t>
            </w:r>
            <w:proofErr w:type="spellEnd"/>
            <w:r w:rsidRPr="009D4E68">
              <w:rPr>
                <w:rFonts w:ascii="Calibri" w:eastAsia="Calibri" w:hAnsi="Calibri"/>
                <w:color w:val="auto"/>
                <w:sz w:val="22"/>
                <w:szCs w:val="22"/>
              </w:rPr>
              <w:t xml:space="preserve"> </w:t>
            </w:r>
            <w:proofErr w:type="spellStart"/>
            <w:r w:rsidRPr="009D4E68">
              <w:rPr>
                <w:rFonts w:asciiTheme="minorHAnsi" w:eastAsiaTheme="minorHAnsi" w:hAnsiTheme="minorHAnsi"/>
                <w:color w:val="auto"/>
                <w:sz w:val="22"/>
                <w:szCs w:val="22"/>
              </w:rPr>
              <w:t>Lachman’s</w:t>
            </w:r>
            <w:proofErr w:type="spellEnd"/>
            <w:r w:rsidRPr="009D4E68">
              <w:rPr>
                <w:rFonts w:asciiTheme="minorHAnsi" w:eastAsiaTheme="minorHAnsi" w:hAnsiTheme="minorHAnsi"/>
                <w:color w:val="auto"/>
                <w:sz w:val="22"/>
                <w:szCs w:val="22"/>
              </w:rPr>
              <w:t>/</w:t>
            </w:r>
            <w:proofErr w:type="spellStart"/>
            <w:r w:rsidRPr="009D4E68">
              <w:rPr>
                <w:rFonts w:asciiTheme="minorHAnsi" w:eastAsiaTheme="minorHAnsi" w:hAnsiTheme="minorHAnsi"/>
                <w:color w:val="auto"/>
                <w:sz w:val="22"/>
                <w:szCs w:val="22"/>
              </w:rPr>
              <w:t>McMurrays</w:t>
            </w:r>
            <w:proofErr w:type="spellEnd"/>
            <w:r w:rsidRPr="009D4E68">
              <w:rPr>
                <w:rFonts w:asciiTheme="minorHAnsi" w:eastAsiaTheme="minorHAnsi" w:hAnsiTheme="minorHAnsi"/>
                <w:color w:val="auto"/>
                <w:sz w:val="22"/>
                <w:szCs w:val="22"/>
              </w:rPr>
              <w:t xml:space="preserve"> </w:t>
            </w:r>
          </w:p>
        </w:tc>
      </w:tr>
      <w:tr w:rsidR="00BC7DC1" w:rsidRPr="009D4E68" w:rsidTr="00BC7DC1">
        <w:trPr>
          <w:jc w:val="center"/>
        </w:trPr>
        <w:tc>
          <w:tcPr>
            <w:tcW w:w="2237" w:type="dxa"/>
          </w:tcPr>
          <w:p w:rsidR="00384E24" w:rsidRPr="009D4E68" w:rsidRDefault="00384E24" w:rsidP="001D76C5">
            <w:pPr>
              <w:tabs>
                <w:tab w:val="left" w:pos="288"/>
                <w:tab w:val="left" w:pos="4752"/>
              </w:tabs>
              <w:spacing w:line="240" w:lineRule="exact"/>
              <w:jc w:val="center"/>
              <w:rPr>
                <w:rFonts w:asciiTheme="minorHAnsi" w:eastAsiaTheme="minorHAnsi" w:hAnsiTheme="minorHAnsi"/>
                <w:color w:val="auto"/>
                <w:sz w:val="22"/>
                <w:szCs w:val="22"/>
              </w:rPr>
            </w:pPr>
            <w:r w:rsidRPr="009D4E68">
              <w:rPr>
                <w:rFonts w:asciiTheme="minorHAnsi" w:eastAsiaTheme="minorHAnsi" w:hAnsiTheme="minorHAnsi"/>
                <w:color w:val="auto"/>
                <w:sz w:val="22"/>
                <w:szCs w:val="22"/>
              </w:rPr>
              <w:t>§4.71a Rating</w:t>
            </w:r>
          </w:p>
        </w:tc>
        <w:tc>
          <w:tcPr>
            <w:tcW w:w="2610" w:type="dxa"/>
          </w:tcPr>
          <w:p w:rsidR="00384E24" w:rsidRPr="009D4E68" w:rsidRDefault="00384E24" w:rsidP="00BC7DC1">
            <w:pPr>
              <w:tabs>
                <w:tab w:val="left" w:pos="288"/>
                <w:tab w:val="left" w:pos="4752"/>
              </w:tabs>
              <w:spacing w:line="240" w:lineRule="exact"/>
              <w:jc w:val="center"/>
              <w:rPr>
                <w:rFonts w:asciiTheme="minorHAnsi" w:eastAsiaTheme="minorHAnsi" w:hAnsiTheme="minorHAnsi"/>
                <w:color w:val="auto"/>
                <w:sz w:val="22"/>
                <w:szCs w:val="22"/>
              </w:rPr>
            </w:pPr>
            <w:r w:rsidRPr="009D4E68">
              <w:rPr>
                <w:rFonts w:asciiTheme="minorHAnsi" w:eastAsiaTheme="minorHAnsi" w:hAnsiTheme="minorHAnsi"/>
                <w:color w:val="auto"/>
                <w:sz w:val="22"/>
                <w:szCs w:val="22"/>
              </w:rPr>
              <w:t>10%</w:t>
            </w:r>
          </w:p>
        </w:tc>
        <w:tc>
          <w:tcPr>
            <w:tcW w:w="4486" w:type="dxa"/>
          </w:tcPr>
          <w:p w:rsidR="00384E24" w:rsidRPr="009D4E68" w:rsidRDefault="00BA23EA" w:rsidP="001D76C5">
            <w:pPr>
              <w:tabs>
                <w:tab w:val="left" w:pos="288"/>
                <w:tab w:val="left" w:pos="4752"/>
              </w:tabs>
              <w:spacing w:line="240" w:lineRule="exact"/>
              <w:jc w:val="center"/>
              <w:rPr>
                <w:rFonts w:asciiTheme="minorHAnsi" w:eastAsiaTheme="minorHAnsi" w:hAnsiTheme="minorHAnsi"/>
                <w:color w:val="auto"/>
                <w:sz w:val="22"/>
                <w:szCs w:val="22"/>
              </w:rPr>
            </w:pPr>
            <w:r w:rsidRPr="009D4E68">
              <w:rPr>
                <w:rFonts w:asciiTheme="minorHAnsi" w:eastAsiaTheme="minorHAnsi" w:hAnsiTheme="minorHAnsi"/>
                <w:color w:val="auto"/>
                <w:sz w:val="22"/>
                <w:szCs w:val="22"/>
              </w:rPr>
              <w:t>20%-30</w:t>
            </w:r>
            <w:r w:rsidR="00384E24" w:rsidRPr="009D4E68">
              <w:rPr>
                <w:rFonts w:asciiTheme="minorHAnsi" w:eastAsiaTheme="minorHAnsi" w:hAnsiTheme="minorHAnsi"/>
                <w:color w:val="auto"/>
                <w:sz w:val="22"/>
                <w:szCs w:val="22"/>
              </w:rPr>
              <w:t>%</w:t>
            </w:r>
            <w:r w:rsidRPr="009D4E68">
              <w:rPr>
                <w:rFonts w:asciiTheme="minorHAnsi" w:eastAsiaTheme="minorHAnsi" w:hAnsiTheme="minorHAnsi"/>
                <w:color w:val="auto"/>
                <w:sz w:val="22"/>
                <w:szCs w:val="22"/>
              </w:rPr>
              <w:t xml:space="preserve"> </w:t>
            </w:r>
            <w:r w:rsidRPr="00DE19A6">
              <w:rPr>
                <w:rFonts w:asciiTheme="minorHAnsi" w:eastAsiaTheme="minorHAnsi" w:hAnsiTheme="minorHAnsi"/>
                <w:i/>
                <w:color w:val="auto"/>
                <w:sz w:val="22"/>
                <w:szCs w:val="22"/>
              </w:rPr>
              <w:t xml:space="preserve">(see discussion of leg </w:t>
            </w:r>
            <w:proofErr w:type="spellStart"/>
            <w:r w:rsidRPr="00DE19A6">
              <w:rPr>
                <w:rFonts w:asciiTheme="minorHAnsi" w:eastAsiaTheme="minorHAnsi" w:hAnsiTheme="minorHAnsi"/>
                <w:i/>
                <w:color w:val="auto"/>
                <w:sz w:val="22"/>
                <w:szCs w:val="22"/>
              </w:rPr>
              <w:t>vs</w:t>
            </w:r>
            <w:proofErr w:type="spellEnd"/>
            <w:r w:rsidRPr="00DE19A6">
              <w:rPr>
                <w:rFonts w:asciiTheme="minorHAnsi" w:eastAsiaTheme="minorHAnsi" w:hAnsiTheme="minorHAnsi"/>
                <w:i/>
                <w:color w:val="auto"/>
                <w:sz w:val="22"/>
                <w:szCs w:val="22"/>
              </w:rPr>
              <w:t xml:space="preserve"> knee coding)</w:t>
            </w:r>
          </w:p>
        </w:tc>
      </w:tr>
    </w:tbl>
    <w:p w:rsidR="00384E24" w:rsidRPr="009D4E68" w:rsidRDefault="00384E24"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3136D4" w:rsidRPr="009D4E68" w:rsidRDefault="003136D4" w:rsidP="003136D4">
      <w:pPr>
        <w:tabs>
          <w:tab w:val="left" w:pos="288"/>
          <w:tab w:val="left" w:pos="4752"/>
        </w:tabs>
        <w:spacing w:line="240" w:lineRule="exact"/>
        <w:jc w:val="both"/>
        <w:rPr>
          <w:rFonts w:asciiTheme="minorHAnsi" w:hAnsiTheme="minorHAnsi"/>
          <w:color w:val="auto"/>
          <w:szCs w:val="24"/>
          <w:u w:val="single"/>
        </w:rPr>
      </w:pPr>
      <w:r w:rsidRPr="009D4E68">
        <w:rPr>
          <w:rFonts w:asciiTheme="minorHAnsi" w:hAnsiTheme="minorHAnsi"/>
          <w:color w:val="auto"/>
          <w:szCs w:val="24"/>
        </w:rPr>
        <w:t xml:space="preserve">The </w:t>
      </w:r>
      <w:r w:rsidR="004B797D">
        <w:rPr>
          <w:rFonts w:asciiTheme="minorHAnsi" w:hAnsiTheme="minorHAnsi"/>
          <w:color w:val="auto"/>
          <w:szCs w:val="24"/>
        </w:rPr>
        <w:t>narrative summary (</w:t>
      </w:r>
      <w:r w:rsidRPr="009D4E68">
        <w:rPr>
          <w:rFonts w:asciiTheme="minorHAnsi" w:hAnsiTheme="minorHAnsi"/>
          <w:color w:val="auto"/>
          <w:szCs w:val="24"/>
        </w:rPr>
        <w:t>NARSUM</w:t>
      </w:r>
      <w:r w:rsidR="004B797D">
        <w:rPr>
          <w:rFonts w:asciiTheme="minorHAnsi" w:hAnsiTheme="minorHAnsi"/>
          <w:color w:val="auto"/>
          <w:szCs w:val="24"/>
        </w:rPr>
        <w:t>)</w:t>
      </w:r>
      <w:r w:rsidRPr="009D4E68">
        <w:rPr>
          <w:rFonts w:asciiTheme="minorHAnsi" w:hAnsiTheme="minorHAnsi"/>
          <w:color w:val="auto"/>
          <w:szCs w:val="24"/>
        </w:rPr>
        <w:t xml:space="preserve"> noted no evidence of ankle </w:t>
      </w:r>
      <w:proofErr w:type="spellStart"/>
      <w:r w:rsidRPr="009D4E68">
        <w:rPr>
          <w:rFonts w:asciiTheme="minorHAnsi" w:hAnsiTheme="minorHAnsi"/>
          <w:color w:val="auto"/>
          <w:szCs w:val="24"/>
        </w:rPr>
        <w:t>arthrosis</w:t>
      </w:r>
      <w:proofErr w:type="spellEnd"/>
      <w:r w:rsidRPr="009D4E68">
        <w:rPr>
          <w:rFonts w:asciiTheme="minorHAnsi" w:hAnsiTheme="minorHAnsi"/>
          <w:color w:val="auto"/>
          <w:szCs w:val="24"/>
        </w:rPr>
        <w:t xml:space="preserve"> on imaging</w:t>
      </w:r>
      <w:r w:rsidR="00DE19A6">
        <w:rPr>
          <w:rFonts w:asciiTheme="minorHAnsi" w:hAnsiTheme="minorHAnsi"/>
          <w:color w:val="auto"/>
          <w:szCs w:val="24"/>
        </w:rPr>
        <w:t xml:space="preserve">. </w:t>
      </w:r>
      <w:r w:rsidR="004B797D">
        <w:rPr>
          <w:rFonts w:asciiTheme="minorHAnsi" w:hAnsiTheme="minorHAnsi"/>
          <w:color w:val="auto"/>
          <w:szCs w:val="24"/>
        </w:rPr>
        <w:t xml:space="preserve"> </w:t>
      </w:r>
      <w:r w:rsidR="00DE19A6">
        <w:rPr>
          <w:rFonts w:asciiTheme="minorHAnsi" w:hAnsiTheme="minorHAnsi"/>
          <w:color w:val="auto"/>
          <w:szCs w:val="24"/>
        </w:rPr>
        <w:t>No</w:t>
      </w:r>
      <w:r w:rsidRPr="009D4E68">
        <w:rPr>
          <w:rFonts w:asciiTheme="minorHAnsi" w:hAnsiTheme="minorHAnsi"/>
          <w:color w:val="auto"/>
          <w:szCs w:val="24"/>
        </w:rPr>
        <w:t xml:space="preserve"> ankle ROM exam was documented.  The VA exam of the left ankle indicated:  0⁰ </w:t>
      </w:r>
      <w:proofErr w:type="spellStart"/>
      <w:r w:rsidRPr="009D4E68">
        <w:rPr>
          <w:rFonts w:asciiTheme="minorHAnsi" w:hAnsiTheme="minorHAnsi"/>
          <w:color w:val="auto"/>
          <w:szCs w:val="24"/>
        </w:rPr>
        <w:t>dorsiflexion</w:t>
      </w:r>
      <w:proofErr w:type="spellEnd"/>
      <w:r w:rsidRPr="009D4E68">
        <w:rPr>
          <w:rFonts w:asciiTheme="minorHAnsi" w:hAnsiTheme="minorHAnsi"/>
          <w:color w:val="auto"/>
          <w:szCs w:val="24"/>
        </w:rPr>
        <w:t xml:space="preserve"> (</w:t>
      </w:r>
      <w:proofErr w:type="spellStart"/>
      <w:proofErr w:type="gramStart"/>
      <w:r w:rsidRPr="009D4E68">
        <w:rPr>
          <w:rFonts w:asciiTheme="minorHAnsi" w:hAnsiTheme="minorHAnsi"/>
          <w:color w:val="auto"/>
          <w:szCs w:val="24"/>
        </w:rPr>
        <w:t>nl</w:t>
      </w:r>
      <w:proofErr w:type="spellEnd"/>
      <w:proofErr w:type="gramEnd"/>
      <w:r w:rsidRPr="009D4E68">
        <w:rPr>
          <w:rFonts w:asciiTheme="minorHAnsi" w:hAnsiTheme="minorHAnsi"/>
          <w:color w:val="auto"/>
          <w:szCs w:val="24"/>
        </w:rPr>
        <w:t xml:space="preserve"> 0-20⁰), 20-35⁰ plantar flexion (</w:t>
      </w:r>
      <w:proofErr w:type="spellStart"/>
      <w:r w:rsidRPr="009D4E68">
        <w:rPr>
          <w:rFonts w:asciiTheme="minorHAnsi" w:hAnsiTheme="minorHAnsi"/>
          <w:color w:val="auto"/>
          <w:szCs w:val="24"/>
        </w:rPr>
        <w:t>nl</w:t>
      </w:r>
      <w:proofErr w:type="spellEnd"/>
      <w:r w:rsidRPr="009D4E68">
        <w:rPr>
          <w:rFonts w:asciiTheme="minorHAnsi" w:hAnsiTheme="minorHAnsi"/>
          <w:color w:val="auto"/>
          <w:szCs w:val="24"/>
        </w:rPr>
        <w:t xml:space="preserve"> 0-45⁰) with moderate pain</w:t>
      </w:r>
      <w:r w:rsidR="00DE19A6">
        <w:rPr>
          <w:rFonts w:asciiTheme="minorHAnsi" w:hAnsiTheme="minorHAnsi"/>
          <w:color w:val="auto"/>
          <w:szCs w:val="24"/>
        </w:rPr>
        <w:t xml:space="preserve"> and </w:t>
      </w:r>
      <w:r w:rsidRPr="009D4E68">
        <w:rPr>
          <w:rFonts w:asciiTheme="minorHAnsi" w:hAnsiTheme="minorHAnsi"/>
          <w:color w:val="auto"/>
          <w:szCs w:val="24"/>
        </w:rPr>
        <w:t>weakness</w:t>
      </w:r>
      <w:r w:rsidR="00DE19A6">
        <w:rPr>
          <w:rFonts w:asciiTheme="minorHAnsi" w:hAnsiTheme="minorHAnsi"/>
          <w:color w:val="auto"/>
          <w:szCs w:val="24"/>
        </w:rPr>
        <w:t>, and</w:t>
      </w:r>
      <w:r w:rsidRPr="009D4E68">
        <w:rPr>
          <w:rFonts w:asciiTheme="minorHAnsi" w:hAnsiTheme="minorHAnsi"/>
          <w:color w:val="auto"/>
          <w:szCs w:val="24"/>
        </w:rPr>
        <w:t xml:space="preserve"> mod</w:t>
      </w:r>
      <w:r w:rsidR="00DE19A6">
        <w:rPr>
          <w:rFonts w:asciiTheme="minorHAnsi" w:hAnsiTheme="minorHAnsi"/>
          <w:color w:val="auto"/>
          <w:szCs w:val="24"/>
        </w:rPr>
        <w:t>erate</w:t>
      </w:r>
      <w:r w:rsidRPr="009D4E68">
        <w:rPr>
          <w:rFonts w:asciiTheme="minorHAnsi" w:hAnsiTheme="minorHAnsi"/>
          <w:color w:val="auto"/>
          <w:szCs w:val="24"/>
        </w:rPr>
        <w:t xml:space="preserve"> to marked fatigability</w:t>
      </w:r>
      <w:r w:rsidR="00DE19A6">
        <w:rPr>
          <w:rFonts w:asciiTheme="minorHAnsi" w:hAnsiTheme="minorHAnsi"/>
          <w:color w:val="auto"/>
          <w:szCs w:val="24"/>
        </w:rPr>
        <w:t xml:space="preserve"> and </w:t>
      </w:r>
      <w:proofErr w:type="spellStart"/>
      <w:r w:rsidRPr="009D4E68">
        <w:rPr>
          <w:rFonts w:asciiTheme="minorHAnsi" w:hAnsiTheme="minorHAnsi"/>
          <w:color w:val="auto"/>
          <w:szCs w:val="24"/>
        </w:rPr>
        <w:t>incoordination</w:t>
      </w:r>
      <w:proofErr w:type="spellEnd"/>
      <w:r w:rsidRPr="009D4E68">
        <w:rPr>
          <w:rFonts w:asciiTheme="minorHAnsi" w:hAnsiTheme="minorHAnsi"/>
          <w:color w:val="auto"/>
          <w:szCs w:val="24"/>
        </w:rPr>
        <w:t xml:space="preserve">.  </w:t>
      </w:r>
    </w:p>
    <w:p w:rsidR="00BB1192" w:rsidRPr="009D4E68" w:rsidRDefault="00BB1192"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BB1192" w:rsidRPr="009D4E68" w:rsidRDefault="004A455F"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r w:rsidRPr="009D4E68">
        <w:rPr>
          <w:rFonts w:ascii="Calibri" w:hAnsi="Calibri"/>
          <w:color w:val="auto"/>
          <w:szCs w:val="24"/>
        </w:rPr>
        <w:t xml:space="preserve">In the NARSUM </w:t>
      </w:r>
      <w:r w:rsidR="00DE19A6">
        <w:rPr>
          <w:rFonts w:ascii="Calibri" w:hAnsi="Calibri"/>
          <w:color w:val="auto"/>
          <w:szCs w:val="24"/>
        </w:rPr>
        <w:t xml:space="preserve">on 15 August </w:t>
      </w:r>
      <w:r w:rsidRPr="009D4E68">
        <w:rPr>
          <w:rFonts w:ascii="Calibri" w:hAnsi="Calibri"/>
          <w:color w:val="auto"/>
          <w:szCs w:val="24"/>
        </w:rPr>
        <w:t>2001</w:t>
      </w:r>
      <w:r w:rsidR="001C64CC" w:rsidRPr="009D4E68">
        <w:rPr>
          <w:rFonts w:ascii="Calibri" w:hAnsi="Calibri"/>
          <w:color w:val="auto"/>
          <w:szCs w:val="24"/>
        </w:rPr>
        <w:t xml:space="preserve">, approximately </w:t>
      </w:r>
      <w:r w:rsidR="00582C4A" w:rsidRPr="009D4E68">
        <w:rPr>
          <w:rFonts w:ascii="Calibri" w:hAnsi="Calibri"/>
          <w:color w:val="auto"/>
          <w:szCs w:val="24"/>
        </w:rPr>
        <w:t>seven</w:t>
      </w:r>
      <w:r w:rsidR="001C64CC" w:rsidRPr="009D4E68">
        <w:rPr>
          <w:rFonts w:ascii="Calibri" w:hAnsi="Calibri"/>
          <w:color w:val="auto"/>
          <w:szCs w:val="24"/>
        </w:rPr>
        <w:t xml:space="preserve"> months pre</w:t>
      </w:r>
      <w:r w:rsidR="001D6110" w:rsidRPr="009D4E68">
        <w:rPr>
          <w:rFonts w:ascii="Calibri" w:hAnsi="Calibri"/>
          <w:color w:val="auto"/>
          <w:szCs w:val="24"/>
        </w:rPr>
        <w:t>-</w:t>
      </w:r>
      <w:r w:rsidR="001C64CC" w:rsidRPr="009D4E68">
        <w:rPr>
          <w:rFonts w:ascii="Calibri" w:hAnsi="Calibri"/>
          <w:color w:val="auto"/>
          <w:szCs w:val="24"/>
        </w:rPr>
        <w:t>separation, the CI complain</w:t>
      </w:r>
      <w:r w:rsidR="003C7EC5">
        <w:rPr>
          <w:rFonts w:ascii="Calibri" w:hAnsi="Calibri"/>
          <w:color w:val="auto"/>
          <w:szCs w:val="24"/>
        </w:rPr>
        <w:t>ed</w:t>
      </w:r>
      <w:r w:rsidR="001C64CC" w:rsidRPr="009D4E68">
        <w:rPr>
          <w:rFonts w:ascii="Calibri" w:hAnsi="Calibri"/>
          <w:color w:val="auto"/>
          <w:szCs w:val="24"/>
        </w:rPr>
        <w:t xml:space="preserve"> about activity</w:t>
      </w:r>
      <w:r w:rsidR="00DE19A6">
        <w:rPr>
          <w:rFonts w:ascii="Calibri" w:hAnsi="Calibri"/>
          <w:color w:val="auto"/>
          <w:szCs w:val="24"/>
        </w:rPr>
        <w:t>-</w:t>
      </w:r>
      <w:r w:rsidR="001C64CC" w:rsidRPr="009D4E68">
        <w:rPr>
          <w:rFonts w:ascii="Calibri" w:hAnsi="Calibri"/>
          <w:color w:val="auto"/>
          <w:szCs w:val="24"/>
        </w:rPr>
        <w:t>related pain, prolonged standing and walking, inability to run and no change in his pre</w:t>
      </w:r>
      <w:r w:rsidR="001D6110" w:rsidRPr="009D4E68">
        <w:rPr>
          <w:rFonts w:ascii="Calibri" w:hAnsi="Calibri"/>
          <w:color w:val="auto"/>
          <w:szCs w:val="24"/>
        </w:rPr>
        <w:t>-</w:t>
      </w:r>
      <w:r w:rsidR="001C64CC" w:rsidRPr="009D4E68">
        <w:rPr>
          <w:rFonts w:ascii="Calibri" w:hAnsi="Calibri"/>
          <w:color w:val="auto"/>
          <w:szCs w:val="24"/>
        </w:rPr>
        <w:t xml:space="preserve">surgical leg pain symptoms.  The examiner documented that the CI had </w:t>
      </w:r>
      <w:r w:rsidR="00F4167C" w:rsidRPr="009D4E68">
        <w:rPr>
          <w:rFonts w:ascii="Calibri" w:hAnsi="Calibri"/>
          <w:color w:val="auto"/>
          <w:szCs w:val="24"/>
        </w:rPr>
        <w:t>normal</w:t>
      </w:r>
      <w:r w:rsidR="001C64CC" w:rsidRPr="009D4E68">
        <w:rPr>
          <w:rFonts w:ascii="Calibri" w:hAnsi="Calibri"/>
          <w:color w:val="auto"/>
          <w:szCs w:val="24"/>
        </w:rPr>
        <w:t xml:space="preserve"> motor strength, no evidence of effusion, range of </w:t>
      </w:r>
      <w:r w:rsidR="00BB1192" w:rsidRPr="009D4E68">
        <w:rPr>
          <w:rFonts w:ascii="Calibri" w:hAnsi="Calibri"/>
          <w:color w:val="auto"/>
          <w:szCs w:val="24"/>
        </w:rPr>
        <w:t xml:space="preserve">knee </w:t>
      </w:r>
      <w:r w:rsidR="001C64CC" w:rsidRPr="009D4E68">
        <w:rPr>
          <w:rFonts w:ascii="Calibri" w:hAnsi="Calibri"/>
          <w:color w:val="auto"/>
          <w:szCs w:val="24"/>
        </w:rPr>
        <w:t>motion 0-135 degrees</w:t>
      </w:r>
      <w:r w:rsidR="00F4167C" w:rsidRPr="009D4E68">
        <w:rPr>
          <w:rFonts w:ascii="Calibri" w:hAnsi="Calibri"/>
          <w:color w:val="auto"/>
          <w:szCs w:val="24"/>
        </w:rPr>
        <w:t xml:space="preserve">, no atrophy of the </w:t>
      </w:r>
      <w:proofErr w:type="spellStart"/>
      <w:r w:rsidR="00AE4C2E" w:rsidRPr="009D4E68">
        <w:rPr>
          <w:rFonts w:ascii="Calibri" w:hAnsi="Calibri"/>
          <w:color w:val="auto"/>
          <w:szCs w:val="24"/>
        </w:rPr>
        <w:t>anterolateral</w:t>
      </w:r>
      <w:proofErr w:type="spellEnd"/>
      <w:r w:rsidR="00F4167C" w:rsidRPr="009D4E68">
        <w:rPr>
          <w:rFonts w:ascii="Calibri" w:hAnsi="Calibri"/>
          <w:color w:val="auto"/>
          <w:szCs w:val="24"/>
        </w:rPr>
        <w:t xml:space="preserve"> or superficial posterior compartments, no tenderness to palpation </w:t>
      </w:r>
      <w:r w:rsidR="00BB1192" w:rsidRPr="009D4E68">
        <w:rPr>
          <w:rFonts w:ascii="Calibri" w:hAnsi="Calibri"/>
          <w:color w:val="auto"/>
          <w:szCs w:val="24"/>
        </w:rPr>
        <w:lastRenderedPageBreak/>
        <w:t>of the knee</w:t>
      </w:r>
      <w:r w:rsidR="00F4167C" w:rsidRPr="009D4E68">
        <w:rPr>
          <w:rFonts w:ascii="Calibri" w:hAnsi="Calibri"/>
          <w:color w:val="auto"/>
          <w:szCs w:val="24"/>
        </w:rPr>
        <w:t>, no ev</w:t>
      </w:r>
      <w:r w:rsidR="00F4167C" w:rsidRPr="009D4E68">
        <w:rPr>
          <w:rFonts w:asciiTheme="minorHAnsi" w:hAnsiTheme="minorHAnsi"/>
          <w:color w:val="auto"/>
          <w:szCs w:val="24"/>
        </w:rPr>
        <w:t xml:space="preserve">idence of prominence of screw heads and no obvious </w:t>
      </w:r>
      <w:proofErr w:type="spellStart"/>
      <w:r w:rsidR="00F4167C" w:rsidRPr="009D4E68">
        <w:rPr>
          <w:rFonts w:asciiTheme="minorHAnsi" w:hAnsiTheme="minorHAnsi"/>
          <w:color w:val="auto"/>
          <w:szCs w:val="24"/>
        </w:rPr>
        <w:t>Tinel’s</w:t>
      </w:r>
      <w:proofErr w:type="spellEnd"/>
      <w:r w:rsidR="00F4167C" w:rsidRPr="009D4E68">
        <w:rPr>
          <w:rFonts w:asciiTheme="minorHAnsi" w:hAnsiTheme="minorHAnsi"/>
          <w:color w:val="auto"/>
          <w:szCs w:val="24"/>
        </w:rPr>
        <w:t xml:space="preserve"> sign along the peroneal nerve to level of incision.  The only abnormality was a diminished perception of light touch over the dorsum of the foot.  The examiner concluded that “despite an attempted restoration of mechanical axis and length, thi</w:t>
      </w:r>
      <w:r w:rsidR="00091DBC" w:rsidRPr="009D4E68">
        <w:rPr>
          <w:rFonts w:asciiTheme="minorHAnsi" w:hAnsiTheme="minorHAnsi"/>
          <w:color w:val="auto"/>
          <w:szCs w:val="24"/>
        </w:rPr>
        <w:t>s</w:t>
      </w:r>
      <w:r w:rsidR="00F4167C" w:rsidRPr="009D4E68">
        <w:rPr>
          <w:rFonts w:asciiTheme="minorHAnsi" w:hAnsiTheme="minorHAnsi"/>
          <w:color w:val="auto"/>
          <w:szCs w:val="24"/>
        </w:rPr>
        <w:t xml:space="preserve"> has</w:t>
      </w:r>
      <w:r w:rsidR="00091DBC" w:rsidRPr="009D4E68">
        <w:rPr>
          <w:rFonts w:asciiTheme="minorHAnsi" w:hAnsiTheme="minorHAnsi"/>
          <w:color w:val="auto"/>
          <w:szCs w:val="24"/>
        </w:rPr>
        <w:t xml:space="preserve"> not improved the patient’s complaints of pain with activity related to his work</w:t>
      </w:r>
      <w:r w:rsidR="00DE19A6">
        <w:rPr>
          <w:rFonts w:asciiTheme="minorHAnsi" w:hAnsiTheme="minorHAnsi"/>
          <w:color w:val="auto"/>
          <w:szCs w:val="24"/>
        </w:rPr>
        <w:t>.</w:t>
      </w:r>
      <w:r w:rsidR="00091DBC" w:rsidRPr="009D4E68">
        <w:rPr>
          <w:rFonts w:asciiTheme="minorHAnsi" w:hAnsiTheme="minorHAnsi"/>
          <w:color w:val="auto"/>
          <w:szCs w:val="24"/>
        </w:rPr>
        <w:t xml:space="preserve">” </w:t>
      </w:r>
      <w:r w:rsidR="00CD24A2" w:rsidRPr="009D4E68">
        <w:rPr>
          <w:rFonts w:asciiTheme="minorHAnsi" w:hAnsiTheme="minorHAnsi"/>
          <w:color w:val="auto"/>
          <w:szCs w:val="24"/>
        </w:rPr>
        <w:t xml:space="preserve"> </w:t>
      </w:r>
      <w:r w:rsidR="00BB1192" w:rsidRPr="009D4E68">
        <w:rPr>
          <w:rFonts w:asciiTheme="minorHAnsi" w:hAnsiTheme="minorHAnsi"/>
          <w:color w:val="auto"/>
          <w:szCs w:val="24"/>
        </w:rPr>
        <w:t xml:space="preserve">The MEB physical additionally indicated </w:t>
      </w:r>
      <w:proofErr w:type="spellStart"/>
      <w:r w:rsidR="00BB1192" w:rsidRPr="009D4E68">
        <w:rPr>
          <w:rFonts w:asciiTheme="minorHAnsi" w:hAnsiTheme="minorHAnsi"/>
          <w:color w:val="auto"/>
          <w:szCs w:val="24"/>
        </w:rPr>
        <w:t>midshaft</w:t>
      </w:r>
      <w:proofErr w:type="spellEnd"/>
      <w:r w:rsidR="00BB1192" w:rsidRPr="009D4E68">
        <w:rPr>
          <w:rFonts w:asciiTheme="minorHAnsi" w:hAnsiTheme="minorHAnsi"/>
          <w:color w:val="auto"/>
          <w:szCs w:val="24"/>
        </w:rPr>
        <w:t xml:space="preserve"> tenderness to palpation and </w:t>
      </w:r>
      <w:r w:rsidR="00BA23EA" w:rsidRPr="009D4E68">
        <w:rPr>
          <w:rFonts w:asciiTheme="minorHAnsi" w:hAnsiTheme="minorHAnsi"/>
          <w:color w:val="auto"/>
          <w:szCs w:val="24"/>
        </w:rPr>
        <w:t>“medial distal tibia scar–well</w:t>
      </w:r>
      <w:r w:rsidR="00DE19A6">
        <w:rPr>
          <w:rFonts w:asciiTheme="minorHAnsi" w:hAnsiTheme="minorHAnsi"/>
          <w:color w:val="auto"/>
          <w:szCs w:val="24"/>
        </w:rPr>
        <w:t>-</w:t>
      </w:r>
      <w:r w:rsidR="00BA23EA" w:rsidRPr="009D4E68">
        <w:rPr>
          <w:rFonts w:asciiTheme="minorHAnsi" w:hAnsiTheme="minorHAnsi"/>
          <w:color w:val="auto"/>
          <w:szCs w:val="24"/>
        </w:rPr>
        <w:t>healed</w:t>
      </w:r>
      <w:r w:rsidR="00DE19A6">
        <w:rPr>
          <w:rFonts w:asciiTheme="minorHAnsi" w:hAnsiTheme="minorHAnsi"/>
          <w:color w:val="auto"/>
          <w:szCs w:val="24"/>
        </w:rPr>
        <w:t>,</w:t>
      </w:r>
      <w:r w:rsidR="00BC7DC1" w:rsidRPr="009D4E68">
        <w:rPr>
          <w:rFonts w:asciiTheme="minorHAnsi" w:hAnsiTheme="minorHAnsi"/>
          <w:color w:val="auto"/>
          <w:szCs w:val="24"/>
        </w:rPr>
        <w:t xml:space="preserve"> </w:t>
      </w:r>
      <w:r w:rsidR="00DE19A6">
        <w:rPr>
          <w:rFonts w:asciiTheme="minorHAnsi" w:hAnsiTheme="minorHAnsi"/>
          <w:color w:val="auto"/>
          <w:szCs w:val="24"/>
        </w:rPr>
        <w:t>e</w:t>
      </w:r>
      <w:r w:rsidR="00BC7DC1" w:rsidRPr="009D4E68">
        <w:rPr>
          <w:rFonts w:asciiTheme="minorHAnsi" w:hAnsiTheme="minorHAnsi"/>
          <w:color w:val="auto"/>
          <w:szCs w:val="24"/>
        </w:rPr>
        <w:t>xquisit</w:t>
      </w:r>
      <w:r w:rsidR="00DE19A6">
        <w:rPr>
          <w:rFonts w:asciiTheme="minorHAnsi" w:hAnsiTheme="minorHAnsi"/>
          <w:color w:val="auto"/>
          <w:szCs w:val="24"/>
        </w:rPr>
        <w:t>e</w:t>
      </w:r>
      <w:r w:rsidR="00BC7DC1" w:rsidRPr="009D4E68">
        <w:rPr>
          <w:rFonts w:asciiTheme="minorHAnsi" w:hAnsiTheme="minorHAnsi"/>
          <w:color w:val="auto"/>
          <w:szCs w:val="24"/>
        </w:rPr>
        <w:t xml:space="preserve">ly tender.”  </w:t>
      </w:r>
      <w:r w:rsidR="00BA23EA" w:rsidRPr="009D4E68">
        <w:rPr>
          <w:rFonts w:asciiTheme="minorHAnsi" w:hAnsiTheme="minorHAnsi"/>
          <w:color w:val="auto"/>
          <w:szCs w:val="24"/>
        </w:rPr>
        <w:t xml:space="preserve"> </w:t>
      </w:r>
    </w:p>
    <w:p w:rsidR="00BB1192" w:rsidRPr="009D4E68" w:rsidRDefault="00BB1192"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6C272A" w:rsidRPr="009D4E68" w:rsidRDefault="00CD24A2"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r w:rsidRPr="009D4E68">
        <w:rPr>
          <w:rFonts w:asciiTheme="minorHAnsi" w:hAnsiTheme="minorHAnsi"/>
          <w:color w:val="auto"/>
          <w:szCs w:val="24"/>
        </w:rPr>
        <w:t xml:space="preserve">At </w:t>
      </w:r>
      <w:r w:rsidR="00BD0E95" w:rsidRPr="009D4E68">
        <w:rPr>
          <w:rFonts w:asciiTheme="minorHAnsi" w:hAnsiTheme="minorHAnsi"/>
          <w:color w:val="auto"/>
          <w:szCs w:val="24"/>
        </w:rPr>
        <w:t>the VA</w:t>
      </w:r>
      <w:r w:rsidR="00091DBC" w:rsidRPr="009D4E68">
        <w:rPr>
          <w:rFonts w:asciiTheme="minorHAnsi" w:hAnsiTheme="minorHAnsi"/>
          <w:color w:val="auto"/>
          <w:szCs w:val="24"/>
        </w:rPr>
        <w:t xml:space="preserve"> Compensation and Pension (C&amp;P) exam (</w:t>
      </w:r>
      <w:r w:rsidR="00DE19A6">
        <w:rPr>
          <w:rFonts w:asciiTheme="minorHAnsi" w:hAnsiTheme="minorHAnsi"/>
          <w:color w:val="auto"/>
          <w:szCs w:val="24"/>
        </w:rPr>
        <w:t xml:space="preserve">4 October </w:t>
      </w:r>
      <w:r w:rsidR="00091DBC" w:rsidRPr="009D4E68">
        <w:rPr>
          <w:rFonts w:asciiTheme="minorHAnsi" w:hAnsiTheme="minorHAnsi"/>
          <w:color w:val="auto"/>
          <w:szCs w:val="24"/>
        </w:rPr>
        <w:t xml:space="preserve">2002) approximately </w:t>
      </w:r>
      <w:r w:rsidR="00582C4A" w:rsidRPr="009D4E68">
        <w:rPr>
          <w:rFonts w:asciiTheme="minorHAnsi" w:hAnsiTheme="minorHAnsi"/>
          <w:color w:val="auto"/>
          <w:szCs w:val="24"/>
        </w:rPr>
        <w:t xml:space="preserve">seven </w:t>
      </w:r>
      <w:r w:rsidR="00091DBC" w:rsidRPr="009D4E68">
        <w:rPr>
          <w:rFonts w:asciiTheme="minorHAnsi" w:hAnsiTheme="minorHAnsi"/>
          <w:color w:val="auto"/>
          <w:szCs w:val="24"/>
        </w:rPr>
        <w:t>months post</w:t>
      </w:r>
      <w:r w:rsidR="00DE19A6">
        <w:rPr>
          <w:rFonts w:asciiTheme="minorHAnsi" w:hAnsiTheme="minorHAnsi"/>
          <w:color w:val="auto"/>
          <w:szCs w:val="24"/>
        </w:rPr>
        <w:t>-</w:t>
      </w:r>
      <w:r w:rsidR="00091DBC" w:rsidRPr="009D4E68">
        <w:rPr>
          <w:rFonts w:asciiTheme="minorHAnsi" w:hAnsiTheme="minorHAnsi"/>
          <w:color w:val="auto"/>
          <w:szCs w:val="24"/>
        </w:rPr>
        <w:t>separation</w:t>
      </w:r>
      <w:r w:rsidRPr="009D4E68">
        <w:rPr>
          <w:rFonts w:asciiTheme="minorHAnsi" w:hAnsiTheme="minorHAnsi"/>
          <w:color w:val="auto"/>
          <w:szCs w:val="24"/>
        </w:rPr>
        <w:t xml:space="preserve">, the CI complained </w:t>
      </w:r>
      <w:r w:rsidR="00DE19A6">
        <w:rPr>
          <w:rFonts w:asciiTheme="minorHAnsi" w:hAnsiTheme="minorHAnsi"/>
          <w:color w:val="auto"/>
          <w:szCs w:val="24"/>
        </w:rPr>
        <w:t>of</w:t>
      </w:r>
      <w:r w:rsidRPr="009D4E68">
        <w:rPr>
          <w:rFonts w:asciiTheme="minorHAnsi" w:hAnsiTheme="minorHAnsi"/>
          <w:color w:val="auto"/>
          <w:szCs w:val="24"/>
        </w:rPr>
        <w:t xml:space="preserve"> left knee and ankle pain secondary to his fracture of the left tibia and fibula.  He also complained of daily pain, weakness</w:t>
      </w:r>
      <w:r w:rsidR="00DE19A6">
        <w:rPr>
          <w:rFonts w:asciiTheme="minorHAnsi" w:hAnsiTheme="minorHAnsi"/>
          <w:color w:val="auto"/>
          <w:szCs w:val="24"/>
        </w:rPr>
        <w:t xml:space="preserve">, </w:t>
      </w:r>
      <w:r w:rsidRPr="009D4E68">
        <w:rPr>
          <w:rFonts w:asciiTheme="minorHAnsi" w:hAnsiTheme="minorHAnsi"/>
          <w:color w:val="auto"/>
          <w:szCs w:val="24"/>
        </w:rPr>
        <w:t xml:space="preserve">stiffness, knee </w:t>
      </w:r>
      <w:r w:rsidR="00BD0E95" w:rsidRPr="009D4E68">
        <w:rPr>
          <w:rFonts w:asciiTheme="minorHAnsi" w:hAnsiTheme="minorHAnsi"/>
          <w:color w:val="auto"/>
          <w:szCs w:val="24"/>
        </w:rPr>
        <w:t>give</w:t>
      </w:r>
      <w:r w:rsidR="00DE19A6">
        <w:rPr>
          <w:rFonts w:asciiTheme="minorHAnsi" w:hAnsiTheme="minorHAnsi"/>
          <w:color w:val="auto"/>
          <w:szCs w:val="24"/>
        </w:rPr>
        <w:t>-</w:t>
      </w:r>
      <w:r w:rsidRPr="009D4E68">
        <w:rPr>
          <w:rFonts w:asciiTheme="minorHAnsi" w:hAnsiTheme="minorHAnsi"/>
          <w:color w:val="auto"/>
          <w:szCs w:val="24"/>
        </w:rPr>
        <w:t>away</w:t>
      </w:r>
      <w:r w:rsidR="00DE19A6">
        <w:rPr>
          <w:rFonts w:asciiTheme="minorHAnsi" w:hAnsiTheme="minorHAnsi"/>
          <w:color w:val="auto"/>
          <w:szCs w:val="24"/>
        </w:rPr>
        <w:t xml:space="preserve">, </w:t>
      </w:r>
      <w:r w:rsidRPr="009D4E68">
        <w:rPr>
          <w:rFonts w:asciiTheme="minorHAnsi" w:hAnsiTheme="minorHAnsi"/>
          <w:color w:val="auto"/>
          <w:szCs w:val="24"/>
        </w:rPr>
        <w:t>ankle rolling</w:t>
      </w:r>
      <w:r w:rsidR="00DE19A6">
        <w:rPr>
          <w:rFonts w:asciiTheme="minorHAnsi" w:hAnsiTheme="minorHAnsi"/>
          <w:color w:val="auto"/>
          <w:szCs w:val="24"/>
        </w:rPr>
        <w:t>, and</w:t>
      </w:r>
      <w:r w:rsidR="00102608" w:rsidRPr="009D4E68">
        <w:rPr>
          <w:rFonts w:asciiTheme="minorHAnsi" w:hAnsiTheme="minorHAnsi"/>
          <w:color w:val="auto"/>
          <w:szCs w:val="24"/>
        </w:rPr>
        <w:t xml:space="preserve"> </w:t>
      </w:r>
      <w:r w:rsidR="00DE19A6">
        <w:rPr>
          <w:rFonts w:asciiTheme="minorHAnsi" w:hAnsiTheme="minorHAnsi"/>
          <w:color w:val="auto"/>
          <w:szCs w:val="24"/>
        </w:rPr>
        <w:t xml:space="preserve">a </w:t>
      </w:r>
      <w:r w:rsidR="00102608" w:rsidRPr="009D4E68">
        <w:rPr>
          <w:rFonts w:asciiTheme="minorHAnsi" w:hAnsiTheme="minorHAnsi"/>
          <w:color w:val="auto"/>
          <w:szCs w:val="24"/>
        </w:rPr>
        <w:t>very painful left lower leg.</w:t>
      </w:r>
      <w:r w:rsidRPr="009D4E68">
        <w:rPr>
          <w:rFonts w:asciiTheme="minorHAnsi" w:hAnsiTheme="minorHAnsi"/>
          <w:color w:val="auto"/>
          <w:szCs w:val="24"/>
        </w:rPr>
        <w:t xml:space="preserve"> </w:t>
      </w:r>
      <w:r w:rsidR="00DE19A6">
        <w:rPr>
          <w:rFonts w:asciiTheme="minorHAnsi" w:hAnsiTheme="minorHAnsi"/>
          <w:color w:val="auto"/>
          <w:szCs w:val="24"/>
        </w:rPr>
        <w:t xml:space="preserve"> </w:t>
      </w:r>
      <w:r w:rsidRPr="009D4E68">
        <w:rPr>
          <w:rFonts w:asciiTheme="minorHAnsi" w:hAnsiTheme="minorHAnsi"/>
          <w:color w:val="auto"/>
          <w:szCs w:val="24"/>
        </w:rPr>
        <w:t>He further stated that</w:t>
      </w:r>
      <w:r w:rsidR="00BD0E95" w:rsidRPr="009D4E68">
        <w:rPr>
          <w:rFonts w:asciiTheme="minorHAnsi" w:hAnsiTheme="minorHAnsi"/>
          <w:color w:val="auto"/>
          <w:szCs w:val="24"/>
        </w:rPr>
        <w:t xml:space="preserve"> </w:t>
      </w:r>
      <w:r w:rsidRPr="009D4E68">
        <w:rPr>
          <w:rFonts w:asciiTheme="minorHAnsi" w:hAnsiTheme="minorHAnsi"/>
          <w:color w:val="auto"/>
          <w:szCs w:val="24"/>
        </w:rPr>
        <w:t xml:space="preserve">he could not </w:t>
      </w:r>
      <w:r w:rsidR="00BD0E95" w:rsidRPr="009D4E68">
        <w:rPr>
          <w:rFonts w:asciiTheme="minorHAnsi" w:hAnsiTheme="minorHAnsi"/>
          <w:color w:val="auto"/>
          <w:szCs w:val="24"/>
        </w:rPr>
        <w:t>find</w:t>
      </w:r>
      <w:r w:rsidRPr="009D4E68">
        <w:rPr>
          <w:rFonts w:asciiTheme="minorHAnsi" w:hAnsiTheme="minorHAnsi"/>
          <w:color w:val="auto"/>
          <w:szCs w:val="24"/>
        </w:rPr>
        <w:t xml:space="preserve"> work because he </w:t>
      </w:r>
      <w:r w:rsidR="00BD0E95" w:rsidRPr="009D4E68">
        <w:rPr>
          <w:rFonts w:asciiTheme="minorHAnsi" w:hAnsiTheme="minorHAnsi"/>
          <w:color w:val="auto"/>
          <w:szCs w:val="24"/>
        </w:rPr>
        <w:t xml:space="preserve">couldn’t stand on his leg for </w:t>
      </w:r>
      <w:r w:rsidR="00DE19A6">
        <w:rPr>
          <w:rFonts w:asciiTheme="minorHAnsi" w:hAnsiTheme="minorHAnsi"/>
          <w:color w:val="auto"/>
          <w:szCs w:val="24"/>
        </w:rPr>
        <w:t>more than</w:t>
      </w:r>
      <w:r w:rsidR="00BD0E95" w:rsidRPr="009D4E68">
        <w:rPr>
          <w:rFonts w:asciiTheme="minorHAnsi" w:hAnsiTheme="minorHAnsi"/>
          <w:color w:val="auto"/>
          <w:szCs w:val="24"/>
        </w:rPr>
        <w:t xml:space="preserve"> five minutes.  The examiner note</w:t>
      </w:r>
      <w:r w:rsidR="0018037F" w:rsidRPr="009D4E68">
        <w:rPr>
          <w:rFonts w:asciiTheme="minorHAnsi" w:hAnsiTheme="minorHAnsi"/>
          <w:color w:val="auto"/>
          <w:szCs w:val="24"/>
        </w:rPr>
        <w:t>d</w:t>
      </w:r>
      <w:r w:rsidR="00BD0E95" w:rsidRPr="009D4E68">
        <w:rPr>
          <w:rFonts w:asciiTheme="minorHAnsi" w:hAnsiTheme="minorHAnsi"/>
          <w:color w:val="auto"/>
          <w:szCs w:val="24"/>
        </w:rPr>
        <w:t xml:space="preserve"> that </w:t>
      </w:r>
      <w:r w:rsidR="0018037F" w:rsidRPr="009D4E68">
        <w:rPr>
          <w:rFonts w:asciiTheme="minorHAnsi" w:hAnsiTheme="minorHAnsi"/>
          <w:color w:val="auto"/>
          <w:szCs w:val="24"/>
        </w:rPr>
        <w:t>the CI walked with a slightly antalgic gait</w:t>
      </w:r>
      <w:r w:rsidR="00DE19A6">
        <w:rPr>
          <w:rFonts w:asciiTheme="minorHAnsi" w:hAnsiTheme="minorHAnsi"/>
          <w:color w:val="auto"/>
          <w:szCs w:val="24"/>
        </w:rPr>
        <w:t>,</w:t>
      </w:r>
      <w:r w:rsidR="0018037F" w:rsidRPr="009D4E68">
        <w:rPr>
          <w:rFonts w:asciiTheme="minorHAnsi" w:hAnsiTheme="minorHAnsi"/>
          <w:color w:val="auto"/>
          <w:szCs w:val="24"/>
        </w:rPr>
        <w:t xml:space="preserve"> without </w:t>
      </w:r>
      <w:r w:rsidR="00BD0E95" w:rsidRPr="009D4E68">
        <w:rPr>
          <w:rFonts w:asciiTheme="minorHAnsi" w:hAnsiTheme="minorHAnsi"/>
          <w:color w:val="auto"/>
          <w:szCs w:val="24"/>
        </w:rPr>
        <w:t xml:space="preserve">use </w:t>
      </w:r>
      <w:r w:rsidR="0018037F" w:rsidRPr="009D4E68">
        <w:rPr>
          <w:rFonts w:asciiTheme="minorHAnsi" w:hAnsiTheme="minorHAnsi"/>
          <w:color w:val="auto"/>
          <w:szCs w:val="24"/>
        </w:rPr>
        <w:t xml:space="preserve">of </w:t>
      </w:r>
      <w:r w:rsidR="00BD0E95" w:rsidRPr="009D4E68">
        <w:rPr>
          <w:rFonts w:asciiTheme="minorHAnsi" w:hAnsiTheme="minorHAnsi"/>
          <w:color w:val="auto"/>
          <w:szCs w:val="24"/>
        </w:rPr>
        <w:t xml:space="preserve">crutches, braces, canes </w:t>
      </w:r>
      <w:r w:rsidR="00320D9B" w:rsidRPr="009D4E68">
        <w:rPr>
          <w:rFonts w:asciiTheme="minorHAnsi" w:hAnsiTheme="minorHAnsi"/>
          <w:color w:val="auto"/>
          <w:szCs w:val="24"/>
        </w:rPr>
        <w:t xml:space="preserve">or special shoes.  On physical exam, it was documented that the CI </w:t>
      </w:r>
      <w:r w:rsidR="00DE19A6">
        <w:rPr>
          <w:rFonts w:asciiTheme="minorHAnsi" w:hAnsiTheme="minorHAnsi"/>
          <w:color w:val="auto"/>
          <w:szCs w:val="24"/>
        </w:rPr>
        <w:t xml:space="preserve">could not </w:t>
      </w:r>
      <w:r w:rsidR="00320D9B" w:rsidRPr="009D4E68">
        <w:rPr>
          <w:rFonts w:asciiTheme="minorHAnsi" w:hAnsiTheme="minorHAnsi"/>
          <w:color w:val="auto"/>
          <w:szCs w:val="24"/>
        </w:rPr>
        <w:t xml:space="preserve">completely extend the left knee </w:t>
      </w:r>
      <w:r w:rsidR="0018037F" w:rsidRPr="009D4E68">
        <w:rPr>
          <w:rFonts w:asciiTheme="minorHAnsi" w:hAnsiTheme="minorHAnsi"/>
          <w:color w:val="auto"/>
          <w:szCs w:val="24"/>
        </w:rPr>
        <w:t>and</w:t>
      </w:r>
      <w:r w:rsidR="00320D9B" w:rsidRPr="009D4E68">
        <w:rPr>
          <w:rFonts w:asciiTheme="minorHAnsi" w:hAnsiTheme="minorHAnsi"/>
          <w:color w:val="auto"/>
          <w:szCs w:val="24"/>
        </w:rPr>
        <w:t xml:space="preserve"> was able to flex it 3-120 degrees.</w:t>
      </w:r>
      <w:r w:rsidR="00102608" w:rsidRPr="009D4E68">
        <w:rPr>
          <w:rFonts w:asciiTheme="minorHAnsi" w:hAnsiTheme="minorHAnsi"/>
          <w:color w:val="auto"/>
          <w:szCs w:val="24"/>
        </w:rPr>
        <w:t xml:space="preserve">  </w:t>
      </w:r>
      <w:r w:rsidR="0018037F" w:rsidRPr="009D4E68">
        <w:rPr>
          <w:rFonts w:asciiTheme="minorHAnsi" w:hAnsiTheme="minorHAnsi"/>
          <w:color w:val="auto"/>
          <w:szCs w:val="24"/>
        </w:rPr>
        <w:t xml:space="preserve">On repetition ROM decreased to 5⁰-110⁰ and there was moderate fatigue and weakness.  </w:t>
      </w:r>
      <w:r w:rsidR="00102608" w:rsidRPr="009D4E68">
        <w:rPr>
          <w:rFonts w:asciiTheme="minorHAnsi" w:hAnsiTheme="minorHAnsi"/>
          <w:color w:val="auto"/>
          <w:szCs w:val="24"/>
        </w:rPr>
        <w:t xml:space="preserve">The examiner also documented that </w:t>
      </w:r>
      <w:r w:rsidR="0018037F" w:rsidRPr="009D4E68">
        <w:rPr>
          <w:rFonts w:asciiTheme="minorHAnsi" w:hAnsiTheme="minorHAnsi"/>
          <w:color w:val="auto"/>
          <w:szCs w:val="24"/>
        </w:rPr>
        <w:t>“</w:t>
      </w:r>
      <w:r w:rsidR="00102608" w:rsidRPr="009D4E68">
        <w:rPr>
          <w:rFonts w:asciiTheme="minorHAnsi" w:hAnsiTheme="minorHAnsi"/>
          <w:color w:val="auto"/>
          <w:szCs w:val="24"/>
        </w:rPr>
        <w:t xml:space="preserve">the </w:t>
      </w:r>
      <w:r w:rsidR="0018037F" w:rsidRPr="009D4E68">
        <w:rPr>
          <w:rFonts w:asciiTheme="minorHAnsi" w:hAnsiTheme="minorHAnsi"/>
          <w:color w:val="auto"/>
          <w:szCs w:val="24"/>
        </w:rPr>
        <w:t>left leg is bowed.”</w:t>
      </w:r>
    </w:p>
    <w:p w:rsidR="006C272A" w:rsidRPr="009D4E68" w:rsidRDefault="006C272A"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632F6D" w:rsidRPr="009D4E68" w:rsidRDefault="00BC7DC1" w:rsidP="003C7EC5">
      <w:pPr>
        <w:tabs>
          <w:tab w:val="left" w:pos="720"/>
          <w:tab w:val="left" w:pos="1080"/>
          <w:tab w:val="left" w:pos="1340"/>
          <w:tab w:val="left" w:pos="1620"/>
          <w:tab w:val="right" w:leader="dot" w:pos="9180"/>
        </w:tabs>
        <w:spacing w:line="240" w:lineRule="exact"/>
        <w:jc w:val="both"/>
        <w:rPr>
          <w:rFonts w:ascii="Janson Text" w:hAnsi="Janson Text"/>
          <w:color w:val="auto"/>
          <w:szCs w:val="24"/>
        </w:rPr>
      </w:pPr>
      <w:r w:rsidRPr="009D4E68">
        <w:rPr>
          <w:rFonts w:asciiTheme="minorHAnsi" w:hAnsiTheme="minorHAnsi"/>
          <w:color w:val="auto"/>
          <w:szCs w:val="24"/>
        </w:rPr>
        <w:t>Both exams were equal timeframes from separation</w:t>
      </w:r>
      <w:r w:rsidR="004B797D">
        <w:rPr>
          <w:rFonts w:asciiTheme="minorHAnsi" w:hAnsiTheme="minorHAnsi"/>
          <w:color w:val="auto"/>
          <w:szCs w:val="24"/>
        </w:rPr>
        <w:t>; however</w:t>
      </w:r>
      <w:proofErr w:type="gramStart"/>
      <w:r w:rsidR="004B797D">
        <w:rPr>
          <w:rFonts w:asciiTheme="minorHAnsi" w:hAnsiTheme="minorHAnsi"/>
          <w:color w:val="auto"/>
          <w:szCs w:val="24"/>
        </w:rPr>
        <w:t>,,</w:t>
      </w:r>
      <w:proofErr w:type="gramEnd"/>
      <w:r w:rsidR="004B797D">
        <w:rPr>
          <w:rFonts w:asciiTheme="minorHAnsi" w:hAnsiTheme="minorHAnsi"/>
          <w:color w:val="auto"/>
          <w:szCs w:val="24"/>
        </w:rPr>
        <w:t xml:space="preserve"> </w:t>
      </w:r>
      <w:r w:rsidRPr="009D4E68">
        <w:rPr>
          <w:rFonts w:asciiTheme="minorHAnsi" w:hAnsiTheme="minorHAnsi"/>
          <w:color w:val="auto"/>
          <w:szCs w:val="24"/>
        </w:rPr>
        <w:t>the VA exam was more extensive and detailed.  The ankle</w:t>
      </w:r>
      <w:r w:rsidR="00DE19A6">
        <w:rPr>
          <w:rFonts w:asciiTheme="minorHAnsi" w:hAnsiTheme="minorHAnsi"/>
          <w:color w:val="auto"/>
          <w:szCs w:val="24"/>
        </w:rPr>
        <w:t>-</w:t>
      </w:r>
      <w:r w:rsidRPr="009D4E68">
        <w:rPr>
          <w:rFonts w:asciiTheme="minorHAnsi" w:hAnsiTheme="minorHAnsi"/>
          <w:color w:val="auto"/>
          <w:szCs w:val="24"/>
        </w:rPr>
        <w:t>decreased ROM and especially the bowing of the left leg noted</w:t>
      </w:r>
      <w:r w:rsidR="003C7EC5">
        <w:rPr>
          <w:rFonts w:asciiTheme="minorHAnsi" w:hAnsiTheme="minorHAnsi"/>
          <w:color w:val="auto"/>
          <w:szCs w:val="24"/>
        </w:rPr>
        <w:t xml:space="preserve"> during</w:t>
      </w:r>
      <w:r w:rsidRPr="009D4E68">
        <w:rPr>
          <w:rFonts w:asciiTheme="minorHAnsi" w:hAnsiTheme="minorHAnsi"/>
          <w:color w:val="auto"/>
          <w:szCs w:val="24"/>
        </w:rPr>
        <w:t xml:space="preserve"> the VA exam w</w:t>
      </w:r>
      <w:r w:rsidR="00632F6D" w:rsidRPr="009D4E68">
        <w:rPr>
          <w:rFonts w:asciiTheme="minorHAnsi" w:hAnsiTheme="minorHAnsi"/>
          <w:color w:val="auto"/>
          <w:szCs w:val="24"/>
        </w:rPr>
        <w:t>ere</w:t>
      </w:r>
      <w:r w:rsidRPr="009D4E68">
        <w:rPr>
          <w:rFonts w:asciiTheme="minorHAnsi" w:hAnsiTheme="minorHAnsi"/>
          <w:color w:val="auto"/>
          <w:szCs w:val="24"/>
        </w:rPr>
        <w:t xml:space="preserve"> considered non-acute changes that </w:t>
      </w:r>
      <w:r w:rsidR="00632F6D" w:rsidRPr="009D4E68">
        <w:rPr>
          <w:rFonts w:asciiTheme="minorHAnsi" w:hAnsiTheme="minorHAnsi"/>
          <w:color w:val="auto"/>
          <w:szCs w:val="24"/>
        </w:rPr>
        <w:t>were</w:t>
      </w:r>
      <w:r w:rsidRPr="009D4E68">
        <w:rPr>
          <w:rFonts w:asciiTheme="minorHAnsi" w:hAnsiTheme="minorHAnsi"/>
          <w:color w:val="auto"/>
          <w:szCs w:val="24"/>
        </w:rPr>
        <w:t xml:space="preserve"> </w:t>
      </w:r>
      <w:r w:rsidR="00632F6D" w:rsidRPr="009D4E68">
        <w:rPr>
          <w:rFonts w:asciiTheme="minorHAnsi" w:hAnsiTheme="minorHAnsi"/>
          <w:color w:val="auto"/>
          <w:szCs w:val="24"/>
        </w:rPr>
        <w:t>unlikely to have developed solely post-</w:t>
      </w:r>
      <w:r w:rsidRPr="009D4E68">
        <w:rPr>
          <w:rFonts w:asciiTheme="minorHAnsi" w:hAnsiTheme="minorHAnsi"/>
          <w:color w:val="auto"/>
          <w:szCs w:val="24"/>
        </w:rPr>
        <w:t xml:space="preserve">separation.  </w:t>
      </w:r>
      <w:r w:rsidR="00102608" w:rsidRPr="009D4E68">
        <w:rPr>
          <w:rFonts w:asciiTheme="minorHAnsi" w:hAnsiTheme="minorHAnsi"/>
          <w:color w:val="auto"/>
          <w:szCs w:val="24"/>
        </w:rPr>
        <w:t xml:space="preserve">The VA coding and rating </w:t>
      </w:r>
      <w:r w:rsidR="003C7EC5">
        <w:rPr>
          <w:rFonts w:asciiTheme="minorHAnsi" w:hAnsiTheme="minorHAnsi"/>
          <w:color w:val="auto"/>
          <w:szCs w:val="24"/>
        </w:rPr>
        <w:t xml:space="preserve">of </w:t>
      </w:r>
      <w:r w:rsidR="00C56BA0" w:rsidRPr="009D4E68">
        <w:rPr>
          <w:rFonts w:asciiTheme="minorHAnsi" w:hAnsiTheme="minorHAnsi"/>
          <w:color w:val="auto"/>
          <w:szCs w:val="24"/>
        </w:rPr>
        <w:t xml:space="preserve">5275 </w:t>
      </w:r>
      <w:r w:rsidR="002D4669" w:rsidRPr="009D4E68">
        <w:rPr>
          <w:rFonts w:asciiTheme="minorHAnsi" w:hAnsiTheme="minorHAnsi"/>
          <w:color w:val="auto"/>
          <w:szCs w:val="24"/>
        </w:rPr>
        <w:t>(</w:t>
      </w:r>
      <w:r w:rsidR="00DE19A6">
        <w:rPr>
          <w:rFonts w:asciiTheme="minorHAnsi" w:hAnsiTheme="minorHAnsi"/>
          <w:color w:val="auto"/>
          <w:szCs w:val="24"/>
        </w:rPr>
        <w:t>b</w:t>
      </w:r>
      <w:r w:rsidR="002D4669" w:rsidRPr="009D4E68">
        <w:rPr>
          <w:rFonts w:asciiTheme="minorHAnsi" w:hAnsiTheme="minorHAnsi"/>
          <w:color w:val="auto"/>
          <w:szCs w:val="24"/>
        </w:rPr>
        <w:t>ones, of the lower extremity, shortening of) analogously</w:t>
      </w:r>
      <w:r w:rsidR="00C56BA0" w:rsidRPr="009D4E68">
        <w:rPr>
          <w:rFonts w:asciiTheme="minorHAnsi" w:hAnsiTheme="minorHAnsi"/>
          <w:color w:val="auto"/>
          <w:szCs w:val="24"/>
        </w:rPr>
        <w:t xml:space="preserve"> related to 5262</w:t>
      </w:r>
      <w:r w:rsidR="002D4669" w:rsidRPr="009D4E68">
        <w:rPr>
          <w:rFonts w:asciiTheme="minorHAnsi" w:hAnsiTheme="minorHAnsi"/>
          <w:color w:val="auto"/>
          <w:szCs w:val="24"/>
        </w:rPr>
        <w:t xml:space="preserve"> (</w:t>
      </w:r>
      <w:r w:rsidR="00DE19A6">
        <w:rPr>
          <w:rFonts w:asciiTheme="minorHAnsi" w:hAnsiTheme="minorHAnsi"/>
          <w:color w:val="auto"/>
          <w:szCs w:val="24"/>
        </w:rPr>
        <w:t>t</w:t>
      </w:r>
      <w:r w:rsidR="002D4669" w:rsidRPr="009D4E68">
        <w:rPr>
          <w:rFonts w:asciiTheme="minorHAnsi" w:hAnsiTheme="minorHAnsi"/>
          <w:color w:val="auto"/>
          <w:szCs w:val="24"/>
        </w:rPr>
        <w:t>ibia and fibula, impairment of)</w:t>
      </w:r>
      <w:r w:rsidR="003C7EC5">
        <w:rPr>
          <w:rFonts w:asciiTheme="minorHAnsi" w:hAnsiTheme="minorHAnsi"/>
          <w:color w:val="auto"/>
          <w:szCs w:val="24"/>
        </w:rPr>
        <w:t xml:space="preserve"> as</w:t>
      </w:r>
      <w:r w:rsidR="00582C4A" w:rsidRPr="009D4E68">
        <w:rPr>
          <w:rFonts w:asciiTheme="minorHAnsi" w:hAnsiTheme="minorHAnsi"/>
          <w:color w:val="auto"/>
          <w:szCs w:val="24"/>
        </w:rPr>
        <w:t xml:space="preserve"> </w:t>
      </w:r>
      <w:r w:rsidR="00DE19A6">
        <w:rPr>
          <w:rFonts w:asciiTheme="minorHAnsi" w:hAnsiTheme="minorHAnsi"/>
          <w:color w:val="auto"/>
          <w:szCs w:val="24"/>
        </w:rPr>
        <w:t>m</w:t>
      </w:r>
      <w:r w:rsidR="00582C4A" w:rsidRPr="009D4E68">
        <w:rPr>
          <w:rFonts w:asciiTheme="minorHAnsi" w:hAnsiTheme="minorHAnsi"/>
          <w:color w:val="auto"/>
          <w:szCs w:val="24"/>
        </w:rPr>
        <w:t xml:space="preserve">oderate </w:t>
      </w:r>
      <w:r w:rsidR="00AC4C8C" w:rsidRPr="009D4E68">
        <w:rPr>
          <w:rFonts w:asciiTheme="minorHAnsi" w:hAnsiTheme="minorHAnsi"/>
          <w:color w:val="auto"/>
          <w:szCs w:val="24"/>
        </w:rPr>
        <w:t>2</w:t>
      </w:r>
      <w:r w:rsidR="00582C4A" w:rsidRPr="009D4E68">
        <w:rPr>
          <w:rFonts w:asciiTheme="minorHAnsi" w:hAnsiTheme="minorHAnsi"/>
          <w:color w:val="auto"/>
          <w:szCs w:val="24"/>
        </w:rPr>
        <w:t xml:space="preserve">0% </w:t>
      </w:r>
      <w:r w:rsidR="0018037F" w:rsidRPr="009D4E68">
        <w:rPr>
          <w:rFonts w:asciiTheme="minorHAnsi" w:hAnsiTheme="minorHAnsi"/>
          <w:color w:val="auto"/>
          <w:szCs w:val="24"/>
        </w:rPr>
        <w:t>with additional separate knee and ankle coding</w:t>
      </w:r>
      <w:r w:rsidR="003C7EC5">
        <w:rPr>
          <w:rFonts w:asciiTheme="minorHAnsi" w:hAnsiTheme="minorHAnsi"/>
          <w:color w:val="auto"/>
          <w:szCs w:val="24"/>
        </w:rPr>
        <w:t>,</w:t>
      </w:r>
      <w:r w:rsidR="0018037F" w:rsidRPr="009D4E68">
        <w:rPr>
          <w:rFonts w:asciiTheme="minorHAnsi" w:hAnsiTheme="minorHAnsi"/>
          <w:color w:val="auto"/>
          <w:szCs w:val="24"/>
        </w:rPr>
        <w:t xml:space="preserve"> </w:t>
      </w:r>
      <w:r w:rsidR="00582C4A" w:rsidRPr="009D4E68">
        <w:rPr>
          <w:rFonts w:asciiTheme="minorHAnsi" w:hAnsiTheme="minorHAnsi"/>
          <w:color w:val="auto"/>
          <w:szCs w:val="24"/>
        </w:rPr>
        <w:t xml:space="preserve">differed </w:t>
      </w:r>
      <w:r w:rsidR="0018037F" w:rsidRPr="009D4E68">
        <w:rPr>
          <w:rFonts w:asciiTheme="minorHAnsi" w:hAnsiTheme="minorHAnsi"/>
          <w:color w:val="auto"/>
          <w:szCs w:val="24"/>
        </w:rPr>
        <w:t xml:space="preserve">substantially </w:t>
      </w:r>
      <w:r w:rsidR="00582C4A" w:rsidRPr="009D4E68">
        <w:rPr>
          <w:rFonts w:asciiTheme="minorHAnsi" w:hAnsiTheme="minorHAnsi"/>
          <w:color w:val="auto"/>
          <w:szCs w:val="24"/>
        </w:rPr>
        <w:t xml:space="preserve">from the PEB </w:t>
      </w:r>
      <w:r w:rsidR="0018037F" w:rsidRPr="009D4E68">
        <w:rPr>
          <w:rFonts w:asciiTheme="minorHAnsi" w:hAnsiTheme="minorHAnsi"/>
          <w:color w:val="auto"/>
          <w:szCs w:val="24"/>
        </w:rPr>
        <w:t>coding of</w:t>
      </w:r>
      <w:r w:rsidR="00582C4A" w:rsidRPr="009D4E68">
        <w:rPr>
          <w:rFonts w:asciiTheme="minorHAnsi" w:hAnsiTheme="minorHAnsi"/>
          <w:color w:val="auto"/>
          <w:szCs w:val="24"/>
        </w:rPr>
        <w:t xml:space="preserve"> 5003</w:t>
      </w:r>
      <w:r w:rsidR="00582C4A" w:rsidRPr="009D4E68">
        <w:rPr>
          <w:rFonts w:asciiTheme="minorHAnsi" w:hAnsiTheme="minorHAnsi"/>
          <w:b/>
          <w:color w:val="auto"/>
          <w:szCs w:val="24"/>
        </w:rPr>
        <w:t xml:space="preserve"> </w:t>
      </w:r>
      <w:r w:rsidR="00DE19A6">
        <w:rPr>
          <w:rFonts w:asciiTheme="minorHAnsi" w:hAnsiTheme="minorHAnsi"/>
          <w:b/>
          <w:color w:val="auto"/>
          <w:szCs w:val="24"/>
        </w:rPr>
        <w:t>a</w:t>
      </w:r>
      <w:r w:rsidR="00582C4A" w:rsidRPr="009D4E68">
        <w:rPr>
          <w:rFonts w:asciiTheme="minorHAnsi" w:hAnsiTheme="minorHAnsi"/>
          <w:color w:val="auto"/>
          <w:szCs w:val="24"/>
        </w:rPr>
        <w:t>rthritis, degenerative (hypertrophic or osteoarthritis)</w:t>
      </w:r>
      <w:r w:rsidR="003C7EC5">
        <w:rPr>
          <w:rFonts w:asciiTheme="minorHAnsi" w:hAnsiTheme="minorHAnsi"/>
          <w:color w:val="auto"/>
          <w:szCs w:val="24"/>
        </w:rPr>
        <w:t xml:space="preserve"> rated as</w:t>
      </w:r>
      <w:r w:rsidR="00582C4A" w:rsidRPr="009D4E68">
        <w:rPr>
          <w:rFonts w:asciiTheme="minorHAnsi" w:hAnsiTheme="minorHAnsi"/>
          <w:color w:val="auto"/>
          <w:szCs w:val="24"/>
        </w:rPr>
        <w:t xml:space="preserve"> mild </w:t>
      </w:r>
      <w:r w:rsidR="0018037F" w:rsidRPr="009D4E68">
        <w:rPr>
          <w:rFonts w:asciiTheme="minorHAnsi" w:hAnsiTheme="minorHAnsi"/>
          <w:color w:val="auto"/>
          <w:szCs w:val="24"/>
        </w:rPr>
        <w:t xml:space="preserve">at </w:t>
      </w:r>
      <w:r w:rsidR="00582C4A" w:rsidRPr="009D4E68">
        <w:rPr>
          <w:rFonts w:asciiTheme="minorHAnsi" w:hAnsiTheme="minorHAnsi"/>
          <w:color w:val="auto"/>
          <w:szCs w:val="24"/>
        </w:rPr>
        <w:t xml:space="preserve">10%.  </w:t>
      </w:r>
      <w:r w:rsidR="0018037F" w:rsidRPr="009D4E68">
        <w:rPr>
          <w:rFonts w:asciiTheme="minorHAnsi" w:hAnsiTheme="minorHAnsi"/>
          <w:color w:val="auto"/>
          <w:szCs w:val="24"/>
        </w:rPr>
        <w:t xml:space="preserve">The CI’s impairments were not primarily restricted to the knee, but better aligned with </w:t>
      </w:r>
      <w:r w:rsidR="00BA23EA" w:rsidRPr="009D4E68">
        <w:rPr>
          <w:rFonts w:asciiTheme="minorHAnsi" w:hAnsiTheme="minorHAnsi"/>
          <w:color w:val="auto"/>
          <w:szCs w:val="24"/>
        </w:rPr>
        <w:t>the CI’s initial injury and surgery of the lower leg (tibia and fibula) with impairment of t</w:t>
      </w:r>
      <w:r w:rsidR="0018037F" w:rsidRPr="009D4E68">
        <w:rPr>
          <w:rFonts w:asciiTheme="minorHAnsi" w:hAnsiTheme="minorHAnsi"/>
          <w:color w:val="auto"/>
          <w:szCs w:val="24"/>
        </w:rPr>
        <w:t>ibia and fibula</w:t>
      </w:r>
      <w:r w:rsidR="00BA23EA" w:rsidRPr="009D4E68">
        <w:rPr>
          <w:rFonts w:asciiTheme="minorHAnsi" w:hAnsiTheme="minorHAnsi"/>
          <w:color w:val="auto"/>
          <w:szCs w:val="24"/>
        </w:rPr>
        <w:t xml:space="preserve"> with knee or ankle disability (5262).  The disability levels of “</w:t>
      </w:r>
      <w:r w:rsidR="00DE19A6">
        <w:rPr>
          <w:rFonts w:asciiTheme="minorHAnsi" w:hAnsiTheme="minorHAnsi"/>
          <w:color w:val="auto"/>
          <w:szCs w:val="24"/>
        </w:rPr>
        <w:t>w</w:t>
      </w:r>
      <w:r w:rsidR="00BA23EA" w:rsidRPr="009D4E68">
        <w:rPr>
          <w:rFonts w:asciiTheme="minorHAnsi" w:hAnsiTheme="minorHAnsi"/>
          <w:color w:val="auto"/>
          <w:szCs w:val="24"/>
        </w:rPr>
        <w:t>ith marked knee or ankle disability" (30%) and "</w:t>
      </w:r>
      <w:r w:rsidR="003C7EC5">
        <w:rPr>
          <w:rFonts w:asciiTheme="minorHAnsi" w:hAnsiTheme="minorHAnsi"/>
          <w:color w:val="auto"/>
          <w:szCs w:val="24"/>
        </w:rPr>
        <w:t>w</w:t>
      </w:r>
      <w:r w:rsidR="00BA23EA" w:rsidRPr="009D4E68">
        <w:rPr>
          <w:rFonts w:asciiTheme="minorHAnsi" w:hAnsiTheme="minorHAnsi"/>
          <w:color w:val="auto"/>
          <w:szCs w:val="24"/>
        </w:rPr>
        <w:t>ith moderate knee or ankle disability (20%) were considered</w:t>
      </w:r>
      <w:r w:rsidR="003C7EC5">
        <w:rPr>
          <w:rFonts w:asciiTheme="minorHAnsi" w:hAnsiTheme="minorHAnsi"/>
          <w:color w:val="auto"/>
          <w:szCs w:val="24"/>
        </w:rPr>
        <w:t>, i.e., p</w:t>
      </w:r>
      <w:r w:rsidRPr="003C7EC5">
        <w:rPr>
          <w:rFonts w:asciiTheme="minorHAnsi" w:hAnsiTheme="minorHAnsi"/>
          <w:color w:val="auto"/>
          <w:szCs w:val="24"/>
        </w:rPr>
        <w:t>ain on prolonged standing/walking</w:t>
      </w:r>
      <w:r w:rsidR="00213208" w:rsidRPr="003C7EC5">
        <w:rPr>
          <w:rFonts w:asciiTheme="minorHAnsi" w:hAnsiTheme="minorHAnsi"/>
          <w:color w:val="auto"/>
          <w:szCs w:val="24"/>
        </w:rPr>
        <w:t>, running, jumping, climbing or carrying heavy objects greater than ten pounds</w:t>
      </w:r>
      <w:r w:rsidR="003C7EC5" w:rsidRPr="003C7EC5">
        <w:rPr>
          <w:rFonts w:asciiTheme="minorHAnsi" w:hAnsiTheme="minorHAnsi"/>
          <w:color w:val="auto"/>
          <w:szCs w:val="24"/>
        </w:rPr>
        <w:t>,</w:t>
      </w:r>
      <w:r w:rsidRPr="003C7EC5">
        <w:rPr>
          <w:rFonts w:asciiTheme="minorHAnsi" w:hAnsiTheme="minorHAnsi"/>
          <w:color w:val="auto"/>
          <w:szCs w:val="24"/>
        </w:rPr>
        <w:t xml:space="preserve"> </w:t>
      </w:r>
      <w:r w:rsidR="003C7EC5" w:rsidRPr="003C7EC5">
        <w:rPr>
          <w:rFonts w:asciiTheme="minorHAnsi" w:hAnsiTheme="minorHAnsi"/>
          <w:color w:val="auto"/>
          <w:szCs w:val="24"/>
        </w:rPr>
        <w:t xml:space="preserve">the </w:t>
      </w:r>
      <w:r w:rsidRPr="003C7EC5">
        <w:rPr>
          <w:rFonts w:asciiTheme="minorHAnsi" w:hAnsiTheme="minorHAnsi"/>
          <w:color w:val="auto"/>
          <w:szCs w:val="24"/>
        </w:rPr>
        <w:t xml:space="preserve">knee </w:t>
      </w:r>
      <w:r w:rsidR="003C7EC5" w:rsidRPr="003C7EC5">
        <w:rPr>
          <w:rFonts w:asciiTheme="minorHAnsi" w:hAnsiTheme="minorHAnsi"/>
          <w:color w:val="auto"/>
          <w:szCs w:val="24"/>
        </w:rPr>
        <w:t xml:space="preserve">and ankle </w:t>
      </w:r>
      <w:r w:rsidRPr="003C7EC5">
        <w:rPr>
          <w:rFonts w:asciiTheme="minorHAnsi" w:hAnsiTheme="minorHAnsi"/>
          <w:color w:val="auto"/>
          <w:szCs w:val="24"/>
        </w:rPr>
        <w:t>ROM</w:t>
      </w:r>
      <w:r w:rsidR="003C7EC5" w:rsidRPr="003C7EC5">
        <w:rPr>
          <w:rFonts w:asciiTheme="minorHAnsi" w:hAnsiTheme="minorHAnsi"/>
          <w:color w:val="auto"/>
          <w:szCs w:val="24"/>
        </w:rPr>
        <w:t>s,</w:t>
      </w:r>
      <w:r w:rsidRPr="003C7EC5">
        <w:rPr>
          <w:rFonts w:asciiTheme="minorHAnsi" w:hAnsiTheme="minorHAnsi"/>
          <w:color w:val="auto"/>
          <w:szCs w:val="24"/>
        </w:rPr>
        <w:t xml:space="preserve"> </w:t>
      </w:r>
      <w:r w:rsidR="003C7EC5">
        <w:rPr>
          <w:rFonts w:asciiTheme="minorHAnsi" w:hAnsiTheme="minorHAnsi"/>
          <w:color w:val="auto"/>
          <w:szCs w:val="24"/>
        </w:rPr>
        <w:t xml:space="preserve">the </w:t>
      </w:r>
      <w:r w:rsidRPr="003C7EC5">
        <w:rPr>
          <w:rFonts w:asciiTheme="minorHAnsi" w:hAnsiTheme="minorHAnsi"/>
          <w:color w:val="auto"/>
          <w:szCs w:val="24"/>
        </w:rPr>
        <w:t>exquisitely tender scar, not-unfitting neurologic (mil</w:t>
      </w:r>
      <w:r w:rsidR="00213208" w:rsidRPr="003C7EC5">
        <w:rPr>
          <w:rFonts w:asciiTheme="minorHAnsi" w:hAnsiTheme="minorHAnsi"/>
          <w:color w:val="auto"/>
          <w:szCs w:val="24"/>
        </w:rPr>
        <w:t>d</w:t>
      </w:r>
      <w:r w:rsidRPr="003C7EC5">
        <w:rPr>
          <w:rFonts w:asciiTheme="minorHAnsi" w:hAnsiTheme="minorHAnsi"/>
          <w:color w:val="auto"/>
          <w:szCs w:val="24"/>
        </w:rPr>
        <w:t xml:space="preserve"> hyperesthesia plantar/absent top of foot with VA paresthesias over lat</w:t>
      </w:r>
      <w:r w:rsidR="00213208" w:rsidRPr="003C7EC5">
        <w:rPr>
          <w:rFonts w:asciiTheme="minorHAnsi" w:hAnsiTheme="minorHAnsi"/>
          <w:color w:val="auto"/>
          <w:szCs w:val="24"/>
        </w:rPr>
        <w:t>eral</w:t>
      </w:r>
      <w:r w:rsidRPr="003C7EC5">
        <w:rPr>
          <w:rFonts w:asciiTheme="minorHAnsi" w:hAnsiTheme="minorHAnsi"/>
          <w:color w:val="auto"/>
          <w:szCs w:val="24"/>
        </w:rPr>
        <w:t xml:space="preserve"> L knee, lower leg and ankle)</w:t>
      </w:r>
      <w:r w:rsidR="00632F6D" w:rsidRPr="003C7EC5">
        <w:rPr>
          <w:rFonts w:asciiTheme="minorHAnsi" w:hAnsiTheme="minorHAnsi"/>
          <w:color w:val="auto"/>
          <w:szCs w:val="24"/>
        </w:rPr>
        <w:t xml:space="preserve">.  After due deliberation, considering all of the evidence and mindful of VASRD §4.3 (reasonable doubt), the Board recommends a separation rating of </w:t>
      </w:r>
      <w:r w:rsidR="00632F6D" w:rsidRPr="003C7EC5">
        <w:rPr>
          <w:rFonts w:asciiTheme="minorHAnsi" w:eastAsiaTheme="minorHAnsi" w:hAnsiTheme="minorHAnsi"/>
          <w:color w:val="auto"/>
          <w:szCs w:val="24"/>
        </w:rPr>
        <w:t>20</w:t>
      </w:r>
      <w:r w:rsidR="009D4E68" w:rsidRPr="003C7EC5">
        <w:rPr>
          <w:rFonts w:asciiTheme="minorHAnsi" w:eastAsiaTheme="minorHAnsi" w:hAnsiTheme="minorHAnsi"/>
          <w:color w:val="auto"/>
          <w:szCs w:val="24"/>
        </w:rPr>
        <w:t>% for</w:t>
      </w:r>
      <w:r w:rsidR="00632F6D" w:rsidRPr="003C7EC5">
        <w:rPr>
          <w:rFonts w:asciiTheme="minorHAnsi" w:hAnsiTheme="minorHAnsi"/>
          <w:color w:val="auto"/>
          <w:szCs w:val="24"/>
        </w:rPr>
        <w:t xml:space="preserve"> the </w:t>
      </w:r>
      <w:r w:rsidR="00632F6D" w:rsidRPr="003C7EC5">
        <w:rPr>
          <w:rFonts w:asciiTheme="minorHAnsi" w:eastAsiaTheme="minorHAnsi" w:hAnsiTheme="minorHAnsi"/>
          <w:color w:val="auto"/>
          <w:szCs w:val="24"/>
        </w:rPr>
        <w:t>left leg condition</w:t>
      </w:r>
      <w:r w:rsidR="00632F6D" w:rsidRPr="003C7EC5">
        <w:rPr>
          <w:rFonts w:asciiTheme="minorHAnsi" w:hAnsiTheme="minorHAnsi"/>
          <w:color w:val="auto"/>
          <w:szCs w:val="24"/>
        </w:rPr>
        <w:t>.</w:t>
      </w:r>
      <w:r w:rsidR="00632F6D" w:rsidRPr="009D4E68">
        <w:rPr>
          <w:rFonts w:asciiTheme="minorHAnsi" w:hAnsiTheme="minorHAnsi"/>
          <w:color w:val="auto"/>
          <w:szCs w:val="24"/>
        </w:rPr>
        <w:t xml:space="preserve">  </w:t>
      </w:r>
    </w:p>
    <w:p w:rsidR="005B5E79" w:rsidRPr="009D4E68" w:rsidRDefault="005B5E79"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u w:val="single"/>
        </w:rPr>
      </w:pPr>
    </w:p>
    <w:p w:rsidR="00632F6D" w:rsidRPr="009D4E68" w:rsidRDefault="00213208"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roofErr w:type="gramStart"/>
      <w:r w:rsidRPr="009D4E68">
        <w:rPr>
          <w:rFonts w:asciiTheme="minorHAnsi" w:hAnsiTheme="minorHAnsi"/>
          <w:color w:val="auto"/>
          <w:szCs w:val="24"/>
          <w:u w:val="single"/>
        </w:rPr>
        <w:t>Hypertension Condition</w:t>
      </w:r>
      <w:r w:rsidR="003C7EC5">
        <w:rPr>
          <w:rFonts w:asciiTheme="minorHAnsi" w:hAnsiTheme="minorHAnsi"/>
          <w:color w:val="auto"/>
          <w:szCs w:val="24"/>
          <w:u w:val="single"/>
        </w:rPr>
        <w:t>.</w:t>
      </w:r>
      <w:proofErr w:type="gramEnd"/>
      <w:r w:rsidRPr="009D4E68">
        <w:rPr>
          <w:rFonts w:asciiTheme="minorHAnsi" w:hAnsiTheme="minorHAnsi"/>
          <w:color w:val="auto"/>
          <w:szCs w:val="24"/>
        </w:rPr>
        <w:t xml:space="preserve">  The VA rated the </w:t>
      </w:r>
      <w:r w:rsidR="003C7EC5">
        <w:rPr>
          <w:rFonts w:asciiTheme="minorHAnsi" w:hAnsiTheme="minorHAnsi"/>
          <w:color w:val="auto"/>
          <w:szCs w:val="24"/>
        </w:rPr>
        <w:t>h</w:t>
      </w:r>
      <w:r w:rsidRPr="009D4E68">
        <w:rPr>
          <w:rFonts w:asciiTheme="minorHAnsi" w:hAnsiTheme="minorHAnsi"/>
          <w:color w:val="auto"/>
          <w:szCs w:val="24"/>
        </w:rPr>
        <w:t>ypertension cond</w:t>
      </w:r>
      <w:r w:rsidR="005B5E79" w:rsidRPr="009D4E68">
        <w:rPr>
          <w:rFonts w:asciiTheme="minorHAnsi" w:hAnsiTheme="minorHAnsi"/>
          <w:color w:val="auto"/>
          <w:szCs w:val="24"/>
        </w:rPr>
        <w:t>i</w:t>
      </w:r>
      <w:r w:rsidRPr="009D4E68">
        <w:rPr>
          <w:rFonts w:asciiTheme="minorHAnsi" w:hAnsiTheme="minorHAnsi"/>
          <w:color w:val="auto"/>
          <w:szCs w:val="24"/>
        </w:rPr>
        <w:t>tion as 10%.  The CI had minimally elevated blood pressure on th</w:t>
      </w:r>
      <w:r w:rsidR="005B5E79" w:rsidRPr="009D4E68">
        <w:rPr>
          <w:rFonts w:asciiTheme="minorHAnsi" w:hAnsiTheme="minorHAnsi"/>
          <w:color w:val="auto"/>
          <w:szCs w:val="24"/>
        </w:rPr>
        <w:t>e MEB history and physical exam. H</w:t>
      </w:r>
      <w:r w:rsidRPr="009D4E68">
        <w:rPr>
          <w:rFonts w:asciiTheme="minorHAnsi" w:hAnsiTheme="minorHAnsi"/>
          <w:color w:val="auto"/>
          <w:szCs w:val="24"/>
        </w:rPr>
        <w:t>owever</w:t>
      </w:r>
      <w:r w:rsidR="003C7EC5">
        <w:rPr>
          <w:rFonts w:asciiTheme="minorHAnsi" w:hAnsiTheme="minorHAnsi"/>
          <w:color w:val="auto"/>
          <w:szCs w:val="24"/>
        </w:rPr>
        <w:t>,</w:t>
      </w:r>
      <w:r w:rsidRPr="009D4E68">
        <w:rPr>
          <w:rFonts w:asciiTheme="minorHAnsi" w:hAnsiTheme="minorHAnsi"/>
          <w:color w:val="auto"/>
          <w:szCs w:val="24"/>
        </w:rPr>
        <w:t xml:space="preserve"> this condition </w:t>
      </w:r>
      <w:r w:rsidR="005B5E79" w:rsidRPr="009D4E68">
        <w:rPr>
          <w:rFonts w:asciiTheme="minorHAnsi" w:hAnsiTheme="minorHAnsi"/>
          <w:color w:val="auto"/>
          <w:szCs w:val="24"/>
        </w:rPr>
        <w:t>is neither linked to fitness nor considered as a disability IAW the VASRD.</w:t>
      </w:r>
    </w:p>
    <w:p w:rsidR="005B5E79" w:rsidRPr="009D4E68" w:rsidRDefault="005B5E79"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5B5E79" w:rsidRPr="009D4E68" w:rsidRDefault="005B5E79"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roofErr w:type="gramStart"/>
      <w:r w:rsidRPr="009D4E68">
        <w:rPr>
          <w:rFonts w:asciiTheme="minorHAnsi" w:hAnsiTheme="minorHAnsi"/>
          <w:color w:val="auto"/>
          <w:szCs w:val="24"/>
          <w:u w:val="single"/>
        </w:rPr>
        <w:t>Mental Health</w:t>
      </w:r>
      <w:r w:rsidR="003C7EC5">
        <w:rPr>
          <w:rFonts w:asciiTheme="minorHAnsi" w:hAnsiTheme="minorHAnsi"/>
          <w:color w:val="auto"/>
          <w:szCs w:val="24"/>
          <w:u w:val="single"/>
        </w:rPr>
        <w:t>.</w:t>
      </w:r>
      <w:proofErr w:type="gramEnd"/>
      <w:r w:rsidRPr="009D4E68">
        <w:rPr>
          <w:rFonts w:asciiTheme="minorHAnsi" w:hAnsiTheme="minorHAnsi"/>
          <w:color w:val="auto"/>
          <w:szCs w:val="24"/>
        </w:rPr>
        <w:t xml:space="preserve">  The </w:t>
      </w:r>
      <w:r w:rsidR="003C7EC5">
        <w:rPr>
          <w:rFonts w:asciiTheme="minorHAnsi" w:hAnsiTheme="minorHAnsi"/>
          <w:color w:val="auto"/>
          <w:szCs w:val="24"/>
        </w:rPr>
        <w:t>m</w:t>
      </w:r>
      <w:r w:rsidRPr="009D4E68">
        <w:rPr>
          <w:rFonts w:asciiTheme="minorHAnsi" w:hAnsiTheme="minorHAnsi"/>
          <w:color w:val="auto"/>
          <w:szCs w:val="24"/>
        </w:rPr>
        <w:t xml:space="preserve">ental </w:t>
      </w:r>
      <w:r w:rsidR="003C7EC5">
        <w:rPr>
          <w:rFonts w:asciiTheme="minorHAnsi" w:hAnsiTheme="minorHAnsi"/>
          <w:color w:val="auto"/>
          <w:szCs w:val="24"/>
        </w:rPr>
        <w:t>h</w:t>
      </w:r>
      <w:r w:rsidRPr="009D4E68">
        <w:rPr>
          <w:rFonts w:asciiTheme="minorHAnsi" w:hAnsiTheme="minorHAnsi"/>
          <w:color w:val="auto"/>
          <w:szCs w:val="24"/>
        </w:rPr>
        <w:t>ealth condition was post</w:t>
      </w:r>
      <w:r w:rsidR="003C7EC5">
        <w:rPr>
          <w:rFonts w:asciiTheme="minorHAnsi" w:hAnsiTheme="minorHAnsi"/>
          <w:color w:val="auto"/>
          <w:szCs w:val="24"/>
        </w:rPr>
        <w:t>-</w:t>
      </w:r>
      <w:r w:rsidRPr="009D4E68">
        <w:rPr>
          <w:rFonts w:asciiTheme="minorHAnsi" w:hAnsiTheme="minorHAnsi"/>
          <w:color w:val="auto"/>
          <w:szCs w:val="24"/>
        </w:rPr>
        <w:t xml:space="preserve">separation and not in the DES package. The </w:t>
      </w:r>
      <w:r w:rsidR="009D4E68" w:rsidRPr="009D4E68">
        <w:rPr>
          <w:rFonts w:asciiTheme="minorHAnsi" w:hAnsiTheme="minorHAnsi"/>
          <w:color w:val="auto"/>
          <w:szCs w:val="24"/>
        </w:rPr>
        <w:t>Board</w:t>
      </w:r>
      <w:r w:rsidRPr="009D4E68">
        <w:rPr>
          <w:rFonts w:asciiTheme="minorHAnsi" w:hAnsiTheme="minorHAnsi"/>
          <w:color w:val="auto"/>
          <w:szCs w:val="24"/>
        </w:rPr>
        <w:t xml:space="preserve"> therefore has no reasonable basis for recommending any additional unfitting conditions for separation rating.</w:t>
      </w:r>
    </w:p>
    <w:p w:rsidR="005B5E79" w:rsidRPr="009D4E68" w:rsidRDefault="005B5E79" w:rsidP="00491D6D">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F26432" w:rsidRPr="009D4E68" w:rsidRDefault="002C6E5B" w:rsidP="00491D6D">
      <w:pPr>
        <w:tabs>
          <w:tab w:val="left" w:pos="288"/>
          <w:tab w:val="left" w:pos="4752"/>
        </w:tabs>
        <w:spacing w:line="240" w:lineRule="exact"/>
        <w:jc w:val="both"/>
        <w:rPr>
          <w:rFonts w:asciiTheme="minorHAnsi" w:hAnsiTheme="minorHAnsi"/>
          <w:color w:val="auto"/>
          <w:szCs w:val="24"/>
        </w:rPr>
      </w:pPr>
      <w:r w:rsidRPr="009D4E68">
        <w:rPr>
          <w:rFonts w:asciiTheme="minorHAnsi" w:hAnsiTheme="minorHAnsi"/>
          <w:color w:val="auto"/>
          <w:szCs w:val="24"/>
          <w:u w:val="single"/>
        </w:rPr>
        <w:t xml:space="preserve">Other </w:t>
      </w:r>
      <w:r w:rsidRPr="003C7EC5">
        <w:rPr>
          <w:rFonts w:asciiTheme="minorHAnsi" w:hAnsiTheme="minorHAnsi"/>
          <w:color w:val="auto"/>
          <w:szCs w:val="24"/>
          <w:u w:val="single"/>
        </w:rPr>
        <w:t>Conditions</w:t>
      </w:r>
      <w:r w:rsidR="003C7EC5" w:rsidRPr="003C7EC5">
        <w:rPr>
          <w:rFonts w:asciiTheme="minorHAnsi" w:hAnsiTheme="minorHAnsi"/>
          <w:color w:val="auto"/>
          <w:szCs w:val="24"/>
          <w:u w:val="single"/>
        </w:rPr>
        <w:t xml:space="preserve"> (</w:t>
      </w:r>
      <w:r w:rsidR="00AC4C8C" w:rsidRPr="003C7EC5">
        <w:rPr>
          <w:rFonts w:asciiTheme="minorHAnsi" w:hAnsiTheme="minorHAnsi"/>
          <w:color w:val="auto"/>
          <w:szCs w:val="24"/>
          <w:u w:val="single"/>
        </w:rPr>
        <w:t xml:space="preserve">Paresthesias of the </w:t>
      </w:r>
      <w:r w:rsidR="003C7EC5" w:rsidRPr="003C7EC5">
        <w:rPr>
          <w:rFonts w:asciiTheme="minorHAnsi" w:hAnsiTheme="minorHAnsi"/>
          <w:color w:val="auto"/>
          <w:szCs w:val="24"/>
          <w:u w:val="single"/>
        </w:rPr>
        <w:t>P</w:t>
      </w:r>
      <w:r w:rsidR="00AC4C8C" w:rsidRPr="003C7EC5">
        <w:rPr>
          <w:rFonts w:asciiTheme="minorHAnsi" w:hAnsiTheme="minorHAnsi"/>
          <w:color w:val="auto"/>
          <w:szCs w:val="24"/>
          <w:u w:val="single"/>
        </w:rPr>
        <w:t xml:space="preserve">eroneal </w:t>
      </w:r>
      <w:r w:rsidR="003C7EC5" w:rsidRPr="003C7EC5">
        <w:rPr>
          <w:rFonts w:asciiTheme="minorHAnsi" w:hAnsiTheme="minorHAnsi"/>
          <w:color w:val="auto"/>
          <w:szCs w:val="24"/>
          <w:u w:val="single"/>
        </w:rPr>
        <w:t>N</w:t>
      </w:r>
      <w:r w:rsidR="00AC4C8C" w:rsidRPr="003C7EC5">
        <w:rPr>
          <w:rFonts w:asciiTheme="minorHAnsi" w:hAnsiTheme="minorHAnsi"/>
          <w:color w:val="auto"/>
          <w:szCs w:val="24"/>
          <w:u w:val="single"/>
        </w:rPr>
        <w:t>erve</w:t>
      </w:r>
      <w:r w:rsidR="003C7EC5" w:rsidRPr="003C7EC5">
        <w:rPr>
          <w:rFonts w:asciiTheme="minorHAnsi" w:hAnsiTheme="minorHAnsi"/>
          <w:color w:val="auto"/>
          <w:szCs w:val="24"/>
          <w:u w:val="single"/>
        </w:rPr>
        <w:t>)</w:t>
      </w:r>
      <w:r w:rsidR="003C7EC5" w:rsidRPr="003C7EC5">
        <w:rPr>
          <w:rFonts w:asciiTheme="minorHAnsi" w:hAnsiTheme="minorHAnsi"/>
          <w:color w:val="auto"/>
          <w:szCs w:val="24"/>
        </w:rPr>
        <w:t>.</w:t>
      </w:r>
      <w:r w:rsidR="003C7EC5">
        <w:rPr>
          <w:rFonts w:asciiTheme="minorHAnsi" w:hAnsiTheme="minorHAnsi"/>
          <w:color w:val="auto"/>
          <w:szCs w:val="24"/>
        </w:rPr>
        <w:t xml:space="preserve"> </w:t>
      </w:r>
      <w:r w:rsidR="00AC4C8C" w:rsidRPr="009D4E68">
        <w:rPr>
          <w:rFonts w:asciiTheme="minorHAnsi" w:hAnsiTheme="minorHAnsi"/>
          <w:color w:val="auto"/>
          <w:szCs w:val="24"/>
        </w:rPr>
        <w:t xml:space="preserve"> The VA rated this </w:t>
      </w:r>
      <w:r w:rsidR="00C94DFE" w:rsidRPr="009D4E68">
        <w:rPr>
          <w:rFonts w:asciiTheme="minorHAnsi" w:hAnsiTheme="minorHAnsi"/>
          <w:color w:val="auto"/>
          <w:szCs w:val="24"/>
        </w:rPr>
        <w:t>condition as 10%</w:t>
      </w:r>
      <w:r w:rsidR="003113E3" w:rsidRPr="009D4E68">
        <w:rPr>
          <w:rFonts w:asciiTheme="minorHAnsi" w:hAnsiTheme="minorHAnsi"/>
          <w:color w:val="auto"/>
          <w:szCs w:val="24"/>
        </w:rPr>
        <w:t xml:space="preserve"> and it was considered in the DES package.  The NARSUM noted</w:t>
      </w:r>
      <w:r w:rsidR="003C7EC5">
        <w:rPr>
          <w:rFonts w:asciiTheme="minorHAnsi" w:hAnsiTheme="minorHAnsi"/>
          <w:color w:val="auto"/>
          <w:szCs w:val="24"/>
        </w:rPr>
        <w:t>,</w:t>
      </w:r>
      <w:r w:rsidR="003113E3" w:rsidRPr="009D4E68">
        <w:rPr>
          <w:rFonts w:asciiTheme="minorHAnsi" w:hAnsiTheme="minorHAnsi"/>
          <w:color w:val="auto"/>
          <w:szCs w:val="24"/>
        </w:rPr>
        <w:t xml:space="preserve"> “</w:t>
      </w:r>
      <w:proofErr w:type="gramStart"/>
      <w:r w:rsidR="003113E3" w:rsidRPr="009D4E68">
        <w:rPr>
          <w:rFonts w:asciiTheme="minorHAnsi" w:hAnsiTheme="minorHAnsi"/>
          <w:color w:val="auto"/>
          <w:szCs w:val="24"/>
        </w:rPr>
        <w:t>some</w:t>
      </w:r>
      <w:proofErr w:type="gramEnd"/>
      <w:r w:rsidR="003113E3" w:rsidRPr="009D4E68">
        <w:rPr>
          <w:rFonts w:asciiTheme="minorHAnsi" w:hAnsiTheme="minorHAnsi"/>
          <w:color w:val="auto"/>
          <w:szCs w:val="24"/>
        </w:rPr>
        <w:t xml:space="preserve"> diminished perception of light touch over the dorsum of the foot, consistent with a partial injury to the superficial peroneal </w:t>
      </w:r>
      <w:r w:rsidR="009D4E68" w:rsidRPr="009D4E68">
        <w:rPr>
          <w:rFonts w:asciiTheme="minorHAnsi" w:hAnsiTheme="minorHAnsi"/>
          <w:color w:val="auto"/>
          <w:szCs w:val="24"/>
        </w:rPr>
        <w:t>nerve</w:t>
      </w:r>
      <w:r w:rsidR="004B797D">
        <w:rPr>
          <w:rFonts w:asciiTheme="minorHAnsi" w:hAnsiTheme="minorHAnsi"/>
          <w:color w:val="auto"/>
          <w:szCs w:val="24"/>
        </w:rPr>
        <w:t>.</w:t>
      </w:r>
      <w:r w:rsidR="009D4E68" w:rsidRPr="009D4E68">
        <w:rPr>
          <w:rFonts w:asciiTheme="minorHAnsi" w:hAnsiTheme="minorHAnsi"/>
          <w:color w:val="auto"/>
          <w:szCs w:val="24"/>
        </w:rPr>
        <w:t>”</w:t>
      </w:r>
      <w:r w:rsidR="004B797D">
        <w:rPr>
          <w:rFonts w:asciiTheme="minorHAnsi" w:hAnsiTheme="minorHAnsi"/>
          <w:color w:val="auto"/>
          <w:szCs w:val="24"/>
        </w:rPr>
        <w:t xml:space="preserve">  T</w:t>
      </w:r>
      <w:r w:rsidR="003113E3" w:rsidRPr="009D4E68">
        <w:rPr>
          <w:rFonts w:asciiTheme="minorHAnsi" w:hAnsiTheme="minorHAnsi"/>
          <w:color w:val="auto"/>
          <w:szCs w:val="24"/>
        </w:rPr>
        <w:t>he MEB physical stated</w:t>
      </w:r>
      <w:r w:rsidR="003C7EC5">
        <w:rPr>
          <w:rFonts w:asciiTheme="minorHAnsi" w:hAnsiTheme="minorHAnsi"/>
          <w:color w:val="auto"/>
          <w:szCs w:val="24"/>
        </w:rPr>
        <w:t>,</w:t>
      </w:r>
      <w:r w:rsidR="003113E3" w:rsidRPr="009D4E68">
        <w:rPr>
          <w:rFonts w:asciiTheme="minorHAnsi" w:hAnsiTheme="minorHAnsi"/>
          <w:color w:val="auto"/>
          <w:szCs w:val="24"/>
        </w:rPr>
        <w:t xml:space="preserve"> </w:t>
      </w:r>
      <w:r w:rsidR="001D6110" w:rsidRPr="009D4E68">
        <w:rPr>
          <w:rFonts w:asciiTheme="minorHAnsi" w:hAnsiTheme="minorHAnsi"/>
          <w:color w:val="auto"/>
          <w:szCs w:val="24"/>
        </w:rPr>
        <w:t>“No sensation over ventral surface left foot with hyperesthesia over plantar surface</w:t>
      </w:r>
      <w:r w:rsidR="003113E3" w:rsidRPr="009D4E68">
        <w:rPr>
          <w:rFonts w:asciiTheme="minorHAnsi" w:hAnsiTheme="minorHAnsi"/>
          <w:color w:val="auto"/>
          <w:szCs w:val="24"/>
        </w:rPr>
        <w:t>.</w:t>
      </w:r>
      <w:r w:rsidR="001D6110" w:rsidRPr="009D4E68">
        <w:rPr>
          <w:rFonts w:asciiTheme="minorHAnsi" w:hAnsiTheme="minorHAnsi"/>
          <w:color w:val="auto"/>
          <w:szCs w:val="24"/>
        </w:rPr>
        <w:t>”</w:t>
      </w:r>
      <w:r w:rsidR="003113E3" w:rsidRPr="009D4E68">
        <w:rPr>
          <w:rFonts w:asciiTheme="minorHAnsi" w:hAnsiTheme="minorHAnsi"/>
          <w:color w:val="auto"/>
          <w:szCs w:val="24"/>
        </w:rPr>
        <w:t xml:space="preserve"> </w:t>
      </w:r>
      <w:r w:rsidR="001D6110" w:rsidRPr="009D4E68">
        <w:rPr>
          <w:rFonts w:asciiTheme="minorHAnsi" w:hAnsiTheme="minorHAnsi"/>
          <w:color w:val="auto"/>
          <w:szCs w:val="24"/>
        </w:rPr>
        <w:t xml:space="preserve"> </w:t>
      </w:r>
      <w:r w:rsidR="003113E3" w:rsidRPr="009D4E68">
        <w:rPr>
          <w:rFonts w:asciiTheme="minorHAnsi" w:hAnsiTheme="minorHAnsi"/>
          <w:color w:val="auto"/>
          <w:szCs w:val="24"/>
        </w:rPr>
        <w:t>There was no indication of restriction of military foot gear or any muscle atrophy.  Any pain from the hyperesthesia was considered in the CI’s primary unfitting condition above.  All evidence considered</w:t>
      </w:r>
      <w:proofErr w:type="gramStart"/>
      <w:r w:rsidR="003113E3" w:rsidRPr="009D4E68">
        <w:rPr>
          <w:rFonts w:asciiTheme="minorHAnsi" w:hAnsiTheme="minorHAnsi"/>
          <w:color w:val="auto"/>
          <w:szCs w:val="24"/>
        </w:rPr>
        <w:t>,</w:t>
      </w:r>
      <w:proofErr w:type="gramEnd"/>
      <w:r w:rsidR="003113E3" w:rsidRPr="009D4E68">
        <w:rPr>
          <w:rFonts w:asciiTheme="minorHAnsi" w:hAnsiTheme="minorHAnsi"/>
          <w:color w:val="auto"/>
          <w:szCs w:val="24"/>
        </w:rPr>
        <w:t xml:space="preserve"> there is not reasonable doubt in the CI’s favor supporting addition of the peroneal nerve </w:t>
      </w:r>
      <w:r w:rsidR="00F75EED" w:rsidRPr="009D4E68">
        <w:rPr>
          <w:rFonts w:asciiTheme="minorHAnsi" w:hAnsiTheme="minorHAnsi"/>
          <w:color w:val="auto"/>
          <w:szCs w:val="24"/>
        </w:rPr>
        <w:t>condition</w:t>
      </w:r>
      <w:r w:rsidR="003113E3" w:rsidRPr="009D4E68">
        <w:rPr>
          <w:rFonts w:asciiTheme="minorHAnsi" w:hAnsiTheme="minorHAnsi"/>
          <w:color w:val="auto"/>
          <w:szCs w:val="24"/>
        </w:rPr>
        <w:t xml:space="preserve"> as a</w:t>
      </w:r>
      <w:r w:rsidR="003136D4" w:rsidRPr="009D4E68">
        <w:rPr>
          <w:rFonts w:asciiTheme="minorHAnsi" w:hAnsiTheme="minorHAnsi"/>
          <w:color w:val="auto"/>
          <w:szCs w:val="24"/>
        </w:rPr>
        <w:t xml:space="preserve"> separately</w:t>
      </w:r>
      <w:r w:rsidR="003113E3" w:rsidRPr="009D4E68">
        <w:rPr>
          <w:rFonts w:asciiTheme="minorHAnsi" w:hAnsiTheme="minorHAnsi"/>
          <w:color w:val="auto"/>
          <w:szCs w:val="24"/>
        </w:rPr>
        <w:t xml:space="preserve"> unfitting condition for </w:t>
      </w:r>
      <w:r w:rsidR="003136D4" w:rsidRPr="009D4E68">
        <w:rPr>
          <w:rFonts w:asciiTheme="minorHAnsi" w:hAnsiTheme="minorHAnsi"/>
          <w:color w:val="auto"/>
          <w:szCs w:val="24"/>
        </w:rPr>
        <w:t>permanent</w:t>
      </w:r>
      <w:r w:rsidR="003113E3" w:rsidRPr="009D4E68">
        <w:rPr>
          <w:rFonts w:asciiTheme="minorHAnsi" w:hAnsiTheme="minorHAnsi"/>
          <w:color w:val="auto"/>
          <w:szCs w:val="24"/>
        </w:rPr>
        <w:t xml:space="preserve"> rating.  </w:t>
      </w:r>
    </w:p>
    <w:p w:rsidR="00A90D55" w:rsidRPr="009D4E68" w:rsidRDefault="008B5D31" w:rsidP="00491D6D">
      <w:pPr>
        <w:tabs>
          <w:tab w:val="left" w:pos="288"/>
          <w:tab w:val="left" w:pos="4752"/>
        </w:tabs>
        <w:spacing w:line="240" w:lineRule="exact"/>
        <w:jc w:val="both"/>
        <w:rPr>
          <w:rFonts w:asciiTheme="minorHAnsi" w:hAnsiTheme="minorHAnsi"/>
          <w:color w:val="auto"/>
        </w:rPr>
      </w:pPr>
      <w:r w:rsidRPr="009D4E68">
        <w:rPr>
          <w:rFonts w:asciiTheme="minorHAnsi" w:hAnsiTheme="minorHAnsi"/>
          <w:color w:val="auto"/>
          <w:u w:val="single"/>
        </w:rPr>
        <w:t>_______________________________________________________________</w:t>
      </w:r>
      <w:r w:rsidRPr="009D4E68">
        <w:rPr>
          <w:rFonts w:asciiTheme="minorHAnsi" w:hAnsiTheme="minorHAnsi"/>
          <w:color w:val="auto"/>
        </w:rPr>
        <w:t>_</w:t>
      </w:r>
      <w:r w:rsidR="00AC713F" w:rsidRPr="009D4E68">
        <w:rPr>
          <w:rFonts w:asciiTheme="minorHAnsi" w:hAnsiTheme="minorHAnsi"/>
          <w:color w:val="auto"/>
        </w:rPr>
        <w:t>_____________</w:t>
      </w:r>
    </w:p>
    <w:p w:rsidR="00632F6D" w:rsidRPr="009D4E68" w:rsidRDefault="00C56FC8" w:rsidP="00491D6D">
      <w:pPr>
        <w:spacing w:line="240" w:lineRule="exact"/>
        <w:jc w:val="both"/>
        <w:rPr>
          <w:rFonts w:asciiTheme="minorHAnsi" w:eastAsiaTheme="minorHAnsi" w:hAnsiTheme="minorHAnsi"/>
          <w:color w:val="auto"/>
          <w:szCs w:val="24"/>
        </w:rPr>
      </w:pPr>
      <w:r w:rsidRPr="009D4E68">
        <w:rPr>
          <w:rFonts w:asciiTheme="minorHAnsi" w:hAnsiTheme="minorHAnsi"/>
          <w:color w:val="auto"/>
          <w:szCs w:val="24"/>
          <w:u w:val="single"/>
        </w:rPr>
        <w:lastRenderedPageBreak/>
        <w:t>BOARD FINDINGS</w:t>
      </w:r>
      <w:r w:rsidRPr="009D4E68">
        <w:rPr>
          <w:rFonts w:asciiTheme="minorHAnsi" w:hAnsiTheme="minorHAnsi"/>
          <w:color w:val="auto"/>
          <w:szCs w:val="24"/>
        </w:rPr>
        <w:t>:</w:t>
      </w:r>
      <w:r w:rsidRPr="009D4E68">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9D4E68">
        <w:rPr>
          <w:rFonts w:asciiTheme="minorHAnsi" w:eastAsiaTheme="minorHAnsi" w:hAnsiTheme="minorHAnsi"/>
          <w:color w:val="auto"/>
          <w:szCs w:val="24"/>
        </w:rPr>
        <w:t xml:space="preserve"> </w:t>
      </w:r>
      <w:r w:rsidR="00C94DFE" w:rsidRPr="009D4E68">
        <w:rPr>
          <w:rFonts w:asciiTheme="minorHAnsi" w:eastAsiaTheme="minorHAnsi" w:hAnsiTheme="minorHAnsi"/>
          <w:color w:val="auto"/>
          <w:szCs w:val="24"/>
        </w:rPr>
        <w:t xml:space="preserve">In the matter of </w:t>
      </w:r>
      <w:r w:rsidR="001D6110" w:rsidRPr="009D4E68">
        <w:rPr>
          <w:rFonts w:asciiTheme="minorHAnsi" w:eastAsiaTheme="minorHAnsi" w:hAnsiTheme="minorHAnsi"/>
          <w:color w:val="auto"/>
          <w:szCs w:val="24"/>
        </w:rPr>
        <w:t>left lower leg (</w:t>
      </w:r>
      <w:r w:rsidR="00C94DFE" w:rsidRPr="009D4E68">
        <w:rPr>
          <w:rFonts w:asciiTheme="minorHAnsi" w:eastAsiaTheme="minorHAnsi" w:hAnsiTheme="minorHAnsi"/>
          <w:color w:val="auto"/>
          <w:szCs w:val="24"/>
        </w:rPr>
        <w:t>tibia/fibula fractures</w:t>
      </w:r>
      <w:r w:rsidR="001D6110" w:rsidRPr="009D4E68">
        <w:rPr>
          <w:rFonts w:asciiTheme="minorHAnsi" w:eastAsiaTheme="minorHAnsi" w:hAnsiTheme="minorHAnsi"/>
          <w:color w:val="auto"/>
          <w:szCs w:val="24"/>
        </w:rPr>
        <w:t>) condition</w:t>
      </w:r>
      <w:r w:rsidR="00C94DFE" w:rsidRPr="009D4E68">
        <w:rPr>
          <w:rFonts w:asciiTheme="minorHAnsi" w:eastAsiaTheme="minorHAnsi" w:hAnsiTheme="minorHAnsi"/>
          <w:color w:val="auto"/>
          <w:szCs w:val="24"/>
        </w:rPr>
        <w:t xml:space="preserve">, the Board </w:t>
      </w:r>
      <w:r w:rsidR="005B5E79" w:rsidRPr="009D4E68">
        <w:rPr>
          <w:rFonts w:asciiTheme="minorHAnsi" w:eastAsiaTheme="minorHAnsi" w:hAnsiTheme="minorHAnsi"/>
          <w:color w:val="auto"/>
          <w:szCs w:val="24"/>
        </w:rPr>
        <w:t xml:space="preserve">by a split vote of 2:1 </w:t>
      </w:r>
      <w:r w:rsidR="00C94DFE" w:rsidRPr="009D4E68">
        <w:rPr>
          <w:rFonts w:asciiTheme="minorHAnsi" w:eastAsiaTheme="minorHAnsi" w:hAnsiTheme="minorHAnsi"/>
          <w:color w:val="auto"/>
          <w:szCs w:val="24"/>
        </w:rPr>
        <w:t xml:space="preserve">recommends </w:t>
      </w:r>
      <w:r w:rsidR="006C272A" w:rsidRPr="009D4E68">
        <w:rPr>
          <w:rFonts w:asciiTheme="minorHAnsi" w:eastAsiaTheme="minorHAnsi" w:hAnsiTheme="minorHAnsi"/>
          <w:color w:val="auto"/>
          <w:szCs w:val="24"/>
        </w:rPr>
        <w:t xml:space="preserve">rating </w:t>
      </w:r>
      <w:r w:rsidR="00654AA4" w:rsidRPr="009D4E68">
        <w:rPr>
          <w:rFonts w:asciiTheme="minorHAnsi" w:eastAsiaTheme="minorHAnsi" w:hAnsiTheme="minorHAnsi"/>
          <w:color w:val="auto"/>
          <w:szCs w:val="24"/>
        </w:rPr>
        <w:t>of 52</w:t>
      </w:r>
      <w:r w:rsidR="006C272A" w:rsidRPr="009D4E68">
        <w:rPr>
          <w:rFonts w:asciiTheme="minorHAnsi" w:eastAsiaTheme="minorHAnsi" w:hAnsiTheme="minorHAnsi"/>
          <w:color w:val="auto"/>
          <w:szCs w:val="24"/>
        </w:rPr>
        <w:t>75</w:t>
      </w:r>
      <w:r w:rsidR="00654AA4" w:rsidRPr="009D4E68">
        <w:rPr>
          <w:rFonts w:asciiTheme="minorHAnsi" w:eastAsiaTheme="minorHAnsi" w:hAnsiTheme="minorHAnsi"/>
          <w:color w:val="auto"/>
          <w:szCs w:val="24"/>
        </w:rPr>
        <w:t>-</w:t>
      </w:r>
      <w:r w:rsidR="00C94DFE" w:rsidRPr="009D4E68">
        <w:rPr>
          <w:rFonts w:asciiTheme="minorHAnsi" w:eastAsiaTheme="minorHAnsi" w:hAnsiTheme="minorHAnsi"/>
          <w:color w:val="auto"/>
          <w:szCs w:val="24"/>
        </w:rPr>
        <w:t>5</w:t>
      </w:r>
      <w:r w:rsidR="006C272A" w:rsidRPr="009D4E68">
        <w:rPr>
          <w:rFonts w:asciiTheme="minorHAnsi" w:eastAsiaTheme="minorHAnsi" w:hAnsiTheme="minorHAnsi"/>
          <w:color w:val="auto"/>
          <w:szCs w:val="24"/>
        </w:rPr>
        <w:t>262</w:t>
      </w:r>
      <w:r w:rsidR="00C94DFE" w:rsidRPr="009D4E68">
        <w:rPr>
          <w:rFonts w:asciiTheme="minorHAnsi" w:eastAsiaTheme="minorHAnsi" w:hAnsiTheme="minorHAnsi"/>
          <w:color w:val="auto"/>
          <w:szCs w:val="24"/>
        </w:rPr>
        <w:t xml:space="preserve"> at </w:t>
      </w:r>
      <w:r w:rsidR="00632F6D" w:rsidRPr="009D4E68">
        <w:rPr>
          <w:rFonts w:asciiTheme="minorHAnsi" w:eastAsiaTheme="minorHAnsi" w:hAnsiTheme="minorHAnsi"/>
          <w:color w:val="auto"/>
          <w:szCs w:val="24"/>
        </w:rPr>
        <w:t>20%</w:t>
      </w:r>
      <w:r w:rsidR="005B5E79" w:rsidRPr="009D4E68">
        <w:rPr>
          <w:rFonts w:asciiTheme="minorHAnsi" w:eastAsiaTheme="minorHAnsi" w:hAnsiTheme="minorHAnsi"/>
          <w:color w:val="auto"/>
          <w:szCs w:val="24"/>
        </w:rPr>
        <w:t>.  The single voter for dissent</w:t>
      </w:r>
      <w:r w:rsidR="009D4E68">
        <w:rPr>
          <w:rFonts w:asciiTheme="minorHAnsi" w:eastAsiaTheme="minorHAnsi" w:hAnsiTheme="minorHAnsi"/>
          <w:color w:val="auto"/>
          <w:szCs w:val="24"/>
        </w:rPr>
        <w:t xml:space="preserve"> </w:t>
      </w:r>
      <w:r w:rsidR="005B5E79" w:rsidRPr="009D4E68">
        <w:rPr>
          <w:rFonts w:asciiTheme="minorHAnsi" w:eastAsiaTheme="minorHAnsi" w:hAnsiTheme="minorHAnsi"/>
          <w:color w:val="auto"/>
          <w:szCs w:val="24"/>
        </w:rPr>
        <w:t xml:space="preserve">(who recommended 30%) </w:t>
      </w:r>
      <w:r w:rsidR="00922506">
        <w:rPr>
          <w:rFonts w:asciiTheme="minorHAnsi" w:eastAsiaTheme="minorHAnsi" w:hAnsiTheme="minorHAnsi"/>
          <w:color w:val="auto"/>
          <w:szCs w:val="24"/>
        </w:rPr>
        <w:t xml:space="preserve">submitted the </w:t>
      </w:r>
      <w:proofErr w:type="spellStart"/>
      <w:r w:rsidR="00922506">
        <w:rPr>
          <w:rFonts w:asciiTheme="minorHAnsi" w:eastAsiaTheme="minorHAnsi" w:hAnsiTheme="minorHAnsi"/>
          <w:color w:val="auto"/>
          <w:szCs w:val="24"/>
        </w:rPr>
        <w:t>addended</w:t>
      </w:r>
      <w:proofErr w:type="spellEnd"/>
      <w:r w:rsidR="00922506">
        <w:rPr>
          <w:rFonts w:asciiTheme="minorHAnsi" w:eastAsiaTheme="minorHAnsi" w:hAnsiTheme="minorHAnsi"/>
          <w:color w:val="auto"/>
          <w:szCs w:val="24"/>
        </w:rPr>
        <w:t xml:space="preserve"> minority opinion.  </w:t>
      </w:r>
      <w:r w:rsidR="00C94DFE" w:rsidRPr="009D4E68">
        <w:rPr>
          <w:rFonts w:asciiTheme="minorHAnsi" w:eastAsiaTheme="minorHAnsi" w:hAnsiTheme="minorHAnsi"/>
          <w:color w:val="auto"/>
          <w:szCs w:val="24"/>
        </w:rPr>
        <w:t xml:space="preserve">In the matter of </w:t>
      </w:r>
      <w:r w:rsidR="003C7EC5">
        <w:rPr>
          <w:rFonts w:asciiTheme="minorHAnsi" w:eastAsiaTheme="minorHAnsi" w:hAnsiTheme="minorHAnsi"/>
          <w:color w:val="auto"/>
          <w:szCs w:val="24"/>
        </w:rPr>
        <w:t>p</w:t>
      </w:r>
      <w:r w:rsidR="00C94DFE" w:rsidRPr="009D4E68">
        <w:rPr>
          <w:rFonts w:asciiTheme="minorHAnsi" w:hAnsiTheme="minorHAnsi"/>
          <w:color w:val="auto"/>
          <w:szCs w:val="24"/>
        </w:rPr>
        <w:t xml:space="preserve">aresthesias of the </w:t>
      </w:r>
      <w:r w:rsidR="003C7EC5">
        <w:rPr>
          <w:rFonts w:asciiTheme="minorHAnsi" w:hAnsiTheme="minorHAnsi"/>
          <w:color w:val="auto"/>
          <w:szCs w:val="24"/>
        </w:rPr>
        <w:t>p</w:t>
      </w:r>
      <w:r w:rsidR="00C94DFE" w:rsidRPr="009D4E68">
        <w:rPr>
          <w:rFonts w:asciiTheme="minorHAnsi" w:hAnsiTheme="minorHAnsi"/>
          <w:color w:val="auto"/>
          <w:szCs w:val="24"/>
        </w:rPr>
        <w:t xml:space="preserve">eroneal </w:t>
      </w:r>
      <w:r w:rsidR="003C7EC5">
        <w:rPr>
          <w:rFonts w:asciiTheme="minorHAnsi" w:hAnsiTheme="minorHAnsi"/>
          <w:color w:val="auto"/>
          <w:szCs w:val="24"/>
        </w:rPr>
        <w:t>n</w:t>
      </w:r>
      <w:r w:rsidR="00C94DFE" w:rsidRPr="009D4E68">
        <w:rPr>
          <w:rFonts w:asciiTheme="minorHAnsi" w:hAnsiTheme="minorHAnsi"/>
          <w:color w:val="auto"/>
          <w:szCs w:val="24"/>
        </w:rPr>
        <w:t xml:space="preserve">erve, the Board </w:t>
      </w:r>
      <w:r w:rsidR="005B5E79" w:rsidRPr="009D4E68">
        <w:rPr>
          <w:rFonts w:asciiTheme="minorHAnsi" w:hAnsiTheme="minorHAnsi"/>
          <w:color w:val="auto"/>
          <w:szCs w:val="24"/>
        </w:rPr>
        <w:t xml:space="preserve">unanimously </w:t>
      </w:r>
      <w:r w:rsidR="00C94DFE" w:rsidRPr="009D4E68">
        <w:rPr>
          <w:rFonts w:asciiTheme="minorHAnsi" w:hAnsiTheme="minorHAnsi"/>
          <w:color w:val="auto"/>
          <w:szCs w:val="24"/>
        </w:rPr>
        <w:t xml:space="preserve">agrees that it </w:t>
      </w:r>
      <w:r w:rsidR="00AE4C2E" w:rsidRPr="009D4E68">
        <w:rPr>
          <w:rFonts w:asciiTheme="minorHAnsi" w:hAnsiTheme="minorHAnsi"/>
          <w:color w:val="auto"/>
          <w:szCs w:val="24"/>
        </w:rPr>
        <w:t>cannot recommend</w:t>
      </w:r>
      <w:r w:rsidR="00C94DFE" w:rsidRPr="009D4E68">
        <w:rPr>
          <w:rFonts w:asciiTheme="minorHAnsi" w:hAnsiTheme="minorHAnsi"/>
          <w:color w:val="auto"/>
          <w:szCs w:val="24"/>
        </w:rPr>
        <w:t xml:space="preserve"> a </w:t>
      </w:r>
      <w:r w:rsidR="00AE4C2E" w:rsidRPr="009D4E68">
        <w:rPr>
          <w:rFonts w:asciiTheme="minorHAnsi" w:hAnsiTheme="minorHAnsi"/>
          <w:color w:val="auto"/>
          <w:szCs w:val="24"/>
        </w:rPr>
        <w:t>finding</w:t>
      </w:r>
      <w:r w:rsidR="00C94DFE" w:rsidRPr="009D4E68">
        <w:rPr>
          <w:rFonts w:asciiTheme="minorHAnsi" w:hAnsiTheme="minorHAnsi"/>
          <w:color w:val="auto"/>
          <w:szCs w:val="24"/>
        </w:rPr>
        <w:t xml:space="preserve"> of unfit for additional </w:t>
      </w:r>
      <w:r w:rsidR="00AE4C2E" w:rsidRPr="009D4E68">
        <w:rPr>
          <w:rFonts w:asciiTheme="minorHAnsi" w:hAnsiTheme="minorHAnsi"/>
          <w:color w:val="auto"/>
          <w:szCs w:val="24"/>
        </w:rPr>
        <w:t>rating</w:t>
      </w:r>
      <w:r w:rsidR="00C94DFE" w:rsidRPr="009D4E68">
        <w:rPr>
          <w:rFonts w:asciiTheme="minorHAnsi" w:hAnsiTheme="minorHAnsi"/>
          <w:color w:val="auto"/>
          <w:szCs w:val="24"/>
        </w:rPr>
        <w:t xml:space="preserve"> of 10%</w:t>
      </w:r>
      <w:r w:rsidR="004B797D">
        <w:rPr>
          <w:rFonts w:asciiTheme="minorHAnsi" w:hAnsiTheme="minorHAnsi"/>
          <w:color w:val="auto"/>
          <w:szCs w:val="24"/>
        </w:rPr>
        <w:t>,</w:t>
      </w:r>
      <w:r w:rsidR="00C94DFE" w:rsidRPr="009D4E68">
        <w:rPr>
          <w:rFonts w:asciiTheme="minorHAnsi" w:hAnsiTheme="minorHAnsi"/>
          <w:color w:val="auto"/>
          <w:szCs w:val="24"/>
        </w:rPr>
        <w:t xml:space="preserve"> coded at 8520.</w:t>
      </w:r>
      <w:r w:rsidR="00654AA4" w:rsidRPr="009D4E68">
        <w:rPr>
          <w:rFonts w:asciiTheme="minorHAnsi" w:hAnsiTheme="minorHAnsi"/>
          <w:color w:val="auto"/>
          <w:szCs w:val="24"/>
        </w:rPr>
        <w:t xml:space="preserve">  </w:t>
      </w:r>
      <w:r w:rsidR="00632F6D" w:rsidRPr="009D4E68">
        <w:rPr>
          <w:rFonts w:asciiTheme="minorHAnsi" w:hAnsiTheme="minorHAnsi"/>
          <w:color w:val="auto"/>
          <w:szCs w:val="24"/>
        </w:rPr>
        <w:t xml:space="preserve">In the matter of the </w:t>
      </w:r>
      <w:r w:rsidR="003C7EC5">
        <w:rPr>
          <w:rFonts w:asciiTheme="minorHAnsi" w:hAnsiTheme="minorHAnsi"/>
          <w:color w:val="auto"/>
          <w:szCs w:val="24"/>
        </w:rPr>
        <w:t>p</w:t>
      </w:r>
      <w:r w:rsidR="00632F6D" w:rsidRPr="009D4E68">
        <w:rPr>
          <w:rFonts w:asciiTheme="minorHAnsi" w:hAnsiTheme="minorHAnsi"/>
          <w:color w:val="auto"/>
          <w:szCs w:val="24"/>
        </w:rPr>
        <w:t xml:space="preserve">eroneal </w:t>
      </w:r>
      <w:r w:rsidR="003C7EC5">
        <w:rPr>
          <w:rFonts w:asciiTheme="minorHAnsi" w:hAnsiTheme="minorHAnsi"/>
          <w:color w:val="auto"/>
          <w:szCs w:val="24"/>
        </w:rPr>
        <w:t>n</w:t>
      </w:r>
      <w:r w:rsidR="00632F6D" w:rsidRPr="009D4E68">
        <w:rPr>
          <w:rFonts w:asciiTheme="minorHAnsi" w:hAnsiTheme="minorHAnsi"/>
          <w:color w:val="auto"/>
          <w:szCs w:val="24"/>
        </w:rPr>
        <w:t>erve</w:t>
      </w:r>
      <w:r w:rsidR="00632F6D" w:rsidRPr="009D4E68">
        <w:rPr>
          <w:rFonts w:asciiTheme="minorHAnsi" w:eastAsiaTheme="minorHAnsi" w:hAnsiTheme="minorHAnsi"/>
          <w:color w:val="auto"/>
          <w:szCs w:val="24"/>
        </w:rPr>
        <w:t xml:space="preserve"> and </w:t>
      </w:r>
      <w:r w:rsidR="003C7EC5">
        <w:rPr>
          <w:rFonts w:asciiTheme="minorHAnsi" w:eastAsiaTheme="minorHAnsi" w:hAnsiTheme="minorHAnsi"/>
          <w:color w:val="auto"/>
          <w:szCs w:val="24"/>
        </w:rPr>
        <w:t>h</w:t>
      </w:r>
      <w:r w:rsidR="00632F6D" w:rsidRPr="009D4E68">
        <w:rPr>
          <w:rFonts w:asciiTheme="minorHAnsi" w:eastAsiaTheme="minorHAnsi" w:hAnsiTheme="minorHAnsi"/>
          <w:color w:val="auto"/>
          <w:szCs w:val="24"/>
        </w:rPr>
        <w:t>ypertension conditions</w:t>
      </w:r>
      <w:r w:rsidR="00632F6D" w:rsidRPr="009D4E68">
        <w:rPr>
          <w:rFonts w:asciiTheme="minorHAnsi" w:hAnsiTheme="minorHAnsi"/>
          <w:color w:val="auto"/>
          <w:szCs w:val="24"/>
        </w:rPr>
        <w:t xml:space="preserve"> or any other medical conditions e</w:t>
      </w:r>
      <w:r w:rsidR="003C7EC5">
        <w:rPr>
          <w:rFonts w:asciiTheme="minorHAnsi" w:hAnsiTheme="minorHAnsi"/>
          <w:color w:val="auto"/>
          <w:szCs w:val="24"/>
        </w:rPr>
        <w:t>ligible for Board consideration,</w:t>
      </w:r>
      <w:r w:rsidR="00632F6D" w:rsidRPr="009D4E68">
        <w:rPr>
          <w:rFonts w:asciiTheme="minorHAnsi" w:hAnsiTheme="minorHAnsi"/>
          <w:color w:val="auto"/>
          <w:szCs w:val="24"/>
        </w:rPr>
        <w:t xml:space="preserve"> the Board unanimously agrees that it cannot</w:t>
      </w:r>
      <w:r w:rsidR="00632F6D" w:rsidRPr="009D4E68">
        <w:rPr>
          <w:rFonts w:asciiTheme="minorHAnsi" w:hAnsiTheme="minorHAnsi"/>
          <w:color w:val="000080"/>
          <w:szCs w:val="24"/>
        </w:rPr>
        <w:t xml:space="preserve"> </w:t>
      </w:r>
      <w:r w:rsidR="00632F6D" w:rsidRPr="009D4E68">
        <w:rPr>
          <w:rFonts w:asciiTheme="minorHAnsi" w:hAnsiTheme="minorHAnsi"/>
          <w:color w:val="auto"/>
          <w:szCs w:val="24"/>
        </w:rPr>
        <w:t>recommend any findings of unfit for additional rating at separation.</w:t>
      </w:r>
    </w:p>
    <w:p w:rsidR="00FB593A" w:rsidRPr="009D4E68" w:rsidRDefault="008B5D31" w:rsidP="00491D6D">
      <w:pPr>
        <w:tabs>
          <w:tab w:val="left" w:pos="288"/>
          <w:tab w:val="left" w:pos="4752"/>
        </w:tabs>
        <w:spacing w:line="240" w:lineRule="exact"/>
        <w:jc w:val="both"/>
        <w:rPr>
          <w:rFonts w:asciiTheme="minorHAnsi" w:hAnsiTheme="minorHAnsi"/>
          <w:color w:val="auto"/>
        </w:rPr>
      </w:pPr>
      <w:r w:rsidRPr="009D4E68">
        <w:rPr>
          <w:rFonts w:asciiTheme="minorHAnsi" w:hAnsiTheme="minorHAnsi"/>
          <w:color w:val="auto"/>
          <w:u w:val="single"/>
        </w:rPr>
        <w:t>_______________________________________________________________</w:t>
      </w:r>
      <w:r w:rsidRPr="009D4E68">
        <w:rPr>
          <w:rFonts w:asciiTheme="minorHAnsi" w:hAnsiTheme="minorHAnsi"/>
          <w:color w:val="auto"/>
        </w:rPr>
        <w:t>_</w:t>
      </w:r>
      <w:r w:rsidR="00AC713F" w:rsidRPr="009D4E68">
        <w:rPr>
          <w:rFonts w:asciiTheme="minorHAnsi" w:hAnsiTheme="minorHAnsi"/>
          <w:color w:val="auto"/>
        </w:rPr>
        <w:t>_____________</w:t>
      </w:r>
    </w:p>
    <w:p w:rsidR="00FB593A" w:rsidRPr="009D4E68" w:rsidRDefault="00FB593A" w:rsidP="00491D6D">
      <w:pPr>
        <w:tabs>
          <w:tab w:val="left" w:pos="288"/>
          <w:tab w:val="left" w:pos="4752"/>
        </w:tabs>
        <w:spacing w:line="240" w:lineRule="exact"/>
        <w:jc w:val="both"/>
        <w:rPr>
          <w:color w:val="auto"/>
        </w:rPr>
      </w:pPr>
    </w:p>
    <w:p w:rsidR="00C56FC8" w:rsidRPr="009D4E68" w:rsidRDefault="00C56FC8" w:rsidP="00491D6D">
      <w:pPr>
        <w:tabs>
          <w:tab w:val="left" w:pos="288"/>
          <w:tab w:val="left" w:pos="4752"/>
        </w:tabs>
        <w:spacing w:line="240" w:lineRule="exact"/>
        <w:jc w:val="both"/>
        <w:rPr>
          <w:rFonts w:asciiTheme="minorHAnsi" w:hAnsiTheme="minorHAnsi"/>
          <w:color w:val="auto"/>
          <w:szCs w:val="24"/>
        </w:rPr>
      </w:pPr>
      <w:r w:rsidRPr="009D4E68">
        <w:rPr>
          <w:rFonts w:asciiTheme="minorHAnsi" w:hAnsiTheme="minorHAnsi"/>
          <w:color w:val="auto"/>
          <w:szCs w:val="24"/>
          <w:u w:val="single"/>
        </w:rPr>
        <w:t>RECOMMENDATION</w:t>
      </w:r>
      <w:r w:rsidRPr="009D4E68">
        <w:rPr>
          <w:rFonts w:asciiTheme="minorHAnsi" w:hAnsiTheme="minorHAnsi"/>
          <w:color w:val="auto"/>
          <w:szCs w:val="24"/>
        </w:rPr>
        <w:t xml:space="preserve">: </w:t>
      </w:r>
      <w:r w:rsidR="00632F6D" w:rsidRPr="009D4E68">
        <w:rPr>
          <w:rFonts w:asciiTheme="minorHAnsi" w:hAnsiTheme="minorHAnsi"/>
          <w:color w:val="auto"/>
          <w:szCs w:val="24"/>
        </w:rPr>
        <w:t xml:space="preserve"> </w:t>
      </w:r>
      <w:r w:rsidR="0018037F" w:rsidRPr="009D4E68">
        <w:rPr>
          <w:rFonts w:asciiTheme="minorHAnsi" w:hAnsiTheme="minorHAnsi"/>
          <w:color w:val="auto"/>
          <w:szCs w:val="24"/>
        </w:rPr>
        <w:t>The Board recommends that the CI’s prior determination be modified as follows, effective as of the date of his prior medical separation.</w:t>
      </w:r>
    </w:p>
    <w:p w:rsidR="004873B2" w:rsidRPr="009D4E68" w:rsidRDefault="004873B2" w:rsidP="00491D6D">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4873B2" w:rsidRPr="009D4E68" w:rsidTr="0036288C">
        <w:trPr>
          <w:trHeight w:val="287"/>
          <w:jc w:val="center"/>
        </w:trPr>
        <w:tc>
          <w:tcPr>
            <w:tcW w:w="6480" w:type="dxa"/>
            <w:shd w:val="clear" w:color="auto" w:fill="D9D9D9"/>
          </w:tcPr>
          <w:p w:rsidR="004873B2" w:rsidRPr="009D4E68" w:rsidRDefault="004873B2" w:rsidP="00491D6D">
            <w:pPr>
              <w:tabs>
                <w:tab w:val="left" w:pos="288"/>
                <w:tab w:val="left" w:pos="4752"/>
              </w:tabs>
              <w:spacing w:line="240" w:lineRule="exact"/>
              <w:jc w:val="both"/>
              <w:rPr>
                <w:rFonts w:asciiTheme="minorHAnsi" w:hAnsiTheme="minorHAnsi"/>
                <w:b/>
                <w:color w:val="auto"/>
                <w:szCs w:val="24"/>
              </w:rPr>
            </w:pPr>
            <w:r w:rsidRPr="009D4E68">
              <w:rPr>
                <w:rFonts w:asciiTheme="minorHAnsi" w:hAnsiTheme="minorHAnsi"/>
                <w:b/>
                <w:color w:val="auto"/>
                <w:szCs w:val="24"/>
              </w:rPr>
              <w:t>UNFITTING CONDITION</w:t>
            </w:r>
          </w:p>
        </w:tc>
        <w:tc>
          <w:tcPr>
            <w:tcW w:w="1710" w:type="dxa"/>
            <w:shd w:val="clear" w:color="auto" w:fill="D9D9D9"/>
          </w:tcPr>
          <w:p w:rsidR="004873B2" w:rsidRPr="009D4E68" w:rsidRDefault="004873B2" w:rsidP="00491D6D">
            <w:pPr>
              <w:tabs>
                <w:tab w:val="left" w:pos="288"/>
                <w:tab w:val="left" w:pos="4752"/>
              </w:tabs>
              <w:spacing w:line="240" w:lineRule="exact"/>
              <w:jc w:val="center"/>
              <w:rPr>
                <w:rFonts w:asciiTheme="minorHAnsi" w:hAnsiTheme="minorHAnsi"/>
                <w:b/>
                <w:color w:val="auto"/>
                <w:szCs w:val="24"/>
              </w:rPr>
            </w:pPr>
            <w:r w:rsidRPr="009D4E68">
              <w:rPr>
                <w:rFonts w:asciiTheme="minorHAnsi" w:hAnsiTheme="minorHAnsi"/>
                <w:b/>
                <w:color w:val="auto"/>
                <w:szCs w:val="24"/>
              </w:rPr>
              <w:t>VASRD CODE</w:t>
            </w:r>
          </w:p>
        </w:tc>
        <w:tc>
          <w:tcPr>
            <w:tcW w:w="1170" w:type="dxa"/>
            <w:shd w:val="clear" w:color="auto" w:fill="D9D9D9"/>
          </w:tcPr>
          <w:p w:rsidR="004873B2" w:rsidRPr="009D4E68" w:rsidRDefault="004873B2" w:rsidP="00491D6D">
            <w:pPr>
              <w:tabs>
                <w:tab w:val="left" w:pos="288"/>
                <w:tab w:val="left" w:pos="4752"/>
              </w:tabs>
              <w:spacing w:line="240" w:lineRule="exact"/>
              <w:jc w:val="center"/>
              <w:rPr>
                <w:rFonts w:asciiTheme="minorHAnsi" w:hAnsiTheme="minorHAnsi"/>
                <w:b/>
                <w:color w:val="auto"/>
                <w:szCs w:val="24"/>
              </w:rPr>
            </w:pPr>
            <w:r w:rsidRPr="009D4E68">
              <w:rPr>
                <w:rFonts w:asciiTheme="minorHAnsi" w:hAnsiTheme="minorHAnsi"/>
                <w:b/>
                <w:color w:val="auto"/>
                <w:szCs w:val="24"/>
              </w:rPr>
              <w:t>RATING</w:t>
            </w:r>
          </w:p>
        </w:tc>
      </w:tr>
      <w:tr w:rsidR="006C272A" w:rsidRPr="009D4E68" w:rsidTr="00E20DA9">
        <w:trPr>
          <w:jc w:val="center"/>
        </w:trPr>
        <w:tc>
          <w:tcPr>
            <w:tcW w:w="6480" w:type="dxa"/>
            <w:vAlign w:val="center"/>
          </w:tcPr>
          <w:p w:rsidR="006C272A" w:rsidRPr="009D4E68" w:rsidRDefault="006C272A" w:rsidP="00E20DA9">
            <w:pPr>
              <w:tabs>
                <w:tab w:val="left" w:pos="288"/>
                <w:tab w:val="left" w:pos="4752"/>
              </w:tabs>
              <w:spacing w:line="240" w:lineRule="exact"/>
              <w:rPr>
                <w:rFonts w:asciiTheme="minorHAnsi" w:hAnsiTheme="minorHAnsi"/>
                <w:color w:val="auto"/>
                <w:szCs w:val="24"/>
              </w:rPr>
            </w:pPr>
            <w:r w:rsidRPr="009D4E68">
              <w:rPr>
                <w:rFonts w:asciiTheme="minorHAnsi" w:hAnsiTheme="minorHAnsi"/>
                <w:color w:val="auto"/>
                <w:szCs w:val="24"/>
              </w:rPr>
              <w:t xml:space="preserve">S/P </w:t>
            </w:r>
            <w:r w:rsidR="00F75EED" w:rsidRPr="009D4E68">
              <w:rPr>
                <w:rFonts w:asciiTheme="minorHAnsi" w:hAnsiTheme="minorHAnsi"/>
                <w:color w:val="auto"/>
                <w:szCs w:val="24"/>
              </w:rPr>
              <w:t xml:space="preserve">Left </w:t>
            </w:r>
            <w:r w:rsidRPr="009D4E68">
              <w:rPr>
                <w:rFonts w:asciiTheme="minorHAnsi" w:hAnsiTheme="minorHAnsi"/>
                <w:color w:val="auto"/>
                <w:szCs w:val="24"/>
              </w:rPr>
              <w:t>Tibia and Fibula Fracture</w:t>
            </w:r>
            <w:r w:rsidR="00F75EED" w:rsidRPr="009D4E68">
              <w:rPr>
                <w:rFonts w:asciiTheme="minorHAnsi" w:hAnsiTheme="minorHAnsi"/>
                <w:color w:val="auto"/>
                <w:szCs w:val="24"/>
              </w:rPr>
              <w:t>s</w:t>
            </w:r>
          </w:p>
        </w:tc>
        <w:tc>
          <w:tcPr>
            <w:tcW w:w="1710" w:type="dxa"/>
            <w:vAlign w:val="center"/>
          </w:tcPr>
          <w:p w:rsidR="006C272A" w:rsidRPr="009D4E68" w:rsidRDefault="006C272A" w:rsidP="00E20DA9">
            <w:pPr>
              <w:pStyle w:val="ListParagraph"/>
              <w:spacing w:after="0" w:line="200" w:lineRule="exact"/>
              <w:ind w:left="0"/>
              <w:jc w:val="center"/>
              <w:rPr>
                <w:rFonts w:cs="Times New Roman"/>
                <w:sz w:val="24"/>
                <w:szCs w:val="18"/>
              </w:rPr>
            </w:pPr>
            <w:r w:rsidRPr="009D4E68">
              <w:rPr>
                <w:rFonts w:cs="Times New Roman"/>
                <w:sz w:val="24"/>
                <w:szCs w:val="18"/>
              </w:rPr>
              <w:t>5275-5262</w:t>
            </w:r>
          </w:p>
        </w:tc>
        <w:tc>
          <w:tcPr>
            <w:tcW w:w="1170" w:type="dxa"/>
            <w:vAlign w:val="center"/>
          </w:tcPr>
          <w:p w:rsidR="006C272A" w:rsidRPr="009D4E68" w:rsidRDefault="005B5E79" w:rsidP="00E20DA9">
            <w:pPr>
              <w:pStyle w:val="ListParagraph"/>
              <w:spacing w:after="0" w:line="200" w:lineRule="exact"/>
              <w:ind w:left="0"/>
              <w:jc w:val="center"/>
              <w:rPr>
                <w:rFonts w:cs="Times New Roman"/>
                <w:sz w:val="24"/>
                <w:szCs w:val="18"/>
              </w:rPr>
            </w:pPr>
            <w:r w:rsidRPr="009D4E68">
              <w:rPr>
                <w:rFonts w:cs="Times New Roman"/>
                <w:sz w:val="24"/>
                <w:szCs w:val="18"/>
              </w:rPr>
              <w:t>2</w:t>
            </w:r>
            <w:r w:rsidR="006C272A" w:rsidRPr="009D4E68">
              <w:rPr>
                <w:rFonts w:cs="Times New Roman"/>
                <w:sz w:val="24"/>
                <w:szCs w:val="18"/>
              </w:rPr>
              <w:t>0%</w:t>
            </w:r>
          </w:p>
        </w:tc>
      </w:tr>
      <w:tr w:rsidR="004873B2" w:rsidRPr="009D4E68" w:rsidTr="0036288C">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4873B2" w:rsidRPr="009D4E68" w:rsidRDefault="004873B2" w:rsidP="00491D6D">
            <w:pPr>
              <w:tabs>
                <w:tab w:val="left" w:pos="288"/>
                <w:tab w:val="left" w:pos="4752"/>
              </w:tabs>
              <w:spacing w:line="240" w:lineRule="exact"/>
              <w:jc w:val="center"/>
              <w:rPr>
                <w:rFonts w:asciiTheme="minorHAnsi" w:hAnsiTheme="minorHAnsi"/>
                <w:b/>
                <w:color w:val="auto"/>
                <w:szCs w:val="24"/>
              </w:rPr>
            </w:pPr>
            <w:r w:rsidRPr="009D4E6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4873B2" w:rsidRPr="009D4E68" w:rsidRDefault="005B5E79" w:rsidP="00491D6D">
            <w:pPr>
              <w:tabs>
                <w:tab w:val="left" w:pos="288"/>
                <w:tab w:val="left" w:pos="4752"/>
              </w:tabs>
              <w:spacing w:line="240" w:lineRule="exact"/>
              <w:jc w:val="center"/>
              <w:rPr>
                <w:rFonts w:asciiTheme="minorHAnsi" w:hAnsiTheme="minorHAnsi"/>
                <w:b/>
                <w:color w:val="auto"/>
                <w:szCs w:val="24"/>
              </w:rPr>
            </w:pPr>
            <w:r w:rsidRPr="009D4E68">
              <w:rPr>
                <w:rFonts w:asciiTheme="minorHAnsi" w:hAnsiTheme="minorHAnsi"/>
                <w:b/>
                <w:color w:val="auto"/>
                <w:szCs w:val="24"/>
              </w:rPr>
              <w:t>2</w:t>
            </w:r>
            <w:r w:rsidR="004873B2" w:rsidRPr="009D4E68">
              <w:rPr>
                <w:rFonts w:asciiTheme="minorHAnsi" w:hAnsiTheme="minorHAnsi"/>
                <w:b/>
                <w:color w:val="auto"/>
                <w:szCs w:val="24"/>
              </w:rPr>
              <w:t>0%</w:t>
            </w:r>
          </w:p>
        </w:tc>
      </w:tr>
    </w:tbl>
    <w:p w:rsidR="00B522CD" w:rsidRPr="009D4E68" w:rsidRDefault="008B5D31" w:rsidP="00491D6D">
      <w:pPr>
        <w:tabs>
          <w:tab w:val="left" w:pos="288"/>
          <w:tab w:val="left" w:pos="4752"/>
        </w:tabs>
        <w:spacing w:line="240" w:lineRule="exact"/>
        <w:jc w:val="both"/>
        <w:rPr>
          <w:rFonts w:asciiTheme="minorHAnsi" w:hAnsiTheme="minorHAnsi"/>
          <w:color w:val="auto"/>
        </w:rPr>
      </w:pPr>
      <w:r w:rsidRPr="009D4E68">
        <w:rPr>
          <w:rFonts w:asciiTheme="minorHAnsi" w:hAnsiTheme="minorHAnsi"/>
          <w:color w:val="auto"/>
          <w:u w:val="single"/>
        </w:rPr>
        <w:t>_______________________________________________________________</w:t>
      </w:r>
      <w:r w:rsidRPr="009D4E68">
        <w:rPr>
          <w:rFonts w:asciiTheme="minorHAnsi" w:hAnsiTheme="minorHAnsi"/>
          <w:color w:val="auto"/>
        </w:rPr>
        <w:t>_</w:t>
      </w:r>
      <w:r w:rsidR="00AC713F" w:rsidRPr="009D4E68">
        <w:rPr>
          <w:rFonts w:asciiTheme="minorHAnsi" w:hAnsiTheme="minorHAnsi"/>
          <w:color w:val="auto"/>
        </w:rPr>
        <w:t>______________</w:t>
      </w:r>
    </w:p>
    <w:p w:rsidR="00D91DA6" w:rsidRPr="009D4E68" w:rsidRDefault="00D91DA6" w:rsidP="00491D6D">
      <w:pPr>
        <w:tabs>
          <w:tab w:val="left" w:pos="288"/>
          <w:tab w:val="left" w:pos="4752"/>
        </w:tabs>
        <w:spacing w:line="240" w:lineRule="exact"/>
        <w:jc w:val="both"/>
        <w:rPr>
          <w:rFonts w:asciiTheme="minorHAnsi" w:hAnsiTheme="minorHAnsi"/>
          <w:color w:val="auto"/>
        </w:rPr>
      </w:pPr>
    </w:p>
    <w:p w:rsidR="00D91DA6" w:rsidRPr="009D4E68" w:rsidRDefault="00114F20" w:rsidP="00491D6D">
      <w:pPr>
        <w:tabs>
          <w:tab w:val="left" w:pos="288"/>
          <w:tab w:val="left" w:pos="4752"/>
        </w:tabs>
        <w:spacing w:line="240" w:lineRule="exact"/>
        <w:jc w:val="both"/>
        <w:rPr>
          <w:rFonts w:asciiTheme="minorHAnsi" w:hAnsiTheme="minorHAnsi"/>
          <w:color w:val="auto"/>
        </w:rPr>
      </w:pPr>
      <w:r w:rsidRPr="009D4E68">
        <w:rPr>
          <w:rFonts w:asciiTheme="minorHAnsi" w:hAnsiTheme="minorHAnsi"/>
          <w:color w:val="auto"/>
        </w:rPr>
        <w:t>The following documentary evidence was considered:</w:t>
      </w:r>
    </w:p>
    <w:p w:rsidR="00EB5EFD" w:rsidRPr="009D4E68" w:rsidRDefault="00EB5EFD" w:rsidP="00491D6D">
      <w:pPr>
        <w:tabs>
          <w:tab w:val="left" w:pos="288"/>
          <w:tab w:val="left" w:pos="4752"/>
        </w:tabs>
        <w:spacing w:line="240" w:lineRule="exact"/>
        <w:jc w:val="both"/>
        <w:rPr>
          <w:rFonts w:asciiTheme="minorHAnsi" w:hAnsiTheme="minorHAnsi"/>
          <w:color w:val="auto"/>
        </w:rPr>
      </w:pPr>
    </w:p>
    <w:p w:rsidR="00114F20" w:rsidRPr="009D4E68" w:rsidRDefault="0051146C" w:rsidP="00491D6D">
      <w:pPr>
        <w:tabs>
          <w:tab w:val="left" w:pos="288"/>
          <w:tab w:val="left" w:pos="4752"/>
        </w:tabs>
        <w:spacing w:line="240" w:lineRule="exact"/>
        <w:jc w:val="both"/>
        <w:rPr>
          <w:rFonts w:asciiTheme="minorHAnsi" w:hAnsiTheme="minorHAnsi"/>
          <w:color w:val="auto"/>
        </w:rPr>
      </w:pPr>
      <w:r w:rsidRPr="009D4E68">
        <w:rPr>
          <w:rFonts w:asciiTheme="minorHAnsi" w:hAnsiTheme="minorHAnsi"/>
          <w:color w:val="auto"/>
        </w:rPr>
        <w:t xml:space="preserve">Exhibit A.  DD Form </w:t>
      </w:r>
      <w:r w:rsidR="00AE4C2E" w:rsidRPr="009D4E68">
        <w:rPr>
          <w:rFonts w:asciiTheme="minorHAnsi" w:hAnsiTheme="minorHAnsi"/>
          <w:color w:val="auto"/>
        </w:rPr>
        <w:t>294</w:t>
      </w:r>
      <w:r w:rsidRPr="009D4E68">
        <w:rPr>
          <w:rFonts w:asciiTheme="minorHAnsi" w:hAnsiTheme="minorHAnsi"/>
          <w:color w:val="auto"/>
        </w:rPr>
        <w:t xml:space="preserve"> dated </w:t>
      </w:r>
      <w:r w:rsidR="0019273F" w:rsidRPr="009D4E68">
        <w:rPr>
          <w:rFonts w:asciiTheme="minorHAnsi" w:hAnsiTheme="minorHAnsi"/>
          <w:color w:val="auto"/>
        </w:rPr>
        <w:t>20</w:t>
      </w:r>
      <w:r w:rsidR="00863E30" w:rsidRPr="009D4E68">
        <w:rPr>
          <w:rFonts w:asciiTheme="minorHAnsi" w:hAnsiTheme="minorHAnsi"/>
          <w:color w:val="auto"/>
        </w:rPr>
        <w:t>100522</w:t>
      </w:r>
      <w:r w:rsidR="00114F20" w:rsidRPr="009D4E68">
        <w:rPr>
          <w:rFonts w:asciiTheme="minorHAnsi" w:hAnsiTheme="minorHAnsi"/>
          <w:color w:val="auto"/>
        </w:rPr>
        <w:t>, w/</w:t>
      </w:r>
      <w:proofErr w:type="spellStart"/>
      <w:r w:rsidR="00114F20" w:rsidRPr="009D4E68">
        <w:rPr>
          <w:rFonts w:asciiTheme="minorHAnsi" w:hAnsiTheme="minorHAnsi"/>
          <w:color w:val="auto"/>
        </w:rPr>
        <w:t>atchs</w:t>
      </w:r>
      <w:proofErr w:type="spellEnd"/>
      <w:r w:rsidR="00114F20" w:rsidRPr="009D4E68">
        <w:rPr>
          <w:rFonts w:asciiTheme="minorHAnsi" w:hAnsiTheme="minorHAnsi"/>
          <w:color w:val="auto"/>
        </w:rPr>
        <w:t>.</w:t>
      </w:r>
    </w:p>
    <w:p w:rsidR="00114F20" w:rsidRPr="009D4E68" w:rsidRDefault="00114F20" w:rsidP="00491D6D">
      <w:pPr>
        <w:tabs>
          <w:tab w:val="left" w:pos="288"/>
          <w:tab w:val="left" w:pos="4752"/>
        </w:tabs>
        <w:spacing w:line="240" w:lineRule="exact"/>
        <w:jc w:val="both"/>
        <w:rPr>
          <w:rFonts w:asciiTheme="minorHAnsi" w:hAnsiTheme="minorHAnsi"/>
          <w:color w:val="auto"/>
        </w:rPr>
      </w:pPr>
      <w:r w:rsidRPr="009D4E68">
        <w:rPr>
          <w:rFonts w:asciiTheme="minorHAnsi" w:hAnsiTheme="minorHAnsi"/>
          <w:color w:val="auto"/>
        </w:rPr>
        <w:t xml:space="preserve">Exhibit B.  </w:t>
      </w:r>
      <w:proofErr w:type="gramStart"/>
      <w:r w:rsidRPr="009D4E68">
        <w:rPr>
          <w:rFonts w:asciiTheme="minorHAnsi" w:hAnsiTheme="minorHAnsi"/>
          <w:color w:val="auto"/>
        </w:rPr>
        <w:t>Service Treatment Record.</w:t>
      </w:r>
      <w:proofErr w:type="gramEnd"/>
    </w:p>
    <w:p w:rsidR="00114F20" w:rsidRPr="009D4E68" w:rsidRDefault="00114F20" w:rsidP="00491D6D">
      <w:pPr>
        <w:tabs>
          <w:tab w:val="left" w:pos="288"/>
          <w:tab w:val="left" w:pos="4752"/>
        </w:tabs>
        <w:spacing w:line="240" w:lineRule="exact"/>
        <w:jc w:val="both"/>
        <w:rPr>
          <w:rFonts w:asciiTheme="minorHAnsi" w:hAnsiTheme="minorHAnsi"/>
          <w:color w:val="auto"/>
        </w:rPr>
      </w:pPr>
      <w:r w:rsidRPr="009D4E68">
        <w:rPr>
          <w:rFonts w:asciiTheme="minorHAnsi" w:hAnsiTheme="minorHAnsi"/>
          <w:color w:val="auto"/>
        </w:rPr>
        <w:t xml:space="preserve">Exhibit C.  </w:t>
      </w:r>
      <w:proofErr w:type="gramStart"/>
      <w:r w:rsidRPr="009D4E68">
        <w:rPr>
          <w:rFonts w:asciiTheme="minorHAnsi" w:hAnsiTheme="minorHAnsi"/>
          <w:color w:val="auto"/>
        </w:rPr>
        <w:t>Department of Veterans</w:t>
      </w:r>
      <w:r w:rsidR="00385D6F" w:rsidRPr="009D4E68">
        <w:rPr>
          <w:rFonts w:asciiTheme="minorHAnsi" w:hAnsiTheme="minorHAnsi"/>
          <w:color w:val="auto"/>
        </w:rPr>
        <w:t>'</w:t>
      </w:r>
      <w:r w:rsidRPr="009D4E68">
        <w:rPr>
          <w:rFonts w:asciiTheme="minorHAnsi" w:hAnsiTheme="minorHAnsi"/>
          <w:color w:val="auto"/>
        </w:rPr>
        <w:t xml:space="preserve"> Affairs Treatment Record.</w:t>
      </w:r>
      <w:proofErr w:type="gramEnd"/>
    </w:p>
    <w:p w:rsidR="00D91DA6" w:rsidRPr="009D4E68" w:rsidRDefault="00D91DA6" w:rsidP="00491D6D">
      <w:pPr>
        <w:tabs>
          <w:tab w:val="left" w:pos="288"/>
          <w:tab w:val="left" w:pos="4752"/>
        </w:tabs>
        <w:spacing w:line="240" w:lineRule="exact"/>
        <w:jc w:val="both"/>
        <w:rPr>
          <w:rFonts w:asciiTheme="minorHAnsi" w:hAnsiTheme="minorHAnsi"/>
          <w:color w:val="auto"/>
        </w:rPr>
      </w:pPr>
    </w:p>
    <w:p w:rsidR="00114F20" w:rsidRPr="009D4E68" w:rsidRDefault="00114F20" w:rsidP="00491D6D">
      <w:pPr>
        <w:tabs>
          <w:tab w:val="left" w:pos="288"/>
          <w:tab w:val="left" w:pos="4752"/>
        </w:tabs>
        <w:spacing w:line="240" w:lineRule="exact"/>
        <w:jc w:val="both"/>
        <w:rPr>
          <w:rFonts w:asciiTheme="minorHAnsi" w:hAnsiTheme="minorHAnsi"/>
          <w:color w:val="auto"/>
        </w:rPr>
      </w:pPr>
    </w:p>
    <w:p w:rsidR="00114F20" w:rsidRPr="009D4E68" w:rsidRDefault="00114F20" w:rsidP="00491D6D">
      <w:pPr>
        <w:tabs>
          <w:tab w:val="left" w:pos="288"/>
          <w:tab w:val="left" w:pos="4752"/>
        </w:tabs>
        <w:spacing w:line="240" w:lineRule="exact"/>
        <w:jc w:val="both"/>
        <w:rPr>
          <w:rFonts w:asciiTheme="minorHAnsi" w:hAnsiTheme="minorHAnsi"/>
          <w:color w:val="auto"/>
        </w:rPr>
      </w:pPr>
    </w:p>
    <w:p w:rsidR="00491D6D" w:rsidRPr="009D4E68" w:rsidRDefault="00491D6D" w:rsidP="00491D6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9D4E68">
        <w:rPr>
          <w:rFonts w:asciiTheme="minorHAnsi" w:hAnsiTheme="minorHAnsi"/>
          <w:color w:val="auto"/>
        </w:rPr>
        <w:t xml:space="preserve">                             </w:t>
      </w:r>
      <w:r w:rsidRPr="009D4E68">
        <w:rPr>
          <w:rFonts w:asciiTheme="minorHAnsi" w:hAnsiTheme="minorHAnsi"/>
          <w:color w:val="auto"/>
        </w:rPr>
        <w:tab/>
      </w:r>
      <w:r w:rsidRPr="009D4E68">
        <w:rPr>
          <w:rFonts w:asciiTheme="minorHAnsi" w:hAnsiTheme="minorHAnsi"/>
          <w:color w:val="auto"/>
        </w:rPr>
        <w:tab/>
        <w:t>Deputy Director</w:t>
      </w:r>
    </w:p>
    <w:p w:rsidR="00AA04B3" w:rsidRDefault="00491D6D" w:rsidP="00491D6D">
      <w:pPr>
        <w:tabs>
          <w:tab w:val="left" w:pos="288"/>
          <w:tab w:val="left" w:pos="4320"/>
          <w:tab w:val="left" w:pos="4410"/>
          <w:tab w:val="left" w:pos="4770"/>
          <w:tab w:val="left" w:pos="4860"/>
          <w:tab w:val="left" w:pos="5040"/>
        </w:tabs>
        <w:spacing w:line="240" w:lineRule="exact"/>
        <w:jc w:val="both"/>
        <w:rPr>
          <w:color w:val="000080"/>
        </w:rPr>
      </w:pPr>
      <w:r w:rsidRPr="009D4E68">
        <w:rPr>
          <w:rFonts w:asciiTheme="minorHAnsi" w:hAnsiTheme="minorHAnsi"/>
          <w:color w:val="auto"/>
        </w:rPr>
        <w:tab/>
        <w:t xml:space="preserve">                           </w:t>
      </w:r>
      <w:r w:rsidRPr="009D4E68">
        <w:rPr>
          <w:rFonts w:asciiTheme="minorHAnsi" w:hAnsiTheme="minorHAnsi"/>
          <w:color w:val="auto"/>
        </w:rPr>
        <w:tab/>
      </w:r>
      <w:r w:rsidRPr="009D4E68">
        <w:rPr>
          <w:rFonts w:asciiTheme="minorHAnsi" w:hAnsiTheme="minorHAnsi"/>
          <w:color w:val="auto"/>
        </w:rPr>
        <w:tab/>
        <w:t>Physical Disability Board of Review</w:t>
      </w:r>
    </w:p>
    <w:p w:rsidR="00B36569" w:rsidRPr="00863E30" w:rsidRDefault="00B36569" w:rsidP="00491D6D">
      <w:pPr>
        <w:tabs>
          <w:tab w:val="left" w:pos="288"/>
          <w:tab w:val="left" w:pos="4752"/>
        </w:tabs>
        <w:spacing w:line="240" w:lineRule="exact"/>
        <w:jc w:val="both"/>
        <w:rPr>
          <w:rFonts w:asciiTheme="minorHAnsi" w:hAnsiTheme="minorHAnsi"/>
          <w:color w:val="auto"/>
          <w:sz w:val="18"/>
          <w:szCs w:val="18"/>
          <w:u w:val="single"/>
        </w:rPr>
      </w:pPr>
    </w:p>
    <w:p w:rsidR="00922506" w:rsidRDefault="00922506" w:rsidP="00541C47">
      <w:pPr>
        <w:tabs>
          <w:tab w:val="left" w:pos="900"/>
          <w:tab w:val="left" w:pos="1160"/>
          <w:tab w:val="left" w:pos="1440"/>
          <w:tab w:val="left" w:pos="1800"/>
          <w:tab w:val="right" w:leader="dot" w:pos="9180"/>
        </w:tabs>
        <w:spacing w:line="200" w:lineRule="exact"/>
        <w:rPr>
          <w:rFonts w:ascii="Times New Roman" w:hAnsi="Times New Roman"/>
          <w:color w:val="auto"/>
          <w:szCs w:val="24"/>
        </w:rPr>
      </w:pPr>
    </w:p>
    <w:p w:rsidR="00922506" w:rsidRDefault="00922506" w:rsidP="00541C47">
      <w:pPr>
        <w:tabs>
          <w:tab w:val="left" w:pos="900"/>
          <w:tab w:val="left" w:pos="1160"/>
          <w:tab w:val="left" w:pos="1440"/>
          <w:tab w:val="left" w:pos="1800"/>
          <w:tab w:val="right" w:leader="dot" w:pos="9180"/>
        </w:tabs>
        <w:spacing w:line="200" w:lineRule="exact"/>
        <w:rPr>
          <w:rFonts w:ascii="Times New Roman" w:hAnsi="Times New Roman"/>
          <w:color w:val="auto"/>
          <w:szCs w:val="24"/>
        </w:rPr>
      </w:pPr>
    </w:p>
    <w:p w:rsidR="003C7EC5" w:rsidRDefault="003C7EC5">
      <w:pPr>
        <w:rPr>
          <w:rFonts w:ascii="Times New Roman" w:hAnsi="Times New Roman"/>
          <w:color w:val="auto"/>
          <w:szCs w:val="24"/>
        </w:rPr>
      </w:pPr>
      <w:r>
        <w:rPr>
          <w:rFonts w:ascii="Times New Roman" w:hAnsi="Times New Roman"/>
          <w:color w:val="auto"/>
          <w:szCs w:val="24"/>
        </w:rPr>
        <w:br w:type="page"/>
      </w:r>
    </w:p>
    <w:p w:rsidR="003C7EC5" w:rsidRDefault="00922506" w:rsidP="003C7EC5">
      <w:pPr>
        <w:tabs>
          <w:tab w:val="left" w:pos="900"/>
          <w:tab w:val="left" w:pos="1160"/>
          <w:tab w:val="left" w:pos="1440"/>
          <w:tab w:val="left" w:pos="1800"/>
          <w:tab w:val="right" w:leader="dot" w:pos="9180"/>
        </w:tabs>
        <w:spacing w:line="200" w:lineRule="exact"/>
        <w:jc w:val="center"/>
        <w:rPr>
          <w:rFonts w:asciiTheme="minorHAnsi" w:hAnsiTheme="minorHAnsi"/>
          <w:color w:val="auto"/>
          <w:szCs w:val="24"/>
          <w:u w:val="single"/>
        </w:rPr>
      </w:pPr>
      <w:r w:rsidRPr="00922506">
        <w:rPr>
          <w:rFonts w:asciiTheme="minorHAnsi" w:hAnsiTheme="minorHAnsi"/>
          <w:color w:val="auto"/>
          <w:szCs w:val="24"/>
          <w:u w:val="single"/>
        </w:rPr>
        <w:lastRenderedPageBreak/>
        <w:t>Minority Opinion</w:t>
      </w:r>
    </w:p>
    <w:p w:rsidR="003C7EC5" w:rsidRDefault="003C7EC5" w:rsidP="003C7EC5">
      <w:pPr>
        <w:tabs>
          <w:tab w:val="left" w:pos="900"/>
          <w:tab w:val="left" w:pos="1160"/>
          <w:tab w:val="left" w:pos="1440"/>
          <w:tab w:val="left" w:pos="1800"/>
          <w:tab w:val="right" w:leader="dot" w:pos="9180"/>
        </w:tabs>
        <w:spacing w:line="200" w:lineRule="exact"/>
        <w:jc w:val="center"/>
        <w:rPr>
          <w:rFonts w:asciiTheme="minorHAnsi" w:hAnsiTheme="minorHAnsi"/>
          <w:color w:val="auto"/>
          <w:szCs w:val="24"/>
        </w:rPr>
      </w:pPr>
    </w:p>
    <w:p w:rsidR="003C7EC5" w:rsidRDefault="003C7EC5" w:rsidP="00CD3973">
      <w:pPr>
        <w:tabs>
          <w:tab w:val="left" w:pos="900"/>
          <w:tab w:val="left" w:pos="1160"/>
          <w:tab w:val="left" w:pos="1440"/>
          <w:tab w:val="left" w:pos="1800"/>
          <w:tab w:val="right" w:leader="dot" w:pos="9180"/>
        </w:tabs>
        <w:spacing w:line="200" w:lineRule="exact"/>
        <w:jc w:val="both"/>
        <w:rPr>
          <w:rFonts w:asciiTheme="minorHAnsi" w:hAnsiTheme="minorHAnsi"/>
          <w:color w:val="auto"/>
          <w:szCs w:val="24"/>
        </w:rPr>
      </w:pPr>
    </w:p>
    <w:p w:rsidR="00922506" w:rsidRDefault="00922506" w:rsidP="00A97F99">
      <w:pPr>
        <w:tabs>
          <w:tab w:val="left" w:pos="900"/>
          <w:tab w:val="left" w:pos="1160"/>
          <w:tab w:val="left" w:pos="1440"/>
          <w:tab w:val="left" w:pos="1800"/>
          <w:tab w:val="right" w:leader="dot" w:pos="9180"/>
        </w:tabs>
        <w:spacing w:line="240" w:lineRule="exact"/>
        <w:jc w:val="both"/>
        <w:rPr>
          <w:rFonts w:asciiTheme="minorHAnsi" w:hAnsiTheme="minorHAnsi"/>
          <w:color w:val="auto"/>
          <w:szCs w:val="24"/>
        </w:rPr>
      </w:pPr>
      <w:r>
        <w:rPr>
          <w:rFonts w:asciiTheme="minorHAnsi" w:hAnsiTheme="minorHAnsi"/>
          <w:color w:val="auto"/>
          <w:szCs w:val="24"/>
        </w:rPr>
        <w:t>The Action Officer (AO) recommends that under VASRD code 5275-</w:t>
      </w:r>
      <w:r w:rsidR="0073468F">
        <w:rPr>
          <w:rFonts w:asciiTheme="minorHAnsi" w:hAnsiTheme="minorHAnsi"/>
          <w:color w:val="auto"/>
          <w:szCs w:val="24"/>
        </w:rPr>
        <w:t>5262 the</w:t>
      </w:r>
      <w:r>
        <w:rPr>
          <w:rFonts w:asciiTheme="minorHAnsi" w:hAnsiTheme="minorHAnsi"/>
          <w:color w:val="auto"/>
          <w:szCs w:val="24"/>
        </w:rPr>
        <w:t xml:space="preserve"> “</w:t>
      </w:r>
      <w:r w:rsidR="00A97F99">
        <w:rPr>
          <w:rFonts w:asciiTheme="minorHAnsi" w:hAnsiTheme="minorHAnsi"/>
          <w:color w:val="auto"/>
          <w:szCs w:val="24"/>
        </w:rPr>
        <w:t>s</w:t>
      </w:r>
      <w:r w:rsidR="003D12CB">
        <w:rPr>
          <w:rFonts w:asciiTheme="minorHAnsi" w:hAnsiTheme="minorHAnsi"/>
          <w:color w:val="auto"/>
          <w:szCs w:val="24"/>
        </w:rPr>
        <w:t xml:space="preserve">tatus </w:t>
      </w:r>
      <w:r w:rsidR="00A97F99">
        <w:rPr>
          <w:rFonts w:asciiTheme="minorHAnsi" w:hAnsiTheme="minorHAnsi"/>
          <w:color w:val="auto"/>
          <w:szCs w:val="24"/>
        </w:rPr>
        <w:t>p</w:t>
      </w:r>
      <w:r w:rsidR="003D12CB">
        <w:rPr>
          <w:rFonts w:asciiTheme="minorHAnsi" w:hAnsiTheme="minorHAnsi"/>
          <w:color w:val="auto"/>
          <w:szCs w:val="24"/>
        </w:rPr>
        <w:t xml:space="preserve">ost </w:t>
      </w:r>
      <w:r w:rsidR="00A97F99">
        <w:rPr>
          <w:rFonts w:asciiTheme="minorHAnsi" w:hAnsiTheme="minorHAnsi"/>
          <w:color w:val="auto"/>
          <w:szCs w:val="24"/>
        </w:rPr>
        <w:t>l</w:t>
      </w:r>
      <w:r w:rsidR="003D12CB">
        <w:rPr>
          <w:rFonts w:asciiTheme="minorHAnsi" w:hAnsiTheme="minorHAnsi"/>
          <w:color w:val="auto"/>
          <w:szCs w:val="24"/>
        </w:rPr>
        <w:t xml:space="preserve">eft </w:t>
      </w:r>
      <w:r w:rsidR="00A97F99">
        <w:rPr>
          <w:rFonts w:asciiTheme="minorHAnsi" w:hAnsiTheme="minorHAnsi"/>
          <w:color w:val="auto"/>
          <w:szCs w:val="24"/>
        </w:rPr>
        <w:t>t</w:t>
      </w:r>
      <w:r w:rsidR="003D12CB">
        <w:rPr>
          <w:rFonts w:asciiTheme="minorHAnsi" w:hAnsiTheme="minorHAnsi"/>
          <w:color w:val="auto"/>
          <w:szCs w:val="24"/>
        </w:rPr>
        <w:t>ibia</w:t>
      </w:r>
      <w:r>
        <w:rPr>
          <w:rFonts w:asciiTheme="minorHAnsi" w:hAnsiTheme="minorHAnsi"/>
          <w:color w:val="auto"/>
          <w:szCs w:val="24"/>
        </w:rPr>
        <w:t xml:space="preserve"> and </w:t>
      </w:r>
      <w:r w:rsidR="00A97F99">
        <w:rPr>
          <w:rFonts w:asciiTheme="minorHAnsi" w:hAnsiTheme="minorHAnsi"/>
          <w:color w:val="auto"/>
          <w:szCs w:val="24"/>
        </w:rPr>
        <w:t>f</w:t>
      </w:r>
      <w:r>
        <w:rPr>
          <w:rFonts w:asciiTheme="minorHAnsi" w:hAnsiTheme="minorHAnsi"/>
          <w:color w:val="auto"/>
          <w:szCs w:val="24"/>
        </w:rPr>
        <w:t xml:space="preserve">ibula </w:t>
      </w:r>
      <w:r w:rsidR="00A97F99">
        <w:rPr>
          <w:rFonts w:asciiTheme="minorHAnsi" w:hAnsiTheme="minorHAnsi"/>
          <w:color w:val="auto"/>
          <w:szCs w:val="24"/>
        </w:rPr>
        <w:t>f</w:t>
      </w:r>
      <w:r>
        <w:rPr>
          <w:rFonts w:asciiTheme="minorHAnsi" w:hAnsiTheme="minorHAnsi"/>
          <w:color w:val="auto"/>
          <w:szCs w:val="24"/>
        </w:rPr>
        <w:t xml:space="preserve">ractures” be rated at 30%.  The CI’s injuries were not primarily restricted to </w:t>
      </w:r>
      <w:r w:rsidR="003D12CB">
        <w:rPr>
          <w:rFonts w:asciiTheme="minorHAnsi" w:hAnsiTheme="minorHAnsi"/>
          <w:color w:val="auto"/>
          <w:szCs w:val="24"/>
        </w:rPr>
        <w:t>the left</w:t>
      </w:r>
      <w:r>
        <w:rPr>
          <w:rFonts w:asciiTheme="minorHAnsi" w:hAnsiTheme="minorHAnsi"/>
          <w:color w:val="auto"/>
          <w:szCs w:val="24"/>
        </w:rPr>
        <w:t xml:space="preserve"> knee but affected the entire </w:t>
      </w:r>
      <w:r w:rsidR="003D12CB">
        <w:rPr>
          <w:rFonts w:asciiTheme="minorHAnsi" w:hAnsiTheme="minorHAnsi"/>
          <w:color w:val="auto"/>
          <w:szCs w:val="24"/>
        </w:rPr>
        <w:t>left lower</w:t>
      </w:r>
      <w:r>
        <w:rPr>
          <w:rFonts w:asciiTheme="minorHAnsi" w:hAnsiTheme="minorHAnsi"/>
          <w:color w:val="auto"/>
          <w:szCs w:val="24"/>
        </w:rPr>
        <w:t xml:space="preserve"> leg including the left ankle and foot</w:t>
      </w:r>
      <w:r w:rsidR="003D12CB">
        <w:rPr>
          <w:rFonts w:asciiTheme="minorHAnsi" w:hAnsiTheme="minorHAnsi"/>
          <w:color w:val="auto"/>
          <w:szCs w:val="24"/>
        </w:rPr>
        <w:t>.  The N</w:t>
      </w:r>
      <w:r w:rsidR="00A97F99">
        <w:rPr>
          <w:rFonts w:asciiTheme="minorHAnsi" w:hAnsiTheme="minorHAnsi"/>
          <w:color w:val="auto"/>
          <w:szCs w:val="24"/>
        </w:rPr>
        <w:t>avy</w:t>
      </w:r>
      <w:r w:rsidR="003D12CB">
        <w:rPr>
          <w:rFonts w:asciiTheme="minorHAnsi" w:hAnsiTheme="minorHAnsi"/>
          <w:color w:val="auto"/>
          <w:szCs w:val="24"/>
        </w:rPr>
        <w:t xml:space="preserve"> PEB rated the injury as 5003 “</w:t>
      </w:r>
      <w:r w:rsidR="00A97F99">
        <w:rPr>
          <w:rFonts w:asciiTheme="minorHAnsi" w:hAnsiTheme="minorHAnsi"/>
          <w:color w:val="auto"/>
          <w:szCs w:val="24"/>
        </w:rPr>
        <w:t>a</w:t>
      </w:r>
      <w:r w:rsidR="0073468F">
        <w:rPr>
          <w:rFonts w:asciiTheme="minorHAnsi" w:hAnsiTheme="minorHAnsi"/>
          <w:color w:val="auto"/>
          <w:szCs w:val="24"/>
        </w:rPr>
        <w:t>rthritis, de</w:t>
      </w:r>
      <w:r w:rsidR="003D12CB">
        <w:rPr>
          <w:rFonts w:asciiTheme="minorHAnsi" w:hAnsiTheme="minorHAnsi"/>
          <w:color w:val="auto"/>
          <w:szCs w:val="24"/>
        </w:rPr>
        <w:t>ge</w:t>
      </w:r>
      <w:r w:rsidR="0073468F">
        <w:rPr>
          <w:rFonts w:asciiTheme="minorHAnsi" w:hAnsiTheme="minorHAnsi"/>
          <w:color w:val="auto"/>
          <w:szCs w:val="24"/>
        </w:rPr>
        <w:t>ne</w:t>
      </w:r>
      <w:r w:rsidR="003D12CB">
        <w:rPr>
          <w:rFonts w:asciiTheme="minorHAnsi" w:hAnsiTheme="minorHAnsi"/>
          <w:color w:val="auto"/>
          <w:szCs w:val="24"/>
        </w:rPr>
        <w:t>rative</w:t>
      </w:r>
      <w:r w:rsidR="00A97F99">
        <w:rPr>
          <w:rFonts w:asciiTheme="minorHAnsi" w:hAnsiTheme="minorHAnsi"/>
          <w:color w:val="auto"/>
          <w:szCs w:val="24"/>
        </w:rPr>
        <w:t>,</w:t>
      </w:r>
      <w:r w:rsidR="003D12CB">
        <w:rPr>
          <w:rFonts w:asciiTheme="minorHAnsi" w:hAnsiTheme="minorHAnsi"/>
          <w:color w:val="auto"/>
          <w:szCs w:val="24"/>
        </w:rPr>
        <w:t>” and c</w:t>
      </w:r>
      <w:r w:rsidR="0073468F">
        <w:rPr>
          <w:rFonts w:asciiTheme="minorHAnsi" w:hAnsiTheme="minorHAnsi"/>
          <w:color w:val="auto"/>
          <w:szCs w:val="24"/>
        </w:rPr>
        <w:t xml:space="preserve">onsidered only the knee, choosing to parse out the injuries. </w:t>
      </w:r>
      <w:r w:rsidR="003D12CB">
        <w:rPr>
          <w:rFonts w:asciiTheme="minorHAnsi" w:hAnsiTheme="minorHAnsi"/>
          <w:color w:val="auto"/>
          <w:szCs w:val="24"/>
        </w:rPr>
        <w:t xml:space="preserve"> The findings on exam of bowing of the left leg, ankle rolling, </w:t>
      </w:r>
      <w:r w:rsidR="0073468F">
        <w:rPr>
          <w:rFonts w:asciiTheme="minorHAnsi" w:hAnsiTheme="minorHAnsi"/>
          <w:color w:val="auto"/>
          <w:szCs w:val="24"/>
        </w:rPr>
        <w:t>and antalgic</w:t>
      </w:r>
      <w:r w:rsidR="003D12CB">
        <w:rPr>
          <w:rFonts w:asciiTheme="minorHAnsi" w:hAnsiTheme="minorHAnsi"/>
          <w:color w:val="auto"/>
          <w:szCs w:val="24"/>
        </w:rPr>
        <w:t xml:space="preserve"> gait, limited ROM of the foot and ankle were well</w:t>
      </w:r>
      <w:r w:rsidR="00A97F99">
        <w:rPr>
          <w:rFonts w:asciiTheme="minorHAnsi" w:hAnsiTheme="minorHAnsi"/>
          <w:color w:val="auto"/>
          <w:szCs w:val="24"/>
        </w:rPr>
        <w:t>-</w:t>
      </w:r>
      <w:r w:rsidR="003D12CB">
        <w:rPr>
          <w:rFonts w:asciiTheme="minorHAnsi" w:hAnsiTheme="minorHAnsi"/>
          <w:color w:val="auto"/>
          <w:szCs w:val="24"/>
        </w:rPr>
        <w:t>documented</w:t>
      </w:r>
      <w:r w:rsidR="00A97F99">
        <w:rPr>
          <w:rFonts w:asciiTheme="minorHAnsi" w:hAnsiTheme="minorHAnsi"/>
          <w:color w:val="auto"/>
          <w:szCs w:val="24"/>
        </w:rPr>
        <w:t>,</w:t>
      </w:r>
      <w:r w:rsidR="003D12CB">
        <w:rPr>
          <w:rFonts w:asciiTheme="minorHAnsi" w:hAnsiTheme="minorHAnsi"/>
          <w:color w:val="auto"/>
          <w:szCs w:val="24"/>
        </w:rPr>
        <w:t xml:space="preserve"> indicating that the injury involved the left knee, ankle</w:t>
      </w:r>
      <w:r w:rsidR="00A97F99">
        <w:rPr>
          <w:rFonts w:asciiTheme="minorHAnsi" w:hAnsiTheme="minorHAnsi"/>
          <w:color w:val="auto"/>
          <w:szCs w:val="24"/>
        </w:rPr>
        <w:t>,</w:t>
      </w:r>
      <w:r w:rsidR="003D12CB">
        <w:rPr>
          <w:rFonts w:asciiTheme="minorHAnsi" w:hAnsiTheme="minorHAnsi"/>
          <w:color w:val="auto"/>
          <w:szCs w:val="24"/>
        </w:rPr>
        <w:t xml:space="preserve"> and foot.</w:t>
      </w:r>
    </w:p>
    <w:p w:rsidR="00CD3973" w:rsidRDefault="00CD3973" w:rsidP="00A97F99">
      <w:pPr>
        <w:tabs>
          <w:tab w:val="left" w:pos="900"/>
          <w:tab w:val="left" w:pos="1160"/>
          <w:tab w:val="left" w:pos="1440"/>
          <w:tab w:val="left" w:pos="1800"/>
          <w:tab w:val="right" w:leader="dot" w:pos="9180"/>
        </w:tabs>
        <w:spacing w:line="240" w:lineRule="exact"/>
        <w:jc w:val="both"/>
        <w:rPr>
          <w:rFonts w:asciiTheme="minorHAnsi" w:hAnsiTheme="minorHAnsi"/>
          <w:color w:val="auto"/>
          <w:szCs w:val="24"/>
        </w:rPr>
      </w:pPr>
    </w:p>
    <w:p w:rsidR="00CD3973" w:rsidRDefault="0073468F" w:rsidP="00A97F99">
      <w:pPr>
        <w:tabs>
          <w:tab w:val="left" w:pos="900"/>
          <w:tab w:val="left" w:pos="1160"/>
          <w:tab w:val="left" w:pos="1440"/>
          <w:tab w:val="left" w:pos="1800"/>
          <w:tab w:val="right" w:leader="dot" w:pos="9180"/>
        </w:tabs>
        <w:spacing w:line="240" w:lineRule="exact"/>
        <w:jc w:val="both"/>
        <w:rPr>
          <w:rFonts w:asciiTheme="minorHAnsi" w:hAnsiTheme="minorHAnsi"/>
          <w:color w:val="auto"/>
          <w:szCs w:val="24"/>
        </w:rPr>
      </w:pPr>
      <w:r>
        <w:rPr>
          <w:rFonts w:asciiTheme="minorHAnsi" w:hAnsiTheme="minorHAnsi"/>
          <w:color w:val="auto"/>
          <w:szCs w:val="24"/>
        </w:rPr>
        <w:t xml:space="preserve">The Board deliberated between two rating schemes which included S/P </w:t>
      </w:r>
      <w:r w:rsidR="00A97F99">
        <w:rPr>
          <w:rFonts w:asciiTheme="minorHAnsi" w:hAnsiTheme="minorHAnsi"/>
          <w:color w:val="auto"/>
          <w:szCs w:val="24"/>
        </w:rPr>
        <w:t>l</w:t>
      </w:r>
      <w:r>
        <w:rPr>
          <w:rFonts w:asciiTheme="minorHAnsi" w:hAnsiTheme="minorHAnsi"/>
          <w:color w:val="auto"/>
          <w:szCs w:val="24"/>
        </w:rPr>
        <w:t xml:space="preserve">eft tibia and </w:t>
      </w:r>
      <w:r w:rsidR="00A97F99">
        <w:rPr>
          <w:rFonts w:asciiTheme="minorHAnsi" w:hAnsiTheme="minorHAnsi"/>
          <w:color w:val="auto"/>
          <w:szCs w:val="24"/>
        </w:rPr>
        <w:t>f</w:t>
      </w:r>
      <w:r>
        <w:rPr>
          <w:rFonts w:asciiTheme="minorHAnsi" w:hAnsiTheme="minorHAnsi"/>
          <w:color w:val="auto"/>
          <w:szCs w:val="24"/>
        </w:rPr>
        <w:t xml:space="preserve">ibula </w:t>
      </w:r>
      <w:r w:rsidR="00A97F99">
        <w:rPr>
          <w:rFonts w:asciiTheme="minorHAnsi" w:hAnsiTheme="minorHAnsi"/>
          <w:color w:val="auto"/>
          <w:szCs w:val="24"/>
        </w:rPr>
        <w:t>f</w:t>
      </w:r>
      <w:r>
        <w:rPr>
          <w:rFonts w:asciiTheme="minorHAnsi" w:hAnsiTheme="minorHAnsi"/>
          <w:color w:val="auto"/>
          <w:szCs w:val="24"/>
        </w:rPr>
        <w:t xml:space="preserve">ractures at 20% and 30%. The </w:t>
      </w:r>
      <w:r w:rsidR="00CD3973">
        <w:rPr>
          <w:rFonts w:asciiTheme="minorHAnsi" w:hAnsiTheme="minorHAnsi"/>
          <w:color w:val="auto"/>
          <w:szCs w:val="24"/>
        </w:rPr>
        <w:t>majority for 20% agreed that the CI’s injuries were primarily restricted to the left knee or ankle</w:t>
      </w:r>
      <w:r w:rsidR="00A97F99">
        <w:rPr>
          <w:rFonts w:asciiTheme="minorHAnsi" w:hAnsiTheme="minorHAnsi"/>
          <w:color w:val="auto"/>
          <w:szCs w:val="24"/>
        </w:rPr>
        <w:t>,</w:t>
      </w:r>
      <w:r w:rsidR="00CD3973">
        <w:rPr>
          <w:rFonts w:asciiTheme="minorHAnsi" w:hAnsiTheme="minorHAnsi"/>
          <w:color w:val="auto"/>
          <w:szCs w:val="24"/>
        </w:rPr>
        <w:t xml:space="preserve"> and chooses</w:t>
      </w:r>
      <w:r>
        <w:rPr>
          <w:rFonts w:asciiTheme="minorHAnsi" w:hAnsiTheme="minorHAnsi"/>
          <w:color w:val="auto"/>
          <w:szCs w:val="24"/>
        </w:rPr>
        <w:t xml:space="preserve"> the moderate knee or ankle disability.  </w:t>
      </w:r>
      <w:r w:rsidR="00CD3973">
        <w:rPr>
          <w:rFonts w:asciiTheme="minorHAnsi" w:hAnsiTheme="minorHAnsi"/>
          <w:color w:val="auto"/>
          <w:szCs w:val="24"/>
        </w:rPr>
        <w:t>By virtue of the facts that the CI had bowing of the left leg, ankle rolling, antalgic gait, and limited ROM of both the foot and ankle</w:t>
      </w:r>
      <w:r w:rsidR="00A97F99">
        <w:rPr>
          <w:rFonts w:asciiTheme="minorHAnsi" w:hAnsiTheme="minorHAnsi"/>
          <w:color w:val="auto"/>
          <w:szCs w:val="24"/>
        </w:rPr>
        <w:t>,</w:t>
      </w:r>
      <w:r w:rsidR="00CD3973">
        <w:rPr>
          <w:rFonts w:asciiTheme="minorHAnsi" w:hAnsiTheme="minorHAnsi"/>
          <w:color w:val="auto"/>
          <w:szCs w:val="24"/>
        </w:rPr>
        <w:t xml:space="preserve"> as was clearly documented on exams</w:t>
      </w:r>
      <w:r w:rsidR="00A97F99">
        <w:rPr>
          <w:rFonts w:asciiTheme="minorHAnsi" w:hAnsiTheme="minorHAnsi"/>
          <w:color w:val="auto"/>
          <w:szCs w:val="24"/>
        </w:rPr>
        <w:t>,</w:t>
      </w:r>
      <w:r w:rsidR="00CD3973">
        <w:rPr>
          <w:rFonts w:asciiTheme="minorHAnsi" w:hAnsiTheme="minorHAnsi"/>
          <w:color w:val="auto"/>
          <w:szCs w:val="24"/>
        </w:rPr>
        <w:t xml:space="preserve"> this indicates a marked knee or ankle disability</w:t>
      </w:r>
      <w:r w:rsidR="00A97F99">
        <w:rPr>
          <w:rFonts w:asciiTheme="minorHAnsi" w:hAnsiTheme="minorHAnsi"/>
          <w:color w:val="auto"/>
          <w:szCs w:val="24"/>
        </w:rPr>
        <w:t>,</w:t>
      </w:r>
      <w:r w:rsidR="00CD3973">
        <w:rPr>
          <w:rFonts w:asciiTheme="minorHAnsi" w:hAnsiTheme="minorHAnsi"/>
          <w:color w:val="auto"/>
          <w:szCs w:val="24"/>
        </w:rPr>
        <w:t xml:space="preserve"> and should be rated at 30% disability.</w:t>
      </w:r>
    </w:p>
    <w:p w:rsidR="00CD3973" w:rsidRDefault="00CD3973" w:rsidP="00A97F99">
      <w:pPr>
        <w:tabs>
          <w:tab w:val="left" w:pos="900"/>
          <w:tab w:val="left" w:pos="1160"/>
          <w:tab w:val="left" w:pos="1440"/>
          <w:tab w:val="left" w:pos="1800"/>
          <w:tab w:val="right" w:leader="dot" w:pos="9180"/>
        </w:tabs>
        <w:spacing w:line="240" w:lineRule="exact"/>
        <w:jc w:val="both"/>
        <w:rPr>
          <w:rFonts w:asciiTheme="minorHAnsi" w:hAnsiTheme="minorHAnsi"/>
          <w:color w:val="auto"/>
          <w:szCs w:val="24"/>
        </w:rPr>
      </w:pPr>
      <w:r>
        <w:rPr>
          <w:rFonts w:asciiTheme="minorHAnsi" w:hAnsiTheme="minorHAnsi"/>
          <w:color w:val="auto"/>
          <w:szCs w:val="24"/>
        </w:rPr>
        <w:t xml:space="preserve">     </w:t>
      </w:r>
    </w:p>
    <w:p w:rsidR="00CD3973" w:rsidRDefault="00CD3973" w:rsidP="00A97F99">
      <w:pPr>
        <w:tabs>
          <w:tab w:val="left" w:pos="900"/>
          <w:tab w:val="left" w:pos="1160"/>
          <w:tab w:val="left" w:pos="1440"/>
          <w:tab w:val="left" w:pos="1800"/>
          <w:tab w:val="right" w:leader="dot" w:pos="9180"/>
        </w:tabs>
        <w:spacing w:line="240" w:lineRule="exact"/>
        <w:jc w:val="both"/>
        <w:rPr>
          <w:rFonts w:asciiTheme="minorHAnsi" w:hAnsiTheme="minorHAnsi"/>
          <w:color w:val="auto"/>
          <w:szCs w:val="24"/>
        </w:rPr>
      </w:pPr>
      <w:r>
        <w:rPr>
          <w:rFonts w:asciiTheme="minorHAnsi" w:hAnsiTheme="minorHAnsi"/>
          <w:color w:val="auto"/>
          <w:szCs w:val="24"/>
        </w:rPr>
        <w:t xml:space="preserve">The AO recommends that the CI’s prior determination be modified as follows and that the discharge with severance pay be recharacterized to reflect permanent disability retirement, effective as of the date of his prior medical separation. </w:t>
      </w:r>
    </w:p>
    <w:p w:rsidR="00CD3973" w:rsidRPr="009D4E68" w:rsidRDefault="00CD3973" w:rsidP="00CD3973">
      <w:pPr>
        <w:tabs>
          <w:tab w:val="left" w:pos="900"/>
          <w:tab w:val="left" w:pos="1160"/>
          <w:tab w:val="left" w:pos="1440"/>
          <w:tab w:val="left" w:pos="1800"/>
          <w:tab w:val="right" w:leader="dot" w:pos="9180"/>
        </w:tabs>
        <w:spacing w:line="200" w:lineRule="exact"/>
        <w:jc w:val="both"/>
        <w:rPr>
          <w:rFonts w:asciiTheme="minorHAnsi" w:hAnsiTheme="minorHAnsi"/>
          <w:color w:val="auto"/>
          <w:szCs w:val="24"/>
        </w:rPr>
      </w:pPr>
      <w:r w:rsidRPr="00CD3973">
        <w:rPr>
          <w:rFonts w:asciiTheme="minorHAnsi" w:hAnsiTheme="minorHAnsi"/>
          <w:color w:val="auto"/>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CD3973" w:rsidRPr="009D4E68" w:rsidTr="007B2FB9">
        <w:trPr>
          <w:trHeight w:val="287"/>
          <w:jc w:val="center"/>
        </w:trPr>
        <w:tc>
          <w:tcPr>
            <w:tcW w:w="6480" w:type="dxa"/>
            <w:shd w:val="clear" w:color="auto" w:fill="D9D9D9"/>
          </w:tcPr>
          <w:p w:rsidR="00CD3973" w:rsidRPr="009D4E68" w:rsidRDefault="00CD3973" w:rsidP="007B2FB9">
            <w:pPr>
              <w:tabs>
                <w:tab w:val="left" w:pos="288"/>
                <w:tab w:val="left" w:pos="4752"/>
              </w:tabs>
              <w:spacing w:line="240" w:lineRule="exact"/>
              <w:jc w:val="both"/>
              <w:rPr>
                <w:rFonts w:asciiTheme="minorHAnsi" w:hAnsiTheme="minorHAnsi"/>
                <w:b/>
                <w:color w:val="auto"/>
                <w:szCs w:val="24"/>
              </w:rPr>
            </w:pPr>
            <w:r w:rsidRPr="009D4E68">
              <w:rPr>
                <w:rFonts w:asciiTheme="minorHAnsi" w:hAnsiTheme="minorHAnsi"/>
                <w:b/>
                <w:color w:val="auto"/>
                <w:szCs w:val="24"/>
              </w:rPr>
              <w:t>UNFITTING CONDITION</w:t>
            </w:r>
          </w:p>
        </w:tc>
        <w:tc>
          <w:tcPr>
            <w:tcW w:w="1710" w:type="dxa"/>
            <w:shd w:val="clear" w:color="auto" w:fill="D9D9D9"/>
          </w:tcPr>
          <w:p w:rsidR="00CD3973" w:rsidRPr="009D4E68" w:rsidRDefault="00CD3973" w:rsidP="007B2FB9">
            <w:pPr>
              <w:tabs>
                <w:tab w:val="left" w:pos="288"/>
                <w:tab w:val="left" w:pos="4752"/>
              </w:tabs>
              <w:spacing w:line="240" w:lineRule="exact"/>
              <w:jc w:val="center"/>
              <w:rPr>
                <w:rFonts w:asciiTheme="minorHAnsi" w:hAnsiTheme="minorHAnsi"/>
                <w:b/>
                <w:color w:val="auto"/>
                <w:szCs w:val="24"/>
              </w:rPr>
            </w:pPr>
            <w:r w:rsidRPr="009D4E68">
              <w:rPr>
                <w:rFonts w:asciiTheme="minorHAnsi" w:hAnsiTheme="minorHAnsi"/>
                <w:b/>
                <w:color w:val="auto"/>
                <w:szCs w:val="24"/>
              </w:rPr>
              <w:t>VASRD CODE</w:t>
            </w:r>
          </w:p>
        </w:tc>
        <w:tc>
          <w:tcPr>
            <w:tcW w:w="1170" w:type="dxa"/>
            <w:shd w:val="clear" w:color="auto" w:fill="D9D9D9"/>
          </w:tcPr>
          <w:p w:rsidR="00CD3973" w:rsidRPr="009D4E68" w:rsidRDefault="00CD3973" w:rsidP="007B2FB9">
            <w:pPr>
              <w:tabs>
                <w:tab w:val="left" w:pos="288"/>
                <w:tab w:val="left" w:pos="4752"/>
              </w:tabs>
              <w:spacing w:line="240" w:lineRule="exact"/>
              <w:jc w:val="center"/>
              <w:rPr>
                <w:rFonts w:asciiTheme="minorHAnsi" w:hAnsiTheme="minorHAnsi"/>
                <w:b/>
                <w:color w:val="auto"/>
                <w:szCs w:val="24"/>
              </w:rPr>
            </w:pPr>
            <w:r w:rsidRPr="009D4E68">
              <w:rPr>
                <w:rFonts w:asciiTheme="minorHAnsi" w:hAnsiTheme="minorHAnsi"/>
                <w:b/>
                <w:color w:val="auto"/>
                <w:szCs w:val="24"/>
              </w:rPr>
              <w:t>RATING</w:t>
            </w:r>
          </w:p>
        </w:tc>
      </w:tr>
      <w:tr w:rsidR="00CD3973" w:rsidRPr="009D4E68" w:rsidTr="007B2FB9">
        <w:trPr>
          <w:jc w:val="center"/>
        </w:trPr>
        <w:tc>
          <w:tcPr>
            <w:tcW w:w="6480" w:type="dxa"/>
          </w:tcPr>
          <w:p w:rsidR="00CD3973" w:rsidRPr="009D4E68" w:rsidRDefault="00CD3973" w:rsidP="007B2FB9">
            <w:pPr>
              <w:tabs>
                <w:tab w:val="left" w:pos="288"/>
                <w:tab w:val="left" w:pos="4752"/>
              </w:tabs>
              <w:spacing w:line="240" w:lineRule="exact"/>
              <w:jc w:val="both"/>
              <w:rPr>
                <w:rFonts w:asciiTheme="minorHAnsi" w:hAnsiTheme="minorHAnsi"/>
                <w:color w:val="auto"/>
                <w:szCs w:val="24"/>
              </w:rPr>
            </w:pPr>
            <w:r w:rsidRPr="009D4E68">
              <w:rPr>
                <w:rFonts w:asciiTheme="minorHAnsi" w:hAnsiTheme="minorHAnsi"/>
                <w:color w:val="auto"/>
                <w:szCs w:val="24"/>
              </w:rPr>
              <w:t>S/P Left Tibia and Fibula Fractures</w:t>
            </w:r>
          </w:p>
        </w:tc>
        <w:tc>
          <w:tcPr>
            <w:tcW w:w="1710" w:type="dxa"/>
          </w:tcPr>
          <w:p w:rsidR="00CD3973" w:rsidRPr="009D4E68" w:rsidRDefault="00CD3973" w:rsidP="007B2FB9">
            <w:pPr>
              <w:pStyle w:val="ListParagraph"/>
              <w:spacing w:after="0" w:line="200" w:lineRule="exact"/>
              <w:ind w:left="0"/>
              <w:jc w:val="center"/>
              <w:rPr>
                <w:rFonts w:cs="Times New Roman"/>
                <w:sz w:val="24"/>
                <w:szCs w:val="18"/>
              </w:rPr>
            </w:pPr>
            <w:r w:rsidRPr="009D4E68">
              <w:rPr>
                <w:rFonts w:cs="Times New Roman"/>
                <w:sz w:val="24"/>
                <w:szCs w:val="18"/>
              </w:rPr>
              <w:t>5275-5262</w:t>
            </w:r>
          </w:p>
        </w:tc>
        <w:tc>
          <w:tcPr>
            <w:tcW w:w="1170" w:type="dxa"/>
          </w:tcPr>
          <w:p w:rsidR="00CD3973" w:rsidRPr="009D4E68" w:rsidRDefault="00CD3973" w:rsidP="007B2FB9">
            <w:pPr>
              <w:pStyle w:val="ListParagraph"/>
              <w:spacing w:after="0" w:line="200" w:lineRule="exact"/>
              <w:ind w:left="0"/>
              <w:jc w:val="center"/>
              <w:rPr>
                <w:rFonts w:cs="Times New Roman"/>
                <w:sz w:val="24"/>
                <w:szCs w:val="18"/>
              </w:rPr>
            </w:pPr>
            <w:r>
              <w:rPr>
                <w:rFonts w:cs="Times New Roman"/>
                <w:sz w:val="24"/>
                <w:szCs w:val="18"/>
              </w:rPr>
              <w:t>3</w:t>
            </w:r>
            <w:r w:rsidRPr="009D4E68">
              <w:rPr>
                <w:rFonts w:cs="Times New Roman"/>
                <w:sz w:val="24"/>
                <w:szCs w:val="18"/>
              </w:rPr>
              <w:t>0%</w:t>
            </w:r>
          </w:p>
        </w:tc>
      </w:tr>
      <w:tr w:rsidR="00CD3973" w:rsidRPr="009D4E68" w:rsidTr="007B2FB9">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CD3973" w:rsidRPr="009D4E68" w:rsidRDefault="00CD3973" w:rsidP="007B2FB9">
            <w:pPr>
              <w:tabs>
                <w:tab w:val="left" w:pos="288"/>
                <w:tab w:val="left" w:pos="4752"/>
              </w:tabs>
              <w:spacing w:line="240" w:lineRule="exact"/>
              <w:jc w:val="center"/>
              <w:rPr>
                <w:rFonts w:asciiTheme="minorHAnsi" w:hAnsiTheme="minorHAnsi"/>
                <w:b/>
                <w:color w:val="auto"/>
                <w:szCs w:val="24"/>
              </w:rPr>
            </w:pPr>
            <w:r w:rsidRPr="009D4E6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CD3973" w:rsidRPr="009D4E68" w:rsidRDefault="00CD3973" w:rsidP="007B2FB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Pr="009D4E68">
              <w:rPr>
                <w:rFonts w:asciiTheme="minorHAnsi" w:hAnsiTheme="minorHAnsi"/>
                <w:b/>
                <w:color w:val="auto"/>
                <w:szCs w:val="24"/>
              </w:rPr>
              <w:t>0%</w:t>
            </w:r>
          </w:p>
        </w:tc>
      </w:tr>
    </w:tbl>
    <w:p w:rsidR="00856270" w:rsidRDefault="00856270" w:rsidP="0095510B">
      <w:pPr>
        <w:rPr>
          <w:color w:val="auto"/>
          <w:sz w:val="20"/>
        </w:rPr>
      </w:pPr>
    </w:p>
    <w:p w:rsidR="00856270" w:rsidRDefault="00856270">
      <w:pPr>
        <w:rPr>
          <w:color w:val="auto"/>
          <w:sz w:val="20"/>
        </w:rPr>
      </w:pPr>
      <w:r>
        <w:rPr>
          <w:color w:val="auto"/>
          <w:sz w:val="20"/>
        </w:rPr>
        <w:br w:type="page"/>
      </w:r>
    </w:p>
    <w:p w:rsidR="0095510B" w:rsidRPr="0095510B" w:rsidRDefault="0095510B" w:rsidP="0095510B">
      <w:pPr>
        <w:rPr>
          <w:color w:val="auto"/>
          <w:sz w:val="20"/>
        </w:rPr>
      </w:pPr>
      <w:r w:rsidRPr="0095510B">
        <w:rPr>
          <w:color w:val="auto"/>
          <w:sz w:val="20"/>
        </w:rPr>
        <w:lastRenderedPageBreak/>
        <w:t>MEMORANDUM FOR DEPUTY COMMANDANT, MANPOWER &amp; RESERVE AFFAIRS</w:t>
      </w:r>
    </w:p>
    <w:p w:rsidR="0095510B" w:rsidRPr="0095510B" w:rsidRDefault="0095510B" w:rsidP="0095510B">
      <w:pPr>
        <w:rPr>
          <w:color w:val="auto"/>
          <w:sz w:val="20"/>
        </w:rPr>
      </w:pPr>
    </w:p>
    <w:p w:rsidR="0095510B" w:rsidRPr="0095510B" w:rsidRDefault="0095510B" w:rsidP="0095510B">
      <w:pPr>
        <w:rPr>
          <w:color w:val="auto"/>
          <w:sz w:val="20"/>
        </w:rPr>
      </w:pPr>
      <w:proofErr w:type="spellStart"/>
      <w:r w:rsidRPr="0095510B">
        <w:rPr>
          <w:color w:val="auto"/>
          <w:sz w:val="20"/>
        </w:rPr>
        <w:t>Subj</w:t>
      </w:r>
      <w:proofErr w:type="spellEnd"/>
      <w:r w:rsidRPr="0095510B">
        <w:rPr>
          <w:color w:val="auto"/>
          <w:sz w:val="20"/>
        </w:rPr>
        <w:t>:  PHYSICAL DISABILITY BOARD OF REVIEW (PDBR) RECOMMENDATION</w:t>
      </w:r>
    </w:p>
    <w:p w:rsidR="0095510B" w:rsidRPr="0095510B" w:rsidRDefault="0095510B" w:rsidP="0095510B">
      <w:pPr>
        <w:tabs>
          <w:tab w:val="left" w:pos="630"/>
        </w:tabs>
        <w:rPr>
          <w:color w:val="auto"/>
          <w:sz w:val="20"/>
        </w:rPr>
      </w:pPr>
      <w:r w:rsidRPr="0095510B">
        <w:rPr>
          <w:color w:val="auto"/>
          <w:sz w:val="20"/>
        </w:rPr>
        <w:t xml:space="preserve">          </w:t>
      </w:r>
      <w:r w:rsidRPr="0095510B">
        <w:rPr>
          <w:color w:val="auto"/>
          <w:sz w:val="20"/>
        </w:rPr>
        <w:tab/>
        <w:t xml:space="preserve">ICO </w:t>
      </w:r>
      <w:r w:rsidR="00441DD8">
        <w:rPr>
          <w:color w:val="auto"/>
          <w:sz w:val="20"/>
        </w:rPr>
        <w:t>XXXXXX</w:t>
      </w:r>
      <w:r w:rsidRPr="0095510B">
        <w:rPr>
          <w:color w:val="auto"/>
          <w:sz w:val="20"/>
        </w:rPr>
        <w:t xml:space="preserve">, FORMER USMC, XXX XX </w:t>
      </w:r>
      <w:r w:rsidR="00441DD8">
        <w:rPr>
          <w:color w:val="auto"/>
          <w:sz w:val="20"/>
        </w:rPr>
        <w:t>XXXX</w:t>
      </w:r>
    </w:p>
    <w:p w:rsidR="0095510B" w:rsidRPr="0095510B" w:rsidRDefault="0095510B" w:rsidP="0095510B">
      <w:pPr>
        <w:rPr>
          <w:color w:val="auto"/>
          <w:sz w:val="20"/>
        </w:rPr>
      </w:pPr>
    </w:p>
    <w:p w:rsidR="0095510B" w:rsidRPr="0095510B" w:rsidRDefault="0095510B" w:rsidP="0095510B">
      <w:pPr>
        <w:rPr>
          <w:color w:val="auto"/>
          <w:sz w:val="20"/>
        </w:rPr>
      </w:pPr>
      <w:r w:rsidRPr="0095510B">
        <w:rPr>
          <w:color w:val="auto"/>
          <w:sz w:val="20"/>
        </w:rPr>
        <w:t>Ref:   (a) DoDI 6040.44</w:t>
      </w:r>
    </w:p>
    <w:p w:rsidR="0095510B" w:rsidRPr="0095510B" w:rsidRDefault="0095510B" w:rsidP="0095510B">
      <w:pPr>
        <w:rPr>
          <w:color w:val="auto"/>
          <w:sz w:val="20"/>
        </w:rPr>
      </w:pPr>
      <w:r w:rsidRPr="0095510B">
        <w:rPr>
          <w:color w:val="auto"/>
          <w:sz w:val="20"/>
        </w:rPr>
        <w:t xml:space="preserve">          (b) PDBR </w:t>
      </w:r>
      <w:proofErr w:type="spellStart"/>
      <w:r w:rsidRPr="0095510B">
        <w:rPr>
          <w:color w:val="auto"/>
          <w:sz w:val="20"/>
        </w:rPr>
        <w:t>ltr</w:t>
      </w:r>
      <w:proofErr w:type="spellEnd"/>
      <w:r w:rsidRPr="0095510B">
        <w:rPr>
          <w:color w:val="auto"/>
          <w:sz w:val="20"/>
        </w:rPr>
        <w:t xml:space="preserve"> </w:t>
      </w:r>
      <w:proofErr w:type="spellStart"/>
      <w:r w:rsidRPr="0095510B">
        <w:rPr>
          <w:color w:val="auto"/>
          <w:sz w:val="20"/>
        </w:rPr>
        <w:t>dtd</w:t>
      </w:r>
      <w:proofErr w:type="spellEnd"/>
      <w:r w:rsidRPr="0095510B">
        <w:rPr>
          <w:color w:val="auto"/>
          <w:sz w:val="20"/>
        </w:rPr>
        <w:t xml:space="preserve"> 28 Mar 11</w:t>
      </w:r>
    </w:p>
    <w:p w:rsidR="0095510B" w:rsidRPr="0095510B" w:rsidRDefault="0095510B" w:rsidP="0095510B">
      <w:pPr>
        <w:rPr>
          <w:color w:val="auto"/>
          <w:sz w:val="20"/>
        </w:rPr>
      </w:pPr>
    </w:p>
    <w:p w:rsidR="0095510B" w:rsidRPr="0095510B" w:rsidRDefault="0095510B" w:rsidP="0095510B">
      <w:pPr>
        <w:rPr>
          <w:color w:val="auto"/>
          <w:sz w:val="20"/>
        </w:rPr>
      </w:pPr>
      <w:r w:rsidRPr="0095510B">
        <w:rPr>
          <w:color w:val="auto"/>
          <w:sz w:val="20"/>
        </w:rPr>
        <w:t>1.  I have reviewed the subject case pursuant to reference (a) and approve the recommendation of the PEB (reference (b)).</w:t>
      </w:r>
    </w:p>
    <w:p w:rsidR="0095510B" w:rsidRPr="0095510B" w:rsidRDefault="0095510B" w:rsidP="0095510B">
      <w:pPr>
        <w:rPr>
          <w:color w:val="auto"/>
          <w:sz w:val="20"/>
        </w:rPr>
      </w:pPr>
    </w:p>
    <w:p w:rsidR="0095510B" w:rsidRPr="0095510B" w:rsidRDefault="0095510B" w:rsidP="0095510B">
      <w:pPr>
        <w:rPr>
          <w:color w:val="auto"/>
          <w:sz w:val="20"/>
        </w:rPr>
      </w:pPr>
      <w:r w:rsidRPr="0095510B">
        <w:rPr>
          <w:color w:val="auto"/>
          <w:sz w:val="20"/>
        </w:rPr>
        <w:t>2.  The subject member’s official records are to be corrected to reflect the following disposition:</w:t>
      </w:r>
    </w:p>
    <w:p w:rsidR="0095510B" w:rsidRPr="0095510B" w:rsidRDefault="0095510B" w:rsidP="0095510B">
      <w:pPr>
        <w:rPr>
          <w:color w:val="auto"/>
          <w:sz w:val="20"/>
        </w:rPr>
      </w:pPr>
    </w:p>
    <w:p w:rsidR="0095510B" w:rsidRPr="0095510B" w:rsidRDefault="0095510B" w:rsidP="0095510B">
      <w:pPr>
        <w:rPr>
          <w:color w:val="auto"/>
          <w:sz w:val="20"/>
        </w:rPr>
      </w:pPr>
      <w:r w:rsidRPr="0095510B">
        <w:rPr>
          <w:color w:val="auto"/>
          <w:sz w:val="20"/>
        </w:rPr>
        <w:tab/>
        <w:t>a. Separation from the naval service due to physical disability rated at 20 percent (increased from 10 percent) effective 31 March 2002.</w:t>
      </w:r>
    </w:p>
    <w:p w:rsidR="0095510B" w:rsidRPr="0095510B" w:rsidRDefault="0095510B" w:rsidP="0095510B">
      <w:pPr>
        <w:rPr>
          <w:color w:val="auto"/>
          <w:sz w:val="20"/>
        </w:rPr>
      </w:pPr>
    </w:p>
    <w:p w:rsidR="0095510B" w:rsidRPr="0095510B" w:rsidRDefault="0095510B" w:rsidP="0095510B">
      <w:pPr>
        <w:rPr>
          <w:color w:val="auto"/>
          <w:sz w:val="20"/>
        </w:rPr>
      </w:pPr>
      <w:r w:rsidRPr="0095510B">
        <w:rPr>
          <w:color w:val="auto"/>
          <w:sz w:val="20"/>
        </w:rPr>
        <w:t>3.  Please ensure all necessary actions are taken to implement this decision including notification to the subject member once those actions are completed.</w:t>
      </w:r>
    </w:p>
    <w:p w:rsidR="0095510B" w:rsidRPr="0095510B" w:rsidRDefault="0095510B" w:rsidP="0095510B">
      <w:pPr>
        <w:rPr>
          <w:color w:val="auto"/>
          <w:sz w:val="20"/>
        </w:rPr>
      </w:pPr>
    </w:p>
    <w:p w:rsidR="0095510B" w:rsidRPr="0095510B" w:rsidRDefault="0095510B" w:rsidP="0095510B">
      <w:pPr>
        <w:rPr>
          <w:color w:val="auto"/>
          <w:sz w:val="20"/>
        </w:rPr>
      </w:pPr>
    </w:p>
    <w:p w:rsidR="0095510B" w:rsidRPr="0095510B" w:rsidRDefault="0095510B" w:rsidP="0095510B">
      <w:pPr>
        <w:rPr>
          <w:color w:val="auto"/>
          <w:sz w:val="20"/>
        </w:rPr>
      </w:pPr>
      <w:r w:rsidRPr="0095510B">
        <w:rPr>
          <w:color w:val="auto"/>
          <w:sz w:val="20"/>
        </w:rPr>
        <w:tab/>
      </w:r>
      <w:r w:rsidRPr="0095510B">
        <w:rPr>
          <w:color w:val="auto"/>
          <w:sz w:val="20"/>
        </w:rPr>
        <w:tab/>
      </w:r>
      <w:r w:rsidRPr="0095510B">
        <w:rPr>
          <w:color w:val="auto"/>
          <w:sz w:val="20"/>
        </w:rPr>
        <w:tab/>
      </w:r>
      <w:r w:rsidRPr="0095510B">
        <w:rPr>
          <w:color w:val="auto"/>
          <w:sz w:val="20"/>
        </w:rPr>
        <w:tab/>
      </w:r>
      <w:r w:rsidRPr="0095510B">
        <w:rPr>
          <w:color w:val="auto"/>
          <w:sz w:val="20"/>
        </w:rPr>
        <w:tab/>
      </w:r>
      <w:r w:rsidRPr="0095510B">
        <w:rPr>
          <w:color w:val="auto"/>
          <w:sz w:val="20"/>
        </w:rPr>
        <w:tab/>
        <w:t xml:space="preserve">      Principal Deputy</w:t>
      </w:r>
    </w:p>
    <w:p w:rsidR="0095510B" w:rsidRPr="0095510B" w:rsidRDefault="0095510B" w:rsidP="0095510B">
      <w:pPr>
        <w:rPr>
          <w:color w:val="auto"/>
          <w:sz w:val="20"/>
        </w:rPr>
      </w:pPr>
      <w:r w:rsidRPr="0095510B">
        <w:rPr>
          <w:color w:val="auto"/>
          <w:sz w:val="20"/>
        </w:rPr>
        <w:tab/>
      </w:r>
      <w:r w:rsidRPr="0095510B">
        <w:rPr>
          <w:color w:val="auto"/>
          <w:sz w:val="20"/>
        </w:rPr>
        <w:tab/>
      </w:r>
      <w:r w:rsidRPr="0095510B">
        <w:rPr>
          <w:color w:val="auto"/>
          <w:sz w:val="20"/>
        </w:rPr>
        <w:tab/>
      </w:r>
      <w:r w:rsidRPr="0095510B">
        <w:rPr>
          <w:color w:val="auto"/>
          <w:sz w:val="20"/>
        </w:rPr>
        <w:tab/>
      </w:r>
      <w:r w:rsidRPr="0095510B">
        <w:rPr>
          <w:color w:val="auto"/>
          <w:sz w:val="20"/>
        </w:rPr>
        <w:tab/>
      </w:r>
      <w:r w:rsidRPr="0095510B">
        <w:rPr>
          <w:color w:val="auto"/>
          <w:sz w:val="20"/>
        </w:rPr>
        <w:tab/>
        <w:t xml:space="preserve">      Assistant Secretary of the Navy</w:t>
      </w:r>
    </w:p>
    <w:p w:rsidR="0095510B" w:rsidRPr="0095510B" w:rsidRDefault="0095510B" w:rsidP="0095510B">
      <w:pPr>
        <w:rPr>
          <w:color w:val="auto"/>
          <w:sz w:val="20"/>
        </w:rPr>
      </w:pPr>
      <w:r w:rsidRPr="0095510B">
        <w:rPr>
          <w:color w:val="auto"/>
          <w:sz w:val="20"/>
        </w:rPr>
        <w:tab/>
      </w:r>
      <w:r w:rsidRPr="0095510B">
        <w:rPr>
          <w:color w:val="auto"/>
          <w:sz w:val="20"/>
        </w:rPr>
        <w:tab/>
      </w:r>
      <w:r w:rsidRPr="0095510B">
        <w:rPr>
          <w:color w:val="auto"/>
          <w:sz w:val="20"/>
        </w:rPr>
        <w:tab/>
      </w:r>
      <w:r w:rsidRPr="0095510B">
        <w:rPr>
          <w:color w:val="auto"/>
          <w:sz w:val="20"/>
        </w:rPr>
        <w:tab/>
      </w:r>
      <w:r w:rsidRPr="0095510B">
        <w:rPr>
          <w:color w:val="auto"/>
          <w:sz w:val="20"/>
        </w:rPr>
        <w:tab/>
      </w:r>
      <w:r w:rsidRPr="0095510B">
        <w:rPr>
          <w:color w:val="auto"/>
          <w:sz w:val="20"/>
        </w:rPr>
        <w:tab/>
        <w:t xml:space="preserve">        (Manpower &amp; Reserve Affairs)</w:t>
      </w:r>
    </w:p>
    <w:p w:rsidR="0073468F" w:rsidRPr="00922506" w:rsidRDefault="0073468F" w:rsidP="00CD3973">
      <w:pPr>
        <w:tabs>
          <w:tab w:val="left" w:pos="900"/>
          <w:tab w:val="left" w:pos="1160"/>
          <w:tab w:val="left" w:pos="1440"/>
          <w:tab w:val="left" w:pos="1800"/>
          <w:tab w:val="right" w:leader="dot" w:pos="9180"/>
        </w:tabs>
        <w:spacing w:line="200" w:lineRule="exact"/>
        <w:jc w:val="both"/>
        <w:rPr>
          <w:rFonts w:asciiTheme="minorHAnsi" w:hAnsiTheme="minorHAnsi"/>
          <w:color w:val="auto"/>
          <w:szCs w:val="24"/>
        </w:rPr>
      </w:pPr>
    </w:p>
    <w:sectPr w:rsidR="0073468F" w:rsidRPr="00922506"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BD" w:rsidRDefault="006B5ABD">
      <w:r>
        <w:separator/>
      </w:r>
    </w:p>
  </w:endnote>
  <w:endnote w:type="continuationSeparator" w:id="0">
    <w:p w:rsidR="006B5ABD" w:rsidRDefault="006B5AB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anson T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8C" w:rsidRDefault="00BB2F99">
    <w:pPr>
      <w:pStyle w:val="Footer"/>
      <w:framePr w:wrap="around" w:vAnchor="text" w:hAnchor="margin" w:xAlign="center" w:y="1"/>
      <w:rPr>
        <w:rStyle w:val="PageNumber"/>
      </w:rPr>
    </w:pPr>
    <w:r>
      <w:rPr>
        <w:rStyle w:val="PageNumber"/>
      </w:rPr>
      <w:fldChar w:fldCharType="begin"/>
    </w:r>
    <w:r w:rsidR="0036288C">
      <w:rPr>
        <w:rStyle w:val="PageNumber"/>
      </w:rPr>
      <w:instrText xml:space="preserve">PAGE  </w:instrText>
    </w:r>
    <w:r>
      <w:rPr>
        <w:rStyle w:val="PageNumber"/>
      </w:rPr>
      <w:fldChar w:fldCharType="separate"/>
    </w:r>
    <w:r w:rsidR="0036288C">
      <w:rPr>
        <w:rStyle w:val="PageNumber"/>
        <w:noProof/>
      </w:rPr>
      <w:t>2</w:t>
    </w:r>
    <w:r>
      <w:rPr>
        <w:rStyle w:val="PageNumber"/>
      </w:rPr>
      <w:fldChar w:fldCharType="end"/>
    </w:r>
  </w:p>
  <w:p w:rsidR="0036288C" w:rsidRDefault="0036288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8C" w:rsidRPr="00AC713F" w:rsidRDefault="00BB2F9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6288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56270">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36288C" w:rsidRPr="00491D6D" w:rsidRDefault="0036288C" w:rsidP="002B0749">
    <w:pPr>
      <w:pStyle w:val="Footer"/>
      <w:jc w:val="right"/>
      <w:rPr>
        <w:rFonts w:asciiTheme="minorHAnsi" w:hAnsiTheme="minorHAnsi"/>
        <w:color w:val="auto"/>
      </w:rPr>
    </w:pPr>
    <w:r>
      <w:tab/>
    </w:r>
    <w:r w:rsidRPr="00491D6D">
      <w:rPr>
        <w:color w:val="auto"/>
      </w:rPr>
      <w:tab/>
    </w:r>
    <w:r w:rsidRPr="00491D6D">
      <w:rPr>
        <w:rFonts w:asciiTheme="minorHAnsi" w:hAnsiTheme="minorHAnsi"/>
        <w:caps/>
        <w:color w:val="auto"/>
      </w:rPr>
      <w:t>PD1000591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BD" w:rsidRDefault="006B5ABD">
      <w:r>
        <w:separator/>
      </w:r>
    </w:p>
  </w:footnote>
  <w:footnote w:type="continuationSeparator" w:id="0">
    <w:p w:rsidR="006B5ABD" w:rsidRDefault="006B5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4641"/>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708B"/>
    <w:rsid w:val="00091DBC"/>
    <w:rsid w:val="00092619"/>
    <w:rsid w:val="00092C66"/>
    <w:rsid w:val="000936FA"/>
    <w:rsid w:val="00094AA6"/>
    <w:rsid w:val="00094E4F"/>
    <w:rsid w:val="00097660"/>
    <w:rsid w:val="000A2BCE"/>
    <w:rsid w:val="000A325D"/>
    <w:rsid w:val="000A41E3"/>
    <w:rsid w:val="000A4BBA"/>
    <w:rsid w:val="000A5071"/>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1008C1"/>
    <w:rsid w:val="001023DB"/>
    <w:rsid w:val="00102608"/>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0B6B"/>
    <w:rsid w:val="00161761"/>
    <w:rsid w:val="00164AEC"/>
    <w:rsid w:val="00166182"/>
    <w:rsid w:val="001745DD"/>
    <w:rsid w:val="00176697"/>
    <w:rsid w:val="00177659"/>
    <w:rsid w:val="001779E5"/>
    <w:rsid w:val="0018037F"/>
    <w:rsid w:val="001822A4"/>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6ACB"/>
    <w:rsid w:val="001A7538"/>
    <w:rsid w:val="001B0B1A"/>
    <w:rsid w:val="001B4EC2"/>
    <w:rsid w:val="001B5B59"/>
    <w:rsid w:val="001B5F19"/>
    <w:rsid w:val="001B60E0"/>
    <w:rsid w:val="001B7C8C"/>
    <w:rsid w:val="001C181A"/>
    <w:rsid w:val="001C1877"/>
    <w:rsid w:val="001C2053"/>
    <w:rsid w:val="001C252F"/>
    <w:rsid w:val="001C28D1"/>
    <w:rsid w:val="001C58F1"/>
    <w:rsid w:val="001C5CFC"/>
    <w:rsid w:val="001C64CC"/>
    <w:rsid w:val="001C7418"/>
    <w:rsid w:val="001D0051"/>
    <w:rsid w:val="001D2224"/>
    <w:rsid w:val="001D4F88"/>
    <w:rsid w:val="001D6110"/>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3208"/>
    <w:rsid w:val="002147F2"/>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6E6"/>
    <w:rsid w:val="002528EC"/>
    <w:rsid w:val="00255049"/>
    <w:rsid w:val="00257DE5"/>
    <w:rsid w:val="00260531"/>
    <w:rsid w:val="0026318D"/>
    <w:rsid w:val="00270864"/>
    <w:rsid w:val="002712F7"/>
    <w:rsid w:val="0027159C"/>
    <w:rsid w:val="00274549"/>
    <w:rsid w:val="00274E46"/>
    <w:rsid w:val="00276C86"/>
    <w:rsid w:val="002810A4"/>
    <w:rsid w:val="00284A26"/>
    <w:rsid w:val="0028586E"/>
    <w:rsid w:val="00287006"/>
    <w:rsid w:val="00294437"/>
    <w:rsid w:val="002A3237"/>
    <w:rsid w:val="002A58B7"/>
    <w:rsid w:val="002A685E"/>
    <w:rsid w:val="002A72C7"/>
    <w:rsid w:val="002B03B2"/>
    <w:rsid w:val="002B0749"/>
    <w:rsid w:val="002B19CE"/>
    <w:rsid w:val="002B2645"/>
    <w:rsid w:val="002B6FA0"/>
    <w:rsid w:val="002C4284"/>
    <w:rsid w:val="002C5F10"/>
    <w:rsid w:val="002C6E5B"/>
    <w:rsid w:val="002D18B4"/>
    <w:rsid w:val="002D231A"/>
    <w:rsid w:val="002D4669"/>
    <w:rsid w:val="002E1877"/>
    <w:rsid w:val="002E1C31"/>
    <w:rsid w:val="002E333A"/>
    <w:rsid w:val="002E3457"/>
    <w:rsid w:val="002E3474"/>
    <w:rsid w:val="002E400C"/>
    <w:rsid w:val="002E49C3"/>
    <w:rsid w:val="002E5114"/>
    <w:rsid w:val="002E7570"/>
    <w:rsid w:val="002E764B"/>
    <w:rsid w:val="002E7845"/>
    <w:rsid w:val="002F0E28"/>
    <w:rsid w:val="002F287E"/>
    <w:rsid w:val="002F2D63"/>
    <w:rsid w:val="002F7F81"/>
    <w:rsid w:val="00300A36"/>
    <w:rsid w:val="0030678B"/>
    <w:rsid w:val="00310CD7"/>
    <w:rsid w:val="003113E3"/>
    <w:rsid w:val="003136D4"/>
    <w:rsid w:val="00317765"/>
    <w:rsid w:val="00320D9B"/>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6174C"/>
    <w:rsid w:val="0036288C"/>
    <w:rsid w:val="0036319E"/>
    <w:rsid w:val="003632A4"/>
    <w:rsid w:val="00363362"/>
    <w:rsid w:val="00367D4F"/>
    <w:rsid w:val="00370743"/>
    <w:rsid w:val="00370EF5"/>
    <w:rsid w:val="0037135B"/>
    <w:rsid w:val="00372251"/>
    <w:rsid w:val="00372FEE"/>
    <w:rsid w:val="0037386F"/>
    <w:rsid w:val="0037520D"/>
    <w:rsid w:val="00375809"/>
    <w:rsid w:val="0037628C"/>
    <w:rsid w:val="00376B81"/>
    <w:rsid w:val="00377BD2"/>
    <w:rsid w:val="003821E1"/>
    <w:rsid w:val="00384866"/>
    <w:rsid w:val="00384E24"/>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C7EC5"/>
    <w:rsid w:val="003D05F1"/>
    <w:rsid w:val="003D12CB"/>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07F18"/>
    <w:rsid w:val="004101B2"/>
    <w:rsid w:val="004123D7"/>
    <w:rsid w:val="00412658"/>
    <w:rsid w:val="004172DB"/>
    <w:rsid w:val="00421485"/>
    <w:rsid w:val="00422B75"/>
    <w:rsid w:val="00433F36"/>
    <w:rsid w:val="0043503A"/>
    <w:rsid w:val="00441DD8"/>
    <w:rsid w:val="0044384F"/>
    <w:rsid w:val="004449F3"/>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873B2"/>
    <w:rsid w:val="00491D6D"/>
    <w:rsid w:val="0049255F"/>
    <w:rsid w:val="0049445D"/>
    <w:rsid w:val="004946AA"/>
    <w:rsid w:val="00495350"/>
    <w:rsid w:val="00497156"/>
    <w:rsid w:val="004A24D2"/>
    <w:rsid w:val="004A3214"/>
    <w:rsid w:val="004A4136"/>
    <w:rsid w:val="004A417B"/>
    <w:rsid w:val="004A455F"/>
    <w:rsid w:val="004B03F3"/>
    <w:rsid w:val="004B2536"/>
    <w:rsid w:val="004B6AF3"/>
    <w:rsid w:val="004B715E"/>
    <w:rsid w:val="004B7169"/>
    <w:rsid w:val="004B797D"/>
    <w:rsid w:val="004B79C9"/>
    <w:rsid w:val="004C5E33"/>
    <w:rsid w:val="004C6CDA"/>
    <w:rsid w:val="004D10D4"/>
    <w:rsid w:val="004D16BD"/>
    <w:rsid w:val="004D2AAB"/>
    <w:rsid w:val="004D6F2B"/>
    <w:rsid w:val="004E0248"/>
    <w:rsid w:val="004E21A3"/>
    <w:rsid w:val="004E32EA"/>
    <w:rsid w:val="004E6866"/>
    <w:rsid w:val="004F3222"/>
    <w:rsid w:val="004F3BFA"/>
    <w:rsid w:val="004F632B"/>
    <w:rsid w:val="005000AB"/>
    <w:rsid w:val="005014DE"/>
    <w:rsid w:val="005025EE"/>
    <w:rsid w:val="00506495"/>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1C47"/>
    <w:rsid w:val="00542C9A"/>
    <w:rsid w:val="005436C2"/>
    <w:rsid w:val="005442D4"/>
    <w:rsid w:val="0054586A"/>
    <w:rsid w:val="0054631F"/>
    <w:rsid w:val="0055288D"/>
    <w:rsid w:val="00555259"/>
    <w:rsid w:val="00556DAF"/>
    <w:rsid w:val="00560D57"/>
    <w:rsid w:val="00562A94"/>
    <w:rsid w:val="005709F7"/>
    <w:rsid w:val="005710A9"/>
    <w:rsid w:val="00571D1B"/>
    <w:rsid w:val="00572B7A"/>
    <w:rsid w:val="00573C56"/>
    <w:rsid w:val="00582C4A"/>
    <w:rsid w:val="00584229"/>
    <w:rsid w:val="00593043"/>
    <w:rsid w:val="00595BF0"/>
    <w:rsid w:val="005A1846"/>
    <w:rsid w:val="005A258C"/>
    <w:rsid w:val="005A3560"/>
    <w:rsid w:val="005A6C99"/>
    <w:rsid w:val="005A7D5D"/>
    <w:rsid w:val="005B011A"/>
    <w:rsid w:val="005B1229"/>
    <w:rsid w:val="005B14FC"/>
    <w:rsid w:val="005B1D8F"/>
    <w:rsid w:val="005B1E94"/>
    <w:rsid w:val="005B5B3D"/>
    <w:rsid w:val="005B5E79"/>
    <w:rsid w:val="005C16F3"/>
    <w:rsid w:val="005C3758"/>
    <w:rsid w:val="005E3064"/>
    <w:rsid w:val="005E36B2"/>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2F6D"/>
    <w:rsid w:val="00634C4A"/>
    <w:rsid w:val="0063532E"/>
    <w:rsid w:val="00637BDC"/>
    <w:rsid w:val="006418C9"/>
    <w:rsid w:val="00642BD6"/>
    <w:rsid w:val="00645046"/>
    <w:rsid w:val="0064527A"/>
    <w:rsid w:val="00645EA2"/>
    <w:rsid w:val="00654AA4"/>
    <w:rsid w:val="006573F2"/>
    <w:rsid w:val="00662F08"/>
    <w:rsid w:val="00663589"/>
    <w:rsid w:val="006708E3"/>
    <w:rsid w:val="00670DDC"/>
    <w:rsid w:val="00671EB4"/>
    <w:rsid w:val="0067443B"/>
    <w:rsid w:val="00684E2B"/>
    <w:rsid w:val="00687A08"/>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5ABD"/>
    <w:rsid w:val="006B67D9"/>
    <w:rsid w:val="006B6C14"/>
    <w:rsid w:val="006B715E"/>
    <w:rsid w:val="006C0EF5"/>
    <w:rsid w:val="006C1D6E"/>
    <w:rsid w:val="006C272A"/>
    <w:rsid w:val="006C3A68"/>
    <w:rsid w:val="006C6AB1"/>
    <w:rsid w:val="006D2D39"/>
    <w:rsid w:val="006D4E0E"/>
    <w:rsid w:val="006D5CE2"/>
    <w:rsid w:val="006E06D1"/>
    <w:rsid w:val="006E1313"/>
    <w:rsid w:val="006E2DC8"/>
    <w:rsid w:val="006E7356"/>
    <w:rsid w:val="006E77C8"/>
    <w:rsid w:val="006F149D"/>
    <w:rsid w:val="006F1A46"/>
    <w:rsid w:val="006F30D4"/>
    <w:rsid w:val="006F5A4E"/>
    <w:rsid w:val="00703B6C"/>
    <w:rsid w:val="00705C40"/>
    <w:rsid w:val="00706482"/>
    <w:rsid w:val="00706BEF"/>
    <w:rsid w:val="007116BC"/>
    <w:rsid w:val="00715556"/>
    <w:rsid w:val="007165CE"/>
    <w:rsid w:val="00720968"/>
    <w:rsid w:val="00721D12"/>
    <w:rsid w:val="00721F8B"/>
    <w:rsid w:val="007237CE"/>
    <w:rsid w:val="00724688"/>
    <w:rsid w:val="0073062D"/>
    <w:rsid w:val="0073254D"/>
    <w:rsid w:val="00733E18"/>
    <w:rsid w:val="0073468F"/>
    <w:rsid w:val="0073639D"/>
    <w:rsid w:val="0073688F"/>
    <w:rsid w:val="00736A49"/>
    <w:rsid w:val="00737AA3"/>
    <w:rsid w:val="00743B71"/>
    <w:rsid w:val="00743C2D"/>
    <w:rsid w:val="00743E36"/>
    <w:rsid w:val="007446F7"/>
    <w:rsid w:val="00744EBB"/>
    <w:rsid w:val="00745B0A"/>
    <w:rsid w:val="007468AC"/>
    <w:rsid w:val="00746AE2"/>
    <w:rsid w:val="00750C82"/>
    <w:rsid w:val="0076100C"/>
    <w:rsid w:val="007651ED"/>
    <w:rsid w:val="00765220"/>
    <w:rsid w:val="00766C87"/>
    <w:rsid w:val="00776A35"/>
    <w:rsid w:val="00781308"/>
    <w:rsid w:val="00781BD4"/>
    <w:rsid w:val="00781E20"/>
    <w:rsid w:val="00784832"/>
    <w:rsid w:val="00784F01"/>
    <w:rsid w:val="00785D77"/>
    <w:rsid w:val="00786111"/>
    <w:rsid w:val="007904B8"/>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D5C"/>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450"/>
    <w:rsid w:val="00837465"/>
    <w:rsid w:val="00841243"/>
    <w:rsid w:val="00841457"/>
    <w:rsid w:val="0084374E"/>
    <w:rsid w:val="00844842"/>
    <w:rsid w:val="00844DD0"/>
    <w:rsid w:val="0085089F"/>
    <w:rsid w:val="0085206E"/>
    <w:rsid w:val="00852AD4"/>
    <w:rsid w:val="00852BA8"/>
    <w:rsid w:val="00853718"/>
    <w:rsid w:val="008541EF"/>
    <w:rsid w:val="0085486F"/>
    <w:rsid w:val="00854F10"/>
    <w:rsid w:val="00856270"/>
    <w:rsid w:val="00856AC7"/>
    <w:rsid w:val="00856FA4"/>
    <w:rsid w:val="0086162B"/>
    <w:rsid w:val="00861D5C"/>
    <w:rsid w:val="00862FB3"/>
    <w:rsid w:val="00863E30"/>
    <w:rsid w:val="00865207"/>
    <w:rsid w:val="008656A7"/>
    <w:rsid w:val="008701AD"/>
    <w:rsid w:val="00871262"/>
    <w:rsid w:val="00871D4E"/>
    <w:rsid w:val="00871E7B"/>
    <w:rsid w:val="00875B51"/>
    <w:rsid w:val="00875F2D"/>
    <w:rsid w:val="008764DC"/>
    <w:rsid w:val="00882CC2"/>
    <w:rsid w:val="00883930"/>
    <w:rsid w:val="00886CCC"/>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5D43"/>
    <w:rsid w:val="008E744D"/>
    <w:rsid w:val="008F1E08"/>
    <w:rsid w:val="00900D8F"/>
    <w:rsid w:val="009014E3"/>
    <w:rsid w:val="009026E8"/>
    <w:rsid w:val="00906EB7"/>
    <w:rsid w:val="009102BF"/>
    <w:rsid w:val="009115F2"/>
    <w:rsid w:val="00914ADB"/>
    <w:rsid w:val="0092082D"/>
    <w:rsid w:val="00922506"/>
    <w:rsid w:val="00923B25"/>
    <w:rsid w:val="0092402E"/>
    <w:rsid w:val="00925621"/>
    <w:rsid w:val="009259BA"/>
    <w:rsid w:val="00926FCB"/>
    <w:rsid w:val="0093311A"/>
    <w:rsid w:val="00942645"/>
    <w:rsid w:val="00950A3A"/>
    <w:rsid w:val="0095340A"/>
    <w:rsid w:val="00954581"/>
    <w:rsid w:val="0095466C"/>
    <w:rsid w:val="00954E5B"/>
    <w:rsid w:val="0095510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8AC"/>
    <w:rsid w:val="009A79BA"/>
    <w:rsid w:val="009B04E4"/>
    <w:rsid w:val="009B14D1"/>
    <w:rsid w:val="009B1534"/>
    <w:rsid w:val="009B4A3B"/>
    <w:rsid w:val="009B69D3"/>
    <w:rsid w:val="009B7BA7"/>
    <w:rsid w:val="009C0938"/>
    <w:rsid w:val="009C22C8"/>
    <w:rsid w:val="009C3F82"/>
    <w:rsid w:val="009C72DD"/>
    <w:rsid w:val="009C7DF5"/>
    <w:rsid w:val="009D056C"/>
    <w:rsid w:val="009D060F"/>
    <w:rsid w:val="009D1ADE"/>
    <w:rsid w:val="009D4E68"/>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199"/>
    <w:rsid w:val="00A2270B"/>
    <w:rsid w:val="00A23B89"/>
    <w:rsid w:val="00A23FE3"/>
    <w:rsid w:val="00A248C3"/>
    <w:rsid w:val="00A2496E"/>
    <w:rsid w:val="00A258B7"/>
    <w:rsid w:val="00A32743"/>
    <w:rsid w:val="00A414A9"/>
    <w:rsid w:val="00A44CCA"/>
    <w:rsid w:val="00A44D75"/>
    <w:rsid w:val="00A47CF1"/>
    <w:rsid w:val="00A47F35"/>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59D"/>
    <w:rsid w:val="00A768E2"/>
    <w:rsid w:val="00A8229F"/>
    <w:rsid w:val="00A82C52"/>
    <w:rsid w:val="00A830B5"/>
    <w:rsid w:val="00A86CB6"/>
    <w:rsid w:val="00A90D55"/>
    <w:rsid w:val="00A944D8"/>
    <w:rsid w:val="00A959E7"/>
    <w:rsid w:val="00A95BBA"/>
    <w:rsid w:val="00A961EE"/>
    <w:rsid w:val="00A97F99"/>
    <w:rsid w:val="00AA04B3"/>
    <w:rsid w:val="00AA1253"/>
    <w:rsid w:val="00AA28EF"/>
    <w:rsid w:val="00AA493E"/>
    <w:rsid w:val="00AA73AF"/>
    <w:rsid w:val="00AB1754"/>
    <w:rsid w:val="00AB27DD"/>
    <w:rsid w:val="00AC0EBA"/>
    <w:rsid w:val="00AC36EB"/>
    <w:rsid w:val="00AC439D"/>
    <w:rsid w:val="00AC4C8C"/>
    <w:rsid w:val="00AC713F"/>
    <w:rsid w:val="00AD067E"/>
    <w:rsid w:val="00AD2801"/>
    <w:rsid w:val="00AD6870"/>
    <w:rsid w:val="00AD68C5"/>
    <w:rsid w:val="00AE1273"/>
    <w:rsid w:val="00AE2D29"/>
    <w:rsid w:val="00AE2FEE"/>
    <w:rsid w:val="00AE4624"/>
    <w:rsid w:val="00AE4C2E"/>
    <w:rsid w:val="00AE5E14"/>
    <w:rsid w:val="00AE6115"/>
    <w:rsid w:val="00AE625B"/>
    <w:rsid w:val="00AF1668"/>
    <w:rsid w:val="00AF4FA5"/>
    <w:rsid w:val="00B07955"/>
    <w:rsid w:val="00B11227"/>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82277"/>
    <w:rsid w:val="00B91676"/>
    <w:rsid w:val="00B95833"/>
    <w:rsid w:val="00BA1824"/>
    <w:rsid w:val="00BA23EA"/>
    <w:rsid w:val="00BA2D98"/>
    <w:rsid w:val="00BA30D1"/>
    <w:rsid w:val="00BA4609"/>
    <w:rsid w:val="00BA5BE2"/>
    <w:rsid w:val="00BA7B11"/>
    <w:rsid w:val="00BA7F46"/>
    <w:rsid w:val="00BB0A0A"/>
    <w:rsid w:val="00BB1192"/>
    <w:rsid w:val="00BB2F99"/>
    <w:rsid w:val="00BB45B5"/>
    <w:rsid w:val="00BB6064"/>
    <w:rsid w:val="00BC09D1"/>
    <w:rsid w:val="00BC1CF3"/>
    <w:rsid w:val="00BC7DC1"/>
    <w:rsid w:val="00BC7F82"/>
    <w:rsid w:val="00BD0E95"/>
    <w:rsid w:val="00BD40AB"/>
    <w:rsid w:val="00BD6297"/>
    <w:rsid w:val="00BD6806"/>
    <w:rsid w:val="00BD7433"/>
    <w:rsid w:val="00BD7831"/>
    <w:rsid w:val="00BD7C10"/>
    <w:rsid w:val="00BE046F"/>
    <w:rsid w:val="00BE0DEB"/>
    <w:rsid w:val="00BE2FC1"/>
    <w:rsid w:val="00BE4325"/>
    <w:rsid w:val="00BE6365"/>
    <w:rsid w:val="00BF0B7F"/>
    <w:rsid w:val="00BF4720"/>
    <w:rsid w:val="00BF7B63"/>
    <w:rsid w:val="00C038EC"/>
    <w:rsid w:val="00C04E08"/>
    <w:rsid w:val="00C05C6D"/>
    <w:rsid w:val="00C1122B"/>
    <w:rsid w:val="00C11C0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1D7"/>
    <w:rsid w:val="00C54DF3"/>
    <w:rsid w:val="00C560A7"/>
    <w:rsid w:val="00C56BA0"/>
    <w:rsid w:val="00C56FC8"/>
    <w:rsid w:val="00C60F23"/>
    <w:rsid w:val="00C62EB2"/>
    <w:rsid w:val="00C6453F"/>
    <w:rsid w:val="00C71BEC"/>
    <w:rsid w:val="00C74D3A"/>
    <w:rsid w:val="00C80511"/>
    <w:rsid w:val="00C826F5"/>
    <w:rsid w:val="00C83740"/>
    <w:rsid w:val="00C84AD1"/>
    <w:rsid w:val="00C85579"/>
    <w:rsid w:val="00C863E5"/>
    <w:rsid w:val="00C87894"/>
    <w:rsid w:val="00C931FC"/>
    <w:rsid w:val="00C932C5"/>
    <w:rsid w:val="00C94DFE"/>
    <w:rsid w:val="00C9650E"/>
    <w:rsid w:val="00CA068D"/>
    <w:rsid w:val="00CA1228"/>
    <w:rsid w:val="00CA282D"/>
    <w:rsid w:val="00CA4670"/>
    <w:rsid w:val="00CA4B4A"/>
    <w:rsid w:val="00CA6B1A"/>
    <w:rsid w:val="00CB20DC"/>
    <w:rsid w:val="00CB23DC"/>
    <w:rsid w:val="00CB2487"/>
    <w:rsid w:val="00CB28E2"/>
    <w:rsid w:val="00CB7A3E"/>
    <w:rsid w:val="00CB7FF7"/>
    <w:rsid w:val="00CC0D0E"/>
    <w:rsid w:val="00CC19B3"/>
    <w:rsid w:val="00CC2044"/>
    <w:rsid w:val="00CC39D2"/>
    <w:rsid w:val="00CC4FDF"/>
    <w:rsid w:val="00CC69EC"/>
    <w:rsid w:val="00CD0624"/>
    <w:rsid w:val="00CD15BE"/>
    <w:rsid w:val="00CD1EF2"/>
    <w:rsid w:val="00CD24A2"/>
    <w:rsid w:val="00CD32BD"/>
    <w:rsid w:val="00CD34C7"/>
    <w:rsid w:val="00CD3973"/>
    <w:rsid w:val="00CD5653"/>
    <w:rsid w:val="00CD5E6D"/>
    <w:rsid w:val="00CD63C8"/>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21C6"/>
    <w:rsid w:val="00D2321B"/>
    <w:rsid w:val="00D23DE4"/>
    <w:rsid w:val="00D26873"/>
    <w:rsid w:val="00D278B7"/>
    <w:rsid w:val="00D31642"/>
    <w:rsid w:val="00D31683"/>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7FD7"/>
    <w:rsid w:val="00D706CA"/>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74EB"/>
    <w:rsid w:val="00DB0015"/>
    <w:rsid w:val="00DB2AAD"/>
    <w:rsid w:val="00DB6119"/>
    <w:rsid w:val="00DB626D"/>
    <w:rsid w:val="00DB6365"/>
    <w:rsid w:val="00DC0BF1"/>
    <w:rsid w:val="00DC41C3"/>
    <w:rsid w:val="00DD3593"/>
    <w:rsid w:val="00DD5F54"/>
    <w:rsid w:val="00DE0C67"/>
    <w:rsid w:val="00DE190B"/>
    <w:rsid w:val="00DE19A6"/>
    <w:rsid w:val="00DE4C3F"/>
    <w:rsid w:val="00DE6952"/>
    <w:rsid w:val="00DE7E74"/>
    <w:rsid w:val="00DF6EF8"/>
    <w:rsid w:val="00E00A69"/>
    <w:rsid w:val="00E017F0"/>
    <w:rsid w:val="00E01A0E"/>
    <w:rsid w:val="00E041E4"/>
    <w:rsid w:val="00E1012B"/>
    <w:rsid w:val="00E103C8"/>
    <w:rsid w:val="00E1085B"/>
    <w:rsid w:val="00E1277A"/>
    <w:rsid w:val="00E1308B"/>
    <w:rsid w:val="00E14581"/>
    <w:rsid w:val="00E15539"/>
    <w:rsid w:val="00E16541"/>
    <w:rsid w:val="00E20DA9"/>
    <w:rsid w:val="00E2536E"/>
    <w:rsid w:val="00E25B8A"/>
    <w:rsid w:val="00E2632B"/>
    <w:rsid w:val="00E321CC"/>
    <w:rsid w:val="00E322F7"/>
    <w:rsid w:val="00E3369B"/>
    <w:rsid w:val="00E36D76"/>
    <w:rsid w:val="00E405EA"/>
    <w:rsid w:val="00E408B7"/>
    <w:rsid w:val="00E41637"/>
    <w:rsid w:val="00E42789"/>
    <w:rsid w:val="00E43F59"/>
    <w:rsid w:val="00E464F0"/>
    <w:rsid w:val="00E50BEB"/>
    <w:rsid w:val="00E548FA"/>
    <w:rsid w:val="00E56BC9"/>
    <w:rsid w:val="00E6092F"/>
    <w:rsid w:val="00E62049"/>
    <w:rsid w:val="00E629DA"/>
    <w:rsid w:val="00E6469F"/>
    <w:rsid w:val="00E67FAC"/>
    <w:rsid w:val="00E7200B"/>
    <w:rsid w:val="00E738CB"/>
    <w:rsid w:val="00E73C88"/>
    <w:rsid w:val="00E74437"/>
    <w:rsid w:val="00E7443D"/>
    <w:rsid w:val="00E80626"/>
    <w:rsid w:val="00E81C3E"/>
    <w:rsid w:val="00E825B5"/>
    <w:rsid w:val="00E82B6D"/>
    <w:rsid w:val="00E92FA1"/>
    <w:rsid w:val="00E935D8"/>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C668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2F63"/>
    <w:rsid w:val="00F24072"/>
    <w:rsid w:val="00F26432"/>
    <w:rsid w:val="00F3197A"/>
    <w:rsid w:val="00F32139"/>
    <w:rsid w:val="00F3342B"/>
    <w:rsid w:val="00F33D56"/>
    <w:rsid w:val="00F34E08"/>
    <w:rsid w:val="00F4167C"/>
    <w:rsid w:val="00F41D91"/>
    <w:rsid w:val="00F42363"/>
    <w:rsid w:val="00F46964"/>
    <w:rsid w:val="00F46F9A"/>
    <w:rsid w:val="00F5126A"/>
    <w:rsid w:val="00F6636A"/>
    <w:rsid w:val="00F667C5"/>
    <w:rsid w:val="00F67E31"/>
    <w:rsid w:val="00F718A8"/>
    <w:rsid w:val="00F72183"/>
    <w:rsid w:val="00F75EED"/>
    <w:rsid w:val="00F76D01"/>
    <w:rsid w:val="00F81C35"/>
    <w:rsid w:val="00F82981"/>
    <w:rsid w:val="00F8311F"/>
    <w:rsid w:val="00F83248"/>
    <w:rsid w:val="00F83376"/>
    <w:rsid w:val="00F853AE"/>
    <w:rsid w:val="00F87563"/>
    <w:rsid w:val="00F92761"/>
    <w:rsid w:val="00F93C74"/>
    <w:rsid w:val="00F93DCC"/>
    <w:rsid w:val="00F9435D"/>
    <w:rsid w:val="00F95F79"/>
    <w:rsid w:val="00F97740"/>
    <w:rsid w:val="00F97AE8"/>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CA4B4A"/>
    <w:pPr>
      <w:jc w:val="center"/>
    </w:pPr>
    <w:rPr>
      <w:rFonts w:ascii="Verdana" w:hAnsi="Verdana"/>
      <w:b/>
      <w:bCs/>
      <w:color w:val="800000"/>
      <w:szCs w:val="24"/>
    </w:rPr>
  </w:style>
  <w:style w:type="character" w:customStyle="1" w:styleId="TitleChar">
    <w:name w:val="Title Char"/>
    <w:basedOn w:val="DefaultParagraphFont"/>
    <w:link w:val="Title"/>
    <w:rsid w:val="00CA4B4A"/>
    <w:rPr>
      <w:rFonts w:ascii="Verdana" w:hAnsi="Verdana"/>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630869347">
      <w:bodyDiv w:val="1"/>
      <w:marLeft w:val="0"/>
      <w:marRight w:val="0"/>
      <w:marTop w:val="0"/>
      <w:marBottom w:val="0"/>
      <w:divBdr>
        <w:top w:val="none" w:sz="0" w:space="0" w:color="auto"/>
        <w:left w:val="none" w:sz="0" w:space="0" w:color="auto"/>
        <w:bottom w:val="none" w:sz="0" w:space="0" w:color="auto"/>
        <w:right w:val="none" w:sz="0" w:space="0" w:color="auto"/>
      </w:divBdr>
    </w:div>
    <w:div w:id="72498430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B3A9-DF2A-4399-8E6E-19E47520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2270</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2011-03-28T13:01:00Z</cp:lastPrinted>
  <dcterms:created xsi:type="dcterms:W3CDTF">2012-02-28T17:30:00Z</dcterms:created>
  <dcterms:modified xsi:type="dcterms:W3CDTF">2012-02-29T17:06:00Z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