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A24E66">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NAME:</w:t>
      </w:r>
      <w:r w:rsidR="00736AE7">
        <w:rPr>
          <w:rFonts w:asciiTheme="minorHAnsi" w:hAnsiTheme="minorHAnsi"/>
          <w:caps/>
          <w:color w:val="auto"/>
        </w:rPr>
        <w:t xml:space="preserve"> </w:t>
      </w:r>
      <w:r w:rsidR="008A26D3">
        <w:rPr>
          <w:rFonts w:asciiTheme="minorHAnsi" w:hAnsiTheme="minorHAnsi"/>
          <w:caps/>
          <w:color w:val="auto"/>
        </w:rPr>
        <w:t xml:space="preserve"> </w:t>
      </w:r>
      <w:r w:rsidR="00B25902">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F51458">
        <w:rPr>
          <w:rFonts w:asciiTheme="minorHAnsi" w:hAnsiTheme="minorHAnsi"/>
          <w:caps/>
          <w:color w:val="auto"/>
        </w:rPr>
        <w:t xml:space="preserve">             </w:t>
      </w:r>
      <w:r w:rsidR="00E2042E">
        <w:rPr>
          <w:rFonts w:asciiTheme="minorHAnsi" w:hAnsiTheme="minorHAnsi"/>
          <w:caps/>
          <w:color w:val="auto"/>
        </w:rPr>
        <w:t xml:space="preserve">    </w:t>
      </w:r>
      <w:r w:rsidR="00A24E66">
        <w:rPr>
          <w:rFonts w:asciiTheme="minorHAnsi" w:hAnsiTheme="minorHAnsi"/>
          <w:caps/>
          <w:color w:val="auto"/>
        </w:rPr>
        <w:t xml:space="preserve"> </w:t>
      </w:r>
      <w:r w:rsidR="00E2042E">
        <w:rPr>
          <w:rFonts w:asciiTheme="minorHAnsi" w:hAnsiTheme="minorHAnsi"/>
          <w:caps/>
          <w:color w:val="auto"/>
        </w:rPr>
        <w:t xml:space="preserve"> </w:t>
      </w:r>
      <w:r w:rsidRPr="00B20624">
        <w:rPr>
          <w:rFonts w:asciiTheme="minorHAnsi" w:hAnsiTheme="minorHAnsi"/>
          <w:caps/>
          <w:color w:val="auto"/>
        </w:rPr>
        <w:t xml:space="preserve">BRANCH OF SERVICE: </w:t>
      </w:r>
      <w:r w:rsidR="008A26D3">
        <w:rPr>
          <w:rFonts w:asciiTheme="minorHAnsi" w:hAnsiTheme="minorHAnsi"/>
          <w:caps/>
          <w:color w:val="auto"/>
        </w:rPr>
        <w:t xml:space="preserve"> </w:t>
      </w:r>
      <w:r w:rsidR="003A27B2" w:rsidRPr="00D451B2">
        <w:rPr>
          <w:rFonts w:asciiTheme="minorHAnsi" w:hAnsiTheme="minorHAnsi"/>
          <w:caps/>
          <w:color w:val="auto"/>
        </w:rPr>
        <w:t>AIR FORCE</w:t>
      </w:r>
    </w:p>
    <w:p w:rsidR="00540BEF" w:rsidRPr="00B20624" w:rsidRDefault="00540BEF" w:rsidP="00A24E66">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CASE NUMBER:  PD</w:t>
      </w:r>
      <w:r w:rsidR="00D451B2">
        <w:rPr>
          <w:rFonts w:asciiTheme="minorHAnsi" w:hAnsiTheme="minorHAnsi"/>
          <w:caps/>
          <w:color w:val="auto"/>
        </w:rPr>
        <w:t>1000583</w:t>
      </w:r>
      <w:r w:rsidRPr="00B20624">
        <w:rPr>
          <w:rFonts w:asciiTheme="minorHAnsi" w:hAnsiTheme="minorHAnsi"/>
          <w:caps/>
          <w:color w:val="auto"/>
        </w:rPr>
        <w:tab/>
      </w:r>
      <w:r w:rsidRPr="00B20624">
        <w:rPr>
          <w:rFonts w:asciiTheme="minorHAnsi" w:hAnsiTheme="minorHAnsi"/>
          <w:caps/>
          <w:color w:val="auto"/>
        </w:rPr>
        <w:tab/>
      </w:r>
      <w:r w:rsidR="00F51458">
        <w:rPr>
          <w:rFonts w:asciiTheme="minorHAnsi" w:hAnsiTheme="minorHAnsi"/>
          <w:caps/>
          <w:color w:val="auto"/>
        </w:rPr>
        <w:t xml:space="preserve">            </w:t>
      </w:r>
      <w:r w:rsidR="00E2042E">
        <w:rPr>
          <w:rFonts w:asciiTheme="minorHAnsi" w:hAnsiTheme="minorHAnsi"/>
          <w:caps/>
          <w:color w:val="auto"/>
        </w:rPr>
        <w:t xml:space="preserve">    </w:t>
      </w:r>
      <w:r w:rsidR="00A24E66">
        <w:rPr>
          <w:rFonts w:asciiTheme="minorHAnsi" w:hAnsiTheme="minorHAnsi"/>
          <w:caps/>
          <w:color w:val="auto"/>
        </w:rPr>
        <w:t xml:space="preserve"> </w:t>
      </w:r>
      <w:r w:rsidR="00E2042E">
        <w:rPr>
          <w:rFonts w:asciiTheme="minorHAnsi" w:hAnsiTheme="minorHAnsi"/>
          <w:caps/>
          <w:color w:val="auto"/>
        </w:rPr>
        <w:t xml:space="preserve"> </w:t>
      </w:r>
      <w:r w:rsidR="00F51458">
        <w:rPr>
          <w:rFonts w:asciiTheme="minorHAnsi" w:hAnsiTheme="minorHAnsi"/>
          <w:caps/>
          <w:color w:val="auto"/>
        </w:rPr>
        <w:t xml:space="preserve"> </w:t>
      </w:r>
      <w:r w:rsidR="00C22F3A" w:rsidRPr="00B20624">
        <w:rPr>
          <w:rFonts w:asciiTheme="minorHAnsi" w:hAnsiTheme="minorHAnsi"/>
          <w:caps/>
          <w:color w:val="auto"/>
        </w:rPr>
        <w:t xml:space="preserve">SEPARATION DATE: </w:t>
      </w:r>
      <w:r w:rsidR="008A26D3">
        <w:rPr>
          <w:rFonts w:asciiTheme="minorHAnsi" w:hAnsiTheme="minorHAnsi"/>
          <w:caps/>
          <w:color w:val="auto"/>
        </w:rPr>
        <w:t xml:space="preserve"> </w:t>
      </w:r>
      <w:r w:rsidR="00C22F3A" w:rsidRPr="00B20624">
        <w:rPr>
          <w:rFonts w:asciiTheme="minorHAnsi" w:hAnsiTheme="minorHAnsi"/>
          <w:caps/>
          <w:color w:val="auto"/>
        </w:rPr>
        <w:t>200</w:t>
      </w:r>
      <w:r w:rsidR="00D451B2">
        <w:rPr>
          <w:rFonts w:asciiTheme="minorHAnsi" w:hAnsiTheme="minorHAnsi"/>
          <w:caps/>
          <w:color w:val="auto"/>
        </w:rPr>
        <w:t>70720</w:t>
      </w:r>
    </w:p>
    <w:p w:rsidR="00E2042E" w:rsidRDefault="00540BEF" w:rsidP="00F5145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8A26D3">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A21E86">
        <w:rPr>
          <w:rFonts w:asciiTheme="minorHAnsi" w:hAnsiTheme="minorHAnsi"/>
          <w:caps/>
          <w:color w:val="auto"/>
        </w:rPr>
        <w:t>0303</w:t>
      </w:r>
      <w:r w:rsidRPr="00B20624">
        <w:rPr>
          <w:rFonts w:asciiTheme="minorHAnsi" w:hAnsiTheme="minorHAnsi"/>
          <w:caps/>
          <w:color w:val="auto"/>
        </w:rPr>
        <w:tab/>
      </w:r>
      <w:r w:rsidRPr="00B20624">
        <w:rPr>
          <w:rFonts w:asciiTheme="minorHAnsi" w:hAnsiTheme="minorHAnsi"/>
          <w:caps/>
          <w:color w:val="auto"/>
        </w:rPr>
        <w:tab/>
      </w:r>
    </w:p>
    <w:p w:rsidR="00F8117F" w:rsidRDefault="00F8117F" w:rsidP="00F8117F">
      <w:pPr>
        <w:pBdr>
          <w:bottom w:val="single" w:sz="12" w:space="1" w:color="auto"/>
        </w:pBdr>
        <w:tabs>
          <w:tab w:val="left" w:pos="288"/>
          <w:tab w:val="left" w:pos="4752"/>
        </w:tabs>
        <w:spacing w:line="240" w:lineRule="exact"/>
        <w:jc w:val="both"/>
        <w:rPr>
          <w:rFonts w:ascii="Calibri" w:hAnsi="Calibri"/>
          <w:color w:val="auto"/>
          <w:u w:val="single"/>
        </w:rPr>
      </w:pPr>
    </w:p>
    <w:p w:rsidR="00E2042E" w:rsidRDefault="00E2042E" w:rsidP="00F51458">
      <w:pPr>
        <w:tabs>
          <w:tab w:val="left" w:pos="288"/>
          <w:tab w:val="left" w:pos="4752"/>
        </w:tabs>
        <w:spacing w:line="240" w:lineRule="exact"/>
        <w:jc w:val="both"/>
        <w:rPr>
          <w:rFonts w:ascii="Calibri" w:hAnsi="Calibri"/>
          <w:color w:val="auto"/>
          <w:u w:val="single"/>
        </w:rPr>
      </w:pPr>
    </w:p>
    <w:p w:rsidR="005052D4" w:rsidRPr="00AE3316" w:rsidRDefault="005052D4" w:rsidP="00F51458">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8C4732" w:rsidRPr="008C4732">
        <w:rPr>
          <w:rFonts w:ascii="Calibri" w:hAnsi="Calibri"/>
          <w:color w:val="auto"/>
          <w:szCs w:val="24"/>
        </w:rPr>
        <w:t>Data extracted from the available evidence of record reflects that this covered individual (CI) was</w:t>
      </w:r>
      <w:r w:rsidR="008C4732">
        <w:rPr>
          <w:rFonts w:ascii="Calibri" w:hAnsi="Calibri"/>
          <w:color w:val="auto"/>
          <w:szCs w:val="24"/>
        </w:rPr>
        <w:t xml:space="preserve"> </w:t>
      </w:r>
      <w:r w:rsidR="007665AF">
        <w:rPr>
          <w:rFonts w:ascii="Calibri" w:hAnsi="Calibri"/>
          <w:color w:val="auto"/>
          <w:szCs w:val="24"/>
        </w:rPr>
        <w:t xml:space="preserve">an </w:t>
      </w:r>
      <w:r w:rsidR="00FA518E">
        <w:rPr>
          <w:rFonts w:ascii="Calibri" w:hAnsi="Calibri"/>
          <w:color w:val="auto"/>
          <w:szCs w:val="24"/>
        </w:rPr>
        <w:t>active duty Capt</w:t>
      </w:r>
      <w:r w:rsidR="007665AF" w:rsidRPr="002B53BF">
        <w:rPr>
          <w:rFonts w:ascii="Calibri" w:hAnsi="Calibri"/>
          <w:color w:val="auto"/>
          <w:szCs w:val="24"/>
        </w:rPr>
        <w:t xml:space="preserve"> (</w:t>
      </w:r>
      <w:r w:rsidR="007665AF">
        <w:rPr>
          <w:rFonts w:ascii="Calibri" w:hAnsi="Calibri"/>
          <w:color w:val="auto"/>
          <w:szCs w:val="24"/>
        </w:rPr>
        <w:t>12S3F</w:t>
      </w:r>
      <w:r w:rsidR="00F8117F">
        <w:rPr>
          <w:rFonts w:ascii="Calibri" w:hAnsi="Calibri"/>
          <w:color w:val="auto"/>
          <w:szCs w:val="24"/>
        </w:rPr>
        <w:t>,</w:t>
      </w:r>
      <w:r w:rsidR="007665AF">
        <w:rPr>
          <w:rFonts w:ascii="Calibri" w:hAnsi="Calibri"/>
          <w:color w:val="auto"/>
          <w:szCs w:val="24"/>
        </w:rPr>
        <w:t xml:space="preserve"> Special Operations</w:t>
      </w:r>
      <w:r w:rsidR="007665AF" w:rsidRPr="002B53BF">
        <w:rPr>
          <w:rFonts w:ascii="Calibri" w:hAnsi="Calibri"/>
          <w:color w:val="auto"/>
          <w:szCs w:val="24"/>
        </w:rPr>
        <w:t xml:space="preserve"> Navigator</w:t>
      </w:r>
      <w:r w:rsidR="007665AF">
        <w:rPr>
          <w:rFonts w:ascii="Calibri" w:hAnsi="Calibri"/>
          <w:color w:val="auto"/>
          <w:szCs w:val="24"/>
        </w:rPr>
        <w:t xml:space="preserve">) </w:t>
      </w:r>
      <w:r w:rsidR="007665AF" w:rsidRPr="00AE3316">
        <w:rPr>
          <w:rFonts w:ascii="Calibri" w:hAnsi="Calibri"/>
          <w:color w:val="auto"/>
          <w:szCs w:val="24"/>
        </w:rPr>
        <w:t xml:space="preserve">medically separated from the </w:t>
      </w:r>
      <w:r w:rsidR="007665AF">
        <w:rPr>
          <w:rFonts w:ascii="Calibri" w:hAnsi="Calibri"/>
          <w:color w:val="auto"/>
          <w:szCs w:val="24"/>
        </w:rPr>
        <w:t>Air Force</w:t>
      </w:r>
      <w:r w:rsidR="007665AF" w:rsidRPr="00AE3316">
        <w:rPr>
          <w:rFonts w:ascii="Calibri" w:hAnsi="Calibri"/>
          <w:color w:val="auto"/>
          <w:szCs w:val="24"/>
        </w:rPr>
        <w:t xml:space="preserve"> in 200</w:t>
      </w:r>
      <w:r w:rsidR="007665AF">
        <w:rPr>
          <w:rFonts w:ascii="Calibri" w:hAnsi="Calibri"/>
          <w:color w:val="auto"/>
          <w:szCs w:val="24"/>
        </w:rPr>
        <w:t>7</w:t>
      </w:r>
      <w:r w:rsidR="007665AF" w:rsidRPr="00AE3316">
        <w:rPr>
          <w:rFonts w:ascii="Calibri" w:hAnsi="Calibri"/>
          <w:color w:val="auto"/>
          <w:szCs w:val="24"/>
        </w:rPr>
        <w:t xml:space="preserve"> after </w:t>
      </w:r>
      <w:r w:rsidR="007665AF">
        <w:rPr>
          <w:rFonts w:ascii="Calibri" w:hAnsi="Calibri"/>
          <w:color w:val="auto"/>
          <w:szCs w:val="24"/>
        </w:rPr>
        <w:t>6</w:t>
      </w:r>
      <w:r w:rsidR="007665AF" w:rsidRPr="00AE3316">
        <w:rPr>
          <w:rFonts w:ascii="Calibri" w:hAnsi="Calibri"/>
          <w:color w:val="auto"/>
          <w:szCs w:val="24"/>
        </w:rPr>
        <w:t xml:space="preserve"> years of</w:t>
      </w:r>
      <w:r w:rsidR="007665AF">
        <w:rPr>
          <w:rFonts w:ascii="Calibri" w:hAnsi="Calibri"/>
          <w:color w:val="auto"/>
          <w:szCs w:val="24"/>
        </w:rPr>
        <w:t xml:space="preserve"> service. </w:t>
      </w:r>
      <w:r w:rsidR="00F8117F">
        <w:rPr>
          <w:rFonts w:ascii="Calibri" w:hAnsi="Calibri"/>
          <w:color w:val="auto"/>
          <w:szCs w:val="24"/>
        </w:rPr>
        <w:t xml:space="preserve"> </w:t>
      </w:r>
      <w:r w:rsidR="007665AF" w:rsidRPr="00AE3316">
        <w:rPr>
          <w:rFonts w:ascii="Calibri" w:hAnsi="Calibri"/>
          <w:color w:val="auto"/>
          <w:szCs w:val="24"/>
        </w:rPr>
        <w:t xml:space="preserve">The medical basis for the separation was </w:t>
      </w:r>
      <w:r w:rsidR="007665AF">
        <w:rPr>
          <w:rFonts w:ascii="Calibri" w:hAnsi="Calibri"/>
          <w:color w:val="auto"/>
          <w:szCs w:val="24"/>
        </w:rPr>
        <w:t>Post</w:t>
      </w:r>
      <w:r w:rsidR="00F27DFB">
        <w:rPr>
          <w:rFonts w:ascii="Calibri" w:hAnsi="Calibri"/>
          <w:color w:val="auto"/>
          <w:szCs w:val="24"/>
        </w:rPr>
        <w:t>t</w:t>
      </w:r>
      <w:r w:rsidR="007665AF">
        <w:rPr>
          <w:rFonts w:ascii="Calibri" w:hAnsi="Calibri"/>
          <w:color w:val="auto"/>
          <w:szCs w:val="24"/>
        </w:rPr>
        <w:t>raumatic Stress Disorder (</w:t>
      </w:r>
      <w:r w:rsidR="007665AF" w:rsidRPr="00CD0879">
        <w:rPr>
          <w:rFonts w:ascii="Calibri" w:hAnsi="Calibri"/>
          <w:color w:val="auto"/>
          <w:szCs w:val="24"/>
        </w:rPr>
        <w:t>PTSD</w:t>
      </w:r>
      <w:r w:rsidR="007665AF">
        <w:rPr>
          <w:rFonts w:ascii="Calibri" w:hAnsi="Calibri"/>
          <w:color w:val="auto"/>
          <w:szCs w:val="24"/>
        </w:rPr>
        <w:t xml:space="preserve">). </w:t>
      </w:r>
      <w:r w:rsidR="0013137D">
        <w:rPr>
          <w:rFonts w:ascii="Calibri" w:hAnsi="Calibri"/>
          <w:color w:val="auto"/>
          <w:szCs w:val="24"/>
        </w:rPr>
        <w:t xml:space="preserve"> His symptoms </w:t>
      </w:r>
      <w:r w:rsidR="00B44B52">
        <w:rPr>
          <w:rFonts w:ascii="Calibri" w:hAnsi="Calibri"/>
          <w:color w:val="auto"/>
          <w:szCs w:val="24"/>
        </w:rPr>
        <w:t xml:space="preserve">began after a combat incident </w:t>
      </w:r>
      <w:r w:rsidR="00C715B3">
        <w:rPr>
          <w:rFonts w:ascii="Calibri" w:hAnsi="Calibri"/>
          <w:color w:val="auto"/>
          <w:szCs w:val="24"/>
        </w:rPr>
        <w:t>in</w:t>
      </w:r>
      <w:r w:rsidR="0013137D">
        <w:rPr>
          <w:rFonts w:ascii="Calibri" w:hAnsi="Calibri"/>
          <w:color w:val="auto"/>
          <w:szCs w:val="24"/>
        </w:rPr>
        <w:t xml:space="preserve"> Iraq in</w:t>
      </w:r>
      <w:r w:rsidR="00B44B52">
        <w:rPr>
          <w:rFonts w:ascii="Calibri" w:hAnsi="Calibri"/>
          <w:color w:val="auto"/>
          <w:szCs w:val="24"/>
        </w:rPr>
        <w:t xml:space="preserve"> 2004</w:t>
      </w:r>
      <w:r w:rsidR="00C715B3">
        <w:rPr>
          <w:rFonts w:ascii="Calibri" w:hAnsi="Calibri"/>
          <w:color w:val="auto"/>
          <w:szCs w:val="24"/>
        </w:rPr>
        <w:t xml:space="preserve">, during which he called off an in-flight strike targeting insurgents.  </w:t>
      </w:r>
      <w:r w:rsidR="00AE6DFB">
        <w:rPr>
          <w:rFonts w:ascii="Calibri" w:hAnsi="Calibri"/>
          <w:color w:val="auto"/>
          <w:szCs w:val="24"/>
        </w:rPr>
        <w:t xml:space="preserve">Criterion </w:t>
      </w:r>
      <w:proofErr w:type="gramStart"/>
      <w:r w:rsidR="00AE6DFB">
        <w:rPr>
          <w:rFonts w:ascii="Calibri" w:hAnsi="Calibri"/>
          <w:color w:val="auto"/>
          <w:szCs w:val="24"/>
        </w:rPr>
        <w:t>A</w:t>
      </w:r>
      <w:proofErr w:type="gramEnd"/>
      <w:r w:rsidR="00AE6DFB">
        <w:rPr>
          <w:rFonts w:ascii="Calibri" w:hAnsi="Calibri"/>
          <w:color w:val="auto"/>
          <w:szCs w:val="24"/>
        </w:rPr>
        <w:t xml:space="preserve"> stressors </w:t>
      </w:r>
      <w:r w:rsidR="00C715B3">
        <w:rPr>
          <w:rFonts w:ascii="Calibri" w:hAnsi="Calibri"/>
          <w:color w:val="auto"/>
          <w:szCs w:val="24"/>
        </w:rPr>
        <w:t>were well documented during subsequent combat</w:t>
      </w:r>
      <w:r w:rsidR="00AE6DFB">
        <w:rPr>
          <w:rFonts w:ascii="Calibri" w:hAnsi="Calibri"/>
          <w:color w:val="auto"/>
          <w:szCs w:val="24"/>
        </w:rPr>
        <w:t xml:space="preserve"> deployment</w:t>
      </w:r>
      <w:r w:rsidR="00C715B3">
        <w:rPr>
          <w:rFonts w:ascii="Calibri" w:hAnsi="Calibri"/>
          <w:color w:val="auto"/>
          <w:szCs w:val="24"/>
        </w:rPr>
        <w:t>s.</w:t>
      </w:r>
      <w:r w:rsidR="00AE6DFB">
        <w:rPr>
          <w:rFonts w:ascii="Calibri" w:hAnsi="Calibri"/>
          <w:color w:val="auto"/>
          <w:szCs w:val="24"/>
        </w:rPr>
        <w:t xml:space="preserve">  </w:t>
      </w:r>
      <w:r w:rsidR="00C715B3">
        <w:rPr>
          <w:rFonts w:ascii="Calibri" w:hAnsi="Calibri"/>
          <w:color w:val="auto"/>
          <w:szCs w:val="24"/>
        </w:rPr>
        <w:t>In 2006</w:t>
      </w:r>
      <w:r w:rsidR="00F8117F">
        <w:rPr>
          <w:rFonts w:ascii="Calibri" w:hAnsi="Calibri"/>
          <w:color w:val="auto"/>
          <w:szCs w:val="24"/>
        </w:rPr>
        <w:t>,</w:t>
      </w:r>
      <w:r w:rsidR="00C715B3">
        <w:rPr>
          <w:rFonts w:ascii="Calibri" w:hAnsi="Calibri"/>
          <w:color w:val="auto"/>
          <w:szCs w:val="24"/>
        </w:rPr>
        <w:t xml:space="preserve"> h</w:t>
      </w:r>
      <w:r w:rsidR="00AE6DFB">
        <w:rPr>
          <w:rFonts w:ascii="Calibri" w:hAnsi="Calibri"/>
          <w:color w:val="auto"/>
          <w:szCs w:val="24"/>
        </w:rPr>
        <w:t>e was diagnosed with PTSD</w:t>
      </w:r>
      <w:r w:rsidR="00A21204">
        <w:rPr>
          <w:rFonts w:ascii="Calibri" w:hAnsi="Calibri"/>
          <w:color w:val="auto"/>
          <w:szCs w:val="24"/>
        </w:rPr>
        <w:t xml:space="preserve"> and</w:t>
      </w:r>
      <w:r w:rsidR="00C715B3">
        <w:rPr>
          <w:rFonts w:ascii="Calibri" w:hAnsi="Calibri"/>
          <w:color w:val="auto"/>
          <w:szCs w:val="24"/>
        </w:rPr>
        <w:t xml:space="preserve"> began treatment and </w:t>
      </w:r>
      <w:r w:rsidR="00A21204">
        <w:rPr>
          <w:rFonts w:ascii="Calibri" w:hAnsi="Calibri"/>
          <w:color w:val="auto"/>
          <w:szCs w:val="24"/>
        </w:rPr>
        <w:t xml:space="preserve">was </w:t>
      </w:r>
      <w:r w:rsidR="00C715B3">
        <w:rPr>
          <w:rFonts w:ascii="Calibri" w:hAnsi="Calibri"/>
          <w:color w:val="auto"/>
          <w:szCs w:val="24"/>
        </w:rPr>
        <w:t>removed from flying status</w:t>
      </w:r>
      <w:r w:rsidR="00A21204">
        <w:rPr>
          <w:rFonts w:ascii="Calibri" w:hAnsi="Calibri"/>
          <w:color w:val="auto"/>
          <w:szCs w:val="24"/>
        </w:rPr>
        <w:t xml:space="preserve">.  </w:t>
      </w:r>
      <w:r w:rsidRPr="00A21204">
        <w:rPr>
          <w:rFonts w:ascii="Calibri" w:hAnsi="Calibri"/>
          <w:color w:val="auto"/>
          <w:szCs w:val="24"/>
        </w:rPr>
        <w:t>He</w:t>
      </w:r>
      <w:r w:rsidR="00AE6DFB">
        <w:rPr>
          <w:rFonts w:ascii="Calibri" w:hAnsi="Calibri"/>
          <w:color w:val="auto"/>
          <w:szCs w:val="24"/>
        </w:rPr>
        <w:t xml:space="preserve"> did not respond </w:t>
      </w:r>
      <w:r>
        <w:rPr>
          <w:rFonts w:ascii="Calibri" w:hAnsi="Calibri"/>
          <w:color w:val="auto"/>
          <w:szCs w:val="24"/>
        </w:rPr>
        <w:t>adequately to perform w</w:t>
      </w:r>
      <w:r w:rsidR="003523EB">
        <w:rPr>
          <w:rFonts w:ascii="Calibri" w:hAnsi="Calibri"/>
          <w:color w:val="auto"/>
          <w:szCs w:val="24"/>
        </w:rPr>
        <w:t xml:space="preserve">ithin his </w:t>
      </w:r>
      <w:r w:rsidR="00F8117F">
        <w:rPr>
          <w:rFonts w:ascii="Calibri" w:hAnsi="Calibri"/>
          <w:color w:val="auto"/>
          <w:szCs w:val="24"/>
        </w:rPr>
        <w:t>A</w:t>
      </w:r>
      <w:r w:rsidR="00F27DFB">
        <w:rPr>
          <w:rFonts w:ascii="Calibri" w:hAnsi="Calibri"/>
          <w:color w:val="auto"/>
          <w:szCs w:val="24"/>
        </w:rPr>
        <w:t xml:space="preserve">ir </w:t>
      </w:r>
      <w:r w:rsidR="00F8117F">
        <w:rPr>
          <w:rFonts w:ascii="Calibri" w:hAnsi="Calibri"/>
          <w:color w:val="auto"/>
          <w:szCs w:val="24"/>
        </w:rPr>
        <w:t>F</w:t>
      </w:r>
      <w:r w:rsidR="00F27DFB">
        <w:rPr>
          <w:rFonts w:ascii="Calibri" w:hAnsi="Calibri"/>
          <w:color w:val="auto"/>
          <w:szCs w:val="24"/>
        </w:rPr>
        <w:t>orce S</w:t>
      </w:r>
      <w:r>
        <w:rPr>
          <w:rFonts w:ascii="Calibri" w:hAnsi="Calibri"/>
          <w:color w:val="auto"/>
          <w:szCs w:val="24"/>
        </w:rPr>
        <w:t>pecialty</w:t>
      </w:r>
      <w:r w:rsidR="00AE6DFB">
        <w:rPr>
          <w:rFonts w:ascii="Calibri" w:hAnsi="Calibri"/>
          <w:color w:val="auto"/>
          <w:szCs w:val="24"/>
        </w:rPr>
        <w:t>, was placed on</w:t>
      </w:r>
      <w:r w:rsidR="00A21204">
        <w:rPr>
          <w:rFonts w:ascii="Calibri" w:hAnsi="Calibri"/>
          <w:color w:val="auto"/>
          <w:szCs w:val="24"/>
        </w:rPr>
        <w:t xml:space="preserve"> an </w:t>
      </w:r>
      <w:r w:rsidR="00AE6DFB" w:rsidRPr="00A21204">
        <w:rPr>
          <w:rFonts w:ascii="Calibri" w:hAnsi="Calibri"/>
          <w:color w:val="auto"/>
          <w:szCs w:val="24"/>
        </w:rPr>
        <w:t>S</w:t>
      </w:r>
      <w:r w:rsidRPr="00A21204">
        <w:rPr>
          <w:rFonts w:ascii="Calibri" w:hAnsi="Calibri"/>
          <w:color w:val="auto"/>
          <w:szCs w:val="24"/>
        </w:rPr>
        <w:t>-</w:t>
      </w:r>
      <w:r w:rsidR="00A21204">
        <w:rPr>
          <w:rFonts w:ascii="Calibri" w:hAnsi="Calibri"/>
          <w:color w:val="auto"/>
          <w:szCs w:val="24"/>
        </w:rPr>
        <w:t>4</w:t>
      </w:r>
      <w:r>
        <w:rPr>
          <w:rFonts w:ascii="Calibri" w:hAnsi="Calibri"/>
          <w:color w:val="auto"/>
          <w:szCs w:val="24"/>
        </w:rPr>
        <w:t xml:space="preserve"> profile</w:t>
      </w:r>
      <w:r w:rsidR="00AE6DFB">
        <w:rPr>
          <w:rFonts w:ascii="Calibri" w:hAnsi="Calibri"/>
          <w:color w:val="auto"/>
          <w:szCs w:val="24"/>
        </w:rPr>
        <w:t xml:space="preserve"> and referred for</w:t>
      </w:r>
      <w:r>
        <w:rPr>
          <w:rFonts w:ascii="Calibri" w:hAnsi="Calibri"/>
          <w:color w:val="auto"/>
          <w:szCs w:val="24"/>
        </w:rPr>
        <w:t xml:space="preserve"> a Medical Evaluation Board (MEB).</w:t>
      </w:r>
      <w:r w:rsidR="00AE6DFB">
        <w:rPr>
          <w:rFonts w:ascii="Calibri" w:hAnsi="Calibri"/>
          <w:color w:val="auto"/>
          <w:szCs w:val="24"/>
        </w:rPr>
        <w:t xml:space="preserve">  </w:t>
      </w:r>
      <w:r w:rsidR="0096261E">
        <w:rPr>
          <w:rFonts w:ascii="Calibri" w:hAnsi="Calibri"/>
          <w:color w:val="auto"/>
          <w:szCs w:val="24"/>
        </w:rPr>
        <w:t xml:space="preserve">The PTSD was forwarded to the </w:t>
      </w:r>
      <w:r w:rsidR="0096261E" w:rsidRPr="0096261E">
        <w:rPr>
          <w:rFonts w:ascii="Calibri" w:hAnsi="Calibri"/>
          <w:color w:val="auto"/>
          <w:szCs w:val="24"/>
        </w:rPr>
        <w:t>Physical Evaluation Board (PEB)</w:t>
      </w:r>
      <w:r w:rsidR="0096261E">
        <w:rPr>
          <w:rFonts w:ascii="Calibri" w:hAnsi="Calibri"/>
          <w:color w:val="auto"/>
          <w:szCs w:val="24"/>
        </w:rPr>
        <w:t xml:space="preserve"> as medically unacceptable IAW AFI 48-123.  </w:t>
      </w:r>
      <w:r w:rsidR="00512081" w:rsidRPr="0028115C">
        <w:rPr>
          <w:rFonts w:ascii="Calibri" w:hAnsi="Calibri"/>
          <w:color w:val="auto"/>
          <w:szCs w:val="24"/>
        </w:rPr>
        <w:t xml:space="preserve">No other conditions were included on the </w:t>
      </w:r>
      <w:r w:rsidR="00B04F39">
        <w:rPr>
          <w:rFonts w:ascii="Calibri" w:hAnsi="Calibri"/>
          <w:color w:val="auto"/>
          <w:szCs w:val="24"/>
        </w:rPr>
        <w:t>MEB’s submission.</w:t>
      </w:r>
      <w:r w:rsidR="00512081">
        <w:rPr>
          <w:rFonts w:ascii="Calibri" w:hAnsi="Calibri"/>
          <w:color w:val="auto"/>
          <w:szCs w:val="24"/>
        </w:rPr>
        <w:t xml:space="preserve"> </w:t>
      </w:r>
      <w:r w:rsidR="001E6E63">
        <w:rPr>
          <w:rFonts w:ascii="Calibri" w:hAnsi="Calibri"/>
          <w:color w:val="auto"/>
          <w:szCs w:val="24"/>
        </w:rPr>
        <w:t xml:space="preserve"> </w:t>
      </w:r>
      <w:r w:rsidR="001E6E63" w:rsidRPr="00157C2C">
        <w:rPr>
          <w:rFonts w:ascii="Calibri" w:hAnsi="Calibri"/>
          <w:color w:val="auto"/>
          <w:szCs w:val="24"/>
        </w:rPr>
        <w:t>Additional</w:t>
      </w:r>
      <w:r w:rsidR="001E6E63" w:rsidRPr="0028115C">
        <w:rPr>
          <w:rFonts w:ascii="Calibri" w:hAnsi="Calibri"/>
          <w:color w:val="auto"/>
          <w:szCs w:val="24"/>
        </w:rPr>
        <w:t xml:space="preserve"> conditions supported in the </w:t>
      </w:r>
      <w:r w:rsidR="00FA518E">
        <w:rPr>
          <w:rFonts w:ascii="Calibri" w:hAnsi="Calibri"/>
          <w:color w:val="auto"/>
          <w:szCs w:val="24"/>
        </w:rPr>
        <w:t>Disability Evaluation System (</w:t>
      </w:r>
      <w:r w:rsidR="001E6E63" w:rsidRPr="0028115C">
        <w:rPr>
          <w:rFonts w:ascii="Calibri" w:hAnsi="Calibri"/>
          <w:color w:val="auto"/>
          <w:szCs w:val="24"/>
        </w:rPr>
        <w:t>DES</w:t>
      </w:r>
      <w:r w:rsidR="00FA518E">
        <w:rPr>
          <w:rFonts w:ascii="Calibri" w:hAnsi="Calibri"/>
          <w:color w:val="auto"/>
          <w:szCs w:val="24"/>
        </w:rPr>
        <w:t>)</w:t>
      </w:r>
      <w:r w:rsidR="001E6E63" w:rsidRPr="0028115C">
        <w:rPr>
          <w:rFonts w:ascii="Calibri" w:hAnsi="Calibri"/>
          <w:color w:val="auto"/>
          <w:szCs w:val="24"/>
        </w:rPr>
        <w:t xml:space="preserve"> packet are discussed be</w:t>
      </w:r>
      <w:r w:rsidR="0096261E">
        <w:rPr>
          <w:rFonts w:ascii="Calibri" w:hAnsi="Calibri"/>
          <w:color w:val="auto"/>
          <w:szCs w:val="24"/>
        </w:rPr>
        <w:t xml:space="preserve">low, but were not forwarded for </w:t>
      </w:r>
      <w:r w:rsidR="001E6E63" w:rsidRPr="00CD0879">
        <w:rPr>
          <w:rFonts w:ascii="Calibri" w:hAnsi="Calibri"/>
          <w:color w:val="auto"/>
          <w:szCs w:val="24"/>
        </w:rPr>
        <w:t>PEB</w:t>
      </w:r>
      <w:r w:rsidR="001E6E63" w:rsidRPr="0028115C">
        <w:rPr>
          <w:rFonts w:ascii="Calibri" w:hAnsi="Calibri"/>
          <w:color w:val="auto"/>
          <w:szCs w:val="24"/>
        </w:rPr>
        <w:t xml:space="preserve"> adjudication.  </w:t>
      </w:r>
      <w:r w:rsidR="009A0F59">
        <w:rPr>
          <w:rFonts w:ascii="Calibri" w:hAnsi="Calibri"/>
          <w:color w:val="auto"/>
          <w:szCs w:val="24"/>
        </w:rPr>
        <w:t xml:space="preserve">The informal </w:t>
      </w:r>
      <w:r w:rsidR="00510F21">
        <w:rPr>
          <w:rFonts w:ascii="Calibri" w:hAnsi="Calibri"/>
          <w:color w:val="auto"/>
          <w:szCs w:val="24"/>
        </w:rPr>
        <w:t xml:space="preserve">PEB </w:t>
      </w:r>
      <w:r w:rsidR="00FA518E">
        <w:rPr>
          <w:rFonts w:ascii="Calibri" w:hAnsi="Calibri"/>
          <w:color w:val="auto"/>
          <w:szCs w:val="24"/>
        </w:rPr>
        <w:t xml:space="preserve">(IPEB) </w:t>
      </w:r>
      <w:r w:rsidR="00510F21">
        <w:rPr>
          <w:rFonts w:ascii="Calibri" w:hAnsi="Calibri"/>
          <w:color w:val="auto"/>
          <w:szCs w:val="24"/>
        </w:rPr>
        <w:t>adjudicated the</w:t>
      </w:r>
      <w:r w:rsidR="00752D5F">
        <w:rPr>
          <w:rFonts w:ascii="Calibri" w:hAnsi="Calibri"/>
          <w:color w:val="auto"/>
          <w:szCs w:val="24"/>
        </w:rPr>
        <w:t xml:space="preserve"> PTSD</w:t>
      </w:r>
      <w:r w:rsidR="00510F21">
        <w:rPr>
          <w:rFonts w:ascii="Calibri" w:hAnsi="Calibri"/>
          <w:color w:val="auto"/>
          <w:szCs w:val="24"/>
        </w:rPr>
        <w:t xml:space="preserve"> condition as unfitting, </w:t>
      </w:r>
      <w:r w:rsidR="00510F21" w:rsidRPr="00CD0879">
        <w:rPr>
          <w:rFonts w:ascii="Calibri" w:hAnsi="Calibri"/>
          <w:color w:val="auto"/>
          <w:szCs w:val="24"/>
        </w:rPr>
        <w:t>rated</w:t>
      </w:r>
      <w:r w:rsidR="00752D5F" w:rsidRPr="00CD0879">
        <w:rPr>
          <w:rFonts w:ascii="Calibri" w:hAnsi="Calibri"/>
          <w:color w:val="auto"/>
          <w:szCs w:val="24"/>
        </w:rPr>
        <w:t xml:space="preserve"> 10%</w:t>
      </w:r>
      <w:r w:rsidR="00510F21">
        <w:rPr>
          <w:rFonts w:ascii="Calibri" w:hAnsi="Calibri"/>
          <w:color w:val="auto"/>
          <w:szCs w:val="24"/>
        </w:rPr>
        <w:t xml:space="preserve"> </w:t>
      </w:r>
      <w:r w:rsidR="00510F21" w:rsidRPr="0096261E">
        <w:rPr>
          <w:rFonts w:ascii="Calibri" w:hAnsi="Calibri"/>
          <w:color w:val="auto"/>
          <w:szCs w:val="24"/>
        </w:rPr>
        <w:t>IAW DoDI 1332.39</w:t>
      </w:r>
      <w:r w:rsidR="00CD4885">
        <w:rPr>
          <w:rFonts w:ascii="Calibri" w:hAnsi="Calibri"/>
          <w:color w:val="auto"/>
          <w:szCs w:val="24"/>
        </w:rPr>
        <w:t xml:space="preserve">.  </w:t>
      </w:r>
      <w:r w:rsidR="00752D5F">
        <w:rPr>
          <w:rFonts w:ascii="Calibri" w:hAnsi="Calibri"/>
          <w:color w:val="auto"/>
          <w:szCs w:val="24"/>
        </w:rPr>
        <w:t xml:space="preserve">The </w:t>
      </w:r>
      <w:r w:rsidR="00CD4885">
        <w:rPr>
          <w:rFonts w:ascii="Calibri" w:hAnsi="Calibri"/>
          <w:color w:val="auto"/>
          <w:szCs w:val="24"/>
        </w:rPr>
        <w:t>CI appealed to the f</w:t>
      </w:r>
      <w:r w:rsidR="00752D5F">
        <w:rPr>
          <w:rFonts w:ascii="Calibri" w:hAnsi="Calibri"/>
          <w:color w:val="auto"/>
          <w:szCs w:val="24"/>
        </w:rPr>
        <w:t>ormal PEB</w:t>
      </w:r>
      <w:r w:rsidR="006B7CCD">
        <w:rPr>
          <w:rFonts w:ascii="Calibri" w:hAnsi="Calibri"/>
          <w:color w:val="auto"/>
          <w:szCs w:val="24"/>
        </w:rPr>
        <w:t xml:space="preserve"> (FPEB)</w:t>
      </w:r>
      <w:r w:rsidR="00CD4885">
        <w:rPr>
          <w:rFonts w:ascii="Calibri" w:hAnsi="Calibri"/>
          <w:color w:val="auto"/>
          <w:szCs w:val="24"/>
        </w:rPr>
        <w:t xml:space="preserve">, and was then medically separated with a </w:t>
      </w:r>
      <w:r w:rsidR="00660D46" w:rsidRPr="00CD0879">
        <w:rPr>
          <w:rFonts w:ascii="Calibri" w:hAnsi="Calibri"/>
          <w:color w:val="auto"/>
          <w:szCs w:val="24"/>
        </w:rPr>
        <w:t>0%</w:t>
      </w:r>
      <w:r w:rsidR="00CD4885">
        <w:rPr>
          <w:rFonts w:ascii="Calibri" w:hAnsi="Calibri"/>
          <w:color w:val="auto"/>
          <w:szCs w:val="24"/>
        </w:rPr>
        <w:t xml:space="preserve"> disability rating.</w:t>
      </w:r>
    </w:p>
    <w:p w:rsidR="00F8117F" w:rsidRDefault="00F8117F" w:rsidP="00F8117F">
      <w:pPr>
        <w:pBdr>
          <w:bottom w:val="single" w:sz="12" w:space="1" w:color="auto"/>
        </w:pBdr>
        <w:tabs>
          <w:tab w:val="left" w:pos="288"/>
          <w:tab w:val="left" w:pos="4752"/>
        </w:tabs>
        <w:spacing w:line="240" w:lineRule="exact"/>
        <w:jc w:val="both"/>
        <w:rPr>
          <w:rFonts w:ascii="Calibri" w:hAnsi="Calibri"/>
          <w:color w:val="auto"/>
          <w:u w:val="single"/>
        </w:rPr>
      </w:pPr>
    </w:p>
    <w:p w:rsidR="00F8117F" w:rsidRDefault="00F8117F" w:rsidP="00F8117F">
      <w:pPr>
        <w:tabs>
          <w:tab w:val="left" w:pos="288"/>
          <w:tab w:val="left" w:pos="4752"/>
        </w:tabs>
        <w:spacing w:line="240" w:lineRule="exact"/>
        <w:jc w:val="both"/>
        <w:rPr>
          <w:rFonts w:ascii="Calibri" w:hAnsi="Calibri"/>
          <w:color w:val="auto"/>
          <w:u w:val="single"/>
        </w:rPr>
      </w:pPr>
    </w:p>
    <w:p w:rsidR="002E289F" w:rsidRDefault="002C6E5B" w:rsidP="004E31E9">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B44B52">
        <w:rPr>
          <w:rFonts w:ascii="Calibri" w:hAnsi="Calibri"/>
          <w:color w:val="auto"/>
          <w:szCs w:val="24"/>
        </w:rPr>
        <w:t>The CI states: “</w:t>
      </w:r>
      <w:r w:rsidR="00B44B52" w:rsidRPr="00EB215A">
        <w:rPr>
          <w:rFonts w:ascii="Calibri" w:hAnsi="Calibri"/>
          <w:color w:val="auto"/>
          <w:szCs w:val="24"/>
        </w:rPr>
        <w:t>At the time of</w:t>
      </w:r>
      <w:r w:rsidR="00B44B52">
        <w:rPr>
          <w:rFonts w:ascii="Calibri" w:hAnsi="Calibri"/>
          <w:color w:val="auto"/>
          <w:szCs w:val="24"/>
        </w:rPr>
        <w:t xml:space="preserve"> </w:t>
      </w:r>
      <w:r w:rsidR="00B44B52" w:rsidRPr="00EB215A">
        <w:rPr>
          <w:rFonts w:ascii="Calibri" w:hAnsi="Calibri"/>
          <w:color w:val="auto"/>
          <w:szCs w:val="24"/>
        </w:rPr>
        <w:t xml:space="preserve">my MEB, I </w:t>
      </w:r>
      <w:r w:rsidR="00B44B52">
        <w:rPr>
          <w:rFonts w:ascii="Calibri" w:hAnsi="Calibri"/>
          <w:color w:val="auto"/>
          <w:szCs w:val="24"/>
        </w:rPr>
        <w:t xml:space="preserve">perceived significant </w:t>
      </w:r>
      <w:r w:rsidR="00B44B52" w:rsidRPr="00EB215A">
        <w:rPr>
          <w:rFonts w:ascii="Calibri" w:hAnsi="Calibri"/>
          <w:color w:val="auto"/>
          <w:szCs w:val="24"/>
        </w:rPr>
        <w:t>pressure from my commande</w:t>
      </w:r>
      <w:r w:rsidR="00B44B52">
        <w:rPr>
          <w:rFonts w:ascii="Calibri" w:hAnsi="Calibri"/>
          <w:color w:val="auto"/>
          <w:szCs w:val="24"/>
        </w:rPr>
        <w:t>r</w:t>
      </w:r>
      <w:r w:rsidR="00B44B52" w:rsidRPr="00EB215A">
        <w:rPr>
          <w:rFonts w:ascii="Calibri" w:hAnsi="Calibri"/>
          <w:color w:val="auto"/>
          <w:szCs w:val="24"/>
        </w:rPr>
        <w:t xml:space="preserve"> to come to a final conclusion rega</w:t>
      </w:r>
      <w:r w:rsidR="00B44B52">
        <w:rPr>
          <w:rFonts w:ascii="Calibri" w:hAnsi="Calibri"/>
          <w:color w:val="auto"/>
          <w:szCs w:val="24"/>
        </w:rPr>
        <w:t>rd</w:t>
      </w:r>
      <w:r w:rsidR="00B44B52" w:rsidRPr="00EB215A">
        <w:rPr>
          <w:rFonts w:ascii="Calibri" w:hAnsi="Calibri"/>
          <w:color w:val="auto"/>
          <w:szCs w:val="24"/>
        </w:rPr>
        <w:t>ing my condition, and was</w:t>
      </w:r>
      <w:r w:rsidR="00B44B52">
        <w:rPr>
          <w:rFonts w:ascii="Calibri" w:hAnsi="Calibri"/>
          <w:color w:val="auto"/>
          <w:szCs w:val="24"/>
        </w:rPr>
        <w:t xml:space="preserve"> </w:t>
      </w:r>
      <w:r w:rsidR="00B44B52" w:rsidRPr="00EB215A">
        <w:rPr>
          <w:rFonts w:ascii="Calibri" w:hAnsi="Calibri"/>
          <w:color w:val="auto"/>
          <w:szCs w:val="24"/>
        </w:rPr>
        <w:t>under the impression that if</w:t>
      </w:r>
      <w:r w:rsidR="00B44B52">
        <w:rPr>
          <w:rFonts w:ascii="Calibri" w:hAnsi="Calibri"/>
          <w:color w:val="auto"/>
          <w:szCs w:val="24"/>
        </w:rPr>
        <w:t xml:space="preserve"> </w:t>
      </w:r>
      <w:r w:rsidR="00B44B52" w:rsidRPr="00EB215A">
        <w:rPr>
          <w:rFonts w:ascii="Calibri" w:hAnsi="Calibri"/>
          <w:color w:val="auto"/>
          <w:szCs w:val="24"/>
        </w:rPr>
        <w:t xml:space="preserve">I was </w:t>
      </w:r>
      <w:r w:rsidR="00B44B52">
        <w:rPr>
          <w:rFonts w:ascii="Calibri" w:hAnsi="Calibri"/>
          <w:color w:val="auto"/>
          <w:szCs w:val="24"/>
        </w:rPr>
        <w:t>n</w:t>
      </w:r>
      <w:r w:rsidR="00B44B52" w:rsidRPr="00EB215A">
        <w:rPr>
          <w:rFonts w:ascii="Calibri" w:hAnsi="Calibri"/>
          <w:color w:val="auto"/>
          <w:szCs w:val="24"/>
        </w:rPr>
        <w:t>ot medically discharged, they would pursue a commander-directed separation, even though I had an above par</w:t>
      </w:r>
      <w:r w:rsidR="00B44B52">
        <w:rPr>
          <w:rFonts w:ascii="Calibri" w:hAnsi="Calibri"/>
          <w:color w:val="auto"/>
          <w:szCs w:val="24"/>
        </w:rPr>
        <w:t xml:space="preserve"> </w:t>
      </w:r>
      <w:r w:rsidR="00B44B52" w:rsidRPr="00EB215A">
        <w:rPr>
          <w:rFonts w:ascii="Calibri" w:hAnsi="Calibri"/>
          <w:color w:val="auto"/>
          <w:szCs w:val="24"/>
        </w:rPr>
        <w:t>record of</w:t>
      </w:r>
      <w:r w:rsidR="00B44B52">
        <w:rPr>
          <w:rFonts w:ascii="Calibri" w:hAnsi="Calibri"/>
          <w:color w:val="auto"/>
          <w:szCs w:val="24"/>
        </w:rPr>
        <w:t xml:space="preserve"> </w:t>
      </w:r>
      <w:r w:rsidR="00B44B52" w:rsidRPr="00EB215A">
        <w:rPr>
          <w:rFonts w:ascii="Calibri" w:hAnsi="Calibri"/>
          <w:color w:val="auto"/>
          <w:szCs w:val="24"/>
        </w:rPr>
        <w:t>perfo</w:t>
      </w:r>
      <w:r w:rsidR="00B44B52">
        <w:rPr>
          <w:rFonts w:ascii="Calibri" w:hAnsi="Calibri"/>
          <w:color w:val="auto"/>
          <w:szCs w:val="24"/>
        </w:rPr>
        <w:t>rm</w:t>
      </w:r>
      <w:r w:rsidR="00B44B52" w:rsidRPr="00EB215A">
        <w:rPr>
          <w:rFonts w:ascii="Calibri" w:hAnsi="Calibri"/>
          <w:color w:val="auto"/>
          <w:szCs w:val="24"/>
        </w:rPr>
        <w:t xml:space="preserve">ance. </w:t>
      </w:r>
      <w:r w:rsidR="001C3291">
        <w:rPr>
          <w:rFonts w:ascii="Calibri" w:hAnsi="Calibri"/>
          <w:color w:val="auto"/>
          <w:szCs w:val="24"/>
        </w:rPr>
        <w:t xml:space="preserve"> </w:t>
      </w:r>
      <w:r w:rsidR="00B44B52" w:rsidRPr="00EB215A">
        <w:rPr>
          <w:rFonts w:ascii="Calibri" w:hAnsi="Calibri"/>
          <w:color w:val="auto"/>
          <w:szCs w:val="24"/>
        </w:rPr>
        <w:t>Additionally, I was afraid of</w:t>
      </w:r>
      <w:r w:rsidR="00B44B52">
        <w:rPr>
          <w:rFonts w:ascii="Calibri" w:hAnsi="Calibri"/>
          <w:color w:val="auto"/>
          <w:szCs w:val="24"/>
        </w:rPr>
        <w:t xml:space="preserve"> </w:t>
      </w:r>
      <w:r w:rsidR="00B44B52" w:rsidRPr="00EB215A">
        <w:rPr>
          <w:rFonts w:ascii="Calibri" w:hAnsi="Calibri"/>
          <w:color w:val="auto"/>
          <w:szCs w:val="24"/>
        </w:rPr>
        <w:t>my ability to retain a TS clea</w:t>
      </w:r>
      <w:r w:rsidR="00B44B52">
        <w:rPr>
          <w:rFonts w:ascii="Calibri" w:hAnsi="Calibri"/>
          <w:color w:val="auto"/>
          <w:szCs w:val="24"/>
        </w:rPr>
        <w:t>ra</w:t>
      </w:r>
      <w:r w:rsidR="00B44B52" w:rsidRPr="00EB215A">
        <w:rPr>
          <w:rFonts w:ascii="Calibri" w:hAnsi="Calibri"/>
          <w:color w:val="auto"/>
          <w:szCs w:val="24"/>
        </w:rPr>
        <w:t>nce, should I be discharged with remnants of</w:t>
      </w:r>
      <w:r w:rsidR="00B44B52">
        <w:rPr>
          <w:rFonts w:ascii="Calibri" w:hAnsi="Calibri"/>
          <w:color w:val="auto"/>
          <w:szCs w:val="24"/>
        </w:rPr>
        <w:t xml:space="preserve"> </w:t>
      </w:r>
      <w:r w:rsidR="00B44B52" w:rsidRPr="00EB215A">
        <w:rPr>
          <w:rFonts w:ascii="Calibri" w:hAnsi="Calibri"/>
          <w:color w:val="auto"/>
          <w:szCs w:val="24"/>
        </w:rPr>
        <w:t>PTSD</w:t>
      </w:r>
      <w:r w:rsidR="001C3291">
        <w:rPr>
          <w:rFonts w:ascii="Calibri" w:hAnsi="Calibri"/>
          <w:color w:val="auto"/>
          <w:szCs w:val="24"/>
        </w:rPr>
        <w:t xml:space="preserve">.  </w:t>
      </w:r>
      <w:r w:rsidR="00B44B52" w:rsidRPr="00EB215A">
        <w:rPr>
          <w:rFonts w:ascii="Calibri" w:hAnsi="Calibri"/>
          <w:color w:val="auto"/>
          <w:szCs w:val="24"/>
        </w:rPr>
        <w:t>Recent changes in policy and attitude within the DoD towa</w:t>
      </w:r>
      <w:r w:rsidR="00B44B52">
        <w:rPr>
          <w:rFonts w:ascii="Calibri" w:hAnsi="Calibri"/>
          <w:color w:val="auto"/>
          <w:szCs w:val="24"/>
        </w:rPr>
        <w:t>rds</w:t>
      </w:r>
      <w:r w:rsidR="00B44B52" w:rsidRPr="00EB215A">
        <w:rPr>
          <w:rFonts w:ascii="Calibri" w:hAnsi="Calibri"/>
          <w:color w:val="auto"/>
          <w:szCs w:val="24"/>
        </w:rPr>
        <w:t xml:space="preserve"> PTSD, and those diagnosed with PTSD, have prompted me </w:t>
      </w:r>
      <w:r w:rsidR="00B44B52">
        <w:rPr>
          <w:rFonts w:ascii="Calibri" w:hAnsi="Calibri"/>
          <w:color w:val="auto"/>
          <w:szCs w:val="24"/>
        </w:rPr>
        <w:t>to</w:t>
      </w:r>
      <w:r w:rsidR="00B44B52" w:rsidRPr="00EB215A">
        <w:rPr>
          <w:rFonts w:ascii="Calibri" w:hAnsi="Calibri"/>
          <w:color w:val="auto"/>
          <w:szCs w:val="24"/>
        </w:rPr>
        <w:t xml:space="preserve"> make this request for</w:t>
      </w:r>
      <w:r w:rsidR="00B44B52">
        <w:rPr>
          <w:rFonts w:ascii="Calibri" w:hAnsi="Calibri"/>
          <w:color w:val="auto"/>
          <w:szCs w:val="24"/>
        </w:rPr>
        <w:t xml:space="preserve"> </w:t>
      </w:r>
      <w:r w:rsidR="00B44B52" w:rsidRPr="00EB215A">
        <w:rPr>
          <w:rFonts w:ascii="Calibri" w:hAnsi="Calibri"/>
          <w:color w:val="auto"/>
          <w:szCs w:val="24"/>
        </w:rPr>
        <w:t xml:space="preserve">medical retirement; </w:t>
      </w:r>
      <w:r w:rsidR="00B44B52">
        <w:rPr>
          <w:rFonts w:ascii="Calibri" w:hAnsi="Calibri"/>
          <w:color w:val="auto"/>
          <w:szCs w:val="24"/>
        </w:rPr>
        <w:t>without the fear of retribution I</w:t>
      </w:r>
      <w:r w:rsidR="00B44B52" w:rsidRPr="00EB215A">
        <w:rPr>
          <w:rFonts w:ascii="Calibri" w:hAnsi="Calibri"/>
          <w:color w:val="auto"/>
          <w:szCs w:val="24"/>
        </w:rPr>
        <w:t xml:space="preserve"> was under at the time of</w:t>
      </w:r>
      <w:r w:rsidR="00B44B52">
        <w:rPr>
          <w:rFonts w:ascii="Calibri" w:hAnsi="Calibri"/>
          <w:color w:val="auto"/>
          <w:szCs w:val="24"/>
        </w:rPr>
        <w:t xml:space="preserve"> </w:t>
      </w:r>
      <w:r w:rsidR="00B44B52" w:rsidRPr="00EB215A">
        <w:rPr>
          <w:rFonts w:ascii="Calibri" w:hAnsi="Calibri"/>
          <w:color w:val="auto"/>
          <w:szCs w:val="24"/>
        </w:rPr>
        <w:t>my MEB, when seeking help for such conditions was almost certainly</w:t>
      </w:r>
      <w:r w:rsidR="00B44B52">
        <w:rPr>
          <w:rFonts w:ascii="Calibri" w:hAnsi="Calibri"/>
          <w:color w:val="auto"/>
          <w:szCs w:val="24"/>
        </w:rPr>
        <w:t xml:space="preserve"> </w:t>
      </w:r>
      <w:r w:rsidR="00B44B52" w:rsidRPr="00EB215A">
        <w:rPr>
          <w:rFonts w:ascii="Calibri" w:hAnsi="Calibri"/>
          <w:color w:val="auto"/>
          <w:szCs w:val="24"/>
        </w:rPr>
        <w:t>a career ending event</w:t>
      </w:r>
      <w:r w:rsidR="00B44B52">
        <w:rPr>
          <w:rFonts w:ascii="Calibri" w:hAnsi="Calibri"/>
          <w:color w:val="auto"/>
          <w:szCs w:val="24"/>
        </w:rPr>
        <w:t xml:space="preserve">.  </w:t>
      </w:r>
      <w:r w:rsidR="00B44B52" w:rsidRPr="00EB215A">
        <w:rPr>
          <w:rFonts w:ascii="Calibri" w:hAnsi="Calibri"/>
          <w:color w:val="auto"/>
          <w:szCs w:val="24"/>
        </w:rPr>
        <w:t>Since the time of</w:t>
      </w:r>
      <w:r w:rsidR="00B44B52">
        <w:rPr>
          <w:rFonts w:ascii="Calibri" w:hAnsi="Calibri"/>
          <w:color w:val="auto"/>
          <w:szCs w:val="24"/>
        </w:rPr>
        <w:t xml:space="preserve"> </w:t>
      </w:r>
      <w:r w:rsidR="00B44B52" w:rsidRPr="00EB215A">
        <w:rPr>
          <w:rFonts w:ascii="Calibri" w:hAnsi="Calibri"/>
          <w:color w:val="auto"/>
          <w:szCs w:val="24"/>
        </w:rPr>
        <w:t xml:space="preserve">my discharge, it is good </w:t>
      </w:r>
      <w:r w:rsidR="00B44B52">
        <w:rPr>
          <w:rFonts w:ascii="Calibri" w:hAnsi="Calibri"/>
          <w:color w:val="auto"/>
          <w:szCs w:val="24"/>
        </w:rPr>
        <w:t>to</w:t>
      </w:r>
      <w:r w:rsidR="00B44B52" w:rsidRPr="00EB215A">
        <w:rPr>
          <w:rFonts w:ascii="Calibri" w:hAnsi="Calibri"/>
          <w:color w:val="auto"/>
          <w:szCs w:val="24"/>
        </w:rPr>
        <w:t xml:space="preserve"> know that prog</w:t>
      </w:r>
      <w:r w:rsidR="00B44B52">
        <w:rPr>
          <w:rFonts w:ascii="Calibri" w:hAnsi="Calibri"/>
          <w:color w:val="auto"/>
          <w:szCs w:val="24"/>
        </w:rPr>
        <w:t>ram</w:t>
      </w:r>
      <w:r w:rsidR="00B44B52" w:rsidRPr="00EB215A">
        <w:rPr>
          <w:rFonts w:ascii="Calibri" w:hAnsi="Calibri"/>
          <w:color w:val="auto"/>
          <w:szCs w:val="24"/>
        </w:rPr>
        <w:t>s such as AFW2 and Recovery Care Coordina</w:t>
      </w:r>
      <w:r w:rsidR="00B44B52">
        <w:rPr>
          <w:rFonts w:ascii="Calibri" w:hAnsi="Calibri"/>
          <w:color w:val="auto"/>
          <w:szCs w:val="24"/>
        </w:rPr>
        <w:t>t</w:t>
      </w:r>
      <w:r w:rsidR="00B44B52" w:rsidRPr="00EB215A">
        <w:rPr>
          <w:rFonts w:ascii="Calibri" w:hAnsi="Calibri"/>
          <w:color w:val="auto"/>
          <w:szCs w:val="24"/>
        </w:rPr>
        <w:t>ors have been</w:t>
      </w:r>
      <w:r w:rsidR="00B44B52">
        <w:rPr>
          <w:rFonts w:ascii="Calibri" w:hAnsi="Calibri"/>
          <w:color w:val="auto"/>
          <w:szCs w:val="24"/>
        </w:rPr>
        <w:t xml:space="preserve"> cre</w:t>
      </w:r>
      <w:r w:rsidR="00B44B52" w:rsidRPr="00EB215A">
        <w:rPr>
          <w:rFonts w:ascii="Calibri" w:hAnsi="Calibri"/>
          <w:color w:val="auto"/>
          <w:szCs w:val="24"/>
        </w:rPr>
        <w:t>ated, and airmen with PTSD - and other combat injuries</w:t>
      </w:r>
      <w:r w:rsidR="00B44B52">
        <w:rPr>
          <w:rFonts w:ascii="Calibri" w:hAnsi="Calibri"/>
          <w:color w:val="auto"/>
          <w:szCs w:val="24"/>
        </w:rPr>
        <w:t xml:space="preserve"> </w:t>
      </w:r>
      <w:r w:rsidR="00B44B52" w:rsidRPr="00EB215A">
        <w:rPr>
          <w:rFonts w:ascii="Calibri" w:hAnsi="Calibri"/>
          <w:color w:val="auto"/>
          <w:szCs w:val="24"/>
        </w:rPr>
        <w:t>have options, other than ending their Air Force caree</w:t>
      </w:r>
      <w:r w:rsidR="00B44B52">
        <w:rPr>
          <w:rFonts w:ascii="Calibri" w:hAnsi="Calibri"/>
          <w:color w:val="auto"/>
          <w:szCs w:val="24"/>
        </w:rPr>
        <w:t>r.”</w:t>
      </w:r>
      <w:r w:rsidR="00B44B52" w:rsidRPr="00861D5C">
        <w:rPr>
          <w:rFonts w:ascii="Calibri" w:hAnsi="Calibri"/>
          <w:color w:val="auto"/>
          <w:szCs w:val="24"/>
        </w:rPr>
        <w:t xml:space="preserve">  He additionally lists all of his VA conditions and ratings as per the rating chart below.  Contention for their addition to separation rating is implied. </w:t>
      </w:r>
    </w:p>
    <w:p w:rsidR="00F8117F" w:rsidRDefault="00F8117F" w:rsidP="00F8117F">
      <w:pPr>
        <w:pBdr>
          <w:bottom w:val="single" w:sz="12" w:space="1" w:color="auto"/>
        </w:pBdr>
        <w:tabs>
          <w:tab w:val="left" w:pos="288"/>
          <w:tab w:val="left" w:pos="4752"/>
        </w:tabs>
        <w:spacing w:line="240" w:lineRule="exact"/>
        <w:jc w:val="both"/>
        <w:rPr>
          <w:rFonts w:ascii="Calibri" w:hAnsi="Calibri"/>
          <w:color w:val="auto"/>
          <w:u w:val="single"/>
        </w:rPr>
      </w:pPr>
    </w:p>
    <w:p w:rsidR="00F8117F" w:rsidRDefault="00F8117F" w:rsidP="00F8117F">
      <w:pPr>
        <w:tabs>
          <w:tab w:val="left" w:pos="288"/>
          <w:tab w:val="left" w:pos="4752"/>
        </w:tabs>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0D6BD3" w:rsidRPr="00542C9A" w:rsidRDefault="000D6BD3" w:rsidP="00190E48">
      <w:pPr>
        <w:spacing w:line="240" w:lineRule="exact"/>
        <w:jc w:val="both"/>
        <w:rPr>
          <w:rFonts w:ascii="Calibri" w:hAnsi="Calibri"/>
          <w:color w:val="auto"/>
        </w:rPr>
      </w:pPr>
    </w:p>
    <w:tbl>
      <w:tblPr>
        <w:tblStyle w:val="TableGrid"/>
        <w:tblW w:w="9405" w:type="dxa"/>
        <w:jc w:val="center"/>
        <w:tblInd w:w="-135" w:type="dxa"/>
        <w:tblLayout w:type="fixed"/>
        <w:tblLook w:val="04A0"/>
      </w:tblPr>
      <w:tblGrid>
        <w:gridCol w:w="1913"/>
        <w:gridCol w:w="720"/>
        <w:gridCol w:w="990"/>
        <w:gridCol w:w="3049"/>
        <w:gridCol w:w="821"/>
        <w:gridCol w:w="917"/>
        <w:gridCol w:w="995"/>
      </w:tblGrid>
      <w:tr w:rsidR="000D6BD3" w:rsidRPr="002A685E" w:rsidTr="003B483C">
        <w:trPr>
          <w:trHeight w:val="233"/>
          <w:jc w:val="center"/>
        </w:trPr>
        <w:tc>
          <w:tcPr>
            <w:tcW w:w="3623" w:type="dxa"/>
            <w:gridSpan w:val="3"/>
            <w:tcBorders>
              <w:right w:val="thinThickThinSmallGap" w:sz="24" w:space="0" w:color="auto"/>
            </w:tcBorders>
            <w:shd w:val="clear" w:color="auto" w:fill="D9D9D9" w:themeFill="background1" w:themeFillShade="D9"/>
          </w:tcPr>
          <w:p w:rsidR="000D6BD3" w:rsidRPr="0085089F" w:rsidRDefault="000D6BD3" w:rsidP="001C3291">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Pr>
                <w:rFonts w:cs="Times New Roman"/>
                <w:b/>
                <w:sz w:val="20"/>
                <w:szCs w:val="20"/>
              </w:rPr>
              <w:t>F</w:t>
            </w:r>
            <w:r w:rsidRPr="0085089F">
              <w:rPr>
                <w:rFonts w:cs="Times New Roman"/>
                <w:b/>
                <w:sz w:val="20"/>
                <w:szCs w:val="20"/>
              </w:rPr>
              <w:t xml:space="preserve">PEB – Dated </w:t>
            </w:r>
            <w:r>
              <w:rPr>
                <w:rFonts w:cs="Times New Roman"/>
                <w:b/>
                <w:sz w:val="20"/>
                <w:szCs w:val="20"/>
              </w:rPr>
              <w:t>20070523</w:t>
            </w:r>
          </w:p>
        </w:tc>
        <w:tc>
          <w:tcPr>
            <w:tcW w:w="5782" w:type="dxa"/>
            <w:gridSpan w:val="4"/>
            <w:tcBorders>
              <w:left w:val="thinThickThinSmallGap" w:sz="24" w:space="0" w:color="auto"/>
            </w:tcBorders>
            <w:shd w:val="clear" w:color="auto" w:fill="D9D9D9" w:themeFill="background1" w:themeFillShade="D9"/>
          </w:tcPr>
          <w:p w:rsidR="000D6BD3" w:rsidRPr="0085089F" w:rsidRDefault="000D6BD3" w:rsidP="00396AB3">
            <w:pPr>
              <w:pStyle w:val="ListParagraph"/>
              <w:spacing w:after="0" w:line="240" w:lineRule="exact"/>
              <w:ind w:left="0"/>
              <w:jc w:val="center"/>
              <w:rPr>
                <w:rFonts w:cs="Times New Roman"/>
                <w:b/>
                <w:sz w:val="20"/>
                <w:szCs w:val="20"/>
              </w:rPr>
            </w:pPr>
            <w:r w:rsidRPr="0085089F">
              <w:rPr>
                <w:rFonts w:cs="Times New Roman"/>
                <w:b/>
                <w:sz w:val="20"/>
                <w:szCs w:val="20"/>
              </w:rPr>
              <w:t>VA (</w:t>
            </w:r>
            <w:r w:rsidRPr="00CD0879">
              <w:rPr>
                <w:rFonts w:cs="Times New Roman"/>
                <w:b/>
                <w:sz w:val="20"/>
                <w:szCs w:val="20"/>
              </w:rPr>
              <w:t>6 Mo</w:t>
            </w:r>
            <w:r w:rsidRPr="0085089F">
              <w:rPr>
                <w:rFonts w:cs="Times New Roman"/>
                <w:b/>
                <w:sz w:val="20"/>
                <w:szCs w:val="20"/>
              </w:rPr>
              <w:t xml:space="preserve">. </w:t>
            </w:r>
            <w:r w:rsidR="00396AB3">
              <w:rPr>
                <w:rFonts w:cs="Times New Roman"/>
                <w:b/>
                <w:sz w:val="20"/>
                <w:szCs w:val="20"/>
              </w:rPr>
              <w:t>A</w:t>
            </w:r>
            <w:r w:rsidRPr="0085089F">
              <w:rPr>
                <w:rFonts w:cs="Times New Roman"/>
                <w:b/>
                <w:sz w:val="20"/>
                <w:szCs w:val="20"/>
              </w:rPr>
              <w:t xml:space="preserve">fter Separation) – All Effective </w:t>
            </w:r>
            <w:r w:rsidRPr="001C3291">
              <w:rPr>
                <w:rFonts w:cs="Times New Roman"/>
                <w:b/>
                <w:sz w:val="20"/>
                <w:szCs w:val="20"/>
              </w:rPr>
              <w:t>2007072</w:t>
            </w:r>
            <w:r w:rsidR="001C3291">
              <w:rPr>
                <w:rFonts w:cs="Times New Roman"/>
                <w:b/>
                <w:sz w:val="20"/>
                <w:szCs w:val="20"/>
              </w:rPr>
              <w:t>1</w:t>
            </w:r>
          </w:p>
        </w:tc>
      </w:tr>
      <w:tr w:rsidR="000D6BD3" w:rsidRPr="002A685E" w:rsidTr="003B483C">
        <w:trPr>
          <w:trHeight w:val="233"/>
          <w:jc w:val="center"/>
        </w:trPr>
        <w:tc>
          <w:tcPr>
            <w:tcW w:w="1913" w:type="dxa"/>
            <w:tcBorders>
              <w:bottom w:val="single" w:sz="4" w:space="0" w:color="000000" w:themeColor="text1"/>
            </w:tcBorders>
            <w:shd w:val="clear" w:color="auto" w:fill="D9D9D9" w:themeFill="background1" w:themeFillShade="D9"/>
          </w:tcPr>
          <w:p w:rsidR="000D6BD3" w:rsidRPr="0085089F" w:rsidRDefault="000D6BD3" w:rsidP="003B1440">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0D6BD3" w:rsidRPr="0085089F" w:rsidRDefault="000D6BD3" w:rsidP="003B1440">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0D6BD3" w:rsidRPr="0085089F" w:rsidRDefault="000D6BD3" w:rsidP="003B1440">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3049" w:type="dxa"/>
            <w:tcBorders>
              <w:left w:val="thinThickThinSmallGap" w:sz="24" w:space="0" w:color="auto"/>
              <w:bottom w:val="single" w:sz="4" w:space="0" w:color="000000" w:themeColor="text1"/>
            </w:tcBorders>
            <w:shd w:val="clear" w:color="auto" w:fill="D9D9D9" w:themeFill="background1" w:themeFillShade="D9"/>
          </w:tcPr>
          <w:p w:rsidR="000D6BD3" w:rsidRPr="0085089F" w:rsidRDefault="000D6BD3" w:rsidP="003B1440">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821" w:type="dxa"/>
            <w:tcBorders>
              <w:bottom w:val="single" w:sz="4" w:space="0" w:color="000000" w:themeColor="text1"/>
            </w:tcBorders>
            <w:shd w:val="clear" w:color="auto" w:fill="D9D9D9" w:themeFill="background1" w:themeFillShade="D9"/>
          </w:tcPr>
          <w:p w:rsidR="000D6BD3" w:rsidRPr="0085089F" w:rsidRDefault="000D6BD3" w:rsidP="003B1440">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917" w:type="dxa"/>
            <w:tcBorders>
              <w:bottom w:val="single" w:sz="4" w:space="0" w:color="000000" w:themeColor="text1"/>
            </w:tcBorders>
            <w:shd w:val="clear" w:color="auto" w:fill="D9D9D9" w:themeFill="background1" w:themeFillShade="D9"/>
          </w:tcPr>
          <w:p w:rsidR="000D6BD3" w:rsidRPr="0085089F" w:rsidRDefault="000D6BD3" w:rsidP="003B1440">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5" w:type="dxa"/>
            <w:tcBorders>
              <w:bottom w:val="single" w:sz="4" w:space="0" w:color="000000" w:themeColor="text1"/>
            </w:tcBorders>
            <w:shd w:val="clear" w:color="auto" w:fill="D9D9D9" w:themeFill="background1" w:themeFillShade="D9"/>
          </w:tcPr>
          <w:p w:rsidR="000D6BD3" w:rsidRPr="0085089F" w:rsidRDefault="000D6BD3" w:rsidP="003B1440">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0D6BD3" w:rsidRPr="002A685E" w:rsidTr="003B483C">
        <w:trPr>
          <w:trHeight w:val="287"/>
          <w:jc w:val="center"/>
        </w:trPr>
        <w:tc>
          <w:tcPr>
            <w:tcW w:w="1913" w:type="dxa"/>
            <w:tcBorders>
              <w:top w:val="single" w:sz="4" w:space="0" w:color="auto"/>
            </w:tcBorders>
            <w:shd w:val="clear" w:color="auto" w:fill="FFFFFF" w:themeFill="background1"/>
          </w:tcPr>
          <w:p w:rsidR="000D6BD3" w:rsidRPr="00542C9A" w:rsidRDefault="001C3291" w:rsidP="003B1440">
            <w:pPr>
              <w:pStyle w:val="ListParagraph"/>
              <w:spacing w:after="0" w:line="240" w:lineRule="exact"/>
              <w:ind w:left="0"/>
              <w:jc w:val="both"/>
              <w:rPr>
                <w:rFonts w:cs="Times New Roman"/>
                <w:sz w:val="18"/>
                <w:szCs w:val="18"/>
              </w:rPr>
            </w:pPr>
            <w:r>
              <w:rPr>
                <w:rFonts w:cs="Times New Roman"/>
                <w:sz w:val="18"/>
                <w:szCs w:val="18"/>
              </w:rPr>
              <w:t>PTSD</w:t>
            </w:r>
          </w:p>
        </w:tc>
        <w:tc>
          <w:tcPr>
            <w:tcW w:w="720" w:type="dxa"/>
            <w:tcBorders>
              <w:top w:val="single" w:sz="4" w:space="0" w:color="auto"/>
            </w:tcBorders>
            <w:shd w:val="clear" w:color="auto" w:fill="FFFFFF" w:themeFill="background1"/>
          </w:tcPr>
          <w:p w:rsidR="000D6BD3" w:rsidRPr="00542C9A" w:rsidRDefault="000D6BD3" w:rsidP="003B1440">
            <w:pPr>
              <w:pStyle w:val="ListParagraph"/>
              <w:spacing w:after="0" w:line="240" w:lineRule="exact"/>
              <w:ind w:left="0"/>
              <w:jc w:val="center"/>
              <w:rPr>
                <w:rFonts w:cs="Times New Roman"/>
                <w:sz w:val="18"/>
                <w:szCs w:val="18"/>
              </w:rPr>
            </w:pPr>
            <w:r>
              <w:rPr>
                <w:rFonts w:cs="Times New Roman"/>
                <w:sz w:val="18"/>
                <w:szCs w:val="18"/>
              </w:rPr>
              <w:t>9411</w:t>
            </w:r>
          </w:p>
        </w:tc>
        <w:tc>
          <w:tcPr>
            <w:tcW w:w="990" w:type="dxa"/>
            <w:tcBorders>
              <w:top w:val="single" w:sz="4" w:space="0" w:color="auto"/>
              <w:right w:val="thinThickThinSmallGap" w:sz="24" w:space="0" w:color="auto"/>
            </w:tcBorders>
            <w:shd w:val="clear" w:color="auto" w:fill="FFFFFF" w:themeFill="background1"/>
          </w:tcPr>
          <w:p w:rsidR="000D6BD3" w:rsidRPr="00542C9A" w:rsidRDefault="000D6BD3" w:rsidP="004156DF">
            <w:pPr>
              <w:pStyle w:val="ListParagraph"/>
              <w:spacing w:after="0" w:line="240" w:lineRule="exact"/>
              <w:ind w:left="0"/>
              <w:jc w:val="center"/>
              <w:rPr>
                <w:rFonts w:cs="Times New Roman"/>
                <w:sz w:val="18"/>
                <w:szCs w:val="18"/>
              </w:rPr>
            </w:pPr>
            <w:r w:rsidRPr="004156DF">
              <w:rPr>
                <w:rFonts w:cs="Times New Roman"/>
                <w:sz w:val="18"/>
                <w:szCs w:val="18"/>
              </w:rPr>
              <w:t>0%</w:t>
            </w:r>
          </w:p>
        </w:tc>
        <w:tc>
          <w:tcPr>
            <w:tcW w:w="3049" w:type="dxa"/>
            <w:tcBorders>
              <w:top w:val="single" w:sz="4" w:space="0" w:color="auto"/>
              <w:left w:val="thinThickThinSmallGap" w:sz="24" w:space="0" w:color="auto"/>
            </w:tcBorders>
            <w:shd w:val="clear" w:color="auto" w:fill="FFFFFF" w:themeFill="background1"/>
          </w:tcPr>
          <w:p w:rsidR="000D6BD3" w:rsidRPr="00542C9A" w:rsidRDefault="001C3291" w:rsidP="001C3291">
            <w:pPr>
              <w:pStyle w:val="ListParagraph"/>
              <w:spacing w:after="0" w:line="240" w:lineRule="exact"/>
              <w:ind w:left="0"/>
              <w:jc w:val="both"/>
              <w:rPr>
                <w:rFonts w:cs="Times New Roman"/>
                <w:sz w:val="18"/>
                <w:szCs w:val="18"/>
              </w:rPr>
            </w:pPr>
            <w:r>
              <w:rPr>
                <w:rFonts w:cs="Times New Roman"/>
                <w:sz w:val="18"/>
                <w:szCs w:val="18"/>
              </w:rPr>
              <w:t>PTSD</w:t>
            </w:r>
            <w:r w:rsidR="000D6BD3">
              <w:rPr>
                <w:rFonts w:cs="Times New Roman"/>
                <w:sz w:val="18"/>
                <w:szCs w:val="18"/>
              </w:rPr>
              <w:t xml:space="preserve"> w/</w:t>
            </w:r>
            <w:r>
              <w:rPr>
                <w:rFonts w:cs="Times New Roman"/>
                <w:sz w:val="18"/>
                <w:szCs w:val="18"/>
              </w:rPr>
              <w:t>MDD</w:t>
            </w:r>
          </w:p>
        </w:tc>
        <w:tc>
          <w:tcPr>
            <w:tcW w:w="821" w:type="dxa"/>
            <w:tcBorders>
              <w:top w:val="single" w:sz="4" w:space="0" w:color="auto"/>
            </w:tcBorders>
            <w:shd w:val="clear" w:color="auto" w:fill="FFFFFF" w:themeFill="background1"/>
          </w:tcPr>
          <w:p w:rsidR="000D6BD3" w:rsidRPr="00542C9A" w:rsidRDefault="000D6BD3" w:rsidP="003B1440">
            <w:pPr>
              <w:pStyle w:val="ListParagraph"/>
              <w:spacing w:after="0" w:line="240" w:lineRule="exact"/>
              <w:ind w:left="0"/>
              <w:jc w:val="center"/>
              <w:rPr>
                <w:rFonts w:cs="Times New Roman"/>
                <w:sz w:val="18"/>
                <w:szCs w:val="18"/>
              </w:rPr>
            </w:pPr>
            <w:r>
              <w:rPr>
                <w:rFonts w:cs="Times New Roman"/>
                <w:sz w:val="18"/>
                <w:szCs w:val="18"/>
              </w:rPr>
              <w:t>9411</w:t>
            </w:r>
          </w:p>
        </w:tc>
        <w:tc>
          <w:tcPr>
            <w:tcW w:w="917" w:type="dxa"/>
            <w:tcBorders>
              <w:top w:val="single" w:sz="4" w:space="0" w:color="auto"/>
            </w:tcBorders>
            <w:shd w:val="clear" w:color="auto" w:fill="FFFFFF" w:themeFill="background1"/>
          </w:tcPr>
          <w:p w:rsidR="000D6BD3" w:rsidRPr="00542C9A" w:rsidRDefault="000D6BD3" w:rsidP="003B1440">
            <w:pPr>
              <w:pStyle w:val="ListParagraph"/>
              <w:spacing w:after="0" w:line="240" w:lineRule="exact"/>
              <w:ind w:left="0"/>
              <w:jc w:val="center"/>
              <w:rPr>
                <w:rFonts w:cs="Times New Roman"/>
                <w:sz w:val="18"/>
                <w:szCs w:val="18"/>
              </w:rPr>
            </w:pPr>
            <w:r>
              <w:rPr>
                <w:rFonts w:cs="Times New Roman"/>
                <w:sz w:val="18"/>
                <w:szCs w:val="18"/>
              </w:rPr>
              <w:t>30%</w:t>
            </w:r>
          </w:p>
        </w:tc>
        <w:tc>
          <w:tcPr>
            <w:tcW w:w="995" w:type="dxa"/>
            <w:tcBorders>
              <w:top w:val="single" w:sz="4" w:space="0" w:color="auto"/>
            </w:tcBorders>
            <w:shd w:val="clear" w:color="auto" w:fill="FFFFFF" w:themeFill="background1"/>
          </w:tcPr>
          <w:p w:rsidR="000D6BD3" w:rsidRPr="00542C9A" w:rsidRDefault="000D6BD3" w:rsidP="003B1440">
            <w:pPr>
              <w:pStyle w:val="ListParagraph"/>
              <w:spacing w:after="0" w:line="240" w:lineRule="exact"/>
              <w:ind w:left="0"/>
              <w:jc w:val="center"/>
              <w:rPr>
                <w:rFonts w:cs="Times New Roman"/>
                <w:sz w:val="18"/>
                <w:szCs w:val="18"/>
              </w:rPr>
            </w:pPr>
            <w:r>
              <w:rPr>
                <w:rFonts w:cs="Times New Roman"/>
                <w:sz w:val="18"/>
                <w:szCs w:val="18"/>
              </w:rPr>
              <w:t>20080128</w:t>
            </w:r>
          </w:p>
        </w:tc>
      </w:tr>
      <w:tr w:rsidR="0087611B" w:rsidRPr="002A685E" w:rsidTr="003B483C">
        <w:trPr>
          <w:trHeight w:val="125"/>
          <w:jc w:val="center"/>
        </w:trPr>
        <w:tc>
          <w:tcPr>
            <w:tcW w:w="1913" w:type="dxa"/>
            <w:shd w:val="clear" w:color="auto" w:fill="FFFFFF" w:themeFill="background1"/>
          </w:tcPr>
          <w:p w:rsidR="0087611B" w:rsidRPr="00542C9A" w:rsidRDefault="0087611B" w:rsidP="003B1440">
            <w:pPr>
              <w:pStyle w:val="ListParagraph"/>
              <w:spacing w:after="0" w:line="240" w:lineRule="exact"/>
              <w:ind w:left="0"/>
              <w:jc w:val="both"/>
              <w:rPr>
                <w:rFonts w:cs="Times New Roman"/>
                <w:sz w:val="18"/>
                <w:szCs w:val="18"/>
              </w:rPr>
            </w:pPr>
            <w:r>
              <w:rPr>
                <w:rFonts w:cs="Times New Roman"/>
                <w:sz w:val="18"/>
                <w:szCs w:val="18"/>
              </w:rPr>
              <w:t>Personality Disorder</w:t>
            </w:r>
          </w:p>
        </w:tc>
        <w:tc>
          <w:tcPr>
            <w:tcW w:w="1710" w:type="dxa"/>
            <w:gridSpan w:val="2"/>
            <w:tcBorders>
              <w:right w:val="thinThickThinSmallGap" w:sz="24" w:space="0" w:color="auto"/>
            </w:tcBorders>
            <w:shd w:val="clear" w:color="auto" w:fill="FFFFFF" w:themeFill="background1"/>
          </w:tcPr>
          <w:p w:rsidR="0087611B" w:rsidRPr="00542C9A" w:rsidRDefault="0087611B" w:rsidP="003B1440">
            <w:pPr>
              <w:pStyle w:val="ListParagraph"/>
              <w:spacing w:after="0" w:line="240" w:lineRule="exact"/>
              <w:ind w:left="0"/>
              <w:jc w:val="center"/>
              <w:rPr>
                <w:rFonts w:cs="Times New Roman"/>
                <w:sz w:val="18"/>
                <w:szCs w:val="18"/>
              </w:rPr>
            </w:pPr>
            <w:r>
              <w:rPr>
                <w:rFonts w:cs="Times New Roman"/>
                <w:sz w:val="18"/>
                <w:szCs w:val="18"/>
              </w:rPr>
              <w:t>Not Ratable</w:t>
            </w:r>
          </w:p>
        </w:tc>
        <w:tc>
          <w:tcPr>
            <w:tcW w:w="5782" w:type="dxa"/>
            <w:gridSpan w:val="4"/>
            <w:tcBorders>
              <w:left w:val="thinThickThinSmallGap" w:sz="24" w:space="0" w:color="auto"/>
            </w:tcBorders>
            <w:shd w:val="clear" w:color="auto" w:fill="FFFFFF" w:themeFill="background1"/>
          </w:tcPr>
          <w:p w:rsidR="0087611B" w:rsidRPr="00542C9A" w:rsidRDefault="0087611B" w:rsidP="003B1440">
            <w:pPr>
              <w:pStyle w:val="ListParagraph"/>
              <w:spacing w:after="0" w:line="240" w:lineRule="exact"/>
              <w:ind w:left="0"/>
              <w:jc w:val="center"/>
              <w:rPr>
                <w:rFonts w:cs="Times New Roman"/>
                <w:sz w:val="18"/>
                <w:szCs w:val="18"/>
              </w:rPr>
            </w:pPr>
            <w:r>
              <w:rPr>
                <w:rFonts w:cs="Times New Roman"/>
                <w:sz w:val="18"/>
                <w:szCs w:val="18"/>
              </w:rPr>
              <w:t>No VA Entry</w:t>
            </w:r>
          </w:p>
        </w:tc>
      </w:tr>
      <w:tr w:rsidR="0087611B" w:rsidRPr="002A685E" w:rsidTr="003B483C">
        <w:trPr>
          <w:trHeight w:val="188"/>
          <w:jc w:val="center"/>
        </w:trPr>
        <w:tc>
          <w:tcPr>
            <w:tcW w:w="3623" w:type="dxa"/>
            <w:gridSpan w:val="3"/>
            <w:vMerge w:val="restart"/>
            <w:tcBorders>
              <w:top w:val="single" w:sz="4" w:space="0" w:color="auto"/>
              <w:right w:val="thinThickThinSmallGap" w:sz="24" w:space="0" w:color="auto"/>
            </w:tcBorders>
            <w:shd w:val="clear" w:color="auto" w:fill="FFFFFF" w:themeFill="background1"/>
          </w:tcPr>
          <w:p w:rsidR="0087611B" w:rsidRPr="00542C9A" w:rsidRDefault="0087611B" w:rsidP="00575CF1">
            <w:pPr>
              <w:pStyle w:val="ListParagraph"/>
              <w:spacing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MEB</w:t>
            </w:r>
            <w:r w:rsidR="003B483C">
              <w:rPr>
                <w:rFonts w:cs="Times New Roman"/>
                <w:sz w:val="18"/>
                <w:szCs w:val="18"/>
              </w:rPr>
              <w:t>/PEB</w:t>
            </w:r>
            <w:r>
              <w:rPr>
                <w:rFonts w:cs="Times New Roman"/>
                <w:sz w:val="18"/>
                <w:szCs w:val="18"/>
              </w:rPr>
              <w:t xml:space="preserve"> </w:t>
            </w:r>
            <w:r w:rsidRPr="009D1115">
              <w:rPr>
                <w:rFonts w:cs="Times New Roman"/>
                <w:sz w:val="18"/>
                <w:szCs w:val="18"/>
              </w:rPr>
              <w:t>Entries↓</w:t>
            </w:r>
          </w:p>
        </w:tc>
        <w:tc>
          <w:tcPr>
            <w:tcW w:w="3049" w:type="dxa"/>
            <w:tcBorders>
              <w:top w:val="single" w:sz="4" w:space="0" w:color="auto"/>
              <w:left w:val="thinThickThinSmallGap" w:sz="24" w:space="0" w:color="auto"/>
              <w:bottom w:val="single" w:sz="4" w:space="0" w:color="000000" w:themeColor="text1"/>
              <w:right w:val="single" w:sz="4" w:space="0" w:color="auto"/>
            </w:tcBorders>
            <w:shd w:val="clear" w:color="auto" w:fill="FFFFFF" w:themeFill="background1"/>
          </w:tcPr>
          <w:p w:rsidR="0087611B" w:rsidRPr="0087611B" w:rsidRDefault="0087611B" w:rsidP="00B757A1">
            <w:pPr>
              <w:spacing w:line="240" w:lineRule="exact"/>
              <w:rPr>
                <w:rFonts w:cs="Times New Roman"/>
                <w:color w:val="auto"/>
                <w:sz w:val="18"/>
                <w:szCs w:val="18"/>
              </w:rPr>
            </w:pPr>
            <w:r w:rsidRPr="0087611B">
              <w:rPr>
                <w:rFonts w:cs="Times New Roman"/>
                <w:color w:val="auto"/>
                <w:sz w:val="18"/>
                <w:szCs w:val="18"/>
              </w:rPr>
              <w:t xml:space="preserve">Scar Tissue on Right </w:t>
            </w:r>
            <w:proofErr w:type="spellStart"/>
            <w:r w:rsidRPr="0087611B">
              <w:rPr>
                <w:rFonts w:cs="Times New Roman"/>
                <w:color w:val="auto"/>
                <w:sz w:val="18"/>
                <w:szCs w:val="18"/>
              </w:rPr>
              <w:t>Pinna</w:t>
            </w:r>
            <w:proofErr w:type="spellEnd"/>
          </w:p>
        </w:tc>
        <w:tc>
          <w:tcPr>
            <w:tcW w:w="821"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rsidR="0087611B" w:rsidRPr="0087611B" w:rsidRDefault="0087611B" w:rsidP="00B757A1">
            <w:pPr>
              <w:spacing w:line="240" w:lineRule="exact"/>
              <w:jc w:val="center"/>
              <w:rPr>
                <w:color w:val="auto"/>
                <w:sz w:val="18"/>
                <w:szCs w:val="18"/>
              </w:rPr>
            </w:pPr>
            <w:r w:rsidRPr="0087611B">
              <w:rPr>
                <w:rFonts w:cs="Times New Roman"/>
                <w:color w:val="auto"/>
                <w:sz w:val="18"/>
                <w:szCs w:val="18"/>
              </w:rPr>
              <w:t>7800</w:t>
            </w:r>
          </w:p>
        </w:tc>
        <w:tc>
          <w:tcPr>
            <w:tcW w:w="917"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rsidR="0087611B" w:rsidRPr="0087611B" w:rsidRDefault="0087611B" w:rsidP="003B483C">
            <w:pPr>
              <w:spacing w:line="240" w:lineRule="exact"/>
              <w:jc w:val="center"/>
              <w:rPr>
                <w:color w:val="auto"/>
                <w:sz w:val="18"/>
                <w:szCs w:val="18"/>
              </w:rPr>
            </w:pPr>
            <w:r w:rsidRPr="0087611B">
              <w:rPr>
                <w:rFonts w:cs="Times New Roman"/>
                <w:color w:val="auto"/>
                <w:sz w:val="18"/>
                <w:szCs w:val="18"/>
              </w:rPr>
              <w:t>30%</w:t>
            </w:r>
          </w:p>
        </w:tc>
        <w:tc>
          <w:tcPr>
            <w:tcW w:w="995" w:type="dxa"/>
            <w:tcBorders>
              <w:top w:val="single" w:sz="4" w:space="0" w:color="auto"/>
              <w:left w:val="single" w:sz="4" w:space="0" w:color="auto"/>
              <w:bottom w:val="single" w:sz="4" w:space="0" w:color="000000" w:themeColor="text1"/>
            </w:tcBorders>
            <w:shd w:val="clear" w:color="auto" w:fill="FFFFFF" w:themeFill="background1"/>
          </w:tcPr>
          <w:p w:rsidR="0087611B" w:rsidRPr="0087611B" w:rsidRDefault="0087611B" w:rsidP="00B757A1">
            <w:pPr>
              <w:spacing w:line="240" w:lineRule="exact"/>
              <w:rPr>
                <w:color w:val="auto"/>
                <w:sz w:val="18"/>
                <w:szCs w:val="18"/>
              </w:rPr>
            </w:pPr>
            <w:r w:rsidRPr="0087611B">
              <w:rPr>
                <w:rFonts w:cs="Times New Roman"/>
                <w:color w:val="auto"/>
                <w:sz w:val="18"/>
                <w:szCs w:val="18"/>
              </w:rPr>
              <w:t>20080124</w:t>
            </w:r>
          </w:p>
        </w:tc>
      </w:tr>
      <w:tr w:rsidR="0087611B" w:rsidRPr="002A685E" w:rsidTr="003B483C">
        <w:trPr>
          <w:trHeight w:val="125"/>
          <w:jc w:val="center"/>
        </w:trPr>
        <w:tc>
          <w:tcPr>
            <w:tcW w:w="3623" w:type="dxa"/>
            <w:gridSpan w:val="3"/>
            <w:vMerge/>
            <w:tcBorders>
              <w:right w:val="thinThickThinSmallGap" w:sz="24" w:space="0" w:color="auto"/>
            </w:tcBorders>
            <w:shd w:val="clear" w:color="auto" w:fill="FFFFFF" w:themeFill="background1"/>
          </w:tcPr>
          <w:p w:rsidR="0087611B" w:rsidRPr="00542C9A" w:rsidRDefault="0087611B" w:rsidP="003B1440">
            <w:pPr>
              <w:pStyle w:val="ListParagraph"/>
              <w:spacing w:line="240" w:lineRule="exact"/>
              <w:ind w:left="0"/>
              <w:jc w:val="both"/>
              <w:rPr>
                <w:rFonts w:cs="Times New Roman"/>
                <w:sz w:val="18"/>
                <w:szCs w:val="18"/>
              </w:rPr>
            </w:pPr>
          </w:p>
        </w:tc>
        <w:tc>
          <w:tcPr>
            <w:tcW w:w="3049" w:type="dxa"/>
            <w:tcBorders>
              <w:left w:val="thinThickThinSmallGap" w:sz="24" w:space="0" w:color="auto"/>
            </w:tcBorders>
            <w:shd w:val="clear" w:color="auto" w:fill="FFFFFF" w:themeFill="background1"/>
          </w:tcPr>
          <w:p w:rsidR="0087611B" w:rsidRPr="00542C9A" w:rsidRDefault="0087611B" w:rsidP="007A3C2A">
            <w:pPr>
              <w:spacing w:line="240" w:lineRule="exact"/>
              <w:rPr>
                <w:rFonts w:cs="Times New Roman"/>
                <w:sz w:val="18"/>
                <w:szCs w:val="18"/>
              </w:rPr>
            </w:pPr>
            <w:r w:rsidRPr="007A3C2A">
              <w:rPr>
                <w:color w:val="auto"/>
                <w:sz w:val="18"/>
                <w:szCs w:val="18"/>
              </w:rPr>
              <w:t>Cervical</w:t>
            </w:r>
            <w:r>
              <w:rPr>
                <w:rFonts w:cs="Times New Roman"/>
                <w:sz w:val="18"/>
                <w:szCs w:val="18"/>
              </w:rPr>
              <w:t xml:space="preserve"> </w:t>
            </w:r>
            <w:r w:rsidRPr="00B757A1">
              <w:rPr>
                <w:rFonts w:cs="Times New Roman"/>
                <w:color w:val="auto"/>
                <w:sz w:val="18"/>
                <w:szCs w:val="18"/>
              </w:rPr>
              <w:t>Strain</w:t>
            </w:r>
          </w:p>
        </w:tc>
        <w:tc>
          <w:tcPr>
            <w:tcW w:w="821" w:type="dxa"/>
            <w:tcBorders>
              <w:bottom w:val="single" w:sz="4" w:space="0" w:color="auto"/>
              <w:right w:val="single" w:sz="4" w:space="0" w:color="auto"/>
            </w:tcBorders>
            <w:shd w:val="clear" w:color="auto" w:fill="FFFFFF" w:themeFill="background1"/>
          </w:tcPr>
          <w:p w:rsidR="0087611B" w:rsidRPr="00542C9A" w:rsidRDefault="0087611B" w:rsidP="003B1440">
            <w:pPr>
              <w:pStyle w:val="ListParagraph"/>
              <w:spacing w:after="0" w:line="240" w:lineRule="exact"/>
              <w:ind w:left="0"/>
              <w:jc w:val="center"/>
              <w:rPr>
                <w:rFonts w:cs="Times New Roman"/>
                <w:sz w:val="18"/>
                <w:szCs w:val="18"/>
              </w:rPr>
            </w:pPr>
            <w:r w:rsidRPr="00B757A1">
              <w:rPr>
                <w:rFonts w:cs="Times New Roman"/>
                <w:sz w:val="18"/>
                <w:szCs w:val="18"/>
              </w:rPr>
              <w:t>5237</w:t>
            </w:r>
          </w:p>
        </w:tc>
        <w:tc>
          <w:tcPr>
            <w:tcW w:w="917" w:type="dxa"/>
            <w:tcBorders>
              <w:left w:val="single" w:sz="4" w:space="0" w:color="auto"/>
              <w:bottom w:val="single" w:sz="4" w:space="0" w:color="auto"/>
            </w:tcBorders>
            <w:shd w:val="clear" w:color="auto" w:fill="FFFFFF" w:themeFill="background1"/>
          </w:tcPr>
          <w:p w:rsidR="0087611B" w:rsidRPr="00542C9A" w:rsidRDefault="0087611B" w:rsidP="003B483C">
            <w:pPr>
              <w:pStyle w:val="ListParagraph"/>
              <w:spacing w:after="0" w:line="240" w:lineRule="exact"/>
              <w:ind w:left="0"/>
              <w:jc w:val="center"/>
              <w:rPr>
                <w:rFonts w:cs="Times New Roman"/>
                <w:sz w:val="18"/>
                <w:szCs w:val="18"/>
              </w:rPr>
            </w:pPr>
            <w:r w:rsidRPr="00761974">
              <w:rPr>
                <w:rFonts w:cs="Times New Roman"/>
                <w:sz w:val="18"/>
                <w:szCs w:val="18"/>
              </w:rPr>
              <w:t>10%</w:t>
            </w:r>
          </w:p>
        </w:tc>
        <w:tc>
          <w:tcPr>
            <w:tcW w:w="995" w:type="dxa"/>
            <w:shd w:val="clear" w:color="auto" w:fill="FFFFFF" w:themeFill="background1"/>
          </w:tcPr>
          <w:p w:rsidR="0087611B" w:rsidRPr="00542C9A" w:rsidRDefault="0087611B" w:rsidP="003B1440">
            <w:pPr>
              <w:pStyle w:val="ListParagraph"/>
              <w:spacing w:after="0" w:line="240" w:lineRule="exact"/>
              <w:ind w:left="0"/>
              <w:jc w:val="center"/>
              <w:rPr>
                <w:rFonts w:cs="Times New Roman"/>
                <w:sz w:val="18"/>
                <w:szCs w:val="18"/>
              </w:rPr>
            </w:pPr>
            <w:r w:rsidRPr="00761974">
              <w:rPr>
                <w:rFonts w:cs="Times New Roman"/>
                <w:sz w:val="18"/>
                <w:szCs w:val="18"/>
              </w:rPr>
              <w:t>20080124</w:t>
            </w:r>
          </w:p>
        </w:tc>
      </w:tr>
      <w:tr w:rsidR="0087611B" w:rsidRPr="002A685E" w:rsidTr="003B483C">
        <w:trPr>
          <w:trHeight w:val="233"/>
          <w:jc w:val="center"/>
        </w:trPr>
        <w:tc>
          <w:tcPr>
            <w:tcW w:w="3623" w:type="dxa"/>
            <w:gridSpan w:val="3"/>
            <w:vMerge/>
            <w:tcBorders>
              <w:right w:val="thinThickThinSmallGap" w:sz="24" w:space="0" w:color="auto"/>
            </w:tcBorders>
            <w:shd w:val="clear" w:color="auto" w:fill="FFFFFF" w:themeFill="background1"/>
          </w:tcPr>
          <w:p w:rsidR="0087611B" w:rsidRPr="00542C9A" w:rsidRDefault="0087611B" w:rsidP="003B1440">
            <w:pPr>
              <w:pStyle w:val="ListParagraph"/>
              <w:spacing w:line="240" w:lineRule="exact"/>
              <w:ind w:left="0"/>
              <w:jc w:val="both"/>
              <w:rPr>
                <w:rFonts w:cs="Times New Roman"/>
                <w:sz w:val="18"/>
                <w:szCs w:val="18"/>
              </w:rPr>
            </w:pPr>
          </w:p>
        </w:tc>
        <w:tc>
          <w:tcPr>
            <w:tcW w:w="3049" w:type="dxa"/>
            <w:tcBorders>
              <w:left w:val="thinThickThinSmallGap" w:sz="24" w:space="0" w:color="auto"/>
              <w:bottom w:val="single" w:sz="4" w:space="0" w:color="auto"/>
              <w:right w:val="single" w:sz="4" w:space="0" w:color="auto"/>
            </w:tcBorders>
            <w:shd w:val="clear" w:color="auto" w:fill="FFFFFF" w:themeFill="background1"/>
          </w:tcPr>
          <w:p w:rsidR="0087611B" w:rsidRPr="00542C9A" w:rsidRDefault="0087611B" w:rsidP="003B1440">
            <w:pPr>
              <w:pStyle w:val="ListParagraph"/>
              <w:spacing w:line="240" w:lineRule="exact"/>
              <w:ind w:left="0"/>
              <w:rPr>
                <w:rFonts w:cs="Times New Roman"/>
                <w:sz w:val="18"/>
                <w:szCs w:val="18"/>
              </w:rPr>
            </w:pPr>
            <w:r>
              <w:rPr>
                <w:sz w:val="18"/>
                <w:szCs w:val="18"/>
              </w:rPr>
              <w:t>Dermatitis of Thighs/Shoulders</w:t>
            </w:r>
          </w:p>
        </w:tc>
        <w:tc>
          <w:tcPr>
            <w:tcW w:w="821" w:type="dxa"/>
            <w:tcBorders>
              <w:left w:val="single" w:sz="4" w:space="0" w:color="auto"/>
              <w:bottom w:val="single" w:sz="4" w:space="0" w:color="auto"/>
              <w:right w:val="single" w:sz="4" w:space="0" w:color="auto"/>
            </w:tcBorders>
            <w:shd w:val="clear" w:color="auto" w:fill="FFFFFF" w:themeFill="background1"/>
          </w:tcPr>
          <w:p w:rsidR="0087611B" w:rsidRPr="00542C9A" w:rsidRDefault="0087611B" w:rsidP="002D2C79">
            <w:pPr>
              <w:pStyle w:val="ListParagraph"/>
              <w:spacing w:line="240" w:lineRule="exact"/>
              <w:ind w:left="0"/>
              <w:jc w:val="center"/>
              <w:rPr>
                <w:rFonts w:cs="Times New Roman"/>
                <w:sz w:val="18"/>
                <w:szCs w:val="18"/>
              </w:rPr>
            </w:pPr>
            <w:r>
              <w:rPr>
                <w:rFonts w:cs="Times New Roman"/>
                <w:sz w:val="18"/>
                <w:szCs w:val="18"/>
              </w:rPr>
              <w:t>7806</w:t>
            </w:r>
          </w:p>
        </w:tc>
        <w:tc>
          <w:tcPr>
            <w:tcW w:w="917" w:type="dxa"/>
            <w:tcBorders>
              <w:left w:val="single" w:sz="4" w:space="0" w:color="auto"/>
              <w:bottom w:val="single" w:sz="4" w:space="0" w:color="auto"/>
              <w:right w:val="single" w:sz="4" w:space="0" w:color="auto"/>
            </w:tcBorders>
            <w:shd w:val="clear" w:color="auto" w:fill="FFFFFF" w:themeFill="background1"/>
          </w:tcPr>
          <w:p w:rsidR="0087611B" w:rsidRPr="00542C9A" w:rsidRDefault="0087611B" w:rsidP="003B483C">
            <w:pPr>
              <w:pStyle w:val="ListParagraph"/>
              <w:spacing w:line="240" w:lineRule="exact"/>
              <w:ind w:left="0"/>
              <w:jc w:val="center"/>
              <w:rPr>
                <w:rFonts w:cs="Times New Roman"/>
                <w:sz w:val="18"/>
                <w:szCs w:val="18"/>
              </w:rPr>
            </w:pPr>
            <w:r>
              <w:rPr>
                <w:rFonts w:cs="Times New Roman"/>
                <w:sz w:val="18"/>
                <w:szCs w:val="18"/>
              </w:rPr>
              <w:t>10%</w:t>
            </w:r>
          </w:p>
        </w:tc>
        <w:tc>
          <w:tcPr>
            <w:tcW w:w="995" w:type="dxa"/>
            <w:tcBorders>
              <w:left w:val="single" w:sz="4" w:space="0" w:color="auto"/>
              <w:bottom w:val="single" w:sz="4" w:space="0" w:color="auto"/>
            </w:tcBorders>
            <w:shd w:val="clear" w:color="auto" w:fill="FFFFFF" w:themeFill="background1"/>
          </w:tcPr>
          <w:p w:rsidR="0087611B" w:rsidRPr="00542C9A" w:rsidRDefault="0087611B" w:rsidP="0087611B">
            <w:pPr>
              <w:pStyle w:val="ListParagraph"/>
              <w:spacing w:after="0" w:line="240" w:lineRule="exact"/>
              <w:ind w:left="0"/>
              <w:jc w:val="center"/>
              <w:rPr>
                <w:rFonts w:cs="Times New Roman"/>
                <w:sz w:val="18"/>
                <w:szCs w:val="18"/>
              </w:rPr>
            </w:pPr>
            <w:r>
              <w:rPr>
                <w:rFonts w:cs="Times New Roman"/>
                <w:sz w:val="18"/>
                <w:szCs w:val="18"/>
              </w:rPr>
              <w:t>20080124</w:t>
            </w:r>
          </w:p>
        </w:tc>
      </w:tr>
      <w:tr w:rsidR="0087611B" w:rsidRPr="002A685E" w:rsidTr="003B483C">
        <w:trPr>
          <w:trHeight w:val="251"/>
          <w:jc w:val="center"/>
        </w:trPr>
        <w:tc>
          <w:tcPr>
            <w:tcW w:w="3623" w:type="dxa"/>
            <w:gridSpan w:val="3"/>
            <w:vMerge/>
            <w:tcBorders>
              <w:right w:val="thinThickThinSmallGap" w:sz="24" w:space="0" w:color="auto"/>
            </w:tcBorders>
            <w:shd w:val="clear" w:color="auto" w:fill="FFFFFF" w:themeFill="background1"/>
          </w:tcPr>
          <w:p w:rsidR="0087611B" w:rsidRPr="00542C9A" w:rsidRDefault="0087611B" w:rsidP="003B1440">
            <w:pPr>
              <w:pStyle w:val="ListParagraph"/>
              <w:spacing w:line="240" w:lineRule="exact"/>
              <w:ind w:left="0"/>
              <w:jc w:val="both"/>
              <w:rPr>
                <w:rFonts w:cs="Times New Roman"/>
                <w:sz w:val="18"/>
                <w:szCs w:val="18"/>
              </w:rPr>
            </w:pPr>
          </w:p>
        </w:tc>
        <w:tc>
          <w:tcPr>
            <w:tcW w:w="4787" w:type="dxa"/>
            <w:gridSpan w:val="3"/>
            <w:tcBorders>
              <w:top w:val="single" w:sz="4" w:space="0" w:color="auto"/>
              <w:left w:val="thinThickThinSmallGap" w:sz="24" w:space="0" w:color="auto"/>
              <w:right w:val="single" w:sz="4" w:space="0" w:color="auto"/>
            </w:tcBorders>
            <w:shd w:val="clear" w:color="auto" w:fill="FFFFFF" w:themeFill="background1"/>
          </w:tcPr>
          <w:p w:rsidR="0087611B" w:rsidRPr="00A35B19" w:rsidRDefault="0087611B" w:rsidP="00A35B19">
            <w:pPr>
              <w:pStyle w:val="ListParagraph"/>
              <w:spacing w:line="240" w:lineRule="exact"/>
              <w:ind w:left="0"/>
              <w:jc w:val="center"/>
              <w:rPr>
                <w:rFonts w:cs="Times New Roman"/>
                <w:sz w:val="18"/>
                <w:szCs w:val="18"/>
              </w:rPr>
            </w:pPr>
            <w:r w:rsidRPr="00A35B19">
              <w:rPr>
                <w:rFonts w:cs="Times New Roman"/>
                <w:sz w:val="18"/>
                <w:szCs w:val="18"/>
              </w:rPr>
              <w:t>Other X 1</w:t>
            </w:r>
            <w:r w:rsidR="00A35B19">
              <w:rPr>
                <w:rFonts w:cs="Times New Roman"/>
                <w:sz w:val="18"/>
                <w:szCs w:val="18"/>
              </w:rPr>
              <w:t xml:space="preserve"> </w:t>
            </w:r>
            <w:r w:rsidRPr="00A35B19">
              <w:rPr>
                <w:rFonts w:cs="Times New Roman"/>
                <w:sz w:val="18"/>
                <w:szCs w:val="18"/>
              </w:rPr>
              <w:t>/ N</w:t>
            </w:r>
            <w:r w:rsidR="00A35B19" w:rsidRPr="00A35B19">
              <w:rPr>
                <w:rFonts w:cs="Times New Roman"/>
                <w:sz w:val="18"/>
                <w:szCs w:val="18"/>
              </w:rPr>
              <w:t>ot Service Connected</w:t>
            </w:r>
            <w:r w:rsidRPr="00A35B19">
              <w:rPr>
                <w:rFonts w:cs="Times New Roman"/>
                <w:sz w:val="18"/>
                <w:szCs w:val="18"/>
              </w:rPr>
              <w:t xml:space="preserve"> X 2</w:t>
            </w:r>
          </w:p>
        </w:tc>
        <w:tc>
          <w:tcPr>
            <w:tcW w:w="995" w:type="dxa"/>
            <w:tcBorders>
              <w:top w:val="single" w:sz="4" w:space="0" w:color="auto"/>
              <w:left w:val="single" w:sz="4" w:space="0" w:color="auto"/>
            </w:tcBorders>
            <w:shd w:val="clear" w:color="auto" w:fill="FFFFFF" w:themeFill="background1"/>
          </w:tcPr>
          <w:p w:rsidR="0087611B" w:rsidRDefault="0087611B" w:rsidP="0087611B">
            <w:pPr>
              <w:pStyle w:val="ListParagraph"/>
              <w:spacing w:after="0" w:line="240" w:lineRule="exact"/>
              <w:ind w:left="0"/>
              <w:jc w:val="center"/>
              <w:rPr>
                <w:rFonts w:cs="Times New Roman"/>
                <w:b/>
                <w:sz w:val="18"/>
                <w:szCs w:val="18"/>
              </w:rPr>
            </w:pPr>
            <w:r>
              <w:rPr>
                <w:rFonts w:cs="Times New Roman"/>
                <w:sz w:val="18"/>
                <w:szCs w:val="18"/>
              </w:rPr>
              <w:t>20080124</w:t>
            </w:r>
          </w:p>
        </w:tc>
      </w:tr>
      <w:tr w:rsidR="000D6BD3" w:rsidRPr="002A685E" w:rsidTr="003B483C">
        <w:trPr>
          <w:trHeight w:val="242"/>
          <w:jc w:val="center"/>
        </w:trPr>
        <w:tc>
          <w:tcPr>
            <w:tcW w:w="3623" w:type="dxa"/>
            <w:gridSpan w:val="3"/>
            <w:tcBorders>
              <w:right w:val="thinThickThinSmallGap" w:sz="24" w:space="0" w:color="auto"/>
            </w:tcBorders>
            <w:shd w:val="clear" w:color="auto" w:fill="D9D9D9" w:themeFill="background1" w:themeFillShade="D9"/>
          </w:tcPr>
          <w:p w:rsidR="000D6BD3" w:rsidRPr="0085089F" w:rsidRDefault="00A35B19" w:rsidP="003B1440">
            <w:pPr>
              <w:pStyle w:val="ListParagraph"/>
              <w:spacing w:after="0" w:line="240" w:lineRule="exact"/>
              <w:ind w:left="0"/>
              <w:jc w:val="center"/>
              <w:rPr>
                <w:rFonts w:cs="Times New Roman"/>
                <w:b/>
                <w:sz w:val="20"/>
                <w:szCs w:val="20"/>
              </w:rPr>
            </w:pPr>
            <w:r>
              <w:rPr>
                <w:rFonts w:cs="Times New Roman"/>
                <w:b/>
                <w:sz w:val="20"/>
                <w:szCs w:val="20"/>
              </w:rPr>
              <w:t>Final</w:t>
            </w:r>
            <w:r w:rsidR="000D6BD3" w:rsidRPr="0085089F">
              <w:rPr>
                <w:rFonts w:cs="Times New Roman"/>
                <w:b/>
                <w:sz w:val="20"/>
                <w:szCs w:val="20"/>
              </w:rPr>
              <w:t xml:space="preserve"> Combined:  </w:t>
            </w:r>
            <w:r w:rsidR="000D6BD3" w:rsidRPr="00ED6A61">
              <w:rPr>
                <w:rFonts w:cs="Times New Roman"/>
                <w:b/>
                <w:sz w:val="20"/>
                <w:szCs w:val="20"/>
              </w:rPr>
              <w:t>0</w:t>
            </w:r>
            <w:r w:rsidR="000D6BD3" w:rsidRPr="0085089F">
              <w:rPr>
                <w:rFonts w:cs="Times New Roman"/>
                <w:b/>
                <w:sz w:val="20"/>
                <w:szCs w:val="20"/>
              </w:rPr>
              <w:t>%</w:t>
            </w:r>
          </w:p>
        </w:tc>
        <w:tc>
          <w:tcPr>
            <w:tcW w:w="5782" w:type="dxa"/>
            <w:gridSpan w:val="4"/>
            <w:tcBorders>
              <w:left w:val="thinThickThinSmallGap" w:sz="24" w:space="0" w:color="auto"/>
            </w:tcBorders>
            <w:shd w:val="clear" w:color="auto" w:fill="D9D9D9" w:themeFill="background1" w:themeFillShade="D9"/>
          </w:tcPr>
          <w:p w:rsidR="000D6BD3" w:rsidRPr="0085089F" w:rsidRDefault="00A35B19" w:rsidP="001C3291">
            <w:pPr>
              <w:pStyle w:val="ListParagraph"/>
              <w:spacing w:after="0" w:line="240" w:lineRule="exact"/>
              <w:ind w:left="0"/>
              <w:jc w:val="center"/>
              <w:rPr>
                <w:rFonts w:cs="Times New Roman"/>
                <w:b/>
                <w:sz w:val="20"/>
                <w:szCs w:val="20"/>
              </w:rPr>
            </w:pPr>
            <w:r>
              <w:rPr>
                <w:rFonts w:cs="Times New Roman"/>
                <w:b/>
                <w:sz w:val="20"/>
                <w:szCs w:val="20"/>
              </w:rPr>
              <w:t>Total</w:t>
            </w:r>
            <w:r w:rsidR="000D6BD3" w:rsidRPr="0085089F">
              <w:rPr>
                <w:rFonts w:cs="Times New Roman"/>
                <w:b/>
                <w:sz w:val="20"/>
                <w:szCs w:val="20"/>
              </w:rPr>
              <w:t xml:space="preserve"> Combined: </w:t>
            </w:r>
            <w:r w:rsidR="001C3291">
              <w:rPr>
                <w:rFonts w:cs="Times New Roman"/>
                <w:b/>
                <w:sz w:val="20"/>
                <w:szCs w:val="20"/>
              </w:rPr>
              <w:t xml:space="preserve"> </w:t>
            </w:r>
            <w:r w:rsidR="000D6BD3">
              <w:rPr>
                <w:rFonts w:cs="Times New Roman"/>
                <w:b/>
                <w:sz w:val="20"/>
                <w:szCs w:val="20"/>
              </w:rPr>
              <w:t>6</w:t>
            </w:r>
            <w:r w:rsidR="000D6BD3" w:rsidRPr="00ED6A61">
              <w:rPr>
                <w:rFonts w:cs="Times New Roman"/>
                <w:b/>
                <w:sz w:val="20"/>
                <w:szCs w:val="20"/>
              </w:rPr>
              <w:t>0%</w:t>
            </w:r>
          </w:p>
        </w:tc>
      </w:tr>
    </w:tbl>
    <w:p w:rsidR="00AF79E1" w:rsidRDefault="00AF79E1" w:rsidP="00F8117F">
      <w:pPr>
        <w:pBdr>
          <w:bottom w:val="single" w:sz="12" w:space="1" w:color="auto"/>
        </w:pBdr>
        <w:tabs>
          <w:tab w:val="left" w:pos="288"/>
          <w:tab w:val="left" w:pos="4752"/>
        </w:tabs>
        <w:spacing w:line="240" w:lineRule="exact"/>
        <w:jc w:val="both"/>
        <w:rPr>
          <w:rFonts w:ascii="Calibri" w:hAnsi="Calibri"/>
          <w:color w:val="auto"/>
          <w:u w:val="single"/>
        </w:rPr>
      </w:pPr>
    </w:p>
    <w:p w:rsidR="00AF79E1" w:rsidRDefault="00AF79E1" w:rsidP="004E31E9">
      <w:pPr>
        <w:tabs>
          <w:tab w:val="left" w:pos="288"/>
          <w:tab w:val="left" w:pos="4752"/>
        </w:tabs>
        <w:spacing w:line="240" w:lineRule="exact"/>
        <w:jc w:val="both"/>
        <w:rPr>
          <w:rFonts w:asciiTheme="minorHAnsi" w:hAnsiTheme="minorHAnsi"/>
          <w:color w:val="auto"/>
          <w:szCs w:val="24"/>
          <w:u w:val="single"/>
        </w:rPr>
      </w:pPr>
    </w:p>
    <w:p w:rsidR="002C6E5B" w:rsidRDefault="002C6E5B" w:rsidP="004E31E9">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A61979" w:rsidRDefault="00A61979" w:rsidP="004E31E9">
      <w:pPr>
        <w:autoSpaceDE w:val="0"/>
        <w:autoSpaceDN w:val="0"/>
        <w:adjustRightInd w:val="0"/>
        <w:jc w:val="both"/>
        <w:rPr>
          <w:rFonts w:ascii="Times New Roman" w:hAnsi="Times New Roman"/>
          <w:color w:val="auto"/>
          <w:sz w:val="22"/>
          <w:szCs w:val="22"/>
        </w:rPr>
      </w:pPr>
    </w:p>
    <w:p w:rsidR="003B483C" w:rsidRDefault="00192D2E" w:rsidP="004E31E9">
      <w:pPr>
        <w:tabs>
          <w:tab w:val="left" w:pos="2980"/>
        </w:tabs>
        <w:spacing w:line="240" w:lineRule="exact"/>
        <w:jc w:val="both"/>
        <w:rPr>
          <w:rFonts w:asciiTheme="minorHAnsi" w:hAnsiTheme="minorHAnsi"/>
          <w:color w:val="auto"/>
          <w:szCs w:val="24"/>
        </w:rPr>
      </w:pPr>
      <w:proofErr w:type="gramStart"/>
      <w:r w:rsidRPr="00192D2E">
        <w:rPr>
          <w:rFonts w:asciiTheme="minorHAnsi" w:hAnsiTheme="minorHAnsi"/>
          <w:color w:val="auto"/>
          <w:szCs w:val="24"/>
          <w:u w:val="single"/>
        </w:rPr>
        <w:t>PTSD Rating Recommendation</w:t>
      </w:r>
      <w:r>
        <w:rPr>
          <w:rFonts w:asciiTheme="minorHAnsi" w:hAnsiTheme="minorHAnsi"/>
          <w:color w:val="auto"/>
          <w:szCs w:val="24"/>
        </w:rPr>
        <w:t>.</w:t>
      </w:r>
      <w:proofErr w:type="gramEnd"/>
      <w:r>
        <w:rPr>
          <w:rFonts w:asciiTheme="minorHAnsi" w:hAnsiTheme="minorHAnsi"/>
          <w:color w:val="auto"/>
          <w:szCs w:val="24"/>
        </w:rPr>
        <w:t xml:space="preserve">  </w:t>
      </w:r>
      <w:r w:rsidR="0022406C" w:rsidRPr="0028115C">
        <w:rPr>
          <w:rFonts w:asciiTheme="minorHAnsi" w:hAnsiTheme="minorHAnsi"/>
          <w:color w:val="auto"/>
          <w:szCs w:val="24"/>
        </w:rPr>
        <w:t xml:space="preserve">The </w:t>
      </w:r>
      <w:r w:rsidR="003B483C">
        <w:rPr>
          <w:rFonts w:asciiTheme="minorHAnsi" w:hAnsiTheme="minorHAnsi"/>
          <w:color w:val="auto"/>
          <w:szCs w:val="24"/>
        </w:rPr>
        <w:t>F</w:t>
      </w:r>
      <w:r w:rsidR="0022406C" w:rsidRPr="0028115C">
        <w:rPr>
          <w:rFonts w:asciiTheme="minorHAnsi" w:hAnsiTheme="minorHAnsi"/>
          <w:color w:val="auto"/>
          <w:szCs w:val="24"/>
        </w:rPr>
        <w:t xml:space="preserve">PEB rating, as noted above, was derived from DoDI 1332.39 and preceded the promulgation of the </w:t>
      </w:r>
      <w:r w:rsidR="00FA518E">
        <w:rPr>
          <w:rFonts w:asciiTheme="minorHAnsi" w:hAnsiTheme="minorHAnsi"/>
          <w:color w:val="auto"/>
          <w:szCs w:val="24"/>
        </w:rPr>
        <w:t>National Defense Authorization Act (</w:t>
      </w:r>
      <w:r w:rsidR="0022406C" w:rsidRPr="0028115C">
        <w:rPr>
          <w:rFonts w:asciiTheme="minorHAnsi" w:hAnsiTheme="minorHAnsi"/>
          <w:color w:val="auto"/>
          <w:szCs w:val="24"/>
        </w:rPr>
        <w:t>NDAA</w:t>
      </w:r>
      <w:r w:rsidR="00FA518E">
        <w:rPr>
          <w:rFonts w:asciiTheme="minorHAnsi" w:hAnsiTheme="minorHAnsi"/>
          <w:color w:val="auto"/>
          <w:szCs w:val="24"/>
        </w:rPr>
        <w:t>)</w:t>
      </w:r>
      <w:r w:rsidR="0022406C" w:rsidRPr="0028115C">
        <w:rPr>
          <w:rFonts w:asciiTheme="minorHAnsi" w:hAnsiTheme="minorHAnsi"/>
          <w:color w:val="auto"/>
          <w:szCs w:val="24"/>
        </w:rPr>
        <w:t xml:space="preserve"> 2008 mandate for DOD adherence to VA</w:t>
      </w:r>
      <w:r w:rsidR="00FA518E">
        <w:rPr>
          <w:rFonts w:asciiTheme="minorHAnsi" w:hAnsiTheme="minorHAnsi"/>
          <w:color w:val="auto"/>
          <w:szCs w:val="24"/>
        </w:rPr>
        <w:t xml:space="preserve"> Schedule for Rating Disabilities (VA</w:t>
      </w:r>
      <w:r w:rsidR="0022406C" w:rsidRPr="0028115C">
        <w:rPr>
          <w:rFonts w:asciiTheme="minorHAnsi" w:hAnsiTheme="minorHAnsi"/>
          <w:color w:val="auto"/>
          <w:szCs w:val="24"/>
        </w:rPr>
        <w:t>SRD</w:t>
      </w:r>
      <w:r w:rsidR="00FA518E">
        <w:rPr>
          <w:rFonts w:asciiTheme="minorHAnsi" w:hAnsiTheme="minorHAnsi"/>
          <w:color w:val="auto"/>
          <w:szCs w:val="24"/>
        </w:rPr>
        <w:t>)</w:t>
      </w:r>
      <w:r w:rsidR="0022406C" w:rsidRPr="0028115C">
        <w:rPr>
          <w:rFonts w:asciiTheme="minorHAnsi" w:hAnsiTheme="minorHAnsi"/>
          <w:color w:val="auto"/>
          <w:szCs w:val="24"/>
        </w:rPr>
        <w:t xml:space="preserve"> §4.129.  IAW DoDI 6040.44 and DOD guidance (which applies current VASRD §4.129 to all Board cases), the Board is obligated to recommend a minimum 50% PTSD rating for a retroactive six month period of </w:t>
      </w:r>
      <w:r w:rsidR="00FA518E">
        <w:rPr>
          <w:rFonts w:asciiTheme="minorHAnsi" w:hAnsiTheme="minorHAnsi"/>
          <w:color w:val="auto"/>
          <w:szCs w:val="24"/>
        </w:rPr>
        <w:t>Temporary Disability Retired List (</w:t>
      </w:r>
      <w:r w:rsidR="0022406C" w:rsidRPr="0028115C">
        <w:rPr>
          <w:rFonts w:asciiTheme="minorHAnsi" w:hAnsiTheme="minorHAnsi"/>
          <w:color w:val="auto"/>
          <w:szCs w:val="24"/>
        </w:rPr>
        <w:t>TDRL</w:t>
      </w:r>
      <w:r w:rsidR="00FA518E">
        <w:rPr>
          <w:rFonts w:asciiTheme="minorHAnsi" w:hAnsiTheme="minorHAnsi"/>
          <w:color w:val="auto"/>
          <w:szCs w:val="24"/>
        </w:rPr>
        <w:t>)</w:t>
      </w:r>
      <w:r w:rsidR="0022406C" w:rsidRPr="0028115C">
        <w:rPr>
          <w:rFonts w:asciiTheme="minorHAnsi" w:hAnsiTheme="minorHAnsi"/>
          <w:color w:val="auto"/>
          <w:szCs w:val="24"/>
        </w:rPr>
        <w:t xml:space="preserve">.  The Board must then determine the most appropriate fit with VASRD §4.130 criteria at six months for its permanent rating recommendation.  </w:t>
      </w:r>
      <w:r w:rsidR="00B9521D" w:rsidRPr="00FC1079">
        <w:rPr>
          <w:rFonts w:asciiTheme="minorHAnsi" w:hAnsiTheme="minorHAnsi"/>
          <w:color w:val="auto"/>
          <w:szCs w:val="24"/>
        </w:rPr>
        <w:t xml:space="preserve">The most proximate source of comprehensive evidence on which to base the permanent rating recommendation in this case is the VA </w:t>
      </w:r>
      <w:r w:rsidR="00B9521D">
        <w:rPr>
          <w:rFonts w:asciiTheme="minorHAnsi" w:hAnsiTheme="minorHAnsi"/>
          <w:color w:val="auto"/>
          <w:szCs w:val="24"/>
        </w:rPr>
        <w:t xml:space="preserve">psychiatric </w:t>
      </w:r>
      <w:r w:rsidR="00B9521D" w:rsidRPr="007725C8">
        <w:rPr>
          <w:rFonts w:asciiTheme="minorHAnsi" w:hAnsiTheme="minorHAnsi"/>
          <w:color w:val="auto"/>
          <w:szCs w:val="24"/>
        </w:rPr>
        <w:t xml:space="preserve">Compensation and Pension (C&amp;P) examination </w:t>
      </w:r>
      <w:r w:rsidR="00B9521D" w:rsidRPr="00CD0879">
        <w:rPr>
          <w:rFonts w:asciiTheme="minorHAnsi" w:hAnsiTheme="minorHAnsi"/>
          <w:color w:val="auto"/>
          <w:szCs w:val="24"/>
        </w:rPr>
        <w:t>six months after separation</w:t>
      </w:r>
      <w:r w:rsidR="00B9521D" w:rsidRPr="00FC1079">
        <w:rPr>
          <w:rFonts w:asciiTheme="minorHAnsi" w:hAnsiTheme="minorHAnsi"/>
          <w:color w:val="auto"/>
          <w:szCs w:val="24"/>
        </w:rPr>
        <w:t xml:space="preserve">.  Especially since the </w:t>
      </w:r>
      <w:r w:rsidR="00B9521D" w:rsidRPr="007725C8">
        <w:rPr>
          <w:rFonts w:asciiTheme="minorHAnsi" w:hAnsiTheme="minorHAnsi"/>
          <w:color w:val="auto"/>
          <w:szCs w:val="24"/>
        </w:rPr>
        <w:t>C&amp;P</w:t>
      </w:r>
      <w:r w:rsidR="00B9521D" w:rsidRPr="00FC1079">
        <w:rPr>
          <w:rFonts w:asciiTheme="minorHAnsi" w:hAnsiTheme="minorHAnsi"/>
          <w:color w:val="auto"/>
          <w:szCs w:val="24"/>
        </w:rPr>
        <w:t xml:space="preserve"> examination also reflects the stress of transition to civilian life</w:t>
      </w:r>
      <w:r w:rsidR="00B9521D">
        <w:rPr>
          <w:rFonts w:asciiTheme="minorHAnsi" w:hAnsiTheme="minorHAnsi"/>
          <w:color w:val="auto"/>
          <w:szCs w:val="24"/>
        </w:rPr>
        <w:t>,</w:t>
      </w:r>
      <w:r w:rsidR="00B9521D" w:rsidRPr="00FC1079">
        <w:rPr>
          <w:rFonts w:asciiTheme="minorHAnsi" w:hAnsiTheme="minorHAnsi"/>
          <w:color w:val="auto"/>
          <w:szCs w:val="24"/>
        </w:rPr>
        <w:t xml:space="preserve"> which is a core intent of §4.129, it carries the preponderance of probative value in the Board’s assessment of a fair permanent rating recommendation.  The MEB evaluation, nevertheless, serves as a useful reference point and retains relevant probative value</w:t>
      </w:r>
      <w:r w:rsidR="007725C8">
        <w:rPr>
          <w:rFonts w:asciiTheme="minorHAnsi" w:hAnsiTheme="minorHAnsi"/>
          <w:color w:val="auto"/>
          <w:szCs w:val="24"/>
        </w:rPr>
        <w:t>.</w:t>
      </w:r>
      <w:r w:rsidR="00CD0879">
        <w:rPr>
          <w:rFonts w:asciiTheme="minorHAnsi" w:hAnsiTheme="minorHAnsi"/>
          <w:color w:val="auto"/>
          <w:szCs w:val="24"/>
        </w:rPr>
        <w:t xml:space="preserve">  </w:t>
      </w:r>
      <w:r w:rsidR="007725C8">
        <w:rPr>
          <w:rFonts w:asciiTheme="minorHAnsi" w:hAnsiTheme="minorHAnsi"/>
          <w:color w:val="auto"/>
          <w:szCs w:val="24"/>
        </w:rPr>
        <w:t>The CI’s symptoms at the time of the MEB are best described as mild</w:t>
      </w:r>
      <w:r w:rsidR="0007368D">
        <w:rPr>
          <w:rFonts w:asciiTheme="minorHAnsi" w:hAnsiTheme="minorHAnsi"/>
          <w:color w:val="auto"/>
          <w:szCs w:val="24"/>
        </w:rPr>
        <w:t xml:space="preserve"> to moderate</w:t>
      </w:r>
      <w:r w:rsidR="0096261E">
        <w:rPr>
          <w:rFonts w:asciiTheme="minorHAnsi" w:hAnsiTheme="minorHAnsi"/>
          <w:color w:val="auto"/>
          <w:szCs w:val="24"/>
        </w:rPr>
        <w:t>.</w:t>
      </w:r>
      <w:r w:rsidR="00E02032">
        <w:rPr>
          <w:rFonts w:asciiTheme="minorHAnsi" w:hAnsiTheme="minorHAnsi"/>
          <w:color w:val="auto"/>
          <w:szCs w:val="24"/>
        </w:rPr>
        <w:t xml:space="preserve"> </w:t>
      </w:r>
      <w:r w:rsidR="00332921">
        <w:rPr>
          <w:rFonts w:asciiTheme="minorHAnsi" w:hAnsiTheme="minorHAnsi"/>
          <w:color w:val="auto"/>
          <w:szCs w:val="24"/>
        </w:rPr>
        <w:t xml:space="preserve"> </w:t>
      </w:r>
      <w:r w:rsidR="000F1C44">
        <w:rPr>
          <w:rFonts w:asciiTheme="minorHAnsi" w:hAnsiTheme="minorHAnsi"/>
          <w:color w:val="auto"/>
          <w:szCs w:val="24"/>
        </w:rPr>
        <w:t>The CI reported recurrent nightmares</w:t>
      </w:r>
      <w:r w:rsidR="0083491D">
        <w:rPr>
          <w:rFonts w:asciiTheme="minorHAnsi" w:hAnsiTheme="minorHAnsi"/>
          <w:color w:val="auto"/>
          <w:szCs w:val="24"/>
        </w:rPr>
        <w:t xml:space="preserve">, </w:t>
      </w:r>
      <w:proofErr w:type="spellStart"/>
      <w:r w:rsidR="0083491D">
        <w:rPr>
          <w:rFonts w:asciiTheme="minorHAnsi" w:hAnsiTheme="minorHAnsi"/>
          <w:color w:val="auto"/>
          <w:szCs w:val="24"/>
        </w:rPr>
        <w:t>hyperarousal</w:t>
      </w:r>
      <w:proofErr w:type="spellEnd"/>
      <w:r w:rsidR="0083491D">
        <w:rPr>
          <w:rFonts w:asciiTheme="minorHAnsi" w:hAnsiTheme="minorHAnsi"/>
          <w:color w:val="auto"/>
          <w:szCs w:val="24"/>
        </w:rPr>
        <w:t xml:space="preserve">, sleep impairment, irritability and anger outbursts.  Although he had experienced prior suicidal thoughts, he expressed no current suicidal ideation.  </w:t>
      </w:r>
      <w:r w:rsidR="0007368D">
        <w:rPr>
          <w:rFonts w:asciiTheme="minorHAnsi" w:hAnsiTheme="minorHAnsi"/>
          <w:color w:val="auto"/>
          <w:szCs w:val="24"/>
        </w:rPr>
        <w:t xml:space="preserve">He argued frequently with his wife and felt like an outcast in his combat unit.  </w:t>
      </w:r>
      <w:r w:rsidR="00CB4BD9">
        <w:rPr>
          <w:rFonts w:asciiTheme="minorHAnsi" w:hAnsiTheme="minorHAnsi"/>
          <w:color w:val="auto"/>
          <w:szCs w:val="24"/>
        </w:rPr>
        <w:t>While on profile and not deployable</w:t>
      </w:r>
      <w:r w:rsidR="003B483C">
        <w:rPr>
          <w:rFonts w:asciiTheme="minorHAnsi" w:hAnsiTheme="minorHAnsi"/>
          <w:color w:val="auto"/>
          <w:szCs w:val="24"/>
        </w:rPr>
        <w:t>,</w:t>
      </w:r>
      <w:r w:rsidR="00CB4BD9">
        <w:rPr>
          <w:rFonts w:asciiTheme="minorHAnsi" w:hAnsiTheme="minorHAnsi"/>
          <w:color w:val="auto"/>
          <w:szCs w:val="24"/>
        </w:rPr>
        <w:t xml:space="preserve"> he worked full shifts, had no physical training limitations, and was noted by his </w:t>
      </w:r>
      <w:r w:rsidR="00F27DFB">
        <w:rPr>
          <w:rFonts w:asciiTheme="minorHAnsi" w:hAnsiTheme="minorHAnsi"/>
          <w:color w:val="auto"/>
          <w:szCs w:val="24"/>
        </w:rPr>
        <w:t>C</w:t>
      </w:r>
      <w:r w:rsidR="00CB4BD9">
        <w:rPr>
          <w:rFonts w:asciiTheme="minorHAnsi" w:hAnsiTheme="minorHAnsi"/>
          <w:color w:val="auto"/>
          <w:szCs w:val="24"/>
        </w:rPr>
        <w:t xml:space="preserve">ommander to be an outstanding worker.  </w:t>
      </w:r>
      <w:r w:rsidR="007725C8">
        <w:rPr>
          <w:rFonts w:asciiTheme="minorHAnsi" w:hAnsiTheme="minorHAnsi"/>
          <w:color w:val="auto"/>
          <w:szCs w:val="24"/>
        </w:rPr>
        <w:t xml:space="preserve">The </w:t>
      </w:r>
      <w:r w:rsidR="00FA518E">
        <w:rPr>
          <w:rFonts w:asciiTheme="minorHAnsi" w:hAnsiTheme="minorHAnsi"/>
          <w:color w:val="auto"/>
          <w:szCs w:val="24"/>
        </w:rPr>
        <w:t>narrative summary (</w:t>
      </w:r>
      <w:r w:rsidR="00E01254">
        <w:rPr>
          <w:rFonts w:asciiTheme="minorHAnsi" w:hAnsiTheme="minorHAnsi"/>
          <w:color w:val="auto"/>
          <w:szCs w:val="24"/>
        </w:rPr>
        <w:t>NARSUM</w:t>
      </w:r>
      <w:r w:rsidR="00FA518E">
        <w:rPr>
          <w:rFonts w:asciiTheme="minorHAnsi" w:hAnsiTheme="minorHAnsi"/>
          <w:color w:val="auto"/>
          <w:szCs w:val="24"/>
        </w:rPr>
        <w:t>)</w:t>
      </w:r>
      <w:r w:rsidR="00E01254">
        <w:rPr>
          <w:rFonts w:asciiTheme="minorHAnsi" w:hAnsiTheme="minorHAnsi"/>
          <w:color w:val="auto"/>
          <w:szCs w:val="24"/>
        </w:rPr>
        <w:t xml:space="preserve"> </w:t>
      </w:r>
      <w:r w:rsidR="007725C8">
        <w:rPr>
          <w:rFonts w:asciiTheme="minorHAnsi" w:hAnsiTheme="minorHAnsi"/>
          <w:color w:val="auto"/>
          <w:szCs w:val="24"/>
        </w:rPr>
        <w:t xml:space="preserve">examiner </w:t>
      </w:r>
      <w:r w:rsidR="000F1C44">
        <w:rPr>
          <w:rFonts w:asciiTheme="minorHAnsi" w:hAnsiTheme="minorHAnsi"/>
          <w:color w:val="auto"/>
          <w:szCs w:val="24"/>
        </w:rPr>
        <w:t>noted anxious affect and near-</w:t>
      </w:r>
      <w:r w:rsidR="007725C8">
        <w:rPr>
          <w:rFonts w:asciiTheme="minorHAnsi" w:hAnsiTheme="minorHAnsi"/>
          <w:color w:val="auto"/>
          <w:szCs w:val="24"/>
        </w:rPr>
        <w:t>tearful</w:t>
      </w:r>
      <w:r w:rsidR="000F1C44">
        <w:rPr>
          <w:rFonts w:asciiTheme="minorHAnsi" w:hAnsiTheme="minorHAnsi"/>
          <w:color w:val="auto"/>
          <w:szCs w:val="24"/>
        </w:rPr>
        <w:t>ness</w:t>
      </w:r>
      <w:r w:rsidR="007725C8">
        <w:rPr>
          <w:rFonts w:asciiTheme="minorHAnsi" w:hAnsiTheme="minorHAnsi"/>
          <w:color w:val="auto"/>
          <w:szCs w:val="24"/>
        </w:rPr>
        <w:t xml:space="preserve">.  </w:t>
      </w:r>
      <w:r w:rsidR="00E01254">
        <w:rPr>
          <w:rFonts w:asciiTheme="minorHAnsi" w:hAnsiTheme="minorHAnsi"/>
          <w:color w:val="auto"/>
          <w:szCs w:val="24"/>
        </w:rPr>
        <w:t xml:space="preserve">His </w:t>
      </w:r>
      <w:r w:rsidR="003B483C">
        <w:rPr>
          <w:rFonts w:asciiTheme="minorHAnsi" w:hAnsiTheme="minorHAnsi"/>
          <w:color w:val="auto"/>
          <w:szCs w:val="24"/>
        </w:rPr>
        <w:t>G</w:t>
      </w:r>
      <w:r w:rsidR="00196BE5">
        <w:rPr>
          <w:rFonts w:asciiTheme="minorHAnsi" w:hAnsiTheme="minorHAnsi"/>
          <w:color w:val="auto"/>
          <w:szCs w:val="24"/>
        </w:rPr>
        <w:t xml:space="preserve">lobal </w:t>
      </w:r>
      <w:r w:rsidR="003B483C">
        <w:rPr>
          <w:rFonts w:asciiTheme="minorHAnsi" w:hAnsiTheme="minorHAnsi"/>
          <w:color w:val="auto"/>
          <w:szCs w:val="24"/>
        </w:rPr>
        <w:t>A</w:t>
      </w:r>
      <w:r w:rsidR="00196BE5">
        <w:rPr>
          <w:rFonts w:asciiTheme="minorHAnsi" w:hAnsiTheme="minorHAnsi"/>
          <w:color w:val="auto"/>
          <w:szCs w:val="24"/>
        </w:rPr>
        <w:t xml:space="preserve">ssessment of </w:t>
      </w:r>
      <w:r w:rsidR="003B483C">
        <w:rPr>
          <w:rFonts w:asciiTheme="minorHAnsi" w:hAnsiTheme="minorHAnsi"/>
          <w:color w:val="auto"/>
          <w:szCs w:val="24"/>
        </w:rPr>
        <w:t>F</w:t>
      </w:r>
      <w:r w:rsidR="00196BE5">
        <w:rPr>
          <w:rFonts w:asciiTheme="minorHAnsi" w:hAnsiTheme="minorHAnsi"/>
          <w:color w:val="auto"/>
          <w:szCs w:val="24"/>
        </w:rPr>
        <w:t>unctioning</w:t>
      </w:r>
      <w:r w:rsidR="003B483C">
        <w:rPr>
          <w:rFonts w:asciiTheme="minorHAnsi" w:hAnsiTheme="minorHAnsi"/>
          <w:color w:val="auto"/>
          <w:szCs w:val="24"/>
        </w:rPr>
        <w:t xml:space="preserve"> </w:t>
      </w:r>
      <w:r w:rsidR="00FA518E">
        <w:rPr>
          <w:rFonts w:asciiTheme="minorHAnsi" w:hAnsiTheme="minorHAnsi"/>
          <w:color w:val="auto"/>
          <w:szCs w:val="24"/>
        </w:rPr>
        <w:t xml:space="preserve">(GAF) </w:t>
      </w:r>
      <w:r w:rsidR="003B483C">
        <w:rPr>
          <w:rFonts w:asciiTheme="minorHAnsi" w:hAnsiTheme="minorHAnsi"/>
          <w:color w:val="auto"/>
          <w:szCs w:val="24"/>
        </w:rPr>
        <w:t>was in the range indicating less than mild symptoms (GAF=80</w:t>
      </w:r>
      <w:r w:rsidR="00196BE5">
        <w:rPr>
          <w:rFonts w:asciiTheme="minorHAnsi" w:hAnsiTheme="minorHAnsi"/>
          <w:color w:val="auto"/>
          <w:szCs w:val="24"/>
        </w:rPr>
        <w:t>)</w:t>
      </w:r>
      <w:r w:rsidR="00E01254">
        <w:rPr>
          <w:rFonts w:asciiTheme="minorHAnsi" w:hAnsiTheme="minorHAnsi"/>
          <w:color w:val="auto"/>
          <w:szCs w:val="24"/>
        </w:rPr>
        <w:t xml:space="preserve">.  </w:t>
      </w:r>
      <w:r w:rsidR="00CB6194">
        <w:rPr>
          <w:rFonts w:asciiTheme="minorHAnsi" w:hAnsiTheme="minorHAnsi"/>
          <w:color w:val="auto"/>
          <w:szCs w:val="24"/>
        </w:rPr>
        <w:t>The assessment</w:t>
      </w:r>
      <w:r w:rsidR="0083491D">
        <w:rPr>
          <w:rFonts w:asciiTheme="minorHAnsi" w:hAnsiTheme="minorHAnsi"/>
          <w:color w:val="auto"/>
          <w:szCs w:val="24"/>
        </w:rPr>
        <w:t xml:space="preserve"> was</w:t>
      </w:r>
      <w:r w:rsidR="008544D1">
        <w:rPr>
          <w:rFonts w:asciiTheme="minorHAnsi" w:hAnsiTheme="minorHAnsi"/>
          <w:color w:val="auto"/>
          <w:szCs w:val="24"/>
        </w:rPr>
        <w:t xml:space="preserve"> mild social and industrial impairment.  Prognosis for full recovery was worsened by the presence of a personality disorder.  </w:t>
      </w:r>
      <w:r w:rsidR="009D7EFE">
        <w:rPr>
          <w:rFonts w:asciiTheme="minorHAnsi" w:hAnsiTheme="minorHAnsi"/>
          <w:color w:val="auto"/>
          <w:szCs w:val="24"/>
        </w:rPr>
        <w:t xml:space="preserve">A psychiatric addendum by the same </w:t>
      </w:r>
      <w:r w:rsidR="003B483C">
        <w:rPr>
          <w:rFonts w:asciiTheme="minorHAnsi" w:hAnsiTheme="minorHAnsi"/>
          <w:color w:val="auto"/>
          <w:szCs w:val="24"/>
        </w:rPr>
        <w:t xml:space="preserve">MEB </w:t>
      </w:r>
      <w:r w:rsidR="009D7EFE">
        <w:rPr>
          <w:rFonts w:asciiTheme="minorHAnsi" w:hAnsiTheme="minorHAnsi"/>
          <w:color w:val="auto"/>
          <w:szCs w:val="24"/>
        </w:rPr>
        <w:t xml:space="preserve">examiner performed two months prior to separation </w:t>
      </w:r>
      <w:r w:rsidR="009A242F">
        <w:rPr>
          <w:rFonts w:asciiTheme="minorHAnsi" w:hAnsiTheme="minorHAnsi"/>
          <w:color w:val="auto"/>
          <w:szCs w:val="24"/>
        </w:rPr>
        <w:t xml:space="preserve">reported that the CI responded </w:t>
      </w:r>
      <w:r w:rsidR="00E01254">
        <w:rPr>
          <w:rFonts w:asciiTheme="minorHAnsi" w:hAnsiTheme="minorHAnsi"/>
          <w:color w:val="auto"/>
          <w:szCs w:val="24"/>
        </w:rPr>
        <w:t xml:space="preserve">very </w:t>
      </w:r>
      <w:r w:rsidR="009A242F">
        <w:rPr>
          <w:rFonts w:asciiTheme="minorHAnsi" w:hAnsiTheme="minorHAnsi"/>
          <w:color w:val="auto"/>
          <w:szCs w:val="24"/>
        </w:rPr>
        <w:t xml:space="preserve">well to a form of psychotherapy </w:t>
      </w:r>
      <w:r w:rsidR="00E01254">
        <w:rPr>
          <w:rFonts w:asciiTheme="minorHAnsi" w:hAnsiTheme="minorHAnsi"/>
          <w:color w:val="auto"/>
          <w:szCs w:val="24"/>
        </w:rPr>
        <w:t xml:space="preserve">specifically designed </w:t>
      </w:r>
      <w:r w:rsidR="009A242F">
        <w:rPr>
          <w:rFonts w:asciiTheme="minorHAnsi" w:hAnsiTheme="minorHAnsi"/>
          <w:color w:val="auto"/>
          <w:szCs w:val="24"/>
        </w:rPr>
        <w:t xml:space="preserve">for PTSD.  </w:t>
      </w:r>
      <w:r w:rsidR="003B483C">
        <w:rPr>
          <w:rFonts w:asciiTheme="minorHAnsi" w:hAnsiTheme="minorHAnsi"/>
          <w:color w:val="auto"/>
          <w:szCs w:val="24"/>
        </w:rPr>
        <w:t>The CI’s</w:t>
      </w:r>
      <w:r w:rsidR="00E01254">
        <w:rPr>
          <w:rFonts w:asciiTheme="minorHAnsi" w:hAnsiTheme="minorHAnsi"/>
          <w:color w:val="auto"/>
          <w:szCs w:val="24"/>
        </w:rPr>
        <w:t xml:space="preserve"> </w:t>
      </w:r>
      <w:r w:rsidR="00E01254" w:rsidRPr="00CD0879">
        <w:rPr>
          <w:rFonts w:asciiTheme="minorHAnsi" w:hAnsiTheme="minorHAnsi"/>
          <w:color w:val="auto"/>
          <w:szCs w:val="24"/>
        </w:rPr>
        <w:t xml:space="preserve">GAF </w:t>
      </w:r>
      <w:r w:rsidR="003B483C" w:rsidRPr="00CD0879">
        <w:rPr>
          <w:rFonts w:asciiTheme="minorHAnsi" w:hAnsiTheme="minorHAnsi"/>
          <w:color w:val="auto"/>
          <w:szCs w:val="24"/>
        </w:rPr>
        <w:t xml:space="preserve">was </w:t>
      </w:r>
      <w:r w:rsidR="00E01254" w:rsidRPr="00CD0879">
        <w:rPr>
          <w:rFonts w:asciiTheme="minorHAnsi" w:hAnsiTheme="minorHAnsi"/>
          <w:color w:val="auto"/>
          <w:szCs w:val="24"/>
        </w:rPr>
        <w:t>improved to 85, h</w:t>
      </w:r>
      <w:r w:rsidR="009A242F" w:rsidRPr="00CD0879">
        <w:rPr>
          <w:rFonts w:asciiTheme="minorHAnsi" w:hAnsiTheme="minorHAnsi"/>
          <w:color w:val="auto"/>
          <w:szCs w:val="24"/>
        </w:rPr>
        <w:t>e was able to discontinue all medications and experienced a sign</w:t>
      </w:r>
      <w:r w:rsidR="00B5335B" w:rsidRPr="00CD0879">
        <w:rPr>
          <w:rFonts w:asciiTheme="minorHAnsi" w:hAnsiTheme="minorHAnsi"/>
          <w:color w:val="auto"/>
          <w:szCs w:val="24"/>
        </w:rPr>
        <w:t>ificant reduction in symptoms</w:t>
      </w:r>
      <w:r w:rsidR="00B5335B">
        <w:rPr>
          <w:rFonts w:asciiTheme="minorHAnsi" w:hAnsiTheme="minorHAnsi"/>
          <w:color w:val="auto"/>
          <w:szCs w:val="24"/>
        </w:rPr>
        <w:t>, but because he was still deemed highly likely to experience a return of symptoms, impairment for further military duty was still rated as marked</w:t>
      </w:r>
      <w:r w:rsidR="003B483C">
        <w:rPr>
          <w:rFonts w:asciiTheme="minorHAnsi" w:hAnsiTheme="minorHAnsi"/>
          <w:color w:val="auto"/>
          <w:szCs w:val="24"/>
        </w:rPr>
        <w:t xml:space="preserve"> and h</w:t>
      </w:r>
      <w:r w:rsidR="00B5335B">
        <w:rPr>
          <w:rFonts w:asciiTheme="minorHAnsi" w:hAnsiTheme="minorHAnsi"/>
          <w:color w:val="auto"/>
          <w:szCs w:val="24"/>
        </w:rPr>
        <w:t xml:space="preserve">is </w:t>
      </w:r>
      <w:r w:rsidR="003B483C">
        <w:rPr>
          <w:rFonts w:asciiTheme="minorHAnsi" w:hAnsiTheme="minorHAnsi"/>
          <w:color w:val="auto"/>
          <w:szCs w:val="24"/>
        </w:rPr>
        <w:t>C</w:t>
      </w:r>
      <w:r w:rsidR="00B5335B">
        <w:rPr>
          <w:rFonts w:asciiTheme="minorHAnsi" w:hAnsiTheme="minorHAnsi"/>
          <w:color w:val="auto"/>
          <w:szCs w:val="24"/>
        </w:rPr>
        <w:t>ommander also expressed strong support for medical separation.</w:t>
      </w:r>
      <w:r w:rsidR="007725C8">
        <w:rPr>
          <w:rFonts w:asciiTheme="minorHAnsi" w:hAnsiTheme="minorHAnsi"/>
          <w:color w:val="auto"/>
          <w:szCs w:val="24"/>
        </w:rPr>
        <w:t xml:space="preserve">  </w:t>
      </w:r>
    </w:p>
    <w:p w:rsidR="003B483C" w:rsidRDefault="003B483C" w:rsidP="004E31E9">
      <w:pPr>
        <w:tabs>
          <w:tab w:val="left" w:pos="2980"/>
        </w:tabs>
        <w:spacing w:line="240" w:lineRule="exact"/>
        <w:jc w:val="both"/>
        <w:rPr>
          <w:rFonts w:asciiTheme="minorHAnsi" w:hAnsiTheme="minorHAnsi"/>
          <w:color w:val="auto"/>
          <w:szCs w:val="24"/>
        </w:rPr>
      </w:pPr>
    </w:p>
    <w:p w:rsidR="005144F2" w:rsidRDefault="00163B37" w:rsidP="00A21E86">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At the initial VA examination for PTSD</w:t>
      </w:r>
      <w:r w:rsidR="00A8398B">
        <w:rPr>
          <w:rFonts w:asciiTheme="minorHAnsi" w:hAnsiTheme="minorHAnsi"/>
          <w:color w:val="auto"/>
          <w:szCs w:val="24"/>
        </w:rPr>
        <w:t>,</w:t>
      </w:r>
      <w:r>
        <w:rPr>
          <w:rFonts w:asciiTheme="minorHAnsi" w:hAnsiTheme="minorHAnsi"/>
          <w:color w:val="auto"/>
          <w:szCs w:val="24"/>
        </w:rPr>
        <w:t xml:space="preserve"> six months after separation</w:t>
      </w:r>
      <w:r w:rsidR="003B483C">
        <w:rPr>
          <w:rFonts w:asciiTheme="minorHAnsi" w:hAnsiTheme="minorHAnsi"/>
          <w:color w:val="auto"/>
          <w:szCs w:val="24"/>
        </w:rPr>
        <w:t>,</w:t>
      </w:r>
      <w:r w:rsidR="001F5D64">
        <w:rPr>
          <w:rFonts w:asciiTheme="minorHAnsi" w:hAnsiTheme="minorHAnsi"/>
          <w:color w:val="auto"/>
          <w:szCs w:val="24"/>
        </w:rPr>
        <w:t xml:space="preserve"> </w:t>
      </w:r>
      <w:r w:rsidR="00F8117F">
        <w:rPr>
          <w:rFonts w:asciiTheme="minorHAnsi" w:hAnsiTheme="minorHAnsi"/>
          <w:color w:val="auto"/>
          <w:szCs w:val="24"/>
        </w:rPr>
        <w:t>the PTSD was considered Mild to M</w:t>
      </w:r>
      <w:r w:rsidR="001D7AFC">
        <w:rPr>
          <w:rFonts w:asciiTheme="minorHAnsi" w:hAnsiTheme="minorHAnsi"/>
          <w:color w:val="auto"/>
          <w:szCs w:val="24"/>
        </w:rPr>
        <w:t>oderate</w:t>
      </w:r>
      <w:r w:rsidR="00222B9F">
        <w:rPr>
          <w:rFonts w:asciiTheme="minorHAnsi" w:hAnsiTheme="minorHAnsi"/>
          <w:color w:val="auto"/>
          <w:szCs w:val="24"/>
        </w:rPr>
        <w:t xml:space="preserve"> and the psychiatrist additionally diagnosed </w:t>
      </w:r>
      <w:r w:rsidR="00222B9F" w:rsidRPr="00CD0879">
        <w:rPr>
          <w:rFonts w:asciiTheme="minorHAnsi" w:hAnsiTheme="minorHAnsi"/>
          <w:color w:val="auto"/>
          <w:szCs w:val="24"/>
        </w:rPr>
        <w:t>Major Depressive Disorder</w:t>
      </w:r>
      <w:r w:rsidR="00222B9F">
        <w:rPr>
          <w:rFonts w:asciiTheme="minorHAnsi" w:hAnsiTheme="minorHAnsi"/>
          <w:color w:val="auto"/>
          <w:szCs w:val="24"/>
        </w:rPr>
        <w:t>,</w:t>
      </w:r>
      <w:r w:rsidR="00A21E86">
        <w:rPr>
          <w:rFonts w:asciiTheme="minorHAnsi" w:hAnsiTheme="minorHAnsi"/>
          <w:color w:val="auto"/>
          <w:szCs w:val="24"/>
        </w:rPr>
        <w:t xml:space="preserve"> Moderate to S</w:t>
      </w:r>
      <w:r w:rsidR="00222B9F">
        <w:rPr>
          <w:rFonts w:asciiTheme="minorHAnsi" w:hAnsiTheme="minorHAnsi"/>
          <w:color w:val="auto"/>
          <w:szCs w:val="24"/>
        </w:rPr>
        <w:t>evere, single episode</w:t>
      </w:r>
      <w:r w:rsidR="003A7ED9">
        <w:rPr>
          <w:rFonts w:asciiTheme="minorHAnsi" w:hAnsiTheme="minorHAnsi"/>
          <w:color w:val="auto"/>
          <w:szCs w:val="24"/>
        </w:rPr>
        <w:t xml:space="preserve">.  The examiner </w:t>
      </w:r>
      <w:r w:rsidR="00222B9F" w:rsidRPr="00A64EF1">
        <w:rPr>
          <w:rFonts w:asciiTheme="minorHAnsi" w:hAnsiTheme="minorHAnsi"/>
          <w:color w:val="auto"/>
          <w:szCs w:val="24"/>
        </w:rPr>
        <w:t xml:space="preserve">deferred on the </w:t>
      </w:r>
      <w:r w:rsidR="00222B9F">
        <w:rPr>
          <w:rFonts w:asciiTheme="minorHAnsi" w:hAnsiTheme="minorHAnsi"/>
          <w:color w:val="auto"/>
          <w:szCs w:val="24"/>
        </w:rPr>
        <w:t xml:space="preserve">possible </w:t>
      </w:r>
      <w:r w:rsidR="00222B9F" w:rsidRPr="00A64EF1">
        <w:rPr>
          <w:rFonts w:asciiTheme="minorHAnsi" w:hAnsiTheme="minorHAnsi"/>
          <w:color w:val="auto"/>
          <w:szCs w:val="24"/>
        </w:rPr>
        <w:t>diagnosis of personality disorder</w:t>
      </w:r>
      <w:r w:rsidR="003A7ED9">
        <w:rPr>
          <w:rFonts w:asciiTheme="minorHAnsi" w:hAnsiTheme="minorHAnsi"/>
          <w:color w:val="auto"/>
          <w:szCs w:val="24"/>
        </w:rPr>
        <w:t xml:space="preserve"> per history, and </w:t>
      </w:r>
      <w:r w:rsidR="00F27DFB">
        <w:rPr>
          <w:rFonts w:asciiTheme="minorHAnsi" w:hAnsiTheme="minorHAnsi"/>
          <w:color w:val="auto"/>
          <w:szCs w:val="24"/>
        </w:rPr>
        <w:t>p</w:t>
      </w:r>
      <w:r w:rsidR="003A7ED9">
        <w:rPr>
          <w:rFonts w:asciiTheme="minorHAnsi" w:hAnsiTheme="minorHAnsi"/>
          <w:color w:val="auto"/>
          <w:szCs w:val="24"/>
        </w:rPr>
        <w:t xml:space="preserve">ersonality </w:t>
      </w:r>
      <w:r w:rsidR="00F27DFB">
        <w:rPr>
          <w:rFonts w:asciiTheme="minorHAnsi" w:hAnsiTheme="minorHAnsi"/>
          <w:color w:val="auto"/>
          <w:szCs w:val="24"/>
        </w:rPr>
        <w:t>d</w:t>
      </w:r>
      <w:r w:rsidR="003A7ED9">
        <w:rPr>
          <w:rFonts w:asciiTheme="minorHAnsi" w:hAnsiTheme="minorHAnsi"/>
          <w:color w:val="auto"/>
          <w:szCs w:val="24"/>
        </w:rPr>
        <w:t>isorder was not diagnosed by the VA</w:t>
      </w:r>
      <w:r w:rsidR="00222B9F">
        <w:rPr>
          <w:rFonts w:asciiTheme="minorHAnsi" w:hAnsiTheme="minorHAnsi"/>
          <w:color w:val="auto"/>
          <w:szCs w:val="24"/>
        </w:rPr>
        <w:t xml:space="preserve">.  </w:t>
      </w:r>
      <w:r w:rsidR="001D7AFC">
        <w:rPr>
          <w:rFonts w:asciiTheme="minorHAnsi" w:hAnsiTheme="minorHAnsi"/>
          <w:color w:val="auto"/>
          <w:szCs w:val="24"/>
        </w:rPr>
        <w:t>T</w:t>
      </w:r>
      <w:r w:rsidR="003B483C">
        <w:rPr>
          <w:rFonts w:asciiTheme="minorHAnsi" w:hAnsiTheme="minorHAnsi"/>
          <w:color w:val="auto"/>
          <w:szCs w:val="24"/>
        </w:rPr>
        <w:t xml:space="preserve">he CI had continued with monthly psychotherapy, and medication was re-instituted.  </w:t>
      </w:r>
      <w:r w:rsidR="005144F2">
        <w:rPr>
          <w:rFonts w:asciiTheme="minorHAnsi" w:hAnsiTheme="minorHAnsi"/>
          <w:color w:val="auto"/>
          <w:szCs w:val="24"/>
        </w:rPr>
        <w:t xml:space="preserve">The CI was employed as an assistant engineer for Boeing, and noted good relationships with supervisors and coworkers.  He was still married with no children.  </w:t>
      </w:r>
      <w:r w:rsidR="003B483C">
        <w:rPr>
          <w:rFonts w:asciiTheme="minorHAnsi" w:hAnsiTheme="minorHAnsi"/>
          <w:color w:val="auto"/>
          <w:szCs w:val="24"/>
        </w:rPr>
        <w:t>T</w:t>
      </w:r>
      <w:r w:rsidR="001F5D64">
        <w:rPr>
          <w:rFonts w:asciiTheme="minorHAnsi" w:hAnsiTheme="minorHAnsi"/>
          <w:color w:val="auto"/>
          <w:szCs w:val="24"/>
        </w:rPr>
        <w:t>he CI reported</w:t>
      </w:r>
      <w:r w:rsidR="00FB13C6">
        <w:rPr>
          <w:rFonts w:asciiTheme="minorHAnsi" w:hAnsiTheme="minorHAnsi"/>
          <w:color w:val="auto"/>
          <w:szCs w:val="24"/>
        </w:rPr>
        <w:t xml:space="preserve"> s</w:t>
      </w:r>
      <w:r w:rsidR="00C836FF">
        <w:rPr>
          <w:rFonts w:asciiTheme="minorHAnsi" w:hAnsiTheme="minorHAnsi"/>
          <w:color w:val="auto"/>
          <w:szCs w:val="24"/>
        </w:rPr>
        <w:t xml:space="preserve">ymptoms of </w:t>
      </w:r>
      <w:r w:rsidR="00C836FF" w:rsidRPr="00CD0879">
        <w:rPr>
          <w:rFonts w:asciiTheme="minorHAnsi" w:hAnsiTheme="minorHAnsi"/>
          <w:color w:val="auto"/>
          <w:szCs w:val="24"/>
        </w:rPr>
        <w:t>anxiety, s</w:t>
      </w:r>
      <w:r w:rsidR="007E5BF1" w:rsidRPr="00CD0879">
        <w:rPr>
          <w:rFonts w:asciiTheme="minorHAnsi" w:hAnsiTheme="minorHAnsi"/>
          <w:color w:val="auto"/>
          <w:szCs w:val="24"/>
        </w:rPr>
        <w:t>leeping difficulty</w:t>
      </w:r>
      <w:r w:rsidR="00FB13C6" w:rsidRPr="00CD0879">
        <w:rPr>
          <w:rFonts w:asciiTheme="minorHAnsi" w:hAnsiTheme="minorHAnsi"/>
          <w:color w:val="auto"/>
          <w:szCs w:val="24"/>
        </w:rPr>
        <w:t>,</w:t>
      </w:r>
      <w:r w:rsidR="007E5BF1" w:rsidRPr="00CD0879">
        <w:rPr>
          <w:rFonts w:asciiTheme="minorHAnsi" w:hAnsiTheme="minorHAnsi"/>
          <w:color w:val="auto"/>
          <w:szCs w:val="24"/>
        </w:rPr>
        <w:t xml:space="preserve"> trouble concentrating</w:t>
      </w:r>
      <w:r w:rsidR="00C20962" w:rsidRPr="00CD0879">
        <w:rPr>
          <w:rFonts w:asciiTheme="minorHAnsi" w:hAnsiTheme="minorHAnsi"/>
          <w:color w:val="auto"/>
          <w:szCs w:val="24"/>
        </w:rPr>
        <w:t xml:space="preserve"> </w:t>
      </w:r>
      <w:r w:rsidR="00FB13C6" w:rsidRPr="00CD0879">
        <w:rPr>
          <w:rFonts w:asciiTheme="minorHAnsi" w:hAnsiTheme="minorHAnsi"/>
          <w:color w:val="auto"/>
          <w:szCs w:val="24"/>
        </w:rPr>
        <w:t>and irritability without anger outbursts</w:t>
      </w:r>
      <w:r w:rsidR="00222B9F" w:rsidRPr="00CD0879">
        <w:rPr>
          <w:rFonts w:asciiTheme="minorHAnsi" w:hAnsiTheme="minorHAnsi"/>
          <w:color w:val="auto"/>
          <w:szCs w:val="24"/>
        </w:rPr>
        <w:t xml:space="preserve">, </w:t>
      </w:r>
      <w:r w:rsidR="00F555D6" w:rsidRPr="00CD0879">
        <w:rPr>
          <w:rFonts w:asciiTheme="minorHAnsi" w:hAnsiTheme="minorHAnsi"/>
          <w:color w:val="auto"/>
          <w:szCs w:val="24"/>
        </w:rPr>
        <w:t>depressive symptoms</w:t>
      </w:r>
      <w:r w:rsidR="00F555D6">
        <w:rPr>
          <w:rFonts w:asciiTheme="minorHAnsi" w:hAnsiTheme="minorHAnsi"/>
          <w:color w:val="auto"/>
          <w:szCs w:val="24"/>
        </w:rPr>
        <w:t xml:space="preserve"> of decreased emotion, feeling unhappy, decreased libido, feelings of helplessness</w:t>
      </w:r>
      <w:r w:rsidR="00222B9F">
        <w:rPr>
          <w:rFonts w:asciiTheme="minorHAnsi" w:hAnsiTheme="minorHAnsi"/>
          <w:color w:val="auto"/>
          <w:szCs w:val="24"/>
        </w:rPr>
        <w:t>, worthlessness and guilt, and</w:t>
      </w:r>
      <w:r w:rsidR="00F555D6">
        <w:rPr>
          <w:rFonts w:asciiTheme="minorHAnsi" w:hAnsiTheme="minorHAnsi"/>
          <w:color w:val="auto"/>
          <w:szCs w:val="24"/>
        </w:rPr>
        <w:t xml:space="preserve"> weight loss.  </w:t>
      </w:r>
      <w:r w:rsidR="00C3609A">
        <w:rPr>
          <w:rFonts w:asciiTheme="minorHAnsi" w:hAnsiTheme="minorHAnsi"/>
          <w:color w:val="auto"/>
          <w:szCs w:val="24"/>
        </w:rPr>
        <w:t xml:space="preserve">He no longer maintained an interest in exercise or healthy eating, and did not go out with friends.  He was able to manage his money in his own best interest.  Mental Status </w:t>
      </w:r>
      <w:r w:rsidR="00C3609A" w:rsidRPr="00CD0879">
        <w:rPr>
          <w:rFonts w:asciiTheme="minorHAnsi" w:hAnsiTheme="minorHAnsi"/>
          <w:color w:val="auto"/>
          <w:szCs w:val="24"/>
        </w:rPr>
        <w:t xml:space="preserve">Exam </w:t>
      </w:r>
      <w:r w:rsidR="005144F2">
        <w:rPr>
          <w:rFonts w:asciiTheme="minorHAnsi" w:hAnsiTheme="minorHAnsi"/>
          <w:color w:val="auto"/>
          <w:szCs w:val="24"/>
        </w:rPr>
        <w:t>indicated</w:t>
      </w:r>
      <w:r w:rsidR="00C3609A">
        <w:rPr>
          <w:rFonts w:asciiTheme="minorHAnsi" w:hAnsiTheme="minorHAnsi"/>
          <w:color w:val="auto"/>
          <w:szCs w:val="24"/>
        </w:rPr>
        <w:t xml:space="preserve">: </w:t>
      </w:r>
      <w:r w:rsidR="005144F2">
        <w:rPr>
          <w:rFonts w:asciiTheme="minorHAnsi" w:hAnsiTheme="minorHAnsi"/>
          <w:color w:val="auto"/>
          <w:szCs w:val="24"/>
        </w:rPr>
        <w:t xml:space="preserve"> </w:t>
      </w:r>
      <w:r w:rsidR="008C7937">
        <w:rPr>
          <w:rFonts w:asciiTheme="minorHAnsi" w:hAnsiTheme="minorHAnsi"/>
          <w:color w:val="auto"/>
          <w:szCs w:val="24"/>
        </w:rPr>
        <w:t xml:space="preserve">mood was </w:t>
      </w:r>
      <w:proofErr w:type="spellStart"/>
      <w:r w:rsidR="008C7937">
        <w:rPr>
          <w:rFonts w:asciiTheme="minorHAnsi" w:hAnsiTheme="minorHAnsi"/>
          <w:color w:val="auto"/>
          <w:szCs w:val="24"/>
        </w:rPr>
        <w:t>dysphoric</w:t>
      </w:r>
      <w:proofErr w:type="spellEnd"/>
      <w:r w:rsidR="008C7937">
        <w:rPr>
          <w:rFonts w:asciiTheme="minorHAnsi" w:hAnsiTheme="minorHAnsi"/>
          <w:color w:val="auto"/>
          <w:szCs w:val="24"/>
        </w:rPr>
        <w:t xml:space="preserve"> and affect restricted</w:t>
      </w:r>
      <w:r w:rsidR="005144F2">
        <w:rPr>
          <w:rFonts w:asciiTheme="minorHAnsi" w:hAnsiTheme="minorHAnsi"/>
          <w:color w:val="auto"/>
          <w:szCs w:val="24"/>
        </w:rPr>
        <w:t>;</w:t>
      </w:r>
      <w:r w:rsidR="008C7937">
        <w:rPr>
          <w:rFonts w:asciiTheme="minorHAnsi" w:hAnsiTheme="minorHAnsi"/>
          <w:color w:val="auto"/>
          <w:szCs w:val="24"/>
        </w:rPr>
        <w:t xml:space="preserve"> </w:t>
      </w:r>
      <w:r w:rsidR="005144F2">
        <w:rPr>
          <w:rFonts w:asciiTheme="minorHAnsi" w:hAnsiTheme="minorHAnsi"/>
          <w:color w:val="auto"/>
          <w:szCs w:val="24"/>
        </w:rPr>
        <w:t>s</w:t>
      </w:r>
      <w:r w:rsidR="008C7937">
        <w:rPr>
          <w:rFonts w:asciiTheme="minorHAnsi" w:hAnsiTheme="minorHAnsi"/>
          <w:color w:val="auto"/>
          <w:szCs w:val="24"/>
        </w:rPr>
        <w:t>uspiciousness and panic attacks were absent</w:t>
      </w:r>
      <w:r w:rsidR="00A8398B">
        <w:rPr>
          <w:rFonts w:asciiTheme="minorHAnsi" w:hAnsiTheme="minorHAnsi"/>
          <w:color w:val="auto"/>
          <w:szCs w:val="24"/>
        </w:rPr>
        <w:t>;</w:t>
      </w:r>
      <w:r w:rsidR="008C7937">
        <w:rPr>
          <w:rFonts w:asciiTheme="minorHAnsi" w:hAnsiTheme="minorHAnsi"/>
          <w:color w:val="auto"/>
          <w:szCs w:val="24"/>
        </w:rPr>
        <w:t xml:space="preserve"> </w:t>
      </w:r>
      <w:r w:rsidR="00A8398B">
        <w:rPr>
          <w:rFonts w:asciiTheme="minorHAnsi" w:hAnsiTheme="minorHAnsi"/>
          <w:color w:val="auto"/>
          <w:szCs w:val="24"/>
        </w:rPr>
        <w:t>m</w:t>
      </w:r>
      <w:r w:rsidR="001F5D64">
        <w:rPr>
          <w:rFonts w:asciiTheme="minorHAnsi" w:hAnsiTheme="minorHAnsi"/>
          <w:color w:val="auto"/>
          <w:szCs w:val="24"/>
        </w:rPr>
        <w:t xml:space="preserve">emory was normal.  </w:t>
      </w:r>
      <w:r w:rsidR="00A64EF1">
        <w:rPr>
          <w:rFonts w:asciiTheme="minorHAnsi" w:hAnsiTheme="minorHAnsi"/>
          <w:color w:val="auto"/>
          <w:szCs w:val="24"/>
        </w:rPr>
        <w:t xml:space="preserve">The examiner quoted the 30% rating criteria in his opinion, noting that </w:t>
      </w:r>
      <w:r w:rsidR="001D7AFC">
        <w:rPr>
          <w:rFonts w:asciiTheme="minorHAnsi" w:hAnsiTheme="minorHAnsi"/>
          <w:color w:val="auto"/>
          <w:szCs w:val="24"/>
        </w:rPr>
        <w:t xml:space="preserve">“psychiatric symptoms cause </w:t>
      </w:r>
      <w:r w:rsidR="00A64EF1" w:rsidRPr="006E35D3">
        <w:rPr>
          <w:rFonts w:asciiTheme="minorHAnsi" w:hAnsiTheme="minorHAnsi"/>
          <w:color w:val="auto"/>
          <w:szCs w:val="24"/>
        </w:rPr>
        <w:t>occupational and social impairment with occasional decrease in work</w:t>
      </w:r>
      <w:r w:rsidR="00A64EF1">
        <w:rPr>
          <w:rFonts w:asciiTheme="minorHAnsi" w:hAnsiTheme="minorHAnsi"/>
          <w:color w:val="auto"/>
          <w:szCs w:val="24"/>
        </w:rPr>
        <w:t xml:space="preserve"> </w:t>
      </w:r>
      <w:r w:rsidR="00A64EF1" w:rsidRPr="006E35D3">
        <w:rPr>
          <w:rFonts w:asciiTheme="minorHAnsi" w:hAnsiTheme="minorHAnsi"/>
          <w:color w:val="auto"/>
          <w:szCs w:val="24"/>
        </w:rPr>
        <w:t>efficiency</w:t>
      </w:r>
      <w:r w:rsidR="00A64EF1">
        <w:rPr>
          <w:rFonts w:asciiTheme="minorHAnsi" w:hAnsiTheme="minorHAnsi"/>
          <w:color w:val="auto"/>
          <w:szCs w:val="24"/>
        </w:rPr>
        <w:t xml:space="preserve"> and intermittent inability to perform occupational tasks</w:t>
      </w:r>
      <w:r w:rsidR="001D7AFC">
        <w:rPr>
          <w:rFonts w:asciiTheme="minorHAnsi" w:hAnsiTheme="minorHAnsi"/>
          <w:color w:val="auto"/>
          <w:szCs w:val="24"/>
        </w:rPr>
        <w:t xml:space="preserve"> although he is generally functioning satisfactorily with routine behavior, self-care, and normal conversation.”</w:t>
      </w:r>
      <w:r w:rsidR="00222B9F">
        <w:rPr>
          <w:rFonts w:asciiTheme="minorHAnsi" w:hAnsiTheme="minorHAnsi"/>
          <w:color w:val="auto"/>
          <w:szCs w:val="24"/>
        </w:rPr>
        <w:t xml:space="preserve">  </w:t>
      </w:r>
      <w:r w:rsidR="00A83A67">
        <w:rPr>
          <w:rFonts w:asciiTheme="minorHAnsi" w:hAnsiTheme="minorHAnsi"/>
          <w:color w:val="auto"/>
          <w:szCs w:val="24"/>
        </w:rPr>
        <w:t xml:space="preserve">GAF was </w:t>
      </w:r>
      <w:r w:rsidR="005144F2">
        <w:rPr>
          <w:rFonts w:asciiTheme="minorHAnsi" w:hAnsiTheme="minorHAnsi"/>
          <w:color w:val="auto"/>
          <w:szCs w:val="24"/>
        </w:rPr>
        <w:t>in the mild symptom range (</w:t>
      </w:r>
      <w:r w:rsidR="005144F2" w:rsidRPr="00CD0879">
        <w:rPr>
          <w:rFonts w:asciiTheme="minorHAnsi" w:hAnsiTheme="minorHAnsi"/>
          <w:color w:val="auto"/>
          <w:szCs w:val="24"/>
        </w:rPr>
        <w:t>GAF=68</w:t>
      </w:r>
      <w:r w:rsidR="005144F2">
        <w:rPr>
          <w:rFonts w:asciiTheme="minorHAnsi" w:hAnsiTheme="minorHAnsi"/>
          <w:color w:val="auto"/>
          <w:szCs w:val="24"/>
        </w:rPr>
        <w:t xml:space="preserve">; vs. MEB and addendum GAFs of 80 and 85).  </w:t>
      </w:r>
    </w:p>
    <w:p w:rsidR="00222B9F" w:rsidRDefault="00222B9F" w:rsidP="00A21E86">
      <w:pPr>
        <w:tabs>
          <w:tab w:val="left" w:pos="2980"/>
        </w:tabs>
        <w:spacing w:line="240" w:lineRule="exact"/>
        <w:jc w:val="both"/>
        <w:rPr>
          <w:rFonts w:asciiTheme="minorHAnsi" w:hAnsiTheme="minorHAnsi"/>
          <w:color w:val="auto"/>
          <w:szCs w:val="24"/>
        </w:rPr>
      </w:pPr>
    </w:p>
    <w:p w:rsidR="007725C8" w:rsidRDefault="008D611B" w:rsidP="00222B9F">
      <w:pPr>
        <w:tabs>
          <w:tab w:val="left" w:pos="2980"/>
        </w:tabs>
        <w:spacing w:line="240" w:lineRule="exact"/>
        <w:jc w:val="both"/>
        <w:rPr>
          <w:rFonts w:asciiTheme="minorHAnsi" w:hAnsiTheme="minorHAnsi"/>
          <w:color w:val="auto"/>
          <w:szCs w:val="24"/>
        </w:rPr>
      </w:pPr>
      <w:r w:rsidRPr="008D611B">
        <w:rPr>
          <w:rFonts w:asciiTheme="minorHAnsi" w:hAnsiTheme="minorHAnsi"/>
          <w:color w:val="auto"/>
          <w:szCs w:val="24"/>
        </w:rPr>
        <w:t>The Board directs its attention to its rating recommendations based on the evidence just described.</w:t>
      </w:r>
      <w:r w:rsidRPr="00660895">
        <w:rPr>
          <w:rFonts w:asciiTheme="minorHAnsi" w:hAnsiTheme="minorHAnsi"/>
          <w:color w:val="auto"/>
          <w:szCs w:val="24"/>
        </w:rPr>
        <w:t xml:space="preserve">  </w:t>
      </w:r>
      <w:r w:rsidR="00F20E62">
        <w:rPr>
          <w:rFonts w:asciiTheme="minorHAnsi" w:hAnsiTheme="minorHAnsi"/>
          <w:color w:val="auto"/>
          <w:szCs w:val="24"/>
        </w:rPr>
        <w:t xml:space="preserve">All members agreed that the </w:t>
      </w:r>
      <w:r w:rsidR="00F20E62" w:rsidRPr="002C4AF0">
        <w:rPr>
          <w:rFonts w:asciiTheme="minorHAnsi" w:hAnsiTheme="minorHAnsi"/>
          <w:color w:val="auto"/>
          <w:szCs w:val="24"/>
        </w:rPr>
        <w:t>§</w:t>
      </w:r>
      <w:r w:rsidR="00F20E62">
        <w:rPr>
          <w:rFonts w:asciiTheme="minorHAnsi" w:hAnsiTheme="minorHAnsi"/>
          <w:color w:val="auto"/>
          <w:szCs w:val="24"/>
        </w:rPr>
        <w:t xml:space="preserve">4.130 criteria for a rating higher than 50% were not met at the time of separation, and therefore the </w:t>
      </w:r>
      <w:r w:rsidR="00F20E62" w:rsidRPr="00CD0879">
        <w:rPr>
          <w:rFonts w:asciiTheme="minorHAnsi" w:hAnsiTheme="minorHAnsi"/>
          <w:color w:val="auto"/>
          <w:szCs w:val="24"/>
        </w:rPr>
        <w:t>minimum 50% TDRL rating</w:t>
      </w:r>
      <w:r w:rsidR="00F20E62">
        <w:rPr>
          <w:rFonts w:asciiTheme="minorHAnsi" w:hAnsiTheme="minorHAnsi"/>
          <w:color w:val="auto"/>
          <w:szCs w:val="24"/>
        </w:rPr>
        <w:t xml:space="preserve"> (as explained </w:t>
      </w:r>
      <w:r w:rsidR="00F20E62">
        <w:rPr>
          <w:rFonts w:asciiTheme="minorHAnsi" w:hAnsiTheme="minorHAnsi"/>
          <w:color w:val="auto"/>
          <w:szCs w:val="24"/>
        </w:rPr>
        <w:lastRenderedPageBreak/>
        <w:t xml:space="preserve">above) is applicable.  </w:t>
      </w:r>
      <w:r w:rsidR="00990C66" w:rsidRPr="00C10670">
        <w:rPr>
          <w:rFonts w:asciiTheme="minorHAnsi" w:hAnsiTheme="minorHAnsi"/>
          <w:color w:val="auto"/>
          <w:szCs w:val="24"/>
        </w:rPr>
        <w:t>All members</w:t>
      </w:r>
      <w:r w:rsidR="00990C66" w:rsidRPr="002C4AF0">
        <w:rPr>
          <w:rFonts w:asciiTheme="minorHAnsi" w:hAnsiTheme="minorHAnsi"/>
          <w:color w:val="auto"/>
          <w:szCs w:val="24"/>
        </w:rPr>
        <w:t xml:space="preserve"> agreed that the </w:t>
      </w:r>
      <w:r w:rsidR="00990C66">
        <w:rPr>
          <w:rFonts w:asciiTheme="minorHAnsi" w:hAnsiTheme="minorHAnsi"/>
          <w:color w:val="auto"/>
          <w:szCs w:val="24"/>
        </w:rPr>
        <w:t>0% threshold was exceeded</w:t>
      </w:r>
      <w:r w:rsidR="00990C66" w:rsidRPr="002C4AF0">
        <w:rPr>
          <w:rFonts w:asciiTheme="minorHAnsi" w:hAnsiTheme="minorHAnsi"/>
          <w:color w:val="auto"/>
          <w:szCs w:val="24"/>
        </w:rPr>
        <w:t xml:space="preserve"> and that the </w:t>
      </w:r>
      <w:r w:rsidR="00990C66">
        <w:rPr>
          <w:rFonts w:asciiTheme="minorHAnsi" w:hAnsiTheme="minorHAnsi"/>
          <w:color w:val="auto"/>
          <w:szCs w:val="24"/>
        </w:rPr>
        <w:t>5</w:t>
      </w:r>
      <w:r w:rsidR="00990C66" w:rsidRPr="002C4AF0">
        <w:rPr>
          <w:rFonts w:asciiTheme="minorHAnsi" w:hAnsiTheme="minorHAnsi"/>
          <w:color w:val="auto"/>
          <w:szCs w:val="24"/>
        </w:rPr>
        <w:t>0% threshold was not approached</w:t>
      </w:r>
      <w:r w:rsidR="00990C66">
        <w:rPr>
          <w:rFonts w:asciiTheme="minorHAnsi" w:hAnsiTheme="minorHAnsi"/>
          <w:color w:val="auto"/>
          <w:szCs w:val="24"/>
        </w:rPr>
        <w:t xml:space="preserve"> for the permanent rating at six months</w:t>
      </w:r>
      <w:r w:rsidR="00990C66" w:rsidRPr="002C4AF0">
        <w:rPr>
          <w:rFonts w:asciiTheme="minorHAnsi" w:hAnsiTheme="minorHAnsi"/>
          <w:color w:val="auto"/>
          <w:szCs w:val="24"/>
        </w:rPr>
        <w:t>.</w:t>
      </w:r>
      <w:r w:rsidR="00990C66">
        <w:rPr>
          <w:rFonts w:asciiTheme="minorHAnsi" w:hAnsiTheme="minorHAnsi"/>
          <w:color w:val="auto"/>
          <w:szCs w:val="24"/>
        </w:rPr>
        <w:t xml:space="preserve">  </w:t>
      </w:r>
      <w:r w:rsidR="00990C66" w:rsidRPr="002C4AF0">
        <w:rPr>
          <w:rFonts w:asciiTheme="minorHAnsi" w:hAnsiTheme="minorHAnsi"/>
          <w:color w:val="auto"/>
          <w:szCs w:val="24"/>
        </w:rPr>
        <w:t>The delibera</w:t>
      </w:r>
      <w:r w:rsidR="00990C66">
        <w:rPr>
          <w:rFonts w:asciiTheme="minorHAnsi" w:hAnsiTheme="minorHAnsi"/>
          <w:color w:val="auto"/>
          <w:szCs w:val="24"/>
        </w:rPr>
        <w:t xml:space="preserve">tion was therefore focused on a </w:t>
      </w:r>
      <w:r w:rsidR="00990C66" w:rsidRPr="00C10670">
        <w:rPr>
          <w:rFonts w:asciiTheme="minorHAnsi" w:hAnsiTheme="minorHAnsi"/>
          <w:color w:val="auto"/>
          <w:szCs w:val="24"/>
        </w:rPr>
        <w:t>10% vs. 30%</w:t>
      </w:r>
      <w:r w:rsidR="00990C66" w:rsidRPr="002C4AF0">
        <w:rPr>
          <w:rFonts w:asciiTheme="minorHAnsi" w:hAnsiTheme="minorHAnsi"/>
          <w:color w:val="auto"/>
          <w:szCs w:val="24"/>
        </w:rPr>
        <w:t xml:space="preserve"> permanent rating recommendation.</w:t>
      </w:r>
      <w:r w:rsidR="00990C66">
        <w:rPr>
          <w:rFonts w:asciiTheme="minorHAnsi" w:hAnsiTheme="minorHAnsi"/>
          <w:color w:val="auto"/>
          <w:szCs w:val="24"/>
        </w:rPr>
        <w:t xml:space="preserve">  </w:t>
      </w:r>
      <w:r w:rsidR="00A8398B" w:rsidRPr="00AE3316">
        <w:rPr>
          <w:rFonts w:asciiTheme="minorHAnsi" w:hAnsiTheme="minorHAnsi"/>
          <w:color w:val="auto"/>
          <w:szCs w:val="24"/>
        </w:rPr>
        <w:t>The</w:t>
      </w:r>
      <w:r w:rsidR="00A8398B">
        <w:rPr>
          <w:rFonts w:asciiTheme="minorHAnsi" w:hAnsiTheme="minorHAnsi"/>
          <w:color w:val="auto"/>
          <w:szCs w:val="24"/>
        </w:rPr>
        <w:t xml:space="preserve"> Physical Evaluation Board (PEB) and VA chose the same coding options for the condition.  </w:t>
      </w:r>
      <w:r w:rsidR="00222B9F" w:rsidRPr="008626C0">
        <w:rPr>
          <w:rFonts w:asciiTheme="minorHAnsi" w:hAnsiTheme="minorHAnsi"/>
          <w:color w:val="auto"/>
          <w:szCs w:val="24"/>
        </w:rPr>
        <w:t>The Board considered that the MEB exam could be rated 10% under §4.130, but it was not temporally competitive at six months post-separation with the VA examination for probative value and was prior to the stresses for separation.</w:t>
      </w:r>
      <w:r w:rsidR="00222B9F">
        <w:rPr>
          <w:rFonts w:asciiTheme="minorHAnsi" w:hAnsiTheme="minorHAnsi"/>
          <w:color w:val="auto"/>
          <w:szCs w:val="24"/>
        </w:rPr>
        <w:t xml:space="preserve">  </w:t>
      </w:r>
      <w:r w:rsidR="009902A9" w:rsidRPr="00845950">
        <w:rPr>
          <w:rFonts w:asciiTheme="minorHAnsi" w:hAnsiTheme="minorHAnsi"/>
          <w:color w:val="auto"/>
          <w:szCs w:val="24"/>
        </w:rPr>
        <w:t xml:space="preserve">The VA examination </w:t>
      </w:r>
      <w:r w:rsidR="00222B9F">
        <w:rPr>
          <w:rFonts w:asciiTheme="minorHAnsi" w:hAnsiTheme="minorHAnsi"/>
          <w:color w:val="auto"/>
          <w:szCs w:val="24"/>
        </w:rPr>
        <w:t xml:space="preserve">indicated worsening of symptoms and </w:t>
      </w:r>
      <w:r w:rsidR="009902A9" w:rsidRPr="00845950">
        <w:rPr>
          <w:rFonts w:asciiTheme="minorHAnsi" w:hAnsiTheme="minorHAnsi"/>
          <w:color w:val="auto"/>
          <w:szCs w:val="24"/>
        </w:rPr>
        <w:t xml:space="preserve">was consistent with the general description for a §4.130 rating of 30%, </w:t>
      </w:r>
      <w:r w:rsidR="009902A9">
        <w:rPr>
          <w:rFonts w:asciiTheme="minorHAnsi" w:hAnsiTheme="minorHAnsi"/>
          <w:color w:val="auto"/>
          <w:szCs w:val="24"/>
        </w:rPr>
        <w:t>‘o</w:t>
      </w:r>
      <w:r w:rsidR="009902A9" w:rsidRPr="00B008AB">
        <w:rPr>
          <w:rFonts w:asciiTheme="minorHAnsi" w:hAnsiTheme="minorHAnsi"/>
          <w:color w:val="auto"/>
          <w:szCs w:val="24"/>
        </w:rPr>
        <w:t>ccupational and social impairment with occasional decrease in work efficiency and intermittent periods of inability to perform occupational tasks (although generally functioning satisfactorily, with routine behavior, self-care, and conversation normal).’</w:t>
      </w:r>
      <w:r w:rsidR="00F56A0D">
        <w:rPr>
          <w:rFonts w:asciiTheme="minorHAnsi" w:hAnsiTheme="minorHAnsi"/>
          <w:color w:val="auto"/>
          <w:szCs w:val="24"/>
        </w:rPr>
        <w:t xml:space="preserve">  </w:t>
      </w:r>
      <w:r w:rsidR="00A8398B" w:rsidRPr="00A8398B">
        <w:rPr>
          <w:rFonts w:asciiTheme="minorHAnsi" w:hAnsiTheme="minorHAnsi"/>
          <w:color w:val="auto"/>
          <w:szCs w:val="24"/>
        </w:rPr>
        <w:t xml:space="preserve">After this deliberation, considering the totality of the evidence and with deference to VASRD §4.3 (reasonable doubt), the Board recommends </w:t>
      </w:r>
      <w:r w:rsidR="00A8398B">
        <w:rPr>
          <w:rFonts w:asciiTheme="minorHAnsi" w:hAnsiTheme="minorHAnsi"/>
          <w:color w:val="auto"/>
          <w:szCs w:val="24"/>
        </w:rPr>
        <w:t>3</w:t>
      </w:r>
      <w:r w:rsidR="00A8398B" w:rsidRPr="00A8398B">
        <w:rPr>
          <w:rFonts w:asciiTheme="minorHAnsi" w:hAnsiTheme="minorHAnsi"/>
          <w:color w:val="auto"/>
          <w:szCs w:val="24"/>
        </w:rPr>
        <w:t xml:space="preserve">0% as the fair and equitable permanent rating for PTSD in this case.  </w:t>
      </w:r>
    </w:p>
    <w:p w:rsidR="007725C8" w:rsidRPr="00542C9A" w:rsidRDefault="007725C8" w:rsidP="00A61979">
      <w:pPr>
        <w:autoSpaceDE w:val="0"/>
        <w:autoSpaceDN w:val="0"/>
        <w:adjustRightInd w:val="0"/>
        <w:rPr>
          <w:rFonts w:asciiTheme="minorHAnsi" w:hAnsiTheme="minorHAnsi"/>
          <w:color w:val="auto"/>
          <w:szCs w:val="24"/>
        </w:rPr>
      </w:pPr>
    </w:p>
    <w:p w:rsidR="00F56A0D" w:rsidRPr="00542C9A" w:rsidRDefault="00F56A0D" w:rsidP="004E31E9">
      <w:pPr>
        <w:tabs>
          <w:tab w:val="left" w:pos="288"/>
          <w:tab w:val="left" w:pos="4752"/>
        </w:tabs>
        <w:spacing w:line="240" w:lineRule="exact"/>
        <w:jc w:val="both"/>
        <w:rPr>
          <w:rFonts w:asciiTheme="minorHAnsi" w:hAnsiTheme="minorHAnsi"/>
          <w:color w:val="auto"/>
          <w:szCs w:val="24"/>
        </w:rPr>
      </w:pPr>
      <w:proofErr w:type="gramStart"/>
      <w:r w:rsidRPr="00B00BA9">
        <w:rPr>
          <w:rFonts w:asciiTheme="minorHAnsi" w:hAnsiTheme="minorHAnsi"/>
          <w:color w:val="auto"/>
          <w:szCs w:val="24"/>
          <w:u w:val="single"/>
        </w:rPr>
        <w:t>Other PEB Conditions</w:t>
      </w:r>
      <w:r w:rsidR="00B00BA9">
        <w:rPr>
          <w:rFonts w:asciiTheme="minorHAnsi" w:hAnsiTheme="minorHAnsi"/>
          <w:color w:val="auto"/>
          <w:szCs w:val="24"/>
        </w:rPr>
        <w:t>.</w:t>
      </w:r>
      <w:proofErr w:type="gramEnd"/>
      <w:r w:rsidR="00B00BA9">
        <w:rPr>
          <w:rFonts w:asciiTheme="minorHAnsi" w:hAnsiTheme="minorHAnsi"/>
          <w:color w:val="auto"/>
          <w:szCs w:val="24"/>
        </w:rPr>
        <w:t xml:space="preserve">  </w:t>
      </w:r>
      <w:r w:rsidR="00B00BA9" w:rsidRPr="00B00BA9">
        <w:rPr>
          <w:rFonts w:asciiTheme="minorHAnsi" w:hAnsiTheme="minorHAnsi"/>
          <w:color w:val="auto"/>
          <w:szCs w:val="24"/>
        </w:rPr>
        <w:t>IAW DoDI 1332.38 Personality Disorder is a condition not constituting a physical disability.  The Board, therefore, has no reasonable basis for recommending this condition as an additional unfitting condition for separation rating.</w:t>
      </w:r>
      <w:r w:rsidRPr="00FB3924">
        <w:rPr>
          <w:rFonts w:asciiTheme="minorHAnsi" w:hAnsiTheme="minorHAnsi"/>
          <w:color w:val="auto"/>
          <w:szCs w:val="24"/>
        </w:rPr>
        <w:t xml:space="preserve"> </w:t>
      </w:r>
    </w:p>
    <w:p w:rsidR="00560D57" w:rsidRDefault="00560D57" w:rsidP="00AF1668">
      <w:pPr>
        <w:tabs>
          <w:tab w:val="left" w:pos="288"/>
          <w:tab w:val="left" w:pos="4752"/>
        </w:tabs>
        <w:spacing w:line="240" w:lineRule="exact"/>
        <w:rPr>
          <w:rFonts w:asciiTheme="minorHAnsi" w:hAnsiTheme="minorHAnsi"/>
          <w:color w:val="auto"/>
          <w:szCs w:val="24"/>
        </w:rPr>
      </w:pPr>
    </w:p>
    <w:p w:rsidR="00AC530C" w:rsidRPr="001C3291" w:rsidRDefault="00AC530C" w:rsidP="004E31E9">
      <w:pPr>
        <w:spacing w:line="240" w:lineRule="exact"/>
        <w:jc w:val="both"/>
        <w:rPr>
          <w:rFonts w:asciiTheme="minorHAnsi" w:hAnsiTheme="minorHAnsi"/>
          <w:color w:val="auto"/>
          <w:szCs w:val="24"/>
        </w:rPr>
      </w:pPr>
      <w:proofErr w:type="gramStart"/>
      <w:r w:rsidRPr="00FB3924">
        <w:rPr>
          <w:rFonts w:asciiTheme="minorHAnsi" w:hAnsiTheme="minorHAnsi"/>
          <w:color w:val="auto"/>
          <w:szCs w:val="24"/>
          <w:u w:val="single"/>
        </w:rPr>
        <w:t>Other Contended Conditions</w:t>
      </w:r>
      <w:r w:rsidRPr="00FB3924">
        <w:rPr>
          <w:rFonts w:asciiTheme="minorHAnsi" w:hAnsiTheme="minorHAnsi"/>
          <w:color w:val="000080"/>
          <w:szCs w:val="24"/>
        </w:rPr>
        <w:t>.</w:t>
      </w:r>
      <w:proofErr w:type="gramEnd"/>
      <w:r w:rsidRPr="00FB3924">
        <w:rPr>
          <w:rFonts w:asciiTheme="minorHAnsi" w:hAnsiTheme="minorHAnsi"/>
          <w:color w:val="000080"/>
          <w:szCs w:val="24"/>
        </w:rPr>
        <w:t xml:space="preserve">  </w:t>
      </w:r>
      <w:r w:rsidRPr="00FB3924">
        <w:rPr>
          <w:rFonts w:asciiTheme="minorHAnsi" w:hAnsiTheme="minorHAnsi"/>
          <w:color w:val="auto"/>
          <w:szCs w:val="24"/>
        </w:rPr>
        <w:t xml:space="preserve">The CI’s application asserts that compensable ratings should be considered for </w:t>
      </w:r>
      <w:r w:rsidR="006C7F63">
        <w:rPr>
          <w:rFonts w:asciiTheme="minorHAnsi" w:hAnsiTheme="minorHAnsi"/>
          <w:color w:val="auto"/>
          <w:szCs w:val="24"/>
        </w:rPr>
        <w:t xml:space="preserve">scar tissue on right </w:t>
      </w:r>
      <w:proofErr w:type="spellStart"/>
      <w:r w:rsidR="006C7F63">
        <w:rPr>
          <w:rFonts w:asciiTheme="minorHAnsi" w:hAnsiTheme="minorHAnsi"/>
          <w:color w:val="auto"/>
          <w:szCs w:val="24"/>
        </w:rPr>
        <w:t>pinna</w:t>
      </w:r>
      <w:proofErr w:type="spellEnd"/>
      <w:r w:rsidR="00CB42CD">
        <w:rPr>
          <w:rFonts w:asciiTheme="minorHAnsi" w:hAnsiTheme="minorHAnsi"/>
          <w:color w:val="auto"/>
          <w:szCs w:val="24"/>
        </w:rPr>
        <w:t xml:space="preserve"> (ear)</w:t>
      </w:r>
      <w:r w:rsidR="006C7F63">
        <w:rPr>
          <w:rFonts w:asciiTheme="minorHAnsi" w:hAnsiTheme="minorHAnsi"/>
          <w:color w:val="auto"/>
          <w:szCs w:val="24"/>
        </w:rPr>
        <w:t xml:space="preserve">, cervical strain, and dermatitis of thighs and shoulders.  </w:t>
      </w:r>
      <w:r w:rsidR="00CB42CD">
        <w:rPr>
          <w:rFonts w:asciiTheme="minorHAnsi" w:hAnsiTheme="minorHAnsi"/>
          <w:color w:val="auto"/>
          <w:szCs w:val="24"/>
        </w:rPr>
        <w:t xml:space="preserve">None of these conditions were </w:t>
      </w:r>
      <w:r w:rsidR="00EB2D96">
        <w:rPr>
          <w:rFonts w:asciiTheme="minorHAnsi" w:hAnsiTheme="minorHAnsi"/>
          <w:color w:val="auto"/>
          <w:szCs w:val="24"/>
        </w:rPr>
        <w:t xml:space="preserve">noted in the DES documents, </w:t>
      </w:r>
      <w:r w:rsidR="00CB42CD">
        <w:rPr>
          <w:rFonts w:asciiTheme="minorHAnsi" w:hAnsiTheme="minorHAnsi"/>
          <w:color w:val="auto"/>
          <w:szCs w:val="24"/>
        </w:rPr>
        <w:t xml:space="preserve">none carried attached profiles and none were implicated in the Commander’s statement. </w:t>
      </w:r>
      <w:r w:rsidR="00A21E86">
        <w:rPr>
          <w:rFonts w:asciiTheme="minorHAnsi" w:hAnsiTheme="minorHAnsi"/>
          <w:color w:val="auto"/>
          <w:szCs w:val="24"/>
        </w:rPr>
        <w:t xml:space="preserve"> </w:t>
      </w:r>
      <w:r w:rsidRPr="00FB3924">
        <w:rPr>
          <w:rFonts w:asciiTheme="minorHAnsi" w:hAnsiTheme="minorHAnsi"/>
          <w:color w:val="auto"/>
          <w:szCs w:val="24"/>
        </w:rPr>
        <w:t xml:space="preserve">All of these conditions were reviewed by the Action Officer and considered by the Board.  There was no evidence for concluding that any of the conditions interfered with duty performance to a degree that could be argued as unfitting.  </w:t>
      </w:r>
      <w:r w:rsidR="005575B6" w:rsidRPr="00AE3316">
        <w:rPr>
          <w:rFonts w:asciiTheme="minorHAnsi" w:hAnsiTheme="minorHAnsi"/>
          <w:color w:val="auto"/>
          <w:szCs w:val="24"/>
        </w:rPr>
        <w:t>All evidence considered there is not reasonable doubt in the CI’s favor supporting</w:t>
      </w:r>
      <w:r w:rsidR="005575B6">
        <w:rPr>
          <w:rFonts w:asciiTheme="minorHAnsi" w:hAnsiTheme="minorHAnsi"/>
          <w:color w:val="auto"/>
          <w:szCs w:val="24"/>
        </w:rPr>
        <w:t xml:space="preserve"> addition of these three conditions as unfitting for separation rating.  </w:t>
      </w:r>
      <w:r w:rsidR="002C7EFB">
        <w:rPr>
          <w:rFonts w:asciiTheme="minorHAnsi" w:eastAsiaTheme="minorHAnsi" w:hAnsiTheme="minorHAnsi"/>
          <w:color w:val="auto"/>
          <w:szCs w:val="24"/>
        </w:rPr>
        <w:t>Moreover, t</w:t>
      </w:r>
      <w:r w:rsidR="00EB2D96">
        <w:rPr>
          <w:rFonts w:ascii="Calibri" w:hAnsi="Calibri"/>
          <w:color w:val="auto"/>
          <w:szCs w:val="24"/>
        </w:rPr>
        <w:t xml:space="preserve">he Board does not have the authority under DoDI </w:t>
      </w:r>
      <w:r w:rsidR="00EB2D96" w:rsidRPr="00AE3316">
        <w:rPr>
          <w:rFonts w:asciiTheme="minorHAnsi" w:eastAsiaTheme="minorHAnsi" w:hAnsiTheme="minorHAnsi"/>
          <w:color w:val="auto"/>
          <w:szCs w:val="24"/>
        </w:rPr>
        <w:t>6040.44</w:t>
      </w:r>
      <w:r w:rsidR="00EB2D96">
        <w:rPr>
          <w:rFonts w:asciiTheme="minorHAnsi" w:eastAsiaTheme="minorHAnsi" w:hAnsiTheme="minorHAnsi"/>
          <w:color w:val="auto"/>
          <w:szCs w:val="24"/>
        </w:rPr>
        <w:t xml:space="preserve"> to render fitness or rating recommendations for any conditions not considered by the DES.   </w:t>
      </w:r>
      <w:r w:rsidR="00EB2D96">
        <w:rPr>
          <w:rFonts w:asciiTheme="minorHAnsi" w:hAnsiTheme="minorHAnsi"/>
          <w:color w:val="auto"/>
          <w:szCs w:val="24"/>
        </w:rPr>
        <w:t xml:space="preserve">These three conditions, and any other contended conditions not associated with the recommendations already rendered by the </w:t>
      </w:r>
      <w:r w:rsidR="00EB2D96" w:rsidRPr="001C3291">
        <w:rPr>
          <w:rFonts w:asciiTheme="minorHAnsi" w:hAnsiTheme="minorHAnsi"/>
          <w:color w:val="auto"/>
          <w:szCs w:val="24"/>
        </w:rPr>
        <w:t>Board, remain eligib</w:t>
      </w:r>
      <w:r w:rsidR="002C7EFB" w:rsidRPr="001C3291">
        <w:rPr>
          <w:rFonts w:asciiTheme="minorHAnsi" w:hAnsiTheme="minorHAnsi"/>
          <w:color w:val="auto"/>
          <w:szCs w:val="24"/>
        </w:rPr>
        <w:t>le for consideration by the Air Force</w:t>
      </w:r>
      <w:r w:rsidR="00EB2D96" w:rsidRPr="001C3291">
        <w:rPr>
          <w:rFonts w:asciiTheme="minorHAnsi" w:hAnsiTheme="minorHAnsi"/>
          <w:color w:val="auto"/>
          <w:szCs w:val="24"/>
        </w:rPr>
        <w:t xml:space="preserve"> Board for Correct</w:t>
      </w:r>
      <w:r w:rsidR="002C7EFB" w:rsidRPr="001C3291">
        <w:rPr>
          <w:rFonts w:asciiTheme="minorHAnsi" w:hAnsiTheme="minorHAnsi"/>
          <w:color w:val="auto"/>
          <w:szCs w:val="24"/>
        </w:rPr>
        <w:t>ions of Military Records</w:t>
      </w:r>
      <w:r w:rsidR="00EB2D96" w:rsidRPr="001C3291">
        <w:rPr>
          <w:rFonts w:asciiTheme="minorHAnsi" w:hAnsiTheme="minorHAnsi"/>
          <w:color w:val="auto"/>
          <w:szCs w:val="24"/>
        </w:rPr>
        <w:t>.</w:t>
      </w:r>
    </w:p>
    <w:p w:rsidR="0087611B" w:rsidRPr="001C3291" w:rsidRDefault="0087611B" w:rsidP="004E31E9">
      <w:pPr>
        <w:tabs>
          <w:tab w:val="left" w:pos="288"/>
          <w:tab w:val="left" w:pos="4752"/>
        </w:tabs>
        <w:spacing w:line="240" w:lineRule="exact"/>
        <w:jc w:val="both"/>
        <w:rPr>
          <w:rFonts w:asciiTheme="minorHAnsi" w:hAnsiTheme="minorHAnsi"/>
          <w:color w:val="auto"/>
          <w:szCs w:val="24"/>
          <w:u w:val="single"/>
        </w:rPr>
      </w:pPr>
    </w:p>
    <w:p w:rsidR="006B07D5" w:rsidRPr="003C4B8B" w:rsidRDefault="00B0436B" w:rsidP="004E31E9">
      <w:pPr>
        <w:tabs>
          <w:tab w:val="left" w:pos="288"/>
          <w:tab w:val="left" w:pos="4752"/>
        </w:tabs>
        <w:spacing w:line="240" w:lineRule="exact"/>
        <w:jc w:val="both"/>
        <w:rPr>
          <w:rFonts w:asciiTheme="minorHAnsi" w:eastAsiaTheme="minorHAnsi" w:hAnsiTheme="minorHAnsi"/>
          <w:color w:val="auto"/>
          <w:szCs w:val="24"/>
        </w:rPr>
      </w:pPr>
      <w:proofErr w:type="gramStart"/>
      <w:r w:rsidRPr="001C3291">
        <w:rPr>
          <w:rFonts w:asciiTheme="minorHAnsi" w:hAnsiTheme="minorHAnsi"/>
          <w:color w:val="auto"/>
          <w:szCs w:val="24"/>
          <w:u w:val="single"/>
        </w:rPr>
        <w:t>Remaining</w:t>
      </w:r>
      <w:r w:rsidR="005052D4" w:rsidRPr="001C3291">
        <w:rPr>
          <w:rFonts w:asciiTheme="minorHAnsi" w:hAnsiTheme="minorHAnsi"/>
          <w:color w:val="auto"/>
          <w:szCs w:val="24"/>
          <w:u w:val="single"/>
        </w:rPr>
        <w:t xml:space="preserve"> Conditions</w:t>
      </w:r>
      <w:r w:rsidR="005052D4" w:rsidRPr="001C3291">
        <w:rPr>
          <w:rFonts w:asciiTheme="minorHAnsi" w:hAnsiTheme="minorHAnsi"/>
          <w:color w:val="auto"/>
          <w:szCs w:val="24"/>
        </w:rPr>
        <w:t>.</w:t>
      </w:r>
      <w:proofErr w:type="gramEnd"/>
      <w:r w:rsidR="005052D4" w:rsidRPr="001C3291">
        <w:rPr>
          <w:rFonts w:asciiTheme="minorHAnsi" w:hAnsiTheme="minorHAnsi"/>
          <w:color w:val="auto"/>
          <w:szCs w:val="24"/>
        </w:rPr>
        <w:t xml:space="preserve">  </w:t>
      </w:r>
      <w:r w:rsidR="00761974" w:rsidRPr="001C3291">
        <w:rPr>
          <w:rFonts w:asciiTheme="minorHAnsi" w:hAnsiTheme="minorHAnsi"/>
          <w:color w:val="auto"/>
          <w:szCs w:val="24"/>
        </w:rPr>
        <w:t>The only other condition</w:t>
      </w:r>
      <w:r w:rsidR="005052D4" w:rsidRPr="001C3291">
        <w:rPr>
          <w:rFonts w:asciiTheme="minorHAnsi" w:hAnsiTheme="minorHAnsi"/>
          <w:color w:val="auto"/>
          <w:szCs w:val="24"/>
        </w:rPr>
        <w:t xml:space="preserve"> identified in the DES documents</w:t>
      </w:r>
      <w:r w:rsidR="00761974" w:rsidRPr="001C3291">
        <w:rPr>
          <w:rFonts w:asciiTheme="minorHAnsi" w:hAnsiTheme="minorHAnsi"/>
          <w:color w:val="auto"/>
          <w:szCs w:val="24"/>
        </w:rPr>
        <w:t xml:space="preserve"> was nocturnal enuresis, listed on the NARSUM as an Axis III diagnosis.  </w:t>
      </w:r>
      <w:r w:rsidR="00642132" w:rsidRPr="001C3291">
        <w:rPr>
          <w:rFonts w:asciiTheme="minorHAnsi" w:hAnsiTheme="minorHAnsi"/>
          <w:color w:val="auto"/>
          <w:szCs w:val="24"/>
        </w:rPr>
        <w:t>This condition was not contended by the</w:t>
      </w:r>
      <w:r w:rsidR="00642132">
        <w:rPr>
          <w:rFonts w:asciiTheme="minorHAnsi" w:hAnsiTheme="minorHAnsi"/>
          <w:color w:val="auto"/>
          <w:szCs w:val="24"/>
        </w:rPr>
        <w:t xml:space="preserve"> CI, and there was no evidence that it was unfitting.</w:t>
      </w:r>
      <w:r w:rsidR="00761974">
        <w:rPr>
          <w:rFonts w:asciiTheme="minorHAnsi" w:hAnsiTheme="minorHAnsi"/>
          <w:color w:val="auto"/>
          <w:szCs w:val="24"/>
        </w:rPr>
        <w:t xml:space="preserve"> </w:t>
      </w:r>
      <w:r w:rsidR="005052D4">
        <w:rPr>
          <w:rFonts w:asciiTheme="minorHAnsi" w:hAnsiTheme="minorHAnsi"/>
          <w:color w:val="auto"/>
          <w:szCs w:val="24"/>
        </w:rPr>
        <w:t xml:space="preserve"> </w:t>
      </w:r>
      <w:r w:rsidR="002C7EFB" w:rsidRPr="002C7EFB">
        <w:rPr>
          <w:rFonts w:asciiTheme="minorHAnsi" w:hAnsiTheme="minorHAnsi"/>
          <w:color w:val="auto"/>
          <w:szCs w:val="24"/>
        </w:rPr>
        <w:t>Enuresis is also defined by DoDI 1332.38 as a condition not constituting a physical disability.  The Board, therefore, has no reasonable basis for recommending this condition as an additional unfitting condition for separation rating.</w:t>
      </w:r>
      <w:r w:rsidR="002C7EFB">
        <w:rPr>
          <w:rFonts w:asciiTheme="minorHAnsi" w:hAnsiTheme="minorHAnsi"/>
          <w:color w:val="auto"/>
          <w:szCs w:val="24"/>
        </w:rPr>
        <w:t xml:space="preserve">  </w:t>
      </w:r>
      <w:r w:rsidR="00642132">
        <w:rPr>
          <w:rFonts w:asciiTheme="minorHAnsi" w:hAnsiTheme="minorHAnsi"/>
          <w:color w:val="auto"/>
          <w:szCs w:val="24"/>
        </w:rPr>
        <w:t>One</w:t>
      </w:r>
      <w:r w:rsidR="00642132">
        <w:rPr>
          <w:rFonts w:asciiTheme="minorHAnsi" w:eastAsiaTheme="minorHAnsi" w:hAnsiTheme="minorHAnsi"/>
          <w:color w:val="auto"/>
          <w:szCs w:val="24"/>
        </w:rPr>
        <w:t xml:space="preserve"> additional condition</w:t>
      </w:r>
      <w:r w:rsidR="002C7EFB">
        <w:rPr>
          <w:rFonts w:asciiTheme="minorHAnsi" w:eastAsiaTheme="minorHAnsi" w:hAnsiTheme="minorHAnsi"/>
          <w:color w:val="auto"/>
          <w:szCs w:val="24"/>
        </w:rPr>
        <w:t>, right inguinal hernia scar, was</w:t>
      </w:r>
      <w:r w:rsidR="00642132">
        <w:rPr>
          <w:rFonts w:asciiTheme="minorHAnsi" w:eastAsiaTheme="minorHAnsi" w:hAnsiTheme="minorHAnsi"/>
          <w:color w:val="auto"/>
          <w:szCs w:val="24"/>
        </w:rPr>
        <w:t xml:space="preserve"> established by the VA within twelve months of separation as</w:t>
      </w:r>
      <w:r w:rsidR="005052D4">
        <w:rPr>
          <w:rFonts w:asciiTheme="minorHAnsi" w:eastAsiaTheme="minorHAnsi" w:hAnsiTheme="minorHAnsi"/>
          <w:color w:val="auto"/>
          <w:szCs w:val="24"/>
        </w:rPr>
        <w:t xml:space="preserve"> service connected with a compensable rating </w:t>
      </w:r>
      <w:r w:rsidR="00642132">
        <w:rPr>
          <w:rFonts w:asciiTheme="minorHAnsi" w:eastAsiaTheme="minorHAnsi" w:hAnsiTheme="minorHAnsi"/>
          <w:color w:val="auto"/>
          <w:szCs w:val="24"/>
        </w:rPr>
        <w:t xml:space="preserve">of 0%.  This </w:t>
      </w:r>
      <w:r w:rsidR="002C7EFB">
        <w:rPr>
          <w:rFonts w:asciiTheme="minorHAnsi" w:eastAsiaTheme="minorHAnsi" w:hAnsiTheme="minorHAnsi"/>
          <w:color w:val="auto"/>
          <w:szCs w:val="24"/>
        </w:rPr>
        <w:t xml:space="preserve">condition </w:t>
      </w:r>
      <w:r w:rsidR="00642132">
        <w:rPr>
          <w:rFonts w:asciiTheme="minorHAnsi" w:eastAsiaTheme="minorHAnsi" w:hAnsiTheme="minorHAnsi"/>
          <w:color w:val="auto"/>
          <w:szCs w:val="24"/>
        </w:rPr>
        <w:t>was no</w:t>
      </w:r>
      <w:r w:rsidR="005845F5">
        <w:rPr>
          <w:rFonts w:asciiTheme="minorHAnsi" w:eastAsiaTheme="minorHAnsi" w:hAnsiTheme="minorHAnsi"/>
          <w:color w:val="auto"/>
          <w:szCs w:val="24"/>
        </w:rPr>
        <w:t>t documented in the DES file and t</w:t>
      </w:r>
      <w:r w:rsidR="00642132">
        <w:rPr>
          <w:rFonts w:asciiTheme="minorHAnsi" w:eastAsiaTheme="minorHAnsi" w:hAnsiTheme="minorHAnsi"/>
          <w:color w:val="auto"/>
          <w:szCs w:val="24"/>
        </w:rPr>
        <w:t xml:space="preserve">here is no evidence </w:t>
      </w:r>
      <w:r w:rsidR="005845F5">
        <w:rPr>
          <w:rFonts w:asciiTheme="minorHAnsi" w:eastAsiaTheme="minorHAnsi" w:hAnsiTheme="minorHAnsi"/>
          <w:color w:val="auto"/>
          <w:szCs w:val="24"/>
        </w:rPr>
        <w:t xml:space="preserve">that would implicate it as unfitting.  </w:t>
      </w:r>
      <w:r w:rsidR="005052D4">
        <w:rPr>
          <w:rFonts w:asciiTheme="minorHAnsi" w:eastAsiaTheme="minorHAnsi" w:hAnsiTheme="minorHAnsi"/>
          <w:color w:val="auto"/>
          <w:szCs w:val="24"/>
        </w:rPr>
        <w:t>T</w:t>
      </w:r>
      <w:r w:rsidR="005052D4">
        <w:rPr>
          <w:rFonts w:ascii="Calibri" w:hAnsi="Calibri"/>
          <w:color w:val="auto"/>
          <w:szCs w:val="24"/>
        </w:rPr>
        <w:t xml:space="preserve">he Board does not have the authority under DoDI </w:t>
      </w:r>
      <w:r w:rsidR="005052D4" w:rsidRPr="00AE3316">
        <w:rPr>
          <w:rFonts w:asciiTheme="minorHAnsi" w:eastAsiaTheme="minorHAnsi" w:hAnsiTheme="minorHAnsi"/>
          <w:color w:val="auto"/>
          <w:szCs w:val="24"/>
        </w:rPr>
        <w:t>6040.44</w:t>
      </w:r>
      <w:r w:rsidR="005052D4">
        <w:rPr>
          <w:rFonts w:asciiTheme="minorHAnsi" w:eastAsiaTheme="minorHAnsi" w:hAnsiTheme="minorHAnsi"/>
          <w:color w:val="auto"/>
          <w:szCs w:val="24"/>
        </w:rPr>
        <w:t xml:space="preserve"> to render fitness or rating recommendations for any condit</w:t>
      </w:r>
      <w:r w:rsidR="005845F5">
        <w:rPr>
          <w:rFonts w:asciiTheme="minorHAnsi" w:eastAsiaTheme="minorHAnsi" w:hAnsiTheme="minorHAnsi"/>
          <w:color w:val="auto"/>
          <w:szCs w:val="24"/>
        </w:rPr>
        <w:t>ions not considered by the DES.</w:t>
      </w:r>
      <w:r w:rsidR="005052D4">
        <w:rPr>
          <w:rFonts w:asciiTheme="minorHAnsi" w:eastAsiaTheme="minorHAnsi" w:hAnsiTheme="minorHAnsi"/>
          <w:color w:val="auto"/>
          <w:szCs w:val="24"/>
        </w:rPr>
        <w:t xml:space="preserve">  </w:t>
      </w:r>
      <w:r w:rsidR="008963B7">
        <w:rPr>
          <w:rFonts w:asciiTheme="minorHAnsi" w:eastAsiaTheme="minorHAnsi" w:hAnsiTheme="minorHAnsi"/>
          <w:color w:val="auto"/>
          <w:szCs w:val="24"/>
        </w:rPr>
        <w:t xml:space="preserve">No other conditions were service connected with a compensable rating by the VA within twelve months of separation.  The Board, therefore, has no reasonable basis for recommending any additional unfitting conditions for separation rating.  </w:t>
      </w:r>
    </w:p>
    <w:p w:rsidR="00F8117F" w:rsidRDefault="00F8117F" w:rsidP="00F8117F">
      <w:pPr>
        <w:pBdr>
          <w:bottom w:val="single" w:sz="12" w:space="1" w:color="auto"/>
        </w:pBdr>
        <w:tabs>
          <w:tab w:val="left" w:pos="288"/>
          <w:tab w:val="left" w:pos="4752"/>
        </w:tabs>
        <w:spacing w:line="240" w:lineRule="exact"/>
        <w:jc w:val="both"/>
        <w:rPr>
          <w:rFonts w:ascii="Calibri" w:hAnsi="Calibri"/>
          <w:color w:val="auto"/>
          <w:u w:val="single"/>
        </w:rPr>
      </w:pPr>
    </w:p>
    <w:p w:rsidR="00F8117F" w:rsidRDefault="00F8117F" w:rsidP="00F8117F">
      <w:pPr>
        <w:tabs>
          <w:tab w:val="left" w:pos="288"/>
          <w:tab w:val="left" w:pos="4752"/>
        </w:tabs>
        <w:spacing w:line="240" w:lineRule="exact"/>
        <w:jc w:val="both"/>
        <w:rPr>
          <w:rFonts w:ascii="Calibri" w:hAnsi="Calibri"/>
          <w:color w:val="auto"/>
          <w:u w:val="single"/>
        </w:rPr>
      </w:pPr>
    </w:p>
    <w:p w:rsidR="00412658" w:rsidRDefault="00C56FC8" w:rsidP="004E31E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FA518E">
        <w:rPr>
          <w:rFonts w:asciiTheme="minorHAnsi" w:eastAsiaTheme="minorHAnsi" w:hAnsiTheme="minorHAnsi"/>
          <w:color w:val="auto"/>
          <w:szCs w:val="24"/>
        </w:rPr>
        <w:t xml:space="preserve"> </w:t>
      </w:r>
      <w:r w:rsidR="00C72BAD" w:rsidRPr="00FC0410">
        <w:rPr>
          <w:rFonts w:asciiTheme="minorHAnsi" w:hAnsiTheme="minorHAnsi"/>
          <w:color w:val="auto"/>
          <w:szCs w:val="24"/>
        </w:rPr>
        <w:t xml:space="preserve">As discussed above, PEB reliance on DoDI 1332.39 for rating PTSD was operant in this case and the CI’s conditions were adjudicated independently of that policy and instruction by the Board. </w:t>
      </w:r>
      <w:r w:rsidR="001D68CF">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8B27A9">
        <w:rPr>
          <w:rFonts w:asciiTheme="minorHAnsi" w:eastAsiaTheme="minorHAnsi" w:hAnsiTheme="minorHAnsi"/>
          <w:color w:val="auto"/>
          <w:szCs w:val="24"/>
        </w:rPr>
        <w:t>PTSD</w:t>
      </w:r>
      <w:r w:rsidR="00412658" w:rsidRPr="00AE3316">
        <w:rPr>
          <w:rFonts w:asciiTheme="minorHAnsi" w:eastAsiaTheme="minorHAnsi" w:hAnsiTheme="minorHAnsi"/>
          <w:color w:val="auto"/>
          <w:szCs w:val="24"/>
        </w:rPr>
        <w:t xml:space="preserve"> condition, the Board </w:t>
      </w:r>
      <w:r w:rsidR="00412658" w:rsidRPr="00B056CB">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w:t>
      </w:r>
      <w:r w:rsidR="00FA3F04" w:rsidRPr="00FC0410">
        <w:rPr>
          <w:rFonts w:asciiTheme="minorHAnsi" w:eastAsiaTheme="minorHAnsi" w:hAnsiTheme="minorHAnsi"/>
          <w:color w:val="auto"/>
          <w:szCs w:val="24"/>
        </w:rPr>
        <w:t xml:space="preserve">an initial </w:t>
      </w:r>
      <w:r w:rsidR="00FA3F04" w:rsidRPr="00B056CB">
        <w:rPr>
          <w:rFonts w:asciiTheme="minorHAnsi" w:eastAsiaTheme="minorHAnsi" w:hAnsiTheme="minorHAnsi"/>
          <w:color w:val="auto"/>
          <w:szCs w:val="24"/>
        </w:rPr>
        <w:t>TDRL rating of 50%</w:t>
      </w:r>
      <w:r w:rsidR="00FA3F04" w:rsidRPr="00FC0410">
        <w:rPr>
          <w:rFonts w:asciiTheme="minorHAnsi" w:eastAsiaTheme="minorHAnsi" w:hAnsiTheme="minorHAnsi"/>
          <w:color w:val="auto"/>
          <w:szCs w:val="24"/>
        </w:rPr>
        <w:t xml:space="preserve"> in retroactive compliance with VASRD §4.12</w:t>
      </w:r>
      <w:r w:rsidR="00FA3F04">
        <w:rPr>
          <w:rFonts w:asciiTheme="minorHAnsi" w:eastAsiaTheme="minorHAnsi" w:hAnsiTheme="minorHAnsi"/>
          <w:color w:val="auto"/>
          <w:szCs w:val="24"/>
        </w:rPr>
        <w:t xml:space="preserve">9 as DoD directed; and </w:t>
      </w:r>
      <w:r w:rsidR="00580A01" w:rsidRPr="00203652">
        <w:rPr>
          <w:rFonts w:asciiTheme="minorHAnsi" w:eastAsiaTheme="minorHAnsi" w:hAnsiTheme="minorHAnsi"/>
          <w:color w:val="auto"/>
          <w:szCs w:val="24"/>
        </w:rPr>
        <w:t xml:space="preserve">by </w:t>
      </w:r>
      <w:r w:rsidR="00580A01">
        <w:rPr>
          <w:rFonts w:asciiTheme="minorHAnsi" w:eastAsiaTheme="minorHAnsi" w:hAnsiTheme="minorHAnsi"/>
          <w:color w:val="auto"/>
          <w:szCs w:val="24"/>
        </w:rPr>
        <w:t xml:space="preserve">a vote of 2:1 </w:t>
      </w:r>
      <w:r w:rsidR="00B056CB">
        <w:rPr>
          <w:rFonts w:asciiTheme="minorHAnsi" w:eastAsiaTheme="minorHAnsi" w:hAnsiTheme="minorHAnsi"/>
          <w:color w:val="auto"/>
          <w:szCs w:val="24"/>
        </w:rPr>
        <w:t xml:space="preserve">for a 30% permanent </w:t>
      </w:r>
      <w:r w:rsidR="00AF79E1">
        <w:rPr>
          <w:rFonts w:asciiTheme="minorHAnsi" w:eastAsiaTheme="minorHAnsi" w:hAnsiTheme="minorHAnsi"/>
          <w:color w:val="auto"/>
          <w:szCs w:val="24"/>
        </w:rPr>
        <w:lastRenderedPageBreak/>
        <w:t>rating at six</w:t>
      </w:r>
      <w:r w:rsidR="00B056CB">
        <w:rPr>
          <w:rFonts w:asciiTheme="minorHAnsi" w:eastAsiaTheme="minorHAnsi" w:hAnsiTheme="minorHAnsi"/>
          <w:color w:val="auto"/>
          <w:szCs w:val="24"/>
        </w:rPr>
        <w:t xml:space="preserve"> months IAW VASRD </w:t>
      </w:r>
      <w:r w:rsidR="00B056CB" w:rsidRPr="00FC0410">
        <w:rPr>
          <w:rFonts w:asciiTheme="minorHAnsi" w:eastAsiaTheme="minorHAnsi" w:hAnsiTheme="minorHAnsi"/>
          <w:color w:val="auto"/>
          <w:szCs w:val="24"/>
        </w:rPr>
        <w:t>§4.130</w:t>
      </w:r>
      <w:r w:rsidR="00B056CB">
        <w:rPr>
          <w:rFonts w:asciiTheme="minorHAnsi" w:eastAsiaTheme="minorHAnsi" w:hAnsiTheme="minorHAnsi"/>
          <w:color w:val="auto"/>
          <w:szCs w:val="24"/>
        </w:rPr>
        <w:t xml:space="preserve">.  </w:t>
      </w:r>
      <w:r w:rsidR="00580A01" w:rsidRPr="00AE3316">
        <w:rPr>
          <w:rFonts w:asciiTheme="minorHAnsi" w:eastAsiaTheme="minorHAnsi" w:hAnsiTheme="minorHAnsi"/>
          <w:color w:val="auto"/>
          <w:szCs w:val="24"/>
        </w:rPr>
        <w:t xml:space="preserve">The single voter for dissent (who recommended </w:t>
      </w:r>
      <w:r w:rsidR="00B056CB">
        <w:rPr>
          <w:rFonts w:asciiTheme="minorHAnsi" w:eastAsiaTheme="minorHAnsi" w:hAnsiTheme="minorHAnsi"/>
          <w:color w:val="auto"/>
          <w:szCs w:val="24"/>
        </w:rPr>
        <w:t>a 10% rating)</w:t>
      </w:r>
      <w:r w:rsidR="00580A01" w:rsidRPr="00AE3316">
        <w:rPr>
          <w:rFonts w:asciiTheme="minorHAnsi" w:eastAsiaTheme="minorHAnsi" w:hAnsiTheme="minorHAnsi"/>
          <w:color w:val="auto"/>
          <w:szCs w:val="24"/>
        </w:rPr>
        <w:t xml:space="preserve"> did not elect to submit a minority opinion</w:t>
      </w:r>
      <w:r w:rsidR="00B056CB">
        <w:rPr>
          <w:rFonts w:asciiTheme="minorHAnsi" w:eastAsiaTheme="minorHAnsi" w:hAnsiTheme="minorHAnsi"/>
          <w:color w:val="auto"/>
          <w:szCs w:val="24"/>
        </w:rPr>
        <w:t xml:space="preserve">.  </w:t>
      </w:r>
      <w:r w:rsidR="00FA3F04" w:rsidRPr="000D3347">
        <w:rPr>
          <w:rFonts w:asciiTheme="minorHAnsi" w:hAnsiTheme="minorHAnsi"/>
          <w:color w:val="auto"/>
          <w:szCs w:val="24"/>
        </w:rPr>
        <w:t xml:space="preserve">In the matter of </w:t>
      </w:r>
      <w:r w:rsidR="00364A26">
        <w:rPr>
          <w:rFonts w:asciiTheme="minorHAnsi" w:hAnsiTheme="minorHAnsi"/>
          <w:color w:val="auto"/>
          <w:szCs w:val="24"/>
        </w:rPr>
        <w:t>scar tissue on ri</w:t>
      </w:r>
      <w:r w:rsidR="00C05748">
        <w:rPr>
          <w:rFonts w:asciiTheme="minorHAnsi" w:hAnsiTheme="minorHAnsi"/>
          <w:color w:val="auto"/>
          <w:szCs w:val="24"/>
        </w:rPr>
        <w:t xml:space="preserve">ght </w:t>
      </w:r>
      <w:proofErr w:type="spellStart"/>
      <w:r w:rsidR="00C05748">
        <w:rPr>
          <w:rFonts w:asciiTheme="minorHAnsi" w:hAnsiTheme="minorHAnsi"/>
          <w:color w:val="auto"/>
          <w:szCs w:val="24"/>
        </w:rPr>
        <w:t>pinna</w:t>
      </w:r>
      <w:proofErr w:type="spellEnd"/>
      <w:r w:rsidR="00990C66">
        <w:rPr>
          <w:rFonts w:asciiTheme="minorHAnsi" w:hAnsiTheme="minorHAnsi"/>
          <w:color w:val="auto"/>
          <w:szCs w:val="24"/>
        </w:rPr>
        <w:t xml:space="preserve"> (ear)</w:t>
      </w:r>
      <w:r w:rsidR="00C05748">
        <w:rPr>
          <w:rFonts w:asciiTheme="minorHAnsi" w:hAnsiTheme="minorHAnsi"/>
          <w:color w:val="auto"/>
          <w:szCs w:val="24"/>
        </w:rPr>
        <w:t xml:space="preserve">, cervical strain, </w:t>
      </w:r>
      <w:r w:rsidR="00364A26">
        <w:rPr>
          <w:rFonts w:asciiTheme="minorHAnsi" w:hAnsiTheme="minorHAnsi"/>
          <w:color w:val="auto"/>
          <w:szCs w:val="24"/>
        </w:rPr>
        <w:t>dermatitis of thighs and shoulders, nocturnal enuresis and inguinal hernia surgical scar</w:t>
      </w:r>
      <w:r w:rsidR="00C05748">
        <w:rPr>
          <w:rFonts w:asciiTheme="minorHAnsi" w:hAnsiTheme="minorHAnsi"/>
          <w:color w:val="auto"/>
          <w:szCs w:val="24"/>
        </w:rPr>
        <w:t xml:space="preserve"> conditions, and</w:t>
      </w:r>
      <w:r w:rsidR="00364A26" w:rsidRPr="000D3347">
        <w:rPr>
          <w:rFonts w:asciiTheme="minorHAnsi" w:hAnsiTheme="minorHAnsi"/>
          <w:color w:val="auto"/>
          <w:szCs w:val="24"/>
        </w:rPr>
        <w:t xml:space="preserve"> </w:t>
      </w:r>
      <w:r w:rsidR="00FA3F04" w:rsidRPr="000D3347">
        <w:rPr>
          <w:rFonts w:asciiTheme="minorHAnsi" w:hAnsiTheme="minorHAnsi"/>
          <w:color w:val="auto"/>
          <w:szCs w:val="24"/>
        </w:rPr>
        <w:t xml:space="preserve">any other medical conditions eligible for Board consideration; the Board </w:t>
      </w:r>
      <w:r w:rsidR="00FA3F04" w:rsidRPr="00B056CB">
        <w:rPr>
          <w:rFonts w:asciiTheme="minorHAnsi" w:hAnsiTheme="minorHAnsi"/>
          <w:color w:val="auto"/>
          <w:szCs w:val="24"/>
        </w:rPr>
        <w:t>unanimously</w:t>
      </w:r>
      <w:r w:rsidR="00FA3F04" w:rsidRPr="000D3347">
        <w:rPr>
          <w:rFonts w:asciiTheme="minorHAnsi" w:hAnsiTheme="minorHAnsi"/>
          <w:color w:val="auto"/>
          <w:szCs w:val="24"/>
        </w:rPr>
        <w:t xml:space="preserve"> agrees that it cannot</w:t>
      </w:r>
      <w:r w:rsidR="00FA3F04" w:rsidRPr="000D3347">
        <w:rPr>
          <w:rFonts w:asciiTheme="minorHAnsi" w:hAnsiTheme="minorHAnsi"/>
          <w:color w:val="000080"/>
          <w:szCs w:val="24"/>
        </w:rPr>
        <w:t xml:space="preserve"> </w:t>
      </w:r>
      <w:r w:rsidR="00FA3F04" w:rsidRPr="000D3347">
        <w:rPr>
          <w:rFonts w:asciiTheme="minorHAnsi" w:hAnsiTheme="minorHAnsi"/>
          <w:color w:val="auto"/>
          <w:szCs w:val="24"/>
        </w:rPr>
        <w:t xml:space="preserve">recommend any findings of unfit for additional rating at separation.  </w:t>
      </w:r>
    </w:p>
    <w:p w:rsidR="00F8117F" w:rsidRDefault="00F8117F" w:rsidP="00F8117F">
      <w:pPr>
        <w:pBdr>
          <w:bottom w:val="single" w:sz="12" w:space="1" w:color="auto"/>
        </w:pBdr>
        <w:tabs>
          <w:tab w:val="left" w:pos="288"/>
          <w:tab w:val="left" w:pos="4752"/>
        </w:tabs>
        <w:spacing w:line="240" w:lineRule="exact"/>
        <w:jc w:val="both"/>
        <w:rPr>
          <w:rFonts w:ascii="Calibri" w:hAnsi="Calibri"/>
          <w:color w:val="auto"/>
          <w:u w:val="single"/>
        </w:rPr>
      </w:pPr>
    </w:p>
    <w:p w:rsidR="00F8117F" w:rsidRDefault="00F8117F" w:rsidP="00F8117F">
      <w:pPr>
        <w:tabs>
          <w:tab w:val="left" w:pos="288"/>
          <w:tab w:val="left" w:pos="4752"/>
        </w:tabs>
        <w:spacing w:line="240" w:lineRule="exact"/>
        <w:jc w:val="both"/>
        <w:rPr>
          <w:rFonts w:ascii="Calibri" w:hAnsi="Calibri"/>
          <w:color w:val="auto"/>
          <w:u w:val="single"/>
        </w:rPr>
      </w:pPr>
    </w:p>
    <w:p w:rsidR="003857D4" w:rsidRPr="001C3291" w:rsidRDefault="00C56FC8" w:rsidP="004E31E9">
      <w:pPr>
        <w:tabs>
          <w:tab w:val="left" w:pos="288"/>
          <w:tab w:val="left" w:pos="4752"/>
        </w:tabs>
        <w:spacing w:line="240" w:lineRule="exact"/>
        <w:jc w:val="both"/>
        <w:rPr>
          <w:color w:val="auto"/>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B9333A">
        <w:rPr>
          <w:rFonts w:asciiTheme="minorHAnsi" w:hAnsiTheme="minorHAnsi"/>
          <w:color w:val="000080"/>
          <w:szCs w:val="24"/>
        </w:rPr>
        <w:t xml:space="preserve"> </w:t>
      </w:r>
      <w:r w:rsidRPr="00B95833">
        <w:rPr>
          <w:rFonts w:asciiTheme="minorHAnsi" w:hAnsiTheme="minorHAnsi"/>
          <w:color w:val="auto"/>
          <w:szCs w:val="24"/>
        </w:rPr>
        <w:t xml:space="preserve">The Board recommends that the CI’s prior determination be modified as follows; TDRL at </w:t>
      </w:r>
      <w:r w:rsidR="00B9333A">
        <w:rPr>
          <w:rFonts w:asciiTheme="minorHAnsi" w:hAnsiTheme="minorHAnsi"/>
          <w:color w:val="auto"/>
          <w:szCs w:val="24"/>
        </w:rPr>
        <w:t>50</w:t>
      </w:r>
      <w:r w:rsidRPr="00B95833">
        <w:rPr>
          <w:rFonts w:asciiTheme="minorHAnsi" w:hAnsiTheme="minorHAnsi"/>
          <w:color w:val="auto"/>
          <w:szCs w:val="24"/>
        </w:rPr>
        <w:t xml:space="preserve">% for 6 months following CI’s prior medical separation (PTSD at minimum of </w:t>
      </w:r>
      <w:r w:rsidRPr="001C3291">
        <w:rPr>
          <w:rFonts w:asciiTheme="minorHAnsi" w:hAnsiTheme="minorHAnsi"/>
          <w:color w:val="auto"/>
          <w:szCs w:val="24"/>
        </w:rPr>
        <w:t xml:space="preserve">50% IAW §4.129 and </w:t>
      </w:r>
      <w:proofErr w:type="gramStart"/>
      <w:r w:rsidRPr="001C3291">
        <w:rPr>
          <w:rFonts w:asciiTheme="minorHAnsi" w:hAnsiTheme="minorHAnsi"/>
          <w:color w:val="auto"/>
          <w:szCs w:val="24"/>
        </w:rPr>
        <w:t>DoD</w:t>
      </w:r>
      <w:proofErr w:type="gramEnd"/>
      <w:r w:rsidRPr="001C3291">
        <w:rPr>
          <w:rFonts w:asciiTheme="minorHAnsi" w:hAnsiTheme="minorHAnsi"/>
          <w:color w:val="auto"/>
          <w:szCs w:val="24"/>
        </w:rPr>
        <w:t xml:space="preserve"> direction) and then a permanent </w:t>
      </w:r>
      <w:r w:rsidR="00B9333A" w:rsidRPr="00B056CB">
        <w:rPr>
          <w:rFonts w:asciiTheme="minorHAnsi" w:hAnsiTheme="minorHAnsi"/>
          <w:color w:val="auto"/>
          <w:szCs w:val="24"/>
        </w:rPr>
        <w:t>30</w:t>
      </w:r>
      <w:r w:rsidRPr="00B056CB">
        <w:rPr>
          <w:rFonts w:asciiTheme="minorHAnsi" w:hAnsiTheme="minorHAnsi"/>
          <w:color w:val="auto"/>
          <w:szCs w:val="24"/>
        </w:rPr>
        <w:t>%</w:t>
      </w:r>
      <w:r w:rsidRPr="001C3291">
        <w:rPr>
          <w:rFonts w:asciiTheme="minorHAnsi" w:hAnsiTheme="minorHAnsi"/>
          <w:color w:val="auto"/>
          <w:szCs w:val="24"/>
        </w:rPr>
        <w:t xml:space="preserve"> disability retirement as below.</w:t>
      </w:r>
      <w:r w:rsidR="005052D4" w:rsidRPr="001C3291">
        <w:rPr>
          <w:rFonts w:asciiTheme="minorHAnsi" w:hAnsiTheme="minorHAnsi"/>
          <w:color w:val="auto"/>
          <w:szCs w:val="24"/>
        </w:rPr>
        <w:t xml:space="preserve">  </w:t>
      </w:r>
      <w:r w:rsidR="003857D4" w:rsidRPr="001C3291">
        <w:rPr>
          <w:rFonts w:asciiTheme="minorHAnsi" w:hAnsiTheme="minorHAnsi"/>
          <w:color w:val="auto"/>
          <w:szCs w:val="24"/>
        </w:rPr>
        <w:t xml:space="preserve">  </w:t>
      </w:r>
    </w:p>
    <w:p w:rsidR="00DB0015" w:rsidRPr="001C3291"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1C3291" w:rsidTr="0085089F">
        <w:trPr>
          <w:jc w:val="center"/>
        </w:trPr>
        <w:tc>
          <w:tcPr>
            <w:tcW w:w="4950" w:type="dxa"/>
            <w:shd w:val="clear" w:color="auto" w:fill="D9D9D9"/>
          </w:tcPr>
          <w:p w:rsidR="00DB0015" w:rsidRPr="001C3291" w:rsidRDefault="00DB0015" w:rsidP="00190E48">
            <w:pPr>
              <w:tabs>
                <w:tab w:val="left" w:pos="288"/>
                <w:tab w:val="left" w:pos="4752"/>
              </w:tabs>
              <w:spacing w:line="240" w:lineRule="exact"/>
              <w:jc w:val="both"/>
              <w:rPr>
                <w:rFonts w:asciiTheme="minorHAnsi" w:hAnsiTheme="minorHAnsi"/>
                <w:b/>
                <w:color w:val="auto"/>
                <w:szCs w:val="24"/>
              </w:rPr>
            </w:pPr>
            <w:r w:rsidRPr="001C3291">
              <w:rPr>
                <w:rFonts w:asciiTheme="minorHAnsi" w:hAnsiTheme="minorHAnsi"/>
                <w:b/>
                <w:color w:val="auto"/>
                <w:szCs w:val="24"/>
              </w:rPr>
              <w:t>UNFITTING CONDITION</w:t>
            </w:r>
          </w:p>
        </w:tc>
        <w:tc>
          <w:tcPr>
            <w:tcW w:w="1710" w:type="dxa"/>
            <w:shd w:val="clear" w:color="auto" w:fill="D9D9D9"/>
          </w:tcPr>
          <w:p w:rsidR="00DB0015" w:rsidRPr="001C3291" w:rsidRDefault="00DB0015" w:rsidP="007D6BFE">
            <w:pPr>
              <w:tabs>
                <w:tab w:val="left" w:pos="288"/>
                <w:tab w:val="left" w:pos="4752"/>
              </w:tabs>
              <w:spacing w:line="240" w:lineRule="exact"/>
              <w:jc w:val="center"/>
              <w:rPr>
                <w:rFonts w:asciiTheme="minorHAnsi" w:hAnsiTheme="minorHAnsi"/>
                <w:b/>
                <w:color w:val="auto"/>
                <w:szCs w:val="24"/>
              </w:rPr>
            </w:pPr>
            <w:r w:rsidRPr="001C3291">
              <w:rPr>
                <w:rFonts w:asciiTheme="minorHAnsi" w:hAnsiTheme="minorHAnsi"/>
                <w:b/>
                <w:color w:val="auto"/>
                <w:szCs w:val="24"/>
              </w:rPr>
              <w:t>VASRD CODE</w:t>
            </w:r>
          </w:p>
        </w:tc>
        <w:tc>
          <w:tcPr>
            <w:tcW w:w="1170" w:type="dxa"/>
            <w:shd w:val="clear" w:color="auto" w:fill="D9D9D9"/>
          </w:tcPr>
          <w:p w:rsidR="00DB0015" w:rsidRPr="001C3291" w:rsidRDefault="00DB0015" w:rsidP="007D6BFE">
            <w:pPr>
              <w:tabs>
                <w:tab w:val="left" w:pos="288"/>
                <w:tab w:val="left" w:pos="4752"/>
              </w:tabs>
              <w:spacing w:line="240" w:lineRule="exact"/>
              <w:jc w:val="center"/>
              <w:rPr>
                <w:rFonts w:asciiTheme="minorHAnsi" w:hAnsiTheme="minorHAnsi"/>
                <w:b/>
                <w:color w:val="auto"/>
                <w:szCs w:val="24"/>
              </w:rPr>
            </w:pPr>
            <w:r w:rsidRPr="001C3291">
              <w:rPr>
                <w:rFonts w:asciiTheme="minorHAnsi" w:hAnsiTheme="minorHAnsi"/>
                <w:b/>
                <w:color w:val="auto"/>
                <w:szCs w:val="24"/>
              </w:rPr>
              <w:t>TDRL RATING</w:t>
            </w:r>
          </w:p>
        </w:tc>
        <w:tc>
          <w:tcPr>
            <w:tcW w:w="1530" w:type="dxa"/>
            <w:shd w:val="pct15" w:color="auto" w:fill="auto"/>
          </w:tcPr>
          <w:p w:rsidR="00DB0015" w:rsidRPr="001C3291" w:rsidRDefault="00DB0015" w:rsidP="007D6BFE">
            <w:pPr>
              <w:tabs>
                <w:tab w:val="left" w:pos="288"/>
                <w:tab w:val="left" w:pos="4752"/>
              </w:tabs>
              <w:spacing w:line="240" w:lineRule="exact"/>
              <w:jc w:val="center"/>
              <w:rPr>
                <w:rFonts w:asciiTheme="minorHAnsi" w:hAnsiTheme="minorHAnsi"/>
                <w:b/>
                <w:color w:val="auto"/>
                <w:szCs w:val="24"/>
              </w:rPr>
            </w:pPr>
            <w:r w:rsidRPr="001C3291">
              <w:rPr>
                <w:rFonts w:asciiTheme="minorHAnsi" w:hAnsiTheme="minorHAnsi"/>
                <w:b/>
                <w:color w:val="auto"/>
                <w:szCs w:val="24"/>
              </w:rPr>
              <w:t>PERMANENT</w:t>
            </w:r>
          </w:p>
          <w:p w:rsidR="00DB0015" w:rsidRPr="001C3291" w:rsidRDefault="00DB0015" w:rsidP="007D6BFE">
            <w:pPr>
              <w:tabs>
                <w:tab w:val="left" w:pos="288"/>
                <w:tab w:val="left" w:pos="4752"/>
              </w:tabs>
              <w:spacing w:line="240" w:lineRule="exact"/>
              <w:jc w:val="center"/>
              <w:rPr>
                <w:rFonts w:asciiTheme="minorHAnsi" w:hAnsiTheme="minorHAnsi"/>
                <w:b/>
                <w:color w:val="auto"/>
                <w:szCs w:val="24"/>
              </w:rPr>
            </w:pPr>
            <w:r w:rsidRPr="001C3291">
              <w:rPr>
                <w:rFonts w:asciiTheme="minorHAnsi" w:hAnsiTheme="minorHAnsi"/>
                <w:b/>
                <w:color w:val="auto"/>
                <w:szCs w:val="24"/>
              </w:rPr>
              <w:t>RATING</w:t>
            </w:r>
          </w:p>
        </w:tc>
      </w:tr>
      <w:tr w:rsidR="00DB0015" w:rsidRPr="0085089F" w:rsidTr="0085089F">
        <w:trPr>
          <w:trHeight w:val="305"/>
          <w:jc w:val="center"/>
        </w:trPr>
        <w:tc>
          <w:tcPr>
            <w:tcW w:w="4950" w:type="dxa"/>
          </w:tcPr>
          <w:p w:rsidR="00DB0015" w:rsidRPr="00AC713F" w:rsidRDefault="00F27DFB" w:rsidP="00F27DF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Postt</w:t>
            </w:r>
            <w:r w:rsidR="00DB0015" w:rsidRPr="00AC713F">
              <w:rPr>
                <w:rFonts w:asciiTheme="minorHAnsi" w:hAnsiTheme="minorHAnsi"/>
                <w:color w:val="auto"/>
                <w:szCs w:val="24"/>
              </w:rPr>
              <w:t>raumatic Stress Disorder</w:t>
            </w:r>
          </w:p>
        </w:tc>
        <w:tc>
          <w:tcPr>
            <w:tcW w:w="1710" w:type="dxa"/>
            <w:tcBorders>
              <w:bottom w:val="single" w:sz="4" w:space="0" w:color="000000"/>
            </w:tcBorders>
          </w:tcPr>
          <w:p w:rsidR="00DB0015" w:rsidRPr="00AC713F" w:rsidRDefault="00DB0015"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9411</w:t>
            </w:r>
          </w:p>
        </w:tc>
        <w:tc>
          <w:tcPr>
            <w:tcW w:w="1170" w:type="dxa"/>
            <w:tcBorders>
              <w:bottom w:val="single" w:sz="4" w:space="0" w:color="000000"/>
            </w:tcBorders>
          </w:tcPr>
          <w:p w:rsidR="00DB0015" w:rsidRPr="00AC713F" w:rsidRDefault="00DB0015"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50%</w:t>
            </w:r>
          </w:p>
        </w:tc>
        <w:tc>
          <w:tcPr>
            <w:tcW w:w="1530" w:type="dxa"/>
            <w:tcBorders>
              <w:bottom w:val="single" w:sz="4" w:space="0" w:color="000000"/>
            </w:tcBorders>
          </w:tcPr>
          <w:p w:rsidR="00DB0015" w:rsidRPr="00AC713F" w:rsidRDefault="00B9333A" w:rsidP="007D6BFE">
            <w:pPr>
              <w:tabs>
                <w:tab w:val="left" w:pos="288"/>
                <w:tab w:val="left" w:pos="4752"/>
              </w:tabs>
              <w:spacing w:line="240" w:lineRule="exact"/>
              <w:jc w:val="center"/>
              <w:rPr>
                <w:rFonts w:asciiTheme="minorHAnsi" w:hAnsiTheme="minorHAnsi"/>
                <w:color w:val="auto"/>
                <w:szCs w:val="24"/>
              </w:rPr>
            </w:pPr>
            <w:r w:rsidRPr="00B056CB">
              <w:rPr>
                <w:rFonts w:asciiTheme="minorHAnsi" w:hAnsiTheme="minorHAnsi"/>
                <w:color w:val="auto"/>
                <w:szCs w:val="24"/>
              </w:rPr>
              <w:t>3</w:t>
            </w:r>
            <w:r w:rsidR="00DB0015" w:rsidRPr="00B056CB">
              <w:rPr>
                <w:rFonts w:asciiTheme="minorHAnsi" w:hAnsiTheme="minorHAnsi"/>
                <w:color w:val="auto"/>
                <w:szCs w:val="24"/>
              </w:rPr>
              <w:t>0%</w:t>
            </w:r>
          </w:p>
        </w:tc>
      </w:tr>
      <w:tr w:rsidR="00DB0015" w:rsidRPr="001C3291"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1C3291" w:rsidRDefault="00DB0015" w:rsidP="007D6BFE">
            <w:pPr>
              <w:tabs>
                <w:tab w:val="left" w:pos="288"/>
                <w:tab w:val="left" w:pos="4752"/>
              </w:tabs>
              <w:spacing w:line="240" w:lineRule="exact"/>
              <w:jc w:val="center"/>
              <w:rPr>
                <w:rFonts w:asciiTheme="minorHAnsi" w:hAnsiTheme="minorHAnsi"/>
                <w:b/>
                <w:color w:val="auto"/>
                <w:szCs w:val="24"/>
              </w:rPr>
            </w:pPr>
            <w:r w:rsidRPr="001C3291">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1C3291" w:rsidRDefault="0087611B" w:rsidP="007D6BFE">
            <w:pPr>
              <w:tabs>
                <w:tab w:val="left" w:pos="288"/>
                <w:tab w:val="left" w:pos="4752"/>
              </w:tabs>
              <w:spacing w:line="240" w:lineRule="exact"/>
              <w:jc w:val="center"/>
              <w:rPr>
                <w:rFonts w:asciiTheme="minorHAnsi" w:hAnsiTheme="minorHAnsi"/>
                <w:b/>
                <w:color w:val="auto"/>
                <w:szCs w:val="24"/>
              </w:rPr>
            </w:pPr>
            <w:r w:rsidRPr="001C3291">
              <w:rPr>
                <w:rFonts w:asciiTheme="minorHAnsi" w:hAnsiTheme="minorHAnsi"/>
                <w:b/>
                <w:color w:val="auto"/>
                <w:szCs w:val="24"/>
              </w:rPr>
              <w:t>5</w:t>
            </w:r>
            <w:r w:rsidR="007E71B1" w:rsidRPr="001C3291">
              <w:rPr>
                <w:rFonts w:asciiTheme="minorHAnsi" w:hAnsiTheme="minorHAnsi"/>
                <w:b/>
                <w:color w:val="auto"/>
                <w:szCs w:val="24"/>
              </w:rPr>
              <w:t>0</w:t>
            </w:r>
            <w:r w:rsidR="00DB0015" w:rsidRPr="001C3291">
              <w:rPr>
                <w:rFonts w:asciiTheme="minorHAnsi" w:hAnsiTheme="minorHAnsi"/>
                <w:b/>
                <w:color w:val="auto"/>
                <w:szCs w:val="24"/>
              </w:rPr>
              <w:t>%</w:t>
            </w:r>
          </w:p>
        </w:tc>
        <w:tc>
          <w:tcPr>
            <w:tcW w:w="1530" w:type="dxa"/>
            <w:shd w:val="pct15" w:color="auto" w:fill="auto"/>
          </w:tcPr>
          <w:p w:rsidR="00DB0015" w:rsidRPr="001C3291" w:rsidRDefault="0087611B" w:rsidP="007D6BFE">
            <w:pPr>
              <w:tabs>
                <w:tab w:val="left" w:pos="288"/>
                <w:tab w:val="left" w:pos="4752"/>
              </w:tabs>
              <w:spacing w:line="240" w:lineRule="exact"/>
              <w:jc w:val="center"/>
              <w:rPr>
                <w:rFonts w:asciiTheme="minorHAnsi" w:hAnsiTheme="minorHAnsi"/>
                <w:b/>
                <w:color w:val="auto"/>
                <w:szCs w:val="24"/>
              </w:rPr>
            </w:pPr>
            <w:r w:rsidRPr="00B056CB">
              <w:rPr>
                <w:rFonts w:asciiTheme="minorHAnsi" w:hAnsiTheme="minorHAnsi"/>
                <w:b/>
                <w:color w:val="auto"/>
                <w:szCs w:val="24"/>
              </w:rPr>
              <w:t>3</w:t>
            </w:r>
            <w:r w:rsidR="007E71B1" w:rsidRPr="00B056CB">
              <w:rPr>
                <w:rFonts w:asciiTheme="minorHAnsi" w:hAnsiTheme="minorHAnsi"/>
                <w:b/>
                <w:color w:val="auto"/>
                <w:szCs w:val="24"/>
              </w:rPr>
              <w:t>0</w:t>
            </w:r>
            <w:r w:rsidR="00DB0015" w:rsidRPr="00B056CB">
              <w:rPr>
                <w:rFonts w:asciiTheme="minorHAnsi" w:hAnsiTheme="minorHAnsi"/>
                <w:b/>
                <w:color w:val="auto"/>
                <w:szCs w:val="24"/>
              </w:rPr>
              <w:t>%</w:t>
            </w:r>
          </w:p>
        </w:tc>
      </w:tr>
    </w:tbl>
    <w:p w:rsidR="00F8117F" w:rsidRDefault="00F8117F" w:rsidP="00F8117F">
      <w:pPr>
        <w:pBdr>
          <w:bottom w:val="single" w:sz="12" w:space="1" w:color="auto"/>
        </w:pBdr>
        <w:tabs>
          <w:tab w:val="left" w:pos="288"/>
          <w:tab w:val="left" w:pos="4752"/>
        </w:tabs>
        <w:spacing w:line="240" w:lineRule="exact"/>
        <w:jc w:val="both"/>
        <w:rPr>
          <w:rFonts w:ascii="Calibri" w:hAnsi="Calibri"/>
          <w:color w:val="auto"/>
          <w:u w:val="single"/>
        </w:rPr>
      </w:pPr>
    </w:p>
    <w:p w:rsidR="00F8117F" w:rsidRDefault="00F8117F" w:rsidP="00F8117F">
      <w:pPr>
        <w:tabs>
          <w:tab w:val="left" w:pos="288"/>
          <w:tab w:val="left" w:pos="4752"/>
        </w:tabs>
        <w:spacing w:line="240" w:lineRule="exact"/>
        <w:jc w:val="both"/>
        <w:rPr>
          <w:rFonts w:ascii="Calibri" w:hAnsi="Calibri"/>
          <w:color w:val="auto"/>
          <w:u w:val="single"/>
        </w:rPr>
      </w:pPr>
    </w:p>
    <w:p w:rsidR="00D91DA6" w:rsidRPr="0085089F" w:rsidRDefault="00F8117F"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w:t>
      </w:r>
      <w:r w:rsidR="00114F20" w:rsidRPr="0085089F">
        <w:rPr>
          <w:rFonts w:asciiTheme="minorHAnsi" w:hAnsiTheme="minorHAnsi"/>
          <w:color w:val="auto"/>
        </w:rPr>
        <w: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7E502C">
        <w:rPr>
          <w:rFonts w:asciiTheme="minorHAnsi" w:hAnsiTheme="minorHAnsi"/>
          <w:color w:val="auto"/>
        </w:rPr>
        <w:t>100303</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Default="00114F20" w:rsidP="00190E48">
      <w:pPr>
        <w:tabs>
          <w:tab w:val="left" w:pos="288"/>
          <w:tab w:val="left" w:pos="4752"/>
        </w:tabs>
        <w:spacing w:line="240" w:lineRule="exact"/>
        <w:jc w:val="both"/>
        <w:rPr>
          <w:rFonts w:asciiTheme="minorHAnsi" w:hAnsiTheme="minorHAnsi"/>
          <w:color w:val="auto"/>
        </w:rPr>
      </w:pPr>
    </w:p>
    <w:p w:rsidR="00755598" w:rsidRPr="0085089F" w:rsidRDefault="00755598"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B25902">
        <w:rPr>
          <w:rFonts w:asciiTheme="minorHAnsi" w:hAnsiTheme="minorHAnsi"/>
          <w:color w:val="auto"/>
        </w:rPr>
        <w:t xml:space="preserve"> </w:t>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25902" w:rsidRDefault="00C30A97" w:rsidP="00A24E6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B25902" w:rsidRDefault="00B25902">
      <w:pPr>
        <w:rPr>
          <w:rFonts w:asciiTheme="minorHAnsi" w:hAnsiTheme="minorHAnsi"/>
          <w:color w:val="auto"/>
        </w:rPr>
      </w:pPr>
      <w:r>
        <w:rPr>
          <w:rFonts w:asciiTheme="minorHAnsi" w:hAnsiTheme="minorHAnsi"/>
          <w:color w:val="auto"/>
        </w:rPr>
        <w:br w:type="page"/>
      </w:r>
    </w:p>
    <w:p w:rsidR="00B25902" w:rsidRPr="00B25902" w:rsidRDefault="00B25902" w:rsidP="00B25902">
      <w:pPr>
        <w:tabs>
          <w:tab w:val="left" w:pos="576"/>
        </w:tabs>
        <w:spacing w:line="240" w:lineRule="exact"/>
        <w:rPr>
          <w:rFonts w:ascii="Times New Roman" w:hAnsi="Times New Roman"/>
          <w:color w:val="000080"/>
          <w:szCs w:val="24"/>
        </w:rPr>
      </w:pPr>
      <w:r w:rsidRPr="00B25902">
        <w:rPr>
          <w:rFonts w:ascii="Times New Roman" w:hAnsi="Times New Roman"/>
          <w:color w:val="000080"/>
          <w:szCs w:val="24"/>
        </w:rPr>
        <w:lastRenderedPageBreak/>
        <w:t>SAF/MRB</w:t>
      </w:r>
    </w:p>
    <w:p w:rsidR="00B25902" w:rsidRPr="00B25902" w:rsidRDefault="00B25902" w:rsidP="00B25902">
      <w:pPr>
        <w:tabs>
          <w:tab w:val="left" w:pos="576"/>
        </w:tabs>
        <w:spacing w:line="240" w:lineRule="exact"/>
        <w:rPr>
          <w:rFonts w:ascii="Times New Roman" w:hAnsi="Times New Roman"/>
          <w:color w:val="000080"/>
          <w:szCs w:val="24"/>
        </w:rPr>
      </w:pPr>
      <w:r w:rsidRPr="00B25902">
        <w:rPr>
          <w:rFonts w:ascii="Times New Roman" w:hAnsi="Times New Roman"/>
          <w:color w:val="000080"/>
          <w:szCs w:val="24"/>
        </w:rPr>
        <w:t>1535 Command Drive, Suite E-302</w:t>
      </w:r>
    </w:p>
    <w:p w:rsidR="00B25902" w:rsidRPr="00B25902" w:rsidRDefault="00B25902" w:rsidP="00B25902">
      <w:pPr>
        <w:tabs>
          <w:tab w:val="left" w:pos="576"/>
        </w:tabs>
        <w:spacing w:line="240" w:lineRule="exact"/>
        <w:rPr>
          <w:rFonts w:ascii="Times New Roman" w:hAnsi="Times New Roman"/>
          <w:color w:val="000080"/>
          <w:szCs w:val="24"/>
        </w:rPr>
      </w:pPr>
      <w:r w:rsidRPr="00B25902">
        <w:rPr>
          <w:rFonts w:ascii="Times New Roman" w:hAnsi="Times New Roman"/>
          <w:color w:val="000080"/>
          <w:szCs w:val="24"/>
        </w:rPr>
        <w:t>Andrews AFB, MD  20762-7002</w:t>
      </w:r>
    </w:p>
    <w:p w:rsidR="00B25902" w:rsidRPr="00B25902" w:rsidRDefault="00B25902" w:rsidP="00B25902">
      <w:pPr>
        <w:tabs>
          <w:tab w:val="left" w:pos="576"/>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Pr>
          <w:rFonts w:ascii="Times New Roman" w:hAnsi="Times New Roman"/>
          <w:bCs/>
          <w:color w:val="000080"/>
          <w:szCs w:val="24"/>
        </w:rPr>
        <w:t xml:space="preserve"> </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ab/>
        <w:t xml:space="preserve">Reference your application submitted under the provisions of </w:t>
      </w:r>
      <w:proofErr w:type="spellStart"/>
      <w:r w:rsidRPr="00B25902">
        <w:rPr>
          <w:rFonts w:ascii="Times New Roman" w:hAnsi="Times New Roman"/>
          <w:color w:val="000080"/>
          <w:szCs w:val="24"/>
        </w:rPr>
        <w:t>DoDI</w:t>
      </w:r>
      <w:proofErr w:type="spellEnd"/>
      <w:r w:rsidRPr="00B25902">
        <w:rPr>
          <w:rFonts w:ascii="Times New Roman" w:hAnsi="Times New Roman"/>
          <w:color w:val="000080"/>
          <w:szCs w:val="24"/>
        </w:rPr>
        <w:t xml:space="preserve"> 6040.44 (Section 1554, 10 USC), PDBR Case Number PD-2010-00583.</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ab/>
      </w:r>
      <w:r w:rsidRPr="00B25902">
        <w:rPr>
          <w:rFonts w:ascii="Times New Roman" w:hAnsi="Times New Roman"/>
          <w:color w:val="000080"/>
          <w:szCs w:val="24"/>
        </w:rPr>
        <w:tab/>
      </w:r>
      <w:r w:rsidRPr="00B25902">
        <w:rPr>
          <w:rFonts w:ascii="Times New Roman" w:hAnsi="Times New Roman"/>
          <w:color w:val="000080"/>
          <w:szCs w:val="24"/>
        </w:rPr>
        <w:tab/>
      </w:r>
      <w:r w:rsidRPr="00B25902">
        <w:rPr>
          <w:rFonts w:ascii="Times New Roman" w:hAnsi="Times New Roman"/>
          <w:color w:val="000080"/>
          <w:szCs w:val="24"/>
        </w:rPr>
        <w:tab/>
      </w:r>
      <w:r w:rsidRPr="00B25902">
        <w:rPr>
          <w:rFonts w:ascii="Times New Roman" w:hAnsi="Times New Roman"/>
          <w:color w:val="000080"/>
          <w:szCs w:val="24"/>
        </w:rPr>
        <w:tab/>
      </w:r>
      <w:r w:rsidRPr="00B25902">
        <w:rPr>
          <w:rFonts w:ascii="Times New Roman" w:hAnsi="Times New Roman"/>
          <w:color w:val="000080"/>
          <w:szCs w:val="24"/>
        </w:rPr>
        <w:tab/>
      </w:r>
      <w:r w:rsidRPr="00B25902">
        <w:rPr>
          <w:rFonts w:ascii="Times New Roman" w:hAnsi="Times New Roman"/>
          <w:color w:val="000080"/>
          <w:szCs w:val="24"/>
        </w:rPr>
        <w:tab/>
        <w:t>Sincerely,</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ind w:left="5040"/>
        <w:rPr>
          <w:rFonts w:ascii="Times New Roman" w:hAnsi="Times New Roman"/>
          <w:color w:val="000080"/>
          <w:szCs w:val="24"/>
        </w:rPr>
      </w:pPr>
      <w:r>
        <w:rPr>
          <w:rFonts w:ascii="Times New Roman" w:hAnsi="Times New Roman"/>
          <w:color w:val="000080"/>
          <w:szCs w:val="24"/>
        </w:rPr>
        <w:t xml:space="preserve"> </w:t>
      </w:r>
    </w:p>
    <w:p w:rsidR="00B25902" w:rsidRPr="00B25902" w:rsidRDefault="00B25902" w:rsidP="00B25902">
      <w:pPr>
        <w:tabs>
          <w:tab w:val="left" w:pos="720"/>
        </w:tabs>
        <w:spacing w:line="240" w:lineRule="exact"/>
        <w:ind w:left="5040"/>
        <w:rPr>
          <w:rFonts w:ascii="Times New Roman" w:hAnsi="Times New Roman"/>
          <w:color w:val="000080"/>
          <w:szCs w:val="24"/>
        </w:rPr>
      </w:pPr>
      <w:r w:rsidRPr="00B25902">
        <w:rPr>
          <w:rFonts w:ascii="Times New Roman" w:hAnsi="Times New Roman"/>
          <w:color w:val="000080"/>
          <w:szCs w:val="24"/>
        </w:rPr>
        <w:t>Director</w:t>
      </w:r>
    </w:p>
    <w:p w:rsidR="00B25902" w:rsidRPr="00B25902" w:rsidRDefault="00B25902" w:rsidP="00B25902">
      <w:pPr>
        <w:tabs>
          <w:tab w:val="left" w:pos="720"/>
        </w:tabs>
        <w:spacing w:line="240" w:lineRule="exact"/>
        <w:ind w:left="5040"/>
        <w:rPr>
          <w:rFonts w:ascii="Times New Roman" w:hAnsi="Times New Roman"/>
          <w:color w:val="000080"/>
          <w:szCs w:val="24"/>
        </w:rPr>
      </w:pPr>
      <w:r w:rsidRPr="00B25902">
        <w:rPr>
          <w:rFonts w:ascii="Times New Roman" w:hAnsi="Times New Roman"/>
          <w:color w:val="000080"/>
          <w:szCs w:val="24"/>
        </w:rPr>
        <w:t>Air Force Review Boards Agency</w:t>
      </w:r>
    </w:p>
    <w:p w:rsidR="00B25902" w:rsidRPr="00B25902" w:rsidRDefault="00B25902" w:rsidP="00B25902">
      <w:pPr>
        <w:tabs>
          <w:tab w:val="left" w:pos="720"/>
        </w:tabs>
        <w:spacing w:line="240" w:lineRule="exact"/>
        <w:rPr>
          <w:rFonts w:ascii="Times New Roman" w:hAnsi="Times New Roman"/>
          <w:color w:val="000080"/>
          <w:szCs w:val="24"/>
        </w:rPr>
      </w:pPr>
    </w:p>
    <w:p w:rsidR="00B25902" w:rsidRP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Attachment:</w:t>
      </w:r>
    </w:p>
    <w:p w:rsidR="00B25902" w:rsidRDefault="00B25902" w:rsidP="00B25902">
      <w:pPr>
        <w:tabs>
          <w:tab w:val="left" w:pos="720"/>
        </w:tabs>
        <w:spacing w:line="240" w:lineRule="exact"/>
        <w:rPr>
          <w:rFonts w:ascii="Times New Roman" w:hAnsi="Times New Roman"/>
          <w:color w:val="000080"/>
          <w:szCs w:val="24"/>
        </w:rPr>
      </w:pPr>
      <w:r w:rsidRPr="00B25902">
        <w:rPr>
          <w:rFonts w:ascii="Times New Roman" w:hAnsi="Times New Roman"/>
          <w:color w:val="000080"/>
          <w:szCs w:val="24"/>
        </w:rPr>
        <w:t>Record of Proceedings</w:t>
      </w:r>
    </w:p>
    <w:p w:rsidR="00B25902" w:rsidRDefault="00B25902">
      <w:pPr>
        <w:rPr>
          <w:rFonts w:ascii="Times New Roman" w:hAnsi="Times New Roman"/>
          <w:color w:val="000080"/>
          <w:szCs w:val="24"/>
        </w:rPr>
      </w:pPr>
      <w:r>
        <w:rPr>
          <w:rFonts w:ascii="Times New Roman" w:hAnsi="Times New Roman"/>
          <w:color w:val="000080"/>
          <w:szCs w:val="24"/>
        </w:rPr>
        <w:br w:type="page"/>
      </w:r>
    </w:p>
    <w:p w:rsidR="00B25902" w:rsidRPr="00366E20" w:rsidRDefault="00B25902" w:rsidP="00B25902">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PD-2010-00583</w:t>
      </w:r>
    </w:p>
    <w:p w:rsidR="00B25902" w:rsidRPr="00366E20" w:rsidRDefault="00B25902" w:rsidP="00B25902">
      <w:pPr>
        <w:tabs>
          <w:tab w:val="left" w:pos="720"/>
        </w:tabs>
        <w:spacing w:line="240" w:lineRule="exact"/>
        <w:rPr>
          <w:rFonts w:ascii="Times New Roman" w:hAnsi="Times New Roman"/>
          <w:color w:val="000080"/>
        </w:rPr>
      </w:pPr>
    </w:p>
    <w:p w:rsidR="00B25902" w:rsidRDefault="00B25902" w:rsidP="00B25902">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B25902" w:rsidRPr="00366E20" w:rsidRDefault="00B25902" w:rsidP="00B25902">
      <w:pPr>
        <w:tabs>
          <w:tab w:val="left" w:pos="720"/>
        </w:tabs>
        <w:spacing w:line="240" w:lineRule="exact"/>
        <w:outlineLvl w:val="0"/>
        <w:rPr>
          <w:rFonts w:ascii="Times New Roman" w:hAnsi="Times New Roman"/>
          <w:color w:val="000080"/>
        </w:rPr>
      </w:pPr>
    </w:p>
    <w:p w:rsidR="00B25902" w:rsidRPr="00366E20" w:rsidRDefault="00B25902" w:rsidP="00B25902">
      <w:pPr>
        <w:tabs>
          <w:tab w:val="left" w:pos="720"/>
        </w:tabs>
        <w:spacing w:line="240" w:lineRule="exact"/>
        <w:rPr>
          <w:rFonts w:ascii="Times New Roman" w:hAnsi="Times New Roman"/>
          <w:color w:val="000080"/>
        </w:rPr>
      </w:pPr>
    </w:p>
    <w:p w:rsidR="00B25902" w:rsidRPr="00366E20" w:rsidRDefault="00B25902" w:rsidP="00B25902">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B25902" w:rsidRPr="00366E20" w:rsidRDefault="00B25902" w:rsidP="00B25902">
      <w:pPr>
        <w:tabs>
          <w:tab w:val="left" w:pos="720"/>
        </w:tabs>
        <w:spacing w:line="240" w:lineRule="exact"/>
        <w:rPr>
          <w:rFonts w:ascii="Times New Roman" w:hAnsi="Times New Roman"/>
          <w:color w:val="000080"/>
        </w:rPr>
      </w:pPr>
    </w:p>
    <w:p w:rsidR="00B25902" w:rsidRPr="00366E20" w:rsidRDefault="00B25902" w:rsidP="00B25902">
      <w:pPr>
        <w:tabs>
          <w:tab w:val="left" w:pos="720"/>
        </w:tabs>
        <w:spacing w:line="240" w:lineRule="exact"/>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B25902" w:rsidRPr="00366E20" w:rsidRDefault="00B25902" w:rsidP="00B25902">
      <w:pPr>
        <w:tabs>
          <w:tab w:val="left" w:pos="720"/>
        </w:tabs>
        <w:spacing w:line="240" w:lineRule="exact"/>
        <w:rPr>
          <w:rFonts w:ascii="Times New Roman" w:hAnsi="Times New Roman"/>
          <w:color w:val="000080"/>
        </w:rPr>
      </w:pPr>
    </w:p>
    <w:p w:rsidR="00B25902" w:rsidRDefault="00B25902" w:rsidP="00B25902">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a</w:t>
      </w:r>
      <w:r w:rsidRPr="00366E20">
        <w:rPr>
          <w:rFonts w:ascii="Times New Roman" w:hAnsi="Times New Roman"/>
          <w:color w:val="000080"/>
        </w:rPr>
        <w:t>.</w:t>
      </w:r>
      <w:proofErr w:type="gramStart"/>
      <w:r>
        <w:rPr>
          <w:rFonts w:ascii="Times New Roman" w:hAnsi="Times New Roman"/>
          <w:color w:val="000080"/>
        </w:rPr>
        <w:t>  He</w:t>
      </w:r>
      <w:proofErr w:type="gramEnd"/>
      <w:r w:rsidRPr="00366E20">
        <w:rPr>
          <w:rFonts w:ascii="Times New Roman" w:hAnsi="Times New Roman"/>
          <w:color w:val="000080"/>
        </w:rPr>
        <w:t xml:space="preserve"> w</w:t>
      </w:r>
      <w:r>
        <w:rPr>
          <w:rFonts w:ascii="Times New Roman" w:hAnsi="Times New Roman"/>
          <w:color w:val="000080"/>
        </w:rPr>
        <w:t xml:space="preserve">as not discharged on 20 July 2007 </w:t>
      </w:r>
      <w:r w:rsidRPr="00366E20">
        <w:rPr>
          <w:rFonts w:ascii="Times New Roman" w:hAnsi="Times New Roman"/>
          <w:color w:val="000080"/>
        </w:rPr>
        <w:t>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xml:space="preserve">, on that date, he was relieved from active duty and on 21 July 2007, his </w:t>
      </w:r>
      <w:r w:rsidRPr="00366E20">
        <w:rPr>
          <w:rFonts w:ascii="Times New Roman" w:hAnsi="Times New Roman"/>
          <w:color w:val="000080"/>
        </w:rPr>
        <w:t xml:space="preserve">name was placed on the </w:t>
      </w:r>
      <w:r>
        <w:rPr>
          <w:rFonts w:ascii="Times New Roman" w:hAnsi="Times New Roman"/>
          <w:color w:val="000080"/>
        </w:rPr>
        <w:t xml:space="preserve">Temporary </w:t>
      </w:r>
      <w:r w:rsidRPr="00366E20">
        <w:rPr>
          <w:rFonts w:ascii="Times New Roman" w:hAnsi="Times New Roman"/>
          <w:color w:val="000080"/>
        </w:rPr>
        <w:t>Disability Retired List</w:t>
      </w:r>
      <w:r>
        <w:rPr>
          <w:rFonts w:ascii="Times New Roman" w:hAnsi="Times New Roman"/>
          <w:color w:val="000080"/>
        </w:rPr>
        <w:t xml:space="preserve"> (TDRL), with a </w:t>
      </w:r>
      <w:r w:rsidRPr="00071EAF">
        <w:rPr>
          <w:rFonts w:ascii="Times New Roman" w:hAnsi="Times New Roman"/>
          <w:color w:val="000080"/>
        </w:rPr>
        <w:t>diagnosis of Post</w:t>
      </w:r>
      <w:r>
        <w:rPr>
          <w:rFonts w:ascii="Times New Roman" w:hAnsi="Times New Roman"/>
          <w:color w:val="000080"/>
        </w:rPr>
        <w:t xml:space="preserve"> T</w:t>
      </w:r>
      <w:r w:rsidRPr="00071EAF">
        <w:rPr>
          <w:rFonts w:ascii="Times New Roman" w:hAnsi="Times New Roman"/>
          <w:color w:val="000080"/>
        </w:rPr>
        <w:t>raumatic Stress Disorder, VASRD code 9411, rated at 50%.</w:t>
      </w:r>
    </w:p>
    <w:p w:rsidR="00B25902" w:rsidRDefault="00B25902" w:rsidP="00B25902">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B25902" w:rsidRDefault="00B25902" w:rsidP="00B25902">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t>b</w:t>
      </w:r>
      <w:r w:rsidRPr="00366E20">
        <w:rPr>
          <w:rFonts w:ascii="Times New Roman" w:hAnsi="Times New Roman"/>
          <w:color w:val="000080"/>
        </w:rPr>
        <w:t>.</w:t>
      </w:r>
      <w:proofErr w:type="gramStart"/>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Pr>
          <w:rFonts w:ascii="Times New Roman" w:hAnsi="Times New Roman"/>
          <w:color w:val="000080"/>
        </w:rPr>
        <w:t xml:space="preserve">20 July 2007, he </w:t>
      </w:r>
      <w:r w:rsidRPr="00366E20">
        <w:rPr>
          <w:rFonts w:ascii="Times New Roman" w:hAnsi="Times New Roman"/>
          <w:color w:val="000080"/>
        </w:rPr>
        <w:t>elected</w:t>
      </w:r>
      <w:r>
        <w:rPr>
          <w:rFonts w:ascii="Times New Roman" w:hAnsi="Times New Roman"/>
          <w:color w:val="000080"/>
        </w:rPr>
        <w:t xml:space="preserve"> spouse and child </w:t>
      </w:r>
      <w:r w:rsidRPr="00366E20">
        <w:rPr>
          <w:rFonts w:ascii="Times New Roman" w:hAnsi="Times New Roman"/>
          <w:color w:val="000080"/>
        </w:rPr>
        <w:t>coverage under</w:t>
      </w:r>
      <w:r>
        <w:rPr>
          <w:rFonts w:ascii="Times New Roman" w:hAnsi="Times New Roman"/>
          <w:color w:val="000080"/>
        </w:rPr>
        <w:t xml:space="preserve"> the Survivor Benefit Plan (SBP) based on full retired pay</w:t>
      </w:r>
      <w:r w:rsidRPr="00366E20">
        <w:rPr>
          <w:rFonts w:ascii="Times New Roman" w:hAnsi="Times New Roman"/>
          <w:color w:val="000080"/>
        </w:rPr>
        <w:t>.</w:t>
      </w: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 xml:space="preserve"> </w:t>
      </w:r>
    </w:p>
    <w:p w:rsidR="00B25902" w:rsidRDefault="00B25902" w:rsidP="00B25902">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B25902" w:rsidRDefault="00B25902" w:rsidP="00B25902">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 xml:space="preserve">c.  </w:t>
      </w:r>
      <w:r w:rsidRPr="00A840AC">
        <w:rPr>
          <w:rFonts w:ascii="Times New Roman" w:hAnsi="Times New Roman"/>
          <w:color w:val="000080"/>
        </w:rPr>
        <w:t>On</w:t>
      </w:r>
      <w:proofErr w:type="gramEnd"/>
      <w:r w:rsidRPr="00A840AC">
        <w:rPr>
          <w:rFonts w:ascii="Times New Roman" w:hAnsi="Times New Roman"/>
          <w:color w:val="000080"/>
        </w:rPr>
        <w:t xml:space="preserve"> </w:t>
      </w:r>
      <w:r>
        <w:rPr>
          <w:rFonts w:ascii="Times New Roman" w:hAnsi="Times New Roman"/>
          <w:color w:val="000080"/>
        </w:rPr>
        <w:t xml:space="preserve">20 January 2008, he </w:t>
      </w:r>
      <w:r w:rsidRPr="00A840AC">
        <w:rPr>
          <w:rFonts w:ascii="Times New Roman" w:hAnsi="Times New Roman"/>
          <w:color w:val="000080"/>
        </w:rPr>
        <w:t xml:space="preserve">was removed from the TDRL and </w:t>
      </w:r>
      <w:r>
        <w:rPr>
          <w:rFonts w:ascii="Times New Roman" w:hAnsi="Times New Roman"/>
          <w:color w:val="000080"/>
        </w:rPr>
        <w:t xml:space="preserve">permanently retired with a final combined disability rating </w:t>
      </w:r>
      <w:r w:rsidRPr="00071EAF">
        <w:rPr>
          <w:rFonts w:ascii="Times New Roman" w:hAnsi="Times New Roman"/>
          <w:color w:val="000080"/>
        </w:rPr>
        <w:t>of 30%.</w:t>
      </w:r>
      <w:r>
        <w:rPr>
          <w:rFonts w:ascii="Times New Roman" w:hAnsi="Times New Roman"/>
          <w:color w:val="000080"/>
        </w:rPr>
        <w:t xml:space="preserve"> </w:t>
      </w:r>
    </w:p>
    <w:p w:rsidR="00B25902" w:rsidRPr="00366E20" w:rsidRDefault="00B25902" w:rsidP="00B25902">
      <w:pPr>
        <w:pStyle w:val="BodyText"/>
        <w:ind w:right="0"/>
      </w:pPr>
    </w:p>
    <w:p w:rsidR="00B25902" w:rsidRDefault="00B25902" w:rsidP="00B25902">
      <w:pPr>
        <w:tabs>
          <w:tab w:val="left" w:pos="720"/>
        </w:tabs>
        <w:spacing w:line="240" w:lineRule="exact"/>
        <w:rPr>
          <w:rFonts w:ascii="Times New Roman" w:hAnsi="Times New Roman"/>
          <w:color w:val="000080"/>
        </w:rPr>
      </w:pPr>
    </w:p>
    <w:p w:rsidR="00B25902" w:rsidRDefault="00B25902" w:rsidP="00B25902">
      <w:pPr>
        <w:tabs>
          <w:tab w:val="left" w:pos="720"/>
        </w:tabs>
        <w:spacing w:line="240" w:lineRule="exact"/>
        <w:rPr>
          <w:rFonts w:ascii="Times New Roman" w:hAnsi="Times New Roman"/>
          <w:color w:val="000080"/>
        </w:rPr>
      </w:pPr>
    </w:p>
    <w:p w:rsidR="00B25902" w:rsidRDefault="00B25902" w:rsidP="00B25902">
      <w:pPr>
        <w:tabs>
          <w:tab w:val="left" w:pos="720"/>
        </w:tabs>
        <w:spacing w:line="240" w:lineRule="exact"/>
        <w:outlineLvl w:val="0"/>
        <w:rPr>
          <w:rFonts w:ascii="Times New Roman" w:hAnsi="Times New Roman"/>
          <w:color w:val="000080"/>
        </w:rPr>
      </w:pPr>
      <w:r>
        <w:rPr>
          <w:rFonts w:ascii="Times New Roman" w:hAnsi="Times New Roman"/>
          <w:color w:val="000080"/>
        </w:rPr>
        <w:t xml:space="preserve"> </w:t>
      </w:r>
    </w:p>
    <w:p w:rsidR="00B25902" w:rsidRDefault="00B25902" w:rsidP="00B25902">
      <w:pPr>
        <w:tabs>
          <w:tab w:val="left" w:pos="720"/>
        </w:tabs>
        <w:spacing w:line="240" w:lineRule="exact"/>
        <w:outlineLvl w:val="0"/>
        <w:rPr>
          <w:rFonts w:ascii="Times New Roman" w:hAnsi="Times New Roman"/>
          <w:color w:val="000080"/>
        </w:rPr>
      </w:pPr>
      <w:r>
        <w:rPr>
          <w:rFonts w:ascii="Times New Roman" w:hAnsi="Times New Roman"/>
          <w:color w:val="000080"/>
        </w:rPr>
        <w:t xml:space="preserve">                                                                            Director</w:t>
      </w:r>
    </w:p>
    <w:p w:rsidR="00B25902" w:rsidRDefault="00B25902" w:rsidP="00B25902">
      <w:pPr>
        <w:tabs>
          <w:tab w:val="left" w:pos="720"/>
        </w:tabs>
        <w:spacing w:line="240" w:lineRule="exact"/>
        <w:rPr>
          <w:rFonts w:ascii="Times New Roman" w:hAnsi="Times New Roman"/>
          <w:color w:val="000080"/>
        </w:rPr>
      </w:pPr>
      <w:r>
        <w:rPr>
          <w:rFonts w:ascii="Times New Roman" w:hAnsi="Times New Roman"/>
          <w:color w:val="000080"/>
        </w:rPr>
        <w:t xml:space="preserve">                                                                            Air Force Review Boards Agency</w:t>
      </w:r>
    </w:p>
    <w:p w:rsidR="00B25902" w:rsidRPr="00B25902" w:rsidRDefault="00B25902" w:rsidP="00B25902">
      <w:pPr>
        <w:tabs>
          <w:tab w:val="left" w:pos="720"/>
        </w:tabs>
        <w:spacing w:line="240" w:lineRule="exact"/>
        <w:rPr>
          <w:rFonts w:ascii="Times New Roman" w:hAnsi="Times New Roman"/>
          <w:color w:val="000080"/>
          <w:szCs w:val="24"/>
        </w:rPr>
      </w:pPr>
    </w:p>
    <w:p w:rsidR="00F665A7" w:rsidRPr="00B056CB" w:rsidRDefault="00F665A7" w:rsidP="00A24E66">
      <w:pPr>
        <w:tabs>
          <w:tab w:val="left" w:pos="288"/>
          <w:tab w:val="left" w:pos="4320"/>
          <w:tab w:val="left" w:pos="4410"/>
          <w:tab w:val="left" w:pos="4770"/>
          <w:tab w:val="left" w:pos="4860"/>
          <w:tab w:val="left" w:pos="5040"/>
        </w:tabs>
        <w:spacing w:line="240" w:lineRule="exact"/>
        <w:jc w:val="both"/>
        <w:rPr>
          <w:rFonts w:ascii="Calibri" w:hAnsi="Calibri"/>
          <w:b/>
          <w:color w:val="auto"/>
          <w:sz w:val="20"/>
          <w:highlight w:val="cyan"/>
        </w:rPr>
      </w:pPr>
    </w:p>
    <w:sectPr w:rsidR="00F665A7" w:rsidRPr="00B056CB" w:rsidSect="00F8117F">
      <w:footerReference w:type="even" r:id="rId8"/>
      <w:footerReference w:type="default" r:id="rId9"/>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EF" w:rsidRDefault="000173EF">
      <w:r>
        <w:separator/>
      </w:r>
    </w:p>
  </w:endnote>
  <w:endnote w:type="continuationSeparator" w:id="0">
    <w:p w:rsidR="000173EF" w:rsidRDefault="00017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26" w:rsidRDefault="00DA4DFC">
    <w:pPr>
      <w:pStyle w:val="Footer"/>
      <w:framePr w:wrap="around" w:vAnchor="text" w:hAnchor="margin" w:xAlign="center" w:y="1"/>
      <w:rPr>
        <w:rStyle w:val="PageNumber"/>
      </w:rPr>
    </w:pPr>
    <w:r>
      <w:rPr>
        <w:rStyle w:val="PageNumber"/>
      </w:rPr>
      <w:fldChar w:fldCharType="begin"/>
    </w:r>
    <w:r w:rsidR="00364A26">
      <w:rPr>
        <w:rStyle w:val="PageNumber"/>
      </w:rPr>
      <w:instrText xml:space="preserve">PAGE  </w:instrText>
    </w:r>
    <w:r>
      <w:rPr>
        <w:rStyle w:val="PageNumber"/>
      </w:rPr>
      <w:fldChar w:fldCharType="separate"/>
    </w:r>
    <w:r w:rsidR="00364A26">
      <w:rPr>
        <w:rStyle w:val="PageNumber"/>
        <w:noProof/>
      </w:rPr>
      <w:t>2</w:t>
    </w:r>
    <w:r>
      <w:rPr>
        <w:rStyle w:val="PageNumber"/>
      </w:rPr>
      <w:fldChar w:fldCharType="end"/>
    </w:r>
  </w:p>
  <w:p w:rsidR="00364A26" w:rsidRDefault="00364A2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26" w:rsidRPr="00AC713F" w:rsidRDefault="00DA4DF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64A2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25902">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364A26" w:rsidRPr="003433B4" w:rsidRDefault="00364A26" w:rsidP="002B0749">
    <w:pPr>
      <w:pStyle w:val="Footer"/>
      <w:jc w:val="right"/>
      <w:rPr>
        <w:rFonts w:asciiTheme="minorHAnsi" w:hAnsiTheme="minorHAnsi"/>
        <w:color w:val="auto"/>
      </w:rPr>
    </w:pPr>
    <w:r w:rsidRPr="003433B4">
      <w:rPr>
        <w:color w:val="auto"/>
      </w:rPr>
      <w:tab/>
    </w:r>
    <w:r w:rsidRPr="003433B4">
      <w:rPr>
        <w:color w:val="auto"/>
      </w:rPr>
      <w:tab/>
    </w:r>
    <w:r w:rsidRPr="003433B4">
      <w:rPr>
        <w:rFonts w:asciiTheme="minorHAnsi" w:hAnsiTheme="minorHAnsi"/>
        <w:caps/>
        <w:color w:val="auto"/>
      </w:rPr>
      <w:t>PD1000583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EF" w:rsidRDefault="000173EF">
      <w:r>
        <w:separator/>
      </w:r>
    </w:p>
  </w:footnote>
  <w:footnote w:type="continuationSeparator" w:id="0">
    <w:p w:rsidR="000173EF" w:rsidRDefault="0001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0482"/>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73EF"/>
    <w:rsid w:val="00021361"/>
    <w:rsid w:val="00023913"/>
    <w:rsid w:val="00023D43"/>
    <w:rsid w:val="00030FC4"/>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431E"/>
    <w:rsid w:val="00066D36"/>
    <w:rsid w:val="00067E65"/>
    <w:rsid w:val="00072433"/>
    <w:rsid w:val="0007368D"/>
    <w:rsid w:val="00075702"/>
    <w:rsid w:val="000775C2"/>
    <w:rsid w:val="00080028"/>
    <w:rsid w:val="000806AD"/>
    <w:rsid w:val="00082482"/>
    <w:rsid w:val="0008708B"/>
    <w:rsid w:val="0009215E"/>
    <w:rsid w:val="00092619"/>
    <w:rsid w:val="00092C66"/>
    <w:rsid w:val="00094E4F"/>
    <w:rsid w:val="000A23DC"/>
    <w:rsid w:val="000A2BCE"/>
    <w:rsid w:val="000A41E3"/>
    <w:rsid w:val="000A4BBA"/>
    <w:rsid w:val="000A5071"/>
    <w:rsid w:val="000B4C99"/>
    <w:rsid w:val="000C06F6"/>
    <w:rsid w:val="000C1D34"/>
    <w:rsid w:val="000C2362"/>
    <w:rsid w:val="000C3C13"/>
    <w:rsid w:val="000C3D7B"/>
    <w:rsid w:val="000C53F9"/>
    <w:rsid w:val="000C5813"/>
    <w:rsid w:val="000C75CF"/>
    <w:rsid w:val="000C7DE4"/>
    <w:rsid w:val="000D15E7"/>
    <w:rsid w:val="000D1A24"/>
    <w:rsid w:val="000D21C7"/>
    <w:rsid w:val="000D248A"/>
    <w:rsid w:val="000D35D8"/>
    <w:rsid w:val="000D43F9"/>
    <w:rsid w:val="000D4717"/>
    <w:rsid w:val="000D6457"/>
    <w:rsid w:val="000D6BD3"/>
    <w:rsid w:val="000D7D55"/>
    <w:rsid w:val="000E0993"/>
    <w:rsid w:val="000E37E0"/>
    <w:rsid w:val="000F02BE"/>
    <w:rsid w:val="000F1C44"/>
    <w:rsid w:val="000F427B"/>
    <w:rsid w:val="000F7181"/>
    <w:rsid w:val="001008C1"/>
    <w:rsid w:val="001023DB"/>
    <w:rsid w:val="00103CCF"/>
    <w:rsid w:val="0010417F"/>
    <w:rsid w:val="001042D2"/>
    <w:rsid w:val="00105021"/>
    <w:rsid w:val="0010530E"/>
    <w:rsid w:val="00105C07"/>
    <w:rsid w:val="00107EC5"/>
    <w:rsid w:val="001103CD"/>
    <w:rsid w:val="00112012"/>
    <w:rsid w:val="00113EC3"/>
    <w:rsid w:val="00114F20"/>
    <w:rsid w:val="001211AF"/>
    <w:rsid w:val="001219DF"/>
    <w:rsid w:val="001231DC"/>
    <w:rsid w:val="001234BC"/>
    <w:rsid w:val="001272AE"/>
    <w:rsid w:val="0013137D"/>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3B37"/>
    <w:rsid w:val="00166182"/>
    <w:rsid w:val="001745DD"/>
    <w:rsid w:val="00177659"/>
    <w:rsid w:val="001779E5"/>
    <w:rsid w:val="00182A4C"/>
    <w:rsid w:val="00183F77"/>
    <w:rsid w:val="00185DA8"/>
    <w:rsid w:val="00185ECB"/>
    <w:rsid w:val="001865E0"/>
    <w:rsid w:val="001870F0"/>
    <w:rsid w:val="00190E48"/>
    <w:rsid w:val="0019273F"/>
    <w:rsid w:val="00192D2E"/>
    <w:rsid w:val="00193814"/>
    <w:rsid w:val="00193AD5"/>
    <w:rsid w:val="00194930"/>
    <w:rsid w:val="00196BE5"/>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3291"/>
    <w:rsid w:val="001C4595"/>
    <w:rsid w:val="001C5CFC"/>
    <w:rsid w:val="001C7418"/>
    <w:rsid w:val="001D0051"/>
    <w:rsid w:val="001D2224"/>
    <w:rsid w:val="001D4F88"/>
    <w:rsid w:val="001D68CF"/>
    <w:rsid w:val="001D6A8C"/>
    <w:rsid w:val="001D7A56"/>
    <w:rsid w:val="001D7AFC"/>
    <w:rsid w:val="001E15C0"/>
    <w:rsid w:val="001E18E0"/>
    <w:rsid w:val="001E18E2"/>
    <w:rsid w:val="001E19D0"/>
    <w:rsid w:val="001E2A30"/>
    <w:rsid w:val="001E6E63"/>
    <w:rsid w:val="001F5D64"/>
    <w:rsid w:val="00200AA0"/>
    <w:rsid w:val="00202325"/>
    <w:rsid w:val="00202736"/>
    <w:rsid w:val="00203652"/>
    <w:rsid w:val="002060B6"/>
    <w:rsid w:val="002066B5"/>
    <w:rsid w:val="00215ED6"/>
    <w:rsid w:val="00216049"/>
    <w:rsid w:val="00217606"/>
    <w:rsid w:val="00217C09"/>
    <w:rsid w:val="00220F5C"/>
    <w:rsid w:val="00222B9F"/>
    <w:rsid w:val="0022406C"/>
    <w:rsid w:val="00225196"/>
    <w:rsid w:val="00225CB4"/>
    <w:rsid w:val="00226D59"/>
    <w:rsid w:val="0023049F"/>
    <w:rsid w:val="002316F6"/>
    <w:rsid w:val="00232C9B"/>
    <w:rsid w:val="00232CE2"/>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183"/>
    <w:rsid w:val="00276B97"/>
    <w:rsid w:val="00276C86"/>
    <w:rsid w:val="00276F3B"/>
    <w:rsid w:val="002810A4"/>
    <w:rsid w:val="00282B1A"/>
    <w:rsid w:val="00284A26"/>
    <w:rsid w:val="00284F0B"/>
    <w:rsid w:val="00287006"/>
    <w:rsid w:val="00294437"/>
    <w:rsid w:val="002A087F"/>
    <w:rsid w:val="002A3237"/>
    <w:rsid w:val="002A4278"/>
    <w:rsid w:val="002A58B7"/>
    <w:rsid w:val="002A685E"/>
    <w:rsid w:val="002A72C7"/>
    <w:rsid w:val="002B03B2"/>
    <w:rsid w:val="002B0749"/>
    <w:rsid w:val="002B2645"/>
    <w:rsid w:val="002B6FA0"/>
    <w:rsid w:val="002C5F10"/>
    <w:rsid w:val="002C6E5B"/>
    <w:rsid w:val="002C7EFB"/>
    <w:rsid w:val="002D18B4"/>
    <w:rsid w:val="002D231A"/>
    <w:rsid w:val="002D2C79"/>
    <w:rsid w:val="002D46CE"/>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30D1"/>
    <w:rsid w:val="0030678B"/>
    <w:rsid w:val="00310CD7"/>
    <w:rsid w:val="00311E30"/>
    <w:rsid w:val="003127AD"/>
    <w:rsid w:val="00316947"/>
    <w:rsid w:val="0032136A"/>
    <w:rsid w:val="00323E70"/>
    <w:rsid w:val="00325BA2"/>
    <w:rsid w:val="00325D86"/>
    <w:rsid w:val="00326F7F"/>
    <w:rsid w:val="003320E8"/>
    <w:rsid w:val="00332921"/>
    <w:rsid w:val="00334846"/>
    <w:rsid w:val="0033555E"/>
    <w:rsid w:val="00336805"/>
    <w:rsid w:val="00337351"/>
    <w:rsid w:val="00341A54"/>
    <w:rsid w:val="003433B4"/>
    <w:rsid w:val="0034669F"/>
    <w:rsid w:val="00351498"/>
    <w:rsid w:val="003523EB"/>
    <w:rsid w:val="00352B22"/>
    <w:rsid w:val="00354547"/>
    <w:rsid w:val="003567DE"/>
    <w:rsid w:val="003574F3"/>
    <w:rsid w:val="0036319E"/>
    <w:rsid w:val="003632A4"/>
    <w:rsid w:val="00363362"/>
    <w:rsid w:val="00364A26"/>
    <w:rsid w:val="00367D4F"/>
    <w:rsid w:val="00370743"/>
    <w:rsid w:val="00370EF5"/>
    <w:rsid w:val="0037135B"/>
    <w:rsid w:val="00372251"/>
    <w:rsid w:val="0037520D"/>
    <w:rsid w:val="00375809"/>
    <w:rsid w:val="0037628C"/>
    <w:rsid w:val="00376B81"/>
    <w:rsid w:val="00377BD2"/>
    <w:rsid w:val="003821E1"/>
    <w:rsid w:val="00382F51"/>
    <w:rsid w:val="00384866"/>
    <w:rsid w:val="003857D4"/>
    <w:rsid w:val="00385BC9"/>
    <w:rsid w:val="00385D6F"/>
    <w:rsid w:val="00387095"/>
    <w:rsid w:val="00390092"/>
    <w:rsid w:val="00393233"/>
    <w:rsid w:val="00393651"/>
    <w:rsid w:val="00395E12"/>
    <w:rsid w:val="00396AB3"/>
    <w:rsid w:val="00397DB7"/>
    <w:rsid w:val="003A27B2"/>
    <w:rsid w:val="003A40B4"/>
    <w:rsid w:val="003A41BA"/>
    <w:rsid w:val="003A6A99"/>
    <w:rsid w:val="003A7ED9"/>
    <w:rsid w:val="003A7FF8"/>
    <w:rsid w:val="003B1440"/>
    <w:rsid w:val="003B17AC"/>
    <w:rsid w:val="003B227A"/>
    <w:rsid w:val="003B483C"/>
    <w:rsid w:val="003B5854"/>
    <w:rsid w:val="003B6764"/>
    <w:rsid w:val="003C3833"/>
    <w:rsid w:val="003C4B8B"/>
    <w:rsid w:val="003C6068"/>
    <w:rsid w:val="003D2BA3"/>
    <w:rsid w:val="003D3C22"/>
    <w:rsid w:val="003D6B17"/>
    <w:rsid w:val="003D7089"/>
    <w:rsid w:val="003D7DDB"/>
    <w:rsid w:val="003E02C7"/>
    <w:rsid w:val="003E0543"/>
    <w:rsid w:val="003E0B5A"/>
    <w:rsid w:val="003E31E3"/>
    <w:rsid w:val="003E46D1"/>
    <w:rsid w:val="003E5FDB"/>
    <w:rsid w:val="003E769B"/>
    <w:rsid w:val="003F58B0"/>
    <w:rsid w:val="003F70E8"/>
    <w:rsid w:val="004007E9"/>
    <w:rsid w:val="00401825"/>
    <w:rsid w:val="00401BBC"/>
    <w:rsid w:val="00401F02"/>
    <w:rsid w:val="004034C1"/>
    <w:rsid w:val="00403BFB"/>
    <w:rsid w:val="00404B45"/>
    <w:rsid w:val="00404CD3"/>
    <w:rsid w:val="0040524E"/>
    <w:rsid w:val="00406CC5"/>
    <w:rsid w:val="004074A4"/>
    <w:rsid w:val="004101B2"/>
    <w:rsid w:val="004123D7"/>
    <w:rsid w:val="00412658"/>
    <w:rsid w:val="004156DF"/>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136B"/>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0D77"/>
    <w:rsid w:val="004D10D4"/>
    <w:rsid w:val="004D16BD"/>
    <w:rsid w:val="004D2AAB"/>
    <w:rsid w:val="004D6F2B"/>
    <w:rsid w:val="004D6F5A"/>
    <w:rsid w:val="004E0248"/>
    <w:rsid w:val="004E21A3"/>
    <w:rsid w:val="004E31E9"/>
    <w:rsid w:val="004E32EA"/>
    <w:rsid w:val="004E456C"/>
    <w:rsid w:val="004E5F86"/>
    <w:rsid w:val="004E6866"/>
    <w:rsid w:val="004F3222"/>
    <w:rsid w:val="004F3BFA"/>
    <w:rsid w:val="005000AB"/>
    <w:rsid w:val="005002FF"/>
    <w:rsid w:val="005009B7"/>
    <w:rsid w:val="005025EE"/>
    <w:rsid w:val="005052D4"/>
    <w:rsid w:val="00510588"/>
    <w:rsid w:val="00510F21"/>
    <w:rsid w:val="0051146C"/>
    <w:rsid w:val="00512081"/>
    <w:rsid w:val="00514449"/>
    <w:rsid w:val="005144F2"/>
    <w:rsid w:val="005222E7"/>
    <w:rsid w:val="00523A8B"/>
    <w:rsid w:val="00523E04"/>
    <w:rsid w:val="0052590B"/>
    <w:rsid w:val="00526308"/>
    <w:rsid w:val="00526591"/>
    <w:rsid w:val="00527178"/>
    <w:rsid w:val="005278CB"/>
    <w:rsid w:val="00534D42"/>
    <w:rsid w:val="005350A5"/>
    <w:rsid w:val="005350FE"/>
    <w:rsid w:val="00536379"/>
    <w:rsid w:val="00537238"/>
    <w:rsid w:val="005400C5"/>
    <w:rsid w:val="00540BEF"/>
    <w:rsid w:val="00542C9A"/>
    <w:rsid w:val="005436C2"/>
    <w:rsid w:val="005442D4"/>
    <w:rsid w:val="0054586A"/>
    <w:rsid w:val="0054631F"/>
    <w:rsid w:val="0055288D"/>
    <w:rsid w:val="00555259"/>
    <w:rsid w:val="005575B6"/>
    <w:rsid w:val="00560D57"/>
    <w:rsid w:val="00562A94"/>
    <w:rsid w:val="005709F7"/>
    <w:rsid w:val="005710A9"/>
    <w:rsid w:val="00571D1B"/>
    <w:rsid w:val="00575CF1"/>
    <w:rsid w:val="00580A01"/>
    <w:rsid w:val="00580DB0"/>
    <w:rsid w:val="005845F5"/>
    <w:rsid w:val="00593043"/>
    <w:rsid w:val="00595BF0"/>
    <w:rsid w:val="005A1846"/>
    <w:rsid w:val="005A258C"/>
    <w:rsid w:val="005A3560"/>
    <w:rsid w:val="005A4E82"/>
    <w:rsid w:val="005A6C99"/>
    <w:rsid w:val="005A7D5D"/>
    <w:rsid w:val="005B011A"/>
    <w:rsid w:val="005B1D8F"/>
    <w:rsid w:val="005B1E94"/>
    <w:rsid w:val="005B5B3D"/>
    <w:rsid w:val="005B7B07"/>
    <w:rsid w:val="005C16F3"/>
    <w:rsid w:val="005C3758"/>
    <w:rsid w:val="005E3064"/>
    <w:rsid w:val="005E72B2"/>
    <w:rsid w:val="005F1115"/>
    <w:rsid w:val="005F1AB6"/>
    <w:rsid w:val="005F1D53"/>
    <w:rsid w:val="005F27F2"/>
    <w:rsid w:val="005F3AFE"/>
    <w:rsid w:val="005F424D"/>
    <w:rsid w:val="005F6B6D"/>
    <w:rsid w:val="006017B2"/>
    <w:rsid w:val="00605AAB"/>
    <w:rsid w:val="00606BEB"/>
    <w:rsid w:val="0061014A"/>
    <w:rsid w:val="0061054B"/>
    <w:rsid w:val="006114DB"/>
    <w:rsid w:val="00613E26"/>
    <w:rsid w:val="00615641"/>
    <w:rsid w:val="00616959"/>
    <w:rsid w:val="006211D0"/>
    <w:rsid w:val="00624D0C"/>
    <w:rsid w:val="006307BA"/>
    <w:rsid w:val="006315BA"/>
    <w:rsid w:val="00634C4A"/>
    <w:rsid w:val="0063532E"/>
    <w:rsid w:val="00637BDC"/>
    <w:rsid w:val="006418C9"/>
    <w:rsid w:val="00642132"/>
    <w:rsid w:val="00642BD6"/>
    <w:rsid w:val="00645046"/>
    <w:rsid w:val="0064527A"/>
    <w:rsid w:val="00645EA2"/>
    <w:rsid w:val="006508A9"/>
    <w:rsid w:val="006573F2"/>
    <w:rsid w:val="0065793D"/>
    <w:rsid w:val="00660D46"/>
    <w:rsid w:val="00662F08"/>
    <w:rsid w:val="00663589"/>
    <w:rsid w:val="006708E3"/>
    <w:rsid w:val="00670DDC"/>
    <w:rsid w:val="00671EB4"/>
    <w:rsid w:val="0067443B"/>
    <w:rsid w:val="006807A0"/>
    <w:rsid w:val="00684E2B"/>
    <w:rsid w:val="00690FDA"/>
    <w:rsid w:val="00691E61"/>
    <w:rsid w:val="00693C5E"/>
    <w:rsid w:val="00694EEA"/>
    <w:rsid w:val="006955B4"/>
    <w:rsid w:val="00695FB8"/>
    <w:rsid w:val="00696476"/>
    <w:rsid w:val="006A10FA"/>
    <w:rsid w:val="006A40E6"/>
    <w:rsid w:val="006A5C07"/>
    <w:rsid w:val="006A75FA"/>
    <w:rsid w:val="006B07D5"/>
    <w:rsid w:val="006B1309"/>
    <w:rsid w:val="006B3923"/>
    <w:rsid w:val="006B3F3E"/>
    <w:rsid w:val="006B5923"/>
    <w:rsid w:val="006B67D9"/>
    <w:rsid w:val="006B6C14"/>
    <w:rsid w:val="006B715E"/>
    <w:rsid w:val="006B7CCD"/>
    <w:rsid w:val="006C0985"/>
    <w:rsid w:val="006C19A1"/>
    <w:rsid w:val="006C1D6E"/>
    <w:rsid w:val="006C3A68"/>
    <w:rsid w:val="006C4C78"/>
    <w:rsid w:val="006C6AB1"/>
    <w:rsid w:val="006C7F63"/>
    <w:rsid w:val="006D2D39"/>
    <w:rsid w:val="006D4E0E"/>
    <w:rsid w:val="006D4E84"/>
    <w:rsid w:val="006D5CE2"/>
    <w:rsid w:val="006D7CE5"/>
    <w:rsid w:val="006E06D1"/>
    <w:rsid w:val="006E1313"/>
    <w:rsid w:val="006E2DC8"/>
    <w:rsid w:val="006E7356"/>
    <w:rsid w:val="006E77C8"/>
    <w:rsid w:val="006F149D"/>
    <w:rsid w:val="006F1A46"/>
    <w:rsid w:val="006F292C"/>
    <w:rsid w:val="006F4C47"/>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36AE7"/>
    <w:rsid w:val="00743B71"/>
    <w:rsid w:val="00743C2D"/>
    <w:rsid w:val="00743E36"/>
    <w:rsid w:val="007446F7"/>
    <w:rsid w:val="00744EBB"/>
    <w:rsid w:val="00745B0A"/>
    <w:rsid w:val="007468AC"/>
    <w:rsid w:val="00746AE2"/>
    <w:rsid w:val="00750C82"/>
    <w:rsid w:val="00752D5F"/>
    <w:rsid w:val="00755598"/>
    <w:rsid w:val="0076100C"/>
    <w:rsid w:val="00761424"/>
    <w:rsid w:val="00761974"/>
    <w:rsid w:val="007651ED"/>
    <w:rsid w:val="007665AF"/>
    <w:rsid w:val="00766C87"/>
    <w:rsid w:val="007725C8"/>
    <w:rsid w:val="00781BD4"/>
    <w:rsid w:val="00784832"/>
    <w:rsid w:val="00785D77"/>
    <w:rsid w:val="00786111"/>
    <w:rsid w:val="00791F1E"/>
    <w:rsid w:val="0079384C"/>
    <w:rsid w:val="00794F3D"/>
    <w:rsid w:val="00796045"/>
    <w:rsid w:val="007968AC"/>
    <w:rsid w:val="007969AB"/>
    <w:rsid w:val="007A0B39"/>
    <w:rsid w:val="007A14A4"/>
    <w:rsid w:val="007A168F"/>
    <w:rsid w:val="007A28E4"/>
    <w:rsid w:val="007A3BB3"/>
    <w:rsid w:val="007A3C2A"/>
    <w:rsid w:val="007A4B10"/>
    <w:rsid w:val="007A5AD1"/>
    <w:rsid w:val="007A5B7B"/>
    <w:rsid w:val="007B0A06"/>
    <w:rsid w:val="007B4EA2"/>
    <w:rsid w:val="007B5C5C"/>
    <w:rsid w:val="007B7B37"/>
    <w:rsid w:val="007B7C41"/>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02C"/>
    <w:rsid w:val="007E55BF"/>
    <w:rsid w:val="007E5BF1"/>
    <w:rsid w:val="007E71B1"/>
    <w:rsid w:val="007E7B4E"/>
    <w:rsid w:val="007F0CE2"/>
    <w:rsid w:val="007F0EFF"/>
    <w:rsid w:val="007F1375"/>
    <w:rsid w:val="00800F97"/>
    <w:rsid w:val="00803850"/>
    <w:rsid w:val="008042EF"/>
    <w:rsid w:val="00804385"/>
    <w:rsid w:val="00805AFD"/>
    <w:rsid w:val="008078D8"/>
    <w:rsid w:val="00811D5B"/>
    <w:rsid w:val="00817713"/>
    <w:rsid w:val="00821034"/>
    <w:rsid w:val="008220F1"/>
    <w:rsid w:val="0082340B"/>
    <w:rsid w:val="00827DB6"/>
    <w:rsid w:val="008304B2"/>
    <w:rsid w:val="00830999"/>
    <w:rsid w:val="00830D5E"/>
    <w:rsid w:val="00830F69"/>
    <w:rsid w:val="00833418"/>
    <w:rsid w:val="00834458"/>
    <w:rsid w:val="0083491D"/>
    <w:rsid w:val="00835841"/>
    <w:rsid w:val="00837465"/>
    <w:rsid w:val="00841243"/>
    <w:rsid w:val="00841457"/>
    <w:rsid w:val="0084374E"/>
    <w:rsid w:val="00844842"/>
    <w:rsid w:val="00844DD0"/>
    <w:rsid w:val="0085089F"/>
    <w:rsid w:val="0085206E"/>
    <w:rsid w:val="00852AD4"/>
    <w:rsid w:val="00852BA8"/>
    <w:rsid w:val="00853718"/>
    <w:rsid w:val="008541EF"/>
    <w:rsid w:val="008544D1"/>
    <w:rsid w:val="00856AC7"/>
    <w:rsid w:val="00856FA4"/>
    <w:rsid w:val="008604D9"/>
    <w:rsid w:val="0086162B"/>
    <w:rsid w:val="00861D5C"/>
    <w:rsid w:val="008626C0"/>
    <w:rsid w:val="00864F4A"/>
    <w:rsid w:val="00865207"/>
    <w:rsid w:val="008656A7"/>
    <w:rsid w:val="00871262"/>
    <w:rsid w:val="00871D4E"/>
    <w:rsid w:val="00871E7B"/>
    <w:rsid w:val="00875B51"/>
    <w:rsid w:val="00875F2D"/>
    <w:rsid w:val="0087611B"/>
    <w:rsid w:val="008764DC"/>
    <w:rsid w:val="00882CC2"/>
    <w:rsid w:val="00883930"/>
    <w:rsid w:val="00894A2D"/>
    <w:rsid w:val="008963B7"/>
    <w:rsid w:val="00896535"/>
    <w:rsid w:val="00896683"/>
    <w:rsid w:val="00897589"/>
    <w:rsid w:val="008A26D3"/>
    <w:rsid w:val="008A63A9"/>
    <w:rsid w:val="008A7F7E"/>
    <w:rsid w:val="008B04DB"/>
    <w:rsid w:val="008B27A9"/>
    <w:rsid w:val="008B27FD"/>
    <w:rsid w:val="008B3AF2"/>
    <w:rsid w:val="008B515D"/>
    <w:rsid w:val="008B5D31"/>
    <w:rsid w:val="008B6705"/>
    <w:rsid w:val="008C22F3"/>
    <w:rsid w:val="008C324C"/>
    <w:rsid w:val="008C41E9"/>
    <w:rsid w:val="008C4732"/>
    <w:rsid w:val="008C5C32"/>
    <w:rsid w:val="008C7937"/>
    <w:rsid w:val="008D611B"/>
    <w:rsid w:val="008D795D"/>
    <w:rsid w:val="008D7B07"/>
    <w:rsid w:val="008E1E94"/>
    <w:rsid w:val="008E2D99"/>
    <w:rsid w:val="008E4A60"/>
    <w:rsid w:val="008E744D"/>
    <w:rsid w:val="008F1E08"/>
    <w:rsid w:val="00900D8F"/>
    <w:rsid w:val="009014E3"/>
    <w:rsid w:val="009026E8"/>
    <w:rsid w:val="009051C8"/>
    <w:rsid w:val="00906EB7"/>
    <w:rsid w:val="009102BF"/>
    <w:rsid w:val="009115F2"/>
    <w:rsid w:val="00914ADB"/>
    <w:rsid w:val="00923B25"/>
    <w:rsid w:val="0092402E"/>
    <w:rsid w:val="009259BA"/>
    <w:rsid w:val="00926FCB"/>
    <w:rsid w:val="0093311A"/>
    <w:rsid w:val="00941931"/>
    <w:rsid w:val="0094231C"/>
    <w:rsid w:val="00942645"/>
    <w:rsid w:val="009472CB"/>
    <w:rsid w:val="00950A3A"/>
    <w:rsid w:val="0095340A"/>
    <w:rsid w:val="00954581"/>
    <w:rsid w:val="0095466C"/>
    <w:rsid w:val="00954E5B"/>
    <w:rsid w:val="009576BC"/>
    <w:rsid w:val="00960357"/>
    <w:rsid w:val="0096168C"/>
    <w:rsid w:val="00961840"/>
    <w:rsid w:val="0096261E"/>
    <w:rsid w:val="00962F2D"/>
    <w:rsid w:val="009672CD"/>
    <w:rsid w:val="00971B87"/>
    <w:rsid w:val="00972996"/>
    <w:rsid w:val="009732B8"/>
    <w:rsid w:val="00975C72"/>
    <w:rsid w:val="00976869"/>
    <w:rsid w:val="00977740"/>
    <w:rsid w:val="00977CB4"/>
    <w:rsid w:val="009809B8"/>
    <w:rsid w:val="0098222D"/>
    <w:rsid w:val="0098230B"/>
    <w:rsid w:val="00985099"/>
    <w:rsid w:val="0098598C"/>
    <w:rsid w:val="009902A9"/>
    <w:rsid w:val="00990C66"/>
    <w:rsid w:val="00993666"/>
    <w:rsid w:val="0099421F"/>
    <w:rsid w:val="009A0DE3"/>
    <w:rsid w:val="009A0F59"/>
    <w:rsid w:val="009A1643"/>
    <w:rsid w:val="009A215A"/>
    <w:rsid w:val="009A242F"/>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7EFE"/>
    <w:rsid w:val="009E09D0"/>
    <w:rsid w:val="009E1283"/>
    <w:rsid w:val="009E3A7F"/>
    <w:rsid w:val="009E57B1"/>
    <w:rsid w:val="009E6379"/>
    <w:rsid w:val="009F1915"/>
    <w:rsid w:val="009F7809"/>
    <w:rsid w:val="009F7AF5"/>
    <w:rsid w:val="00A00D14"/>
    <w:rsid w:val="00A01408"/>
    <w:rsid w:val="00A02457"/>
    <w:rsid w:val="00A03190"/>
    <w:rsid w:val="00A0404B"/>
    <w:rsid w:val="00A0798C"/>
    <w:rsid w:val="00A07BDD"/>
    <w:rsid w:val="00A1105B"/>
    <w:rsid w:val="00A15B6B"/>
    <w:rsid w:val="00A15EB4"/>
    <w:rsid w:val="00A16384"/>
    <w:rsid w:val="00A16876"/>
    <w:rsid w:val="00A176E2"/>
    <w:rsid w:val="00A200AA"/>
    <w:rsid w:val="00A20558"/>
    <w:rsid w:val="00A21204"/>
    <w:rsid w:val="00A2186F"/>
    <w:rsid w:val="00A21E86"/>
    <w:rsid w:val="00A2270B"/>
    <w:rsid w:val="00A23B89"/>
    <w:rsid w:val="00A23FE3"/>
    <w:rsid w:val="00A248C3"/>
    <w:rsid w:val="00A2496E"/>
    <w:rsid w:val="00A24E66"/>
    <w:rsid w:val="00A258B7"/>
    <w:rsid w:val="00A26267"/>
    <w:rsid w:val="00A32743"/>
    <w:rsid w:val="00A35B19"/>
    <w:rsid w:val="00A414A9"/>
    <w:rsid w:val="00A44CCA"/>
    <w:rsid w:val="00A44D75"/>
    <w:rsid w:val="00A47CF1"/>
    <w:rsid w:val="00A50418"/>
    <w:rsid w:val="00A54A47"/>
    <w:rsid w:val="00A56D26"/>
    <w:rsid w:val="00A571A7"/>
    <w:rsid w:val="00A608FB"/>
    <w:rsid w:val="00A60D83"/>
    <w:rsid w:val="00A60F68"/>
    <w:rsid w:val="00A61979"/>
    <w:rsid w:val="00A63DF3"/>
    <w:rsid w:val="00A63EED"/>
    <w:rsid w:val="00A64EF1"/>
    <w:rsid w:val="00A65616"/>
    <w:rsid w:val="00A65C78"/>
    <w:rsid w:val="00A660A8"/>
    <w:rsid w:val="00A67591"/>
    <w:rsid w:val="00A67CA6"/>
    <w:rsid w:val="00A70E7B"/>
    <w:rsid w:val="00A73B84"/>
    <w:rsid w:val="00A7411D"/>
    <w:rsid w:val="00A76094"/>
    <w:rsid w:val="00A768E2"/>
    <w:rsid w:val="00A82C52"/>
    <w:rsid w:val="00A8398B"/>
    <w:rsid w:val="00A83A67"/>
    <w:rsid w:val="00A86CB6"/>
    <w:rsid w:val="00A90D55"/>
    <w:rsid w:val="00A944D8"/>
    <w:rsid w:val="00A959E7"/>
    <w:rsid w:val="00A95BBA"/>
    <w:rsid w:val="00A961EE"/>
    <w:rsid w:val="00AA04B3"/>
    <w:rsid w:val="00AA1253"/>
    <w:rsid w:val="00AA28EF"/>
    <w:rsid w:val="00AA493E"/>
    <w:rsid w:val="00AA73AF"/>
    <w:rsid w:val="00AB1754"/>
    <w:rsid w:val="00AB27DD"/>
    <w:rsid w:val="00AB35E3"/>
    <w:rsid w:val="00AC439D"/>
    <w:rsid w:val="00AC45CD"/>
    <w:rsid w:val="00AC530C"/>
    <w:rsid w:val="00AC713F"/>
    <w:rsid w:val="00AD067E"/>
    <w:rsid w:val="00AD2801"/>
    <w:rsid w:val="00AD6870"/>
    <w:rsid w:val="00AD68C5"/>
    <w:rsid w:val="00AE1273"/>
    <w:rsid w:val="00AE2D29"/>
    <w:rsid w:val="00AE4624"/>
    <w:rsid w:val="00AE5E14"/>
    <w:rsid w:val="00AE6115"/>
    <w:rsid w:val="00AE625B"/>
    <w:rsid w:val="00AE6DFB"/>
    <w:rsid w:val="00AF1668"/>
    <w:rsid w:val="00AF4FA5"/>
    <w:rsid w:val="00AF79E1"/>
    <w:rsid w:val="00B00BA9"/>
    <w:rsid w:val="00B024D1"/>
    <w:rsid w:val="00B0436B"/>
    <w:rsid w:val="00B04F39"/>
    <w:rsid w:val="00B056CB"/>
    <w:rsid w:val="00B07955"/>
    <w:rsid w:val="00B14FAA"/>
    <w:rsid w:val="00B15D30"/>
    <w:rsid w:val="00B20624"/>
    <w:rsid w:val="00B23436"/>
    <w:rsid w:val="00B25902"/>
    <w:rsid w:val="00B26354"/>
    <w:rsid w:val="00B26CA0"/>
    <w:rsid w:val="00B32179"/>
    <w:rsid w:val="00B33008"/>
    <w:rsid w:val="00B331A9"/>
    <w:rsid w:val="00B3449A"/>
    <w:rsid w:val="00B36569"/>
    <w:rsid w:val="00B40A05"/>
    <w:rsid w:val="00B40A3E"/>
    <w:rsid w:val="00B41939"/>
    <w:rsid w:val="00B427E4"/>
    <w:rsid w:val="00B44B52"/>
    <w:rsid w:val="00B50227"/>
    <w:rsid w:val="00B50510"/>
    <w:rsid w:val="00B522CD"/>
    <w:rsid w:val="00B5335B"/>
    <w:rsid w:val="00B55143"/>
    <w:rsid w:val="00B55917"/>
    <w:rsid w:val="00B62DD2"/>
    <w:rsid w:val="00B643A6"/>
    <w:rsid w:val="00B64DD6"/>
    <w:rsid w:val="00B6710C"/>
    <w:rsid w:val="00B72076"/>
    <w:rsid w:val="00B72303"/>
    <w:rsid w:val="00B737B4"/>
    <w:rsid w:val="00B757A1"/>
    <w:rsid w:val="00B7667A"/>
    <w:rsid w:val="00B813C5"/>
    <w:rsid w:val="00B82277"/>
    <w:rsid w:val="00B91676"/>
    <w:rsid w:val="00B9333A"/>
    <w:rsid w:val="00B9521D"/>
    <w:rsid w:val="00B95833"/>
    <w:rsid w:val="00B97361"/>
    <w:rsid w:val="00BA1824"/>
    <w:rsid w:val="00BA2D98"/>
    <w:rsid w:val="00BA30D1"/>
    <w:rsid w:val="00BA4609"/>
    <w:rsid w:val="00BA5BE2"/>
    <w:rsid w:val="00BA7F46"/>
    <w:rsid w:val="00BB0A0A"/>
    <w:rsid w:val="00BB1034"/>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399B"/>
    <w:rsid w:val="00BE6365"/>
    <w:rsid w:val="00BE7A87"/>
    <w:rsid w:val="00BF0B7F"/>
    <w:rsid w:val="00BF4720"/>
    <w:rsid w:val="00BF5EA4"/>
    <w:rsid w:val="00BF7B63"/>
    <w:rsid w:val="00C038EC"/>
    <w:rsid w:val="00C05748"/>
    <w:rsid w:val="00C05C6D"/>
    <w:rsid w:val="00C10670"/>
    <w:rsid w:val="00C1122B"/>
    <w:rsid w:val="00C13B34"/>
    <w:rsid w:val="00C13F26"/>
    <w:rsid w:val="00C16E9F"/>
    <w:rsid w:val="00C1713D"/>
    <w:rsid w:val="00C177F1"/>
    <w:rsid w:val="00C20962"/>
    <w:rsid w:val="00C218D9"/>
    <w:rsid w:val="00C22F3A"/>
    <w:rsid w:val="00C25978"/>
    <w:rsid w:val="00C261C6"/>
    <w:rsid w:val="00C26E7C"/>
    <w:rsid w:val="00C30A97"/>
    <w:rsid w:val="00C31DDC"/>
    <w:rsid w:val="00C34326"/>
    <w:rsid w:val="00C3609A"/>
    <w:rsid w:val="00C36201"/>
    <w:rsid w:val="00C368E8"/>
    <w:rsid w:val="00C36C3D"/>
    <w:rsid w:val="00C372C7"/>
    <w:rsid w:val="00C41E47"/>
    <w:rsid w:val="00C42443"/>
    <w:rsid w:val="00C42CBA"/>
    <w:rsid w:val="00C5019E"/>
    <w:rsid w:val="00C5377C"/>
    <w:rsid w:val="00C53E8A"/>
    <w:rsid w:val="00C54DF3"/>
    <w:rsid w:val="00C560A7"/>
    <w:rsid w:val="00C56FC8"/>
    <w:rsid w:val="00C60F23"/>
    <w:rsid w:val="00C62EB2"/>
    <w:rsid w:val="00C715B3"/>
    <w:rsid w:val="00C71BEC"/>
    <w:rsid w:val="00C72BAD"/>
    <w:rsid w:val="00C74D3A"/>
    <w:rsid w:val="00C80511"/>
    <w:rsid w:val="00C826F5"/>
    <w:rsid w:val="00C836FF"/>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398C"/>
    <w:rsid w:val="00CB42CD"/>
    <w:rsid w:val="00CB4BD9"/>
    <w:rsid w:val="00CB6194"/>
    <w:rsid w:val="00CB7A3E"/>
    <w:rsid w:val="00CB7FF7"/>
    <w:rsid w:val="00CC0D0E"/>
    <w:rsid w:val="00CC19B3"/>
    <w:rsid w:val="00CC2044"/>
    <w:rsid w:val="00CC39D2"/>
    <w:rsid w:val="00CC56E6"/>
    <w:rsid w:val="00CC69EC"/>
    <w:rsid w:val="00CD0879"/>
    <w:rsid w:val="00CD15BE"/>
    <w:rsid w:val="00CD1EF2"/>
    <w:rsid w:val="00CD32BD"/>
    <w:rsid w:val="00CD34C7"/>
    <w:rsid w:val="00CD37E7"/>
    <w:rsid w:val="00CD4885"/>
    <w:rsid w:val="00CD563D"/>
    <w:rsid w:val="00CD5653"/>
    <w:rsid w:val="00CD5E6D"/>
    <w:rsid w:val="00CD63C8"/>
    <w:rsid w:val="00CF158D"/>
    <w:rsid w:val="00CF4394"/>
    <w:rsid w:val="00D000A9"/>
    <w:rsid w:val="00D005DB"/>
    <w:rsid w:val="00D0064E"/>
    <w:rsid w:val="00D00981"/>
    <w:rsid w:val="00D0280D"/>
    <w:rsid w:val="00D02C23"/>
    <w:rsid w:val="00D07A72"/>
    <w:rsid w:val="00D10577"/>
    <w:rsid w:val="00D11FA2"/>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451B2"/>
    <w:rsid w:val="00D50C8C"/>
    <w:rsid w:val="00D52393"/>
    <w:rsid w:val="00D523E4"/>
    <w:rsid w:val="00D5279D"/>
    <w:rsid w:val="00D52A1B"/>
    <w:rsid w:val="00D53F14"/>
    <w:rsid w:val="00D54BE4"/>
    <w:rsid w:val="00D60483"/>
    <w:rsid w:val="00D61ABB"/>
    <w:rsid w:val="00D63577"/>
    <w:rsid w:val="00D66D9E"/>
    <w:rsid w:val="00D67FD7"/>
    <w:rsid w:val="00D74261"/>
    <w:rsid w:val="00D7441B"/>
    <w:rsid w:val="00D76AB2"/>
    <w:rsid w:val="00D80490"/>
    <w:rsid w:val="00D829AD"/>
    <w:rsid w:val="00D82EE2"/>
    <w:rsid w:val="00D8545C"/>
    <w:rsid w:val="00D87247"/>
    <w:rsid w:val="00D87788"/>
    <w:rsid w:val="00D877C8"/>
    <w:rsid w:val="00D910C2"/>
    <w:rsid w:val="00D915FF"/>
    <w:rsid w:val="00D9168C"/>
    <w:rsid w:val="00D9189B"/>
    <w:rsid w:val="00D91DA6"/>
    <w:rsid w:val="00D95749"/>
    <w:rsid w:val="00D9706F"/>
    <w:rsid w:val="00D972D4"/>
    <w:rsid w:val="00DA195B"/>
    <w:rsid w:val="00DA4DFC"/>
    <w:rsid w:val="00DA557E"/>
    <w:rsid w:val="00DA6B55"/>
    <w:rsid w:val="00DB0015"/>
    <w:rsid w:val="00DB286A"/>
    <w:rsid w:val="00DB2AAD"/>
    <w:rsid w:val="00DB626D"/>
    <w:rsid w:val="00DB6365"/>
    <w:rsid w:val="00DC0BF1"/>
    <w:rsid w:val="00DC41C3"/>
    <w:rsid w:val="00DD3593"/>
    <w:rsid w:val="00DE0C67"/>
    <w:rsid w:val="00DE6952"/>
    <w:rsid w:val="00DE7E74"/>
    <w:rsid w:val="00DF6EF8"/>
    <w:rsid w:val="00DF7F18"/>
    <w:rsid w:val="00E00A69"/>
    <w:rsid w:val="00E01254"/>
    <w:rsid w:val="00E017F0"/>
    <w:rsid w:val="00E01A0E"/>
    <w:rsid w:val="00E02032"/>
    <w:rsid w:val="00E041E4"/>
    <w:rsid w:val="00E1012B"/>
    <w:rsid w:val="00E103C8"/>
    <w:rsid w:val="00E1085B"/>
    <w:rsid w:val="00E1308B"/>
    <w:rsid w:val="00E14581"/>
    <w:rsid w:val="00E15539"/>
    <w:rsid w:val="00E16541"/>
    <w:rsid w:val="00E2042E"/>
    <w:rsid w:val="00E2536E"/>
    <w:rsid w:val="00E25B8A"/>
    <w:rsid w:val="00E2632B"/>
    <w:rsid w:val="00E322F7"/>
    <w:rsid w:val="00E3369B"/>
    <w:rsid w:val="00E35163"/>
    <w:rsid w:val="00E36D76"/>
    <w:rsid w:val="00E405EA"/>
    <w:rsid w:val="00E408B7"/>
    <w:rsid w:val="00E41637"/>
    <w:rsid w:val="00E42789"/>
    <w:rsid w:val="00E43F59"/>
    <w:rsid w:val="00E464F0"/>
    <w:rsid w:val="00E46F01"/>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2D96"/>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29D"/>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0E62"/>
    <w:rsid w:val="00F22A26"/>
    <w:rsid w:val="00F24072"/>
    <w:rsid w:val="00F26432"/>
    <w:rsid w:val="00F27DFB"/>
    <w:rsid w:val="00F3197A"/>
    <w:rsid w:val="00F32139"/>
    <w:rsid w:val="00F33D56"/>
    <w:rsid w:val="00F34E08"/>
    <w:rsid w:val="00F41D91"/>
    <w:rsid w:val="00F42363"/>
    <w:rsid w:val="00F45E29"/>
    <w:rsid w:val="00F46964"/>
    <w:rsid w:val="00F46F9A"/>
    <w:rsid w:val="00F5126A"/>
    <w:rsid w:val="00F51458"/>
    <w:rsid w:val="00F555D6"/>
    <w:rsid w:val="00F56A0D"/>
    <w:rsid w:val="00F64E73"/>
    <w:rsid w:val="00F6636A"/>
    <w:rsid w:val="00F665A7"/>
    <w:rsid w:val="00F667C5"/>
    <w:rsid w:val="00F67E31"/>
    <w:rsid w:val="00F718A8"/>
    <w:rsid w:val="00F72183"/>
    <w:rsid w:val="00F76D01"/>
    <w:rsid w:val="00F8117F"/>
    <w:rsid w:val="00F81C35"/>
    <w:rsid w:val="00F82981"/>
    <w:rsid w:val="00F8311F"/>
    <w:rsid w:val="00F83248"/>
    <w:rsid w:val="00F83376"/>
    <w:rsid w:val="00F853AE"/>
    <w:rsid w:val="00F93C74"/>
    <w:rsid w:val="00F93DCC"/>
    <w:rsid w:val="00F9435D"/>
    <w:rsid w:val="00F96B6C"/>
    <w:rsid w:val="00F97740"/>
    <w:rsid w:val="00FA2F7B"/>
    <w:rsid w:val="00FA3F04"/>
    <w:rsid w:val="00FA518E"/>
    <w:rsid w:val="00FB09FE"/>
    <w:rsid w:val="00FB13C6"/>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3973452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131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BBBF-0BA2-47FD-9709-872CFDFF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17</cp:revision>
  <cp:lastPrinted>2011-03-21T12:08:00Z</cp:lastPrinted>
  <dcterms:created xsi:type="dcterms:W3CDTF">2011-03-04T19:07:00Z</dcterms:created>
  <dcterms:modified xsi:type="dcterms:W3CDTF">2012-05-14T21:54:00Z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