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B8751B" w:rsidRPr="00E63502" w:rsidRDefault="00B8751B" w:rsidP="00D47A26">
      <w:pPr>
        <w:tabs>
          <w:tab w:val="left" w:pos="288"/>
          <w:tab w:val="left" w:pos="4680"/>
          <w:tab w:val="left" w:pos="5130"/>
          <w:tab w:val="left" w:pos="6300"/>
          <w:tab w:val="left" w:pos="9270"/>
        </w:tabs>
        <w:spacing w:line="240" w:lineRule="exact"/>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956DD8">
        <w:rPr>
          <w:rFonts w:asciiTheme="minorHAnsi" w:hAnsiTheme="minorHAnsi"/>
          <w:caps/>
          <w:color w:val="auto"/>
        </w:rPr>
        <w:t xml:space="preserve"> </w:t>
      </w:r>
      <w:r w:rsidR="00513CAA">
        <w:rPr>
          <w:rFonts w:asciiTheme="minorHAnsi" w:hAnsiTheme="minorHAnsi"/>
          <w:caps/>
          <w:color w:val="auto"/>
        </w:rPr>
        <w:t xml:space="preserve"> </w:t>
      </w:r>
      <w:r w:rsidR="00D47A26">
        <w:rPr>
          <w:rFonts w:asciiTheme="minorHAnsi" w:hAnsiTheme="minorHAnsi"/>
          <w:caps/>
          <w:color w:val="auto"/>
        </w:rPr>
        <w:t xml:space="preserve">             </w:t>
      </w:r>
      <w:r w:rsidR="00D47A26">
        <w:rPr>
          <w:rFonts w:asciiTheme="minorHAnsi" w:hAnsiTheme="minorHAnsi"/>
          <w:caps/>
          <w:color w:val="auto"/>
        </w:rPr>
        <w:tab/>
      </w:r>
      <w:r w:rsidRPr="00FD6C41">
        <w:rPr>
          <w:rFonts w:asciiTheme="minorHAnsi" w:hAnsiTheme="minorHAnsi"/>
          <w:caps/>
          <w:color w:val="auto"/>
        </w:rPr>
        <w:t xml:space="preserve">BRANCH OF </w:t>
      </w:r>
      <w:r w:rsidRPr="00E63502">
        <w:rPr>
          <w:rFonts w:asciiTheme="minorHAnsi" w:hAnsiTheme="minorHAnsi"/>
          <w:caps/>
          <w:color w:val="auto"/>
        </w:rPr>
        <w:t xml:space="preserve">SERVICE:  Army </w:t>
      </w:r>
    </w:p>
    <w:p w:rsidR="00B8751B" w:rsidRPr="00E63502" w:rsidRDefault="00B8751B" w:rsidP="00D47A26">
      <w:pPr>
        <w:tabs>
          <w:tab w:val="left" w:pos="288"/>
          <w:tab w:val="left" w:pos="4680"/>
          <w:tab w:val="left" w:pos="5130"/>
          <w:tab w:val="left" w:pos="6300"/>
          <w:tab w:val="left" w:pos="9270"/>
        </w:tabs>
        <w:spacing w:line="240" w:lineRule="exact"/>
        <w:rPr>
          <w:rFonts w:asciiTheme="minorHAnsi" w:hAnsiTheme="minorHAnsi"/>
          <w:caps/>
          <w:color w:val="auto"/>
        </w:rPr>
      </w:pPr>
      <w:r w:rsidRPr="00E63502">
        <w:rPr>
          <w:rFonts w:asciiTheme="minorHAnsi" w:hAnsiTheme="minorHAnsi"/>
          <w:caps/>
          <w:color w:val="auto"/>
        </w:rPr>
        <w:t>CASE NUMBER:  PD1000</w:t>
      </w:r>
      <w:r>
        <w:rPr>
          <w:rFonts w:asciiTheme="minorHAnsi" w:hAnsiTheme="minorHAnsi"/>
          <w:caps/>
          <w:color w:val="auto"/>
        </w:rPr>
        <w:t>57</w:t>
      </w:r>
      <w:r w:rsidR="00F456D6">
        <w:rPr>
          <w:rFonts w:asciiTheme="minorHAnsi" w:hAnsiTheme="minorHAnsi"/>
          <w:caps/>
          <w:color w:val="auto"/>
        </w:rPr>
        <w:t>0</w:t>
      </w:r>
      <w:r w:rsidR="00D47A26">
        <w:rPr>
          <w:rFonts w:asciiTheme="minorHAnsi" w:hAnsiTheme="minorHAnsi"/>
          <w:caps/>
          <w:color w:val="auto"/>
        </w:rPr>
        <w:tab/>
      </w:r>
      <w:r w:rsidR="00513CAA">
        <w:rPr>
          <w:rFonts w:asciiTheme="minorHAnsi" w:hAnsiTheme="minorHAnsi"/>
          <w:color w:val="auto"/>
        </w:rPr>
        <w:t xml:space="preserve">DATE OF PLACEMENT ON TDRL:  </w:t>
      </w:r>
      <w:r w:rsidR="00D47A26">
        <w:rPr>
          <w:rFonts w:asciiTheme="minorHAnsi" w:hAnsiTheme="minorHAnsi"/>
          <w:color w:val="auto"/>
        </w:rPr>
        <w:t>20060215</w:t>
      </w:r>
      <w:r w:rsidR="00513CAA">
        <w:rPr>
          <w:rFonts w:asciiTheme="minorHAnsi" w:hAnsiTheme="minorHAnsi"/>
          <w:color w:val="auto"/>
        </w:rPr>
        <w:t xml:space="preserve"> </w:t>
      </w:r>
      <w:r>
        <w:rPr>
          <w:rFonts w:asciiTheme="minorHAnsi" w:hAnsiTheme="minorHAnsi"/>
          <w:color w:val="auto"/>
        </w:rPr>
        <w:tab/>
      </w:r>
    </w:p>
    <w:p w:rsidR="00D47A26" w:rsidRDefault="00B8751B" w:rsidP="00D47A26">
      <w:pPr>
        <w:tabs>
          <w:tab w:val="left" w:pos="288"/>
          <w:tab w:val="left" w:pos="4680"/>
          <w:tab w:val="left" w:pos="5130"/>
        </w:tabs>
        <w:spacing w:line="240" w:lineRule="exact"/>
        <w:rPr>
          <w:rFonts w:asciiTheme="minorHAnsi" w:hAnsiTheme="minorHAnsi"/>
          <w:color w:val="auto"/>
        </w:rPr>
      </w:pPr>
      <w:r w:rsidRPr="00E63502">
        <w:rPr>
          <w:rFonts w:asciiTheme="minorHAnsi" w:hAnsiTheme="minorHAnsi"/>
          <w:caps/>
          <w:color w:val="auto"/>
        </w:rPr>
        <w:t>BOARD DATE:  2011</w:t>
      </w:r>
      <w:r w:rsidR="00256930">
        <w:rPr>
          <w:rFonts w:asciiTheme="minorHAnsi" w:hAnsiTheme="minorHAnsi"/>
          <w:caps/>
          <w:color w:val="auto"/>
        </w:rPr>
        <w:t>1028</w:t>
      </w:r>
      <w:r w:rsidR="00F456D6" w:rsidRPr="00F456D6">
        <w:rPr>
          <w:rFonts w:asciiTheme="minorHAnsi" w:hAnsiTheme="minorHAnsi"/>
          <w:caps/>
          <w:color w:val="auto"/>
        </w:rPr>
        <w:t xml:space="preserve">   </w:t>
      </w:r>
      <w:r w:rsidR="00F94495">
        <w:rPr>
          <w:rFonts w:asciiTheme="minorHAnsi" w:hAnsiTheme="minorHAnsi"/>
          <w:caps/>
          <w:color w:val="auto"/>
        </w:rPr>
        <w:tab/>
      </w:r>
      <w:r w:rsidR="00513CAA">
        <w:rPr>
          <w:rFonts w:asciiTheme="minorHAnsi" w:hAnsiTheme="minorHAnsi"/>
          <w:caps/>
          <w:color w:val="auto"/>
        </w:rPr>
        <w:t xml:space="preserve">Date of Permanent </w:t>
      </w:r>
      <w:r w:rsidR="00513CAA">
        <w:rPr>
          <w:rFonts w:asciiTheme="minorHAnsi" w:hAnsiTheme="minorHAnsi"/>
          <w:color w:val="auto"/>
        </w:rPr>
        <w:t>SEPARATION</w:t>
      </w:r>
      <w:r w:rsidR="00513CAA" w:rsidRPr="00E63502">
        <w:rPr>
          <w:rFonts w:asciiTheme="minorHAnsi" w:hAnsiTheme="minorHAnsi"/>
          <w:color w:val="auto"/>
        </w:rPr>
        <w:t>:</w:t>
      </w:r>
      <w:r w:rsidR="00513CAA">
        <w:rPr>
          <w:rFonts w:asciiTheme="minorHAnsi" w:hAnsiTheme="minorHAnsi"/>
          <w:color w:val="auto"/>
        </w:rPr>
        <w:t xml:space="preserve">  </w:t>
      </w:r>
      <w:r w:rsidR="00D47A26">
        <w:rPr>
          <w:rFonts w:asciiTheme="minorHAnsi" w:hAnsiTheme="minorHAnsi"/>
          <w:color w:val="auto"/>
        </w:rPr>
        <w:t>20070821</w:t>
      </w:r>
      <w:r w:rsidR="00513CAA" w:rsidRPr="00E63502">
        <w:rPr>
          <w:rFonts w:asciiTheme="minorHAnsi" w:hAnsiTheme="minorHAnsi"/>
          <w:color w:val="auto"/>
        </w:rPr>
        <w:t xml:space="preserve"> </w:t>
      </w:r>
      <w:r w:rsidR="00D47A26">
        <w:rPr>
          <w:rFonts w:asciiTheme="minorHAnsi" w:hAnsiTheme="minorHAnsi"/>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002356" w:rsidRDefault="00FB0E80" w:rsidP="00C654B7">
      <w:pPr>
        <w:tabs>
          <w:tab w:val="left" w:pos="288"/>
          <w:tab w:val="left" w:pos="4752"/>
        </w:tabs>
        <w:spacing w:line="240" w:lineRule="exact"/>
        <w:jc w:val="both"/>
        <w:rPr>
          <w:rFonts w:asciiTheme="minorHAnsi" w:hAnsiTheme="minorHAnsi"/>
          <w:color w:val="auto"/>
        </w:rPr>
      </w:pPr>
      <w:r w:rsidRPr="00CA70CA">
        <w:rPr>
          <w:rFonts w:asciiTheme="minorHAnsi" w:hAnsiTheme="minorHAnsi"/>
          <w:color w:val="auto"/>
          <w:u w:val="single"/>
        </w:rPr>
        <w:t>SUMMARY OF CASE</w:t>
      </w:r>
      <w:r w:rsidRPr="00CA70CA">
        <w:rPr>
          <w:rFonts w:asciiTheme="minorHAnsi" w:hAnsiTheme="minorHAnsi"/>
          <w:color w:val="auto"/>
        </w:rPr>
        <w:t>:</w:t>
      </w:r>
      <w:r w:rsidR="0038402A" w:rsidRPr="00CA70CA">
        <w:rPr>
          <w:rFonts w:asciiTheme="minorHAnsi" w:hAnsiTheme="minorHAnsi"/>
          <w:color w:val="auto"/>
        </w:rPr>
        <w:t xml:space="preserve">  Data extracted from the available evidence of record reflects that this covered individual (CI) </w:t>
      </w:r>
      <w:r w:rsidR="0038402A" w:rsidRPr="00CA70CA">
        <w:rPr>
          <w:rFonts w:asciiTheme="minorHAnsi" w:hAnsiTheme="minorHAnsi"/>
          <w:color w:val="auto"/>
          <w:szCs w:val="24"/>
        </w:rPr>
        <w:t>was an active duty</w:t>
      </w:r>
      <w:r w:rsidR="00406A3E">
        <w:rPr>
          <w:rFonts w:asciiTheme="minorHAnsi" w:hAnsiTheme="minorHAnsi"/>
          <w:color w:val="auto"/>
          <w:szCs w:val="24"/>
        </w:rPr>
        <w:t xml:space="preserve"> SSG/E-6 (89D, </w:t>
      </w:r>
      <w:r w:rsidR="0038402A" w:rsidRPr="00CA70CA">
        <w:rPr>
          <w:rFonts w:asciiTheme="minorHAnsi" w:hAnsiTheme="minorHAnsi"/>
          <w:color w:val="auto"/>
          <w:szCs w:val="24"/>
        </w:rPr>
        <w:t>Explosiv</w:t>
      </w:r>
      <w:r w:rsidR="00406A3E">
        <w:rPr>
          <w:rFonts w:asciiTheme="minorHAnsi" w:hAnsiTheme="minorHAnsi"/>
          <w:color w:val="auto"/>
          <w:szCs w:val="24"/>
        </w:rPr>
        <w:t>e Ordnance Disposal Specialist) medically separated for post-</w:t>
      </w:r>
      <w:r w:rsidR="0038402A" w:rsidRPr="00CA70CA">
        <w:rPr>
          <w:rFonts w:asciiTheme="minorHAnsi" w:hAnsiTheme="minorHAnsi"/>
          <w:color w:val="auto"/>
          <w:szCs w:val="24"/>
        </w:rPr>
        <w:t>traumatic stress disorder (PTSD)</w:t>
      </w:r>
      <w:r w:rsidR="0038402A" w:rsidRPr="00CA70CA">
        <w:rPr>
          <w:rFonts w:asciiTheme="minorHAnsi" w:hAnsiTheme="minorHAnsi"/>
          <w:i/>
          <w:color w:val="auto"/>
          <w:szCs w:val="24"/>
        </w:rPr>
        <w:t>.</w:t>
      </w:r>
      <w:r w:rsidR="0038402A" w:rsidRPr="00CA70CA">
        <w:rPr>
          <w:rFonts w:asciiTheme="minorHAnsi" w:hAnsiTheme="minorHAnsi"/>
          <w:color w:val="auto"/>
          <w:szCs w:val="24"/>
        </w:rPr>
        <w:t xml:space="preserve">  The CI </w:t>
      </w:r>
      <w:r w:rsidR="00A12067" w:rsidRPr="00CA70CA">
        <w:rPr>
          <w:rFonts w:asciiTheme="minorHAnsi" w:hAnsiTheme="minorHAnsi"/>
          <w:color w:val="auto"/>
          <w:szCs w:val="24"/>
        </w:rPr>
        <w:t xml:space="preserve">was involved in a car-bomb blast in Kosovo in November 2004 from which he sustained extensive shrapnel wounds.  </w:t>
      </w:r>
      <w:r w:rsidR="00406A3E">
        <w:rPr>
          <w:rFonts w:asciiTheme="minorHAnsi" w:hAnsiTheme="minorHAnsi"/>
          <w:color w:val="auto"/>
          <w:szCs w:val="24"/>
        </w:rPr>
        <w:t>After redeployment</w:t>
      </w:r>
      <w:r w:rsidR="00E377ED">
        <w:rPr>
          <w:rFonts w:asciiTheme="minorHAnsi" w:hAnsiTheme="minorHAnsi"/>
          <w:color w:val="auto"/>
          <w:szCs w:val="24"/>
        </w:rPr>
        <w:t>,</w:t>
      </w:r>
      <w:r w:rsidR="00CA70CA" w:rsidRPr="00CA70CA">
        <w:rPr>
          <w:rFonts w:asciiTheme="minorHAnsi" w:hAnsiTheme="minorHAnsi"/>
          <w:color w:val="auto"/>
          <w:szCs w:val="24"/>
        </w:rPr>
        <w:t xml:space="preserve"> co-workers noted </w:t>
      </w:r>
      <w:r w:rsidR="00406A3E">
        <w:rPr>
          <w:rFonts w:asciiTheme="minorHAnsi" w:hAnsiTheme="minorHAnsi"/>
          <w:color w:val="auto"/>
          <w:szCs w:val="24"/>
        </w:rPr>
        <w:t>atypical behavior on his part,</w:t>
      </w:r>
      <w:r w:rsidR="00B37802">
        <w:rPr>
          <w:rFonts w:asciiTheme="minorHAnsi" w:hAnsiTheme="minorHAnsi"/>
          <w:color w:val="auto"/>
          <w:szCs w:val="24"/>
        </w:rPr>
        <w:t xml:space="preserve"> leading to a </w:t>
      </w:r>
      <w:r w:rsidR="00CA70CA" w:rsidRPr="00CA70CA">
        <w:rPr>
          <w:rFonts w:asciiTheme="minorHAnsi" w:hAnsiTheme="minorHAnsi"/>
          <w:color w:val="auto"/>
          <w:szCs w:val="24"/>
        </w:rPr>
        <w:t>c</w:t>
      </w:r>
      <w:r w:rsidR="00A12067" w:rsidRPr="00CA70CA">
        <w:rPr>
          <w:rFonts w:asciiTheme="minorHAnsi" w:hAnsiTheme="minorHAnsi"/>
          <w:color w:val="auto"/>
          <w:szCs w:val="24"/>
        </w:rPr>
        <w:t>ommand-</w:t>
      </w:r>
      <w:r w:rsidR="00B37802">
        <w:rPr>
          <w:rFonts w:asciiTheme="minorHAnsi" w:hAnsiTheme="minorHAnsi"/>
          <w:color w:val="auto"/>
          <w:szCs w:val="24"/>
        </w:rPr>
        <w:t xml:space="preserve">referred </w:t>
      </w:r>
      <w:r w:rsidR="0038402A" w:rsidRPr="00CA70CA">
        <w:rPr>
          <w:rFonts w:asciiTheme="minorHAnsi" w:hAnsiTheme="minorHAnsi"/>
          <w:color w:val="auto"/>
          <w:szCs w:val="24"/>
        </w:rPr>
        <w:t>mental health evaluation in June 2005</w:t>
      </w:r>
      <w:r w:rsidR="00CA70CA" w:rsidRPr="00CA70CA">
        <w:rPr>
          <w:rFonts w:asciiTheme="minorHAnsi" w:hAnsiTheme="minorHAnsi"/>
          <w:color w:val="auto"/>
          <w:szCs w:val="24"/>
        </w:rPr>
        <w:t xml:space="preserve">.  </w:t>
      </w:r>
      <w:r w:rsidR="0038402A" w:rsidRPr="00CA70CA">
        <w:rPr>
          <w:rFonts w:asciiTheme="minorHAnsi" w:hAnsiTheme="minorHAnsi"/>
          <w:color w:val="auto"/>
          <w:szCs w:val="24"/>
        </w:rPr>
        <w:t>Criterion A combat stressors were documented and the Diagnostic and Statistical Manual of Mental</w:t>
      </w:r>
      <w:r w:rsidR="0038402A" w:rsidRPr="00017A73">
        <w:rPr>
          <w:rFonts w:asciiTheme="minorHAnsi" w:hAnsiTheme="minorHAnsi"/>
          <w:color w:val="auto"/>
          <w:szCs w:val="24"/>
        </w:rPr>
        <w:t xml:space="preserve"> Disorders (DSM IV) criteria for an Axis I diagnosis of PTSD were met.</w:t>
      </w:r>
      <w:r w:rsidR="0038402A">
        <w:rPr>
          <w:rFonts w:asciiTheme="minorHAnsi" w:hAnsiTheme="minorHAnsi"/>
          <w:color w:val="auto"/>
          <w:szCs w:val="24"/>
        </w:rPr>
        <w:t xml:space="preserve">  </w:t>
      </w:r>
      <w:r w:rsidR="0038402A" w:rsidRPr="00E63502">
        <w:rPr>
          <w:rFonts w:asciiTheme="minorHAnsi" w:hAnsiTheme="minorHAnsi"/>
          <w:color w:val="auto"/>
          <w:szCs w:val="24"/>
        </w:rPr>
        <w:t>He did not respond adequately to treatment and was unable to perform within his Military Occupational Specialty (MOS) or meet physical fitness standards.  He was issued a permanent S</w:t>
      </w:r>
      <w:r w:rsidR="0038402A">
        <w:rPr>
          <w:rFonts w:asciiTheme="minorHAnsi" w:hAnsiTheme="minorHAnsi"/>
          <w:color w:val="auto"/>
          <w:szCs w:val="24"/>
        </w:rPr>
        <w:t>3</w:t>
      </w:r>
      <w:r w:rsidR="0038402A" w:rsidRPr="00E63502">
        <w:rPr>
          <w:rFonts w:asciiTheme="minorHAnsi" w:hAnsiTheme="minorHAnsi"/>
          <w:color w:val="auto"/>
          <w:szCs w:val="24"/>
        </w:rPr>
        <w:t xml:space="preserve"> profile and underwent a Medical Evaluation Board </w:t>
      </w:r>
      <w:proofErr w:type="gramStart"/>
      <w:r w:rsidR="0038402A" w:rsidRPr="00E63502">
        <w:rPr>
          <w:rFonts w:asciiTheme="minorHAnsi" w:hAnsiTheme="minorHAnsi"/>
          <w:color w:val="auto"/>
          <w:szCs w:val="24"/>
        </w:rPr>
        <w:t>(MEB).</w:t>
      </w:r>
      <w:proofErr w:type="gramEnd"/>
      <w:r w:rsidR="0038402A">
        <w:rPr>
          <w:rFonts w:asciiTheme="minorHAnsi" w:hAnsiTheme="minorHAnsi"/>
          <w:color w:val="auto"/>
          <w:szCs w:val="24"/>
        </w:rPr>
        <w:t xml:space="preserve">  PTSD was</w:t>
      </w:r>
      <w:r w:rsidR="0038402A" w:rsidRPr="00E63502">
        <w:rPr>
          <w:rFonts w:asciiTheme="minorHAnsi" w:hAnsiTheme="minorHAnsi"/>
          <w:color w:val="auto"/>
          <w:szCs w:val="24"/>
        </w:rPr>
        <w:t xml:space="preserve"> forwarded to the Physical Evaluation Board (PEB) as medically unacceptable IAW AR 40-501.</w:t>
      </w:r>
      <w:r w:rsidR="0038402A">
        <w:rPr>
          <w:rFonts w:asciiTheme="minorHAnsi" w:hAnsiTheme="minorHAnsi"/>
          <w:color w:val="auto"/>
          <w:szCs w:val="24"/>
        </w:rPr>
        <w:t xml:space="preserve">  Four</w:t>
      </w:r>
      <w:r w:rsidR="0038402A" w:rsidRPr="00E63502">
        <w:rPr>
          <w:rFonts w:asciiTheme="minorHAnsi" w:hAnsiTheme="minorHAnsi"/>
          <w:color w:val="auto"/>
          <w:szCs w:val="24"/>
        </w:rPr>
        <w:t xml:space="preserve"> other conditions, as identified in the rating chart below, were forwarded on the </w:t>
      </w:r>
      <w:r w:rsidR="0038402A">
        <w:rPr>
          <w:rFonts w:asciiTheme="minorHAnsi" w:hAnsiTheme="minorHAnsi"/>
          <w:color w:val="auto"/>
          <w:szCs w:val="24"/>
        </w:rPr>
        <w:t xml:space="preserve">DA </w:t>
      </w:r>
      <w:r w:rsidR="00EC4821">
        <w:rPr>
          <w:rFonts w:asciiTheme="minorHAnsi" w:hAnsiTheme="minorHAnsi"/>
          <w:color w:val="auto"/>
          <w:szCs w:val="24"/>
        </w:rPr>
        <w:t xml:space="preserve">Form </w:t>
      </w:r>
      <w:r w:rsidR="0038402A">
        <w:rPr>
          <w:rFonts w:asciiTheme="minorHAnsi" w:hAnsiTheme="minorHAnsi"/>
          <w:color w:val="auto"/>
          <w:szCs w:val="24"/>
        </w:rPr>
        <w:t>3947</w:t>
      </w:r>
      <w:r w:rsidR="0038402A" w:rsidRPr="00E63502">
        <w:rPr>
          <w:rFonts w:asciiTheme="minorHAnsi" w:hAnsiTheme="minorHAnsi"/>
          <w:color w:val="auto"/>
          <w:szCs w:val="24"/>
        </w:rPr>
        <w:t xml:space="preserve"> submission as medically acceptable conditions</w:t>
      </w:r>
      <w:r w:rsidR="00A81837">
        <w:rPr>
          <w:rFonts w:asciiTheme="minorHAnsi" w:hAnsiTheme="minorHAnsi"/>
          <w:color w:val="auto"/>
          <w:szCs w:val="24"/>
        </w:rPr>
        <w:t>.  O</w:t>
      </w:r>
      <w:r w:rsidR="008975BA">
        <w:rPr>
          <w:rFonts w:asciiTheme="minorHAnsi" w:hAnsiTheme="minorHAnsi"/>
          <w:color w:val="auto"/>
          <w:szCs w:val="24"/>
        </w:rPr>
        <w:t xml:space="preserve">ther </w:t>
      </w:r>
      <w:r w:rsidR="00E15DC4" w:rsidRPr="00C472C7">
        <w:rPr>
          <w:rFonts w:asciiTheme="minorHAnsi" w:hAnsiTheme="minorHAnsi"/>
          <w:color w:val="auto"/>
          <w:szCs w:val="24"/>
        </w:rPr>
        <w:t>conditions included in the</w:t>
      </w:r>
      <w:r w:rsidR="00E15DC4">
        <w:rPr>
          <w:rFonts w:asciiTheme="minorHAnsi" w:hAnsiTheme="minorHAnsi"/>
          <w:color w:val="auto"/>
          <w:szCs w:val="24"/>
        </w:rPr>
        <w:t xml:space="preserve"> </w:t>
      </w:r>
      <w:r w:rsidR="00E15DC4" w:rsidRPr="00D93A41">
        <w:rPr>
          <w:rFonts w:asciiTheme="minorHAnsi" w:hAnsiTheme="minorHAnsi"/>
          <w:color w:val="auto"/>
          <w:szCs w:val="24"/>
        </w:rPr>
        <w:t>Disability Evaluation System (DES)</w:t>
      </w:r>
      <w:r w:rsidR="00E15DC4" w:rsidRPr="00555C66">
        <w:rPr>
          <w:rFonts w:asciiTheme="minorHAnsi" w:hAnsiTheme="minorHAnsi"/>
          <w:color w:val="auto"/>
          <w:szCs w:val="24"/>
        </w:rPr>
        <w:t xml:space="preserve"> </w:t>
      </w:r>
      <w:r w:rsidR="00E15DC4">
        <w:rPr>
          <w:rFonts w:asciiTheme="minorHAnsi" w:hAnsiTheme="minorHAnsi"/>
          <w:color w:val="auto"/>
          <w:szCs w:val="24"/>
        </w:rPr>
        <w:t xml:space="preserve">file </w:t>
      </w:r>
      <w:r w:rsidR="00E15DC4" w:rsidRPr="00C472C7">
        <w:rPr>
          <w:rFonts w:asciiTheme="minorHAnsi" w:hAnsiTheme="minorHAnsi"/>
          <w:color w:val="auto"/>
          <w:szCs w:val="24"/>
        </w:rPr>
        <w:t>will be discussed below.</w:t>
      </w:r>
      <w:r w:rsidR="00E15DC4">
        <w:rPr>
          <w:rFonts w:asciiTheme="minorHAnsi" w:hAnsiTheme="minorHAnsi"/>
          <w:color w:val="auto"/>
          <w:szCs w:val="24"/>
        </w:rPr>
        <w:t xml:space="preserve">  </w:t>
      </w:r>
      <w:r w:rsidR="0038402A" w:rsidRPr="00E63502">
        <w:rPr>
          <w:rFonts w:asciiTheme="minorHAnsi" w:hAnsiTheme="minorHAnsi"/>
          <w:color w:val="auto"/>
          <w:szCs w:val="24"/>
        </w:rPr>
        <w:t xml:space="preserve">The </w:t>
      </w:r>
      <w:r w:rsidR="00F066FE">
        <w:rPr>
          <w:rFonts w:asciiTheme="minorHAnsi" w:hAnsiTheme="minorHAnsi"/>
          <w:color w:val="auto"/>
          <w:szCs w:val="24"/>
        </w:rPr>
        <w:t>I</w:t>
      </w:r>
      <w:r w:rsidR="0038402A" w:rsidRPr="00E8186A">
        <w:rPr>
          <w:rFonts w:asciiTheme="minorHAnsi" w:hAnsiTheme="minorHAnsi"/>
          <w:color w:val="auto"/>
          <w:szCs w:val="24"/>
        </w:rPr>
        <w:t xml:space="preserve">nformal </w:t>
      </w:r>
      <w:r w:rsidR="00406A3E" w:rsidRPr="00E8186A">
        <w:rPr>
          <w:rFonts w:asciiTheme="minorHAnsi" w:hAnsiTheme="minorHAnsi"/>
          <w:color w:val="auto"/>
          <w:szCs w:val="24"/>
        </w:rPr>
        <w:t>PEB adjudicated</w:t>
      </w:r>
      <w:r w:rsidR="0038402A" w:rsidRPr="00E8186A">
        <w:rPr>
          <w:rFonts w:asciiTheme="minorHAnsi" w:hAnsiTheme="minorHAnsi"/>
          <w:color w:val="auto"/>
          <w:szCs w:val="24"/>
        </w:rPr>
        <w:t xml:space="preserve"> the PTSD condition as unfitting, rated 30% with application of </w:t>
      </w:r>
      <w:r w:rsidR="00E15DC4" w:rsidRPr="00E8186A">
        <w:rPr>
          <w:rFonts w:asciiTheme="minorHAnsi" w:hAnsiTheme="minorHAnsi"/>
          <w:color w:val="auto"/>
          <w:szCs w:val="24"/>
        </w:rPr>
        <w:t>Department of Defense Instruction (</w:t>
      </w:r>
      <w:proofErr w:type="spellStart"/>
      <w:r w:rsidR="00E15DC4" w:rsidRPr="00E8186A">
        <w:rPr>
          <w:rFonts w:asciiTheme="minorHAnsi" w:hAnsiTheme="minorHAnsi"/>
          <w:color w:val="auto"/>
          <w:szCs w:val="24"/>
        </w:rPr>
        <w:t>DoDI</w:t>
      </w:r>
      <w:proofErr w:type="spellEnd"/>
      <w:r w:rsidR="00E15DC4" w:rsidRPr="00E8186A">
        <w:rPr>
          <w:rFonts w:asciiTheme="minorHAnsi" w:hAnsiTheme="minorHAnsi"/>
          <w:color w:val="auto"/>
          <w:szCs w:val="24"/>
        </w:rPr>
        <w:t>) 1332.39</w:t>
      </w:r>
      <w:r w:rsidR="0038402A" w:rsidRPr="00E8186A">
        <w:rPr>
          <w:rFonts w:asciiTheme="minorHAnsi" w:hAnsiTheme="minorHAnsi"/>
          <w:color w:val="auto"/>
          <w:szCs w:val="24"/>
        </w:rPr>
        <w:t>.</w:t>
      </w:r>
      <w:r w:rsidR="00E15DC4" w:rsidRPr="00E8186A">
        <w:rPr>
          <w:rFonts w:asciiTheme="minorHAnsi" w:hAnsiTheme="minorHAnsi"/>
          <w:color w:val="auto"/>
          <w:szCs w:val="24"/>
        </w:rPr>
        <w:t xml:space="preserve"> </w:t>
      </w:r>
      <w:r w:rsidR="00B37802">
        <w:rPr>
          <w:rFonts w:asciiTheme="minorHAnsi" w:hAnsiTheme="minorHAnsi"/>
          <w:color w:val="auto"/>
          <w:szCs w:val="24"/>
        </w:rPr>
        <w:t xml:space="preserve"> </w:t>
      </w:r>
      <w:r w:rsidR="00A81837" w:rsidRPr="00E8186A">
        <w:rPr>
          <w:rFonts w:asciiTheme="minorHAnsi" w:hAnsiTheme="minorHAnsi"/>
          <w:color w:val="auto"/>
          <w:szCs w:val="24"/>
        </w:rPr>
        <w:t xml:space="preserve">The </w:t>
      </w:r>
      <w:r w:rsidR="00406A3E">
        <w:rPr>
          <w:rFonts w:asciiTheme="minorHAnsi" w:hAnsiTheme="minorHAnsi"/>
          <w:color w:val="auto"/>
          <w:szCs w:val="24"/>
        </w:rPr>
        <w:t>remaining</w:t>
      </w:r>
      <w:r w:rsidR="00A81837" w:rsidRPr="00E8186A">
        <w:rPr>
          <w:rFonts w:asciiTheme="minorHAnsi" w:hAnsiTheme="minorHAnsi"/>
          <w:color w:val="auto"/>
          <w:szCs w:val="24"/>
        </w:rPr>
        <w:t xml:space="preserve"> conditions </w:t>
      </w:r>
      <w:r w:rsidR="00CF43E1">
        <w:rPr>
          <w:rFonts w:asciiTheme="minorHAnsi" w:hAnsiTheme="minorHAnsi"/>
          <w:color w:val="auto"/>
          <w:szCs w:val="24"/>
        </w:rPr>
        <w:t xml:space="preserve">were </w:t>
      </w:r>
      <w:r w:rsidR="00406A3E">
        <w:rPr>
          <w:rFonts w:asciiTheme="minorHAnsi" w:hAnsiTheme="minorHAnsi"/>
          <w:color w:val="auto"/>
          <w:szCs w:val="24"/>
        </w:rPr>
        <w:t>adjudicated as</w:t>
      </w:r>
      <w:r w:rsidR="00A81837" w:rsidRPr="00E8186A">
        <w:rPr>
          <w:rFonts w:asciiTheme="minorHAnsi" w:hAnsiTheme="minorHAnsi"/>
          <w:color w:val="auto"/>
          <w:szCs w:val="24"/>
        </w:rPr>
        <w:t xml:space="preserve"> not unfitting.  </w:t>
      </w:r>
      <w:r w:rsidR="00E15DC4" w:rsidRPr="00E8186A">
        <w:rPr>
          <w:rFonts w:asciiTheme="minorHAnsi" w:hAnsiTheme="minorHAnsi"/>
          <w:color w:val="auto"/>
          <w:szCs w:val="24"/>
        </w:rPr>
        <w:t xml:space="preserve">The CI was placed on </w:t>
      </w:r>
      <w:r w:rsidR="00A81837" w:rsidRPr="00E8186A">
        <w:rPr>
          <w:rFonts w:asciiTheme="minorHAnsi" w:hAnsiTheme="minorHAnsi"/>
          <w:color w:val="auto"/>
          <w:szCs w:val="24"/>
        </w:rPr>
        <w:t xml:space="preserve">the </w:t>
      </w:r>
      <w:r w:rsidR="00E15DC4" w:rsidRPr="00E8186A">
        <w:rPr>
          <w:rFonts w:asciiTheme="minorHAnsi" w:hAnsiTheme="minorHAnsi"/>
          <w:color w:val="auto"/>
          <w:szCs w:val="24"/>
        </w:rPr>
        <w:t xml:space="preserve">Temporary Disability Retired List (TDRL) </w:t>
      </w:r>
      <w:r w:rsidR="00A81837" w:rsidRPr="00E8186A">
        <w:rPr>
          <w:rFonts w:asciiTheme="minorHAnsi" w:hAnsiTheme="minorHAnsi"/>
          <w:color w:val="auto"/>
          <w:szCs w:val="24"/>
        </w:rPr>
        <w:t xml:space="preserve">in </w:t>
      </w:r>
      <w:r w:rsidR="00A96D7B">
        <w:rPr>
          <w:rFonts w:asciiTheme="minorHAnsi" w:hAnsiTheme="minorHAnsi"/>
          <w:color w:val="auto"/>
          <w:szCs w:val="24"/>
        </w:rPr>
        <w:t xml:space="preserve">February </w:t>
      </w:r>
      <w:r w:rsidR="00D868BA" w:rsidRPr="00E8186A">
        <w:rPr>
          <w:rFonts w:asciiTheme="minorHAnsi" w:hAnsiTheme="minorHAnsi"/>
          <w:color w:val="auto"/>
          <w:szCs w:val="24"/>
        </w:rPr>
        <w:t>200</w:t>
      </w:r>
      <w:r w:rsidR="00A96D7B">
        <w:rPr>
          <w:rFonts w:asciiTheme="minorHAnsi" w:hAnsiTheme="minorHAnsi"/>
          <w:color w:val="auto"/>
          <w:szCs w:val="24"/>
        </w:rPr>
        <w:t>6</w:t>
      </w:r>
      <w:r w:rsidR="00D868BA" w:rsidRPr="00E8186A">
        <w:rPr>
          <w:rFonts w:asciiTheme="minorHAnsi" w:hAnsiTheme="minorHAnsi"/>
          <w:color w:val="auto"/>
          <w:szCs w:val="24"/>
        </w:rPr>
        <w:t xml:space="preserve"> and was reevaluated in February 2007.  </w:t>
      </w:r>
      <w:r w:rsidR="00CF43E1">
        <w:rPr>
          <w:rFonts w:asciiTheme="minorHAnsi" w:hAnsiTheme="minorHAnsi"/>
          <w:color w:val="auto"/>
          <w:szCs w:val="24"/>
        </w:rPr>
        <w:t>Although the</w:t>
      </w:r>
      <w:r w:rsidR="00D868BA" w:rsidRPr="00E8186A">
        <w:rPr>
          <w:rFonts w:asciiTheme="minorHAnsi" w:hAnsiTheme="minorHAnsi"/>
          <w:color w:val="auto"/>
          <w:szCs w:val="24"/>
        </w:rPr>
        <w:t xml:space="preserve"> </w:t>
      </w:r>
      <w:r w:rsidR="00CF43E1">
        <w:rPr>
          <w:rFonts w:asciiTheme="minorHAnsi" w:hAnsiTheme="minorHAnsi"/>
          <w:color w:val="auto"/>
          <w:szCs w:val="24"/>
        </w:rPr>
        <w:t>reviewing psychiatrist recommended continued</w:t>
      </w:r>
      <w:r w:rsidR="00D868BA" w:rsidRPr="00E8186A">
        <w:rPr>
          <w:rFonts w:asciiTheme="minorHAnsi" w:hAnsiTheme="minorHAnsi"/>
          <w:color w:val="auto"/>
          <w:szCs w:val="24"/>
        </w:rPr>
        <w:t xml:space="preserve"> TDRL, the PEB determined </w:t>
      </w:r>
      <w:r w:rsidR="00513CAA" w:rsidRPr="00E8186A">
        <w:rPr>
          <w:rFonts w:asciiTheme="minorHAnsi" w:hAnsiTheme="minorHAnsi"/>
          <w:color w:val="auto"/>
          <w:szCs w:val="24"/>
        </w:rPr>
        <w:t>that the CI’s condition was sufficiently stable for final adjudication</w:t>
      </w:r>
      <w:r w:rsidR="00CF43E1">
        <w:rPr>
          <w:rFonts w:asciiTheme="minorHAnsi" w:hAnsiTheme="minorHAnsi"/>
          <w:color w:val="auto"/>
          <w:szCs w:val="24"/>
        </w:rPr>
        <w:t>.  It was determined to be</w:t>
      </w:r>
      <w:r w:rsidR="00513CAA" w:rsidRPr="00E8186A">
        <w:rPr>
          <w:rFonts w:asciiTheme="minorHAnsi" w:hAnsiTheme="minorHAnsi"/>
          <w:color w:val="auto"/>
          <w:szCs w:val="24"/>
        </w:rPr>
        <w:t xml:space="preserve"> </w:t>
      </w:r>
      <w:r w:rsidR="00CF43E1">
        <w:rPr>
          <w:rFonts w:asciiTheme="minorHAnsi" w:hAnsiTheme="minorHAnsi"/>
          <w:color w:val="auto"/>
          <w:szCs w:val="24"/>
        </w:rPr>
        <w:t>unfitting and</w:t>
      </w:r>
      <w:r w:rsidR="00513CAA" w:rsidRPr="00E8186A">
        <w:rPr>
          <w:rFonts w:asciiTheme="minorHAnsi" w:hAnsiTheme="minorHAnsi"/>
          <w:color w:val="auto"/>
          <w:szCs w:val="24"/>
        </w:rPr>
        <w:t xml:space="preserve"> rated 10%, with </w:t>
      </w:r>
      <w:r w:rsidR="00CF43E1">
        <w:rPr>
          <w:rFonts w:asciiTheme="minorHAnsi" w:hAnsiTheme="minorHAnsi"/>
          <w:color w:val="auto"/>
          <w:szCs w:val="24"/>
        </w:rPr>
        <w:t>presumptive re-</w:t>
      </w:r>
      <w:r w:rsidR="00513CAA" w:rsidRPr="00E8186A">
        <w:rPr>
          <w:rFonts w:asciiTheme="minorHAnsi" w:hAnsiTheme="minorHAnsi"/>
          <w:color w:val="auto"/>
          <w:szCs w:val="24"/>
        </w:rPr>
        <w:t xml:space="preserve">application of </w:t>
      </w:r>
      <w:proofErr w:type="spellStart"/>
      <w:r w:rsidR="00CF43E1">
        <w:rPr>
          <w:rFonts w:asciiTheme="minorHAnsi" w:hAnsiTheme="minorHAnsi"/>
          <w:color w:val="auto"/>
          <w:szCs w:val="24"/>
        </w:rPr>
        <w:t>DoDI</w:t>
      </w:r>
      <w:proofErr w:type="spellEnd"/>
      <w:r w:rsidR="00513CAA" w:rsidRPr="00E8186A">
        <w:rPr>
          <w:rFonts w:asciiTheme="minorHAnsi" w:hAnsiTheme="minorHAnsi"/>
          <w:color w:val="auto"/>
          <w:szCs w:val="24"/>
        </w:rPr>
        <w:t xml:space="preserve"> 1332.39.</w:t>
      </w:r>
      <w:r w:rsidR="00C654B7" w:rsidRPr="00E8186A">
        <w:rPr>
          <w:rFonts w:asciiTheme="minorHAnsi" w:hAnsiTheme="minorHAnsi"/>
          <w:color w:val="auto"/>
          <w:szCs w:val="24"/>
        </w:rPr>
        <w:t xml:space="preserve">  </w:t>
      </w:r>
      <w:r w:rsidR="0038402A" w:rsidRPr="00E8186A">
        <w:rPr>
          <w:rFonts w:asciiTheme="minorHAnsi" w:hAnsiTheme="minorHAnsi"/>
          <w:color w:val="auto"/>
          <w:szCs w:val="24"/>
        </w:rPr>
        <w:t xml:space="preserve">The </w:t>
      </w:r>
      <w:r w:rsidR="00C654B7" w:rsidRPr="00E8186A">
        <w:rPr>
          <w:rFonts w:asciiTheme="minorHAnsi" w:hAnsiTheme="minorHAnsi"/>
          <w:color w:val="auto"/>
          <w:szCs w:val="24"/>
        </w:rPr>
        <w:t xml:space="preserve">CI </w:t>
      </w:r>
      <w:r w:rsidR="00190E48" w:rsidRPr="00E8186A">
        <w:rPr>
          <w:rFonts w:asciiTheme="minorHAnsi" w:hAnsiTheme="minorHAnsi"/>
          <w:color w:val="auto"/>
        </w:rPr>
        <w:t xml:space="preserve">made no appeals </w:t>
      </w:r>
      <w:r w:rsidR="00B20624" w:rsidRPr="00E8186A">
        <w:rPr>
          <w:rFonts w:asciiTheme="minorHAnsi" w:hAnsiTheme="minorHAnsi"/>
          <w:color w:val="auto"/>
        </w:rPr>
        <w:t xml:space="preserve">and was medically separated with </w:t>
      </w:r>
      <w:r w:rsidR="00CF43E1">
        <w:rPr>
          <w:rFonts w:asciiTheme="minorHAnsi" w:hAnsiTheme="minorHAnsi"/>
          <w:color w:val="auto"/>
        </w:rPr>
        <w:t>the</w:t>
      </w:r>
      <w:r w:rsidR="00B20624" w:rsidRPr="00E8186A">
        <w:rPr>
          <w:rFonts w:asciiTheme="minorHAnsi" w:hAnsiTheme="minorHAnsi"/>
          <w:color w:val="auto"/>
        </w:rPr>
        <w:t xml:space="preserve"> </w:t>
      </w:r>
      <w:r w:rsidR="00C654B7" w:rsidRPr="00E8186A">
        <w:rPr>
          <w:rFonts w:asciiTheme="minorHAnsi" w:hAnsiTheme="minorHAnsi"/>
          <w:color w:val="auto"/>
        </w:rPr>
        <w:t>10</w:t>
      </w:r>
      <w:r w:rsidR="00B20624" w:rsidRPr="00E8186A">
        <w:rPr>
          <w:rFonts w:asciiTheme="minorHAnsi" w:hAnsiTheme="minorHAnsi"/>
          <w:color w:val="auto"/>
        </w:rPr>
        <w:t>% rating.</w:t>
      </w:r>
      <w:r w:rsidR="00C654B7">
        <w:rPr>
          <w:rFonts w:asciiTheme="minorHAnsi" w:hAnsiTheme="minorHAnsi"/>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8186A" w:rsidRPr="00396779" w:rsidRDefault="00E8186A" w:rsidP="00E8186A">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Pr>
          <w:rFonts w:asciiTheme="minorHAnsi" w:hAnsiTheme="minorHAnsi"/>
          <w:color w:val="auto"/>
        </w:rPr>
        <w:t xml:space="preserve">  The </w:t>
      </w:r>
      <w:r w:rsidR="00CF43E1">
        <w:rPr>
          <w:rFonts w:asciiTheme="minorHAnsi" w:hAnsiTheme="minorHAnsi"/>
          <w:color w:val="auto"/>
        </w:rPr>
        <w:t>application states</w:t>
      </w:r>
      <w:r>
        <w:rPr>
          <w:rFonts w:asciiTheme="minorHAnsi" w:hAnsiTheme="minorHAnsi"/>
          <w:color w:val="auto"/>
        </w:rPr>
        <w:t xml:space="preserve"> </w:t>
      </w:r>
      <w:r w:rsidRPr="00396779">
        <w:rPr>
          <w:rFonts w:asciiTheme="minorHAnsi" w:hAnsiTheme="minorHAnsi"/>
          <w:color w:val="auto"/>
          <w:szCs w:val="24"/>
        </w:rPr>
        <w:t xml:space="preserve">“I was assigned less than 50% disability rating by the military for my unfitting PTSD upon discharge from active duty. </w:t>
      </w:r>
      <w:r>
        <w:rPr>
          <w:rFonts w:asciiTheme="minorHAnsi" w:hAnsiTheme="minorHAnsi"/>
          <w:color w:val="auto"/>
          <w:szCs w:val="24"/>
        </w:rPr>
        <w:t xml:space="preserve"> </w:t>
      </w:r>
      <w:r w:rsidR="00CF43E1">
        <w:rPr>
          <w:rFonts w:asciiTheme="minorHAnsi" w:hAnsiTheme="minorHAnsi"/>
          <w:color w:val="auto"/>
          <w:szCs w:val="24"/>
        </w:rPr>
        <w:t xml:space="preserve">… </w:t>
      </w:r>
      <w:r w:rsidRPr="00396779">
        <w:rPr>
          <w:rFonts w:asciiTheme="minorHAnsi" w:hAnsiTheme="minorHAnsi"/>
          <w:color w:val="auto"/>
          <w:szCs w:val="24"/>
        </w:rPr>
        <w:t>assign the highest final disability rating applicable consistent with 38 CFR</w:t>
      </w:r>
      <w:r>
        <w:rPr>
          <w:rFonts w:asciiTheme="minorHAnsi" w:hAnsiTheme="minorHAnsi"/>
          <w:color w:val="auto"/>
          <w:szCs w:val="24"/>
        </w:rPr>
        <w:t xml:space="preserve"> </w:t>
      </w:r>
      <w:r w:rsidR="00EE444D">
        <w:rPr>
          <w:rFonts w:asciiTheme="minorHAnsi" w:hAnsiTheme="minorHAnsi"/>
          <w:color w:val="auto"/>
          <w:szCs w:val="24"/>
        </w:rPr>
        <w:t>4.I29 and DOD policy…</w:t>
      </w:r>
      <w:r w:rsidRPr="00326C08">
        <w:rPr>
          <w:rFonts w:asciiTheme="minorHAnsi" w:hAnsiTheme="minorHAnsi"/>
          <w:color w:val="auto"/>
          <w:szCs w:val="24"/>
        </w:rPr>
        <w:t xml:space="preserve">” </w:t>
      </w:r>
      <w:r>
        <w:rPr>
          <w:rFonts w:asciiTheme="minorHAnsi" w:hAnsiTheme="minorHAnsi"/>
          <w:color w:val="auto"/>
          <w:szCs w:val="24"/>
        </w:rPr>
        <w:t xml:space="preserve"> </w:t>
      </w:r>
      <w:r w:rsidRPr="00396779">
        <w:rPr>
          <w:rFonts w:asciiTheme="minorHAnsi" w:hAnsiTheme="minorHAnsi"/>
          <w:color w:val="auto"/>
          <w:szCs w:val="24"/>
        </w:rPr>
        <w:t xml:space="preserve">He additionally </w:t>
      </w:r>
      <w:r w:rsidR="00D258CB">
        <w:rPr>
          <w:rFonts w:asciiTheme="minorHAnsi" w:hAnsiTheme="minorHAnsi"/>
          <w:color w:val="auto"/>
          <w:szCs w:val="24"/>
        </w:rPr>
        <w:t xml:space="preserve">contends </w:t>
      </w:r>
      <w:r w:rsidR="00394ED4">
        <w:rPr>
          <w:rFonts w:asciiTheme="minorHAnsi" w:hAnsiTheme="minorHAnsi"/>
          <w:color w:val="auto"/>
          <w:szCs w:val="24"/>
        </w:rPr>
        <w:t xml:space="preserve">for a change in </w:t>
      </w:r>
      <w:r w:rsidR="00165BAA">
        <w:rPr>
          <w:rFonts w:asciiTheme="minorHAnsi" w:hAnsiTheme="minorHAnsi"/>
          <w:color w:val="auto"/>
          <w:szCs w:val="24"/>
        </w:rPr>
        <w:t xml:space="preserve">the </w:t>
      </w:r>
      <w:r w:rsidR="00394ED4">
        <w:rPr>
          <w:rFonts w:asciiTheme="minorHAnsi" w:hAnsiTheme="minorHAnsi"/>
          <w:color w:val="auto"/>
          <w:szCs w:val="24"/>
        </w:rPr>
        <w:t xml:space="preserve">fitness adjudications </w:t>
      </w:r>
      <w:r w:rsidR="00165BAA">
        <w:rPr>
          <w:rFonts w:asciiTheme="minorHAnsi" w:hAnsiTheme="minorHAnsi"/>
          <w:color w:val="auto"/>
          <w:szCs w:val="24"/>
        </w:rPr>
        <w:t>for</w:t>
      </w:r>
      <w:r w:rsidR="00394ED4">
        <w:rPr>
          <w:rFonts w:asciiTheme="minorHAnsi" w:hAnsiTheme="minorHAnsi"/>
          <w:color w:val="auto"/>
          <w:szCs w:val="24"/>
        </w:rPr>
        <w:t xml:space="preserve"> his other PEB conditions</w:t>
      </w:r>
      <w:r w:rsidR="00D258CB">
        <w:rPr>
          <w:rFonts w:asciiTheme="minorHAnsi" w:hAnsiTheme="minorHAnsi"/>
          <w:color w:val="auto"/>
          <w:szCs w:val="24"/>
        </w:rPr>
        <w:t xml:space="preserve">.  </w:t>
      </w:r>
    </w:p>
    <w:p w:rsidR="0080151B" w:rsidRDefault="0080151B" w:rsidP="0080151B">
      <w:pPr>
        <w:pBdr>
          <w:bottom w:val="single" w:sz="12" w:space="1" w:color="auto"/>
        </w:pBdr>
        <w:spacing w:line="240" w:lineRule="exact"/>
        <w:rPr>
          <w:rFonts w:asciiTheme="minorHAnsi" w:hAnsiTheme="minorHAnsi"/>
          <w:color w:val="auto"/>
          <w:u w:val="single"/>
        </w:rPr>
      </w:pPr>
    </w:p>
    <w:p w:rsidR="0080151B" w:rsidRDefault="0080151B" w:rsidP="00510F9C">
      <w:pPr>
        <w:spacing w:line="240" w:lineRule="exact"/>
        <w:rPr>
          <w:rFonts w:asciiTheme="minorHAnsi" w:hAnsiTheme="minorHAnsi"/>
          <w:color w:val="auto"/>
          <w:u w:val="single"/>
        </w:rPr>
      </w:pPr>
    </w:p>
    <w:p w:rsidR="002338CA" w:rsidRPr="00CF43E1" w:rsidRDefault="007F0AB7" w:rsidP="00CF43E1">
      <w:pPr>
        <w:rPr>
          <w:rFonts w:asciiTheme="minorHAnsi" w:hAnsiTheme="minorHAnsi"/>
          <w:color w:val="auto"/>
          <w:u w:val="single"/>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80151B" w:rsidRDefault="0080151B" w:rsidP="00510F9C">
      <w:pPr>
        <w:spacing w:line="240" w:lineRule="exact"/>
        <w:rPr>
          <w:rFonts w:asciiTheme="minorHAnsi" w:hAnsiTheme="minorHAnsi"/>
          <w:color w:val="auto"/>
        </w:rPr>
      </w:pPr>
    </w:p>
    <w:tbl>
      <w:tblPr>
        <w:tblStyle w:val="TableGrid"/>
        <w:tblW w:w="9364" w:type="dxa"/>
        <w:jc w:val="center"/>
        <w:tblInd w:w="379" w:type="dxa"/>
        <w:tblLayout w:type="fixed"/>
        <w:tblLook w:val="04A0"/>
      </w:tblPr>
      <w:tblGrid>
        <w:gridCol w:w="2252"/>
        <w:gridCol w:w="720"/>
        <w:gridCol w:w="720"/>
        <w:gridCol w:w="588"/>
        <w:gridCol w:w="2121"/>
        <w:gridCol w:w="1080"/>
        <w:gridCol w:w="799"/>
        <w:gridCol w:w="1084"/>
      </w:tblGrid>
      <w:tr w:rsidR="0080151B" w:rsidRPr="00FF1022" w:rsidTr="00F456D6">
        <w:trPr>
          <w:trHeight w:val="233"/>
          <w:jc w:val="center"/>
        </w:trPr>
        <w:tc>
          <w:tcPr>
            <w:tcW w:w="4280" w:type="dxa"/>
            <w:gridSpan w:val="4"/>
            <w:tcBorders>
              <w:right w:val="thinThickThinSmallGap" w:sz="24" w:space="0" w:color="auto"/>
            </w:tcBorders>
            <w:shd w:val="clear" w:color="auto" w:fill="D9D9D9" w:themeFill="background1" w:themeFillShade="D9"/>
            <w:vAlign w:val="center"/>
          </w:tcPr>
          <w:p w:rsidR="0080151B" w:rsidRPr="00B06930" w:rsidRDefault="0080151B" w:rsidP="00F456D6">
            <w:pPr>
              <w:spacing w:line="240" w:lineRule="exact"/>
              <w:contextualSpacing/>
              <w:jc w:val="center"/>
              <w:rPr>
                <w:b/>
                <w:color w:val="auto"/>
                <w:sz w:val="20"/>
                <w:szCs w:val="20"/>
              </w:rPr>
            </w:pPr>
            <w:r w:rsidRPr="00B06930">
              <w:rPr>
                <w:b/>
                <w:color w:val="auto"/>
                <w:sz w:val="20"/>
                <w:szCs w:val="20"/>
              </w:rPr>
              <w:t>Final Service PEB – Dated 200</w:t>
            </w:r>
            <w:r>
              <w:rPr>
                <w:b/>
                <w:color w:val="auto"/>
                <w:sz w:val="20"/>
                <w:szCs w:val="20"/>
              </w:rPr>
              <w:t>70702</w:t>
            </w:r>
          </w:p>
        </w:tc>
        <w:tc>
          <w:tcPr>
            <w:tcW w:w="5084" w:type="dxa"/>
            <w:gridSpan w:val="4"/>
            <w:tcBorders>
              <w:left w:val="thinThickThinSmallGap" w:sz="24" w:space="0" w:color="auto"/>
            </w:tcBorders>
            <w:shd w:val="clear" w:color="auto" w:fill="D9D9D9" w:themeFill="background1" w:themeFillShade="D9"/>
            <w:vAlign w:val="center"/>
          </w:tcPr>
          <w:p w:rsidR="0080151B" w:rsidRPr="00B06930" w:rsidRDefault="0080151B" w:rsidP="00394ED4">
            <w:pPr>
              <w:spacing w:line="240" w:lineRule="exact"/>
              <w:contextualSpacing/>
              <w:jc w:val="center"/>
              <w:rPr>
                <w:b/>
                <w:color w:val="auto"/>
                <w:sz w:val="20"/>
                <w:szCs w:val="20"/>
              </w:rPr>
            </w:pPr>
            <w:r w:rsidRPr="006937C6">
              <w:rPr>
                <w:b/>
                <w:color w:val="auto"/>
                <w:sz w:val="20"/>
                <w:szCs w:val="20"/>
              </w:rPr>
              <w:t>VA</w:t>
            </w:r>
            <w:r w:rsidR="00394ED4">
              <w:rPr>
                <w:b/>
                <w:color w:val="auto"/>
                <w:sz w:val="20"/>
                <w:szCs w:val="20"/>
              </w:rPr>
              <w:t xml:space="preserve"> </w:t>
            </w:r>
            <w:r w:rsidRPr="00B06930">
              <w:rPr>
                <w:b/>
                <w:color w:val="auto"/>
                <w:sz w:val="20"/>
                <w:szCs w:val="20"/>
              </w:rPr>
              <w:t xml:space="preserve"> –</w:t>
            </w:r>
            <w:r w:rsidR="00394ED4">
              <w:rPr>
                <w:b/>
                <w:color w:val="auto"/>
                <w:sz w:val="20"/>
                <w:szCs w:val="20"/>
              </w:rPr>
              <w:t xml:space="preserve"> </w:t>
            </w:r>
            <w:r w:rsidRPr="00B06930">
              <w:rPr>
                <w:b/>
                <w:color w:val="auto"/>
                <w:sz w:val="20"/>
                <w:szCs w:val="20"/>
              </w:rPr>
              <w:t xml:space="preserve">Effective </w:t>
            </w:r>
            <w:r w:rsidRPr="00E63502">
              <w:rPr>
                <w:b/>
                <w:color w:val="auto"/>
                <w:sz w:val="20"/>
                <w:szCs w:val="20"/>
              </w:rPr>
              <w:t>Date 200</w:t>
            </w:r>
            <w:r>
              <w:rPr>
                <w:b/>
                <w:color w:val="auto"/>
                <w:sz w:val="20"/>
                <w:szCs w:val="20"/>
              </w:rPr>
              <w:t>60216</w:t>
            </w:r>
          </w:p>
        </w:tc>
      </w:tr>
      <w:tr w:rsidR="0080151B" w:rsidRPr="00FF1022" w:rsidTr="00F456D6">
        <w:trPr>
          <w:trHeight w:val="233"/>
          <w:jc w:val="center"/>
        </w:trPr>
        <w:tc>
          <w:tcPr>
            <w:tcW w:w="2252" w:type="dxa"/>
            <w:tcBorders>
              <w:bottom w:val="single" w:sz="4" w:space="0" w:color="000000" w:themeColor="text1"/>
            </w:tcBorders>
            <w:shd w:val="clear" w:color="auto" w:fill="D9D9D9" w:themeFill="background1" w:themeFillShade="D9"/>
            <w:vAlign w:val="center"/>
          </w:tcPr>
          <w:p w:rsidR="0080151B" w:rsidRPr="00B06930" w:rsidRDefault="0080151B" w:rsidP="00F456D6">
            <w:pPr>
              <w:spacing w:line="240" w:lineRule="exact"/>
              <w:contextualSpacing/>
              <w:jc w:val="center"/>
              <w:rPr>
                <w:b/>
                <w:color w:val="auto"/>
                <w:sz w:val="20"/>
                <w:szCs w:val="20"/>
              </w:rPr>
            </w:pPr>
            <w:r w:rsidRPr="00B06930">
              <w:rPr>
                <w:b/>
                <w:color w:val="auto"/>
                <w:sz w:val="20"/>
                <w:szCs w:val="20"/>
              </w:rPr>
              <w:t>Condition</w:t>
            </w:r>
          </w:p>
        </w:tc>
        <w:tc>
          <w:tcPr>
            <w:tcW w:w="720" w:type="dxa"/>
            <w:tcBorders>
              <w:bottom w:val="single" w:sz="4" w:space="0" w:color="000000" w:themeColor="text1"/>
            </w:tcBorders>
            <w:shd w:val="clear" w:color="auto" w:fill="D9D9D9" w:themeFill="background1" w:themeFillShade="D9"/>
            <w:vAlign w:val="center"/>
          </w:tcPr>
          <w:p w:rsidR="0080151B" w:rsidRPr="00B06930" w:rsidRDefault="0080151B" w:rsidP="00F456D6">
            <w:pPr>
              <w:spacing w:line="240" w:lineRule="exact"/>
              <w:contextualSpacing/>
              <w:jc w:val="center"/>
              <w:rPr>
                <w:b/>
                <w:color w:val="auto"/>
                <w:sz w:val="20"/>
                <w:szCs w:val="20"/>
              </w:rPr>
            </w:pPr>
            <w:r w:rsidRPr="00B06930">
              <w:rPr>
                <w:b/>
                <w:color w:val="auto"/>
                <w:sz w:val="20"/>
                <w:szCs w:val="20"/>
              </w:rPr>
              <w:t>Code</w:t>
            </w:r>
          </w:p>
        </w:tc>
        <w:tc>
          <w:tcPr>
            <w:tcW w:w="1308"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0151B" w:rsidRPr="00B06930" w:rsidRDefault="0080151B" w:rsidP="00F456D6">
            <w:pPr>
              <w:spacing w:line="240" w:lineRule="exact"/>
              <w:contextualSpacing/>
              <w:jc w:val="center"/>
              <w:rPr>
                <w:b/>
                <w:color w:val="auto"/>
                <w:sz w:val="20"/>
                <w:szCs w:val="20"/>
              </w:rPr>
            </w:pPr>
            <w:r w:rsidRPr="00B06930">
              <w:rPr>
                <w:b/>
                <w:color w:val="auto"/>
                <w:sz w:val="20"/>
                <w:szCs w:val="20"/>
              </w:rPr>
              <w:t>Rating</w:t>
            </w:r>
          </w:p>
        </w:tc>
        <w:tc>
          <w:tcPr>
            <w:tcW w:w="2121" w:type="dxa"/>
            <w:vMerge w:val="restart"/>
            <w:tcBorders>
              <w:left w:val="thinThickThinSmallGap" w:sz="24" w:space="0" w:color="auto"/>
            </w:tcBorders>
            <w:shd w:val="clear" w:color="auto" w:fill="D9D9D9" w:themeFill="background1" w:themeFillShade="D9"/>
            <w:vAlign w:val="center"/>
          </w:tcPr>
          <w:p w:rsidR="0080151B" w:rsidRPr="00B06930" w:rsidRDefault="0080151B" w:rsidP="00F456D6">
            <w:pPr>
              <w:spacing w:line="240" w:lineRule="exact"/>
              <w:contextualSpacing/>
              <w:jc w:val="center"/>
              <w:rPr>
                <w:b/>
                <w:color w:val="auto"/>
                <w:sz w:val="20"/>
                <w:szCs w:val="20"/>
              </w:rPr>
            </w:pPr>
            <w:r w:rsidRPr="00B06930">
              <w:rPr>
                <w:b/>
                <w:color w:val="auto"/>
                <w:sz w:val="20"/>
                <w:szCs w:val="20"/>
              </w:rPr>
              <w:t>Condition</w:t>
            </w:r>
          </w:p>
        </w:tc>
        <w:tc>
          <w:tcPr>
            <w:tcW w:w="1080" w:type="dxa"/>
            <w:vMerge w:val="restart"/>
            <w:shd w:val="clear" w:color="auto" w:fill="D9D9D9" w:themeFill="background1" w:themeFillShade="D9"/>
            <w:vAlign w:val="center"/>
          </w:tcPr>
          <w:p w:rsidR="0080151B" w:rsidRPr="00B06930" w:rsidRDefault="0080151B" w:rsidP="00F456D6">
            <w:pPr>
              <w:spacing w:line="240" w:lineRule="exact"/>
              <w:contextualSpacing/>
              <w:jc w:val="center"/>
              <w:rPr>
                <w:b/>
                <w:color w:val="auto"/>
                <w:sz w:val="20"/>
                <w:szCs w:val="20"/>
              </w:rPr>
            </w:pPr>
            <w:r w:rsidRPr="00B06930">
              <w:rPr>
                <w:b/>
                <w:color w:val="auto"/>
                <w:sz w:val="20"/>
                <w:szCs w:val="20"/>
              </w:rPr>
              <w:t>Code</w:t>
            </w:r>
          </w:p>
        </w:tc>
        <w:tc>
          <w:tcPr>
            <w:tcW w:w="799" w:type="dxa"/>
            <w:vMerge w:val="restart"/>
            <w:shd w:val="clear" w:color="auto" w:fill="D9D9D9" w:themeFill="background1" w:themeFillShade="D9"/>
            <w:vAlign w:val="center"/>
          </w:tcPr>
          <w:p w:rsidR="0080151B" w:rsidRPr="00B06930" w:rsidRDefault="0080151B" w:rsidP="00F456D6">
            <w:pPr>
              <w:spacing w:line="240" w:lineRule="exact"/>
              <w:contextualSpacing/>
              <w:jc w:val="center"/>
              <w:rPr>
                <w:b/>
                <w:color w:val="auto"/>
                <w:sz w:val="20"/>
                <w:szCs w:val="20"/>
              </w:rPr>
            </w:pPr>
            <w:r w:rsidRPr="00B06930">
              <w:rPr>
                <w:b/>
                <w:color w:val="auto"/>
                <w:sz w:val="20"/>
                <w:szCs w:val="20"/>
              </w:rPr>
              <w:t>Rating</w:t>
            </w:r>
          </w:p>
        </w:tc>
        <w:tc>
          <w:tcPr>
            <w:tcW w:w="1084" w:type="dxa"/>
            <w:vMerge w:val="restart"/>
            <w:shd w:val="clear" w:color="auto" w:fill="D9D9D9" w:themeFill="background1" w:themeFillShade="D9"/>
            <w:vAlign w:val="center"/>
          </w:tcPr>
          <w:p w:rsidR="0080151B" w:rsidRPr="00B06930" w:rsidRDefault="0080151B" w:rsidP="00F456D6">
            <w:pPr>
              <w:spacing w:line="240" w:lineRule="exact"/>
              <w:contextualSpacing/>
              <w:jc w:val="center"/>
              <w:rPr>
                <w:b/>
                <w:color w:val="auto"/>
                <w:sz w:val="20"/>
                <w:szCs w:val="20"/>
              </w:rPr>
            </w:pPr>
            <w:r w:rsidRPr="00B06930">
              <w:rPr>
                <w:b/>
                <w:color w:val="auto"/>
                <w:sz w:val="20"/>
                <w:szCs w:val="20"/>
              </w:rPr>
              <w:t>Exam</w:t>
            </w:r>
          </w:p>
        </w:tc>
      </w:tr>
      <w:tr w:rsidR="0080151B" w:rsidRPr="00FF1022" w:rsidTr="00F456D6">
        <w:trPr>
          <w:trHeight w:val="152"/>
          <w:jc w:val="center"/>
        </w:trPr>
        <w:tc>
          <w:tcPr>
            <w:tcW w:w="2252" w:type="dxa"/>
            <w:shd w:val="clear" w:color="auto" w:fill="D9D9D9" w:themeFill="background1" w:themeFillShade="D9"/>
            <w:vAlign w:val="center"/>
          </w:tcPr>
          <w:p w:rsidR="0080151B" w:rsidRPr="00B06930" w:rsidRDefault="0080151B" w:rsidP="00F456D6">
            <w:pPr>
              <w:spacing w:line="240" w:lineRule="exact"/>
              <w:contextualSpacing/>
              <w:jc w:val="center"/>
              <w:rPr>
                <w:b/>
                <w:color w:val="auto"/>
                <w:sz w:val="20"/>
                <w:szCs w:val="20"/>
              </w:rPr>
            </w:pPr>
            <w:r w:rsidRPr="00B06930">
              <w:rPr>
                <w:b/>
                <w:color w:val="auto"/>
                <w:sz w:val="20"/>
                <w:szCs w:val="20"/>
              </w:rPr>
              <w:t xml:space="preserve">On TDRL </w:t>
            </w:r>
            <w:r>
              <w:rPr>
                <w:b/>
                <w:color w:val="auto"/>
                <w:sz w:val="20"/>
                <w:szCs w:val="20"/>
              </w:rPr>
              <w:t>–</w:t>
            </w:r>
            <w:r w:rsidRPr="00B06930">
              <w:rPr>
                <w:b/>
                <w:color w:val="auto"/>
                <w:sz w:val="20"/>
                <w:szCs w:val="20"/>
              </w:rPr>
              <w:t xml:space="preserve"> 200</w:t>
            </w:r>
            <w:r>
              <w:rPr>
                <w:b/>
                <w:color w:val="auto"/>
                <w:sz w:val="20"/>
                <w:szCs w:val="20"/>
              </w:rPr>
              <w:t>60215</w:t>
            </w:r>
          </w:p>
        </w:tc>
        <w:tc>
          <w:tcPr>
            <w:tcW w:w="720" w:type="dxa"/>
            <w:shd w:val="clear" w:color="auto" w:fill="D9D9D9" w:themeFill="background1" w:themeFillShade="D9"/>
            <w:vAlign w:val="center"/>
          </w:tcPr>
          <w:p w:rsidR="0080151B" w:rsidRPr="00B06930" w:rsidRDefault="0080151B" w:rsidP="00F456D6">
            <w:pPr>
              <w:spacing w:line="24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80151B" w:rsidRPr="00B06930" w:rsidRDefault="0080151B" w:rsidP="00F456D6">
            <w:pPr>
              <w:spacing w:line="240" w:lineRule="exact"/>
              <w:contextualSpacing/>
              <w:jc w:val="center"/>
              <w:rPr>
                <w:b/>
                <w:color w:val="auto"/>
                <w:sz w:val="20"/>
                <w:szCs w:val="20"/>
              </w:rPr>
            </w:pPr>
            <w:r w:rsidRPr="00B06930">
              <w:rPr>
                <w:b/>
                <w:color w:val="auto"/>
                <w:sz w:val="20"/>
                <w:szCs w:val="20"/>
              </w:rPr>
              <w:t>TDRL</w:t>
            </w:r>
          </w:p>
        </w:tc>
        <w:tc>
          <w:tcPr>
            <w:tcW w:w="588" w:type="dxa"/>
            <w:tcBorders>
              <w:left w:val="single" w:sz="4" w:space="0" w:color="auto"/>
              <w:right w:val="thinThickThinSmallGap" w:sz="24" w:space="0" w:color="auto"/>
            </w:tcBorders>
            <w:shd w:val="clear" w:color="auto" w:fill="D9D9D9" w:themeFill="background1" w:themeFillShade="D9"/>
            <w:vAlign w:val="center"/>
          </w:tcPr>
          <w:p w:rsidR="0080151B" w:rsidRPr="00B06930" w:rsidRDefault="0080151B" w:rsidP="00F456D6">
            <w:pPr>
              <w:tabs>
                <w:tab w:val="left" w:pos="206"/>
                <w:tab w:val="center" w:pos="387"/>
              </w:tabs>
              <w:spacing w:line="240" w:lineRule="exact"/>
              <w:contextualSpacing/>
              <w:jc w:val="center"/>
              <w:rPr>
                <w:b/>
                <w:color w:val="auto"/>
                <w:sz w:val="20"/>
                <w:szCs w:val="20"/>
              </w:rPr>
            </w:pPr>
            <w:r w:rsidRPr="00B06930">
              <w:rPr>
                <w:b/>
                <w:color w:val="auto"/>
                <w:sz w:val="20"/>
                <w:szCs w:val="20"/>
              </w:rPr>
              <w:t>Sep.</w:t>
            </w:r>
          </w:p>
        </w:tc>
        <w:tc>
          <w:tcPr>
            <w:tcW w:w="2121" w:type="dxa"/>
            <w:vMerge/>
            <w:tcBorders>
              <w:left w:val="thinThickThinSmallGap" w:sz="24" w:space="0" w:color="auto"/>
            </w:tcBorders>
            <w:shd w:val="clear" w:color="auto" w:fill="D9D9D9" w:themeFill="background1" w:themeFillShade="D9"/>
            <w:vAlign w:val="center"/>
          </w:tcPr>
          <w:p w:rsidR="0080151B" w:rsidRPr="00B06930" w:rsidRDefault="0080151B" w:rsidP="00F456D6">
            <w:pPr>
              <w:spacing w:line="240" w:lineRule="exact"/>
              <w:contextualSpacing/>
              <w:rPr>
                <w:b/>
                <w:color w:val="auto"/>
                <w:sz w:val="20"/>
                <w:szCs w:val="20"/>
              </w:rPr>
            </w:pPr>
          </w:p>
        </w:tc>
        <w:tc>
          <w:tcPr>
            <w:tcW w:w="1080" w:type="dxa"/>
            <w:vMerge/>
            <w:shd w:val="clear" w:color="auto" w:fill="C6D9F1" w:themeFill="text2" w:themeFillTint="33"/>
          </w:tcPr>
          <w:p w:rsidR="0080151B" w:rsidRPr="00B06930" w:rsidRDefault="0080151B" w:rsidP="00F456D6">
            <w:pPr>
              <w:spacing w:line="240" w:lineRule="exact"/>
              <w:contextualSpacing/>
              <w:jc w:val="center"/>
              <w:rPr>
                <w:color w:val="auto"/>
                <w:sz w:val="20"/>
                <w:szCs w:val="20"/>
              </w:rPr>
            </w:pPr>
          </w:p>
        </w:tc>
        <w:tc>
          <w:tcPr>
            <w:tcW w:w="799" w:type="dxa"/>
            <w:vMerge/>
            <w:shd w:val="clear" w:color="auto" w:fill="C6D9F1" w:themeFill="text2" w:themeFillTint="33"/>
          </w:tcPr>
          <w:p w:rsidR="0080151B" w:rsidRPr="00B06930" w:rsidRDefault="0080151B" w:rsidP="00F456D6">
            <w:pPr>
              <w:spacing w:line="240" w:lineRule="exact"/>
              <w:contextualSpacing/>
              <w:jc w:val="center"/>
              <w:rPr>
                <w:color w:val="auto"/>
                <w:sz w:val="20"/>
                <w:szCs w:val="20"/>
              </w:rPr>
            </w:pPr>
          </w:p>
        </w:tc>
        <w:tc>
          <w:tcPr>
            <w:tcW w:w="1084" w:type="dxa"/>
            <w:vMerge/>
            <w:shd w:val="clear" w:color="auto" w:fill="C6D9F1" w:themeFill="text2" w:themeFillTint="33"/>
          </w:tcPr>
          <w:p w:rsidR="0080151B" w:rsidRPr="00B06930" w:rsidRDefault="0080151B" w:rsidP="00F456D6">
            <w:pPr>
              <w:spacing w:line="240" w:lineRule="exact"/>
              <w:contextualSpacing/>
              <w:jc w:val="center"/>
              <w:rPr>
                <w:color w:val="auto"/>
                <w:sz w:val="20"/>
                <w:szCs w:val="20"/>
              </w:rPr>
            </w:pPr>
          </w:p>
        </w:tc>
      </w:tr>
      <w:tr w:rsidR="0080151B" w:rsidRPr="00E63502" w:rsidTr="00F456D6">
        <w:trPr>
          <w:trHeight w:val="125"/>
          <w:jc w:val="center"/>
        </w:trPr>
        <w:tc>
          <w:tcPr>
            <w:tcW w:w="2252" w:type="dxa"/>
            <w:tcBorders>
              <w:right w:val="single" w:sz="4" w:space="0" w:color="auto"/>
            </w:tcBorders>
            <w:shd w:val="clear" w:color="auto" w:fill="FFFFFF" w:themeFill="background1"/>
            <w:vAlign w:val="center"/>
          </w:tcPr>
          <w:p w:rsidR="0080151B" w:rsidRPr="00E63502" w:rsidRDefault="0080151B" w:rsidP="00F456D6">
            <w:pPr>
              <w:spacing w:line="220" w:lineRule="exact"/>
              <w:contextualSpacing/>
              <w:rPr>
                <w:color w:val="auto"/>
                <w:sz w:val="18"/>
                <w:szCs w:val="18"/>
              </w:rPr>
            </w:pPr>
            <w:r>
              <w:rPr>
                <w:color w:val="auto"/>
                <w:sz w:val="18"/>
                <w:szCs w:val="18"/>
              </w:rPr>
              <w:t>PTSD</w:t>
            </w:r>
          </w:p>
        </w:tc>
        <w:tc>
          <w:tcPr>
            <w:tcW w:w="720" w:type="dxa"/>
            <w:tcBorders>
              <w:left w:val="single" w:sz="4" w:space="0" w:color="auto"/>
            </w:tcBorders>
            <w:shd w:val="clear" w:color="auto" w:fill="FFFFFF" w:themeFill="background1"/>
            <w:tcMar>
              <w:left w:w="130" w:type="dxa"/>
              <w:right w:w="115" w:type="dxa"/>
            </w:tcMar>
            <w:vAlign w:val="center"/>
          </w:tcPr>
          <w:p w:rsidR="0080151B" w:rsidRPr="00E63502" w:rsidRDefault="0080151B" w:rsidP="00F456D6">
            <w:pPr>
              <w:spacing w:line="220" w:lineRule="exact"/>
              <w:contextualSpacing/>
              <w:jc w:val="center"/>
              <w:rPr>
                <w:color w:val="auto"/>
                <w:sz w:val="18"/>
                <w:szCs w:val="18"/>
              </w:rPr>
            </w:pPr>
            <w:r>
              <w:rPr>
                <w:color w:val="auto"/>
                <w:sz w:val="18"/>
                <w:szCs w:val="18"/>
              </w:rPr>
              <w:t>9411</w:t>
            </w:r>
          </w:p>
        </w:tc>
        <w:tc>
          <w:tcPr>
            <w:tcW w:w="720" w:type="dxa"/>
            <w:tcBorders>
              <w:right w:val="single" w:sz="4" w:space="0" w:color="auto"/>
            </w:tcBorders>
            <w:shd w:val="clear" w:color="auto" w:fill="FFFFFF" w:themeFill="background1"/>
            <w:vAlign w:val="center"/>
          </w:tcPr>
          <w:p w:rsidR="0080151B" w:rsidRPr="00E63502" w:rsidRDefault="0080151B" w:rsidP="00F456D6">
            <w:pPr>
              <w:spacing w:line="220" w:lineRule="exact"/>
              <w:jc w:val="center"/>
              <w:rPr>
                <w:color w:val="auto"/>
              </w:rPr>
            </w:pPr>
            <w:r>
              <w:rPr>
                <w:color w:val="auto"/>
                <w:sz w:val="18"/>
                <w:szCs w:val="18"/>
              </w:rPr>
              <w:t>30%</w:t>
            </w:r>
          </w:p>
        </w:tc>
        <w:tc>
          <w:tcPr>
            <w:tcW w:w="588" w:type="dxa"/>
            <w:tcBorders>
              <w:left w:val="single" w:sz="4" w:space="0" w:color="auto"/>
              <w:right w:val="thinThickThinSmallGap" w:sz="24" w:space="0" w:color="auto"/>
            </w:tcBorders>
            <w:shd w:val="clear" w:color="auto" w:fill="FFFFFF" w:themeFill="background1"/>
            <w:vAlign w:val="center"/>
          </w:tcPr>
          <w:p w:rsidR="0080151B" w:rsidRPr="00E63502" w:rsidRDefault="0080151B" w:rsidP="00F456D6">
            <w:pPr>
              <w:spacing w:line="220" w:lineRule="exact"/>
              <w:jc w:val="center"/>
              <w:rPr>
                <w:color w:val="auto"/>
              </w:rPr>
            </w:pPr>
            <w:r>
              <w:rPr>
                <w:color w:val="auto"/>
                <w:sz w:val="18"/>
                <w:szCs w:val="18"/>
              </w:rPr>
              <w:t>10</w:t>
            </w:r>
            <w:r w:rsidRPr="00E63502">
              <w:rPr>
                <w:color w:val="auto"/>
                <w:sz w:val="18"/>
                <w:szCs w:val="18"/>
              </w:rPr>
              <w:t>%</w:t>
            </w:r>
          </w:p>
        </w:tc>
        <w:tc>
          <w:tcPr>
            <w:tcW w:w="2121" w:type="dxa"/>
            <w:tcBorders>
              <w:left w:val="thinThickThinSmallGap" w:sz="24" w:space="0" w:color="auto"/>
            </w:tcBorders>
            <w:shd w:val="clear" w:color="auto" w:fill="FFFFFF" w:themeFill="background1"/>
            <w:vAlign w:val="center"/>
          </w:tcPr>
          <w:p w:rsidR="0080151B" w:rsidRPr="00E63502" w:rsidRDefault="0080151B" w:rsidP="00F456D6">
            <w:pPr>
              <w:spacing w:line="220" w:lineRule="exact"/>
              <w:contextualSpacing/>
              <w:rPr>
                <w:color w:val="auto"/>
                <w:sz w:val="18"/>
                <w:szCs w:val="18"/>
              </w:rPr>
            </w:pPr>
            <w:r>
              <w:rPr>
                <w:color w:val="auto"/>
                <w:sz w:val="18"/>
                <w:szCs w:val="18"/>
              </w:rPr>
              <w:t>PTSD</w:t>
            </w:r>
          </w:p>
        </w:tc>
        <w:tc>
          <w:tcPr>
            <w:tcW w:w="1080" w:type="dxa"/>
            <w:shd w:val="clear" w:color="auto" w:fill="FFFFFF" w:themeFill="background1"/>
            <w:vAlign w:val="center"/>
          </w:tcPr>
          <w:p w:rsidR="0080151B" w:rsidRPr="00E63502" w:rsidRDefault="0080151B" w:rsidP="00F456D6">
            <w:pPr>
              <w:spacing w:line="220" w:lineRule="exact"/>
              <w:contextualSpacing/>
              <w:jc w:val="center"/>
              <w:rPr>
                <w:color w:val="auto"/>
                <w:sz w:val="18"/>
                <w:szCs w:val="18"/>
              </w:rPr>
            </w:pPr>
            <w:r>
              <w:rPr>
                <w:color w:val="auto"/>
                <w:sz w:val="18"/>
                <w:szCs w:val="18"/>
              </w:rPr>
              <w:t>9411</w:t>
            </w:r>
          </w:p>
        </w:tc>
        <w:tc>
          <w:tcPr>
            <w:tcW w:w="799" w:type="dxa"/>
            <w:shd w:val="clear" w:color="auto" w:fill="FFFFFF" w:themeFill="background1"/>
            <w:vAlign w:val="center"/>
          </w:tcPr>
          <w:p w:rsidR="0080151B" w:rsidRPr="00E63502" w:rsidRDefault="0080151B" w:rsidP="00F456D6">
            <w:pPr>
              <w:spacing w:line="220" w:lineRule="exact"/>
              <w:contextualSpacing/>
              <w:jc w:val="center"/>
              <w:rPr>
                <w:color w:val="auto"/>
                <w:sz w:val="18"/>
                <w:szCs w:val="18"/>
              </w:rPr>
            </w:pPr>
            <w:r>
              <w:rPr>
                <w:color w:val="auto"/>
                <w:sz w:val="18"/>
                <w:szCs w:val="18"/>
              </w:rPr>
              <w:t>50</w:t>
            </w:r>
            <w:r w:rsidRPr="00E63502">
              <w:rPr>
                <w:color w:val="auto"/>
                <w:sz w:val="18"/>
                <w:szCs w:val="18"/>
              </w:rPr>
              <w:t>%</w:t>
            </w:r>
          </w:p>
        </w:tc>
        <w:tc>
          <w:tcPr>
            <w:tcW w:w="1084" w:type="dxa"/>
            <w:shd w:val="clear" w:color="auto" w:fill="FFFFFF" w:themeFill="background1"/>
            <w:vAlign w:val="center"/>
          </w:tcPr>
          <w:p w:rsidR="0080151B" w:rsidRPr="00E63502" w:rsidRDefault="008C2CEF" w:rsidP="00F456D6">
            <w:pPr>
              <w:spacing w:line="220" w:lineRule="exact"/>
              <w:contextualSpacing/>
              <w:jc w:val="center"/>
              <w:rPr>
                <w:color w:val="auto"/>
                <w:sz w:val="18"/>
                <w:szCs w:val="18"/>
              </w:rPr>
            </w:pPr>
            <w:r>
              <w:rPr>
                <w:color w:val="auto"/>
                <w:sz w:val="18"/>
                <w:szCs w:val="18"/>
              </w:rPr>
              <w:t>STR</w:t>
            </w:r>
            <w:r w:rsidR="00394ED4">
              <w:rPr>
                <w:color w:val="auto"/>
                <w:sz w:val="18"/>
                <w:szCs w:val="18"/>
              </w:rPr>
              <w:t>/VATR*</w:t>
            </w:r>
            <w:r w:rsidR="0080151B">
              <w:rPr>
                <w:color w:val="auto"/>
                <w:sz w:val="18"/>
                <w:szCs w:val="18"/>
              </w:rPr>
              <w:t xml:space="preserve"> </w:t>
            </w:r>
          </w:p>
        </w:tc>
      </w:tr>
      <w:tr w:rsidR="0080151B" w:rsidRPr="00E63502" w:rsidTr="00F456D6">
        <w:trPr>
          <w:trHeight w:val="125"/>
          <w:jc w:val="center"/>
        </w:trPr>
        <w:tc>
          <w:tcPr>
            <w:tcW w:w="2252" w:type="dxa"/>
            <w:tcBorders>
              <w:right w:val="single" w:sz="4" w:space="0" w:color="auto"/>
            </w:tcBorders>
            <w:shd w:val="clear" w:color="auto" w:fill="FFFFFF" w:themeFill="background1"/>
            <w:vAlign w:val="center"/>
          </w:tcPr>
          <w:p w:rsidR="0080151B" w:rsidRDefault="0080151B" w:rsidP="00F456D6">
            <w:pPr>
              <w:spacing w:line="220" w:lineRule="exact"/>
              <w:contextualSpacing/>
              <w:rPr>
                <w:color w:val="auto"/>
                <w:sz w:val="18"/>
                <w:szCs w:val="18"/>
              </w:rPr>
            </w:pPr>
            <w:r>
              <w:rPr>
                <w:color w:val="auto"/>
                <w:sz w:val="18"/>
                <w:szCs w:val="18"/>
              </w:rPr>
              <w:t>Blast Injury to Right Hand</w:t>
            </w:r>
          </w:p>
        </w:tc>
        <w:tc>
          <w:tcPr>
            <w:tcW w:w="2028" w:type="dxa"/>
            <w:gridSpan w:val="3"/>
            <w:tcBorders>
              <w:left w:val="single" w:sz="4" w:space="0" w:color="auto"/>
              <w:right w:val="thinThickThinSmallGap" w:sz="24" w:space="0" w:color="auto"/>
            </w:tcBorders>
            <w:shd w:val="clear" w:color="auto" w:fill="FFFFFF" w:themeFill="background1"/>
            <w:tcMar>
              <w:left w:w="43" w:type="dxa"/>
              <w:right w:w="29" w:type="dxa"/>
            </w:tcMar>
            <w:vAlign w:val="center"/>
          </w:tcPr>
          <w:p w:rsidR="0080151B" w:rsidRDefault="0080151B" w:rsidP="00F456D6">
            <w:pPr>
              <w:spacing w:line="220" w:lineRule="exact"/>
              <w:jc w:val="center"/>
              <w:rPr>
                <w:color w:val="auto"/>
                <w:sz w:val="18"/>
                <w:szCs w:val="18"/>
              </w:rPr>
            </w:pPr>
            <w:r>
              <w:rPr>
                <w:color w:val="auto"/>
                <w:sz w:val="18"/>
                <w:szCs w:val="18"/>
              </w:rPr>
              <w:t>Not Unfitting</w:t>
            </w:r>
          </w:p>
        </w:tc>
        <w:tc>
          <w:tcPr>
            <w:tcW w:w="2121" w:type="dxa"/>
            <w:tcBorders>
              <w:left w:val="thinThickThinSmallGap" w:sz="24" w:space="0" w:color="auto"/>
            </w:tcBorders>
            <w:shd w:val="clear" w:color="auto" w:fill="FFFFFF" w:themeFill="background1"/>
            <w:vAlign w:val="center"/>
          </w:tcPr>
          <w:p w:rsidR="0080151B" w:rsidRPr="006B1B97" w:rsidRDefault="0080151B" w:rsidP="00F456D6">
            <w:pPr>
              <w:spacing w:line="220" w:lineRule="exact"/>
              <w:contextualSpacing/>
              <w:rPr>
                <w:color w:val="auto"/>
                <w:sz w:val="18"/>
                <w:szCs w:val="18"/>
              </w:rPr>
            </w:pPr>
            <w:r w:rsidRPr="006B1B97">
              <w:rPr>
                <w:color w:val="auto"/>
                <w:sz w:val="18"/>
                <w:szCs w:val="18"/>
              </w:rPr>
              <w:t>R Hand Wound Residuals</w:t>
            </w:r>
          </w:p>
        </w:tc>
        <w:tc>
          <w:tcPr>
            <w:tcW w:w="1080" w:type="dxa"/>
            <w:shd w:val="clear" w:color="auto" w:fill="FFFFFF" w:themeFill="background1"/>
            <w:vAlign w:val="center"/>
          </w:tcPr>
          <w:p w:rsidR="0080151B" w:rsidRPr="006B1B97" w:rsidRDefault="0080151B" w:rsidP="00F456D6">
            <w:pPr>
              <w:spacing w:line="220" w:lineRule="exact"/>
              <w:contextualSpacing/>
              <w:jc w:val="center"/>
              <w:rPr>
                <w:color w:val="auto"/>
                <w:sz w:val="18"/>
                <w:szCs w:val="18"/>
              </w:rPr>
            </w:pPr>
            <w:r w:rsidRPr="006B1B97">
              <w:rPr>
                <w:color w:val="auto"/>
                <w:sz w:val="18"/>
                <w:szCs w:val="18"/>
              </w:rPr>
              <w:t>8515-5228</w:t>
            </w:r>
          </w:p>
        </w:tc>
        <w:tc>
          <w:tcPr>
            <w:tcW w:w="799" w:type="dxa"/>
            <w:shd w:val="clear" w:color="auto" w:fill="FFFFFF" w:themeFill="background1"/>
            <w:vAlign w:val="center"/>
          </w:tcPr>
          <w:p w:rsidR="0080151B" w:rsidRPr="006B1B97" w:rsidRDefault="0080151B" w:rsidP="00F456D6">
            <w:pPr>
              <w:spacing w:line="220" w:lineRule="exact"/>
              <w:contextualSpacing/>
              <w:jc w:val="center"/>
              <w:rPr>
                <w:color w:val="auto"/>
                <w:sz w:val="18"/>
                <w:szCs w:val="18"/>
              </w:rPr>
            </w:pPr>
            <w:r w:rsidRPr="006B1B97">
              <w:rPr>
                <w:color w:val="auto"/>
                <w:sz w:val="18"/>
                <w:szCs w:val="18"/>
              </w:rPr>
              <w:t>0%</w:t>
            </w:r>
          </w:p>
        </w:tc>
        <w:tc>
          <w:tcPr>
            <w:tcW w:w="1084" w:type="dxa"/>
            <w:shd w:val="clear" w:color="auto" w:fill="FFFFFF" w:themeFill="background1"/>
            <w:vAlign w:val="center"/>
          </w:tcPr>
          <w:p w:rsidR="0080151B" w:rsidRDefault="0080151B" w:rsidP="00F456D6">
            <w:pPr>
              <w:spacing w:line="220" w:lineRule="exact"/>
              <w:contextualSpacing/>
              <w:jc w:val="center"/>
              <w:rPr>
                <w:color w:val="auto"/>
                <w:sz w:val="18"/>
                <w:szCs w:val="18"/>
              </w:rPr>
            </w:pPr>
            <w:r w:rsidRPr="00E63502">
              <w:rPr>
                <w:color w:val="auto"/>
                <w:sz w:val="18"/>
                <w:szCs w:val="18"/>
              </w:rPr>
              <w:t>200</w:t>
            </w:r>
            <w:r>
              <w:rPr>
                <w:color w:val="auto"/>
                <w:sz w:val="18"/>
                <w:szCs w:val="18"/>
              </w:rPr>
              <w:t>70407</w:t>
            </w:r>
          </w:p>
        </w:tc>
      </w:tr>
      <w:tr w:rsidR="0080151B" w:rsidRPr="00E63502" w:rsidTr="00F456D6">
        <w:trPr>
          <w:trHeight w:val="107"/>
          <w:jc w:val="center"/>
        </w:trPr>
        <w:tc>
          <w:tcPr>
            <w:tcW w:w="2252" w:type="dxa"/>
            <w:tcBorders>
              <w:right w:val="single" w:sz="4" w:space="0" w:color="auto"/>
            </w:tcBorders>
            <w:shd w:val="clear" w:color="auto" w:fill="FFFFFF" w:themeFill="background1"/>
            <w:vAlign w:val="center"/>
          </w:tcPr>
          <w:p w:rsidR="0080151B" w:rsidRDefault="0080151B" w:rsidP="00F456D6">
            <w:pPr>
              <w:spacing w:line="220" w:lineRule="exact"/>
              <w:contextualSpacing/>
              <w:rPr>
                <w:color w:val="auto"/>
                <w:sz w:val="18"/>
                <w:szCs w:val="18"/>
              </w:rPr>
            </w:pPr>
            <w:r>
              <w:rPr>
                <w:color w:val="auto"/>
                <w:sz w:val="18"/>
                <w:szCs w:val="18"/>
              </w:rPr>
              <w:t>Low Back Pain</w:t>
            </w:r>
          </w:p>
        </w:tc>
        <w:tc>
          <w:tcPr>
            <w:tcW w:w="2028" w:type="dxa"/>
            <w:gridSpan w:val="3"/>
            <w:tcBorders>
              <w:left w:val="single" w:sz="4" w:space="0" w:color="auto"/>
              <w:right w:val="thinThickThinSmallGap" w:sz="24" w:space="0" w:color="auto"/>
            </w:tcBorders>
            <w:shd w:val="clear" w:color="auto" w:fill="FFFFFF" w:themeFill="background1"/>
            <w:tcMar>
              <w:left w:w="43" w:type="dxa"/>
              <w:right w:w="29" w:type="dxa"/>
            </w:tcMar>
          </w:tcPr>
          <w:p w:rsidR="0080151B" w:rsidRDefault="0080151B" w:rsidP="00F456D6">
            <w:pPr>
              <w:spacing w:line="220" w:lineRule="exact"/>
              <w:jc w:val="center"/>
            </w:pPr>
            <w:r w:rsidRPr="00AC64CE">
              <w:rPr>
                <w:color w:val="auto"/>
                <w:sz w:val="18"/>
                <w:szCs w:val="18"/>
              </w:rPr>
              <w:t>Not Unfitting</w:t>
            </w:r>
          </w:p>
        </w:tc>
        <w:tc>
          <w:tcPr>
            <w:tcW w:w="2121" w:type="dxa"/>
            <w:tcBorders>
              <w:left w:val="thinThickThinSmallGap" w:sz="24" w:space="0" w:color="auto"/>
            </w:tcBorders>
            <w:shd w:val="clear" w:color="auto" w:fill="FFFFFF" w:themeFill="background1"/>
            <w:vAlign w:val="center"/>
          </w:tcPr>
          <w:p w:rsidR="0080151B" w:rsidRPr="006B1B97" w:rsidRDefault="0080151B" w:rsidP="00F456D6">
            <w:pPr>
              <w:spacing w:line="220" w:lineRule="exact"/>
              <w:contextualSpacing/>
              <w:rPr>
                <w:color w:val="auto"/>
                <w:sz w:val="18"/>
                <w:szCs w:val="18"/>
              </w:rPr>
            </w:pPr>
            <w:r w:rsidRPr="006B1B97">
              <w:rPr>
                <w:color w:val="auto"/>
                <w:sz w:val="18"/>
                <w:szCs w:val="18"/>
              </w:rPr>
              <w:t>Low Back Strain</w:t>
            </w:r>
          </w:p>
        </w:tc>
        <w:tc>
          <w:tcPr>
            <w:tcW w:w="1080" w:type="dxa"/>
            <w:shd w:val="clear" w:color="auto" w:fill="FFFFFF" w:themeFill="background1"/>
          </w:tcPr>
          <w:p w:rsidR="0080151B" w:rsidRPr="006B1B97" w:rsidRDefault="0080151B" w:rsidP="00F456D6">
            <w:pPr>
              <w:spacing w:line="220" w:lineRule="exact"/>
              <w:contextualSpacing/>
              <w:jc w:val="center"/>
              <w:rPr>
                <w:color w:val="auto"/>
                <w:sz w:val="18"/>
                <w:szCs w:val="18"/>
              </w:rPr>
            </w:pPr>
            <w:r w:rsidRPr="006B1B97">
              <w:rPr>
                <w:color w:val="auto"/>
                <w:sz w:val="18"/>
                <w:szCs w:val="18"/>
              </w:rPr>
              <w:t>5237</w:t>
            </w:r>
          </w:p>
        </w:tc>
        <w:tc>
          <w:tcPr>
            <w:tcW w:w="799" w:type="dxa"/>
            <w:shd w:val="clear" w:color="auto" w:fill="FFFFFF" w:themeFill="background1"/>
          </w:tcPr>
          <w:p w:rsidR="0080151B" w:rsidRPr="006B1B97" w:rsidRDefault="0080151B" w:rsidP="00F456D6">
            <w:pPr>
              <w:spacing w:line="220" w:lineRule="exact"/>
              <w:contextualSpacing/>
              <w:jc w:val="center"/>
              <w:rPr>
                <w:color w:val="auto"/>
                <w:sz w:val="18"/>
                <w:szCs w:val="18"/>
              </w:rPr>
            </w:pPr>
            <w:r w:rsidRPr="006B1B97">
              <w:rPr>
                <w:color w:val="auto"/>
                <w:sz w:val="18"/>
                <w:szCs w:val="18"/>
              </w:rPr>
              <w:t>10%</w:t>
            </w:r>
          </w:p>
        </w:tc>
        <w:tc>
          <w:tcPr>
            <w:tcW w:w="1084" w:type="dxa"/>
            <w:shd w:val="clear" w:color="auto" w:fill="FFFFFF" w:themeFill="background1"/>
            <w:vAlign w:val="center"/>
          </w:tcPr>
          <w:p w:rsidR="0080151B" w:rsidRPr="00E63502" w:rsidRDefault="0080151B" w:rsidP="00F456D6">
            <w:pPr>
              <w:spacing w:line="220" w:lineRule="exact"/>
              <w:contextualSpacing/>
              <w:jc w:val="center"/>
              <w:rPr>
                <w:color w:val="auto"/>
                <w:sz w:val="18"/>
                <w:szCs w:val="18"/>
              </w:rPr>
            </w:pPr>
            <w:r w:rsidRPr="00E63502">
              <w:rPr>
                <w:color w:val="auto"/>
                <w:sz w:val="18"/>
                <w:szCs w:val="18"/>
              </w:rPr>
              <w:t>200</w:t>
            </w:r>
            <w:r>
              <w:rPr>
                <w:color w:val="auto"/>
                <w:sz w:val="18"/>
                <w:szCs w:val="18"/>
              </w:rPr>
              <w:t>70407</w:t>
            </w:r>
          </w:p>
        </w:tc>
      </w:tr>
      <w:tr w:rsidR="0080151B" w:rsidRPr="00E63502" w:rsidTr="00F456D6">
        <w:trPr>
          <w:trHeight w:val="143"/>
          <w:jc w:val="center"/>
        </w:trPr>
        <w:tc>
          <w:tcPr>
            <w:tcW w:w="2252" w:type="dxa"/>
            <w:tcBorders>
              <w:right w:val="single" w:sz="4" w:space="0" w:color="auto"/>
            </w:tcBorders>
            <w:shd w:val="clear" w:color="auto" w:fill="FFFFFF" w:themeFill="background1"/>
            <w:vAlign w:val="center"/>
          </w:tcPr>
          <w:p w:rsidR="0080151B" w:rsidRDefault="0080151B" w:rsidP="00F456D6">
            <w:pPr>
              <w:spacing w:line="220" w:lineRule="exact"/>
              <w:contextualSpacing/>
              <w:rPr>
                <w:color w:val="auto"/>
                <w:sz w:val="18"/>
                <w:szCs w:val="18"/>
              </w:rPr>
            </w:pPr>
            <w:r>
              <w:rPr>
                <w:color w:val="auto"/>
                <w:sz w:val="18"/>
                <w:szCs w:val="18"/>
              </w:rPr>
              <w:t>Right Wrist Pain</w:t>
            </w:r>
          </w:p>
        </w:tc>
        <w:tc>
          <w:tcPr>
            <w:tcW w:w="2028" w:type="dxa"/>
            <w:gridSpan w:val="3"/>
            <w:tcBorders>
              <w:left w:val="single" w:sz="4" w:space="0" w:color="auto"/>
              <w:right w:val="thinThickThinSmallGap" w:sz="24" w:space="0" w:color="auto"/>
            </w:tcBorders>
            <w:shd w:val="clear" w:color="auto" w:fill="FFFFFF" w:themeFill="background1"/>
            <w:tcMar>
              <w:left w:w="43" w:type="dxa"/>
              <w:right w:w="29" w:type="dxa"/>
            </w:tcMar>
          </w:tcPr>
          <w:p w:rsidR="0080151B" w:rsidRDefault="0080151B" w:rsidP="00F456D6">
            <w:pPr>
              <w:spacing w:line="220" w:lineRule="exact"/>
              <w:jc w:val="center"/>
            </w:pPr>
            <w:r w:rsidRPr="00AC64CE">
              <w:rPr>
                <w:color w:val="auto"/>
                <w:sz w:val="18"/>
                <w:szCs w:val="18"/>
              </w:rPr>
              <w:t>Not Unfitting</w:t>
            </w:r>
          </w:p>
        </w:tc>
        <w:tc>
          <w:tcPr>
            <w:tcW w:w="2121" w:type="dxa"/>
            <w:vMerge w:val="restart"/>
            <w:tcBorders>
              <w:left w:val="thinThickThinSmallGap" w:sz="24" w:space="0" w:color="auto"/>
            </w:tcBorders>
            <w:shd w:val="clear" w:color="auto" w:fill="FFFFFF" w:themeFill="background1"/>
            <w:vAlign w:val="center"/>
          </w:tcPr>
          <w:p w:rsidR="0080151B" w:rsidRPr="006B1B97" w:rsidRDefault="0080151B" w:rsidP="00F456D6">
            <w:pPr>
              <w:spacing w:line="220" w:lineRule="exact"/>
              <w:contextualSpacing/>
              <w:rPr>
                <w:color w:val="auto"/>
                <w:sz w:val="18"/>
                <w:szCs w:val="18"/>
              </w:rPr>
            </w:pPr>
            <w:r w:rsidRPr="006B1B97">
              <w:rPr>
                <w:color w:val="auto"/>
                <w:sz w:val="18"/>
                <w:szCs w:val="18"/>
              </w:rPr>
              <w:t>Right Wrist Wound</w:t>
            </w:r>
          </w:p>
        </w:tc>
        <w:tc>
          <w:tcPr>
            <w:tcW w:w="1080" w:type="dxa"/>
            <w:vMerge w:val="restart"/>
            <w:shd w:val="clear" w:color="auto" w:fill="FFFFFF" w:themeFill="background1"/>
            <w:vAlign w:val="center"/>
          </w:tcPr>
          <w:p w:rsidR="0080151B" w:rsidRPr="006B1B97" w:rsidRDefault="0080151B" w:rsidP="00F456D6">
            <w:pPr>
              <w:spacing w:line="220" w:lineRule="exact"/>
              <w:contextualSpacing/>
              <w:jc w:val="center"/>
              <w:rPr>
                <w:color w:val="auto"/>
                <w:sz w:val="18"/>
                <w:szCs w:val="18"/>
              </w:rPr>
            </w:pPr>
            <w:r w:rsidRPr="006B1B97">
              <w:rPr>
                <w:color w:val="auto"/>
                <w:sz w:val="18"/>
                <w:szCs w:val="18"/>
              </w:rPr>
              <w:t>8515</w:t>
            </w:r>
          </w:p>
        </w:tc>
        <w:tc>
          <w:tcPr>
            <w:tcW w:w="799" w:type="dxa"/>
            <w:vMerge w:val="restart"/>
            <w:shd w:val="clear" w:color="auto" w:fill="FFFFFF" w:themeFill="background1"/>
            <w:vAlign w:val="center"/>
          </w:tcPr>
          <w:p w:rsidR="0080151B" w:rsidRPr="006B1B97" w:rsidRDefault="0080151B" w:rsidP="00F456D6">
            <w:pPr>
              <w:spacing w:line="220" w:lineRule="exact"/>
              <w:contextualSpacing/>
              <w:jc w:val="center"/>
              <w:rPr>
                <w:color w:val="auto"/>
                <w:sz w:val="18"/>
                <w:szCs w:val="18"/>
              </w:rPr>
            </w:pPr>
            <w:r w:rsidRPr="006B1B97">
              <w:rPr>
                <w:color w:val="auto"/>
                <w:sz w:val="18"/>
                <w:szCs w:val="18"/>
              </w:rPr>
              <w:t>0%</w:t>
            </w:r>
          </w:p>
        </w:tc>
        <w:tc>
          <w:tcPr>
            <w:tcW w:w="1084" w:type="dxa"/>
            <w:vMerge w:val="restart"/>
            <w:shd w:val="clear" w:color="auto" w:fill="FFFFFF" w:themeFill="background1"/>
            <w:vAlign w:val="center"/>
          </w:tcPr>
          <w:p w:rsidR="0080151B" w:rsidRDefault="0080151B" w:rsidP="00F456D6">
            <w:pPr>
              <w:spacing w:line="220" w:lineRule="exact"/>
              <w:contextualSpacing/>
              <w:jc w:val="center"/>
              <w:rPr>
                <w:color w:val="auto"/>
                <w:sz w:val="18"/>
                <w:szCs w:val="18"/>
              </w:rPr>
            </w:pPr>
            <w:r w:rsidRPr="00E63502">
              <w:rPr>
                <w:color w:val="auto"/>
                <w:sz w:val="18"/>
                <w:szCs w:val="18"/>
              </w:rPr>
              <w:t>200</w:t>
            </w:r>
            <w:r>
              <w:rPr>
                <w:color w:val="auto"/>
                <w:sz w:val="18"/>
                <w:szCs w:val="18"/>
              </w:rPr>
              <w:t>70407</w:t>
            </w:r>
          </w:p>
        </w:tc>
      </w:tr>
      <w:tr w:rsidR="0080151B" w:rsidRPr="00E63502" w:rsidTr="00F456D6">
        <w:trPr>
          <w:trHeight w:val="125"/>
          <w:jc w:val="center"/>
        </w:trPr>
        <w:tc>
          <w:tcPr>
            <w:tcW w:w="2252" w:type="dxa"/>
            <w:tcBorders>
              <w:right w:val="single" w:sz="4" w:space="0" w:color="auto"/>
            </w:tcBorders>
            <w:shd w:val="clear" w:color="auto" w:fill="FFFFFF" w:themeFill="background1"/>
            <w:vAlign w:val="center"/>
          </w:tcPr>
          <w:p w:rsidR="0080151B" w:rsidRDefault="00F456D6" w:rsidP="00F456D6">
            <w:pPr>
              <w:spacing w:line="220" w:lineRule="exact"/>
              <w:contextualSpacing/>
              <w:rPr>
                <w:color w:val="auto"/>
                <w:sz w:val="18"/>
                <w:szCs w:val="18"/>
              </w:rPr>
            </w:pPr>
            <w:r>
              <w:rPr>
                <w:color w:val="auto"/>
                <w:sz w:val="18"/>
                <w:szCs w:val="18"/>
              </w:rPr>
              <w:t xml:space="preserve">R Wrist Numbness, </w:t>
            </w:r>
            <w:r w:rsidR="0080151B">
              <w:rPr>
                <w:color w:val="auto"/>
                <w:sz w:val="18"/>
                <w:szCs w:val="18"/>
              </w:rPr>
              <w:t>Tingling</w:t>
            </w:r>
          </w:p>
        </w:tc>
        <w:tc>
          <w:tcPr>
            <w:tcW w:w="2028" w:type="dxa"/>
            <w:gridSpan w:val="3"/>
            <w:tcBorders>
              <w:left w:val="single" w:sz="4" w:space="0" w:color="auto"/>
              <w:right w:val="thinThickThinSmallGap" w:sz="24" w:space="0" w:color="auto"/>
            </w:tcBorders>
            <w:shd w:val="clear" w:color="auto" w:fill="FFFFFF" w:themeFill="background1"/>
            <w:tcMar>
              <w:left w:w="43" w:type="dxa"/>
              <w:right w:w="29" w:type="dxa"/>
            </w:tcMar>
          </w:tcPr>
          <w:p w:rsidR="0080151B" w:rsidRDefault="0080151B" w:rsidP="00F456D6">
            <w:pPr>
              <w:spacing w:line="220" w:lineRule="exact"/>
              <w:jc w:val="center"/>
            </w:pPr>
            <w:r w:rsidRPr="00AC64CE">
              <w:rPr>
                <w:color w:val="auto"/>
                <w:sz w:val="18"/>
                <w:szCs w:val="18"/>
              </w:rPr>
              <w:t>Not Unfitting</w:t>
            </w:r>
          </w:p>
        </w:tc>
        <w:tc>
          <w:tcPr>
            <w:tcW w:w="2121" w:type="dxa"/>
            <w:vMerge/>
            <w:tcBorders>
              <w:left w:val="thinThickThinSmallGap" w:sz="24" w:space="0" w:color="auto"/>
            </w:tcBorders>
            <w:shd w:val="clear" w:color="auto" w:fill="FFFFFF" w:themeFill="background1"/>
            <w:vAlign w:val="center"/>
          </w:tcPr>
          <w:p w:rsidR="0080151B" w:rsidRPr="006B1B97" w:rsidRDefault="0080151B" w:rsidP="00F456D6">
            <w:pPr>
              <w:spacing w:line="220" w:lineRule="exact"/>
              <w:contextualSpacing/>
              <w:rPr>
                <w:color w:val="auto"/>
                <w:sz w:val="18"/>
                <w:szCs w:val="18"/>
              </w:rPr>
            </w:pPr>
          </w:p>
        </w:tc>
        <w:tc>
          <w:tcPr>
            <w:tcW w:w="1080" w:type="dxa"/>
            <w:vMerge/>
            <w:shd w:val="clear" w:color="auto" w:fill="FFFFFF" w:themeFill="background1"/>
            <w:vAlign w:val="center"/>
          </w:tcPr>
          <w:p w:rsidR="0080151B" w:rsidRPr="006B1B97" w:rsidRDefault="0080151B" w:rsidP="00F456D6">
            <w:pPr>
              <w:spacing w:line="220" w:lineRule="exact"/>
              <w:contextualSpacing/>
              <w:jc w:val="center"/>
              <w:rPr>
                <w:color w:val="auto"/>
                <w:sz w:val="18"/>
                <w:szCs w:val="18"/>
              </w:rPr>
            </w:pPr>
          </w:p>
        </w:tc>
        <w:tc>
          <w:tcPr>
            <w:tcW w:w="799" w:type="dxa"/>
            <w:vMerge/>
            <w:shd w:val="clear" w:color="auto" w:fill="FFFFFF" w:themeFill="background1"/>
            <w:vAlign w:val="center"/>
          </w:tcPr>
          <w:p w:rsidR="0080151B" w:rsidRPr="006B1B97" w:rsidRDefault="0080151B" w:rsidP="00F456D6">
            <w:pPr>
              <w:spacing w:line="220" w:lineRule="exact"/>
              <w:contextualSpacing/>
              <w:jc w:val="center"/>
              <w:rPr>
                <w:color w:val="auto"/>
                <w:sz w:val="18"/>
                <w:szCs w:val="18"/>
              </w:rPr>
            </w:pPr>
          </w:p>
        </w:tc>
        <w:tc>
          <w:tcPr>
            <w:tcW w:w="1084" w:type="dxa"/>
            <w:vMerge/>
            <w:shd w:val="clear" w:color="auto" w:fill="FFFFFF" w:themeFill="background1"/>
            <w:vAlign w:val="center"/>
          </w:tcPr>
          <w:p w:rsidR="0080151B" w:rsidRDefault="0080151B" w:rsidP="00F456D6">
            <w:pPr>
              <w:spacing w:line="220" w:lineRule="exact"/>
              <w:contextualSpacing/>
              <w:jc w:val="center"/>
              <w:rPr>
                <w:color w:val="auto"/>
                <w:sz w:val="18"/>
                <w:szCs w:val="18"/>
              </w:rPr>
            </w:pPr>
          </w:p>
        </w:tc>
      </w:tr>
      <w:tr w:rsidR="0080151B" w:rsidRPr="00E63502" w:rsidTr="00F456D6">
        <w:trPr>
          <w:trHeight w:val="125"/>
          <w:jc w:val="center"/>
        </w:trPr>
        <w:tc>
          <w:tcPr>
            <w:tcW w:w="4280" w:type="dxa"/>
            <w:gridSpan w:val="4"/>
            <w:vMerge w:val="restart"/>
            <w:tcBorders>
              <w:right w:val="thinThickThinSmallGap" w:sz="24" w:space="0" w:color="auto"/>
            </w:tcBorders>
            <w:shd w:val="clear" w:color="auto" w:fill="FFFFFF" w:themeFill="background1"/>
          </w:tcPr>
          <w:p w:rsidR="0080151B" w:rsidRPr="00E63502" w:rsidRDefault="0080151B" w:rsidP="00F456D6">
            <w:pPr>
              <w:spacing w:line="220" w:lineRule="exact"/>
              <w:contextualSpacing/>
              <w:jc w:val="center"/>
              <w:rPr>
                <w:color w:val="auto"/>
              </w:rPr>
            </w:pPr>
            <w:r w:rsidRPr="00E63502">
              <w:rPr>
                <w:color w:val="auto"/>
                <w:sz w:val="18"/>
                <w:szCs w:val="18"/>
              </w:rPr>
              <w:t>↓No Additional MEB/PEB Entries↓</w:t>
            </w:r>
          </w:p>
        </w:tc>
        <w:tc>
          <w:tcPr>
            <w:tcW w:w="2121" w:type="dxa"/>
            <w:tcBorders>
              <w:left w:val="thinThickThinSmallGap" w:sz="24" w:space="0" w:color="auto"/>
            </w:tcBorders>
            <w:shd w:val="clear" w:color="auto" w:fill="FFFFFF" w:themeFill="background1"/>
            <w:vAlign w:val="center"/>
          </w:tcPr>
          <w:p w:rsidR="0080151B" w:rsidRPr="006B1B97" w:rsidRDefault="0080151B" w:rsidP="00F456D6">
            <w:pPr>
              <w:spacing w:line="220" w:lineRule="exact"/>
              <w:contextualSpacing/>
              <w:rPr>
                <w:color w:val="auto"/>
                <w:sz w:val="18"/>
                <w:szCs w:val="18"/>
              </w:rPr>
            </w:pPr>
            <w:r w:rsidRPr="006B1B97">
              <w:rPr>
                <w:color w:val="auto"/>
                <w:sz w:val="18"/>
                <w:szCs w:val="18"/>
              </w:rPr>
              <w:t>C-Spine Strain</w:t>
            </w:r>
          </w:p>
        </w:tc>
        <w:tc>
          <w:tcPr>
            <w:tcW w:w="1080" w:type="dxa"/>
            <w:shd w:val="clear" w:color="auto" w:fill="FFFFFF" w:themeFill="background1"/>
            <w:vAlign w:val="center"/>
          </w:tcPr>
          <w:p w:rsidR="0080151B" w:rsidRPr="006B1B97" w:rsidRDefault="0080151B" w:rsidP="00F456D6">
            <w:pPr>
              <w:spacing w:line="220" w:lineRule="exact"/>
              <w:contextualSpacing/>
              <w:jc w:val="center"/>
              <w:rPr>
                <w:color w:val="auto"/>
                <w:sz w:val="18"/>
                <w:szCs w:val="18"/>
              </w:rPr>
            </w:pPr>
            <w:r w:rsidRPr="006B1B97">
              <w:rPr>
                <w:color w:val="auto"/>
                <w:sz w:val="18"/>
                <w:szCs w:val="18"/>
              </w:rPr>
              <w:t>5237</w:t>
            </w:r>
          </w:p>
        </w:tc>
        <w:tc>
          <w:tcPr>
            <w:tcW w:w="799" w:type="dxa"/>
            <w:shd w:val="clear" w:color="auto" w:fill="FFFFFF" w:themeFill="background1"/>
            <w:vAlign w:val="center"/>
          </w:tcPr>
          <w:p w:rsidR="0080151B" w:rsidRPr="006B1B97" w:rsidRDefault="0080151B" w:rsidP="00F456D6">
            <w:pPr>
              <w:spacing w:line="220" w:lineRule="exact"/>
              <w:contextualSpacing/>
              <w:jc w:val="center"/>
              <w:rPr>
                <w:color w:val="auto"/>
                <w:sz w:val="18"/>
                <w:szCs w:val="18"/>
              </w:rPr>
            </w:pPr>
            <w:r w:rsidRPr="006B1B97">
              <w:rPr>
                <w:color w:val="auto"/>
                <w:sz w:val="18"/>
                <w:szCs w:val="18"/>
              </w:rPr>
              <w:t>10%</w:t>
            </w:r>
          </w:p>
        </w:tc>
        <w:tc>
          <w:tcPr>
            <w:tcW w:w="1084" w:type="dxa"/>
            <w:shd w:val="clear" w:color="auto" w:fill="FFFFFF" w:themeFill="background1"/>
            <w:vAlign w:val="center"/>
          </w:tcPr>
          <w:p w:rsidR="0080151B" w:rsidRPr="00E63502" w:rsidRDefault="0080151B" w:rsidP="00F456D6">
            <w:pPr>
              <w:spacing w:line="220" w:lineRule="exact"/>
              <w:contextualSpacing/>
              <w:jc w:val="center"/>
              <w:rPr>
                <w:color w:val="auto"/>
                <w:sz w:val="18"/>
                <w:szCs w:val="18"/>
              </w:rPr>
            </w:pPr>
            <w:r w:rsidRPr="00E63502">
              <w:rPr>
                <w:color w:val="auto"/>
                <w:sz w:val="18"/>
                <w:szCs w:val="18"/>
              </w:rPr>
              <w:t>200</w:t>
            </w:r>
            <w:r>
              <w:rPr>
                <w:color w:val="auto"/>
                <w:sz w:val="18"/>
                <w:szCs w:val="18"/>
              </w:rPr>
              <w:t>70407</w:t>
            </w:r>
          </w:p>
        </w:tc>
      </w:tr>
      <w:tr w:rsidR="0080151B" w:rsidRPr="00E63502" w:rsidTr="00F456D6">
        <w:trPr>
          <w:trHeight w:val="188"/>
          <w:jc w:val="center"/>
        </w:trPr>
        <w:tc>
          <w:tcPr>
            <w:tcW w:w="4280" w:type="dxa"/>
            <w:gridSpan w:val="4"/>
            <w:vMerge/>
            <w:tcBorders>
              <w:right w:val="thinThickThinSmallGap" w:sz="24" w:space="0" w:color="auto"/>
            </w:tcBorders>
            <w:shd w:val="clear" w:color="auto" w:fill="FFFFFF" w:themeFill="background1"/>
          </w:tcPr>
          <w:p w:rsidR="0080151B" w:rsidRPr="00E63502" w:rsidRDefault="0080151B" w:rsidP="00F456D6">
            <w:pPr>
              <w:spacing w:line="220" w:lineRule="exact"/>
              <w:contextualSpacing/>
              <w:jc w:val="center"/>
              <w:rPr>
                <w:color w:val="auto"/>
                <w:sz w:val="18"/>
                <w:szCs w:val="18"/>
              </w:rPr>
            </w:pPr>
          </w:p>
        </w:tc>
        <w:tc>
          <w:tcPr>
            <w:tcW w:w="2121" w:type="dxa"/>
            <w:tcBorders>
              <w:left w:val="thinThickThinSmallGap" w:sz="24" w:space="0" w:color="auto"/>
              <w:right w:val="single" w:sz="4" w:space="0" w:color="000000" w:themeColor="text1"/>
            </w:tcBorders>
            <w:shd w:val="clear" w:color="auto" w:fill="FFFFFF" w:themeFill="background1"/>
            <w:vAlign w:val="center"/>
          </w:tcPr>
          <w:p w:rsidR="0080151B" w:rsidRPr="00E63502" w:rsidRDefault="0080151B" w:rsidP="00F456D6">
            <w:pPr>
              <w:spacing w:line="220" w:lineRule="exact"/>
              <w:contextualSpacing/>
              <w:rPr>
                <w:color w:val="auto"/>
                <w:sz w:val="18"/>
                <w:szCs w:val="18"/>
              </w:rPr>
            </w:pPr>
            <w:r>
              <w:rPr>
                <w:color w:val="auto"/>
                <w:sz w:val="18"/>
                <w:szCs w:val="18"/>
              </w:rPr>
              <w:t>Bilateral Tinnitus</w:t>
            </w:r>
          </w:p>
        </w:tc>
        <w:tc>
          <w:tcPr>
            <w:tcW w:w="1080" w:type="dxa"/>
            <w:tcBorders>
              <w:left w:val="single" w:sz="4" w:space="0" w:color="000000" w:themeColor="text1"/>
              <w:right w:val="single" w:sz="4" w:space="0" w:color="000000" w:themeColor="text1"/>
            </w:tcBorders>
            <w:shd w:val="clear" w:color="auto" w:fill="FFFFFF" w:themeFill="background1"/>
          </w:tcPr>
          <w:p w:rsidR="0080151B" w:rsidRPr="00E63502" w:rsidRDefault="0080151B" w:rsidP="00F456D6">
            <w:pPr>
              <w:spacing w:line="220" w:lineRule="exact"/>
              <w:contextualSpacing/>
              <w:jc w:val="center"/>
              <w:rPr>
                <w:color w:val="auto"/>
                <w:sz w:val="18"/>
                <w:szCs w:val="18"/>
              </w:rPr>
            </w:pPr>
            <w:r>
              <w:rPr>
                <w:color w:val="auto"/>
                <w:sz w:val="18"/>
                <w:szCs w:val="18"/>
              </w:rPr>
              <w:t>6260</w:t>
            </w:r>
          </w:p>
        </w:tc>
        <w:tc>
          <w:tcPr>
            <w:tcW w:w="799" w:type="dxa"/>
            <w:tcBorders>
              <w:left w:val="single" w:sz="4" w:space="0" w:color="000000" w:themeColor="text1"/>
            </w:tcBorders>
            <w:shd w:val="clear" w:color="auto" w:fill="FFFFFF" w:themeFill="background1"/>
          </w:tcPr>
          <w:p w:rsidR="0080151B" w:rsidRPr="00E63502" w:rsidRDefault="0080151B" w:rsidP="00F456D6">
            <w:pPr>
              <w:spacing w:line="220" w:lineRule="exact"/>
              <w:contextualSpacing/>
              <w:jc w:val="center"/>
              <w:rPr>
                <w:color w:val="auto"/>
                <w:sz w:val="18"/>
                <w:szCs w:val="18"/>
              </w:rPr>
            </w:pPr>
            <w:r>
              <w:rPr>
                <w:color w:val="auto"/>
                <w:sz w:val="18"/>
                <w:szCs w:val="18"/>
              </w:rPr>
              <w:t>10%</w:t>
            </w:r>
          </w:p>
        </w:tc>
        <w:tc>
          <w:tcPr>
            <w:tcW w:w="1084" w:type="dxa"/>
            <w:shd w:val="clear" w:color="auto" w:fill="FFFFFF" w:themeFill="background1"/>
            <w:vAlign w:val="center"/>
          </w:tcPr>
          <w:p w:rsidR="0080151B" w:rsidRPr="00E63502" w:rsidRDefault="0080151B" w:rsidP="00F456D6">
            <w:pPr>
              <w:spacing w:line="220" w:lineRule="exact"/>
              <w:contextualSpacing/>
              <w:jc w:val="center"/>
              <w:rPr>
                <w:color w:val="auto"/>
                <w:sz w:val="18"/>
                <w:szCs w:val="18"/>
              </w:rPr>
            </w:pPr>
            <w:r>
              <w:rPr>
                <w:color w:val="auto"/>
                <w:sz w:val="18"/>
                <w:szCs w:val="18"/>
              </w:rPr>
              <w:t>STR</w:t>
            </w:r>
            <w:r w:rsidR="00394ED4">
              <w:rPr>
                <w:color w:val="auto"/>
                <w:sz w:val="18"/>
                <w:szCs w:val="18"/>
              </w:rPr>
              <w:t>*</w:t>
            </w:r>
          </w:p>
        </w:tc>
      </w:tr>
      <w:tr w:rsidR="0080151B" w:rsidRPr="00E63502" w:rsidTr="00F456D6">
        <w:trPr>
          <w:trHeight w:val="188"/>
          <w:jc w:val="center"/>
        </w:trPr>
        <w:tc>
          <w:tcPr>
            <w:tcW w:w="4280" w:type="dxa"/>
            <w:gridSpan w:val="4"/>
            <w:vMerge/>
            <w:tcBorders>
              <w:right w:val="thinThickThinSmallGap" w:sz="24" w:space="0" w:color="auto"/>
            </w:tcBorders>
            <w:shd w:val="clear" w:color="auto" w:fill="FFFFFF" w:themeFill="background1"/>
            <w:vAlign w:val="center"/>
          </w:tcPr>
          <w:p w:rsidR="0080151B" w:rsidRPr="00E63502" w:rsidRDefault="0080151B" w:rsidP="00F456D6">
            <w:pPr>
              <w:spacing w:line="220" w:lineRule="exact"/>
              <w:contextualSpacing/>
              <w:jc w:val="center"/>
              <w:rPr>
                <w:color w:val="auto"/>
                <w:sz w:val="18"/>
                <w:szCs w:val="18"/>
              </w:rPr>
            </w:pPr>
          </w:p>
        </w:tc>
        <w:tc>
          <w:tcPr>
            <w:tcW w:w="2121" w:type="dxa"/>
            <w:tcBorders>
              <w:left w:val="thinThickThinSmallGap" w:sz="24" w:space="0" w:color="auto"/>
            </w:tcBorders>
            <w:shd w:val="clear" w:color="auto" w:fill="FFFFFF" w:themeFill="background1"/>
            <w:vAlign w:val="center"/>
          </w:tcPr>
          <w:p w:rsidR="0080151B" w:rsidRPr="00E63502" w:rsidRDefault="0080151B" w:rsidP="00F456D6">
            <w:pPr>
              <w:spacing w:line="220" w:lineRule="exact"/>
              <w:rPr>
                <w:color w:val="auto"/>
                <w:sz w:val="18"/>
                <w:szCs w:val="18"/>
              </w:rPr>
            </w:pPr>
            <w:r>
              <w:rPr>
                <w:color w:val="auto"/>
                <w:sz w:val="18"/>
                <w:szCs w:val="18"/>
              </w:rPr>
              <w:t>COPD</w:t>
            </w:r>
          </w:p>
        </w:tc>
        <w:tc>
          <w:tcPr>
            <w:tcW w:w="1080" w:type="dxa"/>
            <w:shd w:val="clear" w:color="auto" w:fill="FFFFFF" w:themeFill="background1"/>
            <w:vAlign w:val="center"/>
          </w:tcPr>
          <w:p w:rsidR="0080151B" w:rsidRPr="00E63502" w:rsidRDefault="0080151B" w:rsidP="00F456D6">
            <w:pPr>
              <w:spacing w:line="220" w:lineRule="exact"/>
              <w:contextualSpacing/>
              <w:jc w:val="center"/>
              <w:rPr>
                <w:color w:val="auto"/>
                <w:sz w:val="18"/>
                <w:szCs w:val="18"/>
              </w:rPr>
            </w:pPr>
            <w:r>
              <w:rPr>
                <w:color w:val="auto"/>
                <w:sz w:val="18"/>
                <w:szCs w:val="18"/>
              </w:rPr>
              <w:t>6604</w:t>
            </w:r>
          </w:p>
        </w:tc>
        <w:tc>
          <w:tcPr>
            <w:tcW w:w="799" w:type="dxa"/>
            <w:shd w:val="clear" w:color="auto" w:fill="FFFFFF" w:themeFill="background1"/>
            <w:vAlign w:val="center"/>
          </w:tcPr>
          <w:p w:rsidR="0080151B" w:rsidRPr="00E63502" w:rsidRDefault="0080151B" w:rsidP="00F456D6">
            <w:pPr>
              <w:spacing w:line="220" w:lineRule="exact"/>
              <w:contextualSpacing/>
              <w:jc w:val="center"/>
              <w:rPr>
                <w:color w:val="auto"/>
                <w:sz w:val="18"/>
                <w:szCs w:val="18"/>
              </w:rPr>
            </w:pPr>
            <w:r>
              <w:rPr>
                <w:color w:val="auto"/>
                <w:sz w:val="18"/>
                <w:szCs w:val="18"/>
              </w:rPr>
              <w:t>10%</w:t>
            </w:r>
          </w:p>
        </w:tc>
        <w:tc>
          <w:tcPr>
            <w:tcW w:w="1084" w:type="dxa"/>
            <w:shd w:val="clear" w:color="auto" w:fill="FFFFFF" w:themeFill="background1"/>
            <w:vAlign w:val="center"/>
          </w:tcPr>
          <w:p w:rsidR="0080151B" w:rsidRPr="00E63502" w:rsidRDefault="0080151B" w:rsidP="00F456D6">
            <w:pPr>
              <w:spacing w:line="220" w:lineRule="exact"/>
              <w:contextualSpacing/>
              <w:jc w:val="center"/>
              <w:rPr>
                <w:color w:val="auto"/>
                <w:sz w:val="18"/>
                <w:szCs w:val="18"/>
              </w:rPr>
            </w:pPr>
            <w:r>
              <w:rPr>
                <w:color w:val="auto"/>
                <w:sz w:val="18"/>
                <w:szCs w:val="18"/>
              </w:rPr>
              <w:t>STR</w:t>
            </w:r>
            <w:r w:rsidR="00394ED4">
              <w:rPr>
                <w:color w:val="auto"/>
                <w:sz w:val="18"/>
                <w:szCs w:val="18"/>
              </w:rPr>
              <w:t>*</w:t>
            </w:r>
          </w:p>
        </w:tc>
      </w:tr>
      <w:tr w:rsidR="0080151B" w:rsidRPr="00E63502" w:rsidTr="00F456D6">
        <w:trPr>
          <w:trHeight w:val="188"/>
          <w:jc w:val="center"/>
        </w:trPr>
        <w:tc>
          <w:tcPr>
            <w:tcW w:w="4280" w:type="dxa"/>
            <w:gridSpan w:val="4"/>
            <w:vMerge/>
            <w:tcBorders>
              <w:bottom w:val="single" w:sz="4" w:space="0" w:color="000000" w:themeColor="text1"/>
              <w:right w:val="thinThickThinSmallGap" w:sz="24" w:space="0" w:color="auto"/>
            </w:tcBorders>
            <w:shd w:val="clear" w:color="auto" w:fill="FFFFFF" w:themeFill="background1"/>
          </w:tcPr>
          <w:p w:rsidR="0080151B" w:rsidRPr="00E63502" w:rsidRDefault="0080151B" w:rsidP="00F456D6">
            <w:pPr>
              <w:spacing w:line="220" w:lineRule="exact"/>
              <w:contextualSpacing/>
              <w:jc w:val="both"/>
              <w:rPr>
                <w:color w:val="auto"/>
                <w:sz w:val="18"/>
                <w:szCs w:val="18"/>
              </w:rPr>
            </w:pPr>
          </w:p>
        </w:tc>
        <w:tc>
          <w:tcPr>
            <w:tcW w:w="4000" w:type="dxa"/>
            <w:gridSpan w:val="3"/>
            <w:tcBorders>
              <w:left w:val="thinThickThinSmallGap" w:sz="24" w:space="0" w:color="auto"/>
              <w:bottom w:val="single" w:sz="4" w:space="0" w:color="000000" w:themeColor="text1"/>
            </w:tcBorders>
            <w:shd w:val="clear" w:color="auto" w:fill="FFFFFF" w:themeFill="background1"/>
            <w:vAlign w:val="center"/>
          </w:tcPr>
          <w:p w:rsidR="0080151B" w:rsidRPr="00E63502" w:rsidRDefault="0080151B" w:rsidP="00F456D6">
            <w:pPr>
              <w:spacing w:line="220" w:lineRule="exact"/>
              <w:contextualSpacing/>
              <w:jc w:val="center"/>
              <w:rPr>
                <w:color w:val="auto"/>
                <w:sz w:val="18"/>
                <w:szCs w:val="18"/>
              </w:rPr>
            </w:pPr>
            <w:r w:rsidRPr="00E63502">
              <w:rPr>
                <w:rFonts w:cs="Times New Roman"/>
                <w:color w:val="auto"/>
                <w:sz w:val="18"/>
                <w:szCs w:val="18"/>
              </w:rPr>
              <w:t xml:space="preserve">0% x </w:t>
            </w:r>
            <w:r w:rsidR="006B1B97">
              <w:rPr>
                <w:rFonts w:cs="Times New Roman"/>
                <w:color w:val="auto"/>
                <w:sz w:val="18"/>
                <w:szCs w:val="18"/>
              </w:rPr>
              <w:t>4</w:t>
            </w:r>
            <w:r w:rsidRPr="00E63502">
              <w:rPr>
                <w:rFonts w:cs="Times New Roman"/>
                <w:color w:val="auto"/>
                <w:sz w:val="18"/>
                <w:szCs w:val="18"/>
              </w:rPr>
              <w:t xml:space="preserve">/Not Service Connected x </w:t>
            </w:r>
            <w:r>
              <w:rPr>
                <w:rFonts w:cs="Times New Roman"/>
                <w:color w:val="auto"/>
                <w:sz w:val="18"/>
                <w:szCs w:val="18"/>
              </w:rPr>
              <w:t>1</w:t>
            </w:r>
          </w:p>
        </w:tc>
        <w:tc>
          <w:tcPr>
            <w:tcW w:w="1084" w:type="dxa"/>
            <w:tcBorders>
              <w:bottom w:val="single" w:sz="4" w:space="0" w:color="000000" w:themeColor="text1"/>
            </w:tcBorders>
            <w:shd w:val="clear" w:color="auto" w:fill="FFFFFF" w:themeFill="background1"/>
            <w:vAlign w:val="center"/>
          </w:tcPr>
          <w:p w:rsidR="0080151B" w:rsidRPr="00E63502" w:rsidRDefault="0080151B" w:rsidP="00F456D6">
            <w:pPr>
              <w:spacing w:line="220" w:lineRule="exact"/>
              <w:contextualSpacing/>
              <w:jc w:val="center"/>
              <w:rPr>
                <w:color w:val="auto"/>
                <w:sz w:val="18"/>
                <w:szCs w:val="18"/>
              </w:rPr>
            </w:pPr>
            <w:r w:rsidRPr="00E63502">
              <w:rPr>
                <w:color w:val="auto"/>
                <w:sz w:val="18"/>
                <w:szCs w:val="18"/>
              </w:rPr>
              <w:t>200</w:t>
            </w:r>
            <w:r>
              <w:rPr>
                <w:color w:val="auto"/>
                <w:sz w:val="18"/>
                <w:szCs w:val="18"/>
              </w:rPr>
              <w:t>70407</w:t>
            </w:r>
          </w:p>
        </w:tc>
      </w:tr>
      <w:tr w:rsidR="0080151B" w:rsidRPr="00E63502" w:rsidTr="00F456D6">
        <w:trPr>
          <w:trHeight w:val="242"/>
          <w:jc w:val="center"/>
        </w:trPr>
        <w:tc>
          <w:tcPr>
            <w:tcW w:w="4280" w:type="dxa"/>
            <w:gridSpan w:val="4"/>
            <w:tcBorders>
              <w:right w:val="thinThickThinSmallGap" w:sz="24" w:space="0" w:color="auto"/>
            </w:tcBorders>
            <w:shd w:val="clear" w:color="auto" w:fill="D9D9D9" w:themeFill="background1" w:themeFillShade="D9"/>
            <w:vAlign w:val="center"/>
          </w:tcPr>
          <w:p w:rsidR="0080151B" w:rsidRPr="00E63502" w:rsidRDefault="0080151B" w:rsidP="008222B1">
            <w:pPr>
              <w:spacing w:line="200" w:lineRule="exact"/>
              <w:contextualSpacing/>
              <w:jc w:val="center"/>
              <w:rPr>
                <w:b/>
                <w:color w:val="auto"/>
                <w:sz w:val="20"/>
                <w:szCs w:val="20"/>
              </w:rPr>
            </w:pPr>
            <w:r w:rsidRPr="00E63502">
              <w:rPr>
                <w:b/>
                <w:color w:val="auto"/>
                <w:sz w:val="20"/>
                <w:szCs w:val="20"/>
              </w:rPr>
              <w:t xml:space="preserve">Combined:  </w:t>
            </w:r>
            <w:r>
              <w:rPr>
                <w:b/>
                <w:color w:val="auto"/>
                <w:sz w:val="20"/>
                <w:szCs w:val="20"/>
              </w:rPr>
              <w:t>10</w:t>
            </w:r>
            <w:r w:rsidRPr="00E63502">
              <w:rPr>
                <w:b/>
                <w:color w:val="auto"/>
                <w:sz w:val="20"/>
                <w:szCs w:val="20"/>
              </w:rPr>
              <w:t>%</w:t>
            </w:r>
          </w:p>
        </w:tc>
        <w:tc>
          <w:tcPr>
            <w:tcW w:w="5084" w:type="dxa"/>
            <w:gridSpan w:val="4"/>
            <w:tcBorders>
              <w:left w:val="thinThickThinSmallGap" w:sz="24" w:space="0" w:color="auto"/>
            </w:tcBorders>
            <w:shd w:val="clear" w:color="auto" w:fill="D9D9D9" w:themeFill="background1" w:themeFillShade="D9"/>
            <w:vAlign w:val="center"/>
          </w:tcPr>
          <w:p w:rsidR="0080151B" w:rsidRPr="00E63502" w:rsidRDefault="0080151B" w:rsidP="008222B1">
            <w:pPr>
              <w:spacing w:line="200" w:lineRule="exact"/>
              <w:contextualSpacing/>
              <w:jc w:val="center"/>
              <w:rPr>
                <w:b/>
                <w:color w:val="auto"/>
                <w:sz w:val="20"/>
                <w:szCs w:val="20"/>
              </w:rPr>
            </w:pPr>
            <w:r w:rsidRPr="00E63502">
              <w:rPr>
                <w:b/>
                <w:color w:val="auto"/>
                <w:sz w:val="20"/>
                <w:szCs w:val="20"/>
              </w:rPr>
              <w:t>Combined:  #0%</w:t>
            </w:r>
          </w:p>
        </w:tc>
      </w:tr>
    </w:tbl>
    <w:p w:rsidR="00CF43E1" w:rsidRDefault="00CF43E1" w:rsidP="00D1519B">
      <w:pPr>
        <w:spacing w:line="240" w:lineRule="exact"/>
        <w:jc w:val="both"/>
        <w:rPr>
          <w:rFonts w:asciiTheme="minorHAnsi" w:hAnsiTheme="minorHAnsi"/>
          <w:color w:val="auto"/>
          <w:sz w:val="18"/>
          <w:szCs w:val="18"/>
        </w:rPr>
      </w:pPr>
      <w:r>
        <w:rPr>
          <w:rFonts w:asciiTheme="minorHAnsi" w:hAnsiTheme="minorHAnsi"/>
          <w:color w:val="auto"/>
          <w:sz w:val="18"/>
          <w:szCs w:val="18"/>
        </w:rPr>
        <w:t xml:space="preserve">*No VA C&amp;P examinations - </w:t>
      </w:r>
      <w:r w:rsidRPr="00E63502">
        <w:rPr>
          <w:rFonts w:asciiTheme="minorHAnsi" w:hAnsiTheme="minorHAnsi"/>
          <w:color w:val="auto"/>
          <w:sz w:val="18"/>
          <w:szCs w:val="18"/>
        </w:rPr>
        <w:t xml:space="preserve">rating </w:t>
      </w:r>
      <w:r>
        <w:rPr>
          <w:rFonts w:asciiTheme="minorHAnsi" w:hAnsiTheme="minorHAnsi"/>
          <w:color w:val="auto"/>
          <w:sz w:val="18"/>
          <w:szCs w:val="18"/>
        </w:rPr>
        <w:t>evidence from service treatment records (STR) and/or VA treatment records (VATR).</w:t>
      </w:r>
    </w:p>
    <w:p w:rsidR="000634E6" w:rsidRPr="00CF43E1" w:rsidRDefault="00CF43E1" w:rsidP="00CF43E1">
      <w:pPr>
        <w:rPr>
          <w:rFonts w:asciiTheme="minorHAnsi" w:hAnsiTheme="minorHAnsi"/>
          <w:color w:val="auto"/>
          <w:sz w:val="18"/>
          <w:szCs w:val="18"/>
        </w:rPr>
      </w:pPr>
      <w:r>
        <w:rPr>
          <w:rFonts w:asciiTheme="minorHAnsi" w:hAnsiTheme="minorHAnsi"/>
          <w:color w:val="auto"/>
          <w:sz w:val="18"/>
          <w:szCs w:val="18"/>
        </w:rPr>
        <w:br w:type="page"/>
      </w:r>
      <w:r w:rsidR="002C6E5B" w:rsidRPr="00396779">
        <w:rPr>
          <w:rFonts w:asciiTheme="minorHAnsi" w:hAnsiTheme="minorHAnsi"/>
          <w:color w:val="auto"/>
          <w:szCs w:val="24"/>
          <w:u w:val="single"/>
        </w:rPr>
        <w:lastRenderedPageBreak/>
        <w:t>ANALYSIS SUMMARY</w:t>
      </w:r>
      <w:r w:rsidR="002C6E5B" w:rsidRPr="00396779">
        <w:rPr>
          <w:rFonts w:asciiTheme="minorHAnsi" w:hAnsiTheme="minorHAnsi"/>
          <w:color w:val="auto"/>
          <w:szCs w:val="24"/>
        </w:rPr>
        <w:t>:</w:t>
      </w:r>
      <w:r w:rsidR="00D1519B">
        <w:rPr>
          <w:rFonts w:asciiTheme="minorHAnsi" w:hAnsiTheme="minorHAnsi"/>
          <w:color w:val="auto"/>
          <w:szCs w:val="24"/>
        </w:rPr>
        <w:t xml:space="preserve">  </w:t>
      </w:r>
    </w:p>
    <w:p w:rsidR="000634E6" w:rsidRDefault="000634E6" w:rsidP="00D1519B">
      <w:pPr>
        <w:spacing w:line="240" w:lineRule="exact"/>
        <w:jc w:val="both"/>
        <w:rPr>
          <w:rFonts w:asciiTheme="minorHAnsi" w:hAnsiTheme="minorHAnsi"/>
          <w:color w:val="auto"/>
          <w:szCs w:val="24"/>
        </w:rPr>
      </w:pPr>
    </w:p>
    <w:p w:rsidR="004C60A3" w:rsidRDefault="000634E6" w:rsidP="00D1519B">
      <w:pPr>
        <w:spacing w:line="240" w:lineRule="exact"/>
        <w:jc w:val="both"/>
        <w:rPr>
          <w:rFonts w:asciiTheme="minorHAnsi" w:hAnsiTheme="minorHAnsi"/>
          <w:color w:val="auto"/>
          <w:szCs w:val="24"/>
        </w:rPr>
      </w:pPr>
      <w:r w:rsidRPr="000634E6">
        <w:rPr>
          <w:rFonts w:asciiTheme="minorHAnsi" w:hAnsiTheme="minorHAnsi"/>
          <w:color w:val="auto"/>
          <w:szCs w:val="24"/>
          <w:u w:val="single"/>
        </w:rPr>
        <w:t>PTSD</w:t>
      </w:r>
      <w:r>
        <w:rPr>
          <w:rFonts w:asciiTheme="minorHAnsi" w:hAnsiTheme="minorHAnsi"/>
          <w:color w:val="auto"/>
          <w:szCs w:val="24"/>
          <w:u w:val="single"/>
        </w:rPr>
        <w:t xml:space="preserve"> Condition</w:t>
      </w:r>
      <w:r w:rsidR="00F066FE">
        <w:rPr>
          <w:rFonts w:asciiTheme="minorHAnsi" w:hAnsiTheme="minorHAnsi"/>
          <w:color w:val="auto"/>
          <w:szCs w:val="24"/>
        </w:rPr>
        <w:t>:</w:t>
      </w:r>
      <w:r>
        <w:rPr>
          <w:rFonts w:asciiTheme="minorHAnsi" w:hAnsiTheme="minorHAnsi"/>
          <w:color w:val="auto"/>
          <w:szCs w:val="24"/>
        </w:rPr>
        <w:t xml:space="preserve">  </w:t>
      </w:r>
      <w:r w:rsidR="00D1519B" w:rsidRPr="00D1519B">
        <w:rPr>
          <w:rFonts w:asciiTheme="minorHAnsi" w:hAnsiTheme="minorHAnsi"/>
          <w:color w:val="auto"/>
          <w:szCs w:val="24"/>
        </w:rPr>
        <w:t xml:space="preserve">The PEB rating, as described above, was derived from </w:t>
      </w:r>
      <w:proofErr w:type="spellStart"/>
      <w:r w:rsidR="00D1519B" w:rsidRPr="00D1519B">
        <w:rPr>
          <w:rFonts w:asciiTheme="minorHAnsi" w:hAnsiTheme="minorHAnsi"/>
          <w:color w:val="auto"/>
          <w:szCs w:val="24"/>
        </w:rPr>
        <w:t>DoDI</w:t>
      </w:r>
      <w:proofErr w:type="spellEnd"/>
      <w:r w:rsidR="00D1519B" w:rsidRPr="00D1519B">
        <w:rPr>
          <w:rFonts w:asciiTheme="minorHAnsi" w:hAnsiTheme="minorHAnsi"/>
          <w:color w:val="auto"/>
          <w:szCs w:val="24"/>
        </w:rPr>
        <w:t xml:space="preserve"> 1332.39 and preceded the promulgation of the National Defense Authorization Act (NDAA) 2008 mandate for </w:t>
      </w:r>
      <w:proofErr w:type="spellStart"/>
      <w:r w:rsidR="00D1519B" w:rsidRPr="00D1519B">
        <w:rPr>
          <w:rFonts w:asciiTheme="minorHAnsi" w:hAnsiTheme="minorHAnsi"/>
          <w:color w:val="auto"/>
          <w:szCs w:val="24"/>
        </w:rPr>
        <w:t>DoD</w:t>
      </w:r>
      <w:proofErr w:type="spellEnd"/>
      <w:r w:rsidR="00D1519B" w:rsidRPr="00D1519B">
        <w:rPr>
          <w:rFonts w:asciiTheme="minorHAnsi" w:hAnsiTheme="minorHAnsi"/>
          <w:color w:val="auto"/>
          <w:szCs w:val="24"/>
        </w:rPr>
        <w:t xml:space="preserve"> adherence to </w:t>
      </w:r>
      <w:r w:rsidR="00CF43E1">
        <w:rPr>
          <w:rFonts w:asciiTheme="minorHAnsi" w:hAnsiTheme="minorHAnsi"/>
          <w:color w:val="auto"/>
          <w:szCs w:val="24"/>
        </w:rPr>
        <w:t xml:space="preserve">the </w:t>
      </w:r>
      <w:r w:rsidR="00D1519B" w:rsidRPr="00D1519B">
        <w:rPr>
          <w:rFonts w:asciiTheme="minorHAnsi" w:hAnsiTheme="minorHAnsi"/>
          <w:color w:val="auto"/>
          <w:szCs w:val="24"/>
        </w:rPr>
        <w:t>Veterans Administration Schedule for Rating Disabilities (VASRD) §4.129.</w:t>
      </w:r>
      <w:r w:rsidR="00EE444D">
        <w:rPr>
          <w:rFonts w:asciiTheme="minorHAnsi" w:hAnsiTheme="minorHAnsi"/>
          <w:color w:val="auto"/>
          <w:szCs w:val="24"/>
        </w:rPr>
        <w:t xml:space="preserve"> </w:t>
      </w:r>
      <w:r w:rsidR="00D1519B" w:rsidRPr="00D1519B">
        <w:rPr>
          <w:rFonts w:asciiTheme="minorHAnsi" w:hAnsiTheme="minorHAnsi"/>
          <w:color w:val="auto"/>
          <w:szCs w:val="24"/>
        </w:rPr>
        <w:t xml:space="preserve"> IAW </w:t>
      </w:r>
      <w:proofErr w:type="spellStart"/>
      <w:r w:rsidR="00D1519B" w:rsidRPr="00D1519B">
        <w:rPr>
          <w:rFonts w:asciiTheme="minorHAnsi" w:hAnsiTheme="minorHAnsi"/>
          <w:color w:val="auto"/>
          <w:szCs w:val="24"/>
        </w:rPr>
        <w:t>DoDI</w:t>
      </w:r>
      <w:proofErr w:type="spellEnd"/>
      <w:r w:rsidR="00D1519B" w:rsidRPr="00D1519B">
        <w:rPr>
          <w:rFonts w:asciiTheme="minorHAnsi" w:hAnsiTheme="minorHAnsi"/>
          <w:color w:val="auto"/>
          <w:szCs w:val="24"/>
        </w:rPr>
        <w:t xml:space="preserve"> 6040.44 and </w:t>
      </w:r>
      <w:proofErr w:type="spellStart"/>
      <w:r w:rsidR="00D1519B" w:rsidRPr="00D1519B">
        <w:rPr>
          <w:rFonts w:asciiTheme="minorHAnsi" w:hAnsiTheme="minorHAnsi"/>
          <w:color w:val="auto"/>
          <w:szCs w:val="24"/>
        </w:rPr>
        <w:t>DoD</w:t>
      </w:r>
      <w:proofErr w:type="spellEnd"/>
      <w:r w:rsidR="00D1519B" w:rsidRPr="00D1519B">
        <w:rPr>
          <w:rFonts w:asciiTheme="minorHAnsi" w:hAnsiTheme="minorHAnsi"/>
          <w:color w:val="auto"/>
          <w:szCs w:val="24"/>
        </w:rPr>
        <w:t xml:space="preserve"> guidance (which applies current VASRD 4.129 to all Board cases), the Board is obligated to recommend a minimum 50% PTSD rating for a retroactive six-month period on the Temporary Disability Retired List (TDRL).</w:t>
      </w:r>
      <w:r w:rsidR="00D1519B">
        <w:rPr>
          <w:rFonts w:asciiTheme="minorHAnsi" w:hAnsiTheme="minorHAnsi"/>
          <w:color w:val="auto"/>
          <w:szCs w:val="24"/>
        </w:rPr>
        <w:t xml:space="preserve">  </w:t>
      </w:r>
      <w:r w:rsidR="00D1519B" w:rsidRPr="00D1519B">
        <w:rPr>
          <w:rFonts w:asciiTheme="minorHAnsi" w:hAnsiTheme="minorHAnsi"/>
          <w:color w:val="auto"/>
          <w:szCs w:val="24"/>
        </w:rPr>
        <w:t>Since the Service was in compliance with the §4.129 TDRL requirement, the Board need not apply a constructive TDRL rating interval in this case; although, the 50% minimum TDRL rating remains applicable.</w:t>
      </w:r>
      <w:r w:rsidR="00D1519B">
        <w:rPr>
          <w:rFonts w:asciiTheme="minorHAnsi" w:hAnsiTheme="minorHAnsi"/>
          <w:color w:val="auto"/>
          <w:szCs w:val="24"/>
        </w:rPr>
        <w:t xml:space="preserve">  </w:t>
      </w:r>
      <w:r w:rsidR="00D1519B" w:rsidRPr="00D1519B">
        <w:rPr>
          <w:rFonts w:asciiTheme="minorHAnsi" w:hAnsiTheme="minorHAnsi"/>
          <w:color w:val="auto"/>
          <w:szCs w:val="24"/>
        </w:rPr>
        <w:t xml:space="preserve">The Board must then determine the most appropriate fit with VASRD 4.130 criteria at </w:t>
      </w:r>
      <w:r w:rsidR="00D1519B">
        <w:rPr>
          <w:rFonts w:asciiTheme="minorHAnsi" w:hAnsiTheme="minorHAnsi"/>
          <w:color w:val="auto"/>
          <w:szCs w:val="24"/>
        </w:rPr>
        <w:t>the end of the TDRL interval f</w:t>
      </w:r>
      <w:r w:rsidR="00D1519B" w:rsidRPr="00D1519B">
        <w:rPr>
          <w:rFonts w:asciiTheme="minorHAnsi" w:hAnsiTheme="minorHAnsi"/>
          <w:color w:val="auto"/>
          <w:szCs w:val="24"/>
        </w:rPr>
        <w:t xml:space="preserve">or its permanent rating recommendation. </w:t>
      </w:r>
      <w:r w:rsidR="008222B1">
        <w:rPr>
          <w:rFonts w:asciiTheme="minorHAnsi" w:hAnsiTheme="minorHAnsi"/>
          <w:color w:val="auto"/>
          <w:szCs w:val="24"/>
        </w:rPr>
        <w:t xml:space="preserve"> </w:t>
      </w:r>
      <w:r w:rsidR="00D1519B" w:rsidRPr="00D1519B">
        <w:rPr>
          <w:rFonts w:asciiTheme="minorHAnsi" w:hAnsiTheme="minorHAnsi"/>
          <w:color w:val="auto"/>
          <w:szCs w:val="24"/>
        </w:rPr>
        <w:t xml:space="preserve">The most proximate source of comprehensive evidence on which to base the permanent rating recommendation in this case is the </w:t>
      </w:r>
      <w:r w:rsidR="008C2CEF">
        <w:rPr>
          <w:rFonts w:asciiTheme="minorHAnsi" w:hAnsiTheme="minorHAnsi"/>
          <w:color w:val="auto"/>
          <w:szCs w:val="24"/>
        </w:rPr>
        <w:t xml:space="preserve">TDRL </w:t>
      </w:r>
      <w:r w:rsidR="00256930">
        <w:rPr>
          <w:rFonts w:asciiTheme="minorHAnsi" w:hAnsiTheme="minorHAnsi"/>
          <w:color w:val="auto"/>
          <w:szCs w:val="24"/>
        </w:rPr>
        <w:t>narrative s</w:t>
      </w:r>
      <w:r w:rsidR="00D1519B">
        <w:rPr>
          <w:rFonts w:asciiTheme="minorHAnsi" w:hAnsiTheme="minorHAnsi"/>
          <w:color w:val="auto"/>
          <w:szCs w:val="24"/>
        </w:rPr>
        <w:t>ummary (NARSUM)</w:t>
      </w:r>
      <w:r w:rsidR="00256930">
        <w:rPr>
          <w:rFonts w:asciiTheme="minorHAnsi" w:hAnsiTheme="minorHAnsi"/>
          <w:color w:val="auto"/>
          <w:szCs w:val="24"/>
        </w:rPr>
        <w:t>,</w:t>
      </w:r>
      <w:r w:rsidR="00D1519B">
        <w:rPr>
          <w:rFonts w:asciiTheme="minorHAnsi" w:hAnsiTheme="minorHAnsi"/>
          <w:color w:val="auto"/>
          <w:szCs w:val="24"/>
        </w:rPr>
        <w:t xml:space="preserve"> performed </w:t>
      </w:r>
      <w:r w:rsidR="00945FA6">
        <w:rPr>
          <w:rFonts w:asciiTheme="minorHAnsi" w:hAnsiTheme="minorHAnsi"/>
          <w:color w:val="auto"/>
          <w:szCs w:val="24"/>
        </w:rPr>
        <w:t xml:space="preserve">12 months after </w:t>
      </w:r>
      <w:r w:rsidR="008C2CEF">
        <w:rPr>
          <w:rFonts w:asciiTheme="minorHAnsi" w:hAnsiTheme="minorHAnsi"/>
          <w:color w:val="auto"/>
          <w:szCs w:val="24"/>
        </w:rPr>
        <w:t xml:space="preserve">being placed on TDRL and 6 months prior to permanent separation.  </w:t>
      </w:r>
      <w:r w:rsidR="00945FA6">
        <w:rPr>
          <w:rFonts w:asciiTheme="minorHAnsi" w:hAnsiTheme="minorHAnsi"/>
          <w:color w:val="auto"/>
          <w:szCs w:val="24"/>
        </w:rPr>
        <w:t>T</w:t>
      </w:r>
      <w:r w:rsidR="00D1519B" w:rsidRPr="00D1519B">
        <w:rPr>
          <w:rFonts w:asciiTheme="minorHAnsi" w:hAnsiTheme="minorHAnsi"/>
          <w:color w:val="auto"/>
          <w:szCs w:val="24"/>
        </w:rPr>
        <w:t xml:space="preserve">here </w:t>
      </w:r>
      <w:r>
        <w:rPr>
          <w:rFonts w:asciiTheme="minorHAnsi" w:hAnsiTheme="minorHAnsi"/>
          <w:color w:val="auto"/>
          <w:szCs w:val="24"/>
        </w:rPr>
        <w:t xml:space="preserve">was also a </w:t>
      </w:r>
      <w:r w:rsidR="00D1519B" w:rsidRPr="00D1519B">
        <w:rPr>
          <w:rFonts w:asciiTheme="minorHAnsi" w:hAnsiTheme="minorHAnsi"/>
          <w:color w:val="auto"/>
          <w:szCs w:val="24"/>
        </w:rPr>
        <w:t xml:space="preserve">VA psychiatric outpatient </w:t>
      </w:r>
      <w:r w:rsidR="007214C3">
        <w:rPr>
          <w:rFonts w:asciiTheme="minorHAnsi" w:hAnsiTheme="minorHAnsi"/>
          <w:color w:val="auto"/>
          <w:szCs w:val="24"/>
        </w:rPr>
        <w:t xml:space="preserve">visit within one month of </w:t>
      </w:r>
      <w:r>
        <w:rPr>
          <w:rFonts w:asciiTheme="minorHAnsi" w:hAnsiTheme="minorHAnsi"/>
          <w:color w:val="auto"/>
          <w:szCs w:val="24"/>
        </w:rPr>
        <w:t xml:space="preserve">permanent separation that </w:t>
      </w:r>
      <w:r w:rsidR="00256930">
        <w:rPr>
          <w:rFonts w:asciiTheme="minorHAnsi" w:hAnsiTheme="minorHAnsi"/>
          <w:color w:val="auto"/>
          <w:szCs w:val="24"/>
        </w:rPr>
        <w:t>provided</w:t>
      </w:r>
      <w:r w:rsidR="007214C3">
        <w:rPr>
          <w:rFonts w:asciiTheme="minorHAnsi" w:hAnsiTheme="minorHAnsi"/>
          <w:color w:val="auto"/>
          <w:szCs w:val="24"/>
        </w:rPr>
        <w:t xml:space="preserve"> </w:t>
      </w:r>
      <w:r w:rsidR="00A66914">
        <w:rPr>
          <w:rFonts w:asciiTheme="minorHAnsi" w:hAnsiTheme="minorHAnsi"/>
          <w:color w:val="auto"/>
          <w:szCs w:val="24"/>
        </w:rPr>
        <w:t>probative</w:t>
      </w:r>
      <w:r>
        <w:rPr>
          <w:rFonts w:asciiTheme="minorHAnsi" w:hAnsiTheme="minorHAnsi"/>
          <w:color w:val="auto"/>
          <w:szCs w:val="24"/>
        </w:rPr>
        <w:t xml:space="preserve"> </w:t>
      </w:r>
      <w:r w:rsidR="00A66914">
        <w:rPr>
          <w:rFonts w:asciiTheme="minorHAnsi" w:hAnsiTheme="minorHAnsi"/>
          <w:color w:val="auto"/>
          <w:szCs w:val="24"/>
        </w:rPr>
        <w:t>evidence</w:t>
      </w:r>
      <w:r>
        <w:rPr>
          <w:rFonts w:asciiTheme="minorHAnsi" w:hAnsiTheme="minorHAnsi"/>
          <w:color w:val="auto"/>
          <w:szCs w:val="24"/>
        </w:rPr>
        <w:t xml:space="preserve">.  </w:t>
      </w:r>
      <w:r w:rsidR="00945FA6">
        <w:rPr>
          <w:rFonts w:asciiTheme="minorHAnsi" w:hAnsiTheme="minorHAnsi"/>
          <w:color w:val="auto"/>
          <w:szCs w:val="24"/>
        </w:rPr>
        <w:t xml:space="preserve"> </w:t>
      </w:r>
    </w:p>
    <w:p w:rsidR="00E2664A" w:rsidRDefault="00E2664A" w:rsidP="00D1519B">
      <w:pPr>
        <w:spacing w:line="240" w:lineRule="exact"/>
        <w:jc w:val="both"/>
        <w:rPr>
          <w:rFonts w:asciiTheme="minorHAnsi" w:hAnsiTheme="minorHAnsi"/>
          <w:color w:val="auto"/>
          <w:szCs w:val="24"/>
        </w:rPr>
      </w:pPr>
    </w:p>
    <w:p w:rsidR="000C649E" w:rsidRDefault="00B77764" w:rsidP="00B77764">
      <w:pPr>
        <w:tabs>
          <w:tab w:val="left" w:pos="288"/>
          <w:tab w:val="left" w:pos="4752"/>
        </w:tabs>
        <w:spacing w:line="240" w:lineRule="exact"/>
        <w:jc w:val="both"/>
        <w:rPr>
          <w:rFonts w:asciiTheme="minorHAnsi" w:hAnsiTheme="minorHAnsi"/>
          <w:iCs/>
          <w:color w:val="auto"/>
          <w:szCs w:val="24"/>
        </w:rPr>
      </w:pPr>
      <w:r>
        <w:rPr>
          <w:rFonts w:asciiTheme="minorHAnsi" w:hAnsiTheme="minorHAnsi"/>
          <w:iCs/>
          <w:color w:val="auto"/>
          <w:szCs w:val="24"/>
        </w:rPr>
        <w:t xml:space="preserve">The </w:t>
      </w:r>
      <w:r w:rsidRPr="007F0F3A">
        <w:rPr>
          <w:rFonts w:asciiTheme="minorHAnsi" w:hAnsiTheme="minorHAnsi"/>
          <w:iCs/>
          <w:color w:val="auto"/>
          <w:szCs w:val="24"/>
        </w:rPr>
        <w:t xml:space="preserve">severity of the CI’s PTSD condition </w:t>
      </w:r>
      <w:r>
        <w:rPr>
          <w:rFonts w:asciiTheme="minorHAnsi" w:hAnsiTheme="minorHAnsi"/>
          <w:iCs/>
          <w:color w:val="auto"/>
          <w:szCs w:val="24"/>
        </w:rPr>
        <w:t>could best be described as moderate to severe a</w:t>
      </w:r>
      <w:r w:rsidR="007214C3">
        <w:rPr>
          <w:rFonts w:asciiTheme="minorHAnsi" w:hAnsiTheme="minorHAnsi"/>
          <w:iCs/>
          <w:color w:val="auto"/>
          <w:szCs w:val="24"/>
        </w:rPr>
        <w:t>t the time</w:t>
      </w:r>
      <w:r>
        <w:rPr>
          <w:rFonts w:asciiTheme="minorHAnsi" w:hAnsiTheme="minorHAnsi"/>
          <w:iCs/>
          <w:color w:val="auto"/>
          <w:szCs w:val="24"/>
        </w:rPr>
        <w:t xml:space="preserve"> </w:t>
      </w:r>
      <w:r w:rsidR="00E2664A">
        <w:rPr>
          <w:rFonts w:asciiTheme="minorHAnsi" w:hAnsiTheme="minorHAnsi"/>
          <w:iCs/>
          <w:color w:val="auto"/>
          <w:szCs w:val="24"/>
        </w:rPr>
        <w:t>he</w:t>
      </w:r>
      <w:r>
        <w:rPr>
          <w:rFonts w:asciiTheme="minorHAnsi" w:hAnsiTheme="minorHAnsi"/>
          <w:iCs/>
          <w:color w:val="auto"/>
          <w:szCs w:val="24"/>
        </w:rPr>
        <w:t xml:space="preserve"> was placed on </w:t>
      </w:r>
      <w:r w:rsidR="00256930">
        <w:rPr>
          <w:rFonts w:asciiTheme="minorHAnsi" w:hAnsiTheme="minorHAnsi"/>
          <w:iCs/>
          <w:color w:val="auto"/>
          <w:szCs w:val="24"/>
        </w:rPr>
        <w:t xml:space="preserve">the </w:t>
      </w:r>
      <w:r>
        <w:rPr>
          <w:rFonts w:asciiTheme="minorHAnsi" w:hAnsiTheme="minorHAnsi"/>
          <w:iCs/>
          <w:color w:val="auto"/>
          <w:szCs w:val="24"/>
        </w:rPr>
        <w:t>TDRL.  T</w:t>
      </w:r>
      <w:r w:rsidR="00A0014F">
        <w:rPr>
          <w:rFonts w:asciiTheme="minorHAnsi" w:hAnsiTheme="minorHAnsi"/>
          <w:iCs/>
          <w:color w:val="auto"/>
          <w:szCs w:val="24"/>
        </w:rPr>
        <w:t>he MEB</w:t>
      </w:r>
      <w:r w:rsidR="00E2664A">
        <w:rPr>
          <w:rFonts w:asciiTheme="minorHAnsi" w:hAnsiTheme="minorHAnsi"/>
          <w:iCs/>
          <w:color w:val="auto"/>
          <w:szCs w:val="24"/>
        </w:rPr>
        <w:t>’s</w:t>
      </w:r>
      <w:r w:rsidR="00A0014F">
        <w:rPr>
          <w:rFonts w:asciiTheme="minorHAnsi" w:hAnsiTheme="minorHAnsi"/>
          <w:iCs/>
          <w:color w:val="auto"/>
          <w:szCs w:val="24"/>
        </w:rPr>
        <w:t xml:space="preserve"> NARSUM documented the presence of pervasive exhaustion, inability </w:t>
      </w:r>
      <w:r w:rsidR="00A0014F" w:rsidRPr="00A0014F">
        <w:rPr>
          <w:rFonts w:asciiTheme="minorHAnsi" w:hAnsiTheme="minorHAnsi"/>
          <w:iCs/>
          <w:color w:val="auto"/>
          <w:szCs w:val="24"/>
        </w:rPr>
        <w:t xml:space="preserve">to </w:t>
      </w:r>
      <w:r w:rsidR="00A0014F">
        <w:rPr>
          <w:rFonts w:asciiTheme="minorHAnsi" w:hAnsiTheme="minorHAnsi"/>
          <w:iCs/>
          <w:color w:val="auto"/>
          <w:szCs w:val="24"/>
        </w:rPr>
        <w:t>c</w:t>
      </w:r>
      <w:r w:rsidR="00A0014F" w:rsidRPr="00A0014F">
        <w:rPr>
          <w:rFonts w:asciiTheme="minorHAnsi" w:hAnsiTheme="minorHAnsi"/>
          <w:iCs/>
          <w:color w:val="auto"/>
          <w:szCs w:val="24"/>
        </w:rPr>
        <w:t>oncentrate, sleep disturbances, flashbacks, emotional numbing, high irritability</w:t>
      </w:r>
      <w:r w:rsidR="006F06F0">
        <w:rPr>
          <w:rFonts w:asciiTheme="minorHAnsi" w:hAnsiTheme="minorHAnsi"/>
          <w:iCs/>
          <w:color w:val="auto"/>
          <w:szCs w:val="24"/>
        </w:rPr>
        <w:t xml:space="preserve"> without outbursts</w:t>
      </w:r>
      <w:r w:rsidR="00A0014F">
        <w:rPr>
          <w:rFonts w:asciiTheme="minorHAnsi" w:hAnsiTheme="minorHAnsi"/>
          <w:iCs/>
          <w:color w:val="auto"/>
          <w:szCs w:val="24"/>
        </w:rPr>
        <w:t>,</w:t>
      </w:r>
      <w:r w:rsidR="00A0014F" w:rsidRPr="00A0014F">
        <w:rPr>
          <w:rFonts w:asciiTheme="minorHAnsi" w:hAnsiTheme="minorHAnsi"/>
          <w:iCs/>
          <w:color w:val="auto"/>
          <w:szCs w:val="24"/>
        </w:rPr>
        <w:t xml:space="preserve"> and a heightened startle response</w:t>
      </w:r>
      <w:r w:rsidR="00A0014F">
        <w:rPr>
          <w:rFonts w:asciiTheme="minorHAnsi" w:hAnsiTheme="minorHAnsi"/>
          <w:iCs/>
          <w:color w:val="auto"/>
          <w:szCs w:val="24"/>
        </w:rPr>
        <w:t xml:space="preserve">.  </w:t>
      </w:r>
      <w:r w:rsidR="00801662">
        <w:rPr>
          <w:rFonts w:asciiTheme="minorHAnsi" w:hAnsiTheme="minorHAnsi"/>
          <w:iCs/>
          <w:color w:val="auto"/>
          <w:szCs w:val="24"/>
        </w:rPr>
        <w:t xml:space="preserve">Objectively, </w:t>
      </w:r>
      <w:r w:rsidR="00D6577B">
        <w:rPr>
          <w:rFonts w:asciiTheme="minorHAnsi" w:hAnsiTheme="minorHAnsi"/>
          <w:iCs/>
          <w:color w:val="auto"/>
          <w:szCs w:val="24"/>
        </w:rPr>
        <w:t>the mental status exam (</w:t>
      </w:r>
      <w:r w:rsidR="00D6577B" w:rsidRPr="00D6577B">
        <w:rPr>
          <w:rFonts w:asciiTheme="minorHAnsi" w:hAnsiTheme="minorHAnsi"/>
          <w:iCs/>
          <w:color w:val="auto"/>
          <w:szCs w:val="24"/>
        </w:rPr>
        <w:t>MSE</w:t>
      </w:r>
      <w:r w:rsidR="00D6577B">
        <w:rPr>
          <w:rFonts w:asciiTheme="minorHAnsi" w:hAnsiTheme="minorHAnsi"/>
          <w:iCs/>
          <w:color w:val="auto"/>
          <w:szCs w:val="24"/>
        </w:rPr>
        <w:t>) documented a</w:t>
      </w:r>
      <w:r w:rsidR="00D6577B" w:rsidRPr="00D6577B">
        <w:rPr>
          <w:rFonts w:asciiTheme="minorHAnsi" w:hAnsiTheme="minorHAnsi"/>
          <w:iCs/>
          <w:color w:val="auto"/>
          <w:szCs w:val="24"/>
        </w:rPr>
        <w:t>ppropriate attire</w:t>
      </w:r>
      <w:r w:rsidR="00D6577B">
        <w:rPr>
          <w:rFonts w:asciiTheme="minorHAnsi" w:hAnsiTheme="minorHAnsi"/>
          <w:iCs/>
          <w:color w:val="auto"/>
          <w:szCs w:val="24"/>
        </w:rPr>
        <w:t xml:space="preserve">, </w:t>
      </w:r>
      <w:r w:rsidR="00D6577B" w:rsidRPr="00D6577B">
        <w:rPr>
          <w:rFonts w:asciiTheme="minorHAnsi" w:hAnsiTheme="minorHAnsi"/>
          <w:iCs/>
          <w:color w:val="auto"/>
          <w:szCs w:val="24"/>
        </w:rPr>
        <w:t>grooming and hygiene</w:t>
      </w:r>
      <w:r w:rsidR="00D6577B">
        <w:rPr>
          <w:rFonts w:asciiTheme="minorHAnsi" w:hAnsiTheme="minorHAnsi"/>
          <w:iCs/>
          <w:color w:val="auto"/>
          <w:szCs w:val="24"/>
        </w:rPr>
        <w:t xml:space="preserve">; </w:t>
      </w:r>
      <w:r w:rsidR="00D6577B" w:rsidRPr="00D6577B">
        <w:rPr>
          <w:rFonts w:asciiTheme="minorHAnsi" w:hAnsiTheme="minorHAnsi"/>
          <w:iCs/>
          <w:color w:val="auto"/>
          <w:szCs w:val="24"/>
        </w:rPr>
        <w:t xml:space="preserve">good eye contact; </w:t>
      </w:r>
      <w:r w:rsidR="00D6577B">
        <w:rPr>
          <w:rFonts w:asciiTheme="minorHAnsi" w:hAnsiTheme="minorHAnsi"/>
          <w:iCs/>
          <w:color w:val="auto"/>
          <w:szCs w:val="24"/>
        </w:rPr>
        <w:t xml:space="preserve">intact </w:t>
      </w:r>
      <w:r w:rsidR="00D6577B" w:rsidRPr="00D6577B">
        <w:rPr>
          <w:rFonts w:asciiTheme="minorHAnsi" w:hAnsiTheme="minorHAnsi"/>
          <w:iCs/>
          <w:color w:val="auto"/>
          <w:szCs w:val="24"/>
        </w:rPr>
        <w:t>orient</w:t>
      </w:r>
      <w:r w:rsidR="00D6577B">
        <w:rPr>
          <w:rFonts w:asciiTheme="minorHAnsi" w:hAnsiTheme="minorHAnsi"/>
          <w:iCs/>
          <w:color w:val="auto"/>
          <w:szCs w:val="24"/>
        </w:rPr>
        <w:t>ation</w:t>
      </w:r>
      <w:r w:rsidR="000F328A">
        <w:rPr>
          <w:rFonts w:asciiTheme="minorHAnsi" w:hAnsiTheme="minorHAnsi"/>
          <w:iCs/>
          <w:color w:val="auto"/>
          <w:szCs w:val="24"/>
        </w:rPr>
        <w:t xml:space="preserve">; </w:t>
      </w:r>
      <w:r w:rsidR="00E2664A">
        <w:rPr>
          <w:rFonts w:asciiTheme="minorHAnsi" w:hAnsiTheme="minorHAnsi"/>
          <w:iCs/>
          <w:color w:val="auto"/>
          <w:szCs w:val="24"/>
        </w:rPr>
        <w:t>normal attention, although</w:t>
      </w:r>
      <w:r w:rsidR="00D6577B" w:rsidRPr="00D6577B">
        <w:rPr>
          <w:rFonts w:asciiTheme="minorHAnsi" w:hAnsiTheme="minorHAnsi"/>
          <w:iCs/>
          <w:color w:val="auto"/>
          <w:szCs w:val="24"/>
        </w:rPr>
        <w:t xml:space="preserve"> </w:t>
      </w:r>
      <w:r w:rsidR="00D6577B">
        <w:rPr>
          <w:rFonts w:asciiTheme="minorHAnsi" w:hAnsiTheme="minorHAnsi"/>
          <w:iCs/>
          <w:color w:val="auto"/>
          <w:szCs w:val="24"/>
        </w:rPr>
        <w:t xml:space="preserve">impaired </w:t>
      </w:r>
      <w:r w:rsidR="00D6577B" w:rsidRPr="00D6577B">
        <w:rPr>
          <w:rFonts w:asciiTheme="minorHAnsi" w:hAnsiTheme="minorHAnsi"/>
          <w:iCs/>
          <w:color w:val="auto"/>
          <w:szCs w:val="24"/>
        </w:rPr>
        <w:t xml:space="preserve">concentration; </w:t>
      </w:r>
      <w:r w:rsidR="00D6577B">
        <w:rPr>
          <w:rFonts w:asciiTheme="minorHAnsi" w:hAnsiTheme="minorHAnsi"/>
          <w:iCs/>
          <w:color w:val="auto"/>
          <w:szCs w:val="24"/>
        </w:rPr>
        <w:t xml:space="preserve">slowed </w:t>
      </w:r>
      <w:r w:rsidR="00D6577B" w:rsidRPr="00D6577B">
        <w:rPr>
          <w:rFonts w:asciiTheme="minorHAnsi" w:hAnsiTheme="minorHAnsi"/>
          <w:iCs/>
          <w:color w:val="auto"/>
          <w:szCs w:val="24"/>
        </w:rPr>
        <w:t xml:space="preserve">speech and motor </w:t>
      </w:r>
      <w:r w:rsidR="00D6577B">
        <w:rPr>
          <w:rFonts w:asciiTheme="minorHAnsi" w:hAnsiTheme="minorHAnsi"/>
          <w:iCs/>
          <w:color w:val="auto"/>
          <w:szCs w:val="24"/>
        </w:rPr>
        <w:t xml:space="preserve">reactions; flat </w:t>
      </w:r>
      <w:r w:rsidR="00D6577B" w:rsidRPr="00D6577B">
        <w:rPr>
          <w:rFonts w:asciiTheme="minorHAnsi" w:hAnsiTheme="minorHAnsi"/>
          <w:iCs/>
          <w:color w:val="auto"/>
          <w:szCs w:val="24"/>
        </w:rPr>
        <w:t>affect</w:t>
      </w:r>
      <w:r w:rsidR="00D6577B">
        <w:rPr>
          <w:rFonts w:asciiTheme="minorHAnsi" w:hAnsiTheme="minorHAnsi"/>
          <w:iCs/>
          <w:color w:val="auto"/>
          <w:szCs w:val="24"/>
        </w:rPr>
        <w:t xml:space="preserve">; depressed </w:t>
      </w:r>
      <w:r w:rsidR="00D6577B" w:rsidRPr="00D6577B">
        <w:rPr>
          <w:rFonts w:asciiTheme="minorHAnsi" w:hAnsiTheme="minorHAnsi"/>
          <w:iCs/>
          <w:color w:val="auto"/>
          <w:szCs w:val="24"/>
        </w:rPr>
        <w:t>mood</w:t>
      </w:r>
      <w:r w:rsidR="00D6577B">
        <w:rPr>
          <w:rFonts w:asciiTheme="minorHAnsi" w:hAnsiTheme="minorHAnsi"/>
          <w:iCs/>
          <w:color w:val="auto"/>
          <w:szCs w:val="24"/>
        </w:rPr>
        <w:t xml:space="preserve">; </w:t>
      </w:r>
      <w:r w:rsidR="00E2664A">
        <w:rPr>
          <w:rFonts w:asciiTheme="minorHAnsi" w:hAnsiTheme="minorHAnsi"/>
          <w:iCs/>
          <w:color w:val="auto"/>
          <w:szCs w:val="24"/>
        </w:rPr>
        <w:t>normal</w:t>
      </w:r>
      <w:r w:rsidR="00D6577B">
        <w:rPr>
          <w:rFonts w:asciiTheme="minorHAnsi" w:hAnsiTheme="minorHAnsi"/>
          <w:iCs/>
          <w:color w:val="auto"/>
          <w:szCs w:val="24"/>
        </w:rPr>
        <w:t xml:space="preserve"> </w:t>
      </w:r>
      <w:r w:rsidR="00D6577B" w:rsidRPr="00D6577B">
        <w:rPr>
          <w:rFonts w:asciiTheme="minorHAnsi" w:hAnsiTheme="minorHAnsi"/>
          <w:iCs/>
          <w:color w:val="auto"/>
          <w:szCs w:val="24"/>
        </w:rPr>
        <w:t>thought processes</w:t>
      </w:r>
      <w:r w:rsidR="00D6577B">
        <w:rPr>
          <w:rFonts w:asciiTheme="minorHAnsi" w:hAnsiTheme="minorHAnsi"/>
          <w:iCs/>
          <w:color w:val="auto"/>
          <w:szCs w:val="24"/>
        </w:rPr>
        <w:t>; intact j</w:t>
      </w:r>
      <w:r w:rsidR="00D6577B" w:rsidRPr="00D6577B">
        <w:rPr>
          <w:rFonts w:asciiTheme="minorHAnsi" w:hAnsiTheme="minorHAnsi"/>
          <w:iCs/>
          <w:color w:val="auto"/>
          <w:szCs w:val="24"/>
        </w:rPr>
        <w:t xml:space="preserve">udgment; </w:t>
      </w:r>
      <w:r w:rsidR="00D6577B">
        <w:rPr>
          <w:rFonts w:asciiTheme="minorHAnsi" w:hAnsiTheme="minorHAnsi"/>
          <w:iCs/>
          <w:color w:val="auto"/>
          <w:szCs w:val="24"/>
        </w:rPr>
        <w:t xml:space="preserve">normal </w:t>
      </w:r>
      <w:r w:rsidR="00D6577B" w:rsidRPr="00D6577B">
        <w:rPr>
          <w:rFonts w:asciiTheme="minorHAnsi" w:hAnsiTheme="minorHAnsi"/>
          <w:iCs/>
          <w:color w:val="auto"/>
          <w:szCs w:val="24"/>
        </w:rPr>
        <w:t>thought content</w:t>
      </w:r>
      <w:r w:rsidR="00D6577B">
        <w:rPr>
          <w:rFonts w:asciiTheme="minorHAnsi" w:hAnsiTheme="minorHAnsi"/>
          <w:iCs/>
          <w:color w:val="auto"/>
          <w:szCs w:val="24"/>
        </w:rPr>
        <w:t xml:space="preserve"> and insight; n</w:t>
      </w:r>
      <w:r w:rsidR="00D6577B" w:rsidRPr="00D6577B">
        <w:rPr>
          <w:rFonts w:asciiTheme="minorHAnsi" w:hAnsiTheme="minorHAnsi"/>
          <w:iCs/>
          <w:color w:val="auto"/>
          <w:szCs w:val="24"/>
        </w:rPr>
        <w:t xml:space="preserve">o homicidal or suicidal ideation; </w:t>
      </w:r>
      <w:r w:rsidR="00D6577B">
        <w:rPr>
          <w:rFonts w:asciiTheme="minorHAnsi" w:hAnsiTheme="minorHAnsi"/>
          <w:iCs/>
          <w:color w:val="auto"/>
          <w:szCs w:val="24"/>
        </w:rPr>
        <w:t>and</w:t>
      </w:r>
      <w:r w:rsidR="00E2664A">
        <w:rPr>
          <w:rFonts w:asciiTheme="minorHAnsi" w:hAnsiTheme="minorHAnsi"/>
          <w:iCs/>
          <w:color w:val="auto"/>
          <w:szCs w:val="24"/>
        </w:rPr>
        <w:t>,</w:t>
      </w:r>
      <w:r w:rsidR="00D6577B">
        <w:rPr>
          <w:rFonts w:asciiTheme="minorHAnsi" w:hAnsiTheme="minorHAnsi"/>
          <w:iCs/>
          <w:color w:val="auto"/>
          <w:szCs w:val="24"/>
        </w:rPr>
        <w:t xml:space="preserve"> above average </w:t>
      </w:r>
      <w:r w:rsidR="00D6577B" w:rsidRPr="00D6577B">
        <w:rPr>
          <w:rFonts w:asciiTheme="minorHAnsi" w:hAnsiTheme="minorHAnsi"/>
          <w:iCs/>
          <w:color w:val="auto"/>
          <w:szCs w:val="24"/>
        </w:rPr>
        <w:t>intelligence</w:t>
      </w:r>
      <w:r w:rsidR="00D6577B">
        <w:rPr>
          <w:rFonts w:asciiTheme="minorHAnsi" w:hAnsiTheme="minorHAnsi"/>
          <w:iCs/>
          <w:color w:val="auto"/>
          <w:szCs w:val="24"/>
        </w:rPr>
        <w:t xml:space="preserve">.  Socially, the CI </w:t>
      </w:r>
      <w:r w:rsidR="00E2664A">
        <w:rPr>
          <w:rFonts w:asciiTheme="minorHAnsi" w:hAnsiTheme="minorHAnsi"/>
          <w:iCs/>
          <w:color w:val="auto"/>
          <w:szCs w:val="24"/>
        </w:rPr>
        <w:t>distanced himself from</w:t>
      </w:r>
      <w:r w:rsidR="00D6577B">
        <w:rPr>
          <w:rFonts w:asciiTheme="minorHAnsi" w:hAnsiTheme="minorHAnsi"/>
          <w:iCs/>
          <w:color w:val="auto"/>
          <w:szCs w:val="24"/>
        </w:rPr>
        <w:t xml:space="preserve"> his family and </w:t>
      </w:r>
      <w:r w:rsidR="00D7698C">
        <w:rPr>
          <w:rFonts w:asciiTheme="minorHAnsi" w:hAnsiTheme="minorHAnsi"/>
          <w:iCs/>
          <w:color w:val="auto"/>
          <w:szCs w:val="24"/>
        </w:rPr>
        <w:t xml:space="preserve">struggled with </w:t>
      </w:r>
      <w:r w:rsidR="00E2664A">
        <w:rPr>
          <w:rFonts w:asciiTheme="minorHAnsi" w:hAnsiTheme="minorHAnsi"/>
          <w:iCs/>
          <w:color w:val="auto"/>
          <w:szCs w:val="24"/>
        </w:rPr>
        <w:t xml:space="preserve">intimacy; </w:t>
      </w:r>
      <w:r w:rsidR="00D7698C">
        <w:rPr>
          <w:rFonts w:asciiTheme="minorHAnsi" w:hAnsiTheme="minorHAnsi"/>
          <w:iCs/>
          <w:color w:val="auto"/>
          <w:szCs w:val="24"/>
        </w:rPr>
        <w:t>h</w:t>
      </w:r>
      <w:r w:rsidR="00D6577B">
        <w:rPr>
          <w:rFonts w:asciiTheme="minorHAnsi" w:hAnsiTheme="minorHAnsi"/>
          <w:iCs/>
          <w:color w:val="auto"/>
          <w:szCs w:val="24"/>
        </w:rPr>
        <w:t xml:space="preserve">e did </w:t>
      </w:r>
      <w:r w:rsidR="00D6577B" w:rsidRPr="00D6577B">
        <w:rPr>
          <w:rFonts w:asciiTheme="minorHAnsi" w:hAnsiTheme="minorHAnsi"/>
          <w:iCs/>
          <w:color w:val="auto"/>
          <w:szCs w:val="24"/>
        </w:rPr>
        <w:t xml:space="preserve">not socialize and </w:t>
      </w:r>
      <w:r w:rsidR="00D7698C">
        <w:rPr>
          <w:rFonts w:asciiTheme="minorHAnsi" w:hAnsiTheme="minorHAnsi"/>
          <w:iCs/>
          <w:color w:val="auto"/>
          <w:szCs w:val="24"/>
        </w:rPr>
        <w:t xml:space="preserve">displayed clear </w:t>
      </w:r>
      <w:r w:rsidR="00D6577B" w:rsidRPr="00D6577B">
        <w:rPr>
          <w:rFonts w:asciiTheme="minorHAnsi" w:hAnsiTheme="minorHAnsi"/>
          <w:iCs/>
          <w:color w:val="auto"/>
          <w:szCs w:val="24"/>
        </w:rPr>
        <w:t>avoid</w:t>
      </w:r>
      <w:r w:rsidR="00D7698C">
        <w:rPr>
          <w:rFonts w:asciiTheme="minorHAnsi" w:hAnsiTheme="minorHAnsi"/>
          <w:iCs/>
          <w:color w:val="auto"/>
          <w:szCs w:val="24"/>
        </w:rPr>
        <w:t>ance; and, h</w:t>
      </w:r>
      <w:r w:rsidR="00D6577B" w:rsidRPr="00D6577B">
        <w:rPr>
          <w:rFonts w:asciiTheme="minorHAnsi" w:hAnsiTheme="minorHAnsi"/>
          <w:iCs/>
          <w:color w:val="auto"/>
          <w:szCs w:val="24"/>
        </w:rPr>
        <w:t xml:space="preserve">e </w:t>
      </w:r>
      <w:r w:rsidR="00697743">
        <w:rPr>
          <w:rFonts w:asciiTheme="minorHAnsi" w:hAnsiTheme="minorHAnsi"/>
          <w:iCs/>
          <w:color w:val="auto"/>
          <w:szCs w:val="24"/>
        </w:rPr>
        <w:t>was unable to tolerate crow</w:t>
      </w:r>
      <w:r w:rsidR="00D7698C">
        <w:rPr>
          <w:rFonts w:asciiTheme="minorHAnsi" w:hAnsiTheme="minorHAnsi"/>
          <w:iCs/>
          <w:color w:val="auto"/>
          <w:szCs w:val="24"/>
        </w:rPr>
        <w:t>ds.  Occupationally, the CI was reported as being “</w:t>
      </w:r>
      <w:r w:rsidR="00D7698C" w:rsidRPr="00A0014F">
        <w:rPr>
          <w:rFonts w:asciiTheme="minorHAnsi" w:hAnsiTheme="minorHAnsi"/>
          <w:iCs/>
          <w:color w:val="auto"/>
          <w:szCs w:val="24"/>
        </w:rPr>
        <w:t>immobilized and unable to make decisions</w:t>
      </w:r>
      <w:r w:rsidR="00D7698C">
        <w:rPr>
          <w:rFonts w:asciiTheme="minorHAnsi" w:hAnsiTheme="minorHAnsi"/>
          <w:iCs/>
          <w:color w:val="auto"/>
          <w:szCs w:val="24"/>
        </w:rPr>
        <w:t>”</w:t>
      </w:r>
      <w:r w:rsidR="00D7698C" w:rsidRPr="00A0014F">
        <w:rPr>
          <w:rFonts w:asciiTheme="minorHAnsi" w:hAnsiTheme="minorHAnsi"/>
          <w:iCs/>
          <w:color w:val="auto"/>
          <w:szCs w:val="24"/>
        </w:rPr>
        <w:t xml:space="preserve">.  </w:t>
      </w:r>
      <w:r w:rsidR="00D7698C">
        <w:rPr>
          <w:rFonts w:asciiTheme="minorHAnsi" w:hAnsiTheme="minorHAnsi"/>
          <w:iCs/>
          <w:color w:val="auto"/>
          <w:szCs w:val="24"/>
        </w:rPr>
        <w:t xml:space="preserve">He was quoted as saying </w:t>
      </w:r>
      <w:r w:rsidR="00D7698C" w:rsidRPr="00A0014F">
        <w:rPr>
          <w:rFonts w:asciiTheme="minorHAnsi" w:hAnsiTheme="minorHAnsi"/>
          <w:iCs/>
          <w:color w:val="auto"/>
          <w:szCs w:val="24"/>
        </w:rPr>
        <w:t>“I can’t do my job anymore.  I can’t function around explosives.  I can barely function at all.”</w:t>
      </w:r>
      <w:r w:rsidR="00D7698C">
        <w:rPr>
          <w:rFonts w:asciiTheme="minorHAnsi" w:hAnsiTheme="minorHAnsi"/>
          <w:iCs/>
          <w:color w:val="auto"/>
          <w:szCs w:val="24"/>
        </w:rPr>
        <w:t xml:space="preserve">  </w:t>
      </w:r>
      <w:r w:rsidR="00D6577B" w:rsidRPr="000C649E">
        <w:rPr>
          <w:rFonts w:asciiTheme="minorHAnsi" w:hAnsiTheme="minorHAnsi"/>
          <w:iCs/>
          <w:color w:val="auto"/>
          <w:szCs w:val="24"/>
        </w:rPr>
        <w:t>The</w:t>
      </w:r>
      <w:r w:rsidR="00D6577B">
        <w:rPr>
          <w:rFonts w:asciiTheme="minorHAnsi" w:hAnsiTheme="minorHAnsi"/>
          <w:iCs/>
          <w:color w:val="auto"/>
          <w:szCs w:val="24"/>
        </w:rPr>
        <w:t xml:space="preserve"> command </w:t>
      </w:r>
      <w:r w:rsidR="00EC4821">
        <w:rPr>
          <w:rFonts w:asciiTheme="minorHAnsi" w:hAnsiTheme="minorHAnsi"/>
          <w:iCs/>
          <w:color w:val="auto"/>
          <w:szCs w:val="24"/>
        </w:rPr>
        <w:t>f</w:t>
      </w:r>
      <w:r w:rsidR="00D6577B">
        <w:rPr>
          <w:rFonts w:asciiTheme="minorHAnsi" w:hAnsiTheme="minorHAnsi"/>
          <w:iCs/>
          <w:color w:val="auto"/>
          <w:szCs w:val="24"/>
        </w:rPr>
        <w:t xml:space="preserve">irst </w:t>
      </w:r>
      <w:r w:rsidR="00EC4821">
        <w:rPr>
          <w:rFonts w:asciiTheme="minorHAnsi" w:hAnsiTheme="minorHAnsi"/>
          <w:iCs/>
          <w:color w:val="auto"/>
          <w:szCs w:val="24"/>
        </w:rPr>
        <w:t>s</w:t>
      </w:r>
      <w:r w:rsidR="00D6577B">
        <w:rPr>
          <w:rFonts w:asciiTheme="minorHAnsi" w:hAnsiTheme="minorHAnsi"/>
          <w:iCs/>
          <w:color w:val="auto"/>
          <w:szCs w:val="24"/>
        </w:rPr>
        <w:t xml:space="preserve">ergeant </w:t>
      </w:r>
      <w:r w:rsidR="000C649E">
        <w:rPr>
          <w:rFonts w:asciiTheme="minorHAnsi" w:hAnsiTheme="minorHAnsi"/>
          <w:iCs/>
          <w:color w:val="auto"/>
          <w:szCs w:val="24"/>
        </w:rPr>
        <w:t>confirmed this impression and stated that the CI was assigned outside his MOS and perfor</w:t>
      </w:r>
      <w:r w:rsidR="00EC4821">
        <w:rPr>
          <w:rFonts w:asciiTheme="minorHAnsi" w:hAnsiTheme="minorHAnsi"/>
          <w:iCs/>
          <w:color w:val="auto"/>
          <w:szCs w:val="24"/>
        </w:rPr>
        <w:t>ming non-demanding tasks.  The c</w:t>
      </w:r>
      <w:r w:rsidR="000C649E">
        <w:rPr>
          <w:rFonts w:asciiTheme="minorHAnsi" w:hAnsiTheme="minorHAnsi"/>
          <w:iCs/>
          <w:color w:val="auto"/>
          <w:szCs w:val="24"/>
        </w:rPr>
        <w:t xml:space="preserve">ommander concluded that the </w:t>
      </w:r>
      <w:r w:rsidR="000C649E" w:rsidRPr="00801662">
        <w:rPr>
          <w:rFonts w:asciiTheme="minorHAnsi" w:hAnsiTheme="minorHAnsi"/>
          <w:iCs/>
          <w:color w:val="auto"/>
          <w:szCs w:val="24"/>
        </w:rPr>
        <w:t xml:space="preserve">CI </w:t>
      </w:r>
      <w:r w:rsidR="000C649E">
        <w:rPr>
          <w:rFonts w:asciiTheme="minorHAnsi" w:hAnsiTheme="minorHAnsi"/>
          <w:iCs/>
          <w:color w:val="auto"/>
          <w:szCs w:val="24"/>
        </w:rPr>
        <w:t>“</w:t>
      </w:r>
      <w:r w:rsidR="000C649E" w:rsidRPr="00801662">
        <w:rPr>
          <w:rFonts w:asciiTheme="minorHAnsi" w:hAnsiTheme="minorHAnsi"/>
          <w:iCs/>
          <w:color w:val="auto"/>
          <w:szCs w:val="24"/>
        </w:rPr>
        <w:t xml:space="preserve">would never be able to function as an EOD </w:t>
      </w:r>
      <w:r w:rsidR="00DE2DFE">
        <w:rPr>
          <w:rFonts w:asciiTheme="minorHAnsi" w:hAnsiTheme="minorHAnsi"/>
          <w:iCs/>
          <w:color w:val="auto"/>
          <w:szCs w:val="24"/>
        </w:rPr>
        <w:t xml:space="preserve">[Explosive Ordnance Disposal] </w:t>
      </w:r>
      <w:r w:rsidR="000C649E" w:rsidRPr="00801662">
        <w:rPr>
          <w:rFonts w:asciiTheme="minorHAnsi" w:hAnsiTheme="minorHAnsi"/>
          <w:iCs/>
          <w:color w:val="auto"/>
          <w:szCs w:val="24"/>
        </w:rPr>
        <w:t>soldier or in any capacity as a soldier.</w:t>
      </w:r>
      <w:r w:rsidR="000C649E">
        <w:rPr>
          <w:rFonts w:asciiTheme="minorHAnsi" w:hAnsiTheme="minorHAnsi"/>
          <w:iCs/>
          <w:color w:val="auto"/>
          <w:szCs w:val="24"/>
        </w:rPr>
        <w:t xml:space="preserve">”  The Global Assessment of Functioning (GAF) score assigned by the MEB psychiatrist was 50, which is indicative of </w:t>
      </w:r>
      <w:r w:rsidR="000C649E" w:rsidRPr="00D201A3">
        <w:rPr>
          <w:rFonts w:asciiTheme="minorHAnsi" w:hAnsiTheme="minorHAnsi"/>
          <w:iCs/>
          <w:color w:val="auto"/>
          <w:szCs w:val="24"/>
        </w:rPr>
        <w:t>serious impairment</w:t>
      </w:r>
      <w:r w:rsidR="000C649E">
        <w:rPr>
          <w:rFonts w:asciiTheme="minorHAnsi" w:hAnsiTheme="minorHAnsi"/>
          <w:iCs/>
          <w:color w:val="auto"/>
          <w:szCs w:val="24"/>
        </w:rPr>
        <w:t>.</w:t>
      </w:r>
    </w:p>
    <w:p w:rsidR="00284C9D" w:rsidRDefault="00284C9D" w:rsidP="00B77764">
      <w:pPr>
        <w:tabs>
          <w:tab w:val="left" w:pos="288"/>
          <w:tab w:val="left" w:pos="4752"/>
        </w:tabs>
        <w:spacing w:line="240" w:lineRule="exact"/>
        <w:jc w:val="both"/>
        <w:rPr>
          <w:rFonts w:asciiTheme="minorHAnsi" w:hAnsiTheme="minorHAnsi"/>
          <w:iCs/>
          <w:color w:val="auto"/>
          <w:szCs w:val="24"/>
        </w:rPr>
      </w:pPr>
    </w:p>
    <w:p w:rsidR="008D5F11" w:rsidRPr="00E1428B" w:rsidRDefault="00A926F0" w:rsidP="00E1428B">
      <w:pPr>
        <w:spacing w:line="240" w:lineRule="exact"/>
        <w:jc w:val="both"/>
        <w:rPr>
          <w:rFonts w:ascii="Times New Roman" w:hAnsi="Times New Roman"/>
          <w:b/>
          <w:color w:val="auto"/>
          <w:szCs w:val="24"/>
        </w:rPr>
      </w:pPr>
      <w:r>
        <w:rPr>
          <w:rFonts w:asciiTheme="minorHAnsi" w:hAnsiTheme="minorHAnsi"/>
          <w:iCs/>
          <w:color w:val="auto"/>
          <w:szCs w:val="24"/>
        </w:rPr>
        <w:t xml:space="preserve">At the time of permanent separation, the TDRL </w:t>
      </w:r>
      <w:r w:rsidR="000C649E">
        <w:rPr>
          <w:rFonts w:asciiTheme="minorHAnsi" w:hAnsiTheme="minorHAnsi"/>
          <w:iCs/>
          <w:color w:val="auto"/>
          <w:szCs w:val="24"/>
        </w:rPr>
        <w:t>psychiatric examiner</w:t>
      </w:r>
      <w:r>
        <w:rPr>
          <w:rFonts w:asciiTheme="minorHAnsi" w:hAnsiTheme="minorHAnsi"/>
          <w:iCs/>
          <w:color w:val="auto"/>
          <w:szCs w:val="24"/>
        </w:rPr>
        <w:t xml:space="preserve"> documented</w:t>
      </w:r>
      <w:r w:rsidR="0051686B">
        <w:rPr>
          <w:rFonts w:asciiTheme="minorHAnsi" w:hAnsiTheme="minorHAnsi"/>
          <w:iCs/>
          <w:color w:val="auto"/>
          <w:szCs w:val="24"/>
        </w:rPr>
        <w:t xml:space="preserve"> that the CI was having difficulty with i</w:t>
      </w:r>
      <w:r w:rsidR="00B77764" w:rsidRPr="00B77764">
        <w:rPr>
          <w:rFonts w:asciiTheme="minorHAnsi" w:hAnsiTheme="minorHAnsi"/>
          <w:iCs/>
          <w:color w:val="auto"/>
          <w:szCs w:val="24"/>
        </w:rPr>
        <w:t xml:space="preserve">nsomnia, nightmares, irritability, </w:t>
      </w:r>
      <w:r w:rsidR="0051686B">
        <w:rPr>
          <w:rFonts w:asciiTheme="minorHAnsi" w:hAnsiTheme="minorHAnsi"/>
          <w:iCs/>
          <w:color w:val="auto"/>
          <w:szCs w:val="24"/>
        </w:rPr>
        <w:t>and anxiety</w:t>
      </w:r>
      <w:r w:rsidR="00185726">
        <w:rPr>
          <w:rFonts w:asciiTheme="minorHAnsi" w:hAnsiTheme="minorHAnsi"/>
          <w:iCs/>
          <w:color w:val="auto"/>
          <w:szCs w:val="24"/>
        </w:rPr>
        <w:t xml:space="preserve">; and, that his symptoms were creating discord in his marriage. </w:t>
      </w:r>
      <w:r w:rsidR="0051686B">
        <w:rPr>
          <w:rFonts w:asciiTheme="minorHAnsi" w:hAnsiTheme="minorHAnsi"/>
          <w:iCs/>
          <w:color w:val="auto"/>
          <w:szCs w:val="24"/>
        </w:rPr>
        <w:t xml:space="preserve"> </w:t>
      </w:r>
      <w:r w:rsidR="00CA0B12">
        <w:rPr>
          <w:rFonts w:asciiTheme="minorHAnsi" w:hAnsiTheme="minorHAnsi"/>
          <w:iCs/>
          <w:color w:val="auto"/>
          <w:szCs w:val="24"/>
        </w:rPr>
        <w:t xml:space="preserve">The CI had continued on daily psychotropic medications to treat his condition.  </w:t>
      </w:r>
      <w:r w:rsidR="0051686B">
        <w:rPr>
          <w:rFonts w:asciiTheme="minorHAnsi" w:hAnsiTheme="minorHAnsi"/>
          <w:iCs/>
          <w:color w:val="auto"/>
          <w:szCs w:val="24"/>
        </w:rPr>
        <w:t xml:space="preserve">An abbreviated MSE documented </w:t>
      </w:r>
      <w:r w:rsidR="00185726">
        <w:rPr>
          <w:rFonts w:asciiTheme="minorHAnsi" w:hAnsiTheme="minorHAnsi"/>
          <w:iCs/>
          <w:color w:val="auto"/>
          <w:szCs w:val="24"/>
        </w:rPr>
        <w:t>normal findings, but noted</w:t>
      </w:r>
      <w:r w:rsidR="001C7DDC">
        <w:rPr>
          <w:rFonts w:asciiTheme="minorHAnsi" w:hAnsiTheme="minorHAnsi"/>
          <w:iCs/>
          <w:color w:val="auto"/>
          <w:szCs w:val="24"/>
        </w:rPr>
        <w:t xml:space="preserve"> that the CI was </w:t>
      </w:r>
      <w:r w:rsidR="00185726">
        <w:rPr>
          <w:rFonts w:asciiTheme="minorHAnsi" w:hAnsiTheme="minorHAnsi"/>
          <w:iCs/>
          <w:color w:val="auto"/>
          <w:szCs w:val="24"/>
        </w:rPr>
        <w:t xml:space="preserve">intermittently </w:t>
      </w:r>
      <w:r w:rsidR="001C7DDC">
        <w:rPr>
          <w:rFonts w:asciiTheme="minorHAnsi" w:hAnsiTheme="minorHAnsi"/>
          <w:iCs/>
          <w:color w:val="auto"/>
          <w:szCs w:val="24"/>
        </w:rPr>
        <w:t>t</w:t>
      </w:r>
      <w:r w:rsidR="00B77764" w:rsidRPr="00B77764">
        <w:rPr>
          <w:rFonts w:asciiTheme="minorHAnsi" w:hAnsiTheme="minorHAnsi"/>
          <w:iCs/>
          <w:color w:val="auto"/>
          <w:szCs w:val="24"/>
        </w:rPr>
        <w:t xml:space="preserve">earful.  </w:t>
      </w:r>
      <w:r w:rsidR="001C7DDC">
        <w:rPr>
          <w:rFonts w:asciiTheme="minorHAnsi" w:hAnsiTheme="minorHAnsi"/>
          <w:iCs/>
          <w:color w:val="auto"/>
          <w:szCs w:val="24"/>
        </w:rPr>
        <w:t xml:space="preserve">A more </w:t>
      </w:r>
      <w:r w:rsidR="00185726">
        <w:rPr>
          <w:rFonts w:asciiTheme="minorHAnsi" w:hAnsiTheme="minorHAnsi"/>
          <w:iCs/>
          <w:color w:val="auto"/>
          <w:szCs w:val="24"/>
        </w:rPr>
        <w:t>comprehensive</w:t>
      </w:r>
      <w:r w:rsidR="001C7DDC">
        <w:rPr>
          <w:rFonts w:asciiTheme="minorHAnsi" w:hAnsiTheme="minorHAnsi"/>
          <w:iCs/>
          <w:color w:val="auto"/>
          <w:szCs w:val="24"/>
        </w:rPr>
        <w:t xml:space="preserve"> MSE done by a VA psychiatrist </w:t>
      </w:r>
      <w:r w:rsidR="00CA0B12">
        <w:rPr>
          <w:rFonts w:asciiTheme="minorHAnsi" w:hAnsiTheme="minorHAnsi"/>
          <w:iCs/>
          <w:color w:val="auto"/>
          <w:szCs w:val="24"/>
        </w:rPr>
        <w:t>(</w:t>
      </w:r>
      <w:r w:rsidR="00185726">
        <w:rPr>
          <w:rFonts w:asciiTheme="minorHAnsi" w:hAnsiTheme="minorHAnsi"/>
          <w:iCs/>
          <w:color w:val="auto"/>
          <w:szCs w:val="24"/>
        </w:rPr>
        <w:t>proximate to</w:t>
      </w:r>
      <w:r w:rsidR="001C7DDC">
        <w:rPr>
          <w:rFonts w:asciiTheme="minorHAnsi" w:hAnsiTheme="minorHAnsi"/>
          <w:iCs/>
          <w:color w:val="auto"/>
          <w:szCs w:val="24"/>
        </w:rPr>
        <w:t xml:space="preserve"> permanent separation</w:t>
      </w:r>
      <w:r w:rsidR="00CA0B12">
        <w:rPr>
          <w:rFonts w:asciiTheme="minorHAnsi" w:hAnsiTheme="minorHAnsi"/>
          <w:iCs/>
          <w:color w:val="auto"/>
          <w:szCs w:val="24"/>
        </w:rPr>
        <w:t>)</w:t>
      </w:r>
      <w:r w:rsidR="001C7DDC">
        <w:rPr>
          <w:rFonts w:asciiTheme="minorHAnsi" w:hAnsiTheme="minorHAnsi"/>
          <w:iCs/>
          <w:color w:val="auto"/>
          <w:szCs w:val="24"/>
        </w:rPr>
        <w:t xml:space="preserve"> </w:t>
      </w:r>
      <w:r w:rsidR="00185726">
        <w:rPr>
          <w:rFonts w:asciiTheme="minorHAnsi" w:hAnsiTheme="minorHAnsi"/>
          <w:iCs/>
          <w:color w:val="auto"/>
          <w:szCs w:val="24"/>
        </w:rPr>
        <w:t xml:space="preserve">likewise </w:t>
      </w:r>
      <w:r w:rsidR="00BF3862">
        <w:rPr>
          <w:rFonts w:asciiTheme="minorHAnsi" w:hAnsiTheme="minorHAnsi"/>
          <w:iCs/>
          <w:color w:val="auto"/>
          <w:szCs w:val="24"/>
        </w:rPr>
        <w:t xml:space="preserve">documented </w:t>
      </w:r>
      <w:r w:rsidR="00185726">
        <w:rPr>
          <w:rFonts w:asciiTheme="minorHAnsi" w:hAnsiTheme="minorHAnsi"/>
          <w:iCs/>
          <w:color w:val="auto"/>
          <w:szCs w:val="24"/>
        </w:rPr>
        <w:t xml:space="preserve">normal findings and confirmed good cognitive functioning.  </w:t>
      </w:r>
      <w:r w:rsidR="00E1428B">
        <w:rPr>
          <w:rFonts w:asciiTheme="minorHAnsi" w:hAnsiTheme="minorHAnsi"/>
          <w:iCs/>
          <w:color w:val="auto"/>
          <w:szCs w:val="24"/>
        </w:rPr>
        <w:t xml:space="preserve">There was little evidence at the time of permanent separation specifically addressing the CI’s social interactions.  Occupationally, the CI was employed as a military trainer; and, this was the only evidence cited by the PEB which conferred his permanent separation rating of 10%.  This position, </w:t>
      </w:r>
      <w:r w:rsidR="00E1428B" w:rsidRPr="00DE2DFE">
        <w:rPr>
          <w:rFonts w:asciiTheme="minorHAnsi" w:hAnsiTheme="minorHAnsi"/>
          <w:iCs/>
          <w:color w:val="auto"/>
          <w:szCs w:val="24"/>
        </w:rPr>
        <w:t xml:space="preserve">however, </w:t>
      </w:r>
      <w:r w:rsidR="00344050" w:rsidRPr="00DE2DFE">
        <w:rPr>
          <w:rFonts w:asciiTheme="minorHAnsi" w:hAnsiTheme="minorHAnsi"/>
          <w:iCs/>
          <w:color w:val="auto"/>
          <w:szCs w:val="24"/>
        </w:rPr>
        <w:t xml:space="preserve">minimized any </w:t>
      </w:r>
      <w:r w:rsidR="00E1428B" w:rsidRPr="00DE2DFE">
        <w:rPr>
          <w:rFonts w:asciiTheme="minorHAnsi" w:hAnsiTheme="minorHAnsi"/>
          <w:iCs/>
          <w:color w:val="auto"/>
          <w:szCs w:val="24"/>
        </w:rPr>
        <w:t>PTSD</w:t>
      </w:r>
      <w:r w:rsidR="00E1428B">
        <w:rPr>
          <w:rFonts w:asciiTheme="minorHAnsi" w:hAnsiTheme="minorHAnsi"/>
          <w:iCs/>
          <w:color w:val="auto"/>
          <w:szCs w:val="24"/>
        </w:rPr>
        <w:t xml:space="preserve"> </w:t>
      </w:r>
      <w:r w:rsidR="00E1428B" w:rsidRPr="00E1428B">
        <w:rPr>
          <w:rFonts w:asciiTheme="minorHAnsi" w:hAnsiTheme="minorHAnsi"/>
          <w:iCs/>
          <w:color w:val="auto"/>
          <w:szCs w:val="24"/>
        </w:rPr>
        <w:t>triggers</w:t>
      </w:r>
      <w:r w:rsidR="00E1428B">
        <w:rPr>
          <w:rFonts w:asciiTheme="minorHAnsi" w:hAnsiTheme="minorHAnsi"/>
          <w:iCs/>
          <w:color w:val="auto"/>
          <w:szCs w:val="24"/>
        </w:rPr>
        <w:t>;</w:t>
      </w:r>
      <w:r w:rsidR="00E1428B" w:rsidRPr="00E1428B">
        <w:rPr>
          <w:rFonts w:asciiTheme="minorHAnsi" w:hAnsiTheme="minorHAnsi"/>
          <w:iCs/>
          <w:color w:val="auto"/>
          <w:szCs w:val="24"/>
        </w:rPr>
        <w:t xml:space="preserve"> and, </w:t>
      </w:r>
      <w:r w:rsidR="00BF3862" w:rsidRPr="00E1428B">
        <w:rPr>
          <w:rFonts w:asciiTheme="minorHAnsi" w:hAnsiTheme="minorHAnsi"/>
          <w:iCs/>
          <w:color w:val="auto"/>
          <w:szCs w:val="24"/>
        </w:rPr>
        <w:t>was p</w:t>
      </w:r>
      <w:r w:rsidR="00B77764" w:rsidRPr="00E1428B">
        <w:rPr>
          <w:rFonts w:asciiTheme="minorHAnsi" w:hAnsiTheme="minorHAnsi"/>
          <w:iCs/>
          <w:color w:val="auto"/>
          <w:szCs w:val="24"/>
        </w:rPr>
        <w:t>rimarily</w:t>
      </w:r>
      <w:r w:rsidR="00B77764" w:rsidRPr="00B77764">
        <w:rPr>
          <w:rFonts w:asciiTheme="minorHAnsi" w:hAnsiTheme="minorHAnsi"/>
          <w:iCs/>
          <w:color w:val="auto"/>
          <w:szCs w:val="24"/>
        </w:rPr>
        <w:t xml:space="preserve"> administrative</w:t>
      </w:r>
      <w:r w:rsidR="00295264">
        <w:rPr>
          <w:rFonts w:asciiTheme="minorHAnsi" w:hAnsiTheme="minorHAnsi"/>
          <w:iCs/>
          <w:color w:val="auto"/>
          <w:szCs w:val="24"/>
        </w:rPr>
        <w:t xml:space="preserve"> with a flexible </w:t>
      </w:r>
      <w:r w:rsidR="00B77764" w:rsidRPr="00B77764">
        <w:rPr>
          <w:rFonts w:asciiTheme="minorHAnsi" w:hAnsiTheme="minorHAnsi"/>
          <w:iCs/>
          <w:color w:val="auto"/>
          <w:szCs w:val="24"/>
        </w:rPr>
        <w:t>work schedule</w:t>
      </w:r>
      <w:r w:rsidR="00295264">
        <w:rPr>
          <w:rFonts w:asciiTheme="minorHAnsi" w:hAnsiTheme="minorHAnsi"/>
          <w:iCs/>
          <w:color w:val="auto"/>
          <w:szCs w:val="24"/>
        </w:rPr>
        <w:t>.  H</w:t>
      </w:r>
      <w:r w:rsidR="00BF3862">
        <w:rPr>
          <w:rFonts w:asciiTheme="minorHAnsi" w:hAnsiTheme="minorHAnsi"/>
          <w:iCs/>
          <w:color w:val="auto"/>
          <w:szCs w:val="24"/>
        </w:rPr>
        <w:t xml:space="preserve">e </w:t>
      </w:r>
      <w:r w:rsidR="00E1428B">
        <w:rPr>
          <w:rFonts w:asciiTheme="minorHAnsi" w:hAnsiTheme="minorHAnsi"/>
          <w:iCs/>
          <w:color w:val="auto"/>
          <w:szCs w:val="24"/>
        </w:rPr>
        <w:t>occasionally lost work days because of his persistent insomnia.  The TDRL evaluation elaborated that the CI’s employer, a veteran himself, clearly accommodated his psychiatric condition.</w:t>
      </w:r>
      <w:r w:rsidR="00CA0B12">
        <w:rPr>
          <w:rFonts w:asciiTheme="minorHAnsi" w:hAnsiTheme="minorHAnsi"/>
          <w:iCs/>
          <w:color w:val="auto"/>
          <w:szCs w:val="24"/>
        </w:rPr>
        <w:t xml:space="preserve">  The assigned GAF score </w:t>
      </w:r>
      <w:r w:rsidR="00295264">
        <w:rPr>
          <w:rFonts w:asciiTheme="minorHAnsi" w:hAnsiTheme="minorHAnsi"/>
          <w:iCs/>
          <w:color w:val="auto"/>
          <w:szCs w:val="24"/>
        </w:rPr>
        <w:t>at the time of permanent separation</w:t>
      </w:r>
      <w:r w:rsidR="00CA0B12">
        <w:rPr>
          <w:rFonts w:asciiTheme="minorHAnsi" w:hAnsiTheme="minorHAnsi"/>
          <w:iCs/>
          <w:color w:val="auto"/>
          <w:szCs w:val="24"/>
        </w:rPr>
        <w:t xml:space="preserve"> was 60, </w:t>
      </w:r>
      <w:r w:rsidR="008D5F11">
        <w:rPr>
          <w:rFonts w:asciiTheme="minorHAnsi" w:hAnsiTheme="minorHAnsi"/>
          <w:iCs/>
          <w:color w:val="auto"/>
          <w:szCs w:val="24"/>
        </w:rPr>
        <w:t xml:space="preserve">indicative of </w:t>
      </w:r>
      <w:r w:rsidR="008D5F11" w:rsidRPr="008D5F11">
        <w:rPr>
          <w:rFonts w:asciiTheme="minorHAnsi" w:hAnsiTheme="minorHAnsi"/>
          <w:iCs/>
          <w:color w:val="auto"/>
          <w:szCs w:val="24"/>
        </w:rPr>
        <w:t xml:space="preserve">moderate </w:t>
      </w:r>
      <w:r w:rsidR="00CA0B12">
        <w:rPr>
          <w:rFonts w:asciiTheme="minorHAnsi" w:hAnsiTheme="minorHAnsi"/>
          <w:iCs/>
          <w:color w:val="auto"/>
          <w:szCs w:val="24"/>
        </w:rPr>
        <w:t xml:space="preserve">psychiatric impairment. </w:t>
      </w:r>
      <w:r w:rsidR="008D5F11" w:rsidRPr="008D5F11">
        <w:rPr>
          <w:rFonts w:asciiTheme="minorHAnsi" w:hAnsiTheme="minorHAnsi"/>
          <w:iCs/>
          <w:color w:val="auto"/>
          <w:szCs w:val="24"/>
        </w:rPr>
        <w:t xml:space="preserve"> </w:t>
      </w:r>
      <w:r w:rsidR="00CA0B12">
        <w:rPr>
          <w:rFonts w:asciiTheme="minorHAnsi" w:hAnsiTheme="minorHAnsi"/>
          <w:iCs/>
          <w:color w:val="auto"/>
          <w:szCs w:val="24"/>
        </w:rPr>
        <w:t>D</w:t>
      </w:r>
      <w:r w:rsidR="00245F22">
        <w:rPr>
          <w:rFonts w:asciiTheme="minorHAnsi" w:hAnsiTheme="minorHAnsi"/>
          <w:iCs/>
          <w:color w:val="auto"/>
          <w:szCs w:val="24"/>
        </w:rPr>
        <w:t xml:space="preserve">espite </w:t>
      </w:r>
      <w:r w:rsidR="00C714CD">
        <w:rPr>
          <w:rFonts w:asciiTheme="minorHAnsi" w:hAnsiTheme="minorHAnsi"/>
          <w:iCs/>
          <w:color w:val="auto"/>
          <w:szCs w:val="24"/>
        </w:rPr>
        <w:t xml:space="preserve">objective </w:t>
      </w:r>
      <w:r w:rsidR="00245F22">
        <w:rPr>
          <w:rFonts w:asciiTheme="minorHAnsi" w:hAnsiTheme="minorHAnsi"/>
          <w:iCs/>
          <w:color w:val="auto"/>
          <w:szCs w:val="24"/>
        </w:rPr>
        <w:t xml:space="preserve">evidence for clinical improvement, </w:t>
      </w:r>
      <w:r w:rsidR="00914F01">
        <w:rPr>
          <w:rFonts w:asciiTheme="minorHAnsi" w:hAnsiTheme="minorHAnsi"/>
          <w:iCs/>
          <w:color w:val="auto"/>
          <w:szCs w:val="24"/>
        </w:rPr>
        <w:t xml:space="preserve">the </w:t>
      </w:r>
      <w:r w:rsidR="00CA0B12">
        <w:rPr>
          <w:rFonts w:asciiTheme="minorHAnsi" w:hAnsiTheme="minorHAnsi"/>
          <w:iCs/>
          <w:color w:val="auto"/>
          <w:szCs w:val="24"/>
        </w:rPr>
        <w:t>TDRL</w:t>
      </w:r>
      <w:r w:rsidR="00914F01">
        <w:rPr>
          <w:rFonts w:asciiTheme="minorHAnsi" w:hAnsiTheme="minorHAnsi"/>
          <w:iCs/>
          <w:color w:val="auto"/>
          <w:szCs w:val="24"/>
        </w:rPr>
        <w:t xml:space="preserve"> </w:t>
      </w:r>
      <w:r w:rsidR="00245F22">
        <w:rPr>
          <w:rFonts w:asciiTheme="minorHAnsi" w:hAnsiTheme="minorHAnsi"/>
          <w:iCs/>
          <w:color w:val="auto"/>
          <w:szCs w:val="24"/>
        </w:rPr>
        <w:t xml:space="preserve">psychiatrist </w:t>
      </w:r>
      <w:r w:rsidR="00CA0B12">
        <w:rPr>
          <w:rFonts w:asciiTheme="minorHAnsi" w:hAnsiTheme="minorHAnsi"/>
          <w:iCs/>
          <w:color w:val="auto"/>
          <w:szCs w:val="24"/>
        </w:rPr>
        <w:t>stated</w:t>
      </w:r>
      <w:r w:rsidR="00245F22">
        <w:rPr>
          <w:rFonts w:asciiTheme="minorHAnsi" w:hAnsiTheme="minorHAnsi"/>
          <w:iCs/>
          <w:color w:val="auto"/>
          <w:szCs w:val="24"/>
        </w:rPr>
        <w:t xml:space="preserve"> that </w:t>
      </w:r>
      <w:r w:rsidR="00CA0B12">
        <w:rPr>
          <w:rFonts w:asciiTheme="minorHAnsi" w:hAnsiTheme="minorHAnsi"/>
          <w:iCs/>
          <w:color w:val="auto"/>
          <w:szCs w:val="24"/>
        </w:rPr>
        <w:t xml:space="preserve">there had not been significant </w:t>
      </w:r>
      <w:r w:rsidR="00495B96">
        <w:rPr>
          <w:rFonts w:asciiTheme="minorHAnsi" w:hAnsiTheme="minorHAnsi"/>
          <w:iCs/>
          <w:color w:val="auto"/>
          <w:szCs w:val="24"/>
        </w:rPr>
        <w:t>progress</w:t>
      </w:r>
      <w:r w:rsidR="00CA0B12">
        <w:rPr>
          <w:rFonts w:asciiTheme="minorHAnsi" w:hAnsiTheme="minorHAnsi"/>
          <w:iCs/>
          <w:color w:val="auto"/>
          <w:szCs w:val="24"/>
        </w:rPr>
        <w:t xml:space="preserve">; opining that the </w:t>
      </w:r>
      <w:r w:rsidR="00245F22">
        <w:rPr>
          <w:rFonts w:asciiTheme="minorHAnsi" w:hAnsiTheme="minorHAnsi"/>
          <w:iCs/>
          <w:color w:val="auto"/>
          <w:szCs w:val="24"/>
        </w:rPr>
        <w:t>condition was not stable and recommend</w:t>
      </w:r>
      <w:r w:rsidR="00495B96">
        <w:rPr>
          <w:rFonts w:asciiTheme="minorHAnsi" w:hAnsiTheme="minorHAnsi"/>
          <w:iCs/>
          <w:color w:val="auto"/>
          <w:szCs w:val="24"/>
        </w:rPr>
        <w:t>ing</w:t>
      </w:r>
      <w:r w:rsidR="00245F22">
        <w:rPr>
          <w:rFonts w:asciiTheme="minorHAnsi" w:hAnsiTheme="minorHAnsi"/>
          <w:iCs/>
          <w:color w:val="auto"/>
          <w:szCs w:val="24"/>
        </w:rPr>
        <w:t xml:space="preserve"> that TDRL</w:t>
      </w:r>
      <w:r w:rsidR="00495B96">
        <w:rPr>
          <w:rFonts w:asciiTheme="minorHAnsi" w:hAnsiTheme="minorHAnsi"/>
          <w:iCs/>
          <w:color w:val="auto"/>
          <w:szCs w:val="24"/>
        </w:rPr>
        <w:t xml:space="preserve"> be extended</w:t>
      </w:r>
      <w:r w:rsidR="00245F22">
        <w:rPr>
          <w:rFonts w:asciiTheme="minorHAnsi" w:hAnsiTheme="minorHAnsi"/>
          <w:iCs/>
          <w:color w:val="auto"/>
          <w:szCs w:val="24"/>
        </w:rPr>
        <w:t xml:space="preserve">.  </w:t>
      </w:r>
      <w:r w:rsidR="008D5F11">
        <w:rPr>
          <w:rFonts w:asciiTheme="minorHAnsi" w:hAnsiTheme="minorHAnsi"/>
          <w:iCs/>
          <w:color w:val="auto"/>
          <w:szCs w:val="24"/>
        </w:rPr>
        <w:t xml:space="preserve"> </w:t>
      </w:r>
      <w:r w:rsidR="008D5F11" w:rsidRPr="008D5F11">
        <w:rPr>
          <w:rFonts w:asciiTheme="minorHAnsi" w:hAnsiTheme="minorHAnsi"/>
          <w:iCs/>
          <w:color w:val="auto"/>
          <w:szCs w:val="24"/>
        </w:rPr>
        <w:t xml:space="preserve"> </w:t>
      </w:r>
      <w:r w:rsidR="008D5F11">
        <w:rPr>
          <w:rFonts w:asciiTheme="minorHAnsi" w:hAnsiTheme="minorHAnsi"/>
          <w:iCs/>
          <w:color w:val="auto"/>
          <w:szCs w:val="24"/>
        </w:rPr>
        <w:t xml:space="preserve">  </w:t>
      </w:r>
      <w:r w:rsidR="0051720C">
        <w:rPr>
          <w:rFonts w:asciiTheme="minorHAnsi" w:hAnsiTheme="minorHAnsi"/>
          <w:iCs/>
          <w:color w:val="auto"/>
          <w:szCs w:val="24"/>
        </w:rPr>
        <w:t xml:space="preserve"> </w:t>
      </w:r>
    </w:p>
    <w:p w:rsidR="008D5F11" w:rsidRDefault="008D5F11" w:rsidP="00B77764">
      <w:pPr>
        <w:tabs>
          <w:tab w:val="left" w:pos="288"/>
          <w:tab w:val="left" w:pos="4752"/>
        </w:tabs>
        <w:spacing w:line="240" w:lineRule="exact"/>
        <w:jc w:val="both"/>
        <w:rPr>
          <w:rFonts w:asciiTheme="minorHAnsi" w:hAnsiTheme="minorHAnsi"/>
          <w:iCs/>
          <w:color w:val="auto"/>
          <w:szCs w:val="24"/>
        </w:rPr>
      </w:pPr>
    </w:p>
    <w:p w:rsidR="000634E6" w:rsidRDefault="00C061D6" w:rsidP="000634E6">
      <w:pPr>
        <w:tabs>
          <w:tab w:val="left" w:pos="288"/>
          <w:tab w:val="left" w:pos="4752"/>
        </w:tabs>
        <w:spacing w:line="240" w:lineRule="exact"/>
        <w:jc w:val="both"/>
        <w:rPr>
          <w:rFonts w:asciiTheme="minorHAnsi" w:hAnsiTheme="minorHAnsi"/>
          <w:iCs/>
          <w:color w:val="auto"/>
          <w:szCs w:val="24"/>
        </w:rPr>
      </w:pPr>
      <w:r>
        <w:rPr>
          <w:rFonts w:asciiTheme="minorHAnsi" w:hAnsiTheme="minorHAnsi"/>
          <w:iCs/>
          <w:color w:val="auto"/>
          <w:szCs w:val="24"/>
        </w:rPr>
        <w:lastRenderedPageBreak/>
        <w:t>The B</w:t>
      </w:r>
      <w:r w:rsidR="000634E6">
        <w:rPr>
          <w:rFonts w:asciiTheme="minorHAnsi" w:hAnsiTheme="minorHAnsi"/>
          <w:iCs/>
          <w:color w:val="auto"/>
          <w:szCs w:val="24"/>
        </w:rPr>
        <w:t xml:space="preserve">oard directs its attention to its rating recommendations based on the evidence just described.  </w:t>
      </w:r>
      <w:r w:rsidR="00495B96" w:rsidRPr="00495B96">
        <w:rPr>
          <w:rFonts w:asciiTheme="minorHAnsi" w:hAnsiTheme="minorHAnsi"/>
          <w:iCs/>
          <w:color w:val="auto"/>
          <w:szCs w:val="24"/>
        </w:rPr>
        <w:t xml:space="preserve">All members </w:t>
      </w:r>
      <w:r w:rsidR="00495B96">
        <w:rPr>
          <w:rFonts w:asciiTheme="minorHAnsi" w:hAnsiTheme="minorHAnsi"/>
          <w:iCs/>
          <w:color w:val="auto"/>
          <w:szCs w:val="24"/>
        </w:rPr>
        <w:t xml:space="preserve">ultimately </w:t>
      </w:r>
      <w:r w:rsidR="00495B96" w:rsidRPr="00495B96">
        <w:rPr>
          <w:rFonts w:asciiTheme="minorHAnsi" w:hAnsiTheme="minorHAnsi"/>
          <w:iCs/>
          <w:color w:val="auto"/>
          <w:szCs w:val="24"/>
        </w:rPr>
        <w:t xml:space="preserve">agreed that the §4.130 criteria for a </w:t>
      </w:r>
      <w:r w:rsidR="00E37723">
        <w:rPr>
          <w:rFonts w:asciiTheme="minorHAnsi" w:hAnsiTheme="minorHAnsi"/>
          <w:iCs/>
          <w:color w:val="auto"/>
          <w:szCs w:val="24"/>
        </w:rPr>
        <w:t xml:space="preserve">TDRL </w:t>
      </w:r>
      <w:r w:rsidR="00495B96" w:rsidRPr="00495B96">
        <w:rPr>
          <w:rFonts w:asciiTheme="minorHAnsi" w:hAnsiTheme="minorHAnsi"/>
          <w:iCs/>
          <w:color w:val="auto"/>
          <w:szCs w:val="24"/>
        </w:rPr>
        <w:t xml:space="preserve">rating higher than 50% </w:t>
      </w:r>
      <w:r w:rsidR="00E37723">
        <w:rPr>
          <w:rFonts w:asciiTheme="minorHAnsi" w:hAnsiTheme="minorHAnsi"/>
          <w:iCs/>
          <w:color w:val="auto"/>
          <w:szCs w:val="24"/>
        </w:rPr>
        <w:t xml:space="preserve">for </w:t>
      </w:r>
      <w:r w:rsidR="00495B96" w:rsidRPr="00495B96">
        <w:rPr>
          <w:rFonts w:asciiTheme="minorHAnsi" w:hAnsiTheme="minorHAnsi"/>
          <w:iCs/>
          <w:color w:val="auto"/>
          <w:szCs w:val="24"/>
        </w:rPr>
        <w:t xml:space="preserve">were not met, </w:t>
      </w:r>
      <w:r w:rsidR="00495B96">
        <w:rPr>
          <w:rFonts w:asciiTheme="minorHAnsi" w:hAnsiTheme="minorHAnsi"/>
          <w:iCs/>
          <w:color w:val="auto"/>
          <w:szCs w:val="24"/>
        </w:rPr>
        <w:t xml:space="preserve">although some of the less </w:t>
      </w:r>
      <w:r w:rsidR="00256930">
        <w:rPr>
          <w:rFonts w:asciiTheme="minorHAnsi" w:hAnsiTheme="minorHAnsi"/>
          <w:iCs/>
          <w:color w:val="auto"/>
          <w:szCs w:val="24"/>
        </w:rPr>
        <w:t>critical</w:t>
      </w:r>
      <w:r w:rsidR="00495B96">
        <w:rPr>
          <w:rFonts w:asciiTheme="minorHAnsi" w:hAnsiTheme="minorHAnsi"/>
          <w:iCs/>
          <w:color w:val="auto"/>
          <w:szCs w:val="24"/>
        </w:rPr>
        <w:t xml:space="preserve"> criteria for a 70% rating were present</w:t>
      </w:r>
      <w:r w:rsidR="00E37723">
        <w:rPr>
          <w:rFonts w:asciiTheme="minorHAnsi" w:hAnsiTheme="minorHAnsi"/>
          <w:iCs/>
          <w:color w:val="auto"/>
          <w:szCs w:val="24"/>
        </w:rPr>
        <w:t xml:space="preserve"> and this option was debated</w:t>
      </w:r>
      <w:r w:rsidR="00AE6912">
        <w:rPr>
          <w:rFonts w:asciiTheme="minorHAnsi" w:hAnsiTheme="minorHAnsi"/>
          <w:iCs/>
          <w:color w:val="auto"/>
          <w:szCs w:val="24"/>
        </w:rPr>
        <w:t xml:space="preserve">.  </w:t>
      </w:r>
      <w:r w:rsidR="00E37723">
        <w:rPr>
          <w:rFonts w:asciiTheme="minorHAnsi" w:hAnsiTheme="minorHAnsi"/>
          <w:iCs/>
          <w:color w:val="auto"/>
          <w:szCs w:val="24"/>
        </w:rPr>
        <w:t>T</w:t>
      </w:r>
      <w:r w:rsidR="00495B96" w:rsidRPr="00495B96">
        <w:rPr>
          <w:rFonts w:asciiTheme="minorHAnsi" w:hAnsiTheme="minorHAnsi"/>
          <w:iCs/>
          <w:color w:val="auto"/>
          <w:szCs w:val="24"/>
        </w:rPr>
        <w:t>herefore</w:t>
      </w:r>
      <w:r w:rsidR="00344050">
        <w:rPr>
          <w:rFonts w:asciiTheme="minorHAnsi" w:hAnsiTheme="minorHAnsi"/>
          <w:iCs/>
          <w:color w:val="auto"/>
          <w:szCs w:val="24"/>
        </w:rPr>
        <w:t>,</w:t>
      </w:r>
      <w:r w:rsidR="00495B96" w:rsidRPr="00495B96">
        <w:rPr>
          <w:rFonts w:asciiTheme="minorHAnsi" w:hAnsiTheme="minorHAnsi"/>
          <w:iCs/>
          <w:color w:val="auto"/>
          <w:szCs w:val="24"/>
        </w:rPr>
        <w:t xml:space="preserve"> the </w:t>
      </w:r>
      <w:r w:rsidR="00495B96" w:rsidRPr="00344050">
        <w:rPr>
          <w:rFonts w:asciiTheme="minorHAnsi" w:hAnsiTheme="minorHAnsi"/>
          <w:iCs/>
          <w:color w:val="auto"/>
          <w:szCs w:val="24"/>
        </w:rPr>
        <w:t>minimum 50% TDRL</w:t>
      </w:r>
      <w:r w:rsidR="00495B96" w:rsidRPr="00495B96">
        <w:rPr>
          <w:rFonts w:asciiTheme="minorHAnsi" w:hAnsiTheme="minorHAnsi"/>
          <w:iCs/>
          <w:color w:val="auto"/>
          <w:szCs w:val="24"/>
        </w:rPr>
        <w:t xml:space="preserve"> rating (as explained above) is applicable.</w:t>
      </w:r>
      <w:r w:rsidR="00E37723">
        <w:rPr>
          <w:rFonts w:asciiTheme="minorHAnsi" w:hAnsiTheme="minorHAnsi"/>
          <w:iCs/>
          <w:color w:val="auto"/>
          <w:szCs w:val="24"/>
        </w:rPr>
        <w:t xml:space="preserve">  </w:t>
      </w:r>
      <w:r w:rsidR="002F369E">
        <w:rPr>
          <w:rFonts w:asciiTheme="minorHAnsi" w:hAnsiTheme="minorHAnsi"/>
          <w:iCs/>
          <w:color w:val="auto"/>
          <w:szCs w:val="24"/>
        </w:rPr>
        <w:t xml:space="preserve">As regards the </w:t>
      </w:r>
      <w:r w:rsidR="000634E6">
        <w:rPr>
          <w:rFonts w:asciiTheme="minorHAnsi" w:hAnsiTheme="minorHAnsi"/>
          <w:iCs/>
          <w:color w:val="auto"/>
          <w:szCs w:val="24"/>
        </w:rPr>
        <w:t xml:space="preserve">rating </w:t>
      </w:r>
      <w:r w:rsidR="002F369E">
        <w:rPr>
          <w:rFonts w:asciiTheme="minorHAnsi" w:hAnsiTheme="minorHAnsi"/>
          <w:iCs/>
          <w:color w:val="auto"/>
          <w:szCs w:val="24"/>
        </w:rPr>
        <w:t xml:space="preserve">at the time of permanent separation, the Board noted that </w:t>
      </w:r>
      <w:r w:rsidR="00245F22">
        <w:rPr>
          <w:rFonts w:asciiTheme="minorHAnsi" w:hAnsiTheme="minorHAnsi"/>
          <w:iCs/>
          <w:color w:val="auto"/>
          <w:szCs w:val="24"/>
        </w:rPr>
        <w:t xml:space="preserve">there was </w:t>
      </w:r>
      <w:r w:rsidR="002F369E">
        <w:rPr>
          <w:rFonts w:asciiTheme="minorHAnsi" w:hAnsiTheme="minorHAnsi"/>
          <w:iCs/>
          <w:color w:val="auto"/>
          <w:szCs w:val="24"/>
        </w:rPr>
        <w:t xml:space="preserve">sparse evidence </w:t>
      </w:r>
      <w:r w:rsidR="00E37723">
        <w:rPr>
          <w:rFonts w:asciiTheme="minorHAnsi" w:hAnsiTheme="minorHAnsi"/>
          <w:iCs/>
          <w:color w:val="auto"/>
          <w:szCs w:val="24"/>
        </w:rPr>
        <w:t>relative to</w:t>
      </w:r>
      <w:r w:rsidR="002F369E">
        <w:rPr>
          <w:rFonts w:asciiTheme="minorHAnsi" w:hAnsiTheme="minorHAnsi"/>
          <w:iCs/>
          <w:color w:val="auto"/>
          <w:szCs w:val="24"/>
        </w:rPr>
        <w:t xml:space="preserve"> </w:t>
      </w:r>
      <w:r w:rsidR="00245F22">
        <w:rPr>
          <w:rFonts w:asciiTheme="minorHAnsi" w:hAnsiTheme="minorHAnsi"/>
          <w:iCs/>
          <w:color w:val="auto"/>
          <w:szCs w:val="24"/>
        </w:rPr>
        <w:t xml:space="preserve">social </w:t>
      </w:r>
      <w:r w:rsidR="00E37723">
        <w:rPr>
          <w:rFonts w:asciiTheme="minorHAnsi" w:hAnsiTheme="minorHAnsi"/>
          <w:iCs/>
          <w:color w:val="auto"/>
          <w:szCs w:val="24"/>
        </w:rPr>
        <w:t>impairment; although, it is clear that there was at least an adverse impact on the CI’s domestic life.  O</w:t>
      </w:r>
      <w:r w:rsidR="00245F22">
        <w:rPr>
          <w:rFonts w:asciiTheme="minorHAnsi" w:hAnsiTheme="minorHAnsi"/>
          <w:iCs/>
          <w:color w:val="auto"/>
          <w:szCs w:val="24"/>
        </w:rPr>
        <w:t xml:space="preserve">ccupationally, he was </w:t>
      </w:r>
      <w:r w:rsidR="00E37723">
        <w:rPr>
          <w:rFonts w:asciiTheme="minorHAnsi" w:hAnsiTheme="minorHAnsi"/>
          <w:iCs/>
          <w:color w:val="auto"/>
          <w:szCs w:val="24"/>
        </w:rPr>
        <w:t>fully</w:t>
      </w:r>
      <w:r w:rsidR="002F369E">
        <w:rPr>
          <w:rFonts w:asciiTheme="minorHAnsi" w:hAnsiTheme="minorHAnsi"/>
          <w:iCs/>
          <w:color w:val="auto"/>
          <w:szCs w:val="24"/>
        </w:rPr>
        <w:t xml:space="preserve"> employed</w:t>
      </w:r>
      <w:r w:rsidR="00E37723">
        <w:rPr>
          <w:rFonts w:asciiTheme="minorHAnsi" w:hAnsiTheme="minorHAnsi"/>
          <w:iCs/>
          <w:color w:val="auto"/>
          <w:szCs w:val="24"/>
        </w:rPr>
        <w:t xml:space="preserve">; although some </w:t>
      </w:r>
      <w:r w:rsidR="00AB0056">
        <w:rPr>
          <w:rFonts w:asciiTheme="minorHAnsi" w:hAnsiTheme="minorHAnsi"/>
          <w:iCs/>
          <w:color w:val="auto"/>
          <w:szCs w:val="24"/>
        </w:rPr>
        <w:t xml:space="preserve">need for occupational accommodation </w:t>
      </w:r>
      <w:r w:rsidR="00256930">
        <w:rPr>
          <w:rFonts w:asciiTheme="minorHAnsi" w:hAnsiTheme="minorHAnsi"/>
          <w:iCs/>
          <w:color w:val="auto"/>
          <w:szCs w:val="24"/>
        </w:rPr>
        <w:t>should</w:t>
      </w:r>
      <w:r w:rsidR="00AB0056">
        <w:rPr>
          <w:rFonts w:asciiTheme="minorHAnsi" w:hAnsiTheme="minorHAnsi"/>
          <w:iCs/>
          <w:color w:val="auto"/>
          <w:szCs w:val="24"/>
        </w:rPr>
        <w:t xml:space="preserve"> be conceded.  It is clear that the MSE was stabilizing and that the GAF was improved</w:t>
      </w:r>
      <w:r w:rsidR="002F369E">
        <w:rPr>
          <w:rFonts w:asciiTheme="minorHAnsi" w:hAnsiTheme="minorHAnsi"/>
          <w:iCs/>
          <w:color w:val="auto"/>
          <w:szCs w:val="24"/>
        </w:rPr>
        <w:t xml:space="preserve">.  </w:t>
      </w:r>
      <w:r w:rsidR="00AE6912">
        <w:rPr>
          <w:rFonts w:asciiTheme="minorHAnsi" w:hAnsiTheme="minorHAnsi"/>
          <w:iCs/>
          <w:color w:val="auto"/>
          <w:szCs w:val="24"/>
        </w:rPr>
        <w:t xml:space="preserve">Although the VA conferred a 50% rating based on the same evidence, the rating decision referenced only the GAF assignment as rationale.  It is well established in general, and in Board practice specifically, that the GAF assignment is too soft a measure and too widely variable amongst providers to be heavily relied on for </w:t>
      </w:r>
      <w:r w:rsidR="00AE6912">
        <w:rPr>
          <w:rFonts w:asciiTheme="minorHAnsi" w:hAnsiTheme="minorHAnsi" w:cstheme="minorHAnsi"/>
          <w:iCs/>
          <w:color w:val="auto"/>
          <w:szCs w:val="24"/>
        </w:rPr>
        <w:t>§</w:t>
      </w:r>
      <w:r w:rsidR="00AE6912">
        <w:rPr>
          <w:rFonts w:asciiTheme="minorHAnsi" w:hAnsiTheme="minorHAnsi"/>
          <w:iCs/>
          <w:color w:val="auto"/>
          <w:szCs w:val="24"/>
        </w:rPr>
        <w:t xml:space="preserve">4.130 rating determinations.  </w:t>
      </w:r>
      <w:r w:rsidR="00AB0056">
        <w:rPr>
          <w:rFonts w:asciiTheme="minorHAnsi" w:hAnsiTheme="minorHAnsi"/>
          <w:iCs/>
          <w:color w:val="auto"/>
          <w:szCs w:val="24"/>
        </w:rPr>
        <w:t>M</w:t>
      </w:r>
      <w:r w:rsidR="00392761">
        <w:rPr>
          <w:rFonts w:asciiTheme="minorHAnsi" w:hAnsiTheme="minorHAnsi"/>
          <w:iCs/>
          <w:color w:val="auto"/>
          <w:szCs w:val="24"/>
        </w:rPr>
        <w:t xml:space="preserve">embers </w:t>
      </w:r>
      <w:r w:rsidR="00AB0056">
        <w:rPr>
          <w:rFonts w:asciiTheme="minorHAnsi" w:hAnsiTheme="minorHAnsi"/>
          <w:iCs/>
          <w:color w:val="auto"/>
          <w:szCs w:val="24"/>
        </w:rPr>
        <w:t>therefore</w:t>
      </w:r>
      <w:r w:rsidR="00C622DC">
        <w:rPr>
          <w:rFonts w:asciiTheme="minorHAnsi" w:hAnsiTheme="minorHAnsi"/>
          <w:iCs/>
          <w:color w:val="auto"/>
          <w:szCs w:val="24"/>
        </w:rPr>
        <w:t xml:space="preserve"> </w:t>
      </w:r>
      <w:r w:rsidR="00392761">
        <w:rPr>
          <w:rFonts w:asciiTheme="minorHAnsi" w:hAnsiTheme="minorHAnsi"/>
          <w:iCs/>
          <w:color w:val="auto"/>
          <w:szCs w:val="24"/>
        </w:rPr>
        <w:t xml:space="preserve">agreed </w:t>
      </w:r>
      <w:r w:rsidR="00B20049">
        <w:rPr>
          <w:rFonts w:asciiTheme="minorHAnsi" w:hAnsiTheme="minorHAnsi"/>
          <w:iCs/>
          <w:color w:val="auto"/>
          <w:szCs w:val="24"/>
        </w:rPr>
        <w:t xml:space="preserve">that </w:t>
      </w:r>
      <w:r w:rsidR="00256930">
        <w:rPr>
          <w:rFonts w:asciiTheme="minorHAnsi" w:hAnsiTheme="minorHAnsi"/>
          <w:iCs/>
          <w:color w:val="auto"/>
          <w:szCs w:val="24"/>
        </w:rPr>
        <w:t xml:space="preserve">the </w:t>
      </w:r>
      <w:r w:rsidR="00AB0056">
        <w:rPr>
          <w:rFonts w:asciiTheme="minorHAnsi" w:hAnsiTheme="minorHAnsi"/>
          <w:iCs/>
          <w:color w:val="auto"/>
          <w:szCs w:val="24"/>
        </w:rPr>
        <w:t xml:space="preserve">50% rating for the period of TDRL could no longer be supported under VASRD </w:t>
      </w:r>
      <w:r w:rsidR="00AB0056">
        <w:rPr>
          <w:rFonts w:asciiTheme="minorHAnsi" w:hAnsiTheme="minorHAnsi" w:cstheme="minorHAnsi"/>
          <w:iCs/>
          <w:color w:val="auto"/>
          <w:szCs w:val="24"/>
        </w:rPr>
        <w:t>§</w:t>
      </w:r>
      <w:r w:rsidR="00AB0056">
        <w:rPr>
          <w:rFonts w:asciiTheme="minorHAnsi" w:hAnsiTheme="minorHAnsi"/>
          <w:iCs/>
          <w:color w:val="auto"/>
          <w:szCs w:val="24"/>
        </w:rPr>
        <w:t xml:space="preserve">4.130.  </w:t>
      </w:r>
      <w:r w:rsidR="00AB0056" w:rsidRPr="00AB0056">
        <w:rPr>
          <w:rFonts w:asciiTheme="minorHAnsi" w:hAnsiTheme="minorHAnsi"/>
          <w:iCs/>
          <w:color w:val="auto"/>
          <w:szCs w:val="24"/>
        </w:rPr>
        <w:t xml:space="preserve">The deliberation </w:t>
      </w:r>
      <w:r w:rsidR="00AB0056">
        <w:rPr>
          <w:rFonts w:asciiTheme="minorHAnsi" w:hAnsiTheme="minorHAnsi"/>
          <w:iCs/>
          <w:color w:val="auto"/>
          <w:szCs w:val="24"/>
        </w:rPr>
        <w:t xml:space="preserve">thus </w:t>
      </w:r>
      <w:r w:rsidR="00AB0056" w:rsidRPr="00AB0056">
        <w:rPr>
          <w:rFonts w:asciiTheme="minorHAnsi" w:hAnsiTheme="minorHAnsi"/>
          <w:iCs/>
          <w:color w:val="auto"/>
          <w:szCs w:val="24"/>
        </w:rPr>
        <w:t xml:space="preserve">settled on arguments for a </w:t>
      </w:r>
      <w:r w:rsidR="00AB0056">
        <w:rPr>
          <w:rFonts w:asciiTheme="minorHAnsi" w:hAnsiTheme="minorHAnsi"/>
          <w:iCs/>
          <w:color w:val="auto"/>
          <w:szCs w:val="24"/>
        </w:rPr>
        <w:t>1</w:t>
      </w:r>
      <w:r w:rsidR="00AB0056" w:rsidRPr="00AB0056">
        <w:rPr>
          <w:rFonts w:asciiTheme="minorHAnsi" w:hAnsiTheme="minorHAnsi"/>
          <w:iCs/>
          <w:color w:val="auto"/>
          <w:szCs w:val="24"/>
        </w:rPr>
        <w:t xml:space="preserve">0% versus a </w:t>
      </w:r>
      <w:r w:rsidR="00AB0056">
        <w:rPr>
          <w:rFonts w:asciiTheme="minorHAnsi" w:hAnsiTheme="minorHAnsi"/>
          <w:iCs/>
          <w:color w:val="auto"/>
          <w:szCs w:val="24"/>
        </w:rPr>
        <w:t>3</w:t>
      </w:r>
      <w:r w:rsidR="00AB0056" w:rsidRPr="00AB0056">
        <w:rPr>
          <w:rFonts w:asciiTheme="minorHAnsi" w:hAnsiTheme="minorHAnsi"/>
          <w:iCs/>
          <w:color w:val="auto"/>
          <w:szCs w:val="24"/>
        </w:rPr>
        <w:t xml:space="preserve">0% permanent rating recommendation.  </w:t>
      </w:r>
      <w:r w:rsidR="00AB0056">
        <w:rPr>
          <w:rFonts w:asciiTheme="minorHAnsi" w:hAnsiTheme="minorHAnsi"/>
          <w:iCs/>
          <w:color w:val="auto"/>
          <w:szCs w:val="24"/>
        </w:rPr>
        <w:t xml:space="preserve">The </w:t>
      </w:r>
      <w:r w:rsidR="00AB0056">
        <w:rPr>
          <w:rFonts w:asciiTheme="minorHAnsi" w:hAnsiTheme="minorHAnsi" w:cstheme="minorHAnsi"/>
          <w:iCs/>
          <w:color w:val="auto"/>
          <w:szCs w:val="24"/>
        </w:rPr>
        <w:t>§</w:t>
      </w:r>
      <w:r w:rsidR="00AB0056">
        <w:rPr>
          <w:rFonts w:asciiTheme="minorHAnsi" w:hAnsiTheme="minorHAnsi"/>
          <w:iCs/>
          <w:color w:val="auto"/>
          <w:szCs w:val="24"/>
        </w:rPr>
        <w:t>4.130 description for a 10</w:t>
      </w:r>
      <w:r w:rsidR="0016517A">
        <w:rPr>
          <w:rFonts w:asciiTheme="minorHAnsi" w:hAnsiTheme="minorHAnsi"/>
          <w:iCs/>
          <w:color w:val="auto"/>
          <w:szCs w:val="24"/>
        </w:rPr>
        <w:t xml:space="preserve">% rating is </w:t>
      </w:r>
      <w:r w:rsidR="0016517A" w:rsidRPr="0016517A">
        <w:rPr>
          <w:rFonts w:asciiTheme="minorHAnsi" w:hAnsiTheme="minorHAnsi"/>
          <w:iCs/>
          <w:color w:val="auto"/>
          <w:szCs w:val="24"/>
        </w:rPr>
        <w:t>“occupational and social impairment due to mild or transient symptoms which decrease work efficiency … only during periods of significant stress, or; symptoms controlled by continuous medication”</w:t>
      </w:r>
      <w:r w:rsidR="0016517A">
        <w:rPr>
          <w:rFonts w:asciiTheme="minorHAnsi" w:hAnsiTheme="minorHAnsi"/>
          <w:iCs/>
          <w:color w:val="auto"/>
          <w:szCs w:val="24"/>
        </w:rPr>
        <w:t xml:space="preserve">; and, that for 30% is </w:t>
      </w:r>
      <w:r w:rsidR="0016517A" w:rsidRPr="0016517A">
        <w:rPr>
          <w:rFonts w:asciiTheme="minorHAnsi" w:hAnsiTheme="minorHAnsi"/>
          <w:iCs/>
          <w:color w:val="auto"/>
          <w:szCs w:val="24"/>
        </w:rPr>
        <w:t>“occupational and social impairment with occasional decrease in work efficiency and intermittent periods of inability to perform occupational tasks (although generally functioning satisfactorily …)</w:t>
      </w:r>
      <w:r w:rsidR="0016517A">
        <w:rPr>
          <w:rFonts w:asciiTheme="minorHAnsi" w:hAnsiTheme="minorHAnsi"/>
          <w:iCs/>
          <w:color w:val="auto"/>
          <w:szCs w:val="24"/>
        </w:rPr>
        <w:t>.</w:t>
      </w:r>
      <w:r w:rsidR="00344050">
        <w:rPr>
          <w:rFonts w:asciiTheme="minorHAnsi" w:hAnsiTheme="minorHAnsi"/>
          <w:iCs/>
          <w:color w:val="auto"/>
          <w:szCs w:val="24"/>
        </w:rPr>
        <w:t>”</w:t>
      </w:r>
      <w:r w:rsidR="0016517A">
        <w:rPr>
          <w:rFonts w:asciiTheme="minorHAnsi" w:hAnsiTheme="minorHAnsi"/>
          <w:iCs/>
          <w:color w:val="auto"/>
          <w:szCs w:val="24"/>
        </w:rPr>
        <w:t xml:space="preserve">  </w:t>
      </w:r>
      <w:r w:rsidR="00E0285D">
        <w:rPr>
          <w:rFonts w:asciiTheme="minorHAnsi" w:hAnsiTheme="minorHAnsi"/>
          <w:iCs/>
          <w:color w:val="auto"/>
          <w:szCs w:val="24"/>
        </w:rPr>
        <w:t>Arguing against a fair rating of 10% are the observations that t</w:t>
      </w:r>
      <w:r w:rsidR="0016517A">
        <w:rPr>
          <w:rFonts w:asciiTheme="minorHAnsi" w:hAnsiTheme="minorHAnsi"/>
          <w:iCs/>
          <w:color w:val="auto"/>
          <w:szCs w:val="24"/>
        </w:rPr>
        <w:t xml:space="preserve">he GAF assignment, symptom description and clinical course </w:t>
      </w:r>
      <w:r w:rsidR="00E0285D">
        <w:rPr>
          <w:rFonts w:asciiTheme="minorHAnsi" w:hAnsiTheme="minorHAnsi"/>
          <w:iCs/>
          <w:color w:val="auto"/>
          <w:szCs w:val="24"/>
        </w:rPr>
        <w:t>mitigate</w:t>
      </w:r>
      <w:r w:rsidR="0016517A">
        <w:rPr>
          <w:rFonts w:asciiTheme="minorHAnsi" w:hAnsiTheme="minorHAnsi"/>
          <w:iCs/>
          <w:color w:val="auto"/>
          <w:szCs w:val="24"/>
        </w:rPr>
        <w:t xml:space="preserve"> a characterization of the severity as mild or transient; and, it is clear that symptoms were not completely controlled on medication.  The evidence does not provide a correlation of acuity with </w:t>
      </w:r>
      <w:r w:rsidR="00925E7E">
        <w:rPr>
          <w:rFonts w:asciiTheme="minorHAnsi" w:hAnsiTheme="minorHAnsi"/>
          <w:iCs/>
          <w:color w:val="auto"/>
          <w:szCs w:val="24"/>
        </w:rPr>
        <w:t xml:space="preserve">degree of stress, and that element of the 10% description is thus not relevant.  Relative to support for a 30% rating, there is no evidence that there were any periods of </w:t>
      </w:r>
      <w:r w:rsidR="00870151">
        <w:rPr>
          <w:rFonts w:asciiTheme="minorHAnsi" w:hAnsiTheme="minorHAnsi"/>
          <w:iCs/>
          <w:color w:val="auto"/>
          <w:szCs w:val="24"/>
        </w:rPr>
        <w:t>inability to function at work</w:t>
      </w:r>
      <w:r w:rsidR="00925E7E">
        <w:rPr>
          <w:rFonts w:asciiTheme="minorHAnsi" w:hAnsiTheme="minorHAnsi"/>
          <w:iCs/>
          <w:color w:val="auto"/>
          <w:szCs w:val="24"/>
        </w:rPr>
        <w:t xml:space="preserve">; but, </w:t>
      </w:r>
      <w:r w:rsidR="00870151">
        <w:rPr>
          <w:rFonts w:asciiTheme="minorHAnsi" w:hAnsiTheme="minorHAnsi"/>
          <w:iCs/>
          <w:color w:val="auto"/>
          <w:szCs w:val="24"/>
        </w:rPr>
        <w:t xml:space="preserve">decreased efficiency can be imputed from interruption of </w:t>
      </w:r>
      <w:r w:rsidR="00E0285D">
        <w:rPr>
          <w:rFonts w:asciiTheme="minorHAnsi" w:hAnsiTheme="minorHAnsi"/>
          <w:iCs/>
          <w:color w:val="auto"/>
          <w:szCs w:val="24"/>
        </w:rPr>
        <w:t xml:space="preserve">the </w:t>
      </w:r>
      <w:r w:rsidR="00870151">
        <w:rPr>
          <w:rFonts w:asciiTheme="minorHAnsi" w:hAnsiTheme="minorHAnsi"/>
          <w:iCs/>
          <w:color w:val="auto"/>
          <w:szCs w:val="24"/>
        </w:rPr>
        <w:t>work schedule by insomnia and the need for employer accommodation.  Also of concern is the TDRL psychiatric opinion that the condition was not sufficient</w:t>
      </w:r>
      <w:r w:rsidR="00D31E3A">
        <w:rPr>
          <w:rFonts w:asciiTheme="minorHAnsi" w:hAnsiTheme="minorHAnsi"/>
          <w:iCs/>
          <w:color w:val="auto"/>
          <w:szCs w:val="24"/>
        </w:rPr>
        <w:t>ly stable; and</w:t>
      </w:r>
      <w:r w:rsidR="002C0651">
        <w:rPr>
          <w:rFonts w:asciiTheme="minorHAnsi" w:hAnsiTheme="minorHAnsi"/>
          <w:iCs/>
          <w:color w:val="auto"/>
          <w:szCs w:val="24"/>
        </w:rPr>
        <w:t>,</w:t>
      </w:r>
      <w:r w:rsidR="00D31E3A">
        <w:rPr>
          <w:rFonts w:asciiTheme="minorHAnsi" w:hAnsiTheme="minorHAnsi"/>
          <w:iCs/>
          <w:color w:val="auto"/>
          <w:szCs w:val="24"/>
        </w:rPr>
        <w:t xml:space="preserve"> </w:t>
      </w:r>
      <w:r w:rsidR="002C0651">
        <w:rPr>
          <w:rFonts w:asciiTheme="minorHAnsi" w:hAnsiTheme="minorHAnsi"/>
          <w:iCs/>
          <w:color w:val="auto"/>
          <w:szCs w:val="24"/>
        </w:rPr>
        <w:t xml:space="preserve">this clinical reservation </w:t>
      </w:r>
      <w:r w:rsidR="00870151">
        <w:rPr>
          <w:rFonts w:asciiTheme="minorHAnsi" w:hAnsiTheme="minorHAnsi"/>
          <w:iCs/>
          <w:color w:val="auto"/>
          <w:szCs w:val="24"/>
        </w:rPr>
        <w:t xml:space="preserve">was validated by the </w:t>
      </w:r>
      <w:r w:rsidR="002C0651">
        <w:rPr>
          <w:rFonts w:asciiTheme="minorHAnsi" w:hAnsiTheme="minorHAnsi"/>
          <w:iCs/>
          <w:color w:val="auto"/>
          <w:szCs w:val="24"/>
        </w:rPr>
        <w:t>clinical course documented in VA records, i.e.,</w:t>
      </w:r>
      <w:r w:rsidR="00870151">
        <w:rPr>
          <w:rFonts w:asciiTheme="minorHAnsi" w:hAnsiTheme="minorHAnsi"/>
          <w:iCs/>
          <w:color w:val="auto"/>
          <w:szCs w:val="24"/>
        </w:rPr>
        <w:t xml:space="preserve"> a rapid </w:t>
      </w:r>
      <w:r w:rsidR="002C0651">
        <w:rPr>
          <w:rFonts w:asciiTheme="minorHAnsi" w:hAnsiTheme="minorHAnsi"/>
          <w:iCs/>
          <w:color w:val="auto"/>
          <w:szCs w:val="24"/>
        </w:rPr>
        <w:t>escalation of</w:t>
      </w:r>
      <w:r w:rsidR="00870151">
        <w:rPr>
          <w:rFonts w:asciiTheme="minorHAnsi" w:hAnsiTheme="minorHAnsi"/>
          <w:iCs/>
          <w:color w:val="auto"/>
          <w:szCs w:val="24"/>
        </w:rPr>
        <w:t xml:space="preserve"> </w:t>
      </w:r>
      <w:r w:rsidR="002C0651">
        <w:rPr>
          <w:rFonts w:asciiTheme="minorHAnsi" w:hAnsiTheme="minorHAnsi"/>
          <w:iCs/>
          <w:color w:val="auto"/>
          <w:szCs w:val="24"/>
        </w:rPr>
        <w:t>symptoms</w:t>
      </w:r>
      <w:r w:rsidR="00870151">
        <w:rPr>
          <w:rFonts w:asciiTheme="minorHAnsi" w:hAnsiTheme="minorHAnsi"/>
          <w:iCs/>
          <w:color w:val="auto"/>
          <w:szCs w:val="24"/>
        </w:rPr>
        <w:t xml:space="preserve"> </w:t>
      </w:r>
      <w:r w:rsidR="002C0651">
        <w:rPr>
          <w:rFonts w:asciiTheme="minorHAnsi" w:hAnsiTheme="minorHAnsi"/>
          <w:iCs/>
          <w:color w:val="auto"/>
          <w:szCs w:val="24"/>
        </w:rPr>
        <w:t>resulting in</w:t>
      </w:r>
      <w:r w:rsidR="00870151">
        <w:rPr>
          <w:rFonts w:asciiTheme="minorHAnsi" w:hAnsiTheme="minorHAnsi"/>
          <w:iCs/>
          <w:color w:val="auto"/>
          <w:szCs w:val="24"/>
        </w:rPr>
        <w:t xml:space="preserve"> significant occupational and social impairment within 13 months of permanent separation.  </w:t>
      </w:r>
      <w:r w:rsidR="000634E6">
        <w:rPr>
          <w:rFonts w:asciiTheme="minorHAnsi" w:hAnsiTheme="minorHAnsi"/>
          <w:iCs/>
          <w:color w:val="auto"/>
          <w:szCs w:val="24"/>
        </w:rPr>
        <w:t xml:space="preserve">After due deliberation, considering the totality of the evidence and mindful of VASRD §4.3 (reasonable doubt), the Board recommends a permanent PTSD disability rating of </w:t>
      </w:r>
      <w:r w:rsidR="000634E6" w:rsidRPr="00344050">
        <w:rPr>
          <w:rFonts w:asciiTheme="minorHAnsi" w:hAnsiTheme="minorHAnsi"/>
          <w:iCs/>
          <w:color w:val="auto"/>
          <w:szCs w:val="24"/>
        </w:rPr>
        <w:t xml:space="preserve">30%.  </w:t>
      </w:r>
      <w:r w:rsidR="000634E6">
        <w:rPr>
          <w:rFonts w:asciiTheme="minorHAnsi" w:hAnsiTheme="minorHAnsi"/>
          <w:iCs/>
          <w:color w:val="auto"/>
          <w:szCs w:val="24"/>
        </w:rPr>
        <w:t xml:space="preserve">   </w:t>
      </w:r>
    </w:p>
    <w:p w:rsidR="0090101B" w:rsidRDefault="0090101B" w:rsidP="00510F9C">
      <w:pPr>
        <w:spacing w:line="240" w:lineRule="exact"/>
        <w:rPr>
          <w:rFonts w:asciiTheme="minorHAnsi" w:hAnsiTheme="minorHAnsi"/>
          <w:iCs/>
          <w:color w:val="auto"/>
          <w:szCs w:val="24"/>
        </w:rPr>
      </w:pPr>
    </w:p>
    <w:p w:rsidR="002C0651" w:rsidRDefault="00664296" w:rsidP="00D06F61">
      <w:pPr>
        <w:spacing w:line="240" w:lineRule="exact"/>
        <w:jc w:val="both"/>
        <w:rPr>
          <w:rFonts w:asciiTheme="minorHAnsi" w:eastAsia="HiddenHorzOCR" w:hAnsiTheme="minorHAnsi"/>
          <w:color w:val="auto"/>
          <w:szCs w:val="24"/>
        </w:rPr>
      </w:pPr>
      <w:r w:rsidRPr="00664296">
        <w:rPr>
          <w:rFonts w:asciiTheme="minorHAnsi" w:eastAsia="HiddenHorzOCR" w:hAnsiTheme="minorHAnsi"/>
          <w:color w:val="auto"/>
          <w:szCs w:val="24"/>
          <w:u w:val="single"/>
        </w:rPr>
        <w:t xml:space="preserve">Other Contended </w:t>
      </w:r>
      <w:r w:rsidR="004553D5">
        <w:rPr>
          <w:rFonts w:asciiTheme="minorHAnsi" w:eastAsia="HiddenHorzOCR" w:hAnsiTheme="minorHAnsi"/>
          <w:color w:val="auto"/>
          <w:szCs w:val="24"/>
          <w:u w:val="single"/>
        </w:rPr>
        <w:t xml:space="preserve">PEB </w:t>
      </w:r>
      <w:r w:rsidRPr="00664296">
        <w:rPr>
          <w:rFonts w:asciiTheme="minorHAnsi" w:eastAsia="HiddenHorzOCR" w:hAnsiTheme="minorHAnsi"/>
          <w:color w:val="auto"/>
          <w:szCs w:val="24"/>
          <w:u w:val="single"/>
        </w:rPr>
        <w:t>Conditions</w:t>
      </w:r>
      <w:r w:rsidR="00F066FE">
        <w:rPr>
          <w:rFonts w:asciiTheme="minorHAnsi" w:eastAsia="HiddenHorzOCR" w:hAnsiTheme="minorHAnsi"/>
          <w:color w:val="auto"/>
          <w:szCs w:val="24"/>
        </w:rPr>
        <w:t>:</w:t>
      </w:r>
      <w:r w:rsidRPr="00664296">
        <w:rPr>
          <w:rFonts w:asciiTheme="minorHAnsi" w:eastAsia="HiddenHorzOCR" w:hAnsiTheme="minorHAnsi"/>
          <w:color w:val="auto"/>
          <w:szCs w:val="24"/>
        </w:rPr>
        <w:t xml:space="preserve">  The CI’s application asserts that compensable ratings should be considered for </w:t>
      </w:r>
      <w:r w:rsidR="00E12442">
        <w:rPr>
          <w:rFonts w:asciiTheme="minorHAnsi" w:eastAsia="HiddenHorzOCR" w:hAnsiTheme="minorHAnsi"/>
          <w:color w:val="auto"/>
          <w:szCs w:val="24"/>
        </w:rPr>
        <w:t xml:space="preserve">low back pain, </w:t>
      </w:r>
      <w:r w:rsidR="004553D5" w:rsidRPr="007E7CC7">
        <w:rPr>
          <w:rFonts w:asciiTheme="minorHAnsi" w:eastAsia="HiddenHorzOCR" w:hAnsiTheme="minorHAnsi"/>
          <w:color w:val="auto"/>
          <w:szCs w:val="24"/>
        </w:rPr>
        <w:t>blast injury to the right hand, right wrist pain, and righ</w:t>
      </w:r>
      <w:r w:rsidR="004553D5">
        <w:rPr>
          <w:rFonts w:asciiTheme="minorHAnsi" w:eastAsia="HiddenHorzOCR" w:hAnsiTheme="minorHAnsi"/>
          <w:color w:val="auto"/>
          <w:szCs w:val="24"/>
        </w:rPr>
        <w:t xml:space="preserve">t wrist numbness and tingling - </w:t>
      </w:r>
      <w:r w:rsidR="004553D5" w:rsidRPr="007E7CC7">
        <w:rPr>
          <w:rFonts w:asciiTheme="minorHAnsi" w:eastAsia="HiddenHorzOCR" w:hAnsiTheme="minorHAnsi"/>
          <w:color w:val="auto"/>
          <w:szCs w:val="24"/>
        </w:rPr>
        <w:t>conditions forwarded by the MEB and adjudicated as not unfitting by the PEB</w:t>
      </w:r>
      <w:r w:rsidRPr="00664296">
        <w:rPr>
          <w:rFonts w:asciiTheme="minorHAnsi" w:eastAsia="HiddenHorzOCR" w:hAnsiTheme="minorHAnsi"/>
          <w:color w:val="auto"/>
          <w:szCs w:val="24"/>
        </w:rPr>
        <w:t xml:space="preserve">.  </w:t>
      </w:r>
      <w:r w:rsidR="004553D5" w:rsidRPr="007E7CC7">
        <w:rPr>
          <w:rFonts w:asciiTheme="minorHAnsi" w:hAnsiTheme="minorHAnsi"/>
          <w:color w:val="auto"/>
          <w:szCs w:val="24"/>
        </w:rPr>
        <w:t>The Board’s main charge in respect to these conditions is an assessment of the appropriateness of the PEB’s fitness adjudication</w:t>
      </w:r>
      <w:r w:rsidR="00792869">
        <w:rPr>
          <w:rFonts w:asciiTheme="minorHAnsi" w:hAnsiTheme="minorHAnsi"/>
          <w:color w:val="auto"/>
          <w:szCs w:val="24"/>
        </w:rPr>
        <w:t>s at the time of placement on TDRL</w:t>
      </w:r>
      <w:r w:rsidR="004553D5" w:rsidRPr="007E7CC7">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w:t>
      </w:r>
      <w:proofErr w:type="spellStart"/>
      <w:r w:rsidR="004553D5" w:rsidRPr="007E7CC7">
        <w:rPr>
          <w:rFonts w:asciiTheme="minorHAnsi" w:hAnsiTheme="minorHAnsi"/>
          <w:color w:val="auto"/>
          <w:szCs w:val="24"/>
        </w:rPr>
        <w:t>DoDI</w:t>
      </w:r>
      <w:proofErr w:type="spellEnd"/>
      <w:r w:rsidR="004553D5" w:rsidRPr="007E7CC7">
        <w:rPr>
          <w:rFonts w:asciiTheme="minorHAnsi" w:hAnsiTheme="minorHAnsi"/>
          <w:color w:val="auto"/>
          <w:szCs w:val="24"/>
        </w:rPr>
        <w:t xml:space="preserve"> 6040.44 “fair and equitable” standard.</w:t>
      </w:r>
      <w:r w:rsidR="001E581F">
        <w:rPr>
          <w:rFonts w:asciiTheme="minorHAnsi" w:hAnsiTheme="minorHAnsi"/>
          <w:color w:val="auto"/>
          <w:szCs w:val="24"/>
        </w:rPr>
        <w:t xml:space="preserve">  </w:t>
      </w:r>
      <w:r w:rsidR="001E581F">
        <w:rPr>
          <w:rFonts w:asciiTheme="minorHAnsi" w:eastAsia="HiddenHorzOCR" w:hAnsiTheme="minorHAnsi"/>
          <w:color w:val="auto"/>
          <w:szCs w:val="24"/>
        </w:rPr>
        <w:t xml:space="preserve">The CI’s back pain dated back to the bomb explosion, was localized to the lower back (without </w:t>
      </w:r>
      <w:proofErr w:type="spellStart"/>
      <w:r w:rsidR="001E581F">
        <w:rPr>
          <w:rFonts w:asciiTheme="minorHAnsi" w:eastAsia="HiddenHorzOCR" w:hAnsiTheme="minorHAnsi"/>
          <w:color w:val="auto"/>
          <w:szCs w:val="24"/>
        </w:rPr>
        <w:t>radicular</w:t>
      </w:r>
      <w:proofErr w:type="spellEnd"/>
      <w:r w:rsidR="001E581F">
        <w:rPr>
          <w:rFonts w:asciiTheme="minorHAnsi" w:eastAsia="HiddenHorzOCR" w:hAnsiTheme="minorHAnsi"/>
          <w:color w:val="auto"/>
          <w:szCs w:val="24"/>
        </w:rPr>
        <w:t xml:space="preserve"> symptoms), and was precipitated by lifting.  This c</w:t>
      </w:r>
      <w:r w:rsidR="001E581F" w:rsidRPr="007E7CC7">
        <w:rPr>
          <w:rFonts w:asciiTheme="minorHAnsi" w:eastAsia="HiddenHorzOCR" w:hAnsiTheme="minorHAnsi"/>
          <w:color w:val="auto"/>
          <w:szCs w:val="24"/>
        </w:rPr>
        <w:t>ondition</w:t>
      </w:r>
      <w:r w:rsidR="001E581F">
        <w:rPr>
          <w:rFonts w:asciiTheme="minorHAnsi" w:eastAsia="HiddenHorzOCR" w:hAnsiTheme="minorHAnsi"/>
          <w:color w:val="auto"/>
          <w:szCs w:val="24"/>
        </w:rPr>
        <w:t xml:space="preserve"> was not </w:t>
      </w:r>
      <w:r w:rsidR="001E581F" w:rsidRPr="007E7CC7">
        <w:rPr>
          <w:rFonts w:asciiTheme="minorHAnsi" w:eastAsia="HiddenHorzOCR" w:hAnsiTheme="minorHAnsi"/>
          <w:color w:val="auto"/>
          <w:szCs w:val="24"/>
        </w:rPr>
        <w:t xml:space="preserve">profiled, implicated in the Commander’s statement, or noted as failing retention standards.  </w:t>
      </w:r>
      <w:r w:rsidR="001E581F">
        <w:rPr>
          <w:rFonts w:asciiTheme="minorHAnsi" w:eastAsia="HiddenHorzOCR" w:hAnsiTheme="minorHAnsi"/>
          <w:color w:val="auto"/>
          <w:szCs w:val="24"/>
        </w:rPr>
        <w:t xml:space="preserve">It was </w:t>
      </w:r>
      <w:r w:rsidR="001E581F" w:rsidRPr="007E7CC7">
        <w:rPr>
          <w:rFonts w:asciiTheme="minorHAnsi" w:eastAsia="HiddenHorzOCR" w:hAnsiTheme="minorHAnsi"/>
          <w:color w:val="auto"/>
          <w:szCs w:val="24"/>
        </w:rPr>
        <w:t xml:space="preserve">reviewed by the </w:t>
      </w:r>
      <w:r w:rsidR="00EC4821">
        <w:rPr>
          <w:rFonts w:asciiTheme="minorHAnsi" w:eastAsia="HiddenHorzOCR" w:hAnsiTheme="minorHAnsi"/>
          <w:color w:val="auto"/>
          <w:szCs w:val="24"/>
        </w:rPr>
        <w:t>a</w:t>
      </w:r>
      <w:r w:rsidR="001E581F" w:rsidRPr="007E7CC7">
        <w:rPr>
          <w:rFonts w:asciiTheme="minorHAnsi" w:eastAsia="HiddenHorzOCR" w:hAnsiTheme="minorHAnsi"/>
          <w:color w:val="auto"/>
          <w:szCs w:val="24"/>
        </w:rPr>
        <w:t xml:space="preserve">ction </w:t>
      </w:r>
      <w:r w:rsidR="00EC4821">
        <w:rPr>
          <w:rFonts w:asciiTheme="minorHAnsi" w:eastAsia="HiddenHorzOCR" w:hAnsiTheme="minorHAnsi"/>
          <w:color w:val="auto"/>
          <w:szCs w:val="24"/>
        </w:rPr>
        <w:t>o</w:t>
      </w:r>
      <w:r w:rsidR="001E581F" w:rsidRPr="007E7CC7">
        <w:rPr>
          <w:rFonts w:asciiTheme="minorHAnsi" w:eastAsia="HiddenHorzOCR" w:hAnsiTheme="minorHAnsi"/>
          <w:color w:val="auto"/>
          <w:szCs w:val="24"/>
        </w:rPr>
        <w:t xml:space="preserve">fficer and considered by the Board.  There was no indication from the record </w:t>
      </w:r>
      <w:r w:rsidR="001E581F">
        <w:rPr>
          <w:rFonts w:asciiTheme="minorHAnsi" w:eastAsia="HiddenHorzOCR" w:hAnsiTheme="minorHAnsi"/>
          <w:color w:val="auto"/>
          <w:szCs w:val="24"/>
        </w:rPr>
        <w:t xml:space="preserve">that this </w:t>
      </w:r>
      <w:r w:rsidR="001E581F" w:rsidRPr="007E7CC7">
        <w:rPr>
          <w:rFonts w:asciiTheme="minorHAnsi" w:eastAsia="HiddenHorzOCR" w:hAnsiTheme="minorHAnsi"/>
          <w:color w:val="auto"/>
          <w:szCs w:val="24"/>
        </w:rPr>
        <w:t xml:space="preserve">condition significantly interfered with satisfactory performance of </w:t>
      </w:r>
      <w:r w:rsidR="001E581F">
        <w:rPr>
          <w:rFonts w:asciiTheme="minorHAnsi" w:eastAsia="HiddenHorzOCR" w:hAnsiTheme="minorHAnsi"/>
          <w:color w:val="auto"/>
          <w:szCs w:val="24"/>
        </w:rPr>
        <w:t xml:space="preserve">his </w:t>
      </w:r>
      <w:r w:rsidR="001E581F" w:rsidRPr="007E7CC7">
        <w:rPr>
          <w:rFonts w:asciiTheme="minorHAnsi" w:eastAsia="HiddenHorzOCR" w:hAnsiTheme="minorHAnsi"/>
          <w:color w:val="auto"/>
          <w:szCs w:val="24"/>
        </w:rPr>
        <w:t>MOS duty</w:t>
      </w:r>
      <w:r w:rsidR="001E581F" w:rsidRPr="00664296">
        <w:rPr>
          <w:rFonts w:asciiTheme="minorHAnsi" w:eastAsia="HiddenHorzOCR" w:hAnsiTheme="minorHAnsi"/>
          <w:color w:val="auto"/>
          <w:szCs w:val="24"/>
        </w:rPr>
        <w:t xml:space="preserve"> requirements.  All evidence considered</w:t>
      </w:r>
      <w:proofErr w:type="gramStart"/>
      <w:r w:rsidR="001E581F" w:rsidRPr="00664296">
        <w:rPr>
          <w:rFonts w:asciiTheme="minorHAnsi" w:eastAsia="HiddenHorzOCR" w:hAnsiTheme="minorHAnsi"/>
          <w:color w:val="auto"/>
          <w:szCs w:val="24"/>
        </w:rPr>
        <w:t>,</w:t>
      </w:r>
      <w:proofErr w:type="gramEnd"/>
      <w:r w:rsidR="001E581F" w:rsidRPr="00664296">
        <w:rPr>
          <w:rFonts w:asciiTheme="minorHAnsi" w:eastAsia="HiddenHorzOCR" w:hAnsiTheme="minorHAnsi"/>
          <w:color w:val="auto"/>
          <w:szCs w:val="24"/>
        </w:rPr>
        <w:t xml:space="preserve"> there is not reasonable doubt in the CI’s </w:t>
      </w:r>
      <w:r w:rsidR="001E581F" w:rsidRPr="002C0651">
        <w:rPr>
          <w:rFonts w:asciiTheme="minorHAnsi" w:eastAsia="HiddenHorzOCR" w:hAnsiTheme="minorHAnsi"/>
          <w:color w:val="auto"/>
          <w:szCs w:val="24"/>
        </w:rPr>
        <w:t xml:space="preserve">favor supporting </w:t>
      </w:r>
      <w:proofErr w:type="spellStart"/>
      <w:r w:rsidR="001E581F" w:rsidRPr="002C0651">
        <w:rPr>
          <w:rFonts w:asciiTheme="minorHAnsi" w:eastAsia="HiddenHorzOCR" w:hAnsiTheme="minorHAnsi"/>
          <w:color w:val="auto"/>
          <w:szCs w:val="24"/>
        </w:rPr>
        <w:t>recharacterization</w:t>
      </w:r>
      <w:proofErr w:type="spellEnd"/>
      <w:r w:rsidR="001E581F" w:rsidRPr="002C0651">
        <w:rPr>
          <w:rFonts w:asciiTheme="minorHAnsi" w:eastAsia="HiddenHorzOCR" w:hAnsiTheme="minorHAnsi"/>
          <w:color w:val="auto"/>
          <w:szCs w:val="24"/>
        </w:rPr>
        <w:t xml:space="preserve"> of the PEB fitness adjudication for the low back pain condition.  </w:t>
      </w:r>
    </w:p>
    <w:p w:rsidR="002C0651" w:rsidRDefault="002C0651" w:rsidP="00D06F61">
      <w:pPr>
        <w:spacing w:line="240" w:lineRule="exact"/>
        <w:jc w:val="both"/>
        <w:rPr>
          <w:rFonts w:asciiTheme="minorHAnsi" w:eastAsia="HiddenHorzOCR" w:hAnsiTheme="minorHAnsi"/>
          <w:color w:val="auto"/>
          <w:szCs w:val="24"/>
        </w:rPr>
      </w:pPr>
    </w:p>
    <w:p w:rsidR="002C0651" w:rsidRDefault="004553D5" w:rsidP="00D06F61">
      <w:pPr>
        <w:spacing w:line="240" w:lineRule="exact"/>
        <w:jc w:val="both"/>
        <w:rPr>
          <w:rFonts w:asciiTheme="minorHAnsi" w:hAnsiTheme="minorHAnsi"/>
          <w:color w:val="auto"/>
          <w:szCs w:val="24"/>
        </w:rPr>
      </w:pPr>
      <w:r w:rsidRPr="002C0651">
        <w:rPr>
          <w:rFonts w:asciiTheme="minorHAnsi" w:eastAsia="HiddenHorzOCR" w:hAnsiTheme="minorHAnsi"/>
          <w:color w:val="auto"/>
          <w:szCs w:val="24"/>
        </w:rPr>
        <w:t xml:space="preserve">The blast injury to the right hand, the right wrist pain, and the right wrist </w:t>
      </w:r>
      <w:r w:rsidR="00792869" w:rsidRPr="002C0651">
        <w:rPr>
          <w:rFonts w:asciiTheme="minorHAnsi" w:eastAsia="HiddenHorzOCR" w:hAnsiTheme="minorHAnsi"/>
          <w:color w:val="auto"/>
          <w:szCs w:val="24"/>
        </w:rPr>
        <w:t>neurological symptoms</w:t>
      </w:r>
      <w:r w:rsidRPr="002C0651">
        <w:rPr>
          <w:rFonts w:asciiTheme="minorHAnsi" w:eastAsia="HiddenHorzOCR" w:hAnsiTheme="minorHAnsi"/>
          <w:color w:val="auto"/>
          <w:szCs w:val="24"/>
        </w:rPr>
        <w:t xml:space="preserve"> </w:t>
      </w:r>
      <w:r w:rsidR="00691B31" w:rsidRPr="002C0651">
        <w:rPr>
          <w:rFonts w:asciiTheme="minorHAnsi" w:eastAsia="HiddenHorzOCR" w:hAnsiTheme="minorHAnsi"/>
          <w:color w:val="auto"/>
          <w:szCs w:val="24"/>
        </w:rPr>
        <w:t xml:space="preserve">were </w:t>
      </w:r>
      <w:r w:rsidRPr="002C0651">
        <w:rPr>
          <w:rFonts w:asciiTheme="minorHAnsi" w:eastAsia="HiddenHorzOCR" w:hAnsiTheme="minorHAnsi"/>
          <w:color w:val="auto"/>
          <w:szCs w:val="24"/>
        </w:rPr>
        <w:t>all interrelated</w:t>
      </w:r>
      <w:r w:rsidR="00792869" w:rsidRPr="002C0651">
        <w:rPr>
          <w:rFonts w:asciiTheme="minorHAnsi" w:eastAsia="HiddenHorzOCR" w:hAnsiTheme="minorHAnsi"/>
          <w:color w:val="auto"/>
          <w:szCs w:val="24"/>
        </w:rPr>
        <w:t>;</w:t>
      </w:r>
      <w:r w:rsidRPr="002C0651">
        <w:rPr>
          <w:rFonts w:asciiTheme="minorHAnsi" w:eastAsia="HiddenHorzOCR" w:hAnsiTheme="minorHAnsi"/>
          <w:color w:val="auto"/>
          <w:szCs w:val="24"/>
        </w:rPr>
        <w:t xml:space="preserve"> and</w:t>
      </w:r>
      <w:r w:rsidR="00792869" w:rsidRPr="002C0651">
        <w:rPr>
          <w:rFonts w:asciiTheme="minorHAnsi" w:eastAsia="HiddenHorzOCR" w:hAnsiTheme="minorHAnsi"/>
          <w:color w:val="auto"/>
          <w:szCs w:val="24"/>
        </w:rPr>
        <w:t>,</w:t>
      </w:r>
      <w:r w:rsidRPr="002C0651">
        <w:rPr>
          <w:rFonts w:asciiTheme="minorHAnsi" w:eastAsia="HiddenHorzOCR" w:hAnsiTheme="minorHAnsi"/>
          <w:color w:val="auto"/>
          <w:szCs w:val="24"/>
        </w:rPr>
        <w:t xml:space="preserve"> were </w:t>
      </w:r>
      <w:proofErr w:type="spellStart"/>
      <w:r w:rsidRPr="002C0651">
        <w:rPr>
          <w:rFonts w:asciiTheme="minorHAnsi" w:eastAsia="HiddenHorzOCR" w:hAnsiTheme="minorHAnsi"/>
          <w:color w:val="auto"/>
          <w:szCs w:val="24"/>
        </w:rPr>
        <w:t>sequelae</w:t>
      </w:r>
      <w:proofErr w:type="spellEnd"/>
      <w:r w:rsidRPr="002C0651">
        <w:rPr>
          <w:rFonts w:asciiTheme="minorHAnsi" w:eastAsia="HiddenHorzOCR" w:hAnsiTheme="minorHAnsi"/>
          <w:color w:val="auto"/>
          <w:szCs w:val="24"/>
        </w:rPr>
        <w:t xml:space="preserve"> of the fragmentation injuries </w:t>
      </w:r>
      <w:r w:rsidR="00792869" w:rsidRPr="002C0651">
        <w:rPr>
          <w:rFonts w:asciiTheme="minorHAnsi" w:eastAsia="HiddenHorzOCR" w:hAnsiTheme="minorHAnsi"/>
          <w:color w:val="auto"/>
          <w:szCs w:val="24"/>
        </w:rPr>
        <w:t xml:space="preserve">from the </w:t>
      </w:r>
      <w:r w:rsidR="00792869" w:rsidRPr="002C0651">
        <w:rPr>
          <w:rFonts w:asciiTheme="minorHAnsi" w:hAnsiTheme="minorHAnsi"/>
          <w:color w:val="auto"/>
          <w:szCs w:val="24"/>
        </w:rPr>
        <w:t>Kosovo explosion</w:t>
      </w:r>
      <w:r w:rsidR="00792869" w:rsidRPr="002C0651">
        <w:rPr>
          <w:rFonts w:asciiTheme="minorHAnsi" w:eastAsia="HiddenHorzOCR" w:hAnsiTheme="minorHAnsi"/>
          <w:color w:val="auto"/>
          <w:szCs w:val="24"/>
        </w:rPr>
        <w:t xml:space="preserve"> </w:t>
      </w:r>
      <w:r w:rsidRPr="002C0651">
        <w:rPr>
          <w:rFonts w:asciiTheme="minorHAnsi" w:eastAsia="HiddenHorzOCR" w:hAnsiTheme="minorHAnsi"/>
          <w:color w:val="auto"/>
          <w:szCs w:val="24"/>
        </w:rPr>
        <w:t xml:space="preserve">and </w:t>
      </w:r>
      <w:r w:rsidR="002C0651">
        <w:rPr>
          <w:rFonts w:asciiTheme="minorHAnsi" w:eastAsia="HiddenHorzOCR" w:hAnsiTheme="minorHAnsi"/>
          <w:color w:val="auto"/>
          <w:szCs w:val="24"/>
        </w:rPr>
        <w:t>consequent</w:t>
      </w:r>
      <w:r w:rsidR="00A26DC5" w:rsidRPr="002C0651">
        <w:rPr>
          <w:rFonts w:asciiTheme="minorHAnsi" w:eastAsia="HiddenHorzOCR" w:hAnsiTheme="minorHAnsi"/>
          <w:color w:val="auto"/>
          <w:szCs w:val="24"/>
        </w:rPr>
        <w:t xml:space="preserve"> </w:t>
      </w:r>
      <w:r w:rsidRPr="002C0651">
        <w:rPr>
          <w:rFonts w:asciiTheme="minorHAnsi" w:eastAsia="HiddenHorzOCR" w:hAnsiTheme="minorHAnsi"/>
          <w:color w:val="auto"/>
          <w:szCs w:val="24"/>
        </w:rPr>
        <w:t>surgeries</w:t>
      </w:r>
      <w:r w:rsidRPr="002C0651">
        <w:rPr>
          <w:rFonts w:asciiTheme="minorHAnsi" w:hAnsiTheme="minorHAnsi"/>
          <w:color w:val="auto"/>
          <w:szCs w:val="24"/>
        </w:rPr>
        <w:t xml:space="preserve">.  </w:t>
      </w:r>
      <w:r w:rsidR="00792869" w:rsidRPr="002C0651">
        <w:rPr>
          <w:rFonts w:asciiTheme="minorHAnsi" w:hAnsiTheme="minorHAnsi"/>
          <w:color w:val="auto"/>
          <w:szCs w:val="24"/>
        </w:rPr>
        <w:t>The orthopedic</w:t>
      </w:r>
      <w:r w:rsidRPr="002C0651">
        <w:rPr>
          <w:rFonts w:asciiTheme="minorHAnsi" w:hAnsiTheme="minorHAnsi"/>
          <w:color w:val="auto"/>
          <w:szCs w:val="24"/>
        </w:rPr>
        <w:t xml:space="preserve"> addendum </w:t>
      </w:r>
      <w:r w:rsidR="00B32BDB" w:rsidRPr="002C0651">
        <w:rPr>
          <w:rFonts w:asciiTheme="minorHAnsi" w:hAnsiTheme="minorHAnsi"/>
          <w:color w:val="auto"/>
          <w:szCs w:val="24"/>
        </w:rPr>
        <w:t xml:space="preserve">assessed these conditions and commented specifically on </w:t>
      </w:r>
      <w:r w:rsidR="00792869" w:rsidRPr="002C0651">
        <w:rPr>
          <w:rFonts w:asciiTheme="minorHAnsi" w:hAnsiTheme="minorHAnsi"/>
          <w:color w:val="auto"/>
          <w:szCs w:val="24"/>
        </w:rPr>
        <w:t>decreased range-of-</w:t>
      </w:r>
      <w:r w:rsidR="00D5246A" w:rsidRPr="002C0651">
        <w:rPr>
          <w:rFonts w:asciiTheme="minorHAnsi" w:hAnsiTheme="minorHAnsi"/>
          <w:color w:val="auto"/>
          <w:szCs w:val="24"/>
        </w:rPr>
        <w:t xml:space="preserve">motion </w:t>
      </w:r>
      <w:r w:rsidR="00792869" w:rsidRPr="002C0651">
        <w:rPr>
          <w:rFonts w:asciiTheme="minorHAnsi" w:hAnsiTheme="minorHAnsi"/>
          <w:color w:val="auto"/>
          <w:szCs w:val="24"/>
        </w:rPr>
        <w:t>(ROM) of</w:t>
      </w:r>
      <w:r w:rsidR="00D5246A" w:rsidRPr="002C0651">
        <w:rPr>
          <w:rFonts w:asciiTheme="minorHAnsi" w:hAnsiTheme="minorHAnsi"/>
          <w:color w:val="auto"/>
          <w:szCs w:val="24"/>
        </w:rPr>
        <w:t xml:space="preserve"> the </w:t>
      </w:r>
      <w:r w:rsidRPr="002C0651">
        <w:rPr>
          <w:rFonts w:asciiTheme="minorHAnsi" w:hAnsiTheme="minorHAnsi"/>
          <w:color w:val="auto"/>
          <w:szCs w:val="24"/>
        </w:rPr>
        <w:t>right</w:t>
      </w:r>
      <w:r w:rsidR="00D5246A" w:rsidRPr="002C0651">
        <w:rPr>
          <w:rFonts w:asciiTheme="minorHAnsi" w:hAnsiTheme="minorHAnsi"/>
          <w:color w:val="auto"/>
          <w:szCs w:val="24"/>
        </w:rPr>
        <w:t xml:space="preserve"> </w:t>
      </w:r>
      <w:r w:rsidR="00D5246A" w:rsidRPr="002C0651">
        <w:rPr>
          <w:rFonts w:asciiTheme="minorHAnsi" w:hAnsiTheme="minorHAnsi"/>
          <w:color w:val="auto"/>
          <w:szCs w:val="24"/>
        </w:rPr>
        <w:lastRenderedPageBreak/>
        <w:t xml:space="preserve">thumb </w:t>
      </w:r>
      <w:r w:rsidR="00B32BDB" w:rsidRPr="002C0651">
        <w:rPr>
          <w:rFonts w:asciiTheme="minorHAnsi" w:hAnsiTheme="minorHAnsi"/>
          <w:color w:val="auto"/>
          <w:szCs w:val="24"/>
        </w:rPr>
        <w:t>(</w:t>
      </w:r>
      <w:r w:rsidR="00792869" w:rsidRPr="002C0651">
        <w:rPr>
          <w:rFonts w:asciiTheme="minorHAnsi" w:hAnsiTheme="minorHAnsi"/>
          <w:color w:val="auto"/>
          <w:szCs w:val="24"/>
        </w:rPr>
        <w:t>versus</w:t>
      </w:r>
      <w:r w:rsidR="00D5246A" w:rsidRPr="002C0651">
        <w:rPr>
          <w:rFonts w:asciiTheme="minorHAnsi" w:hAnsiTheme="minorHAnsi"/>
          <w:color w:val="auto"/>
          <w:szCs w:val="24"/>
        </w:rPr>
        <w:t xml:space="preserve"> the left</w:t>
      </w:r>
      <w:r w:rsidR="00B32BDB" w:rsidRPr="002C0651">
        <w:rPr>
          <w:rFonts w:asciiTheme="minorHAnsi" w:hAnsiTheme="minorHAnsi"/>
          <w:color w:val="auto"/>
          <w:szCs w:val="24"/>
        </w:rPr>
        <w:t>)</w:t>
      </w:r>
      <w:r w:rsidR="00792869" w:rsidRPr="002C0651">
        <w:rPr>
          <w:rFonts w:asciiTheme="minorHAnsi" w:hAnsiTheme="minorHAnsi"/>
          <w:color w:val="auto"/>
          <w:szCs w:val="24"/>
        </w:rPr>
        <w:t>;</w:t>
      </w:r>
      <w:r w:rsidR="00D5246A" w:rsidRPr="002C0651">
        <w:rPr>
          <w:rFonts w:asciiTheme="minorHAnsi" w:hAnsiTheme="minorHAnsi"/>
          <w:color w:val="auto"/>
          <w:szCs w:val="24"/>
        </w:rPr>
        <w:t xml:space="preserve"> </w:t>
      </w:r>
      <w:r w:rsidRPr="002C0651">
        <w:rPr>
          <w:rFonts w:asciiTheme="minorHAnsi" w:hAnsiTheme="minorHAnsi"/>
          <w:color w:val="auto"/>
          <w:szCs w:val="24"/>
        </w:rPr>
        <w:t>and</w:t>
      </w:r>
      <w:r w:rsidR="00792869" w:rsidRPr="002C0651">
        <w:rPr>
          <w:rFonts w:asciiTheme="minorHAnsi" w:hAnsiTheme="minorHAnsi"/>
          <w:color w:val="auto"/>
          <w:szCs w:val="24"/>
        </w:rPr>
        <w:t>,</w:t>
      </w:r>
      <w:r w:rsidRPr="002C0651">
        <w:rPr>
          <w:rFonts w:asciiTheme="minorHAnsi" w:hAnsiTheme="minorHAnsi"/>
          <w:color w:val="auto"/>
          <w:szCs w:val="24"/>
        </w:rPr>
        <w:t xml:space="preserve"> </w:t>
      </w:r>
      <w:r w:rsidR="00792869" w:rsidRPr="002C0651">
        <w:rPr>
          <w:rFonts w:asciiTheme="minorHAnsi" w:hAnsiTheme="minorHAnsi"/>
          <w:color w:val="auto"/>
          <w:szCs w:val="24"/>
        </w:rPr>
        <w:t xml:space="preserve">subjective, but no objective, sensory loss </w:t>
      </w:r>
      <w:r w:rsidR="00D5246A" w:rsidRPr="002C0651">
        <w:rPr>
          <w:rFonts w:asciiTheme="minorHAnsi" w:hAnsiTheme="minorHAnsi"/>
          <w:color w:val="auto"/>
          <w:szCs w:val="24"/>
        </w:rPr>
        <w:t>o</w:t>
      </w:r>
      <w:r w:rsidR="00792869" w:rsidRPr="002C0651">
        <w:rPr>
          <w:rFonts w:asciiTheme="minorHAnsi" w:hAnsiTheme="minorHAnsi"/>
          <w:color w:val="auto"/>
          <w:szCs w:val="24"/>
        </w:rPr>
        <w:t>ver the back of the right wrist</w:t>
      </w:r>
      <w:r w:rsidR="00D5246A" w:rsidRPr="002C0651">
        <w:rPr>
          <w:rFonts w:asciiTheme="minorHAnsi" w:hAnsiTheme="minorHAnsi"/>
          <w:color w:val="auto"/>
          <w:szCs w:val="24"/>
        </w:rPr>
        <w:t xml:space="preserve">.  </w:t>
      </w:r>
      <w:r w:rsidR="001E581F" w:rsidRPr="002C0651">
        <w:rPr>
          <w:rFonts w:asciiTheme="minorHAnsi" w:hAnsiTheme="minorHAnsi"/>
          <w:color w:val="auto"/>
          <w:szCs w:val="24"/>
        </w:rPr>
        <w:t>Evidence in the STR documented an inability to extend/abduct the right thumb past 45</w:t>
      </w:r>
      <w:r w:rsidR="001E581F" w:rsidRPr="002C0651">
        <w:rPr>
          <w:rFonts w:asciiTheme="minorHAnsi" w:hAnsiTheme="minorHAnsi" w:cstheme="minorHAnsi"/>
          <w:color w:val="auto"/>
          <w:szCs w:val="24"/>
        </w:rPr>
        <w:t>⁰</w:t>
      </w:r>
      <w:r w:rsidR="0042341D" w:rsidRPr="002C0651">
        <w:rPr>
          <w:rFonts w:asciiTheme="minorHAnsi" w:hAnsiTheme="minorHAnsi" w:cstheme="minorHAnsi"/>
          <w:color w:val="auto"/>
          <w:szCs w:val="24"/>
        </w:rPr>
        <w:t xml:space="preserve">.  </w:t>
      </w:r>
      <w:r w:rsidR="00792869" w:rsidRPr="002C0651">
        <w:rPr>
          <w:rFonts w:asciiTheme="minorHAnsi" w:hAnsiTheme="minorHAnsi"/>
          <w:color w:val="auto"/>
          <w:szCs w:val="24"/>
        </w:rPr>
        <w:t xml:space="preserve">The right thumb ROM deficit was attributed to scar interference with tendon function; </w:t>
      </w:r>
      <w:r w:rsidR="00055F15" w:rsidRPr="002C0651">
        <w:rPr>
          <w:rFonts w:asciiTheme="minorHAnsi" w:hAnsiTheme="minorHAnsi"/>
          <w:color w:val="auto"/>
          <w:szCs w:val="24"/>
        </w:rPr>
        <w:t>and</w:t>
      </w:r>
      <w:r w:rsidR="00792869" w:rsidRPr="002C0651">
        <w:rPr>
          <w:rFonts w:asciiTheme="minorHAnsi" w:hAnsiTheme="minorHAnsi"/>
          <w:color w:val="auto"/>
          <w:szCs w:val="24"/>
        </w:rPr>
        <w:t xml:space="preserve">, the orthopedist opined </w:t>
      </w:r>
      <w:r w:rsidRPr="002C0651">
        <w:rPr>
          <w:rFonts w:asciiTheme="minorHAnsi" w:hAnsiTheme="minorHAnsi"/>
          <w:color w:val="auto"/>
          <w:szCs w:val="24"/>
        </w:rPr>
        <w:t xml:space="preserve">that </w:t>
      </w:r>
      <w:r w:rsidR="00055F15" w:rsidRPr="002C0651">
        <w:rPr>
          <w:rFonts w:asciiTheme="minorHAnsi" w:hAnsiTheme="minorHAnsi"/>
          <w:color w:val="auto"/>
          <w:szCs w:val="24"/>
        </w:rPr>
        <w:t xml:space="preserve">the </w:t>
      </w:r>
      <w:r w:rsidRPr="002C0651">
        <w:rPr>
          <w:rFonts w:asciiTheme="minorHAnsi" w:hAnsiTheme="minorHAnsi"/>
          <w:color w:val="auto"/>
          <w:szCs w:val="24"/>
        </w:rPr>
        <w:t xml:space="preserve">thumb </w:t>
      </w:r>
      <w:r w:rsidR="00055F15" w:rsidRPr="002C0651">
        <w:rPr>
          <w:rFonts w:asciiTheme="minorHAnsi" w:hAnsiTheme="minorHAnsi"/>
          <w:color w:val="auto"/>
          <w:szCs w:val="24"/>
        </w:rPr>
        <w:t>remained</w:t>
      </w:r>
      <w:r w:rsidRPr="002C0651">
        <w:rPr>
          <w:rFonts w:asciiTheme="minorHAnsi" w:hAnsiTheme="minorHAnsi"/>
          <w:color w:val="auto"/>
          <w:szCs w:val="24"/>
        </w:rPr>
        <w:t xml:space="preserve"> functional</w:t>
      </w:r>
      <w:r w:rsidR="00055F15" w:rsidRPr="002C0651">
        <w:rPr>
          <w:rFonts w:asciiTheme="minorHAnsi" w:hAnsiTheme="minorHAnsi"/>
          <w:color w:val="auto"/>
          <w:szCs w:val="24"/>
        </w:rPr>
        <w:t>, without need for further</w:t>
      </w:r>
      <w:r w:rsidRPr="002C0651">
        <w:rPr>
          <w:rFonts w:asciiTheme="minorHAnsi" w:hAnsiTheme="minorHAnsi"/>
          <w:color w:val="auto"/>
          <w:szCs w:val="24"/>
        </w:rPr>
        <w:t xml:space="preserve"> inte</w:t>
      </w:r>
      <w:r w:rsidR="00D5246A" w:rsidRPr="002C0651">
        <w:rPr>
          <w:rFonts w:asciiTheme="minorHAnsi" w:hAnsiTheme="minorHAnsi"/>
          <w:color w:val="auto"/>
          <w:szCs w:val="24"/>
        </w:rPr>
        <w:t>r</w:t>
      </w:r>
      <w:r w:rsidRPr="002C0651">
        <w:rPr>
          <w:rFonts w:asciiTheme="minorHAnsi" w:hAnsiTheme="minorHAnsi"/>
          <w:color w:val="auto"/>
          <w:szCs w:val="24"/>
        </w:rPr>
        <w:t>vent</w:t>
      </w:r>
      <w:r w:rsidR="00D5246A" w:rsidRPr="002C0651">
        <w:rPr>
          <w:rFonts w:asciiTheme="minorHAnsi" w:hAnsiTheme="minorHAnsi"/>
          <w:color w:val="auto"/>
          <w:szCs w:val="24"/>
        </w:rPr>
        <w:t>i</w:t>
      </w:r>
      <w:r w:rsidRPr="002C0651">
        <w:rPr>
          <w:rFonts w:asciiTheme="minorHAnsi" w:hAnsiTheme="minorHAnsi"/>
          <w:color w:val="auto"/>
          <w:szCs w:val="24"/>
        </w:rPr>
        <w:t>on</w:t>
      </w:r>
      <w:r w:rsidR="001E581F" w:rsidRPr="002C0651">
        <w:rPr>
          <w:rFonts w:asciiTheme="minorHAnsi" w:hAnsiTheme="minorHAnsi"/>
          <w:color w:val="auto"/>
          <w:szCs w:val="24"/>
        </w:rPr>
        <w:t>.</w:t>
      </w:r>
      <w:r w:rsidR="002C0651">
        <w:rPr>
          <w:rFonts w:asciiTheme="minorHAnsi" w:hAnsiTheme="minorHAnsi"/>
          <w:color w:val="auto"/>
          <w:szCs w:val="24"/>
        </w:rPr>
        <w:t xml:space="preserve">  Although the manual dexterity impairment</w:t>
      </w:r>
      <w:r w:rsidR="00E3157F" w:rsidRPr="002C0651">
        <w:rPr>
          <w:rFonts w:asciiTheme="minorHAnsi" w:hAnsiTheme="minorHAnsi"/>
          <w:color w:val="auto"/>
          <w:szCs w:val="24"/>
        </w:rPr>
        <w:t xml:space="preserve"> was not</w:t>
      </w:r>
      <w:r w:rsidR="00F066FE">
        <w:rPr>
          <w:rFonts w:asciiTheme="minorHAnsi" w:hAnsiTheme="minorHAnsi"/>
          <w:color w:val="auto"/>
          <w:szCs w:val="24"/>
        </w:rPr>
        <w:t xml:space="preserve"> profiled or implicated in the c</w:t>
      </w:r>
      <w:r w:rsidR="00E3157F" w:rsidRPr="002C0651">
        <w:rPr>
          <w:rFonts w:asciiTheme="minorHAnsi" w:hAnsiTheme="minorHAnsi"/>
          <w:color w:val="auto"/>
          <w:szCs w:val="24"/>
        </w:rPr>
        <w:t xml:space="preserve">ommander’s statement, the Board considered that it may have been marginalized by the attention </w:t>
      </w:r>
      <w:r w:rsidR="002C0651">
        <w:rPr>
          <w:rFonts w:asciiTheme="minorHAnsi" w:hAnsiTheme="minorHAnsi"/>
          <w:color w:val="auto"/>
          <w:szCs w:val="24"/>
        </w:rPr>
        <w:t>demanded by</w:t>
      </w:r>
      <w:r w:rsidR="00E3157F" w:rsidRPr="002C0651">
        <w:rPr>
          <w:rFonts w:asciiTheme="minorHAnsi" w:hAnsiTheme="minorHAnsi"/>
          <w:color w:val="auto"/>
          <w:szCs w:val="24"/>
        </w:rPr>
        <w:t xml:space="preserve"> the PTSD condition.  The orthopedist </w:t>
      </w:r>
      <w:r w:rsidR="00055F15" w:rsidRPr="002C0651">
        <w:rPr>
          <w:rFonts w:asciiTheme="minorHAnsi" w:hAnsiTheme="minorHAnsi"/>
          <w:color w:val="auto"/>
          <w:szCs w:val="24"/>
        </w:rPr>
        <w:t xml:space="preserve">specifically stated that the CI </w:t>
      </w:r>
      <w:r w:rsidR="00D5246A" w:rsidRPr="002C0651">
        <w:rPr>
          <w:rFonts w:asciiTheme="minorHAnsi" w:hAnsiTheme="minorHAnsi"/>
          <w:color w:val="auto"/>
          <w:szCs w:val="24"/>
        </w:rPr>
        <w:t xml:space="preserve">was </w:t>
      </w:r>
      <w:r w:rsidRPr="002C0651">
        <w:rPr>
          <w:rFonts w:asciiTheme="minorHAnsi" w:eastAsia="HiddenHorzOCR" w:hAnsiTheme="minorHAnsi"/>
          <w:color w:val="auto"/>
          <w:szCs w:val="24"/>
        </w:rPr>
        <w:t xml:space="preserve">qualified </w:t>
      </w:r>
      <w:r w:rsidR="00055F15" w:rsidRPr="002C0651">
        <w:rPr>
          <w:rFonts w:asciiTheme="minorHAnsi" w:eastAsia="HiddenHorzOCR" w:hAnsiTheme="minorHAnsi"/>
          <w:color w:val="auto"/>
          <w:szCs w:val="24"/>
        </w:rPr>
        <w:t>for continued duty</w:t>
      </w:r>
      <w:r w:rsidR="00E3157F" w:rsidRPr="002C0651">
        <w:rPr>
          <w:rFonts w:asciiTheme="minorHAnsi" w:eastAsia="HiddenHorzOCR" w:hAnsiTheme="minorHAnsi"/>
          <w:color w:val="auto"/>
          <w:szCs w:val="24"/>
        </w:rPr>
        <w:t xml:space="preserve">, but it was not clear whether the orthopedist specifically addressed </w:t>
      </w:r>
      <w:r w:rsidR="00194740" w:rsidRPr="002C0651">
        <w:rPr>
          <w:rFonts w:asciiTheme="minorHAnsi" w:eastAsia="HiddenHorzOCR" w:hAnsiTheme="minorHAnsi"/>
          <w:color w:val="auto"/>
          <w:szCs w:val="24"/>
        </w:rPr>
        <w:t xml:space="preserve">the CI’s </w:t>
      </w:r>
      <w:r w:rsidR="00E3157F" w:rsidRPr="002C0651">
        <w:rPr>
          <w:rFonts w:asciiTheme="minorHAnsi" w:eastAsia="HiddenHorzOCR" w:hAnsiTheme="minorHAnsi"/>
          <w:color w:val="auto"/>
          <w:szCs w:val="24"/>
        </w:rPr>
        <w:t xml:space="preserve">qualification for continued duty in terms of his MOS qualifications as an EOD Specialist.  </w:t>
      </w:r>
      <w:r w:rsidR="00ED6DE0" w:rsidRPr="002C0651">
        <w:rPr>
          <w:rFonts w:asciiTheme="minorHAnsi" w:hAnsiTheme="minorHAnsi"/>
          <w:color w:val="auto"/>
          <w:szCs w:val="24"/>
        </w:rPr>
        <w:t xml:space="preserve">As part of </w:t>
      </w:r>
      <w:r w:rsidR="00194740" w:rsidRPr="002C0651">
        <w:rPr>
          <w:rFonts w:asciiTheme="minorHAnsi" w:hAnsiTheme="minorHAnsi"/>
          <w:color w:val="auto"/>
          <w:szCs w:val="24"/>
        </w:rPr>
        <w:t xml:space="preserve">the </w:t>
      </w:r>
      <w:r w:rsidR="00ED6DE0" w:rsidRPr="002C0651">
        <w:rPr>
          <w:rFonts w:asciiTheme="minorHAnsi" w:hAnsiTheme="minorHAnsi"/>
          <w:color w:val="auto"/>
          <w:szCs w:val="24"/>
        </w:rPr>
        <w:t>initial qualification, an EOD Specialist must possess a U1 profile with no demonstrable abnormalities, no loss of digits, and no limitation of motion.</w:t>
      </w:r>
      <w:r w:rsidR="00E3157F" w:rsidRPr="002C0651">
        <w:rPr>
          <w:rFonts w:asciiTheme="minorHAnsi" w:hAnsiTheme="minorHAnsi"/>
          <w:color w:val="auto"/>
          <w:szCs w:val="24"/>
        </w:rPr>
        <w:t xml:space="preserve">  </w:t>
      </w:r>
      <w:r w:rsidR="00194740" w:rsidRPr="002C0651">
        <w:rPr>
          <w:rFonts w:asciiTheme="minorHAnsi" w:hAnsiTheme="minorHAnsi"/>
          <w:color w:val="auto"/>
          <w:szCs w:val="24"/>
        </w:rPr>
        <w:t xml:space="preserve">And, intuitively, it </w:t>
      </w:r>
      <w:r w:rsidR="005428ED" w:rsidRPr="002C0651">
        <w:rPr>
          <w:rFonts w:asciiTheme="minorHAnsi" w:hAnsiTheme="minorHAnsi"/>
          <w:color w:val="auto"/>
          <w:szCs w:val="24"/>
        </w:rPr>
        <w:t xml:space="preserve">is at least </w:t>
      </w:r>
      <w:r w:rsidR="008B0F32" w:rsidRPr="002C0651">
        <w:rPr>
          <w:rFonts w:asciiTheme="minorHAnsi" w:hAnsiTheme="minorHAnsi"/>
          <w:color w:val="auto"/>
          <w:szCs w:val="24"/>
        </w:rPr>
        <w:t xml:space="preserve">as </w:t>
      </w:r>
      <w:r w:rsidR="005428ED" w:rsidRPr="002C0651">
        <w:rPr>
          <w:rFonts w:asciiTheme="minorHAnsi" w:hAnsiTheme="minorHAnsi"/>
          <w:color w:val="auto"/>
          <w:szCs w:val="24"/>
        </w:rPr>
        <w:t xml:space="preserve">likely as not </w:t>
      </w:r>
      <w:r w:rsidR="00ED6DE0" w:rsidRPr="002C0651">
        <w:rPr>
          <w:rFonts w:asciiTheme="minorHAnsi" w:hAnsiTheme="minorHAnsi"/>
          <w:color w:val="auto"/>
          <w:szCs w:val="24"/>
        </w:rPr>
        <w:t xml:space="preserve">that </w:t>
      </w:r>
      <w:r w:rsidR="00194740" w:rsidRPr="002C0651">
        <w:rPr>
          <w:rFonts w:asciiTheme="minorHAnsi" w:hAnsiTheme="minorHAnsi"/>
          <w:color w:val="auto"/>
          <w:szCs w:val="24"/>
        </w:rPr>
        <w:t xml:space="preserve">the CI’s </w:t>
      </w:r>
      <w:r w:rsidR="00ED6DE0" w:rsidRPr="002C0651">
        <w:rPr>
          <w:rFonts w:asciiTheme="minorHAnsi" w:hAnsiTheme="minorHAnsi"/>
          <w:color w:val="auto"/>
          <w:szCs w:val="24"/>
        </w:rPr>
        <w:t xml:space="preserve">inability to fully extend and abduct the right thumb </w:t>
      </w:r>
      <w:r w:rsidR="002C0651">
        <w:rPr>
          <w:rFonts w:asciiTheme="minorHAnsi" w:hAnsiTheme="minorHAnsi"/>
          <w:color w:val="auto"/>
          <w:szCs w:val="24"/>
        </w:rPr>
        <w:t xml:space="preserve">of his dominant hand </w:t>
      </w:r>
      <w:r w:rsidR="00ED6DE0" w:rsidRPr="002C0651">
        <w:rPr>
          <w:rFonts w:asciiTheme="minorHAnsi" w:hAnsiTheme="minorHAnsi"/>
          <w:color w:val="auto"/>
          <w:szCs w:val="24"/>
        </w:rPr>
        <w:t xml:space="preserve">could </w:t>
      </w:r>
      <w:r w:rsidR="00194740" w:rsidRPr="002C0651">
        <w:rPr>
          <w:rFonts w:asciiTheme="minorHAnsi" w:hAnsiTheme="minorHAnsi"/>
          <w:color w:val="auto"/>
          <w:szCs w:val="24"/>
        </w:rPr>
        <w:t xml:space="preserve">interfere with the fine motor skills required </w:t>
      </w:r>
      <w:r w:rsidR="005428ED" w:rsidRPr="002C0651">
        <w:rPr>
          <w:rFonts w:asciiTheme="minorHAnsi" w:hAnsiTheme="minorHAnsi"/>
          <w:color w:val="auto"/>
          <w:szCs w:val="24"/>
        </w:rPr>
        <w:t>for the CI to effectively do his job.</w:t>
      </w:r>
      <w:r w:rsidR="008B0F32" w:rsidRPr="002C0651">
        <w:rPr>
          <w:rFonts w:asciiTheme="minorHAnsi" w:hAnsiTheme="minorHAnsi"/>
          <w:color w:val="auto"/>
          <w:szCs w:val="24"/>
        </w:rPr>
        <w:t xml:space="preserve">  All evidence considered, the Board recommends adding the right hand (thumb) condition as an additional unfitting condition for separation rating.  </w:t>
      </w:r>
    </w:p>
    <w:p w:rsidR="002C0651" w:rsidRDefault="002C0651" w:rsidP="00D06F61">
      <w:pPr>
        <w:spacing w:line="240" w:lineRule="exact"/>
        <w:jc w:val="both"/>
        <w:rPr>
          <w:rFonts w:asciiTheme="minorHAnsi" w:hAnsiTheme="minorHAnsi"/>
          <w:color w:val="auto"/>
          <w:szCs w:val="24"/>
        </w:rPr>
      </w:pPr>
    </w:p>
    <w:p w:rsidR="005428ED" w:rsidRPr="002C0651" w:rsidRDefault="002C0651" w:rsidP="00D06F61">
      <w:pPr>
        <w:spacing w:line="240" w:lineRule="exact"/>
        <w:jc w:val="both"/>
        <w:rPr>
          <w:rFonts w:asciiTheme="minorHAnsi" w:hAnsiTheme="minorHAnsi"/>
          <w:color w:val="auto"/>
          <w:szCs w:val="24"/>
        </w:rPr>
      </w:pPr>
      <w:r>
        <w:rPr>
          <w:rFonts w:asciiTheme="minorHAnsi" w:hAnsiTheme="minorHAnsi"/>
          <w:color w:val="auto"/>
          <w:szCs w:val="24"/>
        </w:rPr>
        <w:t xml:space="preserve">The Board then deliberated an appropriate rating recommendation for the </w:t>
      </w:r>
      <w:r w:rsidR="008B0F32" w:rsidRPr="002C0651">
        <w:rPr>
          <w:rFonts w:asciiTheme="minorHAnsi" w:hAnsiTheme="minorHAnsi"/>
          <w:color w:val="auto"/>
          <w:szCs w:val="24"/>
        </w:rPr>
        <w:t xml:space="preserve">Since the PEB found the condition not unfitting, it was not rated.  The VA </w:t>
      </w:r>
      <w:r w:rsidR="00133C88" w:rsidRPr="002C0651">
        <w:rPr>
          <w:rFonts w:asciiTheme="minorHAnsi" w:hAnsiTheme="minorHAnsi"/>
          <w:color w:val="auto"/>
          <w:szCs w:val="24"/>
        </w:rPr>
        <w:t xml:space="preserve">coded </w:t>
      </w:r>
      <w:r w:rsidR="008B0F32" w:rsidRPr="002C0651">
        <w:rPr>
          <w:rFonts w:asciiTheme="minorHAnsi" w:hAnsiTheme="minorHAnsi"/>
          <w:color w:val="auto"/>
          <w:szCs w:val="24"/>
        </w:rPr>
        <w:t xml:space="preserve">the condition analogously </w:t>
      </w:r>
      <w:r w:rsidR="003927C0" w:rsidRPr="002C0651">
        <w:rPr>
          <w:rFonts w:asciiTheme="minorHAnsi" w:hAnsiTheme="minorHAnsi"/>
          <w:color w:val="auto"/>
          <w:szCs w:val="24"/>
        </w:rPr>
        <w:t xml:space="preserve">as </w:t>
      </w:r>
      <w:r w:rsidR="008B0F32" w:rsidRPr="002C0651">
        <w:rPr>
          <w:rFonts w:asciiTheme="minorHAnsi" w:hAnsiTheme="minorHAnsi"/>
          <w:color w:val="auto"/>
          <w:szCs w:val="24"/>
        </w:rPr>
        <w:t>8515-5228</w:t>
      </w:r>
      <w:r w:rsidR="003927C0" w:rsidRPr="002C0651">
        <w:rPr>
          <w:rFonts w:asciiTheme="minorHAnsi" w:hAnsiTheme="minorHAnsi"/>
          <w:color w:val="auto"/>
          <w:szCs w:val="24"/>
        </w:rPr>
        <w:t xml:space="preserve"> (thumb, limitation of motion) </w:t>
      </w:r>
      <w:r w:rsidR="00133C88" w:rsidRPr="002C0651">
        <w:rPr>
          <w:rFonts w:asciiTheme="minorHAnsi" w:hAnsiTheme="minorHAnsi"/>
          <w:color w:val="auto"/>
          <w:szCs w:val="24"/>
        </w:rPr>
        <w:t xml:space="preserve">and initially rated the condition as 0% based on </w:t>
      </w:r>
      <w:proofErr w:type="spellStart"/>
      <w:r w:rsidR="00133C88" w:rsidRPr="002C0651">
        <w:rPr>
          <w:rFonts w:asciiTheme="minorHAnsi" w:hAnsiTheme="minorHAnsi"/>
          <w:color w:val="auto"/>
          <w:szCs w:val="24"/>
        </w:rPr>
        <w:t>noncompensable</w:t>
      </w:r>
      <w:proofErr w:type="spellEnd"/>
      <w:r w:rsidR="00133C88" w:rsidRPr="002C0651">
        <w:rPr>
          <w:rFonts w:asciiTheme="minorHAnsi" w:hAnsiTheme="minorHAnsi"/>
          <w:color w:val="auto"/>
          <w:szCs w:val="24"/>
        </w:rPr>
        <w:t xml:space="preserve"> range of motion (ROM), but subsequently increased the rating to 10% based on functional loss due to pain.  </w:t>
      </w:r>
      <w:r w:rsidR="00A8271E" w:rsidRPr="002C0651">
        <w:rPr>
          <w:rFonts w:asciiTheme="minorHAnsi" w:hAnsiTheme="minorHAnsi"/>
          <w:color w:val="auto"/>
          <w:szCs w:val="24"/>
        </w:rPr>
        <w:t xml:space="preserve">The primary impairment of the CI’s hand condition is the limitation of motion of the thumb which justifies a </w:t>
      </w:r>
      <w:proofErr w:type="spellStart"/>
      <w:r w:rsidR="00A8271E" w:rsidRPr="002C0651">
        <w:rPr>
          <w:rFonts w:asciiTheme="minorHAnsi" w:hAnsiTheme="minorHAnsi"/>
          <w:color w:val="auto"/>
          <w:szCs w:val="24"/>
        </w:rPr>
        <w:t>noncompensable</w:t>
      </w:r>
      <w:proofErr w:type="spellEnd"/>
      <w:r w:rsidR="00A8271E" w:rsidRPr="002C0651">
        <w:rPr>
          <w:rFonts w:asciiTheme="minorHAnsi" w:hAnsiTheme="minorHAnsi"/>
          <w:color w:val="auto"/>
          <w:szCs w:val="24"/>
        </w:rPr>
        <w:t xml:space="preserve"> rating</w:t>
      </w:r>
      <w:r w:rsidR="00B32BDB" w:rsidRPr="002C0651">
        <w:rPr>
          <w:rFonts w:asciiTheme="minorHAnsi" w:hAnsiTheme="minorHAnsi"/>
          <w:color w:val="auto"/>
          <w:szCs w:val="24"/>
        </w:rPr>
        <w:t>,</w:t>
      </w:r>
      <w:r w:rsidR="00A8271E" w:rsidRPr="002C0651">
        <w:rPr>
          <w:rFonts w:asciiTheme="minorHAnsi" w:hAnsiTheme="minorHAnsi"/>
          <w:color w:val="auto"/>
          <w:szCs w:val="24"/>
        </w:rPr>
        <w:t xml:space="preserve"> coded 5228.  </w:t>
      </w:r>
      <w:r w:rsidR="00DB2D44" w:rsidRPr="002C0651">
        <w:rPr>
          <w:rFonts w:asciiTheme="minorHAnsi" w:hAnsiTheme="minorHAnsi"/>
          <w:color w:val="auto"/>
          <w:szCs w:val="24"/>
        </w:rPr>
        <w:t xml:space="preserve">Alternatively, however, the </w:t>
      </w:r>
      <w:proofErr w:type="spellStart"/>
      <w:r w:rsidR="00DB2D44" w:rsidRPr="002C0651">
        <w:rPr>
          <w:rFonts w:asciiTheme="minorHAnsi" w:hAnsiTheme="minorHAnsi"/>
          <w:color w:val="auto"/>
          <w:szCs w:val="24"/>
        </w:rPr>
        <w:t>noncompensable</w:t>
      </w:r>
      <w:proofErr w:type="spellEnd"/>
      <w:r w:rsidR="00DB2D44" w:rsidRPr="002C0651">
        <w:rPr>
          <w:rFonts w:asciiTheme="minorHAnsi" w:hAnsiTheme="minorHAnsi"/>
          <w:color w:val="auto"/>
          <w:szCs w:val="24"/>
        </w:rPr>
        <w:t xml:space="preserve"> ROM can be coded analogously as 5228-5003 and rated as 10% </w:t>
      </w:r>
      <w:r w:rsidR="00E12442" w:rsidRPr="002C0651">
        <w:rPr>
          <w:rFonts w:asciiTheme="minorHAnsi" w:hAnsiTheme="minorHAnsi"/>
          <w:color w:val="auto"/>
          <w:szCs w:val="24"/>
        </w:rPr>
        <w:t xml:space="preserve">applying </w:t>
      </w:r>
      <w:r w:rsidR="00A8271E" w:rsidRPr="002C0651">
        <w:rPr>
          <w:rFonts w:asciiTheme="minorHAnsi" w:hAnsiTheme="minorHAnsi"/>
          <w:color w:val="auto"/>
          <w:szCs w:val="24"/>
        </w:rPr>
        <w:t xml:space="preserve">VASRD </w:t>
      </w:r>
      <w:r w:rsidR="00A8271E" w:rsidRPr="002C0651">
        <w:rPr>
          <w:rFonts w:asciiTheme="minorHAnsi" w:hAnsiTheme="minorHAnsi" w:cstheme="minorHAnsi"/>
          <w:color w:val="auto"/>
          <w:szCs w:val="24"/>
        </w:rPr>
        <w:t>§</w:t>
      </w:r>
      <w:r w:rsidR="00A8271E" w:rsidRPr="002C0651">
        <w:rPr>
          <w:rFonts w:asciiTheme="minorHAnsi" w:hAnsiTheme="minorHAnsi"/>
          <w:color w:val="auto"/>
          <w:szCs w:val="24"/>
        </w:rPr>
        <w:t>4.40</w:t>
      </w:r>
      <w:r w:rsidR="00DB2D44" w:rsidRPr="002C0651">
        <w:rPr>
          <w:rFonts w:asciiTheme="minorHAnsi" w:hAnsiTheme="minorHAnsi"/>
          <w:color w:val="auto"/>
          <w:szCs w:val="24"/>
        </w:rPr>
        <w:t xml:space="preserve"> (functional loss).  Similar to the VA, the Board considered use of a peripheral nerve code to rate the condition, but </w:t>
      </w:r>
      <w:r w:rsidR="00D06F61" w:rsidRPr="002C0651">
        <w:rPr>
          <w:rFonts w:asciiTheme="minorHAnsi" w:hAnsiTheme="minorHAnsi"/>
          <w:color w:val="auto"/>
          <w:szCs w:val="24"/>
        </w:rPr>
        <w:t xml:space="preserve">this was inconsistent with the orthopedist’s diagnostic impression and offered no rating advantage over the 5228-5003 code.  </w:t>
      </w:r>
      <w:r w:rsidR="008B0F32" w:rsidRPr="002C0651">
        <w:rPr>
          <w:rFonts w:asciiTheme="minorHAnsi" w:hAnsiTheme="minorHAnsi"/>
          <w:color w:val="auto"/>
          <w:szCs w:val="24"/>
        </w:rPr>
        <w:t xml:space="preserve">All evidence considered, </w:t>
      </w:r>
      <w:r w:rsidR="00B32BDB" w:rsidRPr="002C0651">
        <w:rPr>
          <w:rFonts w:asciiTheme="minorHAnsi" w:hAnsiTheme="minorHAnsi"/>
          <w:color w:val="auto"/>
          <w:szCs w:val="24"/>
        </w:rPr>
        <w:t>i</w:t>
      </w:r>
      <w:r w:rsidR="005428ED" w:rsidRPr="002C0651">
        <w:rPr>
          <w:rFonts w:asciiTheme="minorHAnsi" w:hAnsiTheme="minorHAnsi"/>
          <w:color w:val="auto"/>
          <w:szCs w:val="24"/>
        </w:rPr>
        <w:t xml:space="preserve">n the matter of the right </w:t>
      </w:r>
      <w:r w:rsidR="00D06F61" w:rsidRPr="002C0651">
        <w:rPr>
          <w:rFonts w:asciiTheme="minorHAnsi" w:hAnsiTheme="minorHAnsi"/>
          <w:color w:val="auto"/>
          <w:szCs w:val="24"/>
        </w:rPr>
        <w:t xml:space="preserve">thumb condition, </w:t>
      </w:r>
      <w:r w:rsidR="005428ED" w:rsidRPr="002C0651">
        <w:rPr>
          <w:rFonts w:asciiTheme="minorHAnsi" w:hAnsiTheme="minorHAnsi"/>
          <w:color w:val="auto"/>
          <w:szCs w:val="24"/>
        </w:rPr>
        <w:t xml:space="preserve">the Board recommends that it be added as an additionally unfitting condition for separation rating; coded </w:t>
      </w:r>
      <w:r w:rsidR="00D06F61" w:rsidRPr="002C0651">
        <w:rPr>
          <w:rFonts w:asciiTheme="minorHAnsi" w:hAnsiTheme="minorHAnsi"/>
          <w:color w:val="auto"/>
          <w:szCs w:val="24"/>
        </w:rPr>
        <w:t xml:space="preserve">5228-5003 </w:t>
      </w:r>
      <w:r w:rsidR="005428ED" w:rsidRPr="002C0651">
        <w:rPr>
          <w:rFonts w:asciiTheme="minorHAnsi" w:hAnsiTheme="minorHAnsi"/>
          <w:color w:val="auto"/>
          <w:szCs w:val="24"/>
        </w:rPr>
        <w:t xml:space="preserve">and rated </w:t>
      </w:r>
      <w:r w:rsidR="00D06F61" w:rsidRPr="002C0651">
        <w:rPr>
          <w:rFonts w:asciiTheme="minorHAnsi" w:hAnsiTheme="minorHAnsi"/>
          <w:color w:val="auto"/>
          <w:szCs w:val="24"/>
        </w:rPr>
        <w:t>1</w:t>
      </w:r>
      <w:r w:rsidR="005428ED" w:rsidRPr="002C0651">
        <w:rPr>
          <w:rFonts w:asciiTheme="minorHAnsi" w:hAnsiTheme="minorHAnsi"/>
          <w:color w:val="auto"/>
          <w:szCs w:val="24"/>
        </w:rPr>
        <w:t xml:space="preserve">0% IAW VASRD §4.71a. </w:t>
      </w:r>
      <w:r w:rsidR="00D06F61" w:rsidRPr="002C0651">
        <w:rPr>
          <w:rFonts w:asciiTheme="minorHAnsi" w:hAnsiTheme="minorHAnsi"/>
          <w:color w:val="auto"/>
          <w:szCs w:val="24"/>
        </w:rPr>
        <w:t xml:space="preserve">  </w:t>
      </w:r>
      <w:r w:rsidR="005428ED" w:rsidRPr="002C0651">
        <w:rPr>
          <w:rFonts w:asciiTheme="minorHAnsi" w:hAnsiTheme="minorHAnsi"/>
          <w:color w:val="auto"/>
          <w:szCs w:val="24"/>
        </w:rPr>
        <w:t xml:space="preserve">  </w:t>
      </w:r>
    </w:p>
    <w:p w:rsidR="00664296" w:rsidRPr="002C0651" w:rsidRDefault="00664296" w:rsidP="00664296">
      <w:pPr>
        <w:spacing w:line="240" w:lineRule="exact"/>
        <w:rPr>
          <w:rFonts w:asciiTheme="minorHAnsi" w:hAnsiTheme="minorHAnsi"/>
          <w:color w:val="auto"/>
          <w:szCs w:val="24"/>
          <w:u w:val="single"/>
        </w:rPr>
      </w:pPr>
    </w:p>
    <w:p w:rsidR="00664296" w:rsidRPr="00664296" w:rsidRDefault="00664296" w:rsidP="00CD28E1">
      <w:pPr>
        <w:spacing w:line="240" w:lineRule="exact"/>
        <w:jc w:val="both"/>
        <w:rPr>
          <w:rFonts w:asciiTheme="minorHAnsi" w:hAnsiTheme="minorHAnsi"/>
          <w:color w:val="auto"/>
          <w:szCs w:val="24"/>
        </w:rPr>
      </w:pPr>
      <w:r w:rsidRPr="002C0651">
        <w:rPr>
          <w:rFonts w:asciiTheme="minorHAnsi" w:hAnsiTheme="minorHAnsi"/>
          <w:color w:val="auto"/>
          <w:szCs w:val="24"/>
          <w:u w:val="single"/>
        </w:rPr>
        <w:t>Remaining Conditions</w:t>
      </w:r>
      <w:r w:rsidR="00F066FE">
        <w:rPr>
          <w:rFonts w:asciiTheme="minorHAnsi" w:hAnsiTheme="minorHAnsi"/>
          <w:color w:val="auto"/>
          <w:szCs w:val="24"/>
        </w:rPr>
        <w:t>:</w:t>
      </w:r>
      <w:r w:rsidRPr="002C0651">
        <w:rPr>
          <w:rFonts w:asciiTheme="minorHAnsi" w:hAnsiTheme="minorHAnsi"/>
          <w:color w:val="auto"/>
          <w:szCs w:val="24"/>
        </w:rPr>
        <w:t xml:space="preserve">  Other conditions identified in the DES file were </w:t>
      </w:r>
      <w:r w:rsidR="004553D5" w:rsidRPr="002C0651">
        <w:rPr>
          <w:rFonts w:asciiTheme="minorHAnsi" w:hAnsiTheme="minorHAnsi"/>
          <w:color w:val="auto"/>
          <w:szCs w:val="24"/>
        </w:rPr>
        <w:t xml:space="preserve">sinusitis, knee pain, and </w:t>
      </w:r>
      <w:proofErr w:type="spellStart"/>
      <w:r w:rsidR="00F367FA" w:rsidRPr="002C0651">
        <w:rPr>
          <w:rFonts w:asciiTheme="minorHAnsi" w:hAnsiTheme="minorHAnsi"/>
          <w:color w:val="auto"/>
          <w:szCs w:val="24"/>
        </w:rPr>
        <w:t>gastroesophageal</w:t>
      </w:r>
      <w:proofErr w:type="spellEnd"/>
      <w:r w:rsidR="00F367FA" w:rsidRPr="002C0651">
        <w:rPr>
          <w:rFonts w:asciiTheme="minorHAnsi" w:hAnsiTheme="minorHAnsi"/>
          <w:color w:val="auto"/>
          <w:szCs w:val="24"/>
        </w:rPr>
        <w:t xml:space="preserve"> reflux disease (</w:t>
      </w:r>
      <w:r w:rsidR="004553D5" w:rsidRPr="002C0651">
        <w:rPr>
          <w:rFonts w:asciiTheme="minorHAnsi" w:hAnsiTheme="minorHAnsi"/>
          <w:color w:val="auto"/>
          <w:szCs w:val="24"/>
        </w:rPr>
        <w:t>GERD</w:t>
      </w:r>
      <w:r w:rsidR="00F367FA" w:rsidRPr="002C0651">
        <w:rPr>
          <w:rFonts w:asciiTheme="minorHAnsi" w:hAnsiTheme="minorHAnsi"/>
          <w:color w:val="auto"/>
          <w:szCs w:val="24"/>
        </w:rPr>
        <w:t>)</w:t>
      </w:r>
      <w:r w:rsidRPr="002C0651">
        <w:rPr>
          <w:rFonts w:asciiTheme="minorHAnsi" w:hAnsiTheme="minorHAnsi"/>
          <w:color w:val="auto"/>
          <w:szCs w:val="24"/>
        </w:rPr>
        <w:t>.  Several additional non-acute conditions or medical complaints were also documented.  None of these conditions</w:t>
      </w:r>
      <w:r w:rsidRPr="00CD28E1">
        <w:rPr>
          <w:rFonts w:asciiTheme="minorHAnsi" w:hAnsiTheme="minorHAnsi"/>
          <w:color w:val="auto"/>
          <w:szCs w:val="24"/>
        </w:rPr>
        <w:t xml:space="preserve"> were </w:t>
      </w:r>
      <w:r w:rsidR="00A03D73" w:rsidRPr="00CD28E1">
        <w:rPr>
          <w:rFonts w:asciiTheme="minorHAnsi" w:hAnsiTheme="minorHAnsi"/>
          <w:color w:val="auto"/>
          <w:szCs w:val="24"/>
        </w:rPr>
        <w:t xml:space="preserve">of clinical or occupational significance </w:t>
      </w:r>
      <w:r w:rsidRPr="00CD28E1">
        <w:rPr>
          <w:rFonts w:asciiTheme="minorHAnsi" w:hAnsiTheme="minorHAnsi"/>
          <w:color w:val="auto"/>
          <w:szCs w:val="24"/>
        </w:rPr>
        <w:t>during the MEB period, none carried attached profiles</w:t>
      </w:r>
      <w:r w:rsidR="00067876" w:rsidRPr="00CD28E1">
        <w:rPr>
          <w:rFonts w:asciiTheme="minorHAnsi" w:hAnsiTheme="minorHAnsi"/>
          <w:color w:val="auto"/>
          <w:szCs w:val="24"/>
        </w:rPr>
        <w:t xml:space="preserve"> </w:t>
      </w:r>
      <w:r w:rsidRPr="00CD28E1">
        <w:rPr>
          <w:rFonts w:asciiTheme="minorHAnsi" w:hAnsiTheme="minorHAnsi"/>
          <w:color w:val="auto"/>
          <w:szCs w:val="24"/>
        </w:rPr>
        <w:t xml:space="preserve">and none were implicated in the </w:t>
      </w:r>
      <w:r w:rsidR="00F066FE">
        <w:rPr>
          <w:rFonts w:asciiTheme="minorHAnsi" w:hAnsiTheme="minorHAnsi"/>
          <w:color w:val="auto"/>
          <w:szCs w:val="24"/>
        </w:rPr>
        <w:t>c</w:t>
      </w:r>
      <w:r w:rsidRPr="00CD28E1">
        <w:rPr>
          <w:rFonts w:asciiTheme="minorHAnsi" w:hAnsiTheme="minorHAnsi"/>
          <w:color w:val="auto"/>
          <w:szCs w:val="24"/>
        </w:rPr>
        <w:t>ommander’s statement.</w:t>
      </w:r>
      <w:r w:rsidRPr="00664296">
        <w:rPr>
          <w:rFonts w:asciiTheme="minorHAnsi" w:hAnsiTheme="minorHAnsi"/>
          <w:color w:val="auto"/>
          <w:szCs w:val="24"/>
        </w:rPr>
        <w:t xml:space="preserve">  These conditions were reviewed by the </w:t>
      </w:r>
      <w:r w:rsidR="00F066FE">
        <w:rPr>
          <w:rFonts w:asciiTheme="minorHAnsi" w:hAnsiTheme="minorHAnsi"/>
          <w:color w:val="auto"/>
          <w:szCs w:val="24"/>
        </w:rPr>
        <w:t>a</w:t>
      </w:r>
      <w:r w:rsidRPr="00664296">
        <w:rPr>
          <w:rFonts w:asciiTheme="minorHAnsi" w:hAnsiTheme="minorHAnsi"/>
          <w:color w:val="auto"/>
          <w:szCs w:val="24"/>
        </w:rPr>
        <w:t xml:space="preserve">ction </w:t>
      </w:r>
      <w:r w:rsidR="00F066FE">
        <w:rPr>
          <w:rFonts w:asciiTheme="minorHAnsi" w:hAnsiTheme="minorHAnsi"/>
          <w:color w:val="auto"/>
          <w:szCs w:val="24"/>
        </w:rPr>
        <w:t>o</w:t>
      </w:r>
      <w:r w:rsidRPr="00664296">
        <w:rPr>
          <w:rFonts w:asciiTheme="minorHAnsi" w:hAnsiTheme="minorHAnsi"/>
          <w:color w:val="auto"/>
          <w:szCs w:val="24"/>
        </w:rPr>
        <w:t xml:space="preserve">fficer and considered by the Board.  It was determined that none could be argued as unfitting and subject to separation rating.  Additionally </w:t>
      </w:r>
      <w:r w:rsidR="00067876">
        <w:rPr>
          <w:rFonts w:asciiTheme="minorHAnsi" w:hAnsiTheme="minorHAnsi"/>
          <w:color w:val="auto"/>
          <w:szCs w:val="24"/>
        </w:rPr>
        <w:t xml:space="preserve">chronic obstructive pulmonary disease (COPD), cervical spine strain, tinnitus </w:t>
      </w:r>
      <w:r w:rsidRPr="00664296">
        <w:rPr>
          <w:rFonts w:asciiTheme="minorHAnsi" w:hAnsiTheme="minorHAnsi"/>
          <w:color w:val="auto"/>
          <w:szCs w:val="24"/>
        </w:rPr>
        <w:t xml:space="preserve">and several other non-acute conditions were noted in the VA rating decision proximal to separation, but were not documented in the DES file.  The Board does not have the authority under </w:t>
      </w:r>
      <w:proofErr w:type="spellStart"/>
      <w:r w:rsidRPr="00664296">
        <w:rPr>
          <w:rFonts w:asciiTheme="minorHAnsi" w:hAnsiTheme="minorHAnsi"/>
          <w:color w:val="auto"/>
          <w:szCs w:val="24"/>
        </w:rPr>
        <w:t>DoDI</w:t>
      </w:r>
      <w:proofErr w:type="spellEnd"/>
      <w:r w:rsidRPr="00664296">
        <w:rPr>
          <w:rFonts w:asciiTheme="minorHAnsi" w:hAnsiTheme="minorHAnsi"/>
          <w:color w:val="auto"/>
          <w:szCs w:val="24"/>
        </w:rPr>
        <w:t xml:space="preserve">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F367FA" w:rsidRDefault="00C56FC8" w:rsidP="00431A9B">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CD28E1">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 xml:space="preserve">As discussed above, PEB reliance on </w:t>
      </w:r>
      <w:proofErr w:type="spellStart"/>
      <w:r w:rsidR="00664296" w:rsidRPr="00664296">
        <w:rPr>
          <w:rFonts w:asciiTheme="minorHAnsi" w:eastAsiaTheme="minorHAnsi" w:hAnsiTheme="minorHAnsi"/>
          <w:color w:val="auto"/>
          <w:szCs w:val="24"/>
        </w:rPr>
        <w:t>DoDI</w:t>
      </w:r>
      <w:proofErr w:type="spellEnd"/>
      <w:r w:rsidR="00664296" w:rsidRPr="00664296">
        <w:rPr>
          <w:rFonts w:asciiTheme="minorHAnsi" w:eastAsiaTheme="minorHAnsi" w:hAnsiTheme="minorHAnsi"/>
          <w:color w:val="auto"/>
          <w:szCs w:val="24"/>
        </w:rPr>
        <w:t xml:space="preserve"> 1332.39 for rating </w:t>
      </w:r>
      <w:r w:rsidR="00CD28E1">
        <w:rPr>
          <w:rFonts w:asciiTheme="minorHAnsi" w:eastAsiaTheme="minorHAnsi" w:hAnsiTheme="minorHAnsi"/>
          <w:color w:val="auto"/>
          <w:szCs w:val="24"/>
        </w:rPr>
        <w:t xml:space="preserve">the PTSD condition </w:t>
      </w:r>
      <w:r w:rsidR="00664296" w:rsidRPr="00664296">
        <w:rPr>
          <w:rFonts w:asciiTheme="minorHAnsi" w:eastAsiaTheme="minorHAnsi" w:hAnsiTheme="minorHAnsi"/>
          <w:color w:val="auto"/>
          <w:szCs w:val="24"/>
        </w:rPr>
        <w:t xml:space="preserve">was operant in this case and the condition was adjudicated independently of that instruction by the Board. </w:t>
      </w:r>
      <w:r w:rsidR="00CD28E1">
        <w:rPr>
          <w:rFonts w:asciiTheme="minorHAnsi" w:eastAsiaTheme="minorHAnsi" w:hAnsiTheme="minorHAnsi"/>
          <w:color w:val="auto"/>
          <w:szCs w:val="24"/>
        </w:rPr>
        <w:t xml:space="preserve"> </w:t>
      </w:r>
      <w:r w:rsidR="00CD28E1" w:rsidRPr="00664296">
        <w:rPr>
          <w:rFonts w:asciiTheme="minorHAnsi" w:hAnsiTheme="minorHAnsi"/>
          <w:color w:val="auto"/>
          <w:szCs w:val="24"/>
        </w:rPr>
        <w:t xml:space="preserve">In the matter of the </w:t>
      </w:r>
      <w:r w:rsidR="00F066FE">
        <w:rPr>
          <w:color w:val="auto"/>
          <w:szCs w:val="24"/>
        </w:rPr>
        <w:t>p</w:t>
      </w:r>
      <w:r w:rsidR="00CD28E1" w:rsidRPr="00664296">
        <w:rPr>
          <w:color w:val="auto"/>
          <w:szCs w:val="24"/>
        </w:rPr>
        <w:t>ost-</w:t>
      </w:r>
      <w:r w:rsidR="00F066FE">
        <w:rPr>
          <w:color w:val="auto"/>
          <w:szCs w:val="24"/>
        </w:rPr>
        <w:t>traumatic stress d</w:t>
      </w:r>
      <w:r w:rsidR="00CD28E1" w:rsidRPr="00664296">
        <w:rPr>
          <w:color w:val="auto"/>
          <w:szCs w:val="24"/>
        </w:rPr>
        <w:t>isorder</w:t>
      </w:r>
      <w:r w:rsidR="00CD28E1" w:rsidRPr="00664296">
        <w:rPr>
          <w:rFonts w:asciiTheme="minorHAnsi" w:hAnsiTheme="minorHAnsi"/>
          <w:color w:val="auto"/>
          <w:szCs w:val="24"/>
        </w:rPr>
        <w:t xml:space="preserve"> condition, the </w:t>
      </w:r>
      <w:r w:rsidR="00CD28E1" w:rsidRPr="00D06F61">
        <w:rPr>
          <w:rFonts w:asciiTheme="minorHAnsi" w:hAnsiTheme="minorHAnsi"/>
          <w:color w:val="auto"/>
          <w:szCs w:val="24"/>
        </w:rPr>
        <w:t xml:space="preserve">Board </w:t>
      </w:r>
      <w:r w:rsidR="00CD28E1" w:rsidRPr="00D06F61">
        <w:rPr>
          <w:rFonts w:asciiTheme="minorHAnsi" w:eastAsiaTheme="minorHAnsi" w:hAnsiTheme="minorHAnsi"/>
          <w:color w:val="auto"/>
          <w:szCs w:val="24"/>
        </w:rPr>
        <w:t>unanimously</w:t>
      </w:r>
      <w:r w:rsidR="00CD28E1" w:rsidRPr="00D06F61">
        <w:rPr>
          <w:rFonts w:asciiTheme="minorHAnsi" w:hAnsiTheme="minorHAnsi"/>
          <w:color w:val="auto"/>
          <w:szCs w:val="24"/>
        </w:rPr>
        <w:t xml:space="preserve"> recommends an initial TDRL rating of 50% in retroactive</w:t>
      </w:r>
      <w:r w:rsidR="00CD28E1" w:rsidRPr="00664296">
        <w:rPr>
          <w:rFonts w:asciiTheme="minorHAnsi" w:hAnsiTheme="minorHAnsi"/>
          <w:color w:val="auto"/>
          <w:szCs w:val="24"/>
        </w:rPr>
        <w:t xml:space="preserve"> compliance with VASRD §4.129 as DOD directed; and a </w:t>
      </w:r>
      <w:r w:rsidR="00CD28E1" w:rsidRPr="00D06F61">
        <w:rPr>
          <w:rFonts w:asciiTheme="minorHAnsi" w:hAnsiTheme="minorHAnsi"/>
          <w:color w:val="auto"/>
          <w:szCs w:val="24"/>
        </w:rPr>
        <w:t>30%</w:t>
      </w:r>
      <w:r w:rsidR="00CD28E1" w:rsidRPr="00664296">
        <w:rPr>
          <w:rFonts w:asciiTheme="minorHAnsi" w:hAnsiTheme="minorHAnsi"/>
          <w:color w:val="auto"/>
          <w:szCs w:val="24"/>
        </w:rPr>
        <w:t xml:space="preserve"> permanent rating at </w:t>
      </w:r>
      <w:r w:rsidR="00CD28E1">
        <w:rPr>
          <w:rFonts w:asciiTheme="minorHAnsi" w:hAnsiTheme="minorHAnsi"/>
          <w:color w:val="auto"/>
          <w:szCs w:val="24"/>
        </w:rPr>
        <w:t xml:space="preserve">the time of permanent separation </w:t>
      </w:r>
      <w:r w:rsidR="00CD28E1" w:rsidRPr="00664296">
        <w:rPr>
          <w:rFonts w:asciiTheme="minorHAnsi" w:hAnsiTheme="minorHAnsi"/>
          <w:color w:val="auto"/>
          <w:szCs w:val="24"/>
        </w:rPr>
        <w:t>IAW VASRD §4.130.</w:t>
      </w:r>
      <w:r w:rsidR="00CD28E1">
        <w:rPr>
          <w:rFonts w:asciiTheme="minorHAnsi" w:hAnsiTheme="minorHAnsi"/>
          <w:color w:val="auto"/>
          <w:szCs w:val="24"/>
        </w:rPr>
        <w:t xml:space="preserve">  </w:t>
      </w:r>
      <w:r w:rsidR="00F367FA" w:rsidRPr="00664296">
        <w:rPr>
          <w:rFonts w:asciiTheme="minorHAnsi" w:hAnsiTheme="minorHAnsi"/>
          <w:color w:val="auto"/>
          <w:szCs w:val="24"/>
        </w:rPr>
        <w:t xml:space="preserve">In the matter of the </w:t>
      </w:r>
      <w:r w:rsidR="00B32BDB">
        <w:rPr>
          <w:rFonts w:asciiTheme="minorHAnsi" w:hAnsiTheme="minorHAnsi"/>
          <w:color w:val="auto"/>
          <w:szCs w:val="24"/>
        </w:rPr>
        <w:t xml:space="preserve">low back pain, </w:t>
      </w:r>
      <w:r w:rsidR="00F367FA" w:rsidRPr="007E7CC7">
        <w:rPr>
          <w:rFonts w:asciiTheme="minorHAnsi" w:eastAsia="HiddenHorzOCR" w:hAnsiTheme="minorHAnsi"/>
          <w:color w:val="auto"/>
          <w:szCs w:val="24"/>
        </w:rPr>
        <w:t>right wrist pain, and righ</w:t>
      </w:r>
      <w:r w:rsidR="00F367FA">
        <w:rPr>
          <w:rFonts w:asciiTheme="minorHAnsi" w:eastAsia="HiddenHorzOCR" w:hAnsiTheme="minorHAnsi"/>
          <w:color w:val="auto"/>
          <w:szCs w:val="24"/>
        </w:rPr>
        <w:t>t wrist numbness and tingling</w:t>
      </w:r>
      <w:r w:rsidR="00F367FA" w:rsidRPr="00664296">
        <w:rPr>
          <w:rFonts w:asciiTheme="minorHAnsi" w:hAnsiTheme="minorHAnsi"/>
          <w:color w:val="auto"/>
          <w:szCs w:val="24"/>
        </w:rPr>
        <w:t xml:space="preserve"> condition</w:t>
      </w:r>
      <w:r w:rsidR="004E22C2">
        <w:rPr>
          <w:rFonts w:asciiTheme="minorHAnsi" w:hAnsiTheme="minorHAnsi"/>
          <w:color w:val="auto"/>
          <w:szCs w:val="24"/>
        </w:rPr>
        <w:t>s</w:t>
      </w:r>
      <w:r w:rsidR="00F367FA" w:rsidRPr="00664296">
        <w:rPr>
          <w:rFonts w:asciiTheme="minorHAnsi" w:hAnsiTheme="minorHAnsi"/>
          <w:color w:val="auto"/>
          <w:szCs w:val="24"/>
        </w:rPr>
        <w:t xml:space="preserve">, the Board </w:t>
      </w:r>
      <w:r w:rsidR="00F367FA" w:rsidRPr="00664296">
        <w:rPr>
          <w:rFonts w:asciiTheme="minorHAnsi" w:hAnsiTheme="minorHAnsi"/>
          <w:color w:val="auto"/>
          <w:szCs w:val="24"/>
        </w:rPr>
        <w:lastRenderedPageBreak/>
        <w:t xml:space="preserve">unanimously recommends no change from the PEB adjudications as not </w:t>
      </w:r>
      <w:r w:rsidR="00F367FA" w:rsidRPr="00F41D1F">
        <w:rPr>
          <w:rFonts w:asciiTheme="minorHAnsi" w:hAnsiTheme="minorHAnsi"/>
          <w:color w:val="auto"/>
          <w:szCs w:val="24"/>
        </w:rPr>
        <w:t xml:space="preserve">unfitting.  </w:t>
      </w:r>
      <w:r w:rsidR="00B32BDB" w:rsidRPr="00F41D1F">
        <w:rPr>
          <w:rFonts w:asciiTheme="minorHAnsi" w:hAnsiTheme="minorHAnsi"/>
          <w:color w:val="auto"/>
          <w:szCs w:val="24"/>
        </w:rPr>
        <w:t xml:space="preserve">In the matter of the </w:t>
      </w:r>
      <w:r w:rsidR="00B32BDB" w:rsidRPr="00F41D1F">
        <w:rPr>
          <w:rFonts w:asciiTheme="minorHAnsi" w:eastAsia="HiddenHorzOCR" w:hAnsiTheme="minorHAnsi"/>
          <w:color w:val="auto"/>
          <w:szCs w:val="24"/>
        </w:rPr>
        <w:t xml:space="preserve">blast injury to the right hand (thumb), </w:t>
      </w:r>
      <w:r w:rsidR="00B32BDB" w:rsidRPr="00F41D1F">
        <w:rPr>
          <w:rFonts w:asciiTheme="minorHAnsi" w:hAnsiTheme="minorHAnsi"/>
          <w:color w:val="auto"/>
          <w:szCs w:val="24"/>
        </w:rPr>
        <w:t xml:space="preserve">the Board </w:t>
      </w:r>
      <w:r w:rsidR="00511497" w:rsidRPr="00F41D1F">
        <w:rPr>
          <w:rFonts w:asciiTheme="minorHAnsi" w:hAnsiTheme="minorHAnsi"/>
          <w:color w:val="auto"/>
          <w:szCs w:val="24"/>
        </w:rPr>
        <w:t xml:space="preserve">by a vote of 2:1 </w:t>
      </w:r>
      <w:r w:rsidR="00B32BDB" w:rsidRPr="00F41D1F">
        <w:rPr>
          <w:rFonts w:asciiTheme="minorHAnsi" w:hAnsiTheme="minorHAnsi"/>
          <w:color w:val="auto"/>
          <w:szCs w:val="24"/>
        </w:rPr>
        <w:t>recommends that it be added as an additionally unfitting condition for separation rating; coded 5228-5003 and rated 10% IAW VASRD §4.71a.</w:t>
      </w:r>
      <w:r w:rsidR="00511497" w:rsidRPr="00F41D1F">
        <w:rPr>
          <w:rFonts w:asciiTheme="minorHAnsi" w:hAnsiTheme="minorHAnsi"/>
          <w:color w:val="auto"/>
          <w:szCs w:val="24"/>
        </w:rPr>
        <w:t xml:space="preserve"> </w:t>
      </w:r>
      <w:r w:rsidR="00B32BDB" w:rsidRPr="00F41D1F">
        <w:rPr>
          <w:rFonts w:asciiTheme="minorHAnsi" w:hAnsiTheme="minorHAnsi"/>
          <w:color w:val="auto"/>
          <w:szCs w:val="24"/>
        </w:rPr>
        <w:t xml:space="preserve"> </w:t>
      </w:r>
      <w:r w:rsidR="00511497" w:rsidRPr="00F41D1F">
        <w:rPr>
          <w:rFonts w:asciiTheme="minorHAnsi" w:hAnsiTheme="minorHAnsi"/>
          <w:color w:val="auto"/>
          <w:szCs w:val="24"/>
        </w:rPr>
        <w:t xml:space="preserve">The single voter for dissent (who supported no </w:t>
      </w:r>
      <w:proofErr w:type="spellStart"/>
      <w:r w:rsidR="00511497" w:rsidRPr="00F41D1F">
        <w:rPr>
          <w:rFonts w:asciiTheme="minorHAnsi" w:hAnsiTheme="minorHAnsi"/>
          <w:color w:val="auto"/>
          <w:szCs w:val="24"/>
        </w:rPr>
        <w:t>recharacterization</w:t>
      </w:r>
      <w:proofErr w:type="spellEnd"/>
      <w:r w:rsidR="00511497" w:rsidRPr="00F41D1F">
        <w:rPr>
          <w:rFonts w:asciiTheme="minorHAnsi" w:hAnsiTheme="minorHAnsi"/>
          <w:color w:val="auto"/>
          <w:szCs w:val="24"/>
        </w:rPr>
        <w:t xml:space="preserve"> of the PEB fitness adjudication) did not elect to submit a minority opinion.  </w:t>
      </w:r>
      <w:r w:rsidR="00B32BDB" w:rsidRPr="00F41D1F">
        <w:rPr>
          <w:rFonts w:asciiTheme="minorHAnsi" w:eastAsia="HiddenHorzOCR" w:hAnsiTheme="minorHAnsi"/>
          <w:color w:val="auto"/>
          <w:szCs w:val="24"/>
        </w:rPr>
        <w:t xml:space="preserve">In the </w:t>
      </w:r>
      <w:r w:rsidR="00F367FA" w:rsidRPr="00F41D1F">
        <w:rPr>
          <w:rFonts w:asciiTheme="minorHAnsi" w:hAnsiTheme="minorHAnsi"/>
          <w:color w:val="auto"/>
          <w:szCs w:val="24"/>
        </w:rPr>
        <w:t xml:space="preserve">matter of the sinusitis, knee pain, and GERD </w:t>
      </w:r>
      <w:r w:rsidR="00F367FA" w:rsidRPr="00F41D1F">
        <w:rPr>
          <w:rFonts w:asciiTheme="minorHAnsi" w:eastAsiaTheme="minorHAnsi" w:hAnsiTheme="minorHAnsi"/>
          <w:color w:val="auto"/>
          <w:szCs w:val="24"/>
        </w:rPr>
        <w:t>conditions</w:t>
      </w:r>
      <w:r w:rsidR="00E0285D" w:rsidRPr="00F41D1F">
        <w:rPr>
          <w:rFonts w:asciiTheme="minorHAnsi" w:eastAsiaTheme="minorHAnsi" w:hAnsiTheme="minorHAnsi"/>
          <w:color w:val="auto"/>
          <w:szCs w:val="24"/>
        </w:rPr>
        <w:t>,</w:t>
      </w:r>
      <w:r w:rsidR="00F367FA" w:rsidRPr="00F41D1F">
        <w:rPr>
          <w:rFonts w:asciiTheme="minorHAnsi" w:hAnsiTheme="minorHAnsi"/>
          <w:color w:val="auto"/>
          <w:szCs w:val="24"/>
        </w:rPr>
        <w:t xml:space="preserve"> or any other medical conditions eligible</w:t>
      </w:r>
      <w:r w:rsidR="00F367FA" w:rsidRPr="00664296">
        <w:rPr>
          <w:rFonts w:asciiTheme="minorHAnsi" w:hAnsiTheme="minorHAnsi"/>
          <w:color w:val="auto"/>
          <w:szCs w:val="24"/>
        </w:rPr>
        <w:t xml:space="preserve"> for Board </w:t>
      </w:r>
      <w:r w:rsidR="00F367FA" w:rsidRPr="00B32BDB">
        <w:rPr>
          <w:rFonts w:asciiTheme="minorHAnsi" w:hAnsiTheme="minorHAnsi"/>
          <w:color w:val="auto"/>
          <w:szCs w:val="24"/>
        </w:rPr>
        <w:t>consideration; the Board unanimously agrees</w:t>
      </w:r>
      <w:r w:rsidR="00F367FA" w:rsidRPr="00664296">
        <w:rPr>
          <w:rFonts w:asciiTheme="minorHAnsi" w:hAnsiTheme="minorHAnsi"/>
          <w:color w:val="auto"/>
          <w:szCs w:val="24"/>
        </w:rPr>
        <w:t xml:space="preserve"> that it cannot</w:t>
      </w:r>
      <w:r w:rsidR="00F367FA" w:rsidRPr="00664296">
        <w:rPr>
          <w:rFonts w:asciiTheme="minorHAnsi" w:hAnsiTheme="minorHAnsi"/>
          <w:color w:val="000080"/>
          <w:szCs w:val="24"/>
        </w:rPr>
        <w:t xml:space="preserve"> </w:t>
      </w:r>
      <w:r w:rsidR="00F367FA" w:rsidRPr="00664296">
        <w:rPr>
          <w:rFonts w:asciiTheme="minorHAnsi" w:hAnsiTheme="minorHAnsi"/>
          <w:color w:val="auto"/>
          <w:szCs w:val="24"/>
        </w:rPr>
        <w:t>recommend any findings of unfit for additional rating at separation.</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2277EA" w:rsidRPr="002277EA" w:rsidRDefault="00C56FC8" w:rsidP="002277EA">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2277EA">
        <w:rPr>
          <w:rFonts w:asciiTheme="minorHAnsi" w:hAnsiTheme="minorHAnsi"/>
          <w:color w:val="auto"/>
        </w:rPr>
        <w:t xml:space="preserve"> </w:t>
      </w:r>
      <w:r w:rsidR="002277EA" w:rsidRPr="002277EA">
        <w:rPr>
          <w:rFonts w:asciiTheme="minorHAnsi" w:eastAsiaTheme="minorHAnsi" w:hAnsiTheme="minorHAnsi" w:cstheme="minorBidi"/>
          <w:color w:val="auto"/>
          <w:szCs w:val="24"/>
        </w:rPr>
        <w:t>The Board recommends that the CI’s prior determina</w:t>
      </w:r>
      <w:r w:rsidR="003C1B57">
        <w:rPr>
          <w:rFonts w:asciiTheme="minorHAnsi" w:eastAsiaTheme="minorHAnsi" w:hAnsiTheme="minorHAnsi" w:cstheme="minorBidi"/>
          <w:color w:val="auto"/>
          <w:szCs w:val="24"/>
        </w:rPr>
        <w:t xml:space="preserve">tion be modified as follows: </w:t>
      </w:r>
      <w:r w:rsidR="00C70DAB">
        <w:rPr>
          <w:rFonts w:asciiTheme="minorHAnsi" w:eastAsiaTheme="minorHAnsi" w:hAnsiTheme="minorHAnsi" w:cstheme="minorBidi"/>
          <w:color w:val="auto"/>
          <w:szCs w:val="24"/>
        </w:rPr>
        <w:t xml:space="preserve"> </w:t>
      </w:r>
      <w:r w:rsidR="003C1B57">
        <w:rPr>
          <w:rFonts w:asciiTheme="minorHAnsi" w:eastAsiaTheme="minorHAnsi" w:hAnsiTheme="minorHAnsi" w:cstheme="minorBidi"/>
          <w:color w:val="auto"/>
          <w:szCs w:val="24"/>
        </w:rPr>
        <w:t>A 6</w:t>
      </w:r>
      <w:r w:rsidR="002277EA" w:rsidRPr="002277EA">
        <w:rPr>
          <w:rFonts w:asciiTheme="minorHAnsi" w:eastAsiaTheme="minorHAnsi" w:hAnsiTheme="minorHAnsi" w:cstheme="minorBidi"/>
          <w:color w:val="auto"/>
          <w:szCs w:val="24"/>
        </w:rPr>
        <w:t xml:space="preserve">0% rating for the period of TDRL directed by the Service (IAW §4.129 and </w:t>
      </w:r>
      <w:proofErr w:type="spellStart"/>
      <w:proofErr w:type="gramStart"/>
      <w:r w:rsidR="002277EA" w:rsidRPr="002277EA">
        <w:rPr>
          <w:rFonts w:asciiTheme="minorHAnsi" w:eastAsiaTheme="minorHAnsi" w:hAnsiTheme="minorHAnsi" w:cstheme="minorBidi"/>
          <w:color w:val="auto"/>
          <w:szCs w:val="24"/>
        </w:rPr>
        <w:t>DoD</w:t>
      </w:r>
      <w:proofErr w:type="spellEnd"/>
      <w:proofErr w:type="gramEnd"/>
      <w:r w:rsidR="002277EA" w:rsidRPr="002277EA">
        <w:rPr>
          <w:rFonts w:asciiTheme="minorHAnsi" w:eastAsiaTheme="minorHAnsi" w:hAnsiTheme="minorHAnsi" w:cstheme="minorBidi"/>
          <w:color w:val="auto"/>
          <w:szCs w:val="24"/>
        </w:rPr>
        <w:t xml:space="preserve"> direc</w:t>
      </w:r>
      <w:r w:rsidR="003C1B57">
        <w:rPr>
          <w:rFonts w:asciiTheme="minorHAnsi" w:eastAsiaTheme="minorHAnsi" w:hAnsiTheme="minorHAnsi" w:cstheme="minorBidi"/>
          <w:color w:val="auto"/>
          <w:szCs w:val="24"/>
        </w:rPr>
        <w:t>tion), followed by a permanent 4</w:t>
      </w:r>
      <w:r w:rsidR="002277EA" w:rsidRPr="002277EA">
        <w:rPr>
          <w:rFonts w:asciiTheme="minorHAnsi" w:eastAsiaTheme="minorHAnsi" w:hAnsiTheme="minorHAnsi" w:cstheme="minorBidi"/>
          <w:color w:val="auto"/>
          <w:szCs w:val="24"/>
        </w:rPr>
        <w:t>0% disability retirement as below.</w:t>
      </w:r>
    </w:p>
    <w:p w:rsidR="00DF071B" w:rsidRPr="00B427BB" w:rsidRDefault="00DF071B" w:rsidP="00431A9B">
      <w:pPr>
        <w:spacing w:line="240" w:lineRule="exact"/>
        <w:jc w:val="both"/>
        <w:rPr>
          <w:rFonts w:asciiTheme="minorHAnsi" w:hAnsiTheme="minorHAnsi"/>
          <w:color w:val="auto"/>
          <w:szCs w:val="24"/>
        </w:rPr>
      </w:pPr>
    </w:p>
    <w:p w:rsidR="00DB0015" w:rsidRPr="00AF01B2" w:rsidRDefault="00DB0015"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0"/>
        <w:gridCol w:w="1530"/>
        <w:gridCol w:w="1080"/>
        <w:gridCol w:w="1530"/>
      </w:tblGrid>
      <w:tr w:rsidR="00DB0015" w:rsidRPr="00AF01B2" w:rsidTr="008769E5">
        <w:trPr>
          <w:jc w:val="center"/>
        </w:trPr>
        <w:tc>
          <w:tcPr>
            <w:tcW w:w="522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53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TDRL RATING</w:t>
            </w:r>
          </w:p>
        </w:tc>
        <w:tc>
          <w:tcPr>
            <w:tcW w:w="1530" w:type="dxa"/>
            <w:shd w:val="pct15" w:color="auto" w:fill="auto"/>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PERMANENT</w:t>
            </w:r>
          </w:p>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DB0015" w:rsidRPr="00AF01B2" w:rsidTr="008769E5">
        <w:trPr>
          <w:trHeight w:val="188"/>
          <w:jc w:val="center"/>
        </w:trPr>
        <w:tc>
          <w:tcPr>
            <w:tcW w:w="5220" w:type="dxa"/>
            <w:vAlign w:val="center"/>
          </w:tcPr>
          <w:p w:rsidR="00DB0015" w:rsidRPr="00AF01B2" w:rsidRDefault="00DB0015" w:rsidP="00E80386">
            <w:pPr>
              <w:tabs>
                <w:tab w:val="left" w:pos="288"/>
                <w:tab w:val="left" w:pos="3538"/>
              </w:tabs>
              <w:spacing w:line="240" w:lineRule="exact"/>
              <w:rPr>
                <w:rFonts w:asciiTheme="minorHAnsi" w:hAnsiTheme="minorHAnsi"/>
                <w:color w:val="auto"/>
                <w:szCs w:val="24"/>
              </w:rPr>
            </w:pPr>
            <w:r w:rsidRPr="00AF01B2">
              <w:rPr>
                <w:rFonts w:asciiTheme="minorHAnsi" w:hAnsiTheme="minorHAnsi"/>
                <w:color w:val="auto"/>
                <w:szCs w:val="24"/>
              </w:rPr>
              <w:t>Post</w:t>
            </w:r>
            <w:r w:rsidR="001768D3">
              <w:rPr>
                <w:rFonts w:asciiTheme="minorHAnsi" w:hAnsiTheme="minorHAnsi"/>
                <w:color w:val="auto"/>
                <w:szCs w:val="24"/>
              </w:rPr>
              <w:t>-T</w:t>
            </w:r>
            <w:r w:rsidRPr="00AF01B2">
              <w:rPr>
                <w:rFonts w:asciiTheme="minorHAnsi" w:hAnsiTheme="minorHAnsi"/>
                <w:color w:val="auto"/>
                <w:szCs w:val="24"/>
              </w:rPr>
              <w:t>raumatic Stress Disorder</w:t>
            </w:r>
          </w:p>
        </w:tc>
        <w:tc>
          <w:tcPr>
            <w:tcW w:w="1530" w:type="dxa"/>
            <w:tcBorders>
              <w:bottom w:val="single" w:sz="4" w:space="0" w:color="000000"/>
            </w:tcBorders>
            <w:vAlign w:val="center"/>
          </w:tcPr>
          <w:p w:rsidR="00DB0015" w:rsidRPr="00AF01B2" w:rsidRDefault="00DB0015" w:rsidP="00EF6C4A">
            <w:pPr>
              <w:tabs>
                <w:tab w:val="left" w:pos="288"/>
                <w:tab w:val="left" w:pos="4752"/>
              </w:tabs>
              <w:spacing w:line="240" w:lineRule="exact"/>
              <w:jc w:val="center"/>
              <w:rPr>
                <w:rFonts w:asciiTheme="minorHAnsi" w:hAnsiTheme="minorHAnsi"/>
                <w:color w:val="auto"/>
                <w:szCs w:val="24"/>
              </w:rPr>
            </w:pPr>
            <w:r w:rsidRPr="00AF01B2">
              <w:rPr>
                <w:rFonts w:asciiTheme="minorHAnsi" w:hAnsiTheme="minorHAnsi"/>
                <w:color w:val="auto"/>
                <w:szCs w:val="24"/>
              </w:rPr>
              <w:t>9411</w:t>
            </w:r>
          </w:p>
        </w:tc>
        <w:tc>
          <w:tcPr>
            <w:tcW w:w="1080" w:type="dxa"/>
            <w:tcBorders>
              <w:bottom w:val="single" w:sz="4" w:space="0" w:color="000000"/>
            </w:tcBorders>
            <w:vAlign w:val="center"/>
          </w:tcPr>
          <w:p w:rsidR="00DB0015" w:rsidRPr="00A26DC5" w:rsidRDefault="00DB0015" w:rsidP="00EF6C4A">
            <w:pPr>
              <w:tabs>
                <w:tab w:val="left" w:pos="288"/>
                <w:tab w:val="left" w:pos="4752"/>
              </w:tabs>
              <w:spacing w:line="240" w:lineRule="exact"/>
              <w:jc w:val="center"/>
              <w:rPr>
                <w:rFonts w:asciiTheme="minorHAnsi" w:hAnsiTheme="minorHAnsi"/>
                <w:color w:val="auto"/>
                <w:szCs w:val="24"/>
              </w:rPr>
            </w:pPr>
            <w:r w:rsidRPr="00A26DC5">
              <w:rPr>
                <w:rFonts w:asciiTheme="minorHAnsi" w:hAnsiTheme="minorHAnsi"/>
                <w:color w:val="auto"/>
                <w:szCs w:val="24"/>
              </w:rPr>
              <w:t>50%</w:t>
            </w:r>
          </w:p>
        </w:tc>
        <w:tc>
          <w:tcPr>
            <w:tcW w:w="1530" w:type="dxa"/>
            <w:tcBorders>
              <w:bottom w:val="single" w:sz="4" w:space="0" w:color="000000"/>
            </w:tcBorders>
            <w:vAlign w:val="center"/>
          </w:tcPr>
          <w:p w:rsidR="00DB0015" w:rsidRPr="00A26DC5" w:rsidRDefault="00F367FA" w:rsidP="00EF6C4A">
            <w:pPr>
              <w:tabs>
                <w:tab w:val="left" w:pos="288"/>
                <w:tab w:val="left" w:pos="4752"/>
              </w:tabs>
              <w:spacing w:line="240" w:lineRule="exact"/>
              <w:jc w:val="center"/>
              <w:rPr>
                <w:rFonts w:asciiTheme="minorHAnsi" w:hAnsiTheme="minorHAnsi"/>
                <w:color w:val="auto"/>
                <w:szCs w:val="24"/>
              </w:rPr>
            </w:pPr>
            <w:r w:rsidRPr="00A26DC5">
              <w:rPr>
                <w:rFonts w:asciiTheme="minorHAnsi" w:hAnsiTheme="minorHAnsi"/>
                <w:color w:val="auto"/>
                <w:szCs w:val="24"/>
              </w:rPr>
              <w:t>3</w:t>
            </w:r>
            <w:r w:rsidR="00DB0015" w:rsidRPr="00A26DC5">
              <w:rPr>
                <w:rFonts w:asciiTheme="minorHAnsi" w:hAnsiTheme="minorHAnsi"/>
                <w:color w:val="auto"/>
                <w:szCs w:val="24"/>
              </w:rPr>
              <w:t>0%</w:t>
            </w:r>
          </w:p>
        </w:tc>
      </w:tr>
      <w:tr w:rsidR="003C1B57" w:rsidRPr="00AF01B2" w:rsidTr="008769E5">
        <w:trPr>
          <w:trHeight w:val="188"/>
          <w:jc w:val="center"/>
        </w:trPr>
        <w:tc>
          <w:tcPr>
            <w:tcW w:w="5220" w:type="dxa"/>
            <w:vAlign w:val="center"/>
          </w:tcPr>
          <w:p w:rsidR="003C1B57" w:rsidRPr="00AF01B2" w:rsidRDefault="00F41D1F" w:rsidP="00F41D1F">
            <w:pPr>
              <w:tabs>
                <w:tab w:val="left" w:pos="288"/>
                <w:tab w:val="left" w:pos="3538"/>
              </w:tabs>
              <w:spacing w:line="240" w:lineRule="exact"/>
              <w:rPr>
                <w:rFonts w:asciiTheme="minorHAnsi" w:hAnsiTheme="minorHAnsi"/>
                <w:color w:val="auto"/>
                <w:szCs w:val="24"/>
              </w:rPr>
            </w:pPr>
            <w:r>
              <w:rPr>
                <w:rFonts w:asciiTheme="minorHAnsi" w:hAnsiTheme="minorHAnsi"/>
                <w:color w:val="auto"/>
                <w:szCs w:val="24"/>
              </w:rPr>
              <w:t xml:space="preserve">Residuals, Blast Injury to </w:t>
            </w:r>
            <w:r w:rsidR="003C1B57">
              <w:rPr>
                <w:rFonts w:asciiTheme="minorHAnsi" w:hAnsiTheme="minorHAnsi"/>
                <w:color w:val="auto"/>
                <w:szCs w:val="24"/>
              </w:rPr>
              <w:t xml:space="preserve">Right Hand/Thumb </w:t>
            </w:r>
          </w:p>
        </w:tc>
        <w:tc>
          <w:tcPr>
            <w:tcW w:w="1530" w:type="dxa"/>
            <w:tcBorders>
              <w:bottom w:val="single" w:sz="4" w:space="0" w:color="000000"/>
            </w:tcBorders>
            <w:vAlign w:val="center"/>
          </w:tcPr>
          <w:p w:rsidR="003C1B57" w:rsidRPr="00AF01B2" w:rsidRDefault="003C1B57"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5228-5003</w:t>
            </w:r>
          </w:p>
        </w:tc>
        <w:tc>
          <w:tcPr>
            <w:tcW w:w="1080" w:type="dxa"/>
            <w:tcBorders>
              <w:bottom w:val="single" w:sz="4" w:space="0" w:color="000000"/>
            </w:tcBorders>
            <w:vAlign w:val="center"/>
          </w:tcPr>
          <w:p w:rsidR="003C1B57" w:rsidRPr="00A26DC5" w:rsidRDefault="003C1B57"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c>
          <w:tcPr>
            <w:tcW w:w="1530" w:type="dxa"/>
            <w:tcBorders>
              <w:bottom w:val="single" w:sz="4" w:space="0" w:color="000000"/>
            </w:tcBorders>
            <w:vAlign w:val="center"/>
          </w:tcPr>
          <w:p w:rsidR="003C1B57" w:rsidRPr="00A26DC5" w:rsidRDefault="003C1B57"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DB0015" w:rsidRPr="00AF01B2" w:rsidTr="008769E5">
        <w:tblPrEx>
          <w:tblLook w:val="0000"/>
        </w:tblPrEx>
        <w:trPr>
          <w:gridBefore w:val="1"/>
          <w:wBefore w:w="5220" w:type="dxa"/>
          <w:trHeight w:val="188"/>
          <w:jc w:val="center"/>
        </w:trPr>
        <w:tc>
          <w:tcPr>
            <w:tcW w:w="1530" w:type="dxa"/>
            <w:tcBorders>
              <w:left w:val="single" w:sz="4" w:space="0" w:color="auto"/>
            </w:tcBorders>
            <w:shd w:val="pct15" w:color="auto" w:fill="auto"/>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080" w:type="dxa"/>
            <w:tcBorders>
              <w:left w:val="single" w:sz="4" w:space="0" w:color="auto"/>
            </w:tcBorders>
            <w:shd w:val="pct15" w:color="auto" w:fill="auto"/>
            <w:vAlign w:val="center"/>
          </w:tcPr>
          <w:p w:rsidR="00DB0015" w:rsidRPr="00A26DC5" w:rsidRDefault="003C1B57" w:rsidP="00EF6C4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6</w:t>
            </w:r>
            <w:r w:rsidR="007E71B1" w:rsidRPr="00A26DC5">
              <w:rPr>
                <w:rFonts w:asciiTheme="minorHAnsi" w:hAnsiTheme="minorHAnsi"/>
                <w:b/>
                <w:color w:val="auto"/>
                <w:szCs w:val="24"/>
              </w:rPr>
              <w:t>0</w:t>
            </w:r>
            <w:r w:rsidR="00DB0015" w:rsidRPr="00A26DC5">
              <w:rPr>
                <w:rFonts w:asciiTheme="minorHAnsi" w:hAnsiTheme="minorHAnsi"/>
                <w:b/>
                <w:color w:val="auto"/>
                <w:szCs w:val="24"/>
              </w:rPr>
              <w:t>%</w:t>
            </w:r>
          </w:p>
        </w:tc>
        <w:tc>
          <w:tcPr>
            <w:tcW w:w="1530" w:type="dxa"/>
            <w:shd w:val="pct15" w:color="auto" w:fill="auto"/>
            <w:vAlign w:val="center"/>
          </w:tcPr>
          <w:p w:rsidR="00DB0015" w:rsidRPr="00A26DC5" w:rsidRDefault="003C1B57" w:rsidP="00EF6C4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4</w:t>
            </w:r>
            <w:r w:rsidR="007E71B1" w:rsidRPr="00A26DC5">
              <w:rPr>
                <w:rFonts w:asciiTheme="minorHAnsi" w:hAnsiTheme="minorHAnsi"/>
                <w:b/>
                <w:color w:val="auto"/>
                <w:szCs w:val="24"/>
              </w:rPr>
              <w:t>0</w:t>
            </w:r>
            <w:r w:rsidR="00DB0015" w:rsidRPr="00A26DC5">
              <w:rPr>
                <w:rFonts w:asciiTheme="minorHAnsi" w:hAnsiTheme="minorHAnsi"/>
                <w:b/>
                <w:color w:val="auto"/>
                <w:szCs w:val="24"/>
              </w:rPr>
              <w:t>%</w:t>
            </w:r>
          </w:p>
        </w:tc>
      </w:tr>
    </w:tbl>
    <w:p w:rsidR="009732B8" w:rsidRPr="00B427BB" w:rsidRDefault="009732B8" w:rsidP="00510F9C">
      <w:pPr>
        <w:spacing w:line="240" w:lineRule="exact"/>
        <w:jc w:val="both"/>
        <w:rPr>
          <w:rFonts w:asciiTheme="minorHAnsi" w:hAnsiTheme="minorHAnsi"/>
          <w:color w:val="auto"/>
          <w:szCs w:val="24"/>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8F0907">
        <w:rPr>
          <w:rFonts w:asciiTheme="minorHAnsi" w:hAnsiTheme="minorHAnsi"/>
          <w:color w:val="auto"/>
        </w:rPr>
        <w:t>1</w:t>
      </w:r>
      <w:r w:rsidR="007E59E3">
        <w:rPr>
          <w:rFonts w:asciiTheme="minorHAnsi" w:hAnsiTheme="minorHAnsi"/>
          <w:color w:val="auto"/>
        </w:rPr>
        <w:t>0</w:t>
      </w:r>
      <w:r w:rsidR="008F0907">
        <w:rPr>
          <w:rFonts w:asciiTheme="minorHAnsi" w:hAnsiTheme="minorHAnsi"/>
          <w:color w:val="auto"/>
        </w:rPr>
        <w:t>0319</w:t>
      </w:r>
      <w:r w:rsidR="00F066FE">
        <w:rPr>
          <w:rFonts w:asciiTheme="minorHAnsi" w:hAnsiTheme="minorHAnsi"/>
          <w:color w:val="auto"/>
        </w:rPr>
        <w:t>, w/</w:t>
      </w:r>
      <w:proofErr w:type="spellStart"/>
      <w:r w:rsidR="00F066FE">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F066FE">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F066FE">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BA6D5E">
        <w:rPr>
          <w:rFonts w:asciiTheme="minorHAnsi" w:hAnsiTheme="minorHAnsi"/>
          <w:color w:val="auto"/>
        </w:rPr>
        <w:t xml:space="preserve">President </w:t>
      </w:r>
    </w:p>
    <w:p w:rsidR="00956DD8" w:rsidRDefault="00FB1725" w:rsidP="001C327F">
      <w:pPr>
        <w:tabs>
          <w:tab w:val="left" w:pos="288"/>
          <w:tab w:val="left" w:pos="4320"/>
          <w:tab w:val="left" w:pos="4410"/>
          <w:tab w:val="left" w:pos="4752"/>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956DD8" w:rsidRDefault="00956DD8">
      <w:pPr>
        <w:rPr>
          <w:rFonts w:asciiTheme="minorHAnsi" w:hAnsiTheme="minorHAnsi"/>
          <w:color w:val="auto"/>
        </w:rPr>
      </w:pPr>
      <w:r>
        <w:rPr>
          <w:rFonts w:asciiTheme="minorHAnsi" w:hAnsiTheme="minorHAnsi"/>
          <w:color w:val="auto"/>
        </w:rPr>
        <w:br w:type="page"/>
      </w:r>
    </w:p>
    <w:p w:rsidR="00956DD8" w:rsidRPr="00FF16DA" w:rsidRDefault="00956DD8" w:rsidP="00956DD8">
      <w:pPr>
        <w:pStyle w:val="Header"/>
        <w:tabs>
          <w:tab w:val="clear" w:pos="4320"/>
          <w:tab w:val="clear" w:pos="8640"/>
        </w:tabs>
      </w:pPr>
      <w:r w:rsidRPr="00FF16DA">
        <w:lastRenderedPageBreak/>
        <w:t>SFMR-RB</w:t>
      </w:r>
      <w:r w:rsidRPr="00FF16DA">
        <w:tab/>
      </w:r>
      <w:r w:rsidRPr="00FF16DA">
        <w:tab/>
      </w:r>
      <w:r w:rsidRPr="00FF16DA">
        <w:tab/>
      </w:r>
      <w:r w:rsidRPr="00FF16DA">
        <w:tab/>
      </w:r>
      <w:r w:rsidRPr="00FF16DA">
        <w:tab/>
      </w:r>
      <w:r w:rsidRPr="00FF16DA">
        <w:tab/>
      </w:r>
      <w:r w:rsidRPr="00FF16DA">
        <w:tab/>
      </w:r>
      <w:r w:rsidRPr="00FF16DA">
        <w:tab/>
      </w:r>
      <w:r w:rsidRPr="00FF16DA">
        <w:tab/>
      </w:r>
    </w:p>
    <w:p w:rsidR="00956DD8" w:rsidRPr="00FF16DA" w:rsidRDefault="00956DD8" w:rsidP="00956DD8">
      <w:pPr>
        <w:pStyle w:val="Header"/>
        <w:tabs>
          <w:tab w:val="clear" w:pos="4320"/>
          <w:tab w:val="clear" w:pos="8640"/>
        </w:tabs>
      </w:pPr>
    </w:p>
    <w:p w:rsidR="00956DD8" w:rsidRPr="00FF16DA" w:rsidRDefault="00956DD8" w:rsidP="00956DD8"/>
    <w:p w:rsidR="00956DD8" w:rsidRPr="00FF16DA" w:rsidRDefault="00956DD8" w:rsidP="00956DD8">
      <w:r w:rsidRPr="00FF16DA">
        <w:t xml:space="preserve">MEMORANDUM FOR Commander, US Army Physical Disability Agency </w:t>
      </w:r>
    </w:p>
    <w:p w:rsidR="00956DD8" w:rsidRPr="00FF16DA" w:rsidRDefault="00956DD8" w:rsidP="00956DD8"/>
    <w:p w:rsidR="00956DD8" w:rsidRPr="00FF16DA" w:rsidRDefault="00956DD8" w:rsidP="00956DD8"/>
    <w:p w:rsidR="00956DD8" w:rsidRPr="00FF16DA" w:rsidRDefault="00956DD8" w:rsidP="00956DD8">
      <w:pPr>
        <w:ind w:right="-180"/>
      </w:pPr>
      <w:r w:rsidRPr="00FF16DA">
        <w:t xml:space="preserve">SUBJECT:  Department of Defense Physical Disability Board of Review Recommendation </w:t>
      </w:r>
    </w:p>
    <w:p w:rsidR="00956DD8" w:rsidRPr="00FF16DA" w:rsidRDefault="00956DD8" w:rsidP="00956DD8">
      <w:pPr>
        <w:pStyle w:val="Header"/>
        <w:tabs>
          <w:tab w:val="clear" w:pos="4320"/>
          <w:tab w:val="clear" w:pos="8640"/>
        </w:tabs>
      </w:pPr>
    </w:p>
    <w:p w:rsidR="00956DD8" w:rsidRPr="00FF16DA" w:rsidRDefault="00956DD8" w:rsidP="00956DD8"/>
    <w:p w:rsidR="00956DD8" w:rsidRPr="00FF16DA" w:rsidRDefault="00956DD8" w:rsidP="00956DD8">
      <w:r w:rsidRPr="00FF16DA">
        <w:t xml:space="preserve">1.  </w:t>
      </w:r>
      <w:r>
        <w:t>This memorandum amends my earlier decision</w:t>
      </w:r>
      <w:r w:rsidRPr="00FF16DA">
        <w:t xml:space="preserve"> pertaining to the individual named in the subject line above to constructively place the individual on the Temporary Disability Retired List (TDRL) at </w:t>
      </w:r>
      <w:r>
        <w:t>60</w:t>
      </w:r>
      <w:r w:rsidRPr="00FF16DA">
        <w:t xml:space="preserve">% disability for </w:t>
      </w:r>
      <w:r>
        <w:t xml:space="preserve">six months effective the date of the individuals original medical separation for disability with severance pay and then following this period </w:t>
      </w:r>
      <w:proofErr w:type="spellStart"/>
      <w:r w:rsidRPr="00FF16DA">
        <w:t>recharacterize</w:t>
      </w:r>
      <w:proofErr w:type="spellEnd"/>
      <w:r w:rsidRPr="00FF16DA">
        <w:t xml:space="preserve"> the individual’s separation as a </w:t>
      </w:r>
      <w:r>
        <w:t xml:space="preserve">permanent </w:t>
      </w:r>
      <w:r w:rsidRPr="00FF16DA">
        <w:t xml:space="preserve">disability retirement with the combined disability rating of </w:t>
      </w:r>
      <w:r>
        <w:t>40</w:t>
      </w:r>
      <w:r w:rsidRPr="00FF16DA">
        <w:t>%.</w:t>
      </w:r>
    </w:p>
    <w:p w:rsidR="00956DD8" w:rsidRPr="00FF16DA" w:rsidRDefault="00956DD8" w:rsidP="00956DD8"/>
    <w:p w:rsidR="00956DD8" w:rsidRDefault="00956DD8" w:rsidP="00956DD8">
      <w:r w:rsidRPr="00FF16DA">
        <w:t xml:space="preserve">2.  </w:t>
      </w:r>
      <w:proofErr w:type="gramStart"/>
      <w:r>
        <w:t>Given</w:t>
      </w:r>
      <w:proofErr w:type="gramEnd"/>
      <w:r>
        <w:t xml:space="preserve"> the individual concerned was on the TDRL in excess of the six month period ordered above, implementation of this decision may negatively impact his pay.  As a result, I direct the individual concerned be constructively placed on the TDRL for the period 16 February 2006 to 20 August 2007 at 60% disability and then following this period </w:t>
      </w:r>
      <w:proofErr w:type="spellStart"/>
      <w:r>
        <w:t>recharacterize</w:t>
      </w:r>
      <w:proofErr w:type="spellEnd"/>
      <w:r>
        <w:t xml:space="preserve"> his separation as a disability retirement with a combined disability rating of 40%.  All previous directives in this case remain unchanged.  </w:t>
      </w:r>
      <w:bookmarkStart w:id="0" w:name="OLE_LINK1"/>
      <w:bookmarkStart w:id="1" w:name="OLE_LINK2"/>
    </w:p>
    <w:p w:rsidR="00956DD8" w:rsidRDefault="00956DD8" w:rsidP="00956DD8"/>
    <w:p w:rsidR="00956DD8" w:rsidRPr="00FF16DA" w:rsidRDefault="00956DD8" w:rsidP="00956DD8">
      <w:r>
        <w:t>3</w:t>
      </w:r>
      <w:r w:rsidRPr="00FF16DA">
        <w:t>.  I request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956DD8" w:rsidRPr="00FF16DA" w:rsidRDefault="00956DD8" w:rsidP="00956DD8"/>
    <w:p w:rsidR="00956DD8" w:rsidRPr="00FF16DA" w:rsidRDefault="00956DD8" w:rsidP="00956DD8">
      <w:r w:rsidRPr="00FF16DA">
        <w:t>BY ORDER OF THE SECRETARY OF THE ARMY:</w:t>
      </w:r>
    </w:p>
    <w:p w:rsidR="00956DD8" w:rsidRPr="00FF16DA" w:rsidRDefault="00956DD8" w:rsidP="00956DD8"/>
    <w:p w:rsidR="00956DD8" w:rsidRPr="00FF16DA" w:rsidRDefault="00956DD8" w:rsidP="00956DD8"/>
    <w:p w:rsidR="00956DD8" w:rsidRPr="00FF16DA" w:rsidRDefault="00956DD8" w:rsidP="00956DD8">
      <w:pPr>
        <w:pStyle w:val="Header"/>
        <w:tabs>
          <w:tab w:val="clear" w:pos="4320"/>
          <w:tab w:val="clear" w:pos="8640"/>
        </w:tabs>
      </w:pPr>
    </w:p>
    <w:p w:rsidR="00956DD8" w:rsidRDefault="00956DD8" w:rsidP="00956DD8">
      <w:bookmarkStart w:id="2" w:name="OLE_LINK3"/>
      <w:bookmarkStart w:id="3" w:name="OLE_LINK4"/>
    </w:p>
    <w:p w:rsidR="00956DD8" w:rsidRPr="00FF16DA" w:rsidRDefault="00956DD8" w:rsidP="00956DD8">
      <w:r w:rsidRPr="00FF16DA">
        <w:t>Encl</w:t>
      </w:r>
      <w:r w:rsidRPr="00FF16DA">
        <w:tab/>
      </w:r>
      <w:r w:rsidRPr="00FF16DA">
        <w:tab/>
      </w:r>
      <w:r w:rsidRPr="00FF16DA">
        <w:tab/>
      </w:r>
      <w:r w:rsidRPr="00FF16DA">
        <w:tab/>
      </w:r>
      <w:r w:rsidRPr="00FF16DA">
        <w:tab/>
      </w:r>
      <w:r w:rsidRPr="00FF16DA">
        <w:tab/>
        <w:t xml:space="preserve">     </w:t>
      </w:r>
    </w:p>
    <w:p w:rsidR="00956DD8" w:rsidRPr="00FF16DA" w:rsidRDefault="00956DD8" w:rsidP="00956DD8">
      <w:r w:rsidRPr="00FF16DA">
        <w:tab/>
      </w:r>
      <w:r w:rsidRPr="00FF16DA">
        <w:tab/>
      </w:r>
      <w:r w:rsidRPr="00FF16DA">
        <w:tab/>
      </w:r>
      <w:r w:rsidRPr="00FF16DA">
        <w:tab/>
      </w:r>
      <w:r w:rsidRPr="00FF16DA">
        <w:tab/>
      </w:r>
      <w:r w:rsidRPr="00FF16DA">
        <w:tab/>
        <w:t xml:space="preserve">     Deputy Assistant Secretary</w:t>
      </w:r>
    </w:p>
    <w:p w:rsidR="00956DD8" w:rsidRPr="00FF16DA" w:rsidRDefault="00956DD8" w:rsidP="00956DD8">
      <w:r w:rsidRPr="00FF16DA">
        <w:tab/>
      </w:r>
      <w:r w:rsidRPr="00FF16DA">
        <w:tab/>
      </w:r>
      <w:r w:rsidRPr="00FF16DA">
        <w:tab/>
      </w:r>
      <w:r w:rsidRPr="00FF16DA">
        <w:tab/>
      </w:r>
      <w:r w:rsidRPr="00FF16DA">
        <w:tab/>
      </w:r>
      <w:r w:rsidRPr="00FF16DA">
        <w:tab/>
        <w:t xml:space="preserve">         (Army Review Boards)</w:t>
      </w:r>
      <w:bookmarkEnd w:id="2"/>
      <w:bookmarkEnd w:id="3"/>
    </w:p>
    <w:p w:rsidR="00664296" w:rsidRPr="001C327F" w:rsidRDefault="00664296" w:rsidP="001C327F">
      <w:pPr>
        <w:tabs>
          <w:tab w:val="left" w:pos="288"/>
          <w:tab w:val="left" w:pos="4320"/>
          <w:tab w:val="left" w:pos="4410"/>
          <w:tab w:val="left" w:pos="4752"/>
          <w:tab w:val="left" w:pos="4860"/>
          <w:tab w:val="left" w:pos="5040"/>
        </w:tabs>
        <w:spacing w:line="240" w:lineRule="exact"/>
        <w:jc w:val="both"/>
        <w:rPr>
          <w:rFonts w:asciiTheme="minorHAnsi" w:hAnsiTheme="minorHAnsi"/>
          <w:color w:val="auto"/>
        </w:rPr>
      </w:pPr>
    </w:p>
    <w:p w:rsidR="00664296" w:rsidRDefault="00664296" w:rsidP="00057019">
      <w:pPr>
        <w:tabs>
          <w:tab w:val="left" w:pos="288"/>
          <w:tab w:val="left" w:pos="4752"/>
        </w:tabs>
        <w:spacing w:line="240" w:lineRule="exact"/>
        <w:jc w:val="both"/>
        <w:rPr>
          <w:rFonts w:asciiTheme="minorHAnsi" w:hAnsiTheme="minorHAnsi"/>
          <w:color w:val="auto"/>
          <w:szCs w:val="24"/>
          <w:u w:val="single"/>
        </w:rPr>
      </w:pPr>
    </w:p>
    <w:p w:rsidR="003549F5" w:rsidRPr="00AF01B2" w:rsidRDefault="003549F5">
      <w:pPr>
        <w:rPr>
          <w:rFonts w:asciiTheme="minorHAnsi" w:hAnsiTheme="minorHAnsi"/>
          <w:b/>
          <w:i/>
          <w:color w:val="auto"/>
          <w:sz w:val="20"/>
          <w:u w:val="single"/>
        </w:rPr>
      </w:pPr>
    </w:p>
    <w:sectPr w:rsidR="003549F5" w:rsidRPr="00AF01B2"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3C" w:rsidRDefault="00E41D3C">
      <w:r>
        <w:separator/>
      </w:r>
    </w:p>
  </w:endnote>
  <w:endnote w:type="continuationSeparator" w:id="0">
    <w:p w:rsidR="00E41D3C" w:rsidRDefault="00E41D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133C88" w:rsidRPr="00684CE6" w:rsidRDefault="00915A60" w:rsidP="00F65ED5">
        <w:pPr>
          <w:pStyle w:val="Footer"/>
          <w:jc w:val="right"/>
          <w:rPr>
            <w:color w:val="auto"/>
          </w:rPr>
        </w:pPr>
        <w:r w:rsidRPr="00684CE6">
          <w:rPr>
            <w:color w:val="auto"/>
          </w:rPr>
          <w:fldChar w:fldCharType="begin"/>
        </w:r>
        <w:r w:rsidR="00133C88" w:rsidRPr="00684CE6">
          <w:rPr>
            <w:color w:val="auto"/>
          </w:rPr>
          <w:instrText xml:space="preserve"> PAGE   \* MERGEFORMAT </w:instrText>
        </w:r>
        <w:r w:rsidRPr="00684CE6">
          <w:rPr>
            <w:color w:val="auto"/>
          </w:rPr>
          <w:fldChar w:fldCharType="separate"/>
        </w:r>
        <w:r w:rsidR="00956DD8">
          <w:rPr>
            <w:noProof/>
            <w:color w:val="auto"/>
          </w:rPr>
          <w:t>6</w:t>
        </w:r>
        <w:r w:rsidRPr="00684CE6">
          <w:rPr>
            <w:color w:val="auto"/>
          </w:rPr>
          <w:fldChar w:fldCharType="end"/>
        </w:r>
        <w:r w:rsidR="00133C88" w:rsidRPr="00684CE6">
          <w:rPr>
            <w:color w:val="auto"/>
          </w:rPr>
          <w:t xml:space="preserve">                                                           PD</w:t>
        </w:r>
        <w:r w:rsidR="00133C88">
          <w:rPr>
            <w:color w:val="auto"/>
          </w:rPr>
          <w:t>1000570</w:t>
        </w:r>
      </w:p>
    </w:sdtContent>
  </w:sdt>
  <w:p w:rsidR="00133C88" w:rsidRPr="00684CE6" w:rsidRDefault="00133C8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3C" w:rsidRDefault="00E41D3C">
      <w:r>
        <w:separator/>
      </w:r>
    </w:p>
  </w:footnote>
  <w:footnote w:type="continuationSeparator" w:id="0">
    <w:p w:rsidR="00E41D3C" w:rsidRDefault="00E41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517E9"/>
    <w:multiLevelType w:val="multilevel"/>
    <w:tmpl w:val="E3FA7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7"/>
  </w:num>
  <w:num w:numId="5">
    <w:abstractNumId w:val="3"/>
  </w:num>
  <w:num w:numId="6">
    <w:abstractNumId w:val="9"/>
  </w:num>
  <w:num w:numId="7">
    <w:abstractNumId w:val="0"/>
  </w:num>
  <w:num w:numId="8">
    <w:abstractNumId w:val="5"/>
  </w:num>
  <w:num w:numId="9">
    <w:abstractNumId w:val="16"/>
  </w:num>
  <w:num w:numId="10">
    <w:abstractNumId w:val="11"/>
  </w:num>
  <w:num w:numId="11">
    <w:abstractNumId w:val="4"/>
  </w:num>
  <w:num w:numId="12">
    <w:abstractNumId w:val="14"/>
  </w:num>
  <w:num w:numId="13">
    <w:abstractNumId w:val="8"/>
  </w:num>
  <w:num w:numId="14">
    <w:abstractNumId w:val="15"/>
  </w:num>
  <w:num w:numId="15">
    <w:abstractNumId w:val="19"/>
  </w:num>
  <w:num w:numId="16">
    <w:abstractNumId w:val="1"/>
  </w:num>
  <w:num w:numId="17">
    <w:abstractNumId w:val="17"/>
  </w:num>
  <w:num w:numId="18">
    <w:abstractNumId w:val="10"/>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6002"/>
  </w:hdrShapeDefaults>
  <w:footnotePr>
    <w:numRestart w:val="eachSect"/>
    <w:footnote w:id="-1"/>
    <w:footnote w:id="0"/>
  </w:footnotePr>
  <w:endnotePr>
    <w:endnote w:id="-1"/>
    <w:endnote w:id="0"/>
  </w:endnotePr>
  <w:compat/>
  <w:rsids>
    <w:rsidRoot w:val="001C28D1"/>
    <w:rsid w:val="00002356"/>
    <w:rsid w:val="000024F5"/>
    <w:rsid w:val="000059FA"/>
    <w:rsid w:val="00006186"/>
    <w:rsid w:val="00006F87"/>
    <w:rsid w:val="00007107"/>
    <w:rsid w:val="00010ABA"/>
    <w:rsid w:val="00010B0F"/>
    <w:rsid w:val="00012428"/>
    <w:rsid w:val="00012733"/>
    <w:rsid w:val="00013417"/>
    <w:rsid w:val="000145C2"/>
    <w:rsid w:val="0001473F"/>
    <w:rsid w:val="00014A9E"/>
    <w:rsid w:val="00020784"/>
    <w:rsid w:val="00021361"/>
    <w:rsid w:val="00021D4B"/>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F15"/>
    <w:rsid w:val="00057019"/>
    <w:rsid w:val="000575C5"/>
    <w:rsid w:val="000577C9"/>
    <w:rsid w:val="00060FFD"/>
    <w:rsid w:val="000634E6"/>
    <w:rsid w:val="0006431E"/>
    <w:rsid w:val="000652EA"/>
    <w:rsid w:val="00065E21"/>
    <w:rsid w:val="000673ED"/>
    <w:rsid w:val="00067876"/>
    <w:rsid w:val="00070DED"/>
    <w:rsid w:val="00072433"/>
    <w:rsid w:val="0007488B"/>
    <w:rsid w:val="00075702"/>
    <w:rsid w:val="00075A0C"/>
    <w:rsid w:val="000775C2"/>
    <w:rsid w:val="000806AD"/>
    <w:rsid w:val="00080BDF"/>
    <w:rsid w:val="00081647"/>
    <w:rsid w:val="00082482"/>
    <w:rsid w:val="00082B9F"/>
    <w:rsid w:val="00084CF2"/>
    <w:rsid w:val="00085D7B"/>
    <w:rsid w:val="0008708B"/>
    <w:rsid w:val="00092619"/>
    <w:rsid w:val="00092C66"/>
    <w:rsid w:val="000949DD"/>
    <w:rsid w:val="00094E4F"/>
    <w:rsid w:val="000A2BCE"/>
    <w:rsid w:val="000A33C8"/>
    <w:rsid w:val="000A41E3"/>
    <w:rsid w:val="000A4BBA"/>
    <w:rsid w:val="000A5071"/>
    <w:rsid w:val="000B0AD2"/>
    <w:rsid w:val="000B1020"/>
    <w:rsid w:val="000B1022"/>
    <w:rsid w:val="000B2FB8"/>
    <w:rsid w:val="000B4C99"/>
    <w:rsid w:val="000B5051"/>
    <w:rsid w:val="000C06F6"/>
    <w:rsid w:val="000C1D34"/>
    <w:rsid w:val="000C2362"/>
    <w:rsid w:val="000C2FA8"/>
    <w:rsid w:val="000C3C13"/>
    <w:rsid w:val="000C4D5F"/>
    <w:rsid w:val="000C53F9"/>
    <w:rsid w:val="000C5813"/>
    <w:rsid w:val="000C649E"/>
    <w:rsid w:val="000C75CF"/>
    <w:rsid w:val="000C7B83"/>
    <w:rsid w:val="000C7DE4"/>
    <w:rsid w:val="000D0AE6"/>
    <w:rsid w:val="000D15E7"/>
    <w:rsid w:val="000D1A24"/>
    <w:rsid w:val="000D1CF4"/>
    <w:rsid w:val="000D1DBC"/>
    <w:rsid w:val="000D21C7"/>
    <w:rsid w:val="000D248A"/>
    <w:rsid w:val="000D2BB6"/>
    <w:rsid w:val="000D2CFD"/>
    <w:rsid w:val="000D35D8"/>
    <w:rsid w:val="000D43F9"/>
    <w:rsid w:val="000D4717"/>
    <w:rsid w:val="000D6457"/>
    <w:rsid w:val="000D7D55"/>
    <w:rsid w:val="000E0993"/>
    <w:rsid w:val="000E1A67"/>
    <w:rsid w:val="000E2E50"/>
    <w:rsid w:val="000E37E0"/>
    <w:rsid w:val="000E3F20"/>
    <w:rsid w:val="000E4CBF"/>
    <w:rsid w:val="000E5577"/>
    <w:rsid w:val="000E7034"/>
    <w:rsid w:val="000F02BE"/>
    <w:rsid w:val="000F0928"/>
    <w:rsid w:val="000F328A"/>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3A20"/>
    <w:rsid w:val="0012489B"/>
    <w:rsid w:val="001272AE"/>
    <w:rsid w:val="00130756"/>
    <w:rsid w:val="001315DD"/>
    <w:rsid w:val="00133C88"/>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517A"/>
    <w:rsid w:val="00165BAA"/>
    <w:rsid w:val="00166182"/>
    <w:rsid w:val="0017139A"/>
    <w:rsid w:val="001724C8"/>
    <w:rsid w:val="001732C4"/>
    <w:rsid w:val="001745DD"/>
    <w:rsid w:val="00174FDE"/>
    <w:rsid w:val="00174FE3"/>
    <w:rsid w:val="001768D3"/>
    <w:rsid w:val="00177659"/>
    <w:rsid w:val="001779E5"/>
    <w:rsid w:val="00180826"/>
    <w:rsid w:val="00181240"/>
    <w:rsid w:val="00182A4C"/>
    <w:rsid w:val="00183771"/>
    <w:rsid w:val="00183F77"/>
    <w:rsid w:val="00183FB3"/>
    <w:rsid w:val="001844D8"/>
    <w:rsid w:val="00185726"/>
    <w:rsid w:val="00185DA8"/>
    <w:rsid w:val="00185ECB"/>
    <w:rsid w:val="001865E0"/>
    <w:rsid w:val="001870F0"/>
    <w:rsid w:val="00190E48"/>
    <w:rsid w:val="0019273F"/>
    <w:rsid w:val="00193814"/>
    <w:rsid w:val="00193AAB"/>
    <w:rsid w:val="00193AD5"/>
    <w:rsid w:val="00194740"/>
    <w:rsid w:val="00194930"/>
    <w:rsid w:val="00195AAC"/>
    <w:rsid w:val="001969FE"/>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2D68"/>
    <w:rsid w:val="001C327F"/>
    <w:rsid w:val="001C3473"/>
    <w:rsid w:val="001C5BDA"/>
    <w:rsid w:val="001C5CFC"/>
    <w:rsid w:val="001C7231"/>
    <w:rsid w:val="001C7418"/>
    <w:rsid w:val="001C7DDC"/>
    <w:rsid w:val="001C7EBE"/>
    <w:rsid w:val="001D0051"/>
    <w:rsid w:val="001D0D8F"/>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581F"/>
    <w:rsid w:val="001E635C"/>
    <w:rsid w:val="001F0297"/>
    <w:rsid w:val="00200AA0"/>
    <w:rsid w:val="00200C34"/>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7E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5F22"/>
    <w:rsid w:val="00246860"/>
    <w:rsid w:val="002468D9"/>
    <w:rsid w:val="00246DFF"/>
    <w:rsid w:val="00246E89"/>
    <w:rsid w:val="0025183C"/>
    <w:rsid w:val="00252351"/>
    <w:rsid w:val="002528EC"/>
    <w:rsid w:val="00253EAA"/>
    <w:rsid w:val="00255049"/>
    <w:rsid w:val="00256930"/>
    <w:rsid w:val="00257AFF"/>
    <w:rsid w:val="00257DE5"/>
    <w:rsid w:val="00260531"/>
    <w:rsid w:val="00260738"/>
    <w:rsid w:val="00260B9A"/>
    <w:rsid w:val="00262EA5"/>
    <w:rsid w:val="0026318D"/>
    <w:rsid w:val="00264148"/>
    <w:rsid w:val="002660AF"/>
    <w:rsid w:val="00270864"/>
    <w:rsid w:val="00270BB7"/>
    <w:rsid w:val="002712F7"/>
    <w:rsid w:val="0027159C"/>
    <w:rsid w:val="002722F2"/>
    <w:rsid w:val="00274549"/>
    <w:rsid w:val="00274E46"/>
    <w:rsid w:val="002752AE"/>
    <w:rsid w:val="002769AF"/>
    <w:rsid w:val="00276C86"/>
    <w:rsid w:val="00276FD0"/>
    <w:rsid w:val="00277217"/>
    <w:rsid w:val="002810A4"/>
    <w:rsid w:val="00282DB6"/>
    <w:rsid w:val="002844BA"/>
    <w:rsid w:val="00284A26"/>
    <w:rsid w:val="00284C9D"/>
    <w:rsid w:val="00285095"/>
    <w:rsid w:val="00287006"/>
    <w:rsid w:val="00292397"/>
    <w:rsid w:val="00292AB2"/>
    <w:rsid w:val="00293DB6"/>
    <w:rsid w:val="00293FE8"/>
    <w:rsid w:val="00294437"/>
    <w:rsid w:val="00295264"/>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651"/>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369E"/>
    <w:rsid w:val="002F6AD8"/>
    <w:rsid w:val="002F7F81"/>
    <w:rsid w:val="00300A36"/>
    <w:rsid w:val="00301B45"/>
    <w:rsid w:val="00305856"/>
    <w:rsid w:val="0030678B"/>
    <w:rsid w:val="00306D16"/>
    <w:rsid w:val="00307595"/>
    <w:rsid w:val="00310CD7"/>
    <w:rsid w:val="00313D7A"/>
    <w:rsid w:val="00313DD4"/>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050"/>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2A"/>
    <w:rsid w:val="003840F6"/>
    <w:rsid w:val="00384866"/>
    <w:rsid w:val="003857D4"/>
    <w:rsid w:val="00385D6F"/>
    <w:rsid w:val="00386B6C"/>
    <w:rsid w:val="00386D43"/>
    <w:rsid w:val="00387095"/>
    <w:rsid w:val="00387E95"/>
    <w:rsid w:val="00390092"/>
    <w:rsid w:val="00391858"/>
    <w:rsid w:val="00392761"/>
    <w:rsid w:val="003927C0"/>
    <w:rsid w:val="00393651"/>
    <w:rsid w:val="00394926"/>
    <w:rsid w:val="00394ED4"/>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1B57"/>
    <w:rsid w:val="003C294B"/>
    <w:rsid w:val="003C5046"/>
    <w:rsid w:val="003C6068"/>
    <w:rsid w:val="003C7AEC"/>
    <w:rsid w:val="003D2BA3"/>
    <w:rsid w:val="003D316B"/>
    <w:rsid w:val="003D3C22"/>
    <w:rsid w:val="003D56A0"/>
    <w:rsid w:val="003D5BF2"/>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4B6E"/>
    <w:rsid w:val="00405BCF"/>
    <w:rsid w:val="00406A3E"/>
    <w:rsid w:val="00406CC5"/>
    <w:rsid w:val="004074A4"/>
    <w:rsid w:val="004101B2"/>
    <w:rsid w:val="004123D7"/>
    <w:rsid w:val="00412658"/>
    <w:rsid w:val="004129DA"/>
    <w:rsid w:val="00415EA4"/>
    <w:rsid w:val="0041604B"/>
    <w:rsid w:val="004172DB"/>
    <w:rsid w:val="00420A1D"/>
    <w:rsid w:val="00421485"/>
    <w:rsid w:val="004216DA"/>
    <w:rsid w:val="00422B75"/>
    <w:rsid w:val="0042341D"/>
    <w:rsid w:val="00424612"/>
    <w:rsid w:val="0042528C"/>
    <w:rsid w:val="00425672"/>
    <w:rsid w:val="00425A6A"/>
    <w:rsid w:val="00427F54"/>
    <w:rsid w:val="004316FD"/>
    <w:rsid w:val="00431A9B"/>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53D5"/>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422A"/>
    <w:rsid w:val="004761CC"/>
    <w:rsid w:val="004766C9"/>
    <w:rsid w:val="00480D4A"/>
    <w:rsid w:val="00481DA1"/>
    <w:rsid w:val="0048262B"/>
    <w:rsid w:val="00483A2B"/>
    <w:rsid w:val="00484212"/>
    <w:rsid w:val="00484BA9"/>
    <w:rsid w:val="0048599A"/>
    <w:rsid w:val="00486818"/>
    <w:rsid w:val="0049255F"/>
    <w:rsid w:val="0049445D"/>
    <w:rsid w:val="004952CF"/>
    <w:rsid w:val="00495350"/>
    <w:rsid w:val="00495B96"/>
    <w:rsid w:val="00495E3C"/>
    <w:rsid w:val="00497156"/>
    <w:rsid w:val="004A0C79"/>
    <w:rsid w:val="004A24D2"/>
    <w:rsid w:val="004A3214"/>
    <w:rsid w:val="004A4136"/>
    <w:rsid w:val="004A417B"/>
    <w:rsid w:val="004A4378"/>
    <w:rsid w:val="004A4994"/>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22C2"/>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978"/>
    <w:rsid w:val="00510F9C"/>
    <w:rsid w:val="0051146C"/>
    <w:rsid w:val="00511497"/>
    <w:rsid w:val="00511BFA"/>
    <w:rsid w:val="0051220B"/>
    <w:rsid w:val="00512253"/>
    <w:rsid w:val="00512484"/>
    <w:rsid w:val="0051377C"/>
    <w:rsid w:val="00513CAA"/>
    <w:rsid w:val="00514449"/>
    <w:rsid w:val="00515419"/>
    <w:rsid w:val="005157BD"/>
    <w:rsid w:val="0051686B"/>
    <w:rsid w:val="0051720C"/>
    <w:rsid w:val="005214A3"/>
    <w:rsid w:val="005222E7"/>
    <w:rsid w:val="00523A8B"/>
    <w:rsid w:val="00523E04"/>
    <w:rsid w:val="00525003"/>
    <w:rsid w:val="0052590B"/>
    <w:rsid w:val="00526591"/>
    <w:rsid w:val="00527178"/>
    <w:rsid w:val="005278CB"/>
    <w:rsid w:val="00533232"/>
    <w:rsid w:val="00534D42"/>
    <w:rsid w:val="005350A5"/>
    <w:rsid w:val="00536379"/>
    <w:rsid w:val="00537238"/>
    <w:rsid w:val="005400C5"/>
    <w:rsid w:val="005404CD"/>
    <w:rsid w:val="00540BE0"/>
    <w:rsid w:val="00540BEF"/>
    <w:rsid w:val="005428ED"/>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57873"/>
    <w:rsid w:val="00560D57"/>
    <w:rsid w:val="00562A94"/>
    <w:rsid w:val="00563493"/>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10"/>
    <w:rsid w:val="0058417C"/>
    <w:rsid w:val="00586EC6"/>
    <w:rsid w:val="00587DDE"/>
    <w:rsid w:val="00593043"/>
    <w:rsid w:val="00595B60"/>
    <w:rsid w:val="00595BF0"/>
    <w:rsid w:val="00596EDE"/>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30C1"/>
    <w:rsid w:val="005B4056"/>
    <w:rsid w:val="005B5B3D"/>
    <w:rsid w:val="005B64CF"/>
    <w:rsid w:val="005C0E87"/>
    <w:rsid w:val="005C16F3"/>
    <w:rsid w:val="005C3758"/>
    <w:rsid w:val="005C4D72"/>
    <w:rsid w:val="005C50C1"/>
    <w:rsid w:val="005C62C2"/>
    <w:rsid w:val="005D22F6"/>
    <w:rsid w:val="005D2306"/>
    <w:rsid w:val="005D4A74"/>
    <w:rsid w:val="005D5E91"/>
    <w:rsid w:val="005D6268"/>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35E2"/>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6976"/>
    <w:rsid w:val="006770AA"/>
    <w:rsid w:val="00682486"/>
    <w:rsid w:val="00684CE6"/>
    <w:rsid w:val="00684E2B"/>
    <w:rsid w:val="00687C7E"/>
    <w:rsid w:val="00690569"/>
    <w:rsid w:val="00690FDA"/>
    <w:rsid w:val="00691B31"/>
    <w:rsid w:val="00691E61"/>
    <w:rsid w:val="006937C6"/>
    <w:rsid w:val="00693C5E"/>
    <w:rsid w:val="00693CEE"/>
    <w:rsid w:val="00694EEA"/>
    <w:rsid w:val="006955B4"/>
    <w:rsid w:val="00695DEF"/>
    <w:rsid w:val="00696476"/>
    <w:rsid w:val="00696C74"/>
    <w:rsid w:val="00697743"/>
    <w:rsid w:val="006A10FA"/>
    <w:rsid w:val="006A40E6"/>
    <w:rsid w:val="006A516B"/>
    <w:rsid w:val="006A5362"/>
    <w:rsid w:val="006A543A"/>
    <w:rsid w:val="006A5C07"/>
    <w:rsid w:val="006A75FA"/>
    <w:rsid w:val="006B07D5"/>
    <w:rsid w:val="006B1309"/>
    <w:rsid w:val="006B17C5"/>
    <w:rsid w:val="006B1B97"/>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0187"/>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6F0"/>
    <w:rsid w:val="006F0F9C"/>
    <w:rsid w:val="006F149D"/>
    <w:rsid w:val="006F1A46"/>
    <w:rsid w:val="006F3D40"/>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3EB"/>
    <w:rsid w:val="00710CE8"/>
    <w:rsid w:val="00711350"/>
    <w:rsid w:val="007116BC"/>
    <w:rsid w:val="00711961"/>
    <w:rsid w:val="00711CA6"/>
    <w:rsid w:val="007165CE"/>
    <w:rsid w:val="00717CEB"/>
    <w:rsid w:val="0072035D"/>
    <w:rsid w:val="00720968"/>
    <w:rsid w:val="007214C3"/>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87198"/>
    <w:rsid w:val="00790963"/>
    <w:rsid w:val="0079154B"/>
    <w:rsid w:val="00791F1E"/>
    <w:rsid w:val="007927BE"/>
    <w:rsid w:val="00792869"/>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20A0"/>
    <w:rsid w:val="007B4181"/>
    <w:rsid w:val="007B5178"/>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1AA2"/>
    <w:rsid w:val="007E2046"/>
    <w:rsid w:val="007E3883"/>
    <w:rsid w:val="007E4876"/>
    <w:rsid w:val="007E48CD"/>
    <w:rsid w:val="007E4ACB"/>
    <w:rsid w:val="007E4FBB"/>
    <w:rsid w:val="007E55BF"/>
    <w:rsid w:val="007E59E3"/>
    <w:rsid w:val="007E5E39"/>
    <w:rsid w:val="007E71B1"/>
    <w:rsid w:val="007E7B4E"/>
    <w:rsid w:val="007E7CC7"/>
    <w:rsid w:val="007E7F02"/>
    <w:rsid w:val="007F0292"/>
    <w:rsid w:val="007F0AB7"/>
    <w:rsid w:val="007F0CE2"/>
    <w:rsid w:val="007F0EFF"/>
    <w:rsid w:val="007F1375"/>
    <w:rsid w:val="007F1AFD"/>
    <w:rsid w:val="007F30E4"/>
    <w:rsid w:val="007F5D0D"/>
    <w:rsid w:val="0080064F"/>
    <w:rsid w:val="0080151B"/>
    <w:rsid w:val="00801662"/>
    <w:rsid w:val="00801AF0"/>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22B1"/>
    <w:rsid w:val="0082340B"/>
    <w:rsid w:val="00823D6A"/>
    <w:rsid w:val="00826442"/>
    <w:rsid w:val="008275C3"/>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71"/>
    <w:rsid w:val="00856AC7"/>
    <w:rsid w:val="00856FA4"/>
    <w:rsid w:val="00860E60"/>
    <w:rsid w:val="0086102A"/>
    <w:rsid w:val="0086162B"/>
    <w:rsid w:val="00861710"/>
    <w:rsid w:val="00861D5C"/>
    <w:rsid w:val="00861E7C"/>
    <w:rsid w:val="00865207"/>
    <w:rsid w:val="008656A7"/>
    <w:rsid w:val="00865FA3"/>
    <w:rsid w:val="00866231"/>
    <w:rsid w:val="00870151"/>
    <w:rsid w:val="00871262"/>
    <w:rsid w:val="0087170E"/>
    <w:rsid w:val="00871D4E"/>
    <w:rsid w:val="00871E7B"/>
    <w:rsid w:val="008721BB"/>
    <w:rsid w:val="0087566D"/>
    <w:rsid w:val="00875B50"/>
    <w:rsid w:val="00875B51"/>
    <w:rsid w:val="00875F2D"/>
    <w:rsid w:val="008764DC"/>
    <w:rsid w:val="008769E5"/>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975BA"/>
    <w:rsid w:val="008A0D4F"/>
    <w:rsid w:val="008A2D08"/>
    <w:rsid w:val="008A39D7"/>
    <w:rsid w:val="008A55DE"/>
    <w:rsid w:val="008A5C34"/>
    <w:rsid w:val="008A63A9"/>
    <w:rsid w:val="008A7073"/>
    <w:rsid w:val="008A79F0"/>
    <w:rsid w:val="008A7F7E"/>
    <w:rsid w:val="008B04DB"/>
    <w:rsid w:val="008B09B4"/>
    <w:rsid w:val="008B0F32"/>
    <w:rsid w:val="008B1DF4"/>
    <w:rsid w:val="008B27FD"/>
    <w:rsid w:val="008B2FDB"/>
    <w:rsid w:val="008B3AF2"/>
    <w:rsid w:val="008B446D"/>
    <w:rsid w:val="008B515D"/>
    <w:rsid w:val="008B5D31"/>
    <w:rsid w:val="008B6705"/>
    <w:rsid w:val="008C22F3"/>
    <w:rsid w:val="008C2CEF"/>
    <w:rsid w:val="008C3FD0"/>
    <w:rsid w:val="008C4F01"/>
    <w:rsid w:val="008D1484"/>
    <w:rsid w:val="008D29E7"/>
    <w:rsid w:val="008D5104"/>
    <w:rsid w:val="008D5F11"/>
    <w:rsid w:val="008D75F4"/>
    <w:rsid w:val="008D795D"/>
    <w:rsid w:val="008D7B07"/>
    <w:rsid w:val="008E0D8F"/>
    <w:rsid w:val="008E0F4E"/>
    <w:rsid w:val="008E1E94"/>
    <w:rsid w:val="008E2D99"/>
    <w:rsid w:val="008E30D4"/>
    <w:rsid w:val="008E38B0"/>
    <w:rsid w:val="008E4448"/>
    <w:rsid w:val="008E4A60"/>
    <w:rsid w:val="008E744D"/>
    <w:rsid w:val="008F0907"/>
    <w:rsid w:val="008F1E08"/>
    <w:rsid w:val="008F6FC8"/>
    <w:rsid w:val="0090045D"/>
    <w:rsid w:val="00900D8F"/>
    <w:rsid w:val="0090101B"/>
    <w:rsid w:val="009014E3"/>
    <w:rsid w:val="009020ED"/>
    <w:rsid w:val="009026E8"/>
    <w:rsid w:val="00902FDD"/>
    <w:rsid w:val="00905EEF"/>
    <w:rsid w:val="00906EB7"/>
    <w:rsid w:val="009102BF"/>
    <w:rsid w:val="00911099"/>
    <w:rsid w:val="00911490"/>
    <w:rsid w:val="009115F2"/>
    <w:rsid w:val="00911B11"/>
    <w:rsid w:val="00914ADB"/>
    <w:rsid w:val="00914F01"/>
    <w:rsid w:val="00915A60"/>
    <w:rsid w:val="00917182"/>
    <w:rsid w:val="00923B25"/>
    <w:rsid w:val="0092402E"/>
    <w:rsid w:val="009259BA"/>
    <w:rsid w:val="00925E7E"/>
    <w:rsid w:val="00926FCB"/>
    <w:rsid w:val="009303BB"/>
    <w:rsid w:val="0093108A"/>
    <w:rsid w:val="0093311A"/>
    <w:rsid w:val="009346D0"/>
    <w:rsid w:val="009419B4"/>
    <w:rsid w:val="00941A4C"/>
    <w:rsid w:val="00942645"/>
    <w:rsid w:val="00945FA6"/>
    <w:rsid w:val="009461E6"/>
    <w:rsid w:val="00950A3A"/>
    <w:rsid w:val="0095340A"/>
    <w:rsid w:val="00953AF6"/>
    <w:rsid w:val="0095423E"/>
    <w:rsid w:val="00954581"/>
    <w:rsid w:val="0095466C"/>
    <w:rsid w:val="00954E5B"/>
    <w:rsid w:val="00955316"/>
    <w:rsid w:val="00955E45"/>
    <w:rsid w:val="00956DD8"/>
    <w:rsid w:val="009576BC"/>
    <w:rsid w:val="00957899"/>
    <w:rsid w:val="00960357"/>
    <w:rsid w:val="0096168C"/>
    <w:rsid w:val="00961717"/>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364"/>
    <w:rsid w:val="00985099"/>
    <w:rsid w:val="00985D32"/>
    <w:rsid w:val="00986514"/>
    <w:rsid w:val="00986FCC"/>
    <w:rsid w:val="009935C3"/>
    <w:rsid w:val="0099421F"/>
    <w:rsid w:val="00994FC8"/>
    <w:rsid w:val="00996B12"/>
    <w:rsid w:val="009A0DE3"/>
    <w:rsid w:val="009A1643"/>
    <w:rsid w:val="009A215A"/>
    <w:rsid w:val="009A49D3"/>
    <w:rsid w:val="009A4F1B"/>
    <w:rsid w:val="009A66C5"/>
    <w:rsid w:val="009A66E7"/>
    <w:rsid w:val="009A79BA"/>
    <w:rsid w:val="009B14D1"/>
    <w:rsid w:val="009B1534"/>
    <w:rsid w:val="009B4963"/>
    <w:rsid w:val="009B4A3B"/>
    <w:rsid w:val="009B69D3"/>
    <w:rsid w:val="009B6C60"/>
    <w:rsid w:val="009B7BA7"/>
    <w:rsid w:val="009B7C01"/>
    <w:rsid w:val="009C0938"/>
    <w:rsid w:val="009C0C22"/>
    <w:rsid w:val="009C15D9"/>
    <w:rsid w:val="009C22C8"/>
    <w:rsid w:val="009C38F4"/>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14F"/>
    <w:rsid w:val="00A006F1"/>
    <w:rsid w:val="00A007A7"/>
    <w:rsid w:val="00A00D14"/>
    <w:rsid w:val="00A01408"/>
    <w:rsid w:val="00A02457"/>
    <w:rsid w:val="00A03190"/>
    <w:rsid w:val="00A03D73"/>
    <w:rsid w:val="00A0404B"/>
    <w:rsid w:val="00A06F66"/>
    <w:rsid w:val="00A0798C"/>
    <w:rsid w:val="00A07BDD"/>
    <w:rsid w:val="00A07F12"/>
    <w:rsid w:val="00A11047"/>
    <w:rsid w:val="00A1105B"/>
    <w:rsid w:val="00A12067"/>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26DC5"/>
    <w:rsid w:val="00A31FE2"/>
    <w:rsid w:val="00A32743"/>
    <w:rsid w:val="00A3756D"/>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11ED"/>
    <w:rsid w:val="00A63DF3"/>
    <w:rsid w:val="00A65C78"/>
    <w:rsid w:val="00A660A8"/>
    <w:rsid w:val="00A66914"/>
    <w:rsid w:val="00A66A45"/>
    <w:rsid w:val="00A67591"/>
    <w:rsid w:val="00A67CA6"/>
    <w:rsid w:val="00A70C81"/>
    <w:rsid w:val="00A70E7B"/>
    <w:rsid w:val="00A714E0"/>
    <w:rsid w:val="00A717EA"/>
    <w:rsid w:val="00A73B84"/>
    <w:rsid w:val="00A7411D"/>
    <w:rsid w:val="00A756C4"/>
    <w:rsid w:val="00A7592B"/>
    <w:rsid w:val="00A76094"/>
    <w:rsid w:val="00A768E2"/>
    <w:rsid w:val="00A81837"/>
    <w:rsid w:val="00A8271E"/>
    <w:rsid w:val="00A82C52"/>
    <w:rsid w:val="00A838E8"/>
    <w:rsid w:val="00A83C15"/>
    <w:rsid w:val="00A84EC4"/>
    <w:rsid w:val="00A86CB6"/>
    <w:rsid w:val="00A86E80"/>
    <w:rsid w:val="00A90D55"/>
    <w:rsid w:val="00A926F0"/>
    <w:rsid w:val="00A93935"/>
    <w:rsid w:val="00A93FFC"/>
    <w:rsid w:val="00A944D8"/>
    <w:rsid w:val="00A959E7"/>
    <w:rsid w:val="00A95BBA"/>
    <w:rsid w:val="00A95EE9"/>
    <w:rsid w:val="00A961EE"/>
    <w:rsid w:val="00A96D7B"/>
    <w:rsid w:val="00AA04B3"/>
    <w:rsid w:val="00AA1253"/>
    <w:rsid w:val="00AA13DD"/>
    <w:rsid w:val="00AA1ED0"/>
    <w:rsid w:val="00AA1F5B"/>
    <w:rsid w:val="00AA28EF"/>
    <w:rsid w:val="00AA3593"/>
    <w:rsid w:val="00AA38CA"/>
    <w:rsid w:val="00AA493E"/>
    <w:rsid w:val="00AA73AF"/>
    <w:rsid w:val="00AB0056"/>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E6912"/>
    <w:rsid w:val="00AF01B2"/>
    <w:rsid w:val="00AF1103"/>
    <w:rsid w:val="00AF1668"/>
    <w:rsid w:val="00AF28DB"/>
    <w:rsid w:val="00AF28DE"/>
    <w:rsid w:val="00AF4FA5"/>
    <w:rsid w:val="00AF6ECC"/>
    <w:rsid w:val="00B022DC"/>
    <w:rsid w:val="00B04562"/>
    <w:rsid w:val="00B0472F"/>
    <w:rsid w:val="00B05F06"/>
    <w:rsid w:val="00B064A1"/>
    <w:rsid w:val="00B06930"/>
    <w:rsid w:val="00B0773A"/>
    <w:rsid w:val="00B07955"/>
    <w:rsid w:val="00B1176B"/>
    <w:rsid w:val="00B140B8"/>
    <w:rsid w:val="00B14FAA"/>
    <w:rsid w:val="00B15471"/>
    <w:rsid w:val="00B15BED"/>
    <w:rsid w:val="00B15D30"/>
    <w:rsid w:val="00B16D18"/>
    <w:rsid w:val="00B177DE"/>
    <w:rsid w:val="00B20049"/>
    <w:rsid w:val="00B20624"/>
    <w:rsid w:val="00B23436"/>
    <w:rsid w:val="00B237F1"/>
    <w:rsid w:val="00B23F10"/>
    <w:rsid w:val="00B24328"/>
    <w:rsid w:val="00B24ED4"/>
    <w:rsid w:val="00B24F33"/>
    <w:rsid w:val="00B26354"/>
    <w:rsid w:val="00B26CA0"/>
    <w:rsid w:val="00B31965"/>
    <w:rsid w:val="00B32179"/>
    <w:rsid w:val="00B32341"/>
    <w:rsid w:val="00B32BDB"/>
    <w:rsid w:val="00B32C2B"/>
    <w:rsid w:val="00B33007"/>
    <w:rsid w:val="00B331A9"/>
    <w:rsid w:val="00B33498"/>
    <w:rsid w:val="00B33598"/>
    <w:rsid w:val="00B36569"/>
    <w:rsid w:val="00B37345"/>
    <w:rsid w:val="00B37791"/>
    <w:rsid w:val="00B37802"/>
    <w:rsid w:val="00B37F53"/>
    <w:rsid w:val="00B40A05"/>
    <w:rsid w:val="00B40A3E"/>
    <w:rsid w:val="00B427BB"/>
    <w:rsid w:val="00B43BA2"/>
    <w:rsid w:val="00B449EE"/>
    <w:rsid w:val="00B454AE"/>
    <w:rsid w:val="00B50227"/>
    <w:rsid w:val="00B50510"/>
    <w:rsid w:val="00B51878"/>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764"/>
    <w:rsid w:val="00B7793B"/>
    <w:rsid w:val="00B77EE7"/>
    <w:rsid w:val="00B80EDD"/>
    <w:rsid w:val="00B812BD"/>
    <w:rsid w:val="00B81964"/>
    <w:rsid w:val="00B82277"/>
    <w:rsid w:val="00B83F87"/>
    <w:rsid w:val="00B8478F"/>
    <w:rsid w:val="00B8751B"/>
    <w:rsid w:val="00B91676"/>
    <w:rsid w:val="00B9322B"/>
    <w:rsid w:val="00B955D5"/>
    <w:rsid w:val="00B95833"/>
    <w:rsid w:val="00B97E81"/>
    <w:rsid w:val="00BA1824"/>
    <w:rsid w:val="00BA2D98"/>
    <w:rsid w:val="00BA2F0C"/>
    <w:rsid w:val="00BA30D1"/>
    <w:rsid w:val="00BA30E1"/>
    <w:rsid w:val="00BA453E"/>
    <w:rsid w:val="00BA4609"/>
    <w:rsid w:val="00BA5BE2"/>
    <w:rsid w:val="00BA6D5E"/>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393E"/>
    <w:rsid w:val="00BE4039"/>
    <w:rsid w:val="00BE6365"/>
    <w:rsid w:val="00BE7CE2"/>
    <w:rsid w:val="00BF01B7"/>
    <w:rsid w:val="00BF0B7F"/>
    <w:rsid w:val="00BF2988"/>
    <w:rsid w:val="00BF3862"/>
    <w:rsid w:val="00BF4720"/>
    <w:rsid w:val="00BF4F49"/>
    <w:rsid w:val="00BF6759"/>
    <w:rsid w:val="00BF70A6"/>
    <w:rsid w:val="00BF7B4F"/>
    <w:rsid w:val="00BF7B63"/>
    <w:rsid w:val="00C0359D"/>
    <w:rsid w:val="00C038EC"/>
    <w:rsid w:val="00C05C6D"/>
    <w:rsid w:val="00C061D6"/>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3B8F"/>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527"/>
    <w:rsid w:val="00C43C2B"/>
    <w:rsid w:val="00C45B27"/>
    <w:rsid w:val="00C472C7"/>
    <w:rsid w:val="00C5019E"/>
    <w:rsid w:val="00C51962"/>
    <w:rsid w:val="00C5377C"/>
    <w:rsid w:val="00C53E8A"/>
    <w:rsid w:val="00C54DF3"/>
    <w:rsid w:val="00C560A7"/>
    <w:rsid w:val="00C56FC8"/>
    <w:rsid w:val="00C60F23"/>
    <w:rsid w:val="00C6170B"/>
    <w:rsid w:val="00C622DC"/>
    <w:rsid w:val="00C62EB2"/>
    <w:rsid w:val="00C64C87"/>
    <w:rsid w:val="00C654B7"/>
    <w:rsid w:val="00C665FE"/>
    <w:rsid w:val="00C70DAB"/>
    <w:rsid w:val="00C714CD"/>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0B12"/>
    <w:rsid w:val="00CA1228"/>
    <w:rsid w:val="00CA1C73"/>
    <w:rsid w:val="00CA282D"/>
    <w:rsid w:val="00CA3F73"/>
    <w:rsid w:val="00CA4670"/>
    <w:rsid w:val="00CA5006"/>
    <w:rsid w:val="00CA5F89"/>
    <w:rsid w:val="00CA6B1A"/>
    <w:rsid w:val="00CA70CA"/>
    <w:rsid w:val="00CB1B18"/>
    <w:rsid w:val="00CB20DC"/>
    <w:rsid w:val="00CB23DC"/>
    <w:rsid w:val="00CB2487"/>
    <w:rsid w:val="00CB28E2"/>
    <w:rsid w:val="00CB2F20"/>
    <w:rsid w:val="00CB758D"/>
    <w:rsid w:val="00CB7A3E"/>
    <w:rsid w:val="00CB7FF7"/>
    <w:rsid w:val="00CC0D0E"/>
    <w:rsid w:val="00CC0E11"/>
    <w:rsid w:val="00CC1253"/>
    <w:rsid w:val="00CC19B3"/>
    <w:rsid w:val="00CC2044"/>
    <w:rsid w:val="00CC39D2"/>
    <w:rsid w:val="00CC69EC"/>
    <w:rsid w:val="00CC78A2"/>
    <w:rsid w:val="00CC7DF8"/>
    <w:rsid w:val="00CD15BE"/>
    <w:rsid w:val="00CD1EF2"/>
    <w:rsid w:val="00CD28E1"/>
    <w:rsid w:val="00CD32BD"/>
    <w:rsid w:val="00CD34C7"/>
    <w:rsid w:val="00CD5653"/>
    <w:rsid w:val="00CD5E6D"/>
    <w:rsid w:val="00CD63C8"/>
    <w:rsid w:val="00CD76F8"/>
    <w:rsid w:val="00CE02E8"/>
    <w:rsid w:val="00CE069E"/>
    <w:rsid w:val="00CE0DE0"/>
    <w:rsid w:val="00CE3722"/>
    <w:rsid w:val="00CE4017"/>
    <w:rsid w:val="00CF158D"/>
    <w:rsid w:val="00CF2166"/>
    <w:rsid w:val="00CF4340"/>
    <w:rsid w:val="00CF4394"/>
    <w:rsid w:val="00CF43E1"/>
    <w:rsid w:val="00CF48B4"/>
    <w:rsid w:val="00D000A9"/>
    <w:rsid w:val="00D00384"/>
    <w:rsid w:val="00D005DB"/>
    <w:rsid w:val="00D0064E"/>
    <w:rsid w:val="00D00981"/>
    <w:rsid w:val="00D02596"/>
    <w:rsid w:val="00D0280D"/>
    <w:rsid w:val="00D02AEF"/>
    <w:rsid w:val="00D03AB0"/>
    <w:rsid w:val="00D05669"/>
    <w:rsid w:val="00D061EB"/>
    <w:rsid w:val="00D06952"/>
    <w:rsid w:val="00D06F61"/>
    <w:rsid w:val="00D07A72"/>
    <w:rsid w:val="00D10577"/>
    <w:rsid w:val="00D12405"/>
    <w:rsid w:val="00D12A4E"/>
    <w:rsid w:val="00D1323B"/>
    <w:rsid w:val="00D14BAE"/>
    <w:rsid w:val="00D1519B"/>
    <w:rsid w:val="00D1648B"/>
    <w:rsid w:val="00D16819"/>
    <w:rsid w:val="00D17DD9"/>
    <w:rsid w:val="00D201A3"/>
    <w:rsid w:val="00D20AC0"/>
    <w:rsid w:val="00D231BC"/>
    <w:rsid w:val="00D2321B"/>
    <w:rsid w:val="00D23350"/>
    <w:rsid w:val="00D237E7"/>
    <w:rsid w:val="00D23DE4"/>
    <w:rsid w:val="00D258CB"/>
    <w:rsid w:val="00D25A5C"/>
    <w:rsid w:val="00D26873"/>
    <w:rsid w:val="00D31683"/>
    <w:rsid w:val="00D31B2A"/>
    <w:rsid w:val="00D31E3A"/>
    <w:rsid w:val="00D32103"/>
    <w:rsid w:val="00D336C8"/>
    <w:rsid w:val="00D339E8"/>
    <w:rsid w:val="00D3654A"/>
    <w:rsid w:val="00D3662E"/>
    <w:rsid w:val="00D40B1F"/>
    <w:rsid w:val="00D40D75"/>
    <w:rsid w:val="00D420AA"/>
    <w:rsid w:val="00D43978"/>
    <w:rsid w:val="00D43CBD"/>
    <w:rsid w:val="00D449F0"/>
    <w:rsid w:val="00D462D7"/>
    <w:rsid w:val="00D47A26"/>
    <w:rsid w:val="00D5062C"/>
    <w:rsid w:val="00D50C8C"/>
    <w:rsid w:val="00D52393"/>
    <w:rsid w:val="00D523E4"/>
    <w:rsid w:val="00D5246A"/>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77B"/>
    <w:rsid w:val="00D67FD7"/>
    <w:rsid w:val="00D7140D"/>
    <w:rsid w:val="00D72410"/>
    <w:rsid w:val="00D73D53"/>
    <w:rsid w:val="00D7408A"/>
    <w:rsid w:val="00D74261"/>
    <w:rsid w:val="00D7441B"/>
    <w:rsid w:val="00D75589"/>
    <w:rsid w:val="00D7698C"/>
    <w:rsid w:val="00D76AB2"/>
    <w:rsid w:val="00D80490"/>
    <w:rsid w:val="00D829AD"/>
    <w:rsid w:val="00D82EE2"/>
    <w:rsid w:val="00D83344"/>
    <w:rsid w:val="00D83D1B"/>
    <w:rsid w:val="00D84133"/>
    <w:rsid w:val="00D8545C"/>
    <w:rsid w:val="00D868BA"/>
    <w:rsid w:val="00D86E57"/>
    <w:rsid w:val="00D87788"/>
    <w:rsid w:val="00D877C8"/>
    <w:rsid w:val="00D90871"/>
    <w:rsid w:val="00D91040"/>
    <w:rsid w:val="00D910C2"/>
    <w:rsid w:val="00D9168C"/>
    <w:rsid w:val="00D9189B"/>
    <w:rsid w:val="00D91DA6"/>
    <w:rsid w:val="00D921A0"/>
    <w:rsid w:val="00D93A41"/>
    <w:rsid w:val="00D93B9A"/>
    <w:rsid w:val="00D95984"/>
    <w:rsid w:val="00D95C64"/>
    <w:rsid w:val="00D9706F"/>
    <w:rsid w:val="00D972D4"/>
    <w:rsid w:val="00DA146B"/>
    <w:rsid w:val="00DA195B"/>
    <w:rsid w:val="00DA27F3"/>
    <w:rsid w:val="00DA2D1E"/>
    <w:rsid w:val="00DA3EC8"/>
    <w:rsid w:val="00DA40C1"/>
    <w:rsid w:val="00DA5564"/>
    <w:rsid w:val="00DA6B55"/>
    <w:rsid w:val="00DA6B97"/>
    <w:rsid w:val="00DA6CEE"/>
    <w:rsid w:val="00DB0015"/>
    <w:rsid w:val="00DB0359"/>
    <w:rsid w:val="00DB0ABB"/>
    <w:rsid w:val="00DB2AAD"/>
    <w:rsid w:val="00DB2D44"/>
    <w:rsid w:val="00DB44E2"/>
    <w:rsid w:val="00DB4A1F"/>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2DFE"/>
    <w:rsid w:val="00DE3AAD"/>
    <w:rsid w:val="00DE598A"/>
    <w:rsid w:val="00DE6952"/>
    <w:rsid w:val="00DE7E74"/>
    <w:rsid w:val="00DF071B"/>
    <w:rsid w:val="00DF5C84"/>
    <w:rsid w:val="00DF6EF8"/>
    <w:rsid w:val="00E00A69"/>
    <w:rsid w:val="00E017BC"/>
    <w:rsid w:val="00E017F0"/>
    <w:rsid w:val="00E01A0E"/>
    <w:rsid w:val="00E0285D"/>
    <w:rsid w:val="00E0346A"/>
    <w:rsid w:val="00E041E4"/>
    <w:rsid w:val="00E04AEE"/>
    <w:rsid w:val="00E1012B"/>
    <w:rsid w:val="00E103C8"/>
    <w:rsid w:val="00E1085B"/>
    <w:rsid w:val="00E12442"/>
    <w:rsid w:val="00E1308B"/>
    <w:rsid w:val="00E1428B"/>
    <w:rsid w:val="00E14581"/>
    <w:rsid w:val="00E14623"/>
    <w:rsid w:val="00E15539"/>
    <w:rsid w:val="00E15DC4"/>
    <w:rsid w:val="00E16541"/>
    <w:rsid w:val="00E17EC9"/>
    <w:rsid w:val="00E202F4"/>
    <w:rsid w:val="00E207C3"/>
    <w:rsid w:val="00E21386"/>
    <w:rsid w:val="00E242AF"/>
    <w:rsid w:val="00E24849"/>
    <w:rsid w:val="00E24CB6"/>
    <w:rsid w:val="00E2536E"/>
    <w:rsid w:val="00E25B8A"/>
    <w:rsid w:val="00E25EF8"/>
    <w:rsid w:val="00E2632B"/>
    <w:rsid w:val="00E2664A"/>
    <w:rsid w:val="00E26F75"/>
    <w:rsid w:val="00E27423"/>
    <w:rsid w:val="00E3157F"/>
    <w:rsid w:val="00E322F7"/>
    <w:rsid w:val="00E3369B"/>
    <w:rsid w:val="00E362D2"/>
    <w:rsid w:val="00E36D76"/>
    <w:rsid w:val="00E37723"/>
    <w:rsid w:val="00E377ED"/>
    <w:rsid w:val="00E40478"/>
    <w:rsid w:val="00E405EA"/>
    <w:rsid w:val="00E408B7"/>
    <w:rsid w:val="00E41637"/>
    <w:rsid w:val="00E41D3C"/>
    <w:rsid w:val="00E42789"/>
    <w:rsid w:val="00E43F59"/>
    <w:rsid w:val="00E464F0"/>
    <w:rsid w:val="00E46EF3"/>
    <w:rsid w:val="00E4701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41B"/>
    <w:rsid w:val="00E67FAC"/>
    <w:rsid w:val="00E7200B"/>
    <w:rsid w:val="00E72448"/>
    <w:rsid w:val="00E738CB"/>
    <w:rsid w:val="00E73C88"/>
    <w:rsid w:val="00E74437"/>
    <w:rsid w:val="00E7443D"/>
    <w:rsid w:val="00E75ACE"/>
    <w:rsid w:val="00E7674B"/>
    <w:rsid w:val="00E771AF"/>
    <w:rsid w:val="00E80386"/>
    <w:rsid w:val="00E809C3"/>
    <w:rsid w:val="00E8186A"/>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2FB3"/>
    <w:rsid w:val="00EB3307"/>
    <w:rsid w:val="00EB3823"/>
    <w:rsid w:val="00EB466D"/>
    <w:rsid w:val="00EB47D8"/>
    <w:rsid w:val="00EB57D3"/>
    <w:rsid w:val="00EB5EFD"/>
    <w:rsid w:val="00EB679F"/>
    <w:rsid w:val="00EB76E4"/>
    <w:rsid w:val="00EC0E65"/>
    <w:rsid w:val="00EC1251"/>
    <w:rsid w:val="00EC2938"/>
    <w:rsid w:val="00EC337D"/>
    <w:rsid w:val="00EC38EF"/>
    <w:rsid w:val="00EC4821"/>
    <w:rsid w:val="00EC50C9"/>
    <w:rsid w:val="00EC58B4"/>
    <w:rsid w:val="00EC5BB2"/>
    <w:rsid w:val="00ED12F0"/>
    <w:rsid w:val="00ED290C"/>
    <w:rsid w:val="00ED2A6C"/>
    <w:rsid w:val="00ED4773"/>
    <w:rsid w:val="00ED5284"/>
    <w:rsid w:val="00ED664B"/>
    <w:rsid w:val="00ED6A61"/>
    <w:rsid w:val="00ED6DE0"/>
    <w:rsid w:val="00ED7DA4"/>
    <w:rsid w:val="00EE03BB"/>
    <w:rsid w:val="00EE0552"/>
    <w:rsid w:val="00EE0B44"/>
    <w:rsid w:val="00EE125D"/>
    <w:rsid w:val="00EE23DE"/>
    <w:rsid w:val="00EE444D"/>
    <w:rsid w:val="00EE48BB"/>
    <w:rsid w:val="00EE6FE0"/>
    <w:rsid w:val="00EE704A"/>
    <w:rsid w:val="00EE7840"/>
    <w:rsid w:val="00EF2E75"/>
    <w:rsid w:val="00EF4C74"/>
    <w:rsid w:val="00EF5268"/>
    <w:rsid w:val="00EF608E"/>
    <w:rsid w:val="00EF6C4A"/>
    <w:rsid w:val="00F0044B"/>
    <w:rsid w:val="00F02218"/>
    <w:rsid w:val="00F0341F"/>
    <w:rsid w:val="00F03525"/>
    <w:rsid w:val="00F0424D"/>
    <w:rsid w:val="00F04957"/>
    <w:rsid w:val="00F05807"/>
    <w:rsid w:val="00F06451"/>
    <w:rsid w:val="00F066FE"/>
    <w:rsid w:val="00F07052"/>
    <w:rsid w:val="00F0706C"/>
    <w:rsid w:val="00F11EBE"/>
    <w:rsid w:val="00F12293"/>
    <w:rsid w:val="00F12591"/>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367FA"/>
    <w:rsid w:val="00F41D1F"/>
    <w:rsid w:val="00F41D91"/>
    <w:rsid w:val="00F41F52"/>
    <w:rsid w:val="00F42363"/>
    <w:rsid w:val="00F427C4"/>
    <w:rsid w:val="00F43D6C"/>
    <w:rsid w:val="00F456D6"/>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53B7"/>
    <w:rsid w:val="00F75A4D"/>
    <w:rsid w:val="00F76D01"/>
    <w:rsid w:val="00F80B43"/>
    <w:rsid w:val="00F81C35"/>
    <w:rsid w:val="00F82981"/>
    <w:rsid w:val="00F8311F"/>
    <w:rsid w:val="00F83248"/>
    <w:rsid w:val="00F83376"/>
    <w:rsid w:val="00F83945"/>
    <w:rsid w:val="00F853AE"/>
    <w:rsid w:val="00F908D5"/>
    <w:rsid w:val="00F913B9"/>
    <w:rsid w:val="00F93C74"/>
    <w:rsid w:val="00F93DCC"/>
    <w:rsid w:val="00F9435D"/>
    <w:rsid w:val="00F94495"/>
    <w:rsid w:val="00F966F9"/>
    <w:rsid w:val="00F96F61"/>
    <w:rsid w:val="00F97740"/>
    <w:rsid w:val="00FA0C8F"/>
    <w:rsid w:val="00FA2DEF"/>
    <w:rsid w:val="00FA2F7B"/>
    <w:rsid w:val="00FA3C97"/>
    <w:rsid w:val="00FA3D30"/>
    <w:rsid w:val="00FA45DF"/>
    <w:rsid w:val="00FA4B49"/>
    <w:rsid w:val="00FA54F8"/>
    <w:rsid w:val="00FA78C8"/>
    <w:rsid w:val="00FA7A2F"/>
    <w:rsid w:val="00FB01A7"/>
    <w:rsid w:val="00FB09FE"/>
    <w:rsid w:val="00FB0E80"/>
    <w:rsid w:val="00FB101D"/>
    <w:rsid w:val="00FB1725"/>
    <w:rsid w:val="00FB2493"/>
    <w:rsid w:val="00FB42B7"/>
    <w:rsid w:val="00FB4484"/>
    <w:rsid w:val="00FB593A"/>
    <w:rsid w:val="00FB6410"/>
    <w:rsid w:val="00FB6E82"/>
    <w:rsid w:val="00FB792E"/>
    <w:rsid w:val="00FB7CF0"/>
    <w:rsid w:val="00FC0042"/>
    <w:rsid w:val="00FC10EC"/>
    <w:rsid w:val="00FC1E67"/>
    <w:rsid w:val="00FC2A13"/>
    <w:rsid w:val="00FC4284"/>
    <w:rsid w:val="00FC4576"/>
    <w:rsid w:val="00FC5893"/>
    <w:rsid w:val="00FC5FF5"/>
    <w:rsid w:val="00FC6285"/>
    <w:rsid w:val="00FC78FB"/>
    <w:rsid w:val="00FC792E"/>
    <w:rsid w:val="00FC7DBC"/>
    <w:rsid w:val="00FD076A"/>
    <w:rsid w:val="00FD0AA0"/>
    <w:rsid w:val="00FD1D5A"/>
    <w:rsid w:val="00FD4D5E"/>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styleId="Strong">
    <w:name w:val="Strong"/>
    <w:basedOn w:val="DefaultParagraphFont"/>
    <w:uiPriority w:val="22"/>
    <w:qFormat/>
    <w:rsid w:val="00D420AA"/>
    <w:rPr>
      <w:b/>
      <w:bCs/>
    </w:rPr>
  </w:style>
  <w:style w:type="character" w:customStyle="1" w:styleId="HeaderChar">
    <w:name w:val="Header Char"/>
    <w:basedOn w:val="DefaultParagraphFont"/>
    <w:link w:val="Header"/>
    <w:uiPriority w:val="99"/>
    <w:locked/>
    <w:rsid w:val="00956DD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13680212">
      <w:bodyDiv w:val="1"/>
      <w:marLeft w:val="0"/>
      <w:marRight w:val="0"/>
      <w:marTop w:val="0"/>
      <w:marBottom w:val="0"/>
      <w:divBdr>
        <w:top w:val="none" w:sz="0" w:space="0" w:color="auto"/>
        <w:left w:val="none" w:sz="0" w:space="0" w:color="auto"/>
        <w:bottom w:val="none" w:sz="0" w:space="0" w:color="auto"/>
        <w:right w:val="none" w:sz="0" w:space="0" w:color="auto"/>
      </w:divBdr>
    </w:div>
    <w:div w:id="341394568">
      <w:bodyDiv w:val="1"/>
      <w:marLeft w:val="0"/>
      <w:marRight w:val="0"/>
      <w:marTop w:val="0"/>
      <w:marBottom w:val="0"/>
      <w:divBdr>
        <w:top w:val="none" w:sz="0" w:space="0" w:color="auto"/>
        <w:left w:val="none" w:sz="0" w:space="0" w:color="auto"/>
        <w:bottom w:val="none" w:sz="0" w:space="0" w:color="auto"/>
        <w:right w:val="none" w:sz="0" w:space="0" w:color="auto"/>
      </w:divBdr>
      <w:divsChild>
        <w:div w:id="1597714816">
          <w:marLeft w:val="0"/>
          <w:marRight w:val="0"/>
          <w:marTop w:val="0"/>
          <w:marBottom w:val="0"/>
          <w:divBdr>
            <w:top w:val="none" w:sz="0" w:space="0" w:color="auto"/>
            <w:left w:val="none" w:sz="0" w:space="0" w:color="auto"/>
            <w:bottom w:val="none" w:sz="0" w:space="0" w:color="auto"/>
            <w:right w:val="none" w:sz="0" w:space="0" w:color="auto"/>
          </w:divBdr>
          <w:divsChild>
            <w:div w:id="1498571385">
              <w:marLeft w:val="0"/>
              <w:marRight w:val="0"/>
              <w:marTop w:val="0"/>
              <w:marBottom w:val="0"/>
              <w:divBdr>
                <w:top w:val="none" w:sz="0" w:space="0" w:color="auto"/>
                <w:left w:val="none" w:sz="0" w:space="0" w:color="auto"/>
                <w:bottom w:val="none" w:sz="0" w:space="0" w:color="auto"/>
                <w:right w:val="none" w:sz="0" w:space="0" w:color="auto"/>
              </w:divBdr>
              <w:divsChild>
                <w:div w:id="19795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1168075">
      <w:bodyDiv w:val="1"/>
      <w:marLeft w:val="0"/>
      <w:marRight w:val="0"/>
      <w:marTop w:val="0"/>
      <w:marBottom w:val="0"/>
      <w:divBdr>
        <w:top w:val="none" w:sz="0" w:space="0" w:color="auto"/>
        <w:left w:val="none" w:sz="0" w:space="0" w:color="auto"/>
        <w:bottom w:val="none" w:sz="0" w:space="0" w:color="auto"/>
        <w:right w:val="none" w:sz="0" w:space="0" w:color="auto"/>
      </w:divBdr>
      <w:divsChild>
        <w:div w:id="238907819">
          <w:marLeft w:val="0"/>
          <w:marRight w:val="0"/>
          <w:marTop w:val="0"/>
          <w:marBottom w:val="0"/>
          <w:divBdr>
            <w:top w:val="none" w:sz="0" w:space="0" w:color="auto"/>
            <w:left w:val="none" w:sz="0" w:space="0" w:color="auto"/>
            <w:bottom w:val="none" w:sz="0" w:space="0" w:color="auto"/>
            <w:right w:val="none" w:sz="0" w:space="0" w:color="auto"/>
          </w:divBdr>
          <w:divsChild>
            <w:div w:id="6493416">
              <w:marLeft w:val="0"/>
              <w:marRight w:val="0"/>
              <w:marTop w:val="0"/>
              <w:marBottom w:val="0"/>
              <w:divBdr>
                <w:top w:val="none" w:sz="0" w:space="0" w:color="auto"/>
                <w:left w:val="none" w:sz="0" w:space="0" w:color="auto"/>
                <w:bottom w:val="none" w:sz="0" w:space="0" w:color="auto"/>
                <w:right w:val="none" w:sz="0" w:space="0" w:color="auto"/>
              </w:divBdr>
              <w:divsChild>
                <w:div w:id="5547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319578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58359520">
      <w:bodyDiv w:val="1"/>
      <w:marLeft w:val="0"/>
      <w:marRight w:val="0"/>
      <w:marTop w:val="0"/>
      <w:marBottom w:val="0"/>
      <w:divBdr>
        <w:top w:val="none" w:sz="0" w:space="0" w:color="auto"/>
        <w:left w:val="none" w:sz="0" w:space="0" w:color="auto"/>
        <w:bottom w:val="none" w:sz="0" w:space="0" w:color="auto"/>
        <w:right w:val="none" w:sz="0" w:space="0" w:color="auto"/>
      </w:divBdr>
      <w:divsChild>
        <w:div w:id="385107862">
          <w:marLeft w:val="0"/>
          <w:marRight w:val="0"/>
          <w:marTop w:val="0"/>
          <w:marBottom w:val="0"/>
          <w:divBdr>
            <w:top w:val="none" w:sz="0" w:space="0" w:color="auto"/>
            <w:left w:val="none" w:sz="0" w:space="0" w:color="auto"/>
            <w:bottom w:val="none" w:sz="0" w:space="0" w:color="auto"/>
            <w:right w:val="none" w:sz="0" w:space="0" w:color="auto"/>
          </w:divBdr>
          <w:divsChild>
            <w:div w:id="1150635244">
              <w:marLeft w:val="0"/>
              <w:marRight w:val="0"/>
              <w:marTop w:val="0"/>
              <w:marBottom w:val="0"/>
              <w:divBdr>
                <w:top w:val="none" w:sz="0" w:space="0" w:color="auto"/>
                <w:left w:val="none" w:sz="0" w:space="0" w:color="auto"/>
                <w:bottom w:val="none" w:sz="0" w:space="0" w:color="auto"/>
                <w:right w:val="none" w:sz="0" w:space="0" w:color="auto"/>
              </w:divBdr>
              <w:divsChild>
                <w:div w:id="10478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1360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EFDC-987F-4174-977D-111AA835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2011-11-07T23:04:00Z</cp:lastPrinted>
  <dcterms:created xsi:type="dcterms:W3CDTF">2011-10-31T17:48:00Z</dcterms:created>
  <dcterms:modified xsi:type="dcterms:W3CDTF">2012-04-02T20:54:00Z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