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31B7F" w:rsidRDefault="00540BEF" w:rsidP="00431B7F">
      <w:pPr>
        <w:tabs>
          <w:tab w:val="left" w:pos="288"/>
          <w:tab w:val="left" w:pos="4752"/>
        </w:tabs>
        <w:spacing w:line="240" w:lineRule="exact"/>
        <w:jc w:val="center"/>
        <w:rPr>
          <w:rFonts w:asciiTheme="minorHAnsi" w:hAnsiTheme="minorHAnsi"/>
          <w:color w:val="auto"/>
        </w:rPr>
      </w:pPr>
      <w:r w:rsidRPr="00431B7F">
        <w:rPr>
          <w:rFonts w:asciiTheme="minorHAnsi" w:hAnsiTheme="minorHAnsi"/>
          <w:color w:val="auto"/>
        </w:rPr>
        <w:t>RECORD OF PROCEEDINGS</w:t>
      </w:r>
    </w:p>
    <w:p w:rsidR="00540BEF" w:rsidRPr="00431B7F" w:rsidRDefault="00540BEF" w:rsidP="00431B7F">
      <w:pPr>
        <w:tabs>
          <w:tab w:val="left" w:pos="288"/>
          <w:tab w:val="left" w:pos="4752"/>
        </w:tabs>
        <w:spacing w:line="240" w:lineRule="exact"/>
        <w:jc w:val="center"/>
        <w:rPr>
          <w:rFonts w:asciiTheme="minorHAnsi" w:hAnsiTheme="minorHAnsi"/>
          <w:color w:val="auto"/>
        </w:rPr>
      </w:pPr>
      <w:r w:rsidRPr="00431B7F">
        <w:rPr>
          <w:rFonts w:asciiTheme="minorHAnsi" w:hAnsiTheme="minorHAnsi"/>
          <w:color w:val="auto"/>
        </w:rPr>
        <w:t>PHYSICAL DISABILITY BOARD OF REVIEW</w:t>
      </w:r>
    </w:p>
    <w:p w:rsidR="00540BEF" w:rsidRPr="00431B7F" w:rsidRDefault="00540BEF" w:rsidP="00431B7F">
      <w:pPr>
        <w:tabs>
          <w:tab w:val="left" w:pos="288"/>
          <w:tab w:val="left" w:pos="4752"/>
        </w:tabs>
        <w:spacing w:line="240" w:lineRule="exact"/>
        <w:jc w:val="both"/>
        <w:rPr>
          <w:rFonts w:asciiTheme="minorHAnsi" w:hAnsiTheme="minorHAnsi"/>
          <w:caps/>
          <w:color w:val="auto"/>
        </w:rPr>
      </w:pPr>
    </w:p>
    <w:p w:rsidR="00540BEF" w:rsidRPr="00431B7F" w:rsidRDefault="00540BEF" w:rsidP="00431B7F">
      <w:pPr>
        <w:tabs>
          <w:tab w:val="left" w:pos="288"/>
          <w:tab w:val="left" w:pos="4752"/>
        </w:tabs>
        <w:spacing w:line="240" w:lineRule="exact"/>
        <w:ind w:right="-1260"/>
        <w:jc w:val="both"/>
        <w:rPr>
          <w:rFonts w:asciiTheme="minorHAnsi" w:hAnsiTheme="minorHAnsi"/>
          <w:caps/>
          <w:color w:val="auto"/>
        </w:rPr>
      </w:pPr>
      <w:r w:rsidRPr="00431B7F">
        <w:rPr>
          <w:rFonts w:asciiTheme="minorHAnsi" w:hAnsiTheme="minorHAnsi"/>
          <w:caps/>
          <w:color w:val="auto"/>
        </w:rPr>
        <w:t>NAME:</w:t>
      </w:r>
      <w:r w:rsidR="00CF5E0B" w:rsidRPr="00431B7F">
        <w:rPr>
          <w:rFonts w:asciiTheme="minorHAnsi" w:hAnsiTheme="minorHAnsi"/>
          <w:caps/>
          <w:color w:val="auto"/>
        </w:rPr>
        <w:t xml:space="preserve">  </w:t>
      </w:r>
      <w:r w:rsidR="003B6956">
        <w:rPr>
          <w:rFonts w:asciiTheme="minorHAnsi" w:hAnsiTheme="minorHAnsi"/>
          <w:caps/>
          <w:color w:val="auto"/>
        </w:rPr>
        <w:t>XXXX</w:t>
      </w:r>
      <w:r w:rsidRPr="00431B7F">
        <w:rPr>
          <w:rFonts w:asciiTheme="minorHAnsi" w:hAnsiTheme="minorHAnsi"/>
          <w:caps/>
          <w:color w:val="auto"/>
        </w:rPr>
        <w:tab/>
      </w:r>
      <w:r w:rsidR="00542F46">
        <w:rPr>
          <w:rFonts w:asciiTheme="minorHAnsi" w:hAnsiTheme="minorHAnsi"/>
          <w:caps/>
          <w:color w:val="auto"/>
        </w:rPr>
        <w:t xml:space="preserve">     </w:t>
      </w:r>
      <w:r w:rsidRPr="00431B7F">
        <w:rPr>
          <w:rFonts w:asciiTheme="minorHAnsi" w:hAnsiTheme="minorHAnsi"/>
          <w:caps/>
          <w:color w:val="auto"/>
        </w:rPr>
        <w:t xml:space="preserve">BRANCH OF SERVICE: </w:t>
      </w:r>
      <w:r w:rsidR="00E1012B" w:rsidRPr="00431B7F">
        <w:rPr>
          <w:rFonts w:asciiTheme="minorHAnsi" w:hAnsiTheme="minorHAnsi"/>
          <w:caps/>
          <w:color w:val="auto"/>
        </w:rPr>
        <w:t xml:space="preserve"> </w:t>
      </w:r>
      <w:r w:rsidR="00CF5E0B" w:rsidRPr="00431B7F">
        <w:rPr>
          <w:rFonts w:asciiTheme="minorHAnsi" w:hAnsiTheme="minorHAnsi"/>
          <w:caps/>
          <w:color w:val="auto"/>
        </w:rPr>
        <w:t>marine Corps</w:t>
      </w:r>
    </w:p>
    <w:p w:rsidR="00540BEF" w:rsidRPr="00431B7F" w:rsidRDefault="00540BEF" w:rsidP="00431B7F">
      <w:pPr>
        <w:tabs>
          <w:tab w:val="left" w:pos="288"/>
          <w:tab w:val="left" w:pos="4752"/>
        </w:tabs>
        <w:spacing w:line="240" w:lineRule="exact"/>
        <w:ind w:right="-900"/>
        <w:jc w:val="both"/>
        <w:rPr>
          <w:rFonts w:asciiTheme="minorHAnsi" w:hAnsiTheme="minorHAnsi"/>
          <w:caps/>
          <w:color w:val="auto"/>
        </w:rPr>
      </w:pPr>
      <w:r w:rsidRPr="00431B7F">
        <w:rPr>
          <w:rFonts w:asciiTheme="minorHAnsi" w:hAnsiTheme="minorHAnsi"/>
          <w:caps/>
          <w:color w:val="auto"/>
        </w:rPr>
        <w:t>CASE NUMBER:  PD</w:t>
      </w:r>
      <w:r w:rsidR="005014DE" w:rsidRPr="00431B7F">
        <w:rPr>
          <w:rFonts w:asciiTheme="minorHAnsi" w:hAnsiTheme="minorHAnsi"/>
          <w:caps/>
          <w:color w:val="auto"/>
        </w:rPr>
        <w:t>1</w:t>
      </w:r>
      <w:r w:rsidR="00CF5E0B" w:rsidRPr="00431B7F">
        <w:rPr>
          <w:rFonts w:asciiTheme="minorHAnsi" w:hAnsiTheme="minorHAnsi"/>
          <w:caps/>
          <w:color w:val="auto"/>
        </w:rPr>
        <w:t>000506</w:t>
      </w:r>
      <w:r w:rsidRPr="00431B7F">
        <w:rPr>
          <w:rFonts w:asciiTheme="minorHAnsi" w:hAnsiTheme="minorHAnsi"/>
          <w:caps/>
          <w:color w:val="auto"/>
        </w:rPr>
        <w:tab/>
      </w:r>
      <w:r w:rsidRPr="00431B7F">
        <w:rPr>
          <w:rFonts w:asciiTheme="minorHAnsi" w:hAnsiTheme="minorHAnsi"/>
          <w:caps/>
          <w:color w:val="auto"/>
        </w:rPr>
        <w:tab/>
      </w:r>
      <w:r w:rsidR="00C22F3A" w:rsidRPr="00431B7F">
        <w:rPr>
          <w:rFonts w:asciiTheme="minorHAnsi" w:hAnsiTheme="minorHAnsi"/>
          <w:caps/>
          <w:color w:val="auto"/>
        </w:rPr>
        <w:t xml:space="preserve">SEPARATION DATE: </w:t>
      </w:r>
      <w:r w:rsidR="00431B7F" w:rsidRPr="00431B7F">
        <w:rPr>
          <w:rFonts w:asciiTheme="minorHAnsi" w:hAnsiTheme="minorHAnsi"/>
          <w:caps/>
          <w:color w:val="auto"/>
        </w:rPr>
        <w:t xml:space="preserve"> </w:t>
      </w:r>
      <w:r w:rsidR="00C22F3A" w:rsidRPr="00431B7F">
        <w:rPr>
          <w:rFonts w:asciiTheme="minorHAnsi" w:hAnsiTheme="minorHAnsi"/>
          <w:caps/>
          <w:color w:val="auto"/>
        </w:rPr>
        <w:t>200</w:t>
      </w:r>
      <w:r w:rsidR="00D51FF5" w:rsidRPr="00431B7F">
        <w:rPr>
          <w:rFonts w:asciiTheme="minorHAnsi" w:hAnsiTheme="minorHAnsi"/>
          <w:caps/>
          <w:color w:val="auto"/>
        </w:rPr>
        <w:t>51215</w:t>
      </w:r>
    </w:p>
    <w:p w:rsidR="00540BEF" w:rsidRPr="00431B7F" w:rsidRDefault="00540BEF" w:rsidP="00431B7F">
      <w:pPr>
        <w:tabs>
          <w:tab w:val="left" w:pos="288"/>
          <w:tab w:val="left" w:pos="4752"/>
        </w:tabs>
        <w:spacing w:line="240" w:lineRule="exact"/>
        <w:jc w:val="both"/>
        <w:rPr>
          <w:rFonts w:asciiTheme="minorHAnsi" w:hAnsiTheme="minorHAnsi"/>
          <w:caps/>
          <w:color w:val="auto"/>
        </w:rPr>
      </w:pPr>
      <w:r w:rsidRPr="00431B7F">
        <w:rPr>
          <w:rFonts w:asciiTheme="minorHAnsi" w:hAnsiTheme="minorHAnsi"/>
          <w:caps/>
          <w:color w:val="auto"/>
        </w:rPr>
        <w:t xml:space="preserve">BOARD DATE: </w:t>
      </w:r>
      <w:r w:rsidR="00431B7F" w:rsidRPr="00431B7F">
        <w:rPr>
          <w:rFonts w:asciiTheme="minorHAnsi" w:hAnsiTheme="minorHAnsi"/>
          <w:caps/>
          <w:color w:val="auto"/>
        </w:rPr>
        <w:t xml:space="preserve"> </w:t>
      </w:r>
      <w:r w:rsidR="000F02BE" w:rsidRPr="00431B7F">
        <w:rPr>
          <w:rFonts w:asciiTheme="minorHAnsi" w:hAnsiTheme="minorHAnsi"/>
          <w:caps/>
          <w:color w:val="auto"/>
        </w:rPr>
        <w:t>201</w:t>
      </w:r>
      <w:r w:rsidR="00431B7F" w:rsidRPr="00431B7F">
        <w:rPr>
          <w:rFonts w:asciiTheme="minorHAnsi" w:hAnsiTheme="minorHAnsi"/>
          <w:caps/>
          <w:color w:val="auto"/>
        </w:rPr>
        <w:t>1</w:t>
      </w:r>
      <w:r w:rsidR="00542F46">
        <w:rPr>
          <w:rFonts w:asciiTheme="minorHAnsi" w:hAnsiTheme="minorHAnsi"/>
          <w:caps/>
          <w:color w:val="auto"/>
        </w:rPr>
        <w:t>0128</w:t>
      </w:r>
      <w:r w:rsidRPr="00431B7F">
        <w:rPr>
          <w:rFonts w:asciiTheme="minorHAnsi" w:hAnsiTheme="minorHAnsi"/>
          <w:caps/>
          <w:color w:val="auto"/>
        </w:rPr>
        <w:tab/>
      </w:r>
      <w:r w:rsidRPr="00431B7F">
        <w:rPr>
          <w:rFonts w:asciiTheme="minorHAnsi" w:hAnsiTheme="minorHAnsi"/>
          <w:caps/>
          <w:color w:val="auto"/>
        </w:rPr>
        <w:tab/>
      </w:r>
    </w:p>
    <w:p w:rsidR="00540BEF" w:rsidRPr="00542F46" w:rsidRDefault="00540BEF" w:rsidP="00431B7F">
      <w:pPr>
        <w:tabs>
          <w:tab w:val="left" w:pos="288"/>
          <w:tab w:val="left" w:pos="4752"/>
        </w:tabs>
        <w:spacing w:line="240" w:lineRule="exact"/>
        <w:jc w:val="both"/>
        <w:rPr>
          <w:rFonts w:asciiTheme="minorHAnsi" w:hAnsiTheme="minorHAnsi"/>
          <w:caps/>
          <w:color w:val="auto"/>
        </w:rPr>
      </w:pPr>
      <w:r w:rsidRPr="00542F46">
        <w:rPr>
          <w:rFonts w:asciiTheme="minorHAnsi" w:hAnsiTheme="minorHAnsi"/>
          <w:color w:val="auto"/>
          <w:u w:val="single"/>
        </w:rPr>
        <w:t>_______________________________________________________________</w:t>
      </w:r>
      <w:r w:rsidRPr="00542F46">
        <w:rPr>
          <w:rFonts w:asciiTheme="minorHAnsi" w:hAnsiTheme="minorHAnsi"/>
          <w:color w:val="auto"/>
        </w:rPr>
        <w:t>_</w:t>
      </w:r>
      <w:r w:rsidR="00AC713F" w:rsidRPr="00542F46">
        <w:rPr>
          <w:rFonts w:asciiTheme="minorHAnsi" w:hAnsiTheme="minorHAnsi"/>
          <w:color w:val="auto"/>
        </w:rPr>
        <w:t>___________</w:t>
      </w:r>
    </w:p>
    <w:p w:rsidR="00B522CD" w:rsidRPr="00542F46" w:rsidRDefault="00B522CD" w:rsidP="00431B7F">
      <w:pPr>
        <w:tabs>
          <w:tab w:val="left" w:pos="288"/>
          <w:tab w:val="left" w:pos="4752"/>
        </w:tabs>
        <w:spacing w:line="240" w:lineRule="exact"/>
        <w:rPr>
          <w:color w:val="auto"/>
        </w:rPr>
      </w:pPr>
    </w:p>
    <w:p w:rsidR="00954E5B" w:rsidRPr="00542F46" w:rsidRDefault="002C6E5B" w:rsidP="00431B7F">
      <w:pPr>
        <w:tabs>
          <w:tab w:val="left" w:pos="288"/>
          <w:tab w:val="left" w:pos="4752"/>
        </w:tabs>
        <w:spacing w:line="240" w:lineRule="exact"/>
        <w:jc w:val="both"/>
        <w:rPr>
          <w:rFonts w:ascii="Calibri" w:hAnsi="Calibri"/>
          <w:color w:val="auto"/>
          <w:szCs w:val="24"/>
        </w:rPr>
      </w:pPr>
      <w:r w:rsidRPr="00542F46">
        <w:rPr>
          <w:rFonts w:ascii="Calibri" w:hAnsi="Calibri"/>
          <w:color w:val="auto"/>
          <w:u w:val="single"/>
        </w:rPr>
        <w:t>SUMMARY OF CASE</w:t>
      </w:r>
      <w:r w:rsidRPr="00542F46">
        <w:rPr>
          <w:rFonts w:ascii="Calibri" w:hAnsi="Calibri"/>
          <w:color w:val="auto"/>
        </w:rPr>
        <w:t xml:space="preserve">:  </w:t>
      </w:r>
      <w:r w:rsidR="00ED594F">
        <w:rPr>
          <w:rFonts w:ascii="Calibri" w:hAnsi="Calibri"/>
          <w:color w:val="auto"/>
        </w:rPr>
        <w:t>Data extracted from the available evidence of record reflects that t</w:t>
      </w:r>
      <w:r w:rsidRPr="00542F46">
        <w:rPr>
          <w:rFonts w:ascii="Calibri" w:hAnsi="Calibri"/>
          <w:color w:val="auto"/>
          <w:szCs w:val="24"/>
        </w:rPr>
        <w:t xml:space="preserve">his covered individual (CI) was </w:t>
      </w:r>
      <w:r w:rsidR="00E322F7" w:rsidRPr="00542F46">
        <w:rPr>
          <w:rFonts w:ascii="Calibri" w:hAnsi="Calibri"/>
          <w:color w:val="auto"/>
          <w:szCs w:val="24"/>
        </w:rPr>
        <w:t>an active duty</w:t>
      </w:r>
      <w:r w:rsidR="006D4E0E" w:rsidRPr="00542F46">
        <w:rPr>
          <w:rFonts w:ascii="Calibri" w:hAnsi="Calibri"/>
          <w:color w:val="auto"/>
          <w:szCs w:val="24"/>
        </w:rPr>
        <w:t xml:space="preserve"> </w:t>
      </w:r>
      <w:r w:rsidR="00D51FF5" w:rsidRPr="00542F46">
        <w:rPr>
          <w:rFonts w:asciiTheme="minorHAnsi" w:hAnsiTheme="minorHAnsi"/>
          <w:color w:val="auto"/>
          <w:szCs w:val="24"/>
        </w:rPr>
        <w:t xml:space="preserve">Corporal (7051/Aircraft Fire-fighter and Rescue </w:t>
      </w:r>
      <w:r w:rsidR="00D51FF5" w:rsidRPr="00542F46">
        <w:rPr>
          <w:rFonts w:asciiTheme="minorHAnsi" w:eastAsia="HiddenHorzOCR" w:hAnsiTheme="minorHAnsi" w:cs="HiddenHorzOCR"/>
          <w:color w:val="auto"/>
          <w:szCs w:val="24"/>
        </w:rPr>
        <w:t>Specialist</w:t>
      </w:r>
      <w:r w:rsidR="00D51FF5" w:rsidRPr="00542F46">
        <w:rPr>
          <w:rFonts w:asciiTheme="minorHAnsi" w:hAnsiTheme="minorHAnsi"/>
          <w:color w:val="auto"/>
          <w:szCs w:val="24"/>
        </w:rPr>
        <w:t xml:space="preserve">) medically separated from the Marine Corps in 2005 after 4 years of service. </w:t>
      </w:r>
      <w:r w:rsidR="00ED594F">
        <w:rPr>
          <w:rFonts w:asciiTheme="minorHAnsi" w:hAnsiTheme="minorHAnsi"/>
          <w:color w:val="auto"/>
          <w:szCs w:val="24"/>
        </w:rPr>
        <w:t xml:space="preserve"> </w:t>
      </w:r>
      <w:r w:rsidR="00D51FF5" w:rsidRPr="00542F46">
        <w:rPr>
          <w:rFonts w:asciiTheme="minorHAnsi" w:hAnsiTheme="minorHAnsi"/>
          <w:color w:val="auto"/>
          <w:szCs w:val="24"/>
        </w:rPr>
        <w:t>The medical basis for the separation was Post-traumatic Stress Disorder</w:t>
      </w:r>
      <w:r w:rsidR="00F448E9" w:rsidRPr="00542F46">
        <w:rPr>
          <w:rFonts w:asciiTheme="minorHAnsi" w:hAnsiTheme="minorHAnsi"/>
          <w:color w:val="auto"/>
          <w:szCs w:val="24"/>
        </w:rPr>
        <w:t xml:space="preserve"> (PTSD)</w:t>
      </w:r>
      <w:r w:rsidR="00D51FF5" w:rsidRPr="00542F46">
        <w:rPr>
          <w:rFonts w:asciiTheme="minorHAnsi" w:hAnsiTheme="minorHAnsi"/>
          <w:color w:val="auto"/>
          <w:szCs w:val="24"/>
        </w:rPr>
        <w:t xml:space="preserve">. </w:t>
      </w:r>
      <w:r w:rsidR="00442679" w:rsidRPr="00542F46">
        <w:rPr>
          <w:rFonts w:asciiTheme="minorHAnsi" w:hAnsiTheme="minorHAnsi"/>
          <w:color w:val="auto"/>
          <w:szCs w:val="24"/>
        </w:rPr>
        <w:t xml:space="preserve"> </w:t>
      </w:r>
      <w:r w:rsidR="00411F2C" w:rsidRPr="00542F46">
        <w:rPr>
          <w:rFonts w:asciiTheme="minorHAnsi" w:hAnsiTheme="minorHAnsi"/>
          <w:color w:val="auto"/>
          <w:szCs w:val="24"/>
        </w:rPr>
        <w:t xml:space="preserve">While deployed to Iraq </w:t>
      </w:r>
      <w:r w:rsidR="00442679" w:rsidRPr="00542F46">
        <w:rPr>
          <w:rFonts w:asciiTheme="minorHAnsi" w:hAnsiTheme="minorHAnsi"/>
          <w:color w:val="auto"/>
          <w:szCs w:val="24"/>
        </w:rPr>
        <w:t>in Apr</w:t>
      </w:r>
      <w:r w:rsidR="00ED594F">
        <w:rPr>
          <w:rFonts w:asciiTheme="minorHAnsi" w:hAnsiTheme="minorHAnsi"/>
          <w:color w:val="auto"/>
          <w:szCs w:val="24"/>
        </w:rPr>
        <w:t>il</w:t>
      </w:r>
      <w:r w:rsidR="00442679" w:rsidRPr="00542F46">
        <w:rPr>
          <w:rFonts w:asciiTheme="minorHAnsi" w:hAnsiTheme="minorHAnsi"/>
          <w:color w:val="auto"/>
          <w:szCs w:val="24"/>
        </w:rPr>
        <w:t xml:space="preserve"> 2005 </w:t>
      </w:r>
      <w:r w:rsidR="00411F2C" w:rsidRPr="00542F46">
        <w:rPr>
          <w:rFonts w:asciiTheme="minorHAnsi" w:hAnsiTheme="minorHAnsi"/>
          <w:color w:val="auto"/>
          <w:szCs w:val="24"/>
        </w:rPr>
        <w:t>t</w:t>
      </w:r>
      <w:r w:rsidR="00F448E9" w:rsidRPr="00542F46">
        <w:rPr>
          <w:rFonts w:asciiTheme="minorHAnsi" w:hAnsiTheme="minorHAnsi"/>
          <w:color w:val="auto"/>
          <w:szCs w:val="24"/>
        </w:rPr>
        <w:t xml:space="preserve">he CI presented with </w:t>
      </w:r>
      <w:r w:rsidR="00442679" w:rsidRPr="00542F46">
        <w:rPr>
          <w:rFonts w:asciiTheme="minorHAnsi" w:hAnsiTheme="minorHAnsi"/>
          <w:color w:val="auto"/>
          <w:szCs w:val="24"/>
        </w:rPr>
        <w:t xml:space="preserve">combat stress type </w:t>
      </w:r>
      <w:r w:rsidR="00F448E9" w:rsidRPr="00542F46">
        <w:rPr>
          <w:rFonts w:asciiTheme="minorHAnsi" w:hAnsiTheme="minorHAnsi"/>
          <w:color w:val="auto"/>
          <w:szCs w:val="24"/>
        </w:rPr>
        <w:t>symptoms</w:t>
      </w:r>
      <w:r w:rsidR="009A6968" w:rsidRPr="00542F46">
        <w:rPr>
          <w:rFonts w:asciiTheme="minorHAnsi" w:hAnsiTheme="minorHAnsi"/>
          <w:color w:val="auto"/>
          <w:szCs w:val="24"/>
        </w:rPr>
        <w:t xml:space="preserve"> </w:t>
      </w:r>
      <w:r w:rsidR="00442679" w:rsidRPr="00542F46">
        <w:rPr>
          <w:rFonts w:asciiTheme="minorHAnsi" w:hAnsiTheme="minorHAnsi"/>
          <w:color w:val="auto"/>
          <w:szCs w:val="24"/>
        </w:rPr>
        <w:t xml:space="preserve">that were not resolved by in-theater treatment and </w:t>
      </w:r>
      <w:r w:rsidR="00411F2C" w:rsidRPr="00542F46">
        <w:rPr>
          <w:rFonts w:asciiTheme="minorHAnsi" w:hAnsiTheme="minorHAnsi"/>
          <w:color w:val="auto"/>
          <w:szCs w:val="24"/>
        </w:rPr>
        <w:t>Limited Duty (LIMDU)</w:t>
      </w:r>
      <w:r w:rsidR="00442679" w:rsidRPr="00542F46">
        <w:rPr>
          <w:rFonts w:asciiTheme="minorHAnsi" w:hAnsiTheme="minorHAnsi"/>
          <w:color w:val="auto"/>
          <w:szCs w:val="24"/>
        </w:rPr>
        <w:t>.</w:t>
      </w:r>
      <w:r w:rsidR="00411F2C" w:rsidRPr="00542F46">
        <w:rPr>
          <w:rFonts w:asciiTheme="minorHAnsi" w:hAnsiTheme="minorHAnsi"/>
          <w:color w:val="auto"/>
          <w:szCs w:val="24"/>
        </w:rPr>
        <w:t xml:space="preserve"> </w:t>
      </w:r>
      <w:r w:rsidR="00442679" w:rsidRPr="00542F46">
        <w:rPr>
          <w:rFonts w:asciiTheme="minorHAnsi" w:hAnsiTheme="minorHAnsi"/>
          <w:color w:val="auto"/>
          <w:szCs w:val="24"/>
        </w:rPr>
        <w:t xml:space="preserve"> </w:t>
      </w:r>
      <w:r w:rsidR="001635B8" w:rsidRPr="00542F46">
        <w:rPr>
          <w:rFonts w:asciiTheme="minorHAnsi" w:hAnsiTheme="minorHAnsi"/>
          <w:color w:val="auto"/>
          <w:szCs w:val="24"/>
        </w:rPr>
        <w:t xml:space="preserve">The CI was </w:t>
      </w:r>
      <w:r w:rsidR="00ED594F">
        <w:rPr>
          <w:rFonts w:asciiTheme="minorHAnsi" w:hAnsiTheme="minorHAnsi"/>
          <w:color w:val="auto"/>
          <w:szCs w:val="24"/>
        </w:rPr>
        <w:t>medically evacuated</w:t>
      </w:r>
      <w:r w:rsidR="001635B8" w:rsidRPr="00542F46">
        <w:rPr>
          <w:rFonts w:asciiTheme="minorHAnsi" w:hAnsiTheme="minorHAnsi"/>
          <w:color w:val="auto"/>
          <w:szCs w:val="24"/>
        </w:rPr>
        <w:t xml:space="preserve"> from </w:t>
      </w:r>
      <w:r w:rsidR="00442679" w:rsidRPr="00542F46">
        <w:rPr>
          <w:rFonts w:asciiTheme="minorHAnsi" w:hAnsiTheme="minorHAnsi"/>
          <w:color w:val="auto"/>
          <w:szCs w:val="24"/>
        </w:rPr>
        <w:t>t</w:t>
      </w:r>
      <w:r w:rsidR="001635B8" w:rsidRPr="00542F46">
        <w:rPr>
          <w:rFonts w:asciiTheme="minorHAnsi" w:hAnsiTheme="minorHAnsi"/>
          <w:color w:val="auto"/>
          <w:szCs w:val="24"/>
        </w:rPr>
        <w:t xml:space="preserve">heater to Germany </w:t>
      </w:r>
      <w:r w:rsidR="00442679" w:rsidRPr="00542F46">
        <w:rPr>
          <w:rFonts w:asciiTheme="minorHAnsi" w:hAnsiTheme="minorHAnsi"/>
          <w:color w:val="auto"/>
          <w:szCs w:val="24"/>
        </w:rPr>
        <w:t xml:space="preserve">with inpatient treatment for diagnosed </w:t>
      </w:r>
      <w:r w:rsidR="001635B8" w:rsidRPr="00542F46">
        <w:rPr>
          <w:rFonts w:asciiTheme="minorHAnsi" w:hAnsiTheme="minorHAnsi"/>
          <w:color w:val="auto"/>
          <w:szCs w:val="24"/>
        </w:rPr>
        <w:t>PTSD</w:t>
      </w:r>
      <w:r w:rsidR="00442679" w:rsidRPr="00542F46">
        <w:rPr>
          <w:rFonts w:asciiTheme="minorHAnsi" w:hAnsiTheme="minorHAnsi"/>
          <w:color w:val="auto"/>
          <w:szCs w:val="24"/>
        </w:rPr>
        <w:t xml:space="preserve"> and return to Marine Corps Air Station (MCAS) in Yuma, Arizona (AZ). </w:t>
      </w:r>
      <w:r w:rsidR="001635B8" w:rsidRPr="00542F46">
        <w:rPr>
          <w:rFonts w:asciiTheme="minorHAnsi" w:hAnsiTheme="minorHAnsi"/>
          <w:color w:val="auto"/>
          <w:szCs w:val="24"/>
        </w:rPr>
        <w:t xml:space="preserve"> </w:t>
      </w:r>
      <w:r w:rsidR="00A81372" w:rsidRPr="00542F46">
        <w:rPr>
          <w:rFonts w:asciiTheme="minorHAnsi" w:hAnsiTheme="minorHAnsi"/>
          <w:color w:val="auto"/>
          <w:szCs w:val="24"/>
        </w:rPr>
        <w:t xml:space="preserve">Criterion A combat stressors were documented and DSM IV criteria for Axis I diagnosis of PTSD were met.  </w:t>
      </w:r>
      <w:r w:rsidR="003A14FE" w:rsidRPr="00542F46">
        <w:rPr>
          <w:rFonts w:asciiTheme="minorHAnsi" w:hAnsiTheme="minorHAnsi"/>
          <w:color w:val="auto"/>
          <w:szCs w:val="24"/>
        </w:rPr>
        <w:t>The CI was</w:t>
      </w:r>
      <w:r w:rsidR="002D1978" w:rsidRPr="00542F46">
        <w:rPr>
          <w:rFonts w:asciiTheme="minorHAnsi" w:hAnsiTheme="minorHAnsi"/>
          <w:color w:val="auto"/>
          <w:szCs w:val="24"/>
        </w:rPr>
        <w:t xml:space="preserve"> compliant with his medications </w:t>
      </w:r>
      <w:r w:rsidR="001635B8" w:rsidRPr="00542F46">
        <w:rPr>
          <w:rFonts w:asciiTheme="minorHAnsi" w:hAnsiTheme="minorHAnsi"/>
          <w:color w:val="auto"/>
          <w:szCs w:val="24"/>
        </w:rPr>
        <w:t>and other</w:t>
      </w:r>
      <w:r w:rsidR="002D1978" w:rsidRPr="00542F46">
        <w:rPr>
          <w:rFonts w:asciiTheme="minorHAnsi" w:hAnsiTheme="minorHAnsi"/>
          <w:color w:val="auto"/>
          <w:szCs w:val="24"/>
        </w:rPr>
        <w:t xml:space="preserve"> treatment modalities for PTSD</w:t>
      </w:r>
      <w:r w:rsidR="00ED594F">
        <w:rPr>
          <w:rFonts w:asciiTheme="minorHAnsi" w:hAnsiTheme="minorHAnsi"/>
          <w:color w:val="auto"/>
          <w:szCs w:val="24"/>
        </w:rPr>
        <w:t>;</w:t>
      </w:r>
      <w:r w:rsidR="002D1978" w:rsidRPr="00542F46">
        <w:rPr>
          <w:rFonts w:asciiTheme="minorHAnsi" w:hAnsiTheme="minorHAnsi"/>
          <w:color w:val="auto"/>
          <w:szCs w:val="24"/>
        </w:rPr>
        <w:t xml:space="preserve"> however</w:t>
      </w:r>
      <w:r w:rsidR="00ED594F">
        <w:rPr>
          <w:rFonts w:asciiTheme="minorHAnsi" w:hAnsiTheme="minorHAnsi"/>
          <w:color w:val="auto"/>
          <w:szCs w:val="24"/>
        </w:rPr>
        <w:t>,</w:t>
      </w:r>
      <w:r w:rsidR="002D1978" w:rsidRPr="00542F46">
        <w:rPr>
          <w:rFonts w:asciiTheme="minorHAnsi" w:hAnsiTheme="minorHAnsi"/>
          <w:color w:val="auto"/>
          <w:szCs w:val="24"/>
        </w:rPr>
        <w:t xml:space="preserve"> he continued with symptoms that impa</w:t>
      </w:r>
      <w:r w:rsidR="00442679" w:rsidRPr="00542F46">
        <w:rPr>
          <w:rFonts w:asciiTheme="minorHAnsi" w:hAnsiTheme="minorHAnsi"/>
          <w:color w:val="auto"/>
          <w:szCs w:val="24"/>
        </w:rPr>
        <w:t>i</w:t>
      </w:r>
      <w:r w:rsidR="002D1978" w:rsidRPr="00542F46">
        <w:rPr>
          <w:rFonts w:asciiTheme="minorHAnsi" w:hAnsiTheme="minorHAnsi"/>
          <w:color w:val="auto"/>
          <w:szCs w:val="24"/>
        </w:rPr>
        <w:t xml:space="preserve">red his ability to </w:t>
      </w:r>
      <w:r w:rsidR="001635B8" w:rsidRPr="00542F46">
        <w:rPr>
          <w:rFonts w:asciiTheme="minorHAnsi" w:hAnsiTheme="minorHAnsi"/>
          <w:color w:val="auto"/>
          <w:szCs w:val="24"/>
        </w:rPr>
        <w:t>meet</w:t>
      </w:r>
      <w:r w:rsidR="002D1978" w:rsidRPr="00542F46">
        <w:rPr>
          <w:rFonts w:asciiTheme="minorHAnsi" w:hAnsiTheme="minorHAnsi"/>
          <w:color w:val="auto"/>
          <w:szCs w:val="24"/>
        </w:rPr>
        <w:t xml:space="preserve"> the operational requirements of his Medical Occupational Specialty (MOS).  He was referred to the Medical Evaluation Board (MEB).  The MEB listed PTSD as the </w:t>
      </w:r>
      <w:r w:rsidR="00442679" w:rsidRPr="00542F46">
        <w:rPr>
          <w:rFonts w:asciiTheme="minorHAnsi" w:hAnsiTheme="minorHAnsi"/>
          <w:color w:val="auto"/>
          <w:szCs w:val="24"/>
        </w:rPr>
        <w:t xml:space="preserve">only </w:t>
      </w:r>
      <w:r w:rsidR="002D1978" w:rsidRPr="00542F46">
        <w:rPr>
          <w:rFonts w:asciiTheme="minorHAnsi" w:hAnsiTheme="minorHAnsi"/>
          <w:color w:val="auto"/>
          <w:szCs w:val="24"/>
        </w:rPr>
        <w:t xml:space="preserve">diagnosis on the NAVMED 6100/1.  The </w:t>
      </w:r>
      <w:r w:rsidR="00ED594F">
        <w:rPr>
          <w:rFonts w:asciiTheme="minorHAnsi" w:hAnsiTheme="minorHAnsi"/>
          <w:color w:val="auto"/>
          <w:szCs w:val="24"/>
        </w:rPr>
        <w:t>I</w:t>
      </w:r>
      <w:r w:rsidR="002D1978" w:rsidRPr="00542F46">
        <w:rPr>
          <w:rFonts w:asciiTheme="minorHAnsi" w:hAnsiTheme="minorHAnsi"/>
          <w:color w:val="auto"/>
          <w:szCs w:val="24"/>
        </w:rPr>
        <w:t>nformal Physical Evaluation Board (</w:t>
      </w:r>
      <w:r w:rsidR="00ED594F">
        <w:rPr>
          <w:rFonts w:asciiTheme="minorHAnsi" w:hAnsiTheme="minorHAnsi"/>
          <w:color w:val="auto"/>
          <w:szCs w:val="24"/>
        </w:rPr>
        <w:t>I</w:t>
      </w:r>
      <w:r w:rsidR="002D1978" w:rsidRPr="00542F46">
        <w:rPr>
          <w:rFonts w:asciiTheme="minorHAnsi" w:hAnsiTheme="minorHAnsi"/>
          <w:color w:val="auto"/>
          <w:szCs w:val="24"/>
        </w:rPr>
        <w:t xml:space="preserve">PEB) adjudicated the PTSD as unfitting rated 10% with likely </w:t>
      </w:r>
      <w:r w:rsidR="001635B8" w:rsidRPr="00542F46">
        <w:rPr>
          <w:rFonts w:asciiTheme="minorHAnsi" w:hAnsiTheme="minorHAnsi"/>
          <w:color w:val="auto"/>
          <w:szCs w:val="24"/>
        </w:rPr>
        <w:t>application of</w:t>
      </w:r>
      <w:r w:rsidR="002D1978" w:rsidRPr="00542F46">
        <w:rPr>
          <w:rFonts w:asciiTheme="minorHAnsi" w:hAnsiTheme="minorHAnsi"/>
          <w:color w:val="auto"/>
          <w:szCs w:val="24"/>
        </w:rPr>
        <w:t xml:space="preserve"> SECNAVIST 1850.4E and/or DoDI 1332.39 (E2.A1.5) </w:t>
      </w:r>
      <w:r w:rsidR="00442679" w:rsidRPr="00542F46">
        <w:rPr>
          <w:rFonts w:asciiTheme="minorHAnsi" w:hAnsiTheme="minorHAnsi"/>
          <w:color w:val="auto"/>
          <w:szCs w:val="24"/>
        </w:rPr>
        <w:t>which were in effect at the time</w:t>
      </w:r>
      <w:r w:rsidR="002D1978" w:rsidRPr="00542F46">
        <w:rPr>
          <w:rFonts w:asciiTheme="minorHAnsi" w:hAnsiTheme="minorHAnsi"/>
          <w:color w:val="auto"/>
          <w:szCs w:val="24"/>
        </w:rPr>
        <w:t>.</w:t>
      </w:r>
      <w:r w:rsidR="009C031E" w:rsidRPr="00542F46">
        <w:rPr>
          <w:rFonts w:asciiTheme="minorHAnsi" w:hAnsiTheme="minorHAnsi"/>
          <w:color w:val="auto"/>
          <w:szCs w:val="24"/>
        </w:rPr>
        <w:t xml:space="preserve">  The </w:t>
      </w:r>
      <w:r w:rsidR="001635B8" w:rsidRPr="00542F46">
        <w:rPr>
          <w:rFonts w:asciiTheme="minorHAnsi" w:hAnsiTheme="minorHAnsi"/>
          <w:color w:val="auto"/>
          <w:szCs w:val="24"/>
        </w:rPr>
        <w:t>CI</w:t>
      </w:r>
      <w:r w:rsidR="009C031E" w:rsidRPr="00542F46">
        <w:rPr>
          <w:rFonts w:asciiTheme="minorHAnsi" w:hAnsiTheme="minorHAnsi"/>
          <w:color w:val="auto"/>
          <w:szCs w:val="24"/>
        </w:rPr>
        <w:t xml:space="preserve"> made no appeals and was thus medically separated with a disability rating of 10%.</w:t>
      </w:r>
      <w:r w:rsidR="003A14FE" w:rsidRPr="00542F46">
        <w:rPr>
          <w:rFonts w:asciiTheme="minorHAnsi" w:hAnsiTheme="minorHAnsi"/>
          <w:color w:val="auto"/>
          <w:szCs w:val="24"/>
        </w:rPr>
        <w:t xml:space="preserve"> </w:t>
      </w:r>
      <w:r w:rsidR="002D1978" w:rsidRPr="00542F46">
        <w:rPr>
          <w:rFonts w:asciiTheme="minorHAnsi" w:hAnsiTheme="minorHAnsi"/>
          <w:color w:val="auto"/>
          <w:szCs w:val="24"/>
        </w:rPr>
        <w:t xml:space="preserve"> </w:t>
      </w:r>
    </w:p>
    <w:p w:rsidR="00923B25" w:rsidRPr="00542F46" w:rsidRDefault="008B5D31"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u w:val="single"/>
        </w:rPr>
        <w:t>_______________________________________________________________</w:t>
      </w:r>
      <w:r w:rsidRPr="00542F46">
        <w:rPr>
          <w:rFonts w:asciiTheme="minorHAnsi" w:hAnsiTheme="minorHAnsi"/>
          <w:color w:val="auto"/>
        </w:rPr>
        <w:t>_</w:t>
      </w:r>
      <w:r w:rsidR="00AC713F" w:rsidRPr="00542F46">
        <w:rPr>
          <w:rFonts w:asciiTheme="minorHAnsi" w:hAnsiTheme="minorHAnsi"/>
          <w:color w:val="auto"/>
        </w:rPr>
        <w:t>___________</w:t>
      </w:r>
    </w:p>
    <w:p w:rsidR="0085089F" w:rsidRPr="00542F46" w:rsidRDefault="0085089F" w:rsidP="00431B7F">
      <w:pPr>
        <w:tabs>
          <w:tab w:val="left" w:pos="288"/>
          <w:tab w:val="left" w:pos="4752"/>
        </w:tabs>
        <w:spacing w:line="240" w:lineRule="exact"/>
        <w:jc w:val="both"/>
        <w:rPr>
          <w:rFonts w:asciiTheme="minorHAnsi" w:hAnsiTheme="minorHAnsi"/>
          <w:color w:val="auto"/>
          <w:u w:val="single"/>
        </w:rPr>
      </w:pPr>
    </w:p>
    <w:p w:rsidR="00841243" w:rsidRPr="00542F46" w:rsidRDefault="002C6E5B" w:rsidP="00431B7F">
      <w:pPr>
        <w:tabs>
          <w:tab w:val="left" w:pos="288"/>
          <w:tab w:val="left" w:pos="4752"/>
        </w:tabs>
        <w:spacing w:line="240" w:lineRule="exact"/>
        <w:jc w:val="both"/>
        <w:rPr>
          <w:rFonts w:ascii="Calibri" w:hAnsi="Calibri"/>
          <w:color w:val="auto"/>
          <w:szCs w:val="24"/>
        </w:rPr>
      </w:pPr>
      <w:r w:rsidRPr="00542F46">
        <w:rPr>
          <w:rFonts w:ascii="Calibri" w:hAnsi="Calibri"/>
          <w:color w:val="auto"/>
          <w:u w:val="single"/>
        </w:rPr>
        <w:t>CI CONTENTION</w:t>
      </w:r>
      <w:r w:rsidRPr="00542F46">
        <w:rPr>
          <w:rFonts w:ascii="Calibri" w:hAnsi="Calibri"/>
          <w:color w:val="auto"/>
        </w:rPr>
        <w:t xml:space="preserve">: </w:t>
      </w:r>
      <w:r w:rsidR="00442679" w:rsidRPr="00542F46">
        <w:rPr>
          <w:rFonts w:ascii="Calibri" w:hAnsi="Calibri"/>
          <w:color w:val="auto"/>
        </w:rPr>
        <w:t xml:space="preserve"> </w:t>
      </w:r>
      <w:r w:rsidR="00EE357E" w:rsidRPr="00542F46">
        <w:rPr>
          <w:rFonts w:ascii="Calibri" w:hAnsi="Calibri"/>
          <w:color w:val="auto"/>
          <w:szCs w:val="24"/>
        </w:rPr>
        <w:t xml:space="preserve">The CI states:    “I was assigned less than 50% disability rating by the military for my unfitting PTSD upon discharge from active duty. The PDBR should assign the highest final disability rating applicable consistent with 38 CFR4.I29 and DOD policy (continuation) Please see attached list of contentions regarding why the PDBR should make the changes request in Item 3.”  He additionally lists all of his VA conditions and ratings as per the rating chart below.  Contention for their addition to separation rating is implied.  This case is court remanded under the </w:t>
      </w:r>
      <w:r w:rsidR="00EE357E" w:rsidRPr="00542F46">
        <w:rPr>
          <w:rFonts w:ascii="Calibri" w:hAnsi="Calibri"/>
          <w:i/>
          <w:color w:val="auto"/>
          <w:szCs w:val="24"/>
        </w:rPr>
        <w:t>Sabo et al v. United States</w:t>
      </w:r>
      <w:r w:rsidR="00EE357E" w:rsidRPr="00542F46">
        <w:rPr>
          <w:rFonts w:ascii="Calibri" w:hAnsi="Calibri"/>
          <w:color w:val="auto"/>
          <w:szCs w:val="24"/>
        </w:rPr>
        <w:t xml:space="preserve"> class action suit.  </w:t>
      </w:r>
      <w:r w:rsidRPr="00542F46">
        <w:rPr>
          <w:rFonts w:ascii="Calibri" w:hAnsi="Calibri"/>
          <w:color w:val="auto"/>
        </w:rPr>
        <w:t xml:space="preserve"> </w:t>
      </w:r>
    </w:p>
    <w:p w:rsidR="00BD6297" w:rsidRPr="00542F46" w:rsidRDefault="009C031E" w:rsidP="00431B7F">
      <w:pPr>
        <w:tabs>
          <w:tab w:val="left" w:pos="288"/>
          <w:tab w:val="left" w:pos="4752"/>
        </w:tabs>
        <w:spacing w:line="240" w:lineRule="exact"/>
        <w:rPr>
          <w:rFonts w:ascii="Calibri" w:hAnsi="Calibri"/>
          <w:color w:val="auto"/>
          <w:szCs w:val="24"/>
        </w:rPr>
      </w:pPr>
      <w:r w:rsidRPr="00542F46">
        <w:rPr>
          <w:rFonts w:ascii="Calibri" w:hAnsi="Calibri"/>
          <w:color w:val="auto"/>
          <w:szCs w:val="24"/>
        </w:rPr>
        <w:t>_____________________________________________________________________________</w:t>
      </w:r>
    </w:p>
    <w:p w:rsidR="00A81372" w:rsidRPr="00542F46" w:rsidRDefault="00A81372" w:rsidP="00431B7F">
      <w:pPr>
        <w:tabs>
          <w:tab w:val="left" w:pos="288"/>
          <w:tab w:val="left" w:pos="4752"/>
        </w:tabs>
        <w:spacing w:line="240" w:lineRule="exact"/>
        <w:rPr>
          <w:rFonts w:ascii="Calibri" w:hAnsi="Calibri"/>
          <w:color w:val="auto"/>
          <w:szCs w:val="24"/>
        </w:rPr>
      </w:pPr>
    </w:p>
    <w:p w:rsidR="00431B7F" w:rsidRPr="00542F46" w:rsidRDefault="00431B7F">
      <w:pPr>
        <w:rPr>
          <w:rFonts w:ascii="Calibri" w:hAnsi="Calibri"/>
          <w:color w:val="auto"/>
          <w:szCs w:val="24"/>
          <w:u w:val="single"/>
        </w:rPr>
      </w:pPr>
      <w:r w:rsidRPr="00542F46">
        <w:rPr>
          <w:rFonts w:ascii="Calibri" w:hAnsi="Calibri"/>
          <w:color w:val="auto"/>
          <w:szCs w:val="24"/>
          <w:u w:val="single"/>
        </w:rPr>
        <w:br w:type="page"/>
      </w:r>
    </w:p>
    <w:p w:rsidR="00CF1403" w:rsidRPr="00542F46" w:rsidRDefault="00A663CD" w:rsidP="00431B7F">
      <w:pPr>
        <w:tabs>
          <w:tab w:val="left" w:pos="288"/>
          <w:tab w:val="left" w:pos="4752"/>
        </w:tabs>
        <w:spacing w:line="240" w:lineRule="exact"/>
        <w:rPr>
          <w:rFonts w:ascii="Calibri" w:hAnsi="Calibri"/>
          <w:color w:val="auto"/>
          <w:szCs w:val="24"/>
        </w:rPr>
      </w:pPr>
      <w:r w:rsidRPr="00542F46">
        <w:rPr>
          <w:rFonts w:ascii="Calibri" w:hAnsi="Calibri"/>
          <w:color w:val="auto"/>
          <w:szCs w:val="24"/>
          <w:u w:val="single"/>
        </w:rPr>
        <w:lastRenderedPageBreak/>
        <w:t>RATING COMPARISON</w:t>
      </w:r>
      <w:r w:rsidRPr="00542F46">
        <w:rPr>
          <w:rFonts w:ascii="Calibri" w:hAnsi="Calibri"/>
          <w:color w:val="auto"/>
          <w:szCs w:val="24"/>
        </w:rPr>
        <w:t>:</w:t>
      </w:r>
      <w:r w:rsidR="00431B7F" w:rsidRPr="00542F46">
        <w:rPr>
          <w:rFonts w:ascii="Calibri" w:hAnsi="Calibri"/>
          <w:color w:val="auto"/>
          <w:szCs w:val="24"/>
        </w:rPr>
        <w:t xml:space="preserve">  </w:t>
      </w:r>
    </w:p>
    <w:p w:rsidR="00A663CD" w:rsidRPr="00542F46" w:rsidRDefault="00A663CD" w:rsidP="00431B7F">
      <w:pPr>
        <w:tabs>
          <w:tab w:val="left" w:pos="288"/>
          <w:tab w:val="left" w:pos="4752"/>
        </w:tabs>
        <w:spacing w:line="240" w:lineRule="exact"/>
        <w:rPr>
          <w:rFonts w:ascii="Calibri" w:hAnsi="Calibri"/>
          <w:color w:val="auto"/>
          <w:szCs w:val="24"/>
        </w:rPr>
      </w:pPr>
    </w:p>
    <w:tbl>
      <w:tblPr>
        <w:tblStyle w:val="TableGrid"/>
        <w:tblW w:w="8861" w:type="dxa"/>
        <w:jc w:val="center"/>
        <w:tblLayout w:type="fixed"/>
        <w:tblLook w:val="04A0"/>
      </w:tblPr>
      <w:tblGrid>
        <w:gridCol w:w="1098"/>
        <w:gridCol w:w="810"/>
        <w:gridCol w:w="990"/>
        <w:gridCol w:w="1913"/>
        <w:gridCol w:w="270"/>
        <w:gridCol w:w="810"/>
        <w:gridCol w:w="810"/>
        <w:gridCol w:w="1170"/>
        <w:gridCol w:w="990"/>
      </w:tblGrid>
      <w:tr w:rsidR="0064770E" w:rsidRPr="00542F46" w:rsidTr="0064770E">
        <w:trPr>
          <w:trHeight w:val="233"/>
          <w:jc w:val="center"/>
        </w:trPr>
        <w:tc>
          <w:tcPr>
            <w:tcW w:w="2898" w:type="dxa"/>
            <w:gridSpan w:val="3"/>
            <w:tcBorders>
              <w:right w:val="thinThickThinSmallGap" w:sz="24" w:space="0" w:color="auto"/>
            </w:tcBorders>
            <w:shd w:val="clear" w:color="auto" w:fill="D9D9D9" w:themeFill="background1" w:themeFillShade="D9"/>
          </w:tcPr>
          <w:p w:rsidR="0064770E" w:rsidRPr="00542F46" w:rsidRDefault="0064770E" w:rsidP="00335280">
            <w:pPr>
              <w:pStyle w:val="ListParagraph"/>
              <w:spacing w:after="0" w:line="220" w:lineRule="exact"/>
              <w:ind w:left="0"/>
              <w:jc w:val="center"/>
              <w:rPr>
                <w:rFonts w:cs="Times New Roman"/>
                <w:b/>
                <w:sz w:val="20"/>
                <w:szCs w:val="20"/>
              </w:rPr>
            </w:pPr>
            <w:r w:rsidRPr="00542F46">
              <w:rPr>
                <w:rFonts w:cs="Times New Roman"/>
                <w:b/>
                <w:sz w:val="20"/>
                <w:szCs w:val="20"/>
              </w:rPr>
              <w:t>Service IPEB – Dated 20051028</w:t>
            </w:r>
          </w:p>
        </w:tc>
        <w:tc>
          <w:tcPr>
            <w:tcW w:w="5963" w:type="dxa"/>
            <w:gridSpan w:val="6"/>
            <w:tcBorders>
              <w:left w:val="thinThickThinSmallGap" w:sz="24" w:space="0" w:color="auto"/>
            </w:tcBorders>
            <w:shd w:val="clear" w:color="auto" w:fill="D9D9D9" w:themeFill="background1" w:themeFillShade="D9"/>
          </w:tcPr>
          <w:p w:rsidR="0064770E" w:rsidRPr="00542F46" w:rsidRDefault="0064770E" w:rsidP="00335280">
            <w:pPr>
              <w:pStyle w:val="ListParagraph"/>
              <w:spacing w:after="0" w:line="220" w:lineRule="exact"/>
              <w:ind w:left="0"/>
              <w:jc w:val="center"/>
              <w:rPr>
                <w:rFonts w:cs="Times New Roman"/>
                <w:b/>
                <w:sz w:val="20"/>
                <w:szCs w:val="20"/>
              </w:rPr>
            </w:pPr>
            <w:r w:rsidRPr="00542F46">
              <w:rPr>
                <w:rFonts w:cs="Times New Roman"/>
                <w:b/>
                <w:sz w:val="20"/>
                <w:szCs w:val="20"/>
              </w:rPr>
              <w:t xml:space="preserve">VA </w:t>
            </w:r>
          </w:p>
        </w:tc>
      </w:tr>
      <w:tr w:rsidR="00542F46" w:rsidRPr="00542F46" w:rsidTr="0064770E">
        <w:trPr>
          <w:trHeight w:val="233"/>
          <w:jc w:val="center"/>
        </w:trPr>
        <w:tc>
          <w:tcPr>
            <w:tcW w:w="1098" w:type="dxa"/>
            <w:tcBorders>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both"/>
              <w:rPr>
                <w:rFonts w:cs="Times New Roman"/>
                <w:b/>
                <w:sz w:val="20"/>
                <w:szCs w:val="20"/>
              </w:rPr>
            </w:pPr>
            <w:r w:rsidRPr="00542F46">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center"/>
              <w:rPr>
                <w:rFonts w:cs="Times New Roman"/>
                <w:b/>
                <w:sz w:val="20"/>
                <w:szCs w:val="20"/>
              </w:rPr>
            </w:pPr>
            <w:r w:rsidRPr="00542F46">
              <w:rPr>
                <w:rFonts w:cs="Times New Roman"/>
                <w:b/>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542F46" w:rsidRPr="00542F46" w:rsidRDefault="00542F46" w:rsidP="00335280">
            <w:pPr>
              <w:pStyle w:val="ListParagraph"/>
              <w:spacing w:after="0" w:line="220" w:lineRule="exact"/>
              <w:ind w:left="0"/>
              <w:jc w:val="center"/>
              <w:rPr>
                <w:rFonts w:cs="Times New Roman"/>
                <w:b/>
                <w:sz w:val="20"/>
                <w:szCs w:val="20"/>
              </w:rPr>
            </w:pPr>
            <w:r w:rsidRPr="00542F46">
              <w:rPr>
                <w:rFonts w:cs="Times New Roman"/>
                <w:b/>
                <w:sz w:val="20"/>
                <w:szCs w:val="20"/>
              </w:rPr>
              <w:t>Rating</w:t>
            </w:r>
          </w:p>
        </w:tc>
        <w:tc>
          <w:tcPr>
            <w:tcW w:w="2183" w:type="dxa"/>
            <w:gridSpan w:val="2"/>
            <w:tcBorders>
              <w:left w:val="thinThickThinSmallGap" w:sz="24" w:space="0" w:color="auto"/>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both"/>
              <w:rPr>
                <w:rFonts w:cs="Times New Roman"/>
                <w:b/>
                <w:sz w:val="20"/>
                <w:szCs w:val="20"/>
              </w:rPr>
            </w:pPr>
            <w:r w:rsidRPr="00542F46">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center"/>
              <w:rPr>
                <w:rFonts w:cs="Times New Roman"/>
                <w:b/>
                <w:sz w:val="20"/>
                <w:szCs w:val="20"/>
              </w:rPr>
            </w:pPr>
            <w:r w:rsidRPr="00542F46">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center"/>
              <w:rPr>
                <w:rFonts w:cs="Times New Roman"/>
                <w:b/>
                <w:sz w:val="20"/>
                <w:szCs w:val="20"/>
              </w:rPr>
            </w:pPr>
            <w:r>
              <w:rPr>
                <w:rFonts w:cs="Times New Roman"/>
                <w:b/>
                <w:sz w:val="20"/>
                <w:szCs w:val="20"/>
              </w:rPr>
              <w:t>Rating</w:t>
            </w:r>
          </w:p>
        </w:tc>
        <w:tc>
          <w:tcPr>
            <w:tcW w:w="1170" w:type="dxa"/>
            <w:tcBorders>
              <w:bottom w:val="single" w:sz="4" w:space="0" w:color="000000" w:themeColor="text1"/>
            </w:tcBorders>
            <w:shd w:val="clear" w:color="auto" w:fill="D9D9D9" w:themeFill="background1" w:themeFillShade="D9"/>
          </w:tcPr>
          <w:p w:rsidR="00542F46" w:rsidRPr="00542F46" w:rsidRDefault="00542F46" w:rsidP="00335280">
            <w:pPr>
              <w:pStyle w:val="ListParagraph"/>
              <w:spacing w:after="0" w:line="220" w:lineRule="exact"/>
              <w:ind w:left="0"/>
              <w:jc w:val="center"/>
              <w:rPr>
                <w:rFonts w:cs="Times New Roman"/>
                <w:b/>
                <w:sz w:val="20"/>
                <w:szCs w:val="20"/>
              </w:rPr>
            </w:pPr>
            <w:r w:rsidRPr="00542F46">
              <w:rPr>
                <w:rFonts w:cs="Times New Roman"/>
                <w:b/>
                <w:sz w:val="20"/>
                <w:szCs w:val="20"/>
              </w:rPr>
              <w:t>Exam</w:t>
            </w:r>
          </w:p>
        </w:tc>
        <w:tc>
          <w:tcPr>
            <w:tcW w:w="990" w:type="dxa"/>
            <w:tcBorders>
              <w:bottom w:val="single" w:sz="4" w:space="0" w:color="000000" w:themeColor="text1"/>
            </w:tcBorders>
            <w:shd w:val="clear" w:color="auto" w:fill="D9D9D9" w:themeFill="background1" w:themeFillShade="D9"/>
          </w:tcPr>
          <w:p w:rsidR="00542F46" w:rsidRPr="00542F46" w:rsidRDefault="00542F46" w:rsidP="00542F46">
            <w:pPr>
              <w:pStyle w:val="ListParagraph"/>
              <w:spacing w:after="0" w:line="220" w:lineRule="exact"/>
              <w:ind w:left="0"/>
              <w:rPr>
                <w:rFonts w:cs="Times New Roman"/>
                <w:b/>
                <w:sz w:val="20"/>
                <w:szCs w:val="20"/>
              </w:rPr>
            </w:pPr>
            <w:r>
              <w:rPr>
                <w:rFonts w:cs="Times New Roman"/>
                <w:b/>
                <w:sz w:val="20"/>
                <w:szCs w:val="20"/>
              </w:rPr>
              <w:t>Effective</w:t>
            </w:r>
          </w:p>
        </w:tc>
      </w:tr>
      <w:tr w:rsidR="00C74529" w:rsidRPr="00542F46" w:rsidTr="0064770E">
        <w:trPr>
          <w:trHeight w:val="188"/>
          <w:jc w:val="center"/>
        </w:trPr>
        <w:tc>
          <w:tcPr>
            <w:tcW w:w="1098" w:type="dxa"/>
            <w:vMerge w:val="restart"/>
            <w:shd w:val="clear" w:color="auto" w:fill="FFFFFF" w:themeFill="background1"/>
          </w:tcPr>
          <w:p w:rsidR="00C74529" w:rsidRPr="00542F46" w:rsidRDefault="00C74529" w:rsidP="00335280">
            <w:pPr>
              <w:pStyle w:val="ListParagraph"/>
              <w:spacing w:after="0" w:line="220" w:lineRule="exact"/>
              <w:ind w:left="0"/>
              <w:jc w:val="both"/>
              <w:rPr>
                <w:rFonts w:cs="Times New Roman"/>
                <w:sz w:val="18"/>
                <w:szCs w:val="18"/>
              </w:rPr>
            </w:pPr>
            <w:r w:rsidRPr="00542F46">
              <w:rPr>
                <w:rFonts w:cs="Times New Roman"/>
                <w:sz w:val="18"/>
                <w:szCs w:val="18"/>
              </w:rPr>
              <w:t>PTSD</w:t>
            </w:r>
          </w:p>
        </w:tc>
        <w:tc>
          <w:tcPr>
            <w:tcW w:w="810" w:type="dxa"/>
            <w:vMerge w:val="restart"/>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r w:rsidRPr="00542F46">
              <w:rPr>
                <w:rFonts w:cs="Times New Roman"/>
                <w:sz w:val="18"/>
                <w:szCs w:val="18"/>
              </w:rPr>
              <w:t>9411</w:t>
            </w:r>
          </w:p>
        </w:tc>
        <w:tc>
          <w:tcPr>
            <w:tcW w:w="990" w:type="dxa"/>
            <w:vMerge w:val="restart"/>
            <w:tcBorders>
              <w:right w:val="thinThickThinSmallGap" w:sz="24" w:space="0" w:color="auto"/>
            </w:tcBorders>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r w:rsidRPr="00542F46">
              <w:rPr>
                <w:rFonts w:cs="Times New Roman"/>
                <w:sz w:val="18"/>
                <w:szCs w:val="18"/>
              </w:rPr>
              <w:t>10%</w:t>
            </w:r>
          </w:p>
        </w:tc>
        <w:tc>
          <w:tcPr>
            <w:tcW w:w="2183" w:type="dxa"/>
            <w:gridSpan w:val="2"/>
            <w:vMerge w:val="restart"/>
            <w:tcBorders>
              <w:left w:val="thinThickThinSmallGap" w:sz="24" w:space="0" w:color="auto"/>
            </w:tcBorders>
            <w:shd w:val="clear" w:color="auto" w:fill="FFFFFF" w:themeFill="background1"/>
          </w:tcPr>
          <w:p w:rsidR="00C74529" w:rsidRPr="00542F46" w:rsidRDefault="00C74529" w:rsidP="00335280">
            <w:pPr>
              <w:pStyle w:val="ListParagraph"/>
              <w:spacing w:after="0" w:line="220" w:lineRule="exact"/>
              <w:ind w:left="27"/>
              <w:rPr>
                <w:rFonts w:cs="Times New Roman"/>
                <w:sz w:val="18"/>
                <w:szCs w:val="18"/>
              </w:rPr>
            </w:pPr>
            <w:r w:rsidRPr="00542F46">
              <w:rPr>
                <w:rFonts w:cs="Times New Roman"/>
                <w:sz w:val="18"/>
                <w:szCs w:val="18"/>
              </w:rPr>
              <w:t xml:space="preserve">PTSD </w:t>
            </w:r>
          </w:p>
        </w:tc>
        <w:tc>
          <w:tcPr>
            <w:tcW w:w="810" w:type="dxa"/>
            <w:vMerge w:val="restart"/>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r w:rsidRPr="00542F46">
              <w:rPr>
                <w:rFonts w:cs="Times New Roman"/>
                <w:sz w:val="18"/>
                <w:szCs w:val="18"/>
              </w:rPr>
              <w:t>9411</w:t>
            </w:r>
          </w:p>
        </w:tc>
        <w:tc>
          <w:tcPr>
            <w:tcW w:w="810" w:type="dxa"/>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r w:rsidRPr="00542F46">
              <w:rPr>
                <w:rFonts w:cs="Times New Roman"/>
                <w:sz w:val="18"/>
                <w:szCs w:val="18"/>
              </w:rPr>
              <w:t>50%</w:t>
            </w:r>
          </w:p>
        </w:tc>
        <w:tc>
          <w:tcPr>
            <w:tcW w:w="1170" w:type="dxa"/>
            <w:shd w:val="clear" w:color="auto" w:fill="FFFFFF" w:themeFill="background1"/>
          </w:tcPr>
          <w:p w:rsidR="00C74529" w:rsidRPr="00542F46" w:rsidRDefault="00C74529" w:rsidP="0064770E">
            <w:pPr>
              <w:pStyle w:val="ListParagraph"/>
              <w:spacing w:after="0" w:line="220" w:lineRule="exact"/>
              <w:ind w:left="0"/>
              <w:jc w:val="center"/>
              <w:rPr>
                <w:rFonts w:cs="Times New Roman"/>
                <w:sz w:val="18"/>
                <w:szCs w:val="18"/>
              </w:rPr>
            </w:pPr>
            <w:r w:rsidRPr="00542F46">
              <w:rPr>
                <w:rFonts w:cs="Times New Roman"/>
                <w:sz w:val="18"/>
                <w:szCs w:val="18"/>
              </w:rPr>
              <w:t>20051213</w:t>
            </w:r>
          </w:p>
        </w:tc>
        <w:tc>
          <w:tcPr>
            <w:tcW w:w="990" w:type="dxa"/>
            <w:shd w:val="clear" w:color="auto" w:fill="FFFFFF" w:themeFill="background1"/>
          </w:tcPr>
          <w:p w:rsidR="00C74529" w:rsidRPr="00542F46" w:rsidRDefault="00C74529" w:rsidP="0064770E">
            <w:pPr>
              <w:pStyle w:val="ListParagraph"/>
              <w:spacing w:after="0" w:line="220" w:lineRule="exact"/>
              <w:ind w:left="0"/>
              <w:jc w:val="center"/>
              <w:rPr>
                <w:rFonts w:cs="Times New Roman"/>
                <w:sz w:val="18"/>
                <w:szCs w:val="18"/>
              </w:rPr>
            </w:pPr>
            <w:r>
              <w:rPr>
                <w:rFonts w:cs="Times New Roman"/>
                <w:sz w:val="18"/>
                <w:szCs w:val="18"/>
              </w:rPr>
              <w:t>20051216</w:t>
            </w:r>
          </w:p>
        </w:tc>
      </w:tr>
      <w:tr w:rsidR="00C74529" w:rsidRPr="00542F46" w:rsidTr="0064770E">
        <w:trPr>
          <w:trHeight w:val="170"/>
          <w:jc w:val="center"/>
        </w:trPr>
        <w:tc>
          <w:tcPr>
            <w:tcW w:w="1098" w:type="dxa"/>
            <w:vMerge/>
            <w:shd w:val="clear" w:color="auto" w:fill="FFFFFF" w:themeFill="background1"/>
          </w:tcPr>
          <w:p w:rsidR="00C74529" w:rsidRPr="00542F46" w:rsidRDefault="00C74529" w:rsidP="00335280">
            <w:pPr>
              <w:pStyle w:val="ListParagraph"/>
              <w:spacing w:after="0" w:line="220" w:lineRule="exact"/>
              <w:ind w:left="0"/>
              <w:jc w:val="both"/>
              <w:rPr>
                <w:rFonts w:cs="Times New Roman"/>
                <w:sz w:val="18"/>
                <w:szCs w:val="18"/>
              </w:rPr>
            </w:pPr>
          </w:p>
        </w:tc>
        <w:tc>
          <w:tcPr>
            <w:tcW w:w="810" w:type="dxa"/>
            <w:vMerge/>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p>
        </w:tc>
        <w:tc>
          <w:tcPr>
            <w:tcW w:w="2183" w:type="dxa"/>
            <w:gridSpan w:val="2"/>
            <w:vMerge/>
            <w:tcBorders>
              <w:left w:val="thinThickThinSmallGap" w:sz="24" w:space="0" w:color="auto"/>
            </w:tcBorders>
            <w:shd w:val="clear" w:color="auto" w:fill="FFFFFF" w:themeFill="background1"/>
          </w:tcPr>
          <w:p w:rsidR="00C74529" w:rsidRPr="00542F46" w:rsidRDefault="00C74529" w:rsidP="00335280">
            <w:pPr>
              <w:pStyle w:val="ListParagraph"/>
              <w:spacing w:after="0" w:line="220" w:lineRule="exact"/>
              <w:ind w:left="27"/>
              <w:rPr>
                <w:rFonts w:cs="Times New Roman"/>
                <w:sz w:val="18"/>
                <w:szCs w:val="18"/>
              </w:rPr>
            </w:pPr>
          </w:p>
        </w:tc>
        <w:tc>
          <w:tcPr>
            <w:tcW w:w="810" w:type="dxa"/>
            <w:vMerge/>
            <w:shd w:val="clear" w:color="auto" w:fill="FFFFFF" w:themeFill="background1"/>
          </w:tcPr>
          <w:p w:rsidR="00C74529" w:rsidRPr="00542F46" w:rsidRDefault="00C74529" w:rsidP="00335280">
            <w:pPr>
              <w:pStyle w:val="ListParagraph"/>
              <w:spacing w:after="0" w:line="220" w:lineRule="exact"/>
              <w:ind w:left="0"/>
              <w:jc w:val="center"/>
              <w:rPr>
                <w:rFonts w:cs="Times New Roman"/>
                <w:sz w:val="18"/>
                <w:szCs w:val="18"/>
              </w:rPr>
            </w:pPr>
          </w:p>
        </w:tc>
        <w:tc>
          <w:tcPr>
            <w:tcW w:w="810" w:type="dxa"/>
            <w:shd w:val="clear" w:color="auto" w:fill="FFFFFF" w:themeFill="background1"/>
          </w:tcPr>
          <w:p w:rsidR="00C74529" w:rsidRPr="00542F46" w:rsidRDefault="00C74529" w:rsidP="003E0FC4">
            <w:pPr>
              <w:pStyle w:val="ListParagraph"/>
              <w:spacing w:after="0" w:line="220" w:lineRule="exact"/>
              <w:ind w:left="0"/>
              <w:jc w:val="center"/>
              <w:rPr>
                <w:rFonts w:cs="Times New Roman"/>
                <w:sz w:val="18"/>
                <w:szCs w:val="18"/>
              </w:rPr>
            </w:pPr>
            <w:r w:rsidRPr="00542F46">
              <w:rPr>
                <w:rFonts w:cs="Times New Roman"/>
                <w:sz w:val="18"/>
                <w:szCs w:val="18"/>
              </w:rPr>
              <w:t>30%</w:t>
            </w:r>
          </w:p>
        </w:tc>
        <w:tc>
          <w:tcPr>
            <w:tcW w:w="1170" w:type="dxa"/>
            <w:shd w:val="clear" w:color="auto" w:fill="FFFFFF" w:themeFill="background1"/>
          </w:tcPr>
          <w:p w:rsidR="00C74529" w:rsidRPr="00542F46" w:rsidRDefault="00C74529" w:rsidP="0064770E">
            <w:pPr>
              <w:pStyle w:val="ListParagraph"/>
              <w:spacing w:after="0" w:line="220" w:lineRule="exact"/>
              <w:ind w:left="0"/>
              <w:jc w:val="center"/>
              <w:rPr>
                <w:rFonts w:cs="Times New Roman"/>
                <w:sz w:val="18"/>
                <w:szCs w:val="18"/>
              </w:rPr>
            </w:pPr>
            <w:r w:rsidRPr="00542F46">
              <w:rPr>
                <w:rFonts w:cs="Times New Roman"/>
                <w:sz w:val="18"/>
                <w:szCs w:val="18"/>
              </w:rPr>
              <w:t>2</w:t>
            </w:r>
            <w:r>
              <w:rPr>
                <w:rFonts w:cs="Times New Roman"/>
                <w:sz w:val="18"/>
                <w:szCs w:val="18"/>
              </w:rPr>
              <w:t>0060815</w:t>
            </w:r>
          </w:p>
        </w:tc>
        <w:tc>
          <w:tcPr>
            <w:tcW w:w="990" w:type="dxa"/>
            <w:shd w:val="clear" w:color="auto" w:fill="FFFFFF" w:themeFill="background1"/>
          </w:tcPr>
          <w:p w:rsidR="00C74529" w:rsidRPr="00542F46" w:rsidRDefault="00C74529" w:rsidP="006A1BC1">
            <w:pPr>
              <w:pStyle w:val="ListParagraph"/>
              <w:spacing w:after="0" w:line="220" w:lineRule="exact"/>
              <w:ind w:left="0"/>
              <w:jc w:val="center"/>
              <w:rPr>
                <w:rFonts w:cs="Times New Roman"/>
                <w:sz w:val="18"/>
                <w:szCs w:val="18"/>
              </w:rPr>
            </w:pPr>
            <w:r>
              <w:rPr>
                <w:rFonts w:cs="Times New Roman"/>
                <w:sz w:val="18"/>
                <w:szCs w:val="18"/>
              </w:rPr>
              <w:t>20070201</w:t>
            </w:r>
          </w:p>
        </w:tc>
      </w:tr>
      <w:tr w:rsidR="00542F46" w:rsidRPr="00542F46" w:rsidTr="0064770E">
        <w:trPr>
          <w:trHeight w:val="242"/>
          <w:jc w:val="center"/>
        </w:trPr>
        <w:tc>
          <w:tcPr>
            <w:tcW w:w="2898" w:type="dxa"/>
            <w:gridSpan w:val="3"/>
            <w:vMerge w:val="restart"/>
            <w:tcBorders>
              <w:right w:val="thinThickThinSmallGap" w:sz="24" w:space="0" w:color="auto"/>
            </w:tcBorders>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↓No Additional MEB/PEB Entries↓</w:t>
            </w:r>
          </w:p>
        </w:tc>
        <w:tc>
          <w:tcPr>
            <w:tcW w:w="2183" w:type="dxa"/>
            <w:gridSpan w:val="2"/>
            <w:tcBorders>
              <w:left w:val="thinThickThinSmallGap" w:sz="24" w:space="0" w:color="auto"/>
            </w:tcBorders>
            <w:shd w:val="clear" w:color="auto" w:fill="FFFFFF" w:themeFill="background1"/>
          </w:tcPr>
          <w:p w:rsidR="00542F46" w:rsidRPr="00542F46" w:rsidRDefault="00542F46" w:rsidP="00335280">
            <w:pPr>
              <w:pStyle w:val="ListParagraph"/>
              <w:spacing w:after="0" w:line="220" w:lineRule="exact"/>
              <w:ind w:left="0"/>
              <w:rPr>
                <w:rFonts w:cs="Times New Roman"/>
                <w:sz w:val="18"/>
                <w:szCs w:val="18"/>
              </w:rPr>
            </w:pPr>
            <w:r w:rsidRPr="00542F46">
              <w:rPr>
                <w:rFonts w:cs="Times New Roman"/>
                <w:sz w:val="18"/>
                <w:szCs w:val="18"/>
              </w:rPr>
              <w:t>Asthma</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6602</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30%</w:t>
            </w:r>
          </w:p>
        </w:tc>
        <w:tc>
          <w:tcPr>
            <w:tcW w:w="1170" w:type="dxa"/>
            <w:shd w:val="clear" w:color="auto" w:fill="FFFFFF" w:themeFill="background1"/>
          </w:tcPr>
          <w:p w:rsidR="00542F46" w:rsidRPr="00542F46" w:rsidRDefault="00542F46" w:rsidP="0064770E">
            <w:pPr>
              <w:pStyle w:val="ListParagraph"/>
              <w:spacing w:after="0" w:line="220" w:lineRule="exact"/>
              <w:ind w:left="0"/>
              <w:jc w:val="center"/>
              <w:rPr>
                <w:rFonts w:cs="Times New Roman"/>
                <w:sz w:val="18"/>
                <w:szCs w:val="18"/>
              </w:rPr>
            </w:pPr>
            <w:r w:rsidRPr="00542F46">
              <w:rPr>
                <w:rFonts w:cs="Times New Roman"/>
                <w:sz w:val="18"/>
                <w:szCs w:val="18"/>
              </w:rPr>
              <w:t>20051209</w:t>
            </w:r>
          </w:p>
        </w:tc>
        <w:tc>
          <w:tcPr>
            <w:tcW w:w="990" w:type="dxa"/>
            <w:shd w:val="clear" w:color="auto" w:fill="FFFFFF" w:themeFill="background1"/>
          </w:tcPr>
          <w:p w:rsidR="00542F46" w:rsidRPr="00542F46" w:rsidRDefault="00653AF8" w:rsidP="0064770E">
            <w:pPr>
              <w:pStyle w:val="ListParagraph"/>
              <w:spacing w:after="0" w:line="220" w:lineRule="exact"/>
              <w:ind w:left="0"/>
              <w:jc w:val="center"/>
              <w:rPr>
                <w:rFonts w:cs="Times New Roman"/>
                <w:sz w:val="18"/>
                <w:szCs w:val="18"/>
              </w:rPr>
            </w:pPr>
            <w:r>
              <w:rPr>
                <w:rFonts w:cs="Times New Roman"/>
                <w:sz w:val="18"/>
                <w:szCs w:val="18"/>
              </w:rPr>
              <w:t>20051216</w:t>
            </w:r>
          </w:p>
        </w:tc>
      </w:tr>
      <w:tr w:rsidR="00542F46" w:rsidRPr="00542F46" w:rsidTr="0064770E">
        <w:trPr>
          <w:trHeight w:val="125"/>
          <w:jc w:val="center"/>
        </w:trPr>
        <w:tc>
          <w:tcPr>
            <w:tcW w:w="2898" w:type="dxa"/>
            <w:gridSpan w:val="3"/>
            <w:vMerge/>
            <w:tcBorders>
              <w:right w:val="thinThickThinSmallGap" w:sz="24" w:space="0" w:color="auto"/>
            </w:tcBorders>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p>
        </w:tc>
        <w:tc>
          <w:tcPr>
            <w:tcW w:w="2183" w:type="dxa"/>
            <w:gridSpan w:val="2"/>
            <w:tcBorders>
              <w:left w:val="thinThickThinSmallGap" w:sz="24" w:space="0" w:color="auto"/>
            </w:tcBorders>
            <w:shd w:val="clear" w:color="auto" w:fill="FFFFFF" w:themeFill="background1"/>
          </w:tcPr>
          <w:p w:rsidR="00542F46" w:rsidRPr="00542F46" w:rsidRDefault="00542F46" w:rsidP="00335280">
            <w:pPr>
              <w:spacing w:line="220" w:lineRule="exact"/>
              <w:rPr>
                <w:rFonts w:cs="Times New Roman"/>
                <w:color w:val="auto"/>
                <w:sz w:val="18"/>
                <w:szCs w:val="18"/>
              </w:rPr>
            </w:pPr>
            <w:r w:rsidRPr="00542F46">
              <w:rPr>
                <w:rFonts w:cs="Times New Roman"/>
                <w:color w:val="auto"/>
                <w:sz w:val="18"/>
                <w:szCs w:val="18"/>
              </w:rPr>
              <w:t>Cervical Spine DDD</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5237</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iCs/>
                <w:sz w:val="18"/>
                <w:szCs w:val="18"/>
              </w:rPr>
              <w:t>20%</w:t>
            </w:r>
          </w:p>
        </w:tc>
        <w:tc>
          <w:tcPr>
            <w:tcW w:w="1170" w:type="dxa"/>
            <w:shd w:val="clear" w:color="auto" w:fill="FFFFFF" w:themeFill="background1"/>
          </w:tcPr>
          <w:p w:rsidR="00542F46" w:rsidRPr="00542F46" w:rsidRDefault="00542F46" w:rsidP="0064770E">
            <w:pPr>
              <w:pStyle w:val="ListParagraph"/>
              <w:spacing w:after="0" w:line="220" w:lineRule="exact"/>
              <w:ind w:left="0"/>
              <w:jc w:val="center"/>
              <w:rPr>
                <w:rFonts w:cs="Times New Roman"/>
                <w:sz w:val="18"/>
                <w:szCs w:val="18"/>
              </w:rPr>
            </w:pPr>
            <w:r w:rsidRPr="00542F46">
              <w:rPr>
                <w:rFonts w:cs="Times New Roman"/>
                <w:sz w:val="18"/>
                <w:szCs w:val="18"/>
              </w:rPr>
              <w:t>20051209</w:t>
            </w:r>
          </w:p>
        </w:tc>
        <w:tc>
          <w:tcPr>
            <w:tcW w:w="990" w:type="dxa"/>
            <w:shd w:val="clear" w:color="auto" w:fill="FFFFFF" w:themeFill="background1"/>
          </w:tcPr>
          <w:p w:rsidR="00542F46" w:rsidRPr="00653AF8" w:rsidRDefault="00653AF8" w:rsidP="0064770E">
            <w:pPr>
              <w:pStyle w:val="ListParagraph"/>
              <w:spacing w:after="0" w:line="220" w:lineRule="exact"/>
              <w:ind w:left="0"/>
              <w:jc w:val="center"/>
              <w:rPr>
                <w:rFonts w:cs="Times New Roman"/>
                <w:sz w:val="18"/>
                <w:szCs w:val="18"/>
              </w:rPr>
            </w:pPr>
            <w:r w:rsidRPr="00653AF8">
              <w:rPr>
                <w:rFonts w:cs="Times New Roman"/>
                <w:sz w:val="18"/>
                <w:szCs w:val="18"/>
              </w:rPr>
              <w:t>20051216</w:t>
            </w:r>
          </w:p>
        </w:tc>
      </w:tr>
      <w:tr w:rsidR="00542F46" w:rsidRPr="00542F46" w:rsidTr="0064770E">
        <w:trPr>
          <w:trHeight w:val="125"/>
          <w:jc w:val="center"/>
        </w:trPr>
        <w:tc>
          <w:tcPr>
            <w:tcW w:w="2898" w:type="dxa"/>
            <w:gridSpan w:val="3"/>
            <w:vMerge/>
            <w:tcBorders>
              <w:right w:val="thinThickThinSmallGap" w:sz="24" w:space="0" w:color="auto"/>
            </w:tcBorders>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p>
        </w:tc>
        <w:tc>
          <w:tcPr>
            <w:tcW w:w="2183" w:type="dxa"/>
            <w:gridSpan w:val="2"/>
            <w:tcBorders>
              <w:left w:val="thinThickThinSmallGap" w:sz="24" w:space="0" w:color="auto"/>
            </w:tcBorders>
            <w:shd w:val="clear" w:color="auto" w:fill="FFFFFF" w:themeFill="background1"/>
          </w:tcPr>
          <w:p w:rsidR="00542F46" w:rsidRPr="00542F46" w:rsidRDefault="00542F46" w:rsidP="00335280">
            <w:pPr>
              <w:spacing w:line="220" w:lineRule="exact"/>
              <w:rPr>
                <w:color w:val="auto"/>
                <w:sz w:val="18"/>
                <w:szCs w:val="18"/>
              </w:rPr>
            </w:pPr>
            <w:r w:rsidRPr="00542F46">
              <w:rPr>
                <w:color w:val="auto"/>
                <w:sz w:val="18"/>
                <w:szCs w:val="18"/>
              </w:rPr>
              <w:t>Thoracolumbar Spine DDD</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5237</w:t>
            </w:r>
          </w:p>
        </w:tc>
        <w:tc>
          <w:tcPr>
            <w:tcW w:w="810" w:type="dxa"/>
            <w:shd w:val="clear" w:color="auto" w:fill="FFFFFF" w:themeFill="background1"/>
          </w:tcPr>
          <w:p w:rsidR="00542F46" w:rsidRPr="00542F46" w:rsidRDefault="00542F46" w:rsidP="00335280">
            <w:pPr>
              <w:pStyle w:val="ListParagraph"/>
              <w:spacing w:after="0" w:line="220" w:lineRule="exact"/>
              <w:ind w:left="0"/>
              <w:jc w:val="center"/>
              <w:rPr>
                <w:rFonts w:cs="Times New Roman"/>
                <w:sz w:val="18"/>
                <w:szCs w:val="18"/>
              </w:rPr>
            </w:pPr>
            <w:r w:rsidRPr="00542F46">
              <w:rPr>
                <w:rFonts w:cs="Times New Roman"/>
                <w:sz w:val="18"/>
                <w:szCs w:val="18"/>
              </w:rPr>
              <w:t>10%</w:t>
            </w:r>
          </w:p>
        </w:tc>
        <w:tc>
          <w:tcPr>
            <w:tcW w:w="1170" w:type="dxa"/>
            <w:shd w:val="clear" w:color="auto" w:fill="FFFFFF" w:themeFill="background1"/>
          </w:tcPr>
          <w:p w:rsidR="00542F46" w:rsidRPr="00542F46" w:rsidRDefault="00542F46" w:rsidP="0064770E">
            <w:pPr>
              <w:spacing w:line="220" w:lineRule="exact"/>
              <w:jc w:val="center"/>
              <w:rPr>
                <w:color w:val="auto"/>
                <w:sz w:val="18"/>
                <w:szCs w:val="18"/>
              </w:rPr>
            </w:pPr>
            <w:r w:rsidRPr="00542F46">
              <w:rPr>
                <w:rFonts w:cs="Times New Roman"/>
                <w:color w:val="auto"/>
                <w:sz w:val="18"/>
                <w:szCs w:val="18"/>
              </w:rPr>
              <w:t>20051209</w:t>
            </w:r>
          </w:p>
        </w:tc>
        <w:tc>
          <w:tcPr>
            <w:tcW w:w="990" w:type="dxa"/>
            <w:shd w:val="clear" w:color="auto" w:fill="FFFFFF" w:themeFill="background1"/>
          </w:tcPr>
          <w:p w:rsidR="00542F46" w:rsidRPr="00653AF8" w:rsidRDefault="00653AF8" w:rsidP="0064770E">
            <w:pPr>
              <w:spacing w:line="220" w:lineRule="exact"/>
              <w:jc w:val="center"/>
              <w:rPr>
                <w:color w:val="auto"/>
                <w:sz w:val="18"/>
                <w:szCs w:val="18"/>
              </w:rPr>
            </w:pPr>
            <w:r w:rsidRPr="00653AF8">
              <w:rPr>
                <w:rFonts w:cs="Times New Roman"/>
                <w:color w:val="auto"/>
                <w:sz w:val="18"/>
                <w:szCs w:val="18"/>
              </w:rPr>
              <w:t>20051216</w:t>
            </w:r>
          </w:p>
        </w:tc>
      </w:tr>
      <w:tr w:rsidR="0064770E" w:rsidRPr="00542F46" w:rsidTr="0064770E">
        <w:trPr>
          <w:trHeight w:val="125"/>
          <w:jc w:val="center"/>
        </w:trPr>
        <w:tc>
          <w:tcPr>
            <w:tcW w:w="2898" w:type="dxa"/>
            <w:gridSpan w:val="3"/>
            <w:vMerge/>
            <w:tcBorders>
              <w:right w:val="thinThickThinSmallGap" w:sz="24" w:space="0" w:color="auto"/>
            </w:tcBorders>
            <w:shd w:val="clear" w:color="auto" w:fill="FFFFFF" w:themeFill="background1"/>
          </w:tcPr>
          <w:p w:rsidR="0064770E" w:rsidRPr="00542F46" w:rsidRDefault="0064770E" w:rsidP="00335280">
            <w:pPr>
              <w:pStyle w:val="ListParagraph"/>
              <w:spacing w:after="0" w:line="220" w:lineRule="exact"/>
              <w:ind w:left="0"/>
              <w:jc w:val="both"/>
              <w:rPr>
                <w:rFonts w:cs="Times New Roman"/>
                <w:sz w:val="18"/>
                <w:szCs w:val="18"/>
              </w:rPr>
            </w:pPr>
          </w:p>
        </w:tc>
        <w:tc>
          <w:tcPr>
            <w:tcW w:w="1913" w:type="dxa"/>
            <w:tcBorders>
              <w:left w:val="thinThickThinSmallGap" w:sz="24" w:space="0" w:color="auto"/>
            </w:tcBorders>
            <w:shd w:val="clear" w:color="auto" w:fill="FFFFFF" w:themeFill="background1"/>
          </w:tcPr>
          <w:p w:rsidR="0064770E" w:rsidRPr="00542F46" w:rsidRDefault="0064770E" w:rsidP="00335280">
            <w:pPr>
              <w:spacing w:line="220" w:lineRule="exact"/>
              <w:rPr>
                <w:color w:val="auto"/>
                <w:sz w:val="18"/>
                <w:szCs w:val="18"/>
              </w:rPr>
            </w:pPr>
            <w:r w:rsidRPr="00542F46">
              <w:rPr>
                <w:rFonts w:cs="Times New Roman"/>
                <w:color w:val="auto"/>
                <w:sz w:val="18"/>
                <w:szCs w:val="18"/>
              </w:rPr>
              <w:t xml:space="preserve">R Arm … Thoracic Outlet </w:t>
            </w:r>
            <w:proofErr w:type="spellStart"/>
            <w:r w:rsidRPr="00542F46">
              <w:rPr>
                <w:rFonts w:cs="Times New Roman"/>
                <w:color w:val="auto"/>
                <w:sz w:val="18"/>
                <w:szCs w:val="18"/>
              </w:rPr>
              <w:t>Syn</w:t>
            </w:r>
            <w:proofErr w:type="spellEnd"/>
          </w:p>
        </w:tc>
        <w:tc>
          <w:tcPr>
            <w:tcW w:w="1080" w:type="dxa"/>
            <w:gridSpan w:val="2"/>
            <w:shd w:val="clear" w:color="auto" w:fill="FFFFFF" w:themeFill="background1"/>
          </w:tcPr>
          <w:p w:rsidR="0064770E" w:rsidRPr="00542F46" w:rsidRDefault="0064770E" w:rsidP="00335280">
            <w:pPr>
              <w:pStyle w:val="ListParagraph"/>
              <w:spacing w:after="0" w:line="220" w:lineRule="exact"/>
              <w:ind w:left="0"/>
              <w:jc w:val="center"/>
              <w:rPr>
                <w:rFonts w:cs="Times New Roman"/>
                <w:sz w:val="18"/>
                <w:szCs w:val="18"/>
              </w:rPr>
            </w:pPr>
            <w:r w:rsidRPr="00542F46">
              <w:rPr>
                <w:rFonts w:cs="Times New Roman"/>
                <w:sz w:val="18"/>
                <w:szCs w:val="18"/>
              </w:rPr>
              <w:t>8699-8616</w:t>
            </w:r>
          </w:p>
        </w:tc>
        <w:tc>
          <w:tcPr>
            <w:tcW w:w="810" w:type="dxa"/>
            <w:shd w:val="clear" w:color="auto" w:fill="FFFFFF" w:themeFill="background1"/>
          </w:tcPr>
          <w:p w:rsidR="0064770E" w:rsidRPr="00542F46" w:rsidRDefault="0064770E" w:rsidP="00335280">
            <w:pPr>
              <w:pStyle w:val="ListParagraph"/>
              <w:spacing w:after="0" w:line="220" w:lineRule="exact"/>
              <w:ind w:left="0"/>
              <w:jc w:val="center"/>
              <w:rPr>
                <w:rFonts w:cs="Times New Roman"/>
                <w:sz w:val="18"/>
                <w:szCs w:val="18"/>
              </w:rPr>
            </w:pPr>
            <w:r w:rsidRPr="00542F46">
              <w:rPr>
                <w:rFonts w:cs="Times New Roman"/>
                <w:sz w:val="18"/>
                <w:szCs w:val="18"/>
              </w:rPr>
              <w:t>10%</w:t>
            </w:r>
          </w:p>
        </w:tc>
        <w:tc>
          <w:tcPr>
            <w:tcW w:w="1170" w:type="dxa"/>
            <w:shd w:val="clear" w:color="auto" w:fill="FFFFFF" w:themeFill="background1"/>
          </w:tcPr>
          <w:p w:rsidR="0064770E" w:rsidRPr="00542F46" w:rsidRDefault="0064770E" w:rsidP="0064770E">
            <w:pPr>
              <w:spacing w:line="220" w:lineRule="exact"/>
              <w:jc w:val="center"/>
              <w:rPr>
                <w:color w:val="auto"/>
                <w:sz w:val="18"/>
                <w:szCs w:val="18"/>
              </w:rPr>
            </w:pPr>
            <w:r w:rsidRPr="00542F46">
              <w:rPr>
                <w:rFonts w:cs="Times New Roman"/>
                <w:color w:val="auto"/>
                <w:sz w:val="18"/>
                <w:szCs w:val="18"/>
              </w:rPr>
              <w:t>20051209</w:t>
            </w:r>
          </w:p>
        </w:tc>
        <w:tc>
          <w:tcPr>
            <w:tcW w:w="990" w:type="dxa"/>
            <w:shd w:val="clear" w:color="auto" w:fill="FFFFFF" w:themeFill="background1"/>
          </w:tcPr>
          <w:p w:rsidR="0064770E" w:rsidRPr="00653AF8" w:rsidRDefault="00653AF8" w:rsidP="0064770E">
            <w:pPr>
              <w:spacing w:line="220" w:lineRule="exact"/>
              <w:jc w:val="center"/>
              <w:rPr>
                <w:color w:val="auto"/>
                <w:sz w:val="18"/>
                <w:szCs w:val="18"/>
              </w:rPr>
            </w:pPr>
            <w:r w:rsidRPr="00653AF8">
              <w:rPr>
                <w:rFonts w:cs="Times New Roman"/>
                <w:color w:val="auto"/>
                <w:sz w:val="18"/>
                <w:szCs w:val="18"/>
              </w:rPr>
              <w:t>20051216</w:t>
            </w:r>
          </w:p>
        </w:tc>
      </w:tr>
      <w:tr w:rsidR="0064770E" w:rsidRPr="00542F46" w:rsidTr="0064770E">
        <w:trPr>
          <w:trHeight w:val="170"/>
          <w:jc w:val="center"/>
        </w:trPr>
        <w:tc>
          <w:tcPr>
            <w:tcW w:w="2898" w:type="dxa"/>
            <w:gridSpan w:val="3"/>
            <w:vMerge/>
            <w:tcBorders>
              <w:right w:val="thinThickThinSmallGap" w:sz="24" w:space="0" w:color="auto"/>
            </w:tcBorders>
            <w:shd w:val="clear" w:color="auto" w:fill="FFFFFF" w:themeFill="background1"/>
          </w:tcPr>
          <w:p w:rsidR="0064770E" w:rsidRPr="00542F46" w:rsidRDefault="0064770E" w:rsidP="00335280">
            <w:pPr>
              <w:pStyle w:val="ListParagraph"/>
              <w:spacing w:after="0" w:line="220" w:lineRule="exact"/>
              <w:ind w:left="0"/>
              <w:jc w:val="both"/>
              <w:rPr>
                <w:rFonts w:cs="Times New Roman"/>
                <w:sz w:val="18"/>
                <w:szCs w:val="18"/>
              </w:rPr>
            </w:pPr>
          </w:p>
        </w:tc>
        <w:tc>
          <w:tcPr>
            <w:tcW w:w="5963" w:type="dxa"/>
            <w:gridSpan w:val="6"/>
            <w:tcBorders>
              <w:left w:val="thinThickThinSmallGap" w:sz="24" w:space="0" w:color="auto"/>
            </w:tcBorders>
            <w:shd w:val="clear" w:color="auto" w:fill="FFFFFF" w:themeFill="background1"/>
          </w:tcPr>
          <w:p w:rsidR="0064770E" w:rsidRPr="00542F46" w:rsidRDefault="0064770E" w:rsidP="00335280">
            <w:pPr>
              <w:pStyle w:val="ListParagraph"/>
              <w:spacing w:after="0" w:line="220" w:lineRule="exact"/>
              <w:ind w:left="0"/>
              <w:jc w:val="center"/>
              <w:rPr>
                <w:rFonts w:cs="Times New Roman"/>
                <w:b/>
                <w:sz w:val="18"/>
                <w:szCs w:val="18"/>
              </w:rPr>
            </w:pPr>
            <w:r w:rsidRPr="00542F46">
              <w:rPr>
                <w:rFonts w:cs="Times New Roman"/>
                <w:b/>
                <w:sz w:val="18"/>
                <w:szCs w:val="18"/>
              </w:rPr>
              <w:t>NSC X 3</w:t>
            </w:r>
          </w:p>
        </w:tc>
      </w:tr>
      <w:tr w:rsidR="0064770E" w:rsidRPr="00542F46" w:rsidTr="0064770E">
        <w:trPr>
          <w:trHeight w:val="242"/>
          <w:jc w:val="center"/>
        </w:trPr>
        <w:tc>
          <w:tcPr>
            <w:tcW w:w="2898" w:type="dxa"/>
            <w:gridSpan w:val="3"/>
            <w:tcBorders>
              <w:right w:val="thinThickThinSmallGap" w:sz="24" w:space="0" w:color="auto"/>
            </w:tcBorders>
            <w:shd w:val="clear" w:color="auto" w:fill="D9D9D9" w:themeFill="background1" w:themeFillShade="D9"/>
          </w:tcPr>
          <w:p w:rsidR="0064770E" w:rsidRPr="00542F46" w:rsidRDefault="0064770E" w:rsidP="00335280">
            <w:pPr>
              <w:pStyle w:val="ListParagraph"/>
              <w:spacing w:after="0" w:line="220" w:lineRule="exact"/>
              <w:ind w:left="0"/>
              <w:jc w:val="center"/>
              <w:rPr>
                <w:rFonts w:cs="Times New Roman"/>
                <w:b/>
                <w:sz w:val="20"/>
                <w:szCs w:val="20"/>
              </w:rPr>
            </w:pPr>
            <w:r w:rsidRPr="00542F46">
              <w:rPr>
                <w:rFonts w:cs="Times New Roman"/>
                <w:b/>
                <w:sz w:val="20"/>
                <w:szCs w:val="20"/>
              </w:rPr>
              <w:t>TOTAL Combined:  10%</w:t>
            </w:r>
          </w:p>
        </w:tc>
        <w:tc>
          <w:tcPr>
            <w:tcW w:w="5963" w:type="dxa"/>
            <w:gridSpan w:val="6"/>
            <w:tcBorders>
              <w:left w:val="thinThickThinSmallGap" w:sz="24" w:space="0" w:color="auto"/>
            </w:tcBorders>
            <w:shd w:val="clear" w:color="auto" w:fill="D9D9D9" w:themeFill="background1" w:themeFillShade="D9"/>
          </w:tcPr>
          <w:p w:rsidR="0064770E" w:rsidRPr="00542F46" w:rsidRDefault="0064770E" w:rsidP="00C74529">
            <w:pPr>
              <w:pStyle w:val="ListParagraph"/>
              <w:spacing w:after="0" w:line="220" w:lineRule="exact"/>
              <w:ind w:left="0"/>
              <w:jc w:val="center"/>
              <w:rPr>
                <w:rFonts w:cs="Times New Roman"/>
                <w:b/>
                <w:sz w:val="20"/>
                <w:szCs w:val="20"/>
              </w:rPr>
            </w:pPr>
            <w:r w:rsidRPr="00542F46">
              <w:rPr>
                <w:rFonts w:cs="Times New Roman"/>
                <w:b/>
                <w:sz w:val="20"/>
                <w:szCs w:val="20"/>
              </w:rPr>
              <w:t>TOTAL Combined:  80%</w:t>
            </w:r>
            <w:r w:rsidR="00653AF8">
              <w:rPr>
                <w:rFonts w:cs="Times New Roman"/>
                <w:b/>
                <w:sz w:val="20"/>
                <w:szCs w:val="20"/>
              </w:rPr>
              <w:t xml:space="preserve"> from </w:t>
            </w:r>
            <w:r w:rsidR="00653AF8" w:rsidRPr="00653AF8">
              <w:rPr>
                <w:rFonts w:cs="Times New Roman"/>
                <w:b/>
                <w:sz w:val="20"/>
                <w:szCs w:val="20"/>
              </w:rPr>
              <w:t>20051216</w:t>
            </w:r>
            <w:r w:rsidR="00653AF8">
              <w:rPr>
                <w:rFonts w:cs="Times New Roman"/>
                <w:b/>
                <w:sz w:val="20"/>
                <w:szCs w:val="20"/>
              </w:rPr>
              <w:t xml:space="preserve">; </w:t>
            </w:r>
            <w:r w:rsidR="00653AF8" w:rsidRPr="00653AF8">
              <w:rPr>
                <w:rFonts w:cs="Times New Roman"/>
                <w:b/>
                <w:sz w:val="18"/>
                <w:szCs w:val="18"/>
              </w:rPr>
              <w:t>70% from 20070201</w:t>
            </w:r>
          </w:p>
        </w:tc>
      </w:tr>
    </w:tbl>
    <w:p w:rsidR="00813BAE" w:rsidRPr="00542F46" w:rsidRDefault="00813BAE" w:rsidP="00431B7F">
      <w:pPr>
        <w:tabs>
          <w:tab w:val="left" w:pos="288"/>
          <w:tab w:val="left" w:pos="4752"/>
        </w:tabs>
        <w:spacing w:line="240" w:lineRule="exact"/>
        <w:jc w:val="both"/>
        <w:rPr>
          <w:color w:val="auto"/>
        </w:rPr>
      </w:pPr>
      <w:r w:rsidRPr="00542F46">
        <w:rPr>
          <w:color w:val="auto"/>
          <w:u w:val="single"/>
        </w:rPr>
        <w:t>_______________________________________________________________</w:t>
      </w:r>
      <w:r w:rsidRPr="00542F46">
        <w:rPr>
          <w:color w:val="auto"/>
        </w:rPr>
        <w:t>_</w:t>
      </w:r>
    </w:p>
    <w:p w:rsidR="00A663CD" w:rsidRPr="00542F46" w:rsidRDefault="00A663CD" w:rsidP="00431B7F">
      <w:pPr>
        <w:tabs>
          <w:tab w:val="left" w:pos="288"/>
          <w:tab w:val="left" w:pos="4752"/>
        </w:tabs>
        <w:spacing w:line="240" w:lineRule="exact"/>
        <w:jc w:val="both"/>
        <w:rPr>
          <w:rFonts w:asciiTheme="minorHAnsi" w:hAnsiTheme="minorHAnsi"/>
          <w:color w:val="auto"/>
          <w:u w:val="single"/>
        </w:rPr>
      </w:pPr>
    </w:p>
    <w:p w:rsidR="00A663CD" w:rsidRPr="00542F46" w:rsidRDefault="00A663CD"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u w:val="single"/>
        </w:rPr>
        <w:t>ANALYSIS SUMMARY</w:t>
      </w:r>
      <w:r w:rsidRPr="00542F46">
        <w:rPr>
          <w:rFonts w:asciiTheme="minorHAnsi" w:hAnsiTheme="minorHAnsi"/>
          <w:color w:val="auto"/>
        </w:rPr>
        <w:t>:</w:t>
      </w:r>
      <w:r w:rsidR="00431B7F" w:rsidRPr="00542F46">
        <w:rPr>
          <w:rFonts w:asciiTheme="minorHAnsi" w:hAnsiTheme="minorHAnsi"/>
          <w:color w:val="auto"/>
        </w:rPr>
        <w:t xml:space="preserve">  </w:t>
      </w:r>
      <w:r w:rsidR="00CF50C7" w:rsidRPr="00542F46">
        <w:rPr>
          <w:rFonts w:asciiTheme="minorHAnsi" w:hAnsiTheme="minorHAnsi"/>
          <w:color w:val="auto"/>
        </w:rPr>
        <w:t xml:space="preserve">The diagnosis of PTSD and adjudication as unfitting from the Service is considered administratively final by the Board.  The Board focused on appropriate rating of the CI’s unfitting mental health condition.  </w:t>
      </w:r>
    </w:p>
    <w:p w:rsidR="00431B7F" w:rsidRPr="00542F46" w:rsidRDefault="00431B7F" w:rsidP="00431B7F">
      <w:pPr>
        <w:tabs>
          <w:tab w:val="left" w:pos="288"/>
          <w:tab w:val="left" w:pos="4752"/>
        </w:tabs>
        <w:spacing w:line="240" w:lineRule="exact"/>
        <w:jc w:val="both"/>
        <w:rPr>
          <w:rFonts w:asciiTheme="minorHAnsi" w:hAnsiTheme="minorHAnsi"/>
          <w:color w:val="auto"/>
          <w:u w:val="single"/>
        </w:rPr>
      </w:pPr>
    </w:p>
    <w:p w:rsidR="008F618D" w:rsidRPr="00542F46" w:rsidRDefault="00A663CD" w:rsidP="00542F46">
      <w:pPr>
        <w:tabs>
          <w:tab w:val="left" w:pos="288"/>
          <w:tab w:val="left" w:pos="4752"/>
        </w:tabs>
        <w:spacing w:line="240" w:lineRule="exact"/>
        <w:jc w:val="both"/>
        <w:rPr>
          <w:rFonts w:ascii="Calibri" w:hAnsi="Calibri"/>
          <w:color w:val="auto"/>
        </w:rPr>
      </w:pPr>
      <w:r w:rsidRPr="00542F46">
        <w:rPr>
          <w:rFonts w:asciiTheme="minorHAnsi" w:hAnsiTheme="minorHAnsi"/>
          <w:color w:val="auto"/>
          <w:u w:val="single"/>
        </w:rPr>
        <w:t>PTSD Rating Recommendation</w:t>
      </w:r>
      <w:r w:rsidRPr="00542F46">
        <w:rPr>
          <w:rFonts w:asciiTheme="minorHAnsi" w:hAnsiTheme="minorHAnsi"/>
          <w:color w:val="auto"/>
        </w:rPr>
        <w:t xml:space="preserve">:  </w:t>
      </w:r>
      <w:r w:rsidRPr="00542F46">
        <w:rPr>
          <w:rFonts w:asciiTheme="minorHAnsi" w:hAnsiTheme="minorHAnsi"/>
          <w:color w:val="auto"/>
          <w:szCs w:val="24"/>
        </w:rPr>
        <w:t xml:space="preserve">The PEB 10% rating, as described above, was derived from DoDI 1332.39 and preceded the promulgation of the NDAA 2008 mandate for DoD adherence to VASRD 4.129.  IAW DoDI 6040.44 and DoD guidance (which applies current VASRD 4.129 to all Board cases), the Board is obligated to recommend a minimum 50% PTSD rating for a retroactive six month period of Temporary Duty Retirement List (TDRL).  The Board must then determine the most appropriate fit with VASRD, 38 CFR 4.130, criteria at six months for its permanent rating recommendation.  The MEB psychiatric evaluation </w:t>
      </w:r>
      <w:r w:rsidR="004B073A" w:rsidRPr="00542F46">
        <w:rPr>
          <w:rFonts w:asciiTheme="minorHAnsi" w:hAnsiTheme="minorHAnsi"/>
          <w:color w:val="auto"/>
          <w:szCs w:val="24"/>
        </w:rPr>
        <w:t xml:space="preserve">and the pre-separation VA exam </w:t>
      </w:r>
      <w:r w:rsidRPr="00542F46">
        <w:rPr>
          <w:rFonts w:asciiTheme="minorHAnsi" w:hAnsiTheme="minorHAnsi"/>
          <w:color w:val="auto"/>
          <w:szCs w:val="24"/>
        </w:rPr>
        <w:t xml:space="preserve">under </w:t>
      </w:r>
      <w:r w:rsidR="004B073A" w:rsidRPr="00542F46">
        <w:rPr>
          <w:rFonts w:asciiTheme="minorHAnsi" w:hAnsiTheme="minorHAnsi"/>
          <w:color w:val="auto"/>
          <w:szCs w:val="24"/>
        </w:rPr>
        <w:t xml:space="preserve">VASRD </w:t>
      </w:r>
      <w:r w:rsidRPr="00542F46">
        <w:rPr>
          <w:rFonts w:asciiTheme="minorHAnsi" w:hAnsiTheme="minorHAnsi"/>
          <w:color w:val="auto"/>
          <w:szCs w:val="24"/>
        </w:rPr>
        <w:t xml:space="preserve">§4.130 criteria, would rate no higher than 50% and the minimum TDRL rating of 50% applies.  The most proximate sources of </w:t>
      </w:r>
      <w:r w:rsidR="001635B8" w:rsidRPr="00542F46">
        <w:rPr>
          <w:rFonts w:asciiTheme="minorHAnsi" w:hAnsiTheme="minorHAnsi"/>
          <w:color w:val="auto"/>
          <w:szCs w:val="24"/>
        </w:rPr>
        <w:t>comprehensive evidence</w:t>
      </w:r>
      <w:r w:rsidRPr="00542F46">
        <w:rPr>
          <w:rFonts w:asciiTheme="minorHAnsi" w:hAnsiTheme="minorHAnsi"/>
          <w:color w:val="auto"/>
          <w:szCs w:val="24"/>
        </w:rPr>
        <w:t xml:space="preserve"> on which to base the permanent rating in this case is a combination of the </w:t>
      </w:r>
      <w:r w:rsidR="004B073A" w:rsidRPr="00542F46">
        <w:rPr>
          <w:rFonts w:asciiTheme="minorHAnsi" w:hAnsiTheme="minorHAnsi"/>
          <w:color w:val="auto"/>
          <w:szCs w:val="24"/>
        </w:rPr>
        <w:t xml:space="preserve">pre-separation exams </w:t>
      </w:r>
      <w:r w:rsidR="003B0CCA">
        <w:rPr>
          <w:rFonts w:asciiTheme="minorHAnsi" w:hAnsiTheme="minorHAnsi"/>
          <w:color w:val="auto"/>
          <w:szCs w:val="24"/>
        </w:rPr>
        <w:t xml:space="preserve"> </w:t>
      </w:r>
      <w:r w:rsidR="004B073A" w:rsidRPr="00542F46">
        <w:rPr>
          <w:rFonts w:asciiTheme="minorHAnsi" w:hAnsiTheme="minorHAnsi"/>
          <w:color w:val="auto"/>
          <w:szCs w:val="24"/>
        </w:rPr>
        <w:t xml:space="preserve">[MEB </w:t>
      </w:r>
      <w:r w:rsidRPr="00542F46">
        <w:rPr>
          <w:rFonts w:asciiTheme="minorHAnsi" w:hAnsiTheme="minorHAnsi"/>
          <w:color w:val="auto"/>
          <w:szCs w:val="24"/>
        </w:rPr>
        <w:t>Psychiatric evaluation 6 months pre-</w:t>
      </w:r>
      <w:r w:rsidR="001635B8" w:rsidRPr="00542F46">
        <w:rPr>
          <w:rFonts w:asciiTheme="minorHAnsi" w:hAnsiTheme="minorHAnsi"/>
          <w:color w:val="auto"/>
          <w:szCs w:val="24"/>
        </w:rPr>
        <w:t>separation</w:t>
      </w:r>
      <w:r w:rsidRPr="00542F46">
        <w:rPr>
          <w:rFonts w:asciiTheme="minorHAnsi" w:hAnsiTheme="minorHAnsi"/>
          <w:color w:val="auto"/>
          <w:szCs w:val="24"/>
        </w:rPr>
        <w:t>, Narrative Summary (NARSUM) 5 months pre-separation, Non Medica</w:t>
      </w:r>
      <w:r w:rsidR="004B073A" w:rsidRPr="00542F46">
        <w:rPr>
          <w:rFonts w:asciiTheme="minorHAnsi" w:hAnsiTheme="minorHAnsi"/>
          <w:color w:val="auto"/>
          <w:szCs w:val="24"/>
        </w:rPr>
        <w:t>l Assessment (NMA) 4 months pre-</w:t>
      </w:r>
      <w:r w:rsidRPr="00542F46">
        <w:rPr>
          <w:rFonts w:asciiTheme="minorHAnsi" w:hAnsiTheme="minorHAnsi"/>
          <w:color w:val="auto"/>
          <w:szCs w:val="24"/>
        </w:rPr>
        <w:t xml:space="preserve">separation, </w:t>
      </w:r>
      <w:r w:rsidR="004B073A" w:rsidRPr="00542F46">
        <w:rPr>
          <w:rFonts w:asciiTheme="minorHAnsi" w:hAnsiTheme="minorHAnsi"/>
          <w:color w:val="auto"/>
          <w:szCs w:val="24"/>
        </w:rPr>
        <w:t xml:space="preserve">VA </w:t>
      </w:r>
      <w:r w:rsidR="001635B8" w:rsidRPr="00542F46">
        <w:rPr>
          <w:rFonts w:asciiTheme="minorHAnsi" w:hAnsiTheme="minorHAnsi"/>
          <w:color w:val="auto"/>
          <w:szCs w:val="24"/>
        </w:rPr>
        <w:t>Special Psychiatric</w:t>
      </w:r>
      <w:r w:rsidRPr="00542F46">
        <w:rPr>
          <w:rFonts w:asciiTheme="minorHAnsi" w:hAnsiTheme="minorHAnsi"/>
          <w:color w:val="auto"/>
          <w:szCs w:val="24"/>
        </w:rPr>
        <w:t xml:space="preserve"> Examination 2 days pre-</w:t>
      </w:r>
      <w:r w:rsidR="001635B8" w:rsidRPr="00542F46">
        <w:rPr>
          <w:rFonts w:asciiTheme="minorHAnsi" w:hAnsiTheme="minorHAnsi"/>
          <w:color w:val="auto"/>
          <w:szCs w:val="24"/>
        </w:rPr>
        <w:t>separation</w:t>
      </w:r>
      <w:r w:rsidR="004B073A" w:rsidRPr="00542F46">
        <w:rPr>
          <w:rFonts w:asciiTheme="minorHAnsi" w:hAnsiTheme="minorHAnsi"/>
          <w:color w:val="auto"/>
          <w:szCs w:val="24"/>
        </w:rPr>
        <w:t xml:space="preserve">] </w:t>
      </w:r>
      <w:r w:rsidR="001635B8" w:rsidRPr="00542F46">
        <w:rPr>
          <w:rFonts w:asciiTheme="minorHAnsi" w:hAnsiTheme="minorHAnsi"/>
          <w:color w:val="auto"/>
          <w:szCs w:val="24"/>
        </w:rPr>
        <w:t xml:space="preserve">, </w:t>
      </w:r>
      <w:r w:rsidRPr="00542F46">
        <w:rPr>
          <w:rFonts w:asciiTheme="minorHAnsi" w:hAnsiTheme="minorHAnsi"/>
          <w:color w:val="auto"/>
          <w:szCs w:val="24"/>
        </w:rPr>
        <w:t>the VA Compensation and Pension</w:t>
      </w:r>
      <w:r w:rsidR="004B073A" w:rsidRPr="00542F46">
        <w:rPr>
          <w:rFonts w:asciiTheme="minorHAnsi" w:hAnsiTheme="minorHAnsi"/>
          <w:color w:val="auto"/>
          <w:szCs w:val="24"/>
        </w:rPr>
        <w:t xml:space="preserve"> </w:t>
      </w:r>
      <w:r w:rsidRPr="00542F46">
        <w:rPr>
          <w:rFonts w:asciiTheme="minorHAnsi" w:hAnsiTheme="minorHAnsi"/>
          <w:color w:val="auto"/>
          <w:szCs w:val="24"/>
        </w:rPr>
        <w:t>(C&amp;P) examination 8 months post separation</w:t>
      </w:r>
      <w:r w:rsidR="00136AAE" w:rsidRPr="00542F46">
        <w:rPr>
          <w:rFonts w:asciiTheme="minorHAnsi" w:hAnsiTheme="minorHAnsi"/>
          <w:color w:val="auto"/>
          <w:szCs w:val="24"/>
        </w:rPr>
        <w:t xml:space="preserve"> with VA treatment notes and rating information for the 12 months post separation</w:t>
      </w:r>
      <w:r w:rsidRPr="00542F46">
        <w:rPr>
          <w:rFonts w:asciiTheme="minorHAnsi" w:hAnsiTheme="minorHAnsi"/>
          <w:color w:val="auto"/>
          <w:szCs w:val="24"/>
        </w:rPr>
        <w:t xml:space="preserve">.  </w:t>
      </w:r>
      <w:r w:rsidR="00136AAE" w:rsidRPr="00542F46">
        <w:rPr>
          <w:rFonts w:asciiTheme="minorHAnsi" w:hAnsiTheme="minorHAnsi"/>
          <w:color w:val="auto"/>
          <w:szCs w:val="24"/>
        </w:rPr>
        <w:t xml:space="preserve">The combined pre-separation record indicated a rating of 30% to 50% IAW the criteria of §4.130 (absent §4.129) and provides a useful baseline and is assigned relevant probative value in the Board’s efforts to arrive at a fair permanent rating recommendation.  </w:t>
      </w:r>
      <w:r w:rsidRPr="00542F46">
        <w:rPr>
          <w:rFonts w:asciiTheme="minorHAnsi" w:hAnsiTheme="minorHAnsi"/>
          <w:color w:val="auto"/>
          <w:szCs w:val="24"/>
        </w:rPr>
        <w:t xml:space="preserve">The C&amp;P exam </w:t>
      </w:r>
      <w:r w:rsidR="007561F9" w:rsidRPr="00542F46">
        <w:rPr>
          <w:rFonts w:asciiTheme="minorHAnsi" w:hAnsiTheme="minorHAnsi"/>
          <w:color w:val="auto"/>
          <w:szCs w:val="24"/>
        </w:rPr>
        <w:t xml:space="preserve">performed at </w:t>
      </w:r>
      <w:r w:rsidR="00BA4C7A" w:rsidRPr="00542F46">
        <w:rPr>
          <w:rFonts w:asciiTheme="minorHAnsi" w:hAnsiTheme="minorHAnsi"/>
          <w:color w:val="auto"/>
          <w:szCs w:val="24"/>
        </w:rPr>
        <w:t xml:space="preserve">eight </w:t>
      </w:r>
      <w:r w:rsidR="007561F9" w:rsidRPr="00542F46">
        <w:rPr>
          <w:rFonts w:asciiTheme="minorHAnsi" w:hAnsiTheme="minorHAnsi"/>
          <w:color w:val="auto"/>
          <w:szCs w:val="24"/>
        </w:rPr>
        <w:t>months post-</w:t>
      </w:r>
      <w:r w:rsidRPr="00542F46">
        <w:rPr>
          <w:rFonts w:asciiTheme="minorHAnsi" w:hAnsiTheme="minorHAnsi"/>
          <w:color w:val="auto"/>
          <w:szCs w:val="24"/>
        </w:rPr>
        <w:t>separation</w:t>
      </w:r>
      <w:r w:rsidR="007561F9" w:rsidRPr="00542F46">
        <w:rPr>
          <w:rFonts w:asciiTheme="minorHAnsi" w:hAnsiTheme="minorHAnsi"/>
          <w:color w:val="auto"/>
          <w:szCs w:val="24"/>
        </w:rPr>
        <w:t xml:space="preserve"> indicated mild improvement of the CI’s symptoms.  </w:t>
      </w:r>
      <w:r w:rsidR="007561F9" w:rsidRPr="00542F46">
        <w:rPr>
          <w:rFonts w:asciiTheme="minorHAnsi" w:hAnsiTheme="minorHAnsi"/>
          <w:iCs/>
          <w:color w:val="auto"/>
          <w:szCs w:val="24"/>
        </w:rPr>
        <w:t xml:space="preserve">The CI was employed part time and planning to attend college.  The MSE continued to demonstrate anxiety, nervousness, depression and anger. </w:t>
      </w:r>
      <w:r w:rsidR="00ED594F">
        <w:rPr>
          <w:rFonts w:asciiTheme="minorHAnsi" w:hAnsiTheme="minorHAnsi"/>
          <w:iCs/>
          <w:color w:val="auto"/>
          <w:szCs w:val="24"/>
        </w:rPr>
        <w:t xml:space="preserve"> </w:t>
      </w:r>
      <w:r w:rsidR="007561F9" w:rsidRPr="00542F46">
        <w:rPr>
          <w:rFonts w:asciiTheme="minorHAnsi" w:hAnsiTheme="minorHAnsi"/>
          <w:iCs/>
          <w:color w:val="auto"/>
          <w:szCs w:val="24"/>
        </w:rPr>
        <w:t xml:space="preserve">Symptoms of difficulties with concentration and attention were documented, but objective cognitive deficits were not demonstrated on the MSE, aside from remembering only 2 of 3 items.  </w:t>
      </w:r>
      <w:r w:rsidR="007561F9" w:rsidRPr="00542F46">
        <w:rPr>
          <w:rFonts w:asciiTheme="minorHAnsi" w:hAnsiTheme="minorHAnsi"/>
          <w:color w:val="auto"/>
          <w:szCs w:val="24"/>
        </w:rPr>
        <w:t>T</w:t>
      </w:r>
      <w:r w:rsidRPr="00542F46">
        <w:rPr>
          <w:rFonts w:asciiTheme="minorHAnsi" w:hAnsiTheme="minorHAnsi"/>
          <w:color w:val="auto"/>
          <w:szCs w:val="24"/>
        </w:rPr>
        <w:t>he examiner described the CI’s mood as “anxious, nervous, depressed</w:t>
      </w:r>
      <w:r w:rsidR="00136AAE" w:rsidRPr="00542F46">
        <w:rPr>
          <w:rFonts w:asciiTheme="minorHAnsi" w:hAnsiTheme="minorHAnsi"/>
          <w:color w:val="auto"/>
          <w:szCs w:val="24"/>
        </w:rPr>
        <w:t>, angry…had tears in his eyes</w:t>
      </w:r>
      <w:r w:rsidR="007561F9" w:rsidRPr="00542F46">
        <w:rPr>
          <w:rFonts w:asciiTheme="minorHAnsi" w:hAnsiTheme="minorHAnsi"/>
          <w:color w:val="auto"/>
          <w:szCs w:val="24"/>
        </w:rPr>
        <w:t>.</w:t>
      </w:r>
      <w:r w:rsidR="00136AAE" w:rsidRPr="00542F46">
        <w:rPr>
          <w:rFonts w:asciiTheme="minorHAnsi" w:hAnsiTheme="minorHAnsi"/>
          <w:color w:val="auto"/>
          <w:szCs w:val="24"/>
        </w:rPr>
        <w:t>”</w:t>
      </w:r>
      <w:r w:rsidR="007561F9" w:rsidRPr="00542F46">
        <w:rPr>
          <w:rFonts w:asciiTheme="minorHAnsi" w:hAnsiTheme="minorHAnsi"/>
          <w:color w:val="auto"/>
          <w:szCs w:val="24"/>
        </w:rPr>
        <w:t xml:space="preserve">  </w:t>
      </w:r>
      <w:r w:rsidR="00136AAE" w:rsidRPr="00542F46">
        <w:rPr>
          <w:rFonts w:asciiTheme="minorHAnsi" w:hAnsiTheme="minorHAnsi"/>
          <w:color w:val="auto"/>
          <w:szCs w:val="24"/>
        </w:rPr>
        <w:t>T</w:t>
      </w:r>
      <w:r w:rsidRPr="00542F46">
        <w:rPr>
          <w:rFonts w:asciiTheme="minorHAnsi" w:hAnsiTheme="minorHAnsi"/>
          <w:color w:val="auto"/>
          <w:szCs w:val="24"/>
        </w:rPr>
        <w:t>he Minnesota Multi</w:t>
      </w:r>
      <w:r w:rsidR="00136AAE" w:rsidRPr="00542F46">
        <w:rPr>
          <w:rFonts w:asciiTheme="minorHAnsi" w:hAnsiTheme="minorHAnsi"/>
          <w:color w:val="auto"/>
          <w:szCs w:val="24"/>
        </w:rPr>
        <w:t>-</w:t>
      </w:r>
      <w:proofErr w:type="spellStart"/>
      <w:r w:rsidRPr="00542F46">
        <w:rPr>
          <w:rFonts w:asciiTheme="minorHAnsi" w:hAnsiTheme="minorHAnsi"/>
          <w:color w:val="auto"/>
          <w:szCs w:val="24"/>
        </w:rPr>
        <w:t>Phasic</w:t>
      </w:r>
      <w:proofErr w:type="spellEnd"/>
      <w:r w:rsidRPr="00542F46">
        <w:rPr>
          <w:rFonts w:asciiTheme="minorHAnsi" w:hAnsiTheme="minorHAnsi"/>
          <w:color w:val="auto"/>
          <w:szCs w:val="24"/>
        </w:rPr>
        <w:t xml:space="preserve"> Personality Inventory 2 (MMPI 2), </w:t>
      </w:r>
      <w:r w:rsidR="00136AAE" w:rsidRPr="00542F46">
        <w:rPr>
          <w:rFonts w:asciiTheme="minorHAnsi" w:hAnsiTheme="minorHAnsi"/>
          <w:color w:val="auto"/>
          <w:szCs w:val="24"/>
        </w:rPr>
        <w:t>indicated</w:t>
      </w:r>
      <w:r w:rsidRPr="00542F46">
        <w:rPr>
          <w:rFonts w:asciiTheme="minorHAnsi" w:hAnsiTheme="minorHAnsi"/>
          <w:color w:val="auto"/>
          <w:szCs w:val="24"/>
        </w:rPr>
        <w:t xml:space="preserve"> atypical test response</w:t>
      </w:r>
      <w:r w:rsidR="00136AAE" w:rsidRPr="00542F46">
        <w:rPr>
          <w:rFonts w:asciiTheme="minorHAnsi" w:hAnsiTheme="minorHAnsi"/>
          <w:color w:val="auto"/>
          <w:szCs w:val="24"/>
        </w:rPr>
        <w:t>s</w:t>
      </w:r>
      <w:r w:rsidRPr="00542F46">
        <w:rPr>
          <w:rFonts w:asciiTheme="minorHAnsi" w:hAnsiTheme="minorHAnsi"/>
          <w:color w:val="auto"/>
          <w:szCs w:val="24"/>
        </w:rPr>
        <w:t xml:space="preserve">, causing the examiner to wonder if this was “a result of either ambivalence, evasiveness, carelessness, lack of sophistication, not caring or some combination </w:t>
      </w:r>
      <w:r w:rsidR="001635B8" w:rsidRPr="00542F46">
        <w:rPr>
          <w:rFonts w:asciiTheme="minorHAnsi" w:hAnsiTheme="minorHAnsi"/>
          <w:color w:val="auto"/>
          <w:szCs w:val="24"/>
        </w:rPr>
        <w:t>of these</w:t>
      </w:r>
      <w:r w:rsidRPr="00542F46">
        <w:rPr>
          <w:rFonts w:asciiTheme="minorHAnsi" w:hAnsiTheme="minorHAnsi"/>
          <w:color w:val="auto"/>
          <w:szCs w:val="24"/>
        </w:rPr>
        <w:t xml:space="preserve"> or other factors</w:t>
      </w:r>
      <w:r w:rsidR="00136AAE" w:rsidRPr="00542F46">
        <w:rPr>
          <w:rFonts w:asciiTheme="minorHAnsi" w:hAnsiTheme="minorHAnsi"/>
          <w:color w:val="auto"/>
          <w:szCs w:val="24"/>
        </w:rPr>
        <w:t>.</w:t>
      </w:r>
      <w:r w:rsidRPr="00542F46">
        <w:rPr>
          <w:rFonts w:asciiTheme="minorHAnsi" w:hAnsiTheme="minorHAnsi"/>
          <w:color w:val="auto"/>
          <w:szCs w:val="24"/>
        </w:rPr>
        <w:t>”</w:t>
      </w:r>
      <w:r w:rsidR="00136AAE" w:rsidRPr="00542F46">
        <w:rPr>
          <w:rFonts w:asciiTheme="minorHAnsi" w:hAnsiTheme="minorHAnsi"/>
          <w:color w:val="auto"/>
          <w:szCs w:val="24"/>
        </w:rPr>
        <w:t xml:space="preserve"> </w:t>
      </w:r>
      <w:r w:rsidRPr="00542F46">
        <w:rPr>
          <w:rFonts w:asciiTheme="minorHAnsi" w:hAnsiTheme="minorHAnsi"/>
          <w:color w:val="auto"/>
          <w:szCs w:val="24"/>
        </w:rPr>
        <w:t xml:space="preserve"> </w:t>
      </w:r>
      <w:r w:rsidR="00136AAE" w:rsidRPr="00542F46">
        <w:rPr>
          <w:rFonts w:asciiTheme="minorHAnsi" w:hAnsiTheme="minorHAnsi"/>
          <w:color w:val="auto"/>
          <w:szCs w:val="24"/>
        </w:rPr>
        <w:t>T</w:t>
      </w:r>
      <w:r w:rsidRPr="00542F46">
        <w:rPr>
          <w:rFonts w:asciiTheme="minorHAnsi" w:hAnsiTheme="minorHAnsi"/>
          <w:color w:val="auto"/>
          <w:szCs w:val="24"/>
        </w:rPr>
        <w:t xml:space="preserve">he examiner did note that “since PTSD was found in the clinical interview, the lack of clear validity on the MMPI2 does not contraindicate a diagnosis of PTSD”.  The CI’s </w:t>
      </w:r>
      <w:r w:rsidR="00136AAE" w:rsidRPr="00542F46">
        <w:rPr>
          <w:rFonts w:asciiTheme="minorHAnsi" w:hAnsiTheme="minorHAnsi"/>
          <w:color w:val="auto"/>
          <w:szCs w:val="24"/>
        </w:rPr>
        <w:t xml:space="preserve">assessment of </w:t>
      </w:r>
      <w:r w:rsidRPr="00542F46">
        <w:rPr>
          <w:rFonts w:asciiTheme="minorHAnsi" w:hAnsiTheme="minorHAnsi"/>
          <w:color w:val="auto"/>
          <w:szCs w:val="24"/>
        </w:rPr>
        <w:t xml:space="preserve">global functioning </w:t>
      </w:r>
      <w:r w:rsidR="00136AAE" w:rsidRPr="00542F46">
        <w:rPr>
          <w:rFonts w:asciiTheme="minorHAnsi" w:hAnsiTheme="minorHAnsi"/>
          <w:color w:val="auto"/>
          <w:szCs w:val="24"/>
        </w:rPr>
        <w:t xml:space="preserve">was in the mild symptoms range </w:t>
      </w:r>
      <w:r w:rsidRPr="00542F46">
        <w:rPr>
          <w:rFonts w:asciiTheme="minorHAnsi" w:hAnsiTheme="minorHAnsi"/>
          <w:color w:val="auto"/>
          <w:szCs w:val="24"/>
        </w:rPr>
        <w:t>(GAF=70</w:t>
      </w:r>
      <w:r w:rsidR="00136AAE" w:rsidRPr="00542F46">
        <w:rPr>
          <w:rFonts w:asciiTheme="minorHAnsi" w:hAnsiTheme="minorHAnsi"/>
          <w:color w:val="auto"/>
          <w:szCs w:val="24"/>
        </w:rPr>
        <w:t xml:space="preserve">; MEB GAF=41-50; Pre-Sep VA GAF=62).   </w:t>
      </w:r>
      <w:r w:rsidR="007561F9" w:rsidRPr="00542F46">
        <w:rPr>
          <w:rFonts w:asciiTheme="minorHAnsi" w:hAnsiTheme="minorHAnsi"/>
          <w:color w:val="auto"/>
          <w:szCs w:val="24"/>
        </w:rPr>
        <w:t xml:space="preserve">Of note, the </w:t>
      </w:r>
      <w:r w:rsidRPr="00542F46">
        <w:rPr>
          <w:rFonts w:asciiTheme="minorHAnsi" w:hAnsiTheme="minorHAnsi"/>
          <w:iCs/>
          <w:color w:val="auto"/>
          <w:szCs w:val="24"/>
        </w:rPr>
        <w:t>CI’s symptoms were little changed</w:t>
      </w:r>
      <w:r w:rsidR="007561F9" w:rsidRPr="00542F46">
        <w:rPr>
          <w:rFonts w:asciiTheme="minorHAnsi" w:hAnsiTheme="minorHAnsi"/>
          <w:iCs/>
          <w:color w:val="auto"/>
          <w:szCs w:val="24"/>
        </w:rPr>
        <w:t xml:space="preserve"> from pre-separation or subsequent evaluations</w:t>
      </w:r>
      <w:r w:rsidRPr="00542F46">
        <w:rPr>
          <w:rFonts w:asciiTheme="minorHAnsi" w:hAnsiTheme="minorHAnsi"/>
          <w:iCs/>
          <w:color w:val="auto"/>
          <w:szCs w:val="24"/>
        </w:rPr>
        <w:t xml:space="preserve">. </w:t>
      </w:r>
      <w:r w:rsidR="007561F9" w:rsidRPr="00542F46">
        <w:rPr>
          <w:rFonts w:asciiTheme="minorHAnsi" w:hAnsiTheme="minorHAnsi"/>
          <w:iCs/>
          <w:color w:val="auto"/>
          <w:szCs w:val="24"/>
        </w:rPr>
        <w:t xml:space="preserve"> </w:t>
      </w:r>
      <w:r w:rsidR="003B0CCA">
        <w:rPr>
          <w:rFonts w:asciiTheme="minorHAnsi" w:hAnsiTheme="minorHAnsi"/>
          <w:iCs/>
          <w:color w:val="auto"/>
          <w:szCs w:val="24"/>
        </w:rPr>
        <w:t>The CI</w:t>
      </w:r>
      <w:r w:rsidRPr="00542F46">
        <w:rPr>
          <w:rFonts w:asciiTheme="minorHAnsi" w:hAnsiTheme="minorHAnsi"/>
          <w:iCs/>
          <w:color w:val="auto"/>
          <w:szCs w:val="24"/>
        </w:rPr>
        <w:t xml:space="preserve"> continued to endorse symptoms of </w:t>
      </w:r>
      <w:r w:rsidR="001635B8" w:rsidRPr="00542F46">
        <w:rPr>
          <w:rFonts w:asciiTheme="minorHAnsi" w:hAnsiTheme="minorHAnsi"/>
          <w:iCs/>
          <w:color w:val="auto"/>
          <w:szCs w:val="24"/>
        </w:rPr>
        <w:t>hyper vigilance</w:t>
      </w:r>
      <w:r w:rsidRPr="00542F46">
        <w:rPr>
          <w:rFonts w:asciiTheme="minorHAnsi" w:hAnsiTheme="minorHAnsi"/>
          <w:iCs/>
          <w:color w:val="auto"/>
          <w:szCs w:val="24"/>
        </w:rPr>
        <w:t xml:space="preserve">, exaggerated startle response, increased arousal and nightmares. </w:t>
      </w:r>
      <w:r w:rsidR="007561F9" w:rsidRPr="00542F46">
        <w:rPr>
          <w:rFonts w:asciiTheme="minorHAnsi" w:hAnsiTheme="minorHAnsi"/>
          <w:iCs/>
          <w:color w:val="auto"/>
          <w:szCs w:val="24"/>
        </w:rPr>
        <w:t xml:space="preserve">The VA rated </w:t>
      </w:r>
      <w:r w:rsidR="003B0CCA">
        <w:rPr>
          <w:rFonts w:asciiTheme="minorHAnsi" w:hAnsiTheme="minorHAnsi"/>
          <w:iCs/>
          <w:color w:val="auto"/>
          <w:szCs w:val="24"/>
        </w:rPr>
        <w:t xml:space="preserve">initially </w:t>
      </w:r>
      <w:r w:rsidR="007561F9" w:rsidRPr="00542F46">
        <w:rPr>
          <w:rFonts w:asciiTheme="minorHAnsi" w:hAnsiTheme="minorHAnsi"/>
          <w:iCs/>
          <w:color w:val="auto"/>
          <w:szCs w:val="24"/>
        </w:rPr>
        <w:t>this exam at 10%</w:t>
      </w:r>
      <w:r w:rsidR="003B0CCA">
        <w:rPr>
          <w:rFonts w:asciiTheme="minorHAnsi" w:hAnsiTheme="minorHAnsi"/>
          <w:iCs/>
          <w:color w:val="auto"/>
          <w:szCs w:val="24"/>
        </w:rPr>
        <w:t>,</w:t>
      </w:r>
      <w:r w:rsidR="007561F9" w:rsidRPr="00542F46">
        <w:rPr>
          <w:rFonts w:asciiTheme="minorHAnsi" w:hAnsiTheme="minorHAnsi"/>
          <w:iCs/>
          <w:color w:val="auto"/>
          <w:szCs w:val="24"/>
        </w:rPr>
        <w:t xml:space="preserve"> </w:t>
      </w:r>
      <w:r w:rsidR="003B0CCA">
        <w:rPr>
          <w:rFonts w:asciiTheme="minorHAnsi" w:hAnsiTheme="minorHAnsi"/>
          <w:iCs/>
          <w:color w:val="auto"/>
          <w:szCs w:val="24"/>
        </w:rPr>
        <w:t>h</w:t>
      </w:r>
      <w:r w:rsidR="007561F9" w:rsidRPr="00542F46">
        <w:rPr>
          <w:rFonts w:asciiTheme="minorHAnsi" w:hAnsiTheme="minorHAnsi"/>
          <w:iCs/>
          <w:color w:val="auto"/>
          <w:szCs w:val="24"/>
        </w:rPr>
        <w:t xml:space="preserve">owever, within two months, the VA </w:t>
      </w:r>
      <w:r w:rsidR="007561F9" w:rsidRPr="00542F46">
        <w:rPr>
          <w:rFonts w:ascii="Calibri" w:hAnsi="Calibri"/>
          <w:color w:val="auto"/>
        </w:rPr>
        <w:t>retroactively increased the rating to 30% based on a private physician’s input of symptom impact and severity with occupational impairment</w:t>
      </w:r>
      <w:r w:rsidR="003B0CCA">
        <w:rPr>
          <w:rFonts w:ascii="Calibri" w:hAnsi="Calibri"/>
          <w:color w:val="auto"/>
        </w:rPr>
        <w:t xml:space="preserve"> spanning that period</w:t>
      </w:r>
      <w:r w:rsidR="007561F9" w:rsidRPr="00542F46">
        <w:rPr>
          <w:rFonts w:ascii="Calibri" w:hAnsi="Calibri"/>
          <w:color w:val="auto"/>
        </w:rPr>
        <w:t xml:space="preserve">.  The VA Integrated Clinical Summary of treatment note at ten months post separation indicated </w:t>
      </w:r>
      <w:r w:rsidR="007561F9" w:rsidRPr="00542F46">
        <w:rPr>
          <w:rFonts w:ascii="Calibri" w:hAnsi="Calibri"/>
          <w:color w:val="auto"/>
        </w:rPr>
        <w:lastRenderedPageBreak/>
        <w:t xml:space="preserve">persistent </w:t>
      </w:r>
      <w:r w:rsidR="007B1F54" w:rsidRPr="00542F46">
        <w:rPr>
          <w:rFonts w:ascii="Calibri" w:hAnsi="Calibri"/>
          <w:color w:val="auto"/>
        </w:rPr>
        <w:t>severe</w:t>
      </w:r>
      <w:r w:rsidR="007561F9" w:rsidRPr="00542F46">
        <w:rPr>
          <w:rFonts w:ascii="Calibri" w:hAnsi="Calibri"/>
          <w:color w:val="auto"/>
        </w:rPr>
        <w:t xml:space="preserve"> symptoms despite psychotherapy and medications, with GAF=50</w:t>
      </w:r>
      <w:r w:rsidR="007B1F54" w:rsidRPr="00542F46">
        <w:rPr>
          <w:rFonts w:ascii="Calibri" w:hAnsi="Calibri"/>
          <w:color w:val="auto"/>
        </w:rPr>
        <w:t>.</w:t>
      </w:r>
      <w:r w:rsidR="007561F9" w:rsidRPr="00542F46">
        <w:rPr>
          <w:rFonts w:ascii="Calibri" w:hAnsi="Calibri"/>
          <w:color w:val="auto"/>
        </w:rPr>
        <w:t xml:space="preserve">  </w:t>
      </w:r>
      <w:r w:rsidR="007B1F54" w:rsidRPr="00542F46">
        <w:rPr>
          <w:rFonts w:ascii="Calibri" w:hAnsi="Calibri"/>
          <w:color w:val="auto"/>
        </w:rPr>
        <w:t xml:space="preserve">Subsequent VA exams and evaluations were considered outside of the rating timeframe, but did indicate 50% then 70% VA ratings for PTSD and Major Depression.  </w:t>
      </w:r>
      <w:r w:rsidR="00ED594F">
        <w:rPr>
          <w:rFonts w:ascii="Calibri" w:hAnsi="Calibri"/>
          <w:color w:val="auto"/>
        </w:rPr>
        <w:t>With</w:t>
      </w:r>
      <w:r w:rsidR="007B1F54" w:rsidRPr="00542F46">
        <w:rPr>
          <w:rFonts w:ascii="Calibri" w:hAnsi="Calibri"/>
          <w:color w:val="auto"/>
        </w:rPr>
        <w:t xml:space="preserve"> regards </w:t>
      </w:r>
      <w:r w:rsidR="00ED594F">
        <w:rPr>
          <w:rFonts w:ascii="Calibri" w:hAnsi="Calibri"/>
          <w:color w:val="auto"/>
        </w:rPr>
        <w:t xml:space="preserve">to </w:t>
      </w:r>
      <w:r w:rsidR="007B1F54" w:rsidRPr="00542F46">
        <w:rPr>
          <w:rFonts w:ascii="Calibri" w:hAnsi="Calibri"/>
          <w:color w:val="auto"/>
        </w:rPr>
        <w:t xml:space="preserve">the permanent rating recommendation, all members agreed that the §4.130 threshold for a 50% rating was not approached and that the criteria for a 0% rating were well exceeded.  The deliberation settled on arguments for a 30% vs. a 10% permanent rating recommendation. </w:t>
      </w:r>
      <w:r w:rsidR="00ED594F">
        <w:rPr>
          <w:rFonts w:ascii="Calibri" w:hAnsi="Calibri"/>
          <w:color w:val="auto"/>
        </w:rPr>
        <w:t xml:space="preserve"> </w:t>
      </w:r>
      <w:r w:rsidR="007B1F54" w:rsidRPr="00542F46">
        <w:rPr>
          <w:rFonts w:ascii="Calibri" w:hAnsi="Calibri"/>
          <w:color w:val="auto"/>
        </w:rPr>
        <w:t xml:space="preserve">The VA </w:t>
      </w:r>
      <w:r w:rsidR="00542F46">
        <w:rPr>
          <w:rFonts w:ascii="Calibri" w:hAnsi="Calibri"/>
          <w:color w:val="auto"/>
        </w:rPr>
        <w:t xml:space="preserve">proposed </w:t>
      </w:r>
      <w:r w:rsidR="00542F46" w:rsidRPr="00542F46">
        <w:rPr>
          <w:rFonts w:ascii="Calibri" w:hAnsi="Calibri"/>
          <w:color w:val="auto"/>
        </w:rPr>
        <w:t>10</w:t>
      </w:r>
      <w:r w:rsidR="00065B3C" w:rsidRPr="00542F46">
        <w:rPr>
          <w:rFonts w:ascii="Calibri" w:hAnsi="Calibri"/>
          <w:color w:val="auto"/>
        </w:rPr>
        <w:t xml:space="preserve">% </w:t>
      </w:r>
      <w:r w:rsidR="00542F46">
        <w:rPr>
          <w:rFonts w:ascii="Calibri" w:hAnsi="Calibri"/>
          <w:color w:val="auto"/>
        </w:rPr>
        <w:t xml:space="preserve">rating </w:t>
      </w:r>
      <w:r w:rsidR="00065B3C" w:rsidRPr="00542F46">
        <w:rPr>
          <w:rFonts w:ascii="Calibri" w:hAnsi="Calibri"/>
          <w:color w:val="auto"/>
        </w:rPr>
        <w:t xml:space="preserve">within the one year post separation </w:t>
      </w:r>
      <w:r w:rsidR="00542F46">
        <w:rPr>
          <w:rFonts w:ascii="Calibri" w:hAnsi="Calibri"/>
          <w:color w:val="auto"/>
        </w:rPr>
        <w:t xml:space="preserve">was </w:t>
      </w:r>
      <w:r w:rsidR="00542F46" w:rsidRPr="00542F46">
        <w:rPr>
          <w:rFonts w:ascii="Calibri" w:hAnsi="Calibri"/>
          <w:color w:val="auto"/>
        </w:rPr>
        <w:t>discussed</w:t>
      </w:r>
      <w:r w:rsidR="003B0CCA">
        <w:rPr>
          <w:rFonts w:ascii="Calibri" w:hAnsi="Calibri"/>
          <w:color w:val="auto"/>
        </w:rPr>
        <w:t xml:space="preserve"> in-depth</w:t>
      </w:r>
      <w:r w:rsidR="00542F46">
        <w:rPr>
          <w:rFonts w:ascii="Calibri" w:hAnsi="Calibri"/>
          <w:color w:val="auto"/>
        </w:rPr>
        <w:t xml:space="preserve">.  There was a </w:t>
      </w:r>
      <w:r w:rsidR="003B0CCA">
        <w:rPr>
          <w:rFonts w:ascii="Calibri" w:hAnsi="Calibri"/>
          <w:color w:val="auto"/>
        </w:rPr>
        <w:t xml:space="preserve">single </w:t>
      </w:r>
      <w:r w:rsidR="00542F46">
        <w:rPr>
          <w:rFonts w:ascii="Calibri" w:hAnsi="Calibri"/>
          <w:color w:val="auto"/>
        </w:rPr>
        <w:t xml:space="preserve">VA examination in which the </w:t>
      </w:r>
      <w:r w:rsidR="003B0CCA">
        <w:rPr>
          <w:rFonts w:ascii="Calibri" w:hAnsi="Calibri"/>
          <w:color w:val="auto"/>
        </w:rPr>
        <w:t xml:space="preserve">examiner indicated </w:t>
      </w:r>
      <w:r w:rsidR="00542F46">
        <w:rPr>
          <w:rFonts w:ascii="Calibri" w:hAnsi="Calibri"/>
          <w:color w:val="auto"/>
        </w:rPr>
        <w:t xml:space="preserve">GAF to be 70 </w:t>
      </w:r>
      <w:r w:rsidR="003B0CCA">
        <w:rPr>
          <w:rFonts w:ascii="Calibri" w:hAnsi="Calibri"/>
          <w:color w:val="auto"/>
        </w:rPr>
        <w:t xml:space="preserve">and a </w:t>
      </w:r>
      <w:r w:rsidR="00542F46">
        <w:rPr>
          <w:rFonts w:ascii="Calibri" w:hAnsi="Calibri"/>
          <w:color w:val="auto"/>
        </w:rPr>
        <w:t>mild impairment.  However</w:t>
      </w:r>
      <w:r w:rsidR="001F1ED4">
        <w:rPr>
          <w:rFonts w:ascii="Calibri" w:hAnsi="Calibri"/>
          <w:color w:val="auto"/>
        </w:rPr>
        <w:t>,</w:t>
      </w:r>
      <w:r w:rsidR="00542F46">
        <w:rPr>
          <w:rFonts w:ascii="Calibri" w:hAnsi="Calibri"/>
          <w:color w:val="auto"/>
        </w:rPr>
        <w:t xml:space="preserve"> the VA then reconsidered the rating based on present and subsequent examinations and changed the rating to 30%.  </w:t>
      </w:r>
      <w:r w:rsidR="001F1ED4">
        <w:rPr>
          <w:rFonts w:ascii="Calibri" w:hAnsi="Calibri"/>
          <w:color w:val="auto"/>
        </w:rPr>
        <w:t xml:space="preserve">This single exam was noted to endorse similar symptoms and disability with overall assessment adjudged to be a clear outlier to other assessments in evidence.  </w:t>
      </w:r>
      <w:r w:rsidR="007B1F54" w:rsidRPr="00542F46">
        <w:rPr>
          <w:rFonts w:ascii="Calibri" w:hAnsi="Calibri"/>
          <w:color w:val="auto"/>
        </w:rPr>
        <w:t xml:space="preserve">In addition to the general descriptions of occupational and social impairment, the §4.130 general formula flushes out each rating description with a list of features or symptoms as examples for this level of impairment. </w:t>
      </w:r>
      <w:r w:rsidR="00ED594F">
        <w:rPr>
          <w:rFonts w:ascii="Calibri" w:hAnsi="Calibri"/>
          <w:color w:val="auto"/>
        </w:rPr>
        <w:t xml:space="preserve"> </w:t>
      </w:r>
      <w:r w:rsidR="007B1F54" w:rsidRPr="00542F46">
        <w:rPr>
          <w:rFonts w:ascii="Calibri" w:hAnsi="Calibri"/>
          <w:color w:val="auto"/>
        </w:rPr>
        <w:t xml:space="preserve">This helps to determine a potential level of psychiatric impairment regardless of how well or poorly the veteran is actually faring with work and social activities at the time. </w:t>
      </w:r>
      <w:r w:rsidR="00065B3C" w:rsidRPr="00542F46">
        <w:rPr>
          <w:rFonts w:ascii="Calibri" w:hAnsi="Calibri"/>
          <w:color w:val="auto"/>
        </w:rPr>
        <w:t xml:space="preserve"> </w:t>
      </w:r>
      <w:r w:rsidR="007B1F54" w:rsidRPr="00542F46">
        <w:rPr>
          <w:rFonts w:ascii="Calibri" w:hAnsi="Calibri"/>
          <w:color w:val="auto"/>
        </w:rPr>
        <w:t xml:space="preserve">Of </w:t>
      </w:r>
      <w:r w:rsidR="00065B3C" w:rsidRPr="00542F46">
        <w:rPr>
          <w:rFonts w:ascii="Calibri" w:hAnsi="Calibri"/>
          <w:color w:val="auto"/>
        </w:rPr>
        <w:t>the six</w:t>
      </w:r>
      <w:r w:rsidR="007B1F54" w:rsidRPr="00542F46">
        <w:rPr>
          <w:rFonts w:ascii="Calibri" w:hAnsi="Calibri"/>
          <w:color w:val="auto"/>
        </w:rPr>
        <w:t xml:space="preserve"> such descriptors under the </w:t>
      </w:r>
      <w:r w:rsidR="00065B3C" w:rsidRPr="00542F46">
        <w:rPr>
          <w:rFonts w:ascii="Calibri" w:hAnsi="Calibri"/>
          <w:color w:val="auto"/>
        </w:rPr>
        <w:t>3</w:t>
      </w:r>
      <w:r w:rsidR="007B1F54" w:rsidRPr="00542F46">
        <w:rPr>
          <w:rFonts w:ascii="Calibri" w:hAnsi="Calibri"/>
          <w:color w:val="auto"/>
        </w:rPr>
        <w:t>0% rating</w:t>
      </w:r>
      <w:r w:rsidR="00065B3C" w:rsidRPr="00542F46">
        <w:rPr>
          <w:rFonts w:ascii="Calibri" w:hAnsi="Calibri"/>
          <w:color w:val="auto"/>
        </w:rPr>
        <w:t>, the CI had four attributed at the six month period.</w:t>
      </w:r>
      <w:r w:rsidR="0098128B" w:rsidRPr="00542F46">
        <w:rPr>
          <w:rFonts w:ascii="Calibri" w:hAnsi="Calibri"/>
          <w:color w:val="auto"/>
        </w:rPr>
        <w:t xml:space="preserve">  </w:t>
      </w:r>
      <w:r w:rsidR="007B1F54" w:rsidRPr="00542F46">
        <w:rPr>
          <w:rFonts w:ascii="Calibri" w:hAnsi="Calibri"/>
          <w:color w:val="auto"/>
        </w:rPr>
        <w:t xml:space="preserve">The Board deliberated if </w:t>
      </w:r>
      <w:r w:rsidR="00065B3C" w:rsidRPr="00542F46">
        <w:rPr>
          <w:rFonts w:ascii="Calibri" w:hAnsi="Calibri"/>
          <w:color w:val="auto"/>
        </w:rPr>
        <w:t xml:space="preserve">the CI had “occasional occupational and social impairment” or only </w:t>
      </w:r>
      <w:r w:rsidR="001F1ED4">
        <w:rPr>
          <w:rFonts w:ascii="Calibri" w:hAnsi="Calibri"/>
          <w:color w:val="auto"/>
        </w:rPr>
        <w:t>“</w:t>
      </w:r>
      <w:r w:rsidR="00065B3C" w:rsidRPr="00542F46">
        <w:rPr>
          <w:rFonts w:ascii="Calibri" w:hAnsi="Calibri"/>
          <w:color w:val="auto"/>
        </w:rPr>
        <w:t xml:space="preserve">mild or transient symptoms.” </w:t>
      </w:r>
      <w:r w:rsidR="0098128B" w:rsidRPr="00542F46">
        <w:rPr>
          <w:rFonts w:ascii="Calibri" w:hAnsi="Calibri"/>
          <w:color w:val="auto"/>
        </w:rPr>
        <w:t xml:space="preserve"> </w:t>
      </w:r>
      <w:r w:rsidR="00065B3C" w:rsidRPr="00542F46">
        <w:rPr>
          <w:rFonts w:ascii="Calibri" w:hAnsi="Calibri"/>
          <w:color w:val="auto"/>
        </w:rPr>
        <w:t>The 30% description (“occupational and social impairment with occasional decrease in work efficiency and intermittent periods of inability to perform occupational tasks”) is a better fit with the occupational functioning in evidence since decreased efficiency can be assumed even though reliability and productivity were not significantly affected.</w:t>
      </w:r>
      <w:r w:rsidR="0098128B" w:rsidRPr="00542F46">
        <w:rPr>
          <w:rFonts w:ascii="Calibri" w:hAnsi="Calibri"/>
          <w:color w:val="auto"/>
        </w:rPr>
        <w:t xml:space="preserve">  </w:t>
      </w:r>
      <w:r w:rsidR="008F618D" w:rsidRPr="00542F46">
        <w:rPr>
          <w:rFonts w:ascii="Calibri" w:hAnsi="Calibri"/>
          <w:color w:val="auto"/>
        </w:rPr>
        <w:t xml:space="preserve">Although the preponderance of the evidence appears to favor a </w:t>
      </w:r>
      <w:r w:rsidR="00DD1CA6" w:rsidRPr="00542F46">
        <w:rPr>
          <w:rFonts w:ascii="Calibri" w:hAnsi="Calibri"/>
          <w:color w:val="auto"/>
        </w:rPr>
        <w:t>3</w:t>
      </w:r>
      <w:r w:rsidR="008F618D" w:rsidRPr="00542F46">
        <w:rPr>
          <w:rFonts w:ascii="Calibri" w:hAnsi="Calibri"/>
          <w:color w:val="auto"/>
        </w:rPr>
        <w:t xml:space="preserve">0% rating IAW VASRD §4.130, an argument remains for a </w:t>
      </w:r>
      <w:r w:rsidR="00DD1CA6" w:rsidRPr="00542F46">
        <w:rPr>
          <w:rFonts w:ascii="Calibri" w:hAnsi="Calibri"/>
          <w:color w:val="auto"/>
        </w:rPr>
        <w:t>1</w:t>
      </w:r>
      <w:r w:rsidR="008F618D" w:rsidRPr="00542F46">
        <w:rPr>
          <w:rFonts w:ascii="Calibri" w:hAnsi="Calibri"/>
          <w:color w:val="auto"/>
        </w:rPr>
        <w:t>0% rating</w:t>
      </w:r>
      <w:r w:rsidR="00D31CF8" w:rsidRPr="00542F46">
        <w:rPr>
          <w:rFonts w:ascii="Calibri" w:hAnsi="Calibri"/>
          <w:color w:val="auto"/>
        </w:rPr>
        <w:t>.</w:t>
      </w:r>
      <w:r w:rsidR="008F618D" w:rsidRPr="00542F46">
        <w:rPr>
          <w:rFonts w:ascii="Calibri" w:hAnsi="Calibri"/>
          <w:color w:val="auto"/>
        </w:rPr>
        <w:t xml:space="preserve"> </w:t>
      </w:r>
      <w:r w:rsidR="00DD1CA6" w:rsidRPr="00542F46">
        <w:rPr>
          <w:rFonts w:ascii="Calibri" w:hAnsi="Calibri"/>
          <w:color w:val="auto"/>
        </w:rPr>
        <w:t xml:space="preserve"> </w:t>
      </w:r>
      <w:r w:rsidR="00542F46" w:rsidRPr="00542F46">
        <w:rPr>
          <w:rFonts w:ascii="Calibri" w:hAnsi="Calibri"/>
          <w:color w:val="auto"/>
        </w:rPr>
        <w:t>Considering</w:t>
      </w:r>
      <w:r w:rsidR="00065B3C" w:rsidRPr="00542F46">
        <w:rPr>
          <w:rFonts w:ascii="Calibri" w:hAnsi="Calibri"/>
          <w:color w:val="auto"/>
        </w:rPr>
        <w:t xml:space="preserve"> the totality of the evidence and mindful of VASRD §4.3 (reasonable doubt), the Board recommends a permanent PTSD disability rating </w:t>
      </w:r>
      <w:r w:rsidR="00542F46" w:rsidRPr="00542F46">
        <w:rPr>
          <w:rFonts w:ascii="Calibri" w:hAnsi="Calibri"/>
          <w:color w:val="auto"/>
        </w:rPr>
        <w:t>of 30</w:t>
      </w:r>
      <w:r w:rsidR="008F618D" w:rsidRPr="00542F46">
        <w:rPr>
          <w:rFonts w:ascii="Calibri" w:hAnsi="Calibri"/>
          <w:color w:val="auto"/>
        </w:rPr>
        <w:t xml:space="preserve">% in this case.  </w:t>
      </w:r>
    </w:p>
    <w:p w:rsidR="00A342FB" w:rsidRPr="00542F46" w:rsidRDefault="00A342FB" w:rsidP="00542F46">
      <w:pPr>
        <w:spacing w:line="240" w:lineRule="exact"/>
        <w:jc w:val="both"/>
        <w:rPr>
          <w:rFonts w:ascii="Calibri" w:hAnsi="Calibri"/>
          <w:color w:val="auto"/>
        </w:rPr>
      </w:pPr>
    </w:p>
    <w:p w:rsidR="00A342FB" w:rsidRPr="00542F46" w:rsidRDefault="00A342FB" w:rsidP="00542F46">
      <w:pPr>
        <w:tabs>
          <w:tab w:val="left" w:pos="288"/>
          <w:tab w:val="left" w:pos="4752"/>
        </w:tabs>
        <w:spacing w:line="240" w:lineRule="exact"/>
        <w:jc w:val="both"/>
        <w:rPr>
          <w:rFonts w:asciiTheme="minorHAnsi" w:hAnsiTheme="minorHAnsi"/>
          <w:color w:val="auto"/>
          <w:szCs w:val="24"/>
        </w:rPr>
      </w:pPr>
      <w:r w:rsidRPr="00542F46">
        <w:rPr>
          <w:rFonts w:ascii="Calibri" w:hAnsi="Calibri"/>
          <w:color w:val="auto"/>
          <w:u w:val="single"/>
        </w:rPr>
        <w:t xml:space="preserve">Other Conditions (Asthma, Cervical Spine </w:t>
      </w:r>
      <w:r w:rsidR="001635B8" w:rsidRPr="00542F46">
        <w:rPr>
          <w:rFonts w:ascii="Calibri" w:hAnsi="Calibri"/>
          <w:color w:val="auto"/>
          <w:u w:val="single"/>
        </w:rPr>
        <w:t>Degenerative</w:t>
      </w:r>
      <w:r w:rsidRPr="00542F46">
        <w:rPr>
          <w:rFonts w:ascii="Calibri" w:hAnsi="Calibri"/>
          <w:color w:val="auto"/>
          <w:u w:val="single"/>
        </w:rPr>
        <w:t xml:space="preserve"> Disease</w:t>
      </w:r>
      <w:r w:rsidR="0098128B" w:rsidRPr="00542F46">
        <w:rPr>
          <w:rFonts w:ascii="Calibri" w:hAnsi="Calibri"/>
          <w:color w:val="auto"/>
          <w:u w:val="single"/>
        </w:rPr>
        <w:t>,</w:t>
      </w:r>
      <w:r w:rsidRPr="00542F46">
        <w:rPr>
          <w:color w:val="auto"/>
          <w:sz w:val="18"/>
          <w:szCs w:val="18"/>
          <w:u w:val="single"/>
        </w:rPr>
        <w:t xml:space="preserve"> </w:t>
      </w:r>
      <w:r w:rsidRPr="00542F46">
        <w:rPr>
          <w:rFonts w:asciiTheme="minorHAnsi" w:hAnsiTheme="minorHAnsi"/>
          <w:color w:val="auto"/>
          <w:szCs w:val="24"/>
          <w:u w:val="single"/>
        </w:rPr>
        <w:t>Thoracolumbar Spine Degenerative Disc Disease Right Upper Extremity, Thoracic Outlet Syndrome)</w:t>
      </w:r>
      <w:r w:rsidRPr="00542F46">
        <w:rPr>
          <w:rFonts w:asciiTheme="minorHAnsi" w:hAnsiTheme="minorHAnsi"/>
          <w:color w:val="auto"/>
          <w:szCs w:val="24"/>
        </w:rPr>
        <w:t xml:space="preserve">:  </w:t>
      </w:r>
      <w:r w:rsidR="0012747D" w:rsidRPr="00542F46">
        <w:rPr>
          <w:rFonts w:ascii="Calibri" w:hAnsi="Calibri"/>
          <w:color w:val="auto"/>
        </w:rPr>
        <w:t xml:space="preserve">Asthma, Cervical Spine </w:t>
      </w:r>
      <w:r w:rsidR="001635B8" w:rsidRPr="00542F46">
        <w:rPr>
          <w:rFonts w:ascii="Calibri" w:hAnsi="Calibri"/>
          <w:color w:val="auto"/>
        </w:rPr>
        <w:t>Degenerative</w:t>
      </w:r>
      <w:r w:rsidR="0012747D" w:rsidRPr="00542F46">
        <w:rPr>
          <w:rFonts w:ascii="Calibri" w:hAnsi="Calibri"/>
          <w:color w:val="auto"/>
        </w:rPr>
        <w:t xml:space="preserve"> Disease</w:t>
      </w:r>
      <w:r w:rsidR="0098128B" w:rsidRPr="00542F46">
        <w:rPr>
          <w:rFonts w:ascii="Calibri" w:hAnsi="Calibri"/>
          <w:color w:val="auto"/>
        </w:rPr>
        <w:t>,</w:t>
      </w:r>
      <w:r w:rsidR="0012747D" w:rsidRPr="00542F46">
        <w:rPr>
          <w:color w:val="auto"/>
          <w:sz w:val="18"/>
          <w:szCs w:val="18"/>
        </w:rPr>
        <w:t xml:space="preserve"> </w:t>
      </w:r>
      <w:r w:rsidR="0012747D" w:rsidRPr="00542F46">
        <w:rPr>
          <w:rFonts w:asciiTheme="minorHAnsi" w:hAnsiTheme="minorHAnsi"/>
          <w:color w:val="auto"/>
          <w:szCs w:val="24"/>
        </w:rPr>
        <w:t>Thoracolumbar Spine Degenerative Disc Disease</w:t>
      </w:r>
      <w:r w:rsidR="0098128B" w:rsidRPr="00542F46">
        <w:rPr>
          <w:rFonts w:asciiTheme="minorHAnsi" w:hAnsiTheme="minorHAnsi"/>
          <w:color w:val="auto"/>
          <w:szCs w:val="24"/>
        </w:rPr>
        <w:t>,</w:t>
      </w:r>
      <w:r w:rsidR="0012747D" w:rsidRPr="00542F46">
        <w:rPr>
          <w:rFonts w:asciiTheme="minorHAnsi" w:hAnsiTheme="minorHAnsi"/>
          <w:color w:val="auto"/>
          <w:szCs w:val="24"/>
        </w:rPr>
        <w:t xml:space="preserve"> Right Upper Extremity, </w:t>
      </w:r>
      <w:r w:rsidR="0098128B" w:rsidRPr="00542F46">
        <w:rPr>
          <w:rFonts w:asciiTheme="minorHAnsi" w:hAnsiTheme="minorHAnsi"/>
          <w:color w:val="auto"/>
          <w:szCs w:val="24"/>
        </w:rPr>
        <w:t xml:space="preserve">and </w:t>
      </w:r>
      <w:r w:rsidR="0012747D" w:rsidRPr="00542F46">
        <w:rPr>
          <w:rFonts w:asciiTheme="minorHAnsi" w:hAnsiTheme="minorHAnsi"/>
          <w:color w:val="auto"/>
          <w:szCs w:val="24"/>
        </w:rPr>
        <w:t>Thoracic Outlet Syndrome were noted by the CI in the DES package.  Neither the NMA, nor NARSUM from the MEB identified any conditions other than the CI’s mental health condition</w:t>
      </w:r>
      <w:r w:rsidR="0098128B" w:rsidRPr="00542F46">
        <w:rPr>
          <w:rFonts w:asciiTheme="minorHAnsi" w:hAnsiTheme="minorHAnsi"/>
          <w:color w:val="auto"/>
          <w:szCs w:val="24"/>
        </w:rPr>
        <w:t xml:space="preserve"> as interfering with duty performance</w:t>
      </w:r>
      <w:r w:rsidR="0012747D" w:rsidRPr="00542F46">
        <w:rPr>
          <w:rFonts w:asciiTheme="minorHAnsi" w:hAnsiTheme="minorHAnsi"/>
          <w:color w:val="auto"/>
          <w:szCs w:val="24"/>
        </w:rPr>
        <w:t xml:space="preserve">.  </w:t>
      </w:r>
      <w:r w:rsidR="0098128B" w:rsidRPr="00542F46">
        <w:rPr>
          <w:rFonts w:asciiTheme="minorHAnsi" w:hAnsiTheme="minorHAnsi"/>
          <w:color w:val="auto"/>
          <w:szCs w:val="24"/>
        </w:rPr>
        <w:t>No link to fitness is in evidence for any of them.  All evidence considered</w:t>
      </w:r>
      <w:proofErr w:type="gramStart"/>
      <w:r w:rsidR="0098128B" w:rsidRPr="00542F46">
        <w:rPr>
          <w:rFonts w:asciiTheme="minorHAnsi" w:hAnsiTheme="minorHAnsi"/>
          <w:color w:val="auto"/>
          <w:szCs w:val="24"/>
        </w:rPr>
        <w:t>,</w:t>
      </w:r>
      <w:proofErr w:type="gramEnd"/>
      <w:r w:rsidR="0098128B" w:rsidRPr="00542F46">
        <w:rPr>
          <w:rFonts w:asciiTheme="minorHAnsi" w:hAnsiTheme="minorHAnsi"/>
          <w:color w:val="auto"/>
          <w:szCs w:val="24"/>
        </w:rPr>
        <w:t xml:space="preserve"> there is not reasonable doubt in the CI’s favor supporting addition of </w:t>
      </w:r>
      <w:r w:rsidR="0098128B" w:rsidRPr="00542F46">
        <w:rPr>
          <w:rFonts w:ascii="Calibri" w:hAnsi="Calibri"/>
          <w:color w:val="auto"/>
        </w:rPr>
        <w:t>Asthma, Cervical Spine,</w:t>
      </w:r>
      <w:r w:rsidR="0098128B" w:rsidRPr="00542F46">
        <w:rPr>
          <w:color w:val="auto"/>
          <w:sz w:val="18"/>
          <w:szCs w:val="18"/>
        </w:rPr>
        <w:t xml:space="preserve"> </w:t>
      </w:r>
      <w:r w:rsidR="00542F46" w:rsidRPr="00542F46">
        <w:rPr>
          <w:rFonts w:asciiTheme="minorHAnsi" w:hAnsiTheme="minorHAnsi"/>
          <w:color w:val="auto"/>
          <w:szCs w:val="24"/>
        </w:rPr>
        <w:t>and Thoracolumbar</w:t>
      </w:r>
      <w:r w:rsidR="0098128B" w:rsidRPr="00542F46">
        <w:rPr>
          <w:rFonts w:asciiTheme="minorHAnsi" w:hAnsiTheme="minorHAnsi"/>
          <w:color w:val="auto"/>
          <w:szCs w:val="24"/>
        </w:rPr>
        <w:t xml:space="preserve"> Spine, Right Upper Extremity or Thoracic Outlet Syndrome conditions as unfitting conditions for separation rating.  </w:t>
      </w:r>
      <w:r w:rsidR="0012747D" w:rsidRPr="00542F46">
        <w:rPr>
          <w:rFonts w:asciiTheme="minorHAnsi" w:hAnsiTheme="minorHAnsi"/>
          <w:color w:val="auto"/>
          <w:szCs w:val="24"/>
        </w:rPr>
        <w:t xml:space="preserve">The </w:t>
      </w:r>
      <w:r w:rsidR="001635B8" w:rsidRPr="00542F46">
        <w:rPr>
          <w:rFonts w:asciiTheme="minorHAnsi" w:hAnsiTheme="minorHAnsi"/>
          <w:color w:val="auto"/>
          <w:szCs w:val="24"/>
        </w:rPr>
        <w:t>Board</w:t>
      </w:r>
      <w:r w:rsidR="0012747D" w:rsidRPr="00542F46">
        <w:rPr>
          <w:rFonts w:asciiTheme="minorHAnsi" w:hAnsiTheme="minorHAnsi"/>
          <w:color w:val="auto"/>
          <w:szCs w:val="24"/>
        </w:rPr>
        <w:t xml:space="preserve"> therefore has no reasonable basis for recommending any additional unfitting conditions for separation rating.</w:t>
      </w:r>
      <w:r w:rsidR="00431B7F" w:rsidRPr="00542F46">
        <w:rPr>
          <w:rFonts w:asciiTheme="minorHAnsi" w:hAnsiTheme="minorHAnsi"/>
          <w:color w:val="auto"/>
          <w:szCs w:val="24"/>
        </w:rPr>
        <w:t xml:space="preserve">  </w:t>
      </w:r>
    </w:p>
    <w:p w:rsidR="004E71CD" w:rsidRPr="00542F46" w:rsidRDefault="004E71CD" w:rsidP="00542F46">
      <w:pPr>
        <w:pStyle w:val="Default"/>
        <w:spacing w:line="240" w:lineRule="exact"/>
        <w:jc w:val="both"/>
        <w:rPr>
          <w:color w:val="auto"/>
        </w:rPr>
      </w:pPr>
      <w:r w:rsidRPr="00542F46">
        <w:rPr>
          <w:color w:val="auto"/>
          <w:u w:val="single"/>
        </w:rPr>
        <w:t>_______________________________________________________________</w:t>
      </w:r>
      <w:r w:rsidRPr="00542F46">
        <w:rPr>
          <w:rFonts w:asciiTheme="minorHAnsi" w:hAnsiTheme="minorHAnsi"/>
          <w:color w:val="auto"/>
          <w:u w:val="single"/>
        </w:rPr>
        <w:t>_______________</w:t>
      </w:r>
    </w:p>
    <w:p w:rsidR="00431B7F" w:rsidRPr="00542F46" w:rsidRDefault="00431B7F" w:rsidP="00542F46">
      <w:pPr>
        <w:spacing w:line="240" w:lineRule="exact"/>
        <w:jc w:val="both"/>
        <w:rPr>
          <w:rFonts w:asciiTheme="minorHAnsi" w:hAnsiTheme="minorHAnsi"/>
          <w:color w:val="auto"/>
          <w:szCs w:val="24"/>
          <w:u w:val="single"/>
        </w:rPr>
      </w:pPr>
    </w:p>
    <w:p w:rsidR="00A8749A" w:rsidRDefault="004E71CD" w:rsidP="00542F46">
      <w:pPr>
        <w:spacing w:line="240" w:lineRule="exact"/>
        <w:jc w:val="both"/>
        <w:rPr>
          <w:rFonts w:asciiTheme="minorHAnsi" w:eastAsiaTheme="minorHAnsi" w:hAnsiTheme="minorHAnsi"/>
          <w:color w:val="auto"/>
          <w:szCs w:val="24"/>
        </w:rPr>
      </w:pPr>
      <w:r w:rsidRPr="00542F46">
        <w:rPr>
          <w:rFonts w:asciiTheme="minorHAnsi" w:hAnsiTheme="minorHAnsi"/>
          <w:color w:val="auto"/>
          <w:szCs w:val="24"/>
          <w:u w:val="single"/>
        </w:rPr>
        <w:t>BOARD FINDINGS</w:t>
      </w:r>
      <w:r w:rsidRPr="00542F46">
        <w:rPr>
          <w:rFonts w:asciiTheme="minorHAnsi" w:hAnsiTheme="minorHAnsi"/>
          <w:color w:val="auto"/>
          <w:szCs w:val="24"/>
        </w:rPr>
        <w:t>:</w:t>
      </w:r>
      <w:r w:rsidRPr="00542F4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As discussed above, PEB reliance on SECNAVIST 1850.4E and/or DoDI 1332.39 for rating PTSD appeared operant in this case and the PTSD condition was </w:t>
      </w:r>
      <w:r w:rsidR="001635B8" w:rsidRPr="00542F46">
        <w:rPr>
          <w:rFonts w:asciiTheme="minorHAnsi" w:eastAsiaTheme="minorHAnsi" w:hAnsiTheme="minorHAnsi"/>
          <w:color w:val="auto"/>
          <w:szCs w:val="24"/>
        </w:rPr>
        <w:t>adjudicated</w:t>
      </w:r>
      <w:r w:rsidRPr="00542F46">
        <w:rPr>
          <w:rFonts w:asciiTheme="minorHAnsi" w:eastAsiaTheme="minorHAnsi" w:hAnsiTheme="minorHAnsi"/>
          <w:color w:val="auto"/>
          <w:szCs w:val="24"/>
        </w:rPr>
        <w:t xml:space="preserve"> independently of </w:t>
      </w:r>
      <w:r w:rsidR="001635B8" w:rsidRPr="00542F46">
        <w:rPr>
          <w:rFonts w:asciiTheme="minorHAnsi" w:eastAsiaTheme="minorHAnsi" w:hAnsiTheme="minorHAnsi"/>
          <w:color w:val="auto"/>
          <w:szCs w:val="24"/>
        </w:rPr>
        <w:t>those instructions</w:t>
      </w:r>
      <w:r w:rsidRPr="00542F46">
        <w:rPr>
          <w:rFonts w:asciiTheme="minorHAnsi" w:eastAsiaTheme="minorHAnsi" w:hAnsiTheme="minorHAnsi"/>
          <w:color w:val="auto"/>
          <w:szCs w:val="24"/>
        </w:rPr>
        <w:t xml:space="preserve"> by the Board.  In the matter of PTSD, the Board unanimously </w:t>
      </w:r>
      <w:r w:rsidR="00542F46">
        <w:rPr>
          <w:rFonts w:asciiTheme="minorHAnsi" w:eastAsiaTheme="minorHAnsi" w:hAnsiTheme="minorHAnsi"/>
          <w:color w:val="auto"/>
          <w:szCs w:val="24"/>
        </w:rPr>
        <w:t>agrees</w:t>
      </w:r>
      <w:r w:rsidR="00A8749A">
        <w:rPr>
          <w:rFonts w:asciiTheme="minorHAnsi" w:eastAsiaTheme="minorHAnsi" w:hAnsiTheme="minorHAnsi"/>
          <w:color w:val="auto"/>
          <w:szCs w:val="24"/>
        </w:rPr>
        <w:t xml:space="preserve"> </w:t>
      </w:r>
      <w:r w:rsidRPr="00542F46">
        <w:rPr>
          <w:rFonts w:asciiTheme="minorHAnsi" w:eastAsiaTheme="minorHAnsi" w:hAnsiTheme="minorHAnsi"/>
          <w:color w:val="auto"/>
          <w:szCs w:val="24"/>
        </w:rPr>
        <w:t xml:space="preserve">an initial TDRL rating of 50% in retroactive compliance with VASRD §4.129 as </w:t>
      </w:r>
      <w:proofErr w:type="gramStart"/>
      <w:r w:rsidRPr="00542F46">
        <w:rPr>
          <w:rFonts w:asciiTheme="minorHAnsi" w:eastAsiaTheme="minorHAnsi" w:hAnsiTheme="minorHAnsi"/>
          <w:color w:val="auto"/>
          <w:szCs w:val="24"/>
        </w:rPr>
        <w:t>DoD</w:t>
      </w:r>
      <w:proofErr w:type="gramEnd"/>
      <w:r w:rsidRPr="00542F46">
        <w:rPr>
          <w:rFonts w:asciiTheme="minorHAnsi" w:eastAsiaTheme="minorHAnsi" w:hAnsiTheme="minorHAnsi"/>
          <w:color w:val="auto"/>
          <w:szCs w:val="24"/>
        </w:rPr>
        <w:t xml:space="preserve"> directed</w:t>
      </w:r>
      <w:r w:rsidR="00BA4C7A" w:rsidRPr="00542F46">
        <w:rPr>
          <w:rFonts w:asciiTheme="minorHAnsi" w:eastAsiaTheme="minorHAnsi" w:hAnsiTheme="minorHAnsi"/>
          <w:color w:val="auto"/>
          <w:szCs w:val="24"/>
        </w:rPr>
        <w:t>,</w:t>
      </w:r>
      <w:r w:rsidRPr="00542F46">
        <w:rPr>
          <w:rFonts w:asciiTheme="minorHAnsi" w:eastAsiaTheme="minorHAnsi" w:hAnsiTheme="minorHAnsi"/>
          <w:color w:val="auto"/>
          <w:szCs w:val="24"/>
        </w:rPr>
        <w:t xml:space="preserve"> and a </w:t>
      </w:r>
      <w:r w:rsidR="00DD1CA6" w:rsidRPr="00542F46">
        <w:rPr>
          <w:rFonts w:asciiTheme="minorHAnsi" w:eastAsiaTheme="minorHAnsi" w:hAnsiTheme="minorHAnsi"/>
          <w:color w:val="auto"/>
          <w:szCs w:val="24"/>
        </w:rPr>
        <w:t>3</w:t>
      </w:r>
      <w:r w:rsidRPr="00542F46">
        <w:rPr>
          <w:rFonts w:asciiTheme="minorHAnsi" w:eastAsiaTheme="minorHAnsi" w:hAnsiTheme="minorHAnsi"/>
          <w:color w:val="auto"/>
          <w:szCs w:val="24"/>
        </w:rPr>
        <w:t>0% permanent rating at 6 months IAW VASRD §4.130.</w:t>
      </w:r>
      <w:r w:rsidR="00431B7F" w:rsidRPr="00542F46">
        <w:rPr>
          <w:rFonts w:asciiTheme="minorHAnsi" w:eastAsiaTheme="minorHAnsi" w:hAnsiTheme="minorHAnsi"/>
          <w:color w:val="auto"/>
          <w:szCs w:val="24"/>
        </w:rPr>
        <w:t xml:space="preserve">  </w:t>
      </w:r>
      <w:r w:rsidR="0098128B" w:rsidRPr="00542F46">
        <w:rPr>
          <w:rFonts w:asciiTheme="minorHAnsi" w:eastAsiaTheme="minorHAnsi" w:hAnsiTheme="minorHAnsi"/>
          <w:color w:val="auto"/>
          <w:szCs w:val="24"/>
        </w:rPr>
        <w:t xml:space="preserve">In the matter of the </w:t>
      </w:r>
      <w:r w:rsidR="0098128B" w:rsidRPr="00542F46">
        <w:rPr>
          <w:rFonts w:ascii="Calibri" w:hAnsi="Calibri"/>
          <w:color w:val="auto"/>
        </w:rPr>
        <w:t>Asthma, Cervical Spine,</w:t>
      </w:r>
      <w:r w:rsidR="0098128B" w:rsidRPr="00542F46">
        <w:rPr>
          <w:color w:val="auto"/>
          <w:sz w:val="18"/>
          <w:szCs w:val="18"/>
        </w:rPr>
        <w:t xml:space="preserve"> </w:t>
      </w:r>
      <w:r w:rsidR="0098128B" w:rsidRPr="00542F46">
        <w:rPr>
          <w:rFonts w:asciiTheme="minorHAnsi" w:hAnsiTheme="minorHAnsi"/>
          <w:color w:val="auto"/>
          <w:szCs w:val="24"/>
        </w:rPr>
        <w:t>Thoracolumbar Spine, Right Upper Extremity or Thoracic Outlet Syndrome conditions</w:t>
      </w:r>
      <w:r w:rsidR="0098128B" w:rsidRPr="00542F46">
        <w:rPr>
          <w:rFonts w:asciiTheme="minorHAnsi" w:eastAsiaTheme="minorHAnsi" w:hAnsiTheme="minorHAnsi"/>
          <w:color w:val="auto"/>
          <w:szCs w:val="24"/>
        </w:rPr>
        <w:t xml:space="preserve">, the Board unanimously agrees that it cannot recommend a finding of unfit for any additional rating at separation.  </w:t>
      </w:r>
    </w:p>
    <w:p w:rsidR="004E71CD" w:rsidRPr="00542F46" w:rsidRDefault="0023233B" w:rsidP="00542F46">
      <w:pPr>
        <w:spacing w:line="240" w:lineRule="exact"/>
        <w:jc w:val="both"/>
        <w:rPr>
          <w:rFonts w:ascii="Calibri" w:hAnsi="Calibri"/>
          <w:color w:val="auto"/>
        </w:rPr>
      </w:pPr>
      <w:r w:rsidRPr="00542F46">
        <w:rPr>
          <w:rFonts w:ascii="Calibri" w:hAnsi="Calibri"/>
          <w:color w:val="auto"/>
        </w:rPr>
        <w:t>______________________________________________________________________________</w:t>
      </w:r>
    </w:p>
    <w:p w:rsidR="0023233B" w:rsidRPr="00542F46" w:rsidRDefault="0023233B" w:rsidP="00542F46">
      <w:pPr>
        <w:tabs>
          <w:tab w:val="left" w:pos="288"/>
          <w:tab w:val="left" w:pos="4752"/>
        </w:tabs>
        <w:spacing w:line="240" w:lineRule="exact"/>
        <w:jc w:val="both"/>
        <w:rPr>
          <w:rFonts w:asciiTheme="minorHAnsi" w:hAnsiTheme="minorHAnsi"/>
          <w:color w:val="auto"/>
          <w:szCs w:val="24"/>
          <w:u w:val="single"/>
        </w:rPr>
      </w:pPr>
    </w:p>
    <w:p w:rsidR="0023233B" w:rsidRPr="00542F46" w:rsidRDefault="0023233B" w:rsidP="00542F46">
      <w:pPr>
        <w:tabs>
          <w:tab w:val="left" w:pos="288"/>
          <w:tab w:val="left" w:pos="4752"/>
        </w:tabs>
        <w:spacing w:line="240" w:lineRule="exact"/>
        <w:jc w:val="both"/>
        <w:rPr>
          <w:rFonts w:asciiTheme="minorHAnsi" w:hAnsiTheme="minorHAnsi"/>
          <w:color w:val="auto"/>
          <w:szCs w:val="24"/>
        </w:rPr>
      </w:pPr>
      <w:r w:rsidRPr="00542F46">
        <w:rPr>
          <w:rFonts w:asciiTheme="minorHAnsi" w:hAnsiTheme="minorHAnsi"/>
          <w:color w:val="auto"/>
          <w:szCs w:val="24"/>
          <w:u w:val="single"/>
        </w:rPr>
        <w:t>RECOMMENDATION</w:t>
      </w:r>
      <w:r w:rsidRPr="00542F46">
        <w:rPr>
          <w:rFonts w:asciiTheme="minorHAnsi" w:hAnsiTheme="minorHAnsi"/>
          <w:color w:val="auto"/>
          <w:szCs w:val="24"/>
        </w:rPr>
        <w:t xml:space="preserve">: </w:t>
      </w:r>
      <w:r w:rsidR="00431B7F" w:rsidRPr="00542F46">
        <w:rPr>
          <w:rFonts w:asciiTheme="minorHAnsi" w:hAnsiTheme="minorHAnsi"/>
          <w:color w:val="auto"/>
          <w:szCs w:val="24"/>
        </w:rPr>
        <w:t xml:space="preserve"> </w:t>
      </w:r>
      <w:r w:rsidRPr="00542F46">
        <w:rPr>
          <w:rFonts w:asciiTheme="minorHAnsi" w:hAnsiTheme="minorHAnsi"/>
          <w:color w:val="auto"/>
          <w:szCs w:val="24"/>
        </w:rPr>
        <w:t xml:space="preserve">The Board recommends that the CI’s prior determination be modified as follows; TDRL at 50% for 6 months following CI’s prior medical separation (PTSD at minimum of 50% IAW §4.129 and </w:t>
      </w:r>
      <w:proofErr w:type="gramStart"/>
      <w:r w:rsidRPr="00542F46">
        <w:rPr>
          <w:rFonts w:asciiTheme="minorHAnsi" w:hAnsiTheme="minorHAnsi"/>
          <w:color w:val="auto"/>
          <w:szCs w:val="24"/>
        </w:rPr>
        <w:t>DoD</w:t>
      </w:r>
      <w:proofErr w:type="gramEnd"/>
      <w:r w:rsidRPr="00542F46">
        <w:rPr>
          <w:rFonts w:asciiTheme="minorHAnsi" w:hAnsiTheme="minorHAnsi"/>
          <w:color w:val="auto"/>
          <w:szCs w:val="24"/>
        </w:rPr>
        <w:t xml:space="preserve"> direction) and then a permanent </w:t>
      </w:r>
      <w:r w:rsidR="00DD1CA6" w:rsidRPr="00542F46">
        <w:rPr>
          <w:rFonts w:asciiTheme="minorHAnsi" w:hAnsiTheme="minorHAnsi"/>
          <w:color w:val="auto"/>
          <w:szCs w:val="24"/>
        </w:rPr>
        <w:t>3</w:t>
      </w:r>
      <w:r w:rsidRPr="00542F46">
        <w:rPr>
          <w:rFonts w:asciiTheme="minorHAnsi" w:hAnsiTheme="minorHAnsi"/>
          <w:color w:val="auto"/>
          <w:szCs w:val="24"/>
        </w:rPr>
        <w:t>0% disability retirement as below.</w:t>
      </w:r>
      <w:r w:rsidR="00431B7F" w:rsidRPr="00542F46">
        <w:rPr>
          <w:rFonts w:asciiTheme="minorHAnsi" w:hAnsiTheme="minorHAnsi"/>
          <w:color w:val="auto"/>
          <w:szCs w:val="24"/>
        </w:rPr>
        <w:t xml:space="preserve">  </w:t>
      </w:r>
    </w:p>
    <w:p w:rsidR="0023233B" w:rsidRPr="00542F46" w:rsidRDefault="0023233B" w:rsidP="00431B7F">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23233B" w:rsidRPr="00542F46" w:rsidTr="00307663">
        <w:trPr>
          <w:jc w:val="center"/>
        </w:trPr>
        <w:tc>
          <w:tcPr>
            <w:tcW w:w="4950" w:type="dxa"/>
            <w:shd w:val="clear" w:color="auto" w:fill="D9D9D9"/>
          </w:tcPr>
          <w:p w:rsidR="0023233B" w:rsidRPr="00542F46" w:rsidRDefault="0023233B" w:rsidP="00431B7F">
            <w:pPr>
              <w:tabs>
                <w:tab w:val="left" w:pos="288"/>
                <w:tab w:val="left" w:pos="4752"/>
              </w:tabs>
              <w:spacing w:line="240" w:lineRule="exact"/>
              <w:jc w:val="both"/>
              <w:rPr>
                <w:rFonts w:asciiTheme="minorHAnsi" w:hAnsiTheme="minorHAnsi"/>
                <w:b/>
                <w:color w:val="auto"/>
                <w:szCs w:val="24"/>
              </w:rPr>
            </w:pPr>
            <w:r w:rsidRPr="00542F46">
              <w:rPr>
                <w:rFonts w:asciiTheme="minorHAnsi" w:hAnsiTheme="minorHAnsi"/>
                <w:b/>
                <w:color w:val="auto"/>
                <w:szCs w:val="24"/>
              </w:rPr>
              <w:t>UNFITTING CONDITION</w:t>
            </w:r>
          </w:p>
        </w:tc>
        <w:tc>
          <w:tcPr>
            <w:tcW w:w="1710" w:type="dxa"/>
            <w:shd w:val="clear" w:color="auto" w:fill="D9D9D9"/>
          </w:tcPr>
          <w:p w:rsidR="0023233B" w:rsidRPr="00542F46" w:rsidRDefault="0023233B" w:rsidP="00431B7F">
            <w:pPr>
              <w:tabs>
                <w:tab w:val="left" w:pos="288"/>
                <w:tab w:val="left" w:pos="4752"/>
              </w:tabs>
              <w:spacing w:line="240" w:lineRule="exact"/>
              <w:jc w:val="both"/>
              <w:rPr>
                <w:rFonts w:asciiTheme="minorHAnsi" w:hAnsiTheme="minorHAnsi"/>
                <w:b/>
                <w:color w:val="auto"/>
                <w:szCs w:val="24"/>
              </w:rPr>
            </w:pPr>
            <w:r w:rsidRPr="00542F46">
              <w:rPr>
                <w:rFonts w:asciiTheme="minorHAnsi" w:hAnsiTheme="minorHAnsi"/>
                <w:b/>
                <w:color w:val="auto"/>
                <w:szCs w:val="24"/>
              </w:rPr>
              <w:t>VASRD CODE</w:t>
            </w:r>
          </w:p>
        </w:tc>
        <w:tc>
          <w:tcPr>
            <w:tcW w:w="1170" w:type="dxa"/>
            <w:shd w:val="clear" w:color="auto" w:fill="D9D9D9"/>
          </w:tcPr>
          <w:p w:rsidR="0023233B" w:rsidRPr="00542F46" w:rsidRDefault="0023233B" w:rsidP="00431B7F">
            <w:pPr>
              <w:tabs>
                <w:tab w:val="left" w:pos="288"/>
                <w:tab w:val="left" w:pos="4752"/>
              </w:tabs>
              <w:spacing w:line="240" w:lineRule="exact"/>
              <w:jc w:val="both"/>
              <w:rPr>
                <w:rFonts w:asciiTheme="minorHAnsi" w:hAnsiTheme="minorHAnsi"/>
                <w:b/>
                <w:color w:val="auto"/>
                <w:szCs w:val="24"/>
              </w:rPr>
            </w:pPr>
            <w:r w:rsidRPr="00542F46">
              <w:rPr>
                <w:rFonts w:asciiTheme="minorHAnsi" w:hAnsiTheme="minorHAnsi"/>
                <w:b/>
                <w:color w:val="auto"/>
                <w:szCs w:val="24"/>
              </w:rPr>
              <w:t>TDRL RATING</w:t>
            </w:r>
          </w:p>
        </w:tc>
        <w:tc>
          <w:tcPr>
            <w:tcW w:w="1530" w:type="dxa"/>
            <w:shd w:val="pct15" w:color="auto" w:fill="auto"/>
          </w:tcPr>
          <w:p w:rsidR="0023233B" w:rsidRPr="00542F46" w:rsidRDefault="0023233B" w:rsidP="00431B7F">
            <w:pPr>
              <w:tabs>
                <w:tab w:val="left" w:pos="288"/>
                <w:tab w:val="left" w:pos="4752"/>
              </w:tabs>
              <w:spacing w:line="240" w:lineRule="exact"/>
              <w:jc w:val="both"/>
              <w:rPr>
                <w:rFonts w:asciiTheme="minorHAnsi" w:hAnsiTheme="minorHAnsi"/>
                <w:b/>
                <w:color w:val="auto"/>
                <w:szCs w:val="24"/>
              </w:rPr>
            </w:pPr>
            <w:r w:rsidRPr="00542F46">
              <w:rPr>
                <w:rFonts w:asciiTheme="minorHAnsi" w:hAnsiTheme="minorHAnsi"/>
                <w:b/>
                <w:color w:val="auto"/>
                <w:szCs w:val="24"/>
              </w:rPr>
              <w:t>PERMANENT</w:t>
            </w:r>
          </w:p>
          <w:p w:rsidR="0023233B" w:rsidRPr="00542F46" w:rsidRDefault="0023233B" w:rsidP="00431B7F">
            <w:pPr>
              <w:tabs>
                <w:tab w:val="left" w:pos="288"/>
                <w:tab w:val="left" w:pos="4752"/>
              </w:tabs>
              <w:spacing w:line="240" w:lineRule="exact"/>
              <w:jc w:val="both"/>
              <w:rPr>
                <w:rFonts w:asciiTheme="minorHAnsi" w:hAnsiTheme="minorHAnsi"/>
                <w:b/>
                <w:color w:val="auto"/>
                <w:szCs w:val="24"/>
              </w:rPr>
            </w:pPr>
            <w:r w:rsidRPr="00542F46">
              <w:rPr>
                <w:rFonts w:asciiTheme="minorHAnsi" w:hAnsiTheme="minorHAnsi"/>
                <w:b/>
                <w:color w:val="auto"/>
                <w:szCs w:val="24"/>
              </w:rPr>
              <w:t>RATING</w:t>
            </w:r>
          </w:p>
        </w:tc>
      </w:tr>
      <w:tr w:rsidR="0023233B" w:rsidRPr="00542F46" w:rsidTr="00307663">
        <w:trPr>
          <w:trHeight w:val="305"/>
          <w:jc w:val="center"/>
        </w:trPr>
        <w:tc>
          <w:tcPr>
            <w:tcW w:w="4950" w:type="dxa"/>
          </w:tcPr>
          <w:p w:rsidR="0023233B" w:rsidRPr="00542F46" w:rsidRDefault="0023233B" w:rsidP="00431B7F">
            <w:pPr>
              <w:tabs>
                <w:tab w:val="left" w:pos="288"/>
                <w:tab w:val="left" w:pos="4752"/>
              </w:tabs>
              <w:spacing w:line="240" w:lineRule="exact"/>
              <w:jc w:val="both"/>
              <w:rPr>
                <w:rFonts w:asciiTheme="minorHAnsi" w:hAnsiTheme="minorHAnsi"/>
                <w:color w:val="auto"/>
                <w:szCs w:val="24"/>
              </w:rPr>
            </w:pPr>
            <w:r w:rsidRPr="00542F46">
              <w:rPr>
                <w:rFonts w:asciiTheme="minorHAnsi" w:hAnsiTheme="minorHAnsi"/>
                <w:color w:val="auto"/>
                <w:szCs w:val="24"/>
              </w:rPr>
              <w:t>Post-Traumatic Stress Disorder</w:t>
            </w:r>
          </w:p>
        </w:tc>
        <w:tc>
          <w:tcPr>
            <w:tcW w:w="1710" w:type="dxa"/>
            <w:tcBorders>
              <w:bottom w:val="single" w:sz="4" w:space="0" w:color="000000"/>
            </w:tcBorders>
          </w:tcPr>
          <w:p w:rsidR="0023233B" w:rsidRPr="00542F46" w:rsidRDefault="0023233B" w:rsidP="00431B7F">
            <w:pPr>
              <w:tabs>
                <w:tab w:val="left" w:pos="288"/>
                <w:tab w:val="left" w:pos="4752"/>
              </w:tabs>
              <w:spacing w:line="240" w:lineRule="exact"/>
              <w:jc w:val="center"/>
              <w:rPr>
                <w:rFonts w:asciiTheme="minorHAnsi" w:hAnsiTheme="minorHAnsi"/>
                <w:color w:val="auto"/>
                <w:szCs w:val="24"/>
              </w:rPr>
            </w:pPr>
            <w:r w:rsidRPr="00542F46">
              <w:rPr>
                <w:rFonts w:asciiTheme="minorHAnsi" w:hAnsiTheme="minorHAnsi"/>
                <w:color w:val="auto"/>
                <w:szCs w:val="24"/>
              </w:rPr>
              <w:t>9411</w:t>
            </w:r>
          </w:p>
        </w:tc>
        <w:tc>
          <w:tcPr>
            <w:tcW w:w="1170" w:type="dxa"/>
            <w:tcBorders>
              <w:bottom w:val="single" w:sz="4" w:space="0" w:color="000000"/>
            </w:tcBorders>
          </w:tcPr>
          <w:p w:rsidR="0023233B" w:rsidRPr="00542F46" w:rsidRDefault="0023233B" w:rsidP="00431B7F">
            <w:pPr>
              <w:tabs>
                <w:tab w:val="left" w:pos="288"/>
                <w:tab w:val="left" w:pos="4752"/>
              </w:tabs>
              <w:spacing w:line="240" w:lineRule="exact"/>
              <w:jc w:val="center"/>
              <w:rPr>
                <w:rFonts w:asciiTheme="minorHAnsi" w:hAnsiTheme="minorHAnsi"/>
                <w:color w:val="auto"/>
                <w:szCs w:val="24"/>
              </w:rPr>
            </w:pPr>
            <w:r w:rsidRPr="00542F46">
              <w:rPr>
                <w:rFonts w:asciiTheme="minorHAnsi" w:hAnsiTheme="minorHAnsi"/>
                <w:color w:val="auto"/>
                <w:szCs w:val="24"/>
              </w:rPr>
              <w:t>50%</w:t>
            </w:r>
          </w:p>
        </w:tc>
        <w:tc>
          <w:tcPr>
            <w:tcW w:w="1530" w:type="dxa"/>
            <w:tcBorders>
              <w:bottom w:val="single" w:sz="4" w:space="0" w:color="000000"/>
            </w:tcBorders>
          </w:tcPr>
          <w:p w:rsidR="0023233B" w:rsidRPr="00542F46" w:rsidRDefault="00466E27" w:rsidP="00431B7F">
            <w:pPr>
              <w:tabs>
                <w:tab w:val="left" w:pos="288"/>
                <w:tab w:val="left" w:pos="4752"/>
              </w:tabs>
              <w:spacing w:line="240" w:lineRule="exact"/>
              <w:jc w:val="center"/>
              <w:rPr>
                <w:rFonts w:asciiTheme="minorHAnsi" w:hAnsiTheme="minorHAnsi"/>
                <w:color w:val="auto"/>
                <w:szCs w:val="24"/>
              </w:rPr>
            </w:pPr>
            <w:r w:rsidRPr="00542F46">
              <w:rPr>
                <w:rFonts w:asciiTheme="minorHAnsi" w:hAnsiTheme="minorHAnsi"/>
                <w:color w:val="auto"/>
                <w:szCs w:val="24"/>
              </w:rPr>
              <w:t>3</w:t>
            </w:r>
            <w:r w:rsidR="0023233B" w:rsidRPr="00542F46">
              <w:rPr>
                <w:rFonts w:asciiTheme="minorHAnsi" w:hAnsiTheme="minorHAnsi"/>
                <w:color w:val="auto"/>
                <w:szCs w:val="24"/>
              </w:rPr>
              <w:t>0%</w:t>
            </w:r>
          </w:p>
        </w:tc>
      </w:tr>
      <w:tr w:rsidR="0023233B" w:rsidRPr="00542F46" w:rsidTr="00307663">
        <w:tblPrEx>
          <w:tblLook w:val="0000"/>
        </w:tblPrEx>
        <w:trPr>
          <w:gridBefore w:val="1"/>
          <w:wBefore w:w="4950" w:type="dxa"/>
          <w:trHeight w:val="350"/>
          <w:jc w:val="center"/>
        </w:trPr>
        <w:tc>
          <w:tcPr>
            <w:tcW w:w="1710" w:type="dxa"/>
            <w:tcBorders>
              <w:left w:val="single" w:sz="4" w:space="0" w:color="auto"/>
            </w:tcBorders>
            <w:shd w:val="pct15" w:color="auto" w:fill="auto"/>
          </w:tcPr>
          <w:p w:rsidR="0023233B" w:rsidRPr="00542F46" w:rsidRDefault="0023233B" w:rsidP="00431B7F">
            <w:pPr>
              <w:tabs>
                <w:tab w:val="left" w:pos="288"/>
                <w:tab w:val="left" w:pos="4752"/>
              </w:tabs>
              <w:spacing w:line="240" w:lineRule="exact"/>
              <w:jc w:val="center"/>
              <w:rPr>
                <w:rFonts w:asciiTheme="minorHAnsi" w:hAnsiTheme="minorHAnsi"/>
                <w:b/>
                <w:color w:val="auto"/>
                <w:szCs w:val="24"/>
              </w:rPr>
            </w:pPr>
            <w:r w:rsidRPr="00542F46">
              <w:rPr>
                <w:rFonts w:asciiTheme="minorHAnsi" w:hAnsiTheme="minorHAnsi"/>
                <w:b/>
                <w:color w:val="auto"/>
                <w:szCs w:val="24"/>
              </w:rPr>
              <w:t>COMBINED</w:t>
            </w:r>
          </w:p>
        </w:tc>
        <w:tc>
          <w:tcPr>
            <w:tcW w:w="1170" w:type="dxa"/>
            <w:tcBorders>
              <w:left w:val="single" w:sz="4" w:space="0" w:color="auto"/>
            </w:tcBorders>
            <w:shd w:val="pct15" w:color="auto" w:fill="auto"/>
          </w:tcPr>
          <w:p w:rsidR="0023233B" w:rsidRPr="00542F46" w:rsidRDefault="0023233B" w:rsidP="00431B7F">
            <w:pPr>
              <w:tabs>
                <w:tab w:val="left" w:pos="288"/>
                <w:tab w:val="left" w:pos="4752"/>
              </w:tabs>
              <w:spacing w:line="240" w:lineRule="exact"/>
              <w:jc w:val="center"/>
              <w:rPr>
                <w:rFonts w:asciiTheme="minorHAnsi" w:hAnsiTheme="minorHAnsi"/>
                <w:b/>
                <w:color w:val="auto"/>
                <w:szCs w:val="24"/>
              </w:rPr>
            </w:pPr>
            <w:r w:rsidRPr="00542F46">
              <w:rPr>
                <w:rFonts w:asciiTheme="minorHAnsi" w:hAnsiTheme="minorHAnsi"/>
                <w:b/>
                <w:color w:val="auto"/>
                <w:szCs w:val="24"/>
              </w:rPr>
              <w:t>50%</w:t>
            </w:r>
          </w:p>
        </w:tc>
        <w:tc>
          <w:tcPr>
            <w:tcW w:w="1530" w:type="dxa"/>
            <w:shd w:val="pct15" w:color="auto" w:fill="auto"/>
          </w:tcPr>
          <w:p w:rsidR="0023233B" w:rsidRPr="00542F46" w:rsidRDefault="00466E27" w:rsidP="00431B7F">
            <w:pPr>
              <w:tabs>
                <w:tab w:val="left" w:pos="288"/>
                <w:tab w:val="left" w:pos="4752"/>
              </w:tabs>
              <w:spacing w:line="240" w:lineRule="exact"/>
              <w:jc w:val="center"/>
              <w:rPr>
                <w:rFonts w:asciiTheme="minorHAnsi" w:hAnsiTheme="minorHAnsi"/>
                <w:b/>
                <w:color w:val="auto"/>
                <w:szCs w:val="24"/>
              </w:rPr>
            </w:pPr>
            <w:r w:rsidRPr="00542F46">
              <w:rPr>
                <w:rFonts w:asciiTheme="minorHAnsi" w:hAnsiTheme="minorHAnsi"/>
                <w:b/>
                <w:color w:val="auto"/>
                <w:szCs w:val="24"/>
              </w:rPr>
              <w:t>3</w:t>
            </w:r>
            <w:r w:rsidR="0023233B" w:rsidRPr="00542F46">
              <w:rPr>
                <w:rFonts w:asciiTheme="minorHAnsi" w:hAnsiTheme="minorHAnsi"/>
                <w:b/>
                <w:color w:val="auto"/>
                <w:szCs w:val="24"/>
              </w:rPr>
              <w:t>0%</w:t>
            </w:r>
          </w:p>
        </w:tc>
      </w:tr>
    </w:tbl>
    <w:p w:rsidR="00B522CD" w:rsidRPr="00542F46" w:rsidRDefault="008B5D31"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u w:val="single"/>
        </w:rPr>
        <w:t>_______________________________________________________________</w:t>
      </w:r>
      <w:r w:rsidRPr="00542F46">
        <w:rPr>
          <w:rFonts w:asciiTheme="minorHAnsi" w:hAnsiTheme="minorHAnsi"/>
          <w:color w:val="auto"/>
        </w:rPr>
        <w:t>_</w:t>
      </w:r>
      <w:r w:rsidR="00AC713F" w:rsidRPr="00542F46">
        <w:rPr>
          <w:rFonts w:asciiTheme="minorHAnsi" w:hAnsiTheme="minorHAnsi"/>
          <w:color w:val="auto"/>
        </w:rPr>
        <w:t>______________</w:t>
      </w:r>
    </w:p>
    <w:p w:rsidR="00D91DA6" w:rsidRPr="00542F46" w:rsidRDefault="00D91DA6" w:rsidP="00431B7F">
      <w:pPr>
        <w:tabs>
          <w:tab w:val="left" w:pos="288"/>
          <w:tab w:val="left" w:pos="4752"/>
        </w:tabs>
        <w:spacing w:line="240" w:lineRule="exact"/>
        <w:jc w:val="both"/>
        <w:rPr>
          <w:rFonts w:asciiTheme="minorHAnsi" w:hAnsiTheme="minorHAnsi"/>
          <w:color w:val="auto"/>
        </w:rPr>
      </w:pPr>
    </w:p>
    <w:p w:rsidR="00D91DA6" w:rsidRPr="00542F46" w:rsidRDefault="00114F20"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rPr>
        <w:t>The following documentary evidence was considered:</w:t>
      </w:r>
    </w:p>
    <w:p w:rsidR="00EB5EFD" w:rsidRPr="00542F46" w:rsidRDefault="00EB5EFD" w:rsidP="00431B7F">
      <w:pPr>
        <w:tabs>
          <w:tab w:val="left" w:pos="288"/>
          <w:tab w:val="left" w:pos="4752"/>
        </w:tabs>
        <w:spacing w:line="240" w:lineRule="exact"/>
        <w:jc w:val="both"/>
        <w:rPr>
          <w:rFonts w:asciiTheme="minorHAnsi" w:hAnsiTheme="minorHAnsi"/>
          <w:color w:val="auto"/>
        </w:rPr>
      </w:pPr>
    </w:p>
    <w:p w:rsidR="00114F20" w:rsidRPr="00542F46" w:rsidRDefault="0051146C"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rPr>
        <w:t xml:space="preserve">Exhibit A.  DD Form </w:t>
      </w:r>
      <w:proofErr w:type="gramStart"/>
      <w:r w:rsidRPr="00542F46">
        <w:rPr>
          <w:rFonts w:asciiTheme="minorHAnsi" w:hAnsiTheme="minorHAnsi"/>
          <w:color w:val="auto"/>
        </w:rPr>
        <w:t>294,</w:t>
      </w:r>
      <w:proofErr w:type="gramEnd"/>
      <w:r w:rsidRPr="00542F46">
        <w:rPr>
          <w:rFonts w:asciiTheme="minorHAnsi" w:hAnsiTheme="minorHAnsi"/>
          <w:color w:val="auto"/>
        </w:rPr>
        <w:t xml:space="preserve"> dated </w:t>
      </w:r>
      <w:r w:rsidR="0019273F" w:rsidRPr="00542F46">
        <w:rPr>
          <w:rFonts w:asciiTheme="minorHAnsi" w:hAnsiTheme="minorHAnsi"/>
          <w:color w:val="auto"/>
        </w:rPr>
        <w:t>20</w:t>
      </w:r>
      <w:r w:rsidR="0023233B" w:rsidRPr="00542F46">
        <w:rPr>
          <w:rFonts w:asciiTheme="minorHAnsi" w:hAnsiTheme="minorHAnsi"/>
          <w:color w:val="auto"/>
        </w:rPr>
        <w:t>100226</w:t>
      </w:r>
      <w:r w:rsidR="00114F20" w:rsidRPr="00542F46">
        <w:rPr>
          <w:rFonts w:asciiTheme="minorHAnsi" w:hAnsiTheme="minorHAnsi"/>
          <w:color w:val="auto"/>
        </w:rPr>
        <w:t>, w/</w:t>
      </w:r>
      <w:proofErr w:type="spellStart"/>
      <w:r w:rsidR="00114F20" w:rsidRPr="00542F46">
        <w:rPr>
          <w:rFonts w:asciiTheme="minorHAnsi" w:hAnsiTheme="minorHAnsi"/>
          <w:color w:val="auto"/>
        </w:rPr>
        <w:t>atchs</w:t>
      </w:r>
      <w:proofErr w:type="spellEnd"/>
      <w:r w:rsidR="00114F20" w:rsidRPr="00542F46">
        <w:rPr>
          <w:rFonts w:asciiTheme="minorHAnsi" w:hAnsiTheme="minorHAnsi"/>
          <w:color w:val="auto"/>
        </w:rPr>
        <w:t>.</w:t>
      </w:r>
    </w:p>
    <w:p w:rsidR="00114F20" w:rsidRPr="00542F46" w:rsidRDefault="00114F20"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rPr>
        <w:t xml:space="preserve">Exhibit B.  </w:t>
      </w:r>
      <w:proofErr w:type="gramStart"/>
      <w:r w:rsidRPr="00542F46">
        <w:rPr>
          <w:rFonts w:asciiTheme="minorHAnsi" w:hAnsiTheme="minorHAnsi"/>
          <w:color w:val="auto"/>
        </w:rPr>
        <w:t>Service Treatment Record.</w:t>
      </w:r>
      <w:proofErr w:type="gramEnd"/>
    </w:p>
    <w:p w:rsidR="00114F20" w:rsidRPr="00542F46" w:rsidRDefault="00114F20" w:rsidP="00431B7F">
      <w:pPr>
        <w:tabs>
          <w:tab w:val="left" w:pos="288"/>
          <w:tab w:val="left" w:pos="4752"/>
        </w:tabs>
        <w:spacing w:line="240" w:lineRule="exact"/>
        <w:jc w:val="both"/>
        <w:rPr>
          <w:rFonts w:asciiTheme="minorHAnsi" w:hAnsiTheme="minorHAnsi"/>
          <w:color w:val="auto"/>
        </w:rPr>
      </w:pPr>
      <w:r w:rsidRPr="00542F46">
        <w:rPr>
          <w:rFonts w:asciiTheme="minorHAnsi" w:hAnsiTheme="minorHAnsi"/>
          <w:color w:val="auto"/>
        </w:rPr>
        <w:t xml:space="preserve">Exhibit C.  </w:t>
      </w:r>
      <w:proofErr w:type="gramStart"/>
      <w:r w:rsidRPr="00542F46">
        <w:rPr>
          <w:rFonts w:asciiTheme="minorHAnsi" w:hAnsiTheme="minorHAnsi"/>
          <w:color w:val="auto"/>
        </w:rPr>
        <w:t>Department of Veterans</w:t>
      </w:r>
      <w:r w:rsidR="00385D6F" w:rsidRPr="00542F46">
        <w:rPr>
          <w:rFonts w:asciiTheme="minorHAnsi" w:hAnsiTheme="minorHAnsi"/>
          <w:color w:val="auto"/>
        </w:rPr>
        <w:t>'</w:t>
      </w:r>
      <w:r w:rsidRPr="00542F46">
        <w:rPr>
          <w:rFonts w:asciiTheme="minorHAnsi" w:hAnsiTheme="minorHAnsi"/>
          <w:color w:val="auto"/>
        </w:rPr>
        <w:t xml:space="preserve"> Affairs Treatment Record.</w:t>
      </w:r>
      <w:proofErr w:type="gramEnd"/>
    </w:p>
    <w:p w:rsidR="00D91DA6" w:rsidRPr="00542F46" w:rsidRDefault="00D91DA6" w:rsidP="00431B7F">
      <w:pPr>
        <w:tabs>
          <w:tab w:val="left" w:pos="288"/>
          <w:tab w:val="left" w:pos="4752"/>
        </w:tabs>
        <w:spacing w:line="240" w:lineRule="exact"/>
        <w:jc w:val="both"/>
        <w:rPr>
          <w:rFonts w:asciiTheme="minorHAnsi" w:hAnsiTheme="minorHAnsi"/>
          <w:color w:val="auto"/>
        </w:rPr>
      </w:pPr>
    </w:p>
    <w:p w:rsidR="00114F20" w:rsidRPr="00542F46" w:rsidRDefault="00114F20" w:rsidP="00431B7F">
      <w:pPr>
        <w:tabs>
          <w:tab w:val="left" w:pos="288"/>
          <w:tab w:val="left" w:pos="4752"/>
        </w:tabs>
        <w:spacing w:line="240" w:lineRule="exact"/>
        <w:jc w:val="both"/>
        <w:rPr>
          <w:rFonts w:asciiTheme="minorHAnsi" w:hAnsiTheme="minorHAnsi"/>
          <w:color w:val="auto"/>
        </w:rPr>
      </w:pPr>
    </w:p>
    <w:p w:rsidR="00114F20" w:rsidRPr="00542F46" w:rsidRDefault="00114F20" w:rsidP="00431B7F">
      <w:pPr>
        <w:tabs>
          <w:tab w:val="left" w:pos="288"/>
          <w:tab w:val="left" w:pos="4752"/>
        </w:tabs>
        <w:spacing w:line="240" w:lineRule="exact"/>
        <w:jc w:val="both"/>
        <w:rPr>
          <w:rFonts w:asciiTheme="minorHAnsi" w:hAnsiTheme="minorHAnsi"/>
          <w:color w:val="auto"/>
        </w:rPr>
      </w:pPr>
    </w:p>
    <w:p w:rsidR="00114F20" w:rsidRPr="00542F46" w:rsidRDefault="00114F20" w:rsidP="00431B7F">
      <w:pPr>
        <w:tabs>
          <w:tab w:val="left" w:pos="288"/>
          <w:tab w:val="left" w:pos="4752"/>
        </w:tabs>
        <w:spacing w:line="240" w:lineRule="exact"/>
        <w:jc w:val="both"/>
        <w:rPr>
          <w:rFonts w:asciiTheme="minorHAnsi" w:hAnsiTheme="minorHAnsi"/>
          <w:color w:val="auto"/>
        </w:rPr>
      </w:pPr>
    </w:p>
    <w:p w:rsidR="00D91DA6" w:rsidRPr="00542F46" w:rsidRDefault="00C30A97" w:rsidP="00431B7F">
      <w:pPr>
        <w:tabs>
          <w:tab w:val="left" w:pos="0"/>
          <w:tab w:val="left" w:pos="4320"/>
        </w:tabs>
        <w:spacing w:line="240" w:lineRule="exact"/>
        <w:jc w:val="both"/>
        <w:rPr>
          <w:rFonts w:asciiTheme="minorHAnsi" w:hAnsiTheme="minorHAnsi"/>
          <w:color w:val="auto"/>
        </w:rPr>
      </w:pPr>
      <w:r w:rsidRPr="00542F46">
        <w:rPr>
          <w:rFonts w:asciiTheme="minorHAnsi" w:hAnsiTheme="minorHAnsi"/>
          <w:color w:val="auto"/>
        </w:rPr>
        <w:t xml:space="preserve">                             </w:t>
      </w:r>
      <w:r w:rsidR="0085089F" w:rsidRPr="00542F46">
        <w:rPr>
          <w:rFonts w:asciiTheme="minorHAnsi" w:hAnsiTheme="minorHAnsi"/>
          <w:color w:val="auto"/>
        </w:rPr>
        <w:tab/>
      </w:r>
      <w:r w:rsidR="0085089F" w:rsidRPr="00542F46">
        <w:rPr>
          <w:rFonts w:asciiTheme="minorHAnsi" w:hAnsiTheme="minorHAnsi"/>
          <w:color w:val="auto"/>
        </w:rPr>
        <w:tab/>
      </w:r>
      <w:r w:rsidR="00D52A1B" w:rsidRPr="00542F46">
        <w:rPr>
          <w:rFonts w:asciiTheme="minorHAnsi" w:hAnsiTheme="minorHAnsi"/>
          <w:color w:val="auto"/>
        </w:rPr>
        <w:t>Deputy Director</w:t>
      </w:r>
    </w:p>
    <w:p w:rsidR="00B522CD" w:rsidRPr="00542F46" w:rsidRDefault="00C30A97" w:rsidP="00431B7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42F46">
        <w:rPr>
          <w:rFonts w:asciiTheme="minorHAnsi" w:hAnsiTheme="minorHAnsi"/>
          <w:color w:val="auto"/>
        </w:rPr>
        <w:tab/>
        <w:t xml:space="preserve">                           </w:t>
      </w:r>
      <w:r w:rsidR="0085089F" w:rsidRPr="00542F46">
        <w:rPr>
          <w:rFonts w:asciiTheme="minorHAnsi" w:hAnsiTheme="minorHAnsi"/>
          <w:color w:val="auto"/>
        </w:rPr>
        <w:tab/>
      </w:r>
      <w:r w:rsidR="0085089F" w:rsidRPr="00542F46">
        <w:rPr>
          <w:rFonts w:asciiTheme="minorHAnsi" w:hAnsiTheme="minorHAnsi"/>
          <w:color w:val="auto"/>
        </w:rPr>
        <w:tab/>
      </w:r>
      <w:r w:rsidR="0085089F" w:rsidRPr="00542F46">
        <w:rPr>
          <w:rFonts w:asciiTheme="minorHAnsi" w:hAnsiTheme="minorHAnsi"/>
          <w:color w:val="auto"/>
        </w:rPr>
        <w:tab/>
      </w:r>
      <w:r w:rsidR="0085089F" w:rsidRPr="00542F46">
        <w:rPr>
          <w:rFonts w:asciiTheme="minorHAnsi" w:hAnsiTheme="minorHAnsi"/>
          <w:color w:val="auto"/>
        </w:rPr>
        <w:tab/>
      </w:r>
      <w:r w:rsidR="0085089F" w:rsidRPr="00542F46">
        <w:rPr>
          <w:rFonts w:asciiTheme="minorHAnsi" w:hAnsiTheme="minorHAnsi"/>
          <w:color w:val="auto"/>
        </w:rPr>
        <w:tab/>
      </w:r>
      <w:r w:rsidR="00D91DA6" w:rsidRPr="00542F46">
        <w:rPr>
          <w:rFonts w:asciiTheme="minorHAnsi" w:hAnsiTheme="minorHAnsi"/>
          <w:color w:val="auto"/>
        </w:rPr>
        <w:t>Physical Disability Board of Review</w:t>
      </w:r>
    </w:p>
    <w:p w:rsidR="00AA04B3" w:rsidRDefault="00AA04B3" w:rsidP="00431B7F">
      <w:pPr>
        <w:tabs>
          <w:tab w:val="left" w:pos="288"/>
          <w:tab w:val="left" w:pos="4320"/>
          <w:tab w:val="left" w:pos="4410"/>
          <w:tab w:val="left" w:pos="4770"/>
          <w:tab w:val="left" w:pos="4860"/>
          <w:tab w:val="left" w:pos="5040"/>
        </w:tabs>
        <w:spacing w:line="240" w:lineRule="exact"/>
        <w:jc w:val="both"/>
        <w:rPr>
          <w:color w:val="auto"/>
        </w:rPr>
      </w:pPr>
    </w:p>
    <w:p w:rsidR="003B6956" w:rsidRDefault="003B6956">
      <w:pPr>
        <w:rPr>
          <w:color w:val="auto"/>
        </w:rPr>
      </w:pPr>
      <w:r>
        <w:rPr>
          <w:color w:val="auto"/>
        </w:rPr>
        <w:br w:type="page"/>
      </w:r>
    </w:p>
    <w:p w:rsidR="003B6956" w:rsidRPr="003B6956" w:rsidRDefault="003B6956" w:rsidP="003B6956">
      <w:pPr>
        <w:rPr>
          <w:color w:val="auto"/>
        </w:rPr>
      </w:pPr>
      <w:r w:rsidRPr="003B6956">
        <w:rPr>
          <w:color w:val="auto"/>
        </w:rPr>
        <w:lastRenderedPageBreak/>
        <w:t>MEMORANDUM FOR DEPUTY COMMANDANT, MANPOWER &amp; RESERVE AFFAIRS</w:t>
      </w:r>
    </w:p>
    <w:p w:rsidR="003B6956" w:rsidRPr="003B6956" w:rsidRDefault="003B6956" w:rsidP="003B6956">
      <w:pPr>
        <w:rPr>
          <w:color w:val="auto"/>
        </w:rPr>
      </w:pPr>
    </w:p>
    <w:p w:rsidR="003B6956" w:rsidRPr="003B6956" w:rsidRDefault="003B6956" w:rsidP="003B6956">
      <w:pPr>
        <w:rPr>
          <w:color w:val="auto"/>
        </w:rPr>
      </w:pPr>
      <w:proofErr w:type="spellStart"/>
      <w:r w:rsidRPr="003B6956">
        <w:rPr>
          <w:color w:val="auto"/>
        </w:rPr>
        <w:t>Subj</w:t>
      </w:r>
      <w:proofErr w:type="spellEnd"/>
      <w:r w:rsidRPr="003B6956">
        <w:rPr>
          <w:color w:val="auto"/>
        </w:rPr>
        <w:t>:  PHYSICAL DISABILITY BOARD OF REVIEW (PDBR) RECOMMENDATION</w:t>
      </w:r>
    </w:p>
    <w:p w:rsidR="003B6956" w:rsidRPr="003B6956" w:rsidRDefault="003B6956" w:rsidP="003B6956">
      <w:pPr>
        <w:tabs>
          <w:tab w:val="left" w:pos="630"/>
        </w:tabs>
        <w:rPr>
          <w:color w:val="auto"/>
        </w:rPr>
      </w:pPr>
      <w:r w:rsidRPr="003B6956">
        <w:rPr>
          <w:color w:val="auto"/>
        </w:rPr>
        <w:t xml:space="preserve">          </w:t>
      </w:r>
      <w:r w:rsidRPr="003B6956">
        <w:rPr>
          <w:color w:val="auto"/>
        </w:rPr>
        <w:tab/>
        <w:t xml:space="preserve">ICO </w:t>
      </w:r>
      <w:r>
        <w:rPr>
          <w:color w:val="auto"/>
        </w:rPr>
        <w:t>XXXX</w:t>
      </w:r>
      <w:r w:rsidRPr="003B6956">
        <w:rPr>
          <w:color w:val="auto"/>
        </w:rPr>
        <w:t xml:space="preserve">, FORMER USMC, XXX XX </w:t>
      </w:r>
      <w:r>
        <w:rPr>
          <w:color w:val="auto"/>
        </w:rPr>
        <w:t>XXXX</w:t>
      </w:r>
    </w:p>
    <w:p w:rsidR="003B6956" w:rsidRPr="003B6956" w:rsidRDefault="003B6956" w:rsidP="003B6956">
      <w:pPr>
        <w:rPr>
          <w:color w:val="auto"/>
        </w:rPr>
      </w:pPr>
    </w:p>
    <w:p w:rsidR="003B6956" w:rsidRPr="003B6956" w:rsidRDefault="003B6956" w:rsidP="003B6956">
      <w:pPr>
        <w:rPr>
          <w:color w:val="auto"/>
        </w:rPr>
      </w:pPr>
      <w:r w:rsidRPr="003B6956">
        <w:rPr>
          <w:color w:val="auto"/>
        </w:rPr>
        <w:t>Ref:   (a) DoDI 6040.44</w:t>
      </w:r>
    </w:p>
    <w:p w:rsidR="003B6956" w:rsidRPr="003B6956" w:rsidRDefault="003B6956" w:rsidP="003B6956">
      <w:pPr>
        <w:rPr>
          <w:color w:val="auto"/>
        </w:rPr>
      </w:pPr>
    </w:p>
    <w:p w:rsidR="003B6956" w:rsidRPr="003B6956" w:rsidRDefault="003B6956" w:rsidP="003B6956">
      <w:pPr>
        <w:rPr>
          <w:color w:val="auto"/>
        </w:rPr>
      </w:pPr>
      <w:r w:rsidRPr="003B6956">
        <w:rPr>
          <w:color w:val="auto"/>
        </w:rPr>
        <w:t>1.  I have reviewed THE subject case pursuant to reference (a).  The subject member’s official records are to be corrected to reflect the following retroactive disposition:</w:t>
      </w:r>
    </w:p>
    <w:p w:rsidR="003B6956" w:rsidRPr="003B6956" w:rsidRDefault="003B6956" w:rsidP="003B6956">
      <w:pPr>
        <w:rPr>
          <w:color w:val="auto"/>
        </w:rPr>
      </w:pPr>
    </w:p>
    <w:p w:rsidR="003B6956" w:rsidRPr="003B6956" w:rsidRDefault="003B6956" w:rsidP="003B6956">
      <w:pPr>
        <w:rPr>
          <w:color w:val="auto"/>
        </w:rPr>
      </w:pPr>
      <w:r w:rsidRPr="003B6956">
        <w:rPr>
          <w:color w:val="auto"/>
        </w:rPr>
        <w:tab/>
        <w:t>a. Separation from the naval service due to physical disability with placement on the Temporary Disability Retired List with a disability rating of 50 percent for the period 15 December 2005 thru 14 May 2006.</w:t>
      </w:r>
    </w:p>
    <w:p w:rsidR="003B6956" w:rsidRPr="003B6956" w:rsidRDefault="003B6956" w:rsidP="003B6956">
      <w:pPr>
        <w:rPr>
          <w:color w:val="auto"/>
        </w:rPr>
      </w:pPr>
    </w:p>
    <w:p w:rsidR="003B6956" w:rsidRPr="003B6956" w:rsidRDefault="003B6956" w:rsidP="003B6956">
      <w:pPr>
        <w:rPr>
          <w:color w:val="auto"/>
        </w:rPr>
      </w:pPr>
      <w:r w:rsidRPr="003B6956">
        <w:rPr>
          <w:color w:val="auto"/>
        </w:rPr>
        <w:tab/>
        <w:t xml:space="preserve">b. Final separation from naval service due to physical disability effective 15 May 2006 with a disability rating of 10 percent and entitlement to disability </w:t>
      </w:r>
      <w:proofErr w:type="gramStart"/>
      <w:r w:rsidRPr="003B6956">
        <w:rPr>
          <w:color w:val="auto"/>
        </w:rPr>
        <w:t>severance pay</w:t>
      </w:r>
      <w:proofErr w:type="gramEnd"/>
      <w:r w:rsidRPr="003B6956">
        <w:rPr>
          <w:color w:val="auto"/>
        </w:rPr>
        <w:t>.</w:t>
      </w:r>
    </w:p>
    <w:p w:rsidR="003B6956" w:rsidRPr="003B6956" w:rsidRDefault="003B6956" w:rsidP="003B6956">
      <w:pPr>
        <w:rPr>
          <w:color w:val="auto"/>
        </w:rPr>
      </w:pPr>
    </w:p>
    <w:p w:rsidR="003B6956" w:rsidRPr="003B6956" w:rsidRDefault="003B6956" w:rsidP="003B6956">
      <w:pPr>
        <w:rPr>
          <w:color w:val="auto"/>
        </w:rPr>
      </w:pPr>
      <w:r w:rsidRPr="003B6956">
        <w:rPr>
          <w:color w:val="auto"/>
        </w:rPr>
        <w:t>2.  Please ensure all necessary actions are taken to implement this decision, including the recoupment of previously paid funds if appropriate, and notification to the subject member once those actions are completed.</w:t>
      </w:r>
    </w:p>
    <w:p w:rsidR="003B6956" w:rsidRPr="003B6956" w:rsidRDefault="003B6956" w:rsidP="003B6956">
      <w:pPr>
        <w:rPr>
          <w:color w:val="auto"/>
        </w:rPr>
      </w:pPr>
    </w:p>
    <w:p w:rsidR="003B6956" w:rsidRPr="003B6956" w:rsidRDefault="003B6956" w:rsidP="003B6956">
      <w:pPr>
        <w:rPr>
          <w:color w:val="auto"/>
        </w:rPr>
      </w:pPr>
    </w:p>
    <w:p w:rsidR="003B6956" w:rsidRPr="003B6956" w:rsidRDefault="003B6956" w:rsidP="003B6956">
      <w:pPr>
        <w:rPr>
          <w:color w:val="auto"/>
        </w:rPr>
      </w:pPr>
    </w:p>
    <w:p w:rsidR="003B6956" w:rsidRPr="003B6956" w:rsidRDefault="003B6956" w:rsidP="003B6956">
      <w:pPr>
        <w:tabs>
          <w:tab w:val="left" w:pos="4680"/>
        </w:tabs>
        <w:rPr>
          <w:color w:val="auto"/>
        </w:rPr>
      </w:pPr>
      <w:r w:rsidRPr="003B6956">
        <w:rPr>
          <w:color w:val="auto"/>
        </w:rPr>
        <w:tab/>
      </w:r>
    </w:p>
    <w:p w:rsidR="003B6956" w:rsidRPr="003B6956" w:rsidRDefault="003B6956" w:rsidP="003B6956">
      <w:pPr>
        <w:rPr>
          <w:color w:val="auto"/>
        </w:rPr>
      </w:pPr>
      <w:r w:rsidRPr="003B6956">
        <w:rPr>
          <w:color w:val="auto"/>
        </w:rPr>
        <w:tab/>
      </w:r>
      <w:r w:rsidRPr="003B6956">
        <w:rPr>
          <w:color w:val="auto"/>
        </w:rPr>
        <w:tab/>
      </w:r>
      <w:r w:rsidRPr="003B6956">
        <w:rPr>
          <w:color w:val="auto"/>
        </w:rPr>
        <w:tab/>
      </w:r>
      <w:r w:rsidRPr="003B6956">
        <w:rPr>
          <w:color w:val="auto"/>
        </w:rPr>
        <w:tab/>
      </w:r>
      <w:r w:rsidRPr="003B6956">
        <w:rPr>
          <w:color w:val="auto"/>
        </w:rPr>
        <w:tab/>
      </w:r>
      <w:r w:rsidRPr="003B6956">
        <w:rPr>
          <w:color w:val="auto"/>
        </w:rPr>
        <w:tab/>
        <w:t xml:space="preserve">      Principal Deputy</w:t>
      </w:r>
    </w:p>
    <w:p w:rsidR="003B6956" w:rsidRPr="003B6956" w:rsidRDefault="003B6956" w:rsidP="003B6956">
      <w:pPr>
        <w:rPr>
          <w:color w:val="auto"/>
        </w:rPr>
      </w:pPr>
      <w:r w:rsidRPr="003B6956">
        <w:rPr>
          <w:color w:val="auto"/>
        </w:rPr>
        <w:tab/>
      </w:r>
      <w:r w:rsidRPr="003B6956">
        <w:rPr>
          <w:color w:val="auto"/>
        </w:rPr>
        <w:tab/>
      </w:r>
      <w:r w:rsidRPr="003B6956">
        <w:rPr>
          <w:color w:val="auto"/>
        </w:rPr>
        <w:tab/>
      </w:r>
      <w:r w:rsidRPr="003B6956">
        <w:rPr>
          <w:color w:val="auto"/>
        </w:rPr>
        <w:tab/>
      </w:r>
      <w:r w:rsidRPr="003B6956">
        <w:rPr>
          <w:color w:val="auto"/>
        </w:rPr>
        <w:tab/>
      </w:r>
      <w:r w:rsidRPr="003B6956">
        <w:rPr>
          <w:color w:val="auto"/>
        </w:rPr>
        <w:tab/>
        <w:t xml:space="preserve">      Assistant Secretary of the Navy</w:t>
      </w:r>
    </w:p>
    <w:p w:rsidR="003B6956" w:rsidRDefault="003B6956" w:rsidP="003B6956">
      <w:r w:rsidRPr="003B6956">
        <w:rPr>
          <w:color w:val="auto"/>
        </w:rPr>
        <w:tab/>
      </w:r>
      <w:r w:rsidRPr="003B6956">
        <w:rPr>
          <w:color w:val="auto"/>
        </w:rPr>
        <w:tab/>
      </w:r>
      <w:r w:rsidRPr="003B6956">
        <w:rPr>
          <w:color w:val="auto"/>
        </w:rPr>
        <w:tab/>
      </w:r>
      <w:r w:rsidRPr="003B6956">
        <w:rPr>
          <w:color w:val="auto"/>
        </w:rPr>
        <w:tab/>
      </w:r>
      <w:r w:rsidRPr="003B6956">
        <w:rPr>
          <w:color w:val="auto"/>
        </w:rPr>
        <w:tab/>
      </w:r>
      <w:r w:rsidRPr="003B6956">
        <w:rPr>
          <w:color w:val="auto"/>
        </w:rPr>
        <w:tab/>
        <w:t xml:space="preserve">        (Man</w:t>
      </w:r>
      <w:r>
        <w:t>power &amp; Reserve Affairs)</w:t>
      </w:r>
    </w:p>
    <w:p w:rsidR="003B6956" w:rsidRDefault="003B6956" w:rsidP="003B6956"/>
    <w:p w:rsidR="003B6956" w:rsidRPr="00542F46" w:rsidRDefault="003B6956" w:rsidP="00431B7F">
      <w:pPr>
        <w:tabs>
          <w:tab w:val="left" w:pos="288"/>
          <w:tab w:val="left" w:pos="4320"/>
          <w:tab w:val="left" w:pos="4410"/>
          <w:tab w:val="left" w:pos="4770"/>
          <w:tab w:val="left" w:pos="4860"/>
          <w:tab w:val="left" w:pos="5040"/>
        </w:tabs>
        <w:spacing w:line="240" w:lineRule="exact"/>
        <w:jc w:val="both"/>
        <w:rPr>
          <w:color w:val="auto"/>
        </w:rPr>
      </w:pPr>
    </w:p>
    <w:sectPr w:rsidR="003B6956" w:rsidRPr="00542F4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6F" w:rsidRDefault="0085166F">
      <w:r>
        <w:separator/>
      </w:r>
    </w:p>
  </w:endnote>
  <w:endnote w:type="continuationSeparator" w:id="0">
    <w:p w:rsidR="0085166F" w:rsidRDefault="0085166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49" w:rsidRDefault="00F262CF">
    <w:pPr>
      <w:pStyle w:val="Footer"/>
      <w:framePr w:wrap="around" w:vAnchor="text" w:hAnchor="margin" w:xAlign="center" w:y="1"/>
      <w:rPr>
        <w:rStyle w:val="PageNumber"/>
      </w:rPr>
    </w:pPr>
    <w:r>
      <w:rPr>
        <w:rStyle w:val="PageNumber"/>
      </w:rPr>
      <w:fldChar w:fldCharType="begin"/>
    </w:r>
    <w:r w:rsidR="00096749">
      <w:rPr>
        <w:rStyle w:val="PageNumber"/>
      </w:rPr>
      <w:instrText xml:space="preserve">PAGE  </w:instrText>
    </w:r>
    <w:r>
      <w:rPr>
        <w:rStyle w:val="PageNumber"/>
      </w:rPr>
      <w:fldChar w:fldCharType="separate"/>
    </w:r>
    <w:r w:rsidR="00096749">
      <w:rPr>
        <w:rStyle w:val="PageNumber"/>
        <w:noProof/>
      </w:rPr>
      <w:t>2</w:t>
    </w:r>
    <w:r>
      <w:rPr>
        <w:rStyle w:val="PageNumber"/>
      </w:rPr>
      <w:fldChar w:fldCharType="end"/>
    </w:r>
  </w:p>
  <w:p w:rsidR="00096749" w:rsidRDefault="0009674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49" w:rsidRPr="00AC713F" w:rsidRDefault="00F262C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9674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B6956">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96749" w:rsidRPr="00A342FB" w:rsidRDefault="00096749" w:rsidP="002B0749">
    <w:pPr>
      <w:pStyle w:val="Footer"/>
      <w:jc w:val="right"/>
      <w:rPr>
        <w:rFonts w:asciiTheme="minorHAnsi" w:hAnsiTheme="minorHAnsi"/>
        <w:color w:val="auto"/>
      </w:rPr>
    </w:pPr>
    <w:r w:rsidRPr="00A342FB">
      <w:rPr>
        <w:color w:val="auto"/>
      </w:rPr>
      <w:tab/>
    </w:r>
    <w:r w:rsidRPr="00A342FB">
      <w:rPr>
        <w:color w:val="auto"/>
      </w:rPr>
      <w:tab/>
    </w:r>
    <w:r w:rsidRPr="00A342FB">
      <w:rPr>
        <w:rFonts w:asciiTheme="minorHAnsi" w:hAnsiTheme="minorHAnsi"/>
        <w:caps/>
        <w:color w:val="auto"/>
      </w:rPr>
      <w:t>PD1000506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6F" w:rsidRDefault="0085166F">
      <w:r>
        <w:separator/>
      </w:r>
    </w:p>
  </w:footnote>
  <w:footnote w:type="continuationSeparator" w:id="0">
    <w:p w:rsidR="0085166F" w:rsidRDefault="00851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849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03E"/>
    <w:rsid w:val="00036E4B"/>
    <w:rsid w:val="000379D0"/>
    <w:rsid w:val="00040FC4"/>
    <w:rsid w:val="000416F8"/>
    <w:rsid w:val="00042C26"/>
    <w:rsid w:val="00043382"/>
    <w:rsid w:val="00051622"/>
    <w:rsid w:val="00052234"/>
    <w:rsid w:val="00053D7C"/>
    <w:rsid w:val="000577C9"/>
    <w:rsid w:val="0006431E"/>
    <w:rsid w:val="00065B3C"/>
    <w:rsid w:val="00072433"/>
    <w:rsid w:val="00075702"/>
    <w:rsid w:val="000774D8"/>
    <w:rsid w:val="000775C2"/>
    <w:rsid w:val="000806AD"/>
    <w:rsid w:val="00082482"/>
    <w:rsid w:val="0008708B"/>
    <w:rsid w:val="000879C4"/>
    <w:rsid w:val="00090CC9"/>
    <w:rsid w:val="00092619"/>
    <w:rsid w:val="00092C66"/>
    <w:rsid w:val="00094E4F"/>
    <w:rsid w:val="00096749"/>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2747D"/>
    <w:rsid w:val="001315DD"/>
    <w:rsid w:val="00135385"/>
    <w:rsid w:val="001364D1"/>
    <w:rsid w:val="00136AAE"/>
    <w:rsid w:val="00142EBA"/>
    <w:rsid w:val="00143B79"/>
    <w:rsid w:val="00150364"/>
    <w:rsid w:val="00150B8A"/>
    <w:rsid w:val="00150DCB"/>
    <w:rsid w:val="00151912"/>
    <w:rsid w:val="00153740"/>
    <w:rsid w:val="001541C5"/>
    <w:rsid w:val="0015623F"/>
    <w:rsid w:val="00156585"/>
    <w:rsid w:val="00156BA9"/>
    <w:rsid w:val="001578D3"/>
    <w:rsid w:val="00161761"/>
    <w:rsid w:val="001635B8"/>
    <w:rsid w:val="00166182"/>
    <w:rsid w:val="001745DD"/>
    <w:rsid w:val="00177659"/>
    <w:rsid w:val="001779E5"/>
    <w:rsid w:val="00182A4C"/>
    <w:rsid w:val="00183CA8"/>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6CDF"/>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1ED4"/>
    <w:rsid w:val="00200AA0"/>
    <w:rsid w:val="00202325"/>
    <w:rsid w:val="00202736"/>
    <w:rsid w:val="00203652"/>
    <w:rsid w:val="002060B6"/>
    <w:rsid w:val="002066B5"/>
    <w:rsid w:val="00213D64"/>
    <w:rsid w:val="00215ED6"/>
    <w:rsid w:val="00216049"/>
    <w:rsid w:val="00217606"/>
    <w:rsid w:val="00217C09"/>
    <w:rsid w:val="00220F5C"/>
    <w:rsid w:val="00225196"/>
    <w:rsid w:val="00225CB4"/>
    <w:rsid w:val="0023049F"/>
    <w:rsid w:val="002316F6"/>
    <w:rsid w:val="0023233B"/>
    <w:rsid w:val="00232BC3"/>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C2"/>
    <w:rsid w:val="00255049"/>
    <w:rsid w:val="00257DE5"/>
    <w:rsid w:val="00260531"/>
    <w:rsid w:val="0026318D"/>
    <w:rsid w:val="00270864"/>
    <w:rsid w:val="002712F7"/>
    <w:rsid w:val="0027159C"/>
    <w:rsid w:val="00274549"/>
    <w:rsid w:val="00274E46"/>
    <w:rsid w:val="00276C86"/>
    <w:rsid w:val="002810A4"/>
    <w:rsid w:val="00284A26"/>
    <w:rsid w:val="00287006"/>
    <w:rsid w:val="0029376B"/>
    <w:rsid w:val="00294437"/>
    <w:rsid w:val="002A3237"/>
    <w:rsid w:val="002A58B7"/>
    <w:rsid w:val="002A685E"/>
    <w:rsid w:val="002A72C7"/>
    <w:rsid w:val="002B03B2"/>
    <w:rsid w:val="002B0749"/>
    <w:rsid w:val="002B2645"/>
    <w:rsid w:val="002B6FA0"/>
    <w:rsid w:val="002C5F10"/>
    <w:rsid w:val="002C6E5B"/>
    <w:rsid w:val="002D18B4"/>
    <w:rsid w:val="002D1978"/>
    <w:rsid w:val="002D231A"/>
    <w:rsid w:val="002D6392"/>
    <w:rsid w:val="002E1877"/>
    <w:rsid w:val="002E1C31"/>
    <w:rsid w:val="002E333A"/>
    <w:rsid w:val="002E3474"/>
    <w:rsid w:val="002E400C"/>
    <w:rsid w:val="002E49C3"/>
    <w:rsid w:val="002E5114"/>
    <w:rsid w:val="002E6372"/>
    <w:rsid w:val="002E7570"/>
    <w:rsid w:val="002E764B"/>
    <w:rsid w:val="002F0E28"/>
    <w:rsid w:val="002F287E"/>
    <w:rsid w:val="002F2D63"/>
    <w:rsid w:val="002F7F81"/>
    <w:rsid w:val="00300A36"/>
    <w:rsid w:val="0030678B"/>
    <w:rsid w:val="00310CD7"/>
    <w:rsid w:val="00315138"/>
    <w:rsid w:val="0032136A"/>
    <w:rsid w:val="00323E70"/>
    <w:rsid w:val="00325BA2"/>
    <w:rsid w:val="00326F7F"/>
    <w:rsid w:val="003320E8"/>
    <w:rsid w:val="00335280"/>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14FE"/>
    <w:rsid w:val="003A27B2"/>
    <w:rsid w:val="003A40B4"/>
    <w:rsid w:val="003A41BA"/>
    <w:rsid w:val="003A6A99"/>
    <w:rsid w:val="003A7FF8"/>
    <w:rsid w:val="003B0CCA"/>
    <w:rsid w:val="003B17AC"/>
    <w:rsid w:val="003B21EE"/>
    <w:rsid w:val="003B227A"/>
    <w:rsid w:val="003B5854"/>
    <w:rsid w:val="003B6764"/>
    <w:rsid w:val="003B6956"/>
    <w:rsid w:val="003C6068"/>
    <w:rsid w:val="003C7913"/>
    <w:rsid w:val="003D0695"/>
    <w:rsid w:val="003D21EA"/>
    <w:rsid w:val="003D2BA3"/>
    <w:rsid w:val="003D3C22"/>
    <w:rsid w:val="003D7089"/>
    <w:rsid w:val="003D7DDB"/>
    <w:rsid w:val="003E02C7"/>
    <w:rsid w:val="003E0543"/>
    <w:rsid w:val="003E0B5A"/>
    <w:rsid w:val="003E0FC4"/>
    <w:rsid w:val="003E31E3"/>
    <w:rsid w:val="003E46D1"/>
    <w:rsid w:val="003F0CE0"/>
    <w:rsid w:val="003F58B0"/>
    <w:rsid w:val="004007E9"/>
    <w:rsid w:val="00401825"/>
    <w:rsid w:val="00401BBC"/>
    <w:rsid w:val="00403BFB"/>
    <w:rsid w:val="00404B45"/>
    <w:rsid w:val="00406CC5"/>
    <w:rsid w:val="004074A4"/>
    <w:rsid w:val="00407F18"/>
    <w:rsid w:val="004101B2"/>
    <w:rsid w:val="00411F2C"/>
    <w:rsid w:val="004123D7"/>
    <w:rsid w:val="00412658"/>
    <w:rsid w:val="004172DB"/>
    <w:rsid w:val="00421485"/>
    <w:rsid w:val="00421DA7"/>
    <w:rsid w:val="00422B75"/>
    <w:rsid w:val="00430430"/>
    <w:rsid w:val="00431B7F"/>
    <w:rsid w:val="00433F36"/>
    <w:rsid w:val="0043503A"/>
    <w:rsid w:val="004425B7"/>
    <w:rsid w:val="00442679"/>
    <w:rsid w:val="0044384F"/>
    <w:rsid w:val="00444F80"/>
    <w:rsid w:val="00446018"/>
    <w:rsid w:val="004543BC"/>
    <w:rsid w:val="0045645D"/>
    <w:rsid w:val="004574C6"/>
    <w:rsid w:val="00457BCF"/>
    <w:rsid w:val="00457DCE"/>
    <w:rsid w:val="00460E3F"/>
    <w:rsid w:val="00466CED"/>
    <w:rsid w:val="00466E27"/>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073A"/>
    <w:rsid w:val="004B2536"/>
    <w:rsid w:val="004B6AF3"/>
    <w:rsid w:val="004B715E"/>
    <w:rsid w:val="004B7169"/>
    <w:rsid w:val="004B79C9"/>
    <w:rsid w:val="004C0071"/>
    <w:rsid w:val="004C5E33"/>
    <w:rsid w:val="004C6CDA"/>
    <w:rsid w:val="004D10D4"/>
    <w:rsid w:val="004D16BD"/>
    <w:rsid w:val="004D2AAB"/>
    <w:rsid w:val="004D6F2B"/>
    <w:rsid w:val="004E0248"/>
    <w:rsid w:val="004E21A3"/>
    <w:rsid w:val="004E32EA"/>
    <w:rsid w:val="004E6866"/>
    <w:rsid w:val="004E71CD"/>
    <w:rsid w:val="004F3222"/>
    <w:rsid w:val="004F3BFA"/>
    <w:rsid w:val="005000AB"/>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2F46"/>
    <w:rsid w:val="005436C2"/>
    <w:rsid w:val="005442D4"/>
    <w:rsid w:val="0054586A"/>
    <w:rsid w:val="0054631F"/>
    <w:rsid w:val="0055288D"/>
    <w:rsid w:val="00555259"/>
    <w:rsid w:val="00560D57"/>
    <w:rsid w:val="00562A94"/>
    <w:rsid w:val="005709F7"/>
    <w:rsid w:val="005710A9"/>
    <w:rsid w:val="00571D1B"/>
    <w:rsid w:val="00574690"/>
    <w:rsid w:val="00574CFE"/>
    <w:rsid w:val="00584229"/>
    <w:rsid w:val="0058768C"/>
    <w:rsid w:val="00593043"/>
    <w:rsid w:val="0059581C"/>
    <w:rsid w:val="00595BF0"/>
    <w:rsid w:val="00595E26"/>
    <w:rsid w:val="005A1846"/>
    <w:rsid w:val="005A258C"/>
    <w:rsid w:val="005A3560"/>
    <w:rsid w:val="005A6C99"/>
    <w:rsid w:val="005A7D5D"/>
    <w:rsid w:val="005B011A"/>
    <w:rsid w:val="005B14FC"/>
    <w:rsid w:val="005B1D8F"/>
    <w:rsid w:val="005B1E94"/>
    <w:rsid w:val="005B5B3D"/>
    <w:rsid w:val="005C16F3"/>
    <w:rsid w:val="005C3758"/>
    <w:rsid w:val="005E2E25"/>
    <w:rsid w:val="005E3064"/>
    <w:rsid w:val="005E5A61"/>
    <w:rsid w:val="005E72B2"/>
    <w:rsid w:val="005F1115"/>
    <w:rsid w:val="005F1AB6"/>
    <w:rsid w:val="005F27F2"/>
    <w:rsid w:val="005F3AFE"/>
    <w:rsid w:val="005F424D"/>
    <w:rsid w:val="005F6B6D"/>
    <w:rsid w:val="00602009"/>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4770E"/>
    <w:rsid w:val="00653AF8"/>
    <w:rsid w:val="00653BF3"/>
    <w:rsid w:val="006573F2"/>
    <w:rsid w:val="00662F08"/>
    <w:rsid w:val="00663589"/>
    <w:rsid w:val="006708E3"/>
    <w:rsid w:val="00670DDC"/>
    <w:rsid w:val="00671EB4"/>
    <w:rsid w:val="0067443B"/>
    <w:rsid w:val="00680D15"/>
    <w:rsid w:val="00684E2B"/>
    <w:rsid w:val="00690FDA"/>
    <w:rsid w:val="00691E61"/>
    <w:rsid w:val="00693C5E"/>
    <w:rsid w:val="00694EEA"/>
    <w:rsid w:val="006955B4"/>
    <w:rsid w:val="00696476"/>
    <w:rsid w:val="006A10FA"/>
    <w:rsid w:val="006A1BC1"/>
    <w:rsid w:val="006A40E6"/>
    <w:rsid w:val="006A5C07"/>
    <w:rsid w:val="006A75FA"/>
    <w:rsid w:val="006B07D5"/>
    <w:rsid w:val="006B1309"/>
    <w:rsid w:val="006B2A43"/>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16ECF"/>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5AB8"/>
    <w:rsid w:val="007561F9"/>
    <w:rsid w:val="0076100C"/>
    <w:rsid w:val="007651ED"/>
    <w:rsid w:val="0076600A"/>
    <w:rsid w:val="00766C87"/>
    <w:rsid w:val="00781BD4"/>
    <w:rsid w:val="00781E20"/>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1F54"/>
    <w:rsid w:val="007B5C5C"/>
    <w:rsid w:val="007B7B37"/>
    <w:rsid w:val="007B7C41"/>
    <w:rsid w:val="007C433E"/>
    <w:rsid w:val="007C4452"/>
    <w:rsid w:val="007C4B3C"/>
    <w:rsid w:val="007C4DB1"/>
    <w:rsid w:val="007C6046"/>
    <w:rsid w:val="007C6E4A"/>
    <w:rsid w:val="007D0292"/>
    <w:rsid w:val="007D21AC"/>
    <w:rsid w:val="007D3882"/>
    <w:rsid w:val="007D568A"/>
    <w:rsid w:val="007D574E"/>
    <w:rsid w:val="007D6BFE"/>
    <w:rsid w:val="007E2046"/>
    <w:rsid w:val="007E29C8"/>
    <w:rsid w:val="007E3883"/>
    <w:rsid w:val="007E3F11"/>
    <w:rsid w:val="007E4FBB"/>
    <w:rsid w:val="007E55BF"/>
    <w:rsid w:val="007E71B1"/>
    <w:rsid w:val="007E7B4E"/>
    <w:rsid w:val="007F0CE2"/>
    <w:rsid w:val="007F0EFF"/>
    <w:rsid w:val="007F1375"/>
    <w:rsid w:val="007F1D94"/>
    <w:rsid w:val="007F2966"/>
    <w:rsid w:val="00803850"/>
    <w:rsid w:val="00804385"/>
    <w:rsid w:val="00805AFD"/>
    <w:rsid w:val="0080681F"/>
    <w:rsid w:val="008078D8"/>
    <w:rsid w:val="00811D5B"/>
    <w:rsid w:val="00813BAE"/>
    <w:rsid w:val="00815A63"/>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127"/>
    <w:rsid w:val="0085089F"/>
    <w:rsid w:val="0085166F"/>
    <w:rsid w:val="0085206E"/>
    <w:rsid w:val="00852AD4"/>
    <w:rsid w:val="00852BA8"/>
    <w:rsid w:val="00853718"/>
    <w:rsid w:val="008541EF"/>
    <w:rsid w:val="00856AC7"/>
    <w:rsid w:val="00856FA4"/>
    <w:rsid w:val="0086162B"/>
    <w:rsid w:val="00861D5C"/>
    <w:rsid w:val="0086349B"/>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2E"/>
    <w:rsid w:val="008B04DB"/>
    <w:rsid w:val="008B2339"/>
    <w:rsid w:val="008B27FD"/>
    <w:rsid w:val="008B3AF2"/>
    <w:rsid w:val="008B515D"/>
    <w:rsid w:val="008B5D31"/>
    <w:rsid w:val="008B6705"/>
    <w:rsid w:val="008C22F3"/>
    <w:rsid w:val="008C5D7E"/>
    <w:rsid w:val="008C7D95"/>
    <w:rsid w:val="008D795D"/>
    <w:rsid w:val="008D7B07"/>
    <w:rsid w:val="008E1E94"/>
    <w:rsid w:val="008E2D99"/>
    <w:rsid w:val="008E4A60"/>
    <w:rsid w:val="008E5102"/>
    <w:rsid w:val="008E744D"/>
    <w:rsid w:val="008F1E08"/>
    <w:rsid w:val="008F618D"/>
    <w:rsid w:val="00900D8F"/>
    <w:rsid w:val="009014E3"/>
    <w:rsid w:val="009026E8"/>
    <w:rsid w:val="00906EB7"/>
    <w:rsid w:val="009102BF"/>
    <w:rsid w:val="009115F2"/>
    <w:rsid w:val="00914ADB"/>
    <w:rsid w:val="00917097"/>
    <w:rsid w:val="00923B25"/>
    <w:rsid w:val="0092402E"/>
    <w:rsid w:val="009259BA"/>
    <w:rsid w:val="00926FCB"/>
    <w:rsid w:val="0093311A"/>
    <w:rsid w:val="00942645"/>
    <w:rsid w:val="00950A3A"/>
    <w:rsid w:val="0095340A"/>
    <w:rsid w:val="00954581"/>
    <w:rsid w:val="0095466C"/>
    <w:rsid w:val="00954E5B"/>
    <w:rsid w:val="0095581F"/>
    <w:rsid w:val="009576BC"/>
    <w:rsid w:val="00960357"/>
    <w:rsid w:val="0096168C"/>
    <w:rsid w:val="00961840"/>
    <w:rsid w:val="00962F2D"/>
    <w:rsid w:val="009672CD"/>
    <w:rsid w:val="00972996"/>
    <w:rsid w:val="00972C3F"/>
    <w:rsid w:val="009732B8"/>
    <w:rsid w:val="009735BC"/>
    <w:rsid w:val="00975C72"/>
    <w:rsid w:val="00976869"/>
    <w:rsid w:val="00977740"/>
    <w:rsid w:val="00977CB4"/>
    <w:rsid w:val="009809B8"/>
    <w:rsid w:val="0098128B"/>
    <w:rsid w:val="0098222D"/>
    <w:rsid w:val="00985099"/>
    <w:rsid w:val="0099421F"/>
    <w:rsid w:val="009A0DE3"/>
    <w:rsid w:val="009A1643"/>
    <w:rsid w:val="009A215A"/>
    <w:rsid w:val="009A4F1B"/>
    <w:rsid w:val="009A66C5"/>
    <w:rsid w:val="009A6968"/>
    <w:rsid w:val="009A79BA"/>
    <w:rsid w:val="009B04E4"/>
    <w:rsid w:val="009B14D1"/>
    <w:rsid w:val="009B1534"/>
    <w:rsid w:val="009B35CE"/>
    <w:rsid w:val="009B4A3B"/>
    <w:rsid w:val="009B69D3"/>
    <w:rsid w:val="009B7BA7"/>
    <w:rsid w:val="009C031E"/>
    <w:rsid w:val="009C0938"/>
    <w:rsid w:val="009C22C8"/>
    <w:rsid w:val="009C3F82"/>
    <w:rsid w:val="009C4CA0"/>
    <w:rsid w:val="009C72DD"/>
    <w:rsid w:val="009C7DF5"/>
    <w:rsid w:val="009D056C"/>
    <w:rsid w:val="009D060F"/>
    <w:rsid w:val="009D1ADE"/>
    <w:rsid w:val="009E09D0"/>
    <w:rsid w:val="009E1283"/>
    <w:rsid w:val="009E3A7F"/>
    <w:rsid w:val="009E57B1"/>
    <w:rsid w:val="009E6379"/>
    <w:rsid w:val="009F273C"/>
    <w:rsid w:val="009F7809"/>
    <w:rsid w:val="009F7AF5"/>
    <w:rsid w:val="00A00717"/>
    <w:rsid w:val="00A00D14"/>
    <w:rsid w:val="00A01408"/>
    <w:rsid w:val="00A02457"/>
    <w:rsid w:val="00A03190"/>
    <w:rsid w:val="00A0404B"/>
    <w:rsid w:val="00A0798C"/>
    <w:rsid w:val="00A07BDD"/>
    <w:rsid w:val="00A1105B"/>
    <w:rsid w:val="00A127BC"/>
    <w:rsid w:val="00A12D25"/>
    <w:rsid w:val="00A15B6B"/>
    <w:rsid w:val="00A15EB4"/>
    <w:rsid w:val="00A16876"/>
    <w:rsid w:val="00A200AA"/>
    <w:rsid w:val="00A20558"/>
    <w:rsid w:val="00A2186F"/>
    <w:rsid w:val="00A2270B"/>
    <w:rsid w:val="00A23B89"/>
    <w:rsid w:val="00A23FE3"/>
    <w:rsid w:val="00A248C3"/>
    <w:rsid w:val="00A2496E"/>
    <w:rsid w:val="00A258B7"/>
    <w:rsid w:val="00A32743"/>
    <w:rsid w:val="00A342FB"/>
    <w:rsid w:val="00A34485"/>
    <w:rsid w:val="00A414A9"/>
    <w:rsid w:val="00A44CCA"/>
    <w:rsid w:val="00A44D75"/>
    <w:rsid w:val="00A47CF1"/>
    <w:rsid w:val="00A47F7E"/>
    <w:rsid w:val="00A50418"/>
    <w:rsid w:val="00A5216B"/>
    <w:rsid w:val="00A53369"/>
    <w:rsid w:val="00A5404E"/>
    <w:rsid w:val="00A54A47"/>
    <w:rsid w:val="00A56D26"/>
    <w:rsid w:val="00A571A7"/>
    <w:rsid w:val="00A608FB"/>
    <w:rsid w:val="00A60D83"/>
    <w:rsid w:val="00A60F68"/>
    <w:rsid w:val="00A63DF3"/>
    <w:rsid w:val="00A65C78"/>
    <w:rsid w:val="00A660A8"/>
    <w:rsid w:val="00A663CD"/>
    <w:rsid w:val="00A67591"/>
    <w:rsid w:val="00A67CA6"/>
    <w:rsid w:val="00A70E7B"/>
    <w:rsid w:val="00A73B84"/>
    <w:rsid w:val="00A7411D"/>
    <w:rsid w:val="00A76094"/>
    <w:rsid w:val="00A768E2"/>
    <w:rsid w:val="00A81372"/>
    <w:rsid w:val="00A82C52"/>
    <w:rsid w:val="00A86CB6"/>
    <w:rsid w:val="00A8749A"/>
    <w:rsid w:val="00A90D55"/>
    <w:rsid w:val="00A944D8"/>
    <w:rsid w:val="00A959E7"/>
    <w:rsid w:val="00A95BBA"/>
    <w:rsid w:val="00A961EE"/>
    <w:rsid w:val="00A97E7B"/>
    <w:rsid w:val="00AA04B3"/>
    <w:rsid w:val="00AA1253"/>
    <w:rsid w:val="00AA28EF"/>
    <w:rsid w:val="00AA493E"/>
    <w:rsid w:val="00AA73AF"/>
    <w:rsid w:val="00AB1754"/>
    <w:rsid w:val="00AB27DD"/>
    <w:rsid w:val="00AB7B6A"/>
    <w:rsid w:val="00AC1D34"/>
    <w:rsid w:val="00AC36EB"/>
    <w:rsid w:val="00AC439D"/>
    <w:rsid w:val="00AC713F"/>
    <w:rsid w:val="00AD067E"/>
    <w:rsid w:val="00AD2801"/>
    <w:rsid w:val="00AD6870"/>
    <w:rsid w:val="00AD68C5"/>
    <w:rsid w:val="00AE1273"/>
    <w:rsid w:val="00AE2D29"/>
    <w:rsid w:val="00AE3385"/>
    <w:rsid w:val="00AE4624"/>
    <w:rsid w:val="00AE5E14"/>
    <w:rsid w:val="00AE6115"/>
    <w:rsid w:val="00AE625B"/>
    <w:rsid w:val="00AF1668"/>
    <w:rsid w:val="00AF45A0"/>
    <w:rsid w:val="00AF4FA5"/>
    <w:rsid w:val="00B0496F"/>
    <w:rsid w:val="00B07955"/>
    <w:rsid w:val="00B14FAA"/>
    <w:rsid w:val="00B15D30"/>
    <w:rsid w:val="00B20624"/>
    <w:rsid w:val="00B23436"/>
    <w:rsid w:val="00B26354"/>
    <w:rsid w:val="00B26CA0"/>
    <w:rsid w:val="00B32179"/>
    <w:rsid w:val="00B331A9"/>
    <w:rsid w:val="00B36569"/>
    <w:rsid w:val="00B37EFA"/>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0FD1"/>
    <w:rsid w:val="00BA1824"/>
    <w:rsid w:val="00BA2D98"/>
    <w:rsid w:val="00BA30D1"/>
    <w:rsid w:val="00BA4609"/>
    <w:rsid w:val="00BA4C7A"/>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E7A0A"/>
    <w:rsid w:val="00BF0B7F"/>
    <w:rsid w:val="00BF4720"/>
    <w:rsid w:val="00BF7B63"/>
    <w:rsid w:val="00C038EC"/>
    <w:rsid w:val="00C04CA2"/>
    <w:rsid w:val="00C05C6D"/>
    <w:rsid w:val="00C1122B"/>
    <w:rsid w:val="00C13B34"/>
    <w:rsid w:val="00C13F26"/>
    <w:rsid w:val="00C1495D"/>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3F50"/>
    <w:rsid w:val="00C71BEC"/>
    <w:rsid w:val="00C74529"/>
    <w:rsid w:val="00C74D3A"/>
    <w:rsid w:val="00C80511"/>
    <w:rsid w:val="00C826F5"/>
    <w:rsid w:val="00C83740"/>
    <w:rsid w:val="00C84AD1"/>
    <w:rsid w:val="00C85579"/>
    <w:rsid w:val="00C863E5"/>
    <w:rsid w:val="00C931FC"/>
    <w:rsid w:val="00C932C5"/>
    <w:rsid w:val="00C9650E"/>
    <w:rsid w:val="00CA068D"/>
    <w:rsid w:val="00CA1228"/>
    <w:rsid w:val="00CA1315"/>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403"/>
    <w:rsid w:val="00CF158D"/>
    <w:rsid w:val="00CF4394"/>
    <w:rsid w:val="00CF50C7"/>
    <w:rsid w:val="00CF5E0B"/>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1683"/>
    <w:rsid w:val="00D31CF8"/>
    <w:rsid w:val="00D336C8"/>
    <w:rsid w:val="00D339E8"/>
    <w:rsid w:val="00D3662E"/>
    <w:rsid w:val="00D40B1F"/>
    <w:rsid w:val="00D40D75"/>
    <w:rsid w:val="00D449F0"/>
    <w:rsid w:val="00D451C0"/>
    <w:rsid w:val="00D50C8C"/>
    <w:rsid w:val="00D51FF5"/>
    <w:rsid w:val="00D52393"/>
    <w:rsid w:val="00D523E4"/>
    <w:rsid w:val="00D5279D"/>
    <w:rsid w:val="00D52A1B"/>
    <w:rsid w:val="00D53F14"/>
    <w:rsid w:val="00D548AD"/>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D3B"/>
    <w:rsid w:val="00D910C2"/>
    <w:rsid w:val="00D9168C"/>
    <w:rsid w:val="00D9189B"/>
    <w:rsid w:val="00D91DA6"/>
    <w:rsid w:val="00D9706F"/>
    <w:rsid w:val="00D972D4"/>
    <w:rsid w:val="00DA195B"/>
    <w:rsid w:val="00DA6B55"/>
    <w:rsid w:val="00DB0015"/>
    <w:rsid w:val="00DB2AAD"/>
    <w:rsid w:val="00DB6119"/>
    <w:rsid w:val="00DB626D"/>
    <w:rsid w:val="00DB6365"/>
    <w:rsid w:val="00DC0BF1"/>
    <w:rsid w:val="00DC41C3"/>
    <w:rsid w:val="00DD1CA6"/>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632"/>
    <w:rsid w:val="00E43F59"/>
    <w:rsid w:val="00E464F0"/>
    <w:rsid w:val="00E50BEB"/>
    <w:rsid w:val="00E540F7"/>
    <w:rsid w:val="00E548FA"/>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12A"/>
    <w:rsid w:val="00EC58B4"/>
    <w:rsid w:val="00EC5BB2"/>
    <w:rsid w:val="00ED12F0"/>
    <w:rsid w:val="00ED2DD9"/>
    <w:rsid w:val="00ED4773"/>
    <w:rsid w:val="00ED594F"/>
    <w:rsid w:val="00ED664B"/>
    <w:rsid w:val="00ED6A61"/>
    <w:rsid w:val="00EE03BB"/>
    <w:rsid w:val="00EE0B44"/>
    <w:rsid w:val="00EE357E"/>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7E83"/>
    <w:rsid w:val="00F22A26"/>
    <w:rsid w:val="00F24072"/>
    <w:rsid w:val="00F262CF"/>
    <w:rsid w:val="00F26432"/>
    <w:rsid w:val="00F310CB"/>
    <w:rsid w:val="00F3197A"/>
    <w:rsid w:val="00F32139"/>
    <w:rsid w:val="00F3342B"/>
    <w:rsid w:val="00F33D56"/>
    <w:rsid w:val="00F345CB"/>
    <w:rsid w:val="00F34E08"/>
    <w:rsid w:val="00F41D91"/>
    <w:rsid w:val="00F42363"/>
    <w:rsid w:val="00F448E9"/>
    <w:rsid w:val="00F46964"/>
    <w:rsid w:val="00F46F9A"/>
    <w:rsid w:val="00F5126A"/>
    <w:rsid w:val="00F66181"/>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15B8"/>
    <w:rsid w:val="00FA2F7B"/>
    <w:rsid w:val="00FA5219"/>
    <w:rsid w:val="00FB09FE"/>
    <w:rsid w:val="00FB593A"/>
    <w:rsid w:val="00FB6410"/>
    <w:rsid w:val="00FB6E82"/>
    <w:rsid w:val="00FC0042"/>
    <w:rsid w:val="00FC056D"/>
    <w:rsid w:val="00FC2A13"/>
    <w:rsid w:val="00FC4284"/>
    <w:rsid w:val="00FC4576"/>
    <w:rsid w:val="00FC7DBC"/>
    <w:rsid w:val="00FD076A"/>
    <w:rsid w:val="00FD0AA0"/>
    <w:rsid w:val="00FD1D5A"/>
    <w:rsid w:val="00FD5059"/>
    <w:rsid w:val="00FD554D"/>
    <w:rsid w:val="00FD6FD6"/>
    <w:rsid w:val="00FD7C67"/>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95E2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277460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D9FF-D690-4ED5-BFBD-EB3445EF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2011-01-31T16:35:00Z</cp:lastPrinted>
  <dcterms:created xsi:type="dcterms:W3CDTF">2012-03-06T18:27:00Z</dcterms:created>
  <dcterms:modified xsi:type="dcterms:W3CDTF">2012-03-06T18:27:00Z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