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E0346A" w:rsidRDefault="00F629C0" w:rsidP="001C38AD">
      <w:pPr>
        <w:tabs>
          <w:tab w:val="left" w:pos="288"/>
          <w:tab w:val="left" w:pos="4752"/>
          <w:tab w:val="left" w:pos="60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1C38AD">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4B7CB5">
        <w:rPr>
          <w:rFonts w:asciiTheme="minorHAnsi" w:hAnsiTheme="minorHAnsi"/>
          <w:caps/>
          <w:color w:val="auto"/>
        </w:rPr>
        <w:t xml:space="preserve">                                       </w:t>
      </w:r>
      <w:r w:rsidR="001C38AD">
        <w:rPr>
          <w:rFonts w:asciiTheme="minorHAnsi" w:hAnsiTheme="minorHAnsi"/>
          <w:caps/>
          <w:color w:val="auto"/>
        </w:rPr>
        <w:tab/>
      </w:r>
      <w:r w:rsidR="001C38AD">
        <w:rPr>
          <w:rFonts w:asciiTheme="minorHAnsi" w:hAnsiTheme="minorHAnsi"/>
          <w:caps/>
          <w:color w:val="auto"/>
        </w:rPr>
        <w:tab/>
      </w:r>
      <w:r w:rsidR="004B7CB5">
        <w:rPr>
          <w:rFonts w:asciiTheme="minorHAnsi" w:hAnsiTheme="minorHAnsi"/>
          <w:caps/>
          <w:color w:val="auto"/>
        </w:rPr>
        <w:t xml:space="preserve"> </w:t>
      </w:r>
      <w:r w:rsidRPr="00FD6C41">
        <w:rPr>
          <w:rFonts w:asciiTheme="minorHAnsi" w:hAnsiTheme="minorHAnsi"/>
          <w:caps/>
          <w:color w:val="auto"/>
        </w:rPr>
        <w:t>BRANCH OF SERVICE</w:t>
      </w:r>
      <w:r w:rsidRPr="00816CCB">
        <w:rPr>
          <w:rFonts w:asciiTheme="minorHAnsi" w:hAnsiTheme="minorHAnsi"/>
          <w:caps/>
          <w:color w:val="auto"/>
        </w:rPr>
        <w:t>:</w:t>
      </w:r>
      <w:r w:rsidR="005710F8">
        <w:rPr>
          <w:rFonts w:asciiTheme="minorHAnsi" w:hAnsiTheme="minorHAnsi"/>
          <w:caps/>
          <w:color w:val="auto"/>
        </w:rPr>
        <w:t xml:space="preserve"> </w:t>
      </w:r>
      <w:r w:rsidRPr="00816CCB">
        <w:rPr>
          <w:rFonts w:asciiTheme="minorHAnsi" w:hAnsiTheme="minorHAnsi"/>
          <w:caps/>
          <w:color w:val="auto"/>
        </w:rPr>
        <w:t xml:space="preserve"> </w:t>
      </w:r>
      <w:r w:rsidR="00332DE3" w:rsidRPr="004B7CB5">
        <w:rPr>
          <w:rFonts w:asciiTheme="minorHAnsi" w:hAnsiTheme="minorHAnsi"/>
          <w:caps/>
          <w:color w:val="auto"/>
        </w:rPr>
        <w:t>air force</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4B7CB5">
        <w:rPr>
          <w:rFonts w:asciiTheme="minorHAnsi" w:hAnsiTheme="minorHAnsi"/>
          <w:caps/>
          <w:color w:val="auto"/>
        </w:rPr>
        <w:t>PD1000</w:t>
      </w:r>
      <w:r w:rsidR="004B7CB5">
        <w:rPr>
          <w:rFonts w:asciiTheme="minorHAnsi" w:hAnsiTheme="minorHAnsi"/>
          <w:caps/>
          <w:color w:val="auto"/>
        </w:rPr>
        <w:t>474</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E0346A">
        <w:rPr>
          <w:rFonts w:asciiTheme="minorHAnsi" w:hAnsiTheme="minorHAnsi"/>
          <w:color w:val="auto"/>
        </w:rPr>
        <w:t xml:space="preserve">                </w:t>
      </w:r>
      <w:r w:rsidR="005710F8">
        <w:rPr>
          <w:rFonts w:asciiTheme="minorHAnsi" w:hAnsiTheme="minorHAnsi"/>
          <w:color w:val="auto"/>
        </w:rPr>
        <w:t xml:space="preserve">    </w:t>
      </w:r>
      <w:r w:rsidR="00DE3AAD" w:rsidRPr="00DE3AAD">
        <w:rPr>
          <w:rFonts w:asciiTheme="minorHAnsi" w:hAnsiTheme="minorHAnsi"/>
          <w:color w:val="auto"/>
        </w:rPr>
        <w:t>SEPARATION DATE:  200</w:t>
      </w:r>
      <w:r w:rsidR="004B7CB5">
        <w:rPr>
          <w:rFonts w:asciiTheme="minorHAnsi" w:hAnsiTheme="minorHAnsi"/>
          <w:color w:val="auto"/>
        </w:rPr>
        <w:t>60306</w:t>
      </w:r>
    </w:p>
    <w:p w:rsidR="004F3639" w:rsidRPr="00FD6C41" w:rsidRDefault="004F3639" w:rsidP="00510F9C">
      <w:pPr>
        <w:tabs>
          <w:tab w:val="left" w:pos="288"/>
          <w:tab w:val="left" w:pos="5130"/>
        </w:tabs>
        <w:spacing w:line="240" w:lineRule="exact"/>
        <w:jc w:val="both"/>
        <w:rPr>
          <w:rFonts w:asciiTheme="minorHAnsi" w:hAnsiTheme="minorHAnsi"/>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366804">
        <w:rPr>
          <w:rFonts w:asciiTheme="minorHAnsi" w:hAnsiTheme="minorHAnsi"/>
          <w:caps/>
          <w:color w:val="auto"/>
        </w:rPr>
        <w:t>0727</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F7230B" w:rsidRDefault="00F7230B" w:rsidP="00510F9C">
      <w:pPr>
        <w:tabs>
          <w:tab w:val="left" w:pos="288"/>
          <w:tab w:val="left" w:pos="4752"/>
        </w:tabs>
        <w:spacing w:line="240" w:lineRule="exact"/>
        <w:jc w:val="both"/>
        <w:rPr>
          <w:rFonts w:asciiTheme="minorHAnsi" w:hAnsiTheme="minorHAnsi"/>
          <w:color w:val="auto"/>
          <w:u w:val="single"/>
        </w:rPr>
      </w:pPr>
    </w:p>
    <w:p w:rsidR="002F2981" w:rsidRDefault="00FB0E80" w:rsidP="00F7230B">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 xml:space="preserve">an </w:t>
      </w:r>
      <w:r w:rsidR="005710F8">
        <w:rPr>
          <w:rFonts w:asciiTheme="minorHAnsi" w:hAnsiTheme="minorHAnsi"/>
          <w:color w:val="auto"/>
          <w:szCs w:val="24"/>
        </w:rPr>
        <w:t>a</w:t>
      </w:r>
      <w:r w:rsidR="005710F8" w:rsidRPr="00AD7F8F">
        <w:rPr>
          <w:rFonts w:asciiTheme="minorHAnsi" w:hAnsiTheme="minorHAnsi"/>
          <w:color w:val="auto"/>
          <w:szCs w:val="24"/>
        </w:rPr>
        <w:t xml:space="preserve">ctive </w:t>
      </w:r>
      <w:r w:rsidR="005710F8">
        <w:rPr>
          <w:rFonts w:asciiTheme="minorHAnsi" w:hAnsiTheme="minorHAnsi"/>
          <w:color w:val="auto"/>
          <w:szCs w:val="24"/>
        </w:rPr>
        <w:t>d</w:t>
      </w:r>
      <w:r w:rsidR="005710F8" w:rsidRPr="00AD7F8F">
        <w:rPr>
          <w:rFonts w:asciiTheme="minorHAnsi" w:hAnsiTheme="minorHAnsi"/>
          <w:color w:val="auto"/>
          <w:szCs w:val="24"/>
        </w:rPr>
        <w:t xml:space="preserve">uty </w:t>
      </w:r>
      <w:r w:rsidR="004B7CB5">
        <w:rPr>
          <w:rFonts w:asciiTheme="minorHAnsi" w:hAnsiTheme="minorHAnsi"/>
          <w:color w:val="auto"/>
          <w:szCs w:val="24"/>
        </w:rPr>
        <w:t>S</w:t>
      </w:r>
      <w:r w:rsidR="005710F8">
        <w:rPr>
          <w:rFonts w:asciiTheme="minorHAnsi" w:hAnsiTheme="minorHAnsi"/>
          <w:color w:val="auto"/>
          <w:szCs w:val="24"/>
        </w:rPr>
        <w:t>enior Airman</w:t>
      </w:r>
      <w:r w:rsidR="004B7CB5">
        <w:rPr>
          <w:rFonts w:asciiTheme="minorHAnsi" w:hAnsiTheme="minorHAnsi"/>
          <w:color w:val="auto"/>
          <w:szCs w:val="24"/>
        </w:rPr>
        <w:t xml:space="preserve"> </w:t>
      </w:r>
      <w:r w:rsidR="00705C40" w:rsidRPr="00AD7F8F">
        <w:rPr>
          <w:rFonts w:asciiTheme="minorHAnsi" w:hAnsiTheme="minorHAnsi"/>
          <w:color w:val="auto"/>
          <w:szCs w:val="24"/>
        </w:rPr>
        <w:t>(</w:t>
      </w:r>
      <w:r w:rsidR="004B7CB5">
        <w:rPr>
          <w:rFonts w:asciiTheme="minorHAnsi" w:hAnsiTheme="minorHAnsi"/>
          <w:color w:val="auto"/>
          <w:szCs w:val="24"/>
        </w:rPr>
        <w:t>1A2X1</w:t>
      </w:r>
      <w:r w:rsidR="00C75F3D">
        <w:rPr>
          <w:rFonts w:asciiTheme="minorHAnsi" w:hAnsiTheme="minorHAnsi"/>
          <w:color w:val="auto"/>
          <w:szCs w:val="24"/>
        </w:rPr>
        <w:t xml:space="preserve">, </w:t>
      </w:r>
      <w:r w:rsidR="004B7CB5">
        <w:rPr>
          <w:rFonts w:asciiTheme="minorHAnsi" w:hAnsiTheme="minorHAnsi"/>
          <w:color w:val="auto"/>
          <w:szCs w:val="24"/>
        </w:rPr>
        <w:t>C5 Load</w:t>
      </w:r>
      <w:r w:rsidR="005710F8">
        <w:rPr>
          <w:rFonts w:asciiTheme="minorHAnsi" w:hAnsiTheme="minorHAnsi"/>
          <w:color w:val="auto"/>
          <w:szCs w:val="24"/>
        </w:rPr>
        <w:t>m</w:t>
      </w:r>
      <w:r w:rsidR="004B7CB5">
        <w:rPr>
          <w:rFonts w:asciiTheme="minorHAnsi" w:hAnsiTheme="minorHAnsi"/>
          <w:color w:val="auto"/>
          <w:szCs w:val="24"/>
        </w:rPr>
        <w:t>aster</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4B7CB5">
        <w:rPr>
          <w:rFonts w:asciiTheme="minorHAnsi" w:hAnsiTheme="minorHAnsi"/>
          <w:color w:val="auto"/>
          <w:szCs w:val="24"/>
        </w:rPr>
        <w:t>asthma</w:t>
      </w:r>
      <w:r w:rsidR="00F7230B">
        <w:rPr>
          <w:rFonts w:asciiTheme="minorHAnsi" w:hAnsiTheme="minorHAnsi"/>
          <w:i/>
          <w:color w:val="auto"/>
          <w:szCs w:val="24"/>
        </w:rPr>
        <w:t xml:space="preserve">.  </w:t>
      </w:r>
      <w:r w:rsidR="00E322F7" w:rsidRPr="00C472C7">
        <w:rPr>
          <w:rFonts w:asciiTheme="minorHAnsi" w:hAnsiTheme="minorHAnsi"/>
          <w:color w:val="auto"/>
          <w:szCs w:val="24"/>
        </w:rPr>
        <w:t xml:space="preserve">He did not respond adequately </w:t>
      </w:r>
      <w:r w:rsidR="00C75F3D" w:rsidRPr="00C472C7">
        <w:rPr>
          <w:rFonts w:asciiTheme="minorHAnsi" w:hAnsiTheme="minorHAnsi"/>
          <w:color w:val="auto"/>
          <w:szCs w:val="24"/>
        </w:rPr>
        <w:t xml:space="preserve">to treatment and was unable to </w:t>
      </w:r>
      <w:r w:rsidR="00E322F7" w:rsidRPr="00C472C7">
        <w:rPr>
          <w:rFonts w:asciiTheme="minorHAnsi" w:hAnsiTheme="minorHAnsi"/>
          <w:color w:val="auto"/>
          <w:szCs w:val="24"/>
        </w:rPr>
        <w:t xml:space="preserve">perform within his </w:t>
      </w:r>
      <w:r w:rsidR="009020ED" w:rsidRPr="008752AA">
        <w:rPr>
          <w:rFonts w:asciiTheme="minorHAnsi" w:hAnsiTheme="minorHAnsi"/>
          <w:color w:val="auto"/>
          <w:szCs w:val="24"/>
        </w:rPr>
        <w:t xml:space="preserve">Air Force </w:t>
      </w:r>
      <w:r w:rsidR="00A117ED">
        <w:rPr>
          <w:rFonts w:asciiTheme="minorHAnsi" w:hAnsiTheme="minorHAnsi"/>
          <w:color w:val="auto"/>
          <w:szCs w:val="24"/>
        </w:rPr>
        <w:t>Specialty</w:t>
      </w:r>
      <w:r w:rsidR="005710F8">
        <w:rPr>
          <w:rFonts w:asciiTheme="minorHAnsi" w:hAnsiTheme="minorHAnsi"/>
          <w:color w:val="auto"/>
          <w:szCs w:val="24"/>
        </w:rPr>
        <w:t xml:space="preserve"> </w:t>
      </w:r>
      <w:r w:rsidR="009020ED" w:rsidRPr="008752AA">
        <w:rPr>
          <w:rFonts w:asciiTheme="minorHAnsi" w:hAnsiTheme="minorHAnsi"/>
          <w:color w:val="auto"/>
          <w:szCs w:val="24"/>
        </w:rPr>
        <w:t xml:space="preserve">(AFS) </w:t>
      </w:r>
      <w:r w:rsidR="002752AE">
        <w:rPr>
          <w:rFonts w:asciiTheme="minorHAnsi" w:hAnsiTheme="minorHAnsi"/>
          <w:color w:val="auto"/>
          <w:szCs w:val="24"/>
        </w:rPr>
        <w:t xml:space="preserve">or </w:t>
      </w:r>
      <w:r w:rsidR="00A06CED">
        <w:rPr>
          <w:rFonts w:asciiTheme="minorHAnsi" w:hAnsiTheme="minorHAnsi"/>
          <w:color w:val="auto"/>
          <w:szCs w:val="24"/>
        </w:rPr>
        <w:t xml:space="preserve">to </w:t>
      </w:r>
      <w:r w:rsidR="002752AE">
        <w:rPr>
          <w:rFonts w:asciiTheme="minorHAnsi" w:hAnsiTheme="minorHAnsi"/>
          <w:color w:val="auto"/>
          <w:szCs w:val="24"/>
        </w:rPr>
        <w:t xml:space="preserve">meet </w:t>
      </w:r>
      <w:r w:rsidR="0044411E" w:rsidRPr="00C472C7">
        <w:rPr>
          <w:rFonts w:asciiTheme="minorHAnsi" w:hAnsiTheme="minorHAnsi"/>
          <w:color w:val="auto"/>
          <w:szCs w:val="24"/>
        </w:rPr>
        <w:t xml:space="preserve">physical fitness </w:t>
      </w:r>
      <w:r w:rsidR="002752AE">
        <w:rPr>
          <w:rFonts w:asciiTheme="minorHAnsi" w:hAnsiTheme="minorHAnsi"/>
          <w:color w:val="auto"/>
          <w:szCs w:val="24"/>
        </w:rPr>
        <w:t>standards</w:t>
      </w:r>
      <w:r w:rsidR="00555C66">
        <w:rPr>
          <w:rFonts w:asciiTheme="minorHAnsi" w:hAnsiTheme="minorHAnsi"/>
          <w:color w:val="auto"/>
          <w:szCs w:val="24"/>
        </w:rPr>
        <w:t xml:space="preserve">.  </w:t>
      </w:r>
      <w:r w:rsidR="00555C66" w:rsidRPr="00555C66">
        <w:rPr>
          <w:rFonts w:asciiTheme="minorHAnsi" w:hAnsiTheme="minorHAnsi"/>
          <w:color w:val="auto"/>
          <w:szCs w:val="24"/>
        </w:rPr>
        <w:t>He was issued</w:t>
      </w:r>
      <w:r w:rsidR="008752AA">
        <w:rPr>
          <w:rFonts w:asciiTheme="minorHAnsi" w:hAnsiTheme="minorHAnsi"/>
          <w:color w:val="auto"/>
          <w:szCs w:val="24"/>
        </w:rPr>
        <w:t xml:space="preserve"> a </w:t>
      </w:r>
      <w:r w:rsidR="004E4B32">
        <w:rPr>
          <w:rFonts w:asciiTheme="minorHAnsi" w:hAnsiTheme="minorHAnsi"/>
          <w:color w:val="auto"/>
          <w:szCs w:val="24"/>
        </w:rPr>
        <w:t>P4</w:t>
      </w:r>
      <w:r w:rsidR="008752AA">
        <w:rPr>
          <w:rFonts w:asciiTheme="minorHAnsi" w:hAnsiTheme="minorHAnsi"/>
          <w:color w:val="auto"/>
          <w:szCs w:val="24"/>
        </w:rPr>
        <w:t xml:space="preserve"> profile </w:t>
      </w:r>
      <w:r w:rsidR="00E322F7" w:rsidRPr="00C472C7">
        <w:rPr>
          <w:rFonts w:asciiTheme="minorHAnsi" w:hAnsiTheme="minorHAnsi"/>
          <w:color w:val="auto"/>
          <w:szCs w:val="24"/>
        </w:rPr>
        <w:t xml:space="preserve">and underwent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E322F7" w:rsidRPr="00C472C7">
        <w:rPr>
          <w:rFonts w:asciiTheme="minorHAnsi" w:hAnsiTheme="minorHAnsi"/>
          <w:color w:val="auto"/>
          <w:szCs w:val="24"/>
        </w:rPr>
        <w:t>.</w:t>
      </w:r>
      <w:r w:rsidR="008752AA">
        <w:rPr>
          <w:rFonts w:asciiTheme="minorHAnsi" w:hAnsiTheme="minorHAnsi"/>
          <w:color w:val="auto"/>
          <w:szCs w:val="24"/>
        </w:rPr>
        <w:t xml:space="preserve">  Asthma </w:t>
      </w:r>
      <w:r w:rsidR="000A33C8" w:rsidRPr="008752AA">
        <w:rPr>
          <w:rFonts w:asciiTheme="minorHAnsi" w:hAnsiTheme="minorHAnsi"/>
          <w:color w:val="auto"/>
          <w:szCs w:val="24"/>
        </w:rPr>
        <w:t>w</w:t>
      </w:r>
      <w:r w:rsidR="008752AA" w:rsidRPr="008752AA">
        <w:rPr>
          <w:rFonts w:asciiTheme="minorHAnsi" w:hAnsiTheme="minorHAnsi"/>
          <w:color w:val="auto"/>
          <w:szCs w:val="24"/>
        </w:rPr>
        <w:t>as</w:t>
      </w:r>
      <w:r w:rsidR="000A33C8" w:rsidRPr="008752AA">
        <w:rPr>
          <w:rFonts w:asciiTheme="minorHAnsi" w:hAnsiTheme="minorHAnsi"/>
          <w:color w:val="auto"/>
          <w:szCs w:val="24"/>
        </w:rPr>
        <w:t xml:space="preserve"> forwarded to the Physical Evaluation Board (PEB) as medically unacceptable IAW </w:t>
      </w:r>
      <w:r w:rsidR="00376E08" w:rsidRPr="008752AA">
        <w:rPr>
          <w:rFonts w:asciiTheme="minorHAnsi" w:hAnsiTheme="minorHAnsi"/>
          <w:color w:val="auto"/>
          <w:szCs w:val="24"/>
        </w:rPr>
        <w:t>AFI 48-123</w:t>
      </w:r>
      <w:r w:rsidR="00376E08" w:rsidRPr="00C472C7">
        <w:rPr>
          <w:rFonts w:asciiTheme="minorHAnsi" w:hAnsiTheme="minorHAnsi"/>
          <w:color w:val="auto"/>
          <w:szCs w:val="24"/>
        </w:rPr>
        <w:t>.</w:t>
      </w:r>
      <w:r w:rsidR="008752AA">
        <w:rPr>
          <w:rFonts w:asciiTheme="minorHAnsi" w:hAnsiTheme="minorHAnsi"/>
          <w:color w:val="auto"/>
          <w:szCs w:val="24"/>
        </w:rPr>
        <w:t xml:space="preserve">  </w:t>
      </w:r>
      <w:r w:rsidR="001A5E62" w:rsidRPr="00C472C7">
        <w:rPr>
          <w:rFonts w:asciiTheme="minorHAnsi" w:hAnsiTheme="minorHAnsi"/>
          <w:color w:val="auto"/>
          <w:szCs w:val="24"/>
        </w:rPr>
        <w:t>Other conditions included in the</w:t>
      </w:r>
      <w:r w:rsidR="00DC17F2">
        <w:rPr>
          <w:rFonts w:asciiTheme="minorHAnsi" w:hAnsiTheme="minorHAnsi"/>
          <w:color w:val="auto"/>
          <w:szCs w:val="24"/>
        </w:rPr>
        <w:t xml:space="preserve"> </w:t>
      </w:r>
      <w:r w:rsidR="00555C66" w:rsidRPr="00D93A41">
        <w:rPr>
          <w:rFonts w:asciiTheme="minorHAnsi" w:hAnsiTheme="minorHAnsi"/>
          <w:color w:val="auto"/>
          <w:szCs w:val="24"/>
        </w:rPr>
        <w:t>Disability Evaluation System (DES)</w:t>
      </w:r>
      <w:r w:rsidR="00555C66" w:rsidRPr="00555C66">
        <w:rPr>
          <w:rFonts w:asciiTheme="minorHAnsi" w:hAnsiTheme="minorHAnsi"/>
          <w:color w:val="auto"/>
          <w:szCs w:val="24"/>
        </w:rPr>
        <w:t xml:space="preserve"> </w:t>
      </w:r>
      <w:r w:rsidR="001A5E62" w:rsidRPr="00C472C7">
        <w:rPr>
          <w:rFonts w:asciiTheme="minorHAnsi" w:hAnsiTheme="minorHAnsi"/>
          <w:color w:val="auto"/>
          <w:szCs w:val="24"/>
        </w:rPr>
        <w:t>packet will be discussed below.</w:t>
      </w:r>
      <w:r w:rsidR="001A4523">
        <w:rPr>
          <w:rFonts w:asciiTheme="minorHAnsi" w:hAnsiTheme="minorHAnsi"/>
          <w:color w:val="auto"/>
          <w:szCs w:val="24"/>
        </w:rPr>
        <w:t xml:space="preserve"> </w:t>
      </w:r>
      <w:r w:rsidR="00CA3411">
        <w:rPr>
          <w:rFonts w:asciiTheme="minorHAnsi" w:hAnsiTheme="minorHAnsi"/>
          <w:color w:val="auto"/>
          <w:szCs w:val="24"/>
        </w:rPr>
        <w:t xml:space="preserve"> </w:t>
      </w:r>
      <w:r w:rsidR="00B20624" w:rsidRPr="00C472C7">
        <w:rPr>
          <w:rFonts w:asciiTheme="minorHAnsi" w:hAnsiTheme="minorHAnsi"/>
          <w:color w:val="auto"/>
          <w:szCs w:val="24"/>
        </w:rPr>
        <w:t xml:space="preserve">The </w:t>
      </w:r>
      <w:r w:rsidR="00C665FE">
        <w:rPr>
          <w:rFonts w:asciiTheme="minorHAnsi" w:hAnsiTheme="minorHAnsi"/>
          <w:color w:val="auto"/>
          <w:szCs w:val="24"/>
        </w:rPr>
        <w:t>I</w:t>
      </w:r>
      <w:r w:rsidR="00FB792E" w:rsidRPr="00C472C7">
        <w:rPr>
          <w:rFonts w:asciiTheme="minorHAnsi" w:hAnsiTheme="minorHAnsi"/>
          <w:color w:val="auto"/>
          <w:szCs w:val="24"/>
        </w:rPr>
        <w:t xml:space="preserve">nformal </w:t>
      </w:r>
      <w:r w:rsidR="00B20624" w:rsidRPr="00C472C7">
        <w:rPr>
          <w:rFonts w:asciiTheme="minorHAnsi" w:hAnsiTheme="minorHAnsi"/>
          <w:color w:val="auto"/>
          <w:szCs w:val="24"/>
        </w:rPr>
        <w:t>PEB</w:t>
      </w:r>
      <w:r w:rsidR="007828B4" w:rsidRPr="00C472C7">
        <w:rPr>
          <w:rFonts w:asciiTheme="minorHAnsi" w:hAnsiTheme="minorHAnsi"/>
          <w:color w:val="auto"/>
          <w:szCs w:val="24"/>
        </w:rPr>
        <w:t xml:space="preserve"> (IPEB)</w:t>
      </w:r>
      <w:r w:rsidR="00B20624" w:rsidRPr="00C472C7">
        <w:rPr>
          <w:rFonts w:asciiTheme="minorHAnsi" w:hAnsiTheme="minorHAnsi"/>
          <w:color w:val="auto"/>
          <w:szCs w:val="24"/>
        </w:rPr>
        <w:t xml:space="preserve"> adjudicated the </w:t>
      </w:r>
      <w:r w:rsidR="005710F8">
        <w:rPr>
          <w:rFonts w:asciiTheme="minorHAnsi" w:hAnsiTheme="minorHAnsi"/>
          <w:color w:val="auto"/>
          <w:szCs w:val="24"/>
        </w:rPr>
        <w:t>a</w:t>
      </w:r>
      <w:r w:rsidR="008752AA" w:rsidRPr="008752AA">
        <w:rPr>
          <w:rFonts w:asciiTheme="minorHAnsi" w:hAnsiTheme="minorHAnsi"/>
          <w:color w:val="auto"/>
          <w:szCs w:val="24"/>
        </w:rPr>
        <w:t>sthma</w:t>
      </w:r>
      <w:r w:rsidR="00B20624" w:rsidRPr="008752AA">
        <w:rPr>
          <w:rFonts w:asciiTheme="minorHAnsi" w:hAnsiTheme="minorHAnsi"/>
          <w:color w:val="auto"/>
          <w:szCs w:val="24"/>
        </w:rPr>
        <w:t xml:space="preserve"> condition as unfitting, rated </w:t>
      </w:r>
      <w:r w:rsidR="008752AA" w:rsidRPr="008752AA">
        <w:rPr>
          <w:rFonts w:asciiTheme="minorHAnsi" w:hAnsiTheme="minorHAnsi"/>
          <w:color w:val="auto"/>
          <w:szCs w:val="24"/>
        </w:rPr>
        <w:t>10</w:t>
      </w:r>
      <w:r w:rsidR="00B20624" w:rsidRPr="008752AA">
        <w:rPr>
          <w:rFonts w:asciiTheme="minorHAnsi" w:hAnsiTheme="minorHAnsi"/>
          <w:color w:val="auto"/>
          <w:szCs w:val="24"/>
        </w:rPr>
        <w:t>%</w:t>
      </w:r>
      <w:r w:rsidR="00B37345" w:rsidRPr="008752AA">
        <w:rPr>
          <w:rFonts w:asciiTheme="minorHAnsi" w:hAnsiTheme="minorHAnsi"/>
          <w:color w:val="auto"/>
          <w:szCs w:val="24"/>
        </w:rPr>
        <w:t xml:space="preserve"> </w:t>
      </w:r>
      <w:r w:rsidR="002A437F">
        <w:rPr>
          <w:rFonts w:asciiTheme="minorHAnsi" w:hAnsiTheme="minorHAnsi"/>
          <w:color w:val="auto"/>
          <w:szCs w:val="24"/>
        </w:rPr>
        <w:t xml:space="preserve">and seasonal allergic rhinitis (SAR) as a </w:t>
      </w:r>
      <w:r w:rsidR="005710F8">
        <w:rPr>
          <w:rFonts w:asciiTheme="minorHAnsi" w:hAnsiTheme="minorHAnsi"/>
          <w:color w:val="auto"/>
          <w:szCs w:val="24"/>
        </w:rPr>
        <w:t>c</w:t>
      </w:r>
      <w:r w:rsidR="002A437F">
        <w:rPr>
          <w:rFonts w:asciiTheme="minorHAnsi" w:hAnsiTheme="minorHAnsi"/>
          <w:color w:val="auto"/>
          <w:szCs w:val="24"/>
        </w:rPr>
        <w:t xml:space="preserve">ategory II condition </w:t>
      </w:r>
      <w:r w:rsidR="00B20624" w:rsidRPr="008752AA">
        <w:rPr>
          <w:rFonts w:asciiTheme="minorHAnsi" w:hAnsiTheme="minorHAnsi"/>
          <w:color w:val="auto"/>
          <w:szCs w:val="24"/>
        </w:rPr>
        <w:t>with application of the DoDI 1332.39</w:t>
      </w:r>
      <w:r w:rsidR="002B0204" w:rsidRPr="008752AA">
        <w:rPr>
          <w:rFonts w:asciiTheme="minorHAnsi" w:hAnsiTheme="minorHAnsi"/>
          <w:color w:val="auto"/>
          <w:szCs w:val="24"/>
        </w:rPr>
        <w:t xml:space="preserve"> and Veterans’ Administration Schedule for Rating Disabilities (VASRD)</w:t>
      </w:r>
      <w:r w:rsidR="003F1206" w:rsidRPr="008752AA">
        <w:rPr>
          <w:rFonts w:asciiTheme="minorHAnsi" w:hAnsiTheme="minorHAnsi"/>
          <w:color w:val="auto"/>
          <w:szCs w:val="24"/>
        </w:rPr>
        <w:t>,</w:t>
      </w:r>
      <w:r w:rsidR="00B20624" w:rsidRPr="008752AA">
        <w:rPr>
          <w:rFonts w:asciiTheme="minorHAnsi" w:hAnsiTheme="minorHAnsi"/>
          <w:color w:val="auto"/>
          <w:szCs w:val="24"/>
        </w:rPr>
        <w:t xml:space="preserve"> respectively.</w:t>
      </w:r>
      <w:r w:rsidR="008752AA">
        <w:rPr>
          <w:rFonts w:asciiTheme="minorHAnsi" w:hAnsiTheme="minorHAnsi"/>
          <w:color w:val="auto"/>
          <w:szCs w:val="24"/>
        </w:rPr>
        <w:t xml:space="preserve">  </w:t>
      </w:r>
      <w:r w:rsidR="00B20624" w:rsidRPr="00C472C7">
        <w:rPr>
          <w:rFonts w:asciiTheme="minorHAnsi" w:hAnsiTheme="minorHAnsi"/>
          <w:color w:val="auto"/>
        </w:rPr>
        <w:t xml:space="preserve">The CI </w:t>
      </w:r>
      <w:r w:rsidR="00800DE8">
        <w:rPr>
          <w:rFonts w:asciiTheme="minorHAnsi" w:hAnsiTheme="minorHAnsi"/>
          <w:color w:val="auto"/>
        </w:rPr>
        <w:t xml:space="preserve">initially requested and then waived an appeal to the Formal PEB.  He </w:t>
      </w:r>
      <w:r w:rsidR="00B20624" w:rsidRPr="00C472C7">
        <w:rPr>
          <w:rFonts w:asciiTheme="minorHAnsi" w:hAnsiTheme="minorHAnsi"/>
          <w:color w:val="auto"/>
        </w:rPr>
        <w:t xml:space="preserve">was medically separated with a </w:t>
      </w:r>
      <w:r w:rsidR="008752AA">
        <w:rPr>
          <w:rFonts w:asciiTheme="minorHAnsi" w:hAnsiTheme="minorHAnsi"/>
          <w:color w:val="auto"/>
        </w:rPr>
        <w:t>10</w:t>
      </w:r>
      <w:r w:rsidR="00B20624" w:rsidRPr="00C472C7">
        <w:rPr>
          <w:rFonts w:asciiTheme="minorHAnsi" w:hAnsiTheme="minorHAnsi"/>
          <w:color w:val="auto"/>
        </w:rPr>
        <w:t>% combined disability rating.</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612FB0" w:rsidRDefault="00612FB0" w:rsidP="00510F9C">
      <w:pPr>
        <w:tabs>
          <w:tab w:val="left" w:pos="288"/>
          <w:tab w:val="left" w:pos="4752"/>
        </w:tabs>
        <w:spacing w:line="240" w:lineRule="exact"/>
        <w:jc w:val="both"/>
        <w:rPr>
          <w:rFonts w:asciiTheme="minorHAnsi" w:hAnsiTheme="minorHAnsi"/>
          <w:color w:val="auto"/>
          <w:u w:val="single"/>
        </w:rPr>
      </w:pPr>
    </w:p>
    <w:p w:rsidR="005C4D72" w:rsidRPr="005C4D72" w:rsidRDefault="002C6E5B" w:rsidP="001A4523">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8752AA">
        <w:rPr>
          <w:rFonts w:asciiTheme="minorHAnsi" w:hAnsiTheme="minorHAnsi"/>
          <w:color w:val="auto"/>
        </w:rPr>
        <w:t xml:space="preserve">  “Unable to continue military career.”</w:t>
      </w:r>
      <w:r w:rsidR="001A4523">
        <w:rPr>
          <w:rFonts w:asciiTheme="minorHAnsi" w:hAnsiTheme="minorHAnsi"/>
          <w:color w:val="auto"/>
        </w:rPr>
        <w:t xml:space="preserve">  </w:t>
      </w:r>
      <w:r w:rsidR="00ED5284" w:rsidRPr="001A4523">
        <w:rPr>
          <w:rFonts w:eastAsiaTheme="minorHAnsi" w:cstheme="minorBidi"/>
          <w:color w:val="auto"/>
          <w:szCs w:val="24"/>
        </w:rPr>
        <w:t>He</w:t>
      </w:r>
      <w:r w:rsidR="00ED5284" w:rsidRPr="005C4D72">
        <w:rPr>
          <w:rFonts w:eastAsiaTheme="minorHAnsi" w:cstheme="minorBidi"/>
          <w:color w:val="auto"/>
          <w:szCs w:val="24"/>
        </w:rPr>
        <w:t xml:space="preserve"> elaborates no specific contentions regarding rating or coding and mentions no additionally contended conditions.</w:t>
      </w:r>
    </w:p>
    <w:p w:rsidR="003E1682" w:rsidRDefault="003E1682" w:rsidP="00510F9C">
      <w:pPr>
        <w:pBdr>
          <w:bottom w:val="single" w:sz="12" w:space="1" w:color="auto"/>
        </w:pBdr>
        <w:spacing w:line="240" w:lineRule="exact"/>
        <w:rPr>
          <w:rFonts w:asciiTheme="minorHAnsi" w:hAnsiTheme="minorHAnsi"/>
          <w:color w:val="auto"/>
          <w:u w:val="single"/>
        </w:rPr>
      </w:pPr>
    </w:p>
    <w:p w:rsidR="000024F5" w:rsidRDefault="000024F5"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9F6292" w:rsidRDefault="009F6292"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538"/>
        <w:gridCol w:w="990"/>
        <w:gridCol w:w="1080"/>
        <w:gridCol w:w="2088"/>
        <w:gridCol w:w="1062"/>
        <w:gridCol w:w="828"/>
        <w:gridCol w:w="990"/>
      </w:tblGrid>
      <w:tr w:rsidR="002B4E22" w:rsidRPr="009C1A8F" w:rsidTr="005710F8">
        <w:trPr>
          <w:trHeight w:val="233"/>
          <w:jc w:val="center"/>
        </w:trPr>
        <w:tc>
          <w:tcPr>
            <w:tcW w:w="4608" w:type="dxa"/>
            <w:gridSpan w:val="3"/>
            <w:tcBorders>
              <w:right w:val="thinThickThinSmallGap" w:sz="24" w:space="0" w:color="auto"/>
            </w:tcBorders>
            <w:shd w:val="clear" w:color="auto" w:fill="D9D9D9" w:themeFill="background1" w:themeFillShade="D9"/>
            <w:vAlign w:val="center"/>
          </w:tcPr>
          <w:p w:rsidR="002B4E22" w:rsidRPr="009C1A8F" w:rsidRDefault="00B731E4" w:rsidP="002D3E1F">
            <w:pPr>
              <w:spacing w:line="200" w:lineRule="exact"/>
              <w:contextualSpacing/>
              <w:jc w:val="center"/>
              <w:rPr>
                <w:b/>
                <w:color w:val="auto"/>
                <w:sz w:val="18"/>
                <w:szCs w:val="18"/>
              </w:rPr>
            </w:pPr>
            <w:r w:rsidRPr="009C1A8F">
              <w:rPr>
                <w:b/>
                <w:color w:val="auto"/>
                <w:sz w:val="18"/>
                <w:szCs w:val="18"/>
              </w:rPr>
              <w:t xml:space="preserve">Service </w:t>
            </w:r>
            <w:r w:rsidR="002D3E1F" w:rsidRPr="009C1A8F">
              <w:rPr>
                <w:b/>
                <w:color w:val="auto"/>
                <w:sz w:val="18"/>
                <w:szCs w:val="18"/>
              </w:rPr>
              <w:t>I</w:t>
            </w:r>
            <w:r w:rsidRPr="009C1A8F">
              <w:rPr>
                <w:b/>
                <w:color w:val="auto"/>
                <w:sz w:val="18"/>
                <w:szCs w:val="18"/>
              </w:rPr>
              <w:t>PEB – Dated 200</w:t>
            </w:r>
            <w:r w:rsidR="002D3E1F" w:rsidRPr="009C1A8F">
              <w:rPr>
                <w:b/>
                <w:color w:val="auto"/>
                <w:sz w:val="18"/>
                <w:szCs w:val="18"/>
              </w:rPr>
              <w:t>51213</w:t>
            </w:r>
          </w:p>
        </w:tc>
        <w:tc>
          <w:tcPr>
            <w:tcW w:w="4968" w:type="dxa"/>
            <w:gridSpan w:val="4"/>
            <w:tcBorders>
              <w:left w:val="thinThickThinSmallGap" w:sz="24" w:space="0" w:color="auto"/>
            </w:tcBorders>
            <w:shd w:val="clear" w:color="auto" w:fill="D9D9D9" w:themeFill="background1" w:themeFillShade="D9"/>
            <w:vAlign w:val="center"/>
          </w:tcPr>
          <w:p w:rsidR="002B4E22" w:rsidRPr="009C1A8F" w:rsidRDefault="002B4E22" w:rsidP="002D3E1F">
            <w:pPr>
              <w:spacing w:line="200" w:lineRule="exact"/>
              <w:contextualSpacing/>
              <w:jc w:val="center"/>
              <w:rPr>
                <w:b/>
                <w:color w:val="auto"/>
                <w:sz w:val="18"/>
                <w:szCs w:val="18"/>
              </w:rPr>
            </w:pPr>
            <w:r w:rsidRPr="009C1A8F">
              <w:rPr>
                <w:b/>
                <w:color w:val="auto"/>
                <w:sz w:val="18"/>
                <w:szCs w:val="18"/>
              </w:rPr>
              <w:t>VA (</w:t>
            </w:r>
            <w:r w:rsidR="002D3E1F" w:rsidRPr="009C1A8F">
              <w:rPr>
                <w:b/>
                <w:color w:val="auto"/>
                <w:sz w:val="18"/>
                <w:szCs w:val="18"/>
              </w:rPr>
              <w:t>10</w:t>
            </w:r>
            <w:r w:rsidR="0079154B" w:rsidRPr="009C1A8F">
              <w:rPr>
                <w:b/>
                <w:color w:val="auto"/>
                <w:sz w:val="18"/>
                <w:szCs w:val="18"/>
              </w:rPr>
              <w:t xml:space="preserve"> </w:t>
            </w:r>
            <w:r w:rsidRPr="009C1A8F">
              <w:rPr>
                <w:b/>
                <w:color w:val="auto"/>
                <w:sz w:val="18"/>
                <w:szCs w:val="18"/>
              </w:rPr>
              <w:t xml:space="preserve">Mo. After Separation) – All Effective Date </w:t>
            </w:r>
            <w:r w:rsidR="002D08F3" w:rsidRPr="009C1A8F">
              <w:rPr>
                <w:b/>
                <w:color w:val="auto"/>
                <w:sz w:val="18"/>
                <w:szCs w:val="18"/>
              </w:rPr>
              <w:t>200</w:t>
            </w:r>
            <w:r w:rsidR="002D3E1F" w:rsidRPr="009C1A8F">
              <w:rPr>
                <w:b/>
                <w:color w:val="auto"/>
                <w:sz w:val="18"/>
                <w:szCs w:val="18"/>
              </w:rPr>
              <w:t>60307</w:t>
            </w:r>
          </w:p>
        </w:tc>
      </w:tr>
      <w:tr w:rsidR="002B4E22" w:rsidRPr="009C1A8F" w:rsidTr="005710F8">
        <w:trPr>
          <w:trHeight w:val="278"/>
          <w:jc w:val="center"/>
        </w:trPr>
        <w:tc>
          <w:tcPr>
            <w:tcW w:w="2538" w:type="dxa"/>
            <w:tcBorders>
              <w:bottom w:val="single" w:sz="4" w:space="0" w:color="000000" w:themeColor="text1"/>
              <w:right w:val="single" w:sz="4" w:space="0" w:color="auto"/>
            </w:tcBorders>
            <w:shd w:val="clear" w:color="auto" w:fill="D9D9D9" w:themeFill="background1" w:themeFillShade="D9"/>
            <w:vAlign w:val="center"/>
          </w:tcPr>
          <w:p w:rsidR="002B4E22" w:rsidRPr="009C1A8F" w:rsidRDefault="002B4E22" w:rsidP="00B0472F">
            <w:pPr>
              <w:spacing w:line="200" w:lineRule="exact"/>
              <w:contextualSpacing/>
              <w:jc w:val="center"/>
              <w:rPr>
                <w:b/>
                <w:color w:val="auto"/>
                <w:sz w:val="18"/>
                <w:szCs w:val="18"/>
              </w:rPr>
            </w:pPr>
            <w:r w:rsidRPr="009C1A8F">
              <w:rPr>
                <w:b/>
                <w:color w:val="auto"/>
                <w:sz w:val="18"/>
                <w:szCs w:val="18"/>
              </w:rPr>
              <w:t>Condition</w:t>
            </w:r>
          </w:p>
        </w:tc>
        <w:tc>
          <w:tcPr>
            <w:tcW w:w="990" w:type="dxa"/>
            <w:tcBorders>
              <w:left w:val="single" w:sz="4" w:space="0" w:color="auto"/>
              <w:bottom w:val="single" w:sz="4" w:space="0" w:color="000000" w:themeColor="text1"/>
            </w:tcBorders>
            <w:shd w:val="clear" w:color="auto" w:fill="D9D9D9" w:themeFill="background1" w:themeFillShade="D9"/>
            <w:vAlign w:val="center"/>
          </w:tcPr>
          <w:p w:rsidR="002B4E22" w:rsidRPr="009C1A8F" w:rsidRDefault="002B4E22" w:rsidP="00B0472F">
            <w:pPr>
              <w:spacing w:line="200" w:lineRule="exact"/>
              <w:contextualSpacing/>
              <w:jc w:val="center"/>
              <w:rPr>
                <w:b/>
                <w:color w:val="auto"/>
                <w:sz w:val="18"/>
                <w:szCs w:val="18"/>
              </w:rPr>
            </w:pPr>
            <w:r w:rsidRPr="009C1A8F">
              <w:rPr>
                <w:b/>
                <w:color w:val="auto"/>
                <w:sz w:val="18"/>
                <w:szCs w:val="18"/>
              </w:rPr>
              <w:t>Code</w:t>
            </w:r>
          </w:p>
        </w:tc>
        <w:tc>
          <w:tcPr>
            <w:tcW w:w="108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9C1A8F" w:rsidRDefault="002B4E22" w:rsidP="00B0472F">
            <w:pPr>
              <w:spacing w:line="200" w:lineRule="exact"/>
              <w:contextualSpacing/>
              <w:jc w:val="center"/>
              <w:rPr>
                <w:b/>
                <w:color w:val="auto"/>
                <w:sz w:val="18"/>
                <w:szCs w:val="18"/>
              </w:rPr>
            </w:pPr>
            <w:r w:rsidRPr="009C1A8F">
              <w:rPr>
                <w:b/>
                <w:color w:val="auto"/>
                <w:sz w:val="18"/>
                <w:szCs w:val="18"/>
              </w:rPr>
              <w:t>Rating</w:t>
            </w:r>
          </w:p>
        </w:tc>
        <w:tc>
          <w:tcPr>
            <w:tcW w:w="208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9C1A8F" w:rsidRDefault="002B4E22" w:rsidP="00B0472F">
            <w:pPr>
              <w:spacing w:line="200" w:lineRule="exact"/>
              <w:contextualSpacing/>
              <w:jc w:val="center"/>
              <w:rPr>
                <w:b/>
                <w:color w:val="auto"/>
                <w:sz w:val="18"/>
                <w:szCs w:val="18"/>
              </w:rPr>
            </w:pPr>
            <w:r w:rsidRPr="009C1A8F">
              <w:rPr>
                <w:b/>
                <w:color w:val="auto"/>
                <w:sz w:val="18"/>
                <w:szCs w:val="18"/>
              </w:rPr>
              <w:t>Condition</w:t>
            </w:r>
          </w:p>
        </w:tc>
        <w:tc>
          <w:tcPr>
            <w:tcW w:w="1062" w:type="dxa"/>
            <w:tcBorders>
              <w:bottom w:val="single" w:sz="4" w:space="0" w:color="000000" w:themeColor="text1"/>
            </w:tcBorders>
            <w:shd w:val="clear" w:color="auto" w:fill="D9D9D9" w:themeFill="background1" w:themeFillShade="D9"/>
            <w:vAlign w:val="center"/>
          </w:tcPr>
          <w:p w:rsidR="002B4E22" w:rsidRPr="009C1A8F" w:rsidRDefault="002B4E22" w:rsidP="00B0472F">
            <w:pPr>
              <w:spacing w:line="200" w:lineRule="exact"/>
              <w:contextualSpacing/>
              <w:jc w:val="center"/>
              <w:rPr>
                <w:b/>
                <w:color w:val="auto"/>
                <w:sz w:val="18"/>
                <w:szCs w:val="18"/>
              </w:rPr>
            </w:pPr>
            <w:r w:rsidRPr="009C1A8F">
              <w:rPr>
                <w:b/>
                <w:color w:val="auto"/>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9C1A8F" w:rsidRDefault="002B4E22" w:rsidP="00B0472F">
            <w:pPr>
              <w:spacing w:line="200" w:lineRule="exact"/>
              <w:contextualSpacing/>
              <w:jc w:val="center"/>
              <w:rPr>
                <w:b/>
                <w:color w:val="auto"/>
                <w:sz w:val="18"/>
                <w:szCs w:val="18"/>
              </w:rPr>
            </w:pPr>
            <w:r w:rsidRPr="009C1A8F">
              <w:rPr>
                <w:b/>
                <w:color w:val="auto"/>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9C1A8F" w:rsidRDefault="002B4E22" w:rsidP="00B0472F">
            <w:pPr>
              <w:spacing w:line="200" w:lineRule="exact"/>
              <w:contextualSpacing/>
              <w:jc w:val="center"/>
              <w:rPr>
                <w:b/>
                <w:color w:val="auto"/>
                <w:sz w:val="18"/>
                <w:szCs w:val="18"/>
              </w:rPr>
            </w:pPr>
            <w:r w:rsidRPr="009C1A8F">
              <w:rPr>
                <w:b/>
                <w:color w:val="auto"/>
                <w:sz w:val="18"/>
                <w:szCs w:val="18"/>
              </w:rPr>
              <w:t>Exam</w:t>
            </w:r>
          </w:p>
        </w:tc>
      </w:tr>
      <w:tr w:rsidR="002D08F3" w:rsidRPr="009C1A8F" w:rsidTr="005710F8">
        <w:trPr>
          <w:trHeight w:val="287"/>
          <w:jc w:val="center"/>
        </w:trPr>
        <w:tc>
          <w:tcPr>
            <w:tcW w:w="2538" w:type="dxa"/>
            <w:tcBorders>
              <w:right w:val="single" w:sz="4" w:space="0" w:color="auto"/>
            </w:tcBorders>
            <w:shd w:val="clear" w:color="auto" w:fill="FFFFFF" w:themeFill="background1"/>
            <w:vAlign w:val="center"/>
          </w:tcPr>
          <w:p w:rsidR="002D08F3" w:rsidRPr="009C1A8F" w:rsidRDefault="001A4523" w:rsidP="00B0472F">
            <w:pPr>
              <w:spacing w:line="180" w:lineRule="exact"/>
              <w:contextualSpacing/>
              <w:rPr>
                <w:color w:val="auto"/>
                <w:sz w:val="18"/>
                <w:szCs w:val="18"/>
              </w:rPr>
            </w:pPr>
            <w:r w:rsidRPr="009C1A8F">
              <w:rPr>
                <w:color w:val="auto"/>
                <w:sz w:val="18"/>
                <w:szCs w:val="18"/>
              </w:rPr>
              <w:t>Asthma</w:t>
            </w:r>
          </w:p>
        </w:tc>
        <w:tc>
          <w:tcPr>
            <w:tcW w:w="990" w:type="dxa"/>
            <w:tcBorders>
              <w:left w:val="single" w:sz="4" w:space="0" w:color="auto"/>
            </w:tcBorders>
            <w:shd w:val="clear" w:color="auto" w:fill="FFFFFF" w:themeFill="background1"/>
            <w:vAlign w:val="center"/>
          </w:tcPr>
          <w:p w:rsidR="002D08F3" w:rsidRPr="009C1A8F" w:rsidRDefault="001A4523" w:rsidP="00B0472F">
            <w:pPr>
              <w:spacing w:line="180" w:lineRule="exact"/>
              <w:contextualSpacing/>
              <w:jc w:val="center"/>
              <w:rPr>
                <w:color w:val="auto"/>
                <w:sz w:val="18"/>
                <w:szCs w:val="18"/>
              </w:rPr>
            </w:pPr>
            <w:r w:rsidRPr="009C1A8F">
              <w:rPr>
                <w:color w:val="auto"/>
                <w:sz w:val="18"/>
                <w:szCs w:val="18"/>
              </w:rPr>
              <w:t>6602</w:t>
            </w:r>
          </w:p>
        </w:tc>
        <w:tc>
          <w:tcPr>
            <w:tcW w:w="1080" w:type="dxa"/>
            <w:tcBorders>
              <w:right w:val="thinThickThinSmallGap" w:sz="24" w:space="0" w:color="auto"/>
            </w:tcBorders>
            <w:shd w:val="clear" w:color="auto" w:fill="FFFFFF" w:themeFill="background1"/>
            <w:vAlign w:val="center"/>
          </w:tcPr>
          <w:p w:rsidR="002D08F3" w:rsidRPr="009C1A8F" w:rsidRDefault="001A4523" w:rsidP="00B0472F">
            <w:pPr>
              <w:spacing w:line="180" w:lineRule="exact"/>
              <w:contextualSpacing/>
              <w:jc w:val="center"/>
              <w:rPr>
                <w:color w:val="auto"/>
                <w:sz w:val="18"/>
                <w:szCs w:val="18"/>
                <w:highlight w:val="yellow"/>
              </w:rPr>
            </w:pPr>
            <w:r w:rsidRPr="009C1A8F">
              <w:rPr>
                <w:color w:val="auto"/>
                <w:sz w:val="18"/>
                <w:szCs w:val="18"/>
              </w:rPr>
              <w:t>10%</w:t>
            </w:r>
          </w:p>
        </w:tc>
        <w:tc>
          <w:tcPr>
            <w:tcW w:w="2088" w:type="dxa"/>
            <w:tcBorders>
              <w:left w:val="thinThickThinSmallGap" w:sz="24" w:space="0" w:color="auto"/>
            </w:tcBorders>
            <w:shd w:val="clear" w:color="auto" w:fill="FFFFFF" w:themeFill="background1"/>
            <w:vAlign w:val="center"/>
          </w:tcPr>
          <w:p w:rsidR="002D08F3" w:rsidRPr="009C1A8F" w:rsidRDefault="002D3E1F" w:rsidP="00B0472F">
            <w:pPr>
              <w:spacing w:line="180" w:lineRule="exact"/>
              <w:contextualSpacing/>
              <w:rPr>
                <w:color w:val="auto"/>
                <w:sz w:val="18"/>
                <w:szCs w:val="18"/>
              </w:rPr>
            </w:pPr>
            <w:r w:rsidRPr="009C1A8F">
              <w:rPr>
                <w:color w:val="auto"/>
                <w:sz w:val="18"/>
                <w:szCs w:val="18"/>
              </w:rPr>
              <w:t>Asthma</w:t>
            </w:r>
          </w:p>
        </w:tc>
        <w:tc>
          <w:tcPr>
            <w:tcW w:w="1062" w:type="dxa"/>
            <w:shd w:val="clear" w:color="auto" w:fill="FFFFFF" w:themeFill="background1"/>
            <w:vAlign w:val="center"/>
          </w:tcPr>
          <w:p w:rsidR="002D08F3" w:rsidRPr="009C1A8F" w:rsidRDefault="002D3E1F" w:rsidP="00B0472F">
            <w:pPr>
              <w:spacing w:line="180" w:lineRule="exact"/>
              <w:contextualSpacing/>
              <w:jc w:val="center"/>
              <w:rPr>
                <w:color w:val="auto"/>
                <w:sz w:val="18"/>
                <w:szCs w:val="18"/>
              </w:rPr>
            </w:pPr>
            <w:r w:rsidRPr="009C1A8F">
              <w:rPr>
                <w:color w:val="auto"/>
                <w:sz w:val="18"/>
                <w:szCs w:val="18"/>
              </w:rPr>
              <w:t>6602</w:t>
            </w:r>
          </w:p>
        </w:tc>
        <w:tc>
          <w:tcPr>
            <w:tcW w:w="828" w:type="dxa"/>
            <w:shd w:val="clear" w:color="auto" w:fill="FFFFFF" w:themeFill="background1"/>
            <w:vAlign w:val="center"/>
          </w:tcPr>
          <w:p w:rsidR="002D08F3" w:rsidRPr="009C1A8F" w:rsidRDefault="00A06CED" w:rsidP="00B0472F">
            <w:pPr>
              <w:spacing w:line="180" w:lineRule="exact"/>
              <w:contextualSpacing/>
              <w:jc w:val="center"/>
              <w:rPr>
                <w:color w:val="auto"/>
                <w:sz w:val="18"/>
                <w:szCs w:val="18"/>
              </w:rPr>
            </w:pPr>
            <w:r>
              <w:rPr>
                <w:color w:val="auto"/>
                <w:sz w:val="18"/>
                <w:szCs w:val="18"/>
              </w:rPr>
              <w:t>*</w:t>
            </w:r>
          </w:p>
        </w:tc>
        <w:tc>
          <w:tcPr>
            <w:tcW w:w="990" w:type="dxa"/>
            <w:shd w:val="clear" w:color="auto" w:fill="FFFFFF" w:themeFill="background1"/>
            <w:vAlign w:val="center"/>
          </w:tcPr>
          <w:p w:rsidR="002D08F3" w:rsidRPr="009C1A8F" w:rsidRDefault="002D3E1F" w:rsidP="002D3E1F">
            <w:pPr>
              <w:spacing w:line="180" w:lineRule="exact"/>
              <w:contextualSpacing/>
              <w:jc w:val="center"/>
              <w:rPr>
                <w:color w:val="auto"/>
                <w:sz w:val="18"/>
                <w:szCs w:val="18"/>
                <w:highlight w:val="yellow"/>
              </w:rPr>
            </w:pPr>
            <w:r w:rsidRPr="009C1A8F">
              <w:rPr>
                <w:color w:val="auto"/>
                <w:sz w:val="18"/>
                <w:szCs w:val="18"/>
              </w:rPr>
              <w:t>No Show</w:t>
            </w:r>
          </w:p>
        </w:tc>
      </w:tr>
      <w:tr w:rsidR="002D3E1F" w:rsidRPr="009C1A8F" w:rsidTr="005710F8">
        <w:trPr>
          <w:trHeight w:val="287"/>
          <w:jc w:val="center"/>
        </w:trPr>
        <w:tc>
          <w:tcPr>
            <w:tcW w:w="2538" w:type="dxa"/>
            <w:tcBorders>
              <w:right w:val="single" w:sz="4" w:space="0" w:color="auto"/>
            </w:tcBorders>
            <w:shd w:val="clear" w:color="auto" w:fill="FFFFFF" w:themeFill="background1"/>
            <w:vAlign w:val="center"/>
          </w:tcPr>
          <w:p w:rsidR="002D3E1F" w:rsidRPr="009C1A8F" w:rsidRDefault="002D3E1F" w:rsidP="00B0472F">
            <w:pPr>
              <w:spacing w:line="180" w:lineRule="exact"/>
              <w:contextualSpacing/>
              <w:rPr>
                <w:color w:val="auto"/>
                <w:sz w:val="18"/>
                <w:szCs w:val="18"/>
              </w:rPr>
            </w:pPr>
            <w:r w:rsidRPr="009C1A8F">
              <w:rPr>
                <w:color w:val="auto"/>
                <w:sz w:val="18"/>
                <w:szCs w:val="18"/>
              </w:rPr>
              <w:t>Seasonal Allergic Rhinitis</w:t>
            </w:r>
          </w:p>
        </w:tc>
        <w:tc>
          <w:tcPr>
            <w:tcW w:w="2070" w:type="dxa"/>
            <w:gridSpan w:val="2"/>
            <w:tcBorders>
              <w:left w:val="single" w:sz="4" w:space="0" w:color="auto"/>
              <w:right w:val="thinThickThinSmallGap" w:sz="24" w:space="0" w:color="auto"/>
            </w:tcBorders>
            <w:shd w:val="clear" w:color="auto" w:fill="FFFFFF" w:themeFill="background1"/>
            <w:vAlign w:val="center"/>
          </w:tcPr>
          <w:p w:rsidR="002D3E1F" w:rsidRPr="009C1A8F" w:rsidRDefault="002D3E1F" w:rsidP="00B0472F">
            <w:pPr>
              <w:spacing w:line="180" w:lineRule="exact"/>
              <w:contextualSpacing/>
              <w:jc w:val="center"/>
              <w:rPr>
                <w:color w:val="auto"/>
                <w:sz w:val="18"/>
                <w:szCs w:val="18"/>
                <w:highlight w:val="yellow"/>
              </w:rPr>
            </w:pPr>
            <w:r w:rsidRPr="009C1A8F">
              <w:rPr>
                <w:color w:val="auto"/>
                <w:sz w:val="18"/>
                <w:szCs w:val="18"/>
              </w:rPr>
              <w:t>CAT II</w:t>
            </w:r>
          </w:p>
        </w:tc>
        <w:tc>
          <w:tcPr>
            <w:tcW w:w="4968" w:type="dxa"/>
            <w:gridSpan w:val="4"/>
            <w:tcBorders>
              <w:left w:val="thinThickThinSmallGap" w:sz="24" w:space="0" w:color="auto"/>
            </w:tcBorders>
            <w:shd w:val="clear" w:color="auto" w:fill="FFFFFF" w:themeFill="background1"/>
            <w:vAlign w:val="center"/>
          </w:tcPr>
          <w:p w:rsidR="002D3E1F" w:rsidRPr="009C1A8F" w:rsidRDefault="002D3E1F" w:rsidP="00B0472F">
            <w:pPr>
              <w:spacing w:line="180" w:lineRule="exact"/>
              <w:contextualSpacing/>
              <w:jc w:val="center"/>
              <w:rPr>
                <w:color w:val="auto"/>
                <w:sz w:val="18"/>
                <w:szCs w:val="18"/>
                <w:highlight w:val="yellow"/>
              </w:rPr>
            </w:pPr>
            <w:r w:rsidRPr="009C1A8F">
              <w:rPr>
                <w:color w:val="auto"/>
                <w:sz w:val="18"/>
                <w:szCs w:val="18"/>
              </w:rPr>
              <w:t>Not Addressed By VA</w:t>
            </w:r>
          </w:p>
        </w:tc>
      </w:tr>
      <w:tr w:rsidR="007A65A9" w:rsidRPr="009C1A8F" w:rsidTr="005710F8">
        <w:trPr>
          <w:trHeight w:val="242"/>
          <w:jc w:val="center"/>
        </w:trPr>
        <w:tc>
          <w:tcPr>
            <w:tcW w:w="4608" w:type="dxa"/>
            <w:gridSpan w:val="3"/>
            <w:tcBorders>
              <w:right w:val="thinThickThinSmallGap" w:sz="24" w:space="0" w:color="auto"/>
            </w:tcBorders>
            <w:shd w:val="clear" w:color="auto" w:fill="D9D9D9" w:themeFill="background1" w:themeFillShade="D9"/>
            <w:vAlign w:val="center"/>
          </w:tcPr>
          <w:p w:rsidR="007A65A9" w:rsidRPr="009C1A8F" w:rsidRDefault="004E4B32" w:rsidP="00B0472F">
            <w:pPr>
              <w:spacing w:line="200" w:lineRule="exact"/>
              <w:contextualSpacing/>
              <w:jc w:val="center"/>
              <w:rPr>
                <w:b/>
                <w:color w:val="auto"/>
                <w:sz w:val="18"/>
                <w:szCs w:val="18"/>
              </w:rPr>
            </w:pPr>
            <w:r w:rsidRPr="009C1A8F">
              <w:rPr>
                <w:b/>
                <w:color w:val="auto"/>
                <w:sz w:val="18"/>
                <w:szCs w:val="18"/>
              </w:rPr>
              <w:t xml:space="preserve">Final </w:t>
            </w:r>
            <w:r w:rsidR="007A65A9" w:rsidRPr="009C1A8F">
              <w:rPr>
                <w:b/>
                <w:color w:val="auto"/>
                <w:sz w:val="18"/>
                <w:szCs w:val="18"/>
              </w:rPr>
              <w:t xml:space="preserve">Combined: </w:t>
            </w:r>
            <w:r w:rsidR="006458FD" w:rsidRPr="009C1A8F">
              <w:rPr>
                <w:b/>
                <w:color w:val="auto"/>
                <w:sz w:val="18"/>
                <w:szCs w:val="18"/>
              </w:rPr>
              <w:t xml:space="preserve"> </w:t>
            </w:r>
            <w:r w:rsidR="002D3E1F" w:rsidRPr="009C1A8F">
              <w:rPr>
                <w:b/>
                <w:color w:val="auto"/>
                <w:sz w:val="18"/>
                <w:szCs w:val="18"/>
              </w:rPr>
              <w:t>10</w:t>
            </w:r>
            <w:r w:rsidR="007A65A9" w:rsidRPr="009C1A8F">
              <w:rPr>
                <w:b/>
                <w:color w:val="auto"/>
                <w:sz w:val="18"/>
                <w:szCs w:val="18"/>
              </w:rPr>
              <w:t>%</w:t>
            </w:r>
          </w:p>
        </w:tc>
        <w:tc>
          <w:tcPr>
            <w:tcW w:w="4968" w:type="dxa"/>
            <w:gridSpan w:val="4"/>
            <w:tcBorders>
              <w:left w:val="thinThickThinSmallGap" w:sz="24" w:space="0" w:color="auto"/>
            </w:tcBorders>
            <w:shd w:val="clear" w:color="auto" w:fill="D9D9D9" w:themeFill="background1" w:themeFillShade="D9"/>
            <w:vAlign w:val="center"/>
          </w:tcPr>
          <w:p w:rsidR="007A65A9" w:rsidRPr="009C1A8F" w:rsidRDefault="004E4B32" w:rsidP="00B0472F">
            <w:pPr>
              <w:spacing w:line="200" w:lineRule="exact"/>
              <w:contextualSpacing/>
              <w:jc w:val="center"/>
              <w:rPr>
                <w:b/>
                <w:color w:val="auto"/>
                <w:sz w:val="18"/>
                <w:szCs w:val="18"/>
              </w:rPr>
            </w:pPr>
            <w:r w:rsidRPr="009C1A8F">
              <w:rPr>
                <w:b/>
                <w:color w:val="auto"/>
                <w:sz w:val="18"/>
                <w:szCs w:val="18"/>
              </w:rPr>
              <w:t xml:space="preserve">Total </w:t>
            </w:r>
            <w:r w:rsidR="007A65A9" w:rsidRPr="009C1A8F">
              <w:rPr>
                <w:b/>
                <w:color w:val="auto"/>
                <w:sz w:val="18"/>
                <w:szCs w:val="18"/>
              </w:rPr>
              <w:t xml:space="preserve">Combined:  </w:t>
            </w:r>
            <w:r w:rsidR="006F0F9C" w:rsidRPr="009C1A8F">
              <w:rPr>
                <w:b/>
                <w:color w:val="auto"/>
                <w:sz w:val="18"/>
                <w:szCs w:val="18"/>
              </w:rPr>
              <w:t>0</w:t>
            </w:r>
            <w:r w:rsidR="007A65A9" w:rsidRPr="009C1A8F">
              <w:rPr>
                <w:b/>
                <w:color w:val="auto"/>
                <w:sz w:val="18"/>
                <w:szCs w:val="18"/>
              </w:rPr>
              <w:t>%</w:t>
            </w:r>
          </w:p>
        </w:tc>
      </w:tr>
    </w:tbl>
    <w:p w:rsidR="009818AF" w:rsidRDefault="00A06CED" w:rsidP="00510F9C">
      <w:pPr>
        <w:spacing w:line="240" w:lineRule="exact"/>
        <w:rPr>
          <w:rFonts w:asciiTheme="minorHAnsi" w:hAnsiTheme="minorHAnsi"/>
          <w:color w:val="auto"/>
          <w:sz w:val="18"/>
          <w:szCs w:val="18"/>
        </w:rPr>
      </w:pPr>
      <w:r>
        <w:rPr>
          <w:rFonts w:asciiTheme="minorHAnsi" w:hAnsiTheme="minorHAnsi"/>
          <w:color w:val="auto"/>
          <w:sz w:val="18"/>
          <w:szCs w:val="18"/>
        </w:rPr>
        <w:t>*The VA c</w:t>
      </w:r>
      <w:r w:rsidR="009C1A8F" w:rsidRPr="009C1A8F">
        <w:rPr>
          <w:rFonts w:asciiTheme="minorHAnsi" w:hAnsiTheme="minorHAnsi"/>
          <w:color w:val="auto"/>
          <w:sz w:val="18"/>
          <w:szCs w:val="18"/>
        </w:rPr>
        <w:t>ould not rate</w:t>
      </w:r>
      <w:r>
        <w:rPr>
          <w:rFonts w:asciiTheme="minorHAnsi" w:hAnsiTheme="minorHAnsi"/>
          <w:color w:val="auto"/>
          <w:sz w:val="18"/>
          <w:szCs w:val="18"/>
        </w:rPr>
        <w:t xml:space="preserve"> condition as CI did not</w:t>
      </w:r>
      <w:r w:rsidR="009C1A8F" w:rsidRPr="009C1A8F">
        <w:rPr>
          <w:rFonts w:asciiTheme="minorHAnsi" w:hAnsiTheme="minorHAnsi"/>
          <w:color w:val="auto"/>
          <w:sz w:val="18"/>
          <w:szCs w:val="18"/>
        </w:rPr>
        <w:t xml:space="preserve"> </w:t>
      </w:r>
      <w:r>
        <w:rPr>
          <w:rFonts w:asciiTheme="minorHAnsi" w:hAnsiTheme="minorHAnsi"/>
          <w:color w:val="auto"/>
          <w:sz w:val="18"/>
          <w:szCs w:val="18"/>
        </w:rPr>
        <w:t>appear</w:t>
      </w:r>
      <w:r w:rsidR="009C1A8F" w:rsidRPr="009C1A8F">
        <w:rPr>
          <w:rFonts w:asciiTheme="minorHAnsi" w:hAnsiTheme="minorHAnsi"/>
          <w:color w:val="auto"/>
          <w:sz w:val="18"/>
          <w:szCs w:val="18"/>
        </w:rPr>
        <w:t xml:space="preserve"> for examination</w:t>
      </w:r>
      <w:r>
        <w:rPr>
          <w:rFonts w:asciiTheme="minorHAnsi" w:hAnsiTheme="minorHAnsi"/>
          <w:color w:val="auto"/>
          <w:sz w:val="18"/>
          <w:szCs w:val="18"/>
        </w:rPr>
        <w:t>.</w:t>
      </w:r>
    </w:p>
    <w:p w:rsidR="009C1A8F" w:rsidRPr="009C1A8F" w:rsidRDefault="009C1A8F" w:rsidP="00510F9C">
      <w:pPr>
        <w:spacing w:line="240" w:lineRule="exact"/>
        <w:rPr>
          <w:rFonts w:asciiTheme="minorHAnsi" w:hAnsiTheme="minorHAnsi"/>
          <w:color w:val="auto"/>
          <w:sz w:val="18"/>
          <w:szCs w:val="18"/>
        </w:rPr>
      </w:pPr>
    </w:p>
    <w:p w:rsidR="007727B2" w:rsidRDefault="002C6E5B" w:rsidP="003739F8">
      <w:pPr>
        <w:autoSpaceDE w:val="0"/>
        <w:autoSpaceDN w:val="0"/>
        <w:adjustRightInd w:val="0"/>
        <w:spacing w:line="240" w:lineRule="exact"/>
        <w:jc w:val="both"/>
        <w:rPr>
          <w:color w:val="auto"/>
          <w:szCs w:val="24"/>
        </w:rPr>
      </w:pPr>
      <w:r w:rsidRPr="002918AE">
        <w:rPr>
          <w:color w:val="auto"/>
          <w:szCs w:val="24"/>
          <w:u w:val="single"/>
        </w:rPr>
        <w:t>ANALYSIS SUMMARY</w:t>
      </w:r>
      <w:r w:rsidRPr="002918AE">
        <w:rPr>
          <w:color w:val="auto"/>
          <w:szCs w:val="24"/>
        </w:rPr>
        <w:t>:</w:t>
      </w:r>
      <w:r w:rsidR="0019113D" w:rsidRPr="002918AE">
        <w:rPr>
          <w:color w:val="auto"/>
          <w:szCs w:val="24"/>
        </w:rPr>
        <w:t xml:space="preserve">  </w:t>
      </w:r>
    </w:p>
    <w:p w:rsidR="007727B2" w:rsidRDefault="007727B2" w:rsidP="003739F8">
      <w:pPr>
        <w:autoSpaceDE w:val="0"/>
        <w:autoSpaceDN w:val="0"/>
        <w:adjustRightInd w:val="0"/>
        <w:spacing w:line="240" w:lineRule="exact"/>
        <w:jc w:val="both"/>
        <w:rPr>
          <w:color w:val="auto"/>
          <w:szCs w:val="24"/>
        </w:rPr>
      </w:pPr>
    </w:p>
    <w:p w:rsidR="00DF35DD" w:rsidRPr="003739F8" w:rsidRDefault="004E4B32" w:rsidP="003739F8">
      <w:pPr>
        <w:autoSpaceDE w:val="0"/>
        <w:autoSpaceDN w:val="0"/>
        <w:adjustRightInd w:val="0"/>
        <w:spacing w:line="240" w:lineRule="exact"/>
        <w:jc w:val="both"/>
        <w:rPr>
          <w:color w:val="auto"/>
          <w:szCs w:val="24"/>
        </w:rPr>
      </w:pPr>
      <w:proofErr w:type="gramStart"/>
      <w:r w:rsidRPr="007D3F86">
        <w:rPr>
          <w:rFonts w:asciiTheme="minorHAnsi" w:hAnsiTheme="minorHAnsi"/>
          <w:color w:val="auto"/>
          <w:u w:val="single"/>
        </w:rPr>
        <w:t>Asthma</w:t>
      </w:r>
      <w:r w:rsidR="004C60A3" w:rsidRPr="007D3F86">
        <w:rPr>
          <w:rFonts w:asciiTheme="minorHAnsi" w:hAnsiTheme="minorHAnsi"/>
          <w:color w:val="auto"/>
        </w:rPr>
        <w:t>.</w:t>
      </w:r>
      <w:proofErr w:type="gramEnd"/>
      <w:r w:rsidR="00A06CED">
        <w:rPr>
          <w:rFonts w:asciiTheme="minorHAnsi" w:hAnsiTheme="minorHAnsi"/>
          <w:color w:val="auto"/>
        </w:rPr>
        <w:t xml:space="preserve">  </w:t>
      </w:r>
      <w:r w:rsidR="00F564A2">
        <w:rPr>
          <w:rFonts w:asciiTheme="minorHAnsi" w:hAnsiTheme="minorHAnsi"/>
          <w:color w:val="auto"/>
        </w:rPr>
        <w:t>O</w:t>
      </w:r>
      <w:r w:rsidRPr="007D3F86">
        <w:rPr>
          <w:rFonts w:asciiTheme="minorHAnsi" w:hAnsiTheme="minorHAnsi"/>
          <w:color w:val="auto"/>
        </w:rPr>
        <w:t xml:space="preserve">ne year prior to separation </w:t>
      </w:r>
      <w:r w:rsidR="00F564A2">
        <w:rPr>
          <w:rFonts w:asciiTheme="minorHAnsi" w:hAnsiTheme="minorHAnsi"/>
          <w:color w:val="auto"/>
        </w:rPr>
        <w:t xml:space="preserve">the CI had </w:t>
      </w:r>
      <w:r w:rsidRPr="007D3F86">
        <w:rPr>
          <w:rFonts w:asciiTheme="minorHAnsi" w:hAnsiTheme="minorHAnsi"/>
          <w:color w:val="auto"/>
        </w:rPr>
        <w:t xml:space="preserve">recurrent chest tightness and </w:t>
      </w:r>
      <w:r w:rsidR="005710F8">
        <w:rPr>
          <w:rFonts w:asciiTheme="minorHAnsi" w:hAnsiTheme="minorHAnsi"/>
          <w:color w:val="auto"/>
        </w:rPr>
        <w:t>shortness of breath</w:t>
      </w:r>
      <w:r w:rsidRPr="007D3F86">
        <w:rPr>
          <w:rFonts w:asciiTheme="minorHAnsi" w:hAnsiTheme="minorHAnsi"/>
          <w:color w:val="auto"/>
        </w:rPr>
        <w:t xml:space="preserve"> for </w:t>
      </w:r>
      <w:r w:rsidR="003739F8">
        <w:rPr>
          <w:rFonts w:asciiTheme="minorHAnsi" w:hAnsiTheme="minorHAnsi"/>
          <w:color w:val="auto"/>
        </w:rPr>
        <w:t xml:space="preserve">the previous </w:t>
      </w:r>
      <w:r w:rsidR="005710F8">
        <w:rPr>
          <w:rFonts w:asciiTheme="minorHAnsi" w:hAnsiTheme="minorHAnsi"/>
          <w:color w:val="auto"/>
        </w:rPr>
        <w:t>two to three</w:t>
      </w:r>
      <w:r w:rsidRPr="007D3F86">
        <w:rPr>
          <w:rFonts w:asciiTheme="minorHAnsi" w:hAnsiTheme="minorHAnsi"/>
          <w:color w:val="auto"/>
        </w:rPr>
        <w:t xml:space="preserve"> years.  Triggers included cats, grass</w:t>
      </w:r>
      <w:r w:rsidR="00F564A2">
        <w:rPr>
          <w:rFonts w:asciiTheme="minorHAnsi" w:hAnsiTheme="minorHAnsi"/>
          <w:color w:val="auto"/>
        </w:rPr>
        <w:t xml:space="preserve">, exercise, and </w:t>
      </w:r>
      <w:r w:rsidRPr="007D3F86">
        <w:rPr>
          <w:rFonts w:asciiTheme="minorHAnsi" w:hAnsiTheme="minorHAnsi"/>
          <w:color w:val="auto"/>
        </w:rPr>
        <w:t xml:space="preserve">seasonal aggravation.  </w:t>
      </w:r>
      <w:r w:rsidR="003739F8">
        <w:rPr>
          <w:rFonts w:asciiTheme="minorHAnsi" w:hAnsiTheme="minorHAnsi"/>
          <w:color w:val="auto"/>
        </w:rPr>
        <w:t>He was</w:t>
      </w:r>
      <w:r w:rsidRPr="007D3F86">
        <w:rPr>
          <w:rFonts w:asciiTheme="minorHAnsi" w:hAnsiTheme="minorHAnsi"/>
          <w:color w:val="auto"/>
        </w:rPr>
        <w:t xml:space="preserve"> diagnosed with moderate, persistent asthma </w:t>
      </w:r>
      <w:r w:rsidR="00CA3411">
        <w:rPr>
          <w:rFonts w:asciiTheme="minorHAnsi" w:hAnsiTheme="minorHAnsi"/>
          <w:color w:val="auto"/>
        </w:rPr>
        <w:t xml:space="preserve">based </w:t>
      </w:r>
      <w:r w:rsidR="003739F8">
        <w:rPr>
          <w:rFonts w:asciiTheme="minorHAnsi" w:hAnsiTheme="minorHAnsi"/>
          <w:color w:val="auto"/>
        </w:rPr>
        <w:t>up</w:t>
      </w:r>
      <w:r w:rsidR="00CA3411">
        <w:rPr>
          <w:rFonts w:asciiTheme="minorHAnsi" w:hAnsiTheme="minorHAnsi"/>
          <w:color w:val="auto"/>
        </w:rPr>
        <w:t>on</w:t>
      </w:r>
      <w:r w:rsidRPr="007D3F86">
        <w:rPr>
          <w:rFonts w:asciiTheme="minorHAnsi" w:hAnsiTheme="minorHAnsi"/>
          <w:color w:val="auto"/>
        </w:rPr>
        <w:t xml:space="preserve"> a positive bronchodilator response, </w:t>
      </w:r>
      <w:r w:rsidR="003739F8">
        <w:rPr>
          <w:rFonts w:asciiTheme="minorHAnsi" w:hAnsiTheme="minorHAnsi"/>
          <w:color w:val="auto"/>
        </w:rPr>
        <w:t xml:space="preserve">to </w:t>
      </w:r>
      <w:proofErr w:type="spellStart"/>
      <w:r w:rsidR="005710F8">
        <w:rPr>
          <w:rFonts w:asciiTheme="minorHAnsi" w:hAnsiTheme="minorHAnsi"/>
          <w:color w:val="auto"/>
        </w:rPr>
        <w:t>m</w:t>
      </w:r>
      <w:r w:rsidRPr="007D3F86">
        <w:rPr>
          <w:rFonts w:asciiTheme="minorHAnsi" w:hAnsiTheme="minorHAnsi"/>
          <w:color w:val="auto"/>
        </w:rPr>
        <w:t>ethacholine</w:t>
      </w:r>
      <w:proofErr w:type="spellEnd"/>
      <w:r w:rsidRPr="007D3F86">
        <w:rPr>
          <w:rFonts w:asciiTheme="minorHAnsi" w:hAnsiTheme="minorHAnsi"/>
          <w:color w:val="auto"/>
        </w:rPr>
        <w:t xml:space="preserve"> challenge</w:t>
      </w:r>
      <w:r w:rsidR="005710F8">
        <w:rPr>
          <w:rFonts w:asciiTheme="minorHAnsi" w:hAnsiTheme="minorHAnsi"/>
          <w:color w:val="auto"/>
        </w:rPr>
        <w:t>,</w:t>
      </w:r>
      <w:r w:rsidRPr="007D3F86">
        <w:rPr>
          <w:rFonts w:asciiTheme="minorHAnsi" w:hAnsiTheme="minorHAnsi"/>
          <w:color w:val="auto"/>
        </w:rPr>
        <w:t xml:space="preserve"> and </w:t>
      </w:r>
      <w:r w:rsidR="003739F8">
        <w:rPr>
          <w:rFonts w:asciiTheme="minorHAnsi" w:hAnsiTheme="minorHAnsi"/>
          <w:color w:val="auto"/>
        </w:rPr>
        <w:t xml:space="preserve">due to </w:t>
      </w:r>
      <w:r w:rsidRPr="007D3F86">
        <w:rPr>
          <w:rFonts w:asciiTheme="minorHAnsi" w:hAnsiTheme="minorHAnsi"/>
          <w:color w:val="auto"/>
        </w:rPr>
        <w:t>persistent symptoms</w:t>
      </w:r>
      <w:r w:rsidR="005710F8">
        <w:rPr>
          <w:rFonts w:asciiTheme="minorHAnsi" w:hAnsiTheme="minorHAnsi"/>
          <w:color w:val="auto"/>
        </w:rPr>
        <w:t>,</w:t>
      </w:r>
      <w:r w:rsidRPr="007D3F86">
        <w:rPr>
          <w:rFonts w:asciiTheme="minorHAnsi" w:hAnsiTheme="minorHAnsi"/>
          <w:color w:val="auto"/>
        </w:rPr>
        <w:t xml:space="preserve"> despite therapy.  </w:t>
      </w:r>
      <w:r w:rsidR="003739F8">
        <w:rPr>
          <w:rFonts w:asciiTheme="minorHAnsi" w:hAnsiTheme="minorHAnsi"/>
          <w:color w:val="auto"/>
        </w:rPr>
        <w:t xml:space="preserve">Pulmonary </w:t>
      </w:r>
      <w:r w:rsidR="005710F8">
        <w:rPr>
          <w:rFonts w:asciiTheme="minorHAnsi" w:hAnsiTheme="minorHAnsi"/>
          <w:color w:val="auto"/>
        </w:rPr>
        <w:t xml:space="preserve">function testing (PFT) </w:t>
      </w:r>
      <w:r w:rsidR="003739F8">
        <w:rPr>
          <w:rFonts w:asciiTheme="minorHAnsi" w:hAnsiTheme="minorHAnsi"/>
          <w:color w:val="auto"/>
        </w:rPr>
        <w:t>is summarized in the chart below:</w:t>
      </w:r>
      <w:r w:rsidRPr="007D3F86">
        <w:rPr>
          <w:rFonts w:asciiTheme="minorHAnsi" w:hAnsiTheme="minorHAnsi"/>
          <w:color w:val="auto"/>
        </w:rPr>
        <w:t xml:space="preserve"> </w:t>
      </w:r>
    </w:p>
    <w:p w:rsidR="003739F8" w:rsidRDefault="003739F8" w:rsidP="007D3F86">
      <w:pPr>
        <w:pStyle w:val="Default"/>
        <w:spacing w:line="240" w:lineRule="exact"/>
        <w:jc w:val="both"/>
        <w:rPr>
          <w:rFonts w:asciiTheme="minorHAnsi" w:eastAsia="HiddenHorzOCR" w:hAnsiTheme="minorHAnsi"/>
          <w:color w:val="auto"/>
        </w:rPr>
      </w:pPr>
    </w:p>
    <w:tbl>
      <w:tblPr>
        <w:tblW w:w="0" w:type="auto"/>
        <w:jc w:val="center"/>
        <w:tblInd w:w="-1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499"/>
        <w:gridCol w:w="1440"/>
        <w:gridCol w:w="1440"/>
        <w:gridCol w:w="1620"/>
      </w:tblGrid>
      <w:tr w:rsidR="007E6EF7" w:rsidRPr="002922AA" w:rsidTr="005710F8">
        <w:trPr>
          <w:trHeight w:val="377"/>
          <w:jc w:val="center"/>
        </w:trPr>
        <w:tc>
          <w:tcPr>
            <w:tcW w:w="1980" w:type="dxa"/>
            <w:shd w:val="clear" w:color="000000" w:fill="D8D8D8"/>
            <w:noWrap/>
            <w:vAlign w:val="center"/>
            <w:hideMark/>
          </w:tcPr>
          <w:p w:rsidR="005710F8" w:rsidRDefault="007E6EF7" w:rsidP="005710F8">
            <w:pPr>
              <w:jc w:val="center"/>
              <w:rPr>
                <w:color w:val="auto"/>
                <w:sz w:val="18"/>
                <w:szCs w:val="18"/>
              </w:rPr>
            </w:pPr>
            <w:r w:rsidRPr="00AB1A60">
              <w:rPr>
                <w:color w:val="auto"/>
                <w:sz w:val="18"/>
                <w:szCs w:val="18"/>
              </w:rPr>
              <w:t>PFTs</w:t>
            </w:r>
            <w:r w:rsidR="006D3708" w:rsidRPr="00AB1A60">
              <w:rPr>
                <w:color w:val="auto"/>
                <w:sz w:val="18"/>
                <w:szCs w:val="18"/>
              </w:rPr>
              <w:t xml:space="preserve">: </w:t>
            </w:r>
            <w:r w:rsidRPr="00AB1A60">
              <w:rPr>
                <w:color w:val="auto"/>
                <w:sz w:val="18"/>
                <w:szCs w:val="18"/>
              </w:rPr>
              <w:t xml:space="preserve"> </w:t>
            </w:r>
          </w:p>
          <w:p w:rsidR="007E6EF7" w:rsidRPr="00AB1A60" w:rsidRDefault="005710F8" w:rsidP="005710F8">
            <w:pPr>
              <w:jc w:val="center"/>
              <w:rPr>
                <w:color w:val="auto"/>
                <w:sz w:val="18"/>
                <w:szCs w:val="18"/>
              </w:rPr>
            </w:pPr>
            <w:r>
              <w:rPr>
                <w:color w:val="auto"/>
                <w:sz w:val="18"/>
                <w:szCs w:val="18"/>
              </w:rPr>
              <w:t>S</w:t>
            </w:r>
            <w:r w:rsidR="007E6EF7" w:rsidRPr="00AB1A60">
              <w:rPr>
                <w:color w:val="auto"/>
                <w:sz w:val="18"/>
                <w:szCs w:val="18"/>
              </w:rPr>
              <w:t>eparation</w:t>
            </w:r>
            <w:r>
              <w:rPr>
                <w:color w:val="auto"/>
                <w:sz w:val="18"/>
                <w:szCs w:val="18"/>
              </w:rPr>
              <w:t xml:space="preserve"> -</w:t>
            </w:r>
            <w:r w:rsidR="006D3708" w:rsidRPr="00AB1A60">
              <w:rPr>
                <w:color w:val="auto"/>
                <w:sz w:val="18"/>
                <w:szCs w:val="18"/>
              </w:rPr>
              <w:t xml:space="preserve"> </w:t>
            </w:r>
            <w:r w:rsidR="007E6EF7" w:rsidRPr="00AB1A60">
              <w:rPr>
                <w:color w:val="auto"/>
                <w:sz w:val="18"/>
                <w:szCs w:val="18"/>
              </w:rPr>
              <w:t>20060306</w:t>
            </w:r>
          </w:p>
        </w:tc>
        <w:tc>
          <w:tcPr>
            <w:tcW w:w="1499" w:type="dxa"/>
            <w:shd w:val="clear" w:color="000000" w:fill="D8D8D8"/>
            <w:vAlign w:val="center"/>
            <w:hideMark/>
          </w:tcPr>
          <w:p w:rsidR="00AE1709" w:rsidRDefault="007E6EF7" w:rsidP="005710F8">
            <w:pPr>
              <w:jc w:val="center"/>
              <w:rPr>
                <w:color w:val="auto"/>
                <w:sz w:val="18"/>
                <w:szCs w:val="18"/>
              </w:rPr>
            </w:pPr>
            <w:r w:rsidRPr="00AE1709">
              <w:rPr>
                <w:color w:val="auto"/>
                <w:sz w:val="18"/>
                <w:szCs w:val="18"/>
              </w:rPr>
              <w:t>20050624</w:t>
            </w:r>
          </w:p>
          <w:p w:rsidR="007E6EF7" w:rsidRPr="00AE1709" w:rsidRDefault="007E6EF7" w:rsidP="005710F8">
            <w:pPr>
              <w:jc w:val="center"/>
              <w:rPr>
                <w:color w:val="auto"/>
                <w:sz w:val="18"/>
                <w:szCs w:val="18"/>
              </w:rPr>
            </w:pPr>
            <w:r w:rsidRPr="00AE1709">
              <w:rPr>
                <w:color w:val="auto"/>
                <w:sz w:val="18"/>
                <w:szCs w:val="18"/>
              </w:rPr>
              <w:t xml:space="preserve">7.5 mo </w:t>
            </w:r>
            <w:r w:rsidR="005710F8">
              <w:rPr>
                <w:color w:val="auto"/>
                <w:sz w:val="18"/>
                <w:szCs w:val="18"/>
              </w:rPr>
              <w:t>P</w:t>
            </w:r>
            <w:r w:rsidRPr="00AE1709">
              <w:rPr>
                <w:color w:val="auto"/>
                <w:sz w:val="18"/>
                <w:szCs w:val="18"/>
              </w:rPr>
              <w:t>re-</w:t>
            </w:r>
            <w:r w:rsidR="00AE1709" w:rsidRPr="00AE1709">
              <w:rPr>
                <w:color w:val="auto"/>
                <w:sz w:val="18"/>
                <w:szCs w:val="18"/>
              </w:rPr>
              <w:t xml:space="preserve"> </w:t>
            </w:r>
            <w:r w:rsidR="005710F8">
              <w:rPr>
                <w:color w:val="auto"/>
                <w:sz w:val="18"/>
                <w:szCs w:val="18"/>
              </w:rPr>
              <w:t>S</w:t>
            </w:r>
            <w:r w:rsidRPr="00AE1709">
              <w:rPr>
                <w:color w:val="auto"/>
                <w:sz w:val="18"/>
                <w:szCs w:val="18"/>
              </w:rPr>
              <w:t>ep</w:t>
            </w:r>
          </w:p>
        </w:tc>
        <w:tc>
          <w:tcPr>
            <w:tcW w:w="1440" w:type="dxa"/>
            <w:shd w:val="clear" w:color="000000" w:fill="D8D8D8"/>
          </w:tcPr>
          <w:p w:rsidR="00AE1709" w:rsidRDefault="007E6EF7" w:rsidP="005710F8">
            <w:pPr>
              <w:jc w:val="center"/>
              <w:rPr>
                <w:color w:val="auto"/>
                <w:sz w:val="18"/>
                <w:szCs w:val="18"/>
              </w:rPr>
            </w:pPr>
            <w:r w:rsidRPr="00AE1709">
              <w:rPr>
                <w:color w:val="auto"/>
                <w:sz w:val="18"/>
                <w:szCs w:val="18"/>
              </w:rPr>
              <w:t>20050912</w:t>
            </w:r>
          </w:p>
          <w:p w:rsidR="007E6EF7" w:rsidRPr="00AE1709" w:rsidRDefault="007E6EF7" w:rsidP="005710F8">
            <w:pPr>
              <w:jc w:val="center"/>
              <w:rPr>
                <w:color w:val="auto"/>
                <w:sz w:val="18"/>
                <w:szCs w:val="18"/>
              </w:rPr>
            </w:pPr>
            <w:r w:rsidRPr="00AE1709">
              <w:rPr>
                <w:color w:val="auto"/>
                <w:sz w:val="18"/>
                <w:szCs w:val="18"/>
              </w:rPr>
              <w:t>5.5 mo pre-sep</w:t>
            </w:r>
          </w:p>
        </w:tc>
        <w:tc>
          <w:tcPr>
            <w:tcW w:w="1440" w:type="dxa"/>
            <w:shd w:val="clear" w:color="000000" w:fill="D8D8D8"/>
          </w:tcPr>
          <w:p w:rsidR="00AE1709" w:rsidRDefault="007E6EF7" w:rsidP="005710F8">
            <w:pPr>
              <w:jc w:val="center"/>
              <w:rPr>
                <w:color w:val="auto"/>
                <w:sz w:val="18"/>
                <w:szCs w:val="18"/>
              </w:rPr>
            </w:pPr>
            <w:r w:rsidRPr="00AE1709">
              <w:rPr>
                <w:color w:val="auto"/>
                <w:sz w:val="18"/>
                <w:szCs w:val="18"/>
              </w:rPr>
              <w:t>20051003</w:t>
            </w:r>
          </w:p>
          <w:p w:rsidR="007E6EF7" w:rsidRPr="00AE1709" w:rsidRDefault="007E6EF7" w:rsidP="005710F8">
            <w:pPr>
              <w:jc w:val="center"/>
              <w:rPr>
                <w:color w:val="auto"/>
                <w:sz w:val="18"/>
                <w:szCs w:val="18"/>
              </w:rPr>
            </w:pPr>
            <w:r w:rsidRPr="00AE1709">
              <w:rPr>
                <w:color w:val="auto"/>
                <w:sz w:val="18"/>
                <w:szCs w:val="18"/>
              </w:rPr>
              <w:t>5 mo pre-sep</w:t>
            </w:r>
          </w:p>
        </w:tc>
        <w:tc>
          <w:tcPr>
            <w:tcW w:w="1620" w:type="dxa"/>
            <w:shd w:val="clear" w:color="000000" w:fill="D8D8D8"/>
            <w:vAlign w:val="center"/>
            <w:hideMark/>
          </w:tcPr>
          <w:p w:rsidR="00AE1709" w:rsidRDefault="007E6EF7" w:rsidP="005710F8">
            <w:pPr>
              <w:jc w:val="center"/>
              <w:rPr>
                <w:color w:val="auto"/>
                <w:sz w:val="18"/>
                <w:szCs w:val="18"/>
              </w:rPr>
            </w:pPr>
            <w:r w:rsidRPr="00AE1709">
              <w:rPr>
                <w:color w:val="auto"/>
                <w:sz w:val="18"/>
                <w:szCs w:val="18"/>
              </w:rPr>
              <w:t>20051118</w:t>
            </w:r>
          </w:p>
          <w:p w:rsidR="007E6EF7" w:rsidRPr="00AE1709" w:rsidRDefault="006D3708" w:rsidP="005710F8">
            <w:pPr>
              <w:jc w:val="center"/>
              <w:rPr>
                <w:color w:val="auto"/>
                <w:sz w:val="18"/>
                <w:szCs w:val="18"/>
              </w:rPr>
            </w:pPr>
            <w:r w:rsidRPr="00AE1709">
              <w:rPr>
                <w:color w:val="auto"/>
                <w:sz w:val="18"/>
                <w:szCs w:val="18"/>
              </w:rPr>
              <w:t>3</w:t>
            </w:r>
            <w:r w:rsidR="007E6EF7" w:rsidRPr="00AE1709">
              <w:rPr>
                <w:color w:val="auto"/>
                <w:sz w:val="18"/>
                <w:szCs w:val="18"/>
              </w:rPr>
              <w:t>.5 mo pre- sep</w:t>
            </w:r>
          </w:p>
        </w:tc>
      </w:tr>
      <w:tr w:rsidR="007E6EF7" w:rsidRPr="002922AA" w:rsidTr="005710F8">
        <w:trPr>
          <w:trHeight w:val="197"/>
          <w:jc w:val="center"/>
        </w:trPr>
        <w:tc>
          <w:tcPr>
            <w:tcW w:w="1980" w:type="dxa"/>
            <w:shd w:val="clear" w:color="000000" w:fill="D8D8D8"/>
            <w:noWrap/>
            <w:vAlign w:val="center"/>
            <w:hideMark/>
          </w:tcPr>
          <w:p w:rsidR="007E6EF7" w:rsidRPr="00AB1A60" w:rsidRDefault="007E6EF7" w:rsidP="00967DD4">
            <w:pPr>
              <w:rPr>
                <w:color w:val="auto"/>
                <w:sz w:val="16"/>
                <w:szCs w:val="16"/>
              </w:rPr>
            </w:pPr>
            <w:r w:rsidRPr="00AB1A60">
              <w:rPr>
                <w:color w:val="auto"/>
                <w:sz w:val="16"/>
                <w:szCs w:val="16"/>
              </w:rPr>
              <w:t>FEV</w:t>
            </w:r>
            <w:r w:rsidRPr="00AB1A60">
              <w:rPr>
                <w:color w:val="auto"/>
                <w:sz w:val="16"/>
                <w:szCs w:val="16"/>
                <w:vertAlign w:val="subscript"/>
              </w:rPr>
              <w:t>1</w:t>
            </w:r>
            <w:r w:rsidRPr="00AB1A60">
              <w:rPr>
                <w:color w:val="auto"/>
                <w:sz w:val="16"/>
                <w:szCs w:val="16"/>
              </w:rPr>
              <w:t xml:space="preserve"> </w:t>
            </w:r>
          </w:p>
        </w:tc>
        <w:tc>
          <w:tcPr>
            <w:tcW w:w="1499" w:type="dxa"/>
            <w:shd w:val="clear" w:color="auto" w:fill="auto"/>
            <w:noWrap/>
            <w:vAlign w:val="center"/>
            <w:hideMark/>
          </w:tcPr>
          <w:p w:rsidR="007E6EF7" w:rsidRPr="00BC4C88" w:rsidRDefault="007E6EF7" w:rsidP="00967DD4">
            <w:pPr>
              <w:jc w:val="center"/>
              <w:rPr>
                <w:color w:val="auto"/>
                <w:sz w:val="18"/>
                <w:szCs w:val="18"/>
              </w:rPr>
            </w:pPr>
            <w:r>
              <w:rPr>
                <w:color w:val="auto"/>
                <w:sz w:val="18"/>
                <w:szCs w:val="18"/>
              </w:rPr>
              <w:t>92</w:t>
            </w:r>
            <w:r w:rsidRPr="00BC4C88">
              <w:rPr>
                <w:color w:val="auto"/>
                <w:sz w:val="18"/>
                <w:szCs w:val="18"/>
              </w:rPr>
              <w:t>%</w:t>
            </w:r>
          </w:p>
        </w:tc>
        <w:tc>
          <w:tcPr>
            <w:tcW w:w="1440" w:type="dxa"/>
          </w:tcPr>
          <w:p w:rsidR="007E6EF7" w:rsidRPr="00BC4C88" w:rsidRDefault="007E6EF7" w:rsidP="00967DD4">
            <w:pPr>
              <w:jc w:val="center"/>
              <w:rPr>
                <w:color w:val="auto"/>
                <w:sz w:val="18"/>
                <w:szCs w:val="18"/>
              </w:rPr>
            </w:pPr>
            <w:r>
              <w:rPr>
                <w:color w:val="auto"/>
                <w:sz w:val="18"/>
                <w:szCs w:val="18"/>
              </w:rPr>
              <w:t>94</w:t>
            </w:r>
            <w:r w:rsidRPr="00BC4C88">
              <w:rPr>
                <w:color w:val="auto"/>
                <w:sz w:val="18"/>
                <w:szCs w:val="18"/>
              </w:rPr>
              <w:t>%</w:t>
            </w:r>
          </w:p>
        </w:tc>
        <w:tc>
          <w:tcPr>
            <w:tcW w:w="1440" w:type="dxa"/>
          </w:tcPr>
          <w:p w:rsidR="007E6EF7" w:rsidRPr="00BC4C88" w:rsidRDefault="007E6EF7" w:rsidP="00967DD4">
            <w:pPr>
              <w:jc w:val="center"/>
              <w:rPr>
                <w:color w:val="auto"/>
                <w:sz w:val="18"/>
                <w:szCs w:val="18"/>
              </w:rPr>
            </w:pPr>
            <w:r>
              <w:rPr>
                <w:color w:val="auto"/>
                <w:sz w:val="18"/>
                <w:szCs w:val="18"/>
              </w:rPr>
              <w:t>85</w:t>
            </w:r>
            <w:r w:rsidRPr="00BC4C88">
              <w:rPr>
                <w:color w:val="auto"/>
                <w:sz w:val="18"/>
                <w:szCs w:val="18"/>
              </w:rPr>
              <w:t>%</w:t>
            </w:r>
          </w:p>
        </w:tc>
        <w:tc>
          <w:tcPr>
            <w:tcW w:w="1620" w:type="dxa"/>
            <w:shd w:val="clear" w:color="auto" w:fill="auto"/>
            <w:noWrap/>
            <w:vAlign w:val="center"/>
            <w:hideMark/>
          </w:tcPr>
          <w:p w:rsidR="007E6EF7" w:rsidRPr="00BC4C88" w:rsidRDefault="007E6EF7" w:rsidP="00967DD4">
            <w:pPr>
              <w:jc w:val="center"/>
              <w:rPr>
                <w:color w:val="auto"/>
                <w:sz w:val="18"/>
                <w:szCs w:val="18"/>
              </w:rPr>
            </w:pPr>
            <w:r>
              <w:rPr>
                <w:color w:val="auto"/>
                <w:sz w:val="18"/>
                <w:szCs w:val="18"/>
              </w:rPr>
              <w:t>92</w:t>
            </w:r>
            <w:r w:rsidRPr="00BC4C88">
              <w:rPr>
                <w:color w:val="auto"/>
                <w:sz w:val="18"/>
                <w:szCs w:val="18"/>
              </w:rPr>
              <w:t>%</w:t>
            </w:r>
          </w:p>
        </w:tc>
      </w:tr>
      <w:tr w:rsidR="007E6EF7" w:rsidRPr="002922AA" w:rsidTr="005710F8">
        <w:trPr>
          <w:trHeight w:val="233"/>
          <w:jc w:val="center"/>
        </w:trPr>
        <w:tc>
          <w:tcPr>
            <w:tcW w:w="1980" w:type="dxa"/>
            <w:shd w:val="clear" w:color="000000" w:fill="D8D8D8"/>
            <w:noWrap/>
            <w:vAlign w:val="center"/>
            <w:hideMark/>
          </w:tcPr>
          <w:p w:rsidR="007E6EF7" w:rsidRPr="00AB1A60" w:rsidRDefault="00AB1A60" w:rsidP="00967DD4">
            <w:pPr>
              <w:rPr>
                <w:color w:val="auto"/>
                <w:sz w:val="16"/>
                <w:szCs w:val="16"/>
              </w:rPr>
            </w:pPr>
            <w:r w:rsidRPr="00AB1A60">
              <w:rPr>
                <w:color w:val="auto"/>
                <w:sz w:val="16"/>
                <w:szCs w:val="16"/>
              </w:rPr>
              <w:t xml:space="preserve">Post </w:t>
            </w:r>
            <w:proofErr w:type="spellStart"/>
            <w:r w:rsidRPr="00AB1A60">
              <w:rPr>
                <w:color w:val="auto"/>
                <w:sz w:val="16"/>
                <w:szCs w:val="16"/>
              </w:rPr>
              <w:t>bronchodialtor</w:t>
            </w:r>
            <w:proofErr w:type="spellEnd"/>
          </w:p>
        </w:tc>
        <w:tc>
          <w:tcPr>
            <w:tcW w:w="1499" w:type="dxa"/>
            <w:shd w:val="clear" w:color="auto" w:fill="auto"/>
            <w:noWrap/>
            <w:vAlign w:val="center"/>
            <w:hideMark/>
          </w:tcPr>
          <w:p w:rsidR="007E6EF7" w:rsidRPr="00BC4C88" w:rsidRDefault="007E6EF7" w:rsidP="00967DD4">
            <w:pPr>
              <w:jc w:val="center"/>
              <w:rPr>
                <w:color w:val="auto"/>
                <w:sz w:val="18"/>
                <w:szCs w:val="18"/>
              </w:rPr>
            </w:pPr>
            <w:r>
              <w:rPr>
                <w:color w:val="auto"/>
                <w:sz w:val="18"/>
                <w:szCs w:val="18"/>
              </w:rPr>
              <w:t>99%</w:t>
            </w:r>
          </w:p>
        </w:tc>
        <w:tc>
          <w:tcPr>
            <w:tcW w:w="1440" w:type="dxa"/>
          </w:tcPr>
          <w:p w:rsidR="007E6EF7" w:rsidRPr="00BC4C88" w:rsidRDefault="007E6EF7" w:rsidP="00967DD4">
            <w:pPr>
              <w:jc w:val="center"/>
              <w:rPr>
                <w:color w:val="auto"/>
                <w:sz w:val="18"/>
                <w:szCs w:val="18"/>
              </w:rPr>
            </w:pPr>
            <w:r>
              <w:rPr>
                <w:color w:val="auto"/>
                <w:sz w:val="18"/>
                <w:szCs w:val="18"/>
              </w:rPr>
              <w:t>-</w:t>
            </w:r>
          </w:p>
        </w:tc>
        <w:tc>
          <w:tcPr>
            <w:tcW w:w="1440" w:type="dxa"/>
          </w:tcPr>
          <w:p w:rsidR="007E6EF7" w:rsidRPr="00BC4C88" w:rsidRDefault="007E6EF7" w:rsidP="00967DD4">
            <w:pPr>
              <w:jc w:val="center"/>
              <w:rPr>
                <w:color w:val="auto"/>
                <w:sz w:val="18"/>
                <w:szCs w:val="18"/>
              </w:rPr>
            </w:pPr>
            <w:r>
              <w:rPr>
                <w:color w:val="auto"/>
                <w:sz w:val="18"/>
                <w:szCs w:val="18"/>
              </w:rPr>
              <w:t>-</w:t>
            </w:r>
          </w:p>
        </w:tc>
        <w:tc>
          <w:tcPr>
            <w:tcW w:w="1620" w:type="dxa"/>
            <w:shd w:val="clear" w:color="auto" w:fill="auto"/>
            <w:noWrap/>
            <w:vAlign w:val="center"/>
            <w:hideMark/>
          </w:tcPr>
          <w:p w:rsidR="007E6EF7" w:rsidRPr="00BC4C88" w:rsidRDefault="007E6EF7" w:rsidP="00967DD4">
            <w:pPr>
              <w:jc w:val="center"/>
              <w:rPr>
                <w:color w:val="auto"/>
                <w:sz w:val="18"/>
                <w:szCs w:val="18"/>
              </w:rPr>
            </w:pPr>
            <w:r>
              <w:rPr>
                <w:color w:val="auto"/>
                <w:sz w:val="18"/>
                <w:szCs w:val="18"/>
              </w:rPr>
              <w:t>-</w:t>
            </w:r>
          </w:p>
        </w:tc>
      </w:tr>
      <w:tr w:rsidR="007E6EF7" w:rsidRPr="002922AA" w:rsidTr="005710F8">
        <w:trPr>
          <w:trHeight w:val="170"/>
          <w:jc w:val="center"/>
        </w:trPr>
        <w:tc>
          <w:tcPr>
            <w:tcW w:w="1980" w:type="dxa"/>
            <w:shd w:val="clear" w:color="000000" w:fill="D8D8D8"/>
            <w:noWrap/>
            <w:vAlign w:val="center"/>
            <w:hideMark/>
          </w:tcPr>
          <w:p w:rsidR="007E6EF7" w:rsidRPr="00AB1A60" w:rsidRDefault="007E6EF7" w:rsidP="00967DD4">
            <w:pPr>
              <w:rPr>
                <w:color w:val="auto"/>
                <w:sz w:val="16"/>
                <w:szCs w:val="16"/>
              </w:rPr>
            </w:pPr>
            <w:r w:rsidRPr="00AB1A60">
              <w:rPr>
                <w:color w:val="auto"/>
                <w:sz w:val="16"/>
                <w:szCs w:val="16"/>
              </w:rPr>
              <w:t>FEV</w:t>
            </w:r>
            <w:r w:rsidRPr="00AB1A60">
              <w:rPr>
                <w:color w:val="auto"/>
                <w:sz w:val="16"/>
                <w:szCs w:val="16"/>
                <w:vertAlign w:val="subscript"/>
              </w:rPr>
              <w:t>1</w:t>
            </w:r>
            <w:r w:rsidRPr="00AB1A60">
              <w:rPr>
                <w:color w:val="auto"/>
                <w:sz w:val="16"/>
                <w:szCs w:val="16"/>
              </w:rPr>
              <w:t>/FVC</w:t>
            </w:r>
          </w:p>
        </w:tc>
        <w:tc>
          <w:tcPr>
            <w:tcW w:w="1499" w:type="dxa"/>
            <w:shd w:val="clear" w:color="auto" w:fill="auto"/>
            <w:noWrap/>
            <w:vAlign w:val="center"/>
            <w:hideMark/>
          </w:tcPr>
          <w:p w:rsidR="007E6EF7" w:rsidRPr="00BC4C88" w:rsidRDefault="007E6EF7" w:rsidP="00967DD4">
            <w:pPr>
              <w:jc w:val="center"/>
              <w:rPr>
                <w:color w:val="auto"/>
                <w:sz w:val="18"/>
                <w:szCs w:val="18"/>
              </w:rPr>
            </w:pPr>
            <w:r>
              <w:rPr>
                <w:color w:val="auto"/>
                <w:sz w:val="18"/>
                <w:szCs w:val="18"/>
              </w:rPr>
              <w:t>67</w:t>
            </w:r>
            <w:r w:rsidRPr="00BC4C88">
              <w:rPr>
                <w:color w:val="auto"/>
                <w:sz w:val="18"/>
                <w:szCs w:val="18"/>
              </w:rPr>
              <w:t>%</w:t>
            </w:r>
          </w:p>
        </w:tc>
        <w:tc>
          <w:tcPr>
            <w:tcW w:w="1440" w:type="dxa"/>
          </w:tcPr>
          <w:p w:rsidR="007E6EF7" w:rsidRPr="00BC4C88" w:rsidRDefault="007E6EF7" w:rsidP="00967DD4">
            <w:pPr>
              <w:jc w:val="center"/>
              <w:rPr>
                <w:color w:val="auto"/>
                <w:sz w:val="18"/>
                <w:szCs w:val="18"/>
              </w:rPr>
            </w:pPr>
            <w:r>
              <w:rPr>
                <w:color w:val="auto"/>
                <w:sz w:val="18"/>
                <w:szCs w:val="18"/>
              </w:rPr>
              <w:t>84</w:t>
            </w:r>
            <w:r w:rsidRPr="00BC4C88">
              <w:rPr>
                <w:color w:val="auto"/>
                <w:sz w:val="18"/>
                <w:szCs w:val="18"/>
              </w:rPr>
              <w:t>%</w:t>
            </w:r>
          </w:p>
        </w:tc>
        <w:tc>
          <w:tcPr>
            <w:tcW w:w="1440" w:type="dxa"/>
          </w:tcPr>
          <w:p w:rsidR="007E6EF7" w:rsidRPr="00BC4C88" w:rsidRDefault="007E6EF7" w:rsidP="00967DD4">
            <w:pPr>
              <w:jc w:val="center"/>
              <w:rPr>
                <w:color w:val="auto"/>
                <w:sz w:val="18"/>
                <w:szCs w:val="18"/>
              </w:rPr>
            </w:pPr>
            <w:r>
              <w:rPr>
                <w:color w:val="auto"/>
                <w:sz w:val="18"/>
                <w:szCs w:val="18"/>
              </w:rPr>
              <w:t>79</w:t>
            </w:r>
            <w:r w:rsidRPr="00BC4C88">
              <w:rPr>
                <w:color w:val="auto"/>
                <w:sz w:val="18"/>
                <w:szCs w:val="18"/>
              </w:rPr>
              <w:t>%</w:t>
            </w:r>
          </w:p>
        </w:tc>
        <w:tc>
          <w:tcPr>
            <w:tcW w:w="1620" w:type="dxa"/>
            <w:shd w:val="clear" w:color="auto" w:fill="auto"/>
            <w:noWrap/>
            <w:vAlign w:val="center"/>
            <w:hideMark/>
          </w:tcPr>
          <w:p w:rsidR="007E6EF7" w:rsidRPr="00BC4C88" w:rsidRDefault="007E6EF7" w:rsidP="00967DD4">
            <w:pPr>
              <w:jc w:val="center"/>
              <w:rPr>
                <w:color w:val="auto"/>
                <w:sz w:val="18"/>
                <w:szCs w:val="18"/>
              </w:rPr>
            </w:pPr>
            <w:r>
              <w:rPr>
                <w:color w:val="auto"/>
                <w:sz w:val="18"/>
                <w:szCs w:val="18"/>
              </w:rPr>
              <w:t>71</w:t>
            </w:r>
            <w:r w:rsidRPr="00BC4C88">
              <w:rPr>
                <w:color w:val="auto"/>
                <w:sz w:val="18"/>
                <w:szCs w:val="18"/>
              </w:rPr>
              <w:t>%</w:t>
            </w:r>
          </w:p>
        </w:tc>
      </w:tr>
      <w:tr w:rsidR="007E6EF7" w:rsidRPr="002922AA" w:rsidTr="005710F8">
        <w:trPr>
          <w:trHeight w:val="215"/>
          <w:jc w:val="center"/>
        </w:trPr>
        <w:tc>
          <w:tcPr>
            <w:tcW w:w="1980" w:type="dxa"/>
            <w:shd w:val="clear" w:color="000000" w:fill="D8D8D8"/>
            <w:noWrap/>
            <w:vAlign w:val="center"/>
            <w:hideMark/>
          </w:tcPr>
          <w:p w:rsidR="007E6EF7" w:rsidRPr="00AB1A60" w:rsidRDefault="007E6EF7" w:rsidP="00967DD4">
            <w:pPr>
              <w:rPr>
                <w:color w:val="auto"/>
                <w:sz w:val="16"/>
                <w:szCs w:val="16"/>
              </w:rPr>
            </w:pPr>
            <w:r w:rsidRPr="00AB1A60">
              <w:rPr>
                <w:color w:val="auto"/>
                <w:sz w:val="16"/>
                <w:szCs w:val="16"/>
              </w:rPr>
              <w:t xml:space="preserve">Post </w:t>
            </w:r>
            <w:r w:rsidR="00AB1A60" w:rsidRPr="00AB1A60">
              <w:rPr>
                <w:color w:val="auto"/>
                <w:sz w:val="16"/>
                <w:szCs w:val="16"/>
              </w:rPr>
              <w:t>broncho</w:t>
            </w:r>
            <w:r w:rsidRPr="00AB1A60">
              <w:rPr>
                <w:color w:val="auto"/>
                <w:sz w:val="16"/>
                <w:szCs w:val="16"/>
              </w:rPr>
              <w:t>dilator</w:t>
            </w:r>
          </w:p>
        </w:tc>
        <w:tc>
          <w:tcPr>
            <w:tcW w:w="1499" w:type="dxa"/>
            <w:shd w:val="clear" w:color="auto" w:fill="auto"/>
            <w:noWrap/>
            <w:vAlign w:val="center"/>
            <w:hideMark/>
          </w:tcPr>
          <w:p w:rsidR="007E6EF7" w:rsidRPr="00BC4C88" w:rsidRDefault="007E6EF7" w:rsidP="00967DD4">
            <w:pPr>
              <w:jc w:val="center"/>
              <w:rPr>
                <w:color w:val="auto"/>
                <w:sz w:val="18"/>
                <w:szCs w:val="18"/>
              </w:rPr>
            </w:pPr>
            <w:r w:rsidRPr="00AB1A60">
              <w:rPr>
                <w:color w:val="auto"/>
                <w:sz w:val="18"/>
                <w:szCs w:val="18"/>
              </w:rPr>
              <w:t>75%</w:t>
            </w:r>
          </w:p>
        </w:tc>
        <w:tc>
          <w:tcPr>
            <w:tcW w:w="1440" w:type="dxa"/>
          </w:tcPr>
          <w:p w:rsidR="007E6EF7" w:rsidRPr="00BC4C88" w:rsidRDefault="007E6EF7" w:rsidP="00967DD4">
            <w:pPr>
              <w:jc w:val="center"/>
              <w:rPr>
                <w:color w:val="auto"/>
                <w:sz w:val="18"/>
                <w:szCs w:val="18"/>
              </w:rPr>
            </w:pPr>
            <w:r>
              <w:rPr>
                <w:color w:val="auto"/>
                <w:sz w:val="18"/>
                <w:szCs w:val="18"/>
              </w:rPr>
              <w:t>-</w:t>
            </w:r>
          </w:p>
        </w:tc>
        <w:tc>
          <w:tcPr>
            <w:tcW w:w="1440" w:type="dxa"/>
          </w:tcPr>
          <w:p w:rsidR="007E6EF7" w:rsidRPr="00BC4C88" w:rsidRDefault="007E6EF7" w:rsidP="00967DD4">
            <w:pPr>
              <w:jc w:val="center"/>
              <w:rPr>
                <w:color w:val="auto"/>
                <w:sz w:val="18"/>
                <w:szCs w:val="18"/>
              </w:rPr>
            </w:pPr>
            <w:r>
              <w:rPr>
                <w:color w:val="auto"/>
                <w:sz w:val="18"/>
                <w:szCs w:val="18"/>
              </w:rPr>
              <w:t>-</w:t>
            </w:r>
          </w:p>
        </w:tc>
        <w:tc>
          <w:tcPr>
            <w:tcW w:w="1620" w:type="dxa"/>
            <w:shd w:val="clear" w:color="auto" w:fill="auto"/>
            <w:noWrap/>
            <w:vAlign w:val="center"/>
            <w:hideMark/>
          </w:tcPr>
          <w:p w:rsidR="007E6EF7" w:rsidRPr="00BC4C88" w:rsidRDefault="007E6EF7" w:rsidP="00967DD4">
            <w:pPr>
              <w:jc w:val="center"/>
              <w:rPr>
                <w:color w:val="auto"/>
                <w:sz w:val="18"/>
                <w:szCs w:val="18"/>
              </w:rPr>
            </w:pPr>
            <w:r>
              <w:rPr>
                <w:color w:val="auto"/>
                <w:sz w:val="18"/>
                <w:szCs w:val="18"/>
              </w:rPr>
              <w:t>-</w:t>
            </w:r>
          </w:p>
        </w:tc>
      </w:tr>
      <w:tr w:rsidR="007E6EF7" w:rsidRPr="002922AA" w:rsidTr="005710F8">
        <w:trPr>
          <w:trHeight w:val="251"/>
          <w:jc w:val="center"/>
        </w:trPr>
        <w:tc>
          <w:tcPr>
            <w:tcW w:w="1980" w:type="dxa"/>
            <w:shd w:val="clear" w:color="000000" w:fill="D8D8D8"/>
            <w:noWrap/>
            <w:vAlign w:val="center"/>
            <w:hideMark/>
          </w:tcPr>
          <w:p w:rsidR="007E6EF7" w:rsidRPr="00AB1A60" w:rsidRDefault="00AE1709" w:rsidP="00BC4C88">
            <w:pPr>
              <w:rPr>
                <w:color w:val="auto"/>
                <w:sz w:val="16"/>
                <w:szCs w:val="16"/>
              </w:rPr>
            </w:pPr>
            <w:r w:rsidRPr="00AB1A60">
              <w:rPr>
                <w:color w:val="auto"/>
                <w:sz w:val="16"/>
                <w:szCs w:val="16"/>
              </w:rPr>
              <w:t>Medication</w:t>
            </w:r>
          </w:p>
        </w:tc>
        <w:tc>
          <w:tcPr>
            <w:tcW w:w="1499" w:type="dxa"/>
            <w:shd w:val="clear" w:color="auto" w:fill="auto"/>
            <w:noWrap/>
            <w:vAlign w:val="center"/>
            <w:hideMark/>
          </w:tcPr>
          <w:p w:rsidR="007E6EF7" w:rsidRPr="00BC4C88" w:rsidRDefault="007E6EF7" w:rsidP="00967DD4">
            <w:pPr>
              <w:jc w:val="center"/>
              <w:rPr>
                <w:color w:val="auto"/>
                <w:sz w:val="18"/>
                <w:szCs w:val="18"/>
              </w:rPr>
            </w:pPr>
            <w:r w:rsidRPr="00BC4C88">
              <w:rPr>
                <w:color w:val="auto"/>
                <w:sz w:val="18"/>
                <w:szCs w:val="18"/>
              </w:rPr>
              <w:t>PRN</w:t>
            </w:r>
          </w:p>
        </w:tc>
        <w:tc>
          <w:tcPr>
            <w:tcW w:w="1440" w:type="dxa"/>
          </w:tcPr>
          <w:p w:rsidR="007E6EF7" w:rsidRPr="00BC4C88" w:rsidRDefault="007E6EF7" w:rsidP="00967DD4">
            <w:pPr>
              <w:jc w:val="center"/>
              <w:rPr>
                <w:color w:val="auto"/>
                <w:sz w:val="18"/>
                <w:szCs w:val="18"/>
              </w:rPr>
            </w:pPr>
            <w:r>
              <w:rPr>
                <w:color w:val="auto"/>
                <w:sz w:val="18"/>
                <w:szCs w:val="18"/>
              </w:rPr>
              <w:t>Daily</w:t>
            </w:r>
          </w:p>
        </w:tc>
        <w:tc>
          <w:tcPr>
            <w:tcW w:w="1440" w:type="dxa"/>
          </w:tcPr>
          <w:p w:rsidR="007E6EF7" w:rsidRPr="00BC4C88" w:rsidRDefault="007E6EF7" w:rsidP="00967DD4">
            <w:pPr>
              <w:jc w:val="center"/>
              <w:rPr>
                <w:color w:val="auto"/>
                <w:sz w:val="18"/>
                <w:szCs w:val="18"/>
              </w:rPr>
            </w:pPr>
            <w:r>
              <w:rPr>
                <w:color w:val="auto"/>
                <w:sz w:val="18"/>
                <w:szCs w:val="18"/>
              </w:rPr>
              <w:t>Daily</w:t>
            </w:r>
          </w:p>
        </w:tc>
        <w:tc>
          <w:tcPr>
            <w:tcW w:w="1620" w:type="dxa"/>
            <w:shd w:val="clear" w:color="auto" w:fill="auto"/>
            <w:noWrap/>
            <w:vAlign w:val="center"/>
            <w:hideMark/>
          </w:tcPr>
          <w:p w:rsidR="007E6EF7" w:rsidRPr="00BC4C88" w:rsidRDefault="007E6EF7" w:rsidP="00967DD4">
            <w:pPr>
              <w:jc w:val="center"/>
              <w:rPr>
                <w:color w:val="auto"/>
                <w:sz w:val="18"/>
                <w:szCs w:val="18"/>
              </w:rPr>
            </w:pPr>
            <w:r>
              <w:rPr>
                <w:color w:val="auto"/>
                <w:sz w:val="18"/>
                <w:szCs w:val="18"/>
              </w:rPr>
              <w:t>Daily</w:t>
            </w:r>
          </w:p>
        </w:tc>
      </w:tr>
      <w:tr w:rsidR="007E6EF7" w:rsidTr="005710F8">
        <w:trPr>
          <w:trHeight w:val="170"/>
          <w:jc w:val="center"/>
        </w:trPr>
        <w:tc>
          <w:tcPr>
            <w:tcW w:w="1980" w:type="dxa"/>
            <w:shd w:val="clear" w:color="000000" w:fill="D8D8D8"/>
            <w:noWrap/>
            <w:vAlign w:val="center"/>
            <w:hideMark/>
          </w:tcPr>
          <w:p w:rsidR="007E6EF7" w:rsidRPr="00AB1A60" w:rsidRDefault="007727B2" w:rsidP="00967DD4">
            <w:pPr>
              <w:rPr>
                <w:color w:val="auto"/>
                <w:sz w:val="16"/>
                <w:szCs w:val="16"/>
              </w:rPr>
            </w:pPr>
            <w:r w:rsidRPr="00AB1A60">
              <w:rPr>
                <w:rFonts w:asciiTheme="minorHAnsi" w:hAnsiTheme="minorHAnsi"/>
                <w:color w:val="auto"/>
                <w:sz w:val="16"/>
                <w:szCs w:val="16"/>
              </w:rPr>
              <w:t>§</w:t>
            </w:r>
            <w:r w:rsidR="003739F8" w:rsidRPr="00AB1A60">
              <w:rPr>
                <w:color w:val="auto"/>
                <w:sz w:val="16"/>
                <w:szCs w:val="16"/>
              </w:rPr>
              <w:t>4.97</w:t>
            </w:r>
            <w:r w:rsidR="007E6EF7" w:rsidRPr="00AB1A60">
              <w:rPr>
                <w:color w:val="auto"/>
                <w:sz w:val="16"/>
                <w:szCs w:val="16"/>
              </w:rPr>
              <w:t xml:space="preserve"> Rating</w:t>
            </w:r>
          </w:p>
        </w:tc>
        <w:tc>
          <w:tcPr>
            <w:tcW w:w="1499" w:type="dxa"/>
            <w:shd w:val="clear" w:color="auto" w:fill="auto"/>
            <w:noWrap/>
            <w:vAlign w:val="center"/>
            <w:hideMark/>
          </w:tcPr>
          <w:p w:rsidR="007E6EF7" w:rsidRPr="00BC4C88" w:rsidRDefault="00366804" w:rsidP="00967DD4">
            <w:pPr>
              <w:jc w:val="center"/>
              <w:rPr>
                <w:color w:val="auto"/>
                <w:sz w:val="18"/>
                <w:szCs w:val="18"/>
              </w:rPr>
            </w:pPr>
            <w:r w:rsidRPr="00366804">
              <w:rPr>
                <w:color w:val="auto"/>
                <w:sz w:val="18"/>
                <w:szCs w:val="18"/>
              </w:rPr>
              <w:t>30</w:t>
            </w:r>
            <w:r w:rsidR="007E6EF7" w:rsidRPr="00366804">
              <w:rPr>
                <w:color w:val="auto"/>
                <w:sz w:val="18"/>
                <w:szCs w:val="18"/>
              </w:rPr>
              <w:t>%</w:t>
            </w:r>
          </w:p>
        </w:tc>
        <w:tc>
          <w:tcPr>
            <w:tcW w:w="1440" w:type="dxa"/>
          </w:tcPr>
          <w:p w:rsidR="007E6EF7" w:rsidRPr="00BC4C88" w:rsidRDefault="007E6EF7" w:rsidP="00967DD4">
            <w:pPr>
              <w:jc w:val="center"/>
              <w:rPr>
                <w:color w:val="auto"/>
                <w:sz w:val="18"/>
                <w:szCs w:val="18"/>
              </w:rPr>
            </w:pPr>
            <w:r>
              <w:rPr>
                <w:color w:val="auto"/>
                <w:sz w:val="18"/>
                <w:szCs w:val="18"/>
              </w:rPr>
              <w:t>30</w:t>
            </w:r>
            <w:r w:rsidRPr="00BC4C88">
              <w:rPr>
                <w:color w:val="auto"/>
                <w:sz w:val="18"/>
                <w:szCs w:val="18"/>
              </w:rPr>
              <w:t>%</w:t>
            </w:r>
          </w:p>
        </w:tc>
        <w:tc>
          <w:tcPr>
            <w:tcW w:w="1440" w:type="dxa"/>
          </w:tcPr>
          <w:p w:rsidR="007E6EF7" w:rsidRPr="00BC4C88" w:rsidRDefault="007E6EF7" w:rsidP="00967DD4">
            <w:pPr>
              <w:jc w:val="center"/>
              <w:rPr>
                <w:color w:val="auto"/>
                <w:sz w:val="18"/>
                <w:szCs w:val="18"/>
              </w:rPr>
            </w:pPr>
            <w:r>
              <w:rPr>
                <w:color w:val="auto"/>
                <w:sz w:val="18"/>
                <w:szCs w:val="18"/>
              </w:rPr>
              <w:t>30</w:t>
            </w:r>
            <w:r w:rsidRPr="00BC4C88">
              <w:rPr>
                <w:color w:val="auto"/>
                <w:sz w:val="18"/>
                <w:szCs w:val="18"/>
              </w:rPr>
              <w:t>%</w:t>
            </w:r>
          </w:p>
        </w:tc>
        <w:tc>
          <w:tcPr>
            <w:tcW w:w="1620" w:type="dxa"/>
            <w:shd w:val="clear" w:color="auto" w:fill="auto"/>
            <w:noWrap/>
            <w:vAlign w:val="center"/>
            <w:hideMark/>
          </w:tcPr>
          <w:p w:rsidR="007E6EF7" w:rsidRPr="00BC4C88" w:rsidRDefault="007E6EF7" w:rsidP="00967DD4">
            <w:pPr>
              <w:jc w:val="center"/>
              <w:rPr>
                <w:color w:val="auto"/>
                <w:sz w:val="18"/>
                <w:szCs w:val="18"/>
              </w:rPr>
            </w:pPr>
            <w:r w:rsidRPr="00BC4C88">
              <w:rPr>
                <w:color w:val="auto"/>
                <w:sz w:val="18"/>
                <w:szCs w:val="18"/>
              </w:rPr>
              <w:t>30%</w:t>
            </w:r>
          </w:p>
        </w:tc>
      </w:tr>
    </w:tbl>
    <w:p w:rsidR="002F6AD8" w:rsidRDefault="009C1A8F" w:rsidP="007D3F86">
      <w:pPr>
        <w:pStyle w:val="Default"/>
        <w:spacing w:line="240" w:lineRule="exact"/>
        <w:jc w:val="both"/>
        <w:rPr>
          <w:rFonts w:asciiTheme="minorHAnsi" w:hAnsiTheme="minorHAnsi"/>
          <w:color w:val="auto"/>
        </w:rPr>
      </w:pPr>
      <w:r>
        <w:rPr>
          <w:rFonts w:asciiTheme="minorHAnsi" w:eastAsia="HiddenHorzOCR" w:hAnsiTheme="minorHAnsi"/>
          <w:color w:val="auto"/>
        </w:rPr>
        <w:lastRenderedPageBreak/>
        <w:t>The</w:t>
      </w:r>
      <w:r w:rsidR="00AE0D10" w:rsidRPr="007D3F86">
        <w:rPr>
          <w:rFonts w:asciiTheme="minorHAnsi" w:eastAsia="HiddenHorzOCR" w:hAnsiTheme="minorHAnsi"/>
          <w:color w:val="auto"/>
        </w:rPr>
        <w:t xml:space="preserve"> MEB </w:t>
      </w:r>
      <w:r w:rsidR="005710F8">
        <w:rPr>
          <w:rFonts w:asciiTheme="minorHAnsi" w:eastAsia="HiddenHorzOCR" w:hAnsiTheme="minorHAnsi"/>
          <w:color w:val="auto"/>
        </w:rPr>
        <w:t>n</w:t>
      </w:r>
      <w:r w:rsidR="005710F8" w:rsidRPr="007D3F86">
        <w:rPr>
          <w:rFonts w:asciiTheme="minorHAnsi" w:eastAsia="HiddenHorzOCR" w:hAnsiTheme="minorHAnsi"/>
          <w:color w:val="auto"/>
        </w:rPr>
        <w:t xml:space="preserve">arrative </w:t>
      </w:r>
      <w:r w:rsidR="005710F8">
        <w:rPr>
          <w:rFonts w:asciiTheme="minorHAnsi" w:eastAsia="HiddenHorzOCR" w:hAnsiTheme="minorHAnsi"/>
          <w:color w:val="auto"/>
        </w:rPr>
        <w:t>s</w:t>
      </w:r>
      <w:r w:rsidR="005710F8" w:rsidRPr="007D3F86">
        <w:rPr>
          <w:rFonts w:asciiTheme="minorHAnsi" w:eastAsia="HiddenHorzOCR" w:hAnsiTheme="minorHAnsi"/>
          <w:color w:val="auto"/>
        </w:rPr>
        <w:t>ummary</w:t>
      </w:r>
      <w:r w:rsidR="005710F8">
        <w:rPr>
          <w:rFonts w:asciiTheme="minorHAnsi" w:eastAsia="HiddenHorzOCR" w:hAnsiTheme="minorHAnsi"/>
          <w:color w:val="auto"/>
        </w:rPr>
        <w:t xml:space="preserve"> (NARSUM)</w:t>
      </w:r>
      <w:r w:rsidR="005710F8" w:rsidRPr="007D3F86">
        <w:rPr>
          <w:rFonts w:asciiTheme="minorHAnsi" w:eastAsia="HiddenHorzOCR" w:hAnsiTheme="minorHAnsi"/>
          <w:color w:val="auto"/>
        </w:rPr>
        <w:t xml:space="preserve"> </w:t>
      </w:r>
      <w:r w:rsidR="00AE0D10" w:rsidRPr="007D3F86">
        <w:rPr>
          <w:rFonts w:asciiTheme="minorHAnsi" w:eastAsia="HiddenHorzOCR" w:hAnsiTheme="minorHAnsi"/>
          <w:color w:val="auto"/>
        </w:rPr>
        <w:t xml:space="preserve">(undated, but inclusive of PFTs dated </w:t>
      </w:r>
      <w:r w:rsidR="00106020">
        <w:rPr>
          <w:rFonts w:asciiTheme="minorHAnsi" w:eastAsia="HiddenHorzOCR" w:hAnsiTheme="minorHAnsi"/>
          <w:color w:val="auto"/>
        </w:rPr>
        <w:t>3 Oct 2005</w:t>
      </w:r>
      <w:r w:rsidR="00AE0D10" w:rsidRPr="007D3F86">
        <w:rPr>
          <w:rFonts w:asciiTheme="minorHAnsi" w:eastAsia="HiddenHorzOCR" w:hAnsiTheme="minorHAnsi"/>
          <w:color w:val="auto"/>
        </w:rPr>
        <w:t>)</w:t>
      </w:r>
      <w:r>
        <w:rPr>
          <w:rFonts w:asciiTheme="minorHAnsi" w:eastAsia="HiddenHorzOCR" w:hAnsiTheme="minorHAnsi"/>
          <w:color w:val="auto"/>
        </w:rPr>
        <w:t xml:space="preserve"> indicates that</w:t>
      </w:r>
      <w:r w:rsidR="00AE0D10" w:rsidRPr="007D3F86">
        <w:rPr>
          <w:rFonts w:asciiTheme="minorHAnsi" w:eastAsia="HiddenHorzOCR" w:hAnsiTheme="minorHAnsi"/>
          <w:color w:val="auto"/>
        </w:rPr>
        <w:t xml:space="preserve"> the CI was on daily, inhaled anti-inflammatory</w:t>
      </w:r>
      <w:r w:rsidR="00060EA5" w:rsidRPr="007D3F86">
        <w:rPr>
          <w:rFonts w:asciiTheme="minorHAnsi" w:eastAsia="HiddenHorzOCR" w:hAnsiTheme="minorHAnsi"/>
          <w:color w:val="auto"/>
        </w:rPr>
        <w:t xml:space="preserve"> and bronchodilator</w:t>
      </w:r>
      <w:r w:rsidR="00AE0D10" w:rsidRPr="007D3F86">
        <w:rPr>
          <w:rFonts w:asciiTheme="minorHAnsi" w:eastAsia="HiddenHorzOCR" w:hAnsiTheme="minorHAnsi"/>
          <w:color w:val="auto"/>
        </w:rPr>
        <w:t xml:space="preserve"> medications</w:t>
      </w:r>
      <w:r>
        <w:rPr>
          <w:rFonts w:asciiTheme="minorHAnsi" w:eastAsia="HiddenHorzOCR" w:hAnsiTheme="minorHAnsi"/>
          <w:color w:val="auto"/>
        </w:rPr>
        <w:t xml:space="preserve"> as well as a rescue</w:t>
      </w:r>
      <w:r w:rsidR="00060EA5" w:rsidRPr="007D3F86">
        <w:rPr>
          <w:rFonts w:asciiTheme="minorHAnsi" w:eastAsia="HiddenHorzOCR" w:hAnsiTheme="minorHAnsi"/>
          <w:color w:val="auto"/>
        </w:rPr>
        <w:t xml:space="preserve"> inhaled bronchodilator.  The examiner noted that </w:t>
      </w:r>
      <w:r>
        <w:rPr>
          <w:rFonts w:asciiTheme="minorHAnsi" w:eastAsia="HiddenHorzOCR" w:hAnsiTheme="minorHAnsi"/>
          <w:color w:val="auto"/>
        </w:rPr>
        <w:t>there was</w:t>
      </w:r>
      <w:r w:rsidR="00060EA5" w:rsidRPr="007D3F86">
        <w:rPr>
          <w:rFonts w:asciiTheme="minorHAnsi" w:eastAsia="HiddenHorzOCR" w:hAnsiTheme="minorHAnsi"/>
          <w:color w:val="auto"/>
        </w:rPr>
        <w:t xml:space="preserve"> a go</w:t>
      </w:r>
      <w:r>
        <w:rPr>
          <w:rFonts w:asciiTheme="minorHAnsi" w:eastAsia="HiddenHorzOCR" w:hAnsiTheme="minorHAnsi"/>
          <w:color w:val="auto"/>
        </w:rPr>
        <w:t xml:space="preserve">od clinical response to </w:t>
      </w:r>
      <w:proofErr w:type="spellStart"/>
      <w:r w:rsidR="005710F8">
        <w:rPr>
          <w:rFonts w:asciiTheme="minorHAnsi" w:eastAsia="HiddenHorzOCR" w:hAnsiTheme="minorHAnsi"/>
          <w:color w:val="auto"/>
        </w:rPr>
        <w:t>a</w:t>
      </w:r>
      <w:r>
        <w:rPr>
          <w:rFonts w:asciiTheme="minorHAnsi" w:eastAsia="HiddenHorzOCR" w:hAnsiTheme="minorHAnsi"/>
          <w:color w:val="auto"/>
        </w:rPr>
        <w:t>dvair</w:t>
      </w:r>
      <w:proofErr w:type="spellEnd"/>
      <w:r>
        <w:rPr>
          <w:rFonts w:asciiTheme="minorHAnsi" w:eastAsia="HiddenHorzOCR" w:hAnsiTheme="minorHAnsi"/>
          <w:color w:val="auto"/>
        </w:rPr>
        <w:t>.</w:t>
      </w:r>
      <w:r w:rsidR="00060EA5" w:rsidRPr="007D3F86">
        <w:rPr>
          <w:rFonts w:asciiTheme="minorHAnsi" w:eastAsia="HiddenHorzOCR" w:hAnsiTheme="minorHAnsi"/>
          <w:color w:val="auto"/>
        </w:rPr>
        <w:t xml:space="preserve">  The PEB coded the CI as 6602, asthma, and rated him at 10%.  The VA granted service connection, but </w:t>
      </w:r>
      <w:r w:rsidR="000D1341">
        <w:rPr>
          <w:rFonts w:asciiTheme="minorHAnsi" w:eastAsia="HiddenHorzOCR" w:hAnsiTheme="minorHAnsi"/>
          <w:color w:val="auto"/>
        </w:rPr>
        <w:t>could not assign a</w:t>
      </w:r>
      <w:r w:rsidR="00060EA5" w:rsidRPr="007D3F86">
        <w:rPr>
          <w:rFonts w:asciiTheme="minorHAnsi" w:eastAsia="HiddenHorzOCR" w:hAnsiTheme="minorHAnsi"/>
          <w:color w:val="auto"/>
        </w:rPr>
        <w:t xml:space="preserve"> disability rating as the CI did not show up for the compensation and pension (C&amp;P) exam.</w:t>
      </w:r>
      <w:r w:rsidR="007D3F86" w:rsidRPr="007D3F86">
        <w:rPr>
          <w:rFonts w:asciiTheme="minorHAnsi" w:eastAsia="HiddenHorzOCR" w:hAnsiTheme="minorHAnsi"/>
          <w:color w:val="auto"/>
        </w:rPr>
        <w:t xml:space="preserve">  </w:t>
      </w:r>
      <w:r w:rsidR="007D3F86" w:rsidRPr="00366804">
        <w:rPr>
          <w:rFonts w:asciiTheme="minorHAnsi" w:eastAsia="HiddenHorzOCR" w:hAnsiTheme="minorHAnsi"/>
          <w:color w:val="auto"/>
        </w:rPr>
        <w:t xml:space="preserve">For </w:t>
      </w:r>
      <w:r w:rsidR="007D3F86" w:rsidRPr="00366804">
        <w:rPr>
          <w:rFonts w:asciiTheme="minorHAnsi" w:hAnsiTheme="minorHAnsi"/>
          <w:color w:val="auto"/>
        </w:rPr>
        <w:t>daily inhalational or oral bronchodilator therapy, a disability rating of 30% is appropriate</w:t>
      </w:r>
      <w:r w:rsidR="008F445D" w:rsidRPr="00366804">
        <w:rPr>
          <w:rFonts w:asciiTheme="minorHAnsi" w:hAnsiTheme="minorHAnsi"/>
          <w:color w:val="auto"/>
        </w:rPr>
        <w:t xml:space="preserve"> IAW VASRD 4.100-129</w:t>
      </w:r>
      <w:r w:rsidR="007D3F86" w:rsidRPr="00366804">
        <w:rPr>
          <w:rFonts w:asciiTheme="minorHAnsi" w:hAnsiTheme="minorHAnsi"/>
          <w:color w:val="auto"/>
        </w:rPr>
        <w:t xml:space="preserve">.  </w:t>
      </w:r>
      <w:r w:rsidR="000D1341">
        <w:rPr>
          <w:rFonts w:asciiTheme="minorHAnsi" w:hAnsiTheme="minorHAnsi"/>
          <w:color w:val="auto"/>
        </w:rPr>
        <w:t xml:space="preserve">All examinations are consistent with a 30% rating either for daily use of asthma medication or for </w:t>
      </w:r>
      <w:r w:rsidR="000D1341" w:rsidRPr="000D1341">
        <w:rPr>
          <w:rFonts w:asciiTheme="minorHAnsi" w:hAnsiTheme="minorHAnsi"/>
          <w:color w:val="auto"/>
        </w:rPr>
        <w:t>FEV1/FVC</w:t>
      </w:r>
      <w:r w:rsidR="000D1341" w:rsidRPr="007D3F86">
        <w:rPr>
          <w:rFonts w:asciiTheme="minorHAnsi" w:hAnsiTheme="minorHAnsi"/>
          <w:color w:val="auto"/>
        </w:rPr>
        <w:t xml:space="preserve"> </w:t>
      </w:r>
      <w:r w:rsidR="000D1341">
        <w:rPr>
          <w:rFonts w:asciiTheme="minorHAnsi" w:hAnsiTheme="minorHAnsi"/>
          <w:color w:val="auto"/>
        </w:rPr>
        <w:t xml:space="preserve">of 67%.  </w:t>
      </w:r>
      <w:r w:rsidR="007D3F86" w:rsidRPr="007D3F86">
        <w:rPr>
          <w:rFonts w:asciiTheme="minorHAnsi" w:hAnsiTheme="minorHAnsi"/>
          <w:color w:val="auto"/>
        </w:rPr>
        <w:t>After due deliberation c</w:t>
      </w:r>
      <w:r w:rsidR="000D1341">
        <w:rPr>
          <w:rFonts w:asciiTheme="minorHAnsi" w:hAnsiTheme="minorHAnsi"/>
          <w:color w:val="auto"/>
        </w:rPr>
        <w:t xml:space="preserve">onsidering all of the evidence, </w:t>
      </w:r>
      <w:r w:rsidR="007D3F86" w:rsidRPr="007D3F86">
        <w:rPr>
          <w:rFonts w:asciiTheme="minorHAnsi" w:hAnsiTheme="minorHAnsi"/>
          <w:color w:val="auto"/>
        </w:rPr>
        <w:t xml:space="preserve">the Board recommends a separation rating of </w:t>
      </w:r>
      <w:r w:rsidR="007D3F86">
        <w:rPr>
          <w:rFonts w:asciiTheme="minorHAnsi" w:hAnsiTheme="minorHAnsi"/>
          <w:color w:val="auto"/>
        </w:rPr>
        <w:t>3</w:t>
      </w:r>
      <w:r w:rsidR="007D3F86" w:rsidRPr="007D3F86">
        <w:rPr>
          <w:rFonts w:asciiTheme="minorHAnsi" w:hAnsiTheme="minorHAnsi"/>
          <w:color w:val="auto"/>
        </w:rPr>
        <w:t xml:space="preserve">0% for the </w:t>
      </w:r>
      <w:r w:rsidR="007D3F86">
        <w:rPr>
          <w:rFonts w:asciiTheme="minorHAnsi" w:hAnsiTheme="minorHAnsi"/>
          <w:color w:val="auto"/>
        </w:rPr>
        <w:t>asthma</w:t>
      </w:r>
      <w:r w:rsidR="007D3F86" w:rsidRPr="007D3F86">
        <w:rPr>
          <w:rFonts w:asciiTheme="minorHAnsi" w:hAnsiTheme="minorHAnsi"/>
          <w:color w:val="auto"/>
        </w:rPr>
        <w:t xml:space="preserve"> condition.</w:t>
      </w:r>
    </w:p>
    <w:p w:rsidR="007D3F86" w:rsidRPr="007D3F86" w:rsidRDefault="007D3F86" w:rsidP="007D3F86">
      <w:pPr>
        <w:pStyle w:val="Default"/>
        <w:spacing w:line="240" w:lineRule="exact"/>
        <w:rPr>
          <w:rFonts w:asciiTheme="minorHAnsi" w:hAnsiTheme="minorHAnsi"/>
          <w:color w:val="auto"/>
          <w:u w:val="single"/>
        </w:rPr>
      </w:pPr>
    </w:p>
    <w:p w:rsidR="004E5989" w:rsidRDefault="00F530A1" w:rsidP="004E5989">
      <w:pPr>
        <w:spacing w:line="240" w:lineRule="exact"/>
        <w:jc w:val="both"/>
        <w:rPr>
          <w:rFonts w:asciiTheme="minorHAnsi" w:eastAsia="HiddenHorzOCR" w:hAnsiTheme="minorHAnsi"/>
          <w:color w:val="auto"/>
          <w:szCs w:val="24"/>
        </w:rPr>
      </w:pPr>
      <w:r w:rsidRPr="003F1206">
        <w:rPr>
          <w:rFonts w:asciiTheme="minorHAnsi" w:eastAsia="HiddenHorzOCR" w:hAnsiTheme="minorHAnsi"/>
          <w:color w:val="auto"/>
          <w:szCs w:val="24"/>
          <w:u w:val="single"/>
        </w:rPr>
        <w:t>Other PEB Conditions</w:t>
      </w:r>
      <w:r w:rsidR="007727B2">
        <w:rPr>
          <w:rFonts w:asciiTheme="minorHAnsi" w:eastAsia="HiddenHorzOCR" w:hAnsiTheme="minorHAnsi"/>
          <w:color w:val="auto"/>
          <w:szCs w:val="24"/>
        </w:rPr>
        <w:t xml:space="preserve">:  </w:t>
      </w:r>
      <w:r w:rsidR="00CA3411" w:rsidRPr="00711350">
        <w:rPr>
          <w:rFonts w:asciiTheme="minorHAnsi" w:eastAsia="HiddenHorzOCR" w:hAnsiTheme="minorHAnsi"/>
          <w:color w:val="auto"/>
          <w:szCs w:val="24"/>
        </w:rPr>
        <w:t xml:space="preserve">The other condition forwarded by the MEB and adjudicated as not unfitting by the PEB </w:t>
      </w:r>
      <w:r w:rsidR="00CA3411">
        <w:rPr>
          <w:rFonts w:asciiTheme="minorHAnsi" w:eastAsia="HiddenHorzOCR" w:hAnsiTheme="minorHAnsi"/>
          <w:color w:val="auto"/>
          <w:szCs w:val="24"/>
        </w:rPr>
        <w:t xml:space="preserve">was </w:t>
      </w:r>
      <w:r w:rsidR="005710F8">
        <w:rPr>
          <w:rFonts w:asciiTheme="minorHAnsi" w:eastAsia="HiddenHorzOCR" w:hAnsiTheme="minorHAnsi"/>
          <w:color w:val="auto"/>
          <w:szCs w:val="24"/>
        </w:rPr>
        <w:t>SAR</w:t>
      </w:r>
      <w:r w:rsidR="00CA3411" w:rsidRPr="00711350">
        <w:rPr>
          <w:rFonts w:asciiTheme="minorHAnsi" w:eastAsia="HiddenHorzOCR" w:hAnsiTheme="minorHAnsi"/>
          <w:color w:val="auto"/>
          <w:szCs w:val="24"/>
        </w:rPr>
        <w:t xml:space="preserve">.  </w:t>
      </w:r>
      <w:r w:rsidR="00CA3411">
        <w:rPr>
          <w:rFonts w:asciiTheme="minorHAnsi" w:eastAsia="HiddenHorzOCR" w:hAnsiTheme="minorHAnsi"/>
          <w:color w:val="auto"/>
          <w:szCs w:val="24"/>
        </w:rPr>
        <w:t>It was not</w:t>
      </w:r>
      <w:r w:rsidR="00CA3411" w:rsidRPr="00711350">
        <w:rPr>
          <w:rFonts w:asciiTheme="minorHAnsi" w:eastAsia="HiddenHorzOCR" w:hAnsiTheme="minorHAnsi"/>
          <w:color w:val="auto"/>
          <w:szCs w:val="24"/>
        </w:rPr>
        <w:t xml:space="preserve"> profiled, implicated in the </w:t>
      </w:r>
      <w:r w:rsidR="005710F8">
        <w:rPr>
          <w:rFonts w:asciiTheme="minorHAnsi" w:eastAsia="HiddenHorzOCR" w:hAnsiTheme="minorHAnsi"/>
          <w:color w:val="auto"/>
          <w:szCs w:val="24"/>
        </w:rPr>
        <w:t>c</w:t>
      </w:r>
      <w:r w:rsidR="005710F8" w:rsidRPr="00CA3411">
        <w:rPr>
          <w:rFonts w:asciiTheme="minorHAnsi" w:eastAsia="HiddenHorzOCR" w:hAnsiTheme="minorHAnsi"/>
          <w:color w:val="auto"/>
          <w:szCs w:val="24"/>
        </w:rPr>
        <w:t xml:space="preserve">ommander’s </w:t>
      </w:r>
      <w:r w:rsidR="005710F8">
        <w:rPr>
          <w:rFonts w:asciiTheme="minorHAnsi" w:eastAsia="HiddenHorzOCR" w:hAnsiTheme="minorHAnsi"/>
          <w:color w:val="auto"/>
          <w:szCs w:val="24"/>
        </w:rPr>
        <w:t>s</w:t>
      </w:r>
      <w:r w:rsidR="005710F8" w:rsidRPr="00CA3411">
        <w:rPr>
          <w:rFonts w:asciiTheme="minorHAnsi" w:eastAsia="HiddenHorzOCR" w:hAnsiTheme="minorHAnsi"/>
          <w:color w:val="auto"/>
          <w:szCs w:val="24"/>
        </w:rPr>
        <w:t>tatement</w:t>
      </w:r>
      <w:r w:rsidR="005710F8">
        <w:rPr>
          <w:rFonts w:asciiTheme="minorHAnsi" w:eastAsia="HiddenHorzOCR" w:hAnsiTheme="minorHAnsi"/>
          <w:color w:val="auto"/>
          <w:szCs w:val="24"/>
        </w:rPr>
        <w:t xml:space="preserve"> </w:t>
      </w:r>
      <w:r w:rsidR="00CA3411" w:rsidRPr="00CA3411">
        <w:rPr>
          <w:rFonts w:asciiTheme="minorHAnsi" w:eastAsia="HiddenHorzOCR" w:hAnsiTheme="minorHAnsi"/>
          <w:color w:val="auto"/>
          <w:szCs w:val="24"/>
        </w:rPr>
        <w:t xml:space="preserve">or noted as failing retention standards.  </w:t>
      </w:r>
      <w:r w:rsidR="00CA3411">
        <w:rPr>
          <w:rFonts w:asciiTheme="minorHAnsi" w:eastAsia="HiddenHorzOCR" w:hAnsiTheme="minorHAnsi"/>
          <w:color w:val="auto"/>
          <w:szCs w:val="24"/>
        </w:rPr>
        <w:t>In fact, the CI had a waiver for this condition to continue on flight status.  This</w:t>
      </w:r>
      <w:r w:rsidR="000D1341">
        <w:rPr>
          <w:rFonts w:asciiTheme="minorHAnsi" w:eastAsia="HiddenHorzOCR" w:hAnsiTheme="minorHAnsi"/>
          <w:color w:val="auto"/>
          <w:szCs w:val="24"/>
        </w:rPr>
        <w:t xml:space="preserve"> condition</w:t>
      </w:r>
      <w:r w:rsidR="00CA3411">
        <w:rPr>
          <w:rFonts w:asciiTheme="minorHAnsi" w:eastAsia="HiddenHorzOCR" w:hAnsiTheme="minorHAnsi"/>
          <w:color w:val="auto"/>
          <w:szCs w:val="24"/>
        </w:rPr>
        <w:t xml:space="preserve"> was</w:t>
      </w:r>
      <w:r w:rsidR="00CA3411" w:rsidRPr="00CA3411">
        <w:rPr>
          <w:rFonts w:asciiTheme="minorHAnsi" w:eastAsia="HiddenHorzOCR" w:hAnsiTheme="minorHAnsi"/>
          <w:color w:val="auto"/>
          <w:szCs w:val="24"/>
        </w:rPr>
        <w:t xml:space="preserve"> reviewed by the </w:t>
      </w:r>
      <w:r w:rsidR="005710F8">
        <w:rPr>
          <w:rFonts w:asciiTheme="minorHAnsi" w:eastAsia="HiddenHorzOCR" w:hAnsiTheme="minorHAnsi"/>
          <w:color w:val="auto"/>
          <w:szCs w:val="24"/>
        </w:rPr>
        <w:t>a</w:t>
      </w:r>
      <w:r w:rsidR="005710F8" w:rsidRPr="00CA3411">
        <w:rPr>
          <w:rFonts w:asciiTheme="minorHAnsi" w:eastAsia="HiddenHorzOCR" w:hAnsiTheme="minorHAnsi"/>
          <w:color w:val="auto"/>
          <w:szCs w:val="24"/>
        </w:rPr>
        <w:t xml:space="preserve">ction </w:t>
      </w:r>
      <w:r w:rsidR="005710F8">
        <w:rPr>
          <w:rFonts w:asciiTheme="minorHAnsi" w:eastAsia="HiddenHorzOCR" w:hAnsiTheme="minorHAnsi"/>
          <w:color w:val="auto"/>
          <w:szCs w:val="24"/>
        </w:rPr>
        <w:t>o</w:t>
      </w:r>
      <w:r w:rsidR="005710F8" w:rsidRPr="00CA3411">
        <w:rPr>
          <w:rFonts w:asciiTheme="minorHAnsi" w:eastAsia="HiddenHorzOCR" w:hAnsiTheme="minorHAnsi"/>
          <w:color w:val="auto"/>
          <w:szCs w:val="24"/>
        </w:rPr>
        <w:t xml:space="preserve">fficer </w:t>
      </w:r>
      <w:r w:rsidR="00CA3411" w:rsidRPr="00CA3411">
        <w:rPr>
          <w:rFonts w:asciiTheme="minorHAnsi" w:eastAsia="HiddenHorzOCR" w:hAnsiTheme="minorHAnsi"/>
          <w:color w:val="auto"/>
          <w:szCs w:val="24"/>
        </w:rPr>
        <w:t xml:space="preserve">and considered by the Board.  There was no indication from the record that </w:t>
      </w:r>
      <w:r w:rsidR="00CA3411">
        <w:rPr>
          <w:rFonts w:asciiTheme="minorHAnsi" w:eastAsia="HiddenHorzOCR" w:hAnsiTheme="minorHAnsi"/>
          <w:color w:val="auto"/>
          <w:szCs w:val="24"/>
        </w:rPr>
        <w:t xml:space="preserve">it </w:t>
      </w:r>
      <w:r w:rsidR="00CA3411" w:rsidRPr="00CA3411">
        <w:rPr>
          <w:rFonts w:asciiTheme="minorHAnsi" w:eastAsia="HiddenHorzOCR" w:hAnsiTheme="minorHAnsi"/>
          <w:color w:val="auto"/>
          <w:szCs w:val="24"/>
        </w:rPr>
        <w:t>significantly interfered w</w:t>
      </w:r>
      <w:r w:rsidR="00CA3411">
        <w:rPr>
          <w:rFonts w:asciiTheme="minorHAnsi" w:eastAsia="HiddenHorzOCR" w:hAnsiTheme="minorHAnsi"/>
          <w:color w:val="auto"/>
          <w:szCs w:val="24"/>
        </w:rPr>
        <w:t xml:space="preserve">ith satisfactory performance of </w:t>
      </w:r>
      <w:r w:rsidR="00CA3411" w:rsidRPr="00366804">
        <w:rPr>
          <w:rFonts w:asciiTheme="minorHAnsi" w:eastAsia="HiddenHorzOCR" w:hAnsiTheme="minorHAnsi"/>
          <w:color w:val="auto"/>
          <w:szCs w:val="24"/>
        </w:rPr>
        <w:t>AFS</w:t>
      </w:r>
      <w:r w:rsidR="00CA3411" w:rsidRPr="00CA3411">
        <w:rPr>
          <w:rFonts w:asciiTheme="minorHAnsi" w:eastAsia="HiddenHorzOCR" w:hAnsiTheme="minorHAnsi"/>
          <w:color w:val="auto"/>
          <w:szCs w:val="24"/>
        </w:rPr>
        <w:t xml:space="preserve"> </w:t>
      </w:r>
      <w:r w:rsidR="00CA3411" w:rsidRPr="00C217F7">
        <w:rPr>
          <w:rFonts w:asciiTheme="minorHAnsi" w:eastAsia="HiddenHorzOCR" w:hAnsiTheme="minorHAnsi"/>
          <w:color w:val="auto"/>
          <w:szCs w:val="24"/>
        </w:rPr>
        <w:t>duty</w:t>
      </w:r>
      <w:r w:rsidR="00CA3411" w:rsidRPr="00711350">
        <w:rPr>
          <w:rFonts w:asciiTheme="minorHAnsi" w:eastAsia="HiddenHorzOCR" w:hAnsiTheme="minorHAnsi"/>
          <w:color w:val="auto"/>
          <w:szCs w:val="24"/>
        </w:rPr>
        <w:t xml:space="preserve"> requirements.  All evidence considered</w:t>
      </w:r>
      <w:proofErr w:type="gramStart"/>
      <w:r w:rsidR="00CA3411" w:rsidRPr="00711350">
        <w:rPr>
          <w:rFonts w:asciiTheme="minorHAnsi" w:eastAsia="HiddenHorzOCR" w:hAnsiTheme="minorHAnsi"/>
          <w:color w:val="auto"/>
          <w:szCs w:val="24"/>
        </w:rPr>
        <w:t>,</w:t>
      </w:r>
      <w:proofErr w:type="gramEnd"/>
      <w:r w:rsidR="00CA3411" w:rsidRPr="00711350">
        <w:rPr>
          <w:rFonts w:asciiTheme="minorHAnsi" w:eastAsia="HiddenHorzOCR" w:hAnsiTheme="minorHAnsi"/>
          <w:color w:val="auto"/>
          <w:szCs w:val="24"/>
        </w:rPr>
        <w:t xml:space="preserve"> there is not reasonable doubt in the CI’s favor supporting re</w:t>
      </w:r>
      <w:r w:rsidR="00CA3411">
        <w:rPr>
          <w:rFonts w:asciiTheme="minorHAnsi" w:eastAsia="HiddenHorzOCR" w:hAnsiTheme="minorHAnsi"/>
          <w:color w:val="auto"/>
          <w:szCs w:val="24"/>
        </w:rPr>
        <w:t>-</w:t>
      </w:r>
      <w:r w:rsidR="00CA3411" w:rsidRPr="00711350">
        <w:rPr>
          <w:rFonts w:asciiTheme="minorHAnsi" w:eastAsia="HiddenHorzOCR" w:hAnsiTheme="minorHAnsi"/>
          <w:color w:val="auto"/>
          <w:szCs w:val="24"/>
        </w:rPr>
        <w:t xml:space="preserve">characterization of the PEB fitness adjudication for </w:t>
      </w:r>
      <w:r w:rsidR="00CA3411">
        <w:rPr>
          <w:rFonts w:asciiTheme="minorHAnsi" w:eastAsia="HiddenHorzOCR" w:hAnsiTheme="minorHAnsi"/>
          <w:color w:val="auto"/>
          <w:szCs w:val="24"/>
        </w:rPr>
        <w:t xml:space="preserve">the </w:t>
      </w:r>
      <w:r w:rsidR="000D1341">
        <w:rPr>
          <w:rFonts w:asciiTheme="minorHAnsi" w:eastAsia="HiddenHorzOCR" w:hAnsiTheme="minorHAnsi"/>
          <w:color w:val="auto"/>
          <w:szCs w:val="24"/>
        </w:rPr>
        <w:t>seasonal allergic rhinitis</w:t>
      </w:r>
      <w:r w:rsidR="00CA3411">
        <w:rPr>
          <w:rFonts w:asciiTheme="minorHAnsi" w:eastAsia="HiddenHorzOCR" w:hAnsiTheme="minorHAnsi"/>
          <w:color w:val="auto"/>
          <w:szCs w:val="24"/>
        </w:rPr>
        <w:t xml:space="preserve"> condition</w:t>
      </w:r>
      <w:r w:rsidR="00CA3411" w:rsidRPr="00711350">
        <w:rPr>
          <w:rFonts w:asciiTheme="minorHAnsi" w:eastAsia="HiddenHorzOCR" w:hAnsiTheme="minorHAnsi"/>
          <w:color w:val="auto"/>
          <w:szCs w:val="24"/>
        </w:rPr>
        <w:t>.</w:t>
      </w:r>
    </w:p>
    <w:p w:rsidR="00F530A1" w:rsidRPr="004E5989" w:rsidRDefault="00F530A1" w:rsidP="004E5989">
      <w:pPr>
        <w:spacing w:line="240" w:lineRule="exact"/>
        <w:jc w:val="both"/>
        <w:rPr>
          <w:rFonts w:asciiTheme="minorHAnsi" w:eastAsia="HiddenHorzOCR" w:hAnsiTheme="minorHAnsi"/>
          <w:color w:val="auto"/>
          <w:szCs w:val="24"/>
        </w:rPr>
      </w:pPr>
    </w:p>
    <w:p w:rsidR="00F6196E" w:rsidRDefault="00F6196E" w:rsidP="00510F9C">
      <w:pPr>
        <w:spacing w:line="240" w:lineRule="exact"/>
        <w:jc w:val="both"/>
        <w:rPr>
          <w:rFonts w:asciiTheme="minorHAnsi" w:hAnsiTheme="minorHAnsi"/>
          <w:color w:val="auto"/>
          <w:szCs w:val="24"/>
        </w:rPr>
      </w:pPr>
      <w:r w:rsidRPr="00F6196E">
        <w:rPr>
          <w:rFonts w:asciiTheme="minorHAnsi" w:hAnsiTheme="minorHAnsi"/>
          <w:color w:val="auto"/>
          <w:szCs w:val="24"/>
          <w:u w:val="single"/>
        </w:rPr>
        <w:t>Remaining Conditions</w:t>
      </w:r>
      <w:r>
        <w:rPr>
          <w:rFonts w:asciiTheme="minorHAnsi" w:hAnsiTheme="minorHAnsi"/>
          <w:color w:val="auto"/>
          <w:szCs w:val="24"/>
        </w:rPr>
        <w:t>.</w:t>
      </w:r>
      <w:r w:rsidR="00CA3411">
        <w:rPr>
          <w:rFonts w:asciiTheme="minorHAnsi" w:hAnsiTheme="minorHAnsi"/>
          <w:color w:val="auto"/>
          <w:szCs w:val="24"/>
        </w:rPr>
        <w:t xml:space="preserve"> </w:t>
      </w:r>
      <w:r>
        <w:rPr>
          <w:rFonts w:asciiTheme="minorHAnsi" w:hAnsiTheme="minorHAnsi"/>
          <w:color w:val="auto"/>
          <w:szCs w:val="24"/>
        </w:rPr>
        <w:t xml:space="preserve"> </w:t>
      </w:r>
      <w:r w:rsidRPr="00F6196E">
        <w:rPr>
          <w:rFonts w:asciiTheme="minorHAnsi" w:hAnsiTheme="minorHAnsi"/>
          <w:color w:val="auto"/>
          <w:szCs w:val="24"/>
        </w:rPr>
        <w:t>No other conditions were noted in the NARSUM, identified by the CI on the MEB physical or found elsewhere in the DES file.  The Board does not have the authority under DoDI 6040.44 to render fitness or rating recommendations for any conditions not considered by the DES</w:t>
      </w:r>
      <w:r w:rsidRPr="00B56F3D">
        <w:rPr>
          <w:rFonts w:asciiTheme="minorHAnsi" w:hAnsiTheme="minorHAnsi"/>
          <w:color w:val="auto"/>
          <w:szCs w:val="24"/>
        </w:rPr>
        <w:t xml:space="preserve">. </w:t>
      </w:r>
      <w:r w:rsidR="003C294B" w:rsidRPr="00B56F3D">
        <w:rPr>
          <w:rFonts w:asciiTheme="minorHAnsi" w:hAnsiTheme="minorHAnsi"/>
          <w:color w:val="auto"/>
          <w:szCs w:val="24"/>
        </w:rPr>
        <w:t xml:space="preserve"> </w:t>
      </w:r>
      <w:r w:rsidR="00800DE8">
        <w:rPr>
          <w:rFonts w:asciiTheme="minorHAnsi" w:hAnsiTheme="minorHAnsi"/>
          <w:color w:val="auto"/>
          <w:szCs w:val="24"/>
        </w:rPr>
        <w:t xml:space="preserve">No other conditions were rated for disability by the VA.  </w:t>
      </w:r>
      <w:r w:rsidR="00EB04C6" w:rsidRPr="00B56F3D">
        <w:rPr>
          <w:rFonts w:asciiTheme="minorHAnsi" w:hAnsiTheme="minorHAnsi"/>
          <w:color w:val="auto"/>
          <w:szCs w:val="24"/>
        </w:rPr>
        <w:t>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4C60A3" w:rsidRPr="009C78FD" w:rsidRDefault="00C56FC8" w:rsidP="00510F9C">
      <w:pPr>
        <w:spacing w:line="240" w:lineRule="exact"/>
        <w:jc w:val="both"/>
        <w:rPr>
          <w:rFonts w:asciiTheme="minorHAnsi" w:eastAsiaTheme="minorHAnsi" w:hAnsiTheme="minorHAnsi"/>
          <w:color w:val="auto"/>
          <w:sz w:val="20"/>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w:t>
      </w:r>
      <w:r w:rsidRPr="00366804">
        <w:rPr>
          <w:rFonts w:asciiTheme="minorHAnsi" w:eastAsiaTheme="minorHAnsi" w:hAnsiTheme="minorHAnsi"/>
          <w:color w:val="auto"/>
          <w:szCs w:val="24"/>
        </w:rPr>
        <w:t>guidelines relied upon by the PEB will not be considered by the Board to the extent they were inconsistent with the VASRD in effect at the time of the adjudication.</w:t>
      </w:r>
      <w:r w:rsidR="00D95D3F" w:rsidRPr="00366804">
        <w:rPr>
          <w:rFonts w:asciiTheme="minorHAnsi" w:eastAsiaTheme="minorHAnsi" w:hAnsiTheme="minorHAnsi"/>
          <w:color w:val="auto"/>
          <w:szCs w:val="24"/>
        </w:rPr>
        <w:t xml:space="preserve">  In the matter of the asthma condition, the Board unanimously recommends that the coding be unchanged, but rated at 30%.  In the matter of the SAR condition or any other condition eligible for Board consideration, the Board unanimously</w:t>
      </w:r>
      <w:r w:rsidR="00D95D3F">
        <w:rPr>
          <w:rFonts w:asciiTheme="minorHAnsi" w:eastAsiaTheme="minorHAnsi" w:hAnsiTheme="minorHAnsi"/>
          <w:color w:val="auto"/>
          <w:szCs w:val="24"/>
        </w:rPr>
        <w:t xml:space="preserve"> agrees that no additional condition can </w:t>
      </w:r>
      <w:r w:rsidR="00D95D3F" w:rsidRPr="00F50F30">
        <w:rPr>
          <w:rFonts w:asciiTheme="minorHAnsi" w:eastAsiaTheme="minorHAnsi" w:hAnsiTheme="minorHAnsi"/>
          <w:color w:val="auto"/>
          <w:szCs w:val="24"/>
        </w:rPr>
        <w:t>be argued as unfitting and subject to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865FA3" w:rsidRDefault="00865FA3" w:rsidP="00510F9C">
      <w:pPr>
        <w:spacing w:line="240" w:lineRule="exact"/>
        <w:rPr>
          <w:rFonts w:asciiTheme="minorHAnsi" w:hAnsiTheme="minorHAnsi"/>
          <w:color w:val="auto"/>
          <w:szCs w:val="24"/>
          <w:u w:val="single"/>
        </w:rPr>
      </w:pPr>
    </w:p>
    <w:p w:rsidR="006B4AA2" w:rsidRDefault="00C56FC8" w:rsidP="00A117ED">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985A7B">
        <w:rPr>
          <w:rFonts w:asciiTheme="minorHAnsi" w:hAnsiTheme="minorHAnsi"/>
          <w:color w:val="000080"/>
          <w:szCs w:val="24"/>
        </w:rPr>
        <w:t xml:space="preserve"> T</w:t>
      </w:r>
      <w:r w:rsidR="008208C3" w:rsidRPr="00396779">
        <w:rPr>
          <w:rFonts w:asciiTheme="minorHAnsi" w:hAnsiTheme="minorHAnsi"/>
          <w:color w:val="auto"/>
          <w:szCs w:val="24"/>
        </w:rPr>
        <w:t xml:space="preserve">he Board recommends that the CI’s prior determination be modified as follows and that the discharge with severance pay be recharacterized to reflect </w:t>
      </w:r>
      <w:r w:rsidR="008208C3" w:rsidRPr="00B427BB">
        <w:rPr>
          <w:rFonts w:asciiTheme="minorHAnsi" w:hAnsiTheme="minorHAnsi"/>
          <w:color w:val="auto"/>
          <w:szCs w:val="24"/>
        </w:rPr>
        <w:t>permanent disability retirement, effective as of the date of his</w:t>
      </w:r>
      <w:r w:rsidR="00911B11">
        <w:rPr>
          <w:rFonts w:asciiTheme="minorHAnsi" w:hAnsiTheme="minorHAnsi"/>
          <w:color w:val="auto"/>
          <w:szCs w:val="24"/>
        </w:rPr>
        <w:t xml:space="preserve"> prior medical separation:</w:t>
      </w:r>
    </w:p>
    <w:p w:rsidR="004101B2" w:rsidRPr="00AF01B2" w:rsidRDefault="004101B2" w:rsidP="00510F9C">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6E4E3A" w:rsidP="00103948">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Asthma</w:t>
            </w:r>
          </w:p>
        </w:tc>
        <w:tc>
          <w:tcPr>
            <w:tcW w:w="1710" w:type="dxa"/>
            <w:vAlign w:val="center"/>
          </w:tcPr>
          <w:p w:rsidR="00A95BBA" w:rsidRPr="00AF01B2" w:rsidRDefault="006E4E3A"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6602</w:t>
            </w:r>
          </w:p>
        </w:tc>
        <w:tc>
          <w:tcPr>
            <w:tcW w:w="1170" w:type="dxa"/>
            <w:vAlign w:val="center"/>
          </w:tcPr>
          <w:p w:rsidR="00A95BBA" w:rsidRPr="00AF01B2" w:rsidRDefault="00CA3411"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3</w:t>
            </w:r>
            <w:r w:rsidR="006E4E3A">
              <w:rPr>
                <w:rFonts w:asciiTheme="minorHAnsi" w:hAnsiTheme="minorHAnsi"/>
                <w:color w:val="auto"/>
                <w:szCs w:val="24"/>
              </w:rPr>
              <w:t>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CA3411" w:rsidP="00103948">
            <w:pPr>
              <w:tabs>
                <w:tab w:val="left" w:pos="288"/>
                <w:tab w:val="left" w:pos="4752"/>
              </w:tabs>
              <w:spacing w:line="240" w:lineRule="exact"/>
              <w:jc w:val="center"/>
              <w:rPr>
                <w:rFonts w:asciiTheme="minorHAnsi" w:hAnsiTheme="minorHAnsi"/>
                <w:b/>
                <w:color w:val="auto"/>
                <w:szCs w:val="24"/>
              </w:rPr>
            </w:pPr>
            <w:r w:rsidRPr="00366804">
              <w:rPr>
                <w:rFonts w:asciiTheme="minorHAnsi" w:hAnsiTheme="minorHAnsi"/>
                <w:b/>
                <w:color w:val="auto"/>
                <w:szCs w:val="24"/>
              </w:rPr>
              <w:t>3</w:t>
            </w:r>
            <w:r w:rsidR="00A95BBA" w:rsidRPr="00366804">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Pr="00391858" w:rsidRDefault="00106AD8" w:rsidP="00510F9C">
      <w:pPr>
        <w:tabs>
          <w:tab w:val="left" w:pos="288"/>
          <w:tab w:val="left" w:pos="4752"/>
        </w:tabs>
        <w:spacing w:line="240" w:lineRule="exact"/>
        <w:rPr>
          <w:b/>
          <w:color w:val="auto"/>
          <w:szCs w:val="24"/>
        </w:rPr>
      </w:pPr>
    </w:p>
    <w:p w:rsidR="00D91DA6" w:rsidRPr="00006186" w:rsidRDefault="00FB1725" w:rsidP="000D1341">
      <w:pPr>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5B014D">
        <w:rPr>
          <w:rFonts w:asciiTheme="minorHAnsi" w:hAnsiTheme="minorHAnsi"/>
          <w:color w:val="auto"/>
        </w:rPr>
        <w:t>100416</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C38AD"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1C38AD" w:rsidRDefault="001C38AD">
      <w:pPr>
        <w:rPr>
          <w:rFonts w:asciiTheme="minorHAnsi" w:hAnsiTheme="minorHAnsi"/>
          <w:color w:val="auto"/>
        </w:rPr>
      </w:pPr>
      <w:r>
        <w:rPr>
          <w:rFonts w:asciiTheme="minorHAnsi" w:hAnsiTheme="minorHAnsi"/>
          <w:color w:val="auto"/>
        </w:rPr>
        <w:br w:type="page"/>
      </w:r>
    </w:p>
    <w:p w:rsidR="001C38AD" w:rsidRPr="001C38AD" w:rsidRDefault="001C38AD" w:rsidP="001C38AD">
      <w:pPr>
        <w:tabs>
          <w:tab w:val="left" w:pos="576"/>
        </w:tabs>
        <w:spacing w:line="240" w:lineRule="exact"/>
        <w:ind w:right="-1080"/>
        <w:rPr>
          <w:rFonts w:ascii="Times New Roman" w:hAnsi="Times New Roman"/>
          <w:color w:val="000080"/>
        </w:rPr>
      </w:pPr>
      <w:r w:rsidRPr="001C38AD">
        <w:rPr>
          <w:rFonts w:ascii="Times New Roman" w:hAnsi="Times New Roman"/>
          <w:color w:val="000080"/>
        </w:rPr>
        <w:lastRenderedPageBreak/>
        <w:t>SAF/MRB</w:t>
      </w:r>
    </w:p>
    <w:p w:rsidR="001C38AD" w:rsidRPr="001C38AD" w:rsidRDefault="001C38AD" w:rsidP="001C38AD">
      <w:pPr>
        <w:tabs>
          <w:tab w:val="left" w:pos="576"/>
        </w:tabs>
        <w:spacing w:line="240" w:lineRule="exact"/>
        <w:ind w:right="-1080"/>
        <w:rPr>
          <w:rFonts w:ascii="Times New Roman" w:hAnsi="Times New Roman"/>
          <w:color w:val="000080"/>
        </w:rPr>
      </w:pPr>
      <w:r w:rsidRPr="001C38AD">
        <w:rPr>
          <w:rFonts w:ascii="Times New Roman" w:hAnsi="Times New Roman"/>
          <w:color w:val="000080"/>
        </w:rPr>
        <w:t>1500 West Perimeter Road, Suite 3700</w:t>
      </w:r>
    </w:p>
    <w:p w:rsidR="001C38AD" w:rsidRPr="001C38AD" w:rsidRDefault="001C38AD" w:rsidP="001C38AD">
      <w:pPr>
        <w:tabs>
          <w:tab w:val="left" w:pos="576"/>
        </w:tabs>
        <w:spacing w:line="240" w:lineRule="exact"/>
        <w:ind w:right="-1080"/>
        <w:rPr>
          <w:rFonts w:ascii="Times New Roman" w:hAnsi="Times New Roman"/>
          <w:color w:val="000080"/>
        </w:rPr>
      </w:pPr>
      <w:r w:rsidRPr="001C38AD">
        <w:rPr>
          <w:rFonts w:ascii="Times New Roman" w:hAnsi="Times New Roman"/>
          <w:color w:val="000080"/>
        </w:rPr>
        <w:t>Joint Base Andrews, NAF-Washington, MD  20762</w:t>
      </w:r>
    </w:p>
    <w:p w:rsidR="001C38AD" w:rsidRPr="001C38AD" w:rsidRDefault="001C38AD" w:rsidP="001C38AD">
      <w:pPr>
        <w:tabs>
          <w:tab w:val="left" w:pos="720"/>
        </w:tabs>
        <w:spacing w:line="240" w:lineRule="exact"/>
        <w:ind w:right="-1080"/>
        <w:rPr>
          <w:rFonts w:ascii="Times New Roman" w:hAnsi="Times New Roman"/>
          <w:bCs/>
          <w:color w:val="000080"/>
        </w:rPr>
      </w:pPr>
    </w:p>
    <w:p w:rsidR="001C38AD" w:rsidRPr="001C38AD" w:rsidRDefault="001C38AD" w:rsidP="001C38AD">
      <w:pPr>
        <w:tabs>
          <w:tab w:val="left" w:pos="720"/>
        </w:tabs>
        <w:spacing w:line="240" w:lineRule="exact"/>
        <w:ind w:right="-1080"/>
        <w:rPr>
          <w:rFonts w:ascii="Times New Roman" w:hAnsi="Times New Roman"/>
          <w:color w:val="000080"/>
        </w:rPr>
      </w:pPr>
      <w:r>
        <w:rPr>
          <w:rFonts w:ascii="Times New Roman" w:hAnsi="Times New Roman"/>
          <w:color w:val="000080"/>
        </w:rPr>
        <w:t xml:space="preserve"> </w:t>
      </w:r>
    </w:p>
    <w:p w:rsidR="001C38AD" w:rsidRPr="001C38AD" w:rsidRDefault="001C38AD" w:rsidP="001C38AD">
      <w:pPr>
        <w:tabs>
          <w:tab w:val="left" w:pos="720"/>
        </w:tabs>
        <w:spacing w:line="240" w:lineRule="exact"/>
        <w:ind w:right="-1080"/>
        <w:rPr>
          <w:rFonts w:ascii="Times New Roman" w:hAnsi="Times New Roman"/>
          <w:color w:val="000080"/>
          <w:sz w:val="20"/>
        </w:rPr>
      </w:pPr>
    </w:p>
    <w:p w:rsidR="001C38AD" w:rsidRPr="001C38AD" w:rsidRDefault="001C38AD" w:rsidP="001C38AD">
      <w:pPr>
        <w:tabs>
          <w:tab w:val="left" w:pos="720"/>
        </w:tabs>
        <w:spacing w:line="240" w:lineRule="exact"/>
        <w:ind w:right="-360"/>
        <w:rPr>
          <w:rFonts w:ascii="Times New Roman" w:hAnsi="Times New Roman"/>
          <w:color w:val="000080"/>
        </w:rPr>
      </w:pPr>
      <w:r w:rsidRPr="001C38AD">
        <w:rPr>
          <w:rFonts w:ascii="Times New Roman" w:hAnsi="Times New Roman"/>
          <w:color w:val="000080"/>
        </w:rPr>
        <w:tab/>
        <w:t xml:space="preserve">Reference your application submitted under the provisions of </w:t>
      </w:r>
      <w:proofErr w:type="spellStart"/>
      <w:r w:rsidRPr="001C38AD">
        <w:rPr>
          <w:rFonts w:ascii="Times New Roman" w:hAnsi="Times New Roman"/>
          <w:color w:val="000080"/>
        </w:rPr>
        <w:t>DoDI</w:t>
      </w:r>
      <w:proofErr w:type="spellEnd"/>
      <w:r w:rsidRPr="001C38AD">
        <w:rPr>
          <w:rFonts w:ascii="Times New Roman" w:hAnsi="Times New Roman"/>
          <w:color w:val="000080"/>
        </w:rPr>
        <w:t xml:space="preserve"> 6040.44 (Section 1554, 10 USC), PDBR Case Number PD-2010-00474.</w:t>
      </w:r>
    </w:p>
    <w:p w:rsidR="001C38AD" w:rsidRPr="001C38AD" w:rsidRDefault="001C38AD" w:rsidP="001C38AD">
      <w:pPr>
        <w:tabs>
          <w:tab w:val="left" w:pos="720"/>
        </w:tabs>
        <w:spacing w:line="240" w:lineRule="exact"/>
        <w:ind w:right="-1080"/>
        <w:rPr>
          <w:rFonts w:ascii="Times New Roman" w:hAnsi="Times New Roman"/>
          <w:color w:val="000080"/>
          <w:sz w:val="20"/>
        </w:rPr>
      </w:pPr>
    </w:p>
    <w:p w:rsidR="001C38AD" w:rsidRPr="001C38AD" w:rsidRDefault="001C38AD" w:rsidP="001C38AD">
      <w:pPr>
        <w:tabs>
          <w:tab w:val="left" w:pos="720"/>
        </w:tabs>
        <w:spacing w:line="240" w:lineRule="exact"/>
        <w:ind w:right="-360"/>
        <w:rPr>
          <w:rFonts w:ascii="Times New Roman" w:hAnsi="Times New Roman"/>
          <w:color w:val="000080"/>
        </w:rPr>
      </w:pPr>
      <w:r w:rsidRPr="001C38AD">
        <w:rPr>
          <w:rFonts w:ascii="Times New Roman" w:hAnsi="Times New Roman"/>
          <w:color w:val="000080"/>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1C38AD" w:rsidRPr="001C38AD" w:rsidRDefault="001C38AD" w:rsidP="001C38AD">
      <w:pPr>
        <w:tabs>
          <w:tab w:val="left" w:pos="720"/>
        </w:tabs>
        <w:spacing w:line="240" w:lineRule="exact"/>
        <w:ind w:right="-1080"/>
        <w:rPr>
          <w:rFonts w:ascii="Times New Roman" w:hAnsi="Times New Roman"/>
          <w:color w:val="000080"/>
          <w:sz w:val="20"/>
        </w:rPr>
      </w:pPr>
    </w:p>
    <w:p w:rsidR="001C38AD" w:rsidRPr="001C38AD" w:rsidRDefault="001C38AD" w:rsidP="001C38AD">
      <w:pPr>
        <w:tabs>
          <w:tab w:val="left" w:pos="720"/>
        </w:tabs>
        <w:spacing w:line="240" w:lineRule="exact"/>
        <w:rPr>
          <w:rFonts w:ascii="Times New Roman" w:hAnsi="Times New Roman"/>
          <w:color w:val="000080"/>
        </w:rPr>
      </w:pPr>
      <w:r w:rsidRPr="001C38AD">
        <w:rPr>
          <w:rFonts w:ascii="Times New Roman" w:hAnsi="Times New Roman"/>
          <w:color w:val="000080"/>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1C38AD" w:rsidRPr="001C38AD" w:rsidRDefault="001C38AD" w:rsidP="001C38AD">
      <w:pPr>
        <w:tabs>
          <w:tab w:val="left" w:pos="720"/>
        </w:tabs>
        <w:spacing w:line="240" w:lineRule="exact"/>
        <w:rPr>
          <w:rFonts w:ascii="Times New Roman" w:hAnsi="Times New Roman"/>
          <w:color w:val="000080"/>
          <w:sz w:val="20"/>
        </w:rPr>
      </w:pPr>
    </w:p>
    <w:p w:rsidR="001C38AD" w:rsidRPr="001C38AD" w:rsidRDefault="001C38AD" w:rsidP="001C38AD">
      <w:pPr>
        <w:tabs>
          <w:tab w:val="left" w:pos="720"/>
        </w:tabs>
        <w:spacing w:line="240" w:lineRule="exact"/>
        <w:rPr>
          <w:rFonts w:ascii="Times New Roman" w:hAnsi="Times New Roman"/>
          <w:color w:val="000080"/>
        </w:rPr>
      </w:pPr>
      <w:r w:rsidRPr="001C38AD">
        <w:rPr>
          <w:rFonts w:ascii="Times New Roman" w:hAnsi="Times New Roman"/>
          <w:color w:val="000080"/>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1C38AD" w:rsidRPr="001C38AD" w:rsidRDefault="001C38AD" w:rsidP="001C38AD">
      <w:pPr>
        <w:tabs>
          <w:tab w:val="left" w:pos="720"/>
        </w:tabs>
        <w:spacing w:line="240" w:lineRule="exact"/>
        <w:rPr>
          <w:rFonts w:ascii="Times New Roman" w:hAnsi="Times New Roman"/>
          <w:color w:val="000080"/>
          <w:sz w:val="20"/>
        </w:rPr>
      </w:pPr>
    </w:p>
    <w:p w:rsidR="001C38AD" w:rsidRPr="001C38AD" w:rsidRDefault="001C38AD" w:rsidP="001C38AD">
      <w:pPr>
        <w:tabs>
          <w:tab w:val="left" w:pos="720"/>
        </w:tabs>
        <w:spacing w:line="240" w:lineRule="exact"/>
        <w:ind w:right="-1080"/>
        <w:rPr>
          <w:rFonts w:ascii="Times New Roman" w:hAnsi="Times New Roman"/>
          <w:color w:val="000080"/>
        </w:rPr>
      </w:pPr>
      <w:r w:rsidRPr="001C38AD">
        <w:rPr>
          <w:rFonts w:ascii="Times New Roman" w:hAnsi="Times New Roman"/>
          <w:color w:val="000080"/>
        </w:rPr>
        <w:tab/>
      </w:r>
      <w:r w:rsidRPr="001C38AD">
        <w:rPr>
          <w:rFonts w:ascii="Times New Roman" w:hAnsi="Times New Roman"/>
          <w:color w:val="000080"/>
        </w:rPr>
        <w:tab/>
      </w:r>
      <w:r w:rsidRPr="001C38AD">
        <w:rPr>
          <w:rFonts w:ascii="Times New Roman" w:hAnsi="Times New Roman"/>
          <w:color w:val="000080"/>
        </w:rPr>
        <w:tab/>
      </w:r>
      <w:r w:rsidRPr="001C38AD">
        <w:rPr>
          <w:rFonts w:ascii="Times New Roman" w:hAnsi="Times New Roman"/>
          <w:color w:val="000080"/>
        </w:rPr>
        <w:tab/>
      </w:r>
      <w:r w:rsidRPr="001C38AD">
        <w:rPr>
          <w:rFonts w:ascii="Times New Roman" w:hAnsi="Times New Roman"/>
          <w:color w:val="000080"/>
        </w:rPr>
        <w:tab/>
      </w:r>
      <w:r w:rsidRPr="001C38AD">
        <w:rPr>
          <w:rFonts w:ascii="Times New Roman" w:hAnsi="Times New Roman"/>
          <w:color w:val="000080"/>
        </w:rPr>
        <w:tab/>
      </w:r>
      <w:r w:rsidRPr="001C38AD">
        <w:rPr>
          <w:rFonts w:ascii="Times New Roman" w:hAnsi="Times New Roman"/>
          <w:color w:val="000080"/>
        </w:rPr>
        <w:tab/>
        <w:t>Sincerely,</w:t>
      </w:r>
    </w:p>
    <w:p w:rsidR="001C38AD" w:rsidRPr="001C38AD" w:rsidRDefault="001C38AD" w:rsidP="001C38AD">
      <w:pPr>
        <w:tabs>
          <w:tab w:val="left" w:pos="720"/>
        </w:tabs>
        <w:spacing w:line="240" w:lineRule="exact"/>
        <w:ind w:right="-1080"/>
        <w:rPr>
          <w:rFonts w:ascii="Times New Roman" w:hAnsi="Times New Roman"/>
          <w:color w:val="000080"/>
          <w:sz w:val="20"/>
        </w:rPr>
      </w:pPr>
    </w:p>
    <w:p w:rsidR="001C38AD" w:rsidRPr="001C38AD" w:rsidRDefault="001C38AD" w:rsidP="001C38AD">
      <w:pPr>
        <w:tabs>
          <w:tab w:val="left" w:pos="720"/>
        </w:tabs>
        <w:spacing w:line="240" w:lineRule="exact"/>
        <w:ind w:right="-1080"/>
        <w:rPr>
          <w:rFonts w:ascii="Times New Roman" w:hAnsi="Times New Roman"/>
          <w:color w:val="000080"/>
          <w:sz w:val="20"/>
        </w:rPr>
      </w:pPr>
    </w:p>
    <w:p w:rsidR="001C38AD" w:rsidRPr="001C38AD" w:rsidRDefault="001C38AD" w:rsidP="001C38AD">
      <w:pPr>
        <w:tabs>
          <w:tab w:val="left" w:pos="720"/>
        </w:tabs>
        <w:spacing w:line="240" w:lineRule="exact"/>
        <w:ind w:right="-1080"/>
        <w:rPr>
          <w:rFonts w:ascii="Times New Roman" w:hAnsi="Times New Roman"/>
          <w:color w:val="000080"/>
          <w:sz w:val="20"/>
        </w:rPr>
      </w:pPr>
    </w:p>
    <w:p w:rsidR="001C38AD" w:rsidRPr="001C38AD" w:rsidRDefault="001C38AD" w:rsidP="001C38AD">
      <w:pPr>
        <w:tabs>
          <w:tab w:val="left" w:pos="720"/>
        </w:tabs>
        <w:spacing w:line="240" w:lineRule="exact"/>
        <w:ind w:left="5040" w:right="-1080"/>
        <w:rPr>
          <w:rFonts w:ascii="Times New Roman" w:hAnsi="Times New Roman"/>
          <w:color w:val="000080"/>
        </w:rPr>
      </w:pPr>
      <w:r>
        <w:rPr>
          <w:rFonts w:ascii="Times New Roman" w:hAnsi="Times New Roman"/>
          <w:color w:val="000080"/>
          <w:sz w:val="20"/>
        </w:rPr>
        <w:t xml:space="preserve"> </w:t>
      </w:r>
    </w:p>
    <w:p w:rsidR="001C38AD" w:rsidRPr="001C38AD" w:rsidRDefault="001C38AD" w:rsidP="001C38AD">
      <w:pPr>
        <w:tabs>
          <w:tab w:val="left" w:pos="720"/>
        </w:tabs>
        <w:spacing w:line="240" w:lineRule="exact"/>
        <w:ind w:left="5040" w:right="-1080"/>
        <w:rPr>
          <w:rFonts w:ascii="Times New Roman" w:hAnsi="Times New Roman"/>
          <w:color w:val="000080"/>
        </w:rPr>
      </w:pPr>
      <w:r w:rsidRPr="001C38AD">
        <w:rPr>
          <w:rFonts w:ascii="Times New Roman" w:hAnsi="Times New Roman"/>
          <w:color w:val="000080"/>
        </w:rPr>
        <w:t>Director</w:t>
      </w:r>
    </w:p>
    <w:p w:rsidR="001C38AD" w:rsidRPr="001C38AD" w:rsidRDefault="001C38AD" w:rsidP="001C38AD">
      <w:pPr>
        <w:tabs>
          <w:tab w:val="left" w:pos="720"/>
        </w:tabs>
        <w:spacing w:line="240" w:lineRule="exact"/>
        <w:ind w:left="5040" w:right="-1080"/>
        <w:rPr>
          <w:rFonts w:ascii="Times New Roman" w:hAnsi="Times New Roman"/>
          <w:color w:val="000080"/>
        </w:rPr>
      </w:pPr>
      <w:r w:rsidRPr="001C38AD">
        <w:rPr>
          <w:rFonts w:ascii="Times New Roman" w:hAnsi="Times New Roman"/>
          <w:color w:val="000080"/>
        </w:rPr>
        <w:t>Air Force Review Boards Agency</w:t>
      </w:r>
    </w:p>
    <w:p w:rsidR="001C38AD" w:rsidRPr="001C38AD" w:rsidRDefault="001C38AD" w:rsidP="001C38AD">
      <w:pPr>
        <w:tabs>
          <w:tab w:val="left" w:pos="720"/>
        </w:tabs>
        <w:spacing w:line="240" w:lineRule="exact"/>
        <w:ind w:right="-1080"/>
        <w:rPr>
          <w:rFonts w:ascii="Times New Roman" w:hAnsi="Times New Roman"/>
          <w:color w:val="000080"/>
        </w:rPr>
      </w:pPr>
    </w:p>
    <w:p w:rsidR="001C38AD" w:rsidRPr="001C38AD" w:rsidRDefault="001C38AD" w:rsidP="001C38AD">
      <w:pPr>
        <w:tabs>
          <w:tab w:val="left" w:pos="720"/>
        </w:tabs>
        <w:spacing w:line="240" w:lineRule="exact"/>
        <w:ind w:right="-1080"/>
        <w:rPr>
          <w:rFonts w:ascii="Times New Roman" w:hAnsi="Times New Roman"/>
          <w:color w:val="000080"/>
        </w:rPr>
      </w:pPr>
      <w:r w:rsidRPr="001C38AD">
        <w:rPr>
          <w:rFonts w:ascii="Times New Roman" w:hAnsi="Times New Roman"/>
          <w:color w:val="000080"/>
        </w:rPr>
        <w:t>Attachment:</w:t>
      </w:r>
    </w:p>
    <w:p w:rsidR="001C38AD" w:rsidRPr="001C38AD" w:rsidRDefault="001C38AD" w:rsidP="001C38AD">
      <w:pPr>
        <w:tabs>
          <w:tab w:val="left" w:pos="720"/>
        </w:tabs>
        <w:spacing w:line="240" w:lineRule="exact"/>
        <w:ind w:right="-1080"/>
        <w:rPr>
          <w:rFonts w:ascii="Times New Roman" w:hAnsi="Times New Roman"/>
          <w:color w:val="000080"/>
        </w:rPr>
      </w:pPr>
      <w:r w:rsidRPr="001C38AD">
        <w:rPr>
          <w:rFonts w:ascii="Times New Roman" w:hAnsi="Times New Roman"/>
          <w:color w:val="000080"/>
        </w:rPr>
        <w:t>Record of Proceedings</w:t>
      </w:r>
    </w:p>
    <w:p w:rsidR="001C38AD" w:rsidRPr="001C38AD" w:rsidRDefault="001C38AD" w:rsidP="001C38AD">
      <w:pPr>
        <w:tabs>
          <w:tab w:val="left" w:pos="720"/>
        </w:tabs>
        <w:spacing w:line="240" w:lineRule="exact"/>
        <w:ind w:right="-1080"/>
        <w:rPr>
          <w:rFonts w:ascii="Times New Roman" w:hAnsi="Times New Roman"/>
          <w:color w:val="000080"/>
        </w:rPr>
      </w:pPr>
    </w:p>
    <w:p w:rsidR="001C38AD" w:rsidRPr="001C38AD" w:rsidRDefault="001C38AD" w:rsidP="001C38AD">
      <w:pPr>
        <w:tabs>
          <w:tab w:val="left" w:pos="720"/>
        </w:tabs>
        <w:spacing w:line="240" w:lineRule="exact"/>
        <w:ind w:right="-1080"/>
        <w:rPr>
          <w:rFonts w:ascii="Times New Roman" w:hAnsi="Times New Roman"/>
          <w:color w:val="000080"/>
        </w:rPr>
      </w:pPr>
      <w:r w:rsidRPr="001C38AD">
        <w:rPr>
          <w:rFonts w:ascii="Times New Roman" w:hAnsi="Times New Roman"/>
          <w:color w:val="000080"/>
        </w:rPr>
        <w:t>cc:</w:t>
      </w:r>
    </w:p>
    <w:p w:rsidR="001C38AD" w:rsidRPr="001C38AD" w:rsidRDefault="001C38AD" w:rsidP="001C38AD">
      <w:pPr>
        <w:tabs>
          <w:tab w:val="left" w:pos="720"/>
        </w:tabs>
        <w:spacing w:line="240" w:lineRule="exact"/>
        <w:ind w:right="-1080"/>
        <w:rPr>
          <w:rFonts w:ascii="Times New Roman" w:hAnsi="Times New Roman"/>
          <w:color w:val="000080"/>
        </w:rPr>
      </w:pPr>
      <w:r w:rsidRPr="001C38AD">
        <w:rPr>
          <w:rFonts w:ascii="Times New Roman" w:hAnsi="Times New Roman"/>
          <w:color w:val="000080"/>
        </w:rPr>
        <w:t>SAF/MRBR</w:t>
      </w:r>
    </w:p>
    <w:p w:rsidR="00114F20" w:rsidRPr="00006186" w:rsidRDefault="001C38AD" w:rsidP="001C38AD">
      <w:pPr>
        <w:tabs>
          <w:tab w:val="left" w:pos="288"/>
          <w:tab w:val="left" w:pos="4752"/>
        </w:tabs>
        <w:spacing w:line="240" w:lineRule="exact"/>
        <w:jc w:val="both"/>
        <w:rPr>
          <w:rFonts w:asciiTheme="minorHAnsi" w:hAnsiTheme="minorHAnsi"/>
          <w:color w:val="auto"/>
        </w:rPr>
      </w:pPr>
      <w:r w:rsidRPr="001C38AD">
        <w:rPr>
          <w:rFonts w:ascii="Times New Roman" w:hAnsi="Times New Roman"/>
          <w:color w:val="000080"/>
        </w:rPr>
        <w:t>DFAS-IN</w:t>
      </w:r>
    </w:p>
    <w:p w:rsidR="001C38AD" w:rsidRDefault="001C38AD">
      <w:pPr>
        <w:rPr>
          <w:rFonts w:asciiTheme="minorHAnsi" w:hAnsiTheme="minorHAnsi"/>
          <w:color w:val="auto"/>
        </w:rPr>
      </w:pPr>
      <w:r>
        <w:rPr>
          <w:rFonts w:asciiTheme="minorHAnsi" w:hAnsiTheme="minorHAnsi"/>
          <w:color w:val="auto"/>
        </w:rPr>
        <w:br w:type="page"/>
      </w:r>
    </w:p>
    <w:p w:rsidR="001C38AD" w:rsidRPr="00366E20" w:rsidRDefault="001C38AD" w:rsidP="001C38AD">
      <w:pPr>
        <w:tabs>
          <w:tab w:val="left" w:pos="720"/>
        </w:tabs>
        <w:spacing w:line="240" w:lineRule="exact"/>
        <w:ind w:right="-360"/>
        <w:outlineLvl w:val="0"/>
        <w:rPr>
          <w:rFonts w:ascii="Times New Roman" w:hAnsi="Times New Roman"/>
          <w:color w:val="000080"/>
        </w:rPr>
      </w:pPr>
      <w:r w:rsidRPr="00562F04">
        <w:rPr>
          <w:rFonts w:ascii="Times New Roman" w:hAnsi="Times New Roman"/>
          <w:color w:val="000080"/>
        </w:rPr>
        <w:lastRenderedPageBreak/>
        <w:t>PDBR PD-2010-00474</w:t>
      </w:r>
    </w:p>
    <w:p w:rsidR="001C38AD" w:rsidRPr="00366E20" w:rsidRDefault="001C38AD" w:rsidP="001C38AD">
      <w:pPr>
        <w:tabs>
          <w:tab w:val="left" w:pos="720"/>
        </w:tabs>
        <w:spacing w:line="240" w:lineRule="exact"/>
        <w:ind w:right="-360"/>
        <w:rPr>
          <w:rFonts w:ascii="Times New Roman" w:hAnsi="Times New Roman"/>
          <w:color w:val="000080"/>
        </w:rPr>
      </w:pPr>
    </w:p>
    <w:p w:rsidR="001C38AD" w:rsidRPr="00366E20" w:rsidRDefault="001C38AD" w:rsidP="001C38AD">
      <w:pPr>
        <w:tabs>
          <w:tab w:val="left" w:pos="720"/>
        </w:tabs>
        <w:spacing w:line="240" w:lineRule="exact"/>
        <w:ind w:right="-360"/>
        <w:rPr>
          <w:rFonts w:ascii="Times New Roman" w:hAnsi="Times New Roman"/>
          <w:color w:val="000080"/>
        </w:rPr>
      </w:pPr>
    </w:p>
    <w:p w:rsidR="001C38AD" w:rsidRPr="00366E20" w:rsidRDefault="001C38AD" w:rsidP="001C38AD">
      <w:pPr>
        <w:tabs>
          <w:tab w:val="left" w:pos="720"/>
        </w:tabs>
        <w:spacing w:line="240" w:lineRule="exact"/>
        <w:ind w:right="-360"/>
        <w:rPr>
          <w:rFonts w:ascii="Times New Roman" w:hAnsi="Times New Roman"/>
          <w:color w:val="000080"/>
        </w:rPr>
      </w:pPr>
    </w:p>
    <w:p w:rsidR="001C38AD" w:rsidRPr="00366E20" w:rsidRDefault="001C38AD" w:rsidP="001C38AD">
      <w:pPr>
        <w:tabs>
          <w:tab w:val="left" w:pos="720"/>
        </w:tabs>
        <w:spacing w:line="240" w:lineRule="exact"/>
        <w:ind w:right="-360"/>
        <w:rPr>
          <w:rFonts w:ascii="Times New Roman" w:hAnsi="Times New Roman"/>
          <w:color w:val="000080"/>
        </w:rPr>
      </w:pPr>
    </w:p>
    <w:p w:rsidR="001C38AD" w:rsidRPr="00366E20" w:rsidRDefault="001C38AD" w:rsidP="001C38AD">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1C38AD" w:rsidRPr="00366E20" w:rsidRDefault="001C38AD" w:rsidP="001C38AD">
      <w:pPr>
        <w:tabs>
          <w:tab w:val="left" w:pos="720"/>
        </w:tabs>
        <w:spacing w:line="240" w:lineRule="exact"/>
        <w:ind w:right="-360"/>
        <w:rPr>
          <w:rFonts w:ascii="Times New Roman" w:hAnsi="Times New Roman"/>
          <w:color w:val="000080"/>
        </w:rPr>
      </w:pPr>
    </w:p>
    <w:p w:rsidR="001C38AD" w:rsidRPr="00366E20" w:rsidRDefault="001C38AD" w:rsidP="001C38AD">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1C38AD" w:rsidRPr="00366E20" w:rsidRDefault="001C38AD" w:rsidP="001C38AD">
      <w:pPr>
        <w:tabs>
          <w:tab w:val="left" w:pos="720"/>
        </w:tabs>
        <w:spacing w:line="240" w:lineRule="exact"/>
        <w:ind w:right="-360"/>
        <w:rPr>
          <w:rFonts w:ascii="Times New Roman" w:hAnsi="Times New Roman"/>
          <w:color w:val="000080"/>
        </w:rPr>
      </w:pPr>
    </w:p>
    <w:p w:rsidR="001C38AD" w:rsidRPr="00366E20" w:rsidRDefault="001C38AD" w:rsidP="001C38AD">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proofErr w:type="gramStart"/>
      <w:r>
        <w:rPr>
          <w:rFonts w:ascii="Times New Roman" w:hAnsi="Times New Roman"/>
          <w:color w:val="000080"/>
        </w:rPr>
        <w:t>xxxxxxxxxxx,</w:t>
      </w:r>
      <w:proofErr w:type="gramEnd"/>
      <w:r>
        <w:rPr>
          <w:rFonts w:ascii="Times New Roman" w:hAnsi="Times New Roman"/>
          <w:color w:val="000080"/>
        </w:rPr>
        <w:t xml:space="preserve"> be</w:t>
      </w:r>
      <w:r w:rsidRPr="00366E20">
        <w:rPr>
          <w:rFonts w:ascii="Times New Roman" w:hAnsi="Times New Roman"/>
          <w:color w:val="000080"/>
        </w:rPr>
        <w:t xml:space="preserve"> corrected to show that:</w:t>
      </w:r>
    </w:p>
    <w:p w:rsidR="001C38AD" w:rsidRPr="00366E20" w:rsidRDefault="001C38AD" w:rsidP="001C38AD">
      <w:pPr>
        <w:tabs>
          <w:tab w:val="left" w:pos="720"/>
        </w:tabs>
        <w:spacing w:line="240" w:lineRule="exact"/>
        <w:ind w:right="-360"/>
        <w:rPr>
          <w:rFonts w:ascii="Times New Roman" w:hAnsi="Times New Roman"/>
          <w:color w:val="000080"/>
        </w:rPr>
      </w:pPr>
    </w:p>
    <w:p w:rsidR="001C38AD" w:rsidRDefault="001C38AD" w:rsidP="001C38AD">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t>a.</w:t>
      </w:r>
      <w:proofErr w:type="gramStart"/>
      <w:r>
        <w:rPr>
          <w:rFonts w:ascii="Times New Roman" w:hAnsi="Times New Roman"/>
          <w:color w:val="000080"/>
        </w:rPr>
        <w:t>  </w:t>
      </w:r>
      <w:r w:rsidRPr="00366E20">
        <w:rPr>
          <w:rFonts w:ascii="Times New Roman" w:hAnsi="Times New Roman"/>
          <w:color w:val="000080"/>
        </w:rPr>
        <w:t>The</w:t>
      </w:r>
      <w:proofErr w:type="gramEnd"/>
      <w:r w:rsidRPr="00366E20">
        <w:rPr>
          <w:rFonts w:ascii="Times New Roman" w:hAnsi="Times New Roman"/>
          <w:color w:val="000080"/>
        </w:rPr>
        <w:t xml:space="preserve"> </w:t>
      </w:r>
      <w:r>
        <w:rPr>
          <w:rFonts w:ascii="Times New Roman" w:hAnsi="Times New Roman"/>
          <w:color w:val="000080"/>
        </w:rPr>
        <w:t>diagnosis in his</w:t>
      </w:r>
      <w:r w:rsidRPr="00366E20">
        <w:rPr>
          <w:rFonts w:ascii="Times New Roman" w:hAnsi="Times New Roman"/>
          <w:color w:val="000080"/>
        </w:rPr>
        <w:t xml:space="preserve"> finding of unfitness </w:t>
      </w:r>
      <w:r>
        <w:rPr>
          <w:rFonts w:ascii="Times New Roman" w:hAnsi="Times New Roman"/>
          <w:color w:val="000080"/>
        </w:rPr>
        <w:t>for Asthma, VASRD Code 6602, was rated at 30% rather than 10%.</w:t>
      </w:r>
    </w:p>
    <w:p w:rsidR="001C38AD" w:rsidRDefault="001C38AD" w:rsidP="001C38AD">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1C38AD" w:rsidRPr="00366E20" w:rsidRDefault="001C38AD" w:rsidP="001C38AD">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b</w:t>
      </w:r>
      <w:r w:rsidRPr="00366E20">
        <w:rPr>
          <w:rFonts w:ascii="Times New Roman" w:hAnsi="Times New Roman"/>
          <w:color w:val="000080"/>
        </w:rPr>
        <w:t>.</w:t>
      </w:r>
      <w:proofErr w:type="gramStart"/>
      <w:r w:rsidRPr="00366E20">
        <w:rPr>
          <w:rFonts w:ascii="Times New Roman" w:hAnsi="Times New Roman"/>
          <w:color w:val="000080"/>
        </w:rPr>
        <w:t>  On</w:t>
      </w:r>
      <w:proofErr w:type="gramEnd"/>
      <w:r w:rsidRPr="00366E20">
        <w:rPr>
          <w:rFonts w:ascii="Times New Roman" w:hAnsi="Times New Roman"/>
          <w:color w:val="000080"/>
        </w:rPr>
        <w:t xml:space="preserve"> </w:t>
      </w:r>
      <w:r>
        <w:rPr>
          <w:rFonts w:ascii="Times New Roman" w:hAnsi="Times New Roman"/>
          <w:color w:val="000080"/>
        </w:rPr>
        <w:t xml:space="preserve">6 March 2006, he declined </w:t>
      </w:r>
      <w:r w:rsidRPr="00366E20">
        <w:rPr>
          <w:rFonts w:ascii="Times New Roman" w:hAnsi="Times New Roman"/>
          <w:color w:val="000080"/>
        </w:rPr>
        <w:t>coverage under the Survivor Benefit Plan (SBP)</w:t>
      </w:r>
      <w:r>
        <w:rPr>
          <w:rFonts w:ascii="Times New Roman" w:hAnsi="Times New Roman"/>
          <w:color w:val="000080"/>
        </w:rPr>
        <w:t>.</w:t>
      </w:r>
      <w:r w:rsidRPr="00366E20">
        <w:rPr>
          <w:rFonts w:ascii="Times New Roman" w:hAnsi="Times New Roman"/>
          <w:color w:val="000080"/>
        </w:rPr>
        <w:t xml:space="preserve"> </w:t>
      </w:r>
    </w:p>
    <w:p w:rsidR="001C38AD" w:rsidRPr="00366E20" w:rsidRDefault="001C38AD" w:rsidP="001C38AD">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1C38AD" w:rsidRDefault="001C38AD" w:rsidP="001C38AD">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c</w:t>
      </w:r>
      <w:r w:rsidRPr="00366E20">
        <w:rPr>
          <w:rFonts w:ascii="Times New Roman" w:hAnsi="Times New Roman"/>
          <w:color w:val="000080"/>
        </w:rPr>
        <w:t>.</w:t>
      </w:r>
      <w:proofErr w:type="gramStart"/>
      <w:r>
        <w:rPr>
          <w:rFonts w:ascii="Times New Roman" w:hAnsi="Times New Roman"/>
          <w:color w:val="000080"/>
        </w:rPr>
        <w:t>  H</w:t>
      </w:r>
      <w:r w:rsidRPr="00366E20">
        <w:rPr>
          <w:rFonts w:ascii="Times New Roman" w:hAnsi="Times New Roman"/>
          <w:color w:val="000080"/>
        </w:rPr>
        <w:t>e</w:t>
      </w:r>
      <w:proofErr w:type="gramEnd"/>
      <w:r w:rsidRPr="00366E20">
        <w:rPr>
          <w:rFonts w:ascii="Times New Roman" w:hAnsi="Times New Roman"/>
          <w:color w:val="000080"/>
        </w:rPr>
        <w:t xml:space="preserve"> w</w:t>
      </w:r>
      <w:r>
        <w:rPr>
          <w:rFonts w:ascii="Times New Roman" w:hAnsi="Times New Roman"/>
          <w:color w:val="000080"/>
        </w:rPr>
        <w:t>a</w:t>
      </w:r>
      <w:r w:rsidRPr="00366E20">
        <w:rPr>
          <w:rFonts w:ascii="Times New Roman" w:hAnsi="Times New Roman"/>
          <w:color w:val="000080"/>
        </w:rPr>
        <w:t>s not discharged</w:t>
      </w:r>
      <w:r>
        <w:rPr>
          <w:rFonts w:ascii="Times New Roman" w:hAnsi="Times New Roman"/>
          <w:color w:val="000080"/>
        </w:rPr>
        <w:t xml:space="preserve"> with severance pay</w:t>
      </w:r>
      <w:r w:rsidRPr="00366E20">
        <w:rPr>
          <w:rFonts w:ascii="Times New Roman" w:hAnsi="Times New Roman"/>
          <w:color w:val="000080"/>
        </w:rPr>
        <w:t xml:space="preserve"> on </w:t>
      </w:r>
      <w:r>
        <w:rPr>
          <w:rFonts w:ascii="Times New Roman" w:hAnsi="Times New Roman"/>
          <w:color w:val="000080"/>
        </w:rPr>
        <w:t xml:space="preserve">6 March 2006; </w:t>
      </w:r>
      <w:r w:rsidRPr="00366E20">
        <w:rPr>
          <w:rFonts w:ascii="Times New Roman" w:hAnsi="Times New Roman"/>
          <w:color w:val="000080"/>
        </w:rPr>
        <w:t>rather</w:t>
      </w:r>
      <w:r>
        <w:rPr>
          <w:rFonts w:ascii="Times New Roman" w:hAnsi="Times New Roman"/>
          <w:color w:val="000080"/>
        </w:rPr>
        <w:t xml:space="preserve">, on that date, he was relieved from active duty and on 7 March 2006, his </w:t>
      </w:r>
      <w:r w:rsidRPr="00366E20">
        <w:rPr>
          <w:rFonts w:ascii="Times New Roman" w:hAnsi="Times New Roman"/>
          <w:color w:val="000080"/>
        </w:rPr>
        <w:t>name was placed on the Permanent Disability Retired List</w:t>
      </w:r>
      <w:r>
        <w:rPr>
          <w:rFonts w:ascii="Times New Roman" w:hAnsi="Times New Roman"/>
          <w:color w:val="000080"/>
        </w:rPr>
        <w:t xml:space="preserve">. </w:t>
      </w:r>
      <w:r w:rsidRPr="00366E20">
        <w:rPr>
          <w:rFonts w:ascii="Times New Roman" w:hAnsi="Times New Roman"/>
          <w:color w:val="000080"/>
        </w:rPr>
        <w:t xml:space="preserve"> </w:t>
      </w:r>
    </w:p>
    <w:p w:rsidR="001C38AD" w:rsidRPr="00366E20" w:rsidRDefault="001C38AD" w:rsidP="001C38AD">
      <w:pPr>
        <w:pStyle w:val="BodyText"/>
      </w:pPr>
    </w:p>
    <w:p w:rsidR="001C38AD" w:rsidRDefault="001C38AD" w:rsidP="001C38AD">
      <w:pPr>
        <w:tabs>
          <w:tab w:val="left" w:pos="720"/>
        </w:tabs>
        <w:spacing w:line="240" w:lineRule="exact"/>
        <w:ind w:right="-360"/>
        <w:rPr>
          <w:rFonts w:ascii="Times New Roman" w:hAnsi="Times New Roman"/>
          <w:color w:val="000080"/>
        </w:rPr>
      </w:pPr>
    </w:p>
    <w:p w:rsidR="001C38AD" w:rsidRDefault="001C38AD" w:rsidP="001C38AD">
      <w:pPr>
        <w:tabs>
          <w:tab w:val="left" w:pos="720"/>
        </w:tabs>
        <w:spacing w:line="240" w:lineRule="exact"/>
        <w:ind w:right="-360"/>
        <w:rPr>
          <w:rFonts w:ascii="Times New Roman" w:hAnsi="Times New Roman"/>
          <w:color w:val="000080"/>
        </w:rPr>
      </w:pPr>
    </w:p>
    <w:p w:rsidR="001C38AD" w:rsidRDefault="001C38AD" w:rsidP="001C38AD">
      <w:pPr>
        <w:tabs>
          <w:tab w:val="left" w:pos="720"/>
        </w:tabs>
        <w:spacing w:line="240" w:lineRule="exact"/>
        <w:ind w:right="-360"/>
        <w:rPr>
          <w:rFonts w:ascii="Times New Roman" w:hAnsi="Times New Roman"/>
          <w:color w:val="000080"/>
        </w:rPr>
      </w:pPr>
    </w:p>
    <w:p w:rsidR="001C38AD" w:rsidRDefault="001C38AD" w:rsidP="001C38AD">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1C38AD" w:rsidRDefault="001C38AD" w:rsidP="001C38AD">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1C38AD" w:rsidRDefault="001C38AD" w:rsidP="001C38AD">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sectPr w:rsidR="00114F20" w:rsidRPr="00006186"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7F4" w:rsidRDefault="00F217F4">
      <w:r>
        <w:separator/>
      </w:r>
    </w:p>
  </w:endnote>
  <w:endnote w:type="continuationSeparator" w:id="0">
    <w:p w:rsidR="00F217F4" w:rsidRDefault="00F217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AE0D10" w:rsidRPr="00684CE6" w:rsidRDefault="00F8579F" w:rsidP="00F65ED5">
        <w:pPr>
          <w:pStyle w:val="Footer"/>
          <w:jc w:val="right"/>
          <w:rPr>
            <w:color w:val="auto"/>
          </w:rPr>
        </w:pPr>
        <w:r w:rsidRPr="00684CE6">
          <w:rPr>
            <w:color w:val="auto"/>
          </w:rPr>
          <w:fldChar w:fldCharType="begin"/>
        </w:r>
        <w:r w:rsidR="00AE0D10" w:rsidRPr="00684CE6">
          <w:rPr>
            <w:color w:val="auto"/>
          </w:rPr>
          <w:instrText xml:space="preserve"> PAGE   \* MERGEFORMAT </w:instrText>
        </w:r>
        <w:r w:rsidRPr="00684CE6">
          <w:rPr>
            <w:color w:val="auto"/>
          </w:rPr>
          <w:fldChar w:fldCharType="separate"/>
        </w:r>
        <w:r w:rsidR="001C38AD">
          <w:rPr>
            <w:noProof/>
            <w:color w:val="auto"/>
          </w:rPr>
          <w:t>3</w:t>
        </w:r>
        <w:r w:rsidRPr="00684CE6">
          <w:rPr>
            <w:color w:val="auto"/>
          </w:rPr>
          <w:fldChar w:fldCharType="end"/>
        </w:r>
        <w:r w:rsidR="00AE0D10" w:rsidRPr="00684CE6">
          <w:rPr>
            <w:color w:val="auto"/>
          </w:rPr>
          <w:t xml:space="preserve">                                                   </w:t>
        </w:r>
        <w:r w:rsidR="00AE0D10">
          <w:rPr>
            <w:color w:val="auto"/>
          </w:rPr>
          <w:t xml:space="preserve">    </w:t>
        </w:r>
        <w:r w:rsidR="00AE0D10" w:rsidRPr="00684CE6">
          <w:rPr>
            <w:color w:val="auto"/>
          </w:rPr>
          <w:t xml:space="preserve">        </w:t>
        </w:r>
        <w:r w:rsidR="00AE0D10" w:rsidRPr="005B014D">
          <w:rPr>
            <w:color w:val="auto"/>
          </w:rPr>
          <w:t>PD1000</w:t>
        </w:r>
        <w:r w:rsidR="00AE0D10">
          <w:rPr>
            <w:color w:val="auto"/>
          </w:rPr>
          <w:t>474</w:t>
        </w:r>
      </w:p>
    </w:sdtContent>
  </w:sdt>
  <w:p w:rsidR="00AE0D10" w:rsidRPr="00684CE6" w:rsidRDefault="00AE0D10">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7F4" w:rsidRDefault="00F217F4">
      <w:r>
        <w:separator/>
      </w:r>
    </w:p>
  </w:footnote>
  <w:footnote w:type="continuationSeparator" w:id="0">
    <w:p w:rsidR="00F217F4" w:rsidRDefault="00F217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544C0"/>
    <w:multiLevelType w:val="hybridMultilevel"/>
    <w:tmpl w:val="4DD08B3A"/>
    <w:lvl w:ilvl="0" w:tplc="04090001">
      <w:start w:val="1"/>
      <w:numFmt w:val="bullet"/>
      <w:lvlText w:val=""/>
      <w:lvlJc w:val="left"/>
      <w:pPr>
        <w:ind w:left="720" w:hanging="360"/>
      </w:pPr>
      <w:rPr>
        <w:rFonts w:ascii="Symbol" w:hAnsi="Symbol" w:hint="default"/>
      </w:rPr>
    </w:lvl>
    <w:lvl w:ilvl="1" w:tplc="737844DC">
      <w:start w:val="1"/>
      <w:numFmt w:val="bullet"/>
      <w:lvlText w:val=""/>
      <w:lvlJc w:val="left"/>
      <w:pPr>
        <w:ind w:left="1620" w:hanging="360"/>
      </w:pPr>
      <w:rPr>
        <w:rFonts w:ascii="Symbol" w:hAnsi="Symbol" w:hint="default"/>
        <w:sz w:val="24"/>
        <w:szCs w:val="24"/>
      </w:rPr>
    </w:lvl>
    <w:lvl w:ilvl="2" w:tplc="BD18BA9A">
      <w:start w:val="1"/>
      <w:numFmt w:val="bullet"/>
      <w:lvlText w:val=""/>
      <w:lvlJc w:val="left"/>
      <w:pPr>
        <w:ind w:left="2160" w:hanging="360"/>
      </w:pPr>
      <w:rPr>
        <w:rFonts w:ascii="Wingdings" w:hAnsi="Wingdings"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7B19B1"/>
    <w:multiLevelType w:val="hybridMultilevel"/>
    <w:tmpl w:val="4338092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6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7A733C"/>
    <w:multiLevelType w:val="hybridMultilevel"/>
    <w:tmpl w:val="3FF2B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4">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D68D3"/>
    <w:multiLevelType w:val="hybridMultilevel"/>
    <w:tmpl w:val="7DB4BE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5BEE12B2">
      <w:start w:val="1"/>
      <w:numFmt w:val="bullet"/>
      <w:lvlText w:val=""/>
      <w:lvlJc w:val="left"/>
      <w:pPr>
        <w:ind w:left="2160" w:hanging="360"/>
      </w:pPr>
      <w:rPr>
        <w:rFonts w:ascii="Wingdings" w:hAnsi="Wingdings"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21"/>
  </w:num>
  <w:num w:numId="4">
    <w:abstractNumId w:val="9"/>
  </w:num>
  <w:num w:numId="5">
    <w:abstractNumId w:val="4"/>
  </w:num>
  <w:num w:numId="6">
    <w:abstractNumId w:val="11"/>
  </w:num>
  <w:num w:numId="7">
    <w:abstractNumId w:val="0"/>
  </w:num>
  <w:num w:numId="8">
    <w:abstractNumId w:val="6"/>
  </w:num>
  <w:num w:numId="9">
    <w:abstractNumId w:val="19"/>
  </w:num>
  <w:num w:numId="10">
    <w:abstractNumId w:val="13"/>
  </w:num>
  <w:num w:numId="11">
    <w:abstractNumId w:val="5"/>
  </w:num>
  <w:num w:numId="12">
    <w:abstractNumId w:val="17"/>
  </w:num>
  <w:num w:numId="13">
    <w:abstractNumId w:val="10"/>
  </w:num>
  <w:num w:numId="14">
    <w:abstractNumId w:val="18"/>
  </w:num>
  <w:num w:numId="15">
    <w:abstractNumId w:val="22"/>
  </w:num>
  <w:num w:numId="16">
    <w:abstractNumId w:val="2"/>
  </w:num>
  <w:num w:numId="17">
    <w:abstractNumId w:val="20"/>
  </w:num>
  <w:num w:numId="18">
    <w:abstractNumId w:val="12"/>
  </w:num>
  <w:num w:numId="19">
    <w:abstractNumId w:val="16"/>
  </w:num>
  <w:num w:numId="20">
    <w:abstractNumId w:val="8"/>
  </w:num>
  <w:num w:numId="21">
    <w:abstractNumId w:val="7"/>
  </w:num>
  <w:num w:numId="22">
    <w:abstractNumId w:val="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2221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4A1"/>
    <w:rsid w:val="00040FC4"/>
    <w:rsid w:val="000416F8"/>
    <w:rsid w:val="000417D9"/>
    <w:rsid w:val="00042C26"/>
    <w:rsid w:val="00043382"/>
    <w:rsid w:val="00044623"/>
    <w:rsid w:val="000452D7"/>
    <w:rsid w:val="00051622"/>
    <w:rsid w:val="00051A11"/>
    <w:rsid w:val="00052234"/>
    <w:rsid w:val="00053D7C"/>
    <w:rsid w:val="000575C5"/>
    <w:rsid w:val="000577C9"/>
    <w:rsid w:val="00060EA5"/>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B6C"/>
    <w:rsid w:val="00084CF2"/>
    <w:rsid w:val="00085D7B"/>
    <w:rsid w:val="0008708B"/>
    <w:rsid w:val="00092619"/>
    <w:rsid w:val="00092C66"/>
    <w:rsid w:val="000949DD"/>
    <w:rsid w:val="00094E4F"/>
    <w:rsid w:val="000A2BCE"/>
    <w:rsid w:val="000A33C8"/>
    <w:rsid w:val="000A41E3"/>
    <w:rsid w:val="000A4BBA"/>
    <w:rsid w:val="000A5071"/>
    <w:rsid w:val="000B0AD2"/>
    <w:rsid w:val="000B1022"/>
    <w:rsid w:val="000B2FB8"/>
    <w:rsid w:val="000B4C99"/>
    <w:rsid w:val="000C06F6"/>
    <w:rsid w:val="000C1D34"/>
    <w:rsid w:val="000C2362"/>
    <w:rsid w:val="000C2FA8"/>
    <w:rsid w:val="000C3C13"/>
    <w:rsid w:val="000C4D5F"/>
    <w:rsid w:val="000C53F9"/>
    <w:rsid w:val="000C5813"/>
    <w:rsid w:val="000C75CF"/>
    <w:rsid w:val="000C7B83"/>
    <w:rsid w:val="000C7DE4"/>
    <w:rsid w:val="000D0AE6"/>
    <w:rsid w:val="000D1341"/>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7"/>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020"/>
    <w:rsid w:val="00106AD8"/>
    <w:rsid w:val="00107EC5"/>
    <w:rsid w:val="001103CD"/>
    <w:rsid w:val="001121B2"/>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67048"/>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113D"/>
    <w:rsid w:val="0019273F"/>
    <w:rsid w:val="00193814"/>
    <w:rsid w:val="00193AAB"/>
    <w:rsid w:val="00193AD5"/>
    <w:rsid w:val="00194930"/>
    <w:rsid w:val="00195AAC"/>
    <w:rsid w:val="001A025E"/>
    <w:rsid w:val="001A08CD"/>
    <w:rsid w:val="001A0A1E"/>
    <w:rsid w:val="001A2182"/>
    <w:rsid w:val="001A323E"/>
    <w:rsid w:val="001A4523"/>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38AD"/>
    <w:rsid w:val="001C5BDA"/>
    <w:rsid w:val="001C5CFC"/>
    <w:rsid w:val="001C7231"/>
    <w:rsid w:val="001C7418"/>
    <w:rsid w:val="001C7EBE"/>
    <w:rsid w:val="001D0051"/>
    <w:rsid w:val="001D050C"/>
    <w:rsid w:val="001D169A"/>
    <w:rsid w:val="001D2224"/>
    <w:rsid w:val="001D31AA"/>
    <w:rsid w:val="001D3DC0"/>
    <w:rsid w:val="001D4F88"/>
    <w:rsid w:val="001D5192"/>
    <w:rsid w:val="001D68CF"/>
    <w:rsid w:val="001D6A8C"/>
    <w:rsid w:val="001D7A56"/>
    <w:rsid w:val="001E15C0"/>
    <w:rsid w:val="001E18E0"/>
    <w:rsid w:val="001E18E2"/>
    <w:rsid w:val="001E19D0"/>
    <w:rsid w:val="001E2A30"/>
    <w:rsid w:val="001E2FF1"/>
    <w:rsid w:val="001E41FE"/>
    <w:rsid w:val="001E635C"/>
    <w:rsid w:val="001F0297"/>
    <w:rsid w:val="00200AA0"/>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47E4C"/>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49D"/>
    <w:rsid w:val="0027159C"/>
    <w:rsid w:val="002722F2"/>
    <w:rsid w:val="00273C08"/>
    <w:rsid w:val="0027447E"/>
    <w:rsid w:val="00274549"/>
    <w:rsid w:val="00274E46"/>
    <w:rsid w:val="002752AE"/>
    <w:rsid w:val="002769AF"/>
    <w:rsid w:val="00276C86"/>
    <w:rsid w:val="00276FD0"/>
    <w:rsid w:val="00277217"/>
    <w:rsid w:val="002810A4"/>
    <w:rsid w:val="00282DB6"/>
    <w:rsid w:val="00284A26"/>
    <w:rsid w:val="00285095"/>
    <w:rsid w:val="00287006"/>
    <w:rsid w:val="002918AE"/>
    <w:rsid w:val="00292397"/>
    <w:rsid w:val="00292AB2"/>
    <w:rsid w:val="00293DB6"/>
    <w:rsid w:val="00293FE8"/>
    <w:rsid w:val="00294437"/>
    <w:rsid w:val="00297A45"/>
    <w:rsid w:val="00297E20"/>
    <w:rsid w:val="002A233F"/>
    <w:rsid w:val="002A3237"/>
    <w:rsid w:val="002A4119"/>
    <w:rsid w:val="002A437F"/>
    <w:rsid w:val="002A57C3"/>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3E1F"/>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67B1"/>
    <w:rsid w:val="002E7072"/>
    <w:rsid w:val="002E7570"/>
    <w:rsid w:val="002E764B"/>
    <w:rsid w:val="002F0D6A"/>
    <w:rsid w:val="002F0E28"/>
    <w:rsid w:val="002F287E"/>
    <w:rsid w:val="002F2981"/>
    <w:rsid w:val="002F2D63"/>
    <w:rsid w:val="002F6AD8"/>
    <w:rsid w:val="002F7F81"/>
    <w:rsid w:val="00300A36"/>
    <w:rsid w:val="00301B45"/>
    <w:rsid w:val="00304EED"/>
    <w:rsid w:val="00305856"/>
    <w:rsid w:val="00306191"/>
    <w:rsid w:val="0030678B"/>
    <w:rsid w:val="00306D16"/>
    <w:rsid w:val="00307595"/>
    <w:rsid w:val="00310CD7"/>
    <w:rsid w:val="00313D7A"/>
    <w:rsid w:val="0032136A"/>
    <w:rsid w:val="00322533"/>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6804"/>
    <w:rsid w:val="00367D4F"/>
    <w:rsid w:val="00370743"/>
    <w:rsid w:val="00370EF5"/>
    <w:rsid w:val="0037135B"/>
    <w:rsid w:val="00372251"/>
    <w:rsid w:val="003739F8"/>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125"/>
    <w:rsid w:val="004123D7"/>
    <w:rsid w:val="00412658"/>
    <w:rsid w:val="004129DA"/>
    <w:rsid w:val="00415EA4"/>
    <w:rsid w:val="0041604B"/>
    <w:rsid w:val="004172DB"/>
    <w:rsid w:val="00420A1D"/>
    <w:rsid w:val="00421192"/>
    <w:rsid w:val="00421485"/>
    <w:rsid w:val="004216DA"/>
    <w:rsid w:val="00422B75"/>
    <w:rsid w:val="00424612"/>
    <w:rsid w:val="0042528C"/>
    <w:rsid w:val="00425672"/>
    <w:rsid w:val="00425A6A"/>
    <w:rsid w:val="004264EB"/>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910EB"/>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B7CB5"/>
    <w:rsid w:val="004C00DD"/>
    <w:rsid w:val="004C05CF"/>
    <w:rsid w:val="004C0776"/>
    <w:rsid w:val="004C1EF8"/>
    <w:rsid w:val="004C2063"/>
    <w:rsid w:val="004C24C5"/>
    <w:rsid w:val="004C47D5"/>
    <w:rsid w:val="004C4CAF"/>
    <w:rsid w:val="004C5E33"/>
    <w:rsid w:val="004C60A3"/>
    <w:rsid w:val="004C6CDA"/>
    <w:rsid w:val="004D10D4"/>
    <w:rsid w:val="004D16BD"/>
    <w:rsid w:val="004D2AAB"/>
    <w:rsid w:val="004D2FE8"/>
    <w:rsid w:val="004D6E90"/>
    <w:rsid w:val="004D6F2B"/>
    <w:rsid w:val="004E0248"/>
    <w:rsid w:val="004E21A3"/>
    <w:rsid w:val="004E32EA"/>
    <w:rsid w:val="004E4B32"/>
    <w:rsid w:val="004E5989"/>
    <w:rsid w:val="004E6866"/>
    <w:rsid w:val="004F0C58"/>
    <w:rsid w:val="004F3222"/>
    <w:rsid w:val="004F3639"/>
    <w:rsid w:val="004F3BFA"/>
    <w:rsid w:val="004F4E3C"/>
    <w:rsid w:val="004F5A1A"/>
    <w:rsid w:val="004F77A3"/>
    <w:rsid w:val="005000AB"/>
    <w:rsid w:val="00500F3C"/>
    <w:rsid w:val="00502369"/>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AEC"/>
    <w:rsid w:val="00555C66"/>
    <w:rsid w:val="005569EF"/>
    <w:rsid w:val="00556BDE"/>
    <w:rsid w:val="00560652"/>
    <w:rsid w:val="00560D57"/>
    <w:rsid w:val="00562A94"/>
    <w:rsid w:val="00563FAD"/>
    <w:rsid w:val="005701C1"/>
    <w:rsid w:val="005703BF"/>
    <w:rsid w:val="00570754"/>
    <w:rsid w:val="005709F7"/>
    <w:rsid w:val="005710A9"/>
    <w:rsid w:val="005710F8"/>
    <w:rsid w:val="00571B11"/>
    <w:rsid w:val="00571D1B"/>
    <w:rsid w:val="00571DA3"/>
    <w:rsid w:val="005738F5"/>
    <w:rsid w:val="00573D34"/>
    <w:rsid w:val="00575963"/>
    <w:rsid w:val="00575B47"/>
    <w:rsid w:val="00575EBE"/>
    <w:rsid w:val="0058039C"/>
    <w:rsid w:val="00580A63"/>
    <w:rsid w:val="00582DD4"/>
    <w:rsid w:val="00583379"/>
    <w:rsid w:val="0058417C"/>
    <w:rsid w:val="00586EC6"/>
    <w:rsid w:val="00587DDE"/>
    <w:rsid w:val="00593043"/>
    <w:rsid w:val="00595B60"/>
    <w:rsid w:val="00595BF0"/>
    <w:rsid w:val="00597E16"/>
    <w:rsid w:val="005A0B1D"/>
    <w:rsid w:val="005A1846"/>
    <w:rsid w:val="005A258C"/>
    <w:rsid w:val="005A3560"/>
    <w:rsid w:val="005A464E"/>
    <w:rsid w:val="005A62FC"/>
    <w:rsid w:val="005A6C99"/>
    <w:rsid w:val="005A7D5D"/>
    <w:rsid w:val="005B0040"/>
    <w:rsid w:val="005B011A"/>
    <w:rsid w:val="005B014D"/>
    <w:rsid w:val="005B0283"/>
    <w:rsid w:val="005B1ADA"/>
    <w:rsid w:val="005B1D8F"/>
    <w:rsid w:val="005B1E94"/>
    <w:rsid w:val="005B53D0"/>
    <w:rsid w:val="005B5B3D"/>
    <w:rsid w:val="005B64CF"/>
    <w:rsid w:val="005C0E87"/>
    <w:rsid w:val="005C148E"/>
    <w:rsid w:val="005C16F3"/>
    <w:rsid w:val="005C3758"/>
    <w:rsid w:val="005C4D72"/>
    <w:rsid w:val="005C50C1"/>
    <w:rsid w:val="005C62C2"/>
    <w:rsid w:val="005D2306"/>
    <w:rsid w:val="005D4A74"/>
    <w:rsid w:val="005D5E91"/>
    <w:rsid w:val="005D67EF"/>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A7CC6"/>
    <w:rsid w:val="006B07D5"/>
    <w:rsid w:val="006B1309"/>
    <w:rsid w:val="006B31E6"/>
    <w:rsid w:val="006B3923"/>
    <w:rsid w:val="006B3D56"/>
    <w:rsid w:val="006B3F3E"/>
    <w:rsid w:val="006B4AA2"/>
    <w:rsid w:val="006B53C4"/>
    <w:rsid w:val="006B586B"/>
    <w:rsid w:val="006B5923"/>
    <w:rsid w:val="006B67D9"/>
    <w:rsid w:val="006B6C14"/>
    <w:rsid w:val="006B715E"/>
    <w:rsid w:val="006B7832"/>
    <w:rsid w:val="006C1D6E"/>
    <w:rsid w:val="006C2EF6"/>
    <w:rsid w:val="006C3A68"/>
    <w:rsid w:val="006C3B08"/>
    <w:rsid w:val="006C6AB1"/>
    <w:rsid w:val="006C6E6B"/>
    <w:rsid w:val="006D145F"/>
    <w:rsid w:val="006D2000"/>
    <w:rsid w:val="006D2D39"/>
    <w:rsid w:val="006D2F31"/>
    <w:rsid w:val="006D3708"/>
    <w:rsid w:val="006D4250"/>
    <w:rsid w:val="006D4E0E"/>
    <w:rsid w:val="006D5861"/>
    <w:rsid w:val="006D5CE2"/>
    <w:rsid w:val="006D7854"/>
    <w:rsid w:val="006E06D1"/>
    <w:rsid w:val="006E1313"/>
    <w:rsid w:val="006E2DC8"/>
    <w:rsid w:val="006E4E3A"/>
    <w:rsid w:val="006E5491"/>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B2"/>
    <w:rsid w:val="00773AF7"/>
    <w:rsid w:val="00774FFD"/>
    <w:rsid w:val="00776232"/>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7D1"/>
    <w:rsid w:val="007B0A06"/>
    <w:rsid w:val="007B0B24"/>
    <w:rsid w:val="007B1C83"/>
    <w:rsid w:val="007B39B6"/>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BB7"/>
    <w:rsid w:val="007D3F86"/>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6EF7"/>
    <w:rsid w:val="007E71B1"/>
    <w:rsid w:val="007E7B4E"/>
    <w:rsid w:val="007E7F02"/>
    <w:rsid w:val="007F0292"/>
    <w:rsid w:val="007F0AB7"/>
    <w:rsid w:val="007F0CE2"/>
    <w:rsid w:val="007F0EFF"/>
    <w:rsid w:val="007F1375"/>
    <w:rsid w:val="007F1AFD"/>
    <w:rsid w:val="007F30E4"/>
    <w:rsid w:val="0080064F"/>
    <w:rsid w:val="00800DE8"/>
    <w:rsid w:val="00801B85"/>
    <w:rsid w:val="00803850"/>
    <w:rsid w:val="008039E8"/>
    <w:rsid w:val="00804385"/>
    <w:rsid w:val="00804E0E"/>
    <w:rsid w:val="00805AFD"/>
    <w:rsid w:val="008078D8"/>
    <w:rsid w:val="0080798E"/>
    <w:rsid w:val="00811D5B"/>
    <w:rsid w:val="00813C51"/>
    <w:rsid w:val="008157DC"/>
    <w:rsid w:val="00816CCB"/>
    <w:rsid w:val="00817572"/>
    <w:rsid w:val="00817713"/>
    <w:rsid w:val="008208C3"/>
    <w:rsid w:val="008220F1"/>
    <w:rsid w:val="0082340B"/>
    <w:rsid w:val="00823D6A"/>
    <w:rsid w:val="0082782C"/>
    <w:rsid w:val="00827B29"/>
    <w:rsid w:val="00827DB6"/>
    <w:rsid w:val="008304B2"/>
    <w:rsid w:val="00830999"/>
    <w:rsid w:val="00830D5E"/>
    <w:rsid w:val="00830F69"/>
    <w:rsid w:val="008324D9"/>
    <w:rsid w:val="008331C7"/>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2E3C"/>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2AA"/>
    <w:rsid w:val="0087566D"/>
    <w:rsid w:val="00875B50"/>
    <w:rsid w:val="00875B51"/>
    <w:rsid w:val="00875F2D"/>
    <w:rsid w:val="008764DC"/>
    <w:rsid w:val="008821F2"/>
    <w:rsid w:val="00882CC2"/>
    <w:rsid w:val="0088325A"/>
    <w:rsid w:val="00883930"/>
    <w:rsid w:val="00884535"/>
    <w:rsid w:val="00887B36"/>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1EC3"/>
    <w:rsid w:val="008D29E7"/>
    <w:rsid w:val="008D5104"/>
    <w:rsid w:val="008D75F4"/>
    <w:rsid w:val="008D795D"/>
    <w:rsid w:val="008D7B07"/>
    <w:rsid w:val="008E0AC5"/>
    <w:rsid w:val="008E0D8F"/>
    <w:rsid w:val="008E0F4E"/>
    <w:rsid w:val="008E1E94"/>
    <w:rsid w:val="008E2D99"/>
    <w:rsid w:val="008E30D4"/>
    <w:rsid w:val="008E38B0"/>
    <w:rsid w:val="008E4A60"/>
    <w:rsid w:val="008E744D"/>
    <w:rsid w:val="008F1E08"/>
    <w:rsid w:val="008F445D"/>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9BA"/>
    <w:rsid w:val="00926FCB"/>
    <w:rsid w:val="009303BB"/>
    <w:rsid w:val="0093108A"/>
    <w:rsid w:val="0093311A"/>
    <w:rsid w:val="009346D0"/>
    <w:rsid w:val="009419B4"/>
    <w:rsid w:val="00941A4C"/>
    <w:rsid w:val="00942645"/>
    <w:rsid w:val="00944A04"/>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32E"/>
    <w:rsid w:val="009818AF"/>
    <w:rsid w:val="00981B1C"/>
    <w:rsid w:val="0098222D"/>
    <w:rsid w:val="00985099"/>
    <w:rsid w:val="00985A7B"/>
    <w:rsid w:val="00985D32"/>
    <w:rsid w:val="00986514"/>
    <w:rsid w:val="0098694D"/>
    <w:rsid w:val="00986FCC"/>
    <w:rsid w:val="009935C3"/>
    <w:rsid w:val="0099421F"/>
    <w:rsid w:val="00994FC8"/>
    <w:rsid w:val="009A0DE3"/>
    <w:rsid w:val="009A1643"/>
    <w:rsid w:val="009A215A"/>
    <w:rsid w:val="009A49D3"/>
    <w:rsid w:val="009A4F1B"/>
    <w:rsid w:val="009A66C5"/>
    <w:rsid w:val="009A66E7"/>
    <w:rsid w:val="009A79BA"/>
    <w:rsid w:val="009B14D1"/>
    <w:rsid w:val="009B1534"/>
    <w:rsid w:val="009B4963"/>
    <w:rsid w:val="009B4A3B"/>
    <w:rsid w:val="009B6607"/>
    <w:rsid w:val="009B69D3"/>
    <w:rsid w:val="009B7BA7"/>
    <w:rsid w:val="009B7C01"/>
    <w:rsid w:val="009C0938"/>
    <w:rsid w:val="009C0C22"/>
    <w:rsid w:val="009C15D9"/>
    <w:rsid w:val="009C1A8F"/>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0C91"/>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CED"/>
    <w:rsid w:val="00A06F66"/>
    <w:rsid w:val="00A0798C"/>
    <w:rsid w:val="00A07BDD"/>
    <w:rsid w:val="00A07F12"/>
    <w:rsid w:val="00A1105B"/>
    <w:rsid w:val="00A117ED"/>
    <w:rsid w:val="00A1213C"/>
    <w:rsid w:val="00A130E8"/>
    <w:rsid w:val="00A148FC"/>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3E23"/>
    <w:rsid w:val="00A65C78"/>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047"/>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A60"/>
    <w:rsid w:val="00AB1F8D"/>
    <w:rsid w:val="00AB27DD"/>
    <w:rsid w:val="00AB36B5"/>
    <w:rsid w:val="00AB592E"/>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0D10"/>
    <w:rsid w:val="00AE1273"/>
    <w:rsid w:val="00AE1709"/>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2DFA"/>
    <w:rsid w:val="00B33007"/>
    <w:rsid w:val="00B331A9"/>
    <w:rsid w:val="00B33498"/>
    <w:rsid w:val="00B33598"/>
    <w:rsid w:val="00B36569"/>
    <w:rsid w:val="00B37345"/>
    <w:rsid w:val="00B37F53"/>
    <w:rsid w:val="00B40A05"/>
    <w:rsid w:val="00B40A3E"/>
    <w:rsid w:val="00B41DFC"/>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55A"/>
    <w:rsid w:val="00BA5BE2"/>
    <w:rsid w:val="00BA7F46"/>
    <w:rsid w:val="00BB0A0A"/>
    <w:rsid w:val="00BB133C"/>
    <w:rsid w:val="00BB1B84"/>
    <w:rsid w:val="00BB1F04"/>
    <w:rsid w:val="00BB45B5"/>
    <w:rsid w:val="00BB4DDE"/>
    <w:rsid w:val="00BB6064"/>
    <w:rsid w:val="00BB65CE"/>
    <w:rsid w:val="00BB7012"/>
    <w:rsid w:val="00BC09D1"/>
    <w:rsid w:val="00BC19A3"/>
    <w:rsid w:val="00BC1CF3"/>
    <w:rsid w:val="00BC2BE0"/>
    <w:rsid w:val="00BC3573"/>
    <w:rsid w:val="00BC4C88"/>
    <w:rsid w:val="00BC7F82"/>
    <w:rsid w:val="00BD2A49"/>
    <w:rsid w:val="00BD3683"/>
    <w:rsid w:val="00BD40AB"/>
    <w:rsid w:val="00BD6297"/>
    <w:rsid w:val="00BD6806"/>
    <w:rsid w:val="00BD7433"/>
    <w:rsid w:val="00BD7831"/>
    <w:rsid w:val="00BD7C10"/>
    <w:rsid w:val="00BE046F"/>
    <w:rsid w:val="00BE062D"/>
    <w:rsid w:val="00BE0DEB"/>
    <w:rsid w:val="00BE2AB8"/>
    <w:rsid w:val="00BE2FC1"/>
    <w:rsid w:val="00BE3142"/>
    <w:rsid w:val="00BE4039"/>
    <w:rsid w:val="00BE6365"/>
    <w:rsid w:val="00BF01B7"/>
    <w:rsid w:val="00BF0B7F"/>
    <w:rsid w:val="00BF0D4A"/>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5D56"/>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C73"/>
    <w:rsid w:val="00CA282D"/>
    <w:rsid w:val="00CA3411"/>
    <w:rsid w:val="00CA3F73"/>
    <w:rsid w:val="00CA4670"/>
    <w:rsid w:val="00CA5F89"/>
    <w:rsid w:val="00CA6B1A"/>
    <w:rsid w:val="00CB1B18"/>
    <w:rsid w:val="00CB20DC"/>
    <w:rsid w:val="00CB23DC"/>
    <w:rsid w:val="00CB2487"/>
    <w:rsid w:val="00CB28E2"/>
    <w:rsid w:val="00CB2F20"/>
    <w:rsid w:val="00CB58AE"/>
    <w:rsid w:val="00CB758D"/>
    <w:rsid w:val="00CB7A3E"/>
    <w:rsid w:val="00CB7FF7"/>
    <w:rsid w:val="00CC0D0E"/>
    <w:rsid w:val="00CC1253"/>
    <w:rsid w:val="00CC1616"/>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27BDD"/>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1072"/>
    <w:rsid w:val="00D81E49"/>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5D3F"/>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452"/>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35DD"/>
    <w:rsid w:val="00DF5C84"/>
    <w:rsid w:val="00DF6EF8"/>
    <w:rsid w:val="00E00A69"/>
    <w:rsid w:val="00E017BC"/>
    <w:rsid w:val="00E017F0"/>
    <w:rsid w:val="00E01A0E"/>
    <w:rsid w:val="00E032C8"/>
    <w:rsid w:val="00E0346A"/>
    <w:rsid w:val="00E041E4"/>
    <w:rsid w:val="00E04AEE"/>
    <w:rsid w:val="00E1012B"/>
    <w:rsid w:val="00E103C8"/>
    <w:rsid w:val="00E1085B"/>
    <w:rsid w:val="00E1308B"/>
    <w:rsid w:val="00E13C79"/>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26CA"/>
    <w:rsid w:val="00E42789"/>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2CB6"/>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3525"/>
    <w:rsid w:val="00F0424D"/>
    <w:rsid w:val="00F04957"/>
    <w:rsid w:val="00F05807"/>
    <w:rsid w:val="00F06451"/>
    <w:rsid w:val="00F07052"/>
    <w:rsid w:val="00F0706C"/>
    <w:rsid w:val="00F10AB4"/>
    <w:rsid w:val="00F11EBE"/>
    <w:rsid w:val="00F12293"/>
    <w:rsid w:val="00F12BA8"/>
    <w:rsid w:val="00F130D0"/>
    <w:rsid w:val="00F14933"/>
    <w:rsid w:val="00F1516A"/>
    <w:rsid w:val="00F15EE5"/>
    <w:rsid w:val="00F171F9"/>
    <w:rsid w:val="00F1737C"/>
    <w:rsid w:val="00F217F4"/>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30A1"/>
    <w:rsid w:val="00F5580D"/>
    <w:rsid w:val="00F564A2"/>
    <w:rsid w:val="00F56EA1"/>
    <w:rsid w:val="00F57163"/>
    <w:rsid w:val="00F606D5"/>
    <w:rsid w:val="00F611B3"/>
    <w:rsid w:val="00F6196E"/>
    <w:rsid w:val="00F624DD"/>
    <w:rsid w:val="00F629C0"/>
    <w:rsid w:val="00F63FC7"/>
    <w:rsid w:val="00F65E1F"/>
    <w:rsid w:val="00F65ED5"/>
    <w:rsid w:val="00F6608B"/>
    <w:rsid w:val="00F6636A"/>
    <w:rsid w:val="00F667C5"/>
    <w:rsid w:val="00F67E31"/>
    <w:rsid w:val="00F718A8"/>
    <w:rsid w:val="00F72183"/>
    <w:rsid w:val="00F7230B"/>
    <w:rsid w:val="00F76D01"/>
    <w:rsid w:val="00F80B43"/>
    <w:rsid w:val="00F81C35"/>
    <w:rsid w:val="00F82981"/>
    <w:rsid w:val="00F82DB0"/>
    <w:rsid w:val="00F8311F"/>
    <w:rsid w:val="00F83248"/>
    <w:rsid w:val="00F83376"/>
    <w:rsid w:val="00F853AE"/>
    <w:rsid w:val="00F8579F"/>
    <w:rsid w:val="00F908D5"/>
    <w:rsid w:val="00F913B9"/>
    <w:rsid w:val="00F93C74"/>
    <w:rsid w:val="00F93DCC"/>
    <w:rsid w:val="00F9435D"/>
    <w:rsid w:val="00F966F9"/>
    <w:rsid w:val="00F96F61"/>
    <w:rsid w:val="00F97740"/>
    <w:rsid w:val="00FA0C83"/>
    <w:rsid w:val="00FA0C8F"/>
    <w:rsid w:val="00FA2DEF"/>
    <w:rsid w:val="00FA2F7B"/>
    <w:rsid w:val="00FA3C97"/>
    <w:rsid w:val="00FA3D30"/>
    <w:rsid w:val="00FA3EB4"/>
    <w:rsid w:val="00FA4B49"/>
    <w:rsid w:val="00FA54F8"/>
    <w:rsid w:val="00FA78C8"/>
    <w:rsid w:val="00FA7A2F"/>
    <w:rsid w:val="00FA7BC2"/>
    <w:rsid w:val="00FB09FE"/>
    <w:rsid w:val="00FB0E80"/>
    <w:rsid w:val="00FB101D"/>
    <w:rsid w:val="00FB1725"/>
    <w:rsid w:val="00FB2493"/>
    <w:rsid w:val="00FB310F"/>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4E5989"/>
    <w:pPr>
      <w:autoSpaceDE w:val="0"/>
      <w:autoSpaceDN w:val="0"/>
      <w:adjustRightInd w:val="0"/>
    </w:pPr>
    <w:rPr>
      <w:rFonts w:ascii="Times New Roman" w:hAnsi="Times New Roman"/>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4160D-8012-48B0-A08F-CCF2004C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9</cp:revision>
  <cp:lastPrinted>2011-08-24T18:29:00Z</cp:lastPrinted>
  <dcterms:created xsi:type="dcterms:W3CDTF">2011-07-27T14:53:00Z</dcterms:created>
  <dcterms:modified xsi:type="dcterms:W3CDTF">2012-05-14T21:44:00Z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