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6F08D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6F08D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6F08D8">
      <w:pPr>
        <w:tabs>
          <w:tab w:val="left" w:pos="288"/>
          <w:tab w:val="left" w:pos="4752"/>
        </w:tabs>
        <w:spacing w:line="240" w:lineRule="exact"/>
        <w:jc w:val="both"/>
        <w:rPr>
          <w:rFonts w:asciiTheme="minorHAnsi" w:hAnsiTheme="minorHAnsi"/>
          <w:caps/>
          <w:color w:val="auto"/>
        </w:rPr>
      </w:pPr>
    </w:p>
    <w:p w:rsidR="00E0346A" w:rsidRDefault="00F629C0" w:rsidP="006D38C5">
      <w:pPr>
        <w:tabs>
          <w:tab w:val="left" w:pos="288"/>
          <w:tab w:val="left" w:pos="4752"/>
          <w:tab w:val="left" w:pos="594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6D38C5">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7203D4">
        <w:rPr>
          <w:rFonts w:asciiTheme="minorHAnsi" w:hAnsiTheme="minorHAnsi"/>
          <w:caps/>
          <w:color w:val="auto"/>
        </w:rPr>
        <w:t xml:space="preserve">                                     </w:t>
      </w:r>
      <w:r w:rsidR="00253C1C">
        <w:rPr>
          <w:rFonts w:asciiTheme="minorHAnsi" w:hAnsiTheme="minorHAnsi"/>
          <w:caps/>
          <w:color w:val="auto"/>
        </w:rPr>
        <w:t xml:space="preserve">       </w:t>
      </w:r>
      <w:r w:rsidR="006D38C5">
        <w:rPr>
          <w:rFonts w:asciiTheme="minorHAnsi" w:hAnsiTheme="minorHAnsi"/>
          <w:caps/>
          <w:color w:val="auto"/>
        </w:rPr>
        <w:tab/>
      </w:r>
      <w:r w:rsidR="006D38C5">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7203D4">
        <w:rPr>
          <w:rFonts w:asciiTheme="minorHAnsi" w:hAnsiTheme="minorHAnsi"/>
          <w:caps/>
          <w:color w:val="auto"/>
        </w:rPr>
        <w:t>air force</w:t>
      </w:r>
    </w:p>
    <w:p w:rsidR="00DE3AAD" w:rsidRDefault="00012733" w:rsidP="006F08D8">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7203D4">
        <w:rPr>
          <w:rFonts w:asciiTheme="minorHAnsi" w:hAnsiTheme="minorHAnsi"/>
          <w:caps/>
          <w:color w:val="auto"/>
        </w:rPr>
        <w:t>PD1000</w:t>
      </w:r>
      <w:r w:rsidR="007203D4">
        <w:rPr>
          <w:rFonts w:asciiTheme="minorHAnsi" w:hAnsiTheme="minorHAnsi"/>
          <w:caps/>
          <w:color w:val="auto"/>
        </w:rPr>
        <w:t>462</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7203D4">
        <w:rPr>
          <w:rFonts w:asciiTheme="minorHAnsi" w:hAnsiTheme="minorHAnsi"/>
          <w:color w:val="auto"/>
        </w:rPr>
        <w:t xml:space="preserve"> </w:t>
      </w:r>
      <w:r w:rsidR="00253C1C">
        <w:rPr>
          <w:rFonts w:asciiTheme="minorHAnsi" w:hAnsiTheme="minorHAnsi"/>
          <w:color w:val="auto"/>
        </w:rPr>
        <w:t xml:space="preserve">      </w:t>
      </w:r>
      <w:r w:rsidR="00DE3AAD" w:rsidRPr="00DE3AAD">
        <w:rPr>
          <w:rFonts w:asciiTheme="minorHAnsi" w:hAnsiTheme="minorHAnsi"/>
          <w:color w:val="auto"/>
        </w:rPr>
        <w:t>SEPARATION DATE:  200</w:t>
      </w:r>
      <w:r w:rsidR="007203D4">
        <w:rPr>
          <w:rFonts w:asciiTheme="minorHAnsi" w:hAnsiTheme="minorHAnsi"/>
          <w:color w:val="auto"/>
        </w:rPr>
        <w:t>805</w:t>
      </w:r>
      <w:r w:rsidR="009F6E12">
        <w:rPr>
          <w:rFonts w:asciiTheme="minorHAnsi" w:hAnsiTheme="minorHAnsi"/>
          <w:color w:val="auto"/>
        </w:rPr>
        <w:t>2</w:t>
      </w:r>
      <w:r w:rsidR="007203D4">
        <w:rPr>
          <w:rFonts w:asciiTheme="minorHAnsi" w:hAnsiTheme="minorHAnsi"/>
          <w:color w:val="auto"/>
        </w:rPr>
        <w:t>8</w:t>
      </w:r>
    </w:p>
    <w:p w:rsidR="004F3639" w:rsidRPr="00FD6C41" w:rsidRDefault="004F3639" w:rsidP="006F08D8">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0E1ADE">
        <w:rPr>
          <w:rFonts w:asciiTheme="minorHAnsi" w:hAnsiTheme="minorHAnsi"/>
          <w:caps/>
          <w:color w:val="auto"/>
        </w:rPr>
        <w:t>1222</w:t>
      </w:r>
    </w:p>
    <w:p w:rsidR="008E0D8F" w:rsidRDefault="008E0D8F" w:rsidP="006F08D8">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6F08D8">
      <w:pPr>
        <w:tabs>
          <w:tab w:val="left" w:pos="288"/>
          <w:tab w:val="left" w:pos="4752"/>
        </w:tabs>
        <w:spacing w:line="240" w:lineRule="exact"/>
        <w:jc w:val="both"/>
        <w:rPr>
          <w:rFonts w:asciiTheme="minorHAnsi" w:hAnsiTheme="minorHAnsi"/>
          <w:color w:val="auto"/>
        </w:rPr>
      </w:pPr>
    </w:p>
    <w:p w:rsidR="00F63FC7" w:rsidRPr="00F20B89" w:rsidRDefault="00FB0E80" w:rsidP="006F08D8">
      <w:pPr>
        <w:tabs>
          <w:tab w:val="left" w:pos="288"/>
          <w:tab w:val="left" w:pos="4752"/>
        </w:tabs>
        <w:spacing w:line="240" w:lineRule="exact"/>
        <w:jc w:val="both"/>
        <w:rPr>
          <w:color w:val="auto"/>
        </w:rPr>
      </w:pPr>
      <w:r w:rsidRPr="00F20B89">
        <w:rPr>
          <w:color w:val="auto"/>
          <w:u w:val="single"/>
        </w:rPr>
        <w:t>SUMMARY OF CASE</w:t>
      </w:r>
      <w:r w:rsidRPr="00F20B89">
        <w:rPr>
          <w:color w:val="auto"/>
        </w:rPr>
        <w:t xml:space="preserve">:  </w:t>
      </w:r>
      <w:r w:rsidR="009759C2" w:rsidRPr="00F20B89">
        <w:rPr>
          <w:color w:val="auto"/>
        </w:rPr>
        <w:t>Data extracted from the available evidence of record reflects that this covered individual (CI)</w:t>
      </w:r>
      <w:r w:rsidR="00570754" w:rsidRPr="00F20B89">
        <w:rPr>
          <w:color w:val="auto"/>
        </w:rPr>
        <w:t xml:space="preserve"> </w:t>
      </w:r>
      <w:r w:rsidR="002C6E5B" w:rsidRPr="00EF0673">
        <w:rPr>
          <w:color w:val="auto"/>
        </w:rPr>
        <w:t xml:space="preserve">was </w:t>
      </w:r>
      <w:r w:rsidR="00E322F7" w:rsidRPr="00EF0673">
        <w:rPr>
          <w:color w:val="auto"/>
        </w:rPr>
        <w:t>an active duty</w:t>
      </w:r>
      <w:r w:rsidR="006D4E0E" w:rsidRPr="00EF0673">
        <w:rPr>
          <w:color w:val="auto"/>
        </w:rPr>
        <w:t xml:space="preserve"> </w:t>
      </w:r>
      <w:r w:rsidR="002E65E6" w:rsidRPr="00EF0673">
        <w:rPr>
          <w:color w:val="auto"/>
        </w:rPr>
        <w:t>member,</w:t>
      </w:r>
      <w:r w:rsidR="006D4E0E" w:rsidRPr="00EF0673">
        <w:rPr>
          <w:color w:val="auto"/>
        </w:rPr>
        <w:t xml:space="preserve"> </w:t>
      </w:r>
      <w:r w:rsidR="004D5A75" w:rsidRPr="00EF0673">
        <w:rPr>
          <w:color w:val="auto"/>
        </w:rPr>
        <w:t>SRA/E-4</w:t>
      </w:r>
      <w:r w:rsidR="00705C40" w:rsidRPr="00EF0673">
        <w:rPr>
          <w:color w:val="auto"/>
        </w:rPr>
        <w:t xml:space="preserve"> (</w:t>
      </w:r>
      <w:r w:rsidR="004D5A75" w:rsidRPr="00EF0673">
        <w:rPr>
          <w:color w:val="auto"/>
        </w:rPr>
        <w:t>1C651</w:t>
      </w:r>
      <w:r w:rsidR="00C75F3D" w:rsidRPr="00EF0673">
        <w:rPr>
          <w:color w:val="auto"/>
        </w:rPr>
        <w:t xml:space="preserve">, </w:t>
      </w:r>
      <w:r w:rsidR="004D5A75" w:rsidRPr="00EF0673">
        <w:rPr>
          <w:color w:val="auto"/>
        </w:rPr>
        <w:t>Space System Operations Journeyman</w:t>
      </w:r>
      <w:r w:rsidR="00E322F7" w:rsidRPr="00EF0673">
        <w:rPr>
          <w:color w:val="auto"/>
        </w:rPr>
        <w:t>)</w:t>
      </w:r>
      <w:r w:rsidR="00C75F3D" w:rsidRPr="00EF0673">
        <w:rPr>
          <w:color w:val="auto"/>
        </w:rPr>
        <w:t xml:space="preserve">, </w:t>
      </w:r>
      <w:r w:rsidR="002C6E5B" w:rsidRPr="00EF0673">
        <w:rPr>
          <w:color w:val="auto"/>
        </w:rPr>
        <w:t>medically separated for</w:t>
      </w:r>
      <w:r w:rsidR="004D5A75" w:rsidRPr="00EF0673">
        <w:rPr>
          <w:color w:val="auto"/>
        </w:rPr>
        <w:t xml:space="preserve"> </w:t>
      </w:r>
      <w:r w:rsidR="0048331D" w:rsidRPr="00EF0673">
        <w:rPr>
          <w:color w:val="auto"/>
        </w:rPr>
        <w:t xml:space="preserve">neuropathy of the </w:t>
      </w:r>
      <w:r w:rsidR="004D5A75" w:rsidRPr="00EF0673">
        <w:rPr>
          <w:color w:val="auto"/>
        </w:rPr>
        <w:t>right</w:t>
      </w:r>
      <w:r w:rsidR="0048331D" w:rsidRPr="00EF0673">
        <w:rPr>
          <w:color w:val="auto"/>
        </w:rPr>
        <w:t xml:space="preserve"> </w:t>
      </w:r>
      <w:r w:rsidR="004D5A75" w:rsidRPr="00EF0673">
        <w:rPr>
          <w:color w:val="auto"/>
        </w:rPr>
        <w:t xml:space="preserve">ankle </w:t>
      </w:r>
      <w:r w:rsidR="0048331D" w:rsidRPr="00EF0673">
        <w:rPr>
          <w:color w:val="auto"/>
        </w:rPr>
        <w:t xml:space="preserve">with </w:t>
      </w:r>
      <w:r w:rsidR="004D5A75" w:rsidRPr="00EF0673">
        <w:rPr>
          <w:color w:val="auto"/>
        </w:rPr>
        <w:t>pain and numbness</w:t>
      </w:r>
      <w:r w:rsidR="00C75F3D" w:rsidRPr="00EF0673">
        <w:rPr>
          <w:color w:val="auto"/>
        </w:rPr>
        <w:t>.</w:t>
      </w:r>
      <w:r w:rsidR="003D2494">
        <w:rPr>
          <w:color w:val="auto"/>
        </w:rPr>
        <w:t xml:space="preserve">  </w:t>
      </w:r>
      <w:r w:rsidR="00E322F7" w:rsidRPr="00EF0673">
        <w:rPr>
          <w:color w:val="auto"/>
        </w:rPr>
        <w:t xml:space="preserve">He did not respond adequately </w:t>
      </w:r>
      <w:r w:rsidR="00C75F3D" w:rsidRPr="00EF0673">
        <w:rPr>
          <w:color w:val="auto"/>
        </w:rPr>
        <w:t xml:space="preserve">to treatment and was unable to </w:t>
      </w:r>
      <w:r w:rsidR="00E322F7" w:rsidRPr="00EF0673">
        <w:rPr>
          <w:color w:val="auto"/>
        </w:rPr>
        <w:t xml:space="preserve">perform within his </w:t>
      </w:r>
      <w:r w:rsidR="009020ED" w:rsidRPr="00EF0673">
        <w:rPr>
          <w:color w:val="auto"/>
        </w:rPr>
        <w:t xml:space="preserve">Air Force </w:t>
      </w:r>
      <w:r w:rsidR="00253C1C" w:rsidRPr="00EF0673">
        <w:rPr>
          <w:color w:val="auto"/>
        </w:rPr>
        <w:t xml:space="preserve">career field </w:t>
      </w:r>
      <w:r w:rsidR="002752AE" w:rsidRPr="00EF0673">
        <w:rPr>
          <w:color w:val="auto"/>
        </w:rPr>
        <w:t xml:space="preserve">or meet </w:t>
      </w:r>
      <w:r w:rsidR="0044411E" w:rsidRPr="00EF0673">
        <w:rPr>
          <w:color w:val="auto"/>
        </w:rPr>
        <w:t xml:space="preserve">physical fitness </w:t>
      </w:r>
      <w:r w:rsidR="002752AE" w:rsidRPr="00EF0673">
        <w:rPr>
          <w:color w:val="auto"/>
        </w:rPr>
        <w:t>standards</w:t>
      </w:r>
      <w:r w:rsidR="00555C66" w:rsidRPr="00EF0673">
        <w:rPr>
          <w:color w:val="auto"/>
        </w:rPr>
        <w:t>.  He was issued</w:t>
      </w:r>
      <w:r w:rsidR="00E322F7" w:rsidRPr="00F20B89">
        <w:rPr>
          <w:color w:val="auto"/>
          <w:szCs w:val="24"/>
        </w:rPr>
        <w:t xml:space="preserve"> a </w:t>
      </w:r>
      <w:r w:rsidR="00D513B2" w:rsidRPr="00F20B89">
        <w:rPr>
          <w:color w:val="auto"/>
          <w:szCs w:val="24"/>
        </w:rPr>
        <w:t>temporary</w:t>
      </w:r>
      <w:r w:rsidR="00E322F7" w:rsidRPr="00F20B89">
        <w:rPr>
          <w:color w:val="auto"/>
          <w:szCs w:val="24"/>
        </w:rPr>
        <w:t xml:space="preserve"> </w:t>
      </w:r>
      <w:r w:rsidR="00D513B2" w:rsidRPr="00F20B89">
        <w:rPr>
          <w:color w:val="auto"/>
          <w:szCs w:val="24"/>
        </w:rPr>
        <w:t>P</w:t>
      </w:r>
      <w:r w:rsidR="0044411E" w:rsidRPr="00F20B89">
        <w:rPr>
          <w:color w:val="auto"/>
          <w:szCs w:val="24"/>
        </w:rPr>
        <w:t>4</w:t>
      </w:r>
      <w:r w:rsidR="00B95F16">
        <w:rPr>
          <w:color w:val="auto"/>
          <w:szCs w:val="24"/>
        </w:rPr>
        <w:t xml:space="preserve"> </w:t>
      </w:r>
      <w:r w:rsidR="00F20B89" w:rsidRPr="00F20B89">
        <w:rPr>
          <w:color w:val="auto"/>
          <w:szCs w:val="24"/>
        </w:rPr>
        <w:t>L2</w:t>
      </w:r>
      <w:r w:rsidR="00B95F16">
        <w:rPr>
          <w:color w:val="auto"/>
          <w:szCs w:val="24"/>
        </w:rPr>
        <w:t xml:space="preserve"> </w:t>
      </w:r>
      <w:r w:rsidR="003D7D6D">
        <w:rPr>
          <w:color w:val="auto"/>
          <w:szCs w:val="24"/>
        </w:rPr>
        <w:t>S1</w:t>
      </w:r>
      <w:r w:rsidR="0044411E" w:rsidRPr="00F20B89">
        <w:rPr>
          <w:color w:val="auto"/>
          <w:szCs w:val="24"/>
        </w:rPr>
        <w:t xml:space="preserve"> </w:t>
      </w:r>
      <w:r w:rsidR="00E322F7" w:rsidRPr="00F20B89">
        <w:rPr>
          <w:color w:val="auto"/>
          <w:szCs w:val="24"/>
        </w:rPr>
        <w:t xml:space="preserve">profile and underwent a </w:t>
      </w:r>
      <w:r w:rsidR="00705C40" w:rsidRPr="00F20B89">
        <w:rPr>
          <w:color w:val="auto"/>
          <w:szCs w:val="24"/>
        </w:rPr>
        <w:t>Medical Evaluation Board (</w:t>
      </w:r>
      <w:r w:rsidR="00E322F7" w:rsidRPr="00F20B89">
        <w:rPr>
          <w:color w:val="auto"/>
          <w:szCs w:val="24"/>
        </w:rPr>
        <w:t>MEB</w:t>
      </w:r>
      <w:r w:rsidR="00705C40" w:rsidRPr="00F20B89">
        <w:rPr>
          <w:color w:val="auto"/>
          <w:szCs w:val="24"/>
        </w:rPr>
        <w:t>)</w:t>
      </w:r>
      <w:r w:rsidR="00E322F7" w:rsidRPr="00F20B89">
        <w:rPr>
          <w:color w:val="auto"/>
          <w:szCs w:val="24"/>
        </w:rPr>
        <w:t>.</w:t>
      </w:r>
      <w:r w:rsidR="00F20B89" w:rsidRPr="00F20B89">
        <w:rPr>
          <w:color w:val="auto"/>
          <w:szCs w:val="24"/>
        </w:rPr>
        <w:t xml:space="preserve">  </w:t>
      </w:r>
      <w:r w:rsidR="00835098">
        <w:rPr>
          <w:color w:val="auto"/>
          <w:szCs w:val="24"/>
        </w:rPr>
        <w:t>Sensory n</w:t>
      </w:r>
      <w:r w:rsidR="00F20B89" w:rsidRPr="00F20B89">
        <w:rPr>
          <w:color w:val="auto"/>
          <w:szCs w:val="24"/>
        </w:rPr>
        <w:t xml:space="preserve">europathy </w:t>
      </w:r>
      <w:r w:rsidR="00835098">
        <w:rPr>
          <w:color w:val="auto"/>
          <w:szCs w:val="24"/>
        </w:rPr>
        <w:t>(</w:t>
      </w:r>
      <w:r w:rsidR="00F20B89" w:rsidRPr="00F20B89">
        <w:rPr>
          <w:color w:val="auto"/>
          <w:szCs w:val="24"/>
        </w:rPr>
        <w:t>of the</w:t>
      </w:r>
      <w:r w:rsidR="00835098">
        <w:rPr>
          <w:color w:val="auto"/>
          <w:szCs w:val="24"/>
        </w:rPr>
        <w:t>)</w:t>
      </w:r>
      <w:r w:rsidR="00F20B89" w:rsidRPr="00F20B89">
        <w:rPr>
          <w:i/>
          <w:color w:val="auto"/>
          <w:szCs w:val="24"/>
        </w:rPr>
        <w:t xml:space="preserve"> </w:t>
      </w:r>
      <w:r w:rsidR="00F20B89" w:rsidRPr="00F20B89">
        <w:rPr>
          <w:color w:val="auto"/>
          <w:szCs w:val="24"/>
        </w:rPr>
        <w:t xml:space="preserve">right ankle </w:t>
      </w:r>
      <w:r w:rsidR="00835098">
        <w:rPr>
          <w:color w:val="auto"/>
          <w:szCs w:val="24"/>
        </w:rPr>
        <w:t>secondary to trauma and post operative wound infection</w:t>
      </w:r>
      <w:r w:rsidR="00F20B89" w:rsidRPr="00F20B89">
        <w:rPr>
          <w:color w:val="auto"/>
          <w:szCs w:val="24"/>
        </w:rPr>
        <w:t xml:space="preserve"> </w:t>
      </w:r>
      <w:r w:rsidR="000A33C8" w:rsidRPr="00F20B89">
        <w:rPr>
          <w:color w:val="auto"/>
          <w:szCs w:val="24"/>
        </w:rPr>
        <w:t>w</w:t>
      </w:r>
      <w:r w:rsidR="00F20B89" w:rsidRPr="00F20B89">
        <w:rPr>
          <w:color w:val="auto"/>
          <w:szCs w:val="24"/>
        </w:rPr>
        <w:t>as</w:t>
      </w:r>
      <w:r w:rsidR="000A33C8" w:rsidRPr="00F20B89">
        <w:rPr>
          <w:color w:val="auto"/>
          <w:szCs w:val="24"/>
        </w:rPr>
        <w:t xml:space="preserve"> forwarded to the Physical Evaluation Board (PEB) as medically unacceptable IAW </w:t>
      </w:r>
      <w:r w:rsidR="00376E08" w:rsidRPr="00F20B89">
        <w:rPr>
          <w:color w:val="auto"/>
          <w:szCs w:val="24"/>
        </w:rPr>
        <w:t>AFI 48-123.</w:t>
      </w:r>
      <w:r w:rsidR="00F20B89" w:rsidRPr="00F20B89">
        <w:rPr>
          <w:color w:val="auto"/>
          <w:szCs w:val="24"/>
        </w:rPr>
        <w:t xml:space="preserve">  </w:t>
      </w:r>
      <w:r w:rsidR="001A5E62" w:rsidRPr="00F20B89">
        <w:rPr>
          <w:color w:val="auto"/>
          <w:szCs w:val="24"/>
        </w:rPr>
        <w:t>No other conditions appeared on the MEB’s submission.  Other conditions included in the</w:t>
      </w:r>
      <w:r w:rsidR="00DC17F2" w:rsidRPr="00F20B89">
        <w:rPr>
          <w:color w:val="auto"/>
          <w:szCs w:val="24"/>
        </w:rPr>
        <w:t xml:space="preserve"> </w:t>
      </w:r>
      <w:r w:rsidR="00555C66" w:rsidRPr="00F20B89">
        <w:rPr>
          <w:color w:val="auto"/>
          <w:szCs w:val="24"/>
        </w:rPr>
        <w:t xml:space="preserve">Disability Evaluation System (DES) </w:t>
      </w:r>
      <w:r w:rsidR="001A5E62" w:rsidRPr="00F20B89">
        <w:rPr>
          <w:color w:val="auto"/>
          <w:szCs w:val="24"/>
        </w:rPr>
        <w:t>packet will be discussed below.</w:t>
      </w:r>
      <w:r w:rsidR="00F20B89" w:rsidRPr="00F20B89">
        <w:rPr>
          <w:color w:val="auto"/>
          <w:szCs w:val="24"/>
        </w:rPr>
        <w:t xml:space="preserve">  </w:t>
      </w:r>
      <w:r w:rsidR="00B20624" w:rsidRPr="00F20B89">
        <w:rPr>
          <w:color w:val="auto"/>
          <w:szCs w:val="24"/>
        </w:rPr>
        <w:t>The</w:t>
      </w:r>
      <w:r w:rsidR="00310B2E">
        <w:rPr>
          <w:color w:val="auto"/>
          <w:szCs w:val="24"/>
        </w:rPr>
        <w:t xml:space="preserve"> Informal</w:t>
      </w:r>
      <w:r w:rsidR="00B20624" w:rsidRPr="00F20B89">
        <w:rPr>
          <w:color w:val="auto"/>
          <w:szCs w:val="24"/>
        </w:rPr>
        <w:t xml:space="preserve"> PEB</w:t>
      </w:r>
      <w:r w:rsidR="007828B4" w:rsidRPr="00F20B89">
        <w:rPr>
          <w:color w:val="auto"/>
          <w:szCs w:val="24"/>
        </w:rPr>
        <w:t xml:space="preserve"> (</w:t>
      </w:r>
      <w:r w:rsidR="00310B2E">
        <w:rPr>
          <w:color w:val="auto"/>
          <w:szCs w:val="24"/>
        </w:rPr>
        <w:t>I</w:t>
      </w:r>
      <w:r w:rsidR="007828B4" w:rsidRPr="00F20B89">
        <w:rPr>
          <w:color w:val="auto"/>
          <w:szCs w:val="24"/>
        </w:rPr>
        <w:t>PEB)</w:t>
      </w:r>
      <w:r w:rsidR="00B20624" w:rsidRPr="00F20B89">
        <w:rPr>
          <w:color w:val="auto"/>
          <w:szCs w:val="24"/>
        </w:rPr>
        <w:t xml:space="preserve"> adjudicated the </w:t>
      </w:r>
      <w:r w:rsidR="00310B2E">
        <w:rPr>
          <w:color w:val="auto"/>
          <w:szCs w:val="24"/>
        </w:rPr>
        <w:t>“</w:t>
      </w:r>
      <w:r w:rsidR="00310B2E" w:rsidRPr="00F20B89">
        <w:rPr>
          <w:color w:val="auto"/>
          <w:szCs w:val="24"/>
        </w:rPr>
        <w:t xml:space="preserve">right ankle pain and numbness </w:t>
      </w:r>
      <w:r w:rsidR="00310B2E">
        <w:rPr>
          <w:color w:val="auto"/>
          <w:szCs w:val="24"/>
        </w:rPr>
        <w:t>due to neuropathy status post injury, surgery time</w:t>
      </w:r>
      <w:r w:rsidR="00093DD1">
        <w:rPr>
          <w:color w:val="auto"/>
          <w:szCs w:val="24"/>
        </w:rPr>
        <w:t>s</w:t>
      </w:r>
      <w:r w:rsidR="00310B2E">
        <w:rPr>
          <w:color w:val="auto"/>
          <w:szCs w:val="24"/>
        </w:rPr>
        <w:t xml:space="preserve"> five and wound infection (combat related)”</w:t>
      </w:r>
      <w:r w:rsidR="00F20B89" w:rsidRPr="00F20B89">
        <w:rPr>
          <w:color w:val="auto"/>
          <w:szCs w:val="24"/>
        </w:rPr>
        <w:t xml:space="preserve"> </w:t>
      </w:r>
      <w:r w:rsidR="00C127F2" w:rsidRPr="00F20B89">
        <w:rPr>
          <w:color w:val="auto"/>
          <w:szCs w:val="24"/>
        </w:rPr>
        <w:t xml:space="preserve">condition </w:t>
      </w:r>
      <w:r w:rsidR="00B20624" w:rsidRPr="00F20B89">
        <w:rPr>
          <w:color w:val="auto"/>
          <w:szCs w:val="24"/>
        </w:rPr>
        <w:t xml:space="preserve">as unfitting, rated </w:t>
      </w:r>
      <w:r w:rsidR="00310B2E">
        <w:rPr>
          <w:color w:val="auto"/>
          <w:szCs w:val="24"/>
        </w:rPr>
        <w:t>1</w:t>
      </w:r>
      <w:r w:rsidR="00F20B89" w:rsidRPr="00F20B89">
        <w:rPr>
          <w:color w:val="auto"/>
          <w:szCs w:val="24"/>
        </w:rPr>
        <w:t>0</w:t>
      </w:r>
      <w:r w:rsidR="00B20624" w:rsidRPr="00F20B89">
        <w:rPr>
          <w:color w:val="auto"/>
          <w:szCs w:val="24"/>
        </w:rPr>
        <w:t>%</w:t>
      </w:r>
      <w:r w:rsidR="00B80EDD" w:rsidRPr="00F20B89">
        <w:rPr>
          <w:color w:val="auto"/>
          <w:szCs w:val="24"/>
        </w:rPr>
        <w:t>,</w:t>
      </w:r>
      <w:r w:rsidR="00B20624" w:rsidRPr="00F20B89">
        <w:rPr>
          <w:color w:val="auto"/>
          <w:szCs w:val="24"/>
        </w:rPr>
        <w:t xml:space="preserve"> with application of the </w:t>
      </w:r>
      <w:r w:rsidR="002B0204" w:rsidRPr="00F20B89">
        <w:rPr>
          <w:color w:val="auto"/>
          <w:szCs w:val="24"/>
        </w:rPr>
        <w:t>Veterans’ Administration Schedule for Rating Disabilities (VASRD)</w:t>
      </w:r>
      <w:r w:rsidR="006F08D8">
        <w:rPr>
          <w:color w:val="auto"/>
          <w:szCs w:val="24"/>
        </w:rPr>
        <w:t xml:space="preserve"> and coded 8725</w:t>
      </w:r>
      <w:r w:rsidR="00B20624" w:rsidRPr="00F20B89">
        <w:rPr>
          <w:color w:val="auto"/>
          <w:szCs w:val="24"/>
        </w:rPr>
        <w:t>.</w:t>
      </w:r>
      <w:r w:rsidR="00F20B89" w:rsidRPr="00F20B89">
        <w:rPr>
          <w:color w:val="auto"/>
          <w:szCs w:val="24"/>
        </w:rPr>
        <w:t xml:space="preserve">  </w:t>
      </w:r>
      <w:r w:rsidR="00835098" w:rsidRPr="00F20B89">
        <w:rPr>
          <w:color w:val="auto"/>
        </w:rPr>
        <w:t>The CI appeal</w:t>
      </w:r>
      <w:r w:rsidR="00835098">
        <w:rPr>
          <w:color w:val="auto"/>
        </w:rPr>
        <w:t xml:space="preserve">ed to the </w:t>
      </w:r>
      <w:r w:rsidR="00310B2E">
        <w:rPr>
          <w:color w:val="auto"/>
          <w:szCs w:val="24"/>
        </w:rPr>
        <w:t>F</w:t>
      </w:r>
      <w:r w:rsidR="00310B2E" w:rsidRPr="00F20B89">
        <w:rPr>
          <w:color w:val="auto"/>
          <w:szCs w:val="24"/>
        </w:rPr>
        <w:t>ormal PEB (</w:t>
      </w:r>
      <w:r w:rsidR="00310B2E">
        <w:rPr>
          <w:color w:val="auto"/>
          <w:szCs w:val="24"/>
        </w:rPr>
        <w:t>F</w:t>
      </w:r>
      <w:r w:rsidR="00310B2E" w:rsidRPr="00F20B89">
        <w:rPr>
          <w:color w:val="auto"/>
          <w:szCs w:val="24"/>
        </w:rPr>
        <w:t>PEB)</w:t>
      </w:r>
      <w:r w:rsidR="00835098">
        <w:rPr>
          <w:color w:val="auto"/>
          <w:szCs w:val="24"/>
        </w:rPr>
        <w:t xml:space="preserve"> and contended for 30% disability.  The </w:t>
      </w:r>
      <w:r w:rsidR="006F08D8">
        <w:rPr>
          <w:color w:val="auto"/>
          <w:szCs w:val="24"/>
        </w:rPr>
        <w:t>FPEB adjudicated</w:t>
      </w:r>
      <w:r w:rsidR="00310B2E" w:rsidRPr="00F20B89">
        <w:rPr>
          <w:color w:val="auto"/>
        </w:rPr>
        <w:t xml:space="preserve"> </w:t>
      </w:r>
      <w:r w:rsidR="006F08D8">
        <w:rPr>
          <w:color w:val="auto"/>
        </w:rPr>
        <w:t xml:space="preserve">the condition as </w:t>
      </w:r>
      <w:r w:rsidR="00835098">
        <w:rPr>
          <w:color w:val="auto"/>
          <w:szCs w:val="24"/>
        </w:rPr>
        <w:t xml:space="preserve">“chronic </w:t>
      </w:r>
      <w:r w:rsidR="00835098" w:rsidRPr="00F20B89">
        <w:rPr>
          <w:color w:val="auto"/>
          <w:szCs w:val="24"/>
        </w:rPr>
        <w:t xml:space="preserve">right ankle pain and numbness </w:t>
      </w:r>
      <w:r w:rsidR="00835098">
        <w:rPr>
          <w:color w:val="auto"/>
          <w:szCs w:val="24"/>
        </w:rPr>
        <w:t>due to neuropathy status post injury, surgery time</w:t>
      </w:r>
      <w:r w:rsidR="006F08D8">
        <w:rPr>
          <w:color w:val="auto"/>
          <w:szCs w:val="24"/>
        </w:rPr>
        <w:t>s</w:t>
      </w:r>
      <w:r w:rsidR="00835098">
        <w:rPr>
          <w:color w:val="auto"/>
          <w:szCs w:val="24"/>
        </w:rPr>
        <w:t xml:space="preserve"> four and wound infection with marked decrease in range of motion (combat related)</w:t>
      </w:r>
      <w:r w:rsidR="00E97F65">
        <w:rPr>
          <w:color w:val="auto"/>
          <w:szCs w:val="24"/>
        </w:rPr>
        <w:t>,</w:t>
      </w:r>
      <w:r w:rsidR="00835098">
        <w:rPr>
          <w:color w:val="auto"/>
          <w:szCs w:val="24"/>
        </w:rPr>
        <w:t>” rated at 20% disability</w:t>
      </w:r>
      <w:r w:rsidR="006F08D8">
        <w:rPr>
          <w:color w:val="auto"/>
          <w:szCs w:val="24"/>
        </w:rPr>
        <w:t xml:space="preserve"> and coded 8725-5271</w:t>
      </w:r>
      <w:r w:rsidR="00835098">
        <w:rPr>
          <w:color w:val="auto"/>
          <w:szCs w:val="24"/>
        </w:rPr>
        <w:t>.</w:t>
      </w:r>
      <w:r w:rsidR="00FC3FA3">
        <w:rPr>
          <w:color w:val="auto"/>
          <w:szCs w:val="24"/>
        </w:rPr>
        <w:t xml:space="preserve">  </w:t>
      </w:r>
      <w:r w:rsidR="00B20624" w:rsidRPr="00F20B89">
        <w:rPr>
          <w:color w:val="auto"/>
        </w:rPr>
        <w:t xml:space="preserve">The CI </w:t>
      </w:r>
      <w:r w:rsidR="00190E48" w:rsidRPr="00F20B89">
        <w:rPr>
          <w:color w:val="auto"/>
        </w:rPr>
        <w:t>made no</w:t>
      </w:r>
      <w:r w:rsidR="00835098">
        <w:rPr>
          <w:color w:val="auto"/>
        </w:rPr>
        <w:t xml:space="preserve"> </w:t>
      </w:r>
      <w:r w:rsidR="006F08D8">
        <w:rPr>
          <w:color w:val="auto"/>
        </w:rPr>
        <w:t xml:space="preserve">further </w:t>
      </w:r>
      <w:r w:rsidR="006F08D8" w:rsidRPr="00F20B89">
        <w:rPr>
          <w:color w:val="auto"/>
        </w:rPr>
        <w:t>appeals</w:t>
      </w:r>
      <w:r w:rsidR="00190E48" w:rsidRPr="00F20B89">
        <w:rPr>
          <w:color w:val="auto"/>
        </w:rPr>
        <w:t xml:space="preserve"> </w:t>
      </w:r>
      <w:r w:rsidR="00B20624" w:rsidRPr="00F20B89">
        <w:rPr>
          <w:color w:val="auto"/>
        </w:rPr>
        <w:t xml:space="preserve">and was medically separated with a </w:t>
      </w:r>
      <w:r w:rsidR="00F20B89" w:rsidRPr="00F20B89">
        <w:rPr>
          <w:color w:val="auto"/>
        </w:rPr>
        <w:t>20</w:t>
      </w:r>
      <w:r w:rsidR="00B20624" w:rsidRPr="00F20B89">
        <w:rPr>
          <w:color w:val="auto"/>
        </w:rPr>
        <w:t>% disability rating.</w:t>
      </w:r>
    </w:p>
    <w:p w:rsidR="008E0D8F" w:rsidRDefault="008E0D8F" w:rsidP="006F08D8">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6F08D8">
      <w:pPr>
        <w:tabs>
          <w:tab w:val="left" w:pos="288"/>
          <w:tab w:val="left" w:pos="4752"/>
        </w:tabs>
        <w:spacing w:line="240" w:lineRule="exact"/>
        <w:jc w:val="both"/>
        <w:rPr>
          <w:rFonts w:asciiTheme="minorHAnsi" w:hAnsiTheme="minorHAnsi"/>
          <w:color w:val="auto"/>
          <w:u w:val="single"/>
        </w:rPr>
      </w:pPr>
    </w:p>
    <w:p w:rsidR="005C4D72" w:rsidRPr="005C4D72" w:rsidRDefault="002C6E5B" w:rsidP="006F08D8">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BE36EB">
        <w:rPr>
          <w:rFonts w:asciiTheme="minorHAnsi" w:hAnsiTheme="minorHAnsi"/>
          <w:color w:val="auto"/>
        </w:rPr>
        <w:t xml:space="preserve">  The CI states, “Still unable to perform daily tasks to the quality of living before injured, disability evaluation should have included PTSD.” </w:t>
      </w:r>
      <w:r w:rsidR="00653E2B">
        <w:rPr>
          <w:rFonts w:asciiTheme="minorHAnsi" w:hAnsiTheme="minorHAnsi"/>
          <w:color w:val="auto"/>
        </w:rPr>
        <w:t xml:space="preserve"> </w:t>
      </w:r>
      <w:r w:rsidR="00ED5284" w:rsidRPr="00653E2B">
        <w:rPr>
          <w:rFonts w:eastAsiaTheme="minorHAnsi" w:cstheme="minorBidi"/>
          <w:color w:val="auto"/>
          <w:szCs w:val="24"/>
        </w:rPr>
        <w:t>He</w:t>
      </w:r>
      <w:r w:rsidR="00ED5284" w:rsidRPr="005C4D72">
        <w:rPr>
          <w:rFonts w:eastAsiaTheme="minorHAnsi" w:cstheme="minorBidi"/>
          <w:color w:val="auto"/>
          <w:szCs w:val="24"/>
        </w:rPr>
        <w:t xml:space="preserve"> additionally lists </w:t>
      </w:r>
      <w:r w:rsidR="00310B2E">
        <w:rPr>
          <w:rFonts w:eastAsiaTheme="minorHAnsi" w:cstheme="minorBidi"/>
          <w:color w:val="auto"/>
          <w:szCs w:val="24"/>
        </w:rPr>
        <w:t xml:space="preserve">anxiety, PTSD, sleep apnea, nerve damage and partial range of motion (ROM) on item 14.  </w:t>
      </w:r>
      <w:r w:rsidR="00ED5284" w:rsidRPr="005C4D72">
        <w:rPr>
          <w:rFonts w:eastAsiaTheme="minorHAnsi" w:cstheme="minorBidi"/>
          <w:color w:val="auto"/>
          <w:szCs w:val="24"/>
        </w:rPr>
        <w:t>A contention for their inclusion in the separation rating is therefore implied.</w:t>
      </w:r>
    </w:p>
    <w:p w:rsidR="003E1682" w:rsidRDefault="003E1682" w:rsidP="006F08D8">
      <w:pPr>
        <w:pBdr>
          <w:bottom w:val="single" w:sz="12" w:space="1" w:color="auto"/>
        </w:pBdr>
        <w:spacing w:line="240" w:lineRule="exact"/>
        <w:rPr>
          <w:rFonts w:asciiTheme="minorHAnsi" w:hAnsiTheme="minorHAnsi"/>
          <w:color w:val="auto"/>
          <w:u w:val="single"/>
        </w:rPr>
      </w:pPr>
    </w:p>
    <w:p w:rsidR="000024F5" w:rsidRDefault="000024F5" w:rsidP="006F08D8">
      <w:pPr>
        <w:spacing w:line="240" w:lineRule="exact"/>
        <w:rPr>
          <w:rFonts w:asciiTheme="minorHAnsi" w:hAnsiTheme="minorHAnsi"/>
          <w:color w:val="auto"/>
          <w:u w:val="single"/>
        </w:rPr>
      </w:pPr>
    </w:p>
    <w:p w:rsidR="002338CA" w:rsidRDefault="007F0AB7" w:rsidP="006F08D8">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6F08D8">
      <w:pPr>
        <w:spacing w:line="240" w:lineRule="exact"/>
        <w:rPr>
          <w:rFonts w:asciiTheme="minorHAnsi" w:hAnsiTheme="minorHAnsi"/>
          <w:color w:val="auto"/>
        </w:rPr>
      </w:pPr>
    </w:p>
    <w:tbl>
      <w:tblPr>
        <w:tblStyle w:val="TableGrid"/>
        <w:tblW w:w="10174" w:type="dxa"/>
        <w:jc w:val="center"/>
        <w:tblInd w:w="-598" w:type="dxa"/>
        <w:tblLayout w:type="fixed"/>
        <w:tblLook w:val="04A0"/>
      </w:tblPr>
      <w:tblGrid>
        <w:gridCol w:w="3060"/>
        <w:gridCol w:w="1080"/>
        <w:gridCol w:w="720"/>
        <w:gridCol w:w="2790"/>
        <w:gridCol w:w="810"/>
        <w:gridCol w:w="724"/>
        <w:gridCol w:w="990"/>
      </w:tblGrid>
      <w:tr w:rsidR="002B4E22" w:rsidRPr="002A4119" w:rsidTr="003D2494">
        <w:trPr>
          <w:trHeight w:val="233"/>
          <w:jc w:val="center"/>
        </w:trPr>
        <w:tc>
          <w:tcPr>
            <w:tcW w:w="4860" w:type="dxa"/>
            <w:gridSpan w:val="3"/>
            <w:tcBorders>
              <w:right w:val="thinThickThinSmallGap" w:sz="24" w:space="0" w:color="auto"/>
            </w:tcBorders>
            <w:shd w:val="clear" w:color="auto" w:fill="D9D9D9" w:themeFill="background1" w:themeFillShade="D9"/>
            <w:vAlign w:val="center"/>
          </w:tcPr>
          <w:p w:rsidR="002B4E22" w:rsidRPr="006F08D8" w:rsidRDefault="00B731E4" w:rsidP="006F08D8">
            <w:pPr>
              <w:spacing w:line="240" w:lineRule="exact"/>
              <w:contextualSpacing/>
              <w:jc w:val="center"/>
              <w:rPr>
                <w:b/>
                <w:color w:val="auto"/>
                <w:sz w:val="18"/>
                <w:szCs w:val="18"/>
              </w:rPr>
            </w:pPr>
            <w:r w:rsidRPr="006F08D8">
              <w:rPr>
                <w:b/>
                <w:color w:val="auto"/>
                <w:sz w:val="18"/>
                <w:szCs w:val="18"/>
              </w:rPr>
              <w:t xml:space="preserve">Service </w:t>
            </w:r>
            <w:r w:rsidR="00342ADE" w:rsidRPr="006F08D8">
              <w:rPr>
                <w:b/>
                <w:color w:val="auto"/>
                <w:sz w:val="18"/>
                <w:szCs w:val="18"/>
              </w:rPr>
              <w:t>F</w:t>
            </w:r>
            <w:r w:rsidRPr="006F08D8">
              <w:rPr>
                <w:b/>
                <w:color w:val="auto"/>
                <w:sz w:val="18"/>
                <w:szCs w:val="18"/>
              </w:rPr>
              <w:t>PEB – Dated 200</w:t>
            </w:r>
            <w:r w:rsidR="00342ADE" w:rsidRPr="006F08D8">
              <w:rPr>
                <w:b/>
                <w:color w:val="auto"/>
                <w:sz w:val="18"/>
                <w:szCs w:val="18"/>
              </w:rPr>
              <w:t>80409</w:t>
            </w:r>
          </w:p>
        </w:tc>
        <w:tc>
          <w:tcPr>
            <w:tcW w:w="5314" w:type="dxa"/>
            <w:gridSpan w:val="4"/>
            <w:tcBorders>
              <w:left w:val="thinThickThinSmallGap" w:sz="24" w:space="0" w:color="auto"/>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VA (</w:t>
            </w:r>
            <w:r w:rsidR="002A1E12" w:rsidRPr="006F08D8">
              <w:rPr>
                <w:b/>
                <w:color w:val="auto"/>
                <w:sz w:val="18"/>
                <w:szCs w:val="18"/>
              </w:rPr>
              <w:t xml:space="preserve">3 </w:t>
            </w:r>
            <w:r w:rsidRPr="006F08D8">
              <w:rPr>
                <w:b/>
                <w:color w:val="auto"/>
                <w:sz w:val="18"/>
                <w:szCs w:val="18"/>
              </w:rPr>
              <w:t xml:space="preserve">Mo. After Separation) – All Effective Date </w:t>
            </w:r>
            <w:r w:rsidR="002D08F3" w:rsidRPr="006F08D8">
              <w:rPr>
                <w:b/>
                <w:color w:val="auto"/>
                <w:sz w:val="18"/>
                <w:szCs w:val="18"/>
              </w:rPr>
              <w:t>200</w:t>
            </w:r>
            <w:r w:rsidR="00192EFF" w:rsidRPr="006F08D8">
              <w:rPr>
                <w:b/>
                <w:color w:val="auto"/>
                <w:sz w:val="18"/>
                <w:szCs w:val="18"/>
              </w:rPr>
              <w:t>80529</w:t>
            </w:r>
          </w:p>
        </w:tc>
      </w:tr>
      <w:tr w:rsidR="002B4E22" w:rsidRPr="002A4119" w:rsidTr="003D2494">
        <w:trPr>
          <w:trHeight w:val="278"/>
          <w:jc w:val="center"/>
        </w:trPr>
        <w:tc>
          <w:tcPr>
            <w:tcW w:w="3060" w:type="dxa"/>
            <w:tcBorders>
              <w:bottom w:val="single" w:sz="4" w:space="0" w:color="000000" w:themeColor="text1"/>
              <w:right w:val="single" w:sz="4" w:space="0" w:color="auto"/>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Code</w:t>
            </w:r>
          </w:p>
        </w:tc>
        <w:tc>
          <w:tcPr>
            <w:tcW w:w="724" w:type="dxa"/>
            <w:tcBorders>
              <w:bottom w:val="single" w:sz="4" w:space="0" w:color="000000" w:themeColor="text1"/>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6F08D8" w:rsidRDefault="002B4E22" w:rsidP="006F08D8">
            <w:pPr>
              <w:spacing w:line="240" w:lineRule="exact"/>
              <w:contextualSpacing/>
              <w:jc w:val="center"/>
              <w:rPr>
                <w:b/>
                <w:color w:val="auto"/>
                <w:sz w:val="18"/>
                <w:szCs w:val="18"/>
              </w:rPr>
            </w:pPr>
            <w:r w:rsidRPr="006F08D8">
              <w:rPr>
                <w:b/>
                <w:color w:val="auto"/>
                <w:sz w:val="18"/>
                <w:szCs w:val="18"/>
              </w:rPr>
              <w:t>Exam</w:t>
            </w:r>
          </w:p>
        </w:tc>
      </w:tr>
      <w:tr w:rsidR="00964C6F" w:rsidRPr="002A4119" w:rsidTr="003D2494">
        <w:trPr>
          <w:trHeight w:val="287"/>
          <w:jc w:val="center"/>
        </w:trPr>
        <w:tc>
          <w:tcPr>
            <w:tcW w:w="3060" w:type="dxa"/>
            <w:vMerge w:val="restart"/>
            <w:tcBorders>
              <w:right w:val="single" w:sz="4" w:space="0" w:color="auto"/>
            </w:tcBorders>
            <w:shd w:val="clear" w:color="auto" w:fill="FFFFFF" w:themeFill="background1"/>
          </w:tcPr>
          <w:p w:rsidR="00964C6F" w:rsidRPr="006F08D8" w:rsidRDefault="006F08D8" w:rsidP="00330C41">
            <w:pPr>
              <w:contextualSpacing/>
              <w:rPr>
                <w:color w:val="auto"/>
                <w:sz w:val="18"/>
                <w:szCs w:val="18"/>
              </w:rPr>
            </w:pPr>
            <w:r>
              <w:rPr>
                <w:color w:val="auto"/>
                <w:sz w:val="18"/>
                <w:szCs w:val="18"/>
              </w:rPr>
              <w:t>C</w:t>
            </w:r>
            <w:r w:rsidRPr="006F08D8">
              <w:rPr>
                <w:color w:val="auto"/>
                <w:sz w:val="18"/>
                <w:szCs w:val="18"/>
              </w:rPr>
              <w:t>hronic right ankle pain and numbness due to neuropathy status post injury, surgery time</w:t>
            </w:r>
            <w:r>
              <w:rPr>
                <w:color w:val="auto"/>
                <w:sz w:val="18"/>
                <w:szCs w:val="18"/>
              </w:rPr>
              <w:t>s</w:t>
            </w:r>
            <w:r w:rsidRPr="006F08D8">
              <w:rPr>
                <w:color w:val="auto"/>
                <w:sz w:val="18"/>
                <w:szCs w:val="18"/>
              </w:rPr>
              <w:t xml:space="preserve"> four and wound infection with marked decrease in range of motion (combat related)</w:t>
            </w:r>
          </w:p>
        </w:tc>
        <w:tc>
          <w:tcPr>
            <w:tcW w:w="1080" w:type="dxa"/>
            <w:vMerge w:val="restart"/>
            <w:tcBorders>
              <w:left w:val="single" w:sz="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8725-5271</w:t>
            </w:r>
          </w:p>
        </w:tc>
        <w:tc>
          <w:tcPr>
            <w:tcW w:w="720" w:type="dxa"/>
            <w:vMerge w:val="restart"/>
            <w:tcBorders>
              <w:right w:val="thinThickThinSmallGap" w:sz="2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highlight w:val="yellow"/>
              </w:rPr>
            </w:pPr>
            <w:r w:rsidRPr="006F08D8">
              <w:rPr>
                <w:color w:val="auto"/>
                <w:sz w:val="18"/>
                <w:szCs w:val="18"/>
              </w:rPr>
              <w:t>20%</w:t>
            </w:r>
          </w:p>
        </w:tc>
        <w:tc>
          <w:tcPr>
            <w:tcW w:w="2790" w:type="dxa"/>
            <w:tcBorders>
              <w:left w:val="thinThickThinSmallGap" w:sz="24" w:space="0" w:color="auto"/>
            </w:tcBorders>
            <w:shd w:val="clear" w:color="auto" w:fill="FFFFFF" w:themeFill="background1"/>
            <w:vAlign w:val="center"/>
          </w:tcPr>
          <w:p w:rsidR="00964C6F" w:rsidRPr="006F08D8" w:rsidRDefault="00964C6F" w:rsidP="00330C41">
            <w:pPr>
              <w:contextualSpacing/>
              <w:rPr>
                <w:color w:val="auto"/>
                <w:sz w:val="18"/>
                <w:szCs w:val="18"/>
              </w:rPr>
            </w:pPr>
            <w:r w:rsidRPr="006F08D8">
              <w:rPr>
                <w:color w:val="auto"/>
                <w:sz w:val="18"/>
                <w:szCs w:val="18"/>
              </w:rPr>
              <w:t xml:space="preserve">S/P </w:t>
            </w:r>
            <w:r w:rsidR="00330C41">
              <w:rPr>
                <w:color w:val="auto"/>
                <w:sz w:val="18"/>
                <w:szCs w:val="18"/>
              </w:rPr>
              <w:t xml:space="preserve">Five Right </w:t>
            </w:r>
            <w:r w:rsidRPr="006F08D8">
              <w:rPr>
                <w:color w:val="auto"/>
                <w:sz w:val="18"/>
                <w:szCs w:val="18"/>
              </w:rPr>
              <w:t>Ankle Surgeries w/Decreased ROM</w:t>
            </w:r>
          </w:p>
        </w:tc>
        <w:tc>
          <w:tcPr>
            <w:tcW w:w="81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5271</w:t>
            </w:r>
          </w:p>
        </w:tc>
        <w:tc>
          <w:tcPr>
            <w:tcW w:w="724"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20%</w:t>
            </w:r>
          </w:p>
        </w:tc>
        <w:tc>
          <w:tcPr>
            <w:tcW w:w="99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20080820</w:t>
            </w:r>
          </w:p>
        </w:tc>
      </w:tr>
      <w:tr w:rsidR="00964C6F" w:rsidRPr="002A4119" w:rsidTr="003D2494">
        <w:trPr>
          <w:trHeight w:val="287"/>
          <w:jc w:val="center"/>
        </w:trPr>
        <w:tc>
          <w:tcPr>
            <w:tcW w:w="3060" w:type="dxa"/>
            <w:vMerge/>
            <w:tcBorders>
              <w:right w:val="single" w:sz="4" w:space="0" w:color="auto"/>
            </w:tcBorders>
            <w:shd w:val="clear" w:color="auto" w:fill="FFFFFF" w:themeFill="background1"/>
            <w:vAlign w:val="center"/>
          </w:tcPr>
          <w:p w:rsidR="00964C6F" w:rsidRPr="006F08D8" w:rsidRDefault="00964C6F" w:rsidP="006F08D8">
            <w:pPr>
              <w:spacing w:line="24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p>
        </w:tc>
        <w:tc>
          <w:tcPr>
            <w:tcW w:w="720" w:type="dxa"/>
            <w:vMerge/>
            <w:tcBorders>
              <w:right w:val="thinThickThinSmallGap" w:sz="2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p>
        </w:tc>
        <w:tc>
          <w:tcPr>
            <w:tcW w:w="2790" w:type="dxa"/>
            <w:tcBorders>
              <w:left w:val="thinThickThinSmallGap" w:sz="24" w:space="0" w:color="auto"/>
            </w:tcBorders>
            <w:shd w:val="clear" w:color="auto" w:fill="FFFFFF" w:themeFill="background1"/>
            <w:vAlign w:val="center"/>
          </w:tcPr>
          <w:p w:rsidR="00964C6F" w:rsidRPr="006F08D8" w:rsidRDefault="00964C6F" w:rsidP="00330C41">
            <w:pPr>
              <w:contextualSpacing/>
              <w:rPr>
                <w:color w:val="auto"/>
                <w:sz w:val="18"/>
                <w:szCs w:val="18"/>
              </w:rPr>
            </w:pPr>
            <w:r w:rsidRPr="006F08D8">
              <w:rPr>
                <w:color w:val="auto"/>
                <w:sz w:val="18"/>
                <w:szCs w:val="18"/>
              </w:rPr>
              <w:t>Residual Scars, S/P Ankle Surgeries</w:t>
            </w:r>
          </w:p>
        </w:tc>
        <w:tc>
          <w:tcPr>
            <w:tcW w:w="81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7804</w:t>
            </w:r>
          </w:p>
        </w:tc>
        <w:tc>
          <w:tcPr>
            <w:tcW w:w="724"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10%</w:t>
            </w:r>
          </w:p>
        </w:tc>
        <w:tc>
          <w:tcPr>
            <w:tcW w:w="99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20080820</w:t>
            </w:r>
          </w:p>
        </w:tc>
      </w:tr>
      <w:tr w:rsidR="00964C6F" w:rsidRPr="002A4119" w:rsidTr="003D2494">
        <w:trPr>
          <w:trHeight w:val="287"/>
          <w:jc w:val="center"/>
        </w:trPr>
        <w:tc>
          <w:tcPr>
            <w:tcW w:w="3060" w:type="dxa"/>
            <w:vMerge/>
            <w:tcBorders>
              <w:right w:val="single" w:sz="4" w:space="0" w:color="auto"/>
            </w:tcBorders>
            <w:shd w:val="clear" w:color="auto" w:fill="FFFFFF" w:themeFill="background1"/>
            <w:vAlign w:val="center"/>
          </w:tcPr>
          <w:p w:rsidR="00964C6F" w:rsidRPr="006F08D8" w:rsidRDefault="00964C6F" w:rsidP="006F08D8">
            <w:pPr>
              <w:spacing w:line="240" w:lineRule="exact"/>
              <w:contextualSpacing/>
              <w:rPr>
                <w:color w:val="auto"/>
                <w:sz w:val="18"/>
                <w:szCs w:val="18"/>
              </w:rPr>
            </w:pPr>
          </w:p>
        </w:tc>
        <w:tc>
          <w:tcPr>
            <w:tcW w:w="1080" w:type="dxa"/>
            <w:vMerge/>
            <w:tcBorders>
              <w:left w:val="single" w:sz="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p>
        </w:tc>
        <w:tc>
          <w:tcPr>
            <w:tcW w:w="720" w:type="dxa"/>
            <w:vMerge/>
            <w:tcBorders>
              <w:right w:val="thinThickThinSmallGap" w:sz="24" w:space="0" w:color="auto"/>
            </w:tcBorders>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p>
        </w:tc>
        <w:tc>
          <w:tcPr>
            <w:tcW w:w="2790" w:type="dxa"/>
            <w:tcBorders>
              <w:left w:val="thinThickThinSmallGap" w:sz="24" w:space="0" w:color="auto"/>
            </w:tcBorders>
            <w:shd w:val="clear" w:color="auto" w:fill="FFFFFF" w:themeFill="background1"/>
            <w:vAlign w:val="center"/>
          </w:tcPr>
          <w:p w:rsidR="00964C6F" w:rsidRPr="006F08D8" w:rsidRDefault="00964C6F" w:rsidP="00330C41">
            <w:pPr>
              <w:contextualSpacing/>
              <w:rPr>
                <w:color w:val="auto"/>
                <w:sz w:val="18"/>
                <w:szCs w:val="18"/>
              </w:rPr>
            </w:pPr>
            <w:r w:rsidRPr="006F08D8">
              <w:rPr>
                <w:color w:val="auto"/>
                <w:sz w:val="18"/>
                <w:szCs w:val="18"/>
              </w:rPr>
              <w:t xml:space="preserve">Residual Peripheral Neuropathy S/P 5 R Ankle Surgeries </w:t>
            </w:r>
          </w:p>
        </w:tc>
        <w:tc>
          <w:tcPr>
            <w:tcW w:w="81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8520</w:t>
            </w:r>
          </w:p>
        </w:tc>
        <w:tc>
          <w:tcPr>
            <w:tcW w:w="724"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10%</w:t>
            </w:r>
          </w:p>
        </w:tc>
        <w:tc>
          <w:tcPr>
            <w:tcW w:w="990" w:type="dxa"/>
            <w:shd w:val="clear" w:color="auto" w:fill="FFFFFF" w:themeFill="background1"/>
            <w:vAlign w:val="center"/>
          </w:tcPr>
          <w:p w:rsidR="00964C6F" w:rsidRPr="006F08D8" w:rsidRDefault="00964C6F" w:rsidP="006F08D8">
            <w:pPr>
              <w:spacing w:line="240" w:lineRule="exact"/>
              <w:contextualSpacing/>
              <w:jc w:val="center"/>
              <w:rPr>
                <w:color w:val="auto"/>
                <w:sz w:val="18"/>
                <w:szCs w:val="18"/>
              </w:rPr>
            </w:pPr>
            <w:r w:rsidRPr="006F08D8">
              <w:rPr>
                <w:color w:val="auto"/>
                <w:sz w:val="18"/>
                <w:szCs w:val="18"/>
              </w:rPr>
              <w:t>20080820</w:t>
            </w:r>
          </w:p>
        </w:tc>
      </w:tr>
      <w:tr w:rsidR="00964C6F" w:rsidRPr="002A4119" w:rsidTr="003D2494">
        <w:trPr>
          <w:trHeight w:val="287"/>
          <w:jc w:val="center"/>
        </w:trPr>
        <w:tc>
          <w:tcPr>
            <w:tcW w:w="4860" w:type="dxa"/>
            <w:gridSpan w:val="3"/>
            <w:vMerge w:val="restart"/>
            <w:tcBorders>
              <w:right w:val="thinThickThinSmallGap" w:sz="24" w:space="0" w:color="auto"/>
            </w:tcBorders>
            <w:shd w:val="clear" w:color="auto" w:fill="FFFFFF" w:themeFill="background1"/>
            <w:vAlign w:val="center"/>
          </w:tcPr>
          <w:p w:rsidR="00964C6F" w:rsidRDefault="009F6E12" w:rsidP="006F08D8">
            <w:pPr>
              <w:spacing w:line="240" w:lineRule="exact"/>
              <w:contextualSpacing/>
              <w:jc w:val="center"/>
              <w:rPr>
                <w:color w:val="auto"/>
                <w:sz w:val="18"/>
                <w:szCs w:val="18"/>
              </w:rPr>
            </w:pPr>
            <w:r>
              <w:rPr>
                <w:color w:val="auto"/>
                <w:sz w:val="18"/>
                <w:szCs w:val="18"/>
              </w:rPr>
              <w:t>↓No Additional MEB/PEB Entries↓</w:t>
            </w:r>
          </w:p>
        </w:tc>
        <w:tc>
          <w:tcPr>
            <w:tcW w:w="2790" w:type="dxa"/>
            <w:tcBorders>
              <w:left w:val="thinThickThinSmallGap" w:sz="24" w:space="0" w:color="auto"/>
            </w:tcBorders>
            <w:shd w:val="clear" w:color="auto" w:fill="FFFFFF" w:themeFill="background1"/>
            <w:vAlign w:val="center"/>
          </w:tcPr>
          <w:p w:rsidR="00964C6F" w:rsidRDefault="00964C6F" w:rsidP="006F08D8">
            <w:pPr>
              <w:spacing w:line="240" w:lineRule="exact"/>
              <w:contextualSpacing/>
              <w:rPr>
                <w:color w:val="auto"/>
                <w:sz w:val="18"/>
                <w:szCs w:val="18"/>
              </w:rPr>
            </w:pPr>
            <w:r>
              <w:rPr>
                <w:color w:val="auto"/>
                <w:sz w:val="18"/>
                <w:szCs w:val="18"/>
              </w:rPr>
              <w:t>PTSD</w:t>
            </w:r>
          </w:p>
        </w:tc>
        <w:tc>
          <w:tcPr>
            <w:tcW w:w="810" w:type="dxa"/>
            <w:shd w:val="clear" w:color="auto" w:fill="FFFFFF" w:themeFill="background1"/>
            <w:vAlign w:val="center"/>
          </w:tcPr>
          <w:p w:rsidR="00964C6F" w:rsidRDefault="00964C6F" w:rsidP="006F08D8">
            <w:pPr>
              <w:spacing w:line="240" w:lineRule="exact"/>
              <w:contextualSpacing/>
              <w:jc w:val="center"/>
              <w:rPr>
                <w:color w:val="auto"/>
                <w:sz w:val="18"/>
                <w:szCs w:val="18"/>
              </w:rPr>
            </w:pPr>
            <w:r>
              <w:rPr>
                <w:color w:val="auto"/>
                <w:sz w:val="18"/>
                <w:szCs w:val="18"/>
              </w:rPr>
              <w:t>9411</w:t>
            </w:r>
          </w:p>
        </w:tc>
        <w:tc>
          <w:tcPr>
            <w:tcW w:w="724" w:type="dxa"/>
            <w:shd w:val="clear" w:color="auto" w:fill="FFFFFF" w:themeFill="background1"/>
            <w:vAlign w:val="center"/>
          </w:tcPr>
          <w:p w:rsidR="00964C6F" w:rsidRDefault="00964C6F" w:rsidP="006F08D8">
            <w:pPr>
              <w:spacing w:line="24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964C6F" w:rsidRDefault="009F6E12" w:rsidP="006F08D8">
            <w:pPr>
              <w:spacing w:line="240" w:lineRule="exact"/>
              <w:contextualSpacing/>
              <w:jc w:val="center"/>
              <w:rPr>
                <w:color w:val="auto"/>
                <w:sz w:val="18"/>
                <w:szCs w:val="18"/>
              </w:rPr>
            </w:pPr>
            <w:r>
              <w:rPr>
                <w:color w:val="auto"/>
                <w:sz w:val="18"/>
                <w:szCs w:val="18"/>
              </w:rPr>
              <w:t>20080703</w:t>
            </w:r>
          </w:p>
        </w:tc>
      </w:tr>
      <w:tr w:rsidR="00964C6F" w:rsidRPr="002A4119" w:rsidTr="003D2494">
        <w:trPr>
          <w:trHeight w:val="260"/>
          <w:jc w:val="center"/>
        </w:trPr>
        <w:tc>
          <w:tcPr>
            <w:tcW w:w="4860" w:type="dxa"/>
            <w:gridSpan w:val="3"/>
            <w:vMerge/>
            <w:tcBorders>
              <w:right w:val="thinThickThinSmallGap" w:sz="24" w:space="0" w:color="auto"/>
            </w:tcBorders>
            <w:shd w:val="clear" w:color="auto" w:fill="FFFFFF" w:themeFill="background1"/>
            <w:vAlign w:val="center"/>
          </w:tcPr>
          <w:p w:rsidR="00964C6F" w:rsidRDefault="00964C6F" w:rsidP="006F08D8">
            <w:pPr>
              <w:spacing w:line="240" w:lineRule="exact"/>
              <w:contextualSpacing/>
              <w:jc w:val="center"/>
              <w:rPr>
                <w:color w:val="auto"/>
                <w:sz w:val="18"/>
                <w:szCs w:val="18"/>
              </w:rPr>
            </w:pPr>
          </w:p>
        </w:tc>
        <w:tc>
          <w:tcPr>
            <w:tcW w:w="4324" w:type="dxa"/>
            <w:gridSpan w:val="3"/>
            <w:tcBorders>
              <w:left w:val="thinThickThinSmallGap" w:sz="24" w:space="0" w:color="auto"/>
            </w:tcBorders>
            <w:shd w:val="clear" w:color="auto" w:fill="FFFFFF" w:themeFill="background1"/>
            <w:vAlign w:val="center"/>
          </w:tcPr>
          <w:p w:rsidR="00964C6F" w:rsidRPr="0086102A" w:rsidRDefault="00964C6F" w:rsidP="006F08D8">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3</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0" w:type="dxa"/>
            <w:shd w:val="clear" w:color="auto" w:fill="FFFFFF" w:themeFill="background1"/>
            <w:vAlign w:val="center"/>
          </w:tcPr>
          <w:p w:rsidR="00964C6F" w:rsidRPr="0086102A" w:rsidRDefault="00964C6F" w:rsidP="006F08D8">
            <w:pPr>
              <w:spacing w:line="240" w:lineRule="exact"/>
              <w:contextualSpacing/>
              <w:jc w:val="center"/>
              <w:rPr>
                <w:color w:val="auto"/>
                <w:sz w:val="18"/>
                <w:szCs w:val="18"/>
                <w:highlight w:val="yellow"/>
              </w:rPr>
            </w:pPr>
            <w:r w:rsidRPr="00964C6F">
              <w:rPr>
                <w:color w:val="auto"/>
                <w:sz w:val="18"/>
                <w:szCs w:val="18"/>
              </w:rPr>
              <w:t>20080820</w:t>
            </w:r>
          </w:p>
        </w:tc>
      </w:tr>
      <w:tr w:rsidR="00964C6F" w:rsidRPr="002A4119" w:rsidTr="003D2494">
        <w:trPr>
          <w:trHeight w:val="242"/>
          <w:jc w:val="center"/>
        </w:trPr>
        <w:tc>
          <w:tcPr>
            <w:tcW w:w="4860" w:type="dxa"/>
            <w:gridSpan w:val="3"/>
            <w:tcBorders>
              <w:right w:val="thinThickThinSmallGap" w:sz="24" w:space="0" w:color="auto"/>
            </w:tcBorders>
            <w:shd w:val="clear" w:color="auto" w:fill="D9D9D9" w:themeFill="background1" w:themeFillShade="D9"/>
            <w:vAlign w:val="center"/>
          </w:tcPr>
          <w:p w:rsidR="00964C6F" w:rsidRPr="00B06930" w:rsidRDefault="00964C6F" w:rsidP="006F08D8">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20</w:t>
            </w:r>
            <w:r w:rsidRPr="00B06930">
              <w:rPr>
                <w:b/>
                <w:color w:val="auto"/>
                <w:sz w:val="20"/>
                <w:szCs w:val="20"/>
              </w:rPr>
              <w:t>%</w:t>
            </w:r>
          </w:p>
        </w:tc>
        <w:tc>
          <w:tcPr>
            <w:tcW w:w="5314" w:type="dxa"/>
            <w:gridSpan w:val="4"/>
            <w:tcBorders>
              <w:left w:val="thinThickThinSmallGap" w:sz="24" w:space="0" w:color="auto"/>
            </w:tcBorders>
            <w:shd w:val="clear" w:color="auto" w:fill="D9D9D9" w:themeFill="background1" w:themeFillShade="D9"/>
            <w:vAlign w:val="center"/>
          </w:tcPr>
          <w:p w:rsidR="00964C6F" w:rsidRPr="00B06930" w:rsidRDefault="00964C6F" w:rsidP="006F08D8">
            <w:pPr>
              <w:spacing w:line="240" w:lineRule="exact"/>
              <w:contextualSpacing/>
              <w:jc w:val="center"/>
              <w:rPr>
                <w:b/>
                <w:color w:val="auto"/>
                <w:sz w:val="20"/>
                <w:szCs w:val="20"/>
              </w:rPr>
            </w:pPr>
            <w:r w:rsidRPr="00B06930">
              <w:rPr>
                <w:b/>
                <w:color w:val="auto"/>
                <w:sz w:val="20"/>
                <w:szCs w:val="20"/>
              </w:rPr>
              <w:t xml:space="preserve">Combined:  </w:t>
            </w:r>
            <w:r w:rsidR="009F6E12">
              <w:rPr>
                <w:b/>
                <w:color w:val="auto"/>
                <w:sz w:val="20"/>
                <w:szCs w:val="20"/>
              </w:rPr>
              <w:t>7</w:t>
            </w:r>
            <w:r>
              <w:rPr>
                <w:b/>
                <w:color w:val="auto"/>
                <w:sz w:val="20"/>
                <w:szCs w:val="20"/>
              </w:rPr>
              <w:t>0</w:t>
            </w:r>
            <w:r w:rsidRPr="00B06930">
              <w:rPr>
                <w:b/>
                <w:color w:val="auto"/>
                <w:sz w:val="20"/>
                <w:szCs w:val="20"/>
              </w:rPr>
              <w:t>%</w:t>
            </w:r>
          </w:p>
        </w:tc>
      </w:tr>
    </w:tbl>
    <w:p w:rsidR="00F1737C" w:rsidRPr="00437D18" w:rsidRDefault="00437D18" w:rsidP="006F08D8">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6F08D8" w:rsidRDefault="006F08D8" w:rsidP="006F08D8">
      <w:pPr>
        <w:spacing w:line="240" w:lineRule="exact"/>
        <w:rPr>
          <w:rFonts w:asciiTheme="minorHAnsi" w:hAnsiTheme="minorHAnsi"/>
          <w:color w:val="auto"/>
          <w:szCs w:val="24"/>
          <w:u w:val="single"/>
        </w:rPr>
      </w:pPr>
    </w:p>
    <w:p w:rsidR="00E97F65" w:rsidRDefault="00E97F65" w:rsidP="009447A7">
      <w:pPr>
        <w:spacing w:line="240" w:lineRule="exact"/>
        <w:jc w:val="both"/>
        <w:rPr>
          <w:rFonts w:asciiTheme="minorHAnsi" w:hAnsiTheme="minorHAnsi"/>
          <w:color w:val="auto"/>
          <w:szCs w:val="24"/>
          <w:u w:val="single"/>
        </w:rPr>
      </w:pPr>
    </w:p>
    <w:p w:rsidR="00E97F65" w:rsidRDefault="00E97F65" w:rsidP="009447A7">
      <w:pPr>
        <w:spacing w:line="240" w:lineRule="exact"/>
        <w:jc w:val="both"/>
        <w:rPr>
          <w:rFonts w:asciiTheme="minorHAnsi" w:hAnsiTheme="minorHAnsi"/>
          <w:color w:val="auto"/>
          <w:szCs w:val="24"/>
          <w:u w:val="single"/>
        </w:rPr>
      </w:pPr>
    </w:p>
    <w:p w:rsidR="00110D1C" w:rsidRDefault="002C6E5B" w:rsidP="009447A7">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812950">
        <w:rPr>
          <w:rFonts w:asciiTheme="minorHAnsi" w:hAnsiTheme="minorHAnsi"/>
          <w:color w:val="auto"/>
          <w:szCs w:val="24"/>
        </w:rPr>
        <w:t xml:space="preserve">  </w:t>
      </w:r>
      <w:r w:rsidR="00110D1C" w:rsidRPr="002A2E80">
        <w:rPr>
          <w:rFonts w:asciiTheme="minorHAnsi" w:hAnsiTheme="minorHAnsi"/>
          <w:color w:val="auto"/>
          <w:szCs w:val="24"/>
        </w:rPr>
        <w:t xml:space="preserve">The </w:t>
      </w:r>
      <w:r w:rsidR="00110D1C" w:rsidRPr="00FC3FA3">
        <w:rPr>
          <w:rFonts w:asciiTheme="minorHAnsi" w:hAnsiTheme="minorHAnsi"/>
          <w:color w:val="auto"/>
          <w:szCs w:val="24"/>
        </w:rPr>
        <w:t>Board acknowledges the sentiment expressed in the CI’s application, i.e., that there should be additional disability assigned for his PTSD condition and for the significant impairment from his service-incurred musculoskeletal conditions</w:t>
      </w:r>
      <w:r w:rsidR="00110D1C" w:rsidRPr="002A2E80">
        <w:rPr>
          <w:rFonts w:asciiTheme="minorHAnsi" w:hAnsiTheme="minorHAnsi"/>
          <w:color w:val="auto"/>
          <w:szCs w:val="24"/>
        </w:rPr>
        <w:t xml:space="preserve"> </w:t>
      </w:r>
      <w:r w:rsidR="00110D1C">
        <w:rPr>
          <w:rFonts w:asciiTheme="minorHAnsi" w:hAnsiTheme="minorHAnsi"/>
          <w:color w:val="auto"/>
          <w:szCs w:val="24"/>
        </w:rPr>
        <w:t xml:space="preserve">which </w:t>
      </w:r>
      <w:r w:rsidR="00110D1C" w:rsidRPr="002A2E80">
        <w:rPr>
          <w:rFonts w:asciiTheme="minorHAnsi" w:hAnsiTheme="minorHAnsi"/>
          <w:color w:val="auto"/>
          <w:szCs w:val="24"/>
        </w:rPr>
        <w:t>have wo</w:t>
      </w:r>
      <w:r w:rsidR="00E97F65">
        <w:rPr>
          <w:rFonts w:asciiTheme="minorHAnsi" w:hAnsiTheme="minorHAnsi"/>
          <w:color w:val="auto"/>
          <w:szCs w:val="24"/>
        </w:rPr>
        <w:t>rsened over time.  It is a fact</w:t>
      </w:r>
      <w:r w:rsidR="00110D1C" w:rsidRPr="002A2E80">
        <w:rPr>
          <w:rFonts w:asciiTheme="minorHAnsi" w:hAnsiTheme="minorHAnsi"/>
          <w:color w:val="auto"/>
          <w:szCs w:val="24"/>
        </w:rPr>
        <w:t xml:space="preserve"> however, that the DES has neither the role nor the authority to compensate service members for anticipated future severity or potential complications of conditions incurred in service or resulting in medical separation</w:t>
      </w:r>
      <w:r w:rsidR="00110D1C">
        <w:rPr>
          <w:rFonts w:asciiTheme="minorHAnsi" w:hAnsiTheme="minorHAnsi"/>
          <w:color w:val="auto"/>
          <w:szCs w:val="24"/>
        </w:rPr>
        <w:t xml:space="preserve">.  </w:t>
      </w:r>
      <w:r w:rsidR="00110D1C" w:rsidRPr="002A2E80">
        <w:rPr>
          <w:rFonts w:asciiTheme="minorHAnsi" w:hAnsiTheme="minorHAnsi"/>
          <w:color w:val="auto"/>
          <w:szCs w:val="24"/>
        </w:rPr>
        <w:t xml:space="preserve">The Board’s authority resides in evaluating the </w:t>
      </w:r>
      <w:r w:rsidR="00110D1C" w:rsidRPr="00D41EB2">
        <w:rPr>
          <w:rFonts w:asciiTheme="minorHAnsi" w:hAnsiTheme="minorHAnsi"/>
          <w:color w:val="auto"/>
          <w:szCs w:val="24"/>
        </w:rPr>
        <w:t xml:space="preserve">fairness of DES fitness decisions and rating determinations for disability at the time of separation and, for PTSD, at six months after separation.  </w:t>
      </w:r>
      <w:r w:rsidR="00812950" w:rsidRPr="00AF1A34">
        <w:rPr>
          <w:color w:val="auto"/>
          <w:szCs w:val="24"/>
        </w:rPr>
        <w:t xml:space="preserve">The Board also acknowledges the CI’s contention suggesting that Service ratings should have been conferred for other conditions documented at the time of separation.  </w:t>
      </w:r>
      <w:r w:rsidR="00110D1C" w:rsidRPr="00D41EB2">
        <w:rPr>
          <w:rFonts w:asciiTheme="minorHAnsi" w:hAnsiTheme="minorHAnsi"/>
          <w:color w:val="auto"/>
          <w:szCs w:val="24"/>
        </w:rPr>
        <w:t xml:space="preserve">While the </w:t>
      </w:r>
      <w:r w:rsidR="00110D1C">
        <w:rPr>
          <w:rFonts w:asciiTheme="minorHAnsi" w:hAnsiTheme="minorHAnsi"/>
          <w:color w:val="auto"/>
          <w:szCs w:val="24"/>
        </w:rPr>
        <w:t>DES</w:t>
      </w:r>
      <w:r w:rsidR="00110D1C" w:rsidRPr="00D41EB2">
        <w:rPr>
          <w:rFonts w:asciiTheme="minorHAnsi" w:hAnsiTheme="minorHAns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C937EF">
        <w:rPr>
          <w:rFonts w:asciiTheme="minorHAnsi" w:hAnsiTheme="minorHAnsi"/>
          <w:color w:val="auto"/>
          <w:szCs w:val="24"/>
        </w:rPr>
        <w:t>’</w:t>
      </w:r>
      <w:r w:rsidR="00110D1C" w:rsidRPr="00D41EB2">
        <w:rPr>
          <w:rFonts w:asciiTheme="minorHAnsi" w:hAnsiTheme="minorHAnsi"/>
          <w:color w:val="auto"/>
          <w:szCs w:val="24"/>
        </w:rPr>
        <w:t xml:space="preserve"> Affairs</w:t>
      </w:r>
      <w:r w:rsidR="00E97F65">
        <w:rPr>
          <w:rFonts w:asciiTheme="minorHAnsi" w:hAnsiTheme="minorHAnsi"/>
          <w:color w:val="auto"/>
          <w:szCs w:val="24"/>
        </w:rPr>
        <w:t xml:space="preserve"> (</w:t>
      </w:r>
      <w:r w:rsidR="00C937EF">
        <w:rPr>
          <w:rFonts w:asciiTheme="minorHAnsi" w:hAnsiTheme="minorHAnsi"/>
          <w:color w:val="auto"/>
          <w:szCs w:val="24"/>
        </w:rPr>
        <w:t>D</w:t>
      </w:r>
      <w:r w:rsidR="00E97F65">
        <w:rPr>
          <w:rFonts w:asciiTheme="minorHAnsi" w:hAnsiTheme="minorHAnsi"/>
          <w:color w:val="auto"/>
          <w:szCs w:val="24"/>
        </w:rPr>
        <w:t>VA)</w:t>
      </w:r>
      <w:r w:rsidR="00110D1C" w:rsidRPr="00D41EB2">
        <w:rPr>
          <w:rFonts w:asciiTheme="minorHAnsi" w:hAnsiTheme="minorHAnsi"/>
          <w:color w:val="auto"/>
          <w:szCs w:val="24"/>
        </w:rPr>
        <w:t xml:space="preserve">, operating under a different set of laws (Title 38, United States Code), is empowered to periodically re-evaluate veterans for the purpose of adjusting the disability rating should his degree of impairment vary over time.  </w:t>
      </w:r>
    </w:p>
    <w:p w:rsidR="006C5F80" w:rsidRDefault="006C5F80" w:rsidP="009447A7">
      <w:pPr>
        <w:jc w:val="both"/>
        <w:rPr>
          <w:color w:val="auto"/>
          <w:szCs w:val="24"/>
          <w:u w:val="single"/>
        </w:rPr>
      </w:pPr>
    </w:p>
    <w:p w:rsidR="00653E2B" w:rsidRDefault="003F2EEE" w:rsidP="009447A7">
      <w:pPr>
        <w:tabs>
          <w:tab w:val="left" w:pos="288"/>
          <w:tab w:val="left" w:pos="4752"/>
        </w:tabs>
        <w:spacing w:line="240" w:lineRule="exact"/>
        <w:jc w:val="both"/>
        <w:rPr>
          <w:rFonts w:asciiTheme="minorHAnsi" w:hAnsiTheme="minorHAnsi"/>
          <w:color w:val="auto"/>
          <w:szCs w:val="24"/>
          <w:u w:val="single"/>
        </w:rPr>
      </w:pPr>
      <w:r w:rsidRPr="009A4688">
        <w:rPr>
          <w:color w:val="auto"/>
          <w:szCs w:val="24"/>
          <w:u w:val="single"/>
        </w:rPr>
        <w:t xml:space="preserve">Right </w:t>
      </w:r>
      <w:r w:rsidR="00653E2B" w:rsidRPr="009A4688">
        <w:rPr>
          <w:color w:val="auto"/>
          <w:szCs w:val="24"/>
          <w:u w:val="single"/>
        </w:rPr>
        <w:t>ankle</w:t>
      </w:r>
      <w:r w:rsidRPr="009A4688">
        <w:rPr>
          <w:color w:val="auto"/>
          <w:szCs w:val="24"/>
          <w:u w:val="single"/>
        </w:rPr>
        <w:t xml:space="preserve"> Condition</w:t>
      </w:r>
      <w:r w:rsidRPr="009A4688">
        <w:rPr>
          <w:color w:val="auto"/>
          <w:szCs w:val="24"/>
        </w:rPr>
        <w:t xml:space="preserve">.  </w:t>
      </w:r>
      <w:r w:rsidR="00C62757" w:rsidRPr="009A4688">
        <w:rPr>
          <w:color w:val="auto"/>
          <w:szCs w:val="24"/>
        </w:rPr>
        <w:t xml:space="preserve">There were </w:t>
      </w:r>
      <w:r w:rsidR="00664419">
        <w:rPr>
          <w:color w:val="auto"/>
          <w:szCs w:val="24"/>
        </w:rPr>
        <w:t>2</w:t>
      </w:r>
      <w:r w:rsidR="00C62757" w:rsidRPr="009A4688">
        <w:rPr>
          <w:color w:val="auto"/>
          <w:szCs w:val="24"/>
        </w:rPr>
        <w:t xml:space="preserve"> </w:t>
      </w:r>
      <w:r w:rsidR="00C62757" w:rsidRPr="00664419">
        <w:rPr>
          <w:color w:val="auto"/>
          <w:szCs w:val="24"/>
        </w:rPr>
        <w:t>goniometric</w:t>
      </w:r>
      <w:r w:rsidR="00C62757" w:rsidRPr="009A4688">
        <w:rPr>
          <w:color w:val="auto"/>
          <w:szCs w:val="24"/>
        </w:rPr>
        <w:t xml:space="preserve"> range-of-motion (ROM) evaluations in evidence which the Board weighed in arriving at its rating recommendation. </w:t>
      </w:r>
      <w:r w:rsidR="00FC3FA3">
        <w:rPr>
          <w:color w:val="auto"/>
          <w:szCs w:val="24"/>
        </w:rPr>
        <w:t xml:space="preserve"> </w:t>
      </w:r>
      <w:r w:rsidR="00C62757" w:rsidRPr="00664419">
        <w:rPr>
          <w:color w:val="auto"/>
          <w:szCs w:val="24"/>
        </w:rPr>
        <w:t>Both</w:t>
      </w:r>
      <w:r w:rsidR="00C62757" w:rsidRPr="009A4688">
        <w:rPr>
          <w:color w:val="auto"/>
          <w:szCs w:val="24"/>
        </w:rPr>
        <w:t xml:space="preserve"> of these exams are summarized in the chart below</w:t>
      </w:r>
      <w:r w:rsidR="00C62757">
        <w:rPr>
          <w:rFonts w:asciiTheme="minorHAnsi" w:hAnsiTheme="minorHAnsi"/>
          <w:color w:val="auto"/>
          <w:szCs w:val="24"/>
        </w:rPr>
        <w:t>.</w:t>
      </w:r>
    </w:p>
    <w:p w:rsidR="00653E2B" w:rsidRDefault="00653E2B" w:rsidP="00510F9C">
      <w:pPr>
        <w:spacing w:line="240" w:lineRule="exact"/>
        <w:rPr>
          <w:rFonts w:asciiTheme="minorHAnsi" w:hAnsiTheme="minorHAnsi"/>
          <w:color w:val="auto"/>
          <w:szCs w:val="24"/>
          <w:u w:val="single"/>
        </w:rPr>
      </w:pPr>
    </w:p>
    <w:tbl>
      <w:tblPr>
        <w:tblW w:w="7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1958"/>
        <w:gridCol w:w="2610"/>
      </w:tblGrid>
      <w:tr w:rsidR="00664419" w:rsidRPr="00C34CEB" w:rsidTr="00664419">
        <w:trPr>
          <w:trHeight w:val="467"/>
          <w:jc w:val="center"/>
        </w:trPr>
        <w:tc>
          <w:tcPr>
            <w:tcW w:w="2664" w:type="dxa"/>
            <w:shd w:val="clear" w:color="auto" w:fill="D9D9D9" w:themeFill="background1" w:themeFillShade="D9"/>
            <w:vAlign w:val="center"/>
          </w:tcPr>
          <w:p w:rsidR="00664419" w:rsidRPr="00282DB6" w:rsidRDefault="00664419" w:rsidP="00CB4B88">
            <w:pPr>
              <w:spacing w:line="200" w:lineRule="exact"/>
              <w:contextualSpacing/>
              <w:jc w:val="center"/>
              <w:rPr>
                <w:rFonts w:asciiTheme="minorHAnsi" w:eastAsia="Calibri" w:hAnsiTheme="minorHAnsi"/>
                <w:color w:val="auto"/>
                <w:sz w:val="20"/>
              </w:rPr>
            </w:pPr>
            <w:r w:rsidRPr="00C34CEB">
              <w:rPr>
                <w:rFonts w:asciiTheme="minorHAnsi" w:eastAsiaTheme="minorHAnsi" w:hAnsiTheme="minorHAnsi" w:cstheme="minorBidi"/>
                <w:color w:val="auto"/>
                <w:sz w:val="18"/>
                <w:szCs w:val="18"/>
              </w:rPr>
              <w:br w:type="page"/>
            </w:r>
            <w:r w:rsidRPr="00282DB6">
              <w:rPr>
                <w:rFonts w:asciiTheme="minorHAnsi" w:eastAsia="Calibri" w:hAnsiTheme="minorHAnsi"/>
                <w:color w:val="auto"/>
                <w:sz w:val="20"/>
              </w:rPr>
              <w:t>Goniometric ROM –</w:t>
            </w:r>
          </w:p>
          <w:p w:rsidR="00664419" w:rsidRPr="00282DB6" w:rsidRDefault="00664419" w:rsidP="00CB4B88">
            <w:pPr>
              <w:spacing w:line="200" w:lineRule="exact"/>
              <w:contextualSpacing/>
              <w:jc w:val="center"/>
              <w:rPr>
                <w:rFonts w:asciiTheme="minorHAnsi" w:eastAsia="Calibri" w:hAnsiTheme="minorHAnsi"/>
                <w:color w:val="auto"/>
                <w:sz w:val="20"/>
              </w:rPr>
            </w:pPr>
            <w:r w:rsidRPr="00F606D5">
              <w:rPr>
                <w:rFonts w:asciiTheme="minorHAnsi" w:eastAsia="Calibri" w:hAnsiTheme="minorHAnsi"/>
                <w:color w:val="auto"/>
                <w:sz w:val="20"/>
              </w:rPr>
              <w:t>R</w:t>
            </w:r>
            <w:r w:rsidR="00C16C68">
              <w:rPr>
                <w:rFonts w:asciiTheme="minorHAnsi" w:eastAsia="Calibri" w:hAnsiTheme="minorHAnsi"/>
                <w:color w:val="auto"/>
                <w:sz w:val="20"/>
              </w:rPr>
              <w:t>ight</w:t>
            </w:r>
            <w:r w:rsidRPr="00F606D5">
              <w:rPr>
                <w:rFonts w:asciiTheme="minorHAnsi" w:eastAsia="Calibri" w:hAnsiTheme="minorHAnsi"/>
                <w:color w:val="auto"/>
                <w:sz w:val="20"/>
              </w:rPr>
              <w:t xml:space="preserve"> </w:t>
            </w:r>
            <w:r w:rsidRPr="00282DB6">
              <w:rPr>
                <w:rFonts w:asciiTheme="minorHAnsi" w:eastAsia="Calibri" w:hAnsiTheme="minorHAnsi"/>
                <w:color w:val="auto"/>
                <w:sz w:val="20"/>
              </w:rPr>
              <w:t>Ankle</w:t>
            </w:r>
          </w:p>
        </w:tc>
        <w:tc>
          <w:tcPr>
            <w:tcW w:w="1958" w:type="dxa"/>
            <w:shd w:val="clear" w:color="auto" w:fill="D9D9D9" w:themeFill="background1" w:themeFillShade="D9"/>
            <w:vAlign w:val="center"/>
          </w:tcPr>
          <w:p w:rsidR="00664419" w:rsidRPr="00FB42B7" w:rsidRDefault="00664419" w:rsidP="00664419">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PT ~ </w:t>
            </w:r>
            <w:r>
              <w:rPr>
                <w:rFonts w:asciiTheme="minorHAnsi" w:eastAsia="Calibri" w:hAnsiTheme="minorHAnsi"/>
                <w:color w:val="auto"/>
                <w:sz w:val="20"/>
              </w:rPr>
              <w:t>8</w:t>
            </w:r>
            <w:r w:rsidRPr="00FB42B7">
              <w:rPr>
                <w:rFonts w:asciiTheme="minorHAnsi" w:eastAsia="Calibri" w:hAnsiTheme="minorHAnsi"/>
                <w:color w:val="auto"/>
                <w:sz w:val="20"/>
              </w:rPr>
              <w:t xml:space="preserve"> Mo. Pre-Sep</w:t>
            </w:r>
          </w:p>
        </w:tc>
        <w:tc>
          <w:tcPr>
            <w:tcW w:w="2610" w:type="dxa"/>
            <w:shd w:val="clear" w:color="auto" w:fill="D9D9D9" w:themeFill="background1" w:themeFillShade="D9"/>
            <w:vAlign w:val="center"/>
          </w:tcPr>
          <w:p w:rsidR="00664419" w:rsidRPr="00FB42B7" w:rsidRDefault="00664419" w:rsidP="008F2297">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3 M</w:t>
            </w:r>
            <w:r w:rsidRPr="00FB42B7">
              <w:rPr>
                <w:rFonts w:asciiTheme="minorHAnsi" w:eastAsia="Calibri" w:hAnsiTheme="minorHAnsi"/>
                <w:color w:val="auto"/>
                <w:sz w:val="20"/>
              </w:rPr>
              <w:t>o. After-Sep</w:t>
            </w:r>
          </w:p>
        </w:tc>
      </w:tr>
      <w:tr w:rsidR="00664419" w:rsidRPr="00C34CEB" w:rsidTr="00664419">
        <w:trPr>
          <w:jc w:val="center"/>
        </w:trPr>
        <w:tc>
          <w:tcPr>
            <w:tcW w:w="2664" w:type="dxa"/>
            <w:vAlign w:val="center"/>
          </w:tcPr>
          <w:p w:rsidR="00664419" w:rsidRPr="00AE4B3E" w:rsidRDefault="00664419" w:rsidP="00CB4B88">
            <w:pPr>
              <w:spacing w:line="180" w:lineRule="exact"/>
              <w:contextualSpacing/>
              <w:jc w:val="center"/>
              <w:rPr>
                <w:rFonts w:asciiTheme="minorHAnsi" w:eastAsia="Calibri" w:hAnsiTheme="minorHAnsi"/>
                <w:color w:val="auto"/>
                <w:sz w:val="18"/>
                <w:szCs w:val="18"/>
              </w:rPr>
            </w:pPr>
            <w:r w:rsidRPr="00AE4B3E">
              <w:rPr>
                <w:rFonts w:asciiTheme="minorHAnsi" w:eastAsia="Calibri" w:hAnsiTheme="minorHAnsi"/>
                <w:color w:val="auto"/>
                <w:sz w:val="18"/>
                <w:szCs w:val="18"/>
              </w:rPr>
              <w:t xml:space="preserve">Right </w:t>
            </w:r>
            <w:proofErr w:type="spellStart"/>
            <w:r w:rsidRPr="00AE4B3E">
              <w:rPr>
                <w:rFonts w:asciiTheme="minorHAnsi" w:eastAsia="Calibri" w:hAnsiTheme="minorHAnsi"/>
                <w:color w:val="auto"/>
                <w:sz w:val="18"/>
                <w:szCs w:val="18"/>
              </w:rPr>
              <w:t>Dorsiflexion</w:t>
            </w:r>
            <w:proofErr w:type="spellEnd"/>
            <w:r w:rsidRPr="00AE4B3E">
              <w:rPr>
                <w:rFonts w:asciiTheme="minorHAnsi" w:eastAsia="Calibri" w:hAnsiTheme="minorHAnsi"/>
                <w:color w:val="auto"/>
                <w:sz w:val="18"/>
                <w:szCs w:val="18"/>
              </w:rPr>
              <w:t xml:space="preserve">  (0-20)</w:t>
            </w:r>
          </w:p>
        </w:tc>
        <w:tc>
          <w:tcPr>
            <w:tcW w:w="1958" w:type="dxa"/>
            <w:vAlign w:val="center"/>
          </w:tcPr>
          <w:p w:rsidR="00664419" w:rsidRPr="00AE4B3E" w:rsidRDefault="00664419" w:rsidP="00CB4B8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AE4B3E">
              <w:rPr>
                <w:rFonts w:asciiTheme="minorHAnsi" w:eastAsia="Calibri" w:hAnsiTheme="minorHAnsi"/>
                <w:color w:val="auto"/>
                <w:sz w:val="18"/>
                <w:szCs w:val="18"/>
              </w:rPr>
              <w:t>⁰</w:t>
            </w:r>
          </w:p>
        </w:tc>
        <w:tc>
          <w:tcPr>
            <w:tcW w:w="2610" w:type="dxa"/>
            <w:vAlign w:val="center"/>
          </w:tcPr>
          <w:p w:rsidR="00664419" w:rsidRPr="00AE4B3E" w:rsidRDefault="00664419" w:rsidP="00CB4B8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AE4B3E">
              <w:rPr>
                <w:rFonts w:asciiTheme="minorHAnsi" w:eastAsia="Calibri" w:hAnsiTheme="minorHAnsi"/>
                <w:color w:val="auto"/>
                <w:sz w:val="18"/>
                <w:szCs w:val="18"/>
              </w:rPr>
              <w:t>⁰</w:t>
            </w:r>
            <w:r>
              <w:rPr>
                <w:rFonts w:asciiTheme="minorHAnsi" w:eastAsia="Calibri" w:hAnsiTheme="minorHAnsi"/>
                <w:color w:val="auto"/>
                <w:sz w:val="18"/>
                <w:szCs w:val="18"/>
              </w:rPr>
              <w:t xml:space="preserve"> with pain</w:t>
            </w:r>
            <w:r w:rsidR="00E407DC">
              <w:rPr>
                <w:rFonts w:asciiTheme="minorHAnsi" w:eastAsia="Calibri" w:hAnsiTheme="minorHAnsi"/>
                <w:color w:val="auto"/>
                <w:sz w:val="18"/>
                <w:szCs w:val="18"/>
              </w:rPr>
              <w:t xml:space="preserve"> at 0</w:t>
            </w:r>
            <w:r w:rsidR="00E407DC" w:rsidRPr="00AE4B3E">
              <w:rPr>
                <w:rFonts w:asciiTheme="minorHAnsi" w:eastAsia="Calibri" w:hAnsiTheme="minorHAnsi"/>
                <w:color w:val="auto"/>
                <w:sz w:val="18"/>
                <w:szCs w:val="18"/>
              </w:rPr>
              <w:t>⁰</w:t>
            </w:r>
          </w:p>
        </w:tc>
      </w:tr>
      <w:tr w:rsidR="00664419" w:rsidRPr="00C34CEB" w:rsidTr="00664419">
        <w:trPr>
          <w:jc w:val="center"/>
        </w:trPr>
        <w:tc>
          <w:tcPr>
            <w:tcW w:w="2664" w:type="dxa"/>
            <w:vAlign w:val="center"/>
          </w:tcPr>
          <w:p w:rsidR="00664419" w:rsidRPr="00C34CEB" w:rsidRDefault="00664419" w:rsidP="00CB4B8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Right Plantar Flexion (0-45)</w:t>
            </w:r>
          </w:p>
        </w:tc>
        <w:tc>
          <w:tcPr>
            <w:tcW w:w="1958" w:type="dxa"/>
            <w:vAlign w:val="center"/>
          </w:tcPr>
          <w:p w:rsidR="00664419" w:rsidRPr="00C34CEB" w:rsidRDefault="00664419" w:rsidP="00CB4B8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c>
          <w:tcPr>
            <w:tcW w:w="2610" w:type="dxa"/>
            <w:vAlign w:val="center"/>
          </w:tcPr>
          <w:p w:rsidR="00664419" w:rsidRPr="00C34CEB" w:rsidRDefault="00664419" w:rsidP="00E407DC">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with pain</w:t>
            </w:r>
            <w:r w:rsidR="00E407DC">
              <w:rPr>
                <w:rFonts w:asciiTheme="minorHAnsi" w:eastAsia="Calibri" w:hAnsiTheme="minorHAnsi"/>
                <w:color w:val="auto"/>
                <w:sz w:val="18"/>
                <w:szCs w:val="18"/>
              </w:rPr>
              <w:t xml:space="preserve"> at 45</w:t>
            </w:r>
            <w:r w:rsidR="00E407DC" w:rsidRPr="00C34CEB">
              <w:rPr>
                <w:rFonts w:asciiTheme="minorHAnsi" w:eastAsia="Calibri" w:hAnsiTheme="minorHAnsi"/>
                <w:color w:val="auto"/>
                <w:sz w:val="18"/>
                <w:szCs w:val="18"/>
              </w:rPr>
              <w:t>⁰</w:t>
            </w:r>
          </w:p>
        </w:tc>
      </w:tr>
      <w:tr w:rsidR="00664419" w:rsidRPr="00C34CEB" w:rsidTr="00664419">
        <w:trPr>
          <w:jc w:val="center"/>
        </w:trPr>
        <w:tc>
          <w:tcPr>
            <w:tcW w:w="2664" w:type="dxa"/>
            <w:vAlign w:val="center"/>
          </w:tcPr>
          <w:p w:rsidR="00664419" w:rsidRPr="00C34CEB" w:rsidRDefault="00664419" w:rsidP="00CB4B88">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958" w:type="dxa"/>
            <w:vAlign w:val="center"/>
          </w:tcPr>
          <w:p w:rsidR="00664419" w:rsidRPr="00C34CEB" w:rsidRDefault="00664419" w:rsidP="00E407DC">
            <w:pPr>
              <w:pStyle w:val="ListParagraph"/>
              <w:spacing w:after="0" w:line="180" w:lineRule="exact"/>
              <w:ind w:left="0"/>
              <w:jc w:val="center"/>
              <w:rPr>
                <w:rFonts w:eastAsia="Calibri" w:cs="Times New Roman"/>
                <w:sz w:val="18"/>
                <w:szCs w:val="18"/>
              </w:rPr>
            </w:pPr>
            <w:r>
              <w:rPr>
                <w:rFonts w:eastAsia="Calibri" w:cs="Times New Roman"/>
                <w:sz w:val="18"/>
                <w:szCs w:val="18"/>
              </w:rPr>
              <w:t>No</w:t>
            </w:r>
            <w:r w:rsidR="00E407DC">
              <w:rPr>
                <w:rFonts w:eastAsia="Calibri" w:cs="Times New Roman"/>
                <w:sz w:val="18"/>
                <w:szCs w:val="18"/>
              </w:rPr>
              <w:t xml:space="preserve"> comment on pain</w:t>
            </w:r>
          </w:p>
        </w:tc>
        <w:tc>
          <w:tcPr>
            <w:tcW w:w="2610" w:type="dxa"/>
            <w:vAlign w:val="center"/>
          </w:tcPr>
          <w:p w:rsidR="00EF0673" w:rsidRDefault="00EF0673" w:rsidP="00EF0673">
            <w:pPr>
              <w:pStyle w:val="ListParagraph"/>
              <w:spacing w:after="0" w:line="180" w:lineRule="exact"/>
              <w:ind w:left="0"/>
              <w:jc w:val="center"/>
              <w:rPr>
                <w:rFonts w:eastAsia="Calibri" w:cs="Times New Roman"/>
                <w:sz w:val="18"/>
                <w:szCs w:val="18"/>
              </w:rPr>
            </w:pPr>
            <w:r>
              <w:rPr>
                <w:rFonts w:eastAsia="Calibri" w:cs="Times New Roman"/>
                <w:sz w:val="18"/>
                <w:szCs w:val="18"/>
              </w:rPr>
              <w:t>Pain at end range.</w:t>
            </w:r>
          </w:p>
          <w:p w:rsidR="00EF0673" w:rsidRDefault="00EF0673" w:rsidP="00EF0673">
            <w:pPr>
              <w:pStyle w:val="ListParagraph"/>
              <w:spacing w:after="0" w:line="180" w:lineRule="exact"/>
              <w:ind w:left="0"/>
              <w:jc w:val="center"/>
              <w:rPr>
                <w:rFonts w:eastAsia="Calibri" w:cs="Times New Roman"/>
                <w:sz w:val="18"/>
                <w:szCs w:val="18"/>
              </w:rPr>
            </w:pPr>
            <w:r>
              <w:rPr>
                <w:rFonts w:eastAsia="Calibri" w:cs="Times New Roman"/>
                <w:sz w:val="18"/>
                <w:szCs w:val="18"/>
              </w:rPr>
              <w:t>N</w:t>
            </w:r>
            <w:r w:rsidR="00664419">
              <w:rPr>
                <w:rFonts w:eastAsia="Calibri" w:cs="Times New Roman"/>
                <w:sz w:val="18"/>
                <w:szCs w:val="18"/>
              </w:rPr>
              <w:t>o swelling or deformity</w:t>
            </w:r>
            <w:r>
              <w:rPr>
                <w:rFonts w:eastAsia="Calibri" w:cs="Times New Roman"/>
                <w:sz w:val="18"/>
                <w:szCs w:val="18"/>
              </w:rPr>
              <w:t>.</w:t>
            </w:r>
          </w:p>
          <w:p w:rsidR="00664419" w:rsidRPr="00C34CEB" w:rsidRDefault="00EF0673" w:rsidP="00EF0673">
            <w:pPr>
              <w:pStyle w:val="ListParagraph"/>
              <w:spacing w:after="0" w:line="180" w:lineRule="exact"/>
              <w:ind w:left="0"/>
              <w:jc w:val="center"/>
              <w:rPr>
                <w:rFonts w:eastAsia="Calibri" w:cs="Times New Roman"/>
                <w:sz w:val="18"/>
                <w:szCs w:val="18"/>
              </w:rPr>
            </w:pPr>
            <w:r>
              <w:rPr>
                <w:rFonts w:eastAsia="Calibri" w:cs="Times New Roman"/>
                <w:sz w:val="18"/>
                <w:szCs w:val="18"/>
              </w:rPr>
              <w:t>W</w:t>
            </w:r>
            <w:r w:rsidR="00664419">
              <w:rPr>
                <w:rFonts w:eastAsia="Calibri" w:cs="Times New Roman"/>
                <w:sz w:val="18"/>
                <w:szCs w:val="18"/>
              </w:rPr>
              <w:t>ell healed surgical scars; scars smooth, but tender</w:t>
            </w:r>
          </w:p>
        </w:tc>
      </w:tr>
      <w:tr w:rsidR="00664419" w:rsidRPr="00C34CEB" w:rsidTr="00664419">
        <w:trPr>
          <w:jc w:val="center"/>
        </w:trPr>
        <w:tc>
          <w:tcPr>
            <w:tcW w:w="2664" w:type="dxa"/>
            <w:vAlign w:val="center"/>
          </w:tcPr>
          <w:p w:rsidR="00664419" w:rsidRPr="00C34CEB" w:rsidRDefault="00664419" w:rsidP="00CB4B88">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1958" w:type="dxa"/>
            <w:vAlign w:val="center"/>
          </w:tcPr>
          <w:p w:rsidR="00664419" w:rsidRPr="00C34CEB" w:rsidRDefault="007950F4" w:rsidP="00CB4B88">
            <w:pPr>
              <w:pStyle w:val="ListParagraph"/>
              <w:spacing w:after="0" w:line="180" w:lineRule="exact"/>
              <w:ind w:left="0"/>
              <w:jc w:val="center"/>
              <w:rPr>
                <w:rFonts w:eastAsia="Calibri" w:cs="Times New Roman"/>
                <w:sz w:val="18"/>
                <w:szCs w:val="18"/>
              </w:rPr>
            </w:pPr>
            <w:r>
              <w:rPr>
                <w:rFonts w:eastAsia="Calibri" w:cs="Times New Roman"/>
                <w:sz w:val="18"/>
                <w:szCs w:val="18"/>
              </w:rPr>
              <w:t>20</w:t>
            </w:r>
            <w:r w:rsidR="00664419" w:rsidRPr="00C34CEB">
              <w:rPr>
                <w:rFonts w:eastAsia="Calibri" w:cs="Times New Roman"/>
                <w:sz w:val="18"/>
                <w:szCs w:val="18"/>
              </w:rPr>
              <w:t>%</w:t>
            </w:r>
          </w:p>
        </w:tc>
        <w:tc>
          <w:tcPr>
            <w:tcW w:w="2610" w:type="dxa"/>
            <w:vAlign w:val="center"/>
          </w:tcPr>
          <w:p w:rsidR="00664419" w:rsidRPr="00C34CEB" w:rsidRDefault="003D2494" w:rsidP="003D2494">
            <w:pPr>
              <w:pStyle w:val="ListParagraph"/>
              <w:spacing w:after="0" w:line="180" w:lineRule="exact"/>
              <w:ind w:left="0"/>
              <w:jc w:val="center"/>
              <w:rPr>
                <w:rFonts w:eastAsia="Calibri" w:cs="Times New Roman"/>
                <w:sz w:val="18"/>
                <w:szCs w:val="18"/>
              </w:rPr>
            </w:pPr>
            <w:r>
              <w:rPr>
                <w:rFonts w:eastAsia="Calibri" w:cs="Times New Roman"/>
                <w:sz w:val="18"/>
                <w:szCs w:val="18"/>
              </w:rPr>
              <w:t>1</w:t>
            </w:r>
            <w:r w:rsidR="007950F4">
              <w:rPr>
                <w:rFonts w:eastAsia="Calibri" w:cs="Times New Roman"/>
                <w:sz w:val="18"/>
                <w:szCs w:val="18"/>
              </w:rPr>
              <w:t>0</w:t>
            </w:r>
            <w:r w:rsidR="00664419" w:rsidRPr="00C34CEB">
              <w:rPr>
                <w:rFonts w:eastAsia="Calibri" w:cs="Times New Roman"/>
                <w:sz w:val="18"/>
                <w:szCs w:val="18"/>
              </w:rPr>
              <w:t>%</w:t>
            </w:r>
          </w:p>
        </w:tc>
      </w:tr>
    </w:tbl>
    <w:p w:rsidR="003F2EEE" w:rsidRDefault="003F2EEE" w:rsidP="00510F9C">
      <w:pPr>
        <w:spacing w:line="240" w:lineRule="exact"/>
        <w:rPr>
          <w:rFonts w:asciiTheme="minorHAnsi" w:hAnsiTheme="minorHAnsi"/>
          <w:color w:val="auto"/>
          <w:szCs w:val="24"/>
          <w:u w:val="single"/>
        </w:rPr>
      </w:pPr>
    </w:p>
    <w:p w:rsidR="00E407DC" w:rsidRDefault="00CB4B88" w:rsidP="00C73EA6">
      <w:pPr>
        <w:spacing w:line="240" w:lineRule="exact"/>
        <w:jc w:val="both"/>
        <w:rPr>
          <w:rFonts w:asciiTheme="minorHAnsi" w:eastAsia="HiddenHorzOCR" w:hAnsiTheme="minorHAnsi"/>
          <w:color w:val="auto"/>
          <w:szCs w:val="24"/>
          <w:u w:val="single"/>
        </w:rPr>
      </w:pPr>
      <w:r>
        <w:rPr>
          <w:rFonts w:asciiTheme="minorHAnsi" w:eastAsia="HiddenHorzOCR" w:hAnsiTheme="minorHAnsi"/>
          <w:color w:val="auto"/>
          <w:szCs w:val="24"/>
        </w:rPr>
        <w:t>Several ankle sprains of the right ankle are documented prior to Dec</w:t>
      </w:r>
      <w:r w:rsidR="00D36D15">
        <w:rPr>
          <w:rFonts w:asciiTheme="minorHAnsi" w:eastAsia="HiddenHorzOCR" w:hAnsiTheme="minorHAnsi"/>
          <w:color w:val="auto"/>
          <w:szCs w:val="24"/>
        </w:rPr>
        <w:t xml:space="preserve">ember </w:t>
      </w:r>
      <w:r>
        <w:rPr>
          <w:rFonts w:asciiTheme="minorHAnsi" w:eastAsia="HiddenHorzOCR" w:hAnsiTheme="minorHAnsi"/>
          <w:color w:val="auto"/>
          <w:szCs w:val="24"/>
        </w:rPr>
        <w:t>2005 when t</w:t>
      </w:r>
      <w:r w:rsidR="00E407DC" w:rsidRPr="00E407DC">
        <w:rPr>
          <w:rFonts w:asciiTheme="minorHAnsi" w:eastAsia="HiddenHorzOCR" w:hAnsiTheme="minorHAnsi"/>
          <w:color w:val="auto"/>
          <w:szCs w:val="24"/>
        </w:rPr>
        <w:t>he C</w:t>
      </w:r>
      <w:r w:rsidR="00E407DC">
        <w:rPr>
          <w:rFonts w:asciiTheme="minorHAnsi" w:eastAsia="HiddenHorzOCR" w:hAnsiTheme="minorHAnsi"/>
          <w:color w:val="auto"/>
          <w:szCs w:val="24"/>
        </w:rPr>
        <w:t>I</w:t>
      </w:r>
      <w:r w:rsidR="00E407DC" w:rsidRPr="00E407DC">
        <w:rPr>
          <w:rFonts w:asciiTheme="minorHAnsi" w:eastAsia="HiddenHorzOCR" w:hAnsiTheme="minorHAnsi"/>
          <w:color w:val="auto"/>
          <w:szCs w:val="24"/>
        </w:rPr>
        <w:t xml:space="preserve"> </w:t>
      </w:r>
      <w:r w:rsidR="00E407DC">
        <w:rPr>
          <w:rFonts w:asciiTheme="minorHAnsi" w:eastAsia="HiddenHorzOCR" w:hAnsiTheme="minorHAnsi"/>
          <w:color w:val="auto"/>
          <w:szCs w:val="24"/>
        </w:rPr>
        <w:t>re-</w:t>
      </w:r>
      <w:r w:rsidR="00E407DC" w:rsidRPr="00E407DC">
        <w:rPr>
          <w:rFonts w:asciiTheme="minorHAnsi" w:eastAsia="HiddenHorzOCR" w:hAnsiTheme="minorHAnsi"/>
          <w:color w:val="auto"/>
          <w:szCs w:val="24"/>
        </w:rPr>
        <w:t>injured his right ankle</w:t>
      </w:r>
      <w:r w:rsidR="00E407DC">
        <w:rPr>
          <w:rFonts w:asciiTheme="minorHAnsi" w:eastAsia="HiddenHorzOCR" w:hAnsiTheme="minorHAnsi"/>
          <w:color w:val="auto"/>
          <w:szCs w:val="24"/>
        </w:rPr>
        <w:t xml:space="preserve"> while deployed</w:t>
      </w:r>
      <w:r w:rsidR="00D36D15">
        <w:rPr>
          <w:rFonts w:asciiTheme="minorHAnsi" w:eastAsia="HiddenHorzOCR" w:hAnsiTheme="minorHAnsi"/>
          <w:color w:val="auto"/>
          <w:szCs w:val="24"/>
        </w:rPr>
        <w:t xml:space="preserve">.  </w:t>
      </w:r>
      <w:r w:rsidR="0060634D">
        <w:rPr>
          <w:rFonts w:asciiTheme="minorHAnsi" w:eastAsia="HiddenHorzOCR" w:hAnsiTheme="minorHAnsi"/>
          <w:color w:val="auto"/>
          <w:szCs w:val="24"/>
        </w:rPr>
        <w:t xml:space="preserve">Non-surgical </w:t>
      </w:r>
      <w:r>
        <w:rPr>
          <w:rFonts w:asciiTheme="minorHAnsi" w:eastAsia="HiddenHorzOCR" w:hAnsiTheme="minorHAnsi"/>
          <w:color w:val="auto"/>
          <w:szCs w:val="24"/>
        </w:rPr>
        <w:t>management</w:t>
      </w:r>
      <w:r w:rsidR="00D76F4E">
        <w:rPr>
          <w:rFonts w:asciiTheme="minorHAnsi" w:eastAsia="HiddenHorzOCR" w:hAnsiTheme="minorHAnsi"/>
          <w:color w:val="auto"/>
          <w:szCs w:val="24"/>
        </w:rPr>
        <w:t>,</w:t>
      </w:r>
      <w:r>
        <w:rPr>
          <w:rFonts w:asciiTheme="minorHAnsi" w:eastAsia="HiddenHorzOCR" w:hAnsiTheme="minorHAnsi"/>
          <w:color w:val="auto"/>
          <w:szCs w:val="24"/>
        </w:rPr>
        <w:t xml:space="preserve"> including physical therapy, braces, </w:t>
      </w:r>
      <w:r w:rsidR="00D606E9">
        <w:rPr>
          <w:rFonts w:asciiTheme="minorHAnsi" w:eastAsia="HiddenHorzOCR" w:hAnsiTheme="minorHAnsi"/>
          <w:color w:val="auto"/>
          <w:szCs w:val="24"/>
        </w:rPr>
        <w:t>and medications</w:t>
      </w:r>
      <w:r w:rsidR="00D76F4E">
        <w:rPr>
          <w:rFonts w:asciiTheme="minorHAnsi" w:eastAsia="HiddenHorzOCR" w:hAnsiTheme="minorHAnsi"/>
          <w:color w:val="auto"/>
          <w:szCs w:val="24"/>
        </w:rPr>
        <w:t>,</w:t>
      </w:r>
      <w:r w:rsidR="00D606E9">
        <w:rPr>
          <w:rFonts w:asciiTheme="minorHAnsi" w:eastAsia="HiddenHorzOCR" w:hAnsiTheme="minorHAnsi"/>
          <w:color w:val="auto"/>
          <w:szCs w:val="24"/>
        </w:rPr>
        <w:t xml:space="preserve"> </w:t>
      </w:r>
      <w:r w:rsidR="0060634D">
        <w:rPr>
          <w:rFonts w:asciiTheme="minorHAnsi" w:eastAsia="HiddenHorzOCR" w:hAnsiTheme="minorHAnsi"/>
          <w:color w:val="auto"/>
          <w:szCs w:val="24"/>
        </w:rPr>
        <w:t xml:space="preserve">was </w:t>
      </w:r>
      <w:r w:rsidR="00D606E9">
        <w:rPr>
          <w:rFonts w:asciiTheme="minorHAnsi" w:eastAsia="HiddenHorzOCR" w:hAnsiTheme="minorHAnsi"/>
          <w:color w:val="auto"/>
          <w:szCs w:val="24"/>
        </w:rPr>
        <w:t xml:space="preserve">unsuccessful.  He </w:t>
      </w:r>
      <w:r w:rsidR="001B552F">
        <w:rPr>
          <w:rFonts w:asciiTheme="minorHAnsi" w:eastAsia="HiddenHorzOCR" w:hAnsiTheme="minorHAnsi"/>
          <w:color w:val="auto"/>
          <w:szCs w:val="24"/>
        </w:rPr>
        <w:t>underwent</w:t>
      </w:r>
      <w:r w:rsidR="00D606E9">
        <w:rPr>
          <w:rFonts w:asciiTheme="minorHAnsi" w:eastAsia="HiddenHorzOCR" w:hAnsiTheme="minorHAnsi"/>
          <w:color w:val="auto"/>
          <w:szCs w:val="24"/>
        </w:rPr>
        <w:t xml:space="preserve"> </w:t>
      </w:r>
      <w:r w:rsidR="008C3751">
        <w:rPr>
          <w:rFonts w:asciiTheme="minorHAnsi" w:eastAsia="HiddenHorzOCR" w:hAnsiTheme="minorHAnsi"/>
          <w:color w:val="auto"/>
          <w:szCs w:val="24"/>
        </w:rPr>
        <w:t xml:space="preserve">debridement of the right </w:t>
      </w:r>
      <w:proofErr w:type="spellStart"/>
      <w:r w:rsidR="008C3751">
        <w:rPr>
          <w:rFonts w:asciiTheme="minorHAnsi" w:eastAsia="HiddenHorzOCR" w:hAnsiTheme="minorHAnsi"/>
          <w:color w:val="auto"/>
          <w:szCs w:val="24"/>
        </w:rPr>
        <w:t>talar</w:t>
      </w:r>
      <w:proofErr w:type="spellEnd"/>
      <w:r w:rsidR="008C3751">
        <w:rPr>
          <w:rFonts w:asciiTheme="minorHAnsi" w:eastAsia="HiddenHorzOCR" w:hAnsiTheme="minorHAnsi"/>
          <w:color w:val="auto"/>
          <w:szCs w:val="24"/>
        </w:rPr>
        <w:t xml:space="preserve"> neck</w:t>
      </w:r>
      <w:r w:rsidR="00D76F4E">
        <w:rPr>
          <w:rFonts w:asciiTheme="minorHAnsi" w:eastAsia="HiddenHorzOCR" w:hAnsiTheme="minorHAnsi"/>
          <w:color w:val="auto"/>
          <w:szCs w:val="24"/>
        </w:rPr>
        <w:t xml:space="preserve"> in October 2007</w:t>
      </w:r>
      <w:r w:rsidR="008C3751">
        <w:rPr>
          <w:rFonts w:asciiTheme="minorHAnsi" w:eastAsia="HiddenHorzOCR" w:hAnsiTheme="minorHAnsi"/>
          <w:color w:val="auto"/>
          <w:szCs w:val="24"/>
        </w:rPr>
        <w:t xml:space="preserve"> and </w:t>
      </w:r>
      <w:r w:rsidR="00330C41">
        <w:rPr>
          <w:rFonts w:asciiTheme="minorHAnsi" w:eastAsia="HiddenHorzOCR" w:hAnsiTheme="minorHAnsi"/>
          <w:color w:val="auto"/>
          <w:szCs w:val="24"/>
        </w:rPr>
        <w:t xml:space="preserve">debridement of the </w:t>
      </w:r>
      <w:r w:rsidR="008C3751">
        <w:rPr>
          <w:rFonts w:asciiTheme="minorHAnsi" w:eastAsia="HiddenHorzOCR" w:hAnsiTheme="minorHAnsi"/>
          <w:color w:val="auto"/>
          <w:szCs w:val="24"/>
        </w:rPr>
        <w:t xml:space="preserve">right </w:t>
      </w:r>
      <w:proofErr w:type="spellStart"/>
      <w:r w:rsidR="008C3751">
        <w:rPr>
          <w:rFonts w:asciiTheme="minorHAnsi" w:eastAsia="HiddenHorzOCR" w:hAnsiTheme="minorHAnsi"/>
          <w:color w:val="auto"/>
          <w:szCs w:val="24"/>
        </w:rPr>
        <w:t>peroneal</w:t>
      </w:r>
      <w:proofErr w:type="spellEnd"/>
      <w:r w:rsidR="008C3751">
        <w:rPr>
          <w:rFonts w:asciiTheme="minorHAnsi" w:eastAsia="HiddenHorzOCR" w:hAnsiTheme="minorHAnsi"/>
          <w:color w:val="auto"/>
          <w:szCs w:val="24"/>
        </w:rPr>
        <w:t xml:space="preserve"> tendon </w:t>
      </w:r>
      <w:r w:rsidR="00330C41">
        <w:rPr>
          <w:rFonts w:asciiTheme="minorHAnsi" w:eastAsia="HiddenHorzOCR" w:hAnsiTheme="minorHAnsi"/>
          <w:color w:val="auto"/>
          <w:szCs w:val="24"/>
        </w:rPr>
        <w:t>in February 2008</w:t>
      </w:r>
      <w:r w:rsidR="008C3751">
        <w:rPr>
          <w:rFonts w:asciiTheme="minorHAnsi" w:eastAsia="HiddenHorzOCR" w:hAnsiTheme="minorHAnsi"/>
          <w:color w:val="auto"/>
          <w:szCs w:val="24"/>
        </w:rPr>
        <w:t xml:space="preserve">.  The second surgery </w:t>
      </w:r>
      <w:r w:rsidR="004B6485">
        <w:rPr>
          <w:rFonts w:asciiTheme="minorHAnsi" w:eastAsia="HiddenHorzOCR" w:hAnsiTheme="minorHAnsi"/>
          <w:color w:val="auto"/>
          <w:szCs w:val="24"/>
        </w:rPr>
        <w:t>was complicated by a post-operative wound infection</w:t>
      </w:r>
      <w:r w:rsidR="003E0333">
        <w:rPr>
          <w:rFonts w:asciiTheme="minorHAnsi" w:eastAsia="HiddenHorzOCR" w:hAnsiTheme="minorHAnsi"/>
          <w:color w:val="auto"/>
          <w:szCs w:val="24"/>
        </w:rPr>
        <w:t xml:space="preserve"> requiring </w:t>
      </w:r>
      <w:r w:rsidR="008C3751">
        <w:rPr>
          <w:rFonts w:asciiTheme="minorHAnsi" w:eastAsia="HiddenHorzOCR" w:hAnsiTheme="minorHAnsi"/>
          <w:color w:val="auto"/>
          <w:szCs w:val="24"/>
        </w:rPr>
        <w:t xml:space="preserve">additional </w:t>
      </w:r>
      <w:r w:rsidR="003E0333">
        <w:rPr>
          <w:rFonts w:asciiTheme="minorHAnsi" w:eastAsia="HiddenHorzOCR" w:hAnsiTheme="minorHAnsi"/>
          <w:color w:val="auto"/>
          <w:szCs w:val="24"/>
        </w:rPr>
        <w:t xml:space="preserve">minor </w:t>
      </w:r>
      <w:r w:rsidR="008C3751">
        <w:rPr>
          <w:rFonts w:asciiTheme="minorHAnsi" w:eastAsia="HiddenHorzOCR" w:hAnsiTheme="minorHAnsi"/>
          <w:color w:val="auto"/>
          <w:szCs w:val="24"/>
        </w:rPr>
        <w:t xml:space="preserve">surgical </w:t>
      </w:r>
      <w:r w:rsidR="003E0333">
        <w:rPr>
          <w:rFonts w:asciiTheme="minorHAnsi" w:eastAsia="HiddenHorzOCR" w:hAnsiTheme="minorHAnsi"/>
          <w:color w:val="auto"/>
          <w:szCs w:val="24"/>
        </w:rPr>
        <w:t>procedures to manage wound complications</w:t>
      </w:r>
      <w:r w:rsidR="004B6485">
        <w:rPr>
          <w:rFonts w:asciiTheme="minorHAnsi" w:eastAsia="HiddenHorzOCR" w:hAnsiTheme="minorHAnsi"/>
          <w:color w:val="auto"/>
          <w:szCs w:val="24"/>
        </w:rPr>
        <w:t>.</w:t>
      </w:r>
      <w:r w:rsidR="00D76F4E">
        <w:rPr>
          <w:rFonts w:asciiTheme="minorHAnsi" w:eastAsia="HiddenHorzOCR" w:hAnsiTheme="minorHAnsi"/>
          <w:color w:val="auto"/>
          <w:szCs w:val="24"/>
        </w:rPr>
        <w:t xml:space="preserve">  </w:t>
      </w:r>
      <w:r w:rsidR="004B6485">
        <w:rPr>
          <w:rFonts w:asciiTheme="minorHAnsi" w:eastAsia="HiddenHorzOCR" w:hAnsiTheme="minorHAnsi"/>
          <w:color w:val="auto"/>
          <w:szCs w:val="24"/>
        </w:rPr>
        <w:t xml:space="preserve">The MEB </w:t>
      </w:r>
      <w:r w:rsidR="00E97F65">
        <w:rPr>
          <w:rFonts w:asciiTheme="minorHAnsi" w:eastAsia="HiddenHorzOCR" w:hAnsiTheme="minorHAnsi"/>
          <w:color w:val="auto"/>
          <w:szCs w:val="24"/>
        </w:rPr>
        <w:t>narrative summary (</w:t>
      </w:r>
      <w:r w:rsidR="00330C41">
        <w:rPr>
          <w:rFonts w:asciiTheme="minorHAnsi" w:eastAsia="HiddenHorzOCR" w:hAnsiTheme="minorHAnsi"/>
          <w:color w:val="auto"/>
          <w:szCs w:val="24"/>
        </w:rPr>
        <w:t>NARSUM</w:t>
      </w:r>
      <w:r w:rsidR="00E97F65">
        <w:rPr>
          <w:rFonts w:asciiTheme="minorHAnsi" w:eastAsia="HiddenHorzOCR" w:hAnsiTheme="minorHAnsi"/>
          <w:color w:val="auto"/>
          <w:szCs w:val="24"/>
        </w:rPr>
        <w:t xml:space="preserve">), </w:t>
      </w:r>
      <w:r w:rsidR="003E0333">
        <w:rPr>
          <w:rFonts w:asciiTheme="minorHAnsi" w:eastAsia="HiddenHorzOCR" w:hAnsiTheme="minorHAnsi"/>
          <w:color w:val="auto"/>
          <w:szCs w:val="24"/>
        </w:rPr>
        <w:t xml:space="preserve">5 </w:t>
      </w:r>
      <w:r w:rsidR="004B6485">
        <w:rPr>
          <w:rFonts w:asciiTheme="minorHAnsi" w:eastAsia="HiddenHorzOCR" w:hAnsiTheme="minorHAnsi"/>
          <w:color w:val="auto"/>
          <w:szCs w:val="24"/>
        </w:rPr>
        <w:t>Oct</w:t>
      </w:r>
      <w:r w:rsidR="00DE12CC">
        <w:rPr>
          <w:rFonts w:asciiTheme="minorHAnsi" w:eastAsia="HiddenHorzOCR" w:hAnsiTheme="minorHAnsi"/>
          <w:color w:val="auto"/>
          <w:szCs w:val="24"/>
        </w:rPr>
        <w:t xml:space="preserve">ober </w:t>
      </w:r>
      <w:r w:rsidR="004B6485">
        <w:rPr>
          <w:rFonts w:asciiTheme="minorHAnsi" w:eastAsia="HiddenHorzOCR" w:hAnsiTheme="minorHAnsi"/>
          <w:color w:val="auto"/>
          <w:szCs w:val="24"/>
        </w:rPr>
        <w:t>2007</w:t>
      </w:r>
      <w:r w:rsidR="009424E5">
        <w:rPr>
          <w:rFonts w:asciiTheme="minorHAnsi" w:eastAsia="HiddenHorzOCR" w:hAnsiTheme="minorHAnsi"/>
          <w:color w:val="auto"/>
          <w:szCs w:val="24"/>
        </w:rPr>
        <w:t xml:space="preserve"> (</w:t>
      </w:r>
      <w:r w:rsidR="004B6485">
        <w:rPr>
          <w:rFonts w:asciiTheme="minorHAnsi" w:eastAsia="HiddenHorzOCR" w:hAnsiTheme="minorHAnsi"/>
          <w:color w:val="auto"/>
          <w:szCs w:val="24"/>
        </w:rPr>
        <w:t>seven months prior to separation</w:t>
      </w:r>
      <w:r w:rsidR="009424E5">
        <w:rPr>
          <w:rFonts w:asciiTheme="minorHAnsi" w:eastAsia="HiddenHorzOCR" w:hAnsiTheme="minorHAnsi"/>
          <w:color w:val="auto"/>
          <w:szCs w:val="24"/>
        </w:rPr>
        <w:t>), recorded symptoms of c</w:t>
      </w:r>
      <w:r w:rsidR="00E05F57">
        <w:rPr>
          <w:rFonts w:asciiTheme="minorHAnsi" w:eastAsia="HiddenHorzOCR" w:hAnsiTheme="minorHAnsi"/>
          <w:color w:val="auto"/>
          <w:szCs w:val="24"/>
        </w:rPr>
        <w:t>hronic pain at the incision site</w:t>
      </w:r>
      <w:r w:rsidR="009424E5">
        <w:rPr>
          <w:rFonts w:asciiTheme="minorHAnsi" w:eastAsia="HiddenHorzOCR" w:hAnsiTheme="minorHAnsi"/>
          <w:color w:val="auto"/>
          <w:szCs w:val="24"/>
        </w:rPr>
        <w:t>, a</w:t>
      </w:r>
      <w:r w:rsidR="00E05F57">
        <w:rPr>
          <w:rFonts w:asciiTheme="minorHAnsi" w:eastAsia="HiddenHorzOCR" w:hAnsiTheme="minorHAnsi"/>
          <w:color w:val="auto"/>
          <w:szCs w:val="24"/>
        </w:rPr>
        <w:t>ching and popping with walking</w:t>
      </w:r>
      <w:r w:rsidR="009424E5">
        <w:rPr>
          <w:rFonts w:asciiTheme="minorHAnsi" w:eastAsia="HiddenHorzOCR" w:hAnsiTheme="minorHAnsi"/>
          <w:color w:val="auto"/>
          <w:szCs w:val="24"/>
        </w:rPr>
        <w:t>, and</w:t>
      </w:r>
      <w:r w:rsidR="00D76F4E">
        <w:rPr>
          <w:rFonts w:asciiTheme="minorHAnsi" w:eastAsia="HiddenHorzOCR" w:hAnsiTheme="minorHAnsi"/>
          <w:color w:val="auto"/>
          <w:szCs w:val="24"/>
        </w:rPr>
        <w:t>,</w:t>
      </w:r>
      <w:r w:rsidR="009424E5">
        <w:rPr>
          <w:rFonts w:asciiTheme="minorHAnsi" w:eastAsia="HiddenHorzOCR" w:hAnsiTheme="minorHAnsi"/>
          <w:color w:val="auto"/>
          <w:szCs w:val="24"/>
        </w:rPr>
        <w:t xml:space="preserve"> i</w:t>
      </w:r>
      <w:r w:rsidR="00E05F57">
        <w:rPr>
          <w:rFonts w:asciiTheme="minorHAnsi" w:eastAsia="HiddenHorzOCR" w:hAnsiTheme="minorHAnsi"/>
          <w:color w:val="auto"/>
          <w:szCs w:val="24"/>
        </w:rPr>
        <w:t>nability to run due to pain and a subjective inability to achieve adequate range of motion for running.</w:t>
      </w:r>
      <w:r w:rsidR="009424E5">
        <w:rPr>
          <w:rFonts w:asciiTheme="minorHAnsi" w:eastAsia="HiddenHorzOCR" w:hAnsiTheme="minorHAnsi"/>
          <w:color w:val="auto"/>
          <w:szCs w:val="24"/>
        </w:rPr>
        <w:t xml:space="preserve">  The condition was </w:t>
      </w:r>
      <w:r w:rsidR="001B552F">
        <w:rPr>
          <w:rFonts w:asciiTheme="minorHAnsi" w:eastAsia="HiddenHorzOCR" w:hAnsiTheme="minorHAnsi"/>
          <w:color w:val="auto"/>
          <w:szCs w:val="24"/>
        </w:rPr>
        <w:t xml:space="preserve">not expected to improve.  A sensory neuropathy of the </w:t>
      </w:r>
      <w:r w:rsidR="009424E5">
        <w:rPr>
          <w:rFonts w:asciiTheme="minorHAnsi" w:eastAsia="HiddenHorzOCR" w:hAnsiTheme="minorHAnsi"/>
          <w:color w:val="auto"/>
          <w:szCs w:val="24"/>
        </w:rPr>
        <w:t xml:space="preserve">dorsal </w:t>
      </w:r>
      <w:proofErr w:type="spellStart"/>
      <w:r w:rsidR="009424E5">
        <w:rPr>
          <w:rFonts w:asciiTheme="minorHAnsi" w:eastAsia="HiddenHorzOCR" w:hAnsiTheme="minorHAnsi"/>
          <w:color w:val="auto"/>
          <w:szCs w:val="24"/>
        </w:rPr>
        <w:t>cutaneous</w:t>
      </w:r>
      <w:proofErr w:type="spellEnd"/>
      <w:r w:rsidR="009424E5">
        <w:rPr>
          <w:rFonts w:asciiTheme="minorHAnsi" w:eastAsia="HiddenHorzOCR" w:hAnsiTheme="minorHAnsi"/>
          <w:color w:val="auto"/>
          <w:szCs w:val="24"/>
        </w:rPr>
        <w:t xml:space="preserve"> nerve (confirmed neurolog</w:t>
      </w:r>
      <w:r w:rsidR="003D2494">
        <w:rPr>
          <w:rFonts w:asciiTheme="minorHAnsi" w:eastAsia="HiddenHorzOCR" w:hAnsiTheme="minorHAnsi"/>
          <w:color w:val="auto"/>
          <w:szCs w:val="24"/>
        </w:rPr>
        <w:t>y evaluation</w:t>
      </w:r>
      <w:r w:rsidR="008D40CF">
        <w:rPr>
          <w:rFonts w:asciiTheme="minorHAnsi" w:eastAsia="HiddenHorzOCR" w:hAnsiTheme="minorHAnsi"/>
          <w:color w:val="auto"/>
          <w:szCs w:val="24"/>
        </w:rPr>
        <w:t>)</w:t>
      </w:r>
      <w:r w:rsidR="00226CC8">
        <w:rPr>
          <w:rFonts w:asciiTheme="minorHAnsi" w:eastAsia="HiddenHorzOCR" w:hAnsiTheme="minorHAnsi"/>
          <w:color w:val="auto"/>
          <w:szCs w:val="24"/>
        </w:rPr>
        <w:t xml:space="preserve"> </w:t>
      </w:r>
      <w:r w:rsidR="001B552F">
        <w:rPr>
          <w:rFonts w:asciiTheme="minorHAnsi" w:eastAsia="HiddenHorzOCR" w:hAnsiTheme="minorHAnsi"/>
          <w:color w:val="auto"/>
          <w:szCs w:val="24"/>
        </w:rPr>
        <w:t>was noted</w:t>
      </w:r>
      <w:r w:rsidR="008D40CF">
        <w:rPr>
          <w:rFonts w:asciiTheme="minorHAnsi" w:eastAsia="HiddenHorzOCR" w:hAnsiTheme="minorHAnsi"/>
          <w:color w:val="auto"/>
          <w:szCs w:val="24"/>
        </w:rPr>
        <w:t>;</w:t>
      </w:r>
      <w:r w:rsidR="009424E5">
        <w:rPr>
          <w:rFonts w:asciiTheme="minorHAnsi" w:eastAsia="HiddenHorzOCR" w:hAnsiTheme="minorHAnsi"/>
          <w:color w:val="auto"/>
          <w:szCs w:val="24"/>
        </w:rPr>
        <w:t xml:space="preserve"> however</w:t>
      </w:r>
      <w:r w:rsidR="003A0FFE">
        <w:rPr>
          <w:rFonts w:asciiTheme="minorHAnsi" w:eastAsia="HiddenHorzOCR" w:hAnsiTheme="minorHAnsi"/>
          <w:color w:val="auto"/>
          <w:szCs w:val="24"/>
        </w:rPr>
        <w:t>,</w:t>
      </w:r>
      <w:r w:rsidR="009424E5">
        <w:rPr>
          <w:rFonts w:asciiTheme="minorHAnsi" w:eastAsia="HiddenHorzOCR" w:hAnsiTheme="minorHAnsi"/>
          <w:color w:val="auto"/>
          <w:szCs w:val="24"/>
        </w:rPr>
        <w:t xml:space="preserve"> </w:t>
      </w:r>
      <w:r w:rsidR="001B552F">
        <w:rPr>
          <w:rFonts w:asciiTheme="minorHAnsi" w:eastAsia="HiddenHorzOCR" w:hAnsiTheme="minorHAnsi"/>
          <w:color w:val="auto"/>
          <w:szCs w:val="24"/>
        </w:rPr>
        <w:t xml:space="preserve">motor function was intact.  </w:t>
      </w:r>
      <w:r w:rsidR="00E05F57">
        <w:rPr>
          <w:rFonts w:asciiTheme="minorHAnsi" w:eastAsia="HiddenHorzOCR" w:hAnsiTheme="minorHAnsi"/>
          <w:color w:val="auto"/>
          <w:szCs w:val="24"/>
        </w:rPr>
        <w:t xml:space="preserve">Right ankle </w:t>
      </w:r>
      <w:r w:rsidR="003D2494">
        <w:rPr>
          <w:rFonts w:asciiTheme="minorHAnsi" w:eastAsia="HiddenHorzOCR" w:hAnsiTheme="minorHAnsi"/>
          <w:color w:val="auto"/>
          <w:szCs w:val="24"/>
        </w:rPr>
        <w:t xml:space="preserve">range of motion </w:t>
      </w:r>
      <w:r w:rsidR="00E05F57">
        <w:rPr>
          <w:rFonts w:asciiTheme="minorHAnsi" w:eastAsia="HiddenHorzOCR" w:hAnsiTheme="minorHAnsi"/>
          <w:color w:val="auto"/>
          <w:szCs w:val="24"/>
        </w:rPr>
        <w:t xml:space="preserve">was decreased </w:t>
      </w:r>
      <w:r w:rsidR="00D76F4E">
        <w:rPr>
          <w:rFonts w:asciiTheme="minorHAnsi" w:eastAsia="HiddenHorzOCR" w:hAnsiTheme="minorHAnsi"/>
          <w:color w:val="auto"/>
          <w:szCs w:val="24"/>
        </w:rPr>
        <w:t>in</w:t>
      </w:r>
      <w:r w:rsidR="00E05F57">
        <w:rPr>
          <w:rFonts w:asciiTheme="minorHAnsi" w:eastAsia="HiddenHorzOCR" w:hAnsiTheme="minorHAnsi"/>
          <w:color w:val="auto"/>
          <w:szCs w:val="24"/>
        </w:rPr>
        <w:t xml:space="preserve"> </w:t>
      </w:r>
      <w:proofErr w:type="spellStart"/>
      <w:r w:rsidR="00E05F57">
        <w:rPr>
          <w:rFonts w:asciiTheme="minorHAnsi" w:eastAsia="HiddenHorzOCR" w:hAnsiTheme="minorHAnsi"/>
          <w:color w:val="auto"/>
          <w:szCs w:val="24"/>
        </w:rPr>
        <w:t>dorsiflexion</w:t>
      </w:r>
      <w:proofErr w:type="spellEnd"/>
      <w:r w:rsidR="00693C04">
        <w:rPr>
          <w:rFonts w:asciiTheme="minorHAnsi" w:eastAsia="HiddenHorzOCR" w:hAnsiTheme="minorHAnsi"/>
          <w:color w:val="auto"/>
          <w:szCs w:val="24"/>
        </w:rPr>
        <w:t xml:space="preserve"> and plantar flexion</w:t>
      </w:r>
      <w:r w:rsidR="00E05F57">
        <w:rPr>
          <w:rFonts w:asciiTheme="minorHAnsi" w:eastAsia="HiddenHorzOCR" w:hAnsiTheme="minorHAnsi"/>
          <w:color w:val="auto"/>
          <w:szCs w:val="24"/>
        </w:rPr>
        <w:t xml:space="preserve">.  A 17 August 2007 examination by the same physician noted the range of motion to be slightly decreased in </w:t>
      </w:r>
      <w:proofErr w:type="spellStart"/>
      <w:r w:rsidR="00E05F57">
        <w:rPr>
          <w:rFonts w:asciiTheme="minorHAnsi" w:eastAsia="HiddenHorzOCR" w:hAnsiTheme="minorHAnsi"/>
          <w:color w:val="auto"/>
          <w:szCs w:val="24"/>
        </w:rPr>
        <w:t>dorsiflexion</w:t>
      </w:r>
      <w:proofErr w:type="spellEnd"/>
      <w:r w:rsidR="00E05F57">
        <w:rPr>
          <w:rFonts w:asciiTheme="minorHAnsi" w:eastAsia="HiddenHorzOCR" w:hAnsiTheme="minorHAnsi"/>
          <w:color w:val="auto"/>
          <w:szCs w:val="24"/>
        </w:rPr>
        <w:t xml:space="preserve">.  Physical therapy examination for the MEB recorded decreased </w:t>
      </w:r>
      <w:proofErr w:type="spellStart"/>
      <w:r w:rsidR="00E05F57">
        <w:rPr>
          <w:rFonts w:asciiTheme="minorHAnsi" w:eastAsia="HiddenHorzOCR" w:hAnsiTheme="minorHAnsi"/>
          <w:color w:val="auto"/>
          <w:szCs w:val="24"/>
        </w:rPr>
        <w:t>dorsiflexion</w:t>
      </w:r>
      <w:proofErr w:type="spellEnd"/>
      <w:r w:rsidR="00E05F57">
        <w:rPr>
          <w:rFonts w:asciiTheme="minorHAnsi" w:eastAsia="HiddenHorzOCR" w:hAnsiTheme="minorHAnsi"/>
          <w:color w:val="auto"/>
          <w:szCs w:val="24"/>
        </w:rPr>
        <w:t xml:space="preserve"> and plantar flexion.  The 17</w:t>
      </w:r>
      <w:r w:rsidR="00C937EF">
        <w:rPr>
          <w:rFonts w:asciiTheme="minorHAnsi" w:eastAsia="HiddenHorzOCR" w:hAnsiTheme="minorHAnsi"/>
          <w:color w:val="auto"/>
          <w:szCs w:val="24"/>
        </w:rPr>
        <w:t> </w:t>
      </w:r>
      <w:r w:rsidR="00E05F57">
        <w:rPr>
          <w:rFonts w:asciiTheme="minorHAnsi" w:eastAsia="HiddenHorzOCR" w:hAnsiTheme="minorHAnsi"/>
          <w:color w:val="auto"/>
          <w:szCs w:val="24"/>
        </w:rPr>
        <w:t>July 2007 neurology examination noted no gait abnormalities</w:t>
      </w:r>
      <w:r w:rsidR="009424E5">
        <w:rPr>
          <w:rFonts w:asciiTheme="minorHAnsi" w:eastAsia="HiddenHorzOCR" w:hAnsiTheme="minorHAnsi"/>
          <w:color w:val="auto"/>
          <w:szCs w:val="24"/>
        </w:rPr>
        <w:t xml:space="preserve">. </w:t>
      </w:r>
      <w:r w:rsidR="00E05F57">
        <w:rPr>
          <w:rFonts w:asciiTheme="minorHAnsi" w:eastAsia="HiddenHorzOCR" w:hAnsiTheme="minorHAnsi"/>
          <w:color w:val="auto"/>
          <w:szCs w:val="24"/>
        </w:rPr>
        <w:t xml:space="preserve"> The 18 June 2007 podiatry examination noted </w:t>
      </w:r>
      <w:r w:rsidR="00F177D3">
        <w:rPr>
          <w:rFonts w:asciiTheme="minorHAnsi" w:eastAsia="HiddenHorzOCR" w:hAnsiTheme="minorHAnsi"/>
          <w:color w:val="auto"/>
          <w:szCs w:val="24"/>
        </w:rPr>
        <w:t>problems walking on uneven ground</w:t>
      </w:r>
      <w:r w:rsidR="003A0FFE">
        <w:rPr>
          <w:rFonts w:asciiTheme="minorHAnsi" w:eastAsia="HiddenHorzOCR" w:hAnsiTheme="minorHAnsi"/>
          <w:color w:val="auto"/>
          <w:szCs w:val="24"/>
        </w:rPr>
        <w:t>, but</w:t>
      </w:r>
      <w:r w:rsidR="00F177D3">
        <w:rPr>
          <w:rFonts w:asciiTheme="minorHAnsi" w:eastAsia="HiddenHorzOCR" w:hAnsiTheme="minorHAnsi"/>
          <w:color w:val="auto"/>
          <w:szCs w:val="24"/>
        </w:rPr>
        <w:t xml:space="preserve"> no pain with range of motion.</w:t>
      </w:r>
      <w:r w:rsidR="00C73EA6">
        <w:rPr>
          <w:rFonts w:asciiTheme="minorHAnsi" w:eastAsia="HiddenHorzOCR" w:hAnsiTheme="minorHAnsi"/>
          <w:color w:val="auto"/>
          <w:szCs w:val="24"/>
        </w:rPr>
        <w:t xml:space="preserve">  The IPEB found right ankle pain due to neuropathy status post injury and surgery unfitting and rated it 10% under the VASRD code 8725 for neuralgia of the posterior </w:t>
      </w:r>
      <w:proofErr w:type="spellStart"/>
      <w:r w:rsidR="00C73EA6">
        <w:rPr>
          <w:rFonts w:asciiTheme="minorHAnsi" w:eastAsia="HiddenHorzOCR" w:hAnsiTheme="minorHAnsi"/>
          <w:color w:val="auto"/>
          <w:szCs w:val="24"/>
        </w:rPr>
        <w:t>tibial</w:t>
      </w:r>
      <w:proofErr w:type="spellEnd"/>
      <w:r w:rsidR="00C73EA6">
        <w:rPr>
          <w:rFonts w:asciiTheme="minorHAnsi" w:eastAsia="HiddenHorzOCR" w:hAnsiTheme="minorHAnsi"/>
          <w:color w:val="auto"/>
          <w:szCs w:val="24"/>
        </w:rPr>
        <w:t xml:space="preserve"> nerve.  The FPEB adjudicated the right ankle condition as </w:t>
      </w:r>
      <w:r w:rsidR="00C73EA6" w:rsidRPr="0051277D">
        <w:rPr>
          <w:rFonts w:asciiTheme="minorHAnsi" w:eastAsia="HiddenHorzOCR" w:hAnsiTheme="minorHAnsi"/>
          <w:color w:val="auto"/>
          <w:szCs w:val="24"/>
        </w:rPr>
        <w:t>8725-5271</w:t>
      </w:r>
      <w:r w:rsidR="00C73EA6">
        <w:rPr>
          <w:rFonts w:asciiTheme="minorHAnsi" w:eastAsia="HiddenHorzOCR" w:hAnsiTheme="minorHAnsi"/>
          <w:color w:val="auto"/>
          <w:szCs w:val="24"/>
        </w:rPr>
        <w:t xml:space="preserve">, noting both </w:t>
      </w:r>
      <w:r w:rsidR="00C73EA6" w:rsidRPr="0051277D">
        <w:rPr>
          <w:rFonts w:asciiTheme="minorHAnsi" w:hAnsiTheme="minorHAnsi" w:cstheme="minorHAnsi"/>
          <w:color w:val="000000"/>
          <w:szCs w:val="24"/>
        </w:rPr>
        <w:t>neuralgia</w:t>
      </w:r>
      <w:r w:rsidR="00C73EA6" w:rsidRPr="0051277D">
        <w:rPr>
          <w:rFonts w:asciiTheme="minorHAnsi" w:hAnsiTheme="minorHAnsi" w:cstheme="minorHAnsi"/>
          <w:bCs/>
          <w:color w:val="000000"/>
          <w:szCs w:val="24"/>
        </w:rPr>
        <w:t xml:space="preserve"> of the p</w:t>
      </w:r>
      <w:r w:rsidR="00C73EA6" w:rsidRPr="004432F7">
        <w:rPr>
          <w:rFonts w:asciiTheme="minorHAnsi" w:hAnsiTheme="minorHAnsi" w:cstheme="minorHAnsi"/>
          <w:bCs/>
          <w:color w:val="000000"/>
          <w:szCs w:val="24"/>
        </w:rPr>
        <w:t xml:space="preserve">osterior </w:t>
      </w:r>
      <w:proofErr w:type="spellStart"/>
      <w:r w:rsidR="00C73EA6" w:rsidRPr="004432F7">
        <w:rPr>
          <w:rFonts w:asciiTheme="minorHAnsi" w:hAnsiTheme="minorHAnsi" w:cstheme="minorHAnsi"/>
          <w:bCs/>
          <w:color w:val="000000"/>
          <w:szCs w:val="24"/>
        </w:rPr>
        <w:t>tibial</w:t>
      </w:r>
      <w:proofErr w:type="spellEnd"/>
      <w:r w:rsidR="00C73EA6" w:rsidRPr="004432F7">
        <w:rPr>
          <w:rFonts w:asciiTheme="minorHAnsi" w:hAnsiTheme="minorHAnsi" w:cstheme="minorHAnsi"/>
          <w:bCs/>
          <w:color w:val="000000"/>
          <w:szCs w:val="24"/>
        </w:rPr>
        <w:t xml:space="preserve"> nerve</w:t>
      </w:r>
      <w:r w:rsidR="00C73EA6">
        <w:rPr>
          <w:rFonts w:asciiTheme="minorHAnsi" w:hAnsiTheme="minorHAnsi" w:cstheme="minorHAnsi"/>
          <w:bCs/>
          <w:color w:val="000000"/>
          <w:szCs w:val="24"/>
        </w:rPr>
        <w:t xml:space="preserve">, and limitation of motion, </w:t>
      </w:r>
      <w:r w:rsidR="00C73EA6">
        <w:rPr>
          <w:rFonts w:asciiTheme="minorHAnsi" w:hAnsiTheme="minorHAnsi" w:cstheme="minorHAnsi"/>
          <w:color w:val="auto"/>
          <w:szCs w:val="24"/>
        </w:rPr>
        <w:t xml:space="preserve">rated 20%.  The Board noted that the FPEB rated the ankle at 20% based on </w:t>
      </w:r>
      <w:r w:rsidR="00B95F16">
        <w:rPr>
          <w:rFonts w:asciiTheme="minorHAnsi" w:hAnsiTheme="minorHAnsi" w:cstheme="minorHAnsi"/>
          <w:color w:val="auto"/>
          <w:szCs w:val="24"/>
        </w:rPr>
        <w:t xml:space="preserve">a </w:t>
      </w:r>
      <w:r w:rsidR="00C73EA6">
        <w:rPr>
          <w:rFonts w:asciiTheme="minorHAnsi" w:hAnsiTheme="minorHAnsi" w:cstheme="minorHAnsi"/>
          <w:color w:val="auto"/>
          <w:szCs w:val="24"/>
        </w:rPr>
        <w:t xml:space="preserve">marked decrease in </w:t>
      </w:r>
      <w:r w:rsidR="00B95F16">
        <w:rPr>
          <w:rFonts w:asciiTheme="minorHAnsi" w:hAnsiTheme="minorHAnsi" w:cstheme="minorHAnsi"/>
          <w:color w:val="auto"/>
          <w:szCs w:val="24"/>
        </w:rPr>
        <w:t xml:space="preserve">both </w:t>
      </w:r>
      <w:r w:rsidR="00C73EA6">
        <w:rPr>
          <w:rFonts w:asciiTheme="minorHAnsi" w:hAnsiTheme="minorHAnsi" w:cstheme="minorHAnsi"/>
          <w:color w:val="auto"/>
          <w:szCs w:val="24"/>
        </w:rPr>
        <w:t xml:space="preserve">plantar flexion and </w:t>
      </w:r>
      <w:proofErr w:type="spellStart"/>
      <w:r w:rsidR="00C73EA6">
        <w:rPr>
          <w:rFonts w:asciiTheme="minorHAnsi" w:hAnsiTheme="minorHAnsi" w:cstheme="minorHAnsi"/>
          <w:color w:val="auto"/>
          <w:szCs w:val="24"/>
        </w:rPr>
        <w:t>dorsiflexion</w:t>
      </w:r>
      <w:proofErr w:type="spellEnd"/>
      <w:r w:rsidR="00C73EA6">
        <w:rPr>
          <w:rFonts w:asciiTheme="minorHAnsi" w:hAnsiTheme="minorHAnsi" w:cstheme="minorHAnsi"/>
          <w:color w:val="auto"/>
          <w:szCs w:val="24"/>
        </w:rPr>
        <w:t xml:space="preserve"> of the right ankle</w:t>
      </w:r>
      <w:r w:rsidR="003D2494">
        <w:rPr>
          <w:rFonts w:asciiTheme="minorHAnsi" w:hAnsiTheme="minorHAnsi" w:cstheme="minorHAnsi"/>
          <w:color w:val="auto"/>
          <w:szCs w:val="24"/>
        </w:rPr>
        <w:t xml:space="preserve"> shown in the physical therapy examination.  </w:t>
      </w:r>
      <w:r w:rsidR="00C73EA6">
        <w:rPr>
          <w:rFonts w:asciiTheme="minorHAnsi" w:hAnsiTheme="minorHAnsi" w:cstheme="minorHAnsi"/>
          <w:color w:val="auto"/>
          <w:szCs w:val="24"/>
        </w:rPr>
        <w:t>This is the maximum rating under code 5271 for limitation in ROM.</w:t>
      </w:r>
      <w:r w:rsidR="008D40CF">
        <w:rPr>
          <w:rFonts w:asciiTheme="minorHAnsi" w:hAnsiTheme="minorHAnsi" w:cstheme="minorHAnsi"/>
          <w:color w:val="auto"/>
          <w:szCs w:val="24"/>
        </w:rPr>
        <w:t xml:space="preserve">  </w:t>
      </w:r>
      <w:r w:rsidR="001B552F">
        <w:rPr>
          <w:rFonts w:asciiTheme="minorHAnsi" w:eastAsia="HiddenHorzOCR" w:hAnsiTheme="minorHAnsi"/>
          <w:color w:val="auto"/>
          <w:szCs w:val="24"/>
        </w:rPr>
        <w:t xml:space="preserve">The VA compensation and pension (C&amp;P) examination on 20 August 2008, </w:t>
      </w:r>
      <w:r w:rsidR="00E97F65">
        <w:rPr>
          <w:rFonts w:asciiTheme="minorHAnsi" w:eastAsia="HiddenHorzOCR" w:hAnsiTheme="minorHAnsi"/>
          <w:color w:val="auto"/>
          <w:szCs w:val="24"/>
        </w:rPr>
        <w:t>(</w:t>
      </w:r>
      <w:r w:rsidR="001B552F">
        <w:rPr>
          <w:rFonts w:asciiTheme="minorHAnsi" w:eastAsia="HiddenHorzOCR" w:hAnsiTheme="minorHAnsi"/>
          <w:color w:val="auto"/>
          <w:szCs w:val="24"/>
        </w:rPr>
        <w:t>three months after separation</w:t>
      </w:r>
      <w:r w:rsidR="00E97F65">
        <w:rPr>
          <w:rFonts w:asciiTheme="minorHAnsi" w:eastAsia="HiddenHorzOCR" w:hAnsiTheme="minorHAnsi"/>
          <w:color w:val="auto"/>
          <w:szCs w:val="24"/>
        </w:rPr>
        <w:t>)</w:t>
      </w:r>
      <w:r w:rsidR="001B552F">
        <w:rPr>
          <w:rFonts w:asciiTheme="minorHAnsi" w:eastAsia="HiddenHorzOCR" w:hAnsiTheme="minorHAnsi"/>
          <w:color w:val="auto"/>
          <w:szCs w:val="24"/>
        </w:rPr>
        <w:t xml:space="preserve">, noted that the CI complained of stiffness, but denied instability </w:t>
      </w:r>
      <w:r w:rsidR="001B552F">
        <w:rPr>
          <w:rFonts w:asciiTheme="minorHAnsi" w:eastAsia="HiddenHorzOCR" w:hAnsiTheme="minorHAnsi"/>
          <w:color w:val="auto"/>
          <w:szCs w:val="24"/>
        </w:rPr>
        <w:lastRenderedPageBreak/>
        <w:t xml:space="preserve">or locking.  An </w:t>
      </w:r>
      <w:proofErr w:type="spellStart"/>
      <w:r w:rsidR="001B552F">
        <w:rPr>
          <w:rFonts w:asciiTheme="minorHAnsi" w:eastAsia="HiddenHorzOCR" w:hAnsiTheme="minorHAnsi"/>
          <w:color w:val="auto"/>
          <w:szCs w:val="24"/>
        </w:rPr>
        <w:t>antalgic</w:t>
      </w:r>
      <w:proofErr w:type="spellEnd"/>
      <w:r w:rsidR="001B552F">
        <w:rPr>
          <w:rFonts w:asciiTheme="minorHAnsi" w:eastAsia="HiddenHorzOCR" w:hAnsiTheme="minorHAnsi"/>
          <w:color w:val="auto"/>
          <w:szCs w:val="24"/>
        </w:rPr>
        <w:t xml:space="preserve"> gait was noted and </w:t>
      </w:r>
      <w:r w:rsidR="004432F7">
        <w:rPr>
          <w:rFonts w:asciiTheme="minorHAnsi" w:eastAsia="HiddenHorzOCR" w:hAnsiTheme="minorHAnsi"/>
          <w:color w:val="auto"/>
          <w:szCs w:val="24"/>
        </w:rPr>
        <w:t xml:space="preserve">he used a brace for the right ankle.  Neither cane nor crutches were required.  Physical exam revealed tender post-surgical scars, decreased, painful motion (above) without other evidence of swelling or deformity.  </w:t>
      </w:r>
      <w:r w:rsidR="009424E5">
        <w:rPr>
          <w:rFonts w:asciiTheme="minorHAnsi" w:eastAsia="HiddenHorzOCR" w:hAnsiTheme="minorHAnsi"/>
          <w:color w:val="auto"/>
          <w:szCs w:val="24"/>
        </w:rPr>
        <w:t xml:space="preserve">Range of motion was greater in plantar flexion than the </w:t>
      </w:r>
      <w:r w:rsidR="003D2494">
        <w:rPr>
          <w:rFonts w:asciiTheme="minorHAnsi" w:eastAsia="HiddenHorzOCR" w:hAnsiTheme="minorHAnsi"/>
          <w:color w:val="auto"/>
          <w:szCs w:val="24"/>
        </w:rPr>
        <w:t xml:space="preserve">physical therapy </w:t>
      </w:r>
      <w:r w:rsidR="009424E5">
        <w:rPr>
          <w:rFonts w:asciiTheme="minorHAnsi" w:eastAsia="HiddenHorzOCR" w:hAnsiTheme="minorHAnsi"/>
          <w:color w:val="auto"/>
          <w:szCs w:val="24"/>
        </w:rPr>
        <w:t>examination</w:t>
      </w:r>
      <w:r w:rsidR="008D40CF">
        <w:rPr>
          <w:rFonts w:asciiTheme="minorHAnsi" w:eastAsia="HiddenHorzOCR" w:hAnsiTheme="minorHAnsi"/>
          <w:color w:val="auto"/>
          <w:szCs w:val="24"/>
        </w:rPr>
        <w:t xml:space="preserve">; </w:t>
      </w:r>
      <w:r w:rsidR="003A0FFE">
        <w:rPr>
          <w:rFonts w:asciiTheme="minorHAnsi" w:eastAsia="HiddenHorzOCR" w:hAnsiTheme="minorHAnsi"/>
          <w:color w:val="auto"/>
          <w:szCs w:val="24"/>
        </w:rPr>
        <w:t>the limitation</w:t>
      </w:r>
      <w:r w:rsidR="003A0FFE" w:rsidRPr="008D40CF">
        <w:rPr>
          <w:rFonts w:asciiTheme="minorHAnsi" w:eastAsia="HiddenHorzOCR" w:hAnsiTheme="minorHAnsi"/>
          <w:color w:val="auto"/>
          <w:szCs w:val="24"/>
        </w:rPr>
        <w:t xml:space="preserve"> </w:t>
      </w:r>
      <w:r w:rsidR="003A0FFE">
        <w:rPr>
          <w:rFonts w:asciiTheme="minorHAnsi" w:eastAsia="HiddenHorzOCR" w:hAnsiTheme="minorHAnsi"/>
          <w:color w:val="auto"/>
          <w:szCs w:val="24"/>
        </w:rPr>
        <w:t xml:space="preserve">in </w:t>
      </w:r>
      <w:proofErr w:type="spellStart"/>
      <w:r w:rsidR="009424E5" w:rsidRPr="008D40CF">
        <w:rPr>
          <w:rFonts w:asciiTheme="minorHAnsi" w:eastAsia="HiddenHorzOCR" w:hAnsiTheme="minorHAnsi"/>
          <w:color w:val="auto"/>
          <w:szCs w:val="24"/>
        </w:rPr>
        <w:t>dorsiflexion</w:t>
      </w:r>
      <w:proofErr w:type="spellEnd"/>
      <w:r w:rsidR="009424E5" w:rsidRPr="008D40CF">
        <w:rPr>
          <w:rFonts w:asciiTheme="minorHAnsi" w:eastAsia="HiddenHorzOCR" w:hAnsiTheme="minorHAnsi"/>
          <w:color w:val="auto"/>
          <w:szCs w:val="24"/>
        </w:rPr>
        <w:t xml:space="preserve"> remained, consistent</w:t>
      </w:r>
      <w:r w:rsidR="009424E5">
        <w:rPr>
          <w:rFonts w:asciiTheme="minorHAnsi" w:eastAsia="HiddenHorzOCR" w:hAnsiTheme="minorHAnsi"/>
          <w:color w:val="auto"/>
          <w:szCs w:val="24"/>
        </w:rPr>
        <w:t xml:space="preserve"> with the MEB NARSUM.</w:t>
      </w:r>
      <w:r w:rsidR="00C73EA6">
        <w:rPr>
          <w:rFonts w:asciiTheme="minorHAnsi" w:eastAsia="HiddenHorzOCR" w:hAnsiTheme="minorHAnsi"/>
          <w:color w:val="auto"/>
          <w:szCs w:val="24"/>
        </w:rPr>
        <w:t xml:space="preserve">  </w:t>
      </w:r>
      <w:r w:rsidR="00693C04">
        <w:rPr>
          <w:rFonts w:asciiTheme="minorHAnsi" w:eastAsia="HiddenHorzOCR" w:hAnsiTheme="minorHAnsi"/>
          <w:color w:val="auto"/>
          <w:szCs w:val="24"/>
        </w:rPr>
        <w:t>The Board notes that at the VA PTSD exam on 3</w:t>
      </w:r>
      <w:r w:rsidR="00C937EF">
        <w:rPr>
          <w:rFonts w:asciiTheme="minorHAnsi" w:eastAsia="HiddenHorzOCR" w:hAnsiTheme="minorHAnsi"/>
          <w:color w:val="auto"/>
          <w:szCs w:val="24"/>
        </w:rPr>
        <w:t> </w:t>
      </w:r>
      <w:r w:rsidR="00693C04">
        <w:rPr>
          <w:rFonts w:asciiTheme="minorHAnsi" w:eastAsia="HiddenHorzOCR" w:hAnsiTheme="minorHAnsi"/>
          <w:color w:val="auto"/>
          <w:szCs w:val="24"/>
        </w:rPr>
        <w:t xml:space="preserve">July 2008, </w:t>
      </w:r>
      <w:r w:rsidR="00E97F65">
        <w:rPr>
          <w:rFonts w:asciiTheme="minorHAnsi" w:eastAsia="HiddenHorzOCR" w:hAnsiTheme="minorHAnsi"/>
          <w:color w:val="auto"/>
          <w:szCs w:val="24"/>
        </w:rPr>
        <w:t>(</w:t>
      </w:r>
      <w:r w:rsidR="00693C04">
        <w:rPr>
          <w:rFonts w:asciiTheme="minorHAnsi" w:eastAsia="HiddenHorzOCR" w:hAnsiTheme="minorHAnsi"/>
          <w:color w:val="auto"/>
          <w:szCs w:val="24"/>
        </w:rPr>
        <w:t>two months after separation</w:t>
      </w:r>
      <w:r w:rsidR="00E97F65">
        <w:rPr>
          <w:rFonts w:asciiTheme="minorHAnsi" w:eastAsia="HiddenHorzOCR" w:hAnsiTheme="minorHAnsi"/>
          <w:color w:val="auto"/>
          <w:szCs w:val="24"/>
        </w:rPr>
        <w:t>)</w:t>
      </w:r>
      <w:r w:rsidR="00693C04">
        <w:rPr>
          <w:rFonts w:asciiTheme="minorHAnsi" w:eastAsia="HiddenHorzOCR" w:hAnsiTheme="minorHAnsi"/>
          <w:color w:val="auto"/>
          <w:szCs w:val="24"/>
        </w:rPr>
        <w:t xml:space="preserve">, the CI stated that he exercised on a daily basis and was able to do yard work.  </w:t>
      </w:r>
      <w:r w:rsidR="00C73EA6">
        <w:rPr>
          <w:rFonts w:asciiTheme="minorHAnsi" w:hAnsiTheme="minorHAnsi" w:cstheme="minorHAnsi"/>
          <w:color w:val="auto"/>
          <w:szCs w:val="24"/>
        </w:rPr>
        <w:t>The VA coded the right ankle condition 5271 and rated it 20%.  The VA also rated the surgical scars at 10%, coded 7804, scars, and the peripheral neuropathy a</w:t>
      </w:r>
      <w:r w:rsidR="003A0FFE">
        <w:rPr>
          <w:rFonts w:asciiTheme="minorHAnsi" w:hAnsiTheme="minorHAnsi" w:cstheme="minorHAnsi"/>
          <w:color w:val="auto"/>
          <w:szCs w:val="24"/>
        </w:rPr>
        <w:t>t 10%, coded</w:t>
      </w:r>
      <w:r w:rsidR="00C73EA6">
        <w:rPr>
          <w:rFonts w:asciiTheme="minorHAnsi" w:hAnsiTheme="minorHAnsi" w:cstheme="minorHAnsi"/>
          <w:color w:val="auto"/>
          <w:szCs w:val="24"/>
        </w:rPr>
        <w:t xml:space="preserve"> 8520, neuralgia of the sciatic nerve.</w:t>
      </w:r>
      <w:r w:rsidR="008D40CF">
        <w:rPr>
          <w:rFonts w:asciiTheme="minorHAnsi" w:hAnsiTheme="minorHAnsi" w:cstheme="minorHAnsi"/>
          <w:color w:val="auto"/>
          <w:szCs w:val="24"/>
        </w:rPr>
        <w:t xml:space="preserve">  The Board noted that while </w:t>
      </w:r>
      <w:r w:rsidR="009447A7" w:rsidRPr="008D40CF">
        <w:rPr>
          <w:rFonts w:asciiTheme="minorHAnsi" w:hAnsiTheme="minorHAnsi" w:cstheme="minorHAnsi"/>
          <w:color w:val="auto"/>
          <w:szCs w:val="24"/>
        </w:rPr>
        <w:t xml:space="preserve">the MEB physical therapy range of motion examination would support a rating of 20% for marked limitation of motion, the C&amp;P examination range of motion is consistent with moderate limitation of motion, primarily of </w:t>
      </w:r>
      <w:proofErr w:type="spellStart"/>
      <w:r w:rsidR="009447A7" w:rsidRPr="008D40CF">
        <w:rPr>
          <w:rFonts w:asciiTheme="minorHAnsi" w:hAnsiTheme="minorHAnsi" w:cstheme="minorHAnsi"/>
          <w:color w:val="auto"/>
          <w:szCs w:val="24"/>
        </w:rPr>
        <w:t>dorsiflexion</w:t>
      </w:r>
      <w:proofErr w:type="spellEnd"/>
      <w:r w:rsidR="00693C04">
        <w:rPr>
          <w:rFonts w:asciiTheme="minorHAnsi" w:hAnsiTheme="minorHAnsi" w:cstheme="minorHAnsi"/>
          <w:color w:val="auto"/>
          <w:szCs w:val="24"/>
        </w:rPr>
        <w:t>,</w:t>
      </w:r>
      <w:r w:rsidR="009447A7" w:rsidRPr="008D40CF">
        <w:rPr>
          <w:rFonts w:asciiTheme="minorHAnsi" w:hAnsiTheme="minorHAnsi" w:cstheme="minorHAnsi"/>
          <w:color w:val="auto"/>
          <w:szCs w:val="24"/>
        </w:rPr>
        <w:t xml:space="preserve"> more nearly approximating the 10% rating for ankle limitation of motion.</w:t>
      </w:r>
      <w:r w:rsidR="008D40CF">
        <w:rPr>
          <w:rFonts w:asciiTheme="minorHAnsi" w:hAnsiTheme="minorHAnsi" w:cstheme="minorHAnsi"/>
          <w:color w:val="auto"/>
          <w:szCs w:val="24"/>
        </w:rPr>
        <w:t xml:space="preserve">  T</w:t>
      </w:r>
      <w:r w:rsidR="00B5740F">
        <w:rPr>
          <w:rFonts w:asciiTheme="minorHAnsi" w:hAnsiTheme="minorHAnsi" w:cstheme="minorHAnsi"/>
          <w:color w:val="auto"/>
          <w:szCs w:val="24"/>
        </w:rPr>
        <w:t xml:space="preserve">he Board then considered the sensory neuropathy and post-surgical scars as additionally </w:t>
      </w:r>
      <w:r w:rsidR="00091531">
        <w:rPr>
          <w:rFonts w:asciiTheme="minorHAnsi" w:hAnsiTheme="minorHAnsi" w:cstheme="minorHAnsi"/>
          <w:color w:val="auto"/>
          <w:szCs w:val="24"/>
        </w:rPr>
        <w:t xml:space="preserve">unfitting </w:t>
      </w:r>
      <w:r w:rsidR="00B5740F">
        <w:rPr>
          <w:rFonts w:asciiTheme="minorHAnsi" w:hAnsiTheme="minorHAnsi" w:cstheme="minorHAnsi"/>
          <w:color w:val="auto"/>
          <w:szCs w:val="24"/>
        </w:rPr>
        <w:t>conditions for disability rating.  Other than in the post-operative periods, there are no profiles limiting the wear of military clothing</w:t>
      </w:r>
      <w:r w:rsidR="00834542">
        <w:rPr>
          <w:rFonts w:asciiTheme="minorHAnsi" w:hAnsiTheme="minorHAnsi" w:cstheme="minorHAnsi"/>
          <w:color w:val="auto"/>
          <w:szCs w:val="24"/>
        </w:rPr>
        <w:t xml:space="preserve"> including boots</w:t>
      </w:r>
      <w:r w:rsidR="003D2494">
        <w:rPr>
          <w:rFonts w:asciiTheme="minorHAnsi" w:hAnsiTheme="minorHAnsi" w:cstheme="minorHAnsi"/>
          <w:color w:val="auto"/>
          <w:szCs w:val="24"/>
        </w:rPr>
        <w:t>, and it was not documented that he was unable to wear civilian footwear</w:t>
      </w:r>
      <w:r w:rsidR="00B5740F">
        <w:rPr>
          <w:rFonts w:asciiTheme="minorHAnsi" w:hAnsiTheme="minorHAnsi" w:cstheme="minorHAnsi"/>
          <w:color w:val="auto"/>
          <w:szCs w:val="24"/>
        </w:rPr>
        <w:t xml:space="preserve">.  </w:t>
      </w:r>
      <w:r w:rsidR="00693C04">
        <w:rPr>
          <w:color w:val="auto"/>
          <w:szCs w:val="24"/>
        </w:rPr>
        <w:t>IAW §4.3, reasonable doubt, t</w:t>
      </w:r>
      <w:r w:rsidR="008D40CF">
        <w:rPr>
          <w:color w:val="auto"/>
          <w:szCs w:val="24"/>
        </w:rPr>
        <w:t xml:space="preserve">he Board </w:t>
      </w:r>
      <w:r w:rsidR="00693C04">
        <w:rPr>
          <w:color w:val="auto"/>
          <w:szCs w:val="24"/>
        </w:rPr>
        <w:t xml:space="preserve">next </w:t>
      </w:r>
      <w:r w:rsidR="008D40CF">
        <w:rPr>
          <w:color w:val="auto"/>
          <w:szCs w:val="24"/>
        </w:rPr>
        <w:t>consider</w:t>
      </w:r>
      <w:r w:rsidR="00693C04">
        <w:rPr>
          <w:color w:val="auto"/>
          <w:szCs w:val="24"/>
        </w:rPr>
        <w:t>ed</w:t>
      </w:r>
      <w:r w:rsidR="008D40CF">
        <w:rPr>
          <w:color w:val="auto"/>
          <w:szCs w:val="24"/>
        </w:rPr>
        <w:t xml:space="preserve"> if there were separately unfitting conditions causing impairment from pain due to both the surgical changes and neuropathy</w:t>
      </w:r>
      <w:r w:rsidR="008D40CF" w:rsidRPr="00812950">
        <w:rPr>
          <w:color w:val="auto"/>
          <w:szCs w:val="24"/>
        </w:rPr>
        <w:t xml:space="preserve">. </w:t>
      </w:r>
      <w:r w:rsidR="008D40CF">
        <w:rPr>
          <w:color w:val="auto"/>
          <w:szCs w:val="24"/>
        </w:rPr>
        <w:t xml:space="preserve"> However, IAW §4.14, avoidance of pyramiding, the Board </w:t>
      </w:r>
      <w:r w:rsidR="003A0FFE">
        <w:rPr>
          <w:color w:val="auto"/>
          <w:szCs w:val="24"/>
        </w:rPr>
        <w:t xml:space="preserve">concluded </w:t>
      </w:r>
      <w:r w:rsidR="008D40CF">
        <w:rPr>
          <w:color w:val="auto"/>
          <w:szCs w:val="24"/>
        </w:rPr>
        <w:t xml:space="preserve">that it is not possible to separate the </w:t>
      </w:r>
      <w:r w:rsidR="00693C04">
        <w:rPr>
          <w:color w:val="auto"/>
          <w:szCs w:val="24"/>
        </w:rPr>
        <w:t xml:space="preserve">impairment from the two conditions due to </w:t>
      </w:r>
      <w:r w:rsidR="003D2494">
        <w:rPr>
          <w:color w:val="auto"/>
          <w:szCs w:val="24"/>
        </w:rPr>
        <w:t>overlap of symptom of pain with use.</w:t>
      </w:r>
      <w:r w:rsidR="008D40CF">
        <w:rPr>
          <w:color w:val="auto"/>
          <w:szCs w:val="24"/>
        </w:rPr>
        <w:t xml:space="preserve">  </w:t>
      </w:r>
      <w:r w:rsidR="003A0FFE" w:rsidRPr="00812950">
        <w:rPr>
          <w:color w:val="auto"/>
          <w:szCs w:val="24"/>
        </w:rPr>
        <w:t>Board precedent is that a functional impairment tied to fitness is required to support a recommendation for addition of a peripheral nerve rating at se</w:t>
      </w:r>
      <w:r w:rsidR="003A0FFE">
        <w:rPr>
          <w:color w:val="auto"/>
          <w:szCs w:val="24"/>
        </w:rPr>
        <w:t xml:space="preserve">paration.  </w:t>
      </w:r>
      <w:r w:rsidR="003A0FFE" w:rsidRPr="00812950">
        <w:rPr>
          <w:color w:val="auto"/>
          <w:szCs w:val="24"/>
        </w:rPr>
        <w:t xml:space="preserve">The sensory component in this case has no </w:t>
      </w:r>
      <w:r w:rsidR="003A0FFE">
        <w:rPr>
          <w:color w:val="auto"/>
          <w:szCs w:val="24"/>
        </w:rPr>
        <w:t xml:space="preserve">separate </w:t>
      </w:r>
      <w:r w:rsidR="003A0FFE" w:rsidRPr="00812950">
        <w:rPr>
          <w:color w:val="auto"/>
          <w:szCs w:val="24"/>
        </w:rPr>
        <w:t>functional implications.</w:t>
      </w:r>
      <w:r w:rsidR="003A0FFE">
        <w:rPr>
          <w:color w:val="auto"/>
          <w:szCs w:val="24"/>
        </w:rPr>
        <w:t xml:space="preserve">  The pain component is subsumed under the right ankle </w:t>
      </w:r>
      <w:r w:rsidR="003A0FFE" w:rsidRPr="00812950">
        <w:rPr>
          <w:color w:val="auto"/>
          <w:szCs w:val="24"/>
        </w:rPr>
        <w:t xml:space="preserve">as specified in §4.71a. </w:t>
      </w:r>
      <w:r w:rsidR="003A0FFE">
        <w:rPr>
          <w:color w:val="auto"/>
          <w:szCs w:val="24"/>
        </w:rPr>
        <w:t xml:space="preserve"> </w:t>
      </w:r>
      <w:r w:rsidR="003A0FFE" w:rsidRPr="00812950">
        <w:rPr>
          <w:color w:val="auto"/>
          <w:szCs w:val="24"/>
        </w:rPr>
        <w:t xml:space="preserve">Since no evidence of </w:t>
      </w:r>
      <w:r w:rsidR="003A0FFE">
        <w:rPr>
          <w:color w:val="auto"/>
          <w:szCs w:val="24"/>
        </w:rPr>
        <w:t xml:space="preserve">additional </w:t>
      </w:r>
      <w:r w:rsidR="003A0FFE" w:rsidRPr="00812950">
        <w:rPr>
          <w:color w:val="auto"/>
          <w:szCs w:val="24"/>
        </w:rPr>
        <w:t>functional impairment exists in this case, the Board cannot support a recommendation for additional rating based on peripheral nerve impairment.</w:t>
      </w:r>
      <w:r w:rsidR="003A0FFE">
        <w:rPr>
          <w:color w:val="auto"/>
          <w:szCs w:val="24"/>
        </w:rPr>
        <w:t xml:space="preserve">  </w:t>
      </w:r>
      <w:r w:rsidR="003A0FFE">
        <w:rPr>
          <w:rFonts w:asciiTheme="minorHAnsi" w:eastAsia="HiddenHorzOCR" w:hAnsiTheme="minorHAnsi"/>
          <w:color w:val="auto"/>
          <w:szCs w:val="24"/>
        </w:rPr>
        <w:t xml:space="preserve">As already noted above, </w:t>
      </w:r>
      <w:r w:rsidR="00687273" w:rsidRPr="00587882">
        <w:rPr>
          <w:rFonts w:asciiTheme="minorHAnsi" w:eastAsia="HiddenHorzOCR" w:hAnsiTheme="minorHAnsi"/>
          <w:color w:val="auto"/>
          <w:szCs w:val="24"/>
        </w:rPr>
        <w:t>the ROM documented by the C&amp;P more nearly approximated moderate limitation than marked supporting a 10% rating for limitation of motion.  When combined with the additional functional loss due to neuropath</w:t>
      </w:r>
      <w:r w:rsidR="00091531">
        <w:rPr>
          <w:rFonts w:asciiTheme="minorHAnsi" w:eastAsia="HiddenHorzOCR" w:hAnsiTheme="minorHAnsi"/>
          <w:color w:val="auto"/>
          <w:szCs w:val="24"/>
        </w:rPr>
        <w:t xml:space="preserve">ic </w:t>
      </w:r>
      <w:r w:rsidR="00687273" w:rsidRPr="00587882">
        <w:rPr>
          <w:rFonts w:asciiTheme="minorHAnsi" w:eastAsia="HiddenHorzOCR" w:hAnsiTheme="minorHAnsi"/>
          <w:color w:val="auto"/>
          <w:szCs w:val="24"/>
        </w:rPr>
        <w:t xml:space="preserve">pain, the Board agreed the rating was appropriately 20% with application of </w:t>
      </w:r>
      <w:r w:rsidR="003A0FFE" w:rsidRPr="00812950">
        <w:rPr>
          <w:color w:val="auto"/>
          <w:szCs w:val="24"/>
        </w:rPr>
        <w:t>§</w:t>
      </w:r>
      <w:r w:rsidR="003A0FFE" w:rsidRPr="00587882">
        <w:rPr>
          <w:rFonts w:asciiTheme="minorHAnsi" w:eastAsia="HiddenHorzOCR" w:hAnsiTheme="minorHAnsi"/>
          <w:color w:val="auto"/>
          <w:szCs w:val="24"/>
        </w:rPr>
        <w:t>4</w:t>
      </w:r>
      <w:r w:rsidR="003A0FFE">
        <w:rPr>
          <w:rFonts w:asciiTheme="minorHAnsi" w:eastAsia="HiddenHorzOCR" w:hAnsiTheme="minorHAnsi"/>
          <w:color w:val="auto"/>
          <w:szCs w:val="24"/>
        </w:rPr>
        <w:t>.</w:t>
      </w:r>
      <w:r w:rsidR="00687273" w:rsidRPr="00587882">
        <w:rPr>
          <w:rFonts w:asciiTheme="minorHAnsi" w:eastAsia="HiddenHorzOCR" w:hAnsiTheme="minorHAnsi"/>
          <w:color w:val="auto"/>
          <w:szCs w:val="24"/>
        </w:rPr>
        <w:t>4</w:t>
      </w:r>
      <w:r w:rsidR="00091531">
        <w:rPr>
          <w:rFonts w:asciiTheme="minorHAnsi" w:eastAsia="HiddenHorzOCR" w:hAnsiTheme="minorHAnsi"/>
          <w:color w:val="auto"/>
          <w:szCs w:val="24"/>
        </w:rPr>
        <w:t xml:space="preserve"> to support a higher rating under the code for limited ankle motion</w:t>
      </w:r>
      <w:r w:rsidR="003A0FFE">
        <w:rPr>
          <w:rFonts w:asciiTheme="minorHAnsi" w:eastAsia="HiddenHorzOCR" w:hAnsiTheme="minorHAnsi"/>
          <w:color w:val="auto"/>
          <w:szCs w:val="24"/>
        </w:rPr>
        <w:t xml:space="preserve">.  Even if </w:t>
      </w:r>
      <w:r w:rsidR="00687273" w:rsidRPr="00587882">
        <w:rPr>
          <w:rFonts w:asciiTheme="minorHAnsi" w:eastAsia="HiddenHorzOCR" w:hAnsiTheme="minorHAnsi"/>
          <w:color w:val="auto"/>
          <w:szCs w:val="24"/>
        </w:rPr>
        <w:t>a separate 10% rating for painful neuropathy</w:t>
      </w:r>
      <w:r w:rsidR="00091531">
        <w:rPr>
          <w:rFonts w:asciiTheme="minorHAnsi" w:eastAsia="HiddenHorzOCR" w:hAnsiTheme="minorHAnsi"/>
          <w:color w:val="auto"/>
          <w:szCs w:val="24"/>
        </w:rPr>
        <w:t xml:space="preserve"> </w:t>
      </w:r>
      <w:r w:rsidR="003A0FFE">
        <w:rPr>
          <w:rFonts w:asciiTheme="minorHAnsi" w:eastAsia="HiddenHorzOCR" w:hAnsiTheme="minorHAnsi"/>
          <w:color w:val="auto"/>
          <w:szCs w:val="24"/>
        </w:rPr>
        <w:t xml:space="preserve">were </w:t>
      </w:r>
      <w:r w:rsidR="00091531">
        <w:rPr>
          <w:rFonts w:asciiTheme="minorHAnsi" w:eastAsia="HiddenHorzOCR" w:hAnsiTheme="minorHAnsi"/>
          <w:color w:val="auto"/>
          <w:szCs w:val="24"/>
        </w:rPr>
        <w:t>combined with 10% for moderate limitation of motion</w:t>
      </w:r>
      <w:r w:rsidR="003A0FFE">
        <w:rPr>
          <w:rFonts w:asciiTheme="minorHAnsi" w:eastAsia="HiddenHorzOCR" w:hAnsiTheme="minorHAnsi"/>
          <w:color w:val="auto"/>
          <w:szCs w:val="24"/>
        </w:rPr>
        <w:t xml:space="preserve">, there is no advantage to the CI for a higher disability rating separation.  </w:t>
      </w:r>
      <w:r w:rsidR="00693C04">
        <w:rPr>
          <w:rFonts w:asciiTheme="minorHAnsi" w:eastAsia="HiddenHorzOCR" w:hAnsiTheme="minorHAnsi"/>
          <w:color w:val="auto"/>
          <w:szCs w:val="24"/>
        </w:rPr>
        <w:t>In summary, t</w:t>
      </w:r>
      <w:r w:rsidR="00687273" w:rsidRPr="00587882">
        <w:rPr>
          <w:rFonts w:asciiTheme="minorHAnsi" w:eastAsia="HiddenHorzOCR" w:hAnsiTheme="minorHAnsi"/>
          <w:color w:val="auto"/>
          <w:szCs w:val="24"/>
        </w:rPr>
        <w:t>he Board conclude</w:t>
      </w:r>
      <w:r w:rsidR="003A0FFE">
        <w:rPr>
          <w:rFonts w:asciiTheme="minorHAnsi" w:eastAsia="HiddenHorzOCR" w:hAnsiTheme="minorHAnsi"/>
          <w:color w:val="auto"/>
          <w:szCs w:val="24"/>
        </w:rPr>
        <w:t xml:space="preserve">d that </w:t>
      </w:r>
      <w:r w:rsidR="00687273" w:rsidRPr="00587882">
        <w:rPr>
          <w:rFonts w:asciiTheme="minorHAnsi" w:eastAsia="HiddenHorzOCR" w:hAnsiTheme="minorHAnsi"/>
          <w:color w:val="auto"/>
          <w:szCs w:val="24"/>
        </w:rPr>
        <w:t xml:space="preserve">the totality of evidence </w:t>
      </w:r>
      <w:r w:rsidR="003A0FFE">
        <w:rPr>
          <w:rFonts w:asciiTheme="minorHAnsi" w:eastAsia="HiddenHorzOCR" w:hAnsiTheme="minorHAnsi"/>
          <w:color w:val="auto"/>
          <w:szCs w:val="24"/>
        </w:rPr>
        <w:t>did not support</w:t>
      </w:r>
      <w:r w:rsidR="00687273" w:rsidRPr="00587882">
        <w:rPr>
          <w:rFonts w:asciiTheme="minorHAnsi" w:eastAsia="HiddenHorzOCR" w:hAnsiTheme="minorHAnsi"/>
          <w:color w:val="auto"/>
          <w:szCs w:val="24"/>
        </w:rPr>
        <w:t xml:space="preserve"> a 20% rating for lim</w:t>
      </w:r>
      <w:r w:rsidR="00687273">
        <w:rPr>
          <w:rFonts w:asciiTheme="minorHAnsi" w:eastAsia="HiddenHorzOCR" w:hAnsiTheme="minorHAnsi"/>
          <w:color w:val="auto"/>
          <w:szCs w:val="24"/>
        </w:rPr>
        <w:t>i</w:t>
      </w:r>
      <w:r w:rsidR="00687273" w:rsidRPr="00587882">
        <w:rPr>
          <w:rFonts w:asciiTheme="minorHAnsi" w:eastAsia="HiddenHorzOCR" w:hAnsiTheme="minorHAnsi"/>
          <w:color w:val="auto"/>
          <w:szCs w:val="24"/>
        </w:rPr>
        <w:t>tati</w:t>
      </w:r>
      <w:r w:rsidR="00687273">
        <w:rPr>
          <w:rFonts w:asciiTheme="minorHAnsi" w:eastAsia="HiddenHorzOCR" w:hAnsiTheme="minorHAnsi"/>
          <w:color w:val="auto"/>
          <w:szCs w:val="24"/>
        </w:rPr>
        <w:t>on</w:t>
      </w:r>
      <w:r w:rsidR="00687273" w:rsidRPr="00587882">
        <w:rPr>
          <w:rFonts w:asciiTheme="minorHAnsi" w:eastAsia="HiddenHorzOCR" w:hAnsiTheme="minorHAnsi"/>
          <w:color w:val="auto"/>
          <w:szCs w:val="24"/>
        </w:rPr>
        <w:t xml:space="preserve"> of motion plus </w:t>
      </w:r>
      <w:r w:rsidR="003A0FFE">
        <w:rPr>
          <w:rFonts w:asciiTheme="minorHAnsi" w:eastAsia="HiddenHorzOCR" w:hAnsiTheme="minorHAnsi"/>
          <w:color w:val="auto"/>
          <w:szCs w:val="24"/>
        </w:rPr>
        <w:t xml:space="preserve">a separate </w:t>
      </w:r>
      <w:r w:rsidR="00687273" w:rsidRPr="00587882">
        <w:rPr>
          <w:rFonts w:asciiTheme="minorHAnsi" w:eastAsia="HiddenHorzOCR" w:hAnsiTheme="minorHAnsi"/>
          <w:color w:val="auto"/>
          <w:szCs w:val="24"/>
        </w:rPr>
        <w:t xml:space="preserve">10% </w:t>
      </w:r>
      <w:r w:rsidR="003A0FFE">
        <w:rPr>
          <w:rFonts w:asciiTheme="minorHAnsi" w:eastAsia="HiddenHorzOCR" w:hAnsiTheme="minorHAnsi"/>
          <w:color w:val="auto"/>
          <w:szCs w:val="24"/>
        </w:rPr>
        <w:t xml:space="preserve">rating </w:t>
      </w:r>
      <w:r w:rsidR="00687273" w:rsidRPr="00587882">
        <w:rPr>
          <w:rFonts w:asciiTheme="minorHAnsi" w:eastAsia="HiddenHorzOCR" w:hAnsiTheme="minorHAnsi"/>
          <w:color w:val="auto"/>
          <w:szCs w:val="24"/>
        </w:rPr>
        <w:t>for the neuropathic pain.</w:t>
      </w:r>
      <w:r w:rsidR="00091531">
        <w:rPr>
          <w:rFonts w:asciiTheme="minorHAnsi" w:eastAsia="HiddenHorzOCR" w:hAnsiTheme="minorHAnsi"/>
          <w:color w:val="auto"/>
          <w:szCs w:val="24"/>
        </w:rPr>
        <w:t xml:space="preserve">  </w:t>
      </w:r>
      <w:r w:rsidR="00FC3FA3" w:rsidRPr="00FC3FA3">
        <w:rPr>
          <w:color w:val="auto"/>
          <w:szCs w:val="24"/>
        </w:rPr>
        <w:t>By precedent, the Board does not recommend separation rating for scars unless their presence imposes a direct limitation on fitness.</w:t>
      </w:r>
      <w:r w:rsidR="00FC3FA3">
        <w:rPr>
          <w:color w:val="auto"/>
          <w:szCs w:val="24"/>
        </w:rPr>
        <w:t xml:space="preserve">  Since there was no permanent limitation in the wear of military foot wear, no limitation was present.</w:t>
      </w:r>
      <w:r w:rsidR="00091531">
        <w:rPr>
          <w:color w:val="auto"/>
          <w:szCs w:val="24"/>
        </w:rPr>
        <w:t xml:space="preserve">  </w:t>
      </w:r>
      <w:r w:rsidR="00834542"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834542">
        <w:rPr>
          <w:rFonts w:asciiTheme="minorHAnsi" w:hAnsiTheme="minorHAnsi" w:cs="Arial"/>
          <w:color w:val="000000"/>
          <w:szCs w:val="24"/>
        </w:rPr>
        <w:t xml:space="preserve">right ankle </w:t>
      </w:r>
      <w:r w:rsidR="00834542" w:rsidRPr="006B2337">
        <w:rPr>
          <w:rFonts w:asciiTheme="minorHAnsi" w:hAnsiTheme="minorHAnsi" w:cs="Arial"/>
          <w:color w:val="000000"/>
          <w:szCs w:val="24"/>
        </w:rPr>
        <w:t>condition</w:t>
      </w:r>
      <w:r w:rsidR="009447A7">
        <w:rPr>
          <w:rFonts w:asciiTheme="minorHAnsi" w:hAnsiTheme="minorHAnsi" w:cs="Arial"/>
          <w:color w:val="000000"/>
          <w:szCs w:val="24"/>
        </w:rPr>
        <w:t>.</w:t>
      </w:r>
    </w:p>
    <w:p w:rsidR="00E87162" w:rsidRPr="00D76F4E" w:rsidRDefault="00E87162" w:rsidP="00D76F4E">
      <w:pPr>
        <w:jc w:val="both"/>
        <w:rPr>
          <w:rFonts w:asciiTheme="minorHAnsi" w:eastAsia="HiddenHorzOCR" w:hAnsiTheme="minorHAnsi"/>
          <w:color w:val="auto"/>
          <w:szCs w:val="24"/>
          <w:highlight w:val="yellow"/>
        </w:rPr>
      </w:pPr>
    </w:p>
    <w:p w:rsidR="00EC337D" w:rsidRPr="00212833" w:rsidRDefault="00EC337D" w:rsidP="00212833">
      <w:pPr>
        <w:spacing w:line="240" w:lineRule="exact"/>
        <w:jc w:val="both"/>
        <w:rPr>
          <w:color w:val="auto"/>
          <w:szCs w:val="24"/>
        </w:rPr>
      </w:pPr>
      <w:proofErr w:type="gramStart"/>
      <w:r w:rsidRPr="00212833">
        <w:rPr>
          <w:rFonts w:eastAsia="HiddenHorzOCR"/>
          <w:color w:val="auto"/>
          <w:szCs w:val="24"/>
          <w:u w:val="single"/>
        </w:rPr>
        <w:t>Other Contended Conditions</w:t>
      </w:r>
      <w:r w:rsidRPr="00212833">
        <w:rPr>
          <w:rFonts w:eastAsia="HiddenHorzOCR"/>
          <w:color w:val="auto"/>
          <w:szCs w:val="24"/>
        </w:rPr>
        <w:t>.</w:t>
      </w:r>
      <w:proofErr w:type="gramEnd"/>
      <w:r w:rsidRPr="00212833">
        <w:rPr>
          <w:rFonts w:eastAsia="HiddenHorzOCR"/>
          <w:color w:val="auto"/>
          <w:szCs w:val="24"/>
        </w:rPr>
        <w:t xml:space="preserve">  The CI’s application asserts that compensable ratings should be considered for </w:t>
      </w:r>
      <w:r w:rsidR="00454360">
        <w:rPr>
          <w:rFonts w:eastAsiaTheme="minorHAnsi" w:cstheme="minorBidi"/>
          <w:color w:val="auto"/>
          <w:szCs w:val="24"/>
        </w:rPr>
        <w:t>anxiety, PTSD, sleep apnea, nerve damage and partial ROM</w:t>
      </w:r>
      <w:r w:rsidRPr="00212833">
        <w:rPr>
          <w:rFonts w:eastAsia="HiddenHorzOCR"/>
          <w:color w:val="auto"/>
          <w:szCs w:val="24"/>
        </w:rPr>
        <w:t>.</w:t>
      </w:r>
      <w:r w:rsidR="00454360">
        <w:rPr>
          <w:rFonts w:eastAsia="HiddenHorzOCR"/>
          <w:color w:val="auto"/>
          <w:szCs w:val="24"/>
        </w:rPr>
        <w:t xml:space="preserve">  The nerve damage and partial ROM have been discussed.</w:t>
      </w:r>
      <w:r w:rsidRPr="00212833">
        <w:rPr>
          <w:rFonts w:eastAsia="HiddenHorzOCR"/>
          <w:color w:val="auto"/>
          <w:szCs w:val="24"/>
        </w:rPr>
        <w:t xml:space="preserve">  </w:t>
      </w:r>
      <w:r w:rsidR="00A73B75">
        <w:rPr>
          <w:rFonts w:eastAsia="HiddenHorzOCR"/>
          <w:color w:val="auto"/>
          <w:szCs w:val="24"/>
        </w:rPr>
        <w:t xml:space="preserve">The </w:t>
      </w:r>
      <w:r w:rsidR="00834542">
        <w:rPr>
          <w:color w:val="auto"/>
          <w:szCs w:val="24"/>
        </w:rPr>
        <w:t>other</w:t>
      </w:r>
      <w:r w:rsidRPr="00834542">
        <w:rPr>
          <w:color w:val="auto"/>
          <w:szCs w:val="24"/>
        </w:rPr>
        <w:t xml:space="preserve"> conditions</w:t>
      </w:r>
      <w:r w:rsidRPr="00212833">
        <w:rPr>
          <w:color w:val="auto"/>
          <w:szCs w:val="24"/>
        </w:rPr>
        <w:t xml:space="preserve"> were reviewed by the </w:t>
      </w:r>
      <w:r w:rsidR="003B4319" w:rsidRPr="00212833">
        <w:rPr>
          <w:color w:val="auto"/>
          <w:szCs w:val="24"/>
        </w:rPr>
        <w:t>a</w:t>
      </w:r>
      <w:r w:rsidRPr="00212833">
        <w:rPr>
          <w:color w:val="auto"/>
          <w:szCs w:val="24"/>
        </w:rPr>
        <w:t xml:space="preserve">ction </w:t>
      </w:r>
      <w:r w:rsidR="003B4319" w:rsidRPr="00212833">
        <w:rPr>
          <w:color w:val="auto"/>
          <w:szCs w:val="24"/>
        </w:rPr>
        <w:t>o</w:t>
      </w:r>
      <w:r w:rsidRPr="00212833">
        <w:rPr>
          <w:color w:val="auto"/>
          <w:szCs w:val="24"/>
        </w:rPr>
        <w:t xml:space="preserve">fficer and considered by the Board.  </w:t>
      </w:r>
      <w:r w:rsidR="00817FB8">
        <w:rPr>
          <w:color w:val="auto"/>
          <w:szCs w:val="24"/>
        </w:rPr>
        <w:t>The MEB NARSUM noted a history of phase of li</w:t>
      </w:r>
      <w:r w:rsidR="00E97F65">
        <w:rPr>
          <w:color w:val="auto"/>
          <w:szCs w:val="24"/>
        </w:rPr>
        <w:t>fe problem, adjustment insomnia,</w:t>
      </w:r>
      <w:r w:rsidR="00817FB8">
        <w:rPr>
          <w:color w:val="auto"/>
          <w:szCs w:val="24"/>
        </w:rPr>
        <w:t xml:space="preserve"> depressed and frustrated with his medical condition.  </w:t>
      </w:r>
      <w:r w:rsidR="00834542">
        <w:rPr>
          <w:color w:val="auto"/>
          <w:szCs w:val="24"/>
        </w:rPr>
        <w:t xml:space="preserve">The Board notes that neither PTSD </w:t>
      </w:r>
      <w:r w:rsidR="00A73B75">
        <w:rPr>
          <w:color w:val="auto"/>
          <w:szCs w:val="24"/>
        </w:rPr>
        <w:t xml:space="preserve">nor anxiety were </w:t>
      </w:r>
      <w:r w:rsidR="00834542">
        <w:rPr>
          <w:color w:val="auto"/>
          <w:szCs w:val="24"/>
        </w:rPr>
        <w:t xml:space="preserve">diagnosed while on active duty and that the mental health condition was specifically noted not to be deployment related </w:t>
      </w:r>
      <w:r w:rsidR="00A73B75">
        <w:rPr>
          <w:color w:val="auto"/>
          <w:szCs w:val="24"/>
        </w:rPr>
        <w:t xml:space="preserve">in the provider notes </w:t>
      </w:r>
      <w:r w:rsidR="00834542">
        <w:rPr>
          <w:color w:val="auto"/>
          <w:szCs w:val="24"/>
        </w:rPr>
        <w:t>and no limitation in</w:t>
      </w:r>
      <w:r w:rsidR="00817FB8">
        <w:rPr>
          <w:color w:val="auto"/>
          <w:szCs w:val="24"/>
        </w:rPr>
        <w:t xml:space="preserve"> duty was placed because of it (physical profile S1 his entire career).</w:t>
      </w:r>
      <w:r w:rsidR="003D2494">
        <w:rPr>
          <w:color w:val="auto"/>
          <w:szCs w:val="24"/>
        </w:rPr>
        <w:t xml:space="preserve">  </w:t>
      </w:r>
      <w:r w:rsidR="00817FB8">
        <w:rPr>
          <w:color w:val="auto"/>
          <w:szCs w:val="24"/>
        </w:rPr>
        <w:t xml:space="preserve">Service treatment records show care by mental health providers </w:t>
      </w:r>
      <w:r w:rsidR="00B95F16">
        <w:rPr>
          <w:color w:val="auto"/>
          <w:szCs w:val="24"/>
        </w:rPr>
        <w:t xml:space="preserve">in 2007 </w:t>
      </w:r>
      <w:r w:rsidR="00817FB8">
        <w:rPr>
          <w:color w:val="auto"/>
          <w:szCs w:val="24"/>
        </w:rPr>
        <w:t>for intermittent depressed mood, concentration problems</w:t>
      </w:r>
      <w:r w:rsidR="00B95F16">
        <w:rPr>
          <w:color w:val="auto"/>
          <w:szCs w:val="24"/>
        </w:rPr>
        <w:t>, and insomnia</w:t>
      </w:r>
      <w:r w:rsidR="0023170B">
        <w:rPr>
          <w:color w:val="auto"/>
          <w:szCs w:val="24"/>
        </w:rPr>
        <w:t xml:space="preserve"> (insomnia since 2006</w:t>
      </w:r>
      <w:r w:rsidR="003D2494">
        <w:rPr>
          <w:color w:val="auto"/>
          <w:szCs w:val="24"/>
        </w:rPr>
        <w:t>)</w:t>
      </w:r>
      <w:r w:rsidR="00D76F4E">
        <w:rPr>
          <w:color w:val="auto"/>
          <w:szCs w:val="24"/>
        </w:rPr>
        <w:t>.</w:t>
      </w:r>
      <w:r w:rsidR="0067212C">
        <w:rPr>
          <w:color w:val="auto"/>
          <w:sz w:val="20"/>
        </w:rPr>
        <w:t xml:space="preserve">  </w:t>
      </w:r>
      <w:r w:rsidR="00B95F16">
        <w:rPr>
          <w:color w:val="auto"/>
          <w:szCs w:val="24"/>
        </w:rPr>
        <w:t>Although the commander noted some decreased concentration at work, e</w:t>
      </w:r>
      <w:r w:rsidR="00F177D3">
        <w:rPr>
          <w:color w:val="auto"/>
          <w:szCs w:val="24"/>
        </w:rPr>
        <w:t xml:space="preserve">nlisted performances reports for the rating </w:t>
      </w:r>
      <w:r w:rsidR="00023DAD">
        <w:rPr>
          <w:color w:val="auto"/>
          <w:szCs w:val="24"/>
        </w:rPr>
        <w:t>period</w:t>
      </w:r>
      <w:r w:rsidR="00F177D3">
        <w:rPr>
          <w:color w:val="auto"/>
          <w:szCs w:val="24"/>
        </w:rPr>
        <w:t xml:space="preserve">s March 2005 to </w:t>
      </w:r>
      <w:r w:rsidR="00023DAD">
        <w:rPr>
          <w:color w:val="auto"/>
          <w:szCs w:val="24"/>
        </w:rPr>
        <w:t>March 2006</w:t>
      </w:r>
      <w:r w:rsidR="00B95F16">
        <w:rPr>
          <w:color w:val="auto"/>
          <w:szCs w:val="24"/>
        </w:rPr>
        <w:t>,</w:t>
      </w:r>
      <w:r w:rsidR="00F177D3">
        <w:rPr>
          <w:color w:val="auto"/>
          <w:szCs w:val="24"/>
        </w:rPr>
        <w:t xml:space="preserve"> March 2006 to </w:t>
      </w:r>
      <w:r w:rsidR="00023DAD">
        <w:rPr>
          <w:color w:val="auto"/>
          <w:szCs w:val="24"/>
        </w:rPr>
        <w:t>March 2007</w:t>
      </w:r>
      <w:r w:rsidR="00F177D3">
        <w:rPr>
          <w:color w:val="auto"/>
          <w:szCs w:val="24"/>
        </w:rPr>
        <w:t>,</w:t>
      </w:r>
      <w:r w:rsidR="00023DAD">
        <w:rPr>
          <w:color w:val="auto"/>
          <w:szCs w:val="24"/>
        </w:rPr>
        <w:t xml:space="preserve"> </w:t>
      </w:r>
      <w:r w:rsidR="00F177D3">
        <w:rPr>
          <w:color w:val="auto"/>
          <w:szCs w:val="24"/>
        </w:rPr>
        <w:t xml:space="preserve">and March 2007 to March 2008 </w:t>
      </w:r>
      <w:r w:rsidR="00023DAD">
        <w:rPr>
          <w:color w:val="auto"/>
          <w:szCs w:val="24"/>
        </w:rPr>
        <w:t>documented excellent duty performance</w:t>
      </w:r>
      <w:r w:rsidR="00B95F16">
        <w:rPr>
          <w:color w:val="auto"/>
          <w:szCs w:val="24"/>
        </w:rPr>
        <w:t xml:space="preserve"> (firewall </w:t>
      </w:r>
      <w:r w:rsidR="00E97F65">
        <w:rPr>
          <w:color w:val="auto"/>
          <w:szCs w:val="24"/>
        </w:rPr>
        <w:t>five</w:t>
      </w:r>
      <w:r w:rsidR="00B95F16">
        <w:rPr>
          <w:color w:val="auto"/>
          <w:szCs w:val="24"/>
        </w:rPr>
        <w:t xml:space="preserve"> reports</w:t>
      </w:r>
      <w:r w:rsidR="00BD2CCB">
        <w:rPr>
          <w:color w:val="auto"/>
          <w:szCs w:val="24"/>
        </w:rPr>
        <w:t>,</w:t>
      </w:r>
      <w:r w:rsidR="00B95F16">
        <w:rPr>
          <w:color w:val="auto"/>
          <w:szCs w:val="24"/>
        </w:rPr>
        <w:t xml:space="preserve"> given only to the highest performers)</w:t>
      </w:r>
      <w:r w:rsidR="00023DAD">
        <w:rPr>
          <w:color w:val="auto"/>
          <w:szCs w:val="24"/>
        </w:rPr>
        <w:t xml:space="preserve"> while simultaneously earning</w:t>
      </w:r>
      <w:r w:rsidR="00F177D3">
        <w:rPr>
          <w:color w:val="auto"/>
          <w:szCs w:val="24"/>
        </w:rPr>
        <w:t xml:space="preserve"> high grades in college courses</w:t>
      </w:r>
      <w:r w:rsidR="00B95F16">
        <w:rPr>
          <w:color w:val="auto"/>
          <w:szCs w:val="24"/>
        </w:rPr>
        <w:t xml:space="preserve">.  </w:t>
      </w:r>
      <w:r w:rsidR="00834542">
        <w:rPr>
          <w:color w:val="auto"/>
          <w:szCs w:val="24"/>
        </w:rPr>
        <w:t xml:space="preserve">A sleep study </w:t>
      </w:r>
      <w:r w:rsidR="00834542">
        <w:rPr>
          <w:color w:val="auto"/>
          <w:szCs w:val="24"/>
        </w:rPr>
        <w:lastRenderedPageBreak/>
        <w:t xml:space="preserve">did show mild sleep apnea, but no treatment was prescribed.  The CI did </w:t>
      </w:r>
      <w:r w:rsidR="00834542" w:rsidRPr="00A73B75">
        <w:rPr>
          <w:color w:val="auto"/>
          <w:szCs w:val="24"/>
        </w:rPr>
        <w:t xml:space="preserve">take sleep aids due to the pain from his right ankle.  </w:t>
      </w:r>
      <w:r w:rsidRPr="00A73B75">
        <w:rPr>
          <w:color w:val="auto"/>
          <w:szCs w:val="24"/>
        </w:rPr>
        <w:t xml:space="preserve">There was no evidence for concluding that </w:t>
      </w:r>
      <w:r w:rsidR="00A73B75" w:rsidRPr="00A73B75">
        <w:rPr>
          <w:color w:val="auto"/>
          <w:szCs w:val="24"/>
        </w:rPr>
        <w:t>any</w:t>
      </w:r>
      <w:r w:rsidRPr="00A73B75">
        <w:rPr>
          <w:color w:val="auto"/>
          <w:szCs w:val="24"/>
        </w:rPr>
        <w:t xml:space="preserve"> of the</w:t>
      </w:r>
      <w:r w:rsidR="00A73B75" w:rsidRPr="00A73B75">
        <w:rPr>
          <w:color w:val="auto"/>
          <w:szCs w:val="24"/>
        </w:rPr>
        <w:t>se</w:t>
      </w:r>
      <w:r w:rsidRPr="00A73B75">
        <w:rPr>
          <w:color w:val="auto"/>
          <w:szCs w:val="24"/>
        </w:rPr>
        <w:t xml:space="preserve"> conditions</w:t>
      </w:r>
      <w:r w:rsidRPr="00212833">
        <w:rPr>
          <w:color w:val="auto"/>
          <w:szCs w:val="24"/>
        </w:rPr>
        <w:t xml:space="preserve"> interfered with duty performance to a degree that could be argued as unfitting.  The Board determined therefore that none of the stated conditions were subject to Service disability rating.</w:t>
      </w:r>
    </w:p>
    <w:p w:rsidR="00F6196E" w:rsidRDefault="00F6196E" w:rsidP="00510F9C">
      <w:pPr>
        <w:spacing w:line="240" w:lineRule="exact"/>
        <w:jc w:val="both"/>
        <w:rPr>
          <w:rFonts w:asciiTheme="minorHAnsi" w:hAnsiTheme="minorHAnsi"/>
          <w:color w:val="auto"/>
          <w:szCs w:val="24"/>
        </w:rPr>
      </w:pPr>
    </w:p>
    <w:p w:rsidR="00110D1C" w:rsidRDefault="00F6196E" w:rsidP="00B95F16">
      <w:pPr>
        <w:spacing w:line="240" w:lineRule="exact"/>
        <w:jc w:val="both"/>
        <w:rPr>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812950">
        <w:rPr>
          <w:rFonts w:asciiTheme="minorHAnsi" w:hAnsiTheme="minorHAnsi"/>
          <w:color w:val="auto"/>
          <w:szCs w:val="24"/>
        </w:rPr>
        <w:t xml:space="preserve"> </w:t>
      </w:r>
      <w:r w:rsidRPr="00F6196E">
        <w:rPr>
          <w:rFonts w:asciiTheme="minorHAnsi" w:hAnsiTheme="minorHAnsi"/>
          <w:color w:val="auto"/>
          <w:szCs w:val="24"/>
        </w:rPr>
        <w:t>No other conditions were noted in the NARSUM, identified by the CI on the MEB physical or fou</w:t>
      </w:r>
      <w:r w:rsidR="00BD2CCB">
        <w:rPr>
          <w:rFonts w:asciiTheme="minorHAnsi" w:hAnsiTheme="minorHAnsi"/>
          <w:color w:val="auto"/>
          <w:szCs w:val="24"/>
        </w:rPr>
        <w:t>nd elsewhere in the DES file.</w:t>
      </w:r>
      <w:r w:rsidR="00FC3FA3">
        <w:rPr>
          <w:rFonts w:asciiTheme="minorHAnsi" w:hAnsiTheme="minorHAnsi"/>
          <w:color w:val="auto"/>
          <w:szCs w:val="24"/>
        </w:rPr>
        <w:t xml:space="preserve">  </w:t>
      </w:r>
      <w:r w:rsidR="00BD2CCB">
        <w:rPr>
          <w:color w:val="auto"/>
          <w:szCs w:val="24"/>
        </w:rPr>
        <w:t>M</w:t>
      </w:r>
      <w:r w:rsidR="00812950">
        <w:rPr>
          <w:color w:val="auto"/>
          <w:szCs w:val="24"/>
        </w:rPr>
        <w:t>igraine headaches</w:t>
      </w:r>
      <w:r w:rsidR="00110D1C">
        <w:rPr>
          <w:color w:val="auto"/>
          <w:szCs w:val="24"/>
        </w:rPr>
        <w:t xml:space="preserve"> </w:t>
      </w:r>
      <w:r w:rsidR="00110D1C" w:rsidRPr="00711350">
        <w:rPr>
          <w:color w:val="auto"/>
          <w:szCs w:val="24"/>
        </w:rPr>
        <w:t xml:space="preserve">and several other non-acute conditions were noted in the VA rating decision proximal to separation, but were not documented in the DES file.  </w:t>
      </w:r>
      <w:r w:rsidR="00812950">
        <w:rPr>
          <w:color w:val="auto"/>
          <w:szCs w:val="24"/>
        </w:rPr>
        <w:t>The Board</w:t>
      </w:r>
      <w:r w:rsidR="00BD2CCB">
        <w:rPr>
          <w:color w:val="auto"/>
          <w:szCs w:val="24"/>
        </w:rPr>
        <w:t xml:space="preserve"> notes that the CI had</w:t>
      </w:r>
      <w:r w:rsidR="00812950">
        <w:rPr>
          <w:color w:val="auto"/>
          <w:szCs w:val="24"/>
        </w:rPr>
        <w:t xml:space="preserve"> not seen for specifically for headaches since 2001, seven years prior to separation.  </w:t>
      </w:r>
      <w:r w:rsidR="00110D1C" w:rsidRPr="00711350">
        <w:rPr>
          <w:color w:val="auto"/>
          <w:szCs w:val="24"/>
        </w:rPr>
        <w:t xml:space="preserve">The Board does not have the authority under </w:t>
      </w:r>
      <w:proofErr w:type="spellStart"/>
      <w:r w:rsidR="00110D1C" w:rsidRPr="00711350">
        <w:rPr>
          <w:color w:val="auto"/>
          <w:szCs w:val="24"/>
        </w:rPr>
        <w:t>DoDI</w:t>
      </w:r>
      <w:proofErr w:type="spellEnd"/>
      <w:r w:rsidR="00110D1C" w:rsidRPr="00711350">
        <w:rPr>
          <w:color w:val="auto"/>
          <w:szCs w:val="24"/>
        </w:rPr>
        <w:t xml:space="preserve"> 6040.44 to render fitness or rating recommendations for any conditions not considered by the DES.</w:t>
      </w:r>
      <w:r w:rsidR="00110D1C">
        <w:rPr>
          <w:color w:val="auto"/>
          <w:szCs w:val="24"/>
        </w:rPr>
        <w:t xml:space="preserve">  </w:t>
      </w:r>
      <w:r w:rsidR="00110D1C" w:rsidRPr="00B56F3D">
        <w:rPr>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110D1C" w:rsidRPr="00E3004D" w:rsidRDefault="00C56FC8" w:rsidP="00D76F4E">
      <w:pPr>
        <w:spacing w:line="240" w:lineRule="exact"/>
        <w:jc w:val="both"/>
        <w:rPr>
          <w:rFonts w:cs="Calibri"/>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D76F4E">
        <w:rPr>
          <w:rFonts w:asciiTheme="minorHAnsi" w:eastAsiaTheme="minorHAnsi" w:hAnsiTheme="minorHAnsi"/>
          <w:color w:val="auto"/>
          <w:szCs w:val="24"/>
        </w:rPr>
        <w:t xml:space="preserve">  </w:t>
      </w:r>
      <w:r w:rsidR="00110D1C">
        <w:rPr>
          <w:rFonts w:cs="Arial"/>
          <w:color w:val="000000"/>
        </w:rPr>
        <w:t xml:space="preserve">In the matter of the </w:t>
      </w:r>
      <w:r w:rsidR="00812950">
        <w:rPr>
          <w:rFonts w:cs="Arial"/>
          <w:color w:val="000000"/>
        </w:rPr>
        <w:t>right ankle</w:t>
      </w:r>
      <w:r w:rsidR="00110D1C">
        <w:rPr>
          <w:rFonts w:cs="Arial"/>
          <w:color w:val="000000"/>
        </w:rPr>
        <w:t xml:space="preserve"> condition, the Board unanimously recommends no change from the PEB adjudication.</w:t>
      </w:r>
      <w:r w:rsidR="00D76F4E">
        <w:rPr>
          <w:rFonts w:cs="Arial"/>
          <w:color w:val="000000"/>
        </w:rPr>
        <w:t xml:space="preserve">  </w:t>
      </w:r>
      <w:r w:rsidR="00110D1C">
        <w:rPr>
          <w:rFonts w:cs="Arial"/>
          <w:color w:val="000000"/>
        </w:rPr>
        <w:t xml:space="preserve">In the matter of the </w:t>
      </w:r>
      <w:r w:rsidR="00812950" w:rsidRPr="00D76F4E">
        <w:rPr>
          <w:rFonts w:cs="Arial"/>
          <w:color w:val="000000"/>
        </w:rPr>
        <w:t>anxiety</w:t>
      </w:r>
      <w:r w:rsidR="00110D1C" w:rsidRPr="00D76F4E">
        <w:rPr>
          <w:rFonts w:cs="Arial"/>
          <w:color w:val="000000"/>
        </w:rPr>
        <w:t>, PTSD</w:t>
      </w:r>
      <w:r w:rsidR="00812950" w:rsidRPr="00D76F4E">
        <w:rPr>
          <w:rFonts w:cs="Arial"/>
          <w:color w:val="000000"/>
        </w:rPr>
        <w:t>, sleep apnea</w:t>
      </w:r>
      <w:r w:rsidR="00110D1C" w:rsidRPr="00D76F4E">
        <w:rPr>
          <w:rFonts w:cs="Arial"/>
          <w:color w:val="000000"/>
        </w:rPr>
        <w:t xml:space="preserve"> and migraine headaches</w:t>
      </w:r>
      <w:r w:rsidR="00110D1C">
        <w:rPr>
          <w:rFonts w:cs="Arial"/>
          <w:color w:val="000000"/>
        </w:rPr>
        <w:t xml:space="preserve"> or any other condition eligible for Board consideration</w:t>
      </w:r>
      <w:r w:rsidR="00110D1C" w:rsidRPr="00E3004D">
        <w:rPr>
          <w:rFonts w:cs="Arial"/>
          <w:color w:val="auto"/>
        </w:rPr>
        <w:t xml:space="preserve">, </w:t>
      </w:r>
      <w:r w:rsidR="00110D1C" w:rsidRPr="00E3004D">
        <w:rPr>
          <w:rFonts w:cs="Calibri"/>
          <w:color w:val="auto"/>
          <w:szCs w:val="24"/>
        </w:rPr>
        <w:t>the Board unanimously agrees that it cannot recommend any findings of unfit for additional rating at separation.</w:t>
      </w:r>
    </w:p>
    <w:p w:rsidR="00110D1C" w:rsidRPr="00391858" w:rsidRDefault="00110D1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95F16" w:rsidRDefault="00C56FC8" w:rsidP="00B95F16">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B95F16" w:rsidRPr="00396779">
        <w:rPr>
          <w:rFonts w:asciiTheme="minorHAnsi" w:hAnsiTheme="minorHAnsi"/>
          <w:color w:val="auto"/>
          <w:szCs w:val="24"/>
        </w:rPr>
        <w:t>The Board</w:t>
      </w:r>
      <w:r w:rsidR="00B95F16">
        <w:rPr>
          <w:rFonts w:asciiTheme="minorHAnsi" w:hAnsiTheme="minorHAnsi"/>
          <w:color w:val="auto"/>
          <w:szCs w:val="24"/>
        </w:rPr>
        <w:t>,</w:t>
      </w:r>
      <w:r w:rsidR="00B95F16" w:rsidRPr="00396779">
        <w:rPr>
          <w:rFonts w:asciiTheme="minorHAnsi" w:hAnsiTheme="minorHAnsi"/>
          <w:color w:val="auto"/>
          <w:szCs w:val="24"/>
        </w:rPr>
        <w:t xml:space="preserve"> therefore</w:t>
      </w:r>
      <w:r w:rsidR="00B95F16">
        <w:rPr>
          <w:rFonts w:asciiTheme="minorHAnsi" w:hAnsiTheme="minorHAnsi"/>
          <w:color w:val="auto"/>
          <w:szCs w:val="24"/>
        </w:rPr>
        <w:t>,</w:t>
      </w:r>
      <w:r w:rsidR="00B95F16" w:rsidRPr="00396779">
        <w:rPr>
          <w:rFonts w:asciiTheme="minorHAnsi" w:hAnsiTheme="minorHAnsi"/>
          <w:color w:val="auto"/>
          <w:szCs w:val="24"/>
        </w:rPr>
        <w:t xml:space="preserve"> recommends that there be no </w:t>
      </w:r>
      <w:proofErr w:type="spellStart"/>
      <w:r w:rsidR="00B95F16" w:rsidRPr="00396779">
        <w:rPr>
          <w:rFonts w:asciiTheme="minorHAnsi" w:hAnsiTheme="minorHAnsi"/>
          <w:color w:val="auto"/>
          <w:szCs w:val="24"/>
        </w:rPr>
        <w:t>recharacterization</w:t>
      </w:r>
      <w:proofErr w:type="spellEnd"/>
      <w:r w:rsidR="00B95F16" w:rsidRPr="00396779">
        <w:rPr>
          <w:rFonts w:asciiTheme="minorHAnsi" w:hAnsiTheme="minorHAnsi"/>
          <w:color w:val="auto"/>
          <w:szCs w:val="24"/>
        </w:rPr>
        <w:t xml:space="preserve"> of the CI’s </w:t>
      </w:r>
      <w:r w:rsidR="00B95F16" w:rsidRPr="00B427BB">
        <w:rPr>
          <w:rFonts w:asciiTheme="minorHAnsi" w:hAnsiTheme="minorHAnsi"/>
          <w:color w:val="auto"/>
          <w:szCs w:val="24"/>
        </w:rPr>
        <w:t>disability and separation determination</w:t>
      </w:r>
      <w:r w:rsidR="00B95F16">
        <w:rPr>
          <w:rFonts w:asciiTheme="minorHAnsi" w:hAnsiTheme="minorHAnsi"/>
          <w:color w:val="auto"/>
          <w:szCs w:val="24"/>
        </w:rPr>
        <w:t xml:space="preserve">, as follows: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D76F4E" w:rsidRDefault="00A95BBA" w:rsidP="00103948">
            <w:pPr>
              <w:tabs>
                <w:tab w:val="left" w:pos="288"/>
                <w:tab w:val="left" w:pos="4752"/>
              </w:tabs>
              <w:spacing w:line="240" w:lineRule="exact"/>
              <w:jc w:val="center"/>
              <w:rPr>
                <w:rFonts w:asciiTheme="minorHAnsi" w:hAnsiTheme="minorHAnsi"/>
                <w:b/>
                <w:color w:val="auto"/>
                <w:szCs w:val="24"/>
              </w:rPr>
            </w:pPr>
            <w:r w:rsidRPr="00D76F4E">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6918C9" w:rsidRDefault="006918C9" w:rsidP="00103948">
            <w:pPr>
              <w:tabs>
                <w:tab w:val="left" w:pos="288"/>
                <w:tab w:val="left" w:pos="4752"/>
              </w:tabs>
              <w:spacing w:line="240" w:lineRule="exact"/>
              <w:rPr>
                <w:rFonts w:asciiTheme="minorHAnsi" w:hAnsiTheme="minorHAnsi"/>
                <w:color w:val="auto"/>
                <w:szCs w:val="24"/>
              </w:rPr>
            </w:pPr>
            <w:r w:rsidRPr="006918C9">
              <w:rPr>
                <w:color w:val="auto"/>
                <w:szCs w:val="24"/>
              </w:rPr>
              <w:t>Chronic Right Ankle Pain and Numbness Due To Neuropathy</w:t>
            </w:r>
          </w:p>
        </w:tc>
        <w:tc>
          <w:tcPr>
            <w:tcW w:w="1710" w:type="dxa"/>
            <w:vAlign w:val="center"/>
          </w:tcPr>
          <w:p w:rsidR="00A95BBA" w:rsidRPr="006918C9" w:rsidRDefault="006918C9" w:rsidP="00103948">
            <w:pPr>
              <w:tabs>
                <w:tab w:val="left" w:pos="288"/>
                <w:tab w:val="left" w:pos="4752"/>
              </w:tabs>
              <w:spacing w:line="240" w:lineRule="exact"/>
              <w:jc w:val="center"/>
              <w:rPr>
                <w:rFonts w:asciiTheme="minorHAnsi" w:hAnsiTheme="minorHAnsi"/>
                <w:color w:val="auto"/>
                <w:szCs w:val="24"/>
              </w:rPr>
            </w:pPr>
            <w:r w:rsidRPr="006918C9">
              <w:rPr>
                <w:color w:val="auto"/>
                <w:szCs w:val="24"/>
              </w:rPr>
              <w:t>8725-5271</w:t>
            </w:r>
          </w:p>
        </w:tc>
        <w:tc>
          <w:tcPr>
            <w:tcW w:w="1170" w:type="dxa"/>
            <w:vAlign w:val="center"/>
          </w:tcPr>
          <w:p w:rsidR="00A95BBA" w:rsidRPr="00D76F4E" w:rsidRDefault="007950F4" w:rsidP="00103948">
            <w:pPr>
              <w:tabs>
                <w:tab w:val="left" w:pos="288"/>
                <w:tab w:val="left" w:pos="4752"/>
              </w:tabs>
              <w:spacing w:line="240" w:lineRule="exact"/>
              <w:jc w:val="center"/>
              <w:rPr>
                <w:rFonts w:asciiTheme="minorHAnsi" w:hAnsiTheme="minorHAnsi"/>
                <w:color w:val="auto"/>
                <w:szCs w:val="24"/>
              </w:rPr>
            </w:pPr>
            <w:r w:rsidRPr="00D76F4E">
              <w:rPr>
                <w:rFonts w:asciiTheme="minorHAnsi" w:hAnsiTheme="minorHAnsi"/>
                <w:color w:val="auto"/>
                <w:szCs w:val="24"/>
              </w:rPr>
              <w:t>2</w:t>
            </w:r>
            <w:r w:rsidR="00A95BBA" w:rsidRPr="00D76F4E">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76F4E" w:rsidRDefault="00812950" w:rsidP="00103948">
            <w:pPr>
              <w:tabs>
                <w:tab w:val="left" w:pos="288"/>
                <w:tab w:val="left" w:pos="4752"/>
              </w:tabs>
              <w:spacing w:line="240" w:lineRule="exact"/>
              <w:jc w:val="center"/>
              <w:rPr>
                <w:rFonts w:asciiTheme="minorHAnsi" w:hAnsiTheme="minorHAnsi"/>
                <w:b/>
                <w:color w:val="auto"/>
                <w:szCs w:val="24"/>
              </w:rPr>
            </w:pPr>
            <w:r w:rsidRPr="00D76F4E">
              <w:rPr>
                <w:rFonts w:asciiTheme="minorHAnsi" w:hAnsiTheme="minorHAnsi"/>
                <w:b/>
                <w:color w:val="auto"/>
                <w:szCs w:val="24"/>
              </w:rPr>
              <w:t>2</w:t>
            </w:r>
            <w:r w:rsidR="00A95BBA" w:rsidRPr="00D76F4E">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653E2B" w:rsidRDefault="00653E2B">
      <w:pPr>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53E2B">
        <w:rPr>
          <w:rFonts w:asciiTheme="minorHAnsi" w:hAnsiTheme="minorHAnsi"/>
          <w:color w:val="auto"/>
        </w:rPr>
        <w:t>091217</w:t>
      </w:r>
      <w:r w:rsidR="00E97F65">
        <w:rPr>
          <w:rFonts w:asciiTheme="minorHAnsi" w:hAnsiTheme="minorHAnsi"/>
          <w:color w:val="auto"/>
        </w:rPr>
        <w:t>, w/</w:t>
      </w:r>
      <w:proofErr w:type="spellStart"/>
      <w:r w:rsidR="00E97F65">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97F65">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97F65">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6D38C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FC3FA3">
        <w:rPr>
          <w:rFonts w:asciiTheme="minorHAnsi" w:hAnsiTheme="minorHAnsi"/>
          <w:color w:val="auto"/>
        </w:rPr>
        <w:t>President</w:t>
      </w:r>
    </w:p>
    <w:p w:rsidR="006D38C5"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6D38C5" w:rsidRDefault="006D38C5">
      <w:pPr>
        <w:rPr>
          <w:rFonts w:asciiTheme="minorHAnsi" w:hAnsiTheme="minorHAnsi"/>
          <w:color w:val="auto"/>
        </w:rPr>
      </w:pPr>
      <w:r>
        <w:rPr>
          <w:rFonts w:asciiTheme="minorHAnsi" w:hAnsiTheme="minorHAnsi"/>
          <w:color w:val="auto"/>
        </w:rPr>
        <w:br w:type="page"/>
      </w:r>
    </w:p>
    <w:p w:rsidR="006D38C5" w:rsidRPr="006D38C5" w:rsidRDefault="006D38C5" w:rsidP="006D38C5">
      <w:pPr>
        <w:tabs>
          <w:tab w:val="left" w:pos="576"/>
        </w:tabs>
        <w:spacing w:line="240" w:lineRule="exact"/>
        <w:ind w:right="-1080"/>
        <w:rPr>
          <w:rFonts w:ascii="Times New Roman" w:hAnsi="Times New Roman"/>
          <w:color w:val="auto"/>
        </w:rPr>
      </w:pPr>
      <w:r w:rsidRPr="006D38C5">
        <w:rPr>
          <w:rFonts w:ascii="Times New Roman" w:hAnsi="Times New Roman"/>
          <w:color w:val="auto"/>
        </w:rPr>
        <w:lastRenderedPageBreak/>
        <w:t>SAF/MRB</w:t>
      </w:r>
    </w:p>
    <w:p w:rsidR="006D38C5" w:rsidRPr="006D38C5" w:rsidRDefault="006D38C5" w:rsidP="006D38C5">
      <w:pPr>
        <w:tabs>
          <w:tab w:val="left" w:pos="576"/>
        </w:tabs>
        <w:spacing w:line="240" w:lineRule="exact"/>
        <w:ind w:right="-1080"/>
        <w:rPr>
          <w:rFonts w:ascii="Times New Roman" w:hAnsi="Times New Roman"/>
          <w:color w:val="auto"/>
        </w:rPr>
      </w:pPr>
      <w:r w:rsidRPr="006D38C5">
        <w:rPr>
          <w:rFonts w:ascii="Times New Roman" w:hAnsi="Times New Roman"/>
          <w:color w:val="auto"/>
        </w:rPr>
        <w:t>1500 West Perimeter Road, Suite 3700</w:t>
      </w:r>
    </w:p>
    <w:p w:rsidR="006D38C5" w:rsidRPr="006D38C5" w:rsidRDefault="006D38C5" w:rsidP="006D38C5">
      <w:pPr>
        <w:tabs>
          <w:tab w:val="left" w:pos="576"/>
        </w:tabs>
        <w:spacing w:line="240" w:lineRule="exact"/>
        <w:ind w:right="-1080"/>
        <w:rPr>
          <w:rFonts w:ascii="Times New Roman" w:hAnsi="Times New Roman"/>
          <w:color w:val="auto"/>
        </w:rPr>
      </w:pPr>
      <w:r w:rsidRPr="006D38C5">
        <w:rPr>
          <w:rFonts w:ascii="Times New Roman" w:hAnsi="Times New Roman"/>
          <w:color w:val="auto"/>
        </w:rPr>
        <w:t>Joint Base Andrews MD  20762</w:t>
      </w:r>
    </w:p>
    <w:p w:rsidR="006D38C5" w:rsidRPr="006D38C5" w:rsidRDefault="006D38C5" w:rsidP="006D38C5">
      <w:pPr>
        <w:tabs>
          <w:tab w:val="left" w:pos="576"/>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360"/>
        <w:rPr>
          <w:rFonts w:ascii="Times New Roman" w:hAnsi="Times New Roman"/>
          <w:color w:val="auto"/>
        </w:rPr>
      </w:pPr>
      <w:r w:rsidRPr="006D38C5">
        <w:rPr>
          <w:rFonts w:ascii="Times New Roman" w:hAnsi="Times New Roman"/>
          <w:color w:val="auto"/>
        </w:rPr>
        <w:tab/>
        <w:t xml:space="preserve">Reference your application submitted under the provisions of </w:t>
      </w:r>
      <w:proofErr w:type="spellStart"/>
      <w:r w:rsidRPr="006D38C5">
        <w:rPr>
          <w:rFonts w:ascii="Times New Roman" w:hAnsi="Times New Roman"/>
          <w:color w:val="auto"/>
        </w:rPr>
        <w:t>DoDI</w:t>
      </w:r>
      <w:proofErr w:type="spellEnd"/>
      <w:r w:rsidRPr="006D38C5">
        <w:rPr>
          <w:rFonts w:ascii="Times New Roman" w:hAnsi="Times New Roman"/>
          <w:color w:val="auto"/>
        </w:rPr>
        <w:t xml:space="preserve"> 6040.44 (Section 1554, 10 USC), PDBR Case Number PD-2010-00462</w:t>
      </w: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360"/>
        <w:rPr>
          <w:rFonts w:ascii="Times New Roman" w:hAnsi="Times New Roman"/>
          <w:color w:val="auto"/>
        </w:rPr>
      </w:pPr>
      <w:r w:rsidRPr="006D38C5">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rPr>
          <w:rFonts w:ascii="Times New Roman" w:hAnsi="Times New Roman"/>
          <w:color w:val="auto"/>
        </w:rPr>
      </w:pPr>
      <w:r w:rsidRPr="006D38C5">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6D38C5" w:rsidRPr="006D38C5" w:rsidRDefault="006D38C5" w:rsidP="006D38C5">
      <w:pPr>
        <w:tabs>
          <w:tab w:val="left" w:pos="720"/>
        </w:tabs>
        <w:spacing w:line="240" w:lineRule="exact"/>
        <w:ind w:right="-36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r w:rsidRPr="006D38C5">
        <w:rPr>
          <w:rFonts w:ascii="Times New Roman" w:hAnsi="Times New Roman"/>
          <w:color w:val="auto"/>
        </w:rPr>
        <w:tab/>
      </w:r>
      <w:r w:rsidRPr="006D38C5">
        <w:rPr>
          <w:rFonts w:ascii="Times New Roman" w:hAnsi="Times New Roman"/>
          <w:color w:val="auto"/>
        </w:rPr>
        <w:tab/>
      </w:r>
      <w:r w:rsidRPr="006D38C5">
        <w:rPr>
          <w:rFonts w:ascii="Times New Roman" w:hAnsi="Times New Roman"/>
          <w:color w:val="auto"/>
        </w:rPr>
        <w:tab/>
      </w:r>
      <w:r w:rsidRPr="006D38C5">
        <w:rPr>
          <w:rFonts w:ascii="Times New Roman" w:hAnsi="Times New Roman"/>
          <w:color w:val="auto"/>
        </w:rPr>
        <w:tab/>
      </w:r>
      <w:r w:rsidRPr="006D38C5">
        <w:rPr>
          <w:rFonts w:ascii="Times New Roman" w:hAnsi="Times New Roman"/>
          <w:color w:val="auto"/>
        </w:rPr>
        <w:tab/>
      </w:r>
      <w:r w:rsidRPr="006D38C5">
        <w:rPr>
          <w:rFonts w:ascii="Times New Roman" w:hAnsi="Times New Roman"/>
          <w:color w:val="auto"/>
        </w:rPr>
        <w:tab/>
      </w:r>
      <w:r w:rsidRPr="006D38C5">
        <w:rPr>
          <w:rFonts w:ascii="Times New Roman" w:hAnsi="Times New Roman"/>
          <w:color w:val="auto"/>
        </w:rPr>
        <w:tab/>
        <w:t>Sincerely,</w:t>
      </w: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6D38C5" w:rsidRPr="006D38C5" w:rsidRDefault="006D38C5" w:rsidP="006D38C5">
      <w:pPr>
        <w:tabs>
          <w:tab w:val="left" w:pos="720"/>
        </w:tabs>
        <w:spacing w:line="240" w:lineRule="exact"/>
        <w:ind w:left="5040" w:right="-1080"/>
        <w:rPr>
          <w:rFonts w:ascii="Times New Roman" w:hAnsi="Times New Roman"/>
          <w:color w:val="auto"/>
        </w:rPr>
      </w:pPr>
      <w:r w:rsidRPr="006D38C5">
        <w:rPr>
          <w:rFonts w:ascii="Times New Roman" w:hAnsi="Times New Roman"/>
          <w:color w:val="auto"/>
        </w:rPr>
        <w:t>Director</w:t>
      </w:r>
    </w:p>
    <w:p w:rsidR="006D38C5" w:rsidRPr="006D38C5" w:rsidRDefault="006D38C5" w:rsidP="006D38C5">
      <w:pPr>
        <w:tabs>
          <w:tab w:val="left" w:pos="720"/>
        </w:tabs>
        <w:spacing w:line="240" w:lineRule="exact"/>
        <w:ind w:left="5040" w:right="-1080"/>
        <w:rPr>
          <w:rFonts w:ascii="Times New Roman" w:hAnsi="Times New Roman"/>
          <w:color w:val="auto"/>
        </w:rPr>
      </w:pPr>
      <w:r w:rsidRPr="006D38C5">
        <w:rPr>
          <w:rFonts w:ascii="Times New Roman" w:hAnsi="Times New Roman"/>
          <w:color w:val="auto"/>
        </w:rPr>
        <w:t>Air Force Review Boards Agency</w:t>
      </w:r>
    </w:p>
    <w:p w:rsidR="006D38C5" w:rsidRPr="006D38C5" w:rsidRDefault="006D38C5" w:rsidP="006D38C5">
      <w:pPr>
        <w:tabs>
          <w:tab w:val="left" w:pos="720"/>
        </w:tabs>
        <w:spacing w:line="240" w:lineRule="exact"/>
        <w:ind w:right="-1080"/>
        <w:rPr>
          <w:rFonts w:ascii="Times New Roman" w:hAnsi="Times New Roman"/>
          <w:color w:val="auto"/>
        </w:rPr>
      </w:pPr>
    </w:p>
    <w:p w:rsidR="006D38C5" w:rsidRPr="006D38C5" w:rsidRDefault="006D38C5" w:rsidP="006D38C5">
      <w:pPr>
        <w:tabs>
          <w:tab w:val="left" w:pos="720"/>
        </w:tabs>
        <w:spacing w:line="240" w:lineRule="exact"/>
        <w:ind w:right="-1080"/>
        <w:rPr>
          <w:rFonts w:ascii="Times New Roman" w:hAnsi="Times New Roman"/>
          <w:color w:val="auto"/>
        </w:rPr>
      </w:pPr>
      <w:r w:rsidRPr="006D38C5">
        <w:rPr>
          <w:rFonts w:ascii="Times New Roman" w:hAnsi="Times New Roman"/>
          <w:color w:val="auto"/>
        </w:rPr>
        <w:t>Attachment:</w:t>
      </w:r>
    </w:p>
    <w:p w:rsidR="006D38C5" w:rsidRPr="006D38C5" w:rsidRDefault="006D38C5" w:rsidP="006D38C5">
      <w:pPr>
        <w:tabs>
          <w:tab w:val="left" w:pos="720"/>
        </w:tabs>
        <w:spacing w:line="240" w:lineRule="exact"/>
        <w:ind w:right="-1080"/>
        <w:rPr>
          <w:rFonts w:ascii="Times New Roman" w:hAnsi="Times New Roman"/>
          <w:color w:val="auto"/>
        </w:rPr>
      </w:pPr>
      <w:r w:rsidRPr="006D38C5">
        <w:rPr>
          <w:rFonts w:ascii="Times New Roman" w:hAnsi="Times New Roman"/>
          <w:color w:val="auto"/>
        </w:rPr>
        <w:t>Record of Proceedings</w:t>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82" w:rsidRDefault="00751B82">
      <w:r>
        <w:separator/>
      </w:r>
    </w:p>
  </w:endnote>
  <w:endnote w:type="continuationSeparator" w:id="0">
    <w:p w:rsidR="00751B82" w:rsidRDefault="00751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93C04" w:rsidRPr="00684CE6" w:rsidRDefault="00394118" w:rsidP="00F65ED5">
        <w:pPr>
          <w:pStyle w:val="Footer"/>
          <w:jc w:val="right"/>
          <w:rPr>
            <w:color w:val="auto"/>
          </w:rPr>
        </w:pPr>
        <w:r w:rsidRPr="00684CE6">
          <w:rPr>
            <w:color w:val="auto"/>
          </w:rPr>
          <w:fldChar w:fldCharType="begin"/>
        </w:r>
        <w:r w:rsidR="00693C04" w:rsidRPr="00684CE6">
          <w:rPr>
            <w:color w:val="auto"/>
          </w:rPr>
          <w:instrText xml:space="preserve"> PAGE   \* MERGEFORMAT </w:instrText>
        </w:r>
        <w:r w:rsidRPr="00684CE6">
          <w:rPr>
            <w:color w:val="auto"/>
          </w:rPr>
          <w:fldChar w:fldCharType="separate"/>
        </w:r>
        <w:r w:rsidR="006D38C5">
          <w:rPr>
            <w:noProof/>
            <w:color w:val="auto"/>
          </w:rPr>
          <w:t>5</w:t>
        </w:r>
        <w:r w:rsidRPr="00684CE6">
          <w:rPr>
            <w:color w:val="auto"/>
          </w:rPr>
          <w:fldChar w:fldCharType="end"/>
        </w:r>
        <w:r w:rsidR="00693C04" w:rsidRPr="00684CE6">
          <w:rPr>
            <w:color w:val="auto"/>
          </w:rPr>
          <w:t xml:space="preserve">                                                           </w:t>
        </w:r>
        <w:r w:rsidR="00693C04">
          <w:rPr>
            <w:color w:val="auto"/>
          </w:rPr>
          <w:t xml:space="preserve">     </w:t>
        </w:r>
        <w:r w:rsidR="00693C04" w:rsidRPr="00653E2B">
          <w:rPr>
            <w:color w:val="auto"/>
          </w:rPr>
          <w:t>PD1000</w:t>
        </w:r>
        <w:r w:rsidR="00693C04">
          <w:rPr>
            <w:color w:val="auto"/>
          </w:rPr>
          <w:t>462</w:t>
        </w:r>
      </w:p>
    </w:sdtContent>
  </w:sdt>
  <w:p w:rsidR="00693C04" w:rsidRPr="00684CE6" w:rsidRDefault="00693C0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82" w:rsidRDefault="00751B82">
      <w:r>
        <w:separator/>
      </w:r>
    </w:p>
  </w:footnote>
  <w:footnote w:type="continuationSeparator" w:id="0">
    <w:p w:rsidR="00751B82" w:rsidRDefault="0075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99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3DAD"/>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987"/>
    <w:rsid w:val="00051A11"/>
    <w:rsid w:val="00052234"/>
    <w:rsid w:val="00053D7C"/>
    <w:rsid w:val="000575C5"/>
    <w:rsid w:val="000577C9"/>
    <w:rsid w:val="00057F11"/>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07DC"/>
    <w:rsid w:val="00091531"/>
    <w:rsid w:val="00092619"/>
    <w:rsid w:val="00092C66"/>
    <w:rsid w:val="00093DD1"/>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A49"/>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ADE"/>
    <w:rsid w:val="000E2E50"/>
    <w:rsid w:val="000E37E0"/>
    <w:rsid w:val="000E3E98"/>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D1C"/>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19AF"/>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6885"/>
    <w:rsid w:val="0016772E"/>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2EFF"/>
    <w:rsid w:val="00193814"/>
    <w:rsid w:val="00193AAB"/>
    <w:rsid w:val="00193AD5"/>
    <w:rsid w:val="00194930"/>
    <w:rsid w:val="00195AAC"/>
    <w:rsid w:val="001A0231"/>
    <w:rsid w:val="001A025E"/>
    <w:rsid w:val="001A08CD"/>
    <w:rsid w:val="001A0A1E"/>
    <w:rsid w:val="001A2182"/>
    <w:rsid w:val="001A323E"/>
    <w:rsid w:val="001A5320"/>
    <w:rsid w:val="001A5E62"/>
    <w:rsid w:val="001A6848"/>
    <w:rsid w:val="001A7538"/>
    <w:rsid w:val="001B06FB"/>
    <w:rsid w:val="001B0B1A"/>
    <w:rsid w:val="001B4C0B"/>
    <w:rsid w:val="001B4EC2"/>
    <w:rsid w:val="001B552F"/>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83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6CC8"/>
    <w:rsid w:val="00227F0B"/>
    <w:rsid w:val="0023049F"/>
    <w:rsid w:val="002310C3"/>
    <w:rsid w:val="002316F6"/>
    <w:rsid w:val="0023170B"/>
    <w:rsid w:val="00232C9B"/>
    <w:rsid w:val="00232E73"/>
    <w:rsid w:val="00232F09"/>
    <w:rsid w:val="002335D5"/>
    <w:rsid w:val="002337FD"/>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C1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1E12"/>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1CF7"/>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B2E"/>
    <w:rsid w:val="00310CD7"/>
    <w:rsid w:val="00313D7A"/>
    <w:rsid w:val="0032136A"/>
    <w:rsid w:val="00323A90"/>
    <w:rsid w:val="00323E70"/>
    <w:rsid w:val="003258A7"/>
    <w:rsid w:val="00325BA2"/>
    <w:rsid w:val="003262BD"/>
    <w:rsid w:val="00326B1C"/>
    <w:rsid w:val="00326C08"/>
    <w:rsid w:val="00326F7F"/>
    <w:rsid w:val="00330311"/>
    <w:rsid w:val="00330C41"/>
    <w:rsid w:val="00330D55"/>
    <w:rsid w:val="003320E8"/>
    <w:rsid w:val="003328FD"/>
    <w:rsid w:val="00332DE3"/>
    <w:rsid w:val="0033334F"/>
    <w:rsid w:val="00334514"/>
    <w:rsid w:val="0033555E"/>
    <w:rsid w:val="00336805"/>
    <w:rsid w:val="00337351"/>
    <w:rsid w:val="00341A54"/>
    <w:rsid w:val="00342ADE"/>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118"/>
    <w:rsid w:val="00394926"/>
    <w:rsid w:val="00394FF9"/>
    <w:rsid w:val="00395651"/>
    <w:rsid w:val="00395E12"/>
    <w:rsid w:val="003962A8"/>
    <w:rsid w:val="00396779"/>
    <w:rsid w:val="00397DB7"/>
    <w:rsid w:val="003A0FFE"/>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494"/>
    <w:rsid w:val="003D2BA3"/>
    <w:rsid w:val="003D316B"/>
    <w:rsid w:val="003D3C22"/>
    <w:rsid w:val="003D56A0"/>
    <w:rsid w:val="003D69F5"/>
    <w:rsid w:val="003D7089"/>
    <w:rsid w:val="003D7D6D"/>
    <w:rsid w:val="003D7DDB"/>
    <w:rsid w:val="003E024F"/>
    <w:rsid w:val="003E02C7"/>
    <w:rsid w:val="003E0333"/>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2F7"/>
    <w:rsid w:val="004435BE"/>
    <w:rsid w:val="0044384F"/>
    <w:rsid w:val="0044411E"/>
    <w:rsid w:val="00444472"/>
    <w:rsid w:val="00444F80"/>
    <w:rsid w:val="00445599"/>
    <w:rsid w:val="00446018"/>
    <w:rsid w:val="0045027B"/>
    <w:rsid w:val="004504E7"/>
    <w:rsid w:val="00451F9D"/>
    <w:rsid w:val="00453167"/>
    <w:rsid w:val="00454360"/>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31D"/>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48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5A75"/>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260A"/>
    <w:rsid w:val="0051277D"/>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1E3E"/>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5F8"/>
    <w:rsid w:val="00586EC6"/>
    <w:rsid w:val="00587882"/>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7F3"/>
    <w:rsid w:val="005F6B6D"/>
    <w:rsid w:val="006008F8"/>
    <w:rsid w:val="00605AAB"/>
    <w:rsid w:val="0060634D"/>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4698C"/>
    <w:rsid w:val="00651E6D"/>
    <w:rsid w:val="00653D2D"/>
    <w:rsid w:val="00653E2B"/>
    <w:rsid w:val="006555E7"/>
    <w:rsid w:val="006560B6"/>
    <w:rsid w:val="006573F2"/>
    <w:rsid w:val="00662AD0"/>
    <w:rsid w:val="00662F08"/>
    <w:rsid w:val="00663589"/>
    <w:rsid w:val="00664419"/>
    <w:rsid w:val="006649CD"/>
    <w:rsid w:val="00665D75"/>
    <w:rsid w:val="006708E3"/>
    <w:rsid w:val="00670DDC"/>
    <w:rsid w:val="00671389"/>
    <w:rsid w:val="00671EB4"/>
    <w:rsid w:val="0067212C"/>
    <w:rsid w:val="00673CDC"/>
    <w:rsid w:val="0067443B"/>
    <w:rsid w:val="006770AA"/>
    <w:rsid w:val="00682486"/>
    <w:rsid w:val="00684CE6"/>
    <w:rsid w:val="00684E2B"/>
    <w:rsid w:val="00687273"/>
    <w:rsid w:val="00687C7E"/>
    <w:rsid w:val="00690569"/>
    <w:rsid w:val="00690FDA"/>
    <w:rsid w:val="006918C9"/>
    <w:rsid w:val="00691E61"/>
    <w:rsid w:val="006937C6"/>
    <w:rsid w:val="00693C04"/>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F80"/>
    <w:rsid w:val="006C6AB1"/>
    <w:rsid w:val="006C6E6B"/>
    <w:rsid w:val="006D145F"/>
    <w:rsid w:val="006D2000"/>
    <w:rsid w:val="006D2D39"/>
    <w:rsid w:val="006D2F31"/>
    <w:rsid w:val="006D38C5"/>
    <w:rsid w:val="006D4250"/>
    <w:rsid w:val="006D4E0E"/>
    <w:rsid w:val="006D5861"/>
    <w:rsid w:val="006D5CE2"/>
    <w:rsid w:val="006D7854"/>
    <w:rsid w:val="006E06D1"/>
    <w:rsid w:val="006E1313"/>
    <w:rsid w:val="006E2DC8"/>
    <w:rsid w:val="006E7356"/>
    <w:rsid w:val="006E77C8"/>
    <w:rsid w:val="006F08D8"/>
    <w:rsid w:val="006F0F9C"/>
    <w:rsid w:val="006F149D"/>
    <w:rsid w:val="006F1A46"/>
    <w:rsid w:val="006F4F06"/>
    <w:rsid w:val="006F5A4E"/>
    <w:rsid w:val="006F5D37"/>
    <w:rsid w:val="006F6005"/>
    <w:rsid w:val="007005EA"/>
    <w:rsid w:val="00702E85"/>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3D4"/>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B82"/>
    <w:rsid w:val="00752035"/>
    <w:rsid w:val="00756096"/>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0F4"/>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BC2"/>
    <w:rsid w:val="007F30E4"/>
    <w:rsid w:val="0080064F"/>
    <w:rsid w:val="00801B85"/>
    <w:rsid w:val="00803850"/>
    <w:rsid w:val="008039E8"/>
    <w:rsid w:val="00804385"/>
    <w:rsid w:val="00804E0E"/>
    <w:rsid w:val="00805AFD"/>
    <w:rsid w:val="008078D8"/>
    <w:rsid w:val="0080798E"/>
    <w:rsid w:val="00811D5B"/>
    <w:rsid w:val="00812950"/>
    <w:rsid w:val="00813C51"/>
    <w:rsid w:val="00816CCB"/>
    <w:rsid w:val="00817572"/>
    <w:rsid w:val="00817713"/>
    <w:rsid w:val="00817FB8"/>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542"/>
    <w:rsid w:val="00834AEA"/>
    <w:rsid w:val="00835098"/>
    <w:rsid w:val="00835841"/>
    <w:rsid w:val="00835BF8"/>
    <w:rsid w:val="00835FB7"/>
    <w:rsid w:val="00837465"/>
    <w:rsid w:val="0084002E"/>
    <w:rsid w:val="00840159"/>
    <w:rsid w:val="00840621"/>
    <w:rsid w:val="00841243"/>
    <w:rsid w:val="00841457"/>
    <w:rsid w:val="00842751"/>
    <w:rsid w:val="0084374E"/>
    <w:rsid w:val="00844842"/>
    <w:rsid w:val="00844A53"/>
    <w:rsid w:val="00844B99"/>
    <w:rsid w:val="00844DD0"/>
    <w:rsid w:val="008455C8"/>
    <w:rsid w:val="00846407"/>
    <w:rsid w:val="0085006A"/>
    <w:rsid w:val="0085089F"/>
    <w:rsid w:val="0085206E"/>
    <w:rsid w:val="0085215A"/>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7ED"/>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751"/>
    <w:rsid w:val="008C3FD0"/>
    <w:rsid w:val="008C4F01"/>
    <w:rsid w:val="008D1484"/>
    <w:rsid w:val="008D29E7"/>
    <w:rsid w:val="008D40CF"/>
    <w:rsid w:val="008D5104"/>
    <w:rsid w:val="008D75F4"/>
    <w:rsid w:val="008D795D"/>
    <w:rsid w:val="008D7B07"/>
    <w:rsid w:val="008E0D8F"/>
    <w:rsid w:val="008E0F4E"/>
    <w:rsid w:val="008E1E94"/>
    <w:rsid w:val="008E2D99"/>
    <w:rsid w:val="008E30D4"/>
    <w:rsid w:val="008E38B0"/>
    <w:rsid w:val="008E4A60"/>
    <w:rsid w:val="008E744D"/>
    <w:rsid w:val="008F1E08"/>
    <w:rsid w:val="008F2297"/>
    <w:rsid w:val="008F6FC8"/>
    <w:rsid w:val="0090045D"/>
    <w:rsid w:val="00900D8F"/>
    <w:rsid w:val="009014E3"/>
    <w:rsid w:val="009020ED"/>
    <w:rsid w:val="009026E8"/>
    <w:rsid w:val="00902FDD"/>
    <w:rsid w:val="00905EEF"/>
    <w:rsid w:val="00906EB7"/>
    <w:rsid w:val="00907C65"/>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4E5"/>
    <w:rsid w:val="00942596"/>
    <w:rsid w:val="00942645"/>
    <w:rsid w:val="009447A7"/>
    <w:rsid w:val="009461E6"/>
    <w:rsid w:val="00950A3A"/>
    <w:rsid w:val="0095340A"/>
    <w:rsid w:val="00953AF6"/>
    <w:rsid w:val="0095423E"/>
    <w:rsid w:val="00954581"/>
    <w:rsid w:val="0095466C"/>
    <w:rsid w:val="00954E5B"/>
    <w:rsid w:val="00955316"/>
    <w:rsid w:val="00955E45"/>
    <w:rsid w:val="009576BC"/>
    <w:rsid w:val="00957899"/>
    <w:rsid w:val="00960089"/>
    <w:rsid w:val="00960357"/>
    <w:rsid w:val="0096168C"/>
    <w:rsid w:val="00961840"/>
    <w:rsid w:val="009625E3"/>
    <w:rsid w:val="00962F2D"/>
    <w:rsid w:val="00963A7A"/>
    <w:rsid w:val="00964C6F"/>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54F"/>
    <w:rsid w:val="009935C3"/>
    <w:rsid w:val="0099421F"/>
    <w:rsid w:val="00994FC8"/>
    <w:rsid w:val="009A0DE3"/>
    <w:rsid w:val="009A1643"/>
    <w:rsid w:val="009A215A"/>
    <w:rsid w:val="009A4688"/>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4E43"/>
    <w:rsid w:val="009E09D0"/>
    <w:rsid w:val="009E0C91"/>
    <w:rsid w:val="009E1283"/>
    <w:rsid w:val="009E3A7F"/>
    <w:rsid w:val="009E4C9B"/>
    <w:rsid w:val="009E4DFC"/>
    <w:rsid w:val="009E5789"/>
    <w:rsid w:val="009E57B1"/>
    <w:rsid w:val="009E6379"/>
    <w:rsid w:val="009F020F"/>
    <w:rsid w:val="009F3B63"/>
    <w:rsid w:val="009F43E2"/>
    <w:rsid w:val="009F6292"/>
    <w:rsid w:val="009F6E1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B49"/>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75"/>
    <w:rsid w:val="00A73B84"/>
    <w:rsid w:val="00A7411D"/>
    <w:rsid w:val="00A756C4"/>
    <w:rsid w:val="00A7592B"/>
    <w:rsid w:val="00A76094"/>
    <w:rsid w:val="00A768E2"/>
    <w:rsid w:val="00A82C52"/>
    <w:rsid w:val="00A8347F"/>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1C28"/>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366F"/>
    <w:rsid w:val="00B55143"/>
    <w:rsid w:val="00B555C8"/>
    <w:rsid w:val="00B55917"/>
    <w:rsid w:val="00B5646A"/>
    <w:rsid w:val="00B56F3D"/>
    <w:rsid w:val="00B5740F"/>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3F2D"/>
    <w:rsid w:val="00B751CE"/>
    <w:rsid w:val="00B75A8B"/>
    <w:rsid w:val="00B75B61"/>
    <w:rsid w:val="00B76796"/>
    <w:rsid w:val="00B771E0"/>
    <w:rsid w:val="00B772E4"/>
    <w:rsid w:val="00B7793B"/>
    <w:rsid w:val="00B77EE7"/>
    <w:rsid w:val="00B80EDD"/>
    <w:rsid w:val="00B812BD"/>
    <w:rsid w:val="00B81964"/>
    <w:rsid w:val="00B82277"/>
    <w:rsid w:val="00B83F87"/>
    <w:rsid w:val="00B8478F"/>
    <w:rsid w:val="00B91676"/>
    <w:rsid w:val="00B9322B"/>
    <w:rsid w:val="00B955D5"/>
    <w:rsid w:val="00B95833"/>
    <w:rsid w:val="00B95F16"/>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2CCB"/>
    <w:rsid w:val="00BD3683"/>
    <w:rsid w:val="00BD40AB"/>
    <w:rsid w:val="00BD6297"/>
    <w:rsid w:val="00BD6806"/>
    <w:rsid w:val="00BD7433"/>
    <w:rsid w:val="00BD7831"/>
    <w:rsid w:val="00BD7C10"/>
    <w:rsid w:val="00BE046F"/>
    <w:rsid w:val="00BE0DEB"/>
    <w:rsid w:val="00BE2AB8"/>
    <w:rsid w:val="00BE2FC1"/>
    <w:rsid w:val="00BE3142"/>
    <w:rsid w:val="00BE36EB"/>
    <w:rsid w:val="00BE4039"/>
    <w:rsid w:val="00BE6365"/>
    <w:rsid w:val="00BE7557"/>
    <w:rsid w:val="00BF01B7"/>
    <w:rsid w:val="00BF0B7F"/>
    <w:rsid w:val="00BF2988"/>
    <w:rsid w:val="00BF4720"/>
    <w:rsid w:val="00BF4D6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5BB4"/>
    <w:rsid w:val="00C162E1"/>
    <w:rsid w:val="00C16BE4"/>
    <w:rsid w:val="00C16C68"/>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757"/>
    <w:rsid w:val="00C62EB2"/>
    <w:rsid w:val="00C64C87"/>
    <w:rsid w:val="00C665FE"/>
    <w:rsid w:val="00C71BEC"/>
    <w:rsid w:val="00C73EA6"/>
    <w:rsid w:val="00C74D3A"/>
    <w:rsid w:val="00C75F3D"/>
    <w:rsid w:val="00C80511"/>
    <w:rsid w:val="00C826F5"/>
    <w:rsid w:val="00C83740"/>
    <w:rsid w:val="00C84221"/>
    <w:rsid w:val="00C84AD1"/>
    <w:rsid w:val="00C85579"/>
    <w:rsid w:val="00C862F1"/>
    <w:rsid w:val="00C863E5"/>
    <w:rsid w:val="00C87BE6"/>
    <w:rsid w:val="00C87F76"/>
    <w:rsid w:val="00C9174D"/>
    <w:rsid w:val="00C931FC"/>
    <w:rsid w:val="00C932C5"/>
    <w:rsid w:val="00C937EF"/>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4B88"/>
    <w:rsid w:val="00CB758D"/>
    <w:rsid w:val="00CB7A11"/>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770"/>
    <w:rsid w:val="00D12A4E"/>
    <w:rsid w:val="00D1323B"/>
    <w:rsid w:val="00D14BAE"/>
    <w:rsid w:val="00D1648B"/>
    <w:rsid w:val="00D16819"/>
    <w:rsid w:val="00D17CBD"/>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36D15"/>
    <w:rsid w:val="00D40B1F"/>
    <w:rsid w:val="00D40D75"/>
    <w:rsid w:val="00D43978"/>
    <w:rsid w:val="00D43CBD"/>
    <w:rsid w:val="00D449F0"/>
    <w:rsid w:val="00D462D7"/>
    <w:rsid w:val="00D5062C"/>
    <w:rsid w:val="00D50C8C"/>
    <w:rsid w:val="00D50DE2"/>
    <w:rsid w:val="00D513B2"/>
    <w:rsid w:val="00D52393"/>
    <w:rsid w:val="00D523E4"/>
    <w:rsid w:val="00D5279D"/>
    <w:rsid w:val="00D52A1B"/>
    <w:rsid w:val="00D52AA7"/>
    <w:rsid w:val="00D52FCC"/>
    <w:rsid w:val="00D53F14"/>
    <w:rsid w:val="00D54BE4"/>
    <w:rsid w:val="00D54DDB"/>
    <w:rsid w:val="00D554BC"/>
    <w:rsid w:val="00D560DC"/>
    <w:rsid w:val="00D56602"/>
    <w:rsid w:val="00D60483"/>
    <w:rsid w:val="00D606E9"/>
    <w:rsid w:val="00D61ABB"/>
    <w:rsid w:val="00D62D5C"/>
    <w:rsid w:val="00D63577"/>
    <w:rsid w:val="00D67FD7"/>
    <w:rsid w:val="00D72410"/>
    <w:rsid w:val="00D73D53"/>
    <w:rsid w:val="00D7408A"/>
    <w:rsid w:val="00D74261"/>
    <w:rsid w:val="00D7441B"/>
    <w:rsid w:val="00D75589"/>
    <w:rsid w:val="00D76AB2"/>
    <w:rsid w:val="00D76F4E"/>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01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12CC"/>
    <w:rsid w:val="00DE3A3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5F57"/>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3C19"/>
    <w:rsid w:val="00E362D2"/>
    <w:rsid w:val="00E36D76"/>
    <w:rsid w:val="00E40478"/>
    <w:rsid w:val="00E405EA"/>
    <w:rsid w:val="00E407DC"/>
    <w:rsid w:val="00E408B7"/>
    <w:rsid w:val="00E41637"/>
    <w:rsid w:val="00E42789"/>
    <w:rsid w:val="00E43F59"/>
    <w:rsid w:val="00E464F0"/>
    <w:rsid w:val="00E46EF3"/>
    <w:rsid w:val="00E47370"/>
    <w:rsid w:val="00E473E9"/>
    <w:rsid w:val="00E47B47"/>
    <w:rsid w:val="00E50BEB"/>
    <w:rsid w:val="00E548FA"/>
    <w:rsid w:val="00E5755E"/>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162"/>
    <w:rsid w:val="00E9763D"/>
    <w:rsid w:val="00E97F65"/>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673"/>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177D3"/>
    <w:rsid w:val="00F20B89"/>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3D7"/>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FA3"/>
    <w:rsid w:val="00FC4284"/>
    <w:rsid w:val="00FC4576"/>
    <w:rsid w:val="00FC5FF5"/>
    <w:rsid w:val="00FC6285"/>
    <w:rsid w:val="00FC78FB"/>
    <w:rsid w:val="00FC7DBC"/>
    <w:rsid w:val="00FD076A"/>
    <w:rsid w:val="00FD0AA0"/>
    <w:rsid w:val="00FD1D5A"/>
    <w:rsid w:val="00FD5059"/>
    <w:rsid w:val="00FD554D"/>
    <w:rsid w:val="00FD5BCC"/>
    <w:rsid w:val="00FD7B23"/>
    <w:rsid w:val="00FE0CB4"/>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6918C9"/>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A334-F1C2-4038-8A01-CC4DD891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2011-04-08T11:41:00Z</cp:lastPrinted>
  <dcterms:created xsi:type="dcterms:W3CDTF">2011-12-22T17:51:00Z</dcterms:created>
  <dcterms:modified xsi:type="dcterms:W3CDTF">2012-05-14T21:42:00Z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