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B80C20" w:rsidRDefault="00F629C0" w:rsidP="00F1766A">
      <w:pPr>
        <w:tabs>
          <w:tab w:val="left" w:pos="288"/>
          <w:tab w:val="left" w:pos="6300"/>
          <w:tab w:val="left" w:pos="9270"/>
        </w:tabs>
        <w:jc w:val="both"/>
        <w:rPr>
          <w:caps/>
          <w:color w:val="000000" w:themeColor="text1"/>
        </w:rPr>
      </w:pPr>
      <w:r w:rsidRPr="00B80C20">
        <w:rPr>
          <w:caps/>
          <w:color w:val="000000" w:themeColor="text1"/>
        </w:rPr>
        <w:t xml:space="preserve">NAME:  </w:t>
      </w:r>
      <w:r w:rsidR="00E81B52">
        <w:rPr>
          <w:caps/>
          <w:color w:val="000000" w:themeColor="text1"/>
        </w:rPr>
        <w:t xml:space="preserve"> </w:t>
      </w:r>
      <w:r w:rsidR="00F1766A" w:rsidRPr="00B80C20">
        <w:rPr>
          <w:caps/>
          <w:color w:val="000000" w:themeColor="text1"/>
        </w:rPr>
        <w:tab/>
      </w:r>
      <w:r w:rsidRPr="00B80C20">
        <w:rPr>
          <w:caps/>
          <w:color w:val="000000" w:themeColor="text1"/>
        </w:rPr>
        <w:t xml:space="preserve">BRANCH OF SERVICE: </w:t>
      </w:r>
      <w:r w:rsidR="004C24C5" w:rsidRPr="00B80C20">
        <w:rPr>
          <w:caps/>
          <w:color w:val="000000" w:themeColor="text1"/>
        </w:rPr>
        <w:t xml:space="preserve"> </w:t>
      </w:r>
      <w:r w:rsidR="00332DE3" w:rsidRPr="00B80C20">
        <w:rPr>
          <w:caps/>
          <w:color w:val="000000" w:themeColor="text1"/>
        </w:rPr>
        <w:t xml:space="preserve">Army </w:t>
      </w:r>
    </w:p>
    <w:p w:rsidR="00DE3AAD" w:rsidRPr="001F29F9" w:rsidRDefault="00012733" w:rsidP="00F1766A">
      <w:pPr>
        <w:tabs>
          <w:tab w:val="left" w:pos="288"/>
          <w:tab w:val="left" w:pos="6300"/>
          <w:tab w:val="left" w:pos="9270"/>
        </w:tabs>
        <w:jc w:val="both"/>
        <w:rPr>
          <w:caps/>
          <w:color w:val="000000" w:themeColor="text1"/>
        </w:rPr>
      </w:pPr>
      <w:r w:rsidRPr="00B80C20">
        <w:rPr>
          <w:caps/>
          <w:color w:val="000000" w:themeColor="text1"/>
        </w:rPr>
        <w:t>C</w:t>
      </w:r>
      <w:r w:rsidR="00DE3AAD" w:rsidRPr="00B80C20">
        <w:rPr>
          <w:caps/>
          <w:color w:val="000000" w:themeColor="text1"/>
        </w:rPr>
        <w:t>ASE NUMBER:  PD</w:t>
      </w:r>
      <w:r w:rsidR="008F58E1" w:rsidRPr="00B80C20">
        <w:rPr>
          <w:caps/>
          <w:color w:val="000000" w:themeColor="text1"/>
        </w:rPr>
        <w:t>1</w:t>
      </w:r>
      <w:r w:rsidR="00B80C20" w:rsidRPr="00B80C20">
        <w:rPr>
          <w:caps/>
          <w:color w:val="000000" w:themeColor="text1"/>
        </w:rPr>
        <w:t>0</w:t>
      </w:r>
      <w:r w:rsidR="00DE3AAD" w:rsidRPr="00B80C20">
        <w:rPr>
          <w:caps/>
          <w:color w:val="000000" w:themeColor="text1"/>
        </w:rPr>
        <w:t>00</w:t>
      </w:r>
      <w:r w:rsidR="00B80C20" w:rsidRPr="00B80C20">
        <w:rPr>
          <w:caps/>
          <w:color w:val="000000" w:themeColor="text1"/>
        </w:rPr>
        <w:t>450</w:t>
      </w:r>
      <w:r w:rsidR="00F1766A" w:rsidRPr="00B80C20">
        <w:rPr>
          <w:color w:val="000000" w:themeColor="text1"/>
        </w:rPr>
        <w:tab/>
      </w:r>
      <w:r w:rsidR="00DE3AAD" w:rsidRPr="00B80C20">
        <w:rPr>
          <w:color w:val="000000" w:themeColor="text1"/>
        </w:rPr>
        <w:t xml:space="preserve">SEPARATION DATE:  </w:t>
      </w:r>
      <w:r w:rsidR="00B80C20" w:rsidRPr="00B80C20">
        <w:rPr>
          <w:color w:val="000000" w:themeColor="text1"/>
        </w:rPr>
        <w:t>20090327</w:t>
      </w:r>
    </w:p>
    <w:p w:rsidR="00927006" w:rsidRDefault="004F3639" w:rsidP="00B80C20">
      <w:pPr>
        <w:tabs>
          <w:tab w:val="left" w:pos="288"/>
          <w:tab w:val="left" w:pos="3420"/>
        </w:tabs>
        <w:jc w:val="both"/>
        <w:rPr>
          <w:caps/>
          <w:color w:val="000000" w:themeColor="text1"/>
        </w:rPr>
      </w:pPr>
      <w:r w:rsidRPr="001F29F9">
        <w:rPr>
          <w:caps/>
          <w:color w:val="000000" w:themeColor="text1"/>
        </w:rPr>
        <w:t>BOARD DATE:  201</w:t>
      </w:r>
      <w:r w:rsidR="00997CB2">
        <w:rPr>
          <w:caps/>
          <w:color w:val="000000" w:themeColor="text1"/>
        </w:rPr>
        <w:t>2</w:t>
      </w:r>
      <w:r w:rsidR="00927006">
        <w:rPr>
          <w:caps/>
          <w:color w:val="000000" w:themeColor="text1"/>
        </w:rPr>
        <w:t>0210</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272C8" w:rsidRPr="009272C8">
        <w:rPr>
          <w:color w:val="000000" w:themeColor="text1"/>
        </w:rPr>
        <w:t>Data extracted from the available evidence of record reflects that this covered individual (CI) was an active d</w:t>
      </w:r>
      <w:r w:rsidR="002A78CC">
        <w:rPr>
          <w:color w:val="000000" w:themeColor="text1"/>
        </w:rPr>
        <w:t xml:space="preserve">uty </w:t>
      </w:r>
      <w:r w:rsidR="004C1065">
        <w:rPr>
          <w:color w:val="000000" w:themeColor="text1"/>
        </w:rPr>
        <w:t>SPC</w:t>
      </w:r>
      <w:r w:rsidR="002A78CC">
        <w:rPr>
          <w:color w:val="000000" w:themeColor="text1"/>
        </w:rPr>
        <w:t>/E-4 (19K</w:t>
      </w:r>
      <w:r w:rsidR="009272C8" w:rsidRPr="009272C8">
        <w:rPr>
          <w:color w:val="000000" w:themeColor="text1"/>
        </w:rPr>
        <w:t xml:space="preserve">, M1 Tanker), medically separated for </w:t>
      </w:r>
      <w:r w:rsidR="009F07E9">
        <w:rPr>
          <w:color w:val="000000" w:themeColor="text1"/>
        </w:rPr>
        <w:t>intractable back pain</w:t>
      </w:r>
      <w:r w:rsidR="009272C8" w:rsidRPr="009272C8">
        <w:rPr>
          <w:color w:val="000000" w:themeColor="text1"/>
        </w:rPr>
        <w:t xml:space="preserve"> and hearing loss.  </w:t>
      </w:r>
      <w:r w:rsidR="005C3C5B">
        <w:rPr>
          <w:color w:val="000000" w:themeColor="text1"/>
        </w:rPr>
        <w:t>H</w:t>
      </w:r>
      <w:r w:rsidR="004235D9">
        <w:rPr>
          <w:color w:val="000000" w:themeColor="text1"/>
        </w:rPr>
        <w:t>e</w:t>
      </w:r>
      <w:r w:rsidR="005C3C5B">
        <w:rPr>
          <w:color w:val="000000" w:themeColor="text1"/>
        </w:rPr>
        <w:t xml:space="preserve"> </w:t>
      </w:r>
      <w:r w:rsidR="004235D9">
        <w:rPr>
          <w:color w:val="000000" w:themeColor="text1"/>
        </w:rPr>
        <w:t>aggravated a prior back injury</w:t>
      </w:r>
      <w:r w:rsidR="005C3C5B">
        <w:rPr>
          <w:color w:val="000000" w:themeColor="text1"/>
        </w:rPr>
        <w:t xml:space="preserve"> while deployed when he fell from a height onto his back under the load of full combat gear.  </w:t>
      </w:r>
      <w:r w:rsidR="009272C8" w:rsidRPr="009272C8">
        <w:rPr>
          <w:color w:val="000000" w:themeColor="text1"/>
        </w:rPr>
        <w:t xml:space="preserve">He </w:t>
      </w:r>
      <w:r w:rsidR="005C3C5B">
        <w:rPr>
          <w:color w:val="000000" w:themeColor="text1"/>
        </w:rPr>
        <w:t xml:space="preserve">was </w:t>
      </w:r>
      <w:r w:rsidR="004235D9">
        <w:rPr>
          <w:color w:val="000000" w:themeColor="text1"/>
        </w:rPr>
        <w:t xml:space="preserve">diagnosed with old, healed thoracic compression fractures and </w:t>
      </w:r>
      <w:r w:rsidR="005C3C5B">
        <w:rPr>
          <w:color w:val="000000" w:themeColor="text1"/>
        </w:rPr>
        <w:t xml:space="preserve">treated conservatively with medications and physical therapy, but </w:t>
      </w:r>
      <w:r w:rsidR="009272C8" w:rsidRPr="009272C8">
        <w:rPr>
          <w:color w:val="000000" w:themeColor="text1"/>
        </w:rPr>
        <w:t xml:space="preserve">did not respond adequately to </w:t>
      </w:r>
      <w:r w:rsidR="002A78CC">
        <w:rPr>
          <w:color w:val="000000" w:themeColor="text1"/>
        </w:rPr>
        <w:t>fully</w:t>
      </w:r>
      <w:r w:rsidR="009272C8" w:rsidRPr="009272C8">
        <w:rPr>
          <w:color w:val="000000" w:themeColor="text1"/>
        </w:rPr>
        <w:t xml:space="preserve"> perform within his Military Occupational Specialty (MOS) or meet physical fitness standards.  He was issued a permanent L3/H3 profile and underwent a Medical Evaluation Board (MEB).  Back pain due to vertebral body fracture with acquired kyphosis and hearing loss were forwarded to the Physical Evaluation Board (PEB) as medically unacceptable IAW AR 40-501.  The </w:t>
      </w:r>
      <w:r w:rsidR="004C1065">
        <w:rPr>
          <w:color w:val="000000" w:themeColor="text1"/>
        </w:rPr>
        <w:t>PEB</w:t>
      </w:r>
      <w:r w:rsidR="009272C8" w:rsidRPr="009272C8">
        <w:rPr>
          <w:color w:val="000000" w:themeColor="text1"/>
        </w:rPr>
        <w:t xml:space="preserve"> adjudicated the vertebral body fracture with secondary kyphosis and hearing loss conditions as unfitting, rated 20% and 0% respectively, with application of Veterans Administration Schedule for Rating Disabilities (VASRD).  The CI appealed to F</w:t>
      </w:r>
      <w:r w:rsidR="004C1065">
        <w:rPr>
          <w:color w:val="000000" w:themeColor="text1"/>
        </w:rPr>
        <w:t xml:space="preserve">ormal </w:t>
      </w:r>
      <w:r w:rsidR="009272C8" w:rsidRPr="009272C8">
        <w:rPr>
          <w:color w:val="000000" w:themeColor="text1"/>
        </w:rPr>
        <w:t xml:space="preserve">PEB </w:t>
      </w:r>
      <w:r w:rsidR="004C1065">
        <w:rPr>
          <w:color w:val="000000" w:themeColor="text1"/>
        </w:rPr>
        <w:t xml:space="preserve">(FPEB) </w:t>
      </w:r>
      <w:r w:rsidR="009272C8" w:rsidRPr="009272C8">
        <w:rPr>
          <w:color w:val="000000" w:themeColor="text1"/>
        </w:rPr>
        <w:t>and was then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6D7838">
        <w:rPr>
          <w:color w:val="000000" w:themeColor="text1"/>
        </w:rPr>
        <w:t xml:space="preserve">  The CI’s contention, provided by the Disable</w:t>
      </w:r>
      <w:r w:rsidR="005C3C5B">
        <w:rPr>
          <w:color w:val="000000" w:themeColor="text1"/>
        </w:rPr>
        <w:t>d</w:t>
      </w:r>
      <w:r w:rsidR="006D7838">
        <w:rPr>
          <w:color w:val="000000" w:themeColor="text1"/>
        </w:rPr>
        <w:t xml:space="preserve"> American Veterans National Service Office, asserts that the CI’s back pain condition is unfitting and should be appropriately rated 20% by VASRD standards; that the CI’s hearing loss is unfitting but not compensable by VASRD standards; that the CI’s back condition should be awarded an additional 10% rating for compression fracture with 60% loss of vertebral height; and that tinnitus should be added as an additional unfitting condition coded 6260 and rated 10%.</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810"/>
        <w:gridCol w:w="2412"/>
        <w:gridCol w:w="1080"/>
        <w:gridCol w:w="828"/>
        <w:gridCol w:w="990"/>
      </w:tblGrid>
      <w:tr w:rsidR="009272C8" w:rsidRPr="001F29F9" w:rsidTr="009272C8">
        <w:trPr>
          <w:trHeight w:val="170"/>
          <w:jc w:val="center"/>
        </w:trPr>
        <w:tc>
          <w:tcPr>
            <w:tcW w:w="4068" w:type="dxa"/>
            <w:gridSpan w:val="3"/>
            <w:tcBorders>
              <w:right w:val="thinThickThinSmallGap" w:sz="24" w:space="0" w:color="auto"/>
            </w:tcBorders>
            <w:shd w:val="clear" w:color="auto" w:fill="D9D9D9" w:themeFill="background1" w:themeFillShade="D9"/>
          </w:tcPr>
          <w:p w:rsidR="009272C8" w:rsidRDefault="009272C8">
            <w:pPr>
              <w:pStyle w:val="ListParagraph"/>
              <w:spacing w:after="0" w:line="240" w:lineRule="exact"/>
              <w:ind w:left="0"/>
              <w:rPr>
                <w:rFonts w:cs="Times New Roman"/>
                <w:b/>
                <w:sz w:val="20"/>
                <w:szCs w:val="20"/>
              </w:rPr>
            </w:pPr>
            <w:r>
              <w:rPr>
                <w:rFonts w:cs="Times New Roman"/>
                <w:b/>
                <w:sz w:val="20"/>
                <w:szCs w:val="20"/>
              </w:rPr>
              <w:t>Service FPEB – Dated 20081203</w:t>
            </w:r>
          </w:p>
        </w:tc>
        <w:tc>
          <w:tcPr>
            <w:tcW w:w="5310" w:type="dxa"/>
            <w:gridSpan w:val="4"/>
            <w:tcBorders>
              <w:left w:val="thinThickThinSmallGap" w:sz="24" w:space="0" w:color="auto"/>
            </w:tcBorders>
            <w:shd w:val="clear" w:color="auto" w:fill="D9D9D9" w:themeFill="background1" w:themeFillShade="D9"/>
          </w:tcPr>
          <w:p w:rsidR="009272C8" w:rsidRDefault="009272C8">
            <w:pPr>
              <w:pStyle w:val="ListParagraph"/>
              <w:spacing w:after="0" w:line="240" w:lineRule="exact"/>
              <w:ind w:left="0"/>
              <w:rPr>
                <w:rFonts w:cs="Times New Roman"/>
                <w:b/>
                <w:sz w:val="20"/>
                <w:szCs w:val="20"/>
              </w:rPr>
            </w:pPr>
            <w:r>
              <w:rPr>
                <w:rFonts w:cs="Times New Roman"/>
                <w:b/>
                <w:sz w:val="20"/>
                <w:szCs w:val="20"/>
              </w:rPr>
              <w:t>VA (17 Day. Pre-Separation) – All Effective 20090328</w:t>
            </w:r>
          </w:p>
        </w:tc>
      </w:tr>
      <w:tr w:rsidR="002B4E22" w:rsidRPr="001F29F9" w:rsidTr="009272C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41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5041D3" w:rsidRPr="001F29F9" w:rsidTr="009272C8">
        <w:trPr>
          <w:trHeight w:val="206"/>
          <w:jc w:val="center"/>
        </w:trPr>
        <w:tc>
          <w:tcPr>
            <w:tcW w:w="2178" w:type="dxa"/>
            <w:vMerge w:val="restart"/>
            <w:tcBorders>
              <w:right w:val="single" w:sz="4" w:space="0" w:color="auto"/>
            </w:tcBorders>
            <w:shd w:val="clear" w:color="auto" w:fill="FFFFFF" w:themeFill="background1"/>
            <w:vAlign w:val="center"/>
          </w:tcPr>
          <w:p w:rsidR="005041D3" w:rsidRPr="001F29F9" w:rsidRDefault="005041D3">
            <w:pPr>
              <w:spacing w:line="180" w:lineRule="exact"/>
              <w:contextualSpacing/>
              <w:jc w:val="left"/>
              <w:rPr>
                <w:rFonts w:ascii="Calibri" w:eastAsia="Times New Roman" w:hAnsi="Calibri" w:cs="Calibri"/>
                <w:color w:val="000000" w:themeColor="text1"/>
                <w:sz w:val="18"/>
                <w:szCs w:val="18"/>
              </w:rPr>
            </w:pPr>
            <w:r w:rsidRPr="009272C8">
              <w:rPr>
                <w:rFonts w:ascii="Calibri" w:hAnsi="Calibri" w:cs="Calibri"/>
                <w:color w:val="000000" w:themeColor="text1"/>
                <w:sz w:val="18"/>
                <w:szCs w:val="18"/>
              </w:rPr>
              <w:t>Vertebral Body Fracture</w:t>
            </w:r>
          </w:p>
        </w:tc>
        <w:tc>
          <w:tcPr>
            <w:tcW w:w="1080" w:type="dxa"/>
            <w:vMerge w:val="restart"/>
            <w:tcBorders>
              <w:left w:val="single" w:sz="4" w:space="0" w:color="auto"/>
            </w:tcBorders>
            <w:shd w:val="clear" w:color="auto" w:fill="FFFFFF" w:themeFill="background1"/>
            <w:vAlign w:val="center"/>
          </w:tcPr>
          <w:p w:rsidR="005041D3" w:rsidRPr="009272C8" w:rsidRDefault="005041D3" w:rsidP="009272C8">
            <w:pPr>
              <w:spacing w:line="180" w:lineRule="exact"/>
              <w:contextualSpacing/>
              <w:rPr>
                <w:rFonts w:ascii="Calibri" w:hAnsi="Calibri" w:cs="Calibri"/>
                <w:color w:val="000000" w:themeColor="text1"/>
                <w:sz w:val="18"/>
                <w:szCs w:val="18"/>
              </w:rPr>
            </w:pPr>
            <w:r w:rsidRPr="009272C8">
              <w:rPr>
                <w:rFonts w:ascii="Calibri" w:hAnsi="Calibri" w:cs="Calibri"/>
                <w:color w:val="000000" w:themeColor="text1"/>
                <w:sz w:val="18"/>
                <w:szCs w:val="18"/>
              </w:rPr>
              <w:t>5235</w:t>
            </w:r>
          </w:p>
        </w:tc>
        <w:tc>
          <w:tcPr>
            <w:tcW w:w="810" w:type="dxa"/>
            <w:vMerge w:val="restart"/>
            <w:tcBorders>
              <w:right w:val="thinThickThinSmallGap" w:sz="24" w:space="0" w:color="auto"/>
            </w:tcBorders>
            <w:shd w:val="clear" w:color="auto" w:fill="FFFFFF" w:themeFill="background1"/>
            <w:vAlign w:val="center"/>
          </w:tcPr>
          <w:p w:rsidR="005041D3" w:rsidRPr="009272C8" w:rsidRDefault="005041D3" w:rsidP="009272C8">
            <w:pPr>
              <w:spacing w:line="180" w:lineRule="exact"/>
              <w:contextualSpacing/>
              <w:rPr>
                <w:rFonts w:ascii="Calibri" w:hAnsi="Calibri" w:cs="Calibri"/>
                <w:color w:val="000000" w:themeColor="text1"/>
                <w:sz w:val="18"/>
                <w:szCs w:val="18"/>
              </w:rPr>
            </w:pPr>
            <w:r w:rsidRPr="009272C8">
              <w:rPr>
                <w:rFonts w:ascii="Calibri" w:hAnsi="Calibri" w:cs="Calibri"/>
                <w:color w:val="000000" w:themeColor="text1"/>
                <w:sz w:val="18"/>
                <w:szCs w:val="18"/>
              </w:rPr>
              <w:t>20%</w:t>
            </w:r>
          </w:p>
        </w:tc>
        <w:tc>
          <w:tcPr>
            <w:tcW w:w="2412" w:type="dxa"/>
            <w:tcBorders>
              <w:left w:val="thinThickThinSmallGap" w:sz="24" w:space="0" w:color="auto"/>
            </w:tcBorders>
            <w:shd w:val="clear" w:color="auto" w:fill="FFFFFF" w:themeFill="background1"/>
            <w:vAlign w:val="center"/>
          </w:tcPr>
          <w:p w:rsidR="005041D3" w:rsidRPr="001F29F9" w:rsidRDefault="005041D3">
            <w:pPr>
              <w:spacing w:line="180" w:lineRule="exact"/>
              <w:contextualSpacing/>
              <w:jc w:val="left"/>
              <w:rPr>
                <w:rFonts w:ascii="Calibri" w:eastAsia="Times New Roman" w:hAnsi="Calibri" w:cs="Calibri"/>
                <w:color w:val="000000" w:themeColor="text1"/>
                <w:sz w:val="18"/>
                <w:szCs w:val="18"/>
              </w:rPr>
            </w:pPr>
            <w:r w:rsidRPr="009272C8">
              <w:rPr>
                <w:rFonts w:ascii="Calibri" w:hAnsi="Calibri" w:cs="Calibri"/>
                <w:color w:val="000000" w:themeColor="text1"/>
                <w:sz w:val="18"/>
                <w:szCs w:val="18"/>
              </w:rPr>
              <w:t>DDD with Vertebral Fractures</w:t>
            </w:r>
          </w:p>
        </w:tc>
        <w:tc>
          <w:tcPr>
            <w:tcW w:w="1080" w:type="dxa"/>
            <w:shd w:val="clear" w:color="auto" w:fill="FFFFFF" w:themeFill="background1"/>
            <w:vAlign w:val="center"/>
          </w:tcPr>
          <w:p w:rsidR="005041D3" w:rsidRPr="001F29F9" w:rsidRDefault="00D930A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5010-5242</w:t>
            </w:r>
          </w:p>
        </w:tc>
        <w:tc>
          <w:tcPr>
            <w:tcW w:w="828" w:type="dxa"/>
            <w:shd w:val="clear" w:color="auto" w:fill="FFFFFF" w:themeFill="background1"/>
            <w:vAlign w:val="center"/>
          </w:tcPr>
          <w:p w:rsidR="005041D3" w:rsidRPr="001F29F9" w:rsidRDefault="00D930A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005041D3" w:rsidRPr="001F29F9">
              <w:rPr>
                <w:rFonts w:ascii="Calibri" w:hAnsi="Calibri" w:cs="Calibri"/>
                <w:color w:val="000000" w:themeColor="text1"/>
                <w:sz w:val="18"/>
                <w:szCs w:val="18"/>
              </w:rPr>
              <w:t>%</w:t>
            </w:r>
          </w:p>
        </w:tc>
        <w:tc>
          <w:tcPr>
            <w:tcW w:w="990" w:type="dxa"/>
            <w:shd w:val="clear" w:color="auto" w:fill="FFFFFF" w:themeFill="background1"/>
            <w:vAlign w:val="center"/>
          </w:tcPr>
          <w:p w:rsidR="005041D3" w:rsidRPr="001F29F9" w:rsidRDefault="005041D3">
            <w:pPr>
              <w:spacing w:line="180" w:lineRule="exact"/>
              <w:contextualSpacing/>
              <w:rPr>
                <w:rFonts w:ascii="Calibri" w:eastAsia="Times New Roman" w:hAnsi="Calibri" w:cs="Calibri"/>
                <w:color w:val="000000" w:themeColor="text1"/>
                <w:sz w:val="18"/>
                <w:szCs w:val="18"/>
              </w:rPr>
            </w:pPr>
            <w:r w:rsidRPr="005041D3">
              <w:rPr>
                <w:rFonts w:ascii="Calibri" w:hAnsi="Calibri" w:cs="Calibri"/>
                <w:color w:val="000000" w:themeColor="text1"/>
                <w:sz w:val="18"/>
                <w:szCs w:val="18"/>
              </w:rPr>
              <w:t>20090310</w:t>
            </w:r>
          </w:p>
        </w:tc>
      </w:tr>
      <w:tr w:rsidR="005041D3" w:rsidRPr="001F29F9" w:rsidTr="009272C8">
        <w:trPr>
          <w:trHeight w:val="106"/>
          <w:jc w:val="center"/>
        </w:trPr>
        <w:tc>
          <w:tcPr>
            <w:tcW w:w="2178" w:type="dxa"/>
            <w:vMerge/>
            <w:tcBorders>
              <w:right w:val="single" w:sz="4" w:space="0" w:color="auto"/>
            </w:tcBorders>
            <w:shd w:val="clear" w:color="auto" w:fill="FFFFFF" w:themeFill="background1"/>
            <w:vAlign w:val="center"/>
          </w:tcPr>
          <w:p w:rsidR="005041D3" w:rsidRPr="001F29F9" w:rsidRDefault="005041D3">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5041D3" w:rsidRPr="001F29F9" w:rsidRDefault="005041D3">
            <w:pPr>
              <w:spacing w:line="180" w:lineRule="exact"/>
              <w:contextualSpacing/>
              <w:rPr>
                <w:rFonts w:ascii="Calibri" w:eastAsia="Times New Roman" w:hAnsi="Calibri"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5041D3" w:rsidRPr="001F29F9" w:rsidRDefault="005041D3">
            <w:pPr>
              <w:spacing w:line="180" w:lineRule="exact"/>
              <w:rPr>
                <w:rFonts w:ascii="Calibri" w:eastAsia="Times New Roman" w:hAnsi="Calibri" w:cs="Calibri"/>
                <w:color w:val="000000" w:themeColor="text1"/>
                <w:sz w:val="18"/>
                <w:szCs w:val="18"/>
              </w:rPr>
            </w:pPr>
          </w:p>
        </w:tc>
        <w:tc>
          <w:tcPr>
            <w:tcW w:w="2412" w:type="dxa"/>
            <w:tcBorders>
              <w:left w:val="thinThickThinSmallGap" w:sz="24" w:space="0" w:color="auto"/>
              <w:right w:val="single" w:sz="4" w:space="0" w:color="auto"/>
            </w:tcBorders>
            <w:shd w:val="clear" w:color="auto" w:fill="FFFFFF" w:themeFill="background1"/>
            <w:vAlign w:val="center"/>
          </w:tcPr>
          <w:p w:rsidR="005041D3" w:rsidRPr="009272C8" w:rsidRDefault="005041D3" w:rsidP="009272C8">
            <w:pPr>
              <w:spacing w:line="180" w:lineRule="exact"/>
              <w:contextualSpacing/>
              <w:jc w:val="left"/>
              <w:rPr>
                <w:rFonts w:ascii="Calibri" w:hAnsi="Calibri" w:cs="Calibri"/>
                <w:color w:val="000000" w:themeColor="text1"/>
                <w:sz w:val="18"/>
                <w:szCs w:val="18"/>
              </w:rPr>
            </w:pPr>
            <w:r w:rsidRPr="009272C8">
              <w:rPr>
                <w:rFonts w:ascii="Calibri" w:hAnsi="Calibri" w:cs="Calibri"/>
                <w:color w:val="000000" w:themeColor="text1"/>
                <w:sz w:val="18"/>
                <w:szCs w:val="18"/>
              </w:rPr>
              <w:t>Vertebral Fracture</w:t>
            </w:r>
          </w:p>
        </w:tc>
        <w:tc>
          <w:tcPr>
            <w:tcW w:w="1080" w:type="dxa"/>
            <w:tcBorders>
              <w:left w:val="single" w:sz="4" w:space="0" w:color="auto"/>
            </w:tcBorders>
            <w:shd w:val="clear" w:color="auto" w:fill="FFFFFF" w:themeFill="background1"/>
            <w:vAlign w:val="center"/>
          </w:tcPr>
          <w:p w:rsidR="005041D3" w:rsidRPr="009272C8" w:rsidRDefault="005041D3" w:rsidP="009272C8">
            <w:pPr>
              <w:spacing w:line="180" w:lineRule="exact"/>
              <w:contextualSpacing/>
              <w:rPr>
                <w:rFonts w:ascii="Calibri" w:eastAsia="Times New Roman" w:hAnsi="Calibri" w:cs="Calibri"/>
                <w:color w:val="000000" w:themeColor="text1"/>
                <w:sz w:val="18"/>
                <w:szCs w:val="18"/>
              </w:rPr>
            </w:pPr>
            <w:r w:rsidRPr="009272C8">
              <w:rPr>
                <w:rFonts w:ascii="Calibri" w:eastAsia="Times New Roman" w:hAnsi="Calibri" w:cs="Calibri"/>
                <w:color w:val="000000" w:themeColor="text1"/>
                <w:sz w:val="18"/>
                <w:szCs w:val="18"/>
              </w:rPr>
              <w:t>5235</w:t>
            </w:r>
          </w:p>
        </w:tc>
        <w:tc>
          <w:tcPr>
            <w:tcW w:w="828" w:type="dxa"/>
            <w:shd w:val="clear" w:color="auto" w:fill="FFFFFF" w:themeFill="background1"/>
            <w:vAlign w:val="center"/>
          </w:tcPr>
          <w:p w:rsidR="005041D3" w:rsidRPr="009272C8" w:rsidRDefault="005041D3" w:rsidP="009272C8">
            <w:pPr>
              <w:spacing w:line="180" w:lineRule="exact"/>
              <w:contextualSpacing/>
              <w:rPr>
                <w:rFonts w:ascii="Calibri" w:eastAsia="Times New Roman" w:hAnsi="Calibri" w:cs="Calibri"/>
                <w:color w:val="000000" w:themeColor="text1"/>
                <w:sz w:val="18"/>
                <w:szCs w:val="18"/>
              </w:rPr>
            </w:pPr>
            <w:r w:rsidRPr="009272C8">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5041D3" w:rsidRPr="009272C8" w:rsidRDefault="005041D3" w:rsidP="009272C8">
            <w:pPr>
              <w:spacing w:line="180" w:lineRule="exact"/>
              <w:contextualSpacing/>
              <w:rPr>
                <w:rFonts w:ascii="Calibri" w:eastAsia="Times New Roman" w:hAnsi="Calibri" w:cs="Calibri"/>
                <w:color w:val="000000" w:themeColor="text1"/>
                <w:sz w:val="18"/>
                <w:szCs w:val="18"/>
              </w:rPr>
            </w:pPr>
            <w:r w:rsidRPr="009272C8">
              <w:rPr>
                <w:rFonts w:ascii="Calibri" w:eastAsia="Times New Roman" w:hAnsi="Calibri" w:cs="Calibri"/>
                <w:color w:val="000000" w:themeColor="text1"/>
                <w:sz w:val="18"/>
                <w:szCs w:val="18"/>
              </w:rPr>
              <w:t>20090310</w:t>
            </w:r>
          </w:p>
        </w:tc>
      </w:tr>
      <w:tr w:rsidR="002A78CC" w:rsidRPr="001F29F9" w:rsidTr="009272C8">
        <w:trPr>
          <w:trHeight w:val="97"/>
          <w:jc w:val="center"/>
        </w:trPr>
        <w:tc>
          <w:tcPr>
            <w:tcW w:w="2178" w:type="dxa"/>
            <w:vMerge w:val="restart"/>
            <w:tcBorders>
              <w:right w:val="single" w:sz="4" w:space="0" w:color="auto"/>
            </w:tcBorders>
            <w:shd w:val="clear" w:color="auto" w:fill="FFFFFF" w:themeFill="background1"/>
            <w:vAlign w:val="center"/>
          </w:tcPr>
          <w:p w:rsidR="002A78CC" w:rsidRPr="001F29F9" w:rsidRDefault="002A78CC" w:rsidP="005041D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Hearing Loss</w:t>
            </w:r>
          </w:p>
        </w:tc>
        <w:tc>
          <w:tcPr>
            <w:tcW w:w="1080" w:type="dxa"/>
            <w:vMerge w:val="restart"/>
            <w:tcBorders>
              <w:lef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6100</w:t>
            </w:r>
          </w:p>
        </w:tc>
        <w:tc>
          <w:tcPr>
            <w:tcW w:w="810" w:type="dxa"/>
            <w:vMerge w:val="restart"/>
            <w:tcBorders>
              <w:right w:val="thinThickThinSmallGap" w:sz="2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highlight w:val="yellow"/>
              </w:rPr>
            </w:pPr>
            <w:r w:rsidRPr="005041D3">
              <w:rPr>
                <w:rFonts w:ascii="Calibri" w:eastAsia="Times New Roman" w:hAnsi="Calibri" w:cs="Calibri"/>
                <w:color w:val="000000" w:themeColor="text1"/>
                <w:sz w:val="18"/>
                <w:szCs w:val="18"/>
              </w:rPr>
              <w:t>0%</w:t>
            </w:r>
          </w:p>
        </w:tc>
        <w:tc>
          <w:tcPr>
            <w:tcW w:w="2412" w:type="dxa"/>
            <w:tcBorders>
              <w:left w:val="thinThickThinSmallGap" w:sz="24" w:space="0" w:color="auto"/>
              <w:right w:val="single" w:sz="4" w:space="0" w:color="auto"/>
            </w:tcBorders>
            <w:shd w:val="clear" w:color="auto" w:fill="FFFFFF" w:themeFill="background1"/>
            <w:vAlign w:val="center"/>
          </w:tcPr>
          <w:p w:rsidR="002A78CC" w:rsidRPr="001F29F9" w:rsidRDefault="002A78CC" w:rsidP="005041D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Bilateral Hearing Loss</w:t>
            </w:r>
          </w:p>
        </w:tc>
        <w:tc>
          <w:tcPr>
            <w:tcW w:w="1080" w:type="dxa"/>
            <w:tcBorders>
              <w:lef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6100</w:t>
            </w:r>
          </w:p>
        </w:tc>
        <w:tc>
          <w:tcPr>
            <w:tcW w:w="828" w:type="dxa"/>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highlight w:val="yellow"/>
              </w:rPr>
            </w:pPr>
            <w:r w:rsidRPr="005041D3">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2A78CC" w:rsidRPr="005041D3" w:rsidRDefault="002A78CC" w:rsidP="005041D3">
            <w:pPr>
              <w:spacing w:line="180" w:lineRule="exact"/>
              <w:contextualSpacing/>
              <w:rPr>
                <w:rFonts w:ascii="Calibri" w:eastAsia="Times New Roman" w:hAnsi="Calibri" w:cs="Calibri"/>
                <w:color w:val="000000" w:themeColor="text1"/>
                <w:sz w:val="18"/>
                <w:szCs w:val="18"/>
              </w:rPr>
            </w:pPr>
            <w:r w:rsidRPr="005041D3">
              <w:rPr>
                <w:rFonts w:ascii="Calibri" w:eastAsia="Times New Roman" w:hAnsi="Calibri" w:cs="Calibri"/>
                <w:color w:val="000000" w:themeColor="text1"/>
                <w:sz w:val="18"/>
                <w:szCs w:val="18"/>
              </w:rPr>
              <w:t>20090324</w:t>
            </w:r>
          </w:p>
        </w:tc>
      </w:tr>
      <w:tr w:rsidR="002A78CC" w:rsidRPr="001F29F9" w:rsidTr="009272C8">
        <w:trPr>
          <w:trHeight w:val="97"/>
          <w:jc w:val="center"/>
        </w:trPr>
        <w:tc>
          <w:tcPr>
            <w:tcW w:w="2178" w:type="dxa"/>
            <w:vMerge/>
            <w:tcBorders>
              <w:right w:val="single" w:sz="4" w:space="0" w:color="auto"/>
            </w:tcBorders>
            <w:shd w:val="clear" w:color="auto" w:fill="FFFFFF" w:themeFill="background1"/>
            <w:vAlign w:val="center"/>
          </w:tcPr>
          <w:p w:rsidR="002A78CC" w:rsidRDefault="002A78CC" w:rsidP="005041D3">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2A78CC" w:rsidRDefault="002A78CC" w:rsidP="005041D3">
            <w:pPr>
              <w:spacing w:line="18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2A78CC" w:rsidRPr="005041D3" w:rsidRDefault="002A78CC" w:rsidP="005041D3">
            <w:pPr>
              <w:spacing w:line="180" w:lineRule="exact"/>
              <w:contextualSpacing/>
              <w:rPr>
                <w:rFonts w:cs="Calibri"/>
                <w:color w:val="000000" w:themeColor="text1"/>
                <w:sz w:val="18"/>
                <w:szCs w:val="18"/>
              </w:rPr>
            </w:pPr>
          </w:p>
        </w:tc>
        <w:tc>
          <w:tcPr>
            <w:tcW w:w="2412" w:type="dxa"/>
            <w:tcBorders>
              <w:left w:val="thinThickThinSmallGap" w:sz="24" w:space="0" w:color="auto"/>
              <w:right w:val="single" w:sz="4" w:space="0" w:color="auto"/>
            </w:tcBorders>
            <w:shd w:val="clear" w:color="auto" w:fill="FFFFFF" w:themeFill="background1"/>
            <w:vAlign w:val="center"/>
          </w:tcPr>
          <w:p w:rsidR="002A78CC" w:rsidRPr="001F29F9" w:rsidRDefault="002A78CC" w:rsidP="005041D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2A78CC" w:rsidRPr="001F29F9" w:rsidRDefault="002A78CC" w:rsidP="005041D3">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A78CC" w:rsidRPr="005041D3" w:rsidRDefault="002A78CC" w:rsidP="005041D3">
            <w:pPr>
              <w:spacing w:line="180" w:lineRule="exact"/>
              <w:contextualSpacing/>
              <w:rPr>
                <w:rFonts w:cs="Calibri"/>
                <w:color w:val="000000" w:themeColor="text1"/>
                <w:sz w:val="18"/>
                <w:szCs w:val="18"/>
              </w:rPr>
            </w:pPr>
            <w:r w:rsidRPr="005041D3">
              <w:rPr>
                <w:rFonts w:cs="Calibri"/>
                <w:color w:val="000000" w:themeColor="text1"/>
                <w:sz w:val="18"/>
                <w:szCs w:val="18"/>
              </w:rPr>
              <w:t>20090324</w:t>
            </w:r>
          </w:p>
        </w:tc>
      </w:tr>
      <w:tr w:rsidR="002A78CC" w:rsidRPr="001F29F9" w:rsidTr="00B758BE">
        <w:trPr>
          <w:trHeight w:val="178"/>
          <w:jc w:val="center"/>
        </w:trPr>
        <w:tc>
          <w:tcPr>
            <w:tcW w:w="4068" w:type="dxa"/>
            <w:gridSpan w:val="3"/>
            <w:vMerge w:val="restart"/>
            <w:tcBorders>
              <w:right w:val="thinThickThinSmallGap" w:sz="2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412" w:type="dxa"/>
            <w:tcBorders>
              <w:left w:val="thinThickThinSmallGap" w:sz="24" w:space="0" w:color="auto"/>
              <w:right w:val="single" w:sz="4" w:space="0" w:color="auto"/>
            </w:tcBorders>
            <w:shd w:val="clear" w:color="auto" w:fill="FFFFFF" w:themeFill="background1"/>
            <w:vAlign w:val="center"/>
          </w:tcPr>
          <w:p w:rsidR="002A78CC" w:rsidRPr="001F29F9" w:rsidRDefault="002A78CC" w:rsidP="005041D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GERD</w:t>
            </w:r>
          </w:p>
        </w:tc>
        <w:tc>
          <w:tcPr>
            <w:tcW w:w="1080" w:type="dxa"/>
            <w:tcBorders>
              <w:lef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7399-7346</w:t>
            </w:r>
          </w:p>
        </w:tc>
        <w:tc>
          <w:tcPr>
            <w:tcW w:w="828" w:type="dxa"/>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A78CC" w:rsidRPr="005041D3" w:rsidRDefault="002A78CC" w:rsidP="005041D3">
            <w:pPr>
              <w:spacing w:line="180" w:lineRule="exact"/>
              <w:contextualSpacing/>
              <w:rPr>
                <w:rFonts w:ascii="Calibri" w:eastAsia="Times New Roman" w:hAnsi="Calibri" w:cs="Calibri"/>
                <w:color w:val="000000" w:themeColor="text1"/>
                <w:sz w:val="18"/>
                <w:szCs w:val="18"/>
              </w:rPr>
            </w:pPr>
            <w:r w:rsidRPr="005041D3">
              <w:rPr>
                <w:rFonts w:ascii="Calibri" w:eastAsia="Times New Roman" w:hAnsi="Calibri" w:cs="Calibri"/>
                <w:color w:val="000000" w:themeColor="text1"/>
                <w:sz w:val="18"/>
                <w:szCs w:val="18"/>
              </w:rPr>
              <w:t>20090310</w:t>
            </w:r>
          </w:p>
        </w:tc>
      </w:tr>
      <w:tr w:rsidR="002A78CC" w:rsidRPr="001F29F9" w:rsidTr="00B758BE">
        <w:trPr>
          <w:trHeight w:val="70"/>
          <w:jc w:val="center"/>
        </w:trPr>
        <w:tc>
          <w:tcPr>
            <w:tcW w:w="4068" w:type="dxa"/>
            <w:gridSpan w:val="3"/>
            <w:vMerge/>
            <w:tcBorders>
              <w:right w:val="thinThickThinSmallGap" w:sz="2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p>
        </w:tc>
        <w:tc>
          <w:tcPr>
            <w:tcW w:w="2412" w:type="dxa"/>
            <w:tcBorders>
              <w:left w:val="thinThickThinSmallGap" w:sz="24" w:space="0" w:color="auto"/>
              <w:right w:val="single" w:sz="4" w:space="0" w:color="auto"/>
            </w:tcBorders>
            <w:shd w:val="clear" w:color="auto" w:fill="FFFFFF" w:themeFill="background1"/>
            <w:vAlign w:val="center"/>
          </w:tcPr>
          <w:p w:rsidR="002A78CC" w:rsidRPr="001F29F9" w:rsidRDefault="002A78CC" w:rsidP="005041D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Chronic Kidney Stone</w:t>
            </w:r>
          </w:p>
        </w:tc>
        <w:tc>
          <w:tcPr>
            <w:tcW w:w="1080" w:type="dxa"/>
            <w:tcBorders>
              <w:left w:val="single" w:sz="4" w:space="0" w:color="auto"/>
              <w:righ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7508</w:t>
            </w:r>
          </w:p>
        </w:tc>
        <w:tc>
          <w:tcPr>
            <w:tcW w:w="828" w:type="dxa"/>
            <w:tcBorders>
              <w:left w:val="single" w:sz="4" w:space="0" w:color="auto"/>
            </w:tcBorders>
            <w:shd w:val="clear" w:color="auto" w:fill="FFFFFF" w:themeFill="background1"/>
            <w:vAlign w:val="center"/>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2A78CC" w:rsidRPr="005041D3" w:rsidRDefault="002A78CC" w:rsidP="005041D3">
            <w:pPr>
              <w:spacing w:line="180" w:lineRule="exact"/>
              <w:contextualSpacing/>
              <w:rPr>
                <w:rFonts w:ascii="Calibri" w:eastAsia="Times New Roman" w:hAnsi="Calibri" w:cs="Calibri"/>
                <w:color w:val="000000" w:themeColor="text1"/>
                <w:sz w:val="18"/>
                <w:szCs w:val="18"/>
              </w:rPr>
            </w:pPr>
            <w:r w:rsidRPr="005041D3">
              <w:rPr>
                <w:rFonts w:ascii="Calibri" w:eastAsia="Times New Roman" w:hAnsi="Calibri" w:cs="Calibri"/>
                <w:color w:val="000000" w:themeColor="text1"/>
                <w:sz w:val="18"/>
                <w:szCs w:val="18"/>
              </w:rPr>
              <w:t>20090310</w:t>
            </w:r>
          </w:p>
        </w:tc>
      </w:tr>
      <w:tr w:rsidR="002A78CC" w:rsidRPr="001F29F9" w:rsidTr="009272C8">
        <w:trPr>
          <w:trHeight w:val="133"/>
          <w:jc w:val="center"/>
        </w:trPr>
        <w:tc>
          <w:tcPr>
            <w:tcW w:w="4068" w:type="dxa"/>
            <w:gridSpan w:val="3"/>
            <w:vMerge/>
            <w:tcBorders>
              <w:right w:val="thinThickThinSmallGap" w:sz="24" w:space="0" w:color="auto"/>
            </w:tcBorders>
            <w:shd w:val="clear" w:color="auto" w:fill="FFFFFF" w:themeFill="background1"/>
          </w:tcPr>
          <w:p w:rsidR="002A78CC" w:rsidRPr="001F29F9" w:rsidRDefault="002A78CC" w:rsidP="005041D3">
            <w:pPr>
              <w:spacing w:line="180" w:lineRule="exact"/>
              <w:contextualSpacing/>
              <w:rPr>
                <w:rFonts w:ascii="Calibri" w:eastAsia="Times New Roman" w:hAnsi="Calibri" w:cs="Calibri"/>
                <w:color w:val="000000" w:themeColor="text1"/>
                <w:sz w:val="18"/>
                <w:szCs w:val="18"/>
              </w:rPr>
            </w:pPr>
          </w:p>
        </w:tc>
        <w:tc>
          <w:tcPr>
            <w:tcW w:w="4320" w:type="dxa"/>
            <w:gridSpan w:val="3"/>
            <w:tcBorders>
              <w:left w:val="thinThickThinSmallGap" w:sz="24" w:space="0" w:color="auto"/>
            </w:tcBorders>
            <w:shd w:val="clear" w:color="auto" w:fill="FFFFFF" w:themeFill="background1"/>
            <w:vAlign w:val="center"/>
          </w:tcPr>
          <w:p w:rsidR="002A78CC" w:rsidRPr="001F29F9" w:rsidRDefault="002A78CC" w:rsidP="002A78C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 xml:space="preserve">2 </w:t>
            </w:r>
            <w:r w:rsidRPr="001F29F9">
              <w:rPr>
                <w:rFonts w:ascii="Calibri" w:hAnsi="Calibri" w:cs="Calibri"/>
                <w:color w:val="000000" w:themeColor="text1"/>
                <w:sz w:val="18"/>
                <w:szCs w:val="18"/>
              </w:rPr>
              <w:t>/</w:t>
            </w:r>
            <w:r>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10</w:t>
            </w:r>
          </w:p>
        </w:tc>
        <w:tc>
          <w:tcPr>
            <w:tcW w:w="990" w:type="dxa"/>
            <w:shd w:val="clear" w:color="auto" w:fill="FFFFFF" w:themeFill="background1"/>
            <w:vAlign w:val="center"/>
          </w:tcPr>
          <w:p w:rsidR="002A78CC" w:rsidRPr="005041D3" w:rsidRDefault="002A78CC" w:rsidP="005041D3">
            <w:pPr>
              <w:spacing w:line="180" w:lineRule="exact"/>
              <w:contextualSpacing/>
              <w:rPr>
                <w:rFonts w:ascii="Calibri" w:eastAsia="Times New Roman" w:hAnsi="Calibri" w:cs="Calibri"/>
                <w:color w:val="000000" w:themeColor="text1"/>
                <w:sz w:val="18"/>
                <w:szCs w:val="18"/>
              </w:rPr>
            </w:pPr>
            <w:r w:rsidRPr="005041D3">
              <w:rPr>
                <w:rFonts w:ascii="Calibri" w:hAnsi="Calibri" w:cs="Calibri"/>
                <w:color w:val="000000" w:themeColor="text1"/>
                <w:sz w:val="18"/>
                <w:szCs w:val="18"/>
              </w:rPr>
              <w:t>20090310</w:t>
            </w:r>
          </w:p>
        </w:tc>
      </w:tr>
      <w:tr w:rsidR="005041D3" w:rsidRPr="001F29F9" w:rsidTr="009272C8">
        <w:trPr>
          <w:trHeight w:val="124"/>
          <w:jc w:val="center"/>
        </w:trPr>
        <w:tc>
          <w:tcPr>
            <w:tcW w:w="4068" w:type="dxa"/>
            <w:gridSpan w:val="3"/>
            <w:tcBorders>
              <w:right w:val="thinThickThinSmallGap" w:sz="24" w:space="0" w:color="auto"/>
            </w:tcBorders>
            <w:shd w:val="clear" w:color="auto" w:fill="D9D9D9" w:themeFill="background1" w:themeFillShade="D9"/>
            <w:vAlign w:val="center"/>
          </w:tcPr>
          <w:p w:rsidR="005041D3" w:rsidRPr="001F29F9" w:rsidRDefault="005041D3" w:rsidP="00D930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930AD">
              <w:rPr>
                <w:rFonts w:ascii="Calibri" w:hAnsi="Calibri" w:cs="Calibri"/>
                <w:b/>
                <w:color w:val="000000" w:themeColor="text1"/>
                <w:sz w:val="18"/>
                <w:szCs w:val="18"/>
              </w:rPr>
              <w:t>2</w:t>
            </w:r>
            <w:r>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310" w:type="dxa"/>
            <w:gridSpan w:val="4"/>
            <w:tcBorders>
              <w:left w:val="thinThickThinSmallGap" w:sz="24" w:space="0" w:color="auto"/>
            </w:tcBorders>
            <w:shd w:val="clear" w:color="auto" w:fill="D9D9D9" w:themeFill="background1" w:themeFillShade="D9"/>
            <w:vAlign w:val="center"/>
          </w:tcPr>
          <w:p w:rsidR="005041D3" w:rsidRPr="001F29F9" w:rsidRDefault="005041D3" w:rsidP="00D930AD">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930AD">
              <w:rPr>
                <w:rFonts w:ascii="Calibri" w:hAnsi="Calibri" w:cs="Calibri"/>
                <w:b/>
                <w:color w:val="000000" w:themeColor="text1"/>
                <w:sz w:val="18"/>
                <w:szCs w:val="18"/>
              </w:rPr>
              <w:t>5</w:t>
            </w:r>
            <w:r w:rsidRPr="001F29F9">
              <w:rPr>
                <w:rFonts w:ascii="Calibri" w:hAnsi="Calibri" w:cs="Calibri"/>
                <w:b/>
                <w:color w:val="000000" w:themeColor="text1"/>
                <w:sz w:val="18"/>
                <w:szCs w:val="18"/>
              </w:rPr>
              <w:t>0%</w:t>
            </w:r>
            <w:r w:rsidR="00D930AD">
              <w:rPr>
                <w:rFonts w:ascii="Calibri" w:hAnsi="Calibri" w:cs="Calibri"/>
                <w:b/>
                <w:color w:val="000000" w:themeColor="text1"/>
                <w:sz w:val="18"/>
                <w:szCs w:val="18"/>
              </w:rPr>
              <w:t>*</w:t>
            </w:r>
          </w:p>
        </w:tc>
      </w:tr>
    </w:tbl>
    <w:p w:rsidR="00A97CD9" w:rsidRPr="003C53E8" w:rsidRDefault="00A57C35" w:rsidP="00A97CD9">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sidR="00D930AD">
        <w:rPr>
          <w:color w:val="000000" w:themeColor="text1"/>
          <w:sz w:val="18"/>
          <w:szCs w:val="18"/>
        </w:rPr>
        <w:t xml:space="preserve">Due to clear and unmistakable error reduced to 0%, combined 40% </w:t>
      </w:r>
      <w:r w:rsidR="00D930AD" w:rsidRPr="00D930AD">
        <w:rPr>
          <w:color w:val="000000" w:themeColor="text1"/>
          <w:sz w:val="18"/>
          <w:szCs w:val="18"/>
        </w:rPr>
        <w:t>effective 20101122</w:t>
      </w:r>
      <w:r w:rsidR="00D930AD">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D930AD">
      <w:pPr>
        <w:jc w:val="both"/>
        <w:rPr>
          <w:color w:val="000000" w:themeColor="text1"/>
          <w:szCs w:val="24"/>
          <w:u w:val="single"/>
        </w:rPr>
      </w:pPr>
    </w:p>
    <w:p w:rsidR="002A78CC" w:rsidRDefault="002C6E5B" w:rsidP="00F328BE">
      <w:pPr>
        <w:jc w:val="left"/>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p>
    <w:p w:rsidR="006D7838" w:rsidRPr="00F328BE" w:rsidRDefault="006D7838" w:rsidP="00F328BE">
      <w:pPr>
        <w:jc w:val="left"/>
        <w:rPr>
          <w:color w:val="000000" w:themeColor="text1"/>
          <w:szCs w:val="24"/>
        </w:rPr>
      </w:pPr>
    </w:p>
    <w:p w:rsidR="003C53E8" w:rsidRPr="003C53E8" w:rsidRDefault="002A78CC" w:rsidP="002504FD">
      <w:pPr>
        <w:jc w:val="both"/>
        <w:rPr>
          <w:rFonts w:asciiTheme="minorHAnsi" w:hAnsiTheme="minorHAnsi" w:cs="Times New Roman"/>
          <w:color w:val="auto"/>
          <w:szCs w:val="24"/>
        </w:rPr>
      </w:pPr>
      <w:r w:rsidRPr="009F07E9">
        <w:rPr>
          <w:color w:val="000000" w:themeColor="text1"/>
          <w:szCs w:val="24"/>
          <w:u w:val="single"/>
        </w:rPr>
        <w:t>Back Condition</w:t>
      </w:r>
      <w:r w:rsidR="003F2EEE" w:rsidRPr="009F07E9">
        <w:rPr>
          <w:color w:val="000000" w:themeColor="text1"/>
          <w:szCs w:val="24"/>
        </w:rPr>
        <w:t xml:space="preserve">.  </w:t>
      </w:r>
      <w:r w:rsidR="004235D9" w:rsidRPr="009F07E9">
        <w:rPr>
          <w:color w:val="000000" w:themeColor="text1"/>
          <w:szCs w:val="24"/>
        </w:rPr>
        <w:t>The CI first complained of mid back pain shortly after beginning basic training,</w:t>
      </w:r>
      <w:r w:rsidR="004235D9">
        <w:rPr>
          <w:color w:val="000000" w:themeColor="text1"/>
          <w:szCs w:val="24"/>
        </w:rPr>
        <w:t xml:space="preserve"> and admitted to a history of fractured spine not noted at his induction physical.  There are no other entries for back pain in the service treatment record until</w:t>
      </w:r>
      <w:r w:rsidR="009634C9">
        <w:rPr>
          <w:color w:val="000000" w:themeColor="text1"/>
          <w:szCs w:val="24"/>
        </w:rPr>
        <w:t xml:space="preserve"> he fell from a guard tower while deployed one year later.  </w:t>
      </w:r>
      <w:r w:rsidR="009F07E9">
        <w:rPr>
          <w:color w:val="000000" w:themeColor="text1"/>
          <w:szCs w:val="24"/>
        </w:rPr>
        <w:t>He was able to complete his deployment.  By the time compression fractures were diagnosed radiographic</w:t>
      </w:r>
      <w:r w:rsidR="00D52B0C">
        <w:rPr>
          <w:color w:val="000000" w:themeColor="text1"/>
          <w:szCs w:val="24"/>
        </w:rPr>
        <w:t>al</w:t>
      </w:r>
      <w:r w:rsidR="009F07E9">
        <w:rPr>
          <w:color w:val="000000" w:themeColor="text1"/>
          <w:szCs w:val="24"/>
        </w:rPr>
        <w:t xml:space="preserve">ly upon redeployment the fractures were </w:t>
      </w:r>
      <w:r w:rsidR="009F07E9">
        <w:rPr>
          <w:color w:val="000000" w:themeColor="text1"/>
          <w:szCs w:val="24"/>
        </w:rPr>
        <w:lastRenderedPageBreak/>
        <w:t xml:space="preserve">too old to be treated with </w:t>
      </w:r>
      <w:r w:rsidR="009F07E9" w:rsidRPr="009F07E9">
        <w:rPr>
          <w:color w:val="000000" w:themeColor="text1"/>
          <w:szCs w:val="24"/>
        </w:rPr>
        <w:t xml:space="preserve">surgery.  </w:t>
      </w:r>
      <w:r w:rsidR="00A57C35" w:rsidRPr="009F07E9">
        <w:rPr>
          <w:color w:val="000000" w:themeColor="text1"/>
          <w:szCs w:val="24"/>
        </w:rPr>
        <w:t xml:space="preserve">There were </w:t>
      </w:r>
      <w:r w:rsidR="004C1065">
        <w:rPr>
          <w:color w:val="000000" w:themeColor="text1"/>
          <w:szCs w:val="24"/>
        </w:rPr>
        <w:t>two</w:t>
      </w:r>
      <w:r w:rsidR="00A57C35" w:rsidRPr="009F07E9">
        <w:rPr>
          <w:color w:val="000000" w:themeColor="text1"/>
          <w:szCs w:val="24"/>
        </w:rPr>
        <w:t xml:space="preserve"> goniometric </w:t>
      </w:r>
      <w:proofErr w:type="gramStart"/>
      <w:r w:rsidR="00A57C35" w:rsidRPr="009F07E9">
        <w:rPr>
          <w:color w:val="000000" w:themeColor="text1"/>
          <w:szCs w:val="24"/>
        </w:rPr>
        <w:t>range</w:t>
      </w:r>
      <w:proofErr w:type="gramEnd"/>
      <w:r w:rsidR="0080588E" w:rsidRPr="009F07E9">
        <w:rPr>
          <w:color w:val="000000" w:themeColor="text1"/>
          <w:szCs w:val="24"/>
        </w:rPr>
        <w:t xml:space="preserve"> </w:t>
      </w:r>
      <w:r w:rsidR="00A57C35" w:rsidRPr="009F07E9">
        <w:rPr>
          <w:color w:val="000000" w:themeColor="text1"/>
          <w:szCs w:val="24"/>
        </w:rPr>
        <w:t>of</w:t>
      </w:r>
      <w:r w:rsidR="0080588E" w:rsidRPr="009F07E9">
        <w:rPr>
          <w:color w:val="000000" w:themeColor="text1"/>
          <w:szCs w:val="24"/>
        </w:rPr>
        <w:t xml:space="preserve"> </w:t>
      </w:r>
      <w:r w:rsidR="00A57C35" w:rsidRPr="009F07E9">
        <w:rPr>
          <w:color w:val="000000" w:themeColor="text1"/>
          <w:szCs w:val="24"/>
        </w:rPr>
        <w:t>motion (ROM) evaluations in evidence, with documentation of additional ratable criteria, which the Board weighed in arriving at its rating recommendation</w:t>
      </w:r>
      <w:r w:rsidR="003C53E8" w:rsidRPr="009F07E9">
        <w:rPr>
          <w:rFonts w:asciiTheme="minorHAnsi" w:hAnsiTheme="minorHAnsi" w:cs="Times New Roman"/>
          <w:color w:val="auto"/>
          <w:szCs w:val="24"/>
        </w:rPr>
        <w:t>.</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7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340"/>
        <w:gridCol w:w="2520"/>
      </w:tblGrid>
      <w:tr w:rsidR="003C53E8" w:rsidRPr="003C53E8" w:rsidTr="002A78CC">
        <w:trPr>
          <w:jc w:val="center"/>
        </w:trPr>
        <w:tc>
          <w:tcPr>
            <w:tcW w:w="2430" w:type="dxa"/>
            <w:shd w:val="clear" w:color="auto" w:fill="D9D9D9" w:themeFill="background1" w:themeFillShade="D9"/>
          </w:tcPr>
          <w:p w:rsidR="003C53E8" w:rsidRPr="004C1065" w:rsidRDefault="003C53E8" w:rsidP="003C53E8">
            <w:pPr>
              <w:contextualSpacing/>
              <w:rPr>
                <w:rFonts w:eastAsia="Calibri" w:cs="Times New Roman"/>
                <w:color w:val="auto"/>
                <w:sz w:val="20"/>
              </w:rPr>
            </w:pPr>
            <w:r w:rsidRPr="004C1065">
              <w:rPr>
                <w:rFonts w:eastAsia="Calibri" w:cs="Times New Roman"/>
                <w:color w:val="auto"/>
                <w:sz w:val="20"/>
              </w:rPr>
              <w:t>Thoracolumbar ROM</w:t>
            </w:r>
          </w:p>
        </w:tc>
        <w:tc>
          <w:tcPr>
            <w:tcW w:w="2340" w:type="dxa"/>
            <w:shd w:val="clear" w:color="auto" w:fill="D9D9D9" w:themeFill="background1" w:themeFillShade="D9"/>
          </w:tcPr>
          <w:p w:rsidR="003C53E8" w:rsidRPr="004C1065" w:rsidRDefault="003C53E8" w:rsidP="002A78CC">
            <w:pPr>
              <w:contextualSpacing/>
              <w:rPr>
                <w:rFonts w:eastAsia="Calibri" w:cs="Times New Roman"/>
                <w:color w:val="auto"/>
                <w:sz w:val="20"/>
              </w:rPr>
            </w:pPr>
            <w:r w:rsidRPr="004C1065">
              <w:rPr>
                <w:rFonts w:eastAsia="Calibri" w:cs="Times New Roman"/>
                <w:color w:val="auto"/>
                <w:sz w:val="20"/>
              </w:rPr>
              <w:t xml:space="preserve">MEB – </w:t>
            </w:r>
            <w:r w:rsidR="002A78CC" w:rsidRPr="004C1065">
              <w:rPr>
                <w:rFonts w:eastAsia="Calibri" w:cs="Times New Roman"/>
                <w:color w:val="auto"/>
                <w:sz w:val="20"/>
              </w:rPr>
              <w:t>8</w:t>
            </w:r>
            <w:r w:rsidRPr="004C1065">
              <w:rPr>
                <w:rFonts w:eastAsia="Calibri" w:cs="Times New Roman"/>
                <w:color w:val="auto"/>
                <w:sz w:val="20"/>
              </w:rPr>
              <w:t xml:space="preserve"> Mo</w:t>
            </w:r>
            <w:r w:rsidR="002A78CC" w:rsidRPr="004C1065">
              <w:rPr>
                <w:rFonts w:eastAsia="Calibri" w:cs="Times New Roman"/>
                <w:color w:val="auto"/>
                <w:sz w:val="20"/>
              </w:rPr>
              <w:t>.</w:t>
            </w:r>
            <w:r w:rsidRPr="004C1065">
              <w:rPr>
                <w:rFonts w:eastAsia="Calibri" w:cs="Times New Roman"/>
                <w:color w:val="auto"/>
                <w:sz w:val="20"/>
              </w:rPr>
              <w:t xml:space="preserve"> Pre Sep</w:t>
            </w:r>
          </w:p>
        </w:tc>
        <w:tc>
          <w:tcPr>
            <w:tcW w:w="2520" w:type="dxa"/>
            <w:shd w:val="clear" w:color="auto" w:fill="D9D9D9" w:themeFill="background1" w:themeFillShade="D9"/>
          </w:tcPr>
          <w:p w:rsidR="003C53E8" w:rsidRPr="004C1065" w:rsidRDefault="003C53E8" w:rsidP="002A78CC">
            <w:pPr>
              <w:contextualSpacing/>
              <w:rPr>
                <w:rFonts w:eastAsiaTheme="minorHAnsi" w:cstheme="minorBidi"/>
                <w:color w:val="auto"/>
                <w:sz w:val="20"/>
              </w:rPr>
            </w:pPr>
            <w:r w:rsidRPr="004C1065">
              <w:rPr>
                <w:rFonts w:eastAsia="Calibri" w:cs="Times New Roman"/>
                <w:color w:val="auto"/>
                <w:sz w:val="20"/>
              </w:rPr>
              <w:t>VA</w:t>
            </w:r>
            <w:r w:rsidRPr="004C1065">
              <w:rPr>
                <w:rFonts w:eastAsiaTheme="minorHAnsi" w:cstheme="minorBidi"/>
                <w:color w:val="auto"/>
                <w:sz w:val="20"/>
              </w:rPr>
              <w:t xml:space="preserve"> C&amp;P –</w:t>
            </w:r>
            <w:r w:rsidR="002A78CC" w:rsidRPr="004C1065">
              <w:rPr>
                <w:rFonts w:eastAsiaTheme="minorHAnsi" w:cstheme="minorBidi"/>
                <w:color w:val="auto"/>
                <w:sz w:val="20"/>
              </w:rPr>
              <w:t>17 Days Pre</w:t>
            </w:r>
            <w:r w:rsidRPr="004C1065">
              <w:rPr>
                <w:rFonts w:eastAsiaTheme="minorHAnsi" w:cstheme="minorBidi"/>
                <w:color w:val="auto"/>
                <w:sz w:val="20"/>
              </w:rPr>
              <w:t xml:space="preserve"> Sep</w:t>
            </w:r>
          </w:p>
        </w:tc>
      </w:tr>
      <w:tr w:rsidR="003C53E8" w:rsidRPr="003C53E8" w:rsidTr="002A78CC">
        <w:trPr>
          <w:jc w:val="center"/>
        </w:trPr>
        <w:tc>
          <w:tcPr>
            <w:tcW w:w="2430" w:type="dxa"/>
          </w:tcPr>
          <w:p w:rsidR="003C53E8" w:rsidRPr="004C1065" w:rsidRDefault="003C53E8" w:rsidP="003C53E8">
            <w:pPr>
              <w:contextualSpacing/>
              <w:rPr>
                <w:rFonts w:eastAsia="Calibri" w:cs="Times New Roman"/>
                <w:color w:val="auto"/>
                <w:sz w:val="20"/>
              </w:rPr>
            </w:pPr>
            <w:r w:rsidRPr="004C1065">
              <w:rPr>
                <w:rFonts w:eastAsia="Calibri" w:cs="Times New Roman"/>
                <w:color w:val="auto"/>
                <w:sz w:val="20"/>
              </w:rPr>
              <w:t>Flexion 0-90⁰ normal</w:t>
            </w:r>
          </w:p>
        </w:tc>
        <w:tc>
          <w:tcPr>
            <w:tcW w:w="2340" w:type="dxa"/>
          </w:tcPr>
          <w:p w:rsidR="003C53E8" w:rsidRPr="004C1065" w:rsidRDefault="002A78CC" w:rsidP="003C53E8">
            <w:pPr>
              <w:contextualSpacing/>
              <w:rPr>
                <w:rFonts w:eastAsia="Calibri" w:cs="Times New Roman"/>
                <w:color w:val="auto"/>
                <w:sz w:val="20"/>
              </w:rPr>
            </w:pPr>
            <w:r w:rsidRPr="004C1065">
              <w:rPr>
                <w:rFonts w:eastAsia="Calibri" w:cs="Times New Roman"/>
                <w:color w:val="auto"/>
                <w:sz w:val="20"/>
              </w:rPr>
              <w:t>55</w:t>
            </w:r>
            <w:r w:rsidR="003C53E8" w:rsidRPr="004C1065">
              <w:rPr>
                <w:rFonts w:eastAsia="Calibri" w:cs="Times New Roman"/>
                <w:color w:val="auto"/>
                <w:sz w:val="20"/>
              </w:rPr>
              <w:t>⁰</w:t>
            </w:r>
          </w:p>
        </w:tc>
        <w:tc>
          <w:tcPr>
            <w:tcW w:w="2520" w:type="dxa"/>
          </w:tcPr>
          <w:p w:rsidR="003C53E8" w:rsidRPr="004C1065" w:rsidRDefault="002A78CC" w:rsidP="003C53E8">
            <w:pPr>
              <w:contextualSpacing/>
              <w:rPr>
                <w:rFonts w:eastAsia="Calibri" w:cs="Times New Roman"/>
                <w:color w:val="auto"/>
                <w:sz w:val="20"/>
              </w:rPr>
            </w:pPr>
            <w:r w:rsidRPr="004C1065">
              <w:rPr>
                <w:rFonts w:eastAsia="Calibri" w:cs="Times New Roman"/>
                <w:color w:val="auto"/>
                <w:sz w:val="20"/>
              </w:rPr>
              <w:t>45</w:t>
            </w:r>
            <w:r w:rsidR="003C53E8" w:rsidRPr="004C1065">
              <w:rPr>
                <w:rFonts w:eastAsia="Calibri" w:cs="Times New Roman"/>
                <w:color w:val="auto"/>
                <w:sz w:val="20"/>
              </w:rPr>
              <w:t>⁰</w:t>
            </w:r>
          </w:p>
        </w:tc>
      </w:tr>
      <w:tr w:rsidR="003C53E8" w:rsidRPr="003C53E8" w:rsidTr="002A78CC">
        <w:trPr>
          <w:jc w:val="center"/>
        </w:trPr>
        <w:tc>
          <w:tcPr>
            <w:tcW w:w="2430" w:type="dxa"/>
          </w:tcPr>
          <w:p w:rsidR="003C53E8" w:rsidRPr="004C1065" w:rsidRDefault="003C53E8" w:rsidP="003C53E8">
            <w:pPr>
              <w:contextualSpacing/>
              <w:rPr>
                <w:rFonts w:eastAsia="Calibri" w:cs="Times New Roman"/>
                <w:color w:val="auto"/>
                <w:sz w:val="20"/>
              </w:rPr>
            </w:pPr>
            <w:r w:rsidRPr="004C1065">
              <w:rPr>
                <w:rFonts w:eastAsia="Calibri" w:cs="Times New Roman"/>
                <w:color w:val="auto"/>
                <w:sz w:val="20"/>
              </w:rPr>
              <w:t>Combined 240⁰ normal</w:t>
            </w:r>
          </w:p>
        </w:tc>
        <w:tc>
          <w:tcPr>
            <w:tcW w:w="2340" w:type="dxa"/>
          </w:tcPr>
          <w:p w:rsidR="003C53E8" w:rsidRPr="004C1065" w:rsidRDefault="002A78CC" w:rsidP="003C53E8">
            <w:pPr>
              <w:contextualSpacing/>
              <w:rPr>
                <w:rFonts w:eastAsia="Calibri" w:cs="Times New Roman"/>
                <w:color w:val="auto"/>
                <w:sz w:val="20"/>
              </w:rPr>
            </w:pPr>
            <w:r w:rsidRPr="004C1065">
              <w:rPr>
                <w:rFonts w:eastAsia="Calibri" w:cs="Times New Roman"/>
                <w:color w:val="auto"/>
                <w:sz w:val="20"/>
              </w:rPr>
              <w:t>150</w:t>
            </w:r>
            <w:r w:rsidR="003C53E8" w:rsidRPr="004C1065">
              <w:rPr>
                <w:rFonts w:eastAsia="Calibri" w:cs="Times New Roman"/>
                <w:color w:val="auto"/>
                <w:sz w:val="20"/>
              </w:rPr>
              <w:t>⁰</w:t>
            </w:r>
          </w:p>
        </w:tc>
        <w:tc>
          <w:tcPr>
            <w:tcW w:w="2520" w:type="dxa"/>
          </w:tcPr>
          <w:p w:rsidR="003C53E8" w:rsidRPr="004C1065" w:rsidRDefault="002A78CC" w:rsidP="003C53E8">
            <w:pPr>
              <w:contextualSpacing/>
              <w:rPr>
                <w:rFonts w:eastAsia="Calibri" w:cs="Times New Roman"/>
                <w:color w:val="auto"/>
                <w:sz w:val="20"/>
              </w:rPr>
            </w:pPr>
            <w:r w:rsidRPr="004C1065">
              <w:rPr>
                <w:rFonts w:eastAsia="Calibri" w:cs="Times New Roman"/>
                <w:color w:val="auto"/>
                <w:sz w:val="20"/>
              </w:rPr>
              <w:t>170</w:t>
            </w:r>
            <w:r w:rsidR="003C53E8" w:rsidRPr="004C1065">
              <w:rPr>
                <w:rFonts w:eastAsia="Calibri" w:cs="Times New Roman"/>
                <w:color w:val="auto"/>
                <w:sz w:val="20"/>
              </w:rPr>
              <w:t>⁰</w:t>
            </w:r>
          </w:p>
        </w:tc>
      </w:tr>
      <w:tr w:rsidR="003C53E8" w:rsidRPr="003C53E8" w:rsidTr="002A78CC">
        <w:trPr>
          <w:jc w:val="center"/>
        </w:trPr>
        <w:tc>
          <w:tcPr>
            <w:tcW w:w="2430" w:type="dxa"/>
          </w:tcPr>
          <w:p w:rsidR="003C53E8" w:rsidRPr="004C1065" w:rsidRDefault="003C53E8" w:rsidP="003C53E8">
            <w:pPr>
              <w:tabs>
                <w:tab w:val="left" w:pos="288"/>
                <w:tab w:val="left" w:pos="4752"/>
              </w:tabs>
              <w:rPr>
                <w:rFonts w:asciiTheme="minorHAnsi" w:eastAsiaTheme="minorHAnsi" w:hAnsiTheme="minorHAnsi" w:cs="Times New Roman"/>
                <w:color w:val="auto"/>
                <w:sz w:val="20"/>
              </w:rPr>
            </w:pPr>
            <w:r w:rsidRPr="004C1065">
              <w:rPr>
                <w:rFonts w:asciiTheme="minorHAnsi" w:eastAsiaTheme="minorHAnsi" w:hAnsiTheme="minorHAnsi" w:cs="Times New Roman"/>
                <w:color w:val="auto"/>
                <w:sz w:val="20"/>
              </w:rPr>
              <w:t>Comments</w:t>
            </w:r>
          </w:p>
        </w:tc>
        <w:tc>
          <w:tcPr>
            <w:tcW w:w="2340" w:type="dxa"/>
          </w:tcPr>
          <w:p w:rsidR="003C53E8" w:rsidRPr="004C1065" w:rsidRDefault="009F07E9" w:rsidP="009F07E9">
            <w:pPr>
              <w:tabs>
                <w:tab w:val="left" w:pos="288"/>
                <w:tab w:val="left" w:pos="4752"/>
              </w:tabs>
              <w:rPr>
                <w:rFonts w:asciiTheme="minorHAnsi" w:eastAsiaTheme="minorHAnsi" w:hAnsiTheme="minorHAnsi" w:cs="Times New Roman"/>
                <w:color w:val="auto"/>
                <w:sz w:val="20"/>
              </w:rPr>
            </w:pPr>
            <w:r w:rsidRPr="004C1065">
              <w:rPr>
                <w:rFonts w:asciiTheme="minorHAnsi" w:eastAsiaTheme="minorHAnsi" w:hAnsiTheme="minorHAnsi" w:cs="Times New Roman"/>
                <w:color w:val="auto"/>
                <w:sz w:val="20"/>
              </w:rPr>
              <w:t>Normal gait, no spasm</w:t>
            </w:r>
          </w:p>
        </w:tc>
        <w:tc>
          <w:tcPr>
            <w:tcW w:w="2520" w:type="dxa"/>
          </w:tcPr>
          <w:p w:rsidR="003C53E8" w:rsidRPr="004C1065" w:rsidRDefault="003C53E8" w:rsidP="003C53E8">
            <w:pPr>
              <w:tabs>
                <w:tab w:val="left" w:pos="288"/>
                <w:tab w:val="left" w:pos="4752"/>
              </w:tabs>
              <w:rPr>
                <w:rFonts w:asciiTheme="minorHAnsi" w:eastAsiaTheme="minorHAnsi" w:hAnsiTheme="minorHAnsi" w:cs="Times New Roman"/>
                <w:color w:val="auto"/>
                <w:sz w:val="20"/>
              </w:rPr>
            </w:pPr>
          </w:p>
        </w:tc>
      </w:tr>
      <w:tr w:rsidR="003C53E8" w:rsidRPr="003C53E8" w:rsidTr="002A78CC">
        <w:trPr>
          <w:trHeight w:val="70"/>
          <w:jc w:val="center"/>
        </w:trPr>
        <w:tc>
          <w:tcPr>
            <w:tcW w:w="2430" w:type="dxa"/>
          </w:tcPr>
          <w:p w:rsidR="003C53E8" w:rsidRPr="004C1065" w:rsidRDefault="003C53E8" w:rsidP="003C53E8">
            <w:pPr>
              <w:tabs>
                <w:tab w:val="left" w:pos="288"/>
                <w:tab w:val="left" w:pos="4752"/>
              </w:tabs>
              <w:rPr>
                <w:rFonts w:asciiTheme="minorHAnsi" w:eastAsiaTheme="minorHAnsi" w:hAnsiTheme="minorHAnsi" w:cs="Times New Roman"/>
                <w:color w:val="auto"/>
                <w:sz w:val="20"/>
              </w:rPr>
            </w:pPr>
            <w:r w:rsidRPr="004C1065">
              <w:rPr>
                <w:rFonts w:asciiTheme="minorHAnsi" w:eastAsiaTheme="minorHAnsi" w:hAnsiTheme="minorHAnsi" w:cs="Times New Roman"/>
                <w:color w:val="auto"/>
                <w:sz w:val="20"/>
              </w:rPr>
              <w:t>§4.71a Rating</w:t>
            </w:r>
          </w:p>
        </w:tc>
        <w:tc>
          <w:tcPr>
            <w:tcW w:w="2340" w:type="dxa"/>
          </w:tcPr>
          <w:p w:rsidR="003C53E8" w:rsidRPr="004C1065" w:rsidRDefault="002A78CC" w:rsidP="003C53E8">
            <w:pPr>
              <w:tabs>
                <w:tab w:val="left" w:pos="288"/>
                <w:tab w:val="left" w:pos="4752"/>
              </w:tabs>
              <w:rPr>
                <w:rFonts w:asciiTheme="minorHAnsi" w:eastAsiaTheme="minorHAnsi" w:hAnsiTheme="minorHAnsi" w:cs="Times New Roman"/>
                <w:color w:val="auto"/>
                <w:sz w:val="20"/>
              </w:rPr>
            </w:pPr>
            <w:r w:rsidRPr="004C1065">
              <w:rPr>
                <w:rFonts w:asciiTheme="minorHAnsi" w:eastAsiaTheme="minorHAnsi" w:hAnsiTheme="minorHAnsi" w:cs="Times New Roman"/>
                <w:color w:val="auto"/>
                <w:sz w:val="20"/>
              </w:rPr>
              <w:t>20</w:t>
            </w:r>
            <w:r w:rsidR="003C53E8" w:rsidRPr="004C1065">
              <w:rPr>
                <w:rFonts w:asciiTheme="minorHAnsi" w:eastAsiaTheme="minorHAnsi" w:hAnsiTheme="minorHAnsi" w:cs="Times New Roman"/>
                <w:color w:val="auto"/>
                <w:sz w:val="20"/>
              </w:rPr>
              <w:t>%</w:t>
            </w:r>
          </w:p>
        </w:tc>
        <w:tc>
          <w:tcPr>
            <w:tcW w:w="2520" w:type="dxa"/>
          </w:tcPr>
          <w:p w:rsidR="003C53E8" w:rsidRPr="004C1065" w:rsidRDefault="002A78CC" w:rsidP="003C53E8">
            <w:pPr>
              <w:tabs>
                <w:tab w:val="left" w:pos="288"/>
                <w:tab w:val="left" w:pos="4752"/>
              </w:tabs>
              <w:rPr>
                <w:rFonts w:asciiTheme="minorHAnsi" w:eastAsiaTheme="minorHAnsi" w:hAnsiTheme="minorHAnsi" w:cs="Times New Roman"/>
                <w:color w:val="auto"/>
                <w:sz w:val="20"/>
              </w:rPr>
            </w:pPr>
            <w:r w:rsidRPr="004C1065">
              <w:rPr>
                <w:rFonts w:asciiTheme="minorHAnsi" w:eastAsiaTheme="minorHAnsi" w:hAnsiTheme="minorHAnsi" w:cs="Times New Roman"/>
                <w:color w:val="auto"/>
                <w:sz w:val="20"/>
              </w:rPr>
              <w:t>20</w:t>
            </w:r>
            <w:r w:rsidR="003C53E8" w:rsidRPr="004C1065">
              <w:rPr>
                <w:rFonts w:asciiTheme="minorHAnsi" w:eastAsiaTheme="minorHAnsi" w:hAnsiTheme="minorHAnsi" w:cs="Times New Roman"/>
                <w:color w:val="auto"/>
                <w:sz w:val="20"/>
              </w:rPr>
              <w:t>%</w:t>
            </w:r>
          </w:p>
        </w:tc>
      </w:tr>
    </w:tbl>
    <w:p w:rsidR="003C53E8" w:rsidRPr="003C53E8" w:rsidRDefault="003C53E8" w:rsidP="003C53E8">
      <w:pPr>
        <w:tabs>
          <w:tab w:val="left" w:pos="288"/>
          <w:tab w:val="left" w:pos="4752"/>
        </w:tabs>
        <w:jc w:val="left"/>
        <w:rPr>
          <w:rFonts w:asciiTheme="minorHAnsi" w:hAnsiTheme="minorHAnsi" w:cs="Times New Roman"/>
          <w:color w:val="auto"/>
          <w:szCs w:val="24"/>
        </w:rPr>
      </w:pPr>
    </w:p>
    <w:p w:rsidR="003C53E8" w:rsidRPr="003C53E8" w:rsidRDefault="00532779" w:rsidP="002504FD">
      <w:pPr>
        <w:tabs>
          <w:tab w:val="left" w:pos="288"/>
          <w:tab w:val="left" w:pos="4752"/>
        </w:tabs>
        <w:jc w:val="both"/>
        <w:rPr>
          <w:rFonts w:asciiTheme="minorHAnsi" w:hAnsiTheme="minorHAnsi" w:cs="Times New Roman"/>
          <w:color w:val="auto"/>
          <w:szCs w:val="24"/>
        </w:rPr>
      </w:pPr>
      <w:r>
        <w:rPr>
          <w:rFonts w:asciiTheme="minorHAnsi" w:hAnsiTheme="minorHAnsi" w:cs="Times New Roman"/>
          <w:color w:val="auto"/>
          <w:szCs w:val="24"/>
        </w:rPr>
        <w:t xml:space="preserve">The MEB examiner documented tenderness to palpation along the lower thoracic spine with prominent spine protrusions, particularly at T10.  </w:t>
      </w:r>
      <w:r w:rsidR="00E02B1B">
        <w:rPr>
          <w:rFonts w:asciiTheme="minorHAnsi" w:hAnsiTheme="minorHAnsi" w:cs="Times New Roman"/>
          <w:color w:val="auto"/>
          <w:szCs w:val="24"/>
        </w:rPr>
        <w:t xml:space="preserve">No spasm was noted.  </w:t>
      </w:r>
      <w:r>
        <w:rPr>
          <w:rFonts w:asciiTheme="minorHAnsi" w:hAnsiTheme="minorHAnsi" w:cs="Times New Roman"/>
          <w:color w:val="auto"/>
          <w:szCs w:val="24"/>
        </w:rPr>
        <w:t xml:space="preserve">There was kyphosis of the upper back and a slightly increased lordosis of the lumbar spine.  </w:t>
      </w:r>
      <w:r w:rsidR="00E02B1B">
        <w:rPr>
          <w:rFonts w:asciiTheme="minorHAnsi" w:hAnsiTheme="minorHAnsi" w:cs="Times New Roman"/>
          <w:color w:val="auto"/>
          <w:szCs w:val="24"/>
        </w:rPr>
        <w:t>ROM per the chart above showed</w:t>
      </w:r>
      <w:r w:rsidR="00FE30F3">
        <w:rPr>
          <w:rFonts w:asciiTheme="minorHAnsi" w:hAnsiTheme="minorHAnsi" w:cs="Times New Roman"/>
          <w:color w:val="auto"/>
          <w:szCs w:val="24"/>
        </w:rPr>
        <w:t xml:space="preserve"> moderately restricted flexion and combined motion that did not</w:t>
      </w:r>
      <w:r w:rsidR="00E02B1B">
        <w:rPr>
          <w:rFonts w:asciiTheme="minorHAnsi" w:hAnsiTheme="minorHAnsi" w:cs="Times New Roman"/>
          <w:color w:val="auto"/>
          <w:szCs w:val="24"/>
        </w:rPr>
        <w:t xml:space="preserve"> </w:t>
      </w:r>
      <w:r w:rsidR="00FE30F3">
        <w:rPr>
          <w:rFonts w:asciiTheme="minorHAnsi" w:hAnsiTheme="minorHAnsi" w:cs="Times New Roman"/>
          <w:color w:val="auto"/>
          <w:szCs w:val="24"/>
        </w:rPr>
        <w:t xml:space="preserve">change </w:t>
      </w:r>
      <w:r w:rsidR="00E02B1B">
        <w:rPr>
          <w:rFonts w:asciiTheme="minorHAnsi" w:hAnsiTheme="minorHAnsi" w:cs="Times New Roman"/>
          <w:color w:val="auto"/>
          <w:szCs w:val="24"/>
        </w:rPr>
        <w:t>significant</w:t>
      </w:r>
      <w:r w:rsidR="00FE30F3">
        <w:rPr>
          <w:rFonts w:asciiTheme="minorHAnsi" w:hAnsiTheme="minorHAnsi" w:cs="Times New Roman"/>
          <w:color w:val="auto"/>
          <w:szCs w:val="24"/>
        </w:rPr>
        <w:t>ly</w:t>
      </w:r>
      <w:r w:rsidR="00E02B1B">
        <w:rPr>
          <w:rFonts w:asciiTheme="minorHAnsi" w:hAnsiTheme="minorHAnsi" w:cs="Times New Roman"/>
          <w:color w:val="auto"/>
          <w:szCs w:val="24"/>
        </w:rPr>
        <w:t xml:space="preserve"> with repetitions.  Neurologic exam of the lower extremities was normal for motor, sensory and spinal reflexes.  The CI’s gait was normal.  Imaging studies showed</w:t>
      </w:r>
      <w:r w:rsidR="00E02B1B" w:rsidRPr="00E02B1B">
        <w:rPr>
          <w:rFonts w:asciiTheme="minorHAnsi" w:hAnsiTheme="minorHAnsi" w:cs="Times New Roman"/>
          <w:color w:val="auto"/>
          <w:szCs w:val="24"/>
        </w:rPr>
        <w:t xml:space="preserve"> </w:t>
      </w:r>
      <w:r w:rsidR="00E02B1B">
        <w:rPr>
          <w:rFonts w:asciiTheme="minorHAnsi" w:hAnsiTheme="minorHAnsi" w:cs="Times New Roman"/>
          <w:color w:val="auto"/>
          <w:szCs w:val="24"/>
        </w:rPr>
        <w:t xml:space="preserve">a </w:t>
      </w:r>
      <w:r w:rsidR="00E02B1B" w:rsidRPr="00E02B1B">
        <w:rPr>
          <w:rFonts w:asciiTheme="minorHAnsi" w:hAnsiTheme="minorHAnsi" w:cs="Times New Roman"/>
          <w:color w:val="auto"/>
          <w:szCs w:val="24"/>
        </w:rPr>
        <w:t xml:space="preserve">T10 compression fracture with approximately 60 percent </w:t>
      </w:r>
      <w:r w:rsidR="00E02B1B">
        <w:rPr>
          <w:rFonts w:asciiTheme="minorHAnsi" w:hAnsiTheme="minorHAnsi" w:cs="Times New Roman"/>
          <w:color w:val="auto"/>
          <w:szCs w:val="24"/>
        </w:rPr>
        <w:t>a</w:t>
      </w:r>
      <w:r w:rsidR="00E02B1B" w:rsidRPr="00E02B1B">
        <w:rPr>
          <w:rFonts w:asciiTheme="minorHAnsi" w:hAnsiTheme="minorHAnsi" w:cs="Times New Roman"/>
          <w:color w:val="auto"/>
          <w:szCs w:val="24"/>
        </w:rPr>
        <w:t>nterior</w:t>
      </w:r>
      <w:r w:rsidR="00E02B1B">
        <w:rPr>
          <w:rFonts w:asciiTheme="minorHAnsi" w:hAnsiTheme="minorHAnsi" w:cs="Times New Roman"/>
          <w:color w:val="auto"/>
          <w:szCs w:val="24"/>
        </w:rPr>
        <w:t xml:space="preserve"> </w:t>
      </w:r>
      <w:r w:rsidR="00E02B1B" w:rsidRPr="00E02B1B">
        <w:rPr>
          <w:rFonts w:asciiTheme="minorHAnsi" w:hAnsiTheme="minorHAnsi" w:cs="Times New Roman"/>
          <w:color w:val="auto"/>
          <w:szCs w:val="24"/>
        </w:rPr>
        <w:t xml:space="preserve">vertebral body </w:t>
      </w:r>
      <w:proofErr w:type="spellStart"/>
      <w:r w:rsidR="00E02B1B" w:rsidRPr="00E02B1B">
        <w:rPr>
          <w:rFonts w:asciiTheme="minorHAnsi" w:hAnsiTheme="minorHAnsi" w:cs="Times New Roman"/>
          <w:color w:val="auto"/>
          <w:szCs w:val="24"/>
        </w:rPr>
        <w:t>height</w:t>
      </w:r>
      <w:proofErr w:type="spellEnd"/>
      <w:r w:rsidR="00E02B1B" w:rsidRPr="00E02B1B">
        <w:rPr>
          <w:rFonts w:asciiTheme="minorHAnsi" w:hAnsiTheme="minorHAnsi" w:cs="Times New Roman"/>
          <w:color w:val="auto"/>
          <w:szCs w:val="24"/>
        </w:rPr>
        <w:t xml:space="preserve"> loss without </w:t>
      </w:r>
      <w:proofErr w:type="spellStart"/>
      <w:r w:rsidR="00E02B1B" w:rsidRPr="00E02B1B">
        <w:rPr>
          <w:rFonts w:asciiTheme="minorHAnsi" w:hAnsiTheme="minorHAnsi" w:cs="Times New Roman"/>
          <w:color w:val="auto"/>
          <w:szCs w:val="24"/>
        </w:rPr>
        <w:t>retropulsed</w:t>
      </w:r>
      <w:proofErr w:type="spellEnd"/>
      <w:r w:rsidR="00E02B1B" w:rsidRPr="00E02B1B">
        <w:rPr>
          <w:rFonts w:asciiTheme="minorHAnsi" w:hAnsiTheme="minorHAnsi" w:cs="Times New Roman"/>
          <w:color w:val="auto"/>
          <w:szCs w:val="24"/>
        </w:rPr>
        <w:t xml:space="preserve"> fragment</w:t>
      </w:r>
      <w:r w:rsidR="00E02B1B">
        <w:rPr>
          <w:rFonts w:asciiTheme="minorHAnsi" w:hAnsiTheme="minorHAnsi" w:cs="Times New Roman"/>
          <w:color w:val="auto"/>
          <w:szCs w:val="24"/>
        </w:rPr>
        <w:t>s</w:t>
      </w:r>
      <w:r w:rsidR="00E02B1B" w:rsidRPr="00E02B1B">
        <w:rPr>
          <w:rFonts w:asciiTheme="minorHAnsi" w:hAnsiTheme="minorHAnsi" w:cs="Times New Roman"/>
          <w:color w:val="auto"/>
          <w:szCs w:val="24"/>
        </w:rPr>
        <w:t>.</w:t>
      </w:r>
      <w:r w:rsidR="00927006">
        <w:rPr>
          <w:rFonts w:asciiTheme="minorHAnsi" w:hAnsiTheme="minorHAnsi" w:cs="Times New Roman"/>
          <w:color w:val="auto"/>
          <w:szCs w:val="24"/>
        </w:rPr>
        <w:t xml:space="preserve">  </w:t>
      </w:r>
      <w:r w:rsidR="00E02B1B">
        <w:rPr>
          <w:rFonts w:asciiTheme="minorHAnsi" w:hAnsiTheme="minorHAnsi" w:cs="Times New Roman"/>
          <w:color w:val="auto"/>
          <w:szCs w:val="24"/>
        </w:rPr>
        <w:t>At t</w:t>
      </w:r>
      <w:r w:rsidR="00E02B1B" w:rsidRPr="00E02B1B">
        <w:rPr>
          <w:rFonts w:asciiTheme="minorHAnsi" w:hAnsiTheme="minorHAnsi" w:cs="Times New Roman"/>
          <w:color w:val="auto"/>
          <w:szCs w:val="24"/>
        </w:rPr>
        <w:t>he</w:t>
      </w:r>
      <w:r w:rsidR="00E02B1B">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VA Compensation &amp; Pension (C&amp;P) exam</w:t>
      </w:r>
      <w:r w:rsidR="00E02B1B">
        <w:rPr>
          <w:rFonts w:asciiTheme="minorHAnsi" w:hAnsiTheme="minorHAnsi" w:cs="Times New Roman"/>
          <w:color w:val="auto"/>
          <w:szCs w:val="24"/>
        </w:rPr>
        <w:t xml:space="preserve"> just prior to separation the CI reported no trauma to his back prior to the fall while deployed.  </w:t>
      </w:r>
      <w:r w:rsidR="00FE30F3">
        <w:rPr>
          <w:rFonts w:asciiTheme="minorHAnsi" w:hAnsiTheme="minorHAnsi" w:cs="Times New Roman"/>
          <w:color w:val="auto"/>
          <w:szCs w:val="24"/>
        </w:rPr>
        <w:t>The examiner noted a normal gait and</w:t>
      </w:r>
      <w:r w:rsidR="00FE30F3" w:rsidRPr="00FE30F3">
        <w:rPr>
          <w:rFonts w:asciiTheme="minorHAnsi" w:hAnsiTheme="minorHAnsi" w:cs="Times New Roman"/>
          <w:color w:val="auto"/>
          <w:szCs w:val="24"/>
        </w:rPr>
        <w:t xml:space="preserve"> </w:t>
      </w:r>
      <w:r w:rsidR="00FE30F3">
        <w:rPr>
          <w:rFonts w:asciiTheme="minorHAnsi" w:hAnsiTheme="minorHAnsi" w:cs="Times New Roman"/>
          <w:color w:val="auto"/>
          <w:szCs w:val="24"/>
        </w:rPr>
        <w:t>recorded</w:t>
      </w:r>
      <w:r w:rsidR="00FE30F3" w:rsidRPr="00FE30F3">
        <w:rPr>
          <w:rFonts w:asciiTheme="minorHAnsi" w:hAnsiTheme="minorHAnsi" w:cs="Times New Roman"/>
          <w:color w:val="auto"/>
          <w:szCs w:val="24"/>
        </w:rPr>
        <w:t xml:space="preserve"> mild-to-moderate </w:t>
      </w:r>
      <w:proofErr w:type="spellStart"/>
      <w:r w:rsidR="00FE30F3" w:rsidRPr="00FE30F3">
        <w:rPr>
          <w:rFonts w:asciiTheme="minorHAnsi" w:hAnsiTheme="minorHAnsi" w:cs="Times New Roman"/>
          <w:color w:val="auto"/>
          <w:szCs w:val="24"/>
        </w:rPr>
        <w:t>paraspinal</w:t>
      </w:r>
      <w:proofErr w:type="spellEnd"/>
      <w:r w:rsidR="00FE30F3" w:rsidRPr="00FE30F3">
        <w:rPr>
          <w:rFonts w:asciiTheme="minorHAnsi" w:hAnsiTheme="minorHAnsi" w:cs="Times New Roman"/>
          <w:color w:val="auto"/>
          <w:szCs w:val="24"/>
        </w:rPr>
        <w:t xml:space="preserve"> muscular</w:t>
      </w:r>
      <w:r w:rsidR="00FE30F3">
        <w:rPr>
          <w:rFonts w:asciiTheme="minorHAnsi" w:hAnsiTheme="minorHAnsi" w:cs="Times New Roman"/>
          <w:color w:val="auto"/>
          <w:szCs w:val="24"/>
        </w:rPr>
        <w:t xml:space="preserve"> </w:t>
      </w:r>
      <w:r w:rsidR="00FE30F3" w:rsidRPr="00FE30F3">
        <w:rPr>
          <w:rFonts w:asciiTheme="minorHAnsi" w:hAnsiTheme="minorHAnsi" w:cs="Times New Roman"/>
          <w:color w:val="auto"/>
          <w:szCs w:val="24"/>
        </w:rPr>
        <w:t xml:space="preserve">tension </w:t>
      </w:r>
      <w:r w:rsidR="00FE30F3">
        <w:rPr>
          <w:rFonts w:asciiTheme="minorHAnsi" w:hAnsiTheme="minorHAnsi" w:cs="Times New Roman"/>
          <w:color w:val="auto"/>
          <w:szCs w:val="24"/>
        </w:rPr>
        <w:t>bilaterally in the tho</w:t>
      </w:r>
      <w:r w:rsidR="00110614">
        <w:rPr>
          <w:rFonts w:asciiTheme="minorHAnsi" w:hAnsiTheme="minorHAnsi" w:cs="Times New Roman"/>
          <w:color w:val="auto"/>
          <w:szCs w:val="24"/>
        </w:rPr>
        <w:t>r</w:t>
      </w:r>
      <w:r w:rsidR="00FE30F3">
        <w:rPr>
          <w:rFonts w:asciiTheme="minorHAnsi" w:hAnsiTheme="minorHAnsi" w:cs="Times New Roman"/>
          <w:color w:val="auto"/>
          <w:szCs w:val="24"/>
        </w:rPr>
        <w:t>acic spine without tenderness.  ROM measurements showed similarly restricted motion and no change with repetitions.  The motor and sensory exams were again normal.</w:t>
      </w:r>
      <w:r w:rsidR="00927006">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The PEB and VA chose different coding options for the condition, but this did not bear on rating.  </w:t>
      </w:r>
      <w:r w:rsidR="00FE30F3">
        <w:rPr>
          <w:rFonts w:asciiTheme="minorHAnsi" w:hAnsiTheme="minorHAnsi" w:cs="Times New Roman"/>
          <w:color w:val="auto"/>
          <w:szCs w:val="24"/>
        </w:rPr>
        <w:t>Both t</w:t>
      </w:r>
      <w:r w:rsidR="00FE30F3" w:rsidRPr="003C53E8">
        <w:rPr>
          <w:rFonts w:asciiTheme="minorHAnsi" w:hAnsiTheme="minorHAnsi" w:cs="Times New Roman"/>
          <w:color w:val="auto"/>
          <w:szCs w:val="24"/>
        </w:rPr>
        <w:t>he PEB and VA</w:t>
      </w:r>
      <w:r w:rsidR="00FE30F3">
        <w:rPr>
          <w:rFonts w:asciiTheme="minorHAnsi" w:hAnsiTheme="minorHAnsi" w:cs="Times New Roman"/>
          <w:color w:val="auto"/>
          <w:szCs w:val="24"/>
        </w:rPr>
        <w:t xml:space="preserve"> </w:t>
      </w:r>
      <w:r w:rsidR="00467ABA">
        <w:rPr>
          <w:rFonts w:asciiTheme="minorHAnsi" w:hAnsiTheme="minorHAnsi" w:cs="Times New Roman"/>
          <w:color w:val="auto"/>
          <w:szCs w:val="24"/>
        </w:rPr>
        <w:t xml:space="preserve">employed the </w:t>
      </w:r>
      <w:r w:rsidR="00467ABA" w:rsidRPr="00467ABA">
        <w:rPr>
          <w:rFonts w:asciiTheme="minorHAnsi" w:hAnsiTheme="minorHAnsi" w:cs="Times New Roman"/>
          <w:color w:val="auto"/>
          <w:szCs w:val="24"/>
        </w:rPr>
        <w:t>General Rating Formula for Diseases and Injuries of the Spine</w:t>
      </w:r>
      <w:r w:rsidR="00467ABA">
        <w:rPr>
          <w:rFonts w:asciiTheme="minorHAnsi" w:hAnsiTheme="minorHAnsi" w:cs="Times New Roman"/>
          <w:color w:val="auto"/>
          <w:szCs w:val="24"/>
        </w:rPr>
        <w:t xml:space="preserve"> to arrive at a 20% rating for the very similar ratable parameters in the MEB and C&amp;P exams.  The VA initially conferred an additional 10% rating for the vertebral compression fracture, but later recognized the error and decreased the CI’s r</w:t>
      </w:r>
      <w:r w:rsidR="0008418E">
        <w:rPr>
          <w:rFonts w:asciiTheme="minorHAnsi" w:hAnsiTheme="minorHAnsi" w:cs="Times New Roman"/>
          <w:color w:val="auto"/>
          <w:szCs w:val="24"/>
        </w:rPr>
        <w:t xml:space="preserve">atings accordingly.  </w:t>
      </w:r>
      <w:r w:rsidR="003C53E8" w:rsidRPr="003C53E8">
        <w:rPr>
          <w:rFonts w:asciiTheme="minorHAnsi" w:hAnsiTheme="minorHAnsi" w:cs="Times New Roman"/>
          <w:color w:val="auto"/>
          <w:szCs w:val="24"/>
        </w:rPr>
        <w:t>There was no evidence of ratable peripheral nerve impairment or documentation of incapacitating episodes which would provide for additional or higher rating.</w:t>
      </w:r>
      <w:r w:rsidR="00467ABA" w:rsidRPr="00467ABA">
        <w:rPr>
          <w:rFonts w:asciiTheme="minorHAnsi" w:hAnsiTheme="minorHAnsi" w:cs="Times New Roman"/>
          <w:color w:val="auto"/>
          <w:szCs w:val="24"/>
        </w:rPr>
        <w:t xml:space="preserve"> </w:t>
      </w:r>
      <w:r w:rsidR="00467ABA">
        <w:rPr>
          <w:rFonts w:asciiTheme="minorHAnsi" w:hAnsiTheme="minorHAnsi" w:cs="Times New Roman"/>
          <w:color w:val="auto"/>
          <w:szCs w:val="24"/>
        </w:rPr>
        <w:t xml:space="preserve"> </w:t>
      </w:r>
      <w:r w:rsidR="00467ABA" w:rsidRPr="003C53E8">
        <w:rPr>
          <w:rFonts w:asciiTheme="minorHAnsi" w:hAnsiTheme="minorHAnsi" w:cs="Times New Roman"/>
          <w:color w:val="auto"/>
          <w:szCs w:val="24"/>
        </w:rPr>
        <w:t>All evidence considered</w:t>
      </w:r>
      <w:proofErr w:type="gramStart"/>
      <w:r w:rsidR="00467ABA" w:rsidRPr="003C53E8">
        <w:rPr>
          <w:rFonts w:asciiTheme="minorHAnsi" w:hAnsiTheme="minorHAnsi" w:cs="Times New Roman"/>
          <w:color w:val="auto"/>
          <w:szCs w:val="24"/>
        </w:rPr>
        <w:t>,</w:t>
      </w:r>
      <w:proofErr w:type="gramEnd"/>
      <w:r w:rsidR="00467ABA" w:rsidRPr="003C53E8">
        <w:rPr>
          <w:rFonts w:asciiTheme="minorHAnsi" w:hAnsiTheme="minorHAnsi" w:cs="Times New Roman"/>
          <w:color w:val="auto"/>
          <w:szCs w:val="24"/>
        </w:rPr>
        <w:t xml:space="preserve"> there is not reasonable doubt in the CI’s favor supporting a change from the PEB’s rating decision for the </w:t>
      </w:r>
      <w:r w:rsidR="00467ABA">
        <w:rPr>
          <w:rFonts w:asciiTheme="minorHAnsi" w:hAnsiTheme="minorHAnsi" w:cs="Times New Roman"/>
          <w:color w:val="auto"/>
          <w:szCs w:val="24"/>
        </w:rPr>
        <w:t>back pain</w:t>
      </w:r>
      <w:r w:rsidR="00467ABA" w:rsidRPr="003C53E8">
        <w:rPr>
          <w:rFonts w:asciiTheme="minorHAnsi" w:hAnsiTheme="minorHAnsi" w:cs="Times New Roman"/>
          <w:color w:val="auto"/>
          <w:szCs w:val="24"/>
        </w:rPr>
        <w:t xml:space="preserve"> condition.</w:t>
      </w:r>
    </w:p>
    <w:p w:rsidR="00990FD6" w:rsidRDefault="00990FD6" w:rsidP="00BF0E94">
      <w:pPr>
        <w:jc w:val="left"/>
        <w:rPr>
          <w:rFonts w:eastAsia="HiddenHorzOCR"/>
          <w:color w:val="000000" w:themeColor="text1"/>
          <w:szCs w:val="24"/>
          <w:u w:val="single"/>
        </w:rPr>
      </w:pPr>
    </w:p>
    <w:p w:rsidR="007B1D23" w:rsidRDefault="007B1D23" w:rsidP="002504FD">
      <w:pPr>
        <w:jc w:val="both"/>
        <w:rPr>
          <w:color w:val="000000" w:themeColor="text1"/>
          <w:szCs w:val="24"/>
        </w:rPr>
      </w:pPr>
      <w:proofErr w:type="gramStart"/>
      <w:r>
        <w:rPr>
          <w:color w:val="000000" w:themeColor="text1"/>
          <w:szCs w:val="24"/>
          <w:u w:val="single"/>
        </w:rPr>
        <w:t>Hearing Loss</w:t>
      </w:r>
      <w:r w:rsidRPr="009F07E9">
        <w:rPr>
          <w:color w:val="000000" w:themeColor="text1"/>
          <w:szCs w:val="24"/>
          <w:u w:val="single"/>
        </w:rPr>
        <w:t xml:space="preserve"> Condition</w:t>
      </w:r>
      <w:r w:rsidRPr="009F07E9">
        <w:rPr>
          <w:color w:val="000000" w:themeColor="text1"/>
          <w:szCs w:val="24"/>
        </w:rPr>
        <w:t>.</w:t>
      </w:r>
      <w:proofErr w:type="gramEnd"/>
      <w:r w:rsidRPr="009F07E9">
        <w:rPr>
          <w:color w:val="000000" w:themeColor="text1"/>
          <w:szCs w:val="24"/>
        </w:rPr>
        <w:t xml:space="preserve">  The</w:t>
      </w:r>
      <w:r w:rsidR="00AD0A31">
        <w:rPr>
          <w:color w:val="000000" w:themeColor="text1"/>
          <w:szCs w:val="24"/>
        </w:rPr>
        <w:t xml:space="preserve"> CI exhibited moderate hearing loss, left worse than right, on his induction physical.  His hearing impairment worsened markedly during his time in service.  He was prescribed bilateral hearing aids and issued a permanent H3 profile proscribing exposure to noise above 85 dB without proper hearing protection.  </w:t>
      </w:r>
      <w:r w:rsidR="00AD0A31" w:rsidRPr="009F07E9">
        <w:rPr>
          <w:color w:val="000000" w:themeColor="text1"/>
          <w:szCs w:val="24"/>
        </w:rPr>
        <w:t xml:space="preserve">There were </w:t>
      </w:r>
      <w:r w:rsidR="004C1065">
        <w:rPr>
          <w:color w:val="000000" w:themeColor="text1"/>
          <w:szCs w:val="24"/>
        </w:rPr>
        <w:t>two</w:t>
      </w:r>
      <w:r w:rsidR="00AD0A31">
        <w:rPr>
          <w:color w:val="000000" w:themeColor="text1"/>
          <w:szCs w:val="24"/>
        </w:rPr>
        <w:t xml:space="preserve"> audiogram evaluations in evidence</w:t>
      </w:r>
      <w:r w:rsidR="00AD0A31" w:rsidRPr="009F07E9">
        <w:rPr>
          <w:color w:val="000000" w:themeColor="text1"/>
          <w:szCs w:val="24"/>
        </w:rPr>
        <w:t xml:space="preserve"> which the Board weighed in arriving at its rating recommendation</w:t>
      </w:r>
      <w:r w:rsidR="00AD0A31" w:rsidRPr="009F07E9">
        <w:rPr>
          <w:rFonts w:asciiTheme="minorHAnsi" w:hAnsiTheme="minorHAnsi" w:cs="Times New Roman"/>
          <w:color w:val="auto"/>
          <w:szCs w:val="24"/>
        </w:rPr>
        <w:t>.</w:t>
      </w:r>
    </w:p>
    <w:p w:rsidR="007B1D23" w:rsidRDefault="007B1D23" w:rsidP="00BF0E94">
      <w:pPr>
        <w:jc w:val="left"/>
        <w:rPr>
          <w:color w:val="000000" w:themeColor="text1"/>
          <w:szCs w:val="24"/>
        </w:rPr>
      </w:pPr>
    </w:p>
    <w:tbl>
      <w:tblPr>
        <w:tblpPr w:leftFromText="180" w:rightFromText="180" w:vertAnchor="text" w:tblpXSpec="center" w:tblpY="1"/>
        <w:tblOverlap w:val="never"/>
        <w:tblW w:w="7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278"/>
        <w:gridCol w:w="1260"/>
        <w:gridCol w:w="1170"/>
        <w:gridCol w:w="1350"/>
      </w:tblGrid>
      <w:tr w:rsidR="009C329D" w:rsidRPr="00A42955" w:rsidTr="001F24F6">
        <w:tc>
          <w:tcPr>
            <w:tcW w:w="1980" w:type="dxa"/>
            <w:shd w:val="clear" w:color="auto" w:fill="D9D9D9"/>
            <w:vAlign w:val="center"/>
          </w:tcPr>
          <w:p w:rsidR="009C329D" w:rsidRPr="00A42955" w:rsidRDefault="009C329D" w:rsidP="001F24F6">
            <w:pPr>
              <w:rPr>
                <w:color w:val="000000" w:themeColor="text1"/>
                <w:szCs w:val="24"/>
              </w:rPr>
            </w:pPr>
            <w:r w:rsidRPr="00A42955">
              <w:rPr>
                <w:color w:val="000000" w:themeColor="text1"/>
                <w:szCs w:val="24"/>
              </w:rPr>
              <w:t>Audiometer HZ</w:t>
            </w:r>
          </w:p>
        </w:tc>
        <w:tc>
          <w:tcPr>
            <w:tcW w:w="2538" w:type="dxa"/>
            <w:gridSpan w:val="2"/>
            <w:shd w:val="clear" w:color="auto" w:fill="D9D9D9"/>
            <w:vAlign w:val="center"/>
          </w:tcPr>
          <w:p w:rsidR="009C329D" w:rsidRPr="00A42955" w:rsidRDefault="009C329D" w:rsidP="007E5929">
            <w:pPr>
              <w:rPr>
                <w:color w:val="000000" w:themeColor="text1"/>
                <w:szCs w:val="24"/>
              </w:rPr>
            </w:pPr>
            <w:r>
              <w:rPr>
                <w:color w:val="000000" w:themeColor="text1"/>
                <w:szCs w:val="24"/>
              </w:rPr>
              <w:t xml:space="preserve">MEB ~ </w:t>
            </w:r>
            <w:r w:rsidR="007E5929">
              <w:rPr>
                <w:color w:val="000000" w:themeColor="text1"/>
                <w:szCs w:val="24"/>
              </w:rPr>
              <w:t xml:space="preserve">11 </w:t>
            </w:r>
            <w:proofErr w:type="spellStart"/>
            <w:r w:rsidRPr="00A42955">
              <w:rPr>
                <w:color w:val="000000" w:themeColor="text1"/>
                <w:szCs w:val="24"/>
              </w:rPr>
              <w:t>mos</w:t>
            </w:r>
            <w:proofErr w:type="spellEnd"/>
            <w:r w:rsidRPr="00A42955">
              <w:rPr>
                <w:color w:val="000000" w:themeColor="text1"/>
                <w:szCs w:val="24"/>
              </w:rPr>
              <w:t xml:space="preserve"> Pre-Sep</w:t>
            </w:r>
          </w:p>
        </w:tc>
        <w:tc>
          <w:tcPr>
            <w:tcW w:w="2520" w:type="dxa"/>
            <w:gridSpan w:val="2"/>
            <w:shd w:val="clear" w:color="auto" w:fill="D9D9D9"/>
            <w:vAlign w:val="center"/>
          </w:tcPr>
          <w:p w:rsidR="009C329D" w:rsidRPr="00A42955" w:rsidRDefault="009C329D" w:rsidP="001F24F6">
            <w:pPr>
              <w:rPr>
                <w:color w:val="000000" w:themeColor="text1"/>
                <w:szCs w:val="24"/>
              </w:rPr>
            </w:pPr>
            <w:r>
              <w:rPr>
                <w:color w:val="000000" w:themeColor="text1"/>
                <w:szCs w:val="24"/>
              </w:rPr>
              <w:t xml:space="preserve">C&amp;P 3 Days </w:t>
            </w:r>
            <w:r w:rsidRPr="00A42955">
              <w:rPr>
                <w:color w:val="000000" w:themeColor="text1"/>
                <w:szCs w:val="24"/>
              </w:rPr>
              <w:t>Pre-Sep</w:t>
            </w:r>
          </w:p>
        </w:tc>
      </w:tr>
      <w:tr w:rsidR="009C329D" w:rsidRPr="00A42955" w:rsidTr="001F24F6">
        <w:tc>
          <w:tcPr>
            <w:tcW w:w="1980" w:type="dxa"/>
            <w:vAlign w:val="center"/>
          </w:tcPr>
          <w:p w:rsidR="009C329D" w:rsidRPr="00A42955" w:rsidRDefault="009C329D" w:rsidP="00E41BE4">
            <w:pPr>
              <w:jc w:val="left"/>
              <w:rPr>
                <w:color w:val="000000" w:themeColor="text1"/>
                <w:szCs w:val="24"/>
              </w:rPr>
            </w:pPr>
          </w:p>
        </w:tc>
        <w:tc>
          <w:tcPr>
            <w:tcW w:w="1278" w:type="dxa"/>
            <w:vAlign w:val="center"/>
          </w:tcPr>
          <w:p w:rsidR="009C329D" w:rsidRPr="00A42955" w:rsidRDefault="009C329D" w:rsidP="00E41BE4">
            <w:pPr>
              <w:rPr>
                <w:color w:val="000000" w:themeColor="text1"/>
                <w:szCs w:val="24"/>
              </w:rPr>
            </w:pPr>
            <w:r>
              <w:rPr>
                <w:color w:val="000000" w:themeColor="text1"/>
                <w:szCs w:val="24"/>
              </w:rPr>
              <w:t>Left</w:t>
            </w:r>
            <w:r w:rsidR="001F24F6">
              <w:rPr>
                <w:color w:val="000000" w:themeColor="text1"/>
                <w:szCs w:val="24"/>
              </w:rPr>
              <w:t xml:space="preserve"> (dB)</w:t>
            </w:r>
          </w:p>
        </w:tc>
        <w:tc>
          <w:tcPr>
            <w:tcW w:w="1260" w:type="dxa"/>
            <w:vAlign w:val="center"/>
          </w:tcPr>
          <w:p w:rsidR="009C329D" w:rsidRPr="00A42955" w:rsidRDefault="009C329D" w:rsidP="00E41BE4">
            <w:pPr>
              <w:rPr>
                <w:color w:val="000000" w:themeColor="text1"/>
                <w:szCs w:val="24"/>
              </w:rPr>
            </w:pPr>
            <w:r>
              <w:rPr>
                <w:color w:val="000000" w:themeColor="text1"/>
                <w:szCs w:val="24"/>
              </w:rPr>
              <w:t>Right</w:t>
            </w:r>
            <w:r w:rsidR="001F24F6">
              <w:rPr>
                <w:color w:val="000000" w:themeColor="text1"/>
                <w:szCs w:val="24"/>
              </w:rPr>
              <w:t xml:space="preserve"> (dB)</w:t>
            </w:r>
          </w:p>
        </w:tc>
        <w:tc>
          <w:tcPr>
            <w:tcW w:w="1170" w:type="dxa"/>
            <w:vAlign w:val="center"/>
          </w:tcPr>
          <w:p w:rsidR="009C329D" w:rsidRPr="00A42955" w:rsidRDefault="009C329D" w:rsidP="00E41BE4">
            <w:pPr>
              <w:rPr>
                <w:color w:val="000000" w:themeColor="text1"/>
                <w:szCs w:val="24"/>
              </w:rPr>
            </w:pPr>
            <w:r>
              <w:rPr>
                <w:color w:val="000000" w:themeColor="text1"/>
                <w:szCs w:val="24"/>
              </w:rPr>
              <w:t>Left</w:t>
            </w:r>
            <w:r w:rsidR="001F24F6">
              <w:rPr>
                <w:color w:val="000000" w:themeColor="text1"/>
                <w:szCs w:val="24"/>
              </w:rPr>
              <w:t xml:space="preserve"> (dB)</w:t>
            </w:r>
          </w:p>
        </w:tc>
        <w:tc>
          <w:tcPr>
            <w:tcW w:w="1350" w:type="dxa"/>
            <w:vAlign w:val="center"/>
          </w:tcPr>
          <w:p w:rsidR="009C329D" w:rsidRPr="00A42955" w:rsidRDefault="009C329D" w:rsidP="00E41BE4">
            <w:pPr>
              <w:rPr>
                <w:color w:val="000000" w:themeColor="text1"/>
                <w:szCs w:val="24"/>
              </w:rPr>
            </w:pPr>
            <w:r>
              <w:rPr>
                <w:color w:val="000000" w:themeColor="text1"/>
                <w:szCs w:val="24"/>
              </w:rPr>
              <w:t>Right</w:t>
            </w:r>
            <w:r w:rsidR="001F24F6">
              <w:rPr>
                <w:color w:val="000000" w:themeColor="text1"/>
                <w:szCs w:val="24"/>
              </w:rPr>
              <w:t xml:space="preserve"> (dB)</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500</w:t>
            </w:r>
          </w:p>
        </w:tc>
        <w:tc>
          <w:tcPr>
            <w:tcW w:w="1278" w:type="dxa"/>
            <w:vAlign w:val="center"/>
          </w:tcPr>
          <w:p w:rsidR="009C329D" w:rsidRPr="00A42955" w:rsidRDefault="009C329D" w:rsidP="00E41BE4">
            <w:pPr>
              <w:rPr>
                <w:color w:val="000000" w:themeColor="text1"/>
                <w:szCs w:val="24"/>
              </w:rPr>
            </w:pPr>
            <w:r>
              <w:rPr>
                <w:color w:val="000000" w:themeColor="text1"/>
                <w:szCs w:val="24"/>
              </w:rPr>
              <w:t>5</w:t>
            </w:r>
          </w:p>
        </w:tc>
        <w:tc>
          <w:tcPr>
            <w:tcW w:w="1260" w:type="dxa"/>
            <w:vAlign w:val="center"/>
          </w:tcPr>
          <w:p w:rsidR="009C329D" w:rsidRPr="00A42955" w:rsidRDefault="009C329D" w:rsidP="00E41BE4">
            <w:pPr>
              <w:rPr>
                <w:color w:val="000000" w:themeColor="text1"/>
                <w:szCs w:val="24"/>
              </w:rPr>
            </w:pPr>
            <w:r>
              <w:rPr>
                <w:color w:val="000000" w:themeColor="text1"/>
                <w:szCs w:val="24"/>
              </w:rPr>
              <w:t>5</w:t>
            </w:r>
          </w:p>
        </w:tc>
        <w:tc>
          <w:tcPr>
            <w:tcW w:w="1170" w:type="dxa"/>
            <w:vAlign w:val="center"/>
          </w:tcPr>
          <w:p w:rsidR="009C329D" w:rsidRPr="00A42955" w:rsidRDefault="009C329D" w:rsidP="00E41BE4">
            <w:pPr>
              <w:rPr>
                <w:color w:val="000000" w:themeColor="text1"/>
                <w:szCs w:val="24"/>
              </w:rPr>
            </w:pPr>
            <w:r>
              <w:rPr>
                <w:color w:val="000000" w:themeColor="text1"/>
                <w:szCs w:val="24"/>
              </w:rPr>
              <w:t>20</w:t>
            </w:r>
          </w:p>
        </w:tc>
        <w:tc>
          <w:tcPr>
            <w:tcW w:w="1350" w:type="dxa"/>
            <w:vAlign w:val="center"/>
          </w:tcPr>
          <w:p w:rsidR="009C329D" w:rsidRPr="00A42955" w:rsidRDefault="009C329D" w:rsidP="00E41BE4">
            <w:pPr>
              <w:rPr>
                <w:color w:val="000000" w:themeColor="text1"/>
                <w:szCs w:val="24"/>
              </w:rPr>
            </w:pPr>
            <w:r>
              <w:rPr>
                <w:color w:val="000000" w:themeColor="text1"/>
                <w:szCs w:val="24"/>
              </w:rPr>
              <w:t>15</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1000</w:t>
            </w:r>
          </w:p>
        </w:tc>
        <w:tc>
          <w:tcPr>
            <w:tcW w:w="1278" w:type="dxa"/>
            <w:vAlign w:val="center"/>
          </w:tcPr>
          <w:p w:rsidR="009C329D" w:rsidRPr="00A42955" w:rsidRDefault="009C329D" w:rsidP="00E41BE4">
            <w:pPr>
              <w:rPr>
                <w:color w:val="000000" w:themeColor="text1"/>
                <w:szCs w:val="24"/>
              </w:rPr>
            </w:pPr>
            <w:r>
              <w:rPr>
                <w:color w:val="000000" w:themeColor="text1"/>
                <w:szCs w:val="24"/>
              </w:rPr>
              <w:t>10</w:t>
            </w:r>
          </w:p>
        </w:tc>
        <w:tc>
          <w:tcPr>
            <w:tcW w:w="1260" w:type="dxa"/>
            <w:vAlign w:val="center"/>
          </w:tcPr>
          <w:p w:rsidR="009C329D" w:rsidRPr="00A42955" w:rsidRDefault="009C329D" w:rsidP="00E41BE4">
            <w:pPr>
              <w:rPr>
                <w:color w:val="000000" w:themeColor="text1"/>
                <w:szCs w:val="24"/>
              </w:rPr>
            </w:pPr>
            <w:r>
              <w:rPr>
                <w:color w:val="000000" w:themeColor="text1"/>
                <w:szCs w:val="24"/>
              </w:rPr>
              <w:t>10</w:t>
            </w:r>
          </w:p>
        </w:tc>
        <w:tc>
          <w:tcPr>
            <w:tcW w:w="1170" w:type="dxa"/>
            <w:vAlign w:val="center"/>
          </w:tcPr>
          <w:p w:rsidR="009C329D" w:rsidRPr="00A42955" w:rsidRDefault="009C329D" w:rsidP="00E41BE4">
            <w:pPr>
              <w:rPr>
                <w:color w:val="000000" w:themeColor="text1"/>
                <w:szCs w:val="24"/>
              </w:rPr>
            </w:pPr>
            <w:r>
              <w:rPr>
                <w:color w:val="000000" w:themeColor="text1"/>
                <w:szCs w:val="24"/>
              </w:rPr>
              <w:t>25</w:t>
            </w:r>
          </w:p>
        </w:tc>
        <w:tc>
          <w:tcPr>
            <w:tcW w:w="1350" w:type="dxa"/>
            <w:vAlign w:val="center"/>
          </w:tcPr>
          <w:p w:rsidR="009C329D" w:rsidRPr="00A42955" w:rsidRDefault="009C329D" w:rsidP="00E41BE4">
            <w:pPr>
              <w:rPr>
                <w:color w:val="000000" w:themeColor="text1"/>
                <w:szCs w:val="24"/>
              </w:rPr>
            </w:pPr>
            <w:r>
              <w:rPr>
                <w:color w:val="000000" w:themeColor="text1"/>
                <w:szCs w:val="24"/>
              </w:rPr>
              <w:t>20</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2000</w:t>
            </w:r>
          </w:p>
        </w:tc>
        <w:tc>
          <w:tcPr>
            <w:tcW w:w="1278" w:type="dxa"/>
            <w:vAlign w:val="center"/>
          </w:tcPr>
          <w:p w:rsidR="009C329D" w:rsidRPr="00A42955" w:rsidRDefault="009C329D" w:rsidP="00E41BE4">
            <w:pPr>
              <w:rPr>
                <w:color w:val="000000" w:themeColor="text1"/>
                <w:szCs w:val="24"/>
              </w:rPr>
            </w:pPr>
            <w:r>
              <w:rPr>
                <w:color w:val="000000" w:themeColor="text1"/>
                <w:szCs w:val="24"/>
              </w:rPr>
              <w:t>40</w:t>
            </w:r>
          </w:p>
        </w:tc>
        <w:tc>
          <w:tcPr>
            <w:tcW w:w="1260" w:type="dxa"/>
            <w:vAlign w:val="center"/>
          </w:tcPr>
          <w:p w:rsidR="009C329D" w:rsidRPr="00A42955" w:rsidRDefault="009C329D" w:rsidP="00E41BE4">
            <w:pPr>
              <w:rPr>
                <w:color w:val="000000" w:themeColor="text1"/>
                <w:szCs w:val="24"/>
              </w:rPr>
            </w:pPr>
            <w:r>
              <w:rPr>
                <w:color w:val="000000" w:themeColor="text1"/>
                <w:szCs w:val="24"/>
              </w:rPr>
              <w:t>15</w:t>
            </w:r>
          </w:p>
        </w:tc>
        <w:tc>
          <w:tcPr>
            <w:tcW w:w="1170" w:type="dxa"/>
            <w:vAlign w:val="center"/>
          </w:tcPr>
          <w:p w:rsidR="009C329D" w:rsidRPr="00A42955" w:rsidRDefault="009C329D" w:rsidP="00E41BE4">
            <w:pPr>
              <w:rPr>
                <w:color w:val="000000" w:themeColor="text1"/>
                <w:szCs w:val="24"/>
              </w:rPr>
            </w:pPr>
            <w:r>
              <w:rPr>
                <w:color w:val="000000" w:themeColor="text1"/>
                <w:szCs w:val="24"/>
              </w:rPr>
              <w:t>50</w:t>
            </w:r>
          </w:p>
        </w:tc>
        <w:tc>
          <w:tcPr>
            <w:tcW w:w="1350" w:type="dxa"/>
            <w:vAlign w:val="center"/>
          </w:tcPr>
          <w:p w:rsidR="009C329D" w:rsidRPr="00A42955" w:rsidRDefault="009C329D" w:rsidP="00E41BE4">
            <w:pPr>
              <w:rPr>
                <w:color w:val="000000" w:themeColor="text1"/>
                <w:szCs w:val="24"/>
              </w:rPr>
            </w:pPr>
            <w:r>
              <w:rPr>
                <w:color w:val="000000" w:themeColor="text1"/>
                <w:szCs w:val="24"/>
              </w:rPr>
              <w:t>20</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3000</w:t>
            </w:r>
          </w:p>
        </w:tc>
        <w:tc>
          <w:tcPr>
            <w:tcW w:w="1278" w:type="dxa"/>
            <w:vAlign w:val="center"/>
          </w:tcPr>
          <w:p w:rsidR="009C329D" w:rsidRPr="00A42955" w:rsidRDefault="009C329D" w:rsidP="00E41BE4">
            <w:pPr>
              <w:rPr>
                <w:color w:val="000000" w:themeColor="text1"/>
                <w:szCs w:val="24"/>
              </w:rPr>
            </w:pPr>
            <w:r>
              <w:rPr>
                <w:color w:val="000000" w:themeColor="text1"/>
                <w:szCs w:val="24"/>
              </w:rPr>
              <w:t>80</w:t>
            </w:r>
          </w:p>
        </w:tc>
        <w:tc>
          <w:tcPr>
            <w:tcW w:w="1260" w:type="dxa"/>
            <w:vAlign w:val="center"/>
          </w:tcPr>
          <w:p w:rsidR="009C329D" w:rsidRPr="00A42955" w:rsidRDefault="009C329D" w:rsidP="00E41BE4">
            <w:pPr>
              <w:rPr>
                <w:color w:val="000000" w:themeColor="text1"/>
                <w:szCs w:val="24"/>
              </w:rPr>
            </w:pPr>
            <w:r>
              <w:rPr>
                <w:color w:val="000000" w:themeColor="text1"/>
                <w:szCs w:val="24"/>
              </w:rPr>
              <w:t>20</w:t>
            </w:r>
          </w:p>
        </w:tc>
        <w:tc>
          <w:tcPr>
            <w:tcW w:w="1170" w:type="dxa"/>
            <w:vAlign w:val="center"/>
          </w:tcPr>
          <w:p w:rsidR="009C329D" w:rsidRPr="00A42955" w:rsidRDefault="009C329D" w:rsidP="00E41BE4">
            <w:pPr>
              <w:rPr>
                <w:color w:val="000000" w:themeColor="text1"/>
                <w:szCs w:val="24"/>
              </w:rPr>
            </w:pPr>
            <w:r>
              <w:rPr>
                <w:color w:val="000000" w:themeColor="text1"/>
                <w:szCs w:val="24"/>
              </w:rPr>
              <w:t>75</w:t>
            </w:r>
          </w:p>
        </w:tc>
        <w:tc>
          <w:tcPr>
            <w:tcW w:w="1350" w:type="dxa"/>
            <w:vAlign w:val="center"/>
          </w:tcPr>
          <w:p w:rsidR="009C329D" w:rsidRPr="00A42955" w:rsidRDefault="009C329D" w:rsidP="00E41BE4">
            <w:pPr>
              <w:rPr>
                <w:color w:val="000000" w:themeColor="text1"/>
                <w:szCs w:val="24"/>
              </w:rPr>
            </w:pPr>
            <w:r>
              <w:rPr>
                <w:color w:val="000000" w:themeColor="text1"/>
                <w:szCs w:val="24"/>
              </w:rPr>
              <w:t>20</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4000</w:t>
            </w:r>
          </w:p>
        </w:tc>
        <w:tc>
          <w:tcPr>
            <w:tcW w:w="1278" w:type="dxa"/>
            <w:vAlign w:val="center"/>
          </w:tcPr>
          <w:p w:rsidR="009C329D" w:rsidRPr="00A42955" w:rsidRDefault="009C329D" w:rsidP="00E41BE4">
            <w:pPr>
              <w:rPr>
                <w:color w:val="000000" w:themeColor="text1"/>
                <w:szCs w:val="24"/>
              </w:rPr>
            </w:pPr>
            <w:r>
              <w:rPr>
                <w:color w:val="000000" w:themeColor="text1"/>
                <w:szCs w:val="24"/>
              </w:rPr>
              <w:t>85</w:t>
            </w:r>
          </w:p>
        </w:tc>
        <w:tc>
          <w:tcPr>
            <w:tcW w:w="1260" w:type="dxa"/>
            <w:vAlign w:val="center"/>
          </w:tcPr>
          <w:p w:rsidR="009C329D" w:rsidRPr="00A42955" w:rsidRDefault="009C329D" w:rsidP="00E41BE4">
            <w:pPr>
              <w:rPr>
                <w:color w:val="000000" w:themeColor="text1"/>
                <w:szCs w:val="24"/>
              </w:rPr>
            </w:pPr>
            <w:r>
              <w:rPr>
                <w:color w:val="000000" w:themeColor="text1"/>
                <w:szCs w:val="24"/>
              </w:rPr>
              <w:t>65</w:t>
            </w:r>
          </w:p>
        </w:tc>
        <w:tc>
          <w:tcPr>
            <w:tcW w:w="1170" w:type="dxa"/>
            <w:vAlign w:val="center"/>
          </w:tcPr>
          <w:p w:rsidR="009C329D" w:rsidRPr="00A42955" w:rsidRDefault="009C329D" w:rsidP="00E41BE4">
            <w:pPr>
              <w:rPr>
                <w:color w:val="000000" w:themeColor="text1"/>
                <w:szCs w:val="24"/>
              </w:rPr>
            </w:pPr>
            <w:r>
              <w:rPr>
                <w:color w:val="000000" w:themeColor="text1"/>
                <w:szCs w:val="24"/>
              </w:rPr>
              <w:t>80</w:t>
            </w:r>
          </w:p>
        </w:tc>
        <w:tc>
          <w:tcPr>
            <w:tcW w:w="1350" w:type="dxa"/>
            <w:vAlign w:val="center"/>
          </w:tcPr>
          <w:p w:rsidR="009C329D" w:rsidRPr="00A42955" w:rsidRDefault="009C329D" w:rsidP="00E41BE4">
            <w:pPr>
              <w:rPr>
                <w:color w:val="000000" w:themeColor="text1"/>
                <w:szCs w:val="24"/>
              </w:rPr>
            </w:pPr>
            <w:r>
              <w:rPr>
                <w:color w:val="000000" w:themeColor="text1"/>
                <w:szCs w:val="24"/>
              </w:rPr>
              <w:t>70</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Pr>
                <w:color w:val="000000" w:themeColor="text1"/>
                <w:szCs w:val="24"/>
              </w:rPr>
              <w:t>1</w:t>
            </w:r>
            <w:r w:rsidRPr="00A42955">
              <w:rPr>
                <w:color w:val="000000" w:themeColor="text1"/>
                <w:szCs w:val="24"/>
              </w:rPr>
              <w:t>000</w:t>
            </w:r>
            <w:r>
              <w:rPr>
                <w:color w:val="000000" w:themeColor="text1"/>
                <w:szCs w:val="24"/>
              </w:rPr>
              <w:t xml:space="preserve">-4000 </w:t>
            </w:r>
            <w:proofErr w:type="spellStart"/>
            <w:r>
              <w:rPr>
                <w:color w:val="000000" w:themeColor="text1"/>
                <w:szCs w:val="24"/>
              </w:rPr>
              <w:t>Avg</w:t>
            </w:r>
            <w:proofErr w:type="spellEnd"/>
          </w:p>
        </w:tc>
        <w:tc>
          <w:tcPr>
            <w:tcW w:w="1278" w:type="dxa"/>
            <w:vAlign w:val="center"/>
          </w:tcPr>
          <w:p w:rsidR="009C329D" w:rsidRPr="009C329D" w:rsidRDefault="009C329D" w:rsidP="00E41BE4">
            <w:pPr>
              <w:rPr>
                <w:b/>
                <w:color w:val="000000" w:themeColor="text1"/>
                <w:szCs w:val="24"/>
              </w:rPr>
            </w:pPr>
            <w:r w:rsidRPr="009C329D">
              <w:rPr>
                <w:b/>
                <w:color w:val="000000" w:themeColor="text1"/>
                <w:szCs w:val="24"/>
              </w:rPr>
              <w:t>54</w:t>
            </w:r>
          </w:p>
        </w:tc>
        <w:tc>
          <w:tcPr>
            <w:tcW w:w="1260" w:type="dxa"/>
            <w:vAlign w:val="center"/>
          </w:tcPr>
          <w:p w:rsidR="009C329D" w:rsidRPr="009C329D" w:rsidRDefault="009C329D" w:rsidP="00E41BE4">
            <w:pPr>
              <w:rPr>
                <w:b/>
                <w:color w:val="000000" w:themeColor="text1"/>
                <w:szCs w:val="24"/>
              </w:rPr>
            </w:pPr>
            <w:r w:rsidRPr="009C329D">
              <w:rPr>
                <w:b/>
                <w:color w:val="000000" w:themeColor="text1"/>
                <w:szCs w:val="24"/>
              </w:rPr>
              <w:t>28</w:t>
            </w:r>
          </w:p>
        </w:tc>
        <w:tc>
          <w:tcPr>
            <w:tcW w:w="1170" w:type="dxa"/>
            <w:vAlign w:val="center"/>
          </w:tcPr>
          <w:p w:rsidR="009C329D" w:rsidRPr="009C329D" w:rsidRDefault="009C329D" w:rsidP="00E41BE4">
            <w:pPr>
              <w:rPr>
                <w:b/>
                <w:color w:val="000000" w:themeColor="text1"/>
                <w:szCs w:val="24"/>
              </w:rPr>
            </w:pPr>
            <w:r w:rsidRPr="009C329D">
              <w:rPr>
                <w:b/>
                <w:color w:val="000000" w:themeColor="text1"/>
                <w:szCs w:val="24"/>
              </w:rPr>
              <w:t>58</w:t>
            </w:r>
          </w:p>
        </w:tc>
        <w:tc>
          <w:tcPr>
            <w:tcW w:w="1350" w:type="dxa"/>
            <w:vAlign w:val="center"/>
          </w:tcPr>
          <w:p w:rsidR="009C329D" w:rsidRPr="009C329D" w:rsidRDefault="009C329D" w:rsidP="00E41BE4">
            <w:pPr>
              <w:rPr>
                <w:b/>
                <w:color w:val="000000" w:themeColor="text1"/>
                <w:szCs w:val="24"/>
              </w:rPr>
            </w:pPr>
            <w:r w:rsidRPr="009C329D">
              <w:rPr>
                <w:b/>
                <w:color w:val="000000" w:themeColor="text1"/>
                <w:szCs w:val="24"/>
              </w:rPr>
              <w:t>33</w:t>
            </w:r>
          </w:p>
        </w:tc>
      </w:tr>
      <w:tr w:rsidR="009C329D" w:rsidRPr="00A42955" w:rsidTr="001F24F6">
        <w:tc>
          <w:tcPr>
            <w:tcW w:w="1980" w:type="dxa"/>
            <w:vAlign w:val="center"/>
          </w:tcPr>
          <w:p w:rsidR="009C329D" w:rsidRPr="00A42955" w:rsidRDefault="009C329D" w:rsidP="00E41BE4">
            <w:pPr>
              <w:jc w:val="left"/>
              <w:rPr>
                <w:color w:val="000000" w:themeColor="text1"/>
                <w:szCs w:val="24"/>
              </w:rPr>
            </w:pPr>
            <w:r w:rsidRPr="00A42955">
              <w:rPr>
                <w:color w:val="000000" w:themeColor="text1"/>
                <w:szCs w:val="24"/>
              </w:rPr>
              <w:t>Comments</w:t>
            </w:r>
          </w:p>
        </w:tc>
        <w:tc>
          <w:tcPr>
            <w:tcW w:w="1278" w:type="dxa"/>
            <w:vAlign w:val="center"/>
          </w:tcPr>
          <w:p w:rsidR="009C329D" w:rsidRPr="00A42955" w:rsidRDefault="009C329D" w:rsidP="00E41BE4">
            <w:pPr>
              <w:rPr>
                <w:color w:val="000000" w:themeColor="text1"/>
                <w:szCs w:val="24"/>
              </w:rPr>
            </w:pPr>
          </w:p>
        </w:tc>
        <w:tc>
          <w:tcPr>
            <w:tcW w:w="1260" w:type="dxa"/>
            <w:vAlign w:val="center"/>
          </w:tcPr>
          <w:p w:rsidR="009C329D" w:rsidRPr="00A42955" w:rsidRDefault="009C329D" w:rsidP="00E41BE4">
            <w:pPr>
              <w:rPr>
                <w:color w:val="000000" w:themeColor="text1"/>
                <w:szCs w:val="24"/>
              </w:rPr>
            </w:pPr>
          </w:p>
        </w:tc>
        <w:tc>
          <w:tcPr>
            <w:tcW w:w="1170" w:type="dxa"/>
            <w:vAlign w:val="center"/>
          </w:tcPr>
          <w:p w:rsidR="009C329D" w:rsidRPr="00A42955" w:rsidRDefault="009C329D" w:rsidP="00E41BE4">
            <w:pPr>
              <w:rPr>
                <w:color w:val="000000" w:themeColor="text1"/>
                <w:szCs w:val="24"/>
              </w:rPr>
            </w:pPr>
          </w:p>
        </w:tc>
        <w:tc>
          <w:tcPr>
            <w:tcW w:w="1350" w:type="dxa"/>
            <w:vAlign w:val="center"/>
          </w:tcPr>
          <w:p w:rsidR="009C329D" w:rsidRPr="00A42955" w:rsidRDefault="009C329D" w:rsidP="00E41BE4">
            <w:pPr>
              <w:rPr>
                <w:color w:val="000000" w:themeColor="text1"/>
                <w:szCs w:val="24"/>
              </w:rPr>
            </w:pPr>
          </w:p>
        </w:tc>
      </w:tr>
      <w:tr w:rsidR="009C329D" w:rsidRPr="00A42955" w:rsidTr="001F24F6">
        <w:tc>
          <w:tcPr>
            <w:tcW w:w="1980" w:type="dxa"/>
            <w:vAlign w:val="center"/>
          </w:tcPr>
          <w:p w:rsidR="009C329D" w:rsidRPr="00A42955" w:rsidRDefault="00BF60D3" w:rsidP="00E41BE4">
            <w:pPr>
              <w:jc w:val="left"/>
              <w:rPr>
                <w:color w:val="000000" w:themeColor="text1"/>
                <w:szCs w:val="24"/>
              </w:rPr>
            </w:pPr>
            <w:r>
              <w:rPr>
                <w:bCs/>
                <w:color w:val="000000" w:themeColor="text1"/>
                <w:szCs w:val="24"/>
              </w:rPr>
              <w:t>§ 4.85-4.</w:t>
            </w:r>
            <w:r w:rsidR="009C329D" w:rsidRPr="00A42955">
              <w:rPr>
                <w:bCs/>
                <w:color w:val="000000" w:themeColor="text1"/>
                <w:szCs w:val="24"/>
              </w:rPr>
              <w:t>86</w:t>
            </w:r>
          </w:p>
        </w:tc>
        <w:tc>
          <w:tcPr>
            <w:tcW w:w="1278" w:type="dxa"/>
            <w:vAlign w:val="center"/>
          </w:tcPr>
          <w:p w:rsidR="009C329D" w:rsidRPr="00A42955" w:rsidRDefault="009C329D" w:rsidP="00E41BE4">
            <w:pPr>
              <w:rPr>
                <w:color w:val="000000" w:themeColor="text1"/>
                <w:szCs w:val="24"/>
              </w:rPr>
            </w:pPr>
            <w:r>
              <w:rPr>
                <w:color w:val="000000" w:themeColor="text1"/>
                <w:szCs w:val="24"/>
              </w:rPr>
              <w:t>0</w:t>
            </w:r>
            <w:r w:rsidRPr="00A42955">
              <w:rPr>
                <w:color w:val="000000" w:themeColor="text1"/>
                <w:szCs w:val="24"/>
              </w:rPr>
              <w:t>%</w:t>
            </w:r>
          </w:p>
        </w:tc>
        <w:tc>
          <w:tcPr>
            <w:tcW w:w="1260" w:type="dxa"/>
            <w:vAlign w:val="center"/>
          </w:tcPr>
          <w:p w:rsidR="009C329D" w:rsidRPr="00A42955" w:rsidRDefault="009C329D" w:rsidP="00E41BE4">
            <w:pPr>
              <w:rPr>
                <w:color w:val="000000" w:themeColor="text1"/>
                <w:szCs w:val="24"/>
              </w:rPr>
            </w:pPr>
            <w:r>
              <w:rPr>
                <w:color w:val="000000" w:themeColor="text1"/>
                <w:szCs w:val="24"/>
              </w:rPr>
              <w:t>0</w:t>
            </w:r>
            <w:r w:rsidRPr="00A42955">
              <w:rPr>
                <w:color w:val="000000" w:themeColor="text1"/>
                <w:szCs w:val="24"/>
              </w:rPr>
              <w:t>%</w:t>
            </w:r>
          </w:p>
        </w:tc>
        <w:tc>
          <w:tcPr>
            <w:tcW w:w="1170" w:type="dxa"/>
            <w:vAlign w:val="center"/>
          </w:tcPr>
          <w:p w:rsidR="009C329D" w:rsidRPr="00A42955" w:rsidRDefault="009C329D" w:rsidP="00E41BE4">
            <w:pPr>
              <w:rPr>
                <w:color w:val="000000" w:themeColor="text1"/>
                <w:szCs w:val="24"/>
              </w:rPr>
            </w:pPr>
            <w:r>
              <w:rPr>
                <w:color w:val="000000" w:themeColor="text1"/>
                <w:szCs w:val="24"/>
              </w:rPr>
              <w:t>0</w:t>
            </w:r>
            <w:r w:rsidRPr="00A42955">
              <w:rPr>
                <w:color w:val="000000" w:themeColor="text1"/>
                <w:szCs w:val="24"/>
              </w:rPr>
              <w:t>%</w:t>
            </w:r>
          </w:p>
        </w:tc>
        <w:tc>
          <w:tcPr>
            <w:tcW w:w="1350" w:type="dxa"/>
            <w:vAlign w:val="center"/>
          </w:tcPr>
          <w:p w:rsidR="009C329D" w:rsidRPr="00A42955" w:rsidRDefault="009C329D" w:rsidP="00E41BE4">
            <w:pPr>
              <w:rPr>
                <w:color w:val="000000" w:themeColor="text1"/>
                <w:szCs w:val="24"/>
              </w:rPr>
            </w:pPr>
            <w:r>
              <w:rPr>
                <w:color w:val="000000" w:themeColor="text1"/>
                <w:szCs w:val="24"/>
              </w:rPr>
              <w:t>0</w:t>
            </w:r>
            <w:r w:rsidRPr="00A42955">
              <w:rPr>
                <w:color w:val="000000" w:themeColor="text1"/>
                <w:szCs w:val="24"/>
              </w:rPr>
              <w:t>%</w:t>
            </w:r>
          </w:p>
        </w:tc>
      </w:tr>
    </w:tbl>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9C329D" w:rsidRDefault="009C329D" w:rsidP="00BF0E94">
      <w:pPr>
        <w:jc w:val="left"/>
        <w:rPr>
          <w:color w:val="000000" w:themeColor="text1"/>
          <w:szCs w:val="24"/>
        </w:rPr>
      </w:pPr>
    </w:p>
    <w:p w:rsidR="00777746" w:rsidRPr="009C329D" w:rsidRDefault="009C329D" w:rsidP="002504FD">
      <w:pPr>
        <w:jc w:val="both"/>
        <w:rPr>
          <w:rFonts w:eastAsia="HiddenHorzOCR"/>
          <w:color w:val="000000" w:themeColor="text1"/>
          <w:szCs w:val="24"/>
        </w:rPr>
      </w:pPr>
      <w:r w:rsidRPr="009C329D">
        <w:rPr>
          <w:rFonts w:eastAsia="HiddenHorzOCR"/>
          <w:color w:val="000000" w:themeColor="text1"/>
          <w:szCs w:val="24"/>
        </w:rPr>
        <w:t>With</w:t>
      </w:r>
      <w:r>
        <w:rPr>
          <w:rFonts w:eastAsia="HiddenHorzOCR"/>
          <w:color w:val="000000" w:themeColor="text1"/>
          <w:szCs w:val="24"/>
        </w:rPr>
        <w:t xml:space="preserve"> application of VASRD </w:t>
      </w:r>
      <w:r w:rsidR="002504FD">
        <w:rPr>
          <w:bCs/>
          <w:color w:val="000000" w:themeColor="text1"/>
          <w:szCs w:val="24"/>
        </w:rPr>
        <w:t>§</w:t>
      </w:r>
      <w:r>
        <w:rPr>
          <w:bCs/>
          <w:color w:val="000000" w:themeColor="text1"/>
          <w:szCs w:val="24"/>
        </w:rPr>
        <w:t>4.85-4.</w:t>
      </w:r>
      <w:r w:rsidRPr="00A42955">
        <w:rPr>
          <w:bCs/>
          <w:color w:val="000000" w:themeColor="text1"/>
          <w:szCs w:val="24"/>
        </w:rPr>
        <w:t>86</w:t>
      </w:r>
      <w:r w:rsidR="00981329">
        <w:rPr>
          <w:bCs/>
          <w:color w:val="000000" w:themeColor="text1"/>
          <w:szCs w:val="24"/>
        </w:rPr>
        <w:t xml:space="preserve">, Tables VI, </w:t>
      </w:r>
      <w:proofErr w:type="spellStart"/>
      <w:proofErr w:type="gramStart"/>
      <w:r w:rsidR="00981329">
        <w:rPr>
          <w:bCs/>
          <w:color w:val="000000" w:themeColor="text1"/>
          <w:szCs w:val="24"/>
        </w:rPr>
        <w:t>VIa</w:t>
      </w:r>
      <w:proofErr w:type="spellEnd"/>
      <w:proofErr w:type="gramEnd"/>
      <w:r w:rsidR="00981329">
        <w:rPr>
          <w:bCs/>
          <w:color w:val="000000" w:themeColor="text1"/>
          <w:szCs w:val="24"/>
        </w:rPr>
        <w:t xml:space="preserve"> and VII, both the PEB and VA </w:t>
      </w:r>
      <w:r w:rsidR="0064087A">
        <w:rPr>
          <w:bCs/>
          <w:color w:val="000000" w:themeColor="text1"/>
          <w:szCs w:val="24"/>
        </w:rPr>
        <w:t xml:space="preserve">concluded that the CI’s </w:t>
      </w:r>
      <w:proofErr w:type="spellStart"/>
      <w:r w:rsidR="0064087A">
        <w:rPr>
          <w:bCs/>
          <w:color w:val="000000" w:themeColor="text1"/>
          <w:szCs w:val="24"/>
        </w:rPr>
        <w:t>sensorineural</w:t>
      </w:r>
      <w:proofErr w:type="spellEnd"/>
      <w:r w:rsidR="0064087A">
        <w:rPr>
          <w:bCs/>
          <w:color w:val="000000" w:themeColor="text1"/>
          <w:szCs w:val="24"/>
        </w:rPr>
        <w:t xml:space="preserve"> hearing loss did not meet VASRD criteria for a minimal compensable rating.  Based on the slightly worse</w:t>
      </w:r>
      <w:r w:rsidR="00097A37">
        <w:rPr>
          <w:bCs/>
          <w:color w:val="000000" w:themeColor="text1"/>
          <w:szCs w:val="24"/>
        </w:rPr>
        <w:t>ned</w:t>
      </w:r>
      <w:r w:rsidR="0064087A">
        <w:rPr>
          <w:bCs/>
          <w:color w:val="000000" w:themeColor="text1"/>
          <w:szCs w:val="24"/>
        </w:rPr>
        <w:t xml:space="preserve"> </w:t>
      </w:r>
      <w:r w:rsidR="00097A37">
        <w:rPr>
          <w:bCs/>
          <w:color w:val="000000" w:themeColor="text1"/>
          <w:szCs w:val="24"/>
        </w:rPr>
        <w:t xml:space="preserve">audiogram </w:t>
      </w:r>
      <w:r w:rsidR="0064087A">
        <w:rPr>
          <w:bCs/>
          <w:color w:val="000000" w:themeColor="text1"/>
          <w:szCs w:val="24"/>
        </w:rPr>
        <w:t xml:space="preserve">data that was obtained </w:t>
      </w:r>
      <w:r w:rsidR="00B3379C">
        <w:rPr>
          <w:bCs/>
          <w:color w:val="000000" w:themeColor="text1"/>
          <w:szCs w:val="24"/>
        </w:rPr>
        <w:t xml:space="preserve">by the </w:t>
      </w:r>
      <w:r w:rsidR="00097A37">
        <w:rPr>
          <w:bCs/>
          <w:color w:val="000000" w:themeColor="text1"/>
          <w:szCs w:val="24"/>
        </w:rPr>
        <w:t xml:space="preserve">VA </w:t>
      </w:r>
      <w:r w:rsidR="0064087A">
        <w:rPr>
          <w:bCs/>
          <w:color w:val="000000" w:themeColor="text1"/>
          <w:szCs w:val="24"/>
        </w:rPr>
        <w:t xml:space="preserve">closer to separation, the CI’s left (poorer) ear scored a Numeric Designation of III on Table VI while his </w:t>
      </w:r>
      <w:r w:rsidR="0064087A">
        <w:rPr>
          <w:bCs/>
          <w:color w:val="000000" w:themeColor="text1"/>
          <w:szCs w:val="24"/>
        </w:rPr>
        <w:lastRenderedPageBreak/>
        <w:t>right (better) ear scored a Numeric Designation of I.  Since speech discrimination scores are available, Table V</w:t>
      </w:r>
      <w:r w:rsidR="00097A37">
        <w:rPr>
          <w:bCs/>
          <w:color w:val="000000" w:themeColor="text1"/>
          <w:szCs w:val="24"/>
        </w:rPr>
        <w:t>I</w:t>
      </w:r>
      <w:r w:rsidR="0064087A">
        <w:rPr>
          <w:bCs/>
          <w:color w:val="000000" w:themeColor="text1"/>
          <w:szCs w:val="24"/>
        </w:rPr>
        <w:t xml:space="preserve">a does not apply.  </w:t>
      </w:r>
      <w:r w:rsidR="002504FD">
        <w:rPr>
          <w:bCs/>
          <w:color w:val="000000" w:themeColor="text1"/>
          <w:szCs w:val="24"/>
        </w:rPr>
        <w:t>The provisions of VASRD §4.86 (e</w:t>
      </w:r>
      <w:r w:rsidR="002504FD" w:rsidRPr="002504FD">
        <w:rPr>
          <w:bCs/>
          <w:color w:val="000000" w:themeColor="text1"/>
          <w:szCs w:val="24"/>
        </w:rPr>
        <w:t>xceptional patterns of hearing</w:t>
      </w:r>
      <w:r w:rsidR="002504FD">
        <w:rPr>
          <w:bCs/>
          <w:color w:val="000000" w:themeColor="text1"/>
          <w:szCs w:val="24"/>
        </w:rPr>
        <w:t xml:space="preserve"> impairment) do not apply in this case.  </w:t>
      </w:r>
      <w:r w:rsidR="0064087A">
        <w:rPr>
          <w:bCs/>
          <w:color w:val="000000" w:themeColor="text1"/>
          <w:szCs w:val="24"/>
        </w:rPr>
        <w:t>Per Table VII</w:t>
      </w:r>
      <w:r w:rsidR="002504FD">
        <w:rPr>
          <w:bCs/>
          <w:color w:val="000000" w:themeColor="text1"/>
          <w:szCs w:val="24"/>
        </w:rPr>
        <w:t xml:space="preserve"> there is no compensable rating possible with a Numeric Designation of III for the poorer ear.  </w:t>
      </w:r>
      <w:r w:rsidR="002504FD" w:rsidRPr="002504FD">
        <w:rPr>
          <w:color w:val="000000" w:themeColor="text1"/>
          <w:szCs w:val="24"/>
        </w:rPr>
        <w:t>All evidence considered</w:t>
      </w:r>
      <w:proofErr w:type="gramStart"/>
      <w:r w:rsidR="002504FD" w:rsidRPr="002504FD">
        <w:rPr>
          <w:color w:val="000000" w:themeColor="text1"/>
          <w:szCs w:val="24"/>
        </w:rPr>
        <w:t>,</w:t>
      </w:r>
      <w:proofErr w:type="gramEnd"/>
      <w:r w:rsidR="002504FD" w:rsidRPr="002504FD">
        <w:rPr>
          <w:color w:val="000000" w:themeColor="text1"/>
          <w:szCs w:val="24"/>
        </w:rPr>
        <w:t xml:space="preserve"> there is not reasonable doubt in the CI’s favor supporting a change from the PEB’s rating decision for the </w:t>
      </w:r>
      <w:r w:rsidR="002504FD">
        <w:rPr>
          <w:color w:val="000000" w:themeColor="text1"/>
          <w:szCs w:val="24"/>
        </w:rPr>
        <w:t>hearing loss</w:t>
      </w:r>
      <w:r w:rsidR="002504FD" w:rsidRPr="002504FD">
        <w:rPr>
          <w:color w:val="000000" w:themeColor="text1"/>
          <w:szCs w:val="24"/>
        </w:rPr>
        <w:t xml:space="preserve"> condition.</w:t>
      </w:r>
    </w:p>
    <w:p w:rsidR="009C329D" w:rsidRDefault="009C329D" w:rsidP="005C3C5B">
      <w:pPr>
        <w:jc w:val="both"/>
        <w:rPr>
          <w:rFonts w:eastAsia="HiddenHorzOCR"/>
          <w:color w:val="000000" w:themeColor="text1"/>
          <w:szCs w:val="24"/>
          <w:u w:val="single"/>
        </w:rPr>
      </w:pPr>
    </w:p>
    <w:p w:rsidR="002504FD" w:rsidRPr="002504FD" w:rsidRDefault="00EC337D" w:rsidP="002504FD">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00BB437A" w:rsidRPr="001F29F9">
        <w:rPr>
          <w:rFonts w:eastAsia="HiddenHorzOCR"/>
          <w:color w:val="000000" w:themeColor="text1"/>
          <w:szCs w:val="24"/>
        </w:rPr>
        <w:t xml:space="preserve">The CI’s application asserts that compensable ratings should be considered for </w:t>
      </w:r>
      <w:r w:rsidR="00BB437A">
        <w:rPr>
          <w:color w:val="000000" w:themeColor="text1"/>
        </w:rPr>
        <w:t>compression fracture with 60% loss of vertebral height and tinnitus</w:t>
      </w:r>
      <w:r w:rsidR="00BB437A" w:rsidRPr="001F29F9">
        <w:rPr>
          <w:rFonts w:eastAsia="HiddenHorzOCR"/>
          <w:color w:val="000000" w:themeColor="text1"/>
          <w:szCs w:val="24"/>
        </w:rPr>
        <w:t xml:space="preserve">.  </w:t>
      </w:r>
      <w:r w:rsidR="00BB437A">
        <w:rPr>
          <w:rFonts w:eastAsia="HiddenHorzOCR"/>
          <w:color w:val="000000" w:themeColor="text1"/>
          <w:szCs w:val="24"/>
        </w:rPr>
        <w:t xml:space="preserve">The contention cites the 2009 VA rating decision in support of an additional 10% rating for the thoracic compression fracture, but </w:t>
      </w:r>
      <w:r w:rsidR="00931767">
        <w:rPr>
          <w:rFonts w:eastAsia="HiddenHorzOCR"/>
          <w:color w:val="000000" w:themeColor="text1"/>
          <w:szCs w:val="24"/>
        </w:rPr>
        <w:t>neglected to mention</w:t>
      </w:r>
      <w:r w:rsidR="00BB437A">
        <w:rPr>
          <w:rFonts w:eastAsia="HiddenHorzOCR"/>
          <w:color w:val="000000" w:themeColor="text1"/>
          <w:szCs w:val="24"/>
        </w:rPr>
        <w:t xml:space="preserve"> that in 2010 the VA recognized this rating approach as a “clear and unmistakable error,” and consequently reduced both the CI’s back condition rating and overall rating by 10%.  Indeed, VASRD </w:t>
      </w:r>
      <w:r w:rsidR="009D3180" w:rsidRPr="009D3180">
        <w:rPr>
          <w:rFonts w:eastAsia="HiddenHorzOCR"/>
          <w:color w:val="000000" w:themeColor="text1"/>
          <w:szCs w:val="24"/>
        </w:rPr>
        <w:t xml:space="preserve">§4.14 </w:t>
      </w:r>
      <w:r w:rsidR="00B758BE">
        <w:rPr>
          <w:rFonts w:eastAsia="HiddenHorzOCR"/>
          <w:color w:val="000000" w:themeColor="text1"/>
          <w:szCs w:val="24"/>
        </w:rPr>
        <w:t>(avoidance of pyramiding)</w:t>
      </w:r>
      <w:r w:rsidR="009D3180" w:rsidRPr="009D3180">
        <w:rPr>
          <w:rFonts w:eastAsia="HiddenHorzOCR"/>
          <w:color w:val="000000" w:themeColor="text1"/>
          <w:szCs w:val="24"/>
        </w:rPr>
        <w:t xml:space="preserve"> </w:t>
      </w:r>
      <w:r w:rsidR="00B758BE">
        <w:rPr>
          <w:rFonts w:eastAsia="HiddenHorzOCR"/>
          <w:color w:val="000000" w:themeColor="text1"/>
          <w:szCs w:val="24"/>
        </w:rPr>
        <w:t>states that the</w:t>
      </w:r>
      <w:r w:rsidR="009D3180" w:rsidRPr="009D3180">
        <w:rPr>
          <w:rFonts w:eastAsia="HiddenHorzOCR"/>
          <w:color w:val="000000" w:themeColor="text1"/>
          <w:szCs w:val="24"/>
        </w:rPr>
        <w:t xml:space="preserve"> </w:t>
      </w:r>
      <w:r w:rsidR="00B758BE">
        <w:rPr>
          <w:rFonts w:eastAsia="HiddenHorzOCR"/>
          <w:color w:val="000000" w:themeColor="text1"/>
          <w:szCs w:val="24"/>
        </w:rPr>
        <w:t>“</w:t>
      </w:r>
      <w:r w:rsidR="009D3180" w:rsidRPr="009D3180">
        <w:rPr>
          <w:rFonts w:eastAsia="HiddenHorzOCR"/>
          <w:color w:val="000000" w:themeColor="text1"/>
          <w:szCs w:val="24"/>
        </w:rPr>
        <w:t>evaluation of the same disability under various diagnoses is to be avoided</w:t>
      </w:r>
      <w:r w:rsidR="00B3379C">
        <w:rPr>
          <w:rFonts w:eastAsia="HiddenHorzOCR"/>
          <w:color w:val="000000" w:themeColor="text1"/>
          <w:szCs w:val="24"/>
        </w:rPr>
        <w:t>,</w:t>
      </w:r>
      <w:r w:rsidR="00B758BE">
        <w:rPr>
          <w:rFonts w:eastAsia="HiddenHorzOCR"/>
          <w:color w:val="000000" w:themeColor="text1"/>
          <w:szCs w:val="24"/>
        </w:rPr>
        <w:t>”</w:t>
      </w:r>
      <w:r w:rsidR="00B3379C">
        <w:rPr>
          <w:rFonts w:eastAsia="HiddenHorzOCR"/>
          <w:color w:val="000000" w:themeColor="text1"/>
          <w:szCs w:val="24"/>
        </w:rPr>
        <w:t xml:space="preserve"> </w:t>
      </w:r>
      <w:r w:rsidR="00B758BE">
        <w:rPr>
          <w:rFonts w:eastAsia="HiddenHorzOCR"/>
          <w:color w:val="000000" w:themeColor="text1"/>
          <w:szCs w:val="24"/>
        </w:rPr>
        <w:t>the disability in this case being diminished and painful motion of the thoracolumbar spine</w:t>
      </w:r>
      <w:r w:rsidR="009D3180" w:rsidRPr="009D3180">
        <w:rPr>
          <w:rFonts w:eastAsia="HiddenHorzOCR"/>
          <w:color w:val="000000" w:themeColor="text1"/>
          <w:szCs w:val="24"/>
        </w:rPr>
        <w:t>.</w:t>
      </w:r>
      <w:r w:rsidR="00B758BE">
        <w:rPr>
          <w:rFonts w:eastAsia="HiddenHorzOCR"/>
          <w:color w:val="000000" w:themeColor="text1"/>
          <w:szCs w:val="24"/>
        </w:rPr>
        <w:t xml:space="preserve">  The Board agrees with the latter VA determination that the thoracic lumbar compression fracture condition is subsumed by </w:t>
      </w:r>
      <w:r w:rsidR="005C3C5B">
        <w:rPr>
          <w:rFonts w:eastAsia="HiddenHorzOCR"/>
          <w:color w:val="000000" w:themeColor="text1"/>
          <w:szCs w:val="24"/>
        </w:rPr>
        <w:t xml:space="preserve">the </w:t>
      </w:r>
      <w:r w:rsidR="00B758BE">
        <w:rPr>
          <w:rFonts w:eastAsia="HiddenHorzOCR"/>
          <w:color w:val="000000" w:themeColor="text1"/>
          <w:szCs w:val="24"/>
        </w:rPr>
        <w:t>rating for back pain with limitation of motion as per the rating recommendation above</w:t>
      </w:r>
      <w:r w:rsidR="005C3C5B">
        <w:rPr>
          <w:rFonts w:eastAsia="HiddenHorzOCR"/>
          <w:color w:val="000000" w:themeColor="text1"/>
          <w:szCs w:val="24"/>
        </w:rPr>
        <w:t>, and that any additional rating for the back condition would be in contravention to VASRD standards</w:t>
      </w:r>
      <w:r w:rsidR="00B758BE">
        <w:rPr>
          <w:rFonts w:eastAsia="HiddenHorzOCR"/>
          <w:color w:val="000000" w:themeColor="text1"/>
          <w:szCs w:val="24"/>
        </w:rPr>
        <w:t>.</w:t>
      </w:r>
      <w:r w:rsidR="005C3C5B">
        <w:rPr>
          <w:rFonts w:eastAsia="HiddenHorzOCR"/>
          <w:color w:val="000000" w:themeColor="text1"/>
          <w:szCs w:val="24"/>
        </w:rPr>
        <w:t xml:space="preserve">  </w:t>
      </w:r>
      <w:r w:rsidR="009D3180">
        <w:rPr>
          <w:rFonts w:eastAsia="HiddenHorzOCR"/>
          <w:color w:val="000000" w:themeColor="text1"/>
          <w:szCs w:val="24"/>
        </w:rPr>
        <w:t>The 90% speech discrimination</w:t>
      </w:r>
      <w:r w:rsidR="00BB437A">
        <w:rPr>
          <w:rFonts w:eastAsia="HiddenHorzOCR"/>
          <w:color w:val="000000" w:themeColor="text1"/>
          <w:szCs w:val="24"/>
        </w:rPr>
        <w:t xml:space="preserve"> (mild impairment)</w:t>
      </w:r>
      <w:r w:rsidR="009D3180">
        <w:rPr>
          <w:rFonts w:eastAsia="HiddenHorzOCR"/>
          <w:color w:val="000000" w:themeColor="text1"/>
          <w:szCs w:val="24"/>
        </w:rPr>
        <w:t xml:space="preserve"> in each ear recorded in the service treatment record and conceded in the CI’s contention effectively negates the argument that the CI’s tinnitus significantly impaired “</w:t>
      </w:r>
      <w:r w:rsidR="009D3180" w:rsidRPr="009D3180">
        <w:rPr>
          <w:rFonts w:eastAsia="HiddenHorzOCR"/>
          <w:color w:val="000000" w:themeColor="text1"/>
          <w:szCs w:val="24"/>
        </w:rPr>
        <w:t>his overall ability to understand and respond in a combat or work</w:t>
      </w:r>
      <w:r w:rsidR="009D3180">
        <w:rPr>
          <w:rFonts w:eastAsia="HiddenHorzOCR"/>
          <w:color w:val="000000" w:themeColor="text1"/>
          <w:szCs w:val="24"/>
        </w:rPr>
        <w:t xml:space="preserve"> </w:t>
      </w:r>
      <w:r w:rsidR="009D3180" w:rsidRPr="009D3180">
        <w:rPr>
          <w:rFonts w:eastAsia="HiddenHorzOCR"/>
          <w:color w:val="000000" w:themeColor="text1"/>
          <w:szCs w:val="24"/>
        </w:rPr>
        <w:t>place setting</w:t>
      </w:r>
      <w:r w:rsidR="00B3379C">
        <w:rPr>
          <w:rFonts w:eastAsia="HiddenHorzOCR"/>
          <w:color w:val="000000" w:themeColor="text1"/>
          <w:szCs w:val="24"/>
        </w:rPr>
        <w:t>.</w:t>
      </w:r>
      <w:r w:rsidR="009D3180">
        <w:rPr>
          <w:rFonts w:eastAsia="HiddenHorzOCR"/>
          <w:color w:val="000000" w:themeColor="text1"/>
          <w:szCs w:val="24"/>
        </w:rPr>
        <w:t>”</w:t>
      </w:r>
      <w:r w:rsidR="00927006">
        <w:rPr>
          <w:rFonts w:eastAsia="HiddenHorzOCR"/>
          <w:color w:val="000000" w:themeColor="text1"/>
          <w:szCs w:val="24"/>
        </w:rPr>
        <w:t xml:space="preserve">  </w:t>
      </w:r>
      <w:r w:rsidR="00AA4813" w:rsidRPr="00927006">
        <w:rPr>
          <w:rFonts w:eastAsia="HiddenHorzOCR"/>
          <w:color w:val="000000" w:themeColor="text1"/>
          <w:szCs w:val="24"/>
        </w:rPr>
        <w:t>The commander’s statement indicated that the CI was able to effectively communicate with others in an office setting.</w:t>
      </w:r>
      <w:r w:rsidR="00927006">
        <w:rPr>
          <w:rFonts w:eastAsia="HiddenHorzOCR"/>
          <w:color w:val="000000" w:themeColor="text1"/>
          <w:szCs w:val="24"/>
        </w:rPr>
        <w:t xml:space="preserve">  </w:t>
      </w:r>
      <w:r w:rsidR="00A82C11">
        <w:rPr>
          <w:rFonts w:eastAsia="HiddenHorzOCR"/>
          <w:color w:val="000000" w:themeColor="text1"/>
          <w:szCs w:val="24"/>
        </w:rPr>
        <w:t xml:space="preserve">The </w:t>
      </w:r>
      <w:r w:rsidR="00A82C11">
        <w:rPr>
          <w:color w:val="000000" w:themeColor="text1"/>
          <w:szCs w:val="24"/>
        </w:rPr>
        <w:t xml:space="preserve">FPEB concluded that “there is no evidence that the tinnitus prevents him from performance of his duties beyond the difficulties solely attributed to his hearing loss.”  </w:t>
      </w:r>
      <w:r w:rsidR="005C3C5B">
        <w:rPr>
          <w:rFonts w:eastAsia="HiddenHorzOCR"/>
          <w:color w:val="000000" w:themeColor="text1"/>
          <w:szCs w:val="24"/>
        </w:rPr>
        <w:t>The tinnitus</w:t>
      </w:r>
      <w:r w:rsidRPr="001F29F9">
        <w:rPr>
          <w:color w:val="000000" w:themeColor="text1"/>
          <w:szCs w:val="24"/>
        </w:rPr>
        <w:t xml:space="preserve"> condition </w:t>
      </w:r>
      <w:r w:rsidR="005C3C5B">
        <w:rPr>
          <w:color w:val="000000" w:themeColor="text1"/>
          <w:szCs w:val="24"/>
        </w:rPr>
        <w:t>was</w:t>
      </w:r>
      <w:r w:rsidRPr="001F29F9">
        <w:rPr>
          <w:color w:val="000000" w:themeColor="text1"/>
          <w:szCs w:val="24"/>
        </w:rPr>
        <w:t xml:space="preserve"> reviewed by the </w:t>
      </w:r>
      <w:r w:rsidR="0008418E">
        <w:rPr>
          <w:color w:val="000000" w:themeColor="text1"/>
          <w:szCs w:val="24"/>
        </w:rPr>
        <w:t>a</w:t>
      </w:r>
      <w:r w:rsidR="00733DA0" w:rsidRPr="00733DA0">
        <w:rPr>
          <w:color w:val="000000" w:themeColor="text1"/>
          <w:szCs w:val="24"/>
        </w:rPr>
        <w:t xml:space="preserve">ction </w:t>
      </w:r>
      <w:r w:rsidR="0008418E">
        <w:rPr>
          <w:color w:val="000000" w:themeColor="text1"/>
          <w:szCs w:val="24"/>
        </w:rPr>
        <w:t>o</w:t>
      </w:r>
      <w:r w:rsidR="00733DA0" w:rsidRPr="00733DA0">
        <w:rPr>
          <w:color w:val="000000" w:themeColor="text1"/>
          <w:szCs w:val="24"/>
        </w:rPr>
        <w:t xml:space="preserve">fficer </w:t>
      </w:r>
      <w:r w:rsidRPr="001F29F9">
        <w:rPr>
          <w:color w:val="000000" w:themeColor="text1"/>
          <w:szCs w:val="24"/>
        </w:rPr>
        <w:t xml:space="preserve">and considered by the Board.  There was no evidence for concluding that </w:t>
      </w:r>
      <w:r w:rsidR="005C3C5B">
        <w:rPr>
          <w:color w:val="000000" w:themeColor="text1"/>
          <w:szCs w:val="24"/>
        </w:rPr>
        <w:t>this</w:t>
      </w:r>
      <w:r w:rsidRPr="001F29F9">
        <w:rPr>
          <w:color w:val="000000" w:themeColor="text1"/>
          <w:szCs w:val="24"/>
        </w:rPr>
        <w:t xml:space="preserve"> condition interfered with duty performance to a degree that could be argued as unfitting</w:t>
      </w:r>
      <w:r w:rsidR="009C1EFE">
        <w:rPr>
          <w:color w:val="000000" w:themeColor="text1"/>
          <w:szCs w:val="24"/>
        </w:rPr>
        <w:t xml:space="preserve"> and any impairment in hearing was subsumed in the rating for hearing loss</w:t>
      </w:r>
      <w:r w:rsidRPr="001F29F9">
        <w:rPr>
          <w:color w:val="000000" w:themeColor="text1"/>
          <w:szCs w:val="24"/>
        </w:rPr>
        <w:t>.</w:t>
      </w:r>
      <w:r w:rsidR="00A82C11">
        <w:rPr>
          <w:color w:val="000000" w:themeColor="text1"/>
          <w:szCs w:val="24"/>
        </w:rPr>
        <w:t xml:space="preserve">  </w:t>
      </w:r>
      <w:r w:rsidRPr="001F29F9">
        <w:rPr>
          <w:color w:val="000000" w:themeColor="text1"/>
          <w:szCs w:val="24"/>
        </w:rPr>
        <w:t>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r w:rsidR="002504FD">
        <w:rPr>
          <w:color w:val="000000" w:themeColor="text1"/>
          <w:szCs w:val="24"/>
        </w:rPr>
        <w:t xml:space="preserve">  </w:t>
      </w:r>
    </w:p>
    <w:p w:rsidR="00EC337D" w:rsidRPr="001F29F9" w:rsidRDefault="00EC337D" w:rsidP="00BF0E94">
      <w:pPr>
        <w:jc w:val="both"/>
        <w:rPr>
          <w:color w:val="000000" w:themeColor="text1"/>
          <w:szCs w:val="24"/>
        </w:rPr>
      </w:pPr>
    </w:p>
    <w:p w:rsidR="004C60A3" w:rsidRPr="001F29F9" w:rsidRDefault="00EC337D" w:rsidP="003924D2">
      <w:pPr>
        <w:jc w:val="both"/>
        <w:rPr>
          <w:rFonts w:eastAsia="HiddenHorzOCR"/>
          <w:i/>
          <w:color w:val="000000" w:themeColor="text1"/>
          <w:sz w:val="20"/>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2A78CC" w:rsidRPr="001F29F9">
        <w:rPr>
          <w:color w:val="000000" w:themeColor="text1"/>
          <w:szCs w:val="24"/>
        </w:rPr>
        <w:t xml:space="preserve">No other conditions were </w:t>
      </w:r>
      <w:r w:rsidR="002A78CC">
        <w:rPr>
          <w:color w:val="000000" w:themeColor="text1"/>
          <w:szCs w:val="24"/>
        </w:rPr>
        <w:t xml:space="preserve">forwarded </w:t>
      </w:r>
      <w:r w:rsidR="002A78CC" w:rsidRPr="001F29F9">
        <w:rPr>
          <w:color w:val="000000" w:themeColor="text1"/>
          <w:szCs w:val="24"/>
        </w:rPr>
        <w:t xml:space="preserve">on the MEB </w:t>
      </w:r>
      <w:r w:rsidR="002A78CC">
        <w:rPr>
          <w:color w:val="000000" w:themeColor="text1"/>
          <w:szCs w:val="24"/>
        </w:rPr>
        <w:t>submission</w:t>
      </w:r>
      <w:r w:rsidR="002A78CC" w:rsidRPr="001F29F9">
        <w:rPr>
          <w:color w:val="000000" w:themeColor="text1"/>
          <w:szCs w:val="24"/>
        </w:rPr>
        <w:t xml:space="preserve"> or </w:t>
      </w:r>
      <w:r w:rsidR="002A78CC" w:rsidRPr="009616DC">
        <w:rPr>
          <w:color w:val="000000" w:themeColor="text1"/>
          <w:szCs w:val="24"/>
        </w:rPr>
        <w:t>contended by the CI.  Anxiety, depression, sleep disturbance and several non-acute conditions or medical complaints were documented</w:t>
      </w:r>
      <w:r w:rsidR="009616DC" w:rsidRPr="009616DC">
        <w:rPr>
          <w:color w:val="000000" w:themeColor="text1"/>
          <w:szCs w:val="24"/>
        </w:rPr>
        <w:t xml:space="preserve"> in the </w:t>
      </w:r>
      <w:r w:rsidR="004C1065">
        <w:rPr>
          <w:color w:val="000000" w:themeColor="text1"/>
          <w:szCs w:val="24"/>
        </w:rPr>
        <w:t>Disability Evaluation System (</w:t>
      </w:r>
      <w:r w:rsidR="009616DC" w:rsidRPr="009616DC">
        <w:rPr>
          <w:color w:val="000000" w:themeColor="text1"/>
          <w:szCs w:val="24"/>
        </w:rPr>
        <w:t>DES</w:t>
      </w:r>
      <w:r w:rsidR="004C1065">
        <w:rPr>
          <w:color w:val="000000" w:themeColor="text1"/>
          <w:szCs w:val="24"/>
        </w:rPr>
        <w:t>)</w:t>
      </w:r>
      <w:r w:rsidR="009616DC" w:rsidRPr="009616DC">
        <w:rPr>
          <w:color w:val="000000" w:themeColor="text1"/>
          <w:szCs w:val="24"/>
        </w:rPr>
        <w:t xml:space="preserve"> file.  None of these conditions were significantly clinically or occupationally active during the MEB period, none carried attached profiles, and none were implicated in the commander’s statement.</w:t>
      </w:r>
      <w:r w:rsidR="00891E57">
        <w:rPr>
          <w:color w:val="000000" w:themeColor="text1"/>
          <w:szCs w:val="24"/>
        </w:rPr>
        <w:t xml:space="preserve">  The serial physical profile was S1.  </w:t>
      </w:r>
      <w:r w:rsidR="003D7A27">
        <w:rPr>
          <w:color w:val="000000" w:themeColor="text1"/>
          <w:szCs w:val="24"/>
        </w:rPr>
        <w:t>The commander’s statement indicated that the CI performed his alternate duties well, worked a full duty day, was able to maintain a level of attention and focus to carry out instructions and complete tasks in a timely manner,</w:t>
      </w:r>
      <w:r w:rsidR="00891E57">
        <w:rPr>
          <w:color w:val="000000" w:themeColor="text1"/>
          <w:szCs w:val="24"/>
        </w:rPr>
        <w:t xml:space="preserve"> and communicated and related to others without difficulty.  </w:t>
      </w:r>
      <w:r w:rsidR="009616DC" w:rsidRPr="009616DC">
        <w:rPr>
          <w:color w:val="000000" w:themeColor="text1"/>
          <w:szCs w:val="24"/>
        </w:rPr>
        <w:t xml:space="preserve">These conditions were </w:t>
      </w:r>
      <w:r w:rsidR="009616DC" w:rsidRPr="003924D2">
        <w:rPr>
          <w:color w:val="000000" w:themeColor="text1"/>
          <w:szCs w:val="24"/>
        </w:rPr>
        <w:t xml:space="preserve">reviewed by the </w:t>
      </w:r>
      <w:r w:rsidR="009C1EFE">
        <w:rPr>
          <w:color w:val="000000" w:themeColor="text1"/>
          <w:szCs w:val="24"/>
        </w:rPr>
        <w:t>a</w:t>
      </w:r>
      <w:r w:rsidR="00733DA0" w:rsidRPr="003924D2">
        <w:rPr>
          <w:color w:val="000000" w:themeColor="text1"/>
          <w:szCs w:val="24"/>
        </w:rPr>
        <w:t xml:space="preserve">ction </w:t>
      </w:r>
      <w:r w:rsidR="009C1EFE">
        <w:rPr>
          <w:color w:val="000000" w:themeColor="text1"/>
          <w:szCs w:val="24"/>
        </w:rPr>
        <w:t>o</w:t>
      </w:r>
      <w:r w:rsidR="00733DA0" w:rsidRPr="003924D2">
        <w:rPr>
          <w:color w:val="000000" w:themeColor="text1"/>
          <w:szCs w:val="24"/>
        </w:rPr>
        <w:t xml:space="preserve">fficer </w:t>
      </w:r>
      <w:r w:rsidR="009616DC" w:rsidRPr="003924D2">
        <w:rPr>
          <w:color w:val="000000" w:themeColor="text1"/>
          <w:szCs w:val="24"/>
        </w:rPr>
        <w:t xml:space="preserve">and considered by the Board.  It was determined that none could be argued as unfitting and subject to separation rating.  Additionally </w:t>
      </w:r>
      <w:proofErr w:type="spellStart"/>
      <w:r w:rsidR="004C1065">
        <w:rPr>
          <w:bCs/>
          <w:color w:val="000000" w:themeColor="text1"/>
          <w:szCs w:val="24"/>
        </w:rPr>
        <w:t>g</w:t>
      </w:r>
      <w:r w:rsidR="004C1065" w:rsidRPr="004C1065">
        <w:rPr>
          <w:bCs/>
          <w:color w:val="000000" w:themeColor="text1"/>
          <w:szCs w:val="24"/>
        </w:rPr>
        <w:t>astroesophageal</w:t>
      </w:r>
      <w:proofErr w:type="spellEnd"/>
      <w:r w:rsidR="004C1065" w:rsidRPr="004C1065">
        <w:rPr>
          <w:bCs/>
          <w:color w:val="000000" w:themeColor="text1"/>
          <w:szCs w:val="24"/>
        </w:rPr>
        <w:t xml:space="preserve"> reflux disease</w:t>
      </w:r>
      <w:r w:rsidR="009616DC" w:rsidRPr="003924D2">
        <w:rPr>
          <w:color w:val="000000" w:themeColor="text1"/>
          <w:szCs w:val="24"/>
        </w:rPr>
        <w:t xml:space="preserve">, </w:t>
      </w:r>
      <w:r w:rsidR="003924D2" w:rsidRPr="003924D2">
        <w:rPr>
          <w:color w:val="000000" w:themeColor="text1"/>
          <w:szCs w:val="24"/>
        </w:rPr>
        <w:t>kidney stone</w:t>
      </w:r>
      <w:r w:rsidR="009616DC" w:rsidRPr="003924D2">
        <w:rPr>
          <w:color w:val="000000" w:themeColor="text1"/>
          <w:szCs w:val="24"/>
        </w:rPr>
        <w:t xml:space="preserve"> and several other non-acute conditions were noted in the VA proximal to separation, but were not documented</w:t>
      </w:r>
      <w:r w:rsidR="009616DC" w:rsidRPr="001F29F9">
        <w:rPr>
          <w:color w:val="000000" w:themeColor="text1"/>
          <w:szCs w:val="24"/>
        </w:rPr>
        <w:t xml:space="preserv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927006">
      <w:pPr>
        <w:jc w:val="both"/>
        <w:rPr>
          <w:rFonts w:asciiTheme="minorHAnsi" w:eastAsia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The Board did not surmise from the record or PEB ruling in this case that any prerogatives outside the VASRD </w:t>
      </w:r>
      <w:r w:rsidR="003C53E8" w:rsidRPr="003C53E8">
        <w:rPr>
          <w:rFonts w:asciiTheme="minorHAnsi" w:eastAsiaTheme="minorHAnsi" w:hAnsiTheme="minorHAnsi" w:cs="Times New Roman"/>
          <w:color w:val="auto"/>
          <w:szCs w:val="24"/>
        </w:rPr>
        <w:lastRenderedPageBreak/>
        <w:t>were exercised.</w:t>
      </w:r>
      <w:r w:rsidR="003924D2" w:rsidRPr="003924D2">
        <w:rPr>
          <w:rFonts w:asciiTheme="minorHAnsi" w:eastAsiaTheme="minorHAnsi" w:hAnsiTheme="minorHAnsi" w:cs="Times New Roman"/>
          <w:color w:val="auto"/>
          <w:szCs w:val="24"/>
        </w:rPr>
        <w:t xml:space="preserve"> </w:t>
      </w:r>
      <w:r w:rsidR="004C1065">
        <w:rPr>
          <w:rFonts w:asciiTheme="minorHAnsi" w:eastAsiaTheme="minorHAnsi" w:hAnsiTheme="minorHAnsi" w:cs="Times New Roman"/>
          <w:color w:val="auto"/>
          <w:szCs w:val="24"/>
        </w:rPr>
        <w:t xml:space="preserve"> </w:t>
      </w:r>
      <w:r w:rsidR="003924D2" w:rsidRPr="003C53E8">
        <w:rPr>
          <w:rFonts w:asciiTheme="minorHAnsi" w:eastAsiaTheme="minorHAnsi" w:hAnsiTheme="minorHAnsi" w:cs="Times New Roman"/>
          <w:color w:val="auto"/>
          <w:szCs w:val="24"/>
        </w:rPr>
        <w:t xml:space="preserve">In the matter of the </w:t>
      </w:r>
      <w:r w:rsidR="007B1D23">
        <w:rPr>
          <w:rFonts w:asciiTheme="minorHAnsi" w:eastAsiaTheme="minorHAnsi" w:hAnsiTheme="minorHAnsi" w:cs="Times New Roman"/>
          <w:color w:val="auto"/>
          <w:szCs w:val="24"/>
        </w:rPr>
        <w:t>back pain</w:t>
      </w:r>
      <w:r w:rsidR="003924D2" w:rsidRPr="003C53E8">
        <w:rPr>
          <w:rFonts w:asciiTheme="minorHAnsi" w:eastAsiaTheme="minorHAnsi" w:hAnsiTheme="minorHAnsi" w:cs="Times New Roman"/>
          <w:color w:val="auto"/>
          <w:szCs w:val="24"/>
        </w:rPr>
        <w:t xml:space="preserve"> </w:t>
      </w:r>
      <w:r w:rsidR="007B1D23">
        <w:rPr>
          <w:rFonts w:asciiTheme="minorHAnsi" w:eastAsiaTheme="minorHAnsi" w:hAnsiTheme="minorHAnsi" w:cs="Times New Roman"/>
          <w:color w:val="auto"/>
          <w:szCs w:val="24"/>
        </w:rPr>
        <w:t xml:space="preserve">and hearing loss </w:t>
      </w:r>
      <w:r w:rsidR="003924D2" w:rsidRPr="003C53E8">
        <w:rPr>
          <w:rFonts w:asciiTheme="minorHAnsi" w:eastAsiaTheme="minorHAnsi" w:hAnsiTheme="minorHAnsi" w:cs="Times New Roman"/>
          <w:color w:val="auto"/>
          <w:szCs w:val="24"/>
        </w:rPr>
        <w:t>condition</w:t>
      </w:r>
      <w:r w:rsidR="007B1D23">
        <w:rPr>
          <w:rFonts w:asciiTheme="minorHAnsi" w:eastAsiaTheme="minorHAnsi" w:hAnsiTheme="minorHAnsi" w:cs="Times New Roman"/>
          <w:color w:val="auto"/>
          <w:szCs w:val="24"/>
        </w:rPr>
        <w:t>s</w:t>
      </w:r>
      <w:r w:rsidR="003924D2" w:rsidRPr="003C53E8">
        <w:rPr>
          <w:rFonts w:asciiTheme="minorHAnsi" w:eastAsiaTheme="minorHAnsi" w:hAnsiTheme="minorHAnsi" w:cs="Times New Roman"/>
          <w:color w:val="auto"/>
          <w:szCs w:val="24"/>
        </w:rPr>
        <w:t xml:space="preserve"> and </w:t>
      </w:r>
      <w:r w:rsidR="003924D2" w:rsidRPr="00927006">
        <w:rPr>
          <w:rFonts w:asciiTheme="minorHAnsi" w:eastAsiaTheme="minorHAnsi" w:hAnsiTheme="minorHAnsi" w:cs="Times New Roman"/>
          <w:color w:val="auto"/>
          <w:szCs w:val="24"/>
        </w:rPr>
        <w:t>IAW VASRD §4.71a</w:t>
      </w:r>
      <w:r w:rsidR="007B1D23" w:rsidRPr="00927006">
        <w:rPr>
          <w:rFonts w:asciiTheme="minorHAnsi" w:eastAsiaTheme="minorHAnsi" w:hAnsiTheme="minorHAnsi" w:cs="Times New Roman"/>
          <w:color w:val="auto"/>
          <w:szCs w:val="24"/>
        </w:rPr>
        <w:t xml:space="preserve"> and §4.85 respectively</w:t>
      </w:r>
      <w:r w:rsidR="003924D2" w:rsidRPr="007B1D23">
        <w:rPr>
          <w:rFonts w:asciiTheme="minorHAnsi" w:eastAsiaTheme="minorHAnsi" w:hAnsiTheme="minorHAnsi" w:cs="Times New Roman"/>
          <w:color w:val="auto"/>
          <w:szCs w:val="24"/>
        </w:rPr>
        <w:t>, the</w:t>
      </w:r>
      <w:r w:rsidR="003924D2" w:rsidRPr="003C53E8">
        <w:rPr>
          <w:rFonts w:asciiTheme="minorHAnsi" w:eastAsiaTheme="minorHAnsi" w:hAnsiTheme="minorHAnsi" w:cs="Times New Roman"/>
          <w:color w:val="auto"/>
          <w:szCs w:val="24"/>
        </w:rPr>
        <w:t xml:space="preserve"> Board </w:t>
      </w:r>
      <w:r w:rsidR="003924D2" w:rsidRPr="00927006">
        <w:rPr>
          <w:rFonts w:asciiTheme="minorHAnsi" w:eastAsiaTheme="minorHAnsi" w:hAnsiTheme="minorHAnsi" w:cs="Times New Roman"/>
          <w:color w:val="auto"/>
          <w:szCs w:val="24"/>
        </w:rPr>
        <w:t>unanimously</w:t>
      </w:r>
      <w:r w:rsidR="003924D2" w:rsidRPr="003C53E8">
        <w:rPr>
          <w:rFonts w:asciiTheme="minorHAnsi" w:eastAsiaTheme="minorHAnsi" w:hAnsiTheme="minorHAnsi" w:cs="Times New Roman"/>
          <w:color w:val="auto"/>
          <w:szCs w:val="24"/>
        </w:rPr>
        <w:t xml:space="preserve"> recommends no change in the PEB adjudication</w:t>
      </w:r>
      <w:r w:rsidR="003924D2" w:rsidRPr="00927006">
        <w:rPr>
          <w:rFonts w:asciiTheme="minorHAnsi" w:eastAsiaTheme="minorHAnsi" w:hAnsiTheme="minorHAnsi" w:cs="Times New Roman"/>
          <w:color w:val="auto"/>
          <w:szCs w:val="24"/>
        </w:rPr>
        <w:t xml:space="preserve">.  In the matter of the </w:t>
      </w:r>
      <w:r w:rsidR="007B1D23" w:rsidRPr="00927006">
        <w:rPr>
          <w:rFonts w:asciiTheme="minorHAnsi" w:eastAsiaTheme="minorHAnsi" w:hAnsiTheme="minorHAnsi" w:cs="Times New Roman"/>
          <w:color w:val="auto"/>
          <w:szCs w:val="24"/>
        </w:rPr>
        <w:t>thoracic vertebral fracture and tinnitus</w:t>
      </w:r>
      <w:r w:rsidR="003924D2" w:rsidRPr="00927006">
        <w:rPr>
          <w:rFonts w:asciiTheme="minorHAnsi" w:eastAsiaTheme="minorHAnsi" w:hAnsiTheme="minorHAnsi" w:cs="Times New Roman"/>
          <w:color w:val="auto"/>
          <w:szCs w:val="24"/>
        </w:rPr>
        <w:t xml:space="preserve"> condition</w:t>
      </w:r>
      <w:r w:rsidR="007B1D23" w:rsidRPr="00927006">
        <w:rPr>
          <w:rFonts w:asciiTheme="minorHAnsi" w:eastAsiaTheme="minorHAnsi" w:hAnsiTheme="minorHAnsi" w:cs="Times New Roman"/>
          <w:color w:val="auto"/>
          <w:szCs w:val="24"/>
        </w:rPr>
        <w:t>s</w:t>
      </w:r>
      <w:r w:rsidR="003924D2" w:rsidRPr="00927006">
        <w:rPr>
          <w:rFonts w:asciiTheme="minorHAnsi" w:eastAsiaTheme="minorHAnsi" w:hAnsiTheme="minorHAnsi" w:cs="Times New Roman"/>
          <w:color w:val="auto"/>
          <w:szCs w:val="24"/>
        </w:rPr>
        <w:t xml:space="preserve">, the Board unanimously agrees that it cannot recommend a finding of unfit for additional rating at separation.  In the matter of the </w:t>
      </w:r>
      <w:r w:rsidR="007B1D23" w:rsidRPr="00927006">
        <w:rPr>
          <w:rFonts w:asciiTheme="minorHAnsi" w:eastAsiaTheme="minorHAnsi" w:hAnsiTheme="minorHAnsi" w:cs="Times New Roman"/>
          <w:color w:val="auto"/>
          <w:szCs w:val="24"/>
        </w:rPr>
        <w:t xml:space="preserve">anxiety, depression, and sleep disturbance </w:t>
      </w:r>
      <w:r w:rsidR="003924D2" w:rsidRPr="007B1D23">
        <w:rPr>
          <w:rFonts w:asciiTheme="minorHAnsi" w:eastAsiaTheme="minorHAnsi" w:hAnsiTheme="minorHAnsi" w:cs="Times New Roman"/>
          <w:color w:val="auto"/>
          <w:szCs w:val="24"/>
        </w:rPr>
        <w:t>conditions</w:t>
      </w:r>
      <w:r w:rsidR="003924D2" w:rsidRPr="00927006">
        <w:rPr>
          <w:rFonts w:asciiTheme="minorHAnsi" w:eastAsiaTheme="minorHAnsi" w:hAnsiTheme="minorHAnsi" w:cs="Times New Roman"/>
          <w:color w:val="auto"/>
          <w:szCs w:val="24"/>
        </w:rPr>
        <w:t xml:space="preserve"> 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467ABA" w:rsidRDefault="00C56FC8" w:rsidP="00467ABA">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467ABA" w:rsidRPr="00467ABA">
        <w:rPr>
          <w:color w:val="000000" w:themeColor="text1"/>
          <w:szCs w:val="24"/>
        </w:rPr>
        <w:t xml:space="preserve"> </w:t>
      </w:r>
      <w:r w:rsidR="00467ABA">
        <w:rPr>
          <w:color w:val="000000" w:themeColor="text1"/>
          <w:szCs w:val="24"/>
        </w:rPr>
        <w:t xml:space="preserve"> </w:t>
      </w:r>
      <w:r w:rsidR="00467ABA" w:rsidRPr="001F29F9">
        <w:rPr>
          <w:color w:val="000000" w:themeColor="text1"/>
          <w:szCs w:val="24"/>
        </w:rPr>
        <w:t>The Board, therefore, recommends that there be no recharacterization of the CI’s disability and separation determination, as follows:</w:t>
      </w:r>
      <w:r w:rsidR="00E53460"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467ABA" w:rsidRPr="001F29F9" w:rsidTr="0080588E">
        <w:trPr>
          <w:jc w:val="center"/>
        </w:trPr>
        <w:tc>
          <w:tcPr>
            <w:tcW w:w="6282" w:type="dxa"/>
            <w:vAlign w:val="center"/>
          </w:tcPr>
          <w:p w:rsidR="00467ABA" w:rsidRPr="00467ABA" w:rsidRDefault="00467ABA" w:rsidP="00467ABA">
            <w:pPr>
              <w:tabs>
                <w:tab w:val="left" w:pos="288"/>
                <w:tab w:val="left" w:pos="4752"/>
              </w:tabs>
              <w:jc w:val="left"/>
              <w:rPr>
                <w:color w:val="000000" w:themeColor="text1"/>
                <w:szCs w:val="24"/>
              </w:rPr>
            </w:pPr>
            <w:r w:rsidRPr="00467ABA">
              <w:rPr>
                <w:color w:val="000000" w:themeColor="text1"/>
                <w:szCs w:val="24"/>
              </w:rPr>
              <w:t>Vertebral Body Fracture</w:t>
            </w:r>
          </w:p>
        </w:tc>
        <w:tc>
          <w:tcPr>
            <w:tcW w:w="1710" w:type="dxa"/>
            <w:vAlign w:val="center"/>
          </w:tcPr>
          <w:p w:rsidR="00467ABA" w:rsidRPr="009272C8" w:rsidRDefault="00467ABA" w:rsidP="00467ABA">
            <w:pPr>
              <w:tabs>
                <w:tab w:val="left" w:pos="288"/>
                <w:tab w:val="left" w:pos="4752"/>
              </w:tabs>
              <w:rPr>
                <w:rFonts w:cs="Calibri"/>
                <w:color w:val="000000" w:themeColor="text1"/>
                <w:sz w:val="18"/>
                <w:szCs w:val="18"/>
              </w:rPr>
            </w:pPr>
            <w:r w:rsidRPr="00467ABA">
              <w:rPr>
                <w:color w:val="000000" w:themeColor="text1"/>
                <w:szCs w:val="24"/>
              </w:rPr>
              <w:t>5235</w:t>
            </w:r>
          </w:p>
        </w:tc>
        <w:tc>
          <w:tcPr>
            <w:tcW w:w="1170" w:type="dxa"/>
            <w:vAlign w:val="center"/>
          </w:tcPr>
          <w:p w:rsidR="00467ABA" w:rsidRPr="001F29F9" w:rsidRDefault="00467ABA" w:rsidP="00467ABA">
            <w:pPr>
              <w:tabs>
                <w:tab w:val="left" w:pos="288"/>
                <w:tab w:val="left" w:pos="4752"/>
              </w:tabs>
              <w:rPr>
                <w:color w:val="000000" w:themeColor="text1"/>
                <w:szCs w:val="24"/>
              </w:rPr>
            </w:pPr>
            <w:r>
              <w:rPr>
                <w:color w:val="000000" w:themeColor="text1"/>
                <w:szCs w:val="24"/>
              </w:rPr>
              <w:t>2</w:t>
            </w:r>
            <w:r w:rsidRPr="00467ABA">
              <w:rPr>
                <w:color w:val="000000" w:themeColor="text1"/>
                <w:szCs w:val="24"/>
              </w:rPr>
              <w:t>0%</w:t>
            </w:r>
          </w:p>
        </w:tc>
      </w:tr>
      <w:tr w:rsidR="007B1D23" w:rsidRPr="001F29F9" w:rsidTr="0080588E">
        <w:trPr>
          <w:jc w:val="center"/>
        </w:trPr>
        <w:tc>
          <w:tcPr>
            <w:tcW w:w="6282" w:type="dxa"/>
            <w:vAlign w:val="center"/>
          </w:tcPr>
          <w:p w:rsidR="007B1D23" w:rsidRPr="00467ABA" w:rsidRDefault="007B1D23" w:rsidP="00467ABA">
            <w:pPr>
              <w:tabs>
                <w:tab w:val="left" w:pos="288"/>
                <w:tab w:val="left" w:pos="4752"/>
              </w:tabs>
              <w:jc w:val="left"/>
              <w:rPr>
                <w:color w:val="000000" w:themeColor="text1"/>
                <w:szCs w:val="24"/>
              </w:rPr>
            </w:pPr>
            <w:r>
              <w:rPr>
                <w:color w:val="000000" w:themeColor="text1"/>
                <w:szCs w:val="24"/>
              </w:rPr>
              <w:t>Hearing Loss</w:t>
            </w:r>
          </w:p>
        </w:tc>
        <w:tc>
          <w:tcPr>
            <w:tcW w:w="1710" w:type="dxa"/>
            <w:vAlign w:val="center"/>
          </w:tcPr>
          <w:p w:rsidR="007B1D23" w:rsidRPr="00467ABA" w:rsidRDefault="007B1D23" w:rsidP="00467ABA">
            <w:pPr>
              <w:tabs>
                <w:tab w:val="left" w:pos="288"/>
                <w:tab w:val="left" w:pos="4752"/>
              </w:tabs>
              <w:rPr>
                <w:color w:val="000000" w:themeColor="text1"/>
                <w:szCs w:val="24"/>
              </w:rPr>
            </w:pPr>
            <w:r>
              <w:rPr>
                <w:color w:val="000000" w:themeColor="text1"/>
                <w:szCs w:val="24"/>
              </w:rPr>
              <w:t>6100</w:t>
            </w:r>
          </w:p>
        </w:tc>
        <w:tc>
          <w:tcPr>
            <w:tcW w:w="1170" w:type="dxa"/>
            <w:vAlign w:val="center"/>
          </w:tcPr>
          <w:p w:rsidR="007B1D23" w:rsidRDefault="007B1D23" w:rsidP="00467ABA">
            <w:pPr>
              <w:tabs>
                <w:tab w:val="left" w:pos="288"/>
                <w:tab w:val="left" w:pos="4752"/>
              </w:tabs>
              <w:rPr>
                <w:color w:val="000000" w:themeColor="text1"/>
                <w:szCs w:val="24"/>
              </w:rPr>
            </w:pPr>
            <w:r>
              <w:rPr>
                <w:color w:val="000000" w:themeColor="text1"/>
                <w:szCs w:val="24"/>
              </w:rPr>
              <w:t>0%</w:t>
            </w:r>
          </w:p>
        </w:tc>
      </w:tr>
      <w:tr w:rsidR="00467A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467ABA" w:rsidRPr="001F29F9" w:rsidRDefault="00467ABA" w:rsidP="00467ABA">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467ABA" w:rsidRPr="001F29F9" w:rsidRDefault="00467ABA" w:rsidP="00467ABA">
            <w:pPr>
              <w:tabs>
                <w:tab w:val="left" w:pos="288"/>
                <w:tab w:val="left" w:pos="4752"/>
              </w:tabs>
              <w:rPr>
                <w:b/>
                <w:color w:val="000000" w:themeColor="text1"/>
                <w:szCs w:val="24"/>
              </w:rPr>
            </w:pPr>
            <w:r>
              <w:rPr>
                <w:b/>
                <w:color w:val="000000" w:themeColor="text1"/>
                <w:szCs w:val="24"/>
              </w:rPr>
              <w:t>20</w:t>
            </w:r>
            <w:r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67ABA">
        <w:rPr>
          <w:color w:val="000000" w:themeColor="text1"/>
          <w:szCs w:val="24"/>
        </w:rPr>
        <w:t>00421</w:t>
      </w:r>
      <w:r w:rsidR="004C1065">
        <w:rPr>
          <w:color w:val="000000" w:themeColor="text1"/>
        </w:rPr>
        <w:t>, w/</w:t>
      </w:r>
      <w:proofErr w:type="spellStart"/>
      <w:r w:rsidR="004C1065">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4C106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4C106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81B52"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E81B52" w:rsidRDefault="00E81B52">
      <w:pPr>
        <w:rPr>
          <w:color w:val="000000" w:themeColor="text1"/>
          <w:szCs w:val="24"/>
        </w:rPr>
      </w:pPr>
      <w:r>
        <w:rPr>
          <w:color w:val="000000" w:themeColor="text1"/>
          <w:szCs w:val="24"/>
        </w:rPr>
        <w:br w:type="page"/>
      </w:r>
    </w:p>
    <w:p w:rsidR="00E81B52" w:rsidRDefault="00E81B52" w:rsidP="00E81B52">
      <w:pPr>
        <w:pStyle w:val="Header"/>
        <w:tabs>
          <w:tab w:val="clear" w:pos="4320"/>
          <w:tab w:val="clear" w:pos="8640"/>
        </w:tabs>
        <w:jc w:val="left"/>
      </w:pPr>
      <w:r>
        <w:lastRenderedPageBreak/>
        <w:t>SFMR-RB</w:t>
      </w:r>
    </w:p>
    <w:p w:rsidR="00E81B52" w:rsidRDefault="00E81B52" w:rsidP="00E81B52">
      <w:pPr>
        <w:pStyle w:val="Header"/>
        <w:tabs>
          <w:tab w:val="clear" w:pos="4320"/>
          <w:tab w:val="clear" w:pos="8640"/>
        </w:tabs>
        <w:jc w:val="left"/>
      </w:pPr>
    </w:p>
    <w:p w:rsidR="00E81B52" w:rsidRDefault="00E81B52" w:rsidP="00E81B52">
      <w:pPr>
        <w:jc w:val="left"/>
      </w:pPr>
    </w:p>
    <w:p w:rsidR="00E81B52" w:rsidRDefault="00E81B52" w:rsidP="00E81B52">
      <w:pPr>
        <w:jc w:val="left"/>
      </w:pPr>
      <w:r>
        <w:t>MEMORANDUM FOR Commander, US Army Physical Disability Agency</w:t>
      </w:r>
    </w:p>
    <w:p w:rsidR="00E81B52" w:rsidRDefault="00E81B52" w:rsidP="00E81B52">
      <w:pPr>
        <w:jc w:val="left"/>
      </w:pPr>
    </w:p>
    <w:p w:rsidR="00E81B52" w:rsidRDefault="00E81B52" w:rsidP="00E81B52">
      <w:pPr>
        <w:jc w:val="left"/>
      </w:pPr>
    </w:p>
    <w:p w:rsidR="00E81B52" w:rsidRDefault="00E81B52" w:rsidP="00E81B52">
      <w:pPr>
        <w:ind w:right="-180"/>
        <w:jc w:val="left"/>
      </w:pPr>
      <w:r>
        <w:t>SUBJECT:  Department of Defense Physical Disability Board of Review Recommendation</w:t>
      </w:r>
    </w:p>
    <w:p w:rsidR="00E81B52" w:rsidRDefault="00E81B52" w:rsidP="00E81B52">
      <w:pPr>
        <w:pStyle w:val="Header"/>
        <w:tabs>
          <w:tab w:val="clear" w:pos="4320"/>
          <w:tab w:val="clear" w:pos="8640"/>
        </w:tabs>
        <w:jc w:val="left"/>
      </w:pPr>
    </w:p>
    <w:p w:rsidR="00E81B52" w:rsidRDefault="00E81B52" w:rsidP="00E81B52">
      <w:pPr>
        <w:jc w:val="left"/>
      </w:pPr>
    </w:p>
    <w:p w:rsidR="00E81B52" w:rsidRDefault="00E81B52" w:rsidP="00E81B5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w:t>
      </w:r>
    </w:p>
    <w:p w:rsidR="00E81B52" w:rsidRDefault="00E81B52" w:rsidP="00E81B52">
      <w:pPr>
        <w:jc w:val="left"/>
      </w:pPr>
    </w:p>
    <w:p w:rsidR="00E81B52" w:rsidRDefault="00E81B52" w:rsidP="00E81B52">
      <w:pPr>
        <w:jc w:val="left"/>
      </w:pPr>
      <w:r>
        <w:t>This decision is final.  The individual concerned, counsel (if any), and any Members of Congress who have shown interest in this application have been notified of this decision by mail.</w:t>
      </w:r>
    </w:p>
    <w:p w:rsidR="00E81B52" w:rsidRDefault="00E81B52" w:rsidP="00E81B52">
      <w:pPr>
        <w:jc w:val="left"/>
      </w:pPr>
    </w:p>
    <w:p w:rsidR="00E81B52" w:rsidRDefault="00E81B52" w:rsidP="00E81B52">
      <w:pPr>
        <w:jc w:val="left"/>
      </w:pPr>
      <w:r>
        <w:t>BY ORDER OF THE SECRETARY OF THE ARMY:</w:t>
      </w:r>
    </w:p>
    <w:p w:rsidR="00E81B52" w:rsidRDefault="00E81B52" w:rsidP="00E81B52">
      <w:pPr>
        <w:jc w:val="left"/>
      </w:pPr>
    </w:p>
    <w:p w:rsidR="00E81B52" w:rsidRDefault="00E81B52" w:rsidP="00E81B52">
      <w:pPr>
        <w:jc w:val="left"/>
      </w:pPr>
    </w:p>
    <w:p w:rsidR="00E81B52" w:rsidRDefault="00E81B52" w:rsidP="00E81B52">
      <w:pPr>
        <w:pStyle w:val="Header"/>
        <w:tabs>
          <w:tab w:val="clear" w:pos="4320"/>
          <w:tab w:val="clear" w:pos="8640"/>
        </w:tabs>
        <w:jc w:val="left"/>
      </w:pPr>
    </w:p>
    <w:p w:rsidR="00E81B52" w:rsidRDefault="00E81B52" w:rsidP="00E81B52">
      <w:pPr>
        <w:jc w:val="left"/>
      </w:pPr>
    </w:p>
    <w:p w:rsidR="00E81B52" w:rsidRDefault="00E81B52" w:rsidP="00E81B52">
      <w:pPr>
        <w:jc w:val="left"/>
      </w:pPr>
      <w:bookmarkStart w:id="0" w:name="OLE_LINK3"/>
      <w:bookmarkStart w:id="1" w:name="OLE_LINK4"/>
      <w:r>
        <w:t>Encl</w:t>
      </w:r>
    </w:p>
    <w:p w:rsidR="00E81B52" w:rsidRDefault="00E81B52" w:rsidP="00E81B52">
      <w:pPr>
        <w:ind w:left="4320" w:firstLine="720"/>
        <w:jc w:val="left"/>
      </w:pPr>
      <w:r>
        <w:t>Deputy Assistant Secretary</w:t>
      </w:r>
    </w:p>
    <w:p w:rsidR="00E81B52" w:rsidRDefault="00E81B52" w:rsidP="00E81B52">
      <w:pPr>
        <w:ind w:left="4320" w:firstLine="720"/>
        <w:jc w:val="left"/>
      </w:pPr>
      <w:r>
        <w:t>(Army Review Boards)</w:t>
      </w:r>
      <w:bookmarkEnd w:id="0"/>
      <w:bookmarkEnd w:id="1"/>
    </w:p>
    <w:p w:rsidR="00E3077F" w:rsidRPr="001F29F9" w:rsidRDefault="00E3077F" w:rsidP="00BF0E94">
      <w:pPr>
        <w:tabs>
          <w:tab w:val="left" w:pos="0"/>
          <w:tab w:val="left" w:pos="4320"/>
        </w:tabs>
        <w:jc w:val="both"/>
        <w:rPr>
          <w:color w:val="000000" w:themeColor="text1"/>
          <w:szCs w:val="24"/>
        </w:rPr>
      </w:pPr>
    </w:p>
    <w:p w:rsidR="00DC1607" w:rsidRDefault="00DC1607" w:rsidP="00BF0E94">
      <w:pPr>
        <w:rPr>
          <w:color w:val="000000" w:themeColor="text1"/>
          <w:szCs w:val="24"/>
          <w:u w:val="single"/>
        </w:rPr>
      </w:pPr>
    </w:p>
    <w:p w:rsidR="00DC1607" w:rsidRDefault="00DC1607" w:rsidP="00DC1607">
      <w:pPr>
        <w:jc w:val="left"/>
        <w:rPr>
          <w:color w:val="000000" w:themeColor="text1"/>
          <w:szCs w:val="24"/>
          <w:u w:val="single"/>
        </w:rPr>
      </w:pPr>
    </w:p>
    <w:sectPr w:rsidR="00DC160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97" w:rsidRDefault="003E4297">
      <w:r>
        <w:separator/>
      </w:r>
    </w:p>
  </w:endnote>
  <w:endnote w:type="continuationSeparator" w:id="0">
    <w:p w:rsidR="003E4297" w:rsidRDefault="003E4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41BE4" w:rsidRPr="00374247" w:rsidRDefault="00E41BE4" w:rsidP="00374247">
        <w:pPr>
          <w:pStyle w:val="Footer"/>
          <w:ind w:firstLine="4320"/>
          <w:rPr>
            <w:color w:val="auto"/>
            <w:szCs w:val="24"/>
          </w:rPr>
        </w:pPr>
        <w:r w:rsidRPr="00374247">
          <w:rPr>
            <w:color w:val="auto"/>
            <w:szCs w:val="24"/>
          </w:rPr>
          <w:t xml:space="preserve">   </w:t>
        </w:r>
        <w:r w:rsidR="004D3D4A" w:rsidRPr="00374247">
          <w:rPr>
            <w:color w:val="auto"/>
            <w:szCs w:val="24"/>
          </w:rPr>
          <w:fldChar w:fldCharType="begin"/>
        </w:r>
        <w:r w:rsidRPr="00374247">
          <w:rPr>
            <w:color w:val="auto"/>
            <w:szCs w:val="24"/>
          </w:rPr>
          <w:instrText xml:space="preserve"> PAGE   \* MERGEFORMAT </w:instrText>
        </w:r>
        <w:r w:rsidR="004D3D4A" w:rsidRPr="00374247">
          <w:rPr>
            <w:color w:val="auto"/>
            <w:szCs w:val="24"/>
          </w:rPr>
          <w:fldChar w:fldCharType="separate"/>
        </w:r>
        <w:r w:rsidR="00E81B52" w:rsidRPr="00E81B52">
          <w:rPr>
            <w:noProof/>
            <w:color w:val="auto"/>
          </w:rPr>
          <w:t>5</w:t>
        </w:r>
        <w:r w:rsidR="004D3D4A" w:rsidRPr="00374247">
          <w:rPr>
            <w:color w:val="auto"/>
            <w:szCs w:val="24"/>
          </w:rPr>
          <w:fldChar w:fldCharType="end"/>
        </w:r>
        <w:r w:rsidRPr="00374247">
          <w:rPr>
            <w:color w:val="auto"/>
            <w:szCs w:val="24"/>
          </w:rPr>
          <w:t xml:space="preserve">                                                           </w:t>
        </w:r>
        <w:r w:rsidRPr="00B80C20">
          <w:rPr>
            <w:color w:val="auto"/>
            <w:szCs w:val="24"/>
          </w:rPr>
          <w:t>PD1000450</w:t>
        </w:r>
      </w:p>
    </w:sdtContent>
  </w:sdt>
  <w:p w:rsidR="00E41BE4" w:rsidRPr="00684CE6" w:rsidRDefault="00E41BE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97" w:rsidRDefault="003E4297">
      <w:r>
        <w:separator/>
      </w:r>
    </w:p>
  </w:footnote>
  <w:footnote w:type="continuationSeparator" w:id="0">
    <w:p w:rsidR="003E4297" w:rsidRDefault="003E4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2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2C8"/>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66B"/>
    <w:rsid w:val="0007488B"/>
    <w:rsid w:val="00075702"/>
    <w:rsid w:val="00075A0C"/>
    <w:rsid w:val="000775C2"/>
    <w:rsid w:val="00077835"/>
    <w:rsid w:val="000806AD"/>
    <w:rsid w:val="00080BDF"/>
    <w:rsid w:val="00080C57"/>
    <w:rsid w:val="00082482"/>
    <w:rsid w:val="00082CA0"/>
    <w:rsid w:val="0008418E"/>
    <w:rsid w:val="00084CF2"/>
    <w:rsid w:val="00085D7B"/>
    <w:rsid w:val="0008708B"/>
    <w:rsid w:val="00092619"/>
    <w:rsid w:val="00092C66"/>
    <w:rsid w:val="000949DD"/>
    <w:rsid w:val="00094E4F"/>
    <w:rsid w:val="00097A37"/>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0614"/>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1A8B"/>
    <w:rsid w:val="0013525F"/>
    <w:rsid w:val="00135385"/>
    <w:rsid w:val="00136204"/>
    <w:rsid w:val="001364D1"/>
    <w:rsid w:val="001374C7"/>
    <w:rsid w:val="00140FA4"/>
    <w:rsid w:val="00141BC9"/>
    <w:rsid w:val="001421FD"/>
    <w:rsid w:val="001425C8"/>
    <w:rsid w:val="00142EBA"/>
    <w:rsid w:val="00143B79"/>
    <w:rsid w:val="00143FAC"/>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39AE"/>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4F6"/>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A5B"/>
    <w:rsid w:val="00246DFF"/>
    <w:rsid w:val="00246E89"/>
    <w:rsid w:val="002504FD"/>
    <w:rsid w:val="0025183C"/>
    <w:rsid w:val="00252351"/>
    <w:rsid w:val="002528EC"/>
    <w:rsid w:val="00253522"/>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3CB"/>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A78CC"/>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B66"/>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15"/>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4D2"/>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A27"/>
    <w:rsid w:val="003D7DDB"/>
    <w:rsid w:val="003E024F"/>
    <w:rsid w:val="003E02C7"/>
    <w:rsid w:val="003E0543"/>
    <w:rsid w:val="003E061D"/>
    <w:rsid w:val="003E0B5A"/>
    <w:rsid w:val="003E1682"/>
    <w:rsid w:val="003E31E3"/>
    <w:rsid w:val="003E3E93"/>
    <w:rsid w:val="003E4297"/>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5D9"/>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67ABA"/>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065"/>
    <w:rsid w:val="004C1EF8"/>
    <w:rsid w:val="004C2063"/>
    <w:rsid w:val="004C24C5"/>
    <w:rsid w:val="004C2645"/>
    <w:rsid w:val="004C47D5"/>
    <w:rsid w:val="004C4CAF"/>
    <w:rsid w:val="004C5E33"/>
    <w:rsid w:val="004C60A3"/>
    <w:rsid w:val="004C6CDA"/>
    <w:rsid w:val="004D10D4"/>
    <w:rsid w:val="004D16BD"/>
    <w:rsid w:val="004D2AAB"/>
    <w:rsid w:val="004D3C7F"/>
    <w:rsid w:val="004D3D4A"/>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1D3"/>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779"/>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5F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C5B"/>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087A"/>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38"/>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17FED"/>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DA0"/>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77746"/>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D2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29"/>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1E57"/>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A58"/>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27006"/>
    <w:rsid w:val="009272C8"/>
    <w:rsid w:val="009303BB"/>
    <w:rsid w:val="0093108A"/>
    <w:rsid w:val="00931767"/>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6DC"/>
    <w:rsid w:val="00961840"/>
    <w:rsid w:val="009625E3"/>
    <w:rsid w:val="00962F2D"/>
    <w:rsid w:val="009634C9"/>
    <w:rsid w:val="00963A7A"/>
    <w:rsid w:val="00963E29"/>
    <w:rsid w:val="009672CD"/>
    <w:rsid w:val="00971810"/>
    <w:rsid w:val="00972996"/>
    <w:rsid w:val="009730B4"/>
    <w:rsid w:val="009730E3"/>
    <w:rsid w:val="0097320E"/>
    <w:rsid w:val="009732B8"/>
    <w:rsid w:val="00974647"/>
    <w:rsid w:val="0097514A"/>
    <w:rsid w:val="0097589F"/>
    <w:rsid w:val="009759C2"/>
    <w:rsid w:val="00975C72"/>
    <w:rsid w:val="00976869"/>
    <w:rsid w:val="00977740"/>
    <w:rsid w:val="00977CB4"/>
    <w:rsid w:val="009809B8"/>
    <w:rsid w:val="00981086"/>
    <w:rsid w:val="00981329"/>
    <w:rsid w:val="009818AF"/>
    <w:rsid w:val="00981B1C"/>
    <w:rsid w:val="0098222D"/>
    <w:rsid w:val="009842F3"/>
    <w:rsid w:val="00984EBF"/>
    <w:rsid w:val="00985099"/>
    <w:rsid w:val="00985D32"/>
    <w:rsid w:val="00986514"/>
    <w:rsid w:val="00986FCC"/>
    <w:rsid w:val="00990FD6"/>
    <w:rsid w:val="009935C3"/>
    <w:rsid w:val="0099421F"/>
    <w:rsid w:val="00994FC8"/>
    <w:rsid w:val="00997CB2"/>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1EFE"/>
    <w:rsid w:val="009C22C8"/>
    <w:rsid w:val="009C329D"/>
    <w:rsid w:val="009C3F82"/>
    <w:rsid w:val="009C582A"/>
    <w:rsid w:val="009C5C56"/>
    <w:rsid w:val="009C72DD"/>
    <w:rsid w:val="009C78FD"/>
    <w:rsid w:val="009C7DF5"/>
    <w:rsid w:val="009D056C"/>
    <w:rsid w:val="009D060F"/>
    <w:rsid w:val="009D1ADE"/>
    <w:rsid w:val="009D297C"/>
    <w:rsid w:val="009D3180"/>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07E9"/>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ABA"/>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955"/>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11"/>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813"/>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0A31"/>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17A7F"/>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79C"/>
    <w:rsid w:val="00B3575C"/>
    <w:rsid w:val="00B36569"/>
    <w:rsid w:val="00B37345"/>
    <w:rsid w:val="00B37F53"/>
    <w:rsid w:val="00B40A05"/>
    <w:rsid w:val="00B40A3E"/>
    <w:rsid w:val="00B427BB"/>
    <w:rsid w:val="00B42F13"/>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8BE"/>
    <w:rsid w:val="00B75A8B"/>
    <w:rsid w:val="00B75B61"/>
    <w:rsid w:val="00B76796"/>
    <w:rsid w:val="00B771E0"/>
    <w:rsid w:val="00B7793B"/>
    <w:rsid w:val="00B77EE7"/>
    <w:rsid w:val="00B80C20"/>
    <w:rsid w:val="00B80EDD"/>
    <w:rsid w:val="00B812BD"/>
    <w:rsid w:val="00B81964"/>
    <w:rsid w:val="00B82277"/>
    <w:rsid w:val="00B83AAC"/>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37A"/>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0D3"/>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0A5"/>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67"/>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047"/>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B0C"/>
    <w:rsid w:val="00D52FCC"/>
    <w:rsid w:val="00D53F14"/>
    <w:rsid w:val="00D54BE4"/>
    <w:rsid w:val="00D54DDB"/>
    <w:rsid w:val="00D554BC"/>
    <w:rsid w:val="00D560DC"/>
    <w:rsid w:val="00D56602"/>
    <w:rsid w:val="00D60483"/>
    <w:rsid w:val="00D61ABB"/>
    <w:rsid w:val="00D62D5C"/>
    <w:rsid w:val="00D632C3"/>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0AD"/>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2B1B"/>
    <w:rsid w:val="00E0346A"/>
    <w:rsid w:val="00E041E4"/>
    <w:rsid w:val="00E046B2"/>
    <w:rsid w:val="00E04AEE"/>
    <w:rsid w:val="00E061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BE4"/>
    <w:rsid w:val="00E42789"/>
    <w:rsid w:val="00E43F59"/>
    <w:rsid w:val="00E464F0"/>
    <w:rsid w:val="00E46EF3"/>
    <w:rsid w:val="00E47370"/>
    <w:rsid w:val="00E473E9"/>
    <w:rsid w:val="00E47B47"/>
    <w:rsid w:val="00E50BEB"/>
    <w:rsid w:val="00E514E7"/>
    <w:rsid w:val="00E53460"/>
    <w:rsid w:val="00E548FA"/>
    <w:rsid w:val="00E55CD9"/>
    <w:rsid w:val="00E57703"/>
    <w:rsid w:val="00E57ED4"/>
    <w:rsid w:val="00E57FED"/>
    <w:rsid w:val="00E6092F"/>
    <w:rsid w:val="00E61EE9"/>
    <w:rsid w:val="00E62049"/>
    <w:rsid w:val="00E629DA"/>
    <w:rsid w:val="00E64374"/>
    <w:rsid w:val="00E6451F"/>
    <w:rsid w:val="00E6469F"/>
    <w:rsid w:val="00E64CC7"/>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B52"/>
    <w:rsid w:val="00E81C3E"/>
    <w:rsid w:val="00E82359"/>
    <w:rsid w:val="00E82B6D"/>
    <w:rsid w:val="00E83187"/>
    <w:rsid w:val="00E831E9"/>
    <w:rsid w:val="00E84DDA"/>
    <w:rsid w:val="00E8608F"/>
    <w:rsid w:val="00E86C1D"/>
    <w:rsid w:val="00E90703"/>
    <w:rsid w:val="00E90A62"/>
    <w:rsid w:val="00E92126"/>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963"/>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47E4B"/>
    <w:rsid w:val="00F50F30"/>
    <w:rsid w:val="00F5126A"/>
    <w:rsid w:val="00F5126E"/>
    <w:rsid w:val="00F516EF"/>
    <w:rsid w:val="00F51755"/>
    <w:rsid w:val="00F531D9"/>
    <w:rsid w:val="00F5474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0F3"/>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table" w:customStyle="1" w:styleId="TableGrid1">
    <w:name w:val="Table Grid1"/>
    <w:basedOn w:val="TableNormal"/>
    <w:next w:val="TableGrid"/>
    <w:uiPriority w:val="59"/>
    <w:rsid w:val="002E7B66"/>
    <w:pPr>
      <w:spacing w:line="240" w:lineRule="auto"/>
      <w:jc w:val="left"/>
    </w:pPr>
    <w:rPr>
      <w:rFonts w:asciiTheme="minorHAnsi" w:eastAsia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E81B5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43829636">
      <w:bodyDiv w:val="1"/>
      <w:marLeft w:val="0"/>
      <w:marRight w:val="0"/>
      <w:marTop w:val="0"/>
      <w:marBottom w:val="0"/>
      <w:divBdr>
        <w:top w:val="none" w:sz="0" w:space="0" w:color="auto"/>
        <w:left w:val="none" w:sz="0" w:space="0" w:color="auto"/>
        <w:bottom w:val="none" w:sz="0" w:space="0" w:color="auto"/>
        <w:right w:val="none" w:sz="0" w:space="0" w:color="auto"/>
      </w:divBdr>
      <w:divsChild>
        <w:div w:id="936403549">
          <w:marLeft w:val="0"/>
          <w:marRight w:val="0"/>
          <w:marTop w:val="0"/>
          <w:marBottom w:val="0"/>
          <w:divBdr>
            <w:top w:val="none" w:sz="0" w:space="0" w:color="auto"/>
            <w:left w:val="none" w:sz="0" w:space="0" w:color="auto"/>
            <w:bottom w:val="none" w:sz="0" w:space="0" w:color="auto"/>
            <w:right w:val="none" w:sz="0" w:space="0" w:color="auto"/>
          </w:divBdr>
          <w:divsChild>
            <w:div w:id="1069886208">
              <w:marLeft w:val="0"/>
              <w:marRight w:val="0"/>
              <w:marTop w:val="0"/>
              <w:marBottom w:val="0"/>
              <w:divBdr>
                <w:top w:val="none" w:sz="0" w:space="0" w:color="auto"/>
                <w:left w:val="none" w:sz="0" w:space="0" w:color="auto"/>
                <w:bottom w:val="none" w:sz="0" w:space="0" w:color="auto"/>
                <w:right w:val="none" w:sz="0" w:space="0" w:color="auto"/>
              </w:divBdr>
              <w:divsChild>
                <w:div w:id="369765314">
                  <w:marLeft w:val="0"/>
                  <w:marRight w:val="0"/>
                  <w:marTop w:val="0"/>
                  <w:marBottom w:val="0"/>
                  <w:divBdr>
                    <w:top w:val="none" w:sz="0" w:space="0" w:color="auto"/>
                    <w:left w:val="none" w:sz="0" w:space="0" w:color="auto"/>
                    <w:bottom w:val="none" w:sz="0" w:space="0" w:color="auto"/>
                    <w:right w:val="none" w:sz="0" w:space="0" w:color="auto"/>
                  </w:divBdr>
                  <w:divsChild>
                    <w:div w:id="1926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04216">
      <w:bodyDiv w:val="1"/>
      <w:marLeft w:val="0"/>
      <w:marRight w:val="0"/>
      <w:marTop w:val="0"/>
      <w:marBottom w:val="0"/>
      <w:divBdr>
        <w:top w:val="none" w:sz="0" w:space="0" w:color="auto"/>
        <w:left w:val="none" w:sz="0" w:space="0" w:color="auto"/>
        <w:bottom w:val="none" w:sz="0" w:space="0" w:color="auto"/>
        <w:right w:val="none" w:sz="0" w:space="0" w:color="auto"/>
      </w:divBdr>
    </w:div>
    <w:div w:id="712390876">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56999034">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35703929">
      <w:bodyDiv w:val="1"/>
      <w:marLeft w:val="0"/>
      <w:marRight w:val="0"/>
      <w:marTop w:val="0"/>
      <w:marBottom w:val="0"/>
      <w:divBdr>
        <w:top w:val="none" w:sz="0" w:space="0" w:color="auto"/>
        <w:left w:val="none" w:sz="0" w:space="0" w:color="auto"/>
        <w:bottom w:val="none" w:sz="0" w:space="0" w:color="auto"/>
        <w:right w:val="none" w:sz="0" w:space="0" w:color="auto"/>
      </w:divBdr>
      <w:divsChild>
        <w:div w:id="1490751812">
          <w:marLeft w:val="0"/>
          <w:marRight w:val="0"/>
          <w:marTop w:val="0"/>
          <w:marBottom w:val="0"/>
          <w:divBdr>
            <w:top w:val="none" w:sz="0" w:space="0" w:color="auto"/>
            <w:left w:val="none" w:sz="0" w:space="0" w:color="auto"/>
            <w:bottom w:val="none" w:sz="0" w:space="0" w:color="auto"/>
            <w:right w:val="none" w:sz="0" w:space="0" w:color="auto"/>
          </w:divBdr>
          <w:divsChild>
            <w:div w:id="309139006">
              <w:marLeft w:val="0"/>
              <w:marRight w:val="0"/>
              <w:marTop w:val="0"/>
              <w:marBottom w:val="0"/>
              <w:divBdr>
                <w:top w:val="none" w:sz="0" w:space="0" w:color="auto"/>
                <w:left w:val="none" w:sz="0" w:space="0" w:color="auto"/>
                <w:bottom w:val="none" w:sz="0" w:space="0" w:color="auto"/>
                <w:right w:val="none" w:sz="0" w:space="0" w:color="auto"/>
              </w:divBdr>
              <w:divsChild>
                <w:div w:id="1958902670">
                  <w:marLeft w:val="0"/>
                  <w:marRight w:val="0"/>
                  <w:marTop w:val="0"/>
                  <w:marBottom w:val="0"/>
                  <w:divBdr>
                    <w:top w:val="none" w:sz="0" w:space="0" w:color="auto"/>
                    <w:left w:val="none" w:sz="0" w:space="0" w:color="auto"/>
                    <w:bottom w:val="none" w:sz="0" w:space="0" w:color="auto"/>
                    <w:right w:val="none" w:sz="0" w:space="0" w:color="auto"/>
                  </w:divBdr>
                  <w:divsChild>
                    <w:div w:id="110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41111">
      <w:bodyDiv w:val="1"/>
      <w:marLeft w:val="0"/>
      <w:marRight w:val="0"/>
      <w:marTop w:val="0"/>
      <w:marBottom w:val="0"/>
      <w:divBdr>
        <w:top w:val="none" w:sz="0" w:space="0" w:color="auto"/>
        <w:left w:val="none" w:sz="0" w:space="0" w:color="auto"/>
        <w:bottom w:val="none" w:sz="0" w:space="0" w:color="auto"/>
        <w:right w:val="none" w:sz="0" w:space="0" w:color="auto"/>
      </w:divBdr>
    </w:div>
    <w:div w:id="21299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092C-7A67-4FAD-B369-87BD7A6E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2011-04-08T11:41:00Z</cp:lastPrinted>
  <dcterms:created xsi:type="dcterms:W3CDTF">2012-02-10T18:40:00Z</dcterms:created>
  <dcterms:modified xsi:type="dcterms:W3CDTF">2012-04-02T21:05:00Z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