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67" w:rsidRPr="006F3067" w:rsidRDefault="006F3067" w:rsidP="006F3067">
      <w:pPr>
        <w:tabs>
          <w:tab w:val="left" w:pos="288"/>
          <w:tab w:val="left" w:pos="4752"/>
        </w:tabs>
        <w:spacing w:line="240" w:lineRule="exact"/>
        <w:jc w:val="center"/>
        <w:rPr>
          <w:rFonts w:asciiTheme="minorHAnsi" w:hAnsiTheme="minorHAnsi"/>
          <w:color w:val="auto"/>
        </w:rPr>
      </w:pPr>
      <w:r w:rsidRPr="006F3067">
        <w:rPr>
          <w:rFonts w:asciiTheme="minorHAnsi" w:hAnsiTheme="minorHAnsi"/>
          <w:color w:val="auto"/>
        </w:rPr>
        <w:t>RECORD OF PROCEEDINGS</w:t>
      </w:r>
    </w:p>
    <w:p w:rsidR="006F3067" w:rsidRPr="006F3067" w:rsidRDefault="006F3067" w:rsidP="006F3067">
      <w:pPr>
        <w:tabs>
          <w:tab w:val="left" w:pos="288"/>
          <w:tab w:val="left" w:pos="4752"/>
        </w:tabs>
        <w:spacing w:line="240" w:lineRule="exact"/>
        <w:jc w:val="center"/>
        <w:rPr>
          <w:rFonts w:asciiTheme="minorHAnsi" w:hAnsiTheme="minorHAnsi"/>
          <w:color w:val="auto"/>
        </w:rPr>
      </w:pPr>
      <w:r w:rsidRPr="006F3067">
        <w:rPr>
          <w:rFonts w:asciiTheme="minorHAnsi" w:hAnsiTheme="minorHAnsi"/>
          <w:color w:val="auto"/>
        </w:rPr>
        <w:t>PHYSICAL DISABILITY BOARD OF REVIEW</w:t>
      </w:r>
    </w:p>
    <w:p w:rsidR="006F3067" w:rsidRPr="006F3067" w:rsidRDefault="006F3067" w:rsidP="006F3067">
      <w:pPr>
        <w:tabs>
          <w:tab w:val="left" w:pos="288"/>
          <w:tab w:val="left" w:pos="4752"/>
        </w:tabs>
        <w:spacing w:line="240" w:lineRule="exact"/>
        <w:jc w:val="both"/>
        <w:rPr>
          <w:rFonts w:asciiTheme="minorHAnsi" w:hAnsiTheme="minorHAnsi"/>
          <w:caps/>
          <w:color w:val="auto"/>
        </w:rPr>
      </w:pPr>
    </w:p>
    <w:p w:rsidR="006F3067" w:rsidRPr="006F3067" w:rsidRDefault="006F3067" w:rsidP="006F3067">
      <w:pPr>
        <w:tabs>
          <w:tab w:val="left" w:pos="288"/>
          <w:tab w:val="left" w:pos="4752"/>
          <w:tab w:val="left" w:pos="5130"/>
          <w:tab w:val="left" w:pos="6660"/>
        </w:tabs>
        <w:spacing w:line="240" w:lineRule="exact"/>
        <w:jc w:val="both"/>
        <w:rPr>
          <w:rFonts w:asciiTheme="minorHAnsi" w:hAnsiTheme="minorHAnsi"/>
          <w:caps/>
          <w:color w:val="auto"/>
        </w:rPr>
      </w:pPr>
      <w:r w:rsidRPr="006F3067">
        <w:rPr>
          <w:rFonts w:asciiTheme="minorHAnsi" w:hAnsiTheme="minorHAnsi"/>
          <w:caps/>
          <w:color w:val="auto"/>
        </w:rPr>
        <w:t xml:space="preserve">NAME:  </w:t>
      </w:r>
      <w:r w:rsidR="003A28C4">
        <w:rPr>
          <w:rFonts w:asciiTheme="minorHAnsi" w:hAnsiTheme="minorHAnsi"/>
          <w:caps/>
          <w:color w:val="auto"/>
        </w:rPr>
        <w:t>XXXXXX</w:t>
      </w:r>
      <w:r w:rsidR="006035A6">
        <w:rPr>
          <w:rFonts w:asciiTheme="minorHAnsi" w:hAnsiTheme="minorHAnsi"/>
          <w:caps/>
          <w:color w:val="auto"/>
        </w:rPr>
        <w:tab/>
      </w:r>
      <w:r w:rsidR="006035A6">
        <w:rPr>
          <w:rFonts w:asciiTheme="minorHAnsi" w:hAnsiTheme="minorHAnsi"/>
          <w:caps/>
          <w:color w:val="auto"/>
        </w:rPr>
        <w:tab/>
        <w:t xml:space="preserve">                      </w:t>
      </w:r>
      <w:r w:rsidR="00300644">
        <w:rPr>
          <w:rFonts w:asciiTheme="minorHAnsi" w:hAnsiTheme="minorHAnsi"/>
          <w:caps/>
          <w:color w:val="auto"/>
        </w:rPr>
        <w:t xml:space="preserve">  </w:t>
      </w:r>
      <w:r w:rsidRPr="006F3067">
        <w:rPr>
          <w:rFonts w:asciiTheme="minorHAnsi" w:hAnsiTheme="minorHAnsi"/>
          <w:caps/>
          <w:color w:val="auto"/>
        </w:rPr>
        <w:t>BRANCH OF SERVICE: navy</w:t>
      </w:r>
    </w:p>
    <w:p w:rsidR="006F3067" w:rsidRPr="006F3067" w:rsidRDefault="006F3067" w:rsidP="006F3067">
      <w:pPr>
        <w:tabs>
          <w:tab w:val="left" w:pos="288"/>
          <w:tab w:val="left" w:pos="4752"/>
          <w:tab w:val="left" w:pos="5130"/>
          <w:tab w:val="left" w:pos="9270"/>
        </w:tabs>
        <w:spacing w:line="240" w:lineRule="exact"/>
        <w:jc w:val="both"/>
        <w:rPr>
          <w:rFonts w:asciiTheme="minorHAnsi" w:hAnsiTheme="minorHAnsi"/>
          <w:caps/>
          <w:color w:val="auto"/>
        </w:rPr>
      </w:pPr>
      <w:r w:rsidRPr="006F3067">
        <w:rPr>
          <w:rFonts w:asciiTheme="minorHAnsi" w:hAnsiTheme="minorHAnsi"/>
          <w:caps/>
          <w:color w:val="auto"/>
        </w:rPr>
        <w:t>BASE NUMBER:  PD1000</w:t>
      </w:r>
      <w:r w:rsidR="00316368" w:rsidRPr="00316368">
        <w:rPr>
          <w:rFonts w:asciiTheme="minorHAnsi" w:hAnsiTheme="minorHAnsi"/>
          <w:caps/>
          <w:color w:val="auto"/>
        </w:rPr>
        <w:t>448</w:t>
      </w:r>
      <w:r w:rsidRPr="006F3067">
        <w:rPr>
          <w:rFonts w:asciiTheme="minorHAnsi" w:hAnsiTheme="minorHAnsi"/>
          <w:color w:val="auto"/>
        </w:rPr>
        <w:t xml:space="preserve"> </w:t>
      </w:r>
      <w:r w:rsidRPr="006F3067">
        <w:rPr>
          <w:rFonts w:asciiTheme="minorHAnsi" w:hAnsiTheme="minorHAnsi"/>
          <w:color w:val="auto"/>
        </w:rPr>
        <w:tab/>
        <w:t xml:space="preserve">               </w:t>
      </w:r>
      <w:r w:rsidR="001C49B2">
        <w:rPr>
          <w:rFonts w:asciiTheme="minorHAnsi" w:hAnsiTheme="minorHAnsi"/>
          <w:color w:val="auto"/>
        </w:rPr>
        <w:t xml:space="preserve">              </w:t>
      </w:r>
      <w:r w:rsidR="00300644">
        <w:rPr>
          <w:rFonts w:asciiTheme="minorHAnsi" w:hAnsiTheme="minorHAnsi"/>
          <w:color w:val="auto"/>
        </w:rPr>
        <w:t xml:space="preserve">  </w:t>
      </w:r>
      <w:r w:rsidR="001C49B2">
        <w:rPr>
          <w:rFonts w:asciiTheme="minorHAnsi" w:hAnsiTheme="minorHAnsi"/>
          <w:color w:val="auto"/>
        </w:rPr>
        <w:t>SEPARATION DATE: 20090512</w:t>
      </w:r>
    </w:p>
    <w:p w:rsidR="006F3067" w:rsidRPr="006F3067" w:rsidRDefault="006F3067" w:rsidP="006F3067">
      <w:pPr>
        <w:tabs>
          <w:tab w:val="left" w:pos="288"/>
          <w:tab w:val="left" w:pos="5130"/>
        </w:tabs>
        <w:spacing w:line="240" w:lineRule="exact"/>
        <w:jc w:val="both"/>
        <w:rPr>
          <w:rFonts w:asciiTheme="minorHAnsi" w:hAnsiTheme="minorHAnsi"/>
          <w:color w:val="auto"/>
        </w:rPr>
      </w:pPr>
      <w:r w:rsidRPr="006F3067">
        <w:rPr>
          <w:rFonts w:asciiTheme="minorHAnsi" w:hAnsiTheme="minorHAnsi"/>
          <w:caps/>
          <w:color w:val="auto"/>
        </w:rPr>
        <w:t>BOARD DATE:  2011</w:t>
      </w:r>
      <w:r w:rsidR="00192146">
        <w:rPr>
          <w:rFonts w:asciiTheme="minorHAnsi" w:hAnsiTheme="minorHAnsi"/>
          <w:caps/>
          <w:color w:val="auto"/>
        </w:rPr>
        <w:t>04</w:t>
      </w:r>
      <w:r w:rsidR="00974663">
        <w:rPr>
          <w:rFonts w:asciiTheme="minorHAnsi" w:hAnsiTheme="minorHAnsi"/>
          <w:caps/>
          <w:color w:val="auto"/>
        </w:rPr>
        <w:t>20</w:t>
      </w:r>
      <w:r w:rsidR="00E9131D">
        <w:rPr>
          <w:rFonts w:asciiTheme="minorHAnsi" w:hAnsiTheme="minorHAnsi"/>
          <w:caps/>
          <w:color w:val="auto"/>
        </w:rPr>
        <w:tab/>
      </w:r>
      <w:r w:rsidR="00E9131D">
        <w:rPr>
          <w:rFonts w:asciiTheme="minorHAnsi" w:hAnsiTheme="minorHAnsi"/>
          <w:caps/>
          <w:color w:val="auto"/>
        </w:rPr>
        <w:tab/>
        <w:t xml:space="preserve">         </w:t>
      </w:r>
      <w:r w:rsidR="00300644">
        <w:rPr>
          <w:rFonts w:asciiTheme="minorHAnsi" w:hAnsiTheme="minorHAnsi"/>
          <w:caps/>
          <w:color w:val="auto"/>
        </w:rPr>
        <w:t xml:space="preserve">   </w:t>
      </w:r>
      <w:r w:rsidR="00E9131D">
        <w:rPr>
          <w:rFonts w:asciiTheme="minorHAnsi" w:hAnsiTheme="minorHAnsi"/>
          <w:caps/>
          <w:color w:val="auto"/>
        </w:rPr>
        <w:t>TDRL</w:t>
      </w:r>
      <w:r w:rsidR="00B2261F">
        <w:rPr>
          <w:rFonts w:asciiTheme="minorHAnsi" w:hAnsiTheme="minorHAnsi"/>
          <w:caps/>
          <w:color w:val="auto"/>
        </w:rPr>
        <w:t xml:space="preserve"> DATE</w:t>
      </w:r>
      <w:r w:rsidR="00E9131D">
        <w:rPr>
          <w:rFonts w:asciiTheme="minorHAnsi" w:hAnsiTheme="minorHAnsi"/>
          <w:caps/>
          <w:color w:val="auto"/>
        </w:rPr>
        <w:t>:</w:t>
      </w:r>
      <w:r w:rsidR="001C49B2">
        <w:rPr>
          <w:rFonts w:asciiTheme="minorHAnsi" w:hAnsiTheme="minorHAnsi"/>
          <w:caps/>
          <w:color w:val="auto"/>
        </w:rPr>
        <w:t xml:space="preserve"> </w:t>
      </w:r>
      <w:r w:rsidR="001C49B2" w:rsidRPr="006F3067">
        <w:rPr>
          <w:rFonts w:asciiTheme="minorHAnsi" w:hAnsiTheme="minorHAnsi"/>
          <w:color w:val="auto"/>
        </w:rPr>
        <w:t>200</w:t>
      </w:r>
      <w:r w:rsidR="001C49B2" w:rsidRPr="00316368">
        <w:rPr>
          <w:rFonts w:asciiTheme="minorHAnsi" w:hAnsiTheme="minorHAnsi"/>
          <w:color w:val="auto"/>
        </w:rPr>
        <w:t>60119</w:t>
      </w:r>
    </w:p>
    <w:p w:rsidR="00316368" w:rsidRPr="00316368" w:rsidRDefault="00316368" w:rsidP="00316368">
      <w:pPr>
        <w:pBdr>
          <w:bottom w:val="single" w:sz="12" w:space="1" w:color="auto"/>
        </w:pBdr>
        <w:tabs>
          <w:tab w:val="left" w:pos="288"/>
          <w:tab w:val="left" w:pos="4752"/>
        </w:tabs>
        <w:spacing w:line="240" w:lineRule="exact"/>
        <w:jc w:val="both"/>
        <w:rPr>
          <w:rFonts w:asciiTheme="minorHAnsi" w:hAnsiTheme="minorHAnsi"/>
          <w:color w:val="auto"/>
          <w:u w:val="single"/>
        </w:rPr>
      </w:pPr>
    </w:p>
    <w:p w:rsidR="00316368" w:rsidRPr="00316368" w:rsidRDefault="00316368" w:rsidP="00AB3708">
      <w:pPr>
        <w:tabs>
          <w:tab w:val="left" w:pos="288"/>
          <w:tab w:val="left" w:pos="4752"/>
        </w:tabs>
        <w:spacing w:line="240" w:lineRule="exact"/>
        <w:jc w:val="both"/>
        <w:rPr>
          <w:rFonts w:asciiTheme="minorHAnsi" w:hAnsiTheme="minorHAnsi"/>
          <w:color w:val="auto"/>
          <w:u w:val="single"/>
        </w:rPr>
      </w:pPr>
    </w:p>
    <w:p w:rsidR="00607D5E" w:rsidRPr="00607D5E" w:rsidRDefault="002C6E5B" w:rsidP="00607D5E">
      <w:pPr>
        <w:tabs>
          <w:tab w:val="left" w:pos="288"/>
          <w:tab w:val="left" w:pos="4752"/>
        </w:tabs>
        <w:spacing w:line="240" w:lineRule="exact"/>
        <w:jc w:val="both"/>
        <w:rPr>
          <w:rFonts w:asciiTheme="minorHAnsi" w:hAnsiTheme="minorHAnsi"/>
          <w:color w:val="auto"/>
        </w:rPr>
      </w:pPr>
      <w:r w:rsidRPr="00A55D28">
        <w:rPr>
          <w:rFonts w:ascii="Calibri" w:hAnsi="Calibri"/>
          <w:color w:val="auto"/>
          <w:u w:val="single"/>
        </w:rPr>
        <w:t>SUMMARY OF CASE</w:t>
      </w:r>
      <w:r w:rsidRPr="00A55D28">
        <w:rPr>
          <w:rFonts w:ascii="Calibri" w:hAnsi="Calibri"/>
          <w:color w:val="auto"/>
        </w:rPr>
        <w:t xml:space="preserve">:  </w:t>
      </w:r>
      <w:r w:rsidR="00AB3708" w:rsidRPr="00A55D28">
        <w:rPr>
          <w:rFonts w:asciiTheme="minorHAnsi" w:hAnsiTheme="minorHAnsi"/>
          <w:color w:val="auto"/>
        </w:rPr>
        <w:t>Data extracted from the available evidence of record reflects that this</w:t>
      </w:r>
      <w:r w:rsidRPr="00A55D28">
        <w:rPr>
          <w:rFonts w:ascii="Calibri" w:hAnsi="Calibri"/>
          <w:color w:val="auto"/>
          <w:szCs w:val="24"/>
        </w:rPr>
        <w:t xml:space="preserve"> covered individual (CI) was </w:t>
      </w:r>
      <w:r w:rsidR="00E322F7" w:rsidRPr="00A55D28">
        <w:rPr>
          <w:rFonts w:ascii="Calibri" w:hAnsi="Calibri"/>
          <w:color w:val="auto"/>
          <w:szCs w:val="24"/>
        </w:rPr>
        <w:t>an active duty</w:t>
      </w:r>
      <w:r w:rsidR="0006251F">
        <w:rPr>
          <w:rFonts w:ascii="Calibri" w:hAnsi="Calibri"/>
          <w:color w:val="auto"/>
          <w:szCs w:val="24"/>
        </w:rPr>
        <w:t xml:space="preserve"> LTJG</w:t>
      </w:r>
      <w:r w:rsidR="007A516B" w:rsidRPr="00A55D28">
        <w:rPr>
          <w:rFonts w:ascii="Calibri" w:hAnsi="Calibri"/>
          <w:color w:val="auto"/>
          <w:szCs w:val="24"/>
        </w:rPr>
        <w:t xml:space="preserve"> </w:t>
      </w:r>
      <w:r w:rsidR="00E322F7" w:rsidRPr="00A55D28">
        <w:rPr>
          <w:rFonts w:ascii="Calibri" w:hAnsi="Calibri"/>
          <w:color w:val="auto"/>
          <w:szCs w:val="24"/>
        </w:rPr>
        <w:t>(</w:t>
      </w:r>
      <w:r w:rsidR="00A22A72" w:rsidRPr="00A55D28">
        <w:rPr>
          <w:rFonts w:ascii="Calibri" w:hAnsi="Calibri"/>
          <w:color w:val="auto"/>
          <w:szCs w:val="24"/>
        </w:rPr>
        <w:t>1395/Student Aviator</w:t>
      </w:r>
      <w:r w:rsidR="00E322F7" w:rsidRPr="00A55D28">
        <w:rPr>
          <w:rFonts w:ascii="Calibri" w:hAnsi="Calibri"/>
          <w:color w:val="auto"/>
          <w:szCs w:val="24"/>
        </w:rPr>
        <w:t xml:space="preserve">) </w:t>
      </w:r>
      <w:r w:rsidRPr="00A55D28">
        <w:rPr>
          <w:rFonts w:ascii="Calibri" w:hAnsi="Calibri"/>
          <w:color w:val="auto"/>
          <w:szCs w:val="24"/>
        </w:rPr>
        <w:t>medically separated f</w:t>
      </w:r>
      <w:r w:rsidR="001C49B2">
        <w:rPr>
          <w:rFonts w:ascii="Calibri" w:hAnsi="Calibri"/>
          <w:color w:val="auto"/>
          <w:szCs w:val="24"/>
        </w:rPr>
        <w:t>or</w:t>
      </w:r>
      <w:r w:rsidRPr="00A55D28">
        <w:rPr>
          <w:rFonts w:ascii="Calibri" w:hAnsi="Calibri"/>
          <w:color w:val="auto"/>
          <w:szCs w:val="24"/>
        </w:rPr>
        <w:t xml:space="preserve"> </w:t>
      </w:r>
      <w:r w:rsidR="00E3339C">
        <w:rPr>
          <w:rFonts w:ascii="Calibri" w:hAnsi="Calibri"/>
          <w:color w:val="auto"/>
          <w:szCs w:val="24"/>
        </w:rPr>
        <w:t>i</w:t>
      </w:r>
      <w:r w:rsidR="00CE1C17" w:rsidRPr="00A55D28">
        <w:rPr>
          <w:rFonts w:ascii="Calibri" w:hAnsi="Calibri"/>
          <w:color w:val="auto"/>
          <w:szCs w:val="24"/>
        </w:rPr>
        <w:t>nsulin-dependent diabetes mellitus</w:t>
      </w:r>
      <w:r w:rsidR="00FF4D9F">
        <w:rPr>
          <w:rFonts w:ascii="Calibri" w:hAnsi="Calibri"/>
          <w:color w:val="auto"/>
          <w:szCs w:val="24"/>
        </w:rPr>
        <w:t xml:space="preserve"> (</w:t>
      </w:r>
      <w:r w:rsidR="001C49B2">
        <w:rPr>
          <w:rFonts w:ascii="Calibri" w:hAnsi="Calibri"/>
          <w:color w:val="auto"/>
          <w:szCs w:val="24"/>
        </w:rPr>
        <w:t>ID</w:t>
      </w:r>
      <w:r w:rsidR="00FF4D9F">
        <w:rPr>
          <w:rFonts w:ascii="Calibri" w:hAnsi="Calibri"/>
          <w:color w:val="auto"/>
          <w:szCs w:val="24"/>
        </w:rPr>
        <w:t>DM)</w:t>
      </w:r>
      <w:r w:rsidRPr="00A55D28">
        <w:rPr>
          <w:rFonts w:ascii="Calibri" w:hAnsi="Calibri"/>
          <w:color w:val="auto"/>
          <w:szCs w:val="24"/>
        </w:rPr>
        <w:t>.</w:t>
      </w:r>
      <w:r w:rsidRPr="00A55D28">
        <w:rPr>
          <w:rFonts w:ascii="Calibri" w:hAnsi="Calibri"/>
          <w:i/>
          <w:color w:val="auto"/>
          <w:szCs w:val="24"/>
        </w:rPr>
        <w:t xml:space="preserve"> </w:t>
      </w:r>
      <w:r w:rsidR="00CE1C17" w:rsidRPr="00A55D28">
        <w:rPr>
          <w:rFonts w:ascii="Calibri" w:hAnsi="Calibri"/>
          <w:i/>
          <w:color w:val="auto"/>
          <w:szCs w:val="24"/>
        </w:rPr>
        <w:t xml:space="preserve"> </w:t>
      </w:r>
      <w:r w:rsidR="00E322F7" w:rsidRPr="00A55D28">
        <w:rPr>
          <w:rFonts w:ascii="Calibri" w:hAnsi="Calibri"/>
          <w:color w:val="auto"/>
          <w:szCs w:val="24"/>
        </w:rPr>
        <w:t xml:space="preserve">He </w:t>
      </w:r>
      <w:r w:rsidR="00CE1C17" w:rsidRPr="00A55D28">
        <w:rPr>
          <w:rFonts w:ascii="Calibri" w:hAnsi="Calibri"/>
          <w:color w:val="auto"/>
          <w:szCs w:val="24"/>
        </w:rPr>
        <w:t xml:space="preserve">was unable to </w:t>
      </w:r>
      <w:r w:rsidR="00E322F7" w:rsidRPr="00A55D28">
        <w:rPr>
          <w:rFonts w:ascii="Calibri" w:hAnsi="Calibri"/>
          <w:color w:val="auto"/>
          <w:szCs w:val="24"/>
        </w:rPr>
        <w:t xml:space="preserve">perform within his </w:t>
      </w:r>
      <w:r w:rsidR="00E3339C">
        <w:rPr>
          <w:rFonts w:ascii="Calibri" w:hAnsi="Calibri"/>
          <w:color w:val="auto"/>
          <w:szCs w:val="24"/>
        </w:rPr>
        <w:t>r</w:t>
      </w:r>
      <w:r w:rsidR="00CE1C17" w:rsidRPr="00A55D28">
        <w:rPr>
          <w:rFonts w:ascii="Calibri" w:hAnsi="Calibri"/>
          <w:color w:val="auto"/>
          <w:szCs w:val="24"/>
        </w:rPr>
        <w:t>ating</w:t>
      </w:r>
      <w:r w:rsidR="001C49B2">
        <w:rPr>
          <w:rFonts w:ascii="Calibri" w:hAnsi="Calibri"/>
          <w:color w:val="auto"/>
          <w:szCs w:val="24"/>
        </w:rPr>
        <w:t xml:space="preserve">, and he </w:t>
      </w:r>
      <w:r w:rsidR="00E322F7" w:rsidRPr="00A55D28">
        <w:rPr>
          <w:rFonts w:ascii="Calibri" w:hAnsi="Calibri"/>
          <w:color w:val="auto"/>
          <w:szCs w:val="24"/>
        </w:rPr>
        <w:t xml:space="preserve">underwent a </w:t>
      </w:r>
      <w:r w:rsidR="008870ED" w:rsidRPr="00A55D28">
        <w:rPr>
          <w:rFonts w:ascii="Calibri" w:hAnsi="Calibri"/>
          <w:color w:val="auto"/>
          <w:szCs w:val="24"/>
        </w:rPr>
        <w:t>Medical Evaluation Board (</w:t>
      </w:r>
      <w:r w:rsidR="00E322F7" w:rsidRPr="00A55D28">
        <w:rPr>
          <w:rFonts w:ascii="Calibri" w:hAnsi="Calibri"/>
          <w:color w:val="auto"/>
          <w:szCs w:val="24"/>
        </w:rPr>
        <w:t>MEB</w:t>
      </w:r>
      <w:r w:rsidR="008870ED" w:rsidRPr="00A55D28">
        <w:rPr>
          <w:rFonts w:ascii="Calibri" w:hAnsi="Calibri"/>
          <w:color w:val="auto"/>
          <w:szCs w:val="24"/>
        </w:rPr>
        <w:t>)</w:t>
      </w:r>
      <w:r w:rsidR="00E322F7" w:rsidRPr="00A55D28">
        <w:rPr>
          <w:rFonts w:ascii="Calibri" w:hAnsi="Calibri"/>
          <w:color w:val="auto"/>
          <w:szCs w:val="24"/>
        </w:rPr>
        <w:t>.</w:t>
      </w:r>
      <w:r w:rsidR="00E51D16">
        <w:rPr>
          <w:rFonts w:ascii="Calibri" w:hAnsi="Calibri"/>
          <w:color w:val="auto"/>
          <w:szCs w:val="24"/>
        </w:rPr>
        <w:t xml:space="preserve">  </w:t>
      </w:r>
      <w:r w:rsidR="001C49B2">
        <w:rPr>
          <w:rFonts w:ascii="Calibri" w:hAnsi="Calibri"/>
          <w:color w:val="auto"/>
          <w:szCs w:val="24"/>
        </w:rPr>
        <w:t xml:space="preserve">IDDM </w:t>
      </w:r>
      <w:r w:rsidR="00A22A72">
        <w:rPr>
          <w:rFonts w:ascii="Calibri" w:hAnsi="Calibri"/>
          <w:color w:val="auto"/>
          <w:szCs w:val="24"/>
        </w:rPr>
        <w:t>was</w:t>
      </w:r>
      <w:r w:rsidR="00AE5E14">
        <w:rPr>
          <w:rFonts w:ascii="Calibri" w:hAnsi="Calibri"/>
          <w:color w:val="auto"/>
          <w:szCs w:val="24"/>
        </w:rPr>
        <w:t xml:space="preserve"> addressed</w:t>
      </w:r>
      <w:r w:rsidR="001C49B2">
        <w:rPr>
          <w:rFonts w:ascii="Calibri" w:hAnsi="Calibri"/>
          <w:color w:val="auto"/>
          <w:szCs w:val="24"/>
        </w:rPr>
        <w:t xml:space="preserve"> in the </w:t>
      </w:r>
      <w:r w:rsidR="00363BF3">
        <w:rPr>
          <w:rFonts w:ascii="Calibri" w:hAnsi="Calibri"/>
          <w:color w:val="auto"/>
          <w:szCs w:val="24"/>
        </w:rPr>
        <w:t xml:space="preserve">September 2005 </w:t>
      </w:r>
      <w:r w:rsidR="001C49B2">
        <w:rPr>
          <w:rFonts w:ascii="Calibri" w:hAnsi="Calibri"/>
          <w:color w:val="auto"/>
          <w:szCs w:val="24"/>
        </w:rPr>
        <w:t>MEB narrative summary (NARSUM)</w:t>
      </w:r>
      <w:r w:rsidR="00192146">
        <w:rPr>
          <w:rFonts w:ascii="Calibri" w:hAnsi="Calibri"/>
          <w:color w:val="auto"/>
          <w:szCs w:val="24"/>
        </w:rPr>
        <w:t>, and was</w:t>
      </w:r>
      <w:r w:rsidR="00AE5E14">
        <w:rPr>
          <w:rFonts w:ascii="Calibri" w:hAnsi="Calibri"/>
          <w:color w:val="auto"/>
          <w:szCs w:val="24"/>
        </w:rPr>
        <w:t xml:space="preserve"> </w:t>
      </w:r>
      <w:r w:rsidR="00E51D16">
        <w:rPr>
          <w:rFonts w:ascii="Calibri" w:hAnsi="Calibri"/>
          <w:color w:val="auto"/>
          <w:szCs w:val="24"/>
        </w:rPr>
        <w:t>forwarded to the Physical Evaluation Board (</w:t>
      </w:r>
      <w:r w:rsidR="00AE5E14">
        <w:rPr>
          <w:rFonts w:ascii="Calibri" w:hAnsi="Calibri"/>
          <w:color w:val="auto"/>
          <w:szCs w:val="24"/>
        </w:rPr>
        <w:t>PEB</w:t>
      </w:r>
      <w:r w:rsidR="00E51D16">
        <w:rPr>
          <w:rFonts w:ascii="Calibri" w:hAnsi="Calibri"/>
          <w:color w:val="auto"/>
          <w:szCs w:val="24"/>
        </w:rPr>
        <w:t>)</w:t>
      </w:r>
      <w:r w:rsidR="00AE5E14">
        <w:rPr>
          <w:rFonts w:ascii="Calibri" w:hAnsi="Calibri"/>
          <w:color w:val="auto"/>
          <w:szCs w:val="24"/>
        </w:rPr>
        <w:t xml:space="preserve"> </w:t>
      </w:r>
      <w:r w:rsidR="009F7809">
        <w:rPr>
          <w:rFonts w:ascii="Calibri" w:hAnsi="Calibri"/>
          <w:color w:val="auto"/>
          <w:szCs w:val="24"/>
        </w:rPr>
        <w:t xml:space="preserve">as medically </w:t>
      </w:r>
      <w:r w:rsidR="000E37E0">
        <w:rPr>
          <w:rFonts w:ascii="Calibri" w:hAnsi="Calibri"/>
          <w:color w:val="auto"/>
          <w:szCs w:val="24"/>
        </w:rPr>
        <w:t>un</w:t>
      </w:r>
      <w:r w:rsidR="009F7809">
        <w:rPr>
          <w:rFonts w:ascii="Calibri" w:hAnsi="Calibri"/>
          <w:color w:val="auto"/>
          <w:szCs w:val="24"/>
        </w:rPr>
        <w:t>acceptable</w:t>
      </w:r>
      <w:r w:rsidR="00E51D16">
        <w:rPr>
          <w:rFonts w:ascii="Calibri" w:hAnsi="Calibri"/>
          <w:color w:val="auto"/>
          <w:szCs w:val="24"/>
        </w:rPr>
        <w:t xml:space="preserve"> IAW SECNAVINST 1850.4E</w:t>
      </w:r>
      <w:r w:rsidR="00AE5E14">
        <w:rPr>
          <w:rFonts w:ascii="Calibri" w:hAnsi="Calibri"/>
          <w:color w:val="auto"/>
          <w:szCs w:val="24"/>
        </w:rPr>
        <w:t>.</w:t>
      </w:r>
      <w:r w:rsidR="00E51D16">
        <w:rPr>
          <w:rFonts w:ascii="Calibri" w:hAnsi="Calibri"/>
          <w:color w:val="auto"/>
          <w:szCs w:val="24"/>
        </w:rPr>
        <w:t xml:space="preserve">  </w:t>
      </w:r>
      <w:r w:rsidR="00C61F74" w:rsidRPr="00C61F74">
        <w:rPr>
          <w:rFonts w:ascii="Calibri" w:hAnsi="Calibri"/>
          <w:color w:val="auto"/>
          <w:szCs w:val="24"/>
        </w:rPr>
        <w:t xml:space="preserve">The </w:t>
      </w:r>
      <w:r w:rsidR="00E3339C">
        <w:rPr>
          <w:rFonts w:ascii="Calibri" w:hAnsi="Calibri"/>
          <w:color w:val="auto"/>
          <w:szCs w:val="24"/>
        </w:rPr>
        <w:t xml:space="preserve">Navy </w:t>
      </w:r>
      <w:r w:rsidR="00C61F74" w:rsidRPr="00C61F74">
        <w:rPr>
          <w:rFonts w:ascii="Calibri" w:hAnsi="Calibri"/>
          <w:color w:val="auto"/>
          <w:szCs w:val="24"/>
        </w:rPr>
        <w:t>PEB</w:t>
      </w:r>
      <w:r w:rsidR="001C49B2">
        <w:rPr>
          <w:rFonts w:ascii="Calibri" w:hAnsi="Calibri"/>
          <w:color w:val="auto"/>
          <w:szCs w:val="24"/>
        </w:rPr>
        <w:t xml:space="preserve"> found the IDDM </w:t>
      </w:r>
      <w:r w:rsidR="00C61F74" w:rsidRPr="00C61F74">
        <w:rPr>
          <w:rFonts w:ascii="Calibri" w:hAnsi="Calibri"/>
          <w:color w:val="auto"/>
          <w:szCs w:val="24"/>
        </w:rPr>
        <w:t>condition</w:t>
      </w:r>
      <w:r w:rsidR="00776F36" w:rsidRPr="00776F36">
        <w:rPr>
          <w:rFonts w:ascii="Calibri" w:hAnsi="Calibri"/>
          <w:color w:val="auto"/>
          <w:szCs w:val="24"/>
        </w:rPr>
        <w:t xml:space="preserve"> unfitting, </w:t>
      </w:r>
      <w:r w:rsidR="001C49B2">
        <w:rPr>
          <w:rFonts w:ascii="Calibri" w:hAnsi="Calibri"/>
          <w:color w:val="auto"/>
          <w:szCs w:val="24"/>
        </w:rPr>
        <w:t xml:space="preserve">but not sufficiently stable for final adjudication.  The </w:t>
      </w:r>
      <w:r w:rsidR="00776F36" w:rsidRPr="00776F36">
        <w:rPr>
          <w:rFonts w:ascii="Calibri" w:hAnsi="Calibri"/>
          <w:color w:val="auto"/>
          <w:szCs w:val="24"/>
        </w:rPr>
        <w:t xml:space="preserve">CI was placed on </w:t>
      </w:r>
      <w:r w:rsidR="00E9131D">
        <w:rPr>
          <w:rFonts w:ascii="Calibri" w:hAnsi="Calibri"/>
          <w:color w:val="auto"/>
          <w:szCs w:val="24"/>
        </w:rPr>
        <w:t xml:space="preserve">the </w:t>
      </w:r>
      <w:r w:rsidR="00776F36" w:rsidRPr="00776F36">
        <w:rPr>
          <w:rFonts w:ascii="Calibri" w:hAnsi="Calibri"/>
          <w:color w:val="auto"/>
          <w:szCs w:val="24"/>
        </w:rPr>
        <w:t>Temporary Disability Retired List (TDRL) with</w:t>
      </w:r>
      <w:r w:rsidR="00E9131D">
        <w:rPr>
          <w:rFonts w:ascii="Calibri" w:hAnsi="Calibri"/>
          <w:color w:val="auto"/>
          <w:szCs w:val="24"/>
        </w:rPr>
        <w:t xml:space="preserve"> 40% disability.  </w:t>
      </w:r>
      <w:r w:rsidR="00974663">
        <w:rPr>
          <w:rFonts w:ascii="Calibri" w:hAnsi="Calibri"/>
          <w:color w:val="auto"/>
          <w:szCs w:val="24"/>
        </w:rPr>
        <w:t>In August 2007, a 2</w:t>
      </w:r>
      <w:r w:rsidR="00974663" w:rsidRPr="00974663">
        <w:rPr>
          <w:rFonts w:ascii="Calibri" w:hAnsi="Calibri"/>
          <w:color w:val="auto"/>
          <w:szCs w:val="24"/>
          <w:vertAlign w:val="superscript"/>
        </w:rPr>
        <w:t>nd</w:t>
      </w:r>
      <w:r w:rsidR="00974663">
        <w:rPr>
          <w:rFonts w:ascii="Calibri" w:hAnsi="Calibri"/>
          <w:color w:val="auto"/>
          <w:szCs w:val="24"/>
        </w:rPr>
        <w:t xml:space="preserve"> Navy PEB co</w:t>
      </w:r>
      <w:r w:rsidR="00B1027E">
        <w:rPr>
          <w:rFonts w:ascii="Calibri" w:hAnsi="Calibri"/>
          <w:color w:val="auto"/>
          <w:szCs w:val="24"/>
        </w:rPr>
        <w:t>n</w:t>
      </w:r>
      <w:r w:rsidR="00974663">
        <w:rPr>
          <w:rFonts w:ascii="Calibri" w:hAnsi="Calibri"/>
          <w:color w:val="auto"/>
          <w:szCs w:val="24"/>
        </w:rPr>
        <w:t>vened.</w:t>
      </w:r>
      <w:r w:rsidR="00B1027E">
        <w:rPr>
          <w:rFonts w:ascii="Calibri" w:hAnsi="Calibri"/>
          <w:color w:val="auto"/>
          <w:szCs w:val="24"/>
        </w:rPr>
        <w:t xml:space="preserve">  </w:t>
      </w:r>
      <w:r w:rsidR="00AF4E42">
        <w:rPr>
          <w:rFonts w:ascii="Calibri" w:hAnsi="Calibri"/>
          <w:color w:val="auto"/>
          <w:szCs w:val="24"/>
        </w:rPr>
        <w:t>He</w:t>
      </w:r>
      <w:r w:rsidR="00B1027E">
        <w:rPr>
          <w:rFonts w:ascii="Calibri" w:hAnsi="Calibri"/>
          <w:color w:val="auto"/>
          <w:szCs w:val="24"/>
        </w:rPr>
        <w:t xml:space="preserve"> was found unfit, and </w:t>
      </w:r>
      <w:r w:rsidR="00AF4E42">
        <w:rPr>
          <w:rFonts w:ascii="Calibri" w:hAnsi="Calibri"/>
          <w:color w:val="auto"/>
          <w:szCs w:val="24"/>
        </w:rPr>
        <w:t xml:space="preserve">separation was </w:t>
      </w:r>
      <w:r w:rsidR="00B1027E">
        <w:rPr>
          <w:rFonts w:ascii="Calibri" w:hAnsi="Calibri"/>
          <w:color w:val="auto"/>
          <w:szCs w:val="24"/>
        </w:rPr>
        <w:t xml:space="preserve">recommended at 20%.  However, </w:t>
      </w:r>
      <w:r w:rsidR="00AA35E7">
        <w:rPr>
          <w:rFonts w:ascii="Calibri" w:hAnsi="Calibri"/>
          <w:color w:val="auto"/>
          <w:szCs w:val="24"/>
        </w:rPr>
        <w:t xml:space="preserve">a Reconsideration of the PEB findings was performed.  It was </w:t>
      </w:r>
      <w:r w:rsidR="00B1027E">
        <w:rPr>
          <w:rFonts w:ascii="Calibri" w:hAnsi="Calibri"/>
          <w:color w:val="auto"/>
          <w:szCs w:val="24"/>
        </w:rPr>
        <w:t xml:space="preserve">determined that </w:t>
      </w:r>
      <w:r w:rsidR="00792D24">
        <w:rPr>
          <w:rFonts w:ascii="Calibri" w:hAnsi="Calibri"/>
          <w:color w:val="auto"/>
          <w:szCs w:val="24"/>
        </w:rPr>
        <w:t xml:space="preserve">he </w:t>
      </w:r>
      <w:r w:rsidR="00AA35E7">
        <w:rPr>
          <w:rFonts w:ascii="Calibri" w:hAnsi="Calibri"/>
          <w:color w:val="auto"/>
          <w:szCs w:val="24"/>
        </w:rPr>
        <w:t>w</w:t>
      </w:r>
      <w:r w:rsidR="00B1027E">
        <w:rPr>
          <w:rFonts w:ascii="Calibri" w:hAnsi="Calibri"/>
          <w:color w:val="auto"/>
          <w:szCs w:val="24"/>
        </w:rPr>
        <w:t>ould remain on TDRL at 40%.  In March 2009, a</w:t>
      </w:r>
      <w:r w:rsidR="00AA35E7">
        <w:rPr>
          <w:rFonts w:ascii="Calibri" w:hAnsi="Calibri"/>
          <w:color w:val="auto"/>
          <w:szCs w:val="24"/>
        </w:rPr>
        <w:t>nother</w:t>
      </w:r>
      <w:r w:rsidR="00B1027E">
        <w:rPr>
          <w:rFonts w:ascii="Calibri" w:hAnsi="Calibri"/>
          <w:color w:val="auto"/>
          <w:szCs w:val="24"/>
        </w:rPr>
        <w:t xml:space="preserve"> Navy PEB convened.  The CI was found unfit, and was recommended for separation at 20%.  </w:t>
      </w:r>
      <w:r w:rsidR="00792D24">
        <w:rPr>
          <w:rFonts w:ascii="Calibri" w:hAnsi="Calibri"/>
          <w:color w:val="auto"/>
          <w:szCs w:val="24"/>
        </w:rPr>
        <w:t xml:space="preserve">On 7 April 2009, a </w:t>
      </w:r>
      <w:r w:rsidR="00AA35E7">
        <w:rPr>
          <w:rFonts w:ascii="Calibri" w:hAnsi="Calibri"/>
          <w:color w:val="auto"/>
          <w:szCs w:val="24"/>
        </w:rPr>
        <w:t>R</w:t>
      </w:r>
      <w:r w:rsidR="00792D24">
        <w:rPr>
          <w:rFonts w:ascii="Calibri" w:hAnsi="Calibri"/>
          <w:color w:val="auto"/>
          <w:szCs w:val="24"/>
        </w:rPr>
        <w:t xml:space="preserve">econsideration of the PEB findings was performed.  </w:t>
      </w:r>
      <w:r w:rsidR="00607D5E" w:rsidRPr="00607D5E">
        <w:rPr>
          <w:rFonts w:asciiTheme="minorHAnsi" w:hAnsiTheme="minorHAnsi"/>
          <w:color w:val="auto"/>
        </w:rPr>
        <w:t xml:space="preserve">The CI </w:t>
      </w:r>
      <w:r w:rsidR="00B1027E">
        <w:rPr>
          <w:rFonts w:asciiTheme="minorHAnsi" w:hAnsiTheme="minorHAnsi"/>
          <w:color w:val="auto"/>
        </w:rPr>
        <w:t>was th</w:t>
      </w:r>
      <w:r w:rsidR="00792D24">
        <w:rPr>
          <w:rFonts w:asciiTheme="minorHAnsi" w:hAnsiTheme="minorHAnsi"/>
          <w:color w:val="auto"/>
        </w:rPr>
        <w:t>en</w:t>
      </w:r>
      <w:r w:rsidR="00607D5E" w:rsidRPr="00607D5E">
        <w:rPr>
          <w:rFonts w:asciiTheme="minorHAnsi" w:hAnsiTheme="minorHAnsi"/>
          <w:color w:val="auto"/>
        </w:rPr>
        <w:t xml:space="preserve"> medically separated </w:t>
      </w:r>
      <w:r w:rsidR="00B1027E">
        <w:rPr>
          <w:rFonts w:asciiTheme="minorHAnsi" w:hAnsiTheme="minorHAnsi"/>
          <w:color w:val="auto"/>
        </w:rPr>
        <w:t xml:space="preserve">from service </w:t>
      </w:r>
      <w:r w:rsidR="00607D5E" w:rsidRPr="00607D5E">
        <w:rPr>
          <w:rFonts w:asciiTheme="minorHAnsi" w:hAnsiTheme="minorHAnsi"/>
          <w:color w:val="auto"/>
        </w:rPr>
        <w:t xml:space="preserve">with a </w:t>
      </w:r>
      <w:r w:rsidR="005A2FA5">
        <w:rPr>
          <w:rFonts w:asciiTheme="minorHAnsi" w:hAnsiTheme="minorHAnsi"/>
          <w:color w:val="auto"/>
        </w:rPr>
        <w:t>20</w:t>
      </w:r>
      <w:r w:rsidR="00AA35E7">
        <w:rPr>
          <w:rFonts w:asciiTheme="minorHAnsi" w:hAnsiTheme="minorHAnsi"/>
          <w:color w:val="auto"/>
        </w:rPr>
        <w:t>% rating</w:t>
      </w:r>
      <w:r w:rsidR="00607D5E" w:rsidRPr="00607D5E">
        <w:rPr>
          <w:rFonts w:asciiTheme="minorHAnsi" w:hAnsiTheme="minorHAnsi"/>
          <w:color w:val="auto"/>
        </w:rPr>
        <w:t>.</w:t>
      </w:r>
    </w:p>
    <w:p w:rsidR="00607D5E" w:rsidRPr="00792D24" w:rsidRDefault="00607D5E" w:rsidP="00607D5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07D5E" w:rsidRPr="00792D24" w:rsidRDefault="00607D5E" w:rsidP="00607D5E">
      <w:pPr>
        <w:tabs>
          <w:tab w:val="left" w:pos="288"/>
          <w:tab w:val="left" w:pos="4752"/>
        </w:tabs>
        <w:spacing w:line="240" w:lineRule="exact"/>
        <w:jc w:val="both"/>
        <w:rPr>
          <w:rFonts w:asciiTheme="minorHAnsi" w:hAnsiTheme="minorHAnsi"/>
          <w:b/>
          <w:color w:val="auto"/>
          <w:u w:val="single"/>
        </w:rPr>
      </w:pPr>
    </w:p>
    <w:p w:rsidR="00A22A72" w:rsidRDefault="002C6E5B" w:rsidP="00CF08F6">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w:t>
      </w:r>
      <w:r w:rsidR="00AC4B30">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B1027E">
        <w:rPr>
          <w:rFonts w:ascii="Calibri" w:hAnsi="Calibri"/>
          <w:color w:val="auto"/>
          <w:szCs w:val="24"/>
        </w:rPr>
        <w:t>,</w:t>
      </w:r>
      <w:r w:rsidR="00C932C5">
        <w:rPr>
          <w:rFonts w:ascii="Calibri" w:hAnsi="Calibri"/>
          <w:color w:val="auto"/>
          <w:szCs w:val="24"/>
        </w:rPr>
        <w:t xml:space="preserve"> </w:t>
      </w:r>
      <w:r w:rsidR="00A22A72">
        <w:rPr>
          <w:rFonts w:ascii="Calibri" w:hAnsi="Calibri"/>
          <w:color w:val="auto"/>
          <w:szCs w:val="24"/>
        </w:rPr>
        <w:t>“</w:t>
      </w:r>
      <w:r w:rsidR="00A22A72" w:rsidRPr="00A22A72">
        <w:rPr>
          <w:rFonts w:ascii="Calibri" w:hAnsi="Calibri"/>
          <w:color w:val="auto"/>
          <w:szCs w:val="24"/>
        </w:rPr>
        <w:t>I respectfully request that the board re-evaluate the decision issued on 12 May 2009 by the</w:t>
      </w:r>
      <w:r w:rsidR="00A22A72">
        <w:rPr>
          <w:rFonts w:ascii="Calibri" w:hAnsi="Calibri"/>
          <w:color w:val="auto"/>
          <w:szCs w:val="24"/>
        </w:rPr>
        <w:t xml:space="preserve"> </w:t>
      </w:r>
      <w:r w:rsidR="00A22A72" w:rsidRPr="00A22A72">
        <w:rPr>
          <w:rFonts w:ascii="Calibri" w:hAnsi="Calibri"/>
          <w:color w:val="auto"/>
          <w:szCs w:val="24"/>
        </w:rPr>
        <w:t>Department of</w:t>
      </w:r>
      <w:r w:rsidR="00A22A72">
        <w:rPr>
          <w:rFonts w:ascii="Calibri" w:hAnsi="Calibri"/>
          <w:color w:val="auto"/>
          <w:szCs w:val="24"/>
        </w:rPr>
        <w:t xml:space="preserve"> </w:t>
      </w:r>
      <w:r w:rsidR="00A22A72" w:rsidRPr="00A22A72">
        <w:rPr>
          <w:rFonts w:ascii="Calibri" w:hAnsi="Calibri"/>
          <w:color w:val="auto"/>
          <w:szCs w:val="24"/>
        </w:rPr>
        <w:t xml:space="preserve">the Navy Physical Evaluation Board. </w:t>
      </w:r>
      <w:r w:rsidR="00CF08F6">
        <w:rPr>
          <w:rFonts w:ascii="Calibri" w:hAnsi="Calibri"/>
          <w:color w:val="auto"/>
          <w:szCs w:val="24"/>
        </w:rPr>
        <w:t xml:space="preserve"> </w:t>
      </w:r>
      <w:r w:rsidR="00A22A72" w:rsidRPr="00A22A72">
        <w:rPr>
          <w:rFonts w:ascii="Calibri" w:hAnsi="Calibri"/>
          <w:color w:val="auto"/>
          <w:szCs w:val="24"/>
        </w:rPr>
        <w:t>On 12 May 2009, I was issued a disability rating of</w:t>
      </w:r>
      <w:r w:rsidR="00A22A72">
        <w:rPr>
          <w:rFonts w:ascii="Calibri" w:hAnsi="Calibri"/>
          <w:color w:val="auto"/>
          <w:szCs w:val="24"/>
        </w:rPr>
        <w:t xml:space="preserve"> </w:t>
      </w:r>
      <w:r w:rsidR="00A22A72" w:rsidRPr="00A22A72">
        <w:rPr>
          <w:rFonts w:ascii="Calibri" w:hAnsi="Calibri"/>
          <w:color w:val="auto"/>
          <w:szCs w:val="24"/>
        </w:rPr>
        <w:t>20% and honorably discharged from the United States Navy with severance pay.</w:t>
      </w:r>
      <w:r w:rsidR="00CF08F6">
        <w:rPr>
          <w:rFonts w:ascii="Calibri" w:hAnsi="Calibri"/>
          <w:color w:val="auto"/>
          <w:szCs w:val="24"/>
        </w:rPr>
        <w:t xml:space="preserve"> </w:t>
      </w:r>
      <w:r w:rsidR="00A22A72" w:rsidRPr="00A22A72">
        <w:rPr>
          <w:rFonts w:ascii="Calibri" w:hAnsi="Calibri"/>
          <w:color w:val="auto"/>
          <w:szCs w:val="24"/>
        </w:rPr>
        <w:t xml:space="preserve"> Since 2006, I have</w:t>
      </w:r>
      <w:r w:rsidR="00A22A72">
        <w:rPr>
          <w:rFonts w:ascii="Calibri" w:hAnsi="Calibri"/>
          <w:color w:val="auto"/>
          <w:szCs w:val="24"/>
        </w:rPr>
        <w:t xml:space="preserve"> </w:t>
      </w:r>
      <w:r w:rsidR="00A22A72" w:rsidRPr="00A22A72">
        <w:rPr>
          <w:rFonts w:ascii="Calibri" w:hAnsi="Calibri"/>
          <w:color w:val="auto"/>
          <w:szCs w:val="24"/>
        </w:rPr>
        <w:t>been awarded on three separate occasion</w:t>
      </w:r>
      <w:r w:rsidR="00B1027E">
        <w:rPr>
          <w:rFonts w:ascii="Calibri" w:hAnsi="Calibri"/>
          <w:color w:val="auto"/>
          <w:szCs w:val="24"/>
        </w:rPr>
        <w:t>s</w:t>
      </w:r>
      <w:r w:rsidR="00A22A72" w:rsidRPr="00A22A72">
        <w:rPr>
          <w:rFonts w:ascii="Calibri" w:hAnsi="Calibri"/>
          <w:color w:val="auto"/>
          <w:szCs w:val="24"/>
        </w:rPr>
        <w:t xml:space="preserve"> a rating of over 40</w:t>
      </w:r>
      <w:r w:rsidR="007A6C2D">
        <w:rPr>
          <w:rFonts w:ascii="Calibri" w:hAnsi="Calibri"/>
          <w:color w:val="auto"/>
          <w:szCs w:val="24"/>
        </w:rPr>
        <w:t>%</w:t>
      </w:r>
      <w:r w:rsidR="00A22A72" w:rsidRPr="00A22A72">
        <w:rPr>
          <w:rFonts w:ascii="Calibri" w:hAnsi="Calibri"/>
          <w:color w:val="auto"/>
          <w:szCs w:val="24"/>
        </w:rPr>
        <w:t xml:space="preserve"> for my service connected insulin</w:t>
      </w:r>
      <w:r w:rsidR="00A22A72">
        <w:rPr>
          <w:rFonts w:ascii="Calibri" w:hAnsi="Calibri"/>
          <w:color w:val="auto"/>
          <w:szCs w:val="24"/>
        </w:rPr>
        <w:t xml:space="preserve"> </w:t>
      </w:r>
      <w:r w:rsidR="00A22A72" w:rsidRPr="00A22A72">
        <w:rPr>
          <w:rFonts w:ascii="Calibri" w:hAnsi="Calibri"/>
          <w:color w:val="auto"/>
          <w:szCs w:val="24"/>
        </w:rPr>
        <w:t>dependent diabetes mellitus.</w:t>
      </w:r>
      <w:r w:rsidR="00B1027E">
        <w:rPr>
          <w:rFonts w:ascii="Calibri" w:hAnsi="Calibri"/>
          <w:color w:val="auto"/>
          <w:szCs w:val="24"/>
        </w:rPr>
        <w:t xml:space="preserve">”  </w:t>
      </w:r>
      <w:r w:rsidR="00A22A72" w:rsidRPr="00A22A72">
        <w:rPr>
          <w:rFonts w:ascii="Calibri" w:hAnsi="Calibri"/>
          <w:color w:val="auto"/>
          <w:szCs w:val="24"/>
        </w:rPr>
        <w:t>The</w:t>
      </w:r>
      <w:r w:rsidR="00B1027E">
        <w:rPr>
          <w:rFonts w:ascii="Calibri" w:hAnsi="Calibri"/>
          <w:color w:val="auto"/>
          <w:szCs w:val="24"/>
        </w:rPr>
        <w:t xml:space="preserve"> CI then lists the three occasions on which he was given a disability rating over 20%.</w:t>
      </w:r>
      <w:r w:rsidR="00AC4B30">
        <w:rPr>
          <w:rFonts w:ascii="Calibri" w:hAnsi="Calibri"/>
          <w:color w:val="auto"/>
          <w:szCs w:val="24"/>
        </w:rPr>
        <w:t xml:space="preserve">  He then goes on to say, “</w:t>
      </w:r>
      <w:r w:rsidR="00A22A72" w:rsidRPr="00A22A72">
        <w:rPr>
          <w:rFonts w:ascii="Calibri" w:hAnsi="Calibri"/>
          <w:color w:val="auto"/>
          <w:szCs w:val="24"/>
        </w:rPr>
        <w:t>My insulin dependent diabetes requires, and has required, me to</w:t>
      </w:r>
      <w:r w:rsidR="00A22A72">
        <w:rPr>
          <w:rFonts w:ascii="Calibri" w:hAnsi="Calibri"/>
          <w:color w:val="auto"/>
          <w:szCs w:val="24"/>
        </w:rPr>
        <w:t xml:space="preserve"> </w:t>
      </w:r>
      <w:r w:rsidR="00A22A72" w:rsidRPr="00A22A72">
        <w:rPr>
          <w:rFonts w:ascii="Calibri" w:hAnsi="Calibri"/>
          <w:color w:val="auto"/>
          <w:szCs w:val="24"/>
        </w:rPr>
        <w:t>wear an insulin pump at all times and monitor my blood glucose levels from 8-10 times daily since</w:t>
      </w:r>
      <w:r w:rsidR="00A22A72">
        <w:rPr>
          <w:rFonts w:ascii="Calibri" w:hAnsi="Calibri"/>
          <w:color w:val="auto"/>
          <w:szCs w:val="24"/>
        </w:rPr>
        <w:t xml:space="preserve"> </w:t>
      </w:r>
      <w:r w:rsidR="00A22A72" w:rsidRPr="00A22A72">
        <w:rPr>
          <w:rFonts w:ascii="Calibri" w:hAnsi="Calibri"/>
          <w:color w:val="auto"/>
          <w:szCs w:val="24"/>
        </w:rPr>
        <w:t xml:space="preserve">diagnosis. </w:t>
      </w:r>
      <w:r w:rsidR="00040695">
        <w:rPr>
          <w:rFonts w:ascii="Calibri" w:hAnsi="Calibri"/>
          <w:color w:val="auto"/>
          <w:szCs w:val="24"/>
        </w:rPr>
        <w:t xml:space="preserve"> </w:t>
      </w:r>
      <w:r w:rsidR="00A22A72" w:rsidRPr="00A22A72">
        <w:rPr>
          <w:rFonts w:ascii="Calibri" w:hAnsi="Calibri"/>
          <w:color w:val="auto"/>
          <w:szCs w:val="24"/>
        </w:rPr>
        <w:t>My issue with the final rating of</w:t>
      </w:r>
      <w:r w:rsidR="00040695">
        <w:rPr>
          <w:rFonts w:ascii="Calibri" w:hAnsi="Calibri"/>
          <w:color w:val="auto"/>
          <w:szCs w:val="24"/>
        </w:rPr>
        <w:t xml:space="preserve"> </w:t>
      </w:r>
      <w:r w:rsidR="00A22A72" w:rsidRPr="00A22A72">
        <w:rPr>
          <w:rFonts w:ascii="Calibri" w:hAnsi="Calibri"/>
          <w:color w:val="auto"/>
          <w:szCs w:val="24"/>
        </w:rPr>
        <w:t>20</w:t>
      </w:r>
      <w:r w:rsidR="00AD1DEC">
        <w:rPr>
          <w:rFonts w:ascii="Calibri" w:hAnsi="Calibri"/>
          <w:color w:val="auto"/>
          <w:szCs w:val="24"/>
        </w:rPr>
        <w:t>%</w:t>
      </w:r>
      <w:r w:rsidR="00A22A72" w:rsidRPr="00A22A72">
        <w:rPr>
          <w:rFonts w:ascii="Calibri" w:hAnsi="Calibri"/>
          <w:color w:val="auto"/>
          <w:szCs w:val="24"/>
        </w:rPr>
        <w:t xml:space="preserve"> is that my condition that I was originally rated at</w:t>
      </w:r>
      <w:r w:rsidR="00A22A72">
        <w:rPr>
          <w:rFonts w:ascii="Calibri" w:hAnsi="Calibri"/>
          <w:color w:val="auto"/>
          <w:szCs w:val="24"/>
        </w:rPr>
        <w:t xml:space="preserve"> </w:t>
      </w:r>
      <w:r w:rsidR="00A22A72" w:rsidRPr="00A22A72">
        <w:rPr>
          <w:rFonts w:ascii="Calibri" w:hAnsi="Calibri"/>
          <w:color w:val="auto"/>
          <w:szCs w:val="24"/>
        </w:rPr>
        <w:t>40% by the United States Navy and 60% by the Department of</w:t>
      </w:r>
      <w:r w:rsidR="00A22A72">
        <w:rPr>
          <w:rFonts w:ascii="Calibri" w:hAnsi="Calibri"/>
          <w:color w:val="auto"/>
          <w:szCs w:val="24"/>
        </w:rPr>
        <w:t xml:space="preserve"> </w:t>
      </w:r>
      <w:r w:rsidR="00040695">
        <w:rPr>
          <w:rFonts w:ascii="Calibri" w:hAnsi="Calibri"/>
          <w:color w:val="auto"/>
          <w:szCs w:val="24"/>
        </w:rPr>
        <w:t>Veteran</w:t>
      </w:r>
      <w:r w:rsidR="00A22A72" w:rsidRPr="00A22A72">
        <w:rPr>
          <w:rFonts w:ascii="Calibri" w:hAnsi="Calibri"/>
          <w:color w:val="auto"/>
          <w:szCs w:val="24"/>
        </w:rPr>
        <w:t>s</w:t>
      </w:r>
      <w:r w:rsidR="00040695">
        <w:rPr>
          <w:rFonts w:ascii="Calibri" w:hAnsi="Calibri"/>
          <w:color w:val="auto"/>
          <w:szCs w:val="24"/>
        </w:rPr>
        <w:t>’</w:t>
      </w:r>
      <w:r w:rsidR="00A22A72" w:rsidRPr="00A22A72">
        <w:rPr>
          <w:rFonts w:ascii="Calibri" w:hAnsi="Calibri"/>
          <w:color w:val="auto"/>
          <w:szCs w:val="24"/>
        </w:rPr>
        <w:t xml:space="preserve"> Affairs has not improved</w:t>
      </w:r>
      <w:r w:rsidR="00A22A72">
        <w:rPr>
          <w:rFonts w:ascii="Calibri" w:hAnsi="Calibri"/>
          <w:color w:val="auto"/>
          <w:szCs w:val="24"/>
        </w:rPr>
        <w:t xml:space="preserve"> </w:t>
      </w:r>
      <w:r w:rsidR="00A22A72" w:rsidRPr="00A22A72">
        <w:rPr>
          <w:rFonts w:ascii="Calibri" w:hAnsi="Calibri"/>
          <w:color w:val="auto"/>
          <w:szCs w:val="24"/>
        </w:rPr>
        <w:t xml:space="preserve">since initial diagnosis. </w:t>
      </w:r>
      <w:r w:rsidR="00040695">
        <w:rPr>
          <w:rFonts w:ascii="Calibri" w:hAnsi="Calibri"/>
          <w:color w:val="auto"/>
          <w:szCs w:val="24"/>
        </w:rPr>
        <w:t xml:space="preserve"> </w:t>
      </w:r>
      <w:r w:rsidR="00A22A72" w:rsidRPr="00A22A72">
        <w:rPr>
          <w:rFonts w:ascii="Calibri" w:hAnsi="Calibri"/>
          <w:color w:val="auto"/>
          <w:szCs w:val="24"/>
        </w:rPr>
        <w:t>I am unclear how a rating for a condition can be reduced when no</w:t>
      </w:r>
      <w:r w:rsidR="00A22A72">
        <w:rPr>
          <w:rFonts w:ascii="Calibri" w:hAnsi="Calibri"/>
          <w:color w:val="auto"/>
          <w:szCs w:val="24"/>
        </w:rPr>
        <w:t xml:space="preserve"> </w:t>
      </w:r>
      <w:r w:rsidR="00A22A72" w:rsidRPr="00A22A72">
        <w:rPr>
          <w:rFonts w:ascii="Calibri" w:hAnsi="Calibri"/>
          <w:color w:val="auto"/>
          <w:szCs w:val="24"/>
        </w:rPr>
        <w:t>improvement to the condition has occurred and how there can be such a disparity between the rating</w:t>
      </w:r>
      <w:r w:rsidR="00A22A72">
        <w:rPr>
          <w:rFonts w:ascii="Calibri" w:hAnsi="Calibri"/>
          <w:color w:val="auto"/>
          <w:szCs w:val="24"/>
        </w:rPr>
        <w:t xml:space="preserve"> </w:t>
      </w:r>
      <w:r w:rsidR="00A22A72" w:rsidRPr="00A22A72">
        <w:rPr>
          <w:rFonts w:ascii="Calibri" w:hAnsi="Calibri"/>
          <w:color w:val="auto"/>
          <w:szCs w:val="24"/>
        </w:rPr>
        <w:t>of</w:t>
      </w:r>
      <w:r w:rsidR="00AC4B30">
        <w:rPr>
          <w:rFonts w:ascii="Calibri" w:hAnsi="Calibri"/>
          <w:color w:val="auto"/>
          <w:szCs w:val="24"/>
        </w:rPr>
        <w:t xml:space="preserve"> </w:t>
      </w:r>
      <w:r w:rsidR="00A22A72" w:rsidRPr="00A22A72">
        <w:rPr>
          <w:rFonts w:ascii="Calibri" w:hAnsi="Calibri"/>
          <w:color w:val="auto"/>
          <w:szCs w:val="24"/>
        </w:rPr>
        <w:t>6</w:t>
      </w:r>
      <w:r w:rsidR="00040695">
        <w:rPr>
          <w:rFonts w:ascii="Calibri" w:hAnsi="Calibri"/>
          <w:color w:val="auto"/>
          <w:szCs w:val="24"/>
        </w:rPr>
        <w:t>0% by the Department of Veteran</w:t>
      </w:r>
      <w:r w:rsidR="00A22A72" w:rsidRPr="00A22A72">
        <w:rPr>
          <w:rFonts w:ascii="Calibri" w:hAnsi="Calibri"/>
          <w:color w:val="auto"/>
          <w:szCs w:val="24"/>
        </w:rPr>
        <w:t>s</w:t>
      </w:r>
      <w:r w:rsidR="00040695">
        <w:rPr>
          <w:rFonts w:ascii="Calibri" w:hAnsi="Calibri"/>
          <w:color w:val="auto"/>
          <w:szCs w:val="24"/>
        </w:rPr>
        <w:t>’</w:t>
      </w:r>
      <w:r w:rsidR="00A22A72" w:rsidRPr="00A22A72">
        <w:rPr>
          <w:rFonts w:ascii="Calibri" w:hAnsi="Calibri"/>
          <w:color w:val="auto"/>
          <w:szCs w:val="24"/>
        </w:rPr>
        <w:t xml:space="preserve"> Affairs, the initial rating by the United States Navy of 40%,</w:t>
      </w:r>
      <w:r w:rsidR="00A22A72">
        <w:rPr>
          <w:rFonts w:ascii="Calibri" w:hAnsi="Calibri"/>
          <w:color w:val="auto"/>
          <w:szCs w:val="24"/>
        </w:rPr>
        <w:t xml:space="preserve"> </w:t>
      </w:r>
      <w:r w:rsidR="00A22A72" w:rsidRPr="00A22A72">
        <w:rPr>
          <w:rFonts w:ascii="Calibri" w:hAnsi="Calibri"/>
          <w:color w:val="auto"/>
          <w:szCs w:val="24"/>
        </w:rPr>
        <w:t>and the final rating of</w:t>
      </w:r>
      <w:r w:rsidR="00AC4B30">
        <w:rPr>
          <w:rFonts w:ascii="Calibri" w:hAnsi="Calibri"/>
          <w:color w:val="auto"/>
          <w:szCs w:val="24"/>
        </w:rPr>
        <w:t xml:space="preserve"> </w:t>
      </w:r>
      <w:r w:rsidR="00A22A72" w:rsidRPr="00A22A72">
        <w:rPr>
          <w:rFonts w:ascii="Calibri" w:hAnsi="Calibri"/>
          <w:color w:val="auto"/>
          <w:szCs w:val="24"/>
        </w:rPr>
        <w:t>20% by the United States Navy for the same condition.</w:t>
      </w:r>
      <w:r w:rsidR="00AC4B30">
        <w:rPr>
          <w:rFonts w:ascii="Calibri" w:hAnsi="Calibri"/>
          <w:color w:val="auto"/>
          <w:szCs w:val="24"/>
        </w:rPr>
        <w:t xml:space="preserve">”  The CI then brings up various members of his family who have honorably served as military members.  He ends his contention by stating that “nothing has </w:t>
      </w:r>
      <w:r w:rsidR="00A22A72" w:rsidRPr="00A22A72">
        <w:rPr>
          <w:rFonts w:ascii="Calibri" w:hAnsi="Calibri"/>
          <w:color w:val="auto"/>
          <w:szCs w:val="24"/>
        </w:rPr>
        <w:t>given me more pride than serving in</w:t>
      </w:r>
      <w:r w:rsidR="00A22A72">
        <w:rPr>
          <w:rFonts w:ascii="Calibri" w:hAnsi="Calibri"/>
          <w:color w:val="auto"/>
          <w:szCs w:val="24"/>
        </w:rPr>
        <w:t xml:space="preserve"> </w:t>
      </w:r>
      <w:r w:rsidR="00A22A72" w:rsidRPr="00A22A72">
        <w:rPr>
          <w:rFonts w:ascii="Calibri" w:hAnsi="Calibri"/>
          <w:color w:val="auto"/>
          <w:szCs w:val="24"/>
        </w:rPr>
        <w:t>the United States Navy.</w:t>
      </w:r>
      <w:r w:rsidR="00CF08F6">
        <w:rPr>
          <w:rFonts w:ascii="Calibri" w:hAnsi="Calibri"/>
          <w:color w:val="auto"/>
          <w:szCs w:val="24"/>
        </w:rPr>
        <w:t xml:space="preserve"> </w:t>
      </w:r>
      <w:r w:rsidR="00A22A72" w:rsidRPr="00A22A72">
        <w:rPr>
          <w:rFonts w:ascii="Calibri" w:hAnsi="Calibri"/>
          <w:color w:val="auto"/>
          <w:szCs w:val="24"/>
        </w:rPr>
        <w:t xml:space="preserve"> I respectfully thank you in advance for any time or efforts afforded to this</w:t>
      </w:r>
      <w:r w:rsidR="00A22A72">
        <w:rPr>
          <w:rFonts w:ascii="Calibri" w:hAnsi="Calibri"/>
          <w:color w:val="auto"/>
          <w:szCs w:val="24"/>
        </w:rPr>
        <w:t xml:space="preserve"> </w:t>
      </w:r>
      <w:r w:rsidR="00A22A72" w:rsidRPr="00A22A72">
        <w:rPr>
          <w:rFonts w:ascii="Calibri" w:hAnsi="Calibri"/>
          <w:color w:val="auto"/>
          <w:szCs w:val="24"/>
        </w:rPr>
        <w:t>appeal.</w:t>
      </w:r>
      <w:r w:rsidR="00A22A72">
        <w:rPr>
          <w:rFonts w:ascii="Calibri" w:hAnsi="Calibri"/>
          <w:color w:val="auto"/>
          <w:szCs w:val="24"/>
        </w:rPr>
        <w:t>”</w:t>
      </w:r>
    </w:p>
    <w:p w:rsidR="00607D5E" w:rsidRPr="00792D24" w:rsidRDefault="00607D5E" w:rsidP="00607D5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07D5E" w:rsidRPr="00792D24" w:rsidRDefault="00607D5E" w:rsidP="00607D5E">
      <w:pPr>
        <w:tabs>
          <w:tab w:val="left" w:pos="288"/>
          <w:tab w:val="left" w:pos="4752"/>
        </w:tabs>
        <w:spacing w:line="240" w:lineRule="exact"/>
        <w:jc w:val="both"/>
        <w:rPr>
          <w:rFonts w:asciiTheme="minorHAnsi" w:hAnsiTheme="minorHAnsi"/>
          <w:b/>
          <w:color w:val="auto"/>
          <w:u w:val="single"/>
        </w:rPr>
      </w:pPr>
    </w:p>
    <w:p w:rsidR="002338CA" w:rsidRDefault="002C6E5B" w:rsidP="00875F2D">
      <w:pPr>
        <w:tabs>
          <w:tab w:val="left" w:pos="288"/>
          <w:tab w:val="left" w:pos="4752"/>
        </w:tabs>
        <w:spacing w:line="240" w:lineRule="exact"/>
        <w:jc w:val="both"/>
        <w:rPr>
          <w:rFonts w:ascii="Calibri" w:hAnsi="Calibri"/>
          <w:color w:val="auto"/>
        </w:rPr>
      </w:pPr>
      <w:r w:rsidRPr="00673F57">
        <w:rPr>
          <w:rFonts w:ascii="Calibri" w:hAnsi="Calibri"/>
          <w:color w:val="auto"/>
          <w:u w:val="single"/>
        </w:rPr>
        <w:t>RATING COMPARISON</w:t>
      </w:r>
      <w:r w:rsidRPr="00673F57">
        <w:rPr>
          <w:rFonts w:ascii="Calibri" w:hAnsi="Calibri"/>
          <w:color w:val="auto"/>
        </w:rPr>
        <w:t>:</w:t>
      </w:r>
    </w:p>
    <w:p w:rsidR="00673F57" w:rsidRPr="00673F57" w:rsidRDefault="00673F57" w:rsidP="00875F2D">
      <w:pPr>
        <w:tabs>
          <w:tab w:val="left" w:pos="288"/>
          <w:tab w:val="left" w:pos="4752"/>
        </w:tabs>
        <w:spacing w:line="240" w:lineRule="exact"/>
        <w:jc w:val="both"/>
        <w:rPr>
          <w:rFonts w:ascii="Calibri" w:hAnsi="Calibri"/>
          <w:color w:val="auto"/>
        </w:rPr>
      </w:pPr>
    </w:p>
    <w:tbl>
      <w:tblPr>
        <w:tblStyle w:val="TableGrid"/>
        <w:tblW w:w="9720" w:type="dxa"/>
        <w:tblInd w:w="18" w:type="dxa"/>
        <w:tblLayout w:type="fixed"/>
        <w:tblLook w:val="04A0"/>
      </w:tblPr>
      <w:tblGrid>
        <w:gridCol w:w="1890"/>
        <w:gridCol w:w="720"/>
        <w:gridCol w:w="810"/>
        <w:gridCol w:w="630"/>
        <w:gridCol w:w="2700"/>
        <w:gridCol w:w="1170"/>
        <w:gridCol w:w="810"/>
        <w:gridCol w:w="990"/>
      </w:tblGrid>
      <w:tr w:rsidR="00F6583A" w:rsidRPr="00673F57" w:rsidTr="00CD243D">
        <w:trPr>
          <w:trHeight w:val="233"/>
        </w:trPr>
        <w:tc>
          <w:tcPr>
            <w:tcW w:w="4050" w:type="dxa"/>
            <w:gridSpan w:val="4"/>
            <w:tcBorders>
              <w:right w:val="thinThickThinSmallGap" w:sz="24" w:space="0" w:color="auto"/>
            </w:tcBorders>
            <w:shd w:val="clear" w:color="auto" w:fill="BFBFBF" w:themeFill="background1" w:themeFillShade="BF"/>
            <w:vAlign w:val="center"/>
          </w:tcPr>
          <w:p w:rsidR="00F6583A" w:rsidRPr="00673F57" w:rsidRDefault="00792D24" w:rsidP="00792D24">
            <w:pPr>
              <w:tabs>
                <w:tab w:val="left" w:pos="288"/>
                <w:tab w:val="left" w:pos="4752"/>
              </w:tabs>
              <w:spacing w:line="200" w:lineRule="exact"/>
              <w:jc w:val="center"/>
              <w:rPr>
                <w:rFonts w:eastAsia="Times New Roman" w:cs="Times New Roman"/>
                <w:b/>
                <w:color w:val="auto"/>
                <w:sz w:val="20"/>
                <w:szCs w:val="20"/>
              </w:rPr>
            </w:pPr>
            <w:r>
              <w:rPr>
                <w:rFonts w:eastAsia="Times New Roman" w:cs="Times New Roman"/>
                <w:b/>
                <w:color w:val="auto"/>
                <w:sz w:val="20"/>
                <w:szCs w:val="20"/>
              </w:rPr>
              <w:t>Navy</w:t>
            </w:r>
            <w:r w:rsidR="00F6583A" w:rsidRPr="00673F57">
              <w:rPr>
                <w:rFonts w:eastAsia="Times New Roman" w:cs="Times New Roman"/>
                <w:b/>
                <w:color w:val="auto"/>
                <w:sz w:val="20"/>
                <w:szCs w:val="20"/>
              </w:rPr>
              <w:t xml:space="preserve"> </w:t>
            </w:r>
            <w:r>
              <w:rPr>
                <w:rFonts w:eastAsia="Times New Roman" w:cs="Times New Roman"/>
                <w:b/>
                <w:color w:val="auto"/>
                <w:sz w:val="20"/>
                <w:szCs w:val="20"/>
              </w:rPr>
              <w:t>I</w:t>
            </w:r>
            <w:r w:rsidR="00F6583A" w:rsidRPr="00673F57">
              <w:rPr>
                <w:rFonts w:eastAsia="Times New Roman" w:cs="Times New Roman"/>
                <w:b/>
                <w:color w:val="auto"/>
                <w:sz w:val="20"/>
                <w:szCs w:val="20"/>
              </w:rPr>
              <w:t>PEB</w:t>
            </w:r>
            <w:r w:rsidR="00E1090B">
              <w:rPr>
                <w:rFonts w:eastAsia="Times New Roman" w:cs="Times New Roman"/>
                <w:b/>
                <w:color w:val="auto"/>
                <w:sz w:val="20"/>
                <w:szCs w:val="20"/>
              </w:rPr>
              <w:t xml:space="preserve"> Reconsider</w:t>
            </w:r>
            <w:r>
              <w:rPr>
                <w:rFonts w:eastAsia="Times New Roman" w:cs="Times New Roman"/>
                <w:b/>
                <w:color w:val="auto"/>
                <w:sz w:val="20"/>
                <w:szCs w:val="20"/>
              </w:rPr>
              <w:t>ation – (</w:t>
            </w:r>
            <w:r w:rsidR="00F6583A" w:rsidRPr="00673F57">
              <w:rPr>
                <w:rFonts w:eastAsia="Times New Roman" w:cs="Times New Roman"/>
                <w:b/>
                <w:color w:val="auto"/>
                <w:sz w:val="20"/>
                <w:szCs w:val="20"/>
              </w:rPr>
              <w:t>20090407</w:t>
            </w:r>
            <w:r>
              <w:rPr>
                <w:rFonts w:eastAsia="Times New Roman" w:cs="Times New Roman"/>
                <w:b/>
                <w:color w:val="auto"/>
                <w:sz w:val="20"/>
                <w:szCs w:val="20"/>
              </w:rPr>
              <w:t>)</w:t>
            </w:r>
          </w:p>
        </w:tc>
        <w:tc>
          <w:tcPr>
            <w:tcW w:w="5670" w:type="dxa"/>
            <w:gridSpan w:val="4"/>
            <w:tcBorders>
              <w:left w:val="thinThickThinSmallGap" w:sz="24" w:space="0" w:color="auto"/>
            </w:tcBorders>
            <w:shd w:val="clear" w:color="auto" w:fill="BFBFBF" w:themeFill="background1" w:themeFillShade="BF"/>
            <w:vAlign w:val="center"/>
          </w:tcPr>
          <w:p w:rsidR="00F6583A" w:rsidRPr="00673F57" w:rsidRDefault="00F6583A" w:rsidP="0069151A">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VA – All Effective 2006012</w:t>
            </w:r>
            <w:r w:rsidR="0069151A">
              <w:rPr>
                <w:rFonts w:eastAsia="Times New Roman" w:cs="Times New Roman"/>
                <w:b/>
                <w:color w:val="auto"/>
                <w:sz w:val="20"/>
                <w:szCs w:val="20"/>
              </w:rPr>
              <w:t>2</w:t>
            </w:r>
          </w:p>
        </w:tc>
      </w:tr>
      <w:tr w:rsidR="00615380" w:rsidRPr="00673F57" w:rsidTr="00CD243D">
        <w:trPr>
          <w:trHeight w:val="233"/>
        </w:trPr>
        <w:tc>
          <w:tcPr>
            <w:tcW w:w="1890" w:type="dxa"/>
            <w:tcBorders>
              <w:bottom w:val="single" w:sz="4" w:space="0" w:color="000000" w:themeColor="text1"/>
            </w:tcBorders>
            <w:shd w:val="clear" w:color="auto" w:fill="BFBFBF" w:themeFill="background1" w:themeFillShade="BF"/>
            <w:vAlign w:val="center"/>
          </w:tcPr>
          <w:p w:rsidR="000B05BD" w:rsidRPr="00673F57" w:rsidRDefault="00D76FFB" w:rsidP="000F689F">
            <w:pPr>
              <w:tabs>
                <w:tab w:val="left" w:pos="288"/>
                <w:tab w:val="left" w:pos="4752"/>
              </w:tabs>
              <w:spacing w:line="200" w:lineRule="exact"/>
              <w:jc w:val="center"/>
              <w:rPr>
                <w:rFonts w:eastAsia="Times New Roman" w:cs="Times New Roman"/>
                <w:b/>
                <w:color w:val="auto"/>
                <w:sz w:val="20"/>
                <w:szCs w:val="20"/>
              </w:rPr>
            </w:pPr>
            <w:r>
              <w:rPr>
                <w:rFonts w:eastAsia="Times New Roman" w:cs="Times New Roman"/>
                <w:b/>
                <w:color w:val="auto"/>
                <w:sz w:val="20"/>
                <w:szCs w:val="20"/>
              </w:rPr>
              <w:t>Condition</w:t>
            </w:r>
          </w:p>
        </w:tc>
        <w:tc>
          <w:tcPr>
            <w:tcW w:w="720" w:type="dxa"/>
            <w:vMerge w:val="restart"/>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Code</w:t>
            </w:r>
          </w:p>
        </w:tc>
        <w:tc>
          <w:tcPr>
            <w:tcW w:w="1440" w:type="dxa"/>
            <w:gridSpan w:val="2"/>
            <w:tcBorders>
              <w:bottom w:val="single" w:sz="4" w:space="0" w:color="000000" w:themeColor="text1"/>
              <w:right w:val="thinThickThinSmallGap" w:sz="24" w:space="0" w:color="auto"/>
            </w:tcBorders>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Rating</w:t>
            </w:r>
          </w:p>
        </w:tc>
        <w:tc>
          <w:tcPr>
            <w:tcW w:w="2700" w:type="dxa"/>
            <w:tcBorders>
              <w:left w:val="thinThickThinSmallGap" w:sz="24" w:space="0" w:color="auto"/>
              <w:bottom w:val="single" w:sz="4" w:space="0" w:color="000000" w:themeColor="text1"/>
            </w:tcBorders>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Condition</w:t>
            </w:r>
          </w:p>
        </w:tc>
        <w:tc>
          <w:tcPr>
            <w:tcW w:w="1170" w:type="dxa"/>
            <w:vMerge w:val="restart"/>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Code</w:t>
            </w:r>
          </w:p>
        </w:tc>
        <w:tc>
          <w:tcPr>
            <w:tcW w:w="810" w:type="dxa"/>
            <w:vMerge w:val="restart"/>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Rating</w:t>
            </w:r>
          </w:p>
        </w:tc>
        <w:tc>
          <w:tcPr>
            <w:tcW w:w="990" w:type="dxa"/>
            <w:vMerge w:val="restart"/>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Exam</w:t>
            </w:r>
          </w:p>
        </w:tc>
      </w:tr>
      <w:tr w:rsidR="00615380" w:rsidRPr="00673F57" w:rsidTr="00CD243D">
        <w:trPr>
          <w:trHeight w:val="152"/>
        </w:trPr>
        <w:tc>
          <w:tcPr>
            <w:tcW w:w="1890" w:type="dxa"/>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b/>
                <w:color w:val="auto"/>
                <w:sz w:val="20"/>
                <w:szCs w:val="20"/>
              </w:rPr>
            </w:pPr>
          </w:p>
        </w:tc>
        <w:tc>
          <w:tcPr>
            <w:tcW w:w="720" w:type="dxa"/>
            <w:vMerge/>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color w:val="auto"/>
                <w:sz w:val="20"/>
                <w:szCs w:val="20"/>
              </w:rPr>
            </w:pPr>
          </w:p>
        </w:tc>
        <w:tc>
          <w:tcPr>
            <w:tcW w:w="810" w:type="dxa"/>
            <w:tcBorders>
              <w:right w:val="single" w:sz="4" w:space="0" w:color="auto"/>
            </w:tcBorders>
            <w:shd w:val="clear" w:color="auto" w:fill="BFBFBF" w:themeFill="background1" w:themeFillShade="BF"/>
            <w:vAlign w:val="center"/>
          </w:tcPr>
          <w:p w:rsidR="000B05BD" w:rsidRPr="00673F57" w:rsidRDefault="000B05BD" w:rsidP="00CD243D">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TDRL</w:t>
            </w:r>
          </w:p>
        </w:tc>
        <w:tc>
          <w:tcPr>
            <w:tcW w:w="630" w:type="dxa"/>
            <w:tcBorders>
              <w:left w:val="single" w:sz="4" w:space="0" w:color="auto"/>
              <w:right w:val="thinThickThinSmallGap" w:sz="24" w:space="0" w:color="auto"/>
            </w:tcBorders>
            <w:shd w:val="clear" w:color="auto" w:fill="BFBFBF" w:themeFill="background1" w:themeFillShade="BF"/>
            <w:vAlign w:val="center"/>
          </w:tcPr>
          <w:p w:rsidR="000B05BD" w:rsidRPr="00673F57" w:rsidRDefault="000B05BD" w:rsidP="00CD243D">
            <w:pPr>
              <w:tabs>
                <w:tab w:val="left" w:pos="288"/>
                <w:tab w:val="left" w:pos="4752"/>
              </w:tabs>
              <w:spacing w:line="200" w:lineRule="exact"/>
              <w:jc w:val="center"/>
              <w:rPr>
                <w:rFonts w:eastAsia="Times New Roman" w:cs="Times New Roman"/>
                <w:b/>
                <w:color w:val="auto"/>
                <w:sz w:val="20"/>
                <w:szCs w:val="20"/>
              </w:rPr>
            </w:pPr>
            <w:r w:rsidRPr="00673F57">
              <w:rPr>
                <w:rFonts w:eastAsia="Times New Roman" w:cs="Times New Roman"/>
                <w:b/>
                <w:color w:val="auto"/>
                <w:sz w:val="20"/>
                <w:szCs w:val="20"/>
              </w:rPr>
              <w:t>Sep.</w:t>
            </w:r>
          </w:p>
        </w:tc>
        <w:tc>
          <w:tcPr>
            <w:tcW w:w="2700" w:type="dxa"/>
            <w:tcBorders>
              <w:left w:val="thinThickThinSmallGap" w:sz="24" w:space="0" w:color="auto"/>
            </w:tcBorders>
            <w:shd w:val="clear" w:color="auto" w:fill="BFBFBF" w:themeFill="background1" w:themeFillShade="BF"/>
            <w:vAlign w:val="center"/>
          </w:tcPr>
          <w:p w:rsidR="000B05BD" w:rsidRPr="00673F57" w:rsidRDefault="000B05BD" w:rsidP="00CD243D">
            <w:pPr>
              <w:tabs>
                <w:tab w:val="left" w:pos="288"/>
                <w:tab w:val="left" w:pos="4752"/>
              </w:tabs>
              <w:spacing w:line="200" w:lineRule="exact"/>
              <w:jc w:val="center"/>
              <w:rPr>
                <w:rFonts w:eastAsia="Times New Roman" w:cs="Times New Roman"/>
                <w:b/>
                <w:color w:val="auto"/>
                <w:sz w:val="20"/>
                <w:szCs w:val="20"/>
              </w:rPr>
            </w:pPr>
            <w:r w:rsidRPr="009C281D">
              <w:rPr>
                <w:rFonts w:eastAsia="Times New Roman" w:cs="Times New Roman"/>
                <w:b/>
                <w:color w:val="auto"/>
                <w:sz w:val="20"/>
                <w:szCs w:val="20"/>
              </w:rPr>
              <w:t>No VA Rating at time of TDRL.</w:t>
            </w:r>
          </w:p>
        </w:tc>
        <w:tc>
          <w:tcPr>
            <w:tcW w:w="1170" w:type="dxa"/>
            <w:vMerge/>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color w:val="auto"/>
                <w:sz w:val="20"/>
                <w:szCs w:val="20"/>
              </w:rPr>
            </w:pPr>
          </w:p>
        </w:tc>
        <w:tc>
          <w:tcPr>
            <w:tcW w:w="810" w:type="dxa"/>
            <w:vMerge/>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color w:val="auto"/>
                <w:sz w:val="20"/>
                <w:szCs w:val="20"/>
              </w:rPr>
            </w:pPr>
          </w:p>
        </w:tc>
        <w:tc>
          <w:tcPr>
            <w:tcW w:w="990" w:type="dxa"/>
            <w:vMerge/>
            <w:shd w:val="clear" w:color="auto" w:fill="BFBFBF" w:themeFill="background1" w:themeFillShade="BF"/>
            <w:vAlign w:val="center"/>
          </w:tcPr>
          <w:p w:rsidR="000B05BD" w:rsidRPr="00673F57" w:rsidRDefault="000B05BD" w:rsidP="000F689F">
            <w:pPr>
              <w:tabs>
                <w:tab w:val="left" w:pos="288"/>
                <w:tab w:val="left" w:pos="4752"/>
              </w:tabs>
              <w:spacing w:line="200" w:lineRule="exact"/>
              <w:jc w:val="center"/>
              <w:rPr>
                <w:rFonts w:eastAsia="Times New Roman" w:cs="Times New Roman"/>
                <w:color w:val="auto"/>
                <w:sz w:val="20"/>
                <w:szCs w:val="20"/>
              </w:rPr>
            </w:pPr>
          </w:p>
        </w:tc>
      </w:tr>
      <w:tr w:rsidR="0069151A" w:rsidRPr="00673F57" w:rsidTr="00CD243D">
        <w:trPr>
          <w:trHeight w:val="125"/>
        </w:trPr>
        <w:tc>
          <w:tcPr>
            <w:tcW w:w="1890" w:type="dxa"/>
            <w:vMerge w:val="restart"/>
            <w:tcBorders>
              <w:righ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rPr>
                <w:rFonts w:eastAsia="Times New Roman" w:cs="Times New Roman"/>
                <w:color w:val="auto"/>
                <w:sz w:val="18"/>
                <w:szCs w:val="18"/>
              </w:rPr>
            </w:pPr>
            <w:r w:rsidRPr="00474D02">
              <w:rPr>
                <w:rFonts w:eastAsia="Times New Roman" w:cs="Times New Roman"/>
                <w:color w:val="auto"/>
                <w:sz w:val="18"/>
                <w:szCs w:val="18"/>
              </w:rPr>
              <w:t>Insulin-Dependent DM</w:t>
            </w:r>
          </w:p>
        </w:tc>
        <w:tc>
          <w:tcPr>
            <w:tcW w:w="720" w:type="dxa"/>
            <w:vMerge w:val="restart"/>
            <w:tcBorders>
              <w:lef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sidRPr="00474D02">
              <w:rPr>
                <w:rFonts w:eastAsia="Times New Roman" w:cs="Times New Roman"/>
                <w:color w:val="auto"/>
                <w:sz w:val="18"/>
                <w:szCs w:val="18"/>
              </w:rPr>
              <w:t>7913</w:t>
            </w:r>
          </w:p>
        </w:tc>
        <w:tc>
          <w:tcPr>
            <w:tcW w:w="810" w:type="dxa"/>
            <w:vMerge w:val="restart"/>
            <w:tcBorders>
              <w:righ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sidRPr="00474D02">
              <w:rPr>
                <w:rFonts w:eastAsia="Times New Roman" w:cs="Times New Roman"/>
                <w:color w:val="auto"/>
                <w:sz w:val="18"/>
                <w:szCs w:val="18"/>
              </w:rPr>
              <w:t>40%</w:t>
            </w:r>
          </w:p>
        </w:tc>
        <w:tc>
          <w:tcPr>
            <w:tcW w:w="630" w:type="dxa"/>
            <w:vMerge w:val="restart"/>
            <w:tcBorders>
              <w:left w:val="single" w:sz="4" w:space="0" w:color="auto"/>
              <w:right w:val="thinThickThinSmallGap" w:sz="2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sidRPr="00474D02">
              <w:rPr>
                <w:rFonts w:eastAsia="Times New Roman" w:cs="Times New Roman"/>
                <w:color w:val="auto"/>
                <w:sz w:val="18"/>
                <w:szCs w:val="18"/>
              </w:rPr>
              <w:t>20%</w:t>
            </w:r>
          </w:p>
        </w:tc>
        <w:tc>
          <w:tcPr>
            <w:tcW w:w="2700" w:type="dxa"/>
            <w:vMerge w:val="restart"/>
            <w:tcBorders>
              <w:left w:val="thinThickThinSmallGap" w:sz="2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rPr>
                <w:rFonts w:eastAsia="Times New Roman" w:cs="Times New Roman"/>
                <w:color w:val="auto"/>
                <w:sz w:val="18"/>
                <w:szCs w:val="18"/>
              </w:rPr>
            </w:pPr>
            <w:r w:rsidRPr="00474D02">
              <w:rPr>
                <w:rFonts w:eastAsia="Times New Roman" w:cs="Times New Roman"/>
                <w:color w:val="auto"/>
                <w:sz w:val="18"/>
                <w:szCs w:val="18"/>
              </w:rPr>
              <w:t>D</w:t>
            </w:r>
            <w:r>
              <w:rPr>
                <w:rFonts w:eastAsia="Times New Roman" w:cs="Times New Roman"/>
                <w:color w:val="auto"/>
                <w:sz w:val="18"/>
                <w:szCs w:val="18"/>
              </w:rPr>
              <w:t xml:space="preserve">iabetes </w:t>
            </w:r>
            <w:r w:rsidRPr="00474D02">
              <w:rPr>
                <w:rFonts w:eastAsia="Times New Roman" w:cs="Times New Roman"/>
                <w:color w:val="auto"/>
                <w:sz w:val="18"/>
                <w:szCs w:val="18"/>
              </w:rPr>
              <w:t>M</w:t>
            </w:r>
            <w:r>
              <w:rPr>
                <w:rFonts w:eastAsia="Times New Roman" w:cs="Times New Roman"/>
                <w:color w:val="auto"/>
                <w:sz w:val="18"/>
                <w:szCs w:val="18"/>
              </w:rPr>
              <w:t>ellitus (DM)</w:t>
            </w:r>
          </w:p>
        </w:tc>
        <w:tc>
          <w:tcPr>
            <w:tcW w:w="1170" w:type="dxa"/>
            <w:vMerge w:val="restart"/>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sidRPr="00474D02">
              <w:rPr>
                <w:rFonts w:eastAsia="Times New Roman" w:cs="Times New Roman"/>
                <w:color w:val="auto"/>
                <w:sz w:val="18"/>
                <w:szCs w:val="18"/>
              </w:rPr>
              <w:t>7913</w:t>
            </w:r>
          </w:p>
        </w:tc>
        <w:tc>
          <w:tcPr>
            <w:tcW w:w="810" w:type="dxa"/>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sidRPr="00474D02">
              <w:rPr>
                <w:rFonts w:eastAsia="Times New Roman" w:cs="Times New Roman"/>
                <w:color w:val="auto"/>
                <w:sz w:val="18"/>
                <w:szCs w:val="18"/>
              </w:rPr>
              <w:t>20%</w:t>
            </w:r>
          </w:p>
        </w:tc>
        <w:tc>
          <w:tcPr>
            <w:tcW w:w="990" w:type="dxa"/>
            <w:shd w:val="clear" w:color="auto" w:fill="FFFFFF" w:themeFill="background1"/>
            <w:vAlign w:val="center"/>
          </w:tcPr>
          <w:p w:rsidR="0069151A" w:rsidRPr="00474D02" w:rsidRDefault="0069151A" w:rsidP="00474D02">
            <w:pPr>
              <w:tabs>
                <w:tab w:val="left" w:pos="288"/>
                <w:tab w:val="left" w:pos="4752"/>
              </w:tabs>
              <w:spacing w:line="180" w:lineRule="exact"/>
              <w:jc w:val="center"/>
              <w:rPr>
                <w:rFonts w:eastAsia="Times New Roman" w:cs="Times New Roman"/>
                <w:color w:val="auto"/>
                <w:sz w:val="18"/>
                <w:szCs w:val="18"/>
              </w:rPr>
            </w:pPr>
            <w:r>
              <w:rPr>
                <w:rFonts w:eastAsia="Times New Roman" w:cs="Times New Roman"/>
                <w:color w:val="auto"/>
                <w:sz w:val="18"/>
                <w:szCs w:val="18"/>
              </w:rPr>
              <w:t>STR</w:t>
            </w:r>
          </w:p>
        </w:tc>
      </w:tr>
      <w:tr w:rsidR="0069151A" w:rsidRPr="00673F57" w:rsidTr="00CD243D">
        <w:trPr>
          <w:trHeight w:val="125"/>
        </w:trPr>
        <w:tc>
          <w:tcPr>
            <w:tcW w:w="1890" w:type="dxa"/>
            <w:vMerge/>
            <w:tcBorders>
              <w:righ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rPr>
                <w:color w:val="auto"/>
                <w:sz w:val="18"/>
                <w:szCs w:val="18"/>
              </w:rPr>
            </w:pPr>
          </w:p>
        </w:tc>
        <w:tc>
          <w:tcPr>
            <w:tcW w:w="720" w:type="dxa"/>
            <w:vMerge/>
            <w:tcBorders>
              <w:lef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p>
        </w:tc>
        <w:tc>
          <w:tcPr>
            <w:tcW w:w="810" w:type="dxa"/>
            <w:vMerge/>
            <w:tcBorders>
              <w:right w:val="single" w:sz="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p>
        </w:tc>
        <w:tc>
          <w:tcPr>
            <w:tcW w:w="630" w:type="dxa"/>
            <w:vMerge/>
            <w:tcBorders>
              <w:left w:val="single" w:sz="4" w:space="0" w:color="auto"/>
              <w:right w:val="thinThickThinSmallGap" w:sz="2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p>
        </w:tc>
        <w:tc>
          <w:tcPr>
            <w:tcW w:w="2700" w:type="dxa"/>
            <w:vMerge/>
            <w:tcBorders>
              <w:left w:val="thinThickThinSmallGap" w:sz="24" w:space="0" w:color="auto"/>
            </w:tcBorders>
            <w:shd w:val="clear" w:color="auto" w:fill="FFFFFF" w:themeFill="background1"/>
            <w:vAlign w:val="center"/>
          </w:tcPr>
          <w:p w:rsidR="0069151A" w:rsidRPr="00474D02" w:rsidRDefault="0069151A" w:rsidP="00474D02">
            <w:pPr>
              <w:tabs>
                <w:tab w:val="left" w:pos="288"/>
                <w:tab w:val="left" w:pos="4752"/>
              </w:tabs>
              <w:spacing w:line="180" w:lineRule="exact"/>
              <w:rPr>
                <w:color w:val="auto"/>
                <w:sz w:val="18"/>
                <w:szCs w:val="18"/>
              </w:rPr>
            </w:pPr>
          </w:p>
        </w:tc>
        <w:tc>
          <w:tcPr>
            <w:tcW w:w="1170" w:type="dxa"/>
            <w:vMerge/>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p>
        </w:tc>
        <w:tc>
          <w:tcPr>
            <w:tcW w:w="810" w:type="dxa"/>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r>
              <w:rPr>
                <w:color w:val="auto"/>
                <w:sz w:val="18"/>
                <w:szCs w:val="18"/>
              </w:rPr>
              <w:t>60%</w:t>
            </w:r>
          </w:p>
        </w:tc>
        <w:tc>
          <w:tcPr>
            <w:tcW w:w="990" w:type="dxa"/>
            <w:shd w:val="clear" w:color="auto" w:fill="FFFFFF" w:themeFill="background1"/>
            <w:vAlign w:val="center"/>
          </w:tcPr>
          <w:p w:rsidR="0069151A" w:rsidRPr="00474D02" w:rsidRDefault="0069151A" w:rsidP="00474D02">
            <w:pPr>
              <w:tabs>
                <w:tab w:val="left" w:pos="288"/>
                <w:tab w:val="left" w:pos="4752"/>
              </w:tabs>
              <w:spacing w:line="180" w:lineRule="exact"/>
              <w:jc w:val="center"/>
              <w:rPr>
                <w:color w:val="auto"/>
                <w:sz w:val="18"/>
                <w:szCs w:val="18"/>
              </w:rPr>
            </w:pPr>
            <w:r w:rsidRPr="00474D02">
              <w:rPr>
                <w:rFonts w:eastAsia="Times New Roman" w:cs="Times New Roman"/>
                <w:color w:val="auto"/>
                <w:sz w:val="18"/>
                <w:szCs w:val="18"/>
              </w:rPr>
              <w:t>20060413</w:t>
            </w:r>
          </w:p>
        </w:tc>
      </w:tr>
      <w:tr w:rsidR="00CD243D" w:rsidRPr="00673F57" w:rsidTr="00792D24">
        <w:trPr>
          <w:trHeight w:val="125"/>
        </w:trPr>
        <w:tc>
          <w:tcPr>
            <w:tcW w:w="4050" w:type="dxa"/>
            <w:gridSpan w:val="4"/>
            <w:vMerge w:val="restart"/>
            <w:tcBorders>
              <w:right w:val="thinThickThinSmallGap" w:sz="24" w:space="0" w:color="auto"/>
            </w:tcBorders>
            <w:shd w:val="clear" w:color="auto" w:fill="FFFFFF" w:themeFill="background1"/>
            <w:vAlign w:val="center"/>
          </w:tcPr>
          <w:p w:rsidR="000F689F" w:rsidRPr="00474D02" w:rsidRDefault="000F689F" w:rsidP="00474D02">
            <w:pPr>
              <w:tabs>
                <w:tab w:val="left" w:pos="288"/>
                <w:tab w:val="left" w:pos="4752"/>
              </w:tabs>
              <w:spacing w:line="180" w:lineRule="exact"/>
              <w:jc w:val="center"/>
              <w:rPr>
                <w:color w:val="auto"/>
                <w:sz w:val="18"/>
                <w:szCs w:val="18"/>
              </w:rPr>
            </w:pPr>
            <w:r w:rsidRPr="00474D02">
              <w:rPr>
                <w:rFonts w:eastAsia="Times New Roman" w:cs="Courier New"/>
                <w:color w:val="auto"/>
                <w:sz w:val="18"/>
                <w:szCs w:val="18"/>
              </w:rPr>
              <w:t>↓</w:t>
            </w:r>
            <w:r w:rsidRPr="00474D02">
              <w:rPr>
                <w:rFonts w:eastAsia="Times New Roman" w:cs="Courier"/>
                <w:color w:val="auto"/>
                <w:sz w:val="18"/>
                <w:szCs w:val="18"/>
              </w:rPr>
              <w:t>No Additional Entries.</w:t>
            </w:r>
            <w:r w:rsidRPr="00474D02">
              <w:rPr>
                <w:rFonts w:eastAsia="Times New Roman" w:cs="Courier New"/>
                <w:color w:val="auto"/>
                <w:sz w:val="18"/>
                <w:szCs w:val="18"/>
              </w:rPr>
              <w:t>↓</w:t>
            </w:r>
          </w:p>
        </w:tc>
        <w:tc>
          <w:tcPr>
            <w:tcW w:w="2700" w:type="dxa"/>
            <w:tcBorders>
              <w:left w:val="thinThickThinSmallGap" w:sz="24" w:space="0" w:color="auto"/>
            </w:tcBorders>
            <w:shd w:val="clear" w:color="auto" w:fill="FFFFFF" w:themeFill="background1"/>
            <w:vAlign w:val="center"/>
          </w:tcPr>
          <w:p w:rsidR="000F689F" w:rsidRPr="00474D02" w:rsidRDefault="000F689F" w:rsidP="00474D02">
            <w:pPr>
              <w:tabs>
                <w:tab w:val="left" w:pos="288"/>
                <w:tab w:val="left" w:pos="4752"/>
              </w:tabs>
              <w:spacing w:line="180" w:lineRule="exact"/>
              <w:rPr>
                <w:color w:val="auto"/>
                <w:sz w:val="18"/>
                <w:szCs w:val="18"/>
              </w:rPr>
            </w:pPr>
            <w:r w:rsidRPr="00474D02">
              <w:rPr>
                <w:color w:val="auto"/>
                <w:sz w:val="18"/>
                <w:szCs w:val="18"/>
              </w:rPr>
              <w:t>Neuropathy with D</w:t>
            </w:r>
            <w:r w:rsidR="002703DF" w:rsidRPr="00474D02">
              <w:rPr>
                <w:color w:val="auto"/>
                <w:sz w:val="18"/>
                <w:szCs w:val="18"/>
              </w:rPr>
              <w:t>M…</w:t>
            </w:r>
          </w:p>
        </w:tc>
        <w:tc>
          <w:tcPr>
            <w:tcW w:w="1170" w:type="dxa"/>
            <w:shd w:val="clear" w:color="auto" w:fill="FFFFFF" w:themeFill="background1"/>
            <w:vAlign w:val="center"/>
          </w:tcPr>
          <w:p w:rsidR="000F689F" w:rsidRPr="00474D02" w:rsidRDefault="000F689F" w:rsidP="00474D02">
            <w:pPr>
              <w:tabs>
                <w:tab w:val="left" w:pos="288"/>
                <w:tab w:val="left" w:pos="4752"/>
              </w:tabs>
              <w:spacing w:line="180" w:lineRule="exact"/>
              <w:jc w:val="center"/>
              <w:rPr>
                <w:color w:val="auto"/>
                <w:sz w:val="18"/>
                <w:szCs w:val="18"/>
              </w:rPr>
            </w:pPr>
            <w:r w:rsidRPr="00474D02">
              <w:rPr>
                <w:color w:val="auto"/>
                <w:sz w:val="18"/>
                <w:szCs w:val="18"/>
              </w:rPr>
              <w:t>8599-8520</w:t>
            </w:r>
          </w:p>
        </w:tc>
        <w:tc>
          <w:tcPr>
            <w:tcW w:w="810" w:type="dxa"/>
            <w:shd w:val="clear" w:color="auto" w:fill="FFFFFF" w:themeFill="background1"/>
            <w:vAlign w:val="center"/>
          </w:tcPr>
          <w:p w:rsidR="000F689F" w:rsidRPr="00474D02" w:rsidRDefault="000F689F" w:rsidP="00474D02">
            <w:pPr>
              <w:tabs>
                <w:tab w:val="left" w:pos="288"/>
                <w:tab w:val="left" w:pos="4752"/>
              </w:tabs>
              <w:spacing w:line="180" w:lineRule="exact"/>
              <w:jc w:val="center"/>
              <w:rPr>
                <w:color w:val="auto"/>
                <w:sz w:val="18"/>
                <w:szCs w:val="18"/>
              </w:rPr>
            </w:pPr>
            <w:r w:rsidRPr="00474D02">
              <w:rPr>
                <w:color w:val="auto"/>
                <w:sz w:val="18"/>
                <w:szCs w:val="18"/>
              </w:rPr>
              <w:t>20%</w:t>
            </w:r>
          </w:p>
        </w:tc>
        <w:tc>
          <w:tcPr>
            <w:tcW w:w="990" w:type="dxa"/>
            <w:shd w:val="clear" w:color="auto" w:fill="FFFFFF" w:themeFill="background1"/>
            <w:vAlign w:val="center"/>
          </w:tcPr>
          <w:p w:rsidR="000F689F" w:rsidRPr="00474D02" w:rsidRDefault="000F689F" w:rsidP="00474D02">
            <w:pPr>
              <w:tabs>
                <w:tab w:val="left" w:pos="288"/>
                <w:tab w:val="left" w:pos="4752"/>
              </w:tabs>
              <w:spacing w:line="180" w:lineRule="exact"/>
              <w:jc w:val="center"/>
              <w:rPr>
                <w:color w:val="auto"/>
                <w:sz w:val="18"/>
                <w:szCs w:val="18"/>
              </w:rPr>
            </w:pPr>
            <w:r w:rsidRPr="00474D02">
              <w:rPr>
                <w:color w:val="auto"/>
                <w:sz w:val="18"/>
                <w:szCs w:val="18"/>
              </w:rPr>
              <w:t>20060413</w:t>
            </w:r>
          </w:p>
        </w:tc>
      </w:tr>
      <w:tr w:rsidR="000F689F" w:rsidRPr="00673F57" w:rsidTr="00CD243D">
        <w:trPr>
          <w:trHeight w:val="70"/>
        </w:trPr>
        <w:tc>
          <w:tcPr>
            <w:tcW w:w="4050" w:type="dxa"/>
            <w:gridSpan w:val="4"/>
            <w:vMerge/>
            <w:tcBorders>
              <w:right w:val="thinThickThinSmallGap" w:sz="24" w:space="0" w:color="auto"/>
            </w:tcBorders>
            <w:shd w:val="clear" w:color="auto" w:fill="FFFFFF" w:themeFill="background1"/>
          </w:tcPr>
          <w:p w:rsidR="000F689F" w:rsidRPr="00474D02" w:rsidRDefault="000F689F" w:rsidP="00474D02">
            <w:pPr>
              <w:tabs>
                <w:tab w:val="left" w:pos="288"/>
                <w:tab w:val="left" w:pos="4752"/>
              </w:tabs>
              <w:spacing w:line="180" w:lineRule="exact"/>
              <w:jc w:val="both"/>
              <w:rPr>
                <w:rFonts w:eastAsia="Times New Roman" w:cs="Times New Roman"/>
                <w:b/>
                <w:color w:val="auto"/>
                <w:sz w:val="18"/>
                <w:szCs w:val="18"/>
              </w:rPr>
            </w:pPr>
          </w:p>
        </w:tc>
        <w:tc>
          <w:tcPr>
            <w:tcW w:w="4680" w:type="dxa"/>
            <w:gridSpan w:val="3"/>
            <w:tcBorders>
              <w:left w:val="thinThickThinSmallGap" w:sz="24" w:space="0" w:color="auto"/>
            </w:tcBorders>
            <w:shd w:val="clear" w:color="auto" w:fill="FFFFFF" w:themeFill="background1"/>
            <w:vAlign w:val="center"/>
          </w:tcPr>
          <w:p w:rsidR="000F689F" w:rsidRPr="00474D02" w:rsidRDefault="00792D24" w:rsidP="00792D24">
            <w:pPr>
              <w:tabs>
                <w:tab w:val="left" w:pos="288"/>
                <w:tab w:val="left" w:pos="4752"/>
              </w:tabs>
              <w:spacing w:line="180" w:lineRule="exact"/>
              <w:ind w:firstLine="720"/>
              <w:rPr>
                <w:rFonts w:eastAsia="Times New Roman" w:cs="Times New Roman"/>
                <w:color w:val="auto"/>
                <w:sz w:val="18"/>
                <w:szCs w:val="18"/>
              </w:rPr>
            </w:pPr>
            <w:r>
              <w:rPr>
                <w:rFonts w:eastAsia="Times New Roman" w:cs="Times New Roman"/>
                <w:color w:val="auto"/>
                <w:sz w:val="18"/>
                <w:szCs w:val="18"/>
              </w:rPr>
              <w:t xml:space="preserve">2 Other Conditions, </w:t>
            </w:r>
            <w:r w:rsidR="000F689F" w:rsidRPr="00792D24">
              <w:rPr>
                <w:rFonts w:eastAsia="Times New Roman" w:cs="Times New Roman"/>
                <w:color w:val="auto"/>
                <w:sz w:val="18"/>
                <w:szCs w:val="18"/>
              </w:rPr>
              <w:t>Not Service Connected</w:t>
            </w:r>
            <w:r>
              <w:rPr>
                <w:rFonts w:eastAsia="Times New Roman" w:cs="Times New Roman"/>
                <w:color w:val="auto"/>
                <w:sz w:val="18"/>
                <w:szCs w:val="18"/>
              </w:rPr>
              <w:t xml:space="preserve"> (NSC)</w:t>
            </w:r>
            <w:r w:rsidR="000F689F" w:rsidRPr="00792D24">
              <w:rPr>
                <w:rFonts w:eastAsia="Times New Roman" w:cs="Times New Roman"/>
                <w:color w:val="auto"/>
                <w:sz w:val="18"/>
                <w:szCs w:val="18"/>
              </w:rPr>
              <w:t xml:space="preserve"> </w:t>
            </w:r>
          </w:p>
        </w:tc>
        <w:tc>
          <w:tcPr>
            <w:tcW w:w="990" w:type="dxa"/>
            <w:shd w:val="clear" w:color="auto" w:fill="FFFFFF" w:themeFill="background1"/>
            <w:vAlign w:val="center"/>
          </w:tcPr>
          <w:p w:rsidR="000F689F" w:rsidRPr="00474D02" w:rsidRDefault="000B05BD" w:rsidP="00474D02">
            <w:pPr>
              <w:tabs>
                <w:tab w:val="left" w:pos="288"/>
                <w:tab w:val="left" w:pos="4752"/>
              </w:tabs>
              <w:spacing w:line="180" w:lineRule="exact"/>
              <w:jc w:val="center"/>
              <w:rPr>
                <w:rFonts w:eastAsia="Times New Roman" w:cs="Times New Roman"/>
                <w:color w:val="auto"/>
                <w:sz w:val="18"/>
                <w:szCs w:val="18"/>
              </w:rPr>
            </w:pPr>
            <w:r w:rsidRPr="00792D24">
              <w:rPr>
                <w:rFonts w:eastAsia="Times New Roman" w:cs="Times New Roman"/>
                <w:color w:val="auto"/>
                <w:sz w:val="18"/>
                <w:szCs w:val="18"/>
              </w:rPr>
              <w:t>20060413</w:t>
            </w:r>
          </w:p>
        </w:tc>
      </w:tr>
      <w:tr w:rsidR="000F689F" w:rsidRPr="00673F57" w:rsidTr="00CD243D">
        <w:trPr>
          <w:trHeight w:val="242"/>
        </w:trPr>
        <w:tc>
          <w:tcPr>
            <w:tcW w:w="4050" w:type="dxa"/>
            <w:gridSpan w:val="4"/>
            <w:tcBorders>
              <w:right w:val="thinThickThinSmallGap" w:sz="24" w:space="0" w:color="auto"/>
            </w:tcBorders>
            <w:shd w:val="clear" w:color="auto" w:fill="BFBFBF" w:themeFill="background1" w:themeFillShade="BF"/>
            <w:vAlign w:val="center"/>
          </w:tcPr>
          <w:p w:rsidR="000F689F" w:rsidRPr="00673F57" w:rsidRDefault="00983E06" w:rsidP="00474D02">
            <w:pPr>
              <w:tabs>
                <w:tab w:val="left" w:pos="288"/>
                <w:tab w:val="left" w:pos="4752"/>
              </w:tabs>
              <w:spacing w:line="200" w:lineRule="exact"/>
              <w:jc w:val="center"/>
              <w:rPr>
                <w:rFonts w:eastAsia="Times New Roman" w:cs="Times New Roman"/>
                <w:b/>
                <w:color w:val="auto"/>
                <w:sz w:val="20"/>
                <w:szCs w:val="20"/>
              </w:rPr>
            </w:pPr>
            <w:r>
              <w:rPr>
                <w:rFonts w:eastAsia="Times New Roman" w:cs="Times New Roman"/>
                <w:b/>
                <w:color w:val="auto"/>
                <w:sz w:val="20"/>
                <w:szCs w:val="20"/>
              </w:rPr>
              <w:t xml:space="preserve">Final </w:t>
            </w:r>
            <w:r w:rsidR="000F689F" w:rsidRPr="00673F57">
              <w:rPr>
                <w:rFonts w:eastAsia="Times New Roman" w:cs="Times New Roman"/>
                <w:b/>
                <w:color w:val="auto"/>
                <w:sz w:val="20"/>
                <w:szCs w:val="20"/>
              </w:rPr>
              <w:t>Combined</w:t>
            </w:r>
            <w:r w:rsidR="00B2261F">
              <w:rPr>
                <w:rFonts w:eastAsia="Times New Roman" w:cs="Times New Roman"/>
                <w:b/>
                <w:color w:val="auto"/>
                <w:sz w:val="20"/>
                <w:szCs w:val="20"/>
              </w:rPr>
              <w:t xml:space="preserve"> (Permanent)</w:t>
            </w:r>
            <w:r w:rsidR="000F689F" w:rsidRPr="00673F57">
              <w:rPr>
                <w:rFonts w:eastAsia="Times New Roman" w:cs="Times New Roman"/>
                <w:b/>
                <w:color w:val="auto"/>
                <w:sz w:val="20"/>
                <w:szCs w:val="20"/>
              </w:rPr>
              <w:t>:  20%</w:t>
            </w:r>
          </w:p>
        </w:tc>
        <w:tc>
          <w:tcPr>
            <w:tcW w:w="5670" w:type="dxa"/>
            <w:gridSpan w:val="4"/>
            <w:tcBorders>
              <w:left w:val="thinThickThinSmallGap" w:sz="24" w:space="0" w:color="auto"/>
            </w:tcBorders>
            <w:shd w:val="clear" w:color="auto" w:fill="BFBFBF" w:themeFill="background1" w:themeFillShade="BF"/>
            <w:vAlign w:val="center"/>
          </w:tcPr>
          <w:p w:rsidR="000F689F" w:rsidRPr="00673F57" w:rsidRDefault="00983E06" w:rsidP="00474D02">
            <w:pPr>
              <w:tabs>
                <w:tab w:val="left" w:pos="288"/>
                <w:tab w:val="left" w:pos="4752"/>
              </w:tabs>
              <w:spacing w:line="200" w:lineRule="exact"/>
              <w:jc w:val="center"/>
              <w:rPr>
                <w:rFonts w:eastAsia="Times New Roman" w:cs="Times New Roman"/>
                <w:b/>
                <w:color w:val="auto"/>
                <w:sz w:val="20"/>
                <w:szCs w:val="20"/>
              </w:rPr>
            </w:pPr>
            <w:r>
              <w:rPr>
                <w:rFonts w:eastAsia="Times New Roman" w:cs="Times New Roman"/>
                <w:b/>
                <w:color w:val="auto"/>
                <w:sz w:val="20"/>
                <w:szCs w:val="20"/>
              </w:rPr>
              <w:t>Total Combined</w:t>
            </w:r>
            <w:r w:rsidR="000F689F" w:rsidRPr="00673F57">
              <w:rPr>
                <w:rFonts w:eastAsia="Times New Roman" w:cs="Times New Roman"/>
                <w:b/>
                <w:color w:val="auto"/>
                <w:sz w:val="20"/>
                <w:szCs w:val="20"/>
              </w:rPr>
              <w:t xml:space="preserve">: </w:t>
            </w:r>
            <w:r w:rsidR="000614D6">
              <w:rPr>
                <w:rFonts w:eastAsia="Times New Roman" w:cs="Times New Roman"/>
                <w:b/>
                <w:color w:val="auto"/>
                <w:sz w:val="20"/>
                <w:szCs w:val="20"/>
              </w:rPr>
              <w:t xml:space="preserve"> </w:t>
            </w:r>
            <w:r w:rsidR="000F689F" w:rsidRPr="00673F57">
              <w:rPr>
                <w:rFonts w:eastAsia="Times New Roman" w:cs="Times New Roman"/>
                <w:b/>
                <w:color w:val="auto"/>
                <w:sz w:val="20"/>
                <w:szCs w:val="20"/>
              </w:rPr>
              <w:t>70%</w:t>
            </w:r>
          </w:p>
        </w:tc>
      </w:tr>
    </w:tbl>
    <w:p w:rsidR="008D525E" w:rsidRPr="00792D24" w:rsidRDefault="008D525E" w:rsidP="00792D24">
      <w:pPr>
        <w:pBdr>
          <w:bottom w:val="single" w:sz="12" w:space="1" w:color="auto"/>
        </w:pBdr>
        <w:tabs>
          <w:tab w:val="left" w:pos="288"/>
          <w:tab w:val="left" w:pos="4752"/>
        </w:tabs>
        <w:spacing w:line="240" w:lineRule="exact"/>
        <w:rPr>
          <w:rFonts w:asciiTheme="minorHAnsi" w:hAnsiTheme="minorHAnsi"/>
          <w:b/>
          <w:color w:val="auto"/>
          <w:u w:val="single"/>
        </w:rPr>
      </w:pPr>
    </w:p>
    <w:p w:rsidR="00792D24" w:rsidRPr="00792D24" w:rsidRDefault="00792D24" w:rsidP="00792D24">
      <w:pPr>
        <w:pBdr>
          <w:bottom w:val="single" w:sz="12" w:space="1" w:color="auto"/>
        </w:pBdr>
        <w:tabs>
          <w:tab w:val="left" w:pos="288"/>
          <w:tab w:val="left" w:pos="4752"/>
        </w:tabs>
        <w:spacing w:line="240" w:lineRule="exact"/>
        <w:rPr>
          <w:rFonts w:asciiTheme="minorHAnsi" w:hAnsiTheme="minorHAnsi"/>
          <w:b/>
          <w:color w:val="auto"/>
          <w:u w:val="single"/>
        </w:rPr>
      </w:pPr>
    </w:p>
    <w:p w:rsidR="002C6E5B" w:rsidRDefault="002C6E5B" w:rsidP="00E224C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1A22EA" w:rsidRDefault="001A22EA" w:rsidP="00E224C4">
      <w:pPr>
        <w:tabs>
          <w:tab w:val="left" w:pos="288"/>
          <w:tab w:val="left" w:pos="4752"/>
        </w:tabs>
        <w:spacing w:line="240" w:lineRule="exact"/>
        <w:jc w:val="both"/>
        <w:rPr>
          <w:rFonts w:asciiTheme="minorHAnsi" w:hAnsiTheme="minorHAnsi"/>
          <w:color w:val="auto"/>
          <w:szCs w:val="24"/>
        </w:rPr>
      </w:pPr>
    </w:p>
    <w:p w:rsidR="000548B8" w:rsidRDefault="001A22EA" w:rsidP="00EA3E8C">
      <w:pPr>
        <w:tabs>
          <w:tab w:val="left" w:pos="288"/>
          <w:tab w:val="left" w:pos="4752"/>
        </w:tabs>
        <w:spacing w:line="240" w:lineRule="exact"/>
        <w:jc w:val="both"/>
        <w:rPr>
          <w:rFonts w:asciiTheme="minorHAnsi" w:hAnsiTheme="minorHAnsi"/>
          <w:color w:val="auto"/>
          <w:szCs w:val="24"/>
        </w:rPr>
      </w:pPr>
      <w:proofErr w:type="gramStart"/>
      <w:r w:rsidRPr="00404464">
        <w:rPr>
          <w:rFonts w:asciiTheme="minorHAnsi" w:hAnsiTheme="minorHAnsi"/>
          <w:color w:val="auto"/>
          <w:szCs w:val="24"/>
          <w:u w:val="single"/>
        </w:rPr>
        <w:t>Insulin-Dependent D</w:t>
      </w:r>
      <w:r w:rsidR="00E3339C">
        <w:rPr>
          <w:rFonts w:asciiTheme="minorHAnsi" w:hAnsiTheme="minorHAnsi"/>
          <w:color w:val="auto"/>
          <w:szCs w:val="24"/>
          <w:u w:val="single"/>
        </w:rPr>
        <w:t>iabetes Mellitus</w:t>
      </w:r>
      <w:r w:rsidR="00404464">
        <w:rPr>
          <w:rFonts w:asciiTheme="minorHAnsi" w:hAnsiTheme="minorHAnsi"/>
          <w:color w:val="auto"/>
          <w:szCs w:val="24"/>
        </w:rPr>
        <w:t>.</w:t>
      </w:r>
      <w:proofErr w:type="gramEnd"/>
      <w:r w:rsidR="00404464">
        <w:rPr>
          <w:rFonts w:asciiTheme="minorHAnsi" w:hAnsiTheme="minorHAnsi"/>
          <w:color w:val="auto"/>
          <w:szCs w:val="24"/>
        </w:rPr>
        <w:t xml:space="preserve">  </w:t>
      </w:r>
      <w:r w:rsidR="00404464" w:rsidRPr="00AF4E42">
        <w:rPr>
          <w:rFonts w:asciiTheme="minorHAnsi" w:hAnsiTheme="minorHAnsi"/>
          <w:color w:val="auto"/>
          <w:szCs w:val="24"/>
        </w:rPr>
        <w:t>The</w:t>
      </w:r>
      <w:r w:rsidR="00AF4E42">
        <w:rPr>
          <w:rFonts w:asciiTheme="minorHAnsi" w:hAnsiTheme="minorHAnsi"/>
          <w:color w:val="auto"/>
          <w:szCs w:val="24"/>
        </w:rPr>
        <w:t xml:space="preserve"> CI was in excellent health until May 2005, when he was diagnosed with </w:t>
      </w:r>
      <w:r w:rsidR="00E3339C">
        <w:rPr>
          <w:rFonts w:asciiTheme="minorHAnsi" w:hAnsiTheme="minorHAnsi"/>
          <w:color w:val="auto"/>
          <w:szCs w:val="24"/>
        </w:rPr>
        <w:t>ID</w:t>
      </w:r>
      <w:r w:rsidR="00AF4E42">
        <w:rPr>
          <w:rFonts w:asciiTheme="minorHAnsi" w:hAnsiTheme="minorHAnsi"/>
          <w:color w:val="auto"/>
          <w:szCs w:val="24"/>
        </w:rPr>
        <w:t>DM.</w:t>
      </w:r>
      <w:r w:rsidR="00836E2C">
        <w:rPr>
          <w:rFonts w:asciiTheme="minorHAnsi" w:hAnsiTheme="minorHAnsi"/>
          <w:color w:val="auto"/>
          <w:szCs w:val="24"/>
        </w:rPr>
        <w:t xml:space="preserve">  </w:t>
      </w:r>
      <w:r w:rsidR="000548B8">
        <w:rPr>
          <w:rFonts w:asciiTheme="minorHAnsi" w:hAnsiTheme="minorHAnsi"/>
          <w:color w:val="auto"/>
          <w:szCs w:val="24"/>
        </w:rPr>
        <w:t>After his first PEB (Oct 2005), h</w:t>
      </w:r>
      <w:r w:rsidR="00836E2C">
        <w:rPr>
          <w:rFonts w:asciiTheme="minorHAnsi" w:hAnsiTheme="minorHAnsi"/>
          <w:color w:val="auto"/>
          <w:szCs w:val="24"/>
        </w:rPr>
        <w:t>e was removed from active duty and placed on TDRL for 40 months.</w:t>
      </w:r>
      <w:r w:rsidR="00EF3A14">
        <w:rPr>
          <w:rFonts w:asciiTheme="minorHAnsi" w:hAnsiTheme="minorHAnsi"/>
          <w:color w:val="auto"/>
          <w:szCs w:val="24"/>
        </w:rPr>
        <w:t xml:space="preserve">  As noted above, he underwent subsequent PEB adjudication, and was separated from the Navy in May 2009, with a disability rating of 20%.   </w:t>
      </w:r>
      <w:r w:rsidR="00836E2C">
        <w:rPr>
          <w:rFonts w:asciiTheme="minorHAnsi" w:hAnsiTheme="minorHAnsi"/>
          <w:color w:val="auto"/>
          <w:szCs w:val="24"/>
        </w:rPr>
        <w:t xml:space="preserve">  </w:t>
      </w:r>
    </w:p>
    <w:p w:rsidR="00EF3A14" w:rsidRDefault="00EF3A14" w:rsidP="00EA3E8C">
      <w:pPr>
        <w:tabs>
          <w:tab w:val="left" w:pos="288"/>
          <w:tab w:val="left" w:pos="4752"/>
        </w:tabs>
        <w:spacing w:line="240" w:lineRule="exact"/>
        <w:jc w:val="both"/>
        <w:rPr>
          <w:rFonts w:asciiTheme="minorHAnsi" w:hAnsiTheme="minorHAnsi"/>
          <w:color w:val="auto"/>
          <w:szCs w:val="24"/>
        </w:rPr>
      </w:pPr>
    </w:p>
    <w:p w:rsidR="0069151A" w:rsidRDefault="00594039" w:rsidP="00EA3E8C">
      <w:pPr>
        <w:tabs>
          <w:tab w:val="left" w:pos="288"/>
          <w:tab w:val="left" w:pos="4752"/>
        </w:tabs>
        <w:spacing w:line="240" w:lineRule="exact"/>
        <w:jc w:val="both"/>
        <w:rPr>
          <w:rFonts w:asciiTheme="minorHAnsi" w:hAnsiTheme="minorHAnsi"/>
          <w:color w:val="auto"/>
          <w:szCs w:val="24"/>
        </w:rPr>
      </w:pPr>
      <w:r w:rsidRPr="00D84528">
        <w:rPr>
          <w:rFonts w:asciiTheme="minorHAnsi" w:hAnsiTheme="minorHAnsi"/>
          <w:color w:val="auto"/>
          <w:szCs w:val="24"/>
        </w:rPr>
        <w:t>In his contention, t</w:t>
      </w:r>
      <w:r w:rsidR="0069151A" w:rsidRPr="00D84528">
        <w:rPr>
          <w:rFonts w:asciiTheme="minorHAnsi" w:hAnsiTheme="minorHAnsi"/>
          <w:color w:val="auto"/>
          <w:szCs w:val="24"/>
        </w:rPr>
        <w:t>he CI</w:t>
      </w:r>
      <w:r w:rsidRPr="00D84528">
        <w:rPr>
          <w:rFonts w:asciiTheme="minorHAnsi" w:hAnsiTheme="minorHAnsi"/>
          <w:color w:val="auto"/>
          <w:szCs w:val="24"/>
        </w:rPr>
        <w:t xml:space="preserve"> opined that his condition ha</w:t>
      </w:r>
      <w:r w:rsidR="0069151A" w:rsidRPr="00D84528">
        <w:rPr>
          <w:rFonts w:asciiTheme="minorHAnsi" w:hAnsiTheme="minorHAnsi"/>
          <w:color w:val="auto"/>
          <w:szCs w:val="24"/>
        </w:rPr>
        <w:t xml:space="preserve">d not improved </w:t>
      </w:r>
      <w:r w:rsidRPr="00D84528">
        <w:rPr>
          <w:rFonts w:asciiTheme="minorHAnsi" w:hAnsiTheme="minorHAnsi"/>
          <w:color w:val="auto"/>
          <w:szCs w:val="24"/>
        </w:rPr>
        <w:t xml:space="preserve">since his initial diagnosis.  This opinion could be either </w:t>
      </w:r>
      <w:r w:rsidR="0069151A" w:rsidRPr="00D84528">
        <w:rPr>
          <w:rFonts w:asciiTheme="minorHAnsi" w:hAnsiTheme="minorHAnsi"/>
          <w:color w:val="auto"/>
          <w:szCs w:val="24"/>
        </w:rPr>
        <w:t xml:space="preserve">supported </w:t>
      </w:r>
      <w:r w:rsidR="0052738E" w:rsidRPr="00D84528">
        <w:rPr>
          <w:rFonts w:asciiTheme="minorHAnsi" w:hAnsiTheme="minorHAnsi"/>
          <w:color w:val="auto"/>
          <w:szCs w:val="24"/>
        </w:rPr>
        <w:t>or</w:t>
      </w:r>
      <w:r w:rsidR="0069151A" w:rsidRPr="00D84528">
        <w:rPr>
          <w:rFonts w:asciiTheme="minorHAnsi" w:hAnsiTheme="minorHAnsi"/>
          <w:color w:val="auto"/>
          <w:szCs w:val="24"/>
        </w:rPr>
        <w:t xml:space="preserve"> questioned</w:t>
      </w:r>
      <w:r w:rsidR="0052738E" w:rsidRPr="00D84528">
        <w:rPr>
          <w:rFonts w:asciiTheme="minorHAnsi" w:hAnsiTheme="minorHAnsi"/>
          <w:color w:val="auto"/>
          <w:szCs w:val="24"/>
        </w:rPr>
        <w:t xml:space="preserve">, based upon </w:t>
      </w:r>
      <w:r w:rsidR="0069151A" w:rsidRPr="00D84528">
        <w:rPr>
          <w:rFonts w:asciiTheme="minorHAnsi" w:hAnsiTheme="minorHAnsi"/>
          <w:color w:val="auto"/>
          <w:szCs w:val="24"/>
        </w:rPr>
        <w:t xml:space="preserve">various </w:t>
      </w:r>
      <w:r w:rsidR="0052738E" w:rsidRPr="00D84528">
        <w:rPr>
          <w:rFonts w:asciiTheme="minorHAnsi" w:hAnsiTheme="minorHAnsi"/>
          <w:color w:val="auto"/>
          <w:szCs w:val="24"/>
        </w:rPr>
        <w:t>clinical</w:t>
      </w:r>
      <w:r w:rsidR="0069151A" w:rsidRPr="00D84528">
        <w:rPr>
          <w:rFonts w:asciiTheme="minorHAnsi" w:hAnsiTheme="minorHAnsi"/>
          <w:color w:val="auto"/>
          <w:szCs w:val="24"/>
        </w:rPr>
        <w:t xml:space="preserve"> notes</w:t>
      </w:r>
      <w:r w:rsidR="0052738E" w:rsidRPr="00D84528">
        <w:rPr>
          <w:rFonts w:asciiTheme="minorHAnsi" w:hAnsiTheme="minorHAnsi"/>
          <w:color w:val="auto"/>
          <w:szCs w:val="24"/>
        </w:rPr>
        <w:t xml:space="preserve"> in the treatment record</w:t>
      </w:r>
      <w:r w:rsidR="0069151A" w:rsidRPr="00D84528">
        <w:rPr>
          <w:rFonts w:asciiTheme="minorHAnsi" w:hAnsiTheme="minorHAnsi"/>
          <w:color w:val="auto"/>
          <w:szCs w:val="24"/>
        </w:rPr>
        <w:t xml:space="preserve">. </w:t>
      </w:r>
      <w:r w:rsidR="00E3339C">
        <w:rPr>
          <w:rFonts w:asciiTheme="minorHAnsi" w:hAnsiTheme="minorHAnsi"/>
          <w:color w:val="auto"/>
          <w:szCs w:val="24"/>
        </w:rPr>
        <w:t xml:space="preserve"> </w:t>
      </w:r>
      <w:r w:rsidR="0069151A" w:rsidRPr="00D84528">
        <w:rPr>
          <w:rFonts w:asciiTheme="minorHAnsi" w:hAnsiTheme="minorHAnsi"/>
          <w:color w:val="auto"/>
          <w:szCs w:val="24"/>
        </w:rPr>
        <w:t xml:space="preserve">The Board takes the position that </w:t>
      </w:r>
      <w:r w:rsidR="0052738E" w:rsidRPr="00D84528">
        <w:rPr>
          <w:rFonts w:asciiTheme="minorHAnsi" w:hAnsiTheme="minorHAnsi"/>
          <w:color w:val="auto"/>
          <w:szCs w:val="24"/>
        </w:rPr>
        <w:t xml:space="preserve">the presence or absence of </w:t>
      </w:r>
      <w:r w:rsidR="0069151A" w:rsidRPr="00D84528">
        <w:rPr>
          <w:rFonts w:asciiTheme="minorHAnsi" w:hAnsiTheme="minorHAnsi"/>
          <w:color w:val="auto"/>
          <w:szCs w:val="24"/>
        </w:rPr>
        <w:t xml:space="preserve">subjective improvement should not influence its rating recommendation. </w:t>
      </w:r>
      <w:r w:rsidR="00E3339C">
        <w:rPr>
          <w:rFonts w:asciiTheme="minorHAnsi" w:hAnsiTheme="minorHAnsi"/>
          <w:color w:val="auto"/>
          <w:szCs w:val="24"/>
        </w:rPr>
        <w:t xml:space="preserve"> </w:t>
      </w:r>
      <w:r w:rsidR="0069151A" w:rsidRPr="00D84528">
        <w:rPr>
          <w:rFonts w:asciiTheme="minorHAnsi" w:hAnsiTheme="minorHAnsi"/>
          <w:color w:val="auto"/>
          <w:szCs w:val="24"/>
        </w:rPr>
        <w:t xml:space="preserve">It is recognized, in fact, that </w:t>
      </w:r>
      <w:r w:rsidR="0052738E" w:rsidRPr="00D84528">
        <w:rPr>
          <w:rFonts w:asciiTheme="minorHAnsi" w:hAnsiTheme="minorHAnsi"/>
          <w:color w:val="auto"/>
          <w:szCs w:val="24"/>
        </w:rPr>
        <w:t xml:space="preserve">the </w:t>
      </w:r>
      <w:r w:rsidR="0069151A" w:rsidRPr="00D84528">
        <w:rPr>
          <w:rFonts w:asciiTheme="minorHAnsi" w:hAnsiTheme="minorHAnsi"/>
          <w:color w:val="auto"/>
          <w:szCs w:val="24"/>
        </w:rPr>
        <w:t>PEB</w:t>
      </w:r>
      <w:r w:rsidR="0052738E" w:rsidRPr="00D84528">
        <w:rPr>
          <w:rFonts w:asciiTheme="minorHAnsi" w:hAnsiTheme="minorHAnsi"/>
          <w:color w:val="auto"/>
          <w:szCs w:val="24"/>
        </w:rPr>
        <w:t xml:space="preserve"> may have</w:t>
      </w:r>
      <w:r w:rsidR="0069151A" w:rsidRPr="00D84528">
        <w:rPr>
          <w:rFonts w:asciiTheme="minorHAnsi" w:hAnsiTheme="minorHAnsi"/>
          <w:color w:val="auto"/>
          <w:szCs w:val="24"/>
        </w:rPr>
        <w:t xml:space="preserve"> appl</w:t>
      </w:r>
      <w:r w:rsidR="0052738E" w:rsidRPr="00D84528">
        <w:rPr>
          <w:rFonts w:asciiTheme="minorHAnsi" w:hAnsiTheme="minorHAnsi"/>
          <w:color w:val="auto"/>
          <w:szCs w:val="24"/>
        </w:rPr>
        <w:t>ied</w:t>
      </w:r>
      <w:r w:rsidR="0069151A" w:rsidRPr="00D84528">
        <w:rPr>
          <w:rFonts w:asciiTheme="minorHAnsi" w:hAnsiTheme="minorHAnsi"/>
          <w:color w:val="auto"/>
          <w:szCs w:val="24"/>
        </w:rPr>
        <w:t xml:space="preserve"> a generous initial rating in order to meet the re</w:t>
      </w:r>
      <w:r w:rsidR="0052738E" w:rsidRPr="00D84528">
        <w:rPr>
          <w:rFonts w:asciiTheme="minorHAnsi" w:hAnsiTheme="minorHAnsi"/>
          <w:color w:val="auto"/>
          <w:szCs w:val="24"/>
        </w:rPr>
        <w:t xml:space="preserve">tirement threshold of </w:t>
      </w:r>
      <w:r w:rsidR="0069151A" w:rsidRPr="00D84528">
        <w:rPr>
          <w:rFonts w:asciiTheme="minorHAnsi" w:hAnsiTheme="minorHAnsi"/>
          <w:color w:val="auto"/>
          <w:szCs w:val="24"/>
        </w:rPr>
        <w:t>30% disability</w:t>
      </w:r>
      <w:r w:rsidR="0052738E" w:rsidRPr="00D84528">
        <w:rPr>
          <w:rFonts w:asciiTheme="minorHAnsi" w:hAnsiTheme="minorHAnsi"/>
          <w:color w:val="auto"/>
          <w:szCs w:val="24"/>
        </w:rPr>
        <w:t>,</w:t>
      </w:r>
      <w:r w:rsidR="0069151A" w:rsidRPr="00D84528">
        <w:rPr>
          <w:rFonts w:asciiTheme="minorHAnsi" w:hAnsiTheme="minorHAnsi"/>
          <w:color w:val="auto"/>
          <w:szCs w:val="24"/>
        </w:rPr>
        <w:t xml:space="preserve"> for placement on TDRL. </w:t>
      </w:r>
      <w:r w:rsidR="00E3339C">
        <w:rPr>
          <w:rFonts w:asciiTheme="minorHAnsi" w:hAnsiTheme="minorHAnsi"/>
          <w:color w:val="auto"/>
          <w:szCs w:val="24"/>
        </w:rPr>
        <w:t xml:space="preserve"> </w:t>
      </w:r>
      <w:r w:rsidR="0069151A" w:rsidRPr="00D84528">
        <w:rPr>
          <w:rFonts w:asciiTheme="minorHAnsi" w:hAnsiTheme="minorHAnsi"/>
          <w:color w:val="auto"/>
          <w:szCs w:val="24"/>
        </w:rPr>
        <w:t xml:space="preserve">This </w:t>
      </w:r>
      <w:r w:rsidR="0052738E" w:rsidRPr="00D84528">
        <w:rPr>
          <w:rFonts w:asciiTheme="minorHAnsi" w:hAnsiTheme="minorHAnsi"/>
          <w:color w:val="auto"/>
          <w:szCs w:val="24"/>
        </w:rPr>
        <w:t>was</w:t>
      </w:r>
      <w:r w:rsidR="0069151A" w:rsidRPr="00D84528">
        <w:rPr>
          <w:rFonts w:asciiTheme="minorHAnsi" w:hAnsiTheme="minorHAnsi"/>
          <w:color w:val="auto"/>
          <w:szCs w:val="24"/>
        </w:rPr>
        <w:t xml:space="preserve"> in the </w:t>
      </w:r>
      <w:r w:rsidR="0052738E" w:rsidRPr="00D84528">
        <w:rPr>
          <w:rFonts w:asciiTheme="minorHAnsi" w:hAnsiTheme="minorHAnsi"/>
          <w:color w:val="auto"/>
          <w:szCs w:val="24"/>
        </w:rPr>
        <w:t>CI</w:t>
      </w:r>
      <w:r w:rsidR="0069151A" w:rsidRPr="00D84528">
        <w:rPr>
          <w:rFonts w:asciiTheme="minorHAnsi" w:hAnsiTheme="minorHAnsi"/>
          <w:color w:val="auto"/>
          <w:szCs w:val="24"/>
        </w:rPr>
        <w:t>’s best interest at th</w:t>
      </w:r>
      <w:r w:rsidR="0052738E" w:rsidRPr="00D84528">
        <w:rPr>
          <w:rFonts w:asciiTheme="minorHAnsi" w:hAnsiTheme="minorHAnsi"/>
          <w:color w:val="auto"/>
          <w:szCs w:val="24"/>
        </w:rPr>
        <w:t>at</w:t>
      </w:r>
      <w:r w:rsidR="0069151A" w:rsidRPr="00D84528">
        <w:rPr>
          <w:rFonts w:asciiTheme="minorHAnsi" w:hAnsiTheme="minorHAnsi"/>
          <w:color w:val="auto"/>
          <w:szCs w:val="24"/>
        </w:rPr>
        <w:t xml:space="preserve"> time and does not mean that a </w:t>
      </w:r>
      <w:r w:rsidR="0052738E" w:rsidRPr="00D84528">
        <w:rPr>
          <w:rFonts w:asciiTheme="minorHAnsi" w:hAnsiTheme="minorHAnsi"/>
          <w:color w:val="auto"/>
          <w:szCs w:val="24"/>
        </w:rPr>
        <w:t xml:space="preserve">lower </w:t>
      </w:r>
      <w:r w:rsidR="0069151A" w:rsidRPr="00D84528">
        <w:rPr>
          <w:rFonts w:asciiTheme="minorHAnsi" w:hAnsiTheme="minorHAnsi"/>
          <w:color w:val="auto"/>
          <w:szCs w:val="24"/>
        </w:rPr>
        <w:t>final rating is unfair</w:t>
      </w:r>
      <w:r w:rsidR="0052738E" w:rsidRPr="00D84528">
        <w:rPr>
          <w:rFonts w:asciiTheme="minorHAnsi" w:hAnsiTheme="minorHAnsi"/>
          <w:color w:val="auto"/>
          <w:szCs w:val="24"/>
        </w:rPr>
        <w:t xml:space="preserve">.  </w:t>
      </w:r>
      <w:r w:rsidR="0069151A" w:rsidRPr="00D84528">
        <w:rPr>
          <w:rFonts w:asciiTheme="minorHAnsi" w:hAnsiTheme="minorHAnsi"/>
          <w:color w:val="auto"/>
          <w:szCs w:val="24"/>
        </w:rPr>
        <w:t xml:space="preserve">The sole basis for the Board’s </w:t>
      </w:r>
      <w:r w:rsidR="0052738E" w:rsidRPr="00D84528">
        <w:rPr>
          <w:rFonts w:asciiTheme="minorHAnsi" w:hAnsiTheme="minorHAnsi"/>
          <w:color w:val="auto"/>
          <w:szCs w:val="24"/>
        </w:rPr>
        <w:t xml:space="preserve">final rating </w:t>
      </w:r>
      <w:r w:rsidR="0069151A" w:rsidRPr="00D84528">
        <w:rPr>
          <w:rFonts w:asciiTheme="minorHAnsi" w:hAnsiTheme="minorHAnsi"/>
          <w:color w:val="auto"/>
          <w:szCs w:val="24"/>
        </w:rPr>
        <w:t xml:space="preserve">recommendation is the </w:t>
      </w:r>
      <w:r w:rsidR="00D84528" w:rsidRPr="00D84528">
        <w:rPr>
          <w:rFonts w:asciiTheme="minorHAnsi" w:hAnsiTheme="minorHAnsi"/>
          <w:color w:val="auto"/>
          <w:szCs w:val="24"/>
        </w:rPr>
        <w:t>CI’s clinical condition at the time of separation from service</w:t>
      </w:r>
      <w:r w:rsidR="0069151A" w:rsidRPr="00D84528">
        <w:rPr>
          <w:rFonts w:asciiTheme="minorHAnsi" w:hAnsiTheme="minorHAnsi"/>
          <w:color w:val="auto"/>
          <w:szCs w:val="24"/>
        </w:rPr>
        <w:t>.</w:t>
      </w:r>
    </w:p>
    <w:p w:rsidR="0069151A" w:rsidRDefault="0069151A" w:rsidP="00EA3E8C">
      <w:pPr>
        <w:tabs>
          <w:tab w:val="left" w:pos="288"/>
          <w:tab w:val="left" w:pos="4752"/>
        </w:tabs>
        <w:spacing w:line="240" w:lineRule="exact"/>
        <w:jc w:val="both"/>
        <w:rPr>
          <w:rFonts w:asciiTheme="minorHAnsi" w:hAnsiTheme="minorHAnsi"/>
          <w:color w:val="auto"/>
          <w:szCs w:val="24"/>
        </w:rPr>
      </w:pPr>
    </w:p>
    <w:p w:rsidR="00055A01" w:rsidRDefault="000548B8" w:rsidP="00EA3E8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 examined all evidentiary information available.</w:t>
      </w:r>
      <w:r w:rsidR="00EA3E8C">
        <w:rPr>
          <w:rFonts w:asciiTheme="minorHAnsi" w:hAnsiTheme="minorHAnsi"/>
          <w:color w:val="auto"/>
          <w:szCs w:val="24"/>
        </w:rPr>
        <w:t xml:space="preserve"> </w:t>
      </w:r>
      <w:r w:rsidR="00D84528">
        <w:rPr>
          <w:rFonts w:asciiTheme="minorHAnsi" w:hAnsiTheme="minorHAnsi"/>
          <w:color w:val="auto"/>
          <w:szCs w:val="24"/>
        </w:rPr>
        <w:t xml:space="preserve">As mentioned above, the Board must base </w:t>
      </w:r>
      <w:r w:rsidR="00EF3A14">
        <w:rPr>
          <w:rFonts w:asciiTheme="minorHAnsi" w:hAnsiTheme="minorHAnsi"/>
          <w:color w:val="auto"/>
          <w:szCs w:val="24"/>
        </w:rPr>
        <w:t>its permanent disability rating recommendation</w:t>
      </w:r>
      <w:r w:rsidR="00D84528">
        <w:rPr>
          <w:rFonts w:asciiTheme="minorHAnsi" w:hAnsiTheme="minorHAnsi"/>
          <w:color w:val="auto"/>
          <w:szCs w:val="24"/>
        </w:rPr>
        <w:t xml:space="preserve"> on </w:t>
      </w:r>
      <w:r w:rsidR="00EF3A14">
        <w:rPr>
          <w:rFonts w:asciiTheme="minorHAnsi" w:hAnsiTheme="minorHAnsi"/>
          <w:color w:val="auto"/>
          <w:szCs w:val="24"/>
        </w:rPr>
        <w:t xml:space="preserve">the CI’s medical condition at the time of separation from service.  Review of the </w:t>
      </w:r>
      <w:r w:rsidR="00E3339C">
        <w:rPr>
          <w:rFonts w:asciiTheme="minorHAnsi" w:hAnsiTheme="minorHAnsi"/>
          <w:color w:val="auto"/>
          <w:szCs w:val="24"/>
        </w:rPr>
        <w:t>t</w:t>
      </w:r>
      <w:r w:rsidR="00EF3A14">
        <w:rPr>
          <w:rFonts w:asciiTheme="minorHAnsi" w:hAnsiTheme="minorHAnsi"/>
          <w:color w:val="auto"/>
          <w:szCs w:val="24"/>
        </w:rPr>
        <w:t xml:space="preserve">reatment </w:t>
      </w:r>
      <w:r w:rsidR="00E3339C">
        <w:rPr>
          <w:rFonts w:asciiTheme="minorHAnsi" w:hAnsiTheme="minorHAnsi"/>
          <w:color w:val="auto"/>
          <w:szCs w:val="24"/>
        </w:rPr>
        <w:t>r</w:t>
      </w:r>
      <w:r w:rsidR="00EF3A14">
        <w:rPr>
          <w:rFonts w:asciiTheme="minorHAnsi" w:hAnsiTheme="minorHAnsi"/>
          <w:color w:val="auto"/>
          <w:szCs w:val="24"/>
        </w:rPr>
        <w:t xml:space="preserve">ecord shows that the CI was evaluated by an </w:t>
      </w:r>
      <w:r w:rsidR="00E3339C">
        <w:rPr>
          <w:rFonts w:asciiTheme="minorHAnsi" w:hAnsiTheme="minorHAnsi"/>
          <w:color w:val="auto"/>
          <w:szCs w:val="24"/>
        </w:rPr>
        <w:t>i</w:t>
      </w:r>
      <w:r w:rsidR="00EF3A14">
        <w:rPr>
          <w:rFonts w:asciiTheme="minorHAnsi" w:hAnsiTheme="minorHAnsi"/>
          <w:color w:val="auto"/>
          <w:szCs w:val="24"/>
        </w:rPr>
        <w:t>nternist at Naval Hosp</w:t>
      </w:r>
      <w:r w:rsidR="00EA3E8C">
        <w:rPr>
          <w:rFonts w:asciiTheme="minorHAnsi" w:hAnsiTheme="minorHAnsi"/>
          <w:color w:val="auto"/>
          <w:szCs w:val="24"/>
        </w:rPr>
        <w:t>ital</w:t>
      </w:r>
      <w:r w:rsidR="00EF3A14">
        <w:rPr>
          <w:rFonts w:asciiTheme="minorHAnsi" w:hAnsiTheme="minorHAnsi"/>
          <w:color w:val="auto"/>
          <w:szCs w:val="24"/>
        </w:rPr>
        <w:t xml:space="preserve"> Bremerton on 5 March 2009.  </w:t>
      </w:r>
      <w:r w:rsidR="00055A01">
        <w:rPr>
          <w:rFonts w:asciiTheme="minorHAnsi" w:hAnsiTheme="minorHAnsi"/>
          <w:color w:val="auto"/>
          <w:szCs w:val="24"/>
        </w:rPr>
        <w:t>The CI</w:t>
      </w:r>
      <w:r w:rsidR="00EF3A14">
        <w:rPr>
          <w:rFonts w:asciiTheme="minorHAnsi" w:hAnsiTheme="minorHAnsi"/>
          <w:color w:val="auto"/>
          <w:szCs w:val="24"/>
        </w:rPr>
        <w:t xml:space="preserve"> was married, and working full-time as an accountant.  He had excellent </w:t>
      </w:r>
      <w:proofErr w:type="spellStart"/>
      <w:r w:rsidR="00EF3A14">
        <w:rPr>
          <w:rFonts w:asciiTheme="minorHAnsi" w:hAnsiTheme="minorHAnsi"/>
          <w:color w:val="auto"/>
          <w:szCs w:val="24"/>
        </w:rPr>
        <w:t>glycemic</w:t>
      </w:r>
      <w:proofErr w:type="spellEnd"/>
      <w:r w:rsidR="00EF3A14">
        <w:rPr>
          <w:rFonts w:asciiTheme="minorHAnsi" w:hAnsiTheme="minorHAnsi"/>
          <w:color w:val="auto"/>
          <w:szCs w:val="24"/>
        </w:rPr>
        <w:t xml:space="preserve"> control, and was using a subcutaneous insulin infusion pump.  The CI denied any recent hospitalizations or </w:t>
      </w:r>
      <w:r w:rsidR="00E3339C">
        <w:rPr>
          <w:rFonts w:asciiTheme="minorHAnsi" w:hAnsiTheme="minorHAnsi"/>
          <w:color w:val="auto"/>
          <w:szCs w:val="24"/>
        </w:rPr>
        <w:t>e</w:t>
      </w:r>
      <w:r w:rsidR="00AA35E7">
        <w:rPr>
          <w:rFonts w:asciiTheme="minorHAnsi" w:hAnsiTheme="minorHAnsi"/>
          <w:color w:val="auto"/>
          <w:szCs w:val="24"/>
        </w:rPr>
        <w:t xml:space="preserve">mergency </w:t>
      </w:r>
      <w:r w:rsidR="00E3339C">
        <w:rPr>
          <w:rFonts w:asciiTheme="minorHAnsi" w:hAnsiTheme="minorHAnsi"/>
          <w:color w:val="auto"/>
          <w:szCs w:val="24"/>
        </w:rPr>
        <w:t>d</w:t>
      </w:r>
      <w:r w:rsidR="00AA35E7">
        <w:rPr>
          <w:rFonts w:asciiTheme="minorHAnsi" w:hAnsiTheme="minorHAnsi"/>
          <w:color w:val="auto"/>
          <w:szCs w:val="24"/>
        </w:rPr>
        <w:t>epartment</w:t>
      </w:r>
      <w:r w:rsidR="00EF3A14">
        <w:rPr>
          <w:rFonts w:asciiTheme="minorHAnsi" w:hAnsiTheme="minorHAnsi"/>
          <w:color w:val="auto"/>
          <w:szCs w:val="24"/>
        </w:rPr>
        <w:t xml:space="preserve"> visits.</w:t>
      </w:r>
      <w:r w:rsidR="007151D5">
        <w:rPr>
          <w:rFonts w:asciiTheme="minorHAnsi" w:hAnsiTheme="minorHAnsi"/>
          <w:color w:val="auto"/>
          <w:szCs w:val="24"/>
        </w:rPr>
        <w:t xml:space="preserve">  It is clear that he required insulin and</w:t>
      </w:r>
      <w:r w:rsidR="00E3339C">
        <w:rPr>
          <w:rFonts w:asciiTheme="minorHAnsi" w:hAnsiTheme="minorHAnsi"/>
          <w:color w:val="auto"/>
          <w:szCs w:val="24"/>
        </w:rPr>
        <w:t xml:space="preserve"> was on</w:t>
      </w:r>
      <w:r w:rsidR="007151D5">
        <w:rPr>
          <w:rFonts w:asciiTheme="minorHAnsi" w:hAnsiTheme="minorHAnsi"/>
          <w:color w:val="auto"/>
          <w:szCs w:val="24"/>
        </w:rPr>
        <w:t xml:space="preserve"> a restricted diet.  However, at the time of separation, </w:t>
      </w:r>
      <w:r w:rsidR="00DF3F25">
        <w:rPr>
          <w:rFonts w:asciiTheme="minorHAnsi" w:hAnsiTheme="minorHAnsi"/>
          <w:color w:val="auto"/>
          <w:szCs w:val="24"/>
        </w:rPr>
        <w:t xml:space="preserve">there is not sufficient evidence that he </w:t>
      </w:r>
      <w:r w:rsidR="007151D5">
        <w:rPr>
          <w:rFonts w:asciiTheme="minorHAnsi" w:hAnsiTheme="minorHAnsi"/>
          <w:color w:val="auto"/>
          <w:szCs w:val="24"/>
        </w:rPr>
        <w:t>required regulation of activities.</w:t>
      </w:r>
      <w:r w:rsidR="00055A01">
        <w:rPr>
          <w:rFonts w:asciiTheme="minorHAnsi" w:hAnsiTheme="minorHAnsi"/>
          <w:color w:val="auto"/>
          <w:szCs w:val="24"/>
        </w:rPr>
        <w:t xml:space="preserve">  After considerable discussion and due deliberation</w:t>
      </w:r>
      <w:r w:rsidR="00B2261F">
        <w:rPr>
          <w:rFonts w:asciiTheme="minorHAnsi" w:hAnsiTheme="minorHAnsi"/>
          <w:color w:val="auto"/>
          <w:szCs w:val="24"/>
        </w:rPr>
        <w:t xml:space="preserve"> (</w:t>
      </w:r>
      <w:r w:rsidR="00055A01">
        <w:rPr>
          <w:rFonts w:asciiTheme="minorHAnsi" w:hAnsiTheme="minorHAnsi"/>
          <w:color w:val="auto"/>
          <w:szCs w:val="24"/>
        </w:rPr>
        <w:t xml:space="preserve">and mindful of VASRD </w:t>
      </w:r>
      <w:r w:rsidR="00055A01" w:rsidRPr="00FC2A13">
        <w:rPr>
          <w:rFonts w:asciiTheme="minorHAnsi" w:hAnsiTheme="minorHAnsi"/>
          <w:color w:val="auto"/>
        </w:rPr>
        <w:t>§</w:t>
      </w:r>
      <w:r w:rsidR="00055A01" w:rsidRPr="00055A01">
        <w:rPr>
          <w:rFonts w:asciiTheme="minorHAnsi" w:hAnsiTheme="minorHAnsi"/>
          <w:color w:val="auto"/>
          <w:szCs w:val="24"/>
        </w:rPr>
        <w:t>4.</w:t>
      </w:r>
      <w:r w:rsidR="00055A01">
        <w:rPr>
          <w:rFonts w:asciiTheme="minorHAnsi" w:hAnsiTheme="minorHAnsi"/>
          <w:color w:val="auto"/>
          <w:szCs w:val="24"/>
        </w:rPr>
        <w:t>3</w:t>
      </w:r>
      <w:r w:rsidR="00B2261F">
        <w:rPr>
          <w:rFonts w:asciiTheme="minorHAnsi" w:hAnsiTheme="minorHAnsi"/>
          <w:color w:val="auto"/>
          <w:szCs w:val="24"/>
        </w:rPr>
        <w:t xml:space="preserve"> – </w:t>
      </w:r>
      <w:r w:rsidR="00E3339C">
        <w:rPr>
          <w:rFonts w:asciiTheme="minorHAnsi" w:hAnsiTheme="minorHAnsi"/>
          <w:color w:val="auto"/>
          <w:szCs w:val="24"/>
        </w:rPr>
        <w:t>r</w:t>
      </w:r>
      <w:r w:rsidR="00055A01">
        <w:rPr>
          <w:rFonts w:asciiTheme="minorHAnsi" w:hAnsiTheme="minorHAnsi"/>
          <w:color w:val="auto"/>
          <w:szCs w:val="24"/>
        </w:rPr>
        <w:t>easonable doubt), the Board unanimously recommends a 2</w:t>
      </w:r>
      <w:r w:rsidR="00055A01" w:rsidRPr="009659DF">
        <w:rPr>
          <w:rFonts w:asciiTheme="minorHAnsi" w:hAnsiTheme="minorHAnsi"/>
          <w:color w:val="auto"/>
          <w:szCs w:val="24"/>
        </w:rPr>
        <w:t>0% rating</w:t>
      </w:r>
      <w:r w:rsidR="00055A01">
        <w:rPr>
          <w:rFonts w:asciiTheme="minorHAnsi" w:hAnsiTheme="minorHAnsi"/>
          <w:color w:val="auto"/>
          <w:szCs w:val="24"/>
        </w:rPr>
        <w:t xml:space="preserve"> for the </w:t>
      </w:r>
      <w:r w:rsidR="00AA35E7">
        <w:rPr>
          <w:rFonts w:asciiTheme="minorHAnsi" w:hAnsiTheme="minorHAnsi"/>
          <w:color w:val="auto"/>
          <w:szCs w:val="24"/>
        </w:rPr>
        <w:t>IDDM</w:t>
      </w:r>
      <w:r w:rsidR="00055A01">
        <w:rPr>
          <w:rFonts w:asciiTheme="minorHAnsi" w:hAnsiTheme="minorHAnsi"/>
          <w:color w:val="auto"/>
          <w:szCs w:val="24"/>
        </w:rPr>
        <w:t xml:space="preserve"> condition.  </w:t>
      </w:r>
    </w:p>
    <w:p w:rsidR="007A3BB3" w:rsidRDefault="007A3BB3" w:rsidP="00EA3E8C">
      <w:pPr>
        <w:tabs>
          <w:tab w:val="left" w:pos="288"/>
          <w:tab w:val="left" w:pos="4752"/>
        </w:tabs>
        <w:spacing w:line="240" w:lineRule="exact"/>
        <w:jc w:val="both"/>
        <w:rPr>
          <w:rFonts w:asciiTheme="minorHAnsi" w:hAnsiTheme="minorHAnsi"/>
          <w:color w:val="auto"/>
          <w:szCs w:val="24"/>
        </w:rPr>
      </w:pPr>
    </w:p>
    <w:p w:rsidR="00B52AEB" w:rsidRPr="00EA3E8C" w:rsidRDefault="005125DB" w:rsidP="00EA3E8C">
      <w:pPr>
        <w:tabs>
          <w:tab w:val="left" w:pos="288"/>
          <w:tab w:val="left" w:pos="4752"/>
        </w:tabs>
        <w:spacing w:line="240" w:lineRule="exact"/>
        <w:jc w:val="both"/>
        <w:rPr>
          <w:rFonts w:asciiTheme="minorHAnsi" w:hAnsiTheme="minorHAnsi"/>
          <w:color w:val="auto"/>
          <w:szCs w:val="24"/>
        </w:rPr>
      </w:pPr>
      <w:proofErr w:type="gramStart"/>
      <w:r w:rsidRPr="00B52AEB">
        <w:rPr>
          <w:rFonts w:asciiTheme="minorHAnsi" w:hAnsiTheme="minorHAnsi"/>
          <w:color w:val="auto"/>
          <w:szCs w:val="24"/>
          <w:u w:val="single"/>
        </w:rPr>
        <w:t xml:space="preserve">Peripheral </w:t>
      </w:r>
      <w:r w:rsidR="00792D24" w:rsidRPr="00B52AEB">
        <w:rPr>
          <w:rFonts w:asciiTheme="minorHAnsi" w:hAnsiTheme="minorHAnsi"/>
          <w:color w:val="auto"/>
          <w:szCs w:val="24"/>
          <w:u w:val="single"/>
        </w:rPr>
        <w:t>N</w:t>
      </w:r>
      <w:r w:rsidRPr="00B52AEB">
        <w:rPr>
          <w:rFonts w:asciiTheme="minorHAnsi" w:hAnsiTheme="minorHAnsi"/>
          <w:color w:val="auto"/>
          <w:szCs w:val="24"/>
          <w:u w:val="single"/>
        </w:rPr>
        <w:t>europathy</w:t>
      </w:r>
      <w:r w:rsidRPr="00B52AEB">
        <w:rPr>
          <w:rFonts w:asciiTheme="minorHAnsi" w:hAnsiTheme="minorHAnsi"/>
          <w:color w:val="auto"/>
          <w:szCs w:val="24"/>
        </w:rPr>
        <w:t>.</w:t>
      </w:r>
      <w:proofErr w:type="gramEnd"/>
      <w:r w:rsidRPr="005125DB">
        <w:rPr>
          <w:rFonts w:asciiTheme="minorHAnsi" w:hAnsiTheme="minorHAnsi"/>
          <w:color w:val="auto"/>
          <w:szCs w:val="24"/>
        </w:rPr>
        <w:t xml:space="preserve">  </w:t>
      </w:r>
      <w:r>
        <w:rPr>
          <w:rFonts w:asciiTheme="minorHAnsi" w:hAnsiTheme="minorHAnsi"/>
          <w:color w:val="auto"/>
          <w:szCs w:val="24"/>
        </w:rPr>
        <w:t>The</w:t>
      </w:r>
      <w:r w:rsidR="00B52AEB">
        <w:rPr>
          <w:rFonts w:asciiTheme="minorHAnsi" w:hAnsiTheme="minorHAnsi"/>
          <w:color w:val="auto"/>
          <w:szCs w:val="24"/>
        </w:rPr>
        <w:t xml:space="preserve"> CI experienced occasional numbness of the left leg.  This was diagnosed as </w:t>
      </w:r>
      <w:r w:rsidR="00E3339C">
        <w:rPr>
          <w:rFonts w:asciiTheme="minorHAnsi" w:hAnsiTheme="minorHAnsi"/>
          <w:color w:val="auto"/>
          <w:szCs w:val="24"/>
        </w:rPr>
        <w:t>p</w:t>
      </w:r>
      <w:r w:rsidR="00B52AEB">
        <w:rPr>
          <w:rFonts w:asciiTheme="minorHAnsi" w:hAnsiTheme="minorHAnsi"/>
          <w:color w:val="auto"/>
          <w:szCs w:val="24"/>
        </w:rPr>
        <w:t xml:space="preserve">eripheral neuropathy.  On the March 2009 examination of lower extremities, he had normal pulses, and </w:t>
      </w:r>
      <w:r w:rsidR="00B2261F">
        <w:rPr>
          <w:rFonts w:asciiTheme="minorHAnsi" w:hAnsiTheme="minorHAnsi"/>
          <w:color w:val="auto"/>
          <w:szCs w:val="24"/>
        </w:rPr>
        <w:t xml:space="preserve">his </w:t>
      </w:r>
      <w:r w:rsidR="00B52AEB">
        <w:rPr>
          <w:rFonts w:asciiTheme="minorHAnsi" w:hAnsiTheme="minorHAnsi"/>
          <w:color w:val="auto"/>
          <w:szCs w:val="24"/>
        </w:rPr>
        <w:t xml:space="preserve">sensation (light touch) was intact to monofilament testing.  There is no clearly documented evidence that this condition </w:t>
      </w:r>
      <w:r w:rsidR="00B959B9">
        <w:rPr>
          <w:rFonts w:asciiTheme="minorHAnsi" w:hAnsiTheme="minorHAnsi"/>
          <w:color w:val="auto"/>
          <w:szCs w:val="24"/>
        </w:rPr>
        <w:t xml:space="preserve">caused any significant interference with the performance of his military duties.  The Board therefore unanimously recommends that </w:t>
      </w:r>
      <w:r w:rsidR="00E3339C">
        <w:rPr>
          <w:rFonts w:asciiTheme="minorHAnsi" w:hAnsiTheme="minorHAnsi"/>
          <w:color w:val="auto"/>
          <w:szCs w:val="24"/>
        </w:rPr>
        <w:t>p</w:t>
      </w:r>
      <w:r w:rsidR="00B959B9">
        <w:rPr>
          <w:rFonts w:asciiTheme="minorHAnsi" w:hAnsiTheme="minorHAnsi"/>
          <w:color w:val="auto"/>
          <w:szCs w:val="24"/>
        </w:rPr>
        <w:t xml:space="preserve">eripheral neuropathy be considered not unfitting at the time of separation from service. </w:t>
      </w:r>
    </w:p>
    <w:p w:rsidR="005D7117" w:rsidRDefault="005D7117" w:rsidP="00EA3E8C">
      <w:pPr>
        <w:spacing w:line="240" w:lineRule="exact"/>
        <w:jc w:val="both"/>
        <w:rPr>
          <w:rFonts w:asciiTheme="minorHAnsi" w:hAnsiTheme="minorHAnsi"/>
          <w:color w:val="auto"/>
          <w:szCs w:val="24"/>
          <w:u w:val="single"/>
        </w:rPr>
      </w:pPr>
    </w:p>
    <w:p w:rsidR="005D7117" w:rsidRPr="00EA3E8C" w:rsidRDefault="00A37CC0" w:rsidP="00EA3E8C">
      <w:pPr>
        <w:spacing w:line="240" w:lineRule="exact"/>
        <w:jc w:val="both"/>
        <w:rPr>
          <w:rFonts w:asciiTheme="minorHAnsi" w:hAnsiTheme="minorHAnsi"/>
          <w:color w:val="auto"/>
          <w:szCs w:val="24"/>
        </w:rPr>
      </w:pPr>
      <w:proofErr w:type="gramStart"/>
      <w:r w:rsidRPr="00EA3E8C">
        <w:rPr>
          <w:rFonts w:asciiTheme="minorHAnsi" w:hAnsiTheme="minorHAnsi"/>
          <w:color w:val="auto"/>
          <w:szCs w:val="24"/>
          <w:u w:val="single"/>
        </w:rPr>
        <w:t>Remaining Conditions</w:t>
      </w:r>
      <w:r w:rsidRPr="00EA3E8C">
        <w:rPr>
          <w:rFonts w:asciiTheme="minorHAnsi" w:hAnsiTheme="minorHAnsi"/>
          <w:color w:val="auto"/>
          <w:szCs w:val="24"/>
        </w:rPr>
        <w:t>.</w:t>
      </w:r>
      <w:proofErr w:type="gramEnd"/>
      <w:r w:rsidRPr="00EA3E8C">
        <w:rPr>
          <w:rFonts w:asciiTheme="minorHAnsi" w:hAnsiTheme="minorHAnsi"/>
          <w:color w:val="auto"/>
          <w:szCs w:val="24"/>
        </w:rPr>
        <w:t xml:space="preserve">  </w:t>
      </w:r>
      <w:r w:rsidR="004077E5" w:rsidRPr="00EA3E8C">
        <w:rPr>
          <w:rFonts w:asciiTheme="minorHAnsi" w:hAnsiTheme="minorHAnsi"/>
          <w:color w:val="auto"/>
          <w:szCs w:val="24"/>
        </w:rPr>
        <w:t xml:space="preserve">Bronchitis was </w:t>
      </w:r>
      <w:r w:rsidRPr="00EA3E8C">
        <w:rPr>
          <w:rFonts w:asciiTheme="minorHAnsi" w:hAnsiTheme="minorHAnsi"/>
          <w:color w:val="auto"/>
          <w:szCs w:val="24"/>
        </w:rPr>
        <w:t>identified in the D</w:t>
      </w:r>
      <w:r w:rsidR="00E3339C">
        <w:rPr>
          <w:rFonts w:asciiTheme="minorHAnsi" w:hAnsiTheme="minorHAnsi"/>
          <w:color w:val="auto"/>
          <w:szCs w:val="24"/>
        </w:rPr>
        <w:t xml:space="preserve">isability Evaluation System </w:t>
      </w:r>
      <w:r w:rsidRPr="00EA3E8C">
        <w:rPr>
          <w:rFonts w:asciiTheme="minorHAnsi" w:hAnsiTheme="minorHAnsi"/>
          <w:color w:val="auto"/>
          <w:szCs w:val="24"/>
        </w:rPr>
        <w:t xml:space="preserve">file.  </w:t>
      </w:r>
      <w:r w:rsidR="003557A0" w:rsidRPr="00EA3E8C">
        <w:rPr>
          <w:rFonts w:asciiTheme="minorHAnsi" w:hAnsiTheme="minorHAnsi"/>
          <w:color w:val="auto"/>
          <w:szCs w:val="24"/>
        </w:rPr>
        <w:t>It was not</w:t>
      </w:r>
      <w:r w:rsidRPr="00EA3E8C">
        <w:rPr>
          <w:rFonts w:asciiTheme="minorHAnsi" w:hAnsiTheme="minorHAnsi"/>
          <w:color w:val="auto"/>
          <w:szCs w:val="24"/>
        </w:rPr>
        <w:t xml:space="preserve"> clinically active during the MEB</w:t>
      </w:r>
      <w:r w:rsidR="004077E5" w:rsidRPr="00EA3E8C">
        <w:rPr>
          <w:rFonts w:asciiTheme="minorHAnsi" w:hAnsiTheme="minorHAnsi"/>
          <w:color w:val="auto"/>
          <w:szCs w:val="24"/>
        </w:rPr>
        <w:t xml:space="preserve"> </w:t>
      </w:r>
      <w:r w:rsidRPr="00EA3E8C">
        <w:rPr>
          <w:rFonts w:asciiTheme="minorHAnsi" w:hAnsiTheme="minorHAnsi"/>
          <w:color w:val="auto"/>
          <w:szCs w:val="24"/>
        </w:rPr>
        <w:t xml:space="preserve">period, </w:t>
      </w:r>
      <w:r w:rsidR="002B783B" w:rsidRPr="00EA3E8C">
        <w:rPr>
          <w:rFonts w:asciiTheme="minorHAnsi" w:hAnsiTheme="minorHAnsi"/>
          <w:color w:val="auto"/>
          <w:szCs w:val="24"/>
        </w:rPr>
        <w:t>did not require limited duty</w:t>
      </w:r>
      <w:r w:rsidR="00FC3087">
        <w:rPr>
          <w:rFonts w:asciiTheme="minorHAnsi" w:hAnsiTheme="minorHAnsi"/>
          <w:color w:val="auto"/>
          <w:szCs w:val="24"/>
        </w:rPr>
        <w:t>,</w:t>
      </w:r>
      <w:r w:rsidR="002B783B" w:rsidRPr="00EA3E8C">
        <w:rPr>
          <w:rFonts w:asciiTheme="minorHAnsi" w:hAnsiTheme="minorHAnsi"/>
          <w:color w:val="auto"/>
          <w:szCs w:val="24"/>
        </w:rPr>
        <w:t xml:space="preserve"> </w:t>
      </w:r>
      <w:r w:rsidRPr="00EA3E8C">
        <w:rPr>
          <w:rFonts w:asciiTheme="minorHAnsi" w:hAnsiTheme="minorHAnsi"/>
          <w:color w:val="auto"/>
          <w:szCs w:val="24"/>
        </w:rPr>
        <w:t xml:space="preserve">and </w:t>
      </w:r>
      <w:r w:rsidR="002B783B" w:rsidRPr="00EA3E8C">
        <w:rPr>
          <w:rFonts w:asciiTheme="minorHAnsi" w:hAnsiTheme="minorHAnsi"/>
          <w:color w:val="auto"/>
          <w:szCs w:val="24"/>
        </w:rPr>
        <w:t>was not</w:t>
      </w:r>
      <w:r w:rsidRPr="00EA3E8C">
        <w:rPr>
          <w:rFonts w:asciiTheme="minorHAnsi" w:hAnsiTheme="minorHAnsi"/>
          <w:color w:val="auto"/>
          <w:szCs w:val="24"/>
        </w:rPr>
        <w:t xml:space="preserve"> implicated in the </w:t>
      </w:r>
      <w:r w:rsidR="002B783B" w:rsidRPr="00EA3E8C">
        <w:rPr>
          <w:rFonts w:asciiTheme="minorHAnsi" w:hAnsiTheme="minorHAnsi"/>
          <w:color w:val="auto"/>
          <w:szCs w:val="24"/>
        </w:rPr>
        <w:t>non-medical assessment</w:t>
      </w:r>
      <w:r w:rsidRPr="00EA3E8C">
        <w:rPr>
          <w:rFonts w:asciiTheme="minorHAnsi" w:hAnsiTheme="minorHAnsi"/>
          <w:color w:val="auto"/>
          <w:szCs w:val="24"/>
        </w:rPr>
        <w:t>.  Th</w:t>
      </w:r>
      <w:r w:rsidR="004077E5" w:rsidRPr="00EA3E8C">
        <w:rPr>
          <w:rFonts w:asciiTheme="minorHAnsi" w:hAnsiTheme="minorHAnsi"/>
          <w:color w:val="auto"/>
          <w:szCs w:val="24"/>
        </w:rPr>
        <w:t xml:space="preserve">is </w:t>
      </w:r>
      <w:r w:rsidRPr="00EA3E8C">
        <w:rPr>
          <w:rFonts w:asciiTheme="minorHAnsi" w:hAnsiTheme="minorHAnsi"/>
          <w:color w:val="auto"/>
          <w:szCs w:val="24"/>
        </w:rPr>
        <w:t>condition</w:t>
      </w:r>
      <w:r w:rsidR="004077E5" w:rsidRPr="00EA3E8C">
        <w:rPr>
          <w:rFonts w:asciiTheme="minorHAnsi" w:hAnsiTheme="minorHAnsi"/>
          <w:color w:val="auto"/>
          <w:szCs w:val="24"/>
        </w:rPr>
        <w:t xml:space="preserve"> was </w:t>
      </w:r>
      <w:r w:rsidRPr="00EA3E8C">
        <w:rPr>
          <w:rFonts w:asciiTheme="minorHAnsi" w:hAnsiTheme="minorHAnsi"/>
          <w:color w:val="auto"/>
          <w:szCs w:val="24"/>
        </w:rPr>
        <w:t xml:space="preserve">reviewed by the action officer and considered by the Board.  It was determined that </w:t>
      </w:r>
      <w:r w:rsidR="004077E5" w:rsidRPr="00EA3E8C">
        <w:rPr>
          <w:rFonts w:asciiTheme="minorHAnsi" w:hAnsiTheme="minorHAnsi"/>
          <w:color w:val="auto"/>
          <w:szCs w:val="24"/>
        </w:rPr>
        <w:t>it c</w:t>
      </w:r>
      <w:r w:rsidRPr="00EA3E8C">
        <w:rPr>
          <w:rFonts w:asciiTheme="minorHAnsi" w:hAnsiTheme="minorHAnsi"/>
          <w:color w:val="auto"/>
          <w:szCs w:val="24"/>
        </w:rPr>
        <w:t xml:space="preserve">ould </w:t>
      </w:r>
      <w:r w:rsidR="004077E5" w:rsidRPr="00EA3E8C">
        <w:rPr>
          <w:rFonts w:asciiTheme="minorHAnsi" w:hAnsiTheme="minorHAnsi"/>
          <w:color w:val="auto"/>
          <w:szCs w:val="24"/>
        </w:rPr>
        <w:t xml:space="preserve">not </w:t>
      </w:r>
      <w:r w:rsidRPr="00EA3E8C">
        <w:rPr>
          <w:rFonts w:asciiTheme="minorHAnsi" w:hAnsiTheme="minorHAnsi"/>
          <w:color w:val="auto"/>
          <w:szCs w:val="24"/>
        </w:rPr>
        <w:t>be argued as unfitting and subject to separation rating.  No other conditions were service connected with a compensable rating by the VA within twelve months of separation</w:t>
      </w:r>
      <w:r w:rsidR="00930984" w:rsidRPr="00EA3E8C">
        <w:rPr>
          <w:rFonts w:asciiTheme="minorHAnsi" w:hAnsiTheme="minorHAnsi"/>
          <w:color w:val="auto"/>
          <w:szCs w:val="24"/>
        </w:rPr>
        <w:t xml:space="preserve">, </w:t>
      </w:r>
      <w:r w:rsidRPr="00EA3E8C">
        <w:rPr>
          <w:rFonts w:asciiTheme="minorHAnsi" w:hAnsiTheme="minorHAnsi"/>
          <w:color w:val="auto"/>
          <w:szCs w:val="24"/>
        </w:rPr>
        <w:t>or contended by the CI.  The Board therefore has no reasonable basis for recommending any additional unfitting conditions for separation rating.</w:t>
      </w:r>
    </w:p>
    <w:p w:rsidR="00EE00FB" w:rsidRPr="00316368" w:rsidRDefault="00EE00FB" w:rsidP="00E224C4">
      <w:pPr>
        <w:pBdr>
          <w:bottom w:val="single" w:sz="12" w:space="1" w:color="auto"/>
        </w:pBdr>
        <w:tabs>
          <w:tab w:val="left" w:pos="288"/>
          <w:tab w:val="left" w:pos="4752"/>
        </w:tabs>
        <w:spacing w:line="240" w:lineRule="exact"/>
        <w:jc w:val="both"/>
        <w:rPr>
          <w:rFonts w:asciiTheme="minorHAnsi" w:hAnsiTheme="minorHAnsi"/>
          <w:color w:val="auto"/>
          <w:u w:val="single"/>
        </w:rPr>
      </w:pPr>
    </w:p>
    <w:p w:rsidR="008D525E" w:rsidRPr="00316368" w:rsidRDefault="008D525E" w:rsidP="00E224C4">
      <w:pPr>
        <w:tabs>
          <w:tab w:val="left" w:pos="288"/>
          <w:tab w:val="left" w:pos="4752"/>
        </w:tabs>
        <w:spacing w:line="240" w:lineRule="exact"/>
        <w:jc w:val="both"/>
        <w:rPr>
          <w:rFonts w:asciiTheme="minorHAnsi" w:hAnsiTheme="minorHAnsi"/>
          <w:color w:val="auto"/>
          <w:u w:val="single"/>
        </w:rPr>
      </w:pPr>
    </w:p>
    <w:p w:rsidR="006E37D0" w:rsidRPr="00DE7BAE" w:rsidRDefault="00C56FC8" w:rsidP="006E37D0">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6E37D0" w:rsidRPr="00DE7BAE">
        <w:rPr>
          <w:rFonts w:asciiTheme="minorHAnsi" w:eastAsiaTheme="minorHAnsi" w:hAnsiTheme="minorHAnsi"/>
          <w:color w:val="auto"/>
          <w:szCs w:val="24"/>
        </w:rPr>
        <w:t xml:space="preserve">In the matter of the </w:t>
      </w:r>
      <w:r w:rsidR="006E37D0">
        <w:rPr>
          <w:rFonts w:asciiTheme="minorHAnsi" w:hAnsiTheme="minorHAnsi"/>
          <w:color w:val="auto"/>
        </w:rPr>
        <w:t>I</w:t>
      </w:r>
      <w:r w:rsidR="00E3339C">
        <w:rPr>
          <w:rFonts w:asciiTheme="minorHAnsi" w:hAnsiTheme="minorHAnsi"/>
          <w:color w:val="auto"/>
        </w:rPr>
        <w:t>DDM</w:t>
      </w:r>
      <w:r w:rsidR="006E37D0">
        <w:rPr>
          <w:rFonts w:asciiTheme="minorHAnsi" w:hAnsiTheme="minorHAnsi"/>
          <w:color w:val="auto"/>
        </w:rPr>
        <w:t xml:space="preserve"> (coded 7913)</w:t>
      </w:r>
      <w:r w:rsidR="006E37D0" w:rsidRPr="00DE7BAE">
        <w:rPr>
          <w:rFonts w:asciiTheme="minorHAnsi" w:eastAsiaTheme="minorHAnsi" w:hAnsiTheme="minorHAnsi"/>
          <w:color w:val="auto"/>
          <w:szCs w:val="24"/>
        </w:rPr>
        <w:t>, the Board unani</w:t>
      </w:r>
      <w:r w:rsidR="006E37D0">
        <w:rPr>
          <w:rFonts w:asciiTheme="minorHAnsi" w:eastAsiaTheme="minorHAnsi" w:hAnsiTheme="minorHAnsi"/>
          <w:color w:val="auto"/>
          <w:szCs w:val="24"/>
        </w:rPr>
        <w:t>mously recommends a TDRL rating of 4</w:t>
      </w:r>
      <w:r w:rsidR="006E37D0" w:rsidRPr="00DE7BAE">
        <w:rPr>
          <w:rFonts w:asciiTheme="minorHAnsi" w:eastAsiaTheme="minorHAnsi" w:hAnsiTheme="minorHAnsi"/>
          <w:color w:val="auto"/>
          <w:szCs w:val="24"/>
        </w:rPr>
        <w:t>0%</w:t>
      </w:r>
      <w:r w:rsidR="006E37D0">
        <w:rPr>
          <w:rFonts w:asciiTheme="minorHAnsi" w:eastAsiaTheme="minorHAnsi" w:hAnsiTheme="minorHAnsi"/>
          <w:color w:val="auto"/>
          <w:szCs w:val="24"/>
        </w:rPr>
        <w:t xml:space="preserve">.  </w:t>
      </w:r>
      <w:r w:rsidR="006E37D0" w:rsidRPr="00DE7BAE">
        <w:rPr>
          <w:rFonts w:asciiTheme="minorHAnsi" w:hAnsiTheme="minorHAnsi"/>
          <w:color w:val="auto"/>
          <w:szCs w:val="24"/>
        </w:rPr>
        <w:t xml:space="preserve">The </w:t>
      </w:r>
      <w:r w:rsidR="006E37D0" w:rsidRPr="00DE7BAE">
        <w:rPr>
          <w:rFonts w:asciiTheme="minorHAnsi" w:eastAsiaTheme="minorHAnsi" w:hAnsiTheme="minorHAnsi"/>
          <w:color w:val="auto"/>
          <w:szCs w:val="24"/>
        </w:rPr>
        <w:t>Board unanimously recommen</w:t>
      </w:r>
      <w:r w:rsidR="006E37D0">
        <w:rPr>
          <w:rFonts w:asciiTheme="minorHAnsi" w:eastAsiaTheme="minorHAnsi" w:hAnsiTheme="minorHAnsi"/>
          <w:color w:val="auto"/>
          <w:szCs w:val="24"/>
        </w:rPr>
        <w:t xml:space="preserve">ds a permanent rating of 20% following </w:t>
      </w:r>
      <w:r w:rsidR="006E37D0" w:rsidRPr="00DE7BAE">
        <w:rPr>
          <w:rFonts w:asciiTheme="minorHAnsi" w:eastAsiaTheme="minorHAnsi" w:hAnsiTheme="minorHAnsi"/>
          <w:color w:val="auto"/>
          <w:szCs w:val="24"/>
        </w:rPr>
        <w:t>separation IAW VASRD</w:t>
      </w:r>
      <w:r w:rsidR="006E37D0" w:rsidRPr="00DE7BAE">
        <w:rPr>
          <w:rFonts w:asciiTheme="minorHAnsi" w:hAnsiTheme="minorHAnsi"/>
          <w:color w:val="auto"/>
          <w:szCs w:val="24"/>
        </w:rPr>
        <w:t xml:space="preserve"> §4.1</w:t>
      </w:r>
      <w:r w:rsidR="006E37D0">
        <w:rPr>
          <w:rFonts w:asciiTheme="minorHAnsi" w:hAnsiTheme="minorHAnsi"/>
          <w:color w:val="auto"/>
          <w:szCs w:val="24"/>
        </w:rPr>
        <w:t>19</w:t>
      </w:r>
      <w:r w:rsidR="006E37D0" w:rsidRPr="00DE7BAE">
        <w:rPr>
          <w:rFonts w:asciiTheme="minorHAnsi" w:hAnsiTheme="minorHAnsi"/>
          <w:color w:val="auto"/>
          <w:szCs w:val="24"/>
        </w:rPr>
        <w:t xml:space="preserve">.  </w:t>
      </w:r>
    </w:p>
    <w:p w:rsidR="006E37D0" w:rsidRPr="00B61F7D" w:rsidRDefault="006E37D0" w:rsidP="00B61F7D">
      <w:pPr>
        <w:spacing w:line="240" w:lineRule="exact"/>
        <w:jc w:val="both"/>
        <w:rPr>
          <w:rFonts w:asciiTheme="minorHAnsi" w:eastAsiaTheme="minorHAnsi" w:hAnsiTheme="minorHAnsi"/>
          <w:color w:val="auto"/>
          <w:szCs w:val="24"/>
        </w:rPr>
      </w:pPr>
      <w:r w:rsidRPr="00DE7BAE">
        <w:rPr>
          <w:rFonts w:asciiTheme="minorHAnsi" w:hAnsiTheme="minorHAnsi"/>
          <w:color w:val="auto"/>
          <w:szCs w:val="24"/>
        </w:rPr>
        <w:t xml:space="preserve">In the matter of the </w:t>
      </w:r>
      <w:r w:rsidR="00E3339C">
        <w:rPr>
          <w:rFonts w:asciiTheme="minorHAnsi" w:hAnsiTheme="minorHAnsi"/>
          <w:color w:val="auto"/>
          <w:szCs w:val="24"/>
        </w:rPr>
        <w:t>p</w:t>
      </w:r>
      <w:r w:rsidR="00B61F7D">
        <w:rPr>
          <w:rFonts w:asciiTheme="minorHAnsi" w:hAnsiTheme="minorHAnsi"/>
          <w:color w:val="auto"/>
          <w:szCs w:val="24"/>
        </w:rPr>
        <w:t xml:space="preserve">eripheral neuropathy, </w:t>
      </w:r>
      <w:r w:rsidR="00E3339C">
        <w:rPr>
          <w:rFonts w:asciiTheme="minorHAnsi" w:hAnsiTheme="minorHAnsi"/>
          <w:color w:val="auto"/>
          <w:szCs w:val="24"/>
        </w:rPr>
        <w:t>b</w:t>
      </w:r>
      <w:r w:rsidR="00B61F7D">
        <w:rPr>
          <w:rFonts w:asciiTheme="minorHAnsi" w:hAnsiTheme="minorHAnsi"/>
          <w:color w:val="auto"/>
          <w:szCs w:val="24"/>
        </w:rPr>
        <w:t xml:space="preserve">ronchitis, </w:t>
      </w:r>
      <w:r w:rsidRPr="00DE7BAE">
        <w:rPr>
          <w:rFonts w:asciiTheme="minorHAnsi" w:eastAsiaTheme="minorHAnsi" w:hAnsiTheme="minorHAnsi"/>
          <w:color w:val="auto"/>
          <w:szCs w:val="24"/>
        </w:rPr>
        <w:t>or any other condition eligible for Board consideration</w:t>
      </w:r>
      <w:r>
        <w:rPr>
          <w:rFonts w:asciiTheme="minorHAnsi" w:eastAsiaTheme="minorHAnsi" w:hAnsiTheme="minorHAnsi"/>
          <w:color w:val="auto"/>
          <w:szCs w:val="24"/>
        </w:rPr>
        <w:t>,</w:t>
      </w:r>
      <w:r w:rsidRPr="00DE7BAE">
        <w:rPr>
          <w:rFonts w:asciiTheme="minorHAnsi" w:eastAsiaTheme="minorHAnsi" w:hAnsiTheme="minorHAnsi"/>
          <w:color w:val="auto"/>
          <w:szCs w:val="24"/>
        </w:rPr>
        <w:t xml:space="preserve"> the Board unanimously agrees that it cannot recommend any findings of unfit for additional rating at separation. </w:t>
      </w:r>
    </w:p>
    <w:p w:rsidR="009D0D4A" w:rsidRPr="00B61F7D" w:rsidRDefault="009D0D4A" w:rsidP="00E224C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56FC8" w:rsidRDefault="00C56FC8" w:rsidP="00E224C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AF4E42">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r w:rsidRPr="009D0D4A">
        <w:rPr>
          <w:rFonts w:asciiTheme="minorHAnsi" w:hAnsiTheme="minorHAnsi"/>
          <w:color w:val="auto"/>
          <w:szCs w:val="24"/>
        </w:rPr>
        <w:t>re</w:t>
      </w:r>
      <w:r w:rsidR="00AF4E42">
        <w:rPr>
          <w:rFonts w:asciiTheme="minorHAnsi" w:hAnsiTheme="minorHAnsi"/>
          <w:color w:val="auto"/>
          <w:szCs w:val="24"/>
        </w:rPr>
        <w:t>-</w:t>
      </w:r>
      <w:r w:rsidRPr="009D0D4A">
        <w:rPr>
          <w:rFonts w:asciiTheme="minorHAnsi" w:hAnsiTheme="minorHAnsi"/>
          <w:color w:val="auto"/>
          <w:szCs w:val="24"/>
        </w:rPr>
        <w:t>characterization of the CI’s disabili</w:t>
      </w:r>
      <w:r w:rsidR="00F21671">
        <w:rPr>
          <w:rFonts w:asciiTheme="minorHAnsi" w:hAnsiTheme="minorHAnsi"/>
          <w:color w:val="auto"/>
          <w:szCs w:val="24"/>
        </w:rPr>
        <w:t>ty and separation determination, as follows:</w:t>
      </w:r>
    </w:p>
    <w:p w:rsidR="00B2261F" w:rsidRDefault="00B2261F" w:rsidP="00E224C4">
      <w:pPr>
        <w:tabs>
          <w:tab w:val="left" w:pos="288"/>
          <w:tab w:val="left" w:pos="4752"/>
        </w:tabs>
        <w:spacing w:line="240" w:lineRule="exact"/>
        <w:jc w:val="both"/>
        <w:rPr>
          <w:rFonts w:asciiTheme="minorHAnsi" w:hAnsiTheme="minorHAnsi"/>
          <w:color w:val="auto"/>
          <w:szCs w:val="24"/>
        </w:rPr>
      </w:pPr>
    </w:p>
    <w:p w:rsidR="00D55320" w:rsidRDefault="00D55320" w:rsidP="00BF340A">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55320" w:rsidRPr="00D55320" w:rsidTr="00CE0F2D">
        <w:trPr>
          <w:jc w:val="center"/>
        </w:trPr>
        <w:tc>
          <w:tcPr>
            <w:tcW w:w="4950" w:type="dxa"/>
            <w:shd w:val="clear" w:color="auto" w:fill="D9D9D9"/>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UNFITTING CONDITION</w:t>
            </w:r>
          </w:p>
        </w:tc>
        <w:tc>
          <w:tcPr>
            <w:tcW w:w="1710" w:type="dxa"/>
            <w:shd w:val="clear" w:color="auto" w:fill="D9D9D9"/>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VASRD CODE</w:t>
            </w:r>
          </w:p>
        </w:tc>
        <w:tc>
          <w:tcPr>
            <w:tcW w:w="1170" w:type="dxa"/>
            <w:shd w:val="clear" w:color="auto" w:fill="D9D9D9"/>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TDRL RATING</w:t>
            </w:r>
          </w:p>
        </w:tc>
        <w:tc>
          <w:tcPr>
            <w:tcW w:w="1530" w:type="dxa"/>
            <w:shd w:val="pct15" w:color="auto" w:fill="auto"/>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PERMANENT</w:t>
            </w:r>
          </w:p>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RATING</w:t>
            </w:r>
          </w:p>
        </w:tc>
      </w:tr>
      <w:tr w:rsidR="00D55320" w:rsidRPr="00D55320" w:rsidTr="00CE0F2D">
        <w:trPr>
          <w:trHeight w:val="188"/>
          <w:jc w:val="center"/>
        </w:trPr>
        <w:tc>
          <w:tcPr>
            <w:tcW w:w="4950" w:type="dxa"/>
            <w:vAlign w:val="center"/>
          </w:tcPr>
          <w:p w:rsidR="00D55320" w:rsidRPr="00D55320" w:rsidRDefault="00D55320" w:rsidP="00D55320">
            <w:pPr>
              <w:tabs>
                <w:tab w:val="left" w:pos="288"/>
                <w:tab w:val="left" w:pos="3538"/>
              </w:tabs>
              <w:spacing w:line="240" w:lineRule="exact"/>
              <w:rPr>
                <w:rFonts w:asciiTheme="minorHAnsi" w:hAnsiTheme="minorHAnsi"/>
                <w:color w:val="auto"/>
                <w:szCs w:val="24"/>
              </w:rPr>
            </w:pPr>
            <w:r w:rsidRPr="00D55320">
              <w:rPr>
                <w:rFonts w:asciiTheme="minorHAnsi" w:hAnsiTheme="minorHAnsi"/>
                <w:color w:val="auto"/>
                <w:szCs w:val="24"/>
              </w:rPr>
              <w:t>Insulin-Dependent Diabetes Mellitus</w:t>
            </w:r>
          </w:p>
        </w:tc>
        <w:tc>
          <w:tcPr>
            <w:tcW w:w="1710" w:type="dxa"/>
            <w:tcBorders>
              <w:bottom w:val="single" w:sz="4" w:space="0" w:color="000000"/>
            </w:tcBorders>
            <w:vAlign w:val="center"/>
          </w:tcPr>
          <w:p w:rsidR="00D55320" w:rsidRPr="00D345E0" w:rsidRDefault="00D55320" w:rsidP="00CE0F2D">
            <w:pPr>
              <w:tabs>
                <w:tab w:val="left" w:pos="288"/>
                <w:tab w:val="left" w:pos="4752"/>
              </w:tabs>
              <w:spacing w:before="20" w:after="20" w:line="240" w:lineRule="exact"/>
              <w:jc w:val="center"/>
              <w:rPr>
                <w:rFonts w:asciiTheme="minorHAnsi" w:hAnsiTheme="minorHAnsi"/>
                <w:color w:val="auto"/>
                <w:szCs w:val="24"/>
              </w:rPr>
            </w:pPr>
            <w:r w:rsidRPr="00D345E0">
              <w:rPr>
                <w:rFonts w:asciiTheme="minorHAnsi" w:hAnsiTheme="minorHAnsi"/>
                <w:color w:val="auto"/>
                <w:szCs w:val="24"/>
              </w:rPr>
              <w:t>7913</w:t>
            </w:r>
          </w:p>
        </w:tc>
        <w:tc>
          <w:tcPr>
            <w:tcW w:w="1170" w:type="dxa"/>
            <w:tcBorders>
              <w:bottom w:val="single" w:sz="4" w:space="0" w:color="000000"/>
            </w:tcBorders>
            <w:vAlign w:val="center"/>
          </w:tcPr>
          <w:p w:rsidR="00D55320" w:rsidRPr="00D345E0" w:rsidRDefault="00D55320" w:rsidP="00CE0F2D">
            <w:pPr>
              <w:tabs>
                <w:tab w:val="left" w:pos="288"/>
                <w:tab w:val="left" w:pos="4752"/>
              </w:tabs>
              <w:spacing w:before="20" w:after="20" w:line="240" w:lineRule="exact"/>
              <w:jc w:val="center"/>
              <w:rPr>
                <w:rFonts w:asciiTheme="minorHAnsi" w:hAnsiTheme="minorHAnsi"/>
                <w:color w:val="auto"/>
                <w:szCs w:val="24"/>
              </w:rPr>
            </w:pPr>
            <w:r w:rsidRPr="00B2261F">
              <w:rPr>
                <w:rFonts w:asciiTheme="minorHAnsi" w:hAnsiTheme="minorHAnsi"/>
                <w:color w:val="auto"/>
                <w:szCs w:val="24"/>
              </w:rPr>
              <w:t>40%</w:t>
            </w:r>
          </w:p>
        </w:tc>
        <w:tc>
          <w:tcPr>
            <w:tcW w:w="1530" w:type="dxa"/>
            <w:tcBorders>
              <w:bottom w:val="single" w:sz="4" w:space="0" w:color="000000"/>
            </w:tcBorders>
            <w:vAlign w:val="center"/>
          </w:tcPr>
          <w:p w:rsidR="00D55320" w:rsidRPr="00D55320" w:rsidRDefault="00D55320" w:rsidP="00D55320">
            <w:pPr>
              <w:tabs>
                <w:tab w:val="left" w:pos="288"/>
                <w:tab w:val="left" w:pos="4752"/>
              </w:tabs>
              <w:spacing w:line="240" w:lineRule="exact"/>
              <w:jc w:val="center"/>
              <w:rPr>
                <w:rFonts w:asciiTheme="minorHAnsi" w:hAnsiTheme="minorHAnsi"/>
                <w:color w:val="auto"/>
                <w:szCs w:val="24"/>
              </w:rPr>
            </w:pPr>
            <w:r w:rsidRPr="00B2261F">
              <w:rPr>
                <w:rFonts w:asciiTheme="minorHAnsi" w:hAnsiTheme="minorHAnsi"/>
                <w:color w:val="auto"/>
                <w:szCs w:val="24"/>
              </w:rPr>
              <w:t>20</w:t>
            </w:r>
            <w:r w:rsidRPr="00D55320">
              <w:rPr>
                <w:rFonts w:asciiTheme="minorHAnsi" w:hAnsiTheme="minorHAnsi"/>
                <w:color w:val="auto"/>
                <w:szCs w:val="24"/>
              </w:rPr>
              <w:t>%</w:t>
            </w:r>
          </w:p>
        </w:tc>
      </w:tr>
      <w:tr w:rsidR="00D55320" w:rsidRPr="00D55320" w:rsidTr="00CE0F2D">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D55320">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B2261F">
              <w:rPr>
                <w:rFonts w:asciiTheme="minorHAnsi" w:hAnsiTheme="minorHAnsi"/>
                <w:b/>
                <w:color w:val="auto"/>
                <w:szCs w:val="24"/>
              </w:rPr>
              <w:t>40%</w:t>
            </w:r>
          </w:p>
        </w:tc>
        <w:tc>
          <w:tcPr>
            <w:tcW w:w="1530" w:type="dxa"/>
            <w:shd w:val="pct15" w:color="auto" w:fill="auto"/>
            <w:vAlign w:val="center"/>
          </w:tcPr>
          <w:p w:rsidR="00D55320" w:rsidRPr="00D55320" w:rsidRDefault="00D55320" w:rsidP="00D55320">
            <w:pPr>
              <w:tabs>
                <w:tab w:val="left" w:pos="288"/>
                <w:tab w:val="left" w:pos="4752"/>
              </w:tabs>
              <w:spacing w:line="240" w:lineRule="exact"/>
              <w:jc w:val="center"/>
              <w:rPr>
                <w:rFonts w:asciiTheme="minorHAnsi" w:hAnsiTheme="minorHAnsi"/>
                <w:b/>
                <w:color w:val="auto"/>
                <w:szCs w:val="24"/>
              </w:rPr>
            </w:pPr>
            <w:r w:rsidRPr="00B2261F">
              <w:rPr>
                <w:rFonts w:asciiTheme="minorHAnsi" w:hAnsiTheme="minorHAnsi"/>
                <w:b/>
                <w:color w:val="auto"/>
                <w:szCs w:val="24"/>
              </w:rPr>
              <w:t>20</w:t>
            </w:r>
            <w:r w:rsidRPr="00D55320">
              <w:rPr>
                <w:rFonts w:asciiTheme="minorHAnsi" w:hAnsiTheme="minorHAnsi"/>
                <w:b/>
                <w:color w:val="auto"/>
                <w:szCs w:val="24"/>
              </w:rPr>
              <w:t>%</w:t>
            </w:r>
          </w:p>
        </w:tc>
      </w:tr>
    </w:tbl>
    <w:p w:rsidR="00950686" w:rsidRDefault="00950686" w:rsidP="00905739">
      <w:pPr>
        <w:tabs>
          <w:tab w:val="left" w:pos="288"/>
          <w:tab w:val="left" w:pos="1710"/>
        </w:tabs>
        <w:spacing w:line="240" w:lineRule="exact"/>
        <w:jc w:val="both"/>
        <w:rPr>
          <w:rFonts w:asciiTheme="minorHAnsi" w:hAnsiTheme="minorHAnsi"/>
          <w:color w:val="auto"/>
          <w:szCs w:val="24"/>
          <w:highlight w:val="green"/>
        </w:rPr>
      </w:pPr>
    </w:p>
    <w:p w:rsidR="009D0D4A" w:rsidRPr="00AF4E42" w:rsidRDefault="009D0D4A" w:rsidP="009D0D4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9D0D4A" w:rsidRPr="00AF4E42" w:rsidRDefault="009D0D4A" w:rsidP="009D0D4A">
      <w:pPr>
        <w:tabs>
          <w:tab w:val="left" w:pos="288"/>
          <w:tab w:val="left" w:pos="4752"/>
        </w:tabs>
        <w:spacing w:line="240" w:lineRule="exact"/>
        <w:jc w:val="both"/>
        <w:rPr>
          <w:rFonts w:asciiTheme="minorHAnsi" w:hAnsiTheme="minorHAnsi"/>
          <w:b/>
          <w:color w:val="auto"/>
          <w:u w:val="single"/>
        </w:rPr>
      </w:pPr>
    </w:p>
    <w:p w:rsidR="00D91DA6" w:rsidRPr="00BC5057" w:rsidRDefault="00114F20" w:rsidP="00875F2D">
      <w:pPr>
        <w:tabs>
          <w:tab w:val="left" w:pos="288"/>
          <w:tab w:val="left" w:pos="4752"/>
        </w:tabs>
        <w:spacing w:line="240" w:lineRule="exact"/>
        <w:jc w:val="both"/>
        <w:rPr>
          <w:rFonts w:asciiTheme="minorHAnsi" w:hAnsiTheme="minorHAnsi"/>
          <w:color w:val="auto"/>
        </w:rPr>
      </w:pPr>
      <w:r w:rsidRPr="00BC5057">
        <w:rPr>
          <w:rFonts w:asciiTheme="minorHAnsi" w:hAnsiTheme="minorHAnsi"/>
          <w:color w:val="auto"/>
        </w:rPr>
        <w:t>The following documentary evidence was considered:</w:t>
      </w:r>
    </w:p>
    <w:p w:rsidR="00114F20" w:rsidRPr="00BC5057" w:rsidRDefault="00114F20" w:rsidP="00875F2D">
      <w:pPr>
        <w:tabs>
          <w:tab w:val="left" w:pos="288"/>
          <w:tab w:val="left" w:pos="4752"/>
        </w:tabs>
        <w:spacing w:line="240" w:lineRule="exact"/>
        <w:jc w:val="both"/>
        <w:rPr>
          <w:rFonts w:asciiTheme="minorHAnsi" w:hAnsiTheme="minorHAnsi"/>
          <w:color w:val="auto"/>
        </w:rPr>
      </w:pPr>
    </w:p>
    <w:p w:rsidR="00114F20" w:rsidRPr="00BC5057" w:rsidRDefault="0051146C" w:rsidP="00875F2D">
      <w:pPr>
        <w:tabs>
          <w:tab w:val="left" w:pos="288"/>
          <w:tab w:val="left" w:pos="4752"/>
        </w:tabs>
        <w:spacing w:line="240" w:lineRule="exact"/>
        <w:jc w:val="both"/>
        <w:rPr>
          <w:rFonts w:asciiTheme="minorHAnsi" w:hAnsiTheme="minorHAnsi"/>
          <w:color w:val="auto"/>
        </w:rPr>
      </w:pPr>
      <w:r w:rsidRPr="00BC5057">
        <w:rPr>
          <w:rFonts w:asciiTheme="minorHAnsi" w:hAnsiTheme="minorHAnsi"/>
          <w:color w:val="auto"/>
        </w:rPr>
        <w:t xml:space="preserve">Exhibit A.  DD Form </w:t>
      </w:r>
      <w:proofErr w:type="gramStart"/>
      <w:r w:rsidRPr="00BC5057">
        <w:rPr>
          <w:rFonts w:asciiTheme="minorHAnsi" w:hAnsiTheme="minorHAnsi"/>
          <w:color w:val="auto"/>
        </w:rPr>
        <w:t>294,</w:t>
      </w:r>
      <w:proofErr w:type="gramEnd"/>
      <w:r w:rsidRPr="00BC5057">
        <w:rPr>
          <w:rFonts w:asciiTheme="minorHAnsi" w:hAnsiTheme="minorHAnsi"/>
          <w:color w:val="auto"/>
        </w:rPr>
        <w:t xml:space="preserve"> dated </w:t>
      </w:r>
      <w:r w:rsidR="00BF340A" w:rsidRPr="00BC5057">
        <w:rPr>
          <w:rFonts w:asciiTheme="minorHAnsi" w:hAnsiTheme="minorHAnsi"/>
          <w:color w:val="auto"/>
        </w:rPr>
        <w:t>20100410</w:t>
      </w:r>
      <w:r w:rsidR="00114F20" w:rsidRPr="00BC5057">
        <w:rPr>
          <w:rFonts w:asciiTheme="minorHAnsi" w:hAnsiTheme="minorHAnsi"/>
          <w:color w:val="auto"/>
        </w:rPr>
        <w:t>, w/atchs.</w:t>
      </w:r>
    </w:p>
    <w:p w:rsidR="00114F20" w:rsidRPr="00BC5057" w:rsidRDefault="00114F20" w:rsidP="00875F2D">
      <w:pPr>
        <w:tabs>
          <w:tab w:val="left" w:pos="288"/>
          <w:tab w:val="left" w:pos="4752"/>
        </w:tabs>
        <w:spacing w:line="240" w:lineRule="exact"/>
        <w:jc w:val="both"/>
        <w:rPr>
          <w:rFonts w:asciiTheme="minorHAnsi" w:hAnsiTheme="minorHAnsi"/>
          <w:color w:val="auto"/>
        </w:rPr>
      </w:pPr>
      <w:r w:rsidRPr="00BC5057">
        <w:rPr>
          <w:rFonts w:asciiTheme="minorHAnsi" w:hAnsiTheme="minorHAnsi"/>
          <w:color w:val="auto"/>
        </w:rPr>
        <w:t xml:space="preserve">Exhibit B.  </w:t>
      </w:r>
      <w:proofErr w:type="gramStart"/>
      <w:r w:rsidRPr="00BC5057">
        <w:rPr>
          <w:rFonts w:asciiTheme="minorHAnsi" w:hAnsiTheme="minorHAnsi"/>
          <w:color w:val="auto"/>
        </w:rPr>
        <w:t>Service Treatment Record.</w:t>
      </w:r>
      <w:proofErr w:type="gramEnd"/>
    </w:p>
    <w:p w:rsidR="00114F20" w:rsidRPr="00BC5057" w:rsidRDefault="00114F20" w:rsidP="00875F2D">
      <w:pPr>
        <w:tabs>
          <w:tab w:val="left" w:pos="288"/>
          <w:tab w:val="left" w:pos="4752"/>
        </w:tabs>
        <w:spacing w:line="240" w:lineRule="exact"/>
        <w:jc w:val="both"/>
        <w:rPr>
          <w:rFonts w:asciiTheme="minorHAnsi" w:hAnsiTheme="minorHAnsi"/>
          <w:color w:val="auto"/>
        </w:rPr>
      </w:pPr>
      <w:r w:rsidRPr="00BC5057">
        <w:rPr>
          <w:rFonts w:asciiTheme="minorHAnsi" w:hAnsiTheme="minorHAnsi"/>
          <w:color w:val="auto"/>
        </w:rPr>
        <w:t xml:space="preserve">Exhibit C.  </w:t>
      </w:r>
      <w:proofErr w:type="gramStart"/>
      <w:r w:rsidRPr="00BC5057">
        <w:rPr>
          <w:rFonts w:asciiTheme="minorHAnsi" w:hAnsiTheme="minorHAnsi"/>
          <w:color w:val="auto"/>
        </w:rPr>
        <w:t>Department of Veterans</w:t>
      </w:r>
      <w:r w:rsidR="00385D6F" w:rsidRPr="00BC5057">
        <w:rPr>
          <w:rFonts w:asciiTheme="minorHAnsi" w:hAnsiTheme="minorHAnsi"/>
          <w:color w:val="auto"/>
        </w:rPr>
        <w:t>'</w:t>
      </w:r>
      <w:r w:rsidRPr="00BC5057">
        <w:rPr>
          <w:rFonts w:asciiTheme="minorHAnsi" w:hAnsiTheme="minorHAnsi"/>
          <w:color w:val="auto"/>
        </w:rPr>
        <w:t xml:space="preserve"> Affairs Treatment Record.</w:t>
      </w:r>
      <w:proofErr w:type="gramEnd"/>
    </w:p>
    <w:p w:rsidR="00E720A9" w:rsidRPr="00E720A9" w:rsidRDefault="00E720A9" w:rsidP="00E720A9">
      <w:pPr>
        <w:tabs>
          <w:tab w:val="left" w:pos="288"/>
          <w:tab w:val="left" w:pos="4752"/>
        </w:tabs>
        <w:spacing w:line="240" w:lineRule="exact"/>
        <w:jc w:val="both"/>
        <w:rPr>
          <w:rFonts w:asciiTheme="minorHAnsi" w:hAnsiTheme="minorHAnsi"/>
          <w:color w:val="auto"/>
        </w:rPr>
      </w:pPr>
    </w:p>
    <w:p w:rsidR="00E720A9" w:rsidRPr="00E720A9" w:rsidRDefault="00E720A9" w:rsidP="00E720A9">
      <w:pPr>
        <w:tabs>
          <w:tab w:val="left" w:pos="288"/>
          <w:tab w:val="left" w:pos="4752"/>
        </w:tabs>
        <w:spacing w:line="240" w:lineRule="exact"/>
        <w:jc w:val="both"/>
        <w:rPr>
          <w:rFonts w:asciiTheme="minorHAnsi" w:hAnsiTheme="minorHAnsi"/>
          <w:color w:val="auto"/>
        </w:rPr>
      </w:pPr>
    </w:p>
    <w:p w:rsidR="00E720A9" w:rsidRDefault="00E720A9" w:rsidP="00E720A9">
      <w:pPr>
        <w:tabs>
          <w:tab w:val="left" w:pos="288"/>
          <w:tab w:val="left" w:pos="4752"/>
        </w:tabs>
        <w:spacing w:line="240" w:lineRule="exact"/>
        <w:jc w:val="both"/>
        <w:rPr>
          <w:rFonts w:asciiTheme="minorHAnsi" w:hAnsiTheme="minorHAnsi"/>
          <w:color w:val="auto"/>
        </w:rPr>
      </w:pPr>
    </w:p>
    <w:p w:rsidR="00B2261F" w:rsidRPr="00E720A9" w:rsidRDefault="00B2261F" w:rsidP="00E720A9">
      <w:pPr>
        <w:tabs>
          <w:tab w:val="left" w:pos="288"/>
          <w:tab w:val="left" w:pos="4752"/>
        </w:tabs>
        <w:spacing w:line="240" w:lineRule="exact"/>
        <w:jc w:val="both"/>
        <w:rPr>
          <w:rFonts w:asciiTheme="minorHAnsi" w:hAnsiTheme="minorHAnsi"/>
          <w:color w:val="auto"/>
        </w:rPr>
      </w:pPr>
    </w:p>
    <w:p w:rsidR="00E720A9" w:rsidRPr="00E720A9" w:rsidRDefault="00E720A9" w:rsidP="00E720A9">
      <w:pPr>
        <w:tabs>
          <w:tab w:val="left" w:pos="288"/>
          <w:tab w:val="left" w:pos="4752"/>
        </w:tabs>
        <w:spacing w:line="240" w:lineRule="exact"/>
        <w:jc w:val="both"/>
        <w:rPr>
          <w:rFonts w:asciiTheme="minorHAnsi" w:hAnsiTheme="minorHAnsi"/>
          <w:color w:val="auto"/>
        </w:rPr>
      </w:pPr>
    </w:p>
    <w:p w:rsidR="00E720A9" w:rsidRPr="00E720A9" w:rsidRDefault="00E720A9" w:rsidP="00E720A9">
      <w:pPr>
        <w:tabs>
          <w:tab w:val="left" w:pos="0"/>
          <w:tab w:val="left" w:pos="4320"/>
        </w:tabs>
        <w:spacing w:line="240" w:lineRule="exact"/>
        <w:jc w:val="both"/>
        <w:rPr>
          <w:rFonts w:asciiTheme="minorHAnsi" w:hAnsiTheme="minorHAnsi"/>
          <w:color w:val="auto"/>
        </w:rPr>
      </w:pPr>
      <w:r w:rsidRPr="00E720A9">
        <w:rPr>
          <w:rFonts w:asciiTheme="minorHAnsi" w:hAnsiTheme="minorHAnsi"/>
          <w:color w:val="auto"/>
        </w:rPr>
        <w:t xml:space="preserve">                             </w:t>
      </w:r>
      <w:r w:rsidRPr="00E720A9">
        <w:rPr>
          <w:rFonts w:asciiTheme="minorHAnsi" w:hAnsiTheme="minorHAnsi"/>
          <w:color w:val="auto"/>
        </w:rPr>
        <w:tab/>
      </w:r>
      <w:r w:rsidRPr="00E720A9">
        <w:rPr>
          <w:rFonts w:asciiTheme="minorHAnsi" w:hAnsiTheme="minorHAnsi"/>
          <w:color w:val="auto"/>
        </w:rPr>
        <w:tab/>
      </w:r>
    </w:p>
    <w:p w:rsidR="00E720A9" w:rsidRPr="00E720A9" w:rsidRDefault="00E720A9" w:rsidP="00E720A9">
      <w:pPr>
        <w:tabs>
          <w:tab w:val="left" w:pos="0"/>
          <w:tab w:val="left" w:pos="4320"/>
        </w:tabs>
        <w:spacing w:line="240" w:lineRule="exact"/>
        <w:jc w:val="both"/>
        <w:rPr>
          <w:rFonts w:asciiTheme="minorHAnsi" w:hAnsiTheme="minorHAnsi"/>
          <w:color w:val="auto"/>
        </w:rPr>
      </w:pPr>
      <w:r w:rsidRPr="00E720A9">
        <w:rPr>
          <w:rFonts w:asciiTheme="minorHAnsi" w:hAnsiTheme="minorHAnsi"/>
          <w:color w:val="auto"/>
        </w:rPr>
        <w:t xml:space="preserve">                             </w:t>
      </w:r>
      <w:r w:rsidRPr="00E720A9">
        <w:rPr>
          <w:rFonts w:asciiTheme="minorHAnsi" w:hAnsiTheme="minorHAnsi"/>
          <w:color w:val="auto"/>
        </w:rPr>
        <w:tab/>
      </w:r>
      <w:r w:rsidRPr="00E720A9">
        <w:rPr>
          <w:rFonts w:asciiTheme="minorHAnsi" w:hAnsiTheme="minorHAnsi"/>
          <w:color w:val="auto"/>
        </w:rPr>
        <w:tab/>
        <w:t>Deputy Director</w:t>
      </w:r>
    </w:p>
    <w:p w:rsidR="00E720A9" w:rsidRDefault="00E720A9" w:rsidP="00E720A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720A9">
        <w:rPr>
          <w:rFonts w:asciiTheme="minorHAnsi" w:hAnsiTheme="minorHAnsi"/>
          <w:color w:val="auto"/>
        </w:rPr>
        <w:tab/>
        <w:t xml:space="preserve">                           </w:t>
      </w:r>
      <w:r w:rsidRPr="00E720A9">
        <w:rPr>
          <w:rFonts w:asciiTheme="minorHAnsi" w:hAnsiTheme="minorHAnsi"/>
          <w:color w:val="auto"/>
        </w:rPr>
        <w:tab/>
      </w:r>
      <w:r w:rsidRPr="00E720A9">
        <w:rPr>
          <w:rFonts w:asciiTheme="minorHAnsi" w:hAnsiTheme="minorHAnsi"/>
          <w:color w:val="auto"/>
        </w:rPr>
        <w:tab/>
      </w:r>
      <w:r w:rsidRPr="00E720A9">
        <w:rPr>
          <w:rFonts w:asciiTheme="minorHAnsi" w:hAnsiTheme="minorHAnsi"/>
          <w:color w:val="auto"/>
        </w:rPr>
        <w:tab/>
      </w:r>
      <w:r w:rsidRPr="00E720A9">
        <w:rPr>
          <w:rFonts w:asciiTheme="minorHAnsi" w:hAnsiTheme="minorHAnsi"/>
          <w:color w:val="auto"/>
        </w:rPr>
        <w:tab/>
      </w:r>
      <w:r w:rsidRPr="00E720A9">
        <w:rPr>
          <w:rFonts w:asciiTheme="minorHAnsi" w:hAnsiTheme="minorHAnsi"/>
          <w:color w:val="auto"/>
        </w:rPr>
        <w:tab/>
        <w:t>Physical Disability Board of Review</w:t>
      </w:r>
    </w:p>
    <w:p w:rsidR="003A28C4" w:rsidRDefault="003A28C4">
      <w:pPr>
        <w:rPr>
          <w:rFonts w:asciiTheme="minorHAnsi" w:hAnsiTheme="minorHAnsi"/>
          <w:color w:val="auto"/>
        </w:rPr>
      </w:pPr>
      <w:r>
        <w:rPr>
          <w:rFonts w:asciiTheme="minorHAnsi" w:hAnsiTheme="minorHAnsi"/>
          <w:color w:val="auto"/>
        </w:rPr>
        <w:br w:type="page"/>
      </w:r>
    </w:p>
    <w:p w:rsidR="003A28C4" w:rsidRPr="003A28C4" w:rsidRDefault="003A28C4" w:rsidP="003A28C4">
      <w:pPr>
        <w:jc w:val="both"/>
        <w:rPr>
          <w:color w:val="auto"/>
        </w:rPr>
      </w:pPr>
      <w:r w:rsidRPr="003A28C4">
        <w:rPr>
          <w:color w:val="auto"/>
        </w:rPr>
        <w:lastRenderedPageBreak/>
        <w:t xml:space="preserve">MEMORANDUM FOR DIRECTOR, SECRETARY OF THE NAVY COUNCIL OF REVIEW                                    </w:t>
      </w:r>
    </w:p>
    <w:p w:rsidR="003A28C4" w:rsidRPr="003A28C4" w:rsidRDefault="003A28C4" w:rsidP="003A28C4">
      <w:pPr>
        <w:tabs>
          <w:tab w:val="left" w:pos="2430"/>
        </w:tabs>
        <w:jc w:val="both"/>
        <w:rPr>
          <w:color w:val="auto"/>
        </w:rPr>
      </w:pPr>
      <w:r w:rsidRPr="003A28C4">
        <w:rPr>
          <w:color w:val="auto"/>
        </w:rPr>
        <w:t xml:space="preserve">                                        </w:t>
      </w:r>
      <w:r w:rsidRPr="003A28C4">
        <w:rPr>
          <w:color w:val="auto"/>
        </w:rPr>
        <w:tab/>
        <w:t xml:space="preserve">BOARDS </w:t>
      </w:r>
    </w:p>
    <w:p w:rsidR="003A28C4" w:rsidRPr="003A28C4" w:rsidRDefault="003A28C4" w:rsidP="003A28C4">
      <w:pPr>
        <w:jc w:val="both"/>
        <w:rPr>
          <w:color w:val="auto"/>
        </w:rPr>
      </w:pPr>
    </w:p>
    <w:p w:rsidR="003A28C4" w:rsidRPr="003A28C4" w:rsidRDefault="003A28C4" w:rsidP="003A28C4">
      <w:pPr>
        <w:jc w:val="both"/>
        <w:rPr>
          <w:color w:val="auto"/>
        </w:rPr>
      </w:pPr>
      <w:proofErr w:type="spellStart"/>
      <w:r w:rsidRPr="003A28C4">
        <w:rPr>
          <w:color w:val="auto"/>
        </w:rPr>
        <w:t>Subj</w:t>
      </w:r>
      <w:proofErr w:type="spellEnd"/>
      <w:r w:rsidRPr="003A28C4">
        <w:rPr>
          <w:color w:val="auto"/>
        </w:rPr>
        <w:t>:  PHYSICAL DISABILITY BOARD OF REVIEW (PDBR) RECOMMENDATION</w:t>
      </w:r>
    </w:p>
    <w:p w:rsidR="003A28C4" w:rsidRPr="003A28C4" w:rsidRDefault="003A28C4" w:rsidP="003A28C4">
      <w:pPr>
        <w:tabs>
          <w:tab w:val="left" w:pos="270"/>
          <w:tab w:val="left" w:pos="630"/>
        </w:tabs>
        <w:jc w:val="both"/>
        <w:rPr>
          <w:color w:val="auto"/>
        </w:rPr>
      </w:pPr>
      <w:r w:rsidRPr="003A28C4">
        <w:rPr>
          <w:color w:val="auto"/>
        </w:rPr>
        <w:t xml:space="preserve">    </w:t>
      </w:r>
      <w:r w:rsidRPr="003A28C4">
        <w:rPr>
          <w:color w:val="auto"/>
        </w:rPr>
        <w:tab/>
      </w:r>
      <w:r w:rsidRPr="003A28C4">
        <w:rPr>
          <w:color w:val="auto"/>
        </w:rPr>
        <w:tab/>
        <w:t xml:space="preserve">ICO </w:t>
      </w:r>
      <w:r>
        <w:rPr>
          <w:color w:val="auto"/>
        </w:rPr>
        <w:t>XXXXX</w:t>
      </w:r>
      <w:r w:rsidRPr="003A28C4">
        <w:rPr>
          <w:color w:val="auto"/>
        </w:rPr>
        <w:t>, FORMER USN</w:t>
      </w:r>
    </w:p>
    <w:p w:rsidR="003A28C4" w:rsidRPr="003A28C4" w:rsidRDefault="003A28C4" w:rsidP="003A28C4">
      <w:pPr>
        <w:jc w:val="both"/>
        <w:rPr>
          <w:color w:val="auto"/>
        </w:rPr>
      </w:pPr>
    </w:p>
    <w:p w:rsidR="003A28C4" w:rsidRPr="003A28C4" w:rsidRDefault="003A28C4" w:rsidP="003A28C4">
      <w:pPr>
        <w:jc w:val="both"/>
        <w:rPr>
          <w:color w:val="auto"/>
        </w:rPr>
      </w:pPr>
      <w:r w:rsidRPr="003A28C4">
        <w:rPr>
          <w:color w:val="auto"/>
        </w:rPr>
        <w:t>Ref:   (a) DoDI 6040.44</w:t>
      </w:r>
    </w:p>
    <w:p w:rsidR="003A28C4" w:rsidRPr="003A28C4" w:rsidRDefault="003A28C4" w:rsidP="003A28C4">
      <w:pPr>
        <w:ind w:left="-540"/>
        <w:jc w:val="both"/>
        <w:rPr>
          <w:color w:val="auto"/>
        </w:rPr>
      </w:pPr>
      <w:r w:rsidRPr="003A28C4">
        <w:rPr>
          <w:color w:val="auto"/>
        </w:rPr>
        <w:t xml:space="preserve">                   (b) PDBR </w:t>
      </w:r>
      <w:proofErr w:type="spellStart"/>
      <w:r w:rsidRPr="003A28C4">
        <w:rPr>
          <w:color w:val="auto"/>
        </w:rPr>
        <w:t>ltr</w:t>
      </w:r>
      <w:proofErr w:type="spellEnd"/>
      <w:r w:rsidRPr="003A28C4">
        <w:rPr>
          <w:color w:val="auto"/>
        </w:rPr>
        <w:t xml:space="preserve"> </w:t>
      </w:r>
      <w:proofErr w:type="spellStart"/>
      <w:r w:rsidRPr="003A28C4">
        <w:rPr>
          <w:color w:val="auto"/>
        </w:rPr>
        <w:t>dtd</w:t>
      </w:r>
      <w:proofErr w:type="spellEnd"/>
      <w:r w:rsidRPr="003A28C4">
        <w:rPr>
          <w:color w:val="auto"/>
        </w:rPr>
        <w:t xml:space="preserve"> 4 May 11</w:t>
      </w:r>
    </w:p>
    <w:p w:rsidR="003A28C4" w:rsidRPr="003A28C4" w:rsidRDefault="003A28C4" w:rsidP="003A28C4">
      <w:pPr>
        <w:ind w:left="-540"/>
        <w:jc w:val="both"/>
        <w:rPr>
          <w:color w:val="auto"/>
        </w:rPr>
      </w:pPr>
    </w:p>
    <w:p w:rsidR="003A28C4" w:rsidRPr="003A28C4" w:rsidRDefault="003A28C4" w:rsidP="003A28C4">
      <w:pPr>
        <w:jc w:val="both"/>
        <w:rPr>
          <w:color w:val="auto"/>
        </w:rPr>
      </w:pPr>
      <w:r w:rsidRPr="003A28C4">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3A28C4">
        <w:rPr>
          <w:color w:val="auto"/>
        </w:rPr>
        <w:t>’s records not be corrected to reflect a change in either his characterization of separation or in the disability rating previously assigned by the Department of the Navy’s Physical Evaluation Board.</w:t>
      </w:r>
    </w:p>
    <w:p w:rsidR="003A28C4" w:rsidRPr="003A28C4" w:rsidRDefault="003A28C4" w:rsidP="003A28C4">
      <w:pPr>
        <w:jc w:val="both"/>
        <w:rPr>
          <w:color w:val="auto"/>
        </w:rPr>
      </w:pPr>
    </w:p>
    <w:p w:rsidR="003A28C4" w:rsidRPr="003A28C4" w:rsidRDefault="003A28C4" w:rsidP="003A28C4">
      <w:pPr>
        <w:jc w:val="both"/>
        <w:rPr>
          <w:color w:val="auto"/>
        </w:rPr>
      </w:pPr>
    </w:p>
    <w:p w:rsidR="003A28C4" w:rsidRPr="003A28C4" w:rsidRDefault="003A28C4" w:rsidP="003A28C4">
      <w:pPr>
        <w:jc w:val="both"/>
        <w:rPr>
          <w:color w:val="auto"/>
        </w:rPr>
      </w:pPr>
    </w:p>
    <w:p w:rsidR="003A28C4" w:rsidRPr="003A28C4" w:rsidRDefault="003A28C4" w:rsidP="003A28C4">
      <w:pPr>
        <w:tabs>
          <w:tab w:val="left" w:pos="4680"/>
        </w:tabs>
        <w:jc w:val="both"/>
        <w:rPr>
          <w:color w:val="auto"/>
        </w:rPr>
      </w:pPr>
      <w:r w:rsidRPr="003A28C4">
        <w:rPr>
          <w:color w:val="auto"/>
        </w:rPr>
        <w:tab/>
      </w:r>
    </w:p>
    <w:p w:rsidR="003A28C4" w:rsidRPr="003A28C4" w:rsidRDefault="003A28C4" w:rsidP="003A28C4">
      <w:pPr>
        <w:jc w:val="both"/>
        <w:rPr>
          <w:color w:val="auto"/>
        </w:rPr>
      </w:pPr>
      <w:r w:rsidRPr="003A28C4">
        <w:rPr>
          <w:color w:val="auto"/>
        </w:rPr>
        <w:tab/>
        <w:t xml:space="preserve">     </w:t>
      </w:r>
      <w:r w:rsidRPr="003A28C4">
        <w:rPr>
          <w:color w:val="auto"/>
        </w:rPr>
        <w:tab/>
      </w:r>
      <w:r w:rsidRPr="003A28C4">
        <w:rPr>
          <w:color w:val="auto"/>
        </w:rPr>
        <w:tab/>
      </w:r>
      <w:r w:rsidRPr="003A28C4">
        <w:rPr>
          <w:color w:val="auto"/>
        </w:rPr>
        <w:tab/>
      </w:r>
      <w:r w:rsidRPr="003A28C4">
        <w:rPr>
          <w:color w:val="auto"/>
        </w:rPr>
        <w:tab/>
      </w:r>
      <w:r w:rsidRPr="003A28C4">
        <w:rPr>
          <w:color w:val="auto"/>
        </w:rPr>
        <w:tab/>
        <w:t xml:space="preserve">      Assistant General Counsel</w:t>
      </w:r>
    </w:p>
    <w:p w:rsidR="003A28C4" w:rsidRPr="003A28C4" w:rsidRDefault="003A28C4" w:rsidP="003A28C4">
      <w:pPr>
        <w:jc w:val="both"/>
        <w:rPr>
          <w:color w:val="auto"/>
        </w:rPr>
      </w:pPr>
      <w:r w:rsidRPr="003A28C4">
        <w:rPr>
          <w:color w:val="auto"/>
        </w:rPr>
        <w:tab/>
      </w:r>
      <w:r w:rsidRPr="003A28C4">
        <w:rPr>
          <w:color w:val="auto"/>
        </w:rPr>
        <w:tab/>
      </w:r>
      <w:r w:rsidRPr="003A28C4">
        <w:rPr>
          <w:color w:val="auto"/>
        </w:rPr>
        <w:tab/>
      </w:r>
      <w:r w:rsidRPr="003A28C4">
        <w:rPr>
          <w:color w:val="auto"/>
        </w:rPr>
        <w:tab/>
      </w:r>
      <w:r w:rsidRPr="003A28C4">
        <w:rPr>
          <w:color w:val="auto"/>
        </w:rPr>
        <w:tab/>
      </w:r>
      <w:r w:rsidRPr="003A28C4">
        <w:rPr>
          <w:color w:val="auto"/>
        </w:rPr>
        <w:tab/>
        <w:t xml:space="preserve">        (Manpower &amp; Reserve Affairs)</w:t>
      </w:r>
    </w:p>
    <w:p w:rsidR="003A28C4" w:rsidRDefault="003A28C4" w:rsidP="003A28C4">
      <w:pPr>
        <w:jc w:val="both"/>
      </w:pPr>
      <w:r>
        <w:tab/>
      </w:r>
      <w:r>
        <w:tab/>
      </w:r>
      <w:r>
        <w:tab/>
      </w:r>
      <w:r>
        <w:tab/>
      </w:r>
      <w:r>
        <w:tab/>
      </w:r>
      <w:r>
        <w:tab/>
        <w:t xml:space="preserve">  </w:t>
      </w:r>
    </w:p>
    <w:p w:rsidR="003A28C4" w:rsidRDefault="003A28C4" w:rsidP="003A28C4">
      <w:pPr>
        <w:jc w:val="both"/>
      </w:pP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58" w:rsidRDefault="00DF1B58">
      <w:r>
        <w:separator/>
      </w:r>
    </w:p>
  </w:endnote>
  <w:endnote w:type="continuationSeparator" w:id="0">
    <w:p w:rsidR="00DF1B58" w:rsidRDefault="00DF1B5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AE" w:rsidRDefault="00C34CD2">
    <w:pPr>
      <w:pStyle w:val="Footer"/>
      <w:framePr w:wrap="around" w:vAnchor="text" w:hAnchor="margin" w:xAlign="center" w:y="1"/>
      <w:rPr>
        <w:rStyle w:val="PageNumber"/>
      </w:rPr>
    </w:pPr>
    <w:r>
      <w:rPr>
        <w:rStyle w:val="PageNumber"/>
      </w:rPr>
      <w:fldChar w:fldCharType="begin"/>
    </w:r>
    <w:r w:rsidR="006311AE">
      <w:rPr>
        <w:rStyle w:val="PageNumber"/>
      </w:rPr>
      <w:instrText xml:space="preserve">PAGE  </w:instrText>
    </w:r>
    <w:r>
      <w:rPr>
        <w:rStyle w:val="PageNumber"/>
      </w:rPr>
      <w:fldChar w:fldCharType="separate"/>
    </w:r>
    <w:r w:rsidR="006311AE">
      <w:rPr>
        <w:rStyle w:val="PageNumber"/>
        <w:noProof/>
      </w:rPr>
      <w:t>2</w:t>
    </w:r>
    <w:r>
      <w:rPr>
        <w:rStyle w:val="PageNumber"/>
      </w:rPr>
      <w:fldChar w:fldCharType="end"/>
    </w:r>
  </w:p>
  <w:p w:rsidR="006311AE" w:rsidRDefault="006311A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AE" w:rsidRPr="00420563" w:rsidRDefault="00C34CD2">
    <w:pPr>
      <w:pStyle w:val="Footer"/>
      <w:framePr w:wrap="around" w:vAnchor="text" w:hAnchor="margin" w:xAlign="center" w:y="1"/>
      <w:rPr>
        <w:rStyle w:val="PageNumber"/>
        <w:rFonts w:asciiTheme="minorHAnsi" w:hAnsiTheme="minorHAnsi"/>
        <w:color w:val="auto"/>
      </w:rPr>
    </w:pPr>
    <w:r w:rsidRPr="00420563">
      <w:rPr>
        <w:rStyle w:val="PageNumber"/>
        <w:rFonts w:asciiTheme="minorHAnsi" w:hAnsiTheme="minorHAnsi"/>
        <w:color w:val="auto"/>
      </w:rPr>
      <w:fldChar w:fldCharType="begin"/>
    </w:r>
    <w:r w:rsidR="006311AE" w:rsidRPr="00420563">
      <w:rPr>
        <w:rStyle w:val="PageNumber"/>
        <w:rFonts w:asciiTheme="minorHAnsi" w:hAnsiTheme="minorHAnsi"/>
        <w:color w:val="auto"/>
      </w:rPr>
      <w:instrText xml:space="preserve">PAGE  </w:instrText>
    </w:r>
    <w:r w:rsidRPr="00420563">
      <w:rPr>
        <w:rStyle w:val="PageNumber"/>
        <w:rFonts w:asciiTheme="minorHAnsi" w:hAnsiTheme="minorHAnsi"/>
        <w:color w:val="auto"/>
      </w:rPr>
      <w:fldChar w:fldCharType="separate"/>
    </w:r>
    <w:r w:rsidR="003A28C4">
      <w:rPr>
        <w:rStyle w:val="PageNumber"/>
        <w:rFonts w:asciiTheme="minorHAnsi" w:hAnsiTheme="minorHAnsi"/>
        <w:noProof/>
        <w:color w:val="auto"/>
      </w:rPr>
      <w:t>2</w:t>
    </w:r>
    <w:r w:rsidRPr="00420563">
      <w:rPr>
        <w:rStyle w:val="PageNumber"/>
        <w:rFonts w:asciiTheme="minorHAnsi" w:hAnsiTheme="minorHAnsi"/>
        <w:color w:val="auto"/>
      </w:rPr>
      <w:fldChar w:fldCharType="end"/>
    </w:r>
  </w:p>
  <w:p w:rsidR="006311AE" w:rsidRPr="000614D6" w:rsidRDefault="006311AE" w:rsidP="002B0749">
    <w:pPr>
      <w:pStyle w:val="Footer"/>
      <w:jc w:val="right"/>
      <w:rPr>
        <w:rFonts w:asciiTheme="minorHAnsi" w:hAnsiTheme="minorHAnsi"/>
        <w:color w:val="auto"/>
      </w:rPr>
    </w:pPr>
    <w:r>
      <w:tab/>
    </w:r>
    <w:r w:rsidRPr="000614D6">
      <w:rPr>
        <w:rFonts w:asciiTheme="minorHAnsi" w:hAnsiTheme="minorHAnsi"/>
        <w:color w:val="auto"/>
      </w:rPr>
      <w:tab/>
    </w:r>
    <w:r w:rsidR="00A20C9F">
      <w:rPr>
        <w:rFonts w:asciiTheme="minorHAnsi" w:hAnsiTheme="minorHAnsi"/>
        <w:caps/>
        <w:color w:val="auto"/>
      </w:rPr>
      <w:t>PD10</w:t>
    </w:r>
    <w:r w:rsidRPr="000614D6">
      <w:rPr>
        <w:rFonts w:asciiTheme="minorHAnsi" w:hAnsiTheme="minorHAnsi"/>
        <w:caps/>
        <w:color w:val="auto"/>
      </w:rPr>
      <w:t>00448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58" w:rsidRDefault="00DF1B58">
      <w:r>
        <w:separator/>
      </w:r>
    </w:p>
  </w:footnote>
  <w:footnote w:type="continuationSeparator" w:id="0">
    <w:p w:rsidR="00DF1B58" w:rsidRDefault="00DF1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22"/>
  </w:hdrShapeDefaults>
  <w:footnotePr>
    <w:numRestart w:val="eachSect"/>
    <w:footnote w:id="-1"/>
    <w:footnote w:id="0"/>
  </w:footnotePr>
  <w:endnotePr>
    <w:endnote w:id="-1"/>
    <w:endnote w:id="0"/>
  </w:endnotePr>
  <w:compat/>
  <w:rsids>
    <w:rsidRoot w:val="001C28D1"/>
    <w:rsid w:val="00000C56"/>
    <w:rsid w:val="000059FA"/>
    <w:rsid w:val="00006F87"/>
    <w:rsid w:val="00010ABA"/>
    <w:rsid w:val="00012428"/>
    <w:rsid w:val="00013417"/>
    <w:rsid w:val="000145C2"/>
    <w:rsid w:val="0001473F"/>
    <w:rsid w:val="00023BF8"/>
    <w:rsid w:val="00023D43"/>
    <w:rsid w:val="00032E07"/>
    <w:rsid w:val="000332CA"/>
    <w:rsid w:val="0003374E"/>
    <w:rsid w:val="000344E6"/>
    <w:rsid w:val="00035C3A"/>
    <w:rsid w:val="00036E4B"/>
    <w:rsid w:val="000379D0"/>
    <w:rsid w:val="00040695"/>
    <w:rsid w:val="00040FC4"/>
    <w:rsid w:val="000416F8"/>
    <w:rsid w:val="00051622"/>
    <w:rsid w:val="00052234"/>
    <w:rsid w:val="00053D7C"/>
    <w:rsid w:val="000548B8"/>
    <w:rsid w:val="00055A01"/>
    <w:rsid w:val="000577C9"/>
    <w:rsid w:val="000614D6"/>
    <w:rsid w:val="0006251F"/>
    <w:rsid w:val="0006431E"/>
    <w:rsid w:val="00064968"/>
    <w:rsid w:val="00072433"/>
    <w:rsid w:val="00075702"/>
    <w:rsid w:val="000775C2"/>
    <w:rsid w:val="000806AD"/>
    <w:rsid w:val="00082482"/>
    <w:rsid w:val="0008708B"/>
    <w:rsid w:val="00094E4F"/>
    <w:rsid w:val="000A24F6"/>
    <w:rsid w:val="000A2BCE"/>
    <w:rsid w:val="000A41E3"/>
    <w:rsid w:val="000A4BBA"/>
    <w:rsid w:val="000A5071"/>
    <w:rsid w:val="000B05BD"/>
    <w:rsid w:val="000C06F6"/>
    <w:rsid w:val="000C3229"/>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2A50"/>
    <w:rsid w:val="000F427B"/>
    <w:rsid w:val="000F689F"/>
    <w:rsid w:val="001008C1"/>
    <w:rsid w:val="00103CCF"/>
    <w:rsid w:val="0010417F"/>
    <w:rsid w:val="001042D2"/>
    <w:rsid w:val="0010530E"/>
    <w:rsid w:val="001103CD"/>
    <w:rsid w:val="00110A0D"/>
    <w:rsid w:val="00114F20"/>
    <w:rsid w:val="001219DF"/>
    <w:rsid w:val="001231DC"/>
    <w:rsid w:val="001272AE"/>
    <w:rsid w:val="001315DD"/>
    <w:rsid w:val="00135385"/>
    <w:rsid w:val="001364D1"/>
    <w:rsid w:val="00137C33"/>
    <w:rsid w:val="00142EBA"/>
    <w:rsid w:val="00150DCB"/>
    <w:rsid w:val="00153740"/>
    <w:rsid w:val="001541C5"/>
    <w:rsid w:val="0015623F"/>
    <w:rsid w:val="00156B73"/>
    <w:rsid w:val="00156BA9"/>
    <w:rsid w:val="00156DDF"/>
    <w:rsid w:val="001600F3"/>
    <w:rsid w:val="00166182"/>
    <w:rsid w:val="00177659"/>
    <w:rsid w:val="001779E5"/>
    <w:rsid w:val="00182A4C"/>
    <w:rsid w:val="00183F77"/>
    <w:rsid w:val="00185DA8"/>
    <w:rsid w:val="00185ECB"/>
    <w:rsid w:val="001870F0"/>
    <w:rsid w:val="001919D3"/>
    <w:rsid w:val="00192146"/>
    <w:rsid w:val="0019273F"/>
    <w:rsid w:val="00193AD5"/>
    <w:rsid w:val="00194930"/>
    <w:rsid w:val="00194E3A"/>
    <w:rsid w:val="001A08CD"/>
    <w:rsid w:val="001A22EA"/>
    <w:rsid w:val="001A5320"/>
    <w:rsid w:val="001A5E62"/>
    <w:rsid w:val="001A7538"/>
    <w:rsid w:val="001B0B1A"/>
    <w:rsid w:val="001B4EC2"/>
    <w:rsid w:val="001B5B59"/>
    <w:rsid w:val="001B7C8C"/>
    <w:rsid w:val="001C181A"/>
    <w:rsid w:val="001C2053"/>
    <w:rsid w:val="001C28D1"/>
    <w:rsid w:val="001C2C8F"/>
    <w:rsid w:val="001C49B2"/>
    <w:rsid w:val="001C5CFC"/>
    <w:rsid w:val="001C7418"/>
    <w:rsid w:val="001D0051"/>
    <w:rsid w:val="001D2224"/>
    <w:rsid w:val="001D5A02"/>
    <w:rsid w:val="001D68CF"/>
    <w:rsid w:val="001D6A8C"/>
    <w:rsid w:val="001D7A56"/>
    <w:rsid w:val="001E15C0"/>
    <w:rsid w:val="001E18E0"/>
    <w:rsid w:val="001E18E2"/>
    <w:rsid w:val="001E2A30"/>
    <w:rsid w:val="001E59F0"/>
    <w:rsid w:val="001F14D5"/>
    <w:rsid w:val="00200AA0"/>
    <w:rsid w:val="00202736"/>
    <w:rsid w:val="00202CEE"/>
    <w:rsid w:val="00203652"/>
    <w:rsid w:val="002060B6"/>
    <w:rsid w:val="002078D6"/>
    <w:rsid w:val="00216049"/>
    <w:rsid w:val="00217C09"/>
    <w:rsid w:val="00220F5C"/>
    <w:rsid w:val="00223A69"/>
    <w:rsid w:val="00225196"/>
    <w:rsid w:val="00225CB4"/>
    <w:rsid w:val="0023049F"/>
    <w:rsid w:val="00232C9B"/>
    <w:rsid w:val="00232F09"/>
    <w:rsid w:val="002335D5"/>
    <w:rsid w:val="002338CA"/>
    <w:rsid w:val="00233FE5"/>
    <w:rsid w:val="0024174E"/>
    <w:rsid w:val="0024227D"/>
    <w:rsid w:val="00244BCE"/>
    <w:rsid w:val="00246860"/>
    <w:rsid w:val="00246DFF"/>
    <w:rsid w:val="00246E89"/>
    <w:rsid w:val="0025183C"/>
    <w:rsid w:val="002528EC"/>
    <w:rsid w:val="00255049"/>
    <w:rsid w:val="00257DE5"/>
    <w:rsid w:val="00260531"/>
    <w:rsid w:val="0026318D"/>
    <w:rsid w:val="002661A1"/>
    <w:rsid w:val="002703DF"/>
    <w:rsid w:val="00270864"/>
    <w:rsid w:val="002712F7"/>
    <w:rsid w:val="0027159C"/>
    <w:rsid w:val="00271780"/>
    <w:rsid w:val="00273C0F"/>
    <w:rsid w:val="00274549"/>
    <w:rsid w:val="00274E46"/>
    <w:rsid w:val="00276C86"/>
    <w:rsid w:val="002810A4"/>
    <w:rsid w:val="00284A26"/>
    <w:rsid w:val="00291910"/>
    <w:rsid w:val="002A3237"/>
    <w:rsid w:val="002A685E"/>
    <w:rsid w:val="002A72C7"/>
    <w:rsid w:val="002B03B2"/>
    <w:rsid w:val="002B0749"/>
    <w:rsid w:val="002B2645"/>
    <w:rsid w:val="002B783B"/>
    <w:rsid w:val="002C5F10"/>
    <w:rsid w:val="002C6E5B"/>
    <w:rsid w:val="002D18B4"/>
    <w:rsid w:val="002D231A"/>
    <w:rsid w:val="002D4A43"/>
    <w:rsid w:val="002E1877"/>
    <w:rsid w:val="002E1C31"/>
    <w:rsid w:val="002E2083"/>
    <w:rsid w:val="002E21E2"/>
    <w:rsid w:val="002E2A1D"/>
    <w:rsid w:val="002E333A"/>
    <w:rsid w:val="002E3474"/>
    <w:rsid w:val="002E400C"/>
    <w:rsid w:val="002E49C3"/>
    <w:rsid w:val="002E7570"/>
    <w:rsid w:val="002E764B"/>
    <w:rsid w:val="002F0E28"/>
    <w:rsid w:val="002F287E"/>
    <w:rsid w:val="002F2D63"/>
    <w:rsid w:val="002F5400"/>
    <w:rsid w:val="002F7F81"/>
    <w:rsid w:val="003002C3"/>
    <w:rsid w:val="00300644"/>
    <w:rsid w:val="00300A36"/>
    <w:rsid w:val="0030389A"/>
    <w:rsid w:val="0030678B"/>
    <w:rsid w:val="0030740C"/>
    <w:rsid w:val="00310CD7"/>
    <w:rsid w:val="00313DEF"/>
    <w:rsid w:val="00316368"/>
    <w:rsid w:val="0032136A"/>
    <w:rsid w:val="00323E70"/>
    <w:rsid w:val="00325BA2"/>
    <w:rsid w:val="00326F7F"/>
    <w:rsid w:val="003320E8"/>
    <w:rsid w:val="0033555E"/>
    <w:rsid w:val="00336805"/>
    <w:rsid w:val="00337351"/>
    <w:rsid w:val="00341A54"/>
    <w:rsid w:val="0034669F"/>
    <w:rsid w:val="00351498"/>
    <w:rsid w:val="00352B22"/>
    <w:rsid w:val="003557A0"/>
    <w:rsid w:val="003567DE"/>
    <w:rsid w:val="0036319E"/>
    <w:rsid w:val="003632A4"/>
    <w:rsid w:val="00363362"/>
    <w:rsid w:val="00363BF3"/>
    <w:rsid w:val="00370743"/>
    <w:rsid w:val="00370EF5"/>
    <w:rsid w:val="00372251"/>
    <w:rsid w:val="0037520D"/>
    <w:rsid w:val="0037628C"/>
    <w:rsid w:val="00376B81"/>
    <w:rsid w:val="00377BD2"/>
    <w:rsid w:val="003821E1"/>
    <w:rsid w:val="00384866"/>
    <w:rsid w:val="003857D4"/>
    <w:rsid w:val="00385D6F"/>
    <w:rsid w:val="00387095"/>
    <w:rsid w:val="00390092"/>
    <w:rsid w:val="00391BB9"/>
    <w:rsid w:val="00391F32"/>
    <w:rsid w:val="00393651"/>
    <w:rsid w:val="003A28C4"/>
    <w:rsid w:val="003A41BA"/>
    <w:rsid w:val="003A6A99"/>
    <w:rsid w:val="003A6F03"/>
    <w:rsid w:val="003A7FF8"/>
    <w:rsid w:val="003B0593"/>
    <w:rsid w:val="003B227A"/>
    <w:rsid w:val="003B5854"/>
    <w:rsid w:val="003B6764"/>
    <w:rsid w:val="003D2BA3"/>
    <w:rsid w:val="003D3C22"/>
    <w:rsid w:val="003D63E4"/>
    <w:rsid w:val="003D7089"/>
    <w:rsid w:val="003D7DDB"/>
    <w:rsid w:val="003E02C7"/>
    <w:rsid w:val="003E0543"/>
    <w:rsid w:val="003E0B5A"/>
    <w:rsid w:val="003E31E3"/>
    <w:rsid w:val="003E46D1"/>
    <w:rsid w:val="003E58C5"/>
    <w:rsid w:val="003F221A"/>
    <w:rsid w:val="003F58B0"/>
    <w:rsid w:val="004007E9"/>
    <w:rsid w:val="00401825"/>
    <w:rsid w:val="00401BBC"/>
    <w:rsid w:val="00403BFB"/>
    <w:rsid w:val="00404464"/>
    <w:rsid w:val="00404B45"/>
    <w:rsid w:val="00406CC5"/>
    <w:rsid w:val="004074A4"/>
    <w:rsid w:val="004077E5"/>
    <w:rsid w:val="004101B2"/>
    <w:rsid w:val="004123D7"/>
    <w:rsid w:val="004172DB"/>
    <w:rsid w:val="00420563"/>
    <w:rsid w:val="00421485"/>
    <w:rsid w:val="00422B75"/>
    <w:rsid w:val="00433F36"/>
    <w:rsid w:val="0043503A"/>
    <w:rsid w:val="0044384F"/>
    <w:rsid w:val="00446018"/>
    <w:rsid w:val="004468E5"/>
    <w:rsid w:val="004543BC"/>
    <w:rsid w:val="0045645D"/>
    <w:rsid w:val="004574C6"/>
    <w:rsid w:val="00457BCF"/>
    <w:rsid w:val="00457DCE"/>
    <w:rsid w:val="0046075A"/>
    <w:rsid w:val="00460E3F"/>
    <w:rsid w:val="00467592"/>
    <w:rsid w:val="0047126C"/>
    <w:rsid w:val="004718E7"/>
    <w:rsid w:val="00474D02"/>
    <w:rsid w:val="004761CC"/>
    <w:rsid w:val="00480237"/>
    <w:rsid w:val="00480D4A"/>
    <w:rsid w:val="00481DA1"/>
    <w:rsid w:val="00487940"/>
    <w:rsid w:val="0049445D"/>
    <w:rsid w:val="00495350"/>
    <w:rsid w:val="00497156"/>
    <w:rsid w:val="004A24D2"/>
    <w:rsid w:val="004A4136"/>
    <w:rsid w:val="004A417B"/>
    <w:rsid w:val="004B03F3"/>
    <w:rsid w:val="004B2536"/>
    <w:rsid w:val="004B6AF3"/>
    <w:rsid w:val="004B715E"/>
    <w:rsid w:val="004B7169"/>
    <w:rsid w:val="004B79C9"/>
    <w:rsid w:val="004C2E28"/>
    <w:rsid w:val="004C5E33"/>
    <w:rsid w:val="004C6CDA"/>
    <w:rsid w:val="004D10D4"/>
    <w:rsid w:val="004D16BD"/>
    <w:rsid w:val="004D3062"/>
    <w:rsid w:val="004D6F2B"/>
    <w:rsid w:val="004E0248"/>
    <w:rsid w:val="004E21A3"/>
    <w:rsid w:val="004E32EA"/>
    <w:rsid w:val="004F3222"/>
    <w:rsid w:val="004F3BFA"/>
    <w:rsid w:val="00500B9E"/>
    <w:rsid w:val="00506337"/>
    <w:rsid w:val="00510588"/>
    <w:rsid w:val="0051146C"/>
    <w:rsid w:val="005125DB"/>
    <w:rsid w:val="00514CF8"/>
    <w:rsid w:val="005222E7"/>
    <w:rsid w:val="00523E04"/>
    <w:rsid w:val="0052590B"/>
    <w:rsid w:val="00526591"/>
    <w:rsid w:val="00527178"/>
    <w:rsid w:val="0052738E"/>
    <w:rsid w:val="005350A5"/>
    <w:rsid w:val="00536379"/>
    <w:rsid w:val="00537238"/>
    <w:rsid w:val="005400C5"/>
    <w:rsid w:val="00540BEF"/>
    <w:rsid w:val="00542C9A"/>
    <w:rsid w:val="005436C2"/>
    <w:rsid w:val="0054586A"/>
    <w:rsid w:val="0055288D"/>
    <w:rsid w:val="00555259"/>
    <w:rsid w:val="00560D57"/>
    <w:rsid w:val="00562A94"/>
    <w:rsid w:val="0056628D"/>
    <w:rsid w:val="005710A9"/>
    <w:rsid w:val="005724FB"/>
    <w:rsid w:val="00593043"/>
    <w:rsid w:val="00594039"/>
    <w:rsid w:val="00595BF0"/>
    <w:rsid w:val="005A258C"/>
    <w:rsid w:val="005A2FA5"/>
    <w:rsid w:val="005A3560"/>
    <w:rsid w:val="005A6C99"/>
    <w:rsid w:val="005B011A"/>
    <w:rsid w:val="005B1D8F"/>
    <w:rsid w:val="005B1E94"/>
    <w:rsid w:val="005B5B3D"/>
    <w:rsid w:val="005C3758"/>
    <w:rsid w:val="005C6E56"/>
    <w:rsid w:val="005D7117"/>
    <w:rsid w:val="005E3064"/>
    <w:rsid w:val="005F1115"/>
    <w:rsid w:val="005F27F2"/>
    <w:rsid w:val="005F424D"/>
    <w:rsid w:val="006035A6"/>
    <w:rsid w:val="00605AAB"/>
    <w:rsid w:val="00606BEB"/>
    <w:rsid w:val="00607D5E"/>
    <w:rsid w:val="0061014A"/>
    <w:rsid w:val="00613E26"/>
    <w:rsid w:val="00615380"/>
    <w:rsid w:val="00615641"/>
    <w:rsid w:val="006211D0"/>
    <w:rsid w:val="00624D0C"/>
    <w:rsid w:val="006307BA"/>
    <w:rsid w:val="006311AE"/>
    <w:rsid w:val="006315BA"/>
    <w:rsid w:val="00634C4A"/>
    <w:rsid w:val="0063532E"/>
    <w:rsid w:val="00637BDC"/>
    <w:rsid w:val="006418C9"/>
    <w:rsid w:val="00642BD6"/>
    <w:rsid w:val="00645046"/>
    <w:rsid w:val="00645EA2"/>
    <w:rsid w:val="006573F2"/>
    <w:rsid w:val="00662F08"/>
    <w:rsid w:val="00663589"/>
    <w:rsid w:val="00670DDC"/>
    <w:rsid w:val="00671EB4"/>
    <w:rsid w:val="00673F57"/>
    <w:rsid w:val="0067443B"/>
    <w:rsid w:val="00684E2B"/>
    <w:rsid w:val="006862A6"/>
    <w:rsid w:val="00690FDA"/>
    <w:rsid w:val="0069151A"/>
    <w:rsid w:val="00694EEA"/>
    <w:rsid w:val="006955B4"/>
    <w:rsid w:val="00696476"/>
    <w:rsid w:val="006A10FA"/>
    <w:rsid w:val="006A40E6"/>
    <w:rsid w:val="006A5C07"/>
    <w:rsid w:val="006A75FA"/>
    <w:rsid w:val="006B07D5"/>
    <w:rsid w:val="006B1309"/>
    <w:rsid w:val="006B5923"/>
    <w:rsid w:val="006B67D9"/>
    <w:rsid w:val="006B6C14"/>
    <w:rsid w:val="006C028F"/>
    <w:rsid w:val="006C1D6E"/>
    <w:rsid w:val="006C1E6E"/>
    <w:rsid w:val="006C3A68"/>
    <w:rsid w:val="006C6AB1"/>
    <w:rsid w:val="006D2D39"/>
    <w:rsid w:val="006D53D0"/>
    <w:rsid w:val="006E06D1"/>
    <w:rsid w:val="006E1313"/>
    <w:rsid w:val="006E2DC8"/>
    <w:rsid w:val="006E37D0"/>
    <w:rsid w:val="006E7356"/>
    <w:rsid w:val="006E77C8"/>
    <w:rsid w:val="006F149D"/>
    <w:rsid w:val="006F1A46"/>
    <w:rsid w:val="006F3067"/>
    <w:rsid w:val="006F5A4E"/>
    <w:rsid w:val="00703860"/>
    <w:rsid w:val="00703B6C"/>
    <w:rsid w:val="00706482"/>
    <w:rsid w:val="00706BEF"/>
    <w:rsid w:val="007116BC"/>
    <w:rsid w:val="00713A21"/>
    <w:rsid w:val="007151D5"/>
    <w:rsid w:val="007165CE"/>
    <w:rsid w:val="00720968"/>
    <w:rsid w:val="00721D12"/>
    <w:rsid w:val="00721F8B"/>
    <w:rsid w:val="0073254D"/>
    <w:rsid w:val="00736A49"/>
    <w:rsid w:val="00741A52"/>
    <w:rsid w:val="00742E2A"/>
    <w:rsid w:val="00743B71"/>
    <w:rsid w:val="00743C2D"/>
    <w:rsid w:val="00743E36"/>
    <w:rsid w:val="007446F7"/>
    <w:rsid w:val="00744EBB"/>
    <w:rsid w:val="00745B0A"/>
    <w:rsid w:val="007468AC"/>
    <w:rsid w:val="007468D8"/>
    <w:rsid w:val="00746AE2"/>
    <w:rsid w:val="00750C82"/>
    <w:rsid w:val="0076100C"/>
    <w:rsid w:val="007651ED"/>
    <w:rsid w:val="00766C87"/>
    <w:rsid w:val="00776F36"/>
    <w:rsid w:val="00781BD4"/>
    <w:rsid w:val="00784832"/>
    <w:rsid w:val="007848A8"/>
    <w:rsid w:val="00785D77"/>
    <w:rsid w:val="00786111"/>
    <w:rsid w:val="00791F1E"/>
    <w:rsid w:val="00792D24"/>
    <w:rsid w:val="00794F3D"/>
    <w:rsid w:val="007968AC"/>
    <w:rsid w:val="007969AB"/>
    <w:rsid w:val="007A0B39"/>
    <w:rsid w:val="007A14A4"/>
    <w:rsid w:val="007A168F"/>
    <w:rsid w:val="007A28E4"/>
    <w:rsid w:val="007A398B"/>
    <w:rsid w:val="007A3BB3"/>
    <w:rsid w:val="007A3CC7"/>
    <w:rsid w:val="007A516B"/>
    <w:rsid w:val="007A5AD1"/>
    <w:rsid w:val="007A5B7B"/>
    <w:rsid w:val="007A6C2D"/>
    <w:rsid w:val="007A7EFB"/>
    <w:rsid w:val="007B0A06"/>
    <w:rsid w:val="007B145E"/>
    <w:rsid w:val="007B5C5C"/>
    <w:rsid w:val="007B6985"/>
    <w:rsid w:val="007B7B37"/>
    <w:rsid w:val="007B7C41"/>
    <w:rsid w:val="007C433E"/>
    <w:rsid w:val="007C4DB1"/>
    <w:rsid w:val="007C6046"/>
    <w:rsid w:val="007D0292"/>
    <w:rsid w:val="007D21AC"/>
    <w:rsid w:val="007D568A"/>
    <w:rsid w:val="007D574E"/>
    <w:rsid w:val="007D65A5"/>
    <w:rsid w:val="007E2046"/>
    <w:rsid w:val="007E4FBB"/>
    <w:rsid w:val="007E55BF"/>
    <w:rsid w:val="007E71B1"/>
    <w:rsid w:val="007E7B4E"/>
    <w:rsid w:val="007F0CE2"/>
    <w:rsid w:val="007F0EFF"/>
    <w:rsid w:val="007F1375"/>
    <w:rsid w:val="00803850"/>
    <w:rsid w:val="008059DB"/>
    <w:rsid w:val="00805AFD"/>
    <w:rsid w:val="00811D5B"/>
    <w:rsid w:val="00817713"/>
    <w:rsid w:val="008220F1"/>
    <w:rsid w:val="00827DB6"/>
    <w:rsid w:val="00830999"/>
    <w:rsid w:val="00830D5E"/>
    <w:rsid w:val="00830F69"/>
    <w:rsid w:val="00830F86"/>
    <w:rsid w:val="00834458"/>
    <w:rsid w:val="00835841"/>
    <w:rsid w:val="00835AE4"/>
    <w:rsid w:val="00836E2C"/>
    <w:rsid w:val="00837465"/>
    <w:rsid w:val="00841243"/>
    <w:rsid w:val="00841457"/>
    <w:rsid w:val="0084374E"/>
    <w:rsid w:val="00844842"/>
    <w:rsid w:val="00844D69"/>
    <w:rsid w:val="00844DD0"/>
    <w:rsid w:val="0085206E"/>
    <w:rsid w:val="00852AD4"/>
    <w:rsid w:val="00852BA8"/>
    <w:rsid w:val="00853718"/>
    <w:rsid w:val="008541EF"/>
    <w:rsid w:val="00856FA4"/>
    <w:rsid w:val="0086162B"/>
    <w:rsid w:val="00865207"/>
    <w:rsid w:val="008656A7"/>
    <w:rsid w:val="00871262"/>
    <w:rsid w:val="00871D4E"/>
    <w:rsid w:val="00871E7B"/>
    <w:rsid w:val="008723D7"/>
    <w:rsid w:val="00875B51"/>
    <w:rsid w:val="00875F2D"/>
    <w:rsid w:val="008764DC"/>
    <w:rsid w:val="00882CC2"/>
    <w:rsid w:val="00883930"/>
    <w:rsid w:val="008870ED"/>
    <w:rsid w:val="00896535"/>
    <w:rsid w:val="00896683"/>
    <w:rsid w:val="008A63A9"/>
    <w:rsid w:val="008B04DB"/>
    <w:rsid w:val="008B27FD"/>
    <w:rsid w:val="008B3AF2"/>
    <w:rsid w:val="008B515D"/>
    <w:rsid w:val="008B5D31"/>
    <w:rsid w:val="008B6705"/>
    <w:rsid w:val="008D1FA7"/>
    <w:rsid w:val="008D525E"/>
    <w:rsid w:val="008D795D"/>
    <w:rsid w:val="008D7B07"/>
    <w:rsid w:val="008D7FA7"/>
    <w:rsid w:val="008E20A3"/>
    <w:rsid w:val="008E2D99"/>
    <w:rsid w:val="008E4A60"/>
    <w:rsid w:val="009014E3"/>
    <w:rsid w:val="009026E8"/>
    <w:rsid w:val="00905739"/>
    <w:rsid w:val="00906EB7"/>
    <w:rsid w:val="009102BF"/>
    <w:rsid w:val="009115F2"/>
    <w:rsid w:val="00914ADB"/>
    <w:rsid w:val="00923B25"/>
    <w:rsid w:val="0092402E"/>
    <w:rsid w:val="00926FCB"/>
    <w:rsid w:val="00930984"/>
    <w:rsid w:val="00935228"/>
    <w:rsid w:val="00941BD1"/>
    <w:rsid w:val="00942645"/>
    <w:rsid w:val="00950686"/>
    <w:rsid w:val="00950A3A"/>
    <w:rsid w:val="0095340A"/>
    <w:rsid w:val="00954581"/>
    <w:rsid w:val="0095466C"/>
    <w:rsid w:val="00954E5B"/>
    <w:rsid w:val="009576BC"/>
    <w:rsid w:val="00960357"/>
    <w:rsid w:val="0096168C"/>
    <w:rsid w:val="00961840"/>
    <w:rsid w:val="00962F2D"/>
    <w:rsid w:val="009672CD"/>
    <w:rsid w:val="00972996"/>
    <w:rsid w:val="009732B8"/>
    <w:rsid w:val="00974663"/>
    <w:rsid w:val="00975C72"/>
    <w:rsid w:val="00976869"/>
    <w:rsid w:val="00977740"/>
    <w:rsid w:val="00977CB4"/>
    <w:rsid w:val="009809B8"/>
    <w:rsid w:val="00983E06"/>
    <w:rsid w:val="00985099"/>
    <w:rsid w:val="0099421F"/>
    <w:rsid w:val="009A0DE3"/>
    <w:rsid w:val="009A1643"/>
    <w:rsid w:val="009A215A"/>
    <w:rsid w:val="009A4313"/>
    <w:rsid w:val="009A4F1B"/>
    <w:rsid w:val="009A66C5"/>
    <w:rsid w:val="009A79BA"/>
    <w:rsid w:val="009B1534"/>
    <w:rsid w:val="009B4A3B"/>
    <w:rsid w:val="009B69D3"/>
    <w:rsid w:val="009B7BA7"/>
    <w:rsid w:val="009C0938"/>
    <w:rsid w:val="009C22C8"/>
    <w:rsid w:val="009C281D"/>
    <w:rsid w:val="009C3F82"/>
    <w:rsid w:val="009C72DD"/>
    <w:rsid w:val="009C7DF5"/>
    <w:rsid w:val="009D056C"/>
    <w:rsid w:val="009D060F"/>
    <w:rsid w:val="009D0D4A"/>
    <w:rsid w:val="009D1ADE"/>
    <w:rsid w:val="009E09D0"/>
    <w:rsid w:val="009E1283"/>
    <w:rsid w:val="009E3A25"/>
    <w:rsid w:val="009E3A7F"/>
    <w:rsid w:val="009E57B1"/>
    <w:rsid w:val="009F7809"/>
    <w:rsid w:val="009F7AF5"/>
    <w:rsid w:val="00A00D14"/>
    <w:rsid w:val="00A01408"/>
    <w:rsid w:val="00A02457"/>
    <w:rsid w:val="00A03190"/>
    <w:rsid w:val="00A0404B"/>
    <w:rsid w:val="00A07BDD"/>
    <w:rsid w:val="00A1105B"/>
    <w:rsid w:val="00A13479"/>
    <w:rsid w:val="00A13B4B"/>
    <w:rsid w:val="00A15B6B"/>
    <w:rsid w:val="00A15EB4"/>
    <w:rsid w:val="00A16876"/>
    <w:rsid w:val="00A200AA"/>
    <w:rsid w:val="00A20C9F"/>
    <w:rsid w:val="00A2186F"/>
    <w:rsid w:val="00A2270B"/>
    <w:rsid w:val="00A22A72"/>
    <w:rsid w:val="00A23B89"/>
    <w:rsid w:val="00A2496E"/>
    <w:rsid w:val="00A258B7"/>
    <w:rsid w:val="00A32743"/>
    <w:rsid w:val="00A37CC0"/>
    <w:rsid w:val="00A414A9"/>
    <w:rsid w:val="00A44D75"/>
    <w:rsid w:val="00A47CF1"/>
    <w:rsid w:val="00A50418"/>
    <w:rsid w:val="00A525A5"/>
    <w:rsid w:val="00A54A47"/>
    <w:rsid w:val="00A55D28"/>
    <w:rsid w:val="00A56D26"/>
    <w:rsid w:val="00A608FB"/>
    <w:rsid w:val="00A60D83"/>
    <w:rsid w:val="00A60F68"/>
    <w:rsid w:val="00A65C78"/>
    <w:rsid w:val="00A66A20"/>
    <w:rsid w:val="00A67CA6"/>
    <w:rsid w:val="00A70E7B"/>
    <w:rsid w:val="00A73B84"/>
    <w:rsid w:val="00A7411D"/>
    <w:rsid w:val="00A76094"/>
    <w:rsid w:val="00A768E2"/>
    <w:rsid w:val="00A803A9"/>
    <w:rsid w:val="00A82C52"/>
    <w:rsid w:val="00A84958"/>
    <w:rsid w:val="00A86CB6"/>
    <w:rsid w:val="00A90D55"/>
    <w:rsid w:val="00A959E7"/>
    <w:rsid w:val="00A95BBA"/>
    <w:rsid w:val="00A961EE"/>
    <w:rsid w:val="00AA04B3"/>
    <w:rsid w:val="00AA35E7"/>
    <w:rsid w:val="00AA493E"/>
    <w:rsid w:val="00AA73AF"/>
    <w:rsid w:val="00AB1754"/>
    <w:rsid w:val="00AB27DD"/>
    <w:rsid w:val="00AB3708"/>
    <w:rsid w:val="00AC439D"/>
    <w:rsid w:val="00AC4B30"/>
    <w:rsid w:val="00AD067E"/>
    <w:rsid w:val="00AD1DEC"/>
    <w:rsid w:val="00AD68C5"/>
    <w:rsid w:val="00AE1273"/>
    <w:rsid w:val="00AE2D29"/>
    <w:rsid w:val="00AE4624"/>
    <w:rsid w:val="00AE5E14"/>
    <w:rsid w:val="00AE6115"/>
    <w:rsid w:val="00AF4E42"/>
    <w:rsid w:val="00AF4FA5"/>
    <w:rsid w:val="00B0707E"/>
    <w:rsid w:val="00B1027E"/>
    <w:rsid w:val="00B14FAA"/>
    <w:rsid w:val="00B15D30"/>
    <w:rsid w:val="00B2261F"/>
    <w:rsid w:val="00B23396"/>
    <w:rsid w:val="00B23436"/>
    <w:rsid w:val="00B32179"/>
    <w:rsid w:val="00B331A9"/>
    <w:rsid w:val="00B35818"/>
    <w:rsid w:val="00B40A3E"/>
    <w:rsid w:val="00B50227"/>
    <w:rsid w:val="00B522CD"/>
    <w:rsid w:val="00B52AEB"/>
    <w:rsid w:val="00B55917"/>
    <w:rsid w:val="00B61F7D"/>
    <w:rsid w:val="00B64DD6"/>
    <w:rsid w:val="00B72303"/>
    <w:rsid w:val="00B809A9"/>
    <w:rsid w:val="00B8134B"/>
    <w:rsid w:val="00B82277"/>
    <w:rsid w:val="00B91676"/>
    <w:rsid w:val="00B95833"/>
    <w:rsid w:val="00B959B9"/>
    <w:rsid w:val="00BA2D98"/>
    <w:rsid w:val="00BA30B7"/>
    <w:rsid w:val="00BA30D1"/>
    <w:rsid w:val="00BA4609"/>
    <w:rsid w:val="00BA4C82"/>
    <w:rsid w:val="00BA5BE2"/>
    <w:rsid w:val="00BA7F46"/>
    <w:rsid w:val="00BB0A0A"/>
    <w:rsid w:val="00BB45B5"/>
    <w:rsid w:val="00BB6064"/>
    <w:rsid w:val="00BC09D1"/>
    <w:rsid w:val="00BC5057"/>
    <w:rsid w:val="00BD052C"/>
    <w:rsid w:val="00BD15E1"/>
    <w:rsid w:val="00BD40AB"/>
    <w:rsid w:val="00BD6806"/>
    <w:rsid w:val="00BD7433"/>
    <w:rsid w:val="00BD7831"/>
    <w:rsid w:val="00BD7C10"/>
    <w:rsid w:val="00BE046F"/>
    <w:rsid w:val="00BE0DEB"/>
    <w:rsid w:val="00BE2FC1"/>
    <w:rsid w:val="00BE6365"/>
    <w:rsid w:val="00BF081E"/>
    <w:rsid w:val="00BF0B7F"/>
    <w:rsid w:val="00BF340A"/>
    <w:rsid w:val="00BF4720"/>
    <w:rsid w:val="00C038EC"/>
    <w:rsid w:val="00C13068"/>
    <w:rsid w:val="00C13B34"/>
    <w:rsid w:val="00C13F26"/>
    <w:rsid w:val="00C16E9F"/>
    <w:rsid w:val="00C1713D"/>
    <w:rsid w:val="00C177F1"/>
    <w:rsid w:val="00C2359A"/>
    <w:rsid w:val="00C25978"/>
    <w:rsid w:val="00C261C6"/>
    <w:rsid w:val="00C30A97"/>
    <w:rsid w:val="00C31DDC"/>
    <w:rsid w:val="00C34326"/>
    <w:rsid w:val="00C34CD2"/>
    <w:rsid w:val="00C36201"/>
    <w:rsid w:val="00C368E8"/>
    <w:rsid w:val="00C36C3D"/>
    <w:rsid w:val="00C372C7"/>
    <w:rsid w:val="00C42443"/>
    <w:rsid w:val="00C42CBA"/>
    <w:rsid w:val="00C5019E"/>
    <w:rsid w:val="00C52505"/>
    <w:rsid w:val="00C52D30"/>
    <w:rsid w:val="00C53E8A"/>
    <w:rsid w:val="00C54DF3"/>
    <w:rsid w:val="00C560A7"/>
    <w:rsid w:val="00C56FC8"/>
    <w:rsid w:val="00C60F23"/>
    <w:rsid w:val="00C61F74"/>
    <w:rsid w:val="00C62EB2"/>
    <w:rsid w:val="00C71BEC"/>
    <w:rsid w:val="00C74D3A"/>
    <w:rsid w:val="00C80511"/>
    <w:rsid w:val="00C826F5"/>
    <w:rsid w:val="00C83740"/>
    <w:rsid w:val="00C84AD1"/>
    <w:rsid w:val="00C85579"/>
    <w:rsid w:val="00C863E5"/>
    <w:rsid w:val="00C931FC"/>
    <w:rsid w:val="00C932C5"/>
    <w:rsid w:val="00C9650E"/>
    <w:rsid w:val="00C96E2C"/>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243D"/>
    <w:rsid w:val="00CD32BD"/>
    <w:rsid w:val="00CD34C7"/>
    <w:rsid w:val="00CD5E6D"/>
    <w:rsid w:val="00CD63C8"/>
    <w:rsid w:val="00CE1C17"/>
    <w:rsid w:val="00CF08F6"/>
    <w:rsid w:val="00CF158D"/>
    <w:rsid w:val="00CF4394"/>
    <w:rsid w:val="00D10577"/>
    <w:rsid w:val="00D10FDD"/>
    <w:rsid w:val="00D1323B"/>
    <w:rsid w:val="00D14BAE"/>
    <w:rsid w:val="00D1648B"/>
    <w:rsid w:val="00D16819"/>
    <w:rsid w:val="00D20AC0"/>
    <w:rsid w:val="00D23C9D"/>
    <w:rsid w:val="00D26873"/>
    <w:rsid w:val="00D336C8"/>
    <w:rsid w:val="00D339E8"/>
    <w:rsid w:val="00D345E0"/>
    <w:rsid w:val="00D40B1F"/>
    <w:rsid w:val="00D40D75"/>
    <w:rsid w:val="00D5052B"/>
    <w:rsid w:val="00D50C8C"/>
    <w:rsid w:val="00D52393"/>
    <w:rsid w:val="00D523E4"/>
    <w:rsid w:val="00D53F14"/>
    <w:rsid w:val="00D54BE4"/>
    <w:rsid w:val="00D55320"/>
    <w:rsid w:val="00D558C4"/>
    <w:rsid w:val="00D60483"/>
    <w:rsid w:val="00D61ABB"/>
    <w:rsid w:val="00D63577"/>
    <w:rsid w:val="00D67FD7"/>
    <w:rsid w:val="00D74261"/>
    <w:rsid w:val="00D7441B"/>
    <w:rsid w:val="00D76AB2"/>
    <w:rsid w:val="00D76FFB"/>
    <w:rsid w:val="00D80490"/>
    <w:rsid w:val="00D829AD"/>
    <w:rsid w:val="00D82EE2"/>
    <w:rsid w:val="00D84528"/>
    <w:rsid w:val="00D8545C"/>
    <w:rsid w:val="00D87788"/>
    <w:rsid w:val="00D877C8"/>
    <w:rsid w:val="00D910C2"/>
    <w:rsid w:val="00D9168C"/>
    <w:rsid w:val="00D9189B"/>
    <w:rsid w:val="00D91DA6"/>
    <w:rsid w:val="00D921C9"/>
    <w:rsid w:val="00D9706F"/>
    <w:rsid w:val="00D972D4"/>
    <w:rsid w:val="00DA195B"/>
    <w:rsid w:val="00DB0015"/>
    <w:rsid w:val="00DB2AAD"/>
    <w:rsid w:val="00DB626D"/>
    <w:rsid w:val="00DB6365"/>
    <w:rsid w:val="00DB771C"/>
    <w:rsid w:val="00DC0BF1"/>
    <w:rsid w:val="00DC41C3"/>
    <w:rsid w:val="00DD3593"/>
    <w:rsid w:val="00DE0C67"/>
    <w:rsid w:val="00DE6952"/>
    <w:rsid w:val="00DE71CF"/>
    <w:rsid w:val="00DE7E74"/>
    <w:rsid w:val="00DF1B58"/>
    <w:rsid w:val="00DF3F25"/>
    <w:rsid w:val="00DF5EFB"/>
    <w:rsid w:val="00E00A69"/>
    <w:rsid w:val="00E017F0"/>
    <w:rsid w:val="00E01A0E"/>
    <w:rsid w:val="00E041E4"/>
    <w:rsid w:val="00E103C8"/>
    <w:rsid w:val="00E1085B"/>
    <w:rsid w:val="00E1090B"/>
    <w:rsid w:val="00E14581"/>
    <w:rsid w:val="00E15539"/>
    <w:rsid w:val="00E16541"/>
    <w:rsid w:val="00E224C4"/>
    <w:rsid w:val="00E2536E"/>
    <w:rsid w:val="00E2632B"/>
    <w:rsid w:val="00E322F7"/>
    <w:rsid w:val="00E3339C"/>
    <w:rsid w:val="00E3369B"/>
    <w:rsid w:val="00E36D76"/>
    <w:rsid w:val="00E405EA"/>
    <w:rsid w:val="00E408B7"/>
    <w:rsid w:val="00E42789"/>
    <w:rsid w:val="00E43060"/>
    <w:rsid w:val="00E43F59"/>
    <w:rsid w:val="00E464F0"/>
    <w:rsid w:val="00E50BEB"/>
    <w:rsid w:val="00E51D16"/>
    <w:rsid w:val="00E6092F"/>
    <w:rsid w:val="00E629DA"/>
    <w:rsid w:val="00E67FAC"/>
    <w:rsid w:val="00E7200B"/>
    <w:rsid w:val="00E720A9"/>
    <w:rsid w:val="00E738CB"/>
    <w:rsid w:val="00E73C88"/>
    <w:rsid w:val="00E74437"/>
    <w:rsid w:val="00E81C3E"/>
    <w:rsid w:val="00E82B6D"/>
    <w:rsid w:val="00E8618B"/>
    <w:rsid w:val="00E9131D"/>
    <w:rsid w:val="00EA1177"/>
    <w:rsid w:val="00EA118B"/>
    <w:rsid w:val="00EA11B6"/>
    <w:rsid w:val="00EA2181"/>
    <w:rsid w:val="00EA2DD8"/>
    <w:rsid w:val="00EA3E8C"/>
    <w:rsid w:val="00EA4475"/>
    <w:rsid w:val="00EA681F"/>
    <w:rsid w:val="00EB3823"/>
    <w:rsid w:val="00EB47D8"/>
    <w:rsid w:val="00EB57D3"/>
    <w:rsid w:val="00EB679F"/>
    <w:rsid w:val="00EB76E4"/>
    <w:rsid w:val="00EC0E65"/>
    <w:rsid w:val="00EC2938"/>
    <w:rsid w:val="00EC50C9"/>
    <w:rsid w:val="00EC5BB2"/>
    <w:rsid w:val="00ED664B"/>
    <w:rsid w:val="00EE00FB"/>
    <w:rsid w:val="00EE0B44"/>
    <w:rsid w:val="00EE6FE0"/>
    <w:rsid w:val="00EE704A"/>
    <w:rsid w:val="00EF3A14"/>
    <w:rsid w:val="00EF4C74"/>
    <w:rsid w:val="00EF5268"/>
    <w:rsid w:val="00EF608E"/>
    <w:rsid w:val="00F0044B"/>
    <w:rsid w:val="00F005FB"/>
    <w:rsid w:val="00F04957"/>
    <w:rsid w:val="00F05807"/>
    <w:rsid w:val="00F07052"/>
    <w:rsid w:val="00F0706C"/>
    <w:rsid w:val="00F11EBE"/>
    <w:rsid w:val="00F130D0"/>
    <w:rsid w:val="00F14143"/>
    <w:rsid w:val="00F14933"/>
    <w:rsid w:val="00F1516A"/>
    <w:rsid w:val="00F21671"/>
    <w:rsid w:val="00F22A26"/>
    <w:rsid w:val="00F24072"/>
    <w:rsid w:val="00F26432"/>
    <w:rsid w:val="00F269DA"/>
    <w:rsid w:val="00F3197A"/>
    <w:rsid w:val="00F32139"/>
    <w:rsid w:val="00F33D56"/>
    <w:rsid w:val="00F34E08"/>
    <w:rsid w:val="00F41D91"/>
    <w:rsid w:val="00F42363"/>
    <w:rsid w:val="00F46964"/>
    <w:rsid w:val="00F46F9A"/>
    <w:rsid w:val="00F5126A"/>
    <w:rsid w:val="00F60C7F"/>
    <w:rsid w:val="00F6583A"/>
    <w:rsid w:val="00F6636A"/>
    <w:rsid w:val="00F67523"/>
    <w:rsid w:val="00F67E31"/>
    <w:rsid w:val="00F718A8"/>
    <w:rsid w:val="00F72183"/>
    <w:rsid w:val="00F76D01"/>
    <w:rsid w:val="00F81C35"/>
    <w:rsid w:val="00F82981"/>
    <w:rsid w:val="00F8311F"/>
    <w:rsid w:val="00F83248"/>
    <w:rsid w:val="00F83376"/>
    <w:rsid w:val="00F853AE"/>
    <w:rsid w:val="00F93DCC"/>
    <w:rsid w:val="00F9435D"/>
    <w:rsid w:val="00F96867"/>
    <w:rsid w:val="00FB07EC"/>
    <w:rsid w:val="00FB593A"/>
    <w:rsid w:val="00FB60E3"/>
    <w:rsid w:val="00FB6410"/>
    <w:rsid w:val="00FB6E82"/>
    <w:rsid w:val="00FC2A13"/>
    <w:rsid w:val="00FC3087"/>
    <w:rsid w:val="00FC4284"/>
    <w:rsid w:val="00FC4576"/>
    <w:rsid w:val="00FC7DBC"/>
    <w:rsid w:val="00FD076A"/>
    <w:rsid w:val="00FD0AA0"/>
    <w:rsid w:val="00FD1D5A"/>
    <w:rsid w:val="00FD5059"/>
    <w:rsid w:val="00FD554D"/>
    <w:rsid w:val="00FD6211"/>
    <w:rsid w:val="00FF0FF7"/>
    <w:rsid w:val="00FF1438"/>
    <w:rsid w:val="00FF3A38"/>
    <w:rsid w:val="00FF3C25"/>
    <w:rsid w:val="00FF4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D5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1067910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AAC8-BC64-4EF2-9338-17FA8271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2011-04-20T15:34:00Z</cp:lastPrinted>
  <dcterms:created xsi:type="dcterms:W3CDTF">2012-03-08T13:56:00Z</dcterms:created>
  <dcterms:modified xsi:type="dcterms:W3CDTF">2012-03-08T13:56:00Z</dcterms:modified>
</cp:coreProperties>
</file>