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D16B5" w:rsidRDefault="00540BEF" w:rsidP="00190E48">
      <w:pPr>
        <w:tabs>
          <w:tab w:val="left" w:pos="288"/>
          <w:tab w:val="left" w:pos="4752"/>
        </w:tabs>
        <w:spacing w:line="240" w:lineRule="exact"/>
        <w:jc w:val="center"/>
        <w:rPr>
          <w:rFonts w:asciiTheme="minorHAnsi" w:hAnsiTheme="minorHAnsi"/>
          <w:color w:val="auto"/>
        </w:rPr>
      </w:pPr>
      <w:r w:rsidRPr="00ED16B5">
        <w:rPr>
          <w:rFonts w:asciiTheme="minorHAnsi" w:hAnsiTheme="minorHAnsi"/>
          <w:color w:val="auto"/>
        </w:rPr>
        <w:t>RECORD OF PROCEEDINGS</w:t>
      </w:r>
    </w:p>
    <w:p w:rsidR="00540BEF" w:rsidRPr="00ED16B5" w:rsidRDefault="00540BEF" w:rsidP="00190E48">
      <w:pPr>
        <w:tabs>
          <w:tab w:val="left" w:pos="288"/>
          <w:tab w:val="left" w:pos="4752"/>
        </w:tabs>
        <w:spacing w:line="240" w:lineRule="exact"/>
        <w:jc w:val="center"/>
        <w:rPr>
          <w:rFonts w:asciiTheme="minorHAnsi" w:hAnsiTheme="minorHAnsi"/>
          <w:color w:val="auto"/>
        </w:rPr>
      </w:pPr>
      <w:r w:rsidRPr="00ED16B5">
        <w:rPr>
          <w:rFonts w:asciiTheme="minorHAnsi" w:hAnsiTheme="minorHAnsi"/>
          <w:color w:val="auto"/>
        </w:rPr>
        <w:t>PHYSICAL DISABILITY BOARD OF REVIEW</w:t>
      </w:r>
    </w:p>
    <w:p w:rsidR="00540BEF" w:rsidRPr="00ED16B5" w:rsidRDefault="00540BEF" w:rsidP="00190E48">
      <w:pPr>
        <w:tabs>
          <w:tab w:val="left" w:pos="288"/>
          <w:tab w:val="left" w:pos="4752"/>
        </w:tabs>
        <w:spacing w:line="240" w:lineRule="exact"/>
        <w:jc w:val="both"/>
        <w:rPr>
          <w:rFonts w:asciiTheme="minorHAnsi" w:hAnsiTheme="minorHAnsi"/>
          <w:caps/>
          <w:color w:val="auto"/>
        </w:rPr>
      </w:pPr>
    </w:p>
    <w:p w:rsidR="008B446D" w:rsidRPr="00ED16B5" w:rsidRDefault="008B446D" w:rsidP="00CF0343">
      <w:pPr>
        <w:tabs>
          <w:tab w:val="left" w:pos="288"/>
          <w:tab w:val="left" w:pos="4752"/>
        </w:tabs>
        <w:spacing w:line="240" w:lineRule="exact"/>
        <w:ind w:right="-1260"/>
        <w:jc w:val="both"/>
        <w:rPr>
          <w:rFonts w:asciiTheme="minorHAnsi" w:hAnsiTheme="minorHAnsi"/>
          <w:caps/>
          <w:color w:val="auto"/>
        </w:rPr>
      </w:pPr>
      <w:r w:rsidRPr="00ED16B5">
        <w:rPr>
          <w:rFonts w:asciiTheme="minorHAnsi" w:hAnsiTheme="minorHAnsi"/>
          <w:caps/>
          <w:color w:val="auto"/>
        </w:rPr>
        <w:t xml:space="preserve">NAME: </w:t>
      </w:r>
      <w:r w:rsidR="007A13D1" w:rsidRPr="00ED16B5">
        <w:rPr>
          <w:rFonts w:asciiTheme="minorHAnsi" w:hAnsiTheme="minorHAnsi"/>
          <w:caps/>
          <w:color w:val="auto"/>
        </w:rPr>
        <w:t xml:space="preserve"> </w:t>
      </w:r>
      <w:r w:rsidR="002C74CA">
        <w:rPr>
          <w:rFonts w:asciiTheme="minorHAnsi" w:hAnsiTheme="minorHAnsi"/>
          <w:caps/>
          <w:color w:val="auto"/>
        </w:rPr>
        <w:t>XXXXXX</w:t>
      </w:r>
      <w:r w:rsidRPr="00ED16B5">
        <w:rPr>
          <w:rFonts w:asciiTheme="minorHAnsi" w:hAnsiTheme="minorHAnsi"/>
          <w:caps/>
          <w:color w:val="auto"/>
        </w:rPr>
        <w:tab/>
      </w:r>
      <w:r w:rsidRPr="00ED16B5">
        <w:rPr>
          <w:rFonts w:asciiTheme="minorHAnsi" w:hAnsiTheme="minorHAnsi"/>
          <w:caps/>
          <w:color w:val="auto"/>
        </w:rPr>
        <w:tab/>
      </w:r>
      <w:r w:rsidRPr="00ED16B5">
        <w:rPr>
          <w:rFonts w:asciiTheme="minorHAnsi" w:hAnsiTheme="minorHAnsi"/>
          <w:caps/>
          <w:color w:val="auto"/>
        </w:rPr>
        <w:tab/>
        <w:t xml:space="preserve">BRANCH OF SERVICE: </w:t>
      </w:r>
      <w:r w:rsidR="007A13D1" w:rsidRPr="00ED16B5">
        <w:rPr>
          <w:rFonts w:asciiTheme="minorHAnsi" w:hAnsiTheme="minorHAnsi"/>
          <w:caps/>
          <w:color w:val="auto"/>
        </w:rPr>
        <w:t xml:space="preserve"> marine corps</w:t>
      </w:r>
    </w:p>
    <w:p w:rsidR="008B446D" w:rsidRPr="00ED16B5" w:rsidRDefault="008B446D" w:rsidP="00CF0343">
      <w:pPr>
        <w:tabs>
          <w:tab w:val="left" w:pos="288"/>
          <w:tab w:val="left" w:pos="4752"/>
        </w:tabs>
        <w:spacing w:line="240" w:lineRule="exact"/>
        <w:ind w:right="-900"/>
        <w:jc w:val="both"/>
        <w:rPr>
          <w:rFonts w:asciiTheme="minorHAnsi" w:hAnsiTheme="minorHAnsi"/>
          <w:caps/>
          <w:color w:val="auto"/>
        </w:rPr>
      </w:pPr>
      <w:r w:rsidRPr="00ED16B5">
        <w:rPr>
          <w:rFonts w:asciiTheme="minorHAnsi" w:hAnsiTheme="minorHAnsi"/>
          <w:caps/>
          <w:color w:val="auto"/>
        </w:rPr>
        <w:t xml:space="preserve">CASE NUMBER: </w:t>
      </w:r>
      <w:r w:rsidR="007A13D1" w:rsidRPr="00ED16B5">
        <w:rPr>
          <w:rFonts w:asciiTheme="minorHAnsi" w:hAnsiTheme="minorHAnsi"/>
          <w:caps/>
          <w:color w:val="auto"/>
        </w:rPr>
        <w:t xml:space="preserve"> </w:t>
      </w:r>
      <w:r w:rsidRPr="00ED16B5">
        <w:rPr>
          <w:rFonts w:asciiTheme="minorHAnsi" w:hAnsiTheme="minorHAnsi"/>
          <w:caps/>
          <w:color w:val="auto"/>
        </w:rPr>
        <w:t>PD</w:t>
      </w:r>
      <w:r w:rsidR="00495AEC" w:rsidRPr="00ED16B5">
        <w:rPr>
          <w:rFonts w:asciiTheme="minorHAnsi" w:hAnsiTheme="minorHAnsi"/>
          <w:caps/>
          <w:color w:val="auto"/>
        </w:rPr>
        <w:t>1000386</w:t>
      </w:r>
      <w:r w:rsidRPr="00ED16B5">
        <w:rPr>
          <w:rFonts w:asciiTheme="minorHAnsi" w:hAnsiTheme="minorHAnsi"/>
          <w:caps/>
          <w:color w:val="auto"/>
        </w:rPr>
        <w:tab/>
      </w:r>
      <w:r w:rsidRPr="00ED16B5">
        <w:rPr>
          <w:rFonts w:asciiTheme="minorHAnsi" w:hAnsiTheme="minorHAnsi"/>
          <w:caps/>
          <w:color w:val="auto"/>
        </w:rPr>
        <w:tab/>
      </w:r>
      <w:r w:rsidRPr="00ED16B5">
        <w:rPr>
          <w:rFonts w:asciiTheme="minorHAnsi" w:hAnsiTheme="minorHAnsi"/>
          <w:caps/>
          <w:color w:val="auto"/>
        </w:rPr>
        <w:tab/>
        <w:t xml:space="preserve">SEPARATION DATE: </w:t>
      </w:r>
      <w:r w:rsidR="007A13D1" w:rsidRPr="00ED16B5">
        <w:rPr>
          <w:rFonts w:asciiTheme="minorHAnsi" w:hAnsiTheme="minorHAnsi"/>
          <w:caps/>
          <w:color w:val="auto"/>
        </w:rPr>
        <w:t xml:space="preserve"> </w:t>
      </w:r>
      <w:r w:rsidRPr="00ED16B5">
        <w:rPr>
          <w:rFonts w:asciiTheme="minorHAnsi" w:hAnsiTheme="minorHAnsi"/>
          <w:caps/>
          <w:color w:val="auto"/>
        </w:rPr>
        <w:t>200</w:t>
      </w:r>
      <w:r w:rsidR="00495AEC" w:rsidRPr="00ED16B5">
        <w:rPr>
          <w:rFonts w:asciiTheme="minorHAnsi" w:hAnsiTheme="minorHAnsi"/>
          <w:caps/>
          <w:color w:val="auto"/>
        </w:rPr>
        <w:t>20301</w:t>
      </w:r>
    </w:p>
    <w:p w:rsidR="008B446D" w:rsidRPr="00ED16B5" w:rsidRDefault="008B446D" w:rsidP="00CF0343">
      <w:pPr>
        <w:tabs>
          <w:tab w:val="left" w:pos="288"/>
          <w:tab w:val="left" w:pos="4752"/>
        </w:tabs>
        <w:spacing w:line="240" w:lineRule="exact"/>
        <w:jc w:val="both"/>
        <w:rPr>
          <w:rFonts w:asciiTheme="minorHAnsi" w:hAnsiTheme="minorHAnsi"/>
          <w:caps/>
          <w:color w:val="auto"/>
        </w:rPr>
      </w:pPr>
      <w:r w:rsidRPr="00ED16B5">
        <w:rPr>
          <w:rFonts w:asciiTheme="minorHAnsi" w:hAnsiTheme="minorHAnsi"/>
          <w:caps/>
          <w:color w:val="auto"/>
        </w:rPr>
        <w:t xml:space="preserve">BOARD DATE: </w:t>
      </w:r>
      <w:r w:rsidR="007A13D1" w:rsidRPr="00ED16B5">
        <w:rPr>
          <w:rFonts w:asciiTheme="minorHAnsi" w:hAnsiTheme="minorHAnsi"/>
          <w:caps/>
          <w:color w:val="auto"/>
        </w:rPr>
        <w:t xml:space="preserve"> </w:t>
      </w:r>
      <w:r w:rsidR="00D57E51" w:rsidRPr="00ED16B5">
        <w:rPr>
          <w:rFonts w:asciiTheme="minorHAnsi" w:hAnsiTheme="minorHAnsi"/>
          <w:caps/>
          <w:color w:val="auto"/>
        </w:rPr>
        <w:t>20111115</w:t>
      </w:r>
      <w:r w:rsidRPr="00ED16B5">
        <w:rPr>
          <w:rFonts w:asciiTheme="minorHAnsi" w:hAnsiTheme="minorHAnsi"/>
          <w:caps/>
          <w:color w:val="auto"/>
        </w:rPr>
        <w:tab/>
      </w:r>
      <w:r w:rsidRPr="00ED16B5">
        <w:rPr>
          <w:rFonts w:asciiTheme="minorHAnsi" w:hAnsiTheme="minorHAnsi"/>
          <w:caps/>
          <w:color w:val="auto"/>
        </w:rPr>
        <w:tab/>
      </w:r>
      <w:r w:rsidRPr="00ED16B5">
        <w:rPr>
          <w:rFonts w:asciiTheme="minorHAnsi" w:hAnsiTheme="minorHAnsi"/>
          <w:caps/>
          <w:color w:val="auto"/>
        </w:rPr>
        <w:tab/>
      </w:r>
    </w:p>
    <w:p w:rsidR="009A48AB" w:rsidRPr="00ED16B5" w:rsidRDefault="009A48AB" w:rsidP="009A48AB">
      <w:pPr>
        <w:pBdr>
          <w:bottom w:val="single" w:sz="12" w:space="1" w:color="auto"/>
        </w:pBdr>
        <w:tabs>
          <w:tab w:val="left" w:pos="288"/>
          <w:tab w:val="left" w:pos="4752"/>
        </w:tabs>
        <w:spacing w:line="240" w:lineRule="exact"/>
        <w:jc w:val="both"/>
        <w:rPr>
          <w:rFonts w:ascii="Calibri" w:hAnsi="Calibri"/>
          <w:color w:val="auto"/>
          <w:szCs w:val="24"/>
        </w:rPr>
      </w:pPr>
    </w:p>
    <w:p w:rsidR="009A48AB" w:rsidRPr="00ED16B5" w:rsidRDefault="009A48AB" w:rsidP="009A48AB">
      <w:pPr>
        <w:tabs>
          <w:tab w:val="left" w:pos="288"/>
          <w:tab w:val="left" w:pos="4752"/>
        </w:tabs>
        <w:spacing w:line="240" w:lineRule="exact"/>
        <w:rPr>
          <w:rFonts w:ascii="Calibri" w:hAnsi="Calibri"/>
          <w:color w:val="auto"/>
          <w:szCs w:val="24"/>
        </w:rPr>
      </w:pPr>
    </w:p>
    <w:p w:rsidR="00B20624" w:rsidRPr="00ED16B5" w:rsidRDefault="00737283" w:rsidP="00CF0343">
      <w:pPr>
        <w:tabs>
          <w:tab w:val="left" w:pos="288"/>
          <w:tab w:val="left" w:pos="4752"/>
        </w:tabs>
        <w:spacing w:line="240" w:lineRule="exact"/>
        <w:jc w:val="both"/>
        <w:rPr>
          <w:rFonts w:asciiTheme="minorHAnsi" w:hAnsiTheme="minorHAnsi"/>
          <w:color w:val="auto"/>
        </w:rPr>
      </w:pPr>
      <w:r w:rsidRPr="00ED16B5">
        <w:rPr>
          <w:rFonts w:asciiTheme="minorHAnsi" w:hAnsiTheme="minorHAnsi"/>
          <w:color w:val="auto"/>
          <w:u w:val="single"/>
        </w:rPr>
        <w:t>SUMMARY OF CASE</w:t>
      </w:r>
      <w:r w:rsidRPr="00ED16B5">
        <w:rPr>
          <w:rFonts w:asciiTheme="minorHAnsi" w:hAnsiTheme="minorHAnsi"/>
          <w:color w:val="auto"/>
        </w:rPr>
        <w:t xml:space="preserve">:  </w:t>
      </w:r>
      <w:r w:rsidR="00FF0EFB" w:rsidRPr="00ED16B5">
        <w:rPr>
          <w:rFonts w:asciiTheme="minorHAnsi" w:hAnsiTheme="minorHAnsi"/>
          <w:color w:val="auto"/>
          <w:szCs w:val="24"/>
        </w:rPr>
        <w:t xml:space="preserve">Data extracted from the available evidence of record reflects that this covered individual (CI) </w:t>
      </w:r>
      <w:r w:rsidR="002C6E5B" w:rsidRPr="00ED16B5">
        <w:rPr>
          <w:rFonts w:asciiTheme="minorHAnsi" w:hAnsiTheme="minorHAnsi"/>
          <w:color w:val="auto"/>
          <w:szCs w:val="24"/>
        </w:rPr>
        <w:t xml:space="preserve">was </w:t>
      </w:r>
      <w:r w:rsidR="00E322F7" w:rsidRPr="00ED16B5">
        <w:rPr>
          <w:rFonts w:asciiTheme="minorHAnsi" w:hAnsiTheme="minorHAnsi"/>
          <w:color w:val="auto"/>
          <w:szCs w:val="24"/>
        </w:rPr>
        <w:t>an active duty</w:t>
      </w:r>
      <w:r w:rsidR="006D4E0E" w:rsidRPr="00ED16B5">
        <w:rPr>
          <w:rFonts w:asciiTheme="minorHAnsi" w:hAnsiTheme="minorHAnsi"/>
          <w:color w:val="auto"/>
          <w:szCs w:val="24"/>
        </w:rPr>
        <w:t xml:space="preserve"> </w:t>
      </w:r>
      <w:r w:rsidR="00BE19D9" w:rsidRPr="00ED16B5">
        <w:rPr>
          <w:rFonts w:asciiTheme="minorHAnsi" w:hAnsiTheme="minorHAnsi"/>
          <w:color w:val="auto"/>
          <w:szCs w:val="24"/>
        </w:rPr>
        <w:t>Cpl</w:t>
      </w:r>
      <w:r w:rsidR="00B06E59" w:rsidRPr="00ED16B5">
        <w:rPr>
          <w:rFonts w:asciiTheme="minorHAnsi" w:hAnsiTheme="minorHAnsi"/>
          <w:color w:val="auto"/>
          <w:szCs w:val="24"/>
        </w:rPr>
        <w:t xml:space="preserve"> / E4 (1371, Combat Engineer</w:t>
      </w:r>
      <w:r w:rsidR="00E322F7" w:rsidRPr="00ED16B5">
        <w:rPr>
          <w:rFonts w:asciiTheme="minorHAnsi" w:hAnsiTheme="minorHAnsi"/>
          <w:color w:val="auto"/>
          <w:szCs w:val="24"/>
        </w:rPr>
        <w:t xml:space="preserve">) </w:t>
      </w:r>
      <w:r w:rsidR="002C6E5B" w:rsidRPr="00ED16B5">
        <w:rPr>
          <w:rFonts w:asciiTheme="minorHAnsi" w:hAnsiTheme="minorHAnsi"/>
          <w:color w:val="auto"/>
          <w:szCs w:val="24"/>
        </w:rPr>
        <w:t xml:space="preserve">medically separated from the </w:t>
      </w:r>
      <w:r w:rsidR="00B06E59" w:rsidRPr="00ED16B5">
        <w:rPr>
          <w:rFonts w:asciiTheme="minorHAnsi" w:hAnsiTheme="minorHAnsi"/>
          <w:color w:val="auto"/>
          <w:szCs w:val="24"/>
        </w:rPr>
        <w:t>Marine</w:t>
      </w:r>
      <w:r w:rsidR="008C4AC0" w:rsidRPr="00ED16B5">
        <w:rPr>
          <w:rFonts w:asciiTheme="minorHAnsi" w:hAnsiTheme="minorHAnsi"/>
          <w:color w:val="auto"/>
          <w:szCs w:val="24"/>
        </w:rPr>
        <w:t>s</w:t>
      </w:r>
      <w:r w:rsidR="00B06E59" w:rsidRPr="00ED16B5">
        <w:rPr>
          <w:rFonts w:asciiTheme="minorHAnsi" w:hAnsiTheme="minorHAnsi"/>
          <w:color w:val="auto"/>
          <w:szCs w:val="24"/>
        </w:rPr>
        <w:t xml:space="preserve"> </w:t>
      </w:r>
      <w:r w:rsidR="002C6E5B" w:rsidRPr="00ED16B5">
        <w:rPr>
          <w:rFonts w:asciiTheme="minorHAnsi" w:hAnsiTheme="minorHAnsi"/>
          <w:color w:val="auto"/>
          <w:szCs w:val="24"/>
        </w:rPr>
        <w:t>in 200</w:t>
      </w:r>
      <w:r w:rsidR="00B06E59" w:rsidRPr="00ED16B5">
        <w:rPr>
          <w:rFonts w:asciiTheme="minorHAnsi" w:hAnsiTheme="minorHAnsi"/>
          <w:color w:val="auto"/>
          <w:szCs w:val="24"/>
        </w:rPr>
        <w:t>2.</w:t>
      </w:r>
      <w:r w:rsidR="003A40B4" w:rsidRPr="00ED16B5">
        <w:rPr>
          <w:rFonts w:asciiTheme="minorHAnsi" w:hAnsiTheme="minorHAnsi"/>
          <w:color w:val="auto"/>
          <w:szCs w:val="24"/>
        </w:rPr>
        <w:t xml:space="preserve"> </w:t>
      </w:r>
      <w:r w:rsidR="00B06E59" w:rsidRPr="00ED16B5">
        <w:rPr>
          <w:rFonts w:asciiTheme="minorHAnsi" w:hAnsiTheme="minorHAnsi"/>
          <w:color w:val="auto"/>
          <w:szCs w:val="24"/>
        </w:rPr>
        <w:t xml:space="preserve"> </w:t>
      </w:r>
      <w:r w:rsidR="002C6E5B" w:rsidRPr="00ED16B5">
        <w:rPr>
          <w:rFonts w:asciiTheme="minorHAnsi" w:hAnsiTheme="minorHAnsi"/>
          <w:color w:val="auto"/>
          <w:szCs w:val="24"/>
        </w:rPr>
        <w:t xml:space="preserve">The medical basis for the separation was </w:t>
      </w:r>
      <w:r w:rsidR="00B06E59" w:rsidRPr="00ED16B5">
        <w:rPr>
          <w:rFonts w:asciiTheme="minorHAnsi" w:hAnsiTheme="minorHAnsi"/>
          <w:color w:val="auto"/>
          <w:szCs w:val="24"/>
        </w:rPr>
        <w:t>severe compartmental degenerative disease of the right knee.  The CI</w:t>
      </w:r>
      <w:r w:rsidR="00E322F7" w:rsidRPr="00ED16B5">
        <w:rPr>
          <w:rFonts w:asciiTheme="minorHAnsi" w:hAnsiTheme="minorHAnsi"/>
          <w:color w:val="auto"/>
          <w:szCs w:val="24"/>
        </w:rPr>
        <w:t xml:space="preserve"> did not respond adequately to perform within his </w:t>
      </w:r>
      <w:r w:rsidR="00705C40" w:rsidRPr="00ED16B5">
        <w:rPr>
          <w:rFonts w:asciiTheme="minorHAnsi" w:hAnsiTheme="minorHAnsi"/>
          <w:color w:val="auto"/>
          <w:szCs w:val="24"/>
        </w:rPr>
        <w:t xml:space="preserve">military occupational </w:t>
      </w:r>
      <w:r w:rsidR="003A40B4" w:rsidRPr="00ED16B5">
        <w:rPr>
          <w:rFonts w:asciiTheme="minorHAnsi" w:hAnsiTheme="minorHAnsi"/>
          <w:color w:val="auto"/>
          <w:szCs w:val="24"/>
        </w:rPr>
        <w:t xml:space="preserve">specialty </w:t>
      </w:r>
      <w:r w:rsidR="007A13D1" w:rsidRPr="00ED16B5">
        <w:rPr>
          <w:rFonts w:asciiTheme="minorHAnsi" w:hAnsiTheme="minorHAnsi"/>
          <w:color w:val="auto"/>
          <w:szCs w:val="24"/>
        </w:rPr>
        <w:t xml:space="preserve">(MOS) </w:t>
      </w:r>
      <w:r w:rsidR="00E322F7" w:rsidRPr="00ED16B5">
        <w:rPr>
          <w:rFonts w:asciiTheme="minorHAnsi" w:hAnsiTheme="minorHAnsi"/>
          <w:color w:val="auto"/>
          <w:szCs w:val="24"/>
        </w:rPr>
        <w:t xml:space="preserve">or participate in </w:t>
      </w:r>
      <w:r w:rsidR="003A40B4" w:rsidRPr="00ED16B5">
        <w:rPr>
          <w:rFonts w:asciiTheme="minorHAnsi" w:hAnsiTheme="minorHAnsi"/>
          <w:color w:val="auto"/>
          <w:szCs w:val="24"/>
        </w:rPr>
        <w:t xml:space="preserve">a physical fitness test </w:t>
      </w:r>
      <w:r w:rsidR="00E322F7" w:rsidRPr="00ED16B5">
        <w:rPr>
          <w:rFonts w:asciiTheme="minorHAnsi" w:hAnsiTheme="minorHAnsi"/>
          <w:color w:val="auto"/>
          <w:szCs w:val="24"/>
        </w:rPr>
        <w:t xml:space="preserve">and underwent a </w:t>
      </w:r>
      <w:r w:rsidR="00705C40" w:rsidRPr="00ED16B5">
        <w:rPr>
          <w:rFonts w:asciiTheme="minorHAnsi" w:hAnsiTheme="minorHAnsi"/>
          <w:color w:val="auto"/>
          <w:szCs w:val="24"/>
        </w:rPr>
        <w:t>Medical Evaluation Board (</w:t>
      </w:r>
      <w:r w:rsidR="00E322F7" w:rsidRPr="00ED16B5">
        <w:rPr>
          <w:rFonts w:asciiTheme="minorHAnsi" w:hAnsiTheme="minorHAnsi"/>
          <w:color w:val="auto"/>
          <w:szCs w:val="24"/>
        </w:rPr>
        <w:t>MEB</w:t>
      </w:r>
      <w:r w:rsidR="00705C40" w:rsidRPr="00ED16B5">
        <w:rPr>
          <w:rFonts w:asciiTheme="minorHAnsi" w:hAnsiTheme="minorHAnsi"/>
          <w:color w:val="auto"/>
          <w:szCs w:val="24"/>
        </w:rPr>
        <w:t>)</w:t>
      </w:r>
      <w:r w:rsidR="00E322F7" w:rsidRPr="00ED16B5">
        <w:rPr>
          <w:rFonts w:asciiTheme="minorHAnsi" w:hAnsiTheme="minorHAnsi"/>
          <w:color w:val="auto"/>
          <w:szCs w:val="24"/>
        </w:rPr>
        <w:t>.</w:t>
      </w:r>
      <w:r w:rsidR="00B06E59" w:rsidRPr="00ED16B5">
        <w:rPr>
          <w:rFonts w:asciiTheme="minorHAnsi" w:hAnsiTheme="minorHAnsi"/>
          <w:color w:val="auto"/>
          <w:szCs w:val="24"/>
        </w:rPr>
        <w:t xml:space="preserve"> </w:t>
      </w:r>
      <w:r w:rsidR="007A13D1" w:rsidRPr="00ED16B5">
        <w:rPr>
          <w:rFonts w:asciiTheme="minorHAnsi" w:hAnsiTheme="minorHAnsi"/>
          <w:color w:val="auto"/>
          <w:szCs w:val="24"/>
        </w:rPr>
        <w:t xml:space="preserve"> </w:t>
      </w:r>
      <w:r w:rsidR="00A43231" w:rsidRPr="00ED16B5">
        <w:rPr>
          <w:rFonts w:asciiTheme="minorHAnsi" w:hAnsiTheme="minorHAnsi"/>
          <w:color w:val="auto"/>
          <w:szCs w:val="24"/>
        </w:rPr>
        <w:t>S</w:t>
      </w:r>
      <w:r w:rsidR="00B06E59" w:rsidRPr="00ED16B5">
        <w:rPr>
          <w:rFonts w:asciiTheme="minorHAnsi" w:hAnsiTheme="minorHAnsi"/>
          <w:color w:val="auto"/>
          <w:szCs w:val="24"/>
        </w:rPr>
        <w:t xml:space="preserve">evere compartmental degenerative disease of the right knee </w:t>
      </w:r>
      <w:r w:rsidR="0097087B" w:rsidRPr="00ED16B5">
        <w:rPr>
          <w:rFonts w:asciiTheme="minorHAnsi" w:hAnsiTheme="minorHAnsi"/>
          <w:color w:val="auto"/>
          <w:szCs w:val="24"/>
        </w:rPr>
        <w:t>and seven millimeter (7mm) free body (right knee) were</w:t>
      </w:r>
      <w:r w:rsidR="00AE5E14" w:rsidRPr="00ED16B5">
        <w:rPr>
          <w:rFonts w:asciiTheme="minorHAnsi" w:hAnsiTheme="minorHAnsi"/>
          <w:color w:val="auto"/>
          <w:szCs w:val="24"/>
        </w:rPr>
        <w:t xml:space="preserve"> addressed in the </w:t>
      </w:r>
      <w:r w:rsidR="00705C40" w:rsidRPr="00ED16B5">
        <w:rPr>
          <w:rFonts w:asciiTheme="minorHAnsi" w:hAnsiTheme="minorHAnsi"/>
          <w:color w:val="auto"/>
          <w:szCs w:val="24"/>
        </w:rPr>
        <w:t>narrative summary (</w:t>
      </w:r>
      <w:r w:rsidR="00AE5E14" w:rsidRPr="00ED16B5">
        <w:rPr>
          <w:rFonts w:asciiTheme="minorHAnsi" w:hAnsiTheme="minorHAnsi"/>
          <w:color w:val="auto"/>
          <w:szCs w:val="24"/>
        </w:rPr>
        <w:t>NARSUM</w:t>
      </w:r>
      <w:r w:rsidR="00705C40" w:rsidRPr="00ED16B5">
        <w:rPr>
          <w:rFonts w:asciiTheme="minorHAnsi" w:hAnsiTheme="minorHAnsi"/>
          <w:color w:val="auto"/>
          <w:szCs w:val="24"/>
        </w:rPr>
        <w:t>)</w:t>
      </w:r>
      <w:r w:rsidR="00AE5E14" w:rsidRPr="00ED16B5">
        <w:rPr>
          <w:rFonts w:asciiTheme="minorHAnsi" w:hAnsiTheme="minorHAnsi"/>
          <w:color w:val="auto"/>
          <w:szCs w:val="24"/>
        </w:rPr>
        <w:t xml:space="preserve"> and forwarded to the </w:t>
      </w:r>
      <w:r w:rsidR="00B20624" w:rsidRPr="00ED16B5">
        <w:rPr>
          <w:rFonts w:asciiTheme="minorHAnsi" w:hAnsiTheme="minorHAnsi"/>
          <w:color w:val="auto"/>
          <w:szCs w:val="24"/>
        </w:rPr>
        <w:t>Physical Evaluation Board (</w:t>
      </w:r>
      <w:r w:rsidR="00AE5E14" w:rsidRPr="00ED16B5">
        <w:rPr>
          <w:rFonts w:asciiTheme="minorHAnsi" w:hAnsiTheme="minorHAnsi"/>
          <w:color w:val="auto"/>
          <w:szCs w:val="24"/>
        </w:rPr>
        <w:t>PEB</w:t>
      </w:r>
      <w:r w:rsidR="00B20624" w:rsidRPr="00ED16B5">
        <w:rPr>
          <w:rFonts w:asciiTheme="minorHAnsi" w:hAnsiTheme="minorHAnsi"/>
          <w:color w:val="auto"/>
          <w:szCs w:val="24"/>
        </w:rPr>
        <w:t>)</w:t>
      </w:r>
      <w:r w:rsidR="00AE5E14" w:rsidRPr="00ED16B5">
        <w:rPr>
          <w:rFonts w:asciiTheme="minorHAnsi" w:hAnsiTheme="minorHAnsi"/>
          <w:color w:val="auto"/>
          <w:szCs w:val="24"/>
        </w:rPr>
        <w:t xml:space="preserve"> </w:t>
      </w:r>
      <w:r w:rsidR="00065E21" w:rsidRPr="00ED16B5">
        <w:rPr>
          <w:rFonts w:asciiTheme="minorHAnsi" w:hAnsiTheme="minorHAnsi"/>
          <w:color w:val="auto"/>
          <w:szCs w:val="24"/>
        </w:rPr>
        <w:t>on the NAVMED 6</w:t>
      </w:r>
      <w:r w:rsidR="00DD286D" w:rsidRPr="00ED16B5">
        <w:rPr>
          <w:rFonts w:asciiTheme="minorHAnsi" w:hAnsiTheme="minorHAnsi"/>
          <w:color w:val="auto"/>
          <w:szCs w:val="24"/>
        </w:rPr>
        <w:t>1</w:t>
      </w:r>
      <w:r w:rsidR="00065E21" w:rsidRPr="00ED16B5">
        <w:rPr>
          <w:rFonts w:asciiTheme="minorHAnsi" w:hAnsiTheme="minorHAnsi"/>
          <w:color w:val="auto"/>
          <w:szCs w:val="24"/>
        </w:rPr>
        <w:t>00/1</w:t>
      </w:r>
      <w:r w:rsidR="00AE5E14" w:rsidRPr="00ED16B5">
        <w:rPr>
          <w:rFonts w:asciiTheme="minorHAnsi" w:hAnsiTheme="minorHAnsi"/>
          <w:color w:val="auto"/>
          <w:szCs w:val="24"/>
        </w:rPr>
        <w:t>.</w:t>
      </w:r>
      <w:r w:rsidR="0097087B" w:rsidRPr="00ED16B5">
        <w:rPr>
          <w:rFonts w:asciiTheme="minorHAnsi" w:hAnsiTheme="minorHAnsi"/>
          <w:color w:val="auto"/>
          <w:szCs w:val="24"/>
        </w:rPr>
        <w:t xml:space="preserve">  </w:t>
      </w:r>
      <w:r w:rsidRPr="00ED16B5">
        <w:rPr>
          <w:rFonts w:asciiTheme="minorHAnsi" w:hAnsiTheme="minorHAnsi"/>
          <w:color w:val="auto"/>
          <w:szCs w:val="24"/>
        </w:rPr>
        <w:t xml:space="preserve">The PEB adjudicated the </w:t>
      </w:r>
      <w:r w:rsidR="0017427F" w:rsidRPr="00ED16B5">
        <w:rPr>
          <w:rFonts w:asciiTheme="minorHAnsi" w:hAnsiTheme="minorHAnsi"/>
          <w:color w:val="auto"/>
          <w:szCs w:val="24"/>
        </w:rPr>
        <w:t xml:space="preserve">severe compartmental degenerative disease of the right knee </w:t>
      </w:r>
      <w:r w:rsidRPr="00ED16B5">
        <w:rPr>
          <w:rFonts w:asciiTheme="minorHAnsi" w:hAnsiTheme="minorHAnsi"/>
          <w:color w:val="auto"/>
          <w:szCs w:val="24"/>
        </w:rPr>
        <w:t xml:space="preserve">condition </w:t>
      </w:r>
      <w:r w:rsidR="0017427F" w:rsidRPr="00ED16B5">
        <w:rPr>
          <w:rFonts w:asciiTheme="minorHAnsi" w:hAnsiTheme="minorHAnsi"/>
          <w:color w:val="auto"/>
          <w:szCs w:val="24"/>
        </w:rPr>
        <w:t>as unfitting, rated 10</w:t>
      </w:r>
      <w:r w:rsidRPr="00ED16B5">
        <w:rPr>
          <w:rFonts w:asciiTheme="minorHAnsi" w:hAnsiTheme="minorHAnsi"/>
          <w:color w:val="auto"/>
          <w:szCs w:val="24"/>
        </w:rPr>
        <w:t xml:space="preserve">%, with application of SECNAVINST </w:t>
      </w:r>
      <w:r w:rsidR="0017427F" w:rsidRPr="00ED16B5">
        <w:rPr>
          <w:rFonts w:asciiTheme="minorHAnsi" w:hAnsiTheme="minorHAnsi"/>
          <w:color w:val="auto"/>
          <w:szCs w:val="24"/>
        </w:rPr>
        <w:t>1850.4E and</w:t>
      </w:r>
      <w:r w:rsidRPr="00ED16B5">
        <w:rPr>
          <w:rFonts w:asciiTheme="minorHAnsi" w:hAnsiTheme="minorHAnsi"/>
          <w:color w:val="auto"/>
          <w:szCs w:val="24"/>
        </w:rPr>
        <w:t xml:space="preserve"> DoDI 1332.39</w:t>
      </w:r>
      <w:r w:rsidR="0017427F" w:rsidRPr="00ED16B5">
        <w:rPr>
          <w:rFonts w:asciiTheme="minorHAnsi" w:hAnsiTheme="minorHAnsi"/>
          <w:color w:val="auto"/>
          <w:szCs w:val="24"/>
        </w:rPr>
        <w:t xml:space="preserve">. </w:t>
      </w:r>
      <w:r w:rsidR="007A13D1" w:rsidRPr="00ED16B5">
        <w:rPr>
          <w:rFonts w:asciiTheme="minorHAnsi" w:hAnsiTheme="minorHAnsi"/>
          <w:color w:val="auto"/>
          <w:szCs w:val="24"/>
        </w:rPr>
        <w:t xml:space="preserve"> </w:t>
      </w:r>
      <w:r w:rsidR="00B20624" w:rsidRPr="00ED16B5">
        <w:rPr>
          <w:rFonts w:asciiTheme="minorHAnsi" w:hAnsiTheme="minorHAnsi"/>
          <w:color w:val="auto"/>
        </w:rPr>
        <w:t xml:space="preserve">The CI </w:t>
      </w:r>
      <w:r w:rsidR="00190E48" w:rsidRPr="00ED16B5">
        <w:rPr>
          <w:rFonts w:asciiTheme="minorHAnsi" w:hAnsiTheme="minorHAnsi"/>
          <w:color w:val="auto"/>
        </w:rPr>
        <w:t xml:space="preserve">made no appeals, </w:t>
      </w:r>
      <w:r w:rsidR="00B20624" w:rsidRPr="00ED16B5">
        <w:rPr>
          <w:rFonts w:asciiTheme="minorHAnsi" w:hAnsiTheme="minorHAnsi"/>
          <w:color w:val="auto"/>
        </w:rPr>
        <w:t xml:space="preserve">and was </w:t>
      </w:r>
      <w:r w:rsidR="00C87F76" w:rsidRPr="00ED16B5">
        <w:rPr>
          <w:rFonts w:asciiTheme="minorHAnsi" w:hAnsiTheme="minorHAnsi"/>
          <w:color w:val="auto"/>
        </w:rPr>
        <w:t xml:space="preserve">then </w:t>
      </w:r>
      <w:r w:rsidR="00B20624" w:rsidRPr="00ED16B5">
        <w:rPr>
          <w:rFonts w:asciiTheme="minorHAnsi" w:hAnsiTheme="minorHAnsi"/>
          <w:color w:val="auto"/>
        </w:rPr>
        <w:t xml:space="preserve">medically separated with a </w:t>
      </w:r>
      <w:r w:rsidR="0017427F" w:rsidRPr="00ED16B5">
        <w:rPr>
          <w:rFonts w:asciiTheme="minorHAnsi" w:hAnsiTheme="minorHAnsi"/>
          <w:color w:val="auto"/>
        </w:rPr>
        <w:t>10</w:t>
      </w:r>
      <w:r w:rsidR="00B20624" w:rsidRPr="00ED16B5">
        <w:rPr>
          <w:rFonts w:asciiTheme="minorHAnsi" w:hAnsiTheme="minorHAnsi"/>
          <w:color w:val="auto"/>
        </w:rPr>
        <w:t xml:space="preserve">% combined disability rating.  </w:t>
      </w:r>
    </w:p>
    <w:p w:rsidR="00106AD8" w:rsidRPr="00ED16B5" w:rsidRDefault="00106AD8" w:rsidP="00CF0343">
      <w:pPr>
        <w:pBdr>
          <w:bottom w:val="single" w:sz="12" w:space="1" w:color="auto"/>
        </w:pBdr>
        <w:tabs>
          <w:tab w:val="left" w:pos="288"/>
          <w:tab w:val="left" w:pos="4752"/>
        </w:tabs>
        <w:spacing w:line="240" w:lineRule="exact"/>
        <w:jc w:val="both"/>
        <w:rPr>
          <w:rFonts w:ascii="Calibri" w:hAnsi="Calibri"/>
          <w:color w:val="auto"/>
          <w:szCs w:val="24"/>
        </w:rPr>
      </w:pPr>
    </w:p>
    <w:p w:rsidR="00106AD8" w:rsidRPr="00ED16B5" w:rsidRDefault="00106AD8" w:rsidP="00CF0343">
      <w:pPr>
        <w:tabs>
          <w:tab w:val="left" w:pos="288"/>
          <w:tab w:val="left" w:pos="4752"/>
        </w:tabs>
        <w:spacing w:line="240" w:lineRule="exact"/>
        <w:rPr>
          <w:rFonts w:ascii="Calibri" w:hAnsi="Calibri"/>
          <w:color w:val="auto"/>
          <w:szCs w:val="24"/>
        </w:rPr>
      </w:pPr>
    </w:p>
    <w:p w:rsidR="00AA1ED0" w:rsidRPr="00ED16B5" w:rsidRDefault="002C6E5B" w:rsidP="00CF0343">
      <w:pPr>
        <w:tabs>
          <w:tab w:val="left" w:pos="288"/>
          <w:tab w:val="left" w:pos="4752"/>
        </w:tabs>
        <w:spacing w:line="240" w:lineRule="exact"/>
        <w:jc w:val="both"/>
        <w:rPr>
          <w:rFonts w:asciiTheme="minorHAnsi" w:hAnsiTheme="minorHAnsi"/>
          <w:color w:val="auto"/>
          <w:szCs w:val="24"/>
        </w:rPr>
      </w:pPr>
      <w:r w:rsidRPr="00ED16B5">
        <w:rPr>
          <w:rFonts w:asciiTheme="minorHAnsi" w:hAnsiTheme="minorHAnsi"/>
          <w:color w:val="auto"/>
          <w:u w:val="single"/>
        </w:rPr>
        <w:t>CI CONTENTION</w:t>
      </w:r>
      <w:r w:rsidRPr="00ED16B5">
        <w:rPr>
          <w:rFonts w:asciiTheme="minorHAnsi" w:hAnsiTheme="minorHAnsi"/>
          <w:color w:val="auto"/>
        </w:rPr>
        <w:t xml:space="preserve">:  </w:t>
      </w:r>
      <w:r w:rsidR="007A13D1" w:rsidRPr="00ED16B5">
        <w:rPr>
          <w:rFonts w:asciiTheme="minorHAnsi" w:hAnsiTheme="minorHAnsi"/>
          <w:color w:val="auto"/>
          <w:szCs w:val="24"/>
        </w:rPr>
        <w:t>“</w:t>
      </w:r>
      <w:r w:rsidR="0017427F" w:rsidRPr="00ED16B5">
        <w:rPr>
          <w:rFonts w:asciiTheme="minorHAnsi" w:hAnsiTheme="minorHAnsi"/>
          <w:color w:val="auto"/>
          <w:szCs w:val="24"/>
        </w:rPr>
        <w:t>Had total knee replacement and have herniated disc in lower lumbar spine.  Suffer from depression as a result of disability.</w:t>
      </w:r>
      <w:r w:rsidR="007A13D1" w:rsidRPr="00ED16B5">
        <w:rPr>
          <w:rFonts w:asciiTheme="minorHAnsi" w:hAnsiTheme="minorHAnsi"/>
          <w:color w:val="auto"/>
          <w:szCs w:val="24"/>
        </w:rPr>
        <w:t>”</w:t>
      </w:r>
    </w:p>
    <w:p w:rsidR="00106AD8" w:rsidRPr="00ED16B5" w:rsidRDefault="00106AD8" w:rsidP="00CF0343">
      <w:pPr>
        <w:pBdr>
          <w:bottom w:val="single" w:sz="12" w:space="1" w:color="auto"/>
        </w:pBdr>
        <w:tabs>
          <w:tab w:val="left" w:pos="288"/>
          <w:tab w:val="left" w:pos="4752"/>
        </w:tabs>
        <w:spacing w:line="240" w:lineRule="exact"/>
        <w:jc w:val="both"/>
        <w:rPr>
          <w:rFonts w:ascii="Calibri" w:hAnsi="Calibri"/>
          <w:color w:val="auto"/>
          <w:szCs w:val="24"/>
        </w:rPr>
      </w:pPr>
    </w:p>
    <w:p w:rsidR="00CF0343" w:rsidRPr="00ED16B5" w:rsidRDefault="00CF0343" w:rsidP="00CF0343">
      <w:pPr>
        <w:spacing w:line="240" w:lineRule="exact"/>
        <w:rPr>
          <w:rFonts w:asciiTheme="minorHAnsi" w:hAnsiTheme="minorHAnsi"/>
          <w:color w:val="auto"/>
          <w:u w:val="single"/>
        </w:rPr>
      </w:pPr>
    </w:p>
    <w:p w:rsidR="002338CA" w:rsidRPr="00ED16B5" w:rsidRDefault="002C6E5B" w:rsidP="00CF0343">
      <w:pPr>
        <w:spacing w:line="240" w:lineRule="exact"/>
        <w:rPr>
          <w:rFonts w:asciiTheme="minorHAnsi" w:hAnsiTheme="minorHAnsi"/>
          <w:color w:val="auto"/>
        </w:rPr>
      </w:pPr>
      <w:r w:rsidRPr="00ED16B5">
        <w:rPr>
          <w:rFonts w:asciiTheme="minorHAnsi" w:hAnsiTheme="minorHAnsi"/>
          <w:color w:val="auto"/>
          <w:u w:val="single"/>
        </w:rPr>
        <w:t>RATING COMPARISON</w:t>
      </w:r>
      <w:r w:rsidRPr="00ED16B5">
        <w:rPr>
          <w:rFonts w:asciiTheme="minorHAnsi" w:hAnsiTheme="minorHAnsi"/>
          <w:color w:val="auto"/>
        </w:rPr>
        <w:t>:</w:t>
      </w:r>
    </w:p>
    <w:p w:rsidR="00F82981" w:rsidRPr="00ED16B5" w:rsidRDefault="00F82981" w:rsidP="00CF0343">
      <w:pPr>
        <w:tabs>
          <w:tab w:val="left" w:pos="288"/>
          <w:tab w:val="left" w:pos="4752"/>
        </w:tabs>
        <w:spacing w:line="240" w:lineRule="exact"/>
        <w:jc w:val="both"/>
        <w:rPr>
          <w:rFonts w:asciiTheme="minorHAnsi" w:hAnsiTheme="minorHAnsi"/>
          <w:color w:val="auto"/>
        </w:rPr>
      </w:pPr>
    </w:p>
    <w:tbl>
      <w:tblPr>
        <w:tblStyle w:val="TableGrid"/>
        <w:tblW w:w="9348" w:type="dxa"/>
        <w:jc w:val="center"/>
        <w:tblInd w:w="-78" w:type="dxa"/>
        <w:tblLayout w:type="fixed"/>
        <w:tblLook w:val="04A0"/>
      </w:tblPr>
      <w:tblGrid>
        <w:gridCol w:w="2514"/>
        <w:gridCol w:w="990"/>
        <w:gridCol w:w="900"/>
        <w:gridCol w:w="2199"/>
        <w:gridCol w:w="945"/>
        <w:gridCol w:w="810"/>
        <w:gridCol w:w="990"/>
      </w:tblGrid>
      <w:tr w:rsidR="00684E2B" w:rsidRPr="00ED16B5" w:rsidTr="00F631D0">
        <w:trPr>
          <w:trHeight w:val="233"/>
          <w:jc w:val="center"/>
        </w:trPr>
        <w:tc>
          <w:tcPr>
            <w:tcW w:w="4404" w:type="dxa"/>
            <w:gridSpan w:val="3"/>
            <w:tcBorders>
              <w:right w:val="thinThickThinSmallGap" w:sz="24" w:space="0" w:color="auto"/>
            </w:tcBorders>
            <w:shd w:val="clear" w:color="auto" w:fill="D9D9D9" w:themeFill="background1" w:themeFillShade="D9"/>
          </w:tcPr>
          <w:p w:rsidR="00684E2B" w:rsidRPr="00ED16B5" w:rsidRDefault="00684E2B" w:rsidP="008C4AC0">
            <w:pPr>
              <w:pStyle w:val="ListParagraph"/>
              <w:spacing w:after="0" w:line="240" w:lineRule="exact"/>
              <w:ind w:left="0"/>
              <w:jc w:val="center"/>
              <w:rPr>
                <w:rFonts w:cs="Times New Roman"/>
                <w:b/>
                <w:sz w:val="20"/>
                <w:szCs w:val="20"/>
              </w:rPr>
            </w:pPr>
            <w:r w:rsidRPr="00ED16B5">
              <w:rPr>
                <w:rFonts w:cs="Times New Roman"/>
                <w:b/>
                <w:sz w:val="20"/>
                <w:szCs w:val="20"/>
              </w:rPr>
              <w:t xml:space="preserve">Service </w:t>
            </w:r>
            <w:r w:rsidR="0017427F" w:rsidRPr="00ED16B5">
              <w:rPr>
                <w:rFonts w:cs="Times New Roman"/>
                <w:b/>
                <w:sz w:val="20"/>
                <w:szCs w:val="20"/>
              </w:rPr>
              <w:t>I</w:t>
            </w:r>
            <w:r w:rsidRPr="00ED16B5">
              <w:rPr>
                <w:rFonts w:cs="Times New Roman"/>
                <w:b/>
                <w:sz w:val="20"/>
                <w:szCs w:val="20"/>
              </w:rPr>
              <w:t>PEB</w:t>
            </w:r>
            <w:r w:rsidR="002B2645" w:rsidRPr="00ED16B5">
              <w:rPr>
                <w:rFonts w:cs="Times New Roman"/>
                <w:b/>
                <w:sz w:val="20"/>
                <w:szCs w:val="20"/>
              </w:rPr>
              <w:t xml:space="preserve"> – Dated </w:t>
            </w:r>
            <w:r w:rsidR="0017427F" w:rsidRPr="00ED16B5">
              <w:rPr>
                <w:rFonts w:cs="Times New Roman"/>
                <w:b/>
                <w:sz w:val="20"/>
                <w:szCs w:val="20"/>
              </w:rPr>
              <w:t>200112</w:t>
            </w:r>
            <w:r w:rsidR="008C4AC0" w:rsidRPr="00ED16B5">
              <w:rPr>
                <w:rFonts w:cs="Times New Roman"/>
                <w:b/>
                <w:sz w:val="20"/>
                <w:szCs w:val="20"/>
              </w:rPr>
              <w:t>18</w:t>
            </w:r>
          </w:p>
        </w:tc>
        <w:tc>
          <w:tcPr>
            <w:tcW w:w="4944" w:type="dxa"/>
            <w:gridSpan w:val="4"/>
            <w:tcBorders>
              <w:left w:val="thinThickThinSmallGap" w:sz="24" w:space="0" w:color="auto"/>
            </w:tcBorders>
            <w:shd w:val="clear" w:color="auto" w:fill="D9D9D9" w:themeFill="background1" w:themeFillShade="D9"/>
          </w:tcPr>
          <w:p w:rsidR="00684E2B" w:rsidRPr="00ED16B5" w:rsidRDefault="00684E2B" w:rsidP="00CF0343">
            <w:pPr>
              <w:pStyle w:val="ListParagraph"/>
              <w:spacing w:after="0" w:line="240" w:lineRule="exact"/>
              <w:ind w:left="0"/>
              <w:jc w:val="center"/>
              <w:rPr>
                <w:rFonts w:cs="Times New Roman"/>
                <w:b/>
                <w:sz w:val="20"/>
                <w:szCs w:val="20"/>
              </w:rPr>
            </w:pPr>
            <w:r w:rsidRPr="00ED16B5">
              <w:rPr>
                <w:rFonts w:cs="Times New Roman"/>
                <w:b/>
                <w:sz w:val="20"/>
                <w:szCs w:val="20"/>
              </w:rPr>
              <w:t>VA (</w:t>
            </w:r>
            <w:r w:rsidR="00D57E51" w:rsidRPr="00ED16B5">
              <w:rPr>
                <w:rFonts w:cs="Times New Roman"/>
                <w:b/>
                <w:sz w:val="20"/>
                <w:szCs w:val="20"/>
              </w:rPr>
              <w:t>1 Mo</w:t>
            </w:r>
            <w:r w:rsidR="009730A4" w:rsidRPr="00ED16B5">
              <w:rPr>
                <w:rFonts w:cs="Times New Roman"/>
                <w:b/>
                <w:sz w:val="20"/>
                <w:szCs w:val="20"/>
              </w:rPr>
              <w:t xml:space="preserve"> Post</w:t>
            </w:r>
            <w:r w:rsidRPr="00ED16B5">
              <w:rPr>
                <w:rFonts w:cs="Times New Roman"/>
                <w:b/>
                <w:sz w:val="20"/>
                <w:szCs w:val="20"/>
              </w:rPr>
              <w:t xml:space="preserve"> Separation)</w:t>
            </w:r>
            <w:r w:rsidR="000C3C13" w:rsidRPr="00ED16B5">
              <w:rPr>
                <w:rFonts w:cs="Times New Roman"/>
                <w:b/>
                <w:sz w:val="20"/>
                <w:szCs w:val="20"/>
              </w:rPr>
              <w:t xml:space="preserve"> – All Effective </w:t>
            </w:r>
            <w:r w:rsidR="009730A4" w:rsidRPr="00ED16B5">
              <w:rPr>
                <w:rFonts w:cs="Times New Roman"/>
                <w:b/>
                <w:sz w:val="20"/>
                <w:szCs w:val="20"/>
              </w:rPr>
              <w:t>20020302</w:t>
            </w:r>
          </w:p>
        </w:tc>
      </w:tr>
      <w:tr w:rsidR="002B2645" w:rsidRPr="00ED16B5" w:rsidTr="00F631D0">
        <w:trPr>
          <w:trHeight w:val="233"/>
          <w:jc w:val="center"/>
        </w:trPr>
        <w:tc>
          <w:tcPr>
            <w:tcW w:w="2514" w:type="dxa"/>
            <w:tcBorders>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Condition</w:t>
            </w:r>
          </w:p>
        </w:tc>
        <w:tc>
          <w:tcPr>
            <w:tcW w:w="990" w:type="dxa"/>
            <w:tcBorders>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Rating</w:t>
            </w:r>
          </w:p>
        </w:tc>
        <w:tc>
          <w:tcPr>
            <w:tcW w:w="2199" w:type="dxa"/>
            <w:tcBorders>
              <w:left w:val="thinThickThinSmallGap" w:sz="24" w:space="0" w:color="auto"/>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ED16B5" w:rsidRDefault="002B2645" w:rsidP="007A13D1">
            <w:pPr>
              <w:pStyle w:val="ListParagraph"/>
              <w:spacing w:after="0" w:line="240" w:lineRule="exact"/>
              <w:ind w:left="0"/>
              <w:jc w:val="center"/>
              <w:rPr>
                <w:rFonts w:cs="Times New Roman"/>
                <w:b/>
                <w:sz w:val="20"/>
                <w:szCs w:val="20"/>
              </w:rPr>
            </w:pPr>
            <w:r w:rsidRPr="00ED16B5">
              <w:rPr>
                <w:rFonts w:cs="Times New Roman"/>
                <w:b/>
                <w:sz w:val="20"/>
                <w:szCs w:val="20"/>
              </w:rPr>
              <w:t>Exam</w:t>
            </w:r>
          </w:p>
        </w:tc>
      </w:tr>
      <w:tr w:rsidR="009730A4" w:rsidRPr="00ED16B5" w:rsidTr="00F631D0">
        <w:trPr>
          <w:trHeight w:val="278"/>
          <w:jc w:val="center"/>
        </w:trPr>
        <w:tc>
          <w:tcPr>
            <w:tcW w:w="2514" w:type="dxa"/>
            <w:vMerge w:val="restart"/>
            <w:shd w:val="clear" w:color="auto" w:fill="FFFFFF" w:themeFill="background1"/>
            <w:vAlign w:val="center"/>
          </w:tcPr>
          <w:p w:rsidR="009730A4" w:rsidRPr="00ED16B5" w:rsidRDefault="009730A4" w:rsidP="007A13D1">
            <w:pPr>
              <w:pStyle w:val="ListParagraph"/>
              <w:spacing w:after="0" w:line="180" w:lineRule="exact"/>
              <w:ind w:left="0"/>
              <w:rPr>
                <w:rFonts w:cs="Times New Roman"/>
                <w:sz w:val="18"/>
                <w:szCs w:val="18"/>
              </w:rPr>
            </w:pPr>
            <w:r w:rsidRPr="00ED16B5">
              <w:rPr>
                <w:rFonts w:cs="Times New Roman"/>
                <w:sz w:val="18"/>
                <w:szCs w:val="18"/>
              </w:rPr>
              <w:t>Compartmental Degenerative Disease (R) Knee</w:t>
            </w:r>
          </w:p>
        </w:tc>
        <w:tc>
          <w:tcPr>
            <w:tcW w:w="990" w:type="dxa"/>
            <w:vMerge w:val="restart"/>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5299 5003</w:t>
            </w:r>
          </w:p>
        </w:tc>
        <w:tc>
          <w:tcPr>
            <w:tcW w:w="900" w:type="dxa"/>
            <w:vMerge w:val="restart"/>
            <w:tcBorders>
              <w:right w:val="thinThickThinSmallGap" w:sz="24" w:space="0" w:color="auto"/>
            </w:tcBorders>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10%</w:t>
            </w:r>
          </w:p>
        </w:tc>
        <w:tc>
          <w:tcPr>
            <w:tcW w:w="2199" w:type="dxa"/>
            <w:tcBorders>
              <w:left w:val="thinThickThinSmallGap" w:sz="24" w:space="0" w:color="auto"/>
            </w:tcBorders>
            <w:shd w:val="clear" w:color="auto" w:fill="FFFFFF" w:themeFill="background1"/>
            <w:vAlign w:val="center"/>
          </w:tcPr>
          <w:p w:rsidR="009730A4" w:rsidRPr="00ED16B5" w:rsidRDefault="009730A4" w:rsidP="007A13D1">
            <w:pPr>
              <w:pStyle w:val="ListParagraph"/>
              <w:spacing w:after="0" w:line="180" w:lineRule="exact"/>
              <w:ind w:left="0"/>
              <w:rPr>
                <w:rFonts w:cs="Times New Roman"/>
                <w:sz w:val="18"/>
                <w:szCs w:val="18"/>
              </w:rPr>
            </w:pPr>
            <w:r w:rsidRPr="00ED16B5">
              <w:rPr>
                <w:rFonts w:cs="Times New Roman"/>
                <w:sz w:val="18"/>
                <w:szCs w:val="18"/>
              </w:rPr>
              <w:t>(R) Knee Meniscal Tear</w:t>
            </w:r>
          </w:p>
        </w:tc>
        <w:tc>
          <w:tcPr>
            <w:tcW w:w="945"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5257</w:t>
            </w:r>
          </w:p>
        </w:tc>
        <w:tc>
          <w:tcPr>
            <w:tcW w:w="810"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highlight w:val="yellow"/>
              </w:rPr>
            </w:pPr>
            <w:r w:rsidRPr="00ED16B5">
              <w:rPr>
                <w:rFonts w:cs="Times New Roman"/>
                <w:sz w:val="18"/>
                <w:szCs w:val="18"/>
              </w:rPr>
              <w:t>20%</w:t>
            </w:r>
            <w:r w:rsidR="00C1308E" w:rsidRPr="00ED16B5">
              <w:rPr>
                <w:rFonts w:cs="Times New Roman"/>
                <w:sz w:val="18"/>
                <w:szCs w:val="18"/>
              </w:rPr>
              <w:t>*</w:t>
            </w:r>
          </w:p>
        </w:tc>
        <w:tc>
          <w:tcPr>
            <w:tcW w:w="990"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highlight w:val="yellow"/>
              </w:rPr>
            </w:pPr>
            <w:r w:rsidRPr="00ED16B5">
              <w:rPr>
                <w:rFonts w:cs="Times New Roman"/>
                <w:sz w:val="18"/>
                <w:szCs w:val="18"/>
              </w:rPr>
              <w:t>20020321</w:t>
            </w:r>
          </w:p>
        </w:tc>
      </w:tr>
      <w:tr w:rsidR="009730A4" w:rsidRPr="00ED16B5" w:rsidTr="00F631D0">
        <w:trPr>
          <w:trHeight w:val="278"/>
          <w:jc w:val="center"/>
        </w:trPr>
        <w:tc>
          <w:tcPr>
            <w:tcW w:w="2514" w:type="dxa"/>
            <w:vMerge/>
            <w:shd w:val="clear" w:color="auto" w:fill="FFFFFF" w:themeFill="background1"/>
            <w:vAlign w:val="center"/>
          </w:tcPr>
          <w:p w:rsidR="009730A4" w:rsidRPr="00ED16B5" w:rsidRDefault="009730A4" w:rsidP="007A13D1">
            <w:pPr>
              <w:pStyle w:val="ListParagraph"/>
              <w:spacing w:after="0" w:line="180" w:lineRule="exact"/>
              <w:ind w:left="0"/>
              <w:rPr>
                <w:rFonts w:cs="Times New Roman"/>
                <w:sz w:val="18"/>
                <w:szCs w:val="18"/>
              </w:rPr>
            </w:pPr>
          </w:p>
        </w:tc>
        <w:tc>
          <w:tcPr>
            <w:tcW w:w="990" w:type="dxa"/>
            <w:vMerge/>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p>
        </w:tc>
        <w:tc>
          <w:tcPr>
            <w:tcW w:w="900" w:type="dxa"/>
            <w:vMerge/>
            <w:tcBorders>
              <w:right w:val="thinThickThinSmallGap" w:sz="24" w:space="0" w:color="auto"/>
            </w:tcBorders>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p>
        </w:tc>
        <w:tc>
          <w:tcPr>
            <w:tcW w:w="2199" w:type="dxa"/>
            <w:tcBorders>
              <w:left w:val="thinThickThinSmallGap" w:sz="24" w:space="0" w:color="auto"/>
            </w:tcBorders>
            <w:shd w:val="clear" w:color="auto" w:fill="FFFFFF" w:themeFill="background1"/>
            <w:vAlign w:val="center"/>
          </w:tcPr>
          <w:p w:rsidR="009730A4" w:rsidRPr="00ED16B5" w:rsidRDefault="009730A4" w:rsidP="007A13D1">
            <w:pPr>
              <w:pStyle w:val="ListParagraph"/>
              <w:spacing w:after="0" w:line="180" w:lineRule="exact"/>
              <w:ind w:left="0"/>
              <w:rPr>
                <w:rFonts w:cs="Times New Roman"/>
                <w:sz w:val="18"/>
                <w:szCs w:val="18"/>
              </w:rPr>
            </w:pPr>
            <w:r w:rsidRPr="00ED16B5">
              <w:rPr>
                <w:rFonts w:cs="Times New Roman"/>
                <w:sz w:val="18"/>
                <w:szCs w:val="18"/>
              </w:rPr>
              <w:t>Chondromalacia (R) Knee</w:t>
            </w:r>
          </w:p>
        </w:tc>
        <w:tc>
          <w:tcPr>
            <w:tcW w:w="945"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5010</w:t>
            </w:r>
          </w:p>
        </w:tc>
        <w:tc>
          <w:tcPr>
            <w:tcW w:w="810"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10%</w:t>
            </w:r>
            <w:r w:rsidR="00C1308E" w:rsidRPr="00ED16B5">
              <w:rPr>
                <w:rFonts w:cs="Times New Roman"/>
                <w:sz w:val="18"/>
                <w:szCs w:val="18"/>
              </w:rPr>
              <w:t>*</w:t>
            </w:r>
          </w:p>
        </w:tc>
        <w:tc>
          <w:tcPr>
            <w:tcW w:w="990" w:type="dxa"/>
            <w:shd w:val="clear" w:color="auto" w:fill="FFFFFF" w:themeFill="background1"/>
            <w:vAlign w:val="center"/>
          </w:tcPr>
          <w:p w:rsidR="009730A4" w:rsidRPr="00ED16B5" w:rsidRDefault="009730A4" w:rsidP="007A13D1">
            <w:pPr>
              <w:pStyle w:val="ListParagraph"/>
              <w:spacing w:after="0" w:line="180" w:lineRule="exact"/>
              <w:ind w:left="0"/>
              <w:jc w:val="center"/>
              <w:rPr>
                <w:rFonts w:cs="Times New Roman"/>
                <w:sz w:val="18"/>
                <w:szCs w:val="18"/>
              </w:rPr>
            </w:pPr>
            <w:r w:rsidRPr="00ED16B5">
              <w:rPr>
                <w:rFonts w:cs="Times New Roman"/>
                <w:sz w:val="18"/>
                <w:szCs w:val="18"/>
              </w:rPr>
              <w:t>20020321</w:t>
            </w:r>
          </w:p>
        </w:tc>
      </w:tr>
      <w:tr w:rsidR="00376622" w:rsidRPr="00ED16B5" w:rsidTr="00C81B2D">
        <w:trPr>
          <w:trHeight w:val="278"/>
          <w:jc w:val="center"/>
        </w:trPr>
        <w:tc>
          <w:tcPr>
            <w:tcW w:w="2514" w:type="dxa"/>
            <w:shd w:val="clear" w:color="auto" w:fill="FFFFFF" w:themeFill="background1"/>
            <w:vAlign w:val="center"/>
          </w:tcPr>
          <w:p w:rsidR="00376622" w:rsidRPr="00ED16B5" w:rsidRDefault="00376622" w:rsidP="007A13D1">
            <w:pPr>
              <w:pStyle w:val="ListParagraph"/>
              <w:spacing w:after="0" w:line="180" w:lineRule="exact"/>
              <w:ind w:left="0"/>
              <w:rPr>
                <w:rFonts w:cs="Times New Roman"/>
                <w:sz w:val="18"/>
                <w:szCs w:val="18"/>
              </w:rPr>
            </w:pPr>
            <w:r w:rsidRPr="00ED16B5">
              <w:rPr>
                <w:rFonts w:cs="Times New Roman"/>
                <w:sz w:val="18"/>
                <w:szCs w:val="18"/>
              </w:rPr>
              <w:t>7 mm Free Body (R knee)</w:t>
            </w:r>
          </w:p>
        </w:tc>
        <w:tc>
          <w:tcPr>
            <w:tcW w:w="1890" w:type="dxa"/>
            <w:gridSpan w:val="2"/>
            <w:tcBorders>
              <w:right w:val="thinThickThinSmallGap" w:sz="24" w:space="0" w:color="auto"/>
            </w:tcBorders>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sidRPr="00ED16B5">
              <w:rPr>
                <w:rFonts w:cs="Times New Roman"/>
                <w:sz w:val="18"/>
                <w:szCs w:val="18"/>
              </w:rPr>
              <w:t>Not adjudicated</w:t>
            </w:r>
          </w:p>
        </w:tc>
        <w:tc>
          <w:tcPr>
            <w:tcW w:w="4944" w:type="dxa"/>
            <w:gridSpan w:val="4"/>
            <w:tcBorders>
              <w:left w:val="thinThickThinSmallGap" w:sz="24" w:space="0" w:color="auto"/>
            </w:tcBorders>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Pr>
                <w:rFonts w:cs="Times New Roman"/>
                <w:sz w:val="18"/>
                <w:szCs w:val="18"/>
              </w:rPr>
              <w:t>No VA entry</w:t>
            </w:r>
          </w:p>
        </w:tc>
      </w:tr>
      <w:tr w:rsidR="00376622" w:rsidRPr="00ED16B5" w:rsidTr="00271F7C">
        <w:trPr>
          <w:trHeight w:val="278"/>
          <w:jc w:val="center"/>
        </w:trPr>
        <w:tc>
          <w:tcPr>
            <w:tcW w:w="4404" w:type="dxa"/>
            <w:gridSpan w:val="3"/>
            <w:vMerge w:val="restart"/>
            <w:tcBorders>
              <w:right w:val="thinThickThinSmallGap" w:sz="24" w:space="0" w:color="auto"/>
            </w:tcBorders>
            <w:shd w:val="clear" w:color="auto" w:fill="FFFFFF" w:themeFill="background1"/>
            <w:vAlign w:val="center"/>
          </w:tcPr>
          <w:p w:rsidR="00376622" w:rsidRPr="00ED16B5" w:rsidRDefault="00376622" w:rsidP="00CF0343">
            <w:pPr>
              <w:pStyle w:val="ListParagraph"/>
              <w:spacing w:line="240" w:lineRule="exact"/>
              <w:ind w:left="0"/>
              <w:jc w:val="center"/>
              <w:rPr>
                <w:rFonts w:cs="Times New Roman"/>
                <w:sz w:val="18"/>
                <w:szCs w:val="18"/>
              </w:rPr>
            </w:pPr>
            <w:r w:rsidRPr="00ED16B5">
              <w:rPr>
                <w:rFonts w:cs="Times New Roman"/>
                <w:sz w:val="18"/>
                <w:szCs w:val="18"/>
              </w:rPr>
              <w:t>↓No Additional MEB/PEB Entries↓</w:t>
            </w:r>
          </w:p>
        </w:tc>
        <w:tc>
          <w:tcPr>
            <w:tcW w:w="2199" w:type="dxa"/>
            <w:tcBorders>
              <w:left w:val="thinThickThinSmallGap" w:sz="24" w:space="0" w:color="auto"/>
            </w:tcBorders>
            <w:shd w:val="clear" w:color="auto" w:fill="FFFFFF" w:themeFill="background1"/>
            <w:vAlign w:val="center"/>
          </w:tcPr>
          <w:p w:rsidR="00376622" w:rsidRPr="00ED16B5" w:rsidRDefault="00376622" w:rsidP="007A13D1">
            <w:pPr>
              <w:pStyle w:val="ListParagraph"/>
              <w:spacing w:after="0" w:line="180" w:lineRule="exact"/>
              <w:ind w:left="0"/>
              <w:rPr>
                <w:rFonts w:cs="Times New Roman"/>
                <w:sz w:val="18"/>
                <w:szCs w:val="18"/>
              </w:rPr>
            </w:pPr>
            <w:r w:rsidRPr="00ED16B5">
              <w:rPr>
                <w:rFonts w:cs="Times New Roman"/>
                <w:sz w:val="18"/>
                <w:szCs w:val="18"/>
              </w:rPr>
              <w:t>Lumbar Strain</w:t>
            </w:r>
          </w:p>
        </w:tc>
        <w:tc>
          <w:tcPr>
            <w:tcW w:w="945" w:type="dxa"/>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sidRPr="00ED16B5">
              <w:rPr>
                <w:rFonts w:cs="Times New Roman"/>
                <w:sz w:val="18"/>
                <w:szCs w:val="18"/>
              </w:rPr>
              <w:t>5237</w:t>
            </w:r>
          </w:p>
        </w:tc>
        <w:tc>
          <w:tcPr>
            <w:tcW w:w="810" w:type="dxa"/>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sidRPr="00ED16B5">
              <w:rPr>
                <w:rFonts w:cs="Times New Roman"/>
                <w:sz w:val="18"/>
                <w:szCs w:val="18"/>
              </w:rPr>
              <w:t>0%*</w:t>
            </w:r>
          </w:p>
        </w:tc>
        <w:tc>
          <w:tcPr>
            <w:tcW w:w="990" w:type="dxa"/>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sidRPr="00ED16B5">
              <w:rPr>
                <w:rFonts w:cs="Times New Roman"/>
                <w:sz w:val="18"/>
                <w:szCs w:val="18"/>
              </w:rPr>
              <w:t>20020321</w:t>
            </w:r>
          </w:p>
        </w:tc>
      </w:tr>
      <w:tr w:rsidR="00376622" w:rsidRPr="00ED16B5" w:rsidTr="007F5A61">
        <w:trPr>
          <w:trHeight w:val="315"/>
          <w:jc w:val="center"/>
        </w:trPr>
        <w:tc>
          <w:tcPr>
            <w:tcW w:w="4404" w:type="dxa"/>
            <w:gridSpan w:val="3"/>
            <w:vMerge/>
            <w:tcBorders>
              <w:bottom w:val="single" w:sz="4" w:space="0" w:color="000000" w:themeColor="text1"/>
              <w:right w:val="thinThickThinSmallGap" w:sz="24" w:space="0" w:color="auto"/>
            </w:tcBorders>
            <w:shd w:val="clear" w:color="auto" w:fill="FFFFFF" w:themeFill="background1"/>
            <w:vAlign w:val="center"/>
          </w:tcPr>
          <w:p w:rsidR="00376622" w:rsidRPr="00ED16B5" w:rsidRDefault="00376622" w:rsidP="00CF0343">
            <w:pPr>
              <w:pStyle w:val="ListParagraph"/>
              <w:spacing w:line="240" w:lineRule="exact"/>
              <w:ind w:left="0"/>
              <w:jc w:val="center"/>
              <w:rPr>
                <w:rFonts w:cs="Times New Roman"/>
                <w:sz w:val="18"/>
                <w:szCs w:val="18"/>
              </w:rPr>
            </w:pPr>
          </w:p>
        </w:tc>
        <w:tc>
          <w:tcPr>
            <w:tcW w:w="4944" w:type="dxa"/>
            <w:gridSpan w:val="4"/>
            <w:tcBorders>
              <w:left w:val="thinThickThinSmallGap" w:sz="24" w:space="0" w:color="auto"/>
              <w:bottom w:val="single" w:sz="4" w:space="0" w:color="000000" w:themeColor="text1"/>
            </w:tcBorders>
            <w:shd w:val="clear" w:color="auto" w:fill="FFFFFF" w:themeFill="background1"/>
            <w:vAlign w:val="center"/>
          </w:tcPr>
          <w:p w:rsidR="00376622" w:rsidRPr="00ED16B5" w:rsidRDefault="00376622" w:rsidP="007A13D1">
            <w:pPr>
              <w:pStyle w:val="ListParagraph"/>
              <w:spacing w:after="0" w:line="180" w:lineRule="exact"/>
              <w:ind w:left="0"/>
              <w:jc w:val="center"/>
              <w:rPr>
                <w:rFonts w:cs="Times New Roman"/>
                <w:sz w:val="18"/>
                <w:szCs w:val="18"/>
              </w:rPr>
            </w:pPr>
            <w:r w:rsidRPr="00ED16B5">
              <w:rPr>
                <w:rFonts w:cs="Times New Roman"/>
                <w:sz w:val="18"/>
                <w:szCs w:val="18"/>
              </w:rPr>
              <w:t>NSC X 0 / 0% X 1</w:t>
            </w:r>
          </w:p>
        </w:tc>
      </w:tr>
      <w:tr w:rsidR="00C87F76" w:rsidRPr="00ED16B5" w:rsidTr="00F631D0">
        <w:trPr>
          <w:trHeight w:val="242"/>
          <w:jc w:val="center"/>
        </w:trPr>
        <w:tc>
          <w:tcPr>
            <w:tcW w:w="4404" w:type="dxa"/>
            <w:gridSpan w:val="3"/>
            <w:tcBorders>
              <w:right w:val="thinThickThinSmallGap" w:sz="24" w:space="0" w:color="auto"/>
            </w:tcBorders>
            <w:shd w:val="clear" w:color="auto" w:fill="D9D9D9" w:themeFill="background1" w:themeFillShade="D9"/>
          </w:tcPr>
          <w:p w:rsidR="00C87F76" w:rsidRPr="00ED16B5" w:rsidRDefault="00C87F76" w:rsidP="00CF0343">
            <w:pPr>
              <w:pStyle w:val="ListParagraph"/>
              <w:spacing w:after="0" w:line="240" w:lineRule="exact"/>
              <w:ind w:left="0"/>
              <w:jc w:val="center"/>
              <w:rPr>
                <w:rFonts w:cs="Times New Roman"/>
                <w:b/>
                <w:sz w:val="20"/>
                <w:szCs w:val="20"/>
              </w:rPr>
            </w:pPr>
            <w:r w:rsidRPr="00ED16B5">
              <w:rPr>
                <w:rFonts w:cs="Times New Roman"/>
                <w:b/>
                <w:sz w:val="20"/>
                <w:szCs w:val="20"/>
              </w:rPr>
              <w:t xml:space="preserve">Combined: </w:t>
            </w:r>
            <w:r w:rsidR="007A13D1" w:rsidRPr="00ED16B5">
              <w:rPr>
                <w:rFonts w:cs="Times New Roman"/>
                <w:b/>
                <w:sz w:val="20"/>
                <w:szCs w:val="20"/>
              </w:rPr>
              <w:t xml:space="preserve"> </w:t>
            </w:r>
            <w:r w:rsidR="009730A4" w:rsidRPr="00ED16B5">
              <w:rPr>
                <w:rFonts w:cs="Times New Roman"/>
                <w:b/>
                <w:sz w:val="20"/>
                <w:szCs w:val="20"/>
              </w:rPr>
              <w:t>1</w:t>
            </w:r>
            <w:r w:rsidRPr="00ED16B5">
              <w:rPr>
                <w:rFonts w:cs="Times New Roman"/>
                <w:b/>
                <w:sz w:val="20"/>
                <w:szCs w:val="20"/>
              </w:rPr>
              <w:t>0%</w:t>
            </w:r>
          </w:p>
        </w:tc>
        <w:tc>
          <w:tcPr>
            <w:tcW w:w="4944" w:type="dxa"/>
            <w:gridSpan w:val="4"/>
            <w:tcBorders>
              <w:left w:val="thinThickThinSmallGap" w:sz="24" w:space="0" w:color="auto"/>
            </w:tcBorders>
            <w:shd w:val="clear" w:color="auto" w:fill="D9D9D9" w:themeFill="background1" w:themeFillShade="D9"/>
          </w:tcPr>
          <w:p w:rsidR="00C87F76" w:rsidRPr="00ED16B5" w:rsidRDefault="00C87F76" w:rsidP="007A13D1">
            <w:pPr>
              <w:pStyle w:val="ListParagraph"/>
              <w:spacing w:after="0" w:line="240" w:lineRule="exact"/>
              <w:ind w:left="0"/>
              <w:jc w:val="center"/>
              <w:rPr>
                <w:rFonts w:cs="Times New Roman"/>
                <w:b/>
                <w:sz w:val="20"/>
                <w:szCs w:val="20"/>
              </w:rPr>
            </w:pPr>
            <w:r w:rsidRPr="00ED16B5">
              <w:rPr>
                <w:rFonts w:cs="Times New Roman"/>
                <w:b/>
                <w:sz w:val="20"/>
                <w:szCs w:val="20"/>
              </w:rPr>
              <w:t>Combined</w:t>
            </w:r>
            <w:r w:rsidR="00EB3307" w:rsidRPr="00ED16B5">
              <w:rPr>
                <w:rFonts w:cs="Times New Roman"/>
                <w:b/>
                <w:sz w:val="20"/>
                <w:szCs w:val="20"/>
              </w:rPr>
              <w:t>:</w:t>
            </w:r>
            <w:r w:rsidRPr="00ED16B5">
              <w:rPr>
                <w:rFonts w:cs="Times New Roman"/>
                <w:b/>
                <w:sz w:val="20"/>
                <w:szCs w:val="20"/>
              </w:rPr>
              <w:t xml:space="preserve"> </w:t>
            </w:r>
            <w:r w:rsidR="007A13D1" w:rsidRPr="00ED16B5">
              <w:rPr>
                <w:rFonts w:cs="Times New Roman"/>
                <w:b/>
                <w:sz w:val="20"/>
                <w:szCs w:val="20"/>
              </w:rPr>
              <w:t xml:space="preserve"> </w:t>
            </w:r>
            <w:r w:rsidR="009730A4" w:rsidRPr="00ED16B5">
              <w:rPr>
                <w:rFonts w:cs="Times New Roman"/>
                <w:b/>
                <w:sz w:val="20"/>
                <w:szCs w:val="20"/>
              </w:rPr>
              <w:t>3</w:t>
            </w:r>
            <w:r w:rsidRPr="00ED16B5">
              <w:rPr>
                <w:rFonts w:cs="Times New Roman"/>
                <w:b/>
                <w:sz w:val="20"/>
                <w:szCs w:val="20"/>
              </w:rPr>
              <w:t>0%</w:t>
            </w:r>
            <w:r w:rsidR="00C1308E" w:rsidRPr="00ED16B5">
              <w:rPr>
                <w:rFonts w:cs="Times New Roman"/>
                <w:b/>
                <w:sz w:val="20"/>
                <w:szCs w:val="20"/>
              </w:rPr>
              <w:t>*</w:t>
            </w:r>
          </w:p>
        </w:tc>
      </w:tr>
    </w:tbl>
    <w:p w:rsidR="00106AD8" w:rsidRPr="00ED16B5" w:rsidRDefault="00C1308E" w:rsidP="003704A9">
      <w:pPr>
        <w:pBdr>
          <w:bottom w:val="single" w:sz="12" w:space="1" w:color="auto"/>
        </w:pBdr>
        <w:tabs>
          <w:tab w:val="left" w:pos="288"/>
          <w:tab w:val="left" w:pos="4752"/>
        </w:tabs>
        <w:spacing w:line="200" w:lineRule="exact"/>
        <w:jc w:val="both"/>
        <w:rPr>
          <w:rFonts w:ascii="Calibri" w:hAnsi="Calibri"/>
          <w:color w:val="auto"/>
          <w:sz w:val="20"/>
          <w:szCs w:val="24"/>
        </w:rPr>
      </w:pPr>
      <w:r w:rsidRPr="00ED16B5">
        <w:rPr>
          <w:rFonts w:ascii="Calibri" w:hAnsi="Calibri"/>
          <w:color w:val="auto"/>
          <w:sz w:val="20"/>
          <w:szCs w:val="24"/>
        </w:rPr>
        <w:t>* Low back 5237 increased to 10% effective 20040927 (combined 40%); total R. knee replacement 20080229 with coding/rating change that date (temporary 100%, then decreased to 30% on 20090401.</w:t>
      </w:r>
    </w:p>
    <w:p w:rsidR="00C1308E" w:rsidRPr="00ED16B5" w:rsidRDefault="00C1308E" w:rsidP="00CF0343">
      <w:pPr>
        <w:pBdr>
          <w:bottom w:val="single" w:sz="12" w:space="1" w:color="auto"/>
        </w:pBdr>
        <w:tabs>
          <w:tab w:val="left" w:pos="288"/>
          <w:tab w:val="left" w:pos="4752"/>
        </w:tabs>
        <w:spacing w:line="240" w:lineRule="exact"/>
        <w:jc w:val="both"/>
        <w:rPr>
          <w:rFonts w:ascii="Calibri" w:hAnsi="Calibri"/>
          <w:color w:val="auto"/>
          <w:szCs w:val="24"/>
        </w:rPr>
      </w:pPr>
    </w:p>
    <w:p w:rsidR="00106AD8" w:rsidRPr="00ED16B5" w:rsidRDefault="00106AD8" w:rsidP="00CF0343">
      <w:pPr>
        <w:tabs>
          <w:tab w:val="left" w:pos="288"/>
          <w:tab w:val="left" w:pos="4752"/>
        </w:tabs>
        <w:spacing w:line="240" w:lineRule="exact"/>
        <w:rPr>
          <w:rFonts w:ascii="Calibri" w:hAnsi="Calibri"/>
          <w:color w:val="auto"/>
          <w:szCs w:val="24"/>
        </w:rPr>
      </w:pPr>
    </w:p>
    <w:p w:rsidR="005B5B58" w:rsidRPr="00ED16B5" w:rsidRDefault="002C6E5B" w:rsidP="00CF0343">
      <w:pPr>
        <w:tabs>
          <w:tab w:val="left" w:pos="288"/>
          <w:tab w:val="left" w:pos="4752"/>
        </w:tabs>
        <w:spacing w:line="240" w:lineRule="exact"/>
        <w:jc w:val="both"/>
        <w:rPr>
          <w:rFonts w:asciiTheme="minorHAnsi" w:hAnsiTheme="minorHAnsi" w:cstheme="minorHAnsi"/>
          <w:color w:val="auto"/>
          <w:szCs w:val="24"/>
        </w:rPr>
      </w:pPr>
      <w:r w:rsidRPr="00ED16B5">
        <w:rPr>
          <w:rFonts w:asciiTheme="minorHAnsi" w:hAnsiTheme="minorHAnsi"/>
          <w:color w:val="auto"/>
          <w:szCs w:val="24"/>
          <w:u w:val="single"/>
        </w:rPr>
        <w:t>ANALYSIS SUMMARY</w:t>
      </w:r>
      <w:r w:rsidR="005B5B58" w:rsidRPr="00ED16B5">
        <w:rPr>
          <w:rFonts w:asciiTheme="minorHAnsi" w:hAnsiTheme="minorHAnsi"/>
          <w:color w:val="auto"/>
          <w:szCs w:val="24"/>
        </w:rPr>
        <w:t xml:space="preserve">: </w:t>
      </w:r>
      <w:r w:rsidR="00C276CD" w:rsidRPr="00ED16B5">
        <w:rPr>
          <w:rFonts w:asciiTheme="minorHAnsi" w:hAnsiTheme="minorHAnsi"/>
          <w:color w:val="auto"/>
          <w:szCs w:val="24"/>
        </w:rPr>
        <w:t xml:space="preserve"> </w:t>
      </w:r>
      <w:r w:rsidR="005B5B58" w:rsidRPr="00ED16B5">
        <w:rPr>
          <w:rFonts w:asciiTheme="minorHAnsi" w:hAnsiTheme="minorHAnsi" w:cstheme="minorHAns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981115">
        <w:rPr>
          <w:rFonts w:asciiTheme="minorHAnsi" w:hAnsiTheme="minorHAnsi" w:cstheme="minorHAnsi"/>
          <w:color w:val="auto"/>
          <w:szCs w:val="24"/>
        </w:rPr>
        <w:t>s</w:t>
      </w:r>
      <w:r w:rsidR="005B5B58" w:rsidRPr="00ED16B5">
        <w:rPr>
          <w:rFonts w:asciiTheme="minorHAnsi" w:hAnsiTheme="minorHAnsi" w:cstheme="minorHAnsi"/>
          <w:color w:val="auto"/>
          <w:szCs w:val="24"/>
        </w:rPr>
        <w:t>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3B4C76">
        <w:rPr>
          <w:rFonts w:asciiTheme="minorHAnsi" w:hAnsiTheme="minorHAnsi" w:cstheme="minorHAnsi"/>
          <w:color w:val="auto"/>
          <w:szCs w:val="24"/>
        </w:rPr>
        <w:t>s’</w:t>
      </w:r>
      <w:r w:rsidR="005B5B58" w:rsidRPr="00ED16B5">
        <w:rPr>
          <w:rFonts w:asciiTheme="minorHAnsi" w:hAnsiTheme="minorHAnsi" w:cstheme="minorHAnsi"/>
          <w:color w:val="auto"/>
          <w:szCs w:val="24"/>
        </w:rPr>
        <w:t xml:space="preserve"> Affairs (VA),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also acknowledges the CI’s contention suggesting that </w:t>
      </w:r>
      <w:r w:rsidR="00981115">
        <w:rPr>
          <w:rFonts w:asciiTheme="minorHAnsi" w:hAnsiTheme="minorHAnsi" w:cstheme="minorHAnsi"/>
          <w:color w:val="auto"/>
          <w:szCs w:val="24"/>
        </w:rPr>
        <w:t>s</w:t>
      </w:r>
      <w:r w:rsidR="005B5B58" w:rsidRPr="00ED16B5">
        <w:rPr>
          <w:rFonts w:asciiTheme="minorHAnsi" w:hAnsiTheme="minorHAnsi" w:cstheme="minorHAnsi"/>
          <w:color w:val="auto"/>
          <w:szCs w:val="24"/>
        </w:rPr>
        <w:t xml:space="preserve">ervice ratings should have been conferred for other conditions documented at the time of separation.  While </w:t>
      </w:r>
      <w:r w:rsidR="005B5B58" w:rsidRPr="00ED16B5">
        <w:rPr>
          <w:rFonts w:asciiTheme="minorHAnsi" w:hAnsiTheme="minorHAnsi" w:cstheme="minorHAnsi"/>
          <w:color w:val="auto"/>
          <w:szCs w:val="24"/>
        </w:rPr>
        <w:lastRenderedPageBreak/>
        <w:t xml:space="preserve">the DES considers all of the service member's medical conditions, compensation can only be offered for those medical conditions that cut short a service member’s career, and then only to the degree of severity present at the time of final disposition.  The VA, however, is empowered to compensate service connected conditions and to periodically re-evaluate said conditions for the purpose of adjusting the veteran’s disability rating should </w:t>
      </w:r>
      <w:r w:rsidR="00981115">
        <w:rPr>
          <w:rFonts w:asciiTheme="minorHAnsi" w:hAnsiTheme="minorHAnsi" w:cstheme="minorHAnsi"/>
          <w:color w:val="auto"/>
          <w:szCs w:val="24"/>
        </w:rPr>
        <w:t>the</w:t>
      </w:r>
      <w:r w:rsidR="005B5B58" w:rsidRPr="00ED16B5">
        <w:rPr>
          <w:rFonts w:asciiTheme="minorHAnsi" w:hAnsiTheme="minorHAnsi" w:cstheme="minorHAnsi"/>
          <w:color w:val="auto"/>
          <w:szCs w:val="24"/>
        </w:rPr>
        <w:t xml:space="preserve"> degree of impairment vary over time.</w:t>
      </w:r>
    </w:p>
    <w:p w:rsidR="002C6E5B" w:rsidRPr="00ED16B5" w:rsidRDefault="002C6E5B" w:rsidP="00CF0343">
      <w:pPr>
        <w:tabs>
          <w:tab w:val="left" w:pos="288"/>
          <w:tab w:val="left" w:pos="4752"/>
        </w:tabs>
        <w:spacing w:line="240" w:lineRule="exact"/>
        <w:rPr>
          <w:rFonts w:asciiTheme="minorHAnsi" w:hAnsiTheme="minorHAnsi" w:cstheme="minorHAnsi"/>
          <w:color w:val="auto"/>
          <w:szCs w:val="24"/>
        </w:rPr>
      </w:pPr>
    </w:p>
    <w:p w:rsidR="0089026E" w:rsidRPr="00ED16B5" w:rsidRDefault="007071B3" w:rsidP="00CF0343">
      <w:pPr>
        <w:tabs>
          <w:tab w:val="left" w:pos="288"/>
          <w:tab w:val="left" w:pos="4752"/>
        </w:tabs>
        <w:spacing w:line="240" w:lineRule="exact"/>
        <w:jc w:val="both"/>
        <w:rPr>
          <w:rFonts w:asciiTheme="minorHAnsi" w:hAnsiTheme="minorHAnsi" w:cstheme="minorHAnsi"/>
          <w:color w:val="auto"/>
          <w:szCs w:val="24"/>
        </w:rPr>
      </w:pPr>
      <w:proofErr w:type="gramStart"/>
      <w:r w:rsidRPr="00ED16B5">
        <w:rPr>
          <w:rFonts w:asciiTheme="minorHAnsi" w:hAnsiTheme="minorHAnsi" w:cstheme="minorHAnsi"/>
          <w:color w:val="auto"/>
          <w:szCs w:val="24"/>
          <w:u w:val="single"/>
        </w:rPr>
        <w:t xml:space="preserve">Right </w:t>
      </w:r>
      <w:r w:rsidR="00981115" w:rsidRPr="00ED16B5">
        <w:rPr>
          <w:rFonts w:asciiTheme="minorHAnsi" w:hAnsiTheme="minorHAnsi" w:cstheme="minorHAnsi"/>
          <w:color w:val="auto"/>
          <w:szCs w:val="24"/>
          <w:u w:val="single"/>
        </w:rPr>
        <w:t>Knee Condition</w:t>
      </w:r>
      <w:r w:rsidRPr="00ED16B5">
        <w:rPr>
          <w:rFonts w:asciiTheme="minorHAnsi" w:hAnsiTheme="minorHAnsi" w:cstheme="minorHAnsi"/>
          <w:color w:val="auto"/>
          <w:szCs w:val="24"/>
        </w:rPr>
        <w:t>.</w:t>
      </w:r>
      <w:proofErr w:type="gramEnd"/>
      <w:r w:rsidRPr="00ED16B5">
        <w:rPr>
          <w:rFonts w:asciiTheme="minorHAnsi" w:hAnsiTheme="minorHAnsi" w:cstheme="minorHAnsi"/>
          <w:color w:val="auto"/>
          <w:szCs w:val="24"/>
        </w:rPr>
        <w:t xml:space="preserve">  The </w:t>
      </w:r>
      <w:r w:rsidR="008830D8" w:rsidRPr="00ED16B5">
        <w:rPr>
          <w:rFonts w:asciiTheme="minorHAnsi" w:hAnsiTheme="minorHAnsi" w:cstheme="minorHAnsi"/>
          <w:color w:val="auto"/>
          <w:szCs w:val="24"/>
        </w:rPr>
        <w:t xml:space="preserve">CI </w:t>
      </w:r>
      <w:r w:rsidRPr="00ED16B5">
        <w:rPr>
          <w:rFonts w:asciiTheme="minorHAnsi" w:hAnsiTheme="minorHAnsi" w:cstheme="minorHAnsi"/>
          <w:color w:val="auto"/>
          <w:szCs w:val="24"/>
        </w:rPr>
        <w:t>injured the right knee on 13 April 2001 when he twisted the knee in a skiing acci</w:t>
      </w:r>
      <w:r w:rsidR="008830D8" w:rsidRPr="00ED16B5">
        <w:rPr>
          <w:rFonts w:asciiTheme="minorHAnsi" w:hAnsiTheme="minorHAnsi" w:cstheme="minorHAnsi"/>
          <w:color w:val="auto"/>
          <w:szCs w:val="24"/>
        </w:rPr>
        <w:t>dent during military training.  On 10 July 2001, after unsuccessful conservative treatment, he had a diagnostic arthroscopy with debridement of the lateral meniscus, removal of a loose body and microfracture of the lateral femoral condyle secondary to an osteochondral defect.  Postoperatively</w:t>
      </w:r>
      <w:r w:rsidR="00981115">
        <w:rPr>
          <w:rFonts w:asciiTheme="minorHAnsi" w:hAnsiTheme="minorHAnsi" w:cstheme="minorHAnsi"/>
          <w:color w:val="auto"/>
          <w:szCs w:val="24"/>
        </w:rPr>
        <w:t>,</w:t>
      </w:r>
      <w:r w:rsidR="008830D8" w:rsidRPr="00ED16B5">
        <w:rPr>
          <w:rFonts w:asciiTheme="minorHAnsi" w:hAnsiTheme="minorHAnsi" w:cstheme="minorHAnsi"/>
          <w:color w:val="auto"/>
          <w:szCs w:val="24"/>
        </w:rPr>
        <w:t xml:space="preserve"> he remained symptomatic and </w:t>
      </w:r>
      <w:r w:rsidR="00A17956" w:rsidRPr="00ED16B5">
        <w:rPr>
          <w:rFonts w:asciiTheme="minorHAnsi" w:hAnsiTheme="minorHAnsi" w:cstheme="minorHAnsi"/>
          <w:color w:val="auto"/>
          <w:szCs w:val="24"/>
        </w:rPr>
        <w:t xml:space="preserve">was unable to return to a full duty status.  </w:t>
      </w:r>
      <w:r w:rsidR="0089026E" w:rsidRPr="00ED16B5">
        <w:rPr>
          <w:rFonts w:ascii="Calibri" w:hAnsi="Calibri"/>
          <w:color w:val="auto"/>
          <w:szCs w:val="24"/>
        </w:rPr>
        <w:t xml:space="preserve">There were two goniometric </w:t>
      </w:r>
      <w:proofErr w:type="gramStart"/>
      <w:r w:rsidR="0089026E" w:rsidRPr="00ED16B5">
        <w:rPr>
          <w:rFonts w:ascii="Calibri" w:hAnsi="Calibri"/>
          <w:color w:val="auto"/>
          <w:szCs w:val="24"/>
        </w:rPr>
        <w:t>range</w:t>
      </w:r>
      <w:proofErr w:type="gramEnd"/>
      <w:r w:rsidR="00981115">
        <w:rPr>
          <w:rFonts w:ascii="Calibri" w:hAnsi="Calibri"/>
          <w:color w:val="auto"/>
          <w:szCs w:val="24"/>
        </w:rPr>
        <w:t xml:space="preserve"> </w:t>
      </w:r>
      <w:r w:rsidR="0089026E" w:rsidRPr="00ED16B5">
        <w:rPr>
          <w:rFonts w:ascii="Calibri" w:hAnsi="Calibri"/>
          <w:color w:val="auto"/>
          <w:szCs w:val="24"/>
        </w:rPr>
        <w:t>of</w:t>
      </w:r>
      <w:r w:rsidR="00981115">
        <w:rPr>
          <w:rFonts w:ascii="Calibri" w:hAnsi="Calibri"/>
          <w:color w:val="auto"/>
          <w:szCs w:val="24"/>
        </w:rPr>
        <w:t xml:space="preserve"> </w:t>
      </w:r>
      <w:r w:rsidR="0089026E" w:rsidRPr="00ED16B5">
        <w:rPr>
          <w:rFonts w:ascii="Calibri" w:hAnsi="Calibri"/>
          <w:color w:val="auto"/>
          <w:szCs w:val="24"/>
        </w:rPr>
        <w:t>motion (ROM) evaluations in evidence which the Board weighed in arriving at its rating recommendation summarized in the chart below.</w:t>
      </w:r>
    </w:p>
    <w:p w:rsidR="0089026E" w:rsidRPr="00ED16B5" w:rsidRDefault="0089026E" w:rsidP="0089026E">
      <w:pPr>
        <w:tabs>
          <w:tab w:val="left" w:pos="288"/>
          <w:tab w:val="left" w:pos="4752"/>
        </w:tabs>
        <w:spacing w:line="240" w:lineRule="exact"/>
        <w:rPr>
          <w:rFonts w:ascii="Calibri" w:hAnsi="Calibri"/>
          <w:color w:val="auto"/>
          <w:szCs w:val="24"/>
        </w:rPr>
      </w:pPr>
    </w:p>
    <w:tbl>
      <w:tblPr>
        <w:tblW w:w="8515" w:type="dxa"/>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0"/>
        <w:gridCol w:w="2840"/>
        <w:gridCol w:w="2995"/>
      </w:tblGrid>
      <w:tr w:rsidR="0089026E" w:rsidRPr="00ED16B5" w:rsidTr="00306951">
        <w:trPr>
          <w:jc w:val="center"/>
        </w:trPr>
        <w:tc>
          <w:tcPr>
            <w:tcW w:w="2680" w:type="dxa"/>
            <w:shd w:val="clear" w:color="auto" w:fill="D9D9D9"/>
          </w:tcPr>
          <w:p w:rsidR="00306951" w:rsidRPr="00ED16B5" w:rsidRDefault="00306951" w:rsidP="00DA59C9">
            <w:pPr>
              <w:spacing w:line="240" w:lineRule="exact"/>
              <w:contextualSpacing/>
              <w:jc w:val="center"/>
              <w:rPr>
                <w:rFonts w:ascii="Calibri" w:eastAsia="Calibri" w:hAnsi="Calibri"/>
                <w:color w:val="auto"/>
                <w:sz w:val="22"/>
                <w:szCs w:val="22"/>
              </w:rPr>
            </w:pPr>
            <w:r w:rsidRPr="00ED16B5">
              <w:rPr>
                <w:rFonts w:ascii="Calibri" w:eastAsia="Calibri" w:hAnsi="Calibri"/>
                <w:color w:val="auto"/>
                <w:sz w:val="22"/>
                <w:szCs w:val="22"/>
              </w:rPr>
              <w:t>Goniometric ROM</w:t>
            </w:r>
          </w:p>
          <w:p w:rsidR="0089026E" w:rsidRPr="00ED16B5" w:rsidRDefault="00306951" w:rsidP="00DA59C9">
            <w:pPr>
              <w:spacing w:line="240" w:lineRule="exact"/>
              <w:contextualSpacing/>
              <w:jc w:val="center"/>
              <w:rPr>
                <w:rFonts w:ascii="Calibri" w:eastAsia="Calibri" w:hAnsi="Calibri"/>
                <w:color w:val="auto"/>
                <w:sz w:val="22"/>
                <w:szCs w:val="22"/>
              </w:rPr>
            </w:pPr>
            <w:r w:rsidRPr="00ED16B5">
              <w:rPr>
                <w:rFonts w:ascii="Calibri" w:eastAsia="Calibri" w:hAnsi="Calibri"/>
                <w:color w:val="auto"/>
                <w:sz w:val="22"/>
                <w:szCs w:val="22"/>
              </w:rPr>
              <w:t xml:space="preserve"> Right Knee</w:t>
            </w:r>
          </w:p>
        </w:tc>
        <w:tc>
          <w:tcPr>
            <w:tcW w:w="2840" w:type="dxa"/>
            <w:shd w:val="clear" w:color="auto" w:fill="D9D9D9"/>
            <w:vAlign w:val="center"/>
          </w:tcPr>
          <w:p w:rsidR="007A13D1" w:rsidRPr="00ED16B5" w:rsidRDefault="00357335" w:rsidP="00306951">
            <w:pPr>
              <w:spacing w:line="240" w:lineRule="exact"/>
              <w:contextualSpacing/>
              <w:jc w:val="center"/>
              <w:rPr>
                <w:rFonts w:ascii="Calibri" w:eastAsia="Calibri" w:hAnsi="Calibri"/>
                <w:color w:val="auto"/>
                <w:sz w:val="22"/>
                <w:szCs w:val="22"/>
              </w:rPr>
            </w:pPr>
            <w:r w:rsidRPr="00ED16B5">
              <w:rPr>
                <w:rFonts w:ascii="Calibri" w:eastAsia="Calibri" w:hAnsi="Calibri"/>
                <w:color w:val="auto"/>
                <w:sz w:val="22"/>
                <w:szCs w:val="22"/>
              </w:rPr>
              <w:t>ORTHO</w:t>
            </w:r>
            <w:r w:rsidR="0089026E" w:rsidRPr="00ED16B5">
              <w:rPr>
                <w:rFonts w:ascii="Calibri" w:eastAsia="Calibri" w:hAnsi="Calibri"/>
                <w:color w:val="auto"/>
                <w:sz w:val="22"/>
                <w:szCs w:val="22"/>
              </w:rPr>
              <w:t xml:space="preserve"> </w:t>
            </w:r>
            <w:r w:rsidRPr="00ED16B5">
              <w:rPr>
                <w:rFonts w:ascii="Calibri" w:eastAsia="Calibri" w:hAnsi="Calibri"/>
                <w:color w:val="auto"/>
                <w:sz w:val="22"/>
                <w:szCs w:val="22"/>
              </w:rPr>
              <w:t>~ 5</w:t>
            </w:r>
            <w:r w:rsidR="0089026E" w:rsidRPr="00ED16B5">
              <w:rPr>
                <w:rFonts w:ascii="Calibri" w:eastAsia="Calibri" w:hAnsi="Calibri"/>
                <w:color w:val="auto"/>
                <w:sz w:val="22"/>
                <w:szCs w:val="22"/>
              </w:rPr>
              <w:t xml:space="preserve"> Mo. Pre-Sep</w:t>
            </w:r>
          </w:p>
        </w:tc>
        <w:tc>
          <w:tcPr>
            <w:tcW w:w="2995" w:type="dxa"/>
            <w:shd w:val="clear" w:color="auto" w:fill="D9D9D9"/>
            <w:vAlign w:val="center"/>
          </w:tcPr>
          <w:p w:rsidR="007A13D1" w:rsidRPr="00ED16B5" w:rsidRDefault="0089026E" w:rsidP="00306951">
            <w:pPr>
              <w:spacing w:line="240" w:lineRule="exact"/>
              <w:contextualSpacing/>
              <w:jc w:val="center"/>
              <w:rPr>
                <w:rFonts w:ascii="Calibri" w:eastAsia="Calibri" w:hAnsi="Calibri"/>
                <w:color w:val="auto"/>
                <w:sz w:val="22"/>
                <w:szCs w:val="22"/>
              </w:rPr>
            </w:pPr>
            <w:r w:rsidRPr="00ED16B5">
              <w:rPr>
                <w:rFonts w:ascii="Calibri" w:eastAsia="Calibri" w:hAnsi="Calibri"/>
                <w:color w:val="auto"/>
                <w:sz w:val="22"/>
                <w:szCs w:val="22"/>
              </w:rPr>
              <w:t xml:space="preserve">VA C&amp;P </w:t>
            </w:r>
            <w:r w:rsidR="00357335" w:rsidRPr="00ED16B5">
              <w:rPr>
                <w:rFonts w:ascii="Calibri" w:eastAsia="Calibri" w:hAnsi="Calibri"/>
                <w:color w:val="auto"/>
                <w:sz w:val="22"/>
                <w:szCs w:val="22"/>
              </w:rPr>
              <w:t>~ 1 Mo. Post</w:t>
            </w:r>
            <w:r w:rsidRPr="00ED16B5">
              <w:rPr>
                <w:rFonts w:ascii="Calibri" w:eastAsia="Calibri" w:hAnsi="Calibri"/>
                <w:color w:val="auto"/>
                <w:sz w:val="22"/>
                <w:szCs w:val="22"/>
              </w:rPr>
              <w:t>-Sep</w:t>
            </w:r>
          </w:p>
        </w:tc>
      </w:tr>
      <w:tr w:rsidR="0089026E" w:rsidRPr="00ED16B5" w:rsidTr="00071A1E">
        <w:trPr>
          <w:jc w:val="center"/>
        </w:trPr>
        <w:tc>
          <w:tcPr>
            <w:tcW w:w="2680" w:type="dxa"/>
          </w:tcPr>
          <w:p w:rsidR="0089026E" w:rsidRPr="00ED16B5" w:rsidRDefault="0089026E" w:rsidP="00981115">
            <w:pPr>
              <w:spacing w:line="200" w:lineRule="exact"/>
              <w:contextualSpacing/>
              <w:rPr>
                <w:rFonts w:ascii="Calibri" w:eastAsia="Calibri" w:hAnsi="Calibri"/>
                <w:color w:val="auto"/>
                <w:sz w:val="20"/>
                <w:szCs w:val="22"/>
              </w:rPr>
            </w:pPr>
            <w:r w:rsidRPr="00ED16B5">
              <w:rPr>
                <w:rFonts w:ascii="Calibri" w:eastAsia="Calibri" w:hAnsi="Calibri"/>
                <w:color w:val="auto"/>
                <w:sz w:val="20"/>
                <w:szCs w:val="22"/>
              </w:rPr>
              <w:t>Flexion 0-140⁰ normal</w:t>
            </w:r>
          </w:p>
        </w:tc>
        <w:tc>
          <w:tcPr>
            <w:tcW w:w="2840" w:type="dxa"/>
          </w:tcPr>
          <w:p w:rsidR="0089026E" w:rsidRPr="00ED16B5" w:rsidRDefault="0089026E" w:rsidP="00C1308E">
            <w:pPr>
              <w:spacing w:line="200" w:lineRule="exact"/>
              <w:contextualSpacing/>
              <w:jc w:val="center"/>
              <w:rPr>
                <w:rFonts w:ascii="Calibri" w:eastAsia="Calibri" w:hAnsi="Calibri"/>
                <w:color w:val="auto"/>
                <w:sz w:val="20"/>
                <w:szCs w:val="22"/>
              </w:rPr>
            </w:pPr>
            <w:r w:rsidRPr="00ED16B5">
              <w:rPr>
                <w:rFonts w:ascii="Calibri" w:eastAsia="Calibri" w:hAnsi="Calibri"/>
                <w:color w:val="auto"/>
                <w:sz w:val="20"/>
                <w:szCs w:val="22"/>
              </w:rPr>
              <w:t>0⁰-130⁰</w:t>
            </w:r>
          </w:p>
        </w:tc>
        <w:tc>
          <w:tcPr>
            <w:tcW w:w="2995" w:type="dxa"/>
          </w:tcPr>
          <w:p w:rsidR="0089026E" w:rsidRPr="00ED16B5" w:rsidRDefault="00357335" w:rsidP="00C1308E">
            <w:pPr>
              <w:spacing w:line="200" w:lineRule="exact"/>
              <w:contextualSpacing/>
              <w:jc w:val="center"/>
              <w:rPr>
                <w:rFonts w:ascii="Calibri" w:eastAsia="Calibri" w:hAnsi="Calibri"/>
                <w:color w:val="auto"/>
                <w:sz w:val="20"/>
                <w:szCs w:val="22"/>
              </w:rPr>
            </w:pPr>
            <w:r w:rsidRPr="00ED16B5">
              <w:rPr>
                <w:rFonts w:ascii="Calibri" w:eastAsia="Calibri" w:hAnsi="Calibri"/>
                <w:color w:val="auto"/>
                <w:sz w:val="20"/>
                <w:szCs w:val="22"/>
              </w:rPr>
              <w:t>-5</w:t>
            </w:r>
            <w:r w:rsidR="0089026E" w:rsidRPr="00ED16B5">
              <w:rPr>
                <w:rFonts w:ascii="Calibri" w:eastAsia="Calibri" w:hAnsi="Calibri"/>
                <w:color w:val="auto"/>
                <w:sz w:val="20"/>
                <w:szCs w:val="22"/>
              </w:rPr>
              <w:t>⁰-125⁰ with pain</w:t>
            </w:r>
          </w:p>
        </w:tc>
      </w:tr>
      <w:tr w:rsidR="0089026E" w:rsidRPr="00ED16B5" w:rsidTr="00071A1E">
        <w:trPr>
          <w:jc w:val="center"/>
        </w:trPr>
        <w:tc>
          <w:tcPr>
            <w:tcW w:w="2680" w:type="dxa"/>
          </w:tcPr>
          <w:p w:rsidR="0089026E" w:rsidRPr="00ED16B5" w:rsidRDefault="0089026E" w:rsidP="00981115">
            <w:pPr>
              <w:spacing w:line="200" w:lineRule="exact"/>
              <w:contextualSpacing/>
              <w:rPr>
                <w:rFonts w:ascii="Calibri" w:eastAsia="Calibri" w:hAnsi="Calibri"/>
                <w:color w:val="auto"/>
                <w:sz w:val="20"/>
                <w:szCs w:val="22"/>
              </w:rPr>
            </w:pPr>
            <w:r w:rsidRPr="00ED16B5">
              <w:rPr>
                <w:rFonts w:ascii="Calibri" w:eastAsia="Calibri" w:hAnsi="Calibri"/>
                <w:color w:val="auto"/>
                <w:sz w:val="20"/>
                <w:szCs w:val="22"/>
              </w:rPr>
              <w:t>Extension 0⁰ normal</w:t>
            </w:r>
          </w:p>
        </w:tc>
        <w:tc>
          <w:tcPr>
            <w:tcW w:w="2840" w:type="dxa"/>
          </w:tcPr>
          <w:p w:rsidR="0089026E" w:rsidRPr="00ED16B5" w:rsidRDefault="0089026E" w:rsidP="00C1308E">
            <w:pPr>
              <w:spacing w:line="200" w:lineRule="exact"/>
              <w:contextualSpacing/>
              <w:jc w:val="center"/>
              <w:rPr>
                <w:rFonts w:ascii="Calibri" w:eastAsia="Calibri" w:hAnsi="Calibri"/>
                <w:color w:val="auto"/>
                <w:sz w:val="20"/>
                <w:szCs w:val="22"/>
              </w:rPr>
            </w:pPr>
            <w:r w:rsidRPr="00ED16B5">
              <w:rPr>
                <w:rFonts w:ascii="Calibri" w:eastAsia="Calibri" w:hAnsi="Calibri"/>
                <w:color w:val="auto"/>
                <w:sz w:val="20"/>
                <w:szCs w:val="22"/>
              </w:rPr>
              <w:t>0⁰</w:t>
            </w:r>
          </w:p>
        </w:tc>
        <w:tc>
          <w:tcPr>
            <w:tcW w:w="2995" w:type="dxa"/>
          </w:tcPr>
          <w:p w:rsidR="0089026E" w:rsidRPr="00ED16B5" w:rsidRDefault="00357335" w:rsidP="00C1308E">
            <w:pPr>
              <w:spacing w:line="200" w:lineRule="exact"/>
              <w:contextualSpacing/>
              <w:jc w:val="center"/>
              <w:rPr>
                <w:rFonts w:ascii="Calibri" w:eastAsia="Calibri" w:hAnsi="Calibri"/>
                <w:color w:val="auto"/>
                <w:sz w:val="20"/>
                <w:szCs w:val="22"/>
              </w:rPr>
            </w:pPr>
            <w:r w:rsidRPr="00ED16B5">
              <w:rPr>
                <w:rFonts w:ascii="Calibri" w:eastAsia="Calibri" w:hAnsi="Calibri"/>
                <w:color w:val="auto"/>
                <w:sz w:val="20"/>
                <w:szCs w:val="22"/>
              </w:rPr>
              <w:t>-5</w:t>
            </w:r>
            <w:r w:rsidR="0089026E" w:rsidRPr="00ED16B5">
              <w:rPr>
                <w:rFonts w:ascii="Calibri" w:eastAsia="Calibri" w:hAnsi="Calibri"/>
                <w:color w:val="auto"/>
                <w:sz w:val="20"/>
                <w:szCs w:val="22"/>
              </w:rPr>
              <w:t>⁰</w:t>
            </w:r>
          </w:p>
        </w:tc>
      </w:tr>
      <w:tr w:rsidR="0089026E" w:rsidRPr="00ED16B5" w:rsidTr="00071A1E">
        <w:trPr>
          <w:jc w:val="center"/>
        </w:trPr>
        <w:tc>
          <w:tcPr>
            <w:tcW w:w="2680" w:type="dxa"/>
          </w:tcPr>
          <w:p w:rsidR="007972E7" w:rsidRPr="00ED16B5" w:rsidRDefault="0089026E" w:rsidP="00981115">
            <w:pPr>
              <w:tabs>
                <w:tab w:val="left" w:pos="288"/>
                <w:tab w:val="left" w:pos="4752"/>
              </w:tabs>
              <w:spacing w:line="200" w:lineRule="exact"/>
              <w:rPr>
                <w:rFonts w:ascii="Calibri" w:eastAsia="Calibri" w:hAnsi="Calibri"/>
                <w:color w:val="auto"/>
                <w:sz w:val="20"/>
                <w:szCs w:val="22"/>
              </w:rPr>
            </w:pPr>
            <w:r w:rsidRPr="00ED16B5">
              <w:rPr>
                <w:rFonts w:ascii="Calibri" w:eastAsia="Calibri" w:hAnsi="Calibri"/>
                <w:color w:val="auto"/>
                <w:sz w:val="20"/>
                <w:szCs w:val="22"/>
              </w:rPr>
              <w:t>Comments</w:t>
            </w:r>
            <w:r w:rsidR="007972E7" w:rsidRPr="00ED16B5">
              <w:rPr>
                <w:rFonts w:ascii="Calibri" w:eastAsia="Calibri" w:hAnsi="Calibri"/>
                <w:color w:val="auto"/>
                <w:sz w:val="20"/>
                <w:szCs w:val="22"/>
              </w:rPr>
              <w:t xml:space="preserve">:  Arthroscopy </w:t>
            </w:r>
          </w:p>
          <w:p w:rsidR="0089026E" w:rsidRPr="00ED16B5" w:rsidRDefault="007972E7" w:rsidP="00981115">
            <w:pPr>
              <w:tabs>
                <w:tab w:val="left" w:pos="288"/>
                <w:tab w:val="left" w:pos="4752"/>
              </w:tabs>
              <w:spacing w:line="200" w:lineRule="exact"/>
              <w:rPr>
                <w:rFonts w:ascii="Calibri" w:eastAsia="Calibri" w:hAnsi="Calibri"/>
                <w:color w:val="auto"/>
                <w:sz w:val="20"/>
                <w:szCs w:val="22"/>
              </w:rPr>
            </w:pPr>
            <w:r w:rsidRPr="00ED16B5">
              <w:rPr>
                <w:rFonts w:ascii="Calibri" w:eastAsia="Calibri" w:hAnsi="Calibri"/>
                <w:color w:val="auto"/>
                <w:sz w:val="20"/>
                <w:szCs w:val="22"/>
              </w:rPr>
              <w:t>~ 7 Mo. Pre-Sep</w:t>
            </w:r>
          </w:p>
        </w:tc>
        <w:tc>
          <w:tcPr>
            <w:tcW w:w="2840" w:type="dxa"/>
          </w:tcPr>
          <w:p w:rsidR="0089026E" w:rsidRPr="00ED16B5" w:rsidRDefault="00E70DA1" w:rsidP="00981115">
            <w:pPr>
              <w:tabs>
                <w:tab w:val="left" w:pos="288"/>
                <w:tab w:val="left" w:pos="4752"/>
              </w:tabs>
              <w:spacing w:line="200" w:lineRule="exact"/>
              <w:rPr>
                <w:rFonts w:ascii="Calibri" w:eastAsia="Calibri" w:hAnsi="Calibri"/>
                <w:color w:val="auto"/>
                <w:sz w:val="20"/>
                <w:szCs w:val="22"/>
              </w:rPr>
            </w:pPr>
            <w:r w:rsidRPr="00ED16B5">
              <w:rPr>
                <w:rFonts w:ascii="Calibri" w:eastAsia="Calibri" w:hAnsi="Calibri"/>
                <w:color w:val="auto"/>
                <w:sz w:val="20"/>
                <w:szCs w:val="22"/>
              </w:rPr>
              <w:t>Lachman</w:t>
            </w:r>
            <w:r w:rsidR="007972E7" w:rsidRPr="00ED16B5">
              <w:rPr>
                <w:rFonts w:ascii="Calibri" w:eastAsia="Calibri" w:hAnsi="Calibri"/>
                <w:color w:val="auto"/>
                <w:sz w:val="20"/>
                <w:szCs w:val="22"/>
              </w:rPr>
              <w:t xml:space="preserve"> with +endpoint</w:t>
            </w:r>
            <w:r w:rsidR="00A24891" w:rsidRPr="00ED16B5">
              <w:rPr>
                <w:rFonts w:ascii="Calibri" w:eastAsia="Calibri" w:hAnsi="Calibri"/>
                <w:color w:val="auto"/>
                <w:sz w:val="20"/>
                <w:szCs w:val="22"/>
              </w:rPr>
              <w:t xml:space="preserve">; </w:t>
            </w:r>
            <w:r w:rsidR="00981115">
              <w:rPr>
                <w:rFonts w:ascii="Calibri" w:eastAsia="Calibri" w:hAnsi="Calibri"/>
                <w:color w:val="auto"/>
                <w:sz w:val="20"/>
                <w:szCs w:val="22"/>
              </w:rPr>
              <w:t>t</w:t>
            </w:r>
            <w:r w:rsidR="00C1308E" w:rsidRPr="00ED16B5">
              <w:rPr>
                <w:rFonts w:ascii="Calibri" w:eastAsia="Calibri" w:hAnsi="Calibri"/>
                <w:color w:val="auto"/>
                <w:sz w:val="20"/>
                <w:szCs w:val="22"/>
              </w:rPr>
              <w:t xml:space="preserve">ender lateral joint line; H&amp;P </w:t>
            </w:r>
            <w:r w:rsidR="00DE289E" w:rsidRPr="00ED16B5">
              <w:rPr>
                <w:rFonts w:ascii="Calibri" w:eastAsia="Calibri" w:hAnsi="Calibri"/>
                <w:color w:val="auto"/>
                <w:sz w:val="20"/>
                <w:szCs w:val="22"/>
              </w:rPr>
              <w:t>(</w:t>
            </w:r>
            <w:r w:rsidR="00C1308E" w:rsidRPr="00ED16B5">
              <w:rPr>
                <w:rFonts w:ascii="Calibri" w:eastAsia="Calibri" w:hAnsi="Calibri"/>
                <w:color w:val="auto"/>
                <w:sz w:val="20"/>
                <w:szCs w:val="22"/>
              </w:rPr>
              <w:t>same day</w:t>
            </w:r>
            <w:r w:rsidR="00DE289E" w:rsidRPr="00ED16B5">
              <w:rPr>
                <w:rFonts w:ascii="Calibri" w:eastAsia="Calibri" w:hAnsi="Calibri"/>
                <w:color w:val="auto"/>
                <w:sz w:val="20"/>
                <w:szCs w:val="22"/>
              </w:rPr>
              <w:t>)</w:t>
            </w:r>
            <w:r w:rsidR="00C1308E" w:rsidRPr="00ED16B5">
              <w:rPr>
                <w:rFonts w:ascii="Calibri" w:eastAsia="Calibri" w:hAnsi="Calibri"/>
                <w:color w:val="auto"/>
                <w:sz w:val="20"/>
                <w:szCs w:val="22"/>
              </w:rPr>
              <w:t xml:space="preserve"> noted swelling w/ “decreased” flex/ext</w:t>
            </w:r>
          </w:p>
        </w:tc>
        <w:tc>
          <w:tcPr>
            <w:tcW w:w="2995" w:type="dxa"/>
          </w:tcPr>
          <w:p w:rsidR="0089026E" w:rsidRPr="00ED16B5" w:rsidRDefault="00E70DA1" w:rsidP="00981115">
            <w:pPr>
              <w:tabs>
                <w:tab w:val="left" w:pos="288"/>
                <w:tab w:val="left" w:pos="4752"/>
              </w:tabs>
              <w:spacing w:line="200" w:lineRule="exact"/>
              <w:rPr>
                <w:rFonts w:ascii="Calibri" w:eastAsia="Calibri" w:hAnsi="Calibri"/>
                <w:color w:val="auto"/>
                <w:sz w:val="20"/>
                <w:szCs w:val="22"/>
              </w:rPr>
            </w:pPr>
            <w:r w:rsidRPr="00ED16B5">
              <w:rPr>
                <w:rFonts w:ascii="Calibri" w:eastAsia="Calibri" w:hAnsi="Calibri"/>
                <w:color w:val="auto"/>
                <w:sz w:val="20"/>
                <w:szCs w:val="22"/>
              </w:rPr>
              <w:t>Instability noted</w:t>
            </w:r>
            <w:r w:rsidR="00F53278" w:rsidRPr="00ED16B5">
              <w:rPr>
                <w:rFonts w:ascii="Calibri" w:eastAsia="Calibri" w:hAnsi="Calibri"/>
                <w:color w:val="auto"/>
                <w:sz w:val="20"/>
                <w:szCs w:val="22"/>
              </w:rPr>
              <w:t xml:space="preserve">; “swelling and deformity”; </w:t>
            </w:r>
            <w:r w:rsidR="00981115">
              <w:rPr>
                <w:rFonts w:ascii="Calibri" w:eastAsia="Calibri" w:hAnsi="Calibri"/>
                <w:color w:val="auto"/>
                <w:sz w:val="20"/>
                <w:szCs w:val="22"/>
              </w:rPr>
              <w:t>t</w:t>
            </w:r>
            <w:r w:rsidR="00F53278" w:rsidRPr="00ED16B5">
              <w:rPr>
                <w:rFonts w:ascii="Calibri" w:eastAsia="Calibri" w:hAnsi="Calibri"/>
                <w:color w:val="auto"/>
                <w:sz w:val="20"/>
                <w:szCs w:val="22"/>
              </w:rPr>
              <w:t>ender joint lines; gait normal</w:t>
            </w:r>
          </w:p>
        </w:tc>
      </w:tr>
      <w:tr w:rsidR="0089026E" w:rsidRPr="00ED16B5" w:rsidTr="00071A1E">
        <w:trPr>
          <w:jc w:val="center"/>
        </w:trPr>
        <w:tc>
          <w:tcPr>
            <w:tcW w:w="2680" w:type="dxa"/>
          </w:tcPr>
          <w:p w:rsidR="0089026E" w:rsidRPr="00ED16B5" w:rsidRDefault="0089026E" w:rsidP="00981115">
            <w:pPr>
              <w:tabs>
                <w:tab w:val="left" w:pos="288"/>
                <w:tab w:val="left" w:pos="4752"/>
              </w:tabs>
              <w:spacing w:line="200" w:lineRule="exact"/>
              <w:rPr>
                <w:rFonts w:ascii="Calibri" w:eastAsia="Calibri" w:hAnsi="Calibri"/>
                <w:color w:val="auto"/>
                <w:sz w:val="20"/>
                <w:szCs w:val="22"/>
              </w:rPr>
            </w:pPr>
            <w:r w:rsidRPr="00ED16B5">
              <w:rPr>
                <w:rFonts w:ascii="Calibri" w:eastAsia="Calibri" w:hAnsi="Calibri"/>
                <w:color w:val="auto"/>
                <w:sz w:val="20"/>
                <w:szCs w:val="22"/>
              </w:rPr>
              <w:t>§4.71a Rating</w:t>
            </w:r>
          </w:p>
        </w:tc>
        <w:tc>
          <w:tcPr>
            <w:tcW w:w="2840" w:type="dxa"/>
          </w:tcPr>
          <w:p w:rsidR="0089026E" w:rsidRPr="00ED16B5" w:rsidRDefault="00357335" w:rsidP="00C1308E">
            <w:pPr>
              <w:tabs>
                <w:tab w:val="left" w:pos="288"/>
                <w:tab w:val="left" w:pos="4752"/>
              </w:tabs>
              <w:spacing w:line="200" w:lineRule="exact"/>
              <w:jc w:val="center"/>
              <w:rPr>
                <w:rFonts w:ascii="Calibri" w:eastAsia="Calibri" w:hAnsi="Calibri"/>
                <w:color w:val="auto"/>
                <w:sz w:val="20"/>
                <w:szCs w:val="22"/>
              </w:rPr>
            </w:pPr>
            <w:r w:rsidRPr="00ED16B5">
              <w:rPr>
                <w:rFonts w:ascii="Calibri" w:eastAsia="Calibri" w:hAnsi="Calibri"/>
                <w:color w:val="auto"/>
                <w:sz w:val="20"/>
                <w:szCs w:val="22"/>
              </w:rPr>
              <w:t>1</w:t>
            </w:r>
            <w:r w:rsidR="0089026E" w:rsidRPr="00ED16B5">
              <w:rPr>
                <w:rFonts w:ascii="Calibri" w:eastAsia="Calibri" w:hAnsi="Calibri"/>
                <w:color w:val="auto"/>
                <w:sz w:val="20"/>
                <w:szCs w:val="22"/>
              </w:rPr>
              <w:t>0%</w:t>
            </w:r>
            <w:r w:rsidR="009A48AB" w:rsidRPr="00ED16B5">
              <w:rPr>
                <w:rFonts w:ascii="Calibri" w:eastAsia="Calibri" w:hAnsi="Calibri"/>
                <w:color w:val="auto"/>
                <w:sz w:val="20"/>
                <w:szCs w:val="22"/>
              </w:rPr>
              <w:t xml:space="preserve"> + 10%</w:t>
            </w:r>
          </w:p>
        </w:tc>
        <w:tc>
          <w:tcPr>
            <w:tcW w:w="2995" w:type="dxa"/>
          </w:tcPr>
          <w:p w:rsidR="0089026E" w:rsidRPr="00ED16B5" w:rsidRDefault="00E70DA1" w:rsidP="00C1308E">
            <w:pPr>
              <w:tabs>
                <w:tab w:val="left" w:pos="288"/>
                <w:tab w:val="left" w:pos="4752"/>
              </w:tabs>
              <w:spacing w:line="200" w:lineRule="exact"/>
              <w:jc w:val="center"/>
              <w:rPr>
                <w:rFonts w:ascii="Calibri" w:eastAsia="Calibri" w:hAnsi="Calibri"/>
                <w:color w:val="auto"/>
                <w:sz w:val="20"/>
                <w:szCs w:val="22"/>
              </w:rPr>
            </w:pPr>
            <w:r w:rsidRPr="00ED16B5">
              <w:rPr>
                <w:rFonts w:ascii="Calibri" w:eastAsia="Calibri" w:hAnsi="Calibri"/>
                <w:color w:val="auto"/>
                <w:sz w:val="20"/>
                <w:szCs w:val="22"/>
              </w:rPr>
              <w:t>1</w:t>
            </w:r>
            <w:r w:rsidR="0089026E" w:rsidRPr="00ED16B5">
              <w:rPr>
                <w:rFonts w:ascii="Calibri" w:eastAsia="Calibri" w:hAnsi="Calibri"/>
                <w:color w:val="auto"/>
                <w:sz w:val="20"/>
                <w:szCs w:val="22"/>
              </w:rPr>
              <w:t>0%</w:t>
            </w:r>
            <w:r w:rsidR="009A48AB" w:rsidRPr="00ED16B5">
              <w:rPr>
                <w:rFonts w:ascii="Calibri" w:eastAsia="Calibri" w:hAnsi="Calibri"/>
                <w:color w:val="auto"/>
                <w:sz w:val="20"/>
                <w:szCs w:val="22"/>
              </w:rPr>
              <w:t xml:space="preserve"> + 20%</w:t>
            </w:r>
          </w:p>
        </w:tc>
      </w:tr>
    </w:tbl>
    <w:p w:rsidR="00174ECE" w:rsidRPr="00ED16B5" w:rsidRDefault="00174ECE" w:rsidP="0089026E">
      <w:pPr>
        <w:tabs>
          <w:tab w:val="left" w:pos="288"/>
          <w:tab w:val="left" w:pos="4752"/>
        </w:tabs>
        <w:spacing w:line="240" w:lineRule="exact"/>
        <w:jc w:val="both"/>
        <w:rPr>
          <w:rFonts w:ascii="Calibri" w:hAnsi="Calibri"/>
          <w:color w:val="auto"/>
          <w:szCs w:val="24"/>
        </w:rPr>
      </w:pPr>
    </w:p>
    <w:p w:rsidR="00A24891" w:rsidRPr="00ED16B5" w:rsidRDefault="00A24891" w:rsidP="00AB62C8">
      <w:pPr>
        <w:pStyle w:val="Default"/>
        <w:spacing w:line="240" w:lineRule="exact"/>
        <w:jc w:val="both"/>
        <w:rPr>
          <w:rFonts w:asciiTheme="minorHAnsi" w:hAnsiTheme="minorHAnsi" w:cstheme="minorHAnsi"/>
          <w:color w:val="auto"/>
        </w:rPr>
      </w:pPr>
      <w:r w:rsidRPr="00ED16B5">
        <w:rPr>
          <w:rFonts w:asciiTheme="minorHAnsi" w:hAnsiTheme="minorHAnsi" w:cstheme="minorHAnsi"/>
          <w:color w:val="auto"/>
        </w:rPr>
        <w:t xml:space="preserve">The </w:t>
      </w:r>
      <w:r w:rsidR="003B4C76">
        <w:rPr>
          <w:rFonts w:asciiTheme="minorHAnsi" w:hAnsiTheme="minorHAnsi" w:cstheme="minorHAnsi"/>
          <w:color w:val="auto"/>
        </w:rPr>
        <w:t>narrative summary (</w:t>
      </w:r>
      <w:r w:rsidRPr="00ED16B5">
        <w:rPr>
          <w:rFonts w:asciiTheme="minorHAnsi" w:hAnsiTheme="minorHAnsi" w:cstheme="minorHAnsi"/>
          <w:color w:val="auto"/>
        </w:rPr>
        <w:t>NARSUM</w:t>
      </w:r>
      <w:r w:rsidR="003B4C76">
        <w:rPr>
          <w:rFonts w:asciiTheme="minorHAnsi" w:hAnsiTheme="minorHAnsi" w:cstheme="minorHAnsi"/>
          <w:color w:val="auto"/>
        </w:rPr>
        <w:t>)</w:t>
      </w:r>
      <w:r w:rsidR="007972E7" w:rsidRPr="00ED16B5">
        <w:rPr>
          <w:rFonts w:asciiTheme="minorHAnsi" w:hAnsiTheme="minorHAnsi" w:cstheme="minorHAnsi"/>
          <w:color w:val="auto"/>
        </w:rPr>
        <w:t>, f</w:t>
      </w:r>
      <w:r w:rsidR="00980374" w:rsidRPr="00ED16B5">
        <w:rPr>
          <w:rFonts w:asciiTheme="minorHAnsi" w:hAnsiTheme="minorHAnsi" w:cstheme="minorHAnsi"/>
          <w:color w:val="auto"/>
        </w:rPr>
        <w:t>ive</w:t>
      </w:r>
      <w:r w:rsidR="007972E7" w:rsidRPr="00ED16B5">
        <w:rPr>
          <w:rFonts w:asciiTheme="minorHAnsi" w:hAnsiTheme="minorHAnsi" w:cstheme="minorHAnsi"/>
          <w:color w:val="auto"/>
        </w:rPr>
        <w:t xml:space="preserve"> months pre-separation,</w:t>
      </w:r>
      <w:r w:rsidRPr="00ED16B5">
        <w:rPr>
          <w:rFonts w:asciiTheme="minorHAnsi" w:hAnsiTheme="minorHAnsi" w:cstheme="minorHAnsi"/>
          <w:color w:val="auto"/>
        </w:rPr>
        <w:t xml:space="preserve"> </w:t>
      </w:r>
      <w:r w:rsidR="007972E7" w:rsidRPr="00ED16B5">
        <w:rPr>
          <w:rFonts w:asciiTheme="minorHAnsi" w:hAnsiTheme="minorHAnsi" w:cstheme="minorHAnsi"/>
          <w:color w:val="auto"/>
        </w:rPr>
        <w:t>indicated severe tri-compartment degenerative disease of the right knee</w:t>
      </w:r>
      <w:r w:rsidR="00174ECE" w:rsidRPr="00ED16B5">
        <w:rPr>
          <w:rFonts w:asciiTheme="minorHAnsi" w:hAnsiTheme="minorHAnsi" w:cstheme="minorHAnsi"/>
          <w:color w:val="auto"/>
        </w:rPr>
        <w:t xml:space="preserve"> (by imaging and arthroscopy)</w:t>
      </w:r>
      <w:r w:rsidR="007972E7" w:rsidRPr="00ED16B5">
        <w:rPr>
          <w:rFonts w:asciiTheme="minorHAnsi" w:hAnsiTheme="minorHAnsi" w:cstheme="minorHAnsi"/>
          <w:color w:val="auto"/>
        </w:rPr>
        <w:t xml:space="preserve">, lateral meniscal tear repair, and removal of a loose body and </w:t>
      </w:r>
      <w:proofErr w:type="spellStart"/>
      <w:r w:rsidR="007972E7" w:rsidRPr="00ED16B5">
        <w:rPr>
          <w:rFonts w:asciiTheme="minorHAnsi" w:hAnsiTheme="minorHAnsi" w:cstheme="minorHAnsi"/>
          <w:color w:val="auto"/>
        </w:rPr>
        <w:t>exyophytic</w:t>
      </w:r>
      <w:proofErr w:type="spellEnd"/>
      <w:r w:rsidR="007972E7" w:rsidRPr="00ED16B5">
        <w:rPr>
          <w:rFonts w:asciiTheme="minorHAnsi" w:hAnsiTheme="minorHAnsi" w:cstheme="minorHAnsi"/>
          <w:color w:val="auto"/>
        </w:rPr>
        <w:t xml:space="preserve"> mass during arthroscopy.  The NARSUM </w:t>
      </w:r>
      <w:r w:rsidRPr="00ED16B5">
        <w:rPr>
          <w:rFonts w:asciiTheme="minorHAnsi" w:hAnsiTheme="minorHAnsi" w:cstheme="minorHAnsi"/>
          <w:color w:val="auto"/>
        </w:rPr>
        <w:t>commented on a negative history of knee locking or mechanical symptoms</w:t>
      </w:r>
      <w:r w:rsidR="00981115">
        <w:rPr>
          <w:rFonts w:asciiTheme="minorHAnsi" w:hAnsiTheme="minorHAnsi" w:cstheme="minorHAnsi"/>
          <w:color w:val="auto"/>
        </w:rPr>
        <w:t>,</w:t>
      </w:r>
      <w:r w:rsidRPr="00ED16B5">
        <w:rPr>
          <w:rFonts w:asciiTheme="minorHAnsi" w:hAnsiTheme="minorHAnsi" w:cstheme="minorHAnsi"/>
          <w:color w:val="auto"/>
        </w:rPr>
        <w:t xml:space="preserve"> but did not otherwise address instability</w:t>
      </w:r>
      <w:r w:rsidR="007972E7" w:rsidRPr="00ED16B5">
        <w:rPr>
          <w:rFonts w:asciiTheme="minorHAnsi" w:hAnsiTheme="minorHAnsi" w:cstheme="minorHAnsi"/>
          <w:color w:val="auto"/>
        </w:rPr>
        <w:t xml:space="preserve"> or provide a knee ROM.  H</w:t>
      </w:r>
      <w:r w:rsidRPr="00ED16B5">
        <w:rPr>
          <w:rFonts w:asciiTheme="minorHAnsi" w:hAnsiTheme="minorHAnsi" w:cstheme="minorHAnsi"/>
          <w:color w:val="auto"/>
        </w:rPr>
        <w:t>owever, the orthopedic evaluation five months pre-separation did note</w:t>
      </w:r>
      <w:r w:rsidR="00306951" w:rsidRPr="00ED16B5">
        <w:rPr>
          <w:rFonts w:asciiTheme="minorHAnsi" w:hAnsiTheme="minorHAnsi" w:cstheme="minorHAnsi"/>
          <w:color w:val="auto"/>
        </w:rPr>
        <w:t xml:space="preserve"> a</w:t>
      </w:r>
      <w:r w:rsidRPr="00ED16B5">
        <w:rPr>
          <w:rFonts w:asciiTheme="minorHAnsi" w:hAnsiTheme="minorHAnsi" w:cstheme="minorHAnsi"/>
          <w:color w:val="auto"/>
        </w:rPr>
        <w:t xml:space="preserve"> Lachman (instability test) </w:t>
      </w:r>
      <w:r w:rsidR="00306951" w:rsidRPr="00ED16B5">
        <w:rPr>
          <w:rFonts w:asciiTheme="minorHAnsi" w:hAnsiTheme="minorHAnsi" w:cstheme="minorHAnsi"/>
          <w:color w:val="auto"/>
        </w:rPr>
        <w:t>with a positive endpoint,</w:t>
      </w:r>
      <w:r w:rsidRPr="00ED16B5">
        <w:rPr>
          <w:rFonts w:asciiTheme="minorHAnsi" w:hAnsiTheme="minorHAnsi" w:cstheme="minorHAnsi"/>
          <w:color w:val="auto"/>
        </w:rPr>
        <w:t xml:space="preserve"> negative drawer tests and no lateral instability</w:t>
      </w:r>
      <w:r w:rsidR="00174ECE" w:rsidRPr="00ED16B5">
        <w:rPr>
          <w:rFonts w:asciiTheme="minorHAnsi" w:hAnsiTheme="minorHAnsi" w:cstheme="minorHAnsi"/>
          <w:color w:val="auto"/>
        </w:rPr>
        <w:t>, with the limited ROMs charted above</w:t>
      </w:r>
      <w:r w:rsidRPr="00ED16B5">
        <w:rPr>
          <w:rFonts w:asciiTheme="minorHAnsi" w:hAnsiTheme="minorHAnsi" w:cstheme="minorHAnsi"/>
          <w:color w:val="auto"/>
        </w:rPr>
        <w:t xml:space="preserve">.  </w:t>
      </w:r>
      <w:r w:rsidR="003704A9" w:rsidRPr="00ED16B5">
        <w:rPr>
          <w:rFonts w:asciiTheme="minorHAnsi" w:hAnsiTheme="minorHAnsi" w:cstheme="minorHAnsi"/>
          <w:color w:val="auto"/>
        </w:rPr>
        <w:t xml:space="preserve">The MEB history indicated a “Don’t Know” response for trick or lock knee that was not further described.  The MEB exam (SF88) indicated right knee swelling, joint line tenderness and “decreased” flexion and extension.  </w:t>
      </w:r>
    </w:p>
    <w:p w:rsidR="00A24891" w:rsidRPr="00ED16B5" w:rsidRDefault="00A24891" w:rsidP="00AB62C8">
      <w:pPr>
        <w:pStyle w:val="Default"/>
        <w:spacing w:line="240" w:lineRule="exact"/>
        <w:jc w:val="both"/>
        <w:rPr>
          <w:rFonts w:asciiTheme="minorHAnsi" w:hAnsiTheme="minorHAnsi" w:cstheme="minorHAnsi"/>
          <w:color w:val="auto"/>
        </w:rPr>
      </w:pPr>
    </w:p>
    <w:p w:rsidR="00F53278" w:rsidRPr="00ED16B5" w:rsidRDefault="00F53278" w:rsidP="00AB62C8">
      <w:pPr>
        <w:pStyle w:val="Default"/>
        <w:spacing w:line="240" w:lineRule="exact"/>
        <w:jc w:val="both"/>
        <w:rPr>
          <w:rFonts w:asciiTheme="minorHAnsi" w:hAnsiTheme="minorHAnsi" w:cstheme="minorHAnsi"/>
          <w:color w:val="auto"/>
        </w:rPr>
      </w:pPr>
      <w:r w:rsidRPr="00ED16B5">
        <w:rPr>
          <w:rFonts w:asciiTheme="minorHAnsi" w:hAnsiTheme="minorHAnsi" w:cstheme="minorHAnsi"/>
          <w:color w:val="auto"/>
        </w:rPr>
        <w:t xml:space="preserve">The VA </w:t>
      </w:r>
      <w:r w:rsidR="00981115">
        <w:rPr>
          <w:rFonts w:asciiTheme="minorHAnsi" w:hAnsiTheme="minorHAnsi" w:cstheme="minorHAnsi"/>
          <w:color w:val="auto"/>
        </w:rPr>
        <w:t>compensation and pension (</w:t>
      </w:r>
      <w:r w:rsidRPr="00ED16B5">
        <w:rPr>
          <w:rFonts w:asciiTheme="minorHAnsi" w:hAnsiTheme="minorHAnsi" w:cstheme="minorHAnsi"/>
          <w:color w:val="auto"/>
        </w:rPr>
        <w:t>C&amp;P</w:t>
      </w:r>
      <w:r w:rsidR="00981115">
        <w:rPr>
          <w:rFonts w:asciiTheme="minorHAnsi" w:hAnsiTheme="minorHAnsi" w:cstheme="minorHAnsi"/>
          <w:color w:val="auto"/>
        </w:rPr>
        <w:t>)</w:t>
      </w:r>
      <w:r w:rsidRPr="00ED16B5">
        <w:rPr>
          <w:rFonts w:asciiTheme="minorHAnsi" w:hAnsiTheme="minorHAnsi" w:cstheme="minorHAnsi"/>
          <w:color w:val="auto"/>
        </w:rPr>
        <w:t xml:space="preserve"> examination, one month post-separation</w:t>
      </w:r>
      <w:r w:rsidR="00306951" w:rsidRPr="00ED16B5">
        <w:rPr>
          <w:rFonts w:asciiTheme="minorHAnsi" w:hAnsiTheme="minorHAnsi" w:cstheme="minorHAnsi"/>
          <w:color w:val="auto"/>
        </w:rPr>
        <w:t>,</w:t>
      </w:r>
      <w:r w:rsidRPr="00ED16B5">
        <w:rPr>
          <w:rFonts w:asciiTheme="minorHAnsi" w:hAnsiTheme="minorHAnsi" w:cstheme="minorHAnsi"/>
          <w:color w:val="auto"/>
        </w:rPr>
        <w:t xml:space="preserve"> also documented slightly limited ROM (charted above), swelling and deformity, tender medi</w:t>
      </w:r>
      <w:r w:rsidR="00306951" w:rsidRPr="00ED16B5">
        <w:rPr>
          <w:rFonts w:asciiTheme="minorHAnsi" w:hAnsiTheme="minorHAnsi" w:cstheme="minorHAnsi"/>
          <w:color w:val="auto"/>
        </w:rPr>
        <w:t>al and lateral joint lines, and instability</w:t>
      </w:r>
      <w:r w:rsidRPr="00ED16B5">
        <w:rPr>
          <w:rFonts w:asciiTheme="minorHAnsi" w:hAnsiTheme="minorHAnsi" w:cstheme="minorHAnsi"/>
          <w:color w:val="auto"/>
        </w:rPr>
        <w:t xml:space="preserve">; but </w:t>
      </w:r>
      <w:r w:rsidR="00306951" w:rsidRPr="00ED16B5">
        <w:rPr>
          <w:rFonts w:asciiTheme="minorHAnsi" w:hAnsiTheme="minorHAnsi" w:cstheme="minorHAnsi"/>
          <w:color w:val="auto"/>
        </w:rPr>
        <w:t xml:space="preserve">instability was </w:t>
      </w:r>
      <w:r w:rsidRPr="00ED16B5">
        <w:rPr>
          <w:rFonts w:asciiTheme="minorHAnsi" w:hAnsiTheme="minorHAnsi" w:cstheme="minorHAnsi"/>
          <w:color w:val="auto"/>
        </w:rPr>
        <w:t>not described in detail.  History was of “knee popping” without further details.  Radiographs showed osteoarthritis, small effusion, and “at least one intraarticular body in the posterior joint space” (loose body).</w:t>
      </w:r>
      <w:r w:rsidR="00C1308E" w:rsidRPr="00ED16B5">
        <w:rPr>
          <w:rFonts w:asciiTheme="minorHAnsi" w:hAnsiTheme="minorHAnsi" w:cstheme="minorHAnsi"/>
          <w:color w:val="auto"/>
        </w:rPr>
        <w:t xml:space="preserve">  VA records indicate a total right knee replacement on </w:t>
      </w:r>
      <w:r w:rsidR="00981115">
        <w:rPr>
          <w:rFonts w:asciiTheme="minorHAnsi" w:hAnsiTheme="minorHAnsi" w:cstheme="minorHAnsi"/>
          <w:color w:val="auto"/>
        </w:rPr>
        <w:t xml:space="preserve">29 </w:t>
      </w:r>
      <w:r w:rsidR="00C1308E" w:rsidRPr="00ED16B5">
        <w:rPr>
          <w:rFonts w:asciiTheme="minorHAnsi" w:hAnsiTheme="minorHAnsi" w:cstheme="minorHAnsi"/>
          <w:color w:val="auto"/>
        </w:rPr>
        <w:t xml:space="preserve">February 2008.  </w:t>
      </w:r>
    </w:p>
    <w:p w:rsidR="00F53278" w:rsidRPr="00ED16B5" w:rsidRDefault="00F53278" w:rsidP="00AB62C8">
      <w:pPr>
        <w:pStyle w:val="Default"/>
        <w:spacing w:line="240" w:lineRule="exact"/>
        <w:jc w:val="both"/>
        <w:rPr>
          <w:rFonts w:asciiTheme="minorHAnsi" w:hAnsiTheme="minorHAnsi" w:cstheme="minorHAnsi"/>
          <w:color w:val="auto"/>
        </w:rPr>
      </w:pPr>
    </w:p>
    <w:p w:rsidR="0053389C" w:rsidRPr="00ED16B5" w:rsidRDefault="0053389C" w:rsidP="00AB62C8">
      <w:pPr>
        <w:pStyle w:val="Default"/>
        <w:spacing w:line="240" w:lineRule="exact"/>
        <w:jc w:val="both"/>
        <w:rPr>
          <w:rFonts w:asciiTheme="minorHAnsi" w:hAnsiTheme="minorHAnsi"/>
          <w:color w:val="auto"/>
        </w:rPr>
      </w:pPr>
      <w:r w:rsidRPr="00ED16B5">
        <w:rPr>
          <w:rFonts w:asciiTheme="minorHAnsi" w:hAnsiTheme="minorHAnsi" w:cstheme="minorHAnsi"/>
          <w:color w:val="auto"/>
        </w:rPr>
        <w:t>The PEB found severe compartmental degenerative disease of the right knee unfitting, coded 5299-5003 (arthritis, degenerative) with a rating of 10%.</w:t>
      </w:r>
      <w:r w:rsidR="00AB62C8" w:rsidRPr="00ED16B5">
        <w:rPr>
          <w:rFonts w:asciiTheme="minorHAnsi" w:hAnsiTheme="minorHAnsi" w:cstheme="minorHAnsi"/>
          <w:color w:val="auto"/>
        </w:rPr>
        <w:t xml:space="preserve"> </w:t>
      </w:r>
      <w:r w:rsidRPr="00ED16B5">
        <w:rPr>
          <w:rFonts w:asciiTheme="minorHAnsi" w:hAnsiTheme="minorHAnsi" w:cstheme="minorHAnsi"/>
          <w:color w:val="auto"/>
        </w:rPr>
        <w:t xml:space="preserve"> The PEB noted that the condition did exist prior to service</w:t>
      </w:r>
      <w:r w:rsidR="007A13D1" w:rsidRPr="00ED16B5">
        <w:rPr>
          <w:rFonts w:asciiTheme="minorHAnsi" w:hAnsiTheme="minorHAnsi" w:cstheme="minorHAnsi"/>
          <w:color w:val="auto"/>
        </w:rPr>
        <w:t>,</w:t>
      </w:r>
      <w:r w:rsidRPr="00ED16B5">
        <w:rPr>
          <w:rFonts w:asciiTheme="minorHAnsi" w:hAnsiTheme="minorHAnsi" w:cstheme="minorHAnsi"/>
          <w:color w:val="auto"/>
        </w:rPr>
        <w:t xml:space="preserve"> but </w:t>
      </w:r>
      <w:r w:rsidR="00C13D5F" w:rsidRPr="00ED16B5">
        <w:rPr>
          <w:rFonts w:asciiTheme="minorHAnsi" w:hAnsiTheme="minorHAnsi" w:cstheme="minorHAnsi"/>
          <w:color w:val="auto"/>
        </w:rPr>
        <w:t>applied</w:t>
      </w:r>
      <w:r w:rsidRPr="00ED16B5">
        <w:rPr>
          <w:rFonts w:asciiTheme="minorHAnsi" w:hAnsiTheme="minorHAnsi" w:cstheme="minorHAnsi"/>
          <w:color w:val="auto"/>
        </w:rPr>
        <w:t xml:space="preserve"> </w:t>
      </w:r>
      <w:r w:rsidR="00C13D5F" w:rsidRPr="00ED16B5">
        <w:rPr>
          <w:rFonts w:asciiTheme="minorHAnsi" w:hAnsiTheme="minorHAnsi" w:cstheme="minorHAnsi"/>
          <w:color w:val="auto"/>
        </w:rPr>
        <w:t>a zero percent</w:t>
      </w:r>
      <w:r w:rsidRPr="00ED16B5">
        <w:rPr>
          <w:rFonts w:asciiTheme="minorHAnsi" w:hAnsiTheme="minorHAnsi" w:cstheme="minorHAnsi"/>
          <w:color w:val="auto"/>
        </w:rPr>
        <w:t xml:space="preserve"> reduction.</w:t>
      </w:r>
      <w:r w:rsidR="000721E5" w:rsidRPr="00ED16B5">
        <w:rPr>
          <w:rFonts w:asciiTheme="minorHAnsi" w:hAnsiTheme="minorHAnsi" w:cstheme="minorHAnsi"/>
          <w:color w:val="auto"/>
        </w:rPr>
        <w:t xml:space="preserve">  ROM was non</w:t>
      </w:r>
      <w:r w:rsidRPr="00ED16B5">
        <w:rPr>
          <w:rFonts w:asciiTheme="minorHAnsi" w:hAnsiTheme="minorHAnsi" w:cstheme="minorHAnsi"/>
          <w:color w:val="auto"/>
        </w:rPr>
        <w:t>compensable</w:t>
      </w:r>
      <w:r w:rsidR="00C13D5F" w:rsidRPr="00ED16B5">
        <w:rPr>
          <w:rFonts w:asciiTheme="minorHAnsi" w:hAnsiTheme="minorHAnsi" w:cstheme="minorHAnsi"/>
          <w:color w:val="auto"/>
        </w:rPr>
        <w:t xml:space="preserve"> under the appropriate knee ROM VA </w:t>
      </w:r>
      <w:r w:rsidR="00F53278" w:rsidRPr="00ED16B5">
        <w:rPr>
          <w:rFonts w:asciiTheme="minorHAnsi" w:hAnsiTheme="minorHAnsi" w:cstheme="minorHAnsi"/>
          <w:color w:val="auto"/>
        </w:rPr>
        <w:t xml:space="preserve">disability </w:t>
      </w:r>
      <w:r w:rsidR="00C13D5F" w:rsidRPr="00ED16B5">
        <w:rPr>
          <w:rFonts w:asciiTheme="minorHAnsi" w:hAnsiTheme="minorHAnsi" w:cstheme="minorHAnsi"/>
          <w:color w:val="auto"/>
        </w:rPr>
        <w:t>codes</w:t>
      </w:r>
      <w:r w:rsidRPr="00ED16B5">
        <w:rPr>
          <w:rFonts w:asciiTheme="minorHAnsi" w:hAnsiTheme="minorHAnsi" w:cstheme="minorHAnsi"/>
          <w:color w:val="auto"/>
        </w:rPr>
        <w:t xml:space="preserve">; however, code </w:t>
      </w:r>
      <w:r w:rsidR="00AB62C8" w:rsidRPr="00ED16B5">
        <w:rPr>
          <w:rFonts w:asciiTheme="minorHAnsi" w:hAnsiTheme="minorHAnsi" w:cstheme="minorHAnsi"/>
          <w:color w:val="auto"/>
        </w:rPr>
        <w:t xml:space="preserve">5003 </w:t>
      </w:r>
      <w:r w:rsidRPr="00ED16B5">
        <w:rPr>
          <w:rFonts w:asciiTheme="minorHAnsi" w:hAnsiTheme="minorHAnsi" w:cstheme="minorHAnsi"/>
          <w:color w:val="auto"/>
        </w:rPr>
        <w:t>allows a rating of 10% when the</w:t>
      </w:r>
      <w:r w:rsidR="00C13D5F" w:rsidRPr="00ED16B5">
        <w:rPr>
          <w:rFonts w:asciiTheme="minorHAnsi" w:hAnsiTheme="minorHAnsi" w:cstheme="minorHAnsi"/>
          <w:color w:val="auto"/>
        </w:rPr>
        <w:t>re is</w:t>
      </w:r>
      <w:r w:rsidRPr="00ED16B5">
        <w:rPr>
          <w:rFonts w:asciiTheme="minorHAnsi" w:hAnsiTheme="minorHAnsi" w:cstheme="minorHAnsi"/>
          <w:color w:val="auto"/>
        </w:rPr>
        <w:t xml:space="preserve"> limit</w:t>
      </w:r>
      <w:r w:rsidR="00C13D5F" w:rsidRPr="00ED16B5">
        <w:rPr>
          <w:rFonts w:asciiTheme="minorHAnsi" w:hAnsiTheme="minorHAnsi" w:cstheme="minorHAnsi"/>
          <w:color w:val="auto"/>
        </w:rPr>
        <w:t>ed</w:t>
      </w:r>
      <w:r w:rsidRPr="00ED16B5">
        <w:rPr>
          <w:rFonts w:asciiTheme="minorHAnsi" w:hAnsiTheme="minorHAnsi" w:cstheme="minorHAnsi"/>
          <w:color w:val="auto"/>
        </w:rPr>
        <w:t xml:space="preserve"> </w:t>
      </w:r>
      <w:r w:rsidR="009517FD" w:rsidRPr="00ED16B5">
        <w:rPr>
          <w:rFonts w:asciiTheme="minorHAnsi" w:hAnsiTheme="minorHAnsi" w:cstheme="minorHAnsi"/>
          <w:color w:val="auto"/>
        </w:rPr>
        <w:t>ROM</w:t>
      </w:r>
      <w:r w:rsidRPr="00ED16B5">
        <w:rPr>
          <w:rFonts w:asciiTheme="minorHAnsi" w:hAnsiTheme="minorHAnsi" w:cstheme="minorHAnsi"/>
          <w:color w:val="auto"/>
        </w:rPr>
        <w:t xml:space="preserve">. </w:t>
      </w:r>
      <w:r w:rsidR="000721E5" w:rsidRPr="00ED16B5">
        <w:rPr>
          <w:rFonts w:asciiTheme="minorHAnsi" w:hAnsiTheme="minorHAnsi" w:cstheme="minorHAnsi"/>
          <w:color w:val="auto"/>
        </w:rPr>
        <w:t xml:space="preserve"> </w:t>
      </w:r>
      <w:r w:rsidR="00BE19D9" w:rsidRPr="00ED16B5">
        <w:rPr>
          <w:rFonts w:asciiTheme="minorHAnsi" w:hAnsiTheme="minorHAnsi" w:cstheme="minorHAnsi"/>
          <w:color w:val="auto"/>
        </w:rPr>
        <w:t xml:space="preserve">The PEB did not </w:t>
      </w:r>
      <w:r w:rsidR="00C13D5F" w:rsidRPr="00ED16B5">
        <w:rPr>
          <w:rFonts w:asciiTheme="minorHAnsi" w:hAnsiTheme="minorHAnsi" w:cstheme="minorHAnsi"/>
          <w:color w:val="auto"/>
        </w:rPr>
        <w:t xml:space="preserve">specifically </w:t>
      </w:r>
      <w:r w:rsidR="00BE19D9" w:rsidRPr="00ED16B5">
        <w:rPr>
          <w:rFonts w:asciiTheme="minorHAnsi" w:hAnsiTheme="minorHAnsi" w:cstheme="minorHAnsi"/>
          <w:color w:val="auto"/>
        </w:rPr>
        <w:t>adjudicate</w:t>
      </w:r>
      <w:r w:rsidR="00A17956" w:rsidRPr="00ED16B5">
        <w:rPr>
          <w:rFonts w:asciiTheme="minorHAnsi" w:hAnsiTheme="minorHAnsi" w:cstheme="minorHAnsi"/>
          <w:color w:val="auto"/>
        </w:rPr>
        <w:t xml:space="preserve"> the </w:t>
      </w:r>
      <w:r w:rsidR="009B2073" w:rsidRPr="00ED16B5">
        <w:rPr>
          <w:rFonts w:asciiTheme="minorHAnsi" w:hAnsiTheme="minorHAnsi"/>
          <w:color w:val="auto"/>
        </w:rPr>
        <w:t>7mm</w:t>
      </w:r>
      <w:r w:rsidR="00A17956" w:rsidRPr="00ED16B5">
        <w:rPr>
          <w:rFonts w:asciiTheme="minorHAnsi" w:hAnsiTheme="minorHAnsi"/>
          <w:color w:val="auto"/>
        </w:rPr>
        <w:t xml:space="preserve"> free body</w:t>
      </w:r>
      <w:r w:rsidR="003704A9" w:rsidRPr="00ED16B5">
        <w:rPr>
          <w:rFonts w:asciiTheme="minorHAnsi" w:hAnsiTheme="minorHAnsi"/>
          <w:color w:val="auto"/>
        </w:rPr>
        <w:t xml:space="preserve"> MEB</w:t>
      </w:r>
      <w:r w:rsidR="00A17956" w:rsidRPr="00ED16B5">
        <w:rPr>
          <w:rFonts w:asciiTheme="minorHAnsi" w:hAnsiTheme="minorHAnsi"/>
          <w:color w:val="auto"/>
        </w:rPr>
        <w:t xml:space="preserve"> condition.</w:t>
      </w:r>
      <w:r w:rsidR="009B2073" w:rsidRPr="00ED16B5">
        <w:rPr>
          <w:rFonts w:asciiTheme="minorHAnsi" w:hAnsiTheme="minorHAnsi"/>
          <w:color w:val="auto"/>
        </w:rPr>
        <w:t xml:space="preserve">  </w:t>
      </w:r>
      <w:r w:rsidR="000721E5" w:rsidRPr="00ED16B5">
        <w:rPr>
          <w:rFonts w:asciiTheme="minorHAnsi" w:hAnsiTheme="minorHAnsi" w:cstheme="minorHAnsi"/>
          <w:color w:val="auto"/>
        </w:rPr>
        <w:t xml:space="preserve">The VA service connected right knee </w:t>
      </w:r>
      <w:proofErr w:type="spellStart"/>
      <w:r w:rsidR="000721E5" w:rsidRPr="00ED16B5">
        <w:rPr>
          <w:rFonts w:asciiTheme="minorHAnsi" w:hAnsiTheme="minorHAnsi" w:cstheme="minorHAnsi"/>
          <w:color w:val="auto"/>
        </w:rPr>
        <w:t>meniscal</w:t>
      </w:r>
      <w:proofErr w:type="spellEnd"/>
      <w:r w:rsidR="000721E5" w:rsidRPr="00ED16B5">
        <w:rPr>
          <w:rFonts w:asciiTheme="minorHAnsi" w:hAnsiTheme="minorHAnsi" w:cstheme="minorHAnsi"/>
          <w:color w:val="auto"/>
        </w:rPr>
        <w:t xml:space="preserve"> tear </w:t>
      </w:r>
      <w:r w:rsidR="00981115">
        <w:rPr>
          <w:rFonts w:asciiTheme="minorHAnsi" w:hAnsiTheme="minorHAnsi" w:cstheme="minorHAnsi"/>
          <w:color w:val="auto"/>
        </w:rPr>
        <w:t>status post</w:t>
      </w:r>
      <w:r w:rsidR="000721E5" w:rsidRPr="00ED16B5">
        <w:rPr>
          <w:rFonts w:asciiTheme="minorHAnsi" w:hAnsiTheme="minorHAnsi" w:cstheme="minorHAnsi"/>
          <w:color w:val="auto"/>
        </w:rPr>
        <w:t xml:space="preserve"> repair/debridement, coded 5257 (knee, other impairment of: </w:t>
      </w:r>
      <w:r w:rsidR="00A62B7B" w:rsidRPr="00ED16B5">
        <w:rPr>
          <w:rFonts w:asciiTheme="minorHAnsi" w:hAnsiTheme="minorHAnsi" w:cstheme="minorHAnsi"/>
          <w:color w:val="auto"/>
        </w:rPr>
        <w:t>r</w:t>
      </w:r>
      <w:r w:rsidR="000721E5" w:rsidRPr="00ED16B5">
        <w:rPr>
          <w:rFonts w:asciiTheme="minorHAnsi" w:hAnsiTheme="minorHAnsi" w:cstheme="minorHAnsi"/>
          <w:color w:val="auto"/>
        </w:rPr>
        <w:t>ecurrent subluxation or lateral instability), with a rating of 20%</w:t>
      </w:r>
      <w:r w:rsidR="00A62B7B" w:rsidRPr="00ED16B5">
        <w:rPr>
          <w:rFonts w:asciiTheme="minorHAnsi" w:hAnsiTheme="minorHAnsi" w:cstheme="minorHAnsi"/>
          <w:color w:val="auto"/>
        </w:rPr>
        <w:t xml:space="preserve"> (moderate)</w:t>
      </w:r>
      <w:r w:rsidR="000721E5" w:rsidRPr="00ED16B5">
        <w:rPr>
          <w:rFonts w:asciiTheme="minorHAnsi" w:hAnsiTheme="minorHAnsi" w:cstheme="minorHAnsi"/>
          <w:color w:val="auto"/>
        </w:rPr>
        <w:t>.</w:t>
      </w:r>
      <w:r w:rsidR="00AB62C8" w:rsidRPr="00ED16B5">
        <w:rPr>
          <w:rFonts w:asciiTheme="minorHAnsi" w:hAnsiTheme="minorHAnsi" w:cstheme="minorHAnsi"/>
          <w:color w:val="auto"/>
        </w:rPr>
        <w:t xml:space="preserve">  </w:t>
      </w:r>
      <w:r w:rsidR="00F33BF6" w:rsidRPr="00ED16B5">
        <w:rPr>
          <w:rFonts w:asciiTheme="minorHAnsi" w:hAnsiTheme="minorHAnsi" w:cstheme="minorHAnsi"/>
          <w:color w:val="auto"/>
        </w:rPr>
        <w:t>The VA also rated the right knee traumatic arthritis with chondromalacia, coded 5010 (arthritis, due to trauma, substantiated by X-ray findings), with a rating of 10%.  Th</w:t>
      </w:r>
      <w:r w:rsidR="00C13D5F" w:rsidRPr="00ED16B5">
        <w:rPr>
          <w:rFonts w:asciiTheme="minorHAnsi" w:hAnsiTheme="minorHAnsi" w:cstheme="minorHAnsi"/>
          <w:color w:val="auto"/>
        </w:rPr>
        <w:t>e 5010</w:t>
      </w:r>
      <w:r w:rsidR="00F33BF6" w:rsidRPr="00ED16B5">
        <w:rPr>
          <w:rFonts w:asciiTheme="minorHAnsi" w:hAnsiTheme="minorHAnsi" w:cstheme="minorHAnsi"/>
          <w:color w:val="auto"/>
        </w:rPr>
        <w:t xml:space="preserve"> code refers to the same rating criteria under code 5003 used by the PEB.  </w:t>
      </w:r>
    </w:p>
    <w:p w:rsidR="00980374" w:rsidRPr="00ED16B5" w:rsidRDefault="0089026E" w:rsidP="00813319">
      <w:pPr>
        <w:tabs>
          <w:tab w:val="left" w:pos="288"/>
          <w:tab w:val="left" w:pos="4752"/>
        </w:tabs>
        <w:spacing w:line="240" w:lineRule="exact"/>
        <w:jc w:val="both"/>
        <w:rPr>
          <w:rFonts w:asciiTheme="minorHAnsi" w:hAnsiTheme="minorHAnsi" w:cstheme="minorHAnsi"/>
          <w:color w:val="auto"/>
        </w:rPr>
      </w:pPr>
      <w:r w:rsidRPr="00ED16B5">
        <w:rPr>
          <w:rFonts w:ascii="Calibri" w:hAnsi="Calibri"/>
          <w:color w:val="auto"/>
          <w:szCs w:val="24"/>
        </w:rPr>
        <w:lastRenderedPageBreak/>
        <w:t>The PEB and VA chose different approaches, discussed above,</w:t>
      </w:r>
      <w:r w:rsidR="00F33BF6" w:rsidRPr="00ED16B5">
        <w:rPr>
          <w:rFonts w:ascii="Calibri" w:hAnsi="Calibri"/>
          <w:color w:val="auto"/>
          <w:szCs w:val="24"/>
        </w:rPr>
        <w:t xml:space="preserve"> to rate</w:t>
      </w:r>
      <w:r w:rsidRPr="00ED16B5">
        <w:rPr>
          <w:rFonts w:ascii="Calibri" w:hAnsi="Calibri"/>
          <w:color w:val="auto"/>
          <w:szCs w:val="24"/>
        </w:rPr>
        <w:t xml:space="preserve"> the </w:t>
      </w:r>
      <w:r w:rsidR="00F33BF6" w:rsidRPr="00ED16B5">
        <w:rPr>
          <w:rFonts w:ascii="Calibri" w:hAnsi="Calibri"/>
          <w:color w:val="auto"/>
          <w:szCs w:val="24"/>
        </w:rPr>
        <w:t xml:space="preserve">right </w:t>
      </w:r>
      <w:r w:rsidRPr="00ED16B5">
        <w:rPr>
          <w:rFonts w:ascii="Calibri" w:hAnsi="Calibri"/>
          <w:color w:val="auto"/>
          <w:szCs w:val="24"/>
        </w:rPr>
        <w:t>knee condition</w:t>
      </w:r>
      <w:r w:rsidR="00F33BF6" w:rsidRPr="00ED16B5">
        <w:rPr>
          <w:rFonts w:ascii="Calibri" w:hAnsi="Calibri"/>
          <w:color w:val="auto"/>
          <w:szCs w:val="24"/>
        </w:rPr>
        <w:t>.</w:t>
      </w:r>
      <w:r w:rsidRPr="00ED16B5">
        <w:rPr>
          <w:rFonts w:ascii="Calibri" w:hAnsi="Calibri"/>
          <w:color w:val="auto"/>
          <w:szCs w:val="24"/>
        </w:rPr>
        <w:t xml:space="preserve">  </w:t>
      </w:r>
      <w:r w:rsidR="00C13D5F" w:rsidRPr="00ED16B5">
        <w:rPr>
          <w:rFonts w:ascii="Calibri" w:hAnsi="Calibri"/>
          <w:color w:val="auto"/>
          <w:szCs w:val="24"/>
        </w:rPr>
        <w:t xml:space="preserve">The Board considered that the </w:t>
      </w:r>
      <w:r w:rsidR="00EB7422" w:rsidRPr="00ED16B5">
        <w:rPr>
          <w:rFonts w:ascii="Calibri" w:hAnsi="Calibri"/>
          <w:color w:val="auto"/>
          <w:szCs w:val="24"/>
        </w:rPr>
        <w:t xml:space="preserve">MEB’s </w:t>
      </w:r>
      <w:r w:rsidR="00C13D5F" w:rsidRPr="00ED16B5">
        <w:rPr>
          <w:rFonts w:ascii="Calibri" w:hAnsi="Calibri"/>
          <w:color w:val="auto"/>
          <w:szCs w:val="24"/>
        </w:rPr>
        <w:t xml:space="preserve">“7mm free body” (right knee) </w:t>
      </w:r>
      <w:r w:rsidR="00EB7422" w:rsidRPr="00ED16B5">
        <w:rPr>
          <w:rFonts w:ascii="Calibri" w:hAnsi="Calibri"/>
          <w:color w:val="auto"/>
          <w:szCs w:val="24"/>
        </w:rPr>
        <w:t xml:space="preserve">condition </w:t>
      </w:r>
      <w:r w:rsidR="00C13D5F" w:rsidRPr="00ED16B5">
        <w:rPr>
          <w:rFonts w:ascii="Calibri" w:hAnsi="Calibri"/>
          <w:color w:val="auto"/>
          <w:szCs w:val="24"/>
        </w:rPr>
        <w:t>is considered in the overall knee rating</w:t>
      </w:r>
      <w:r w:rsidR="003704A9" w:rsidRPr="00ED16B5">
        <w:rPr>
          <w:rFonts w:ascii="Calibri" w:hAnsi="Calibri"/>
          <w:color w:val="auto"/>
          <w:szCs w:val="24"/>
        </w:rPr>
        <w:t>s</w:t>
      </w:r>
      <w:r w:rsidR="00C13D5F" w:rsidRPr="00ED16B5">
        <w:rPr>
          <w:rFonts w:ascii="Calibri" w:hAnsi="Calibri"/>
          <w:color w:val="auto"/>
          <w:szCs w:val="24"/>
        </w:rPr>
        <w:t xml:space="preserve"> and is not separately ratable.  </w:t>
      </w:r>
      <w:r w:rsidRPr="00ED16B5">
        <w:rPr>
          <w:rFonts w:ascii="Calibri" w:hAnsi="Calibri"/>
          <w:color w:val="auto"/>
          <w:szCs w:val="24"/>
        </w:rPr>
        <w:t>The Board considered multiple coding options for the right knee condition</w:t>
      </w:r>
      <w:r w:rsidR="00C1308E" w:rsidRPr="00ED16B5">
        <w:rPr>
          <w:rFonts w:ascii="Calibri" w:hAnsi="Calibri"/>
          <w:color w:val="auto"/>
          <w:szCs w:val="24"/>
        </w:rPr>
        <w:t xml:space="preserve"> with the </w:t>
      </w:r>
      <w:r w:rsidR="00981115">
        <w:rPr>
          <w:rFonts w:ascii="Calibri" w:hAnsi="Calibri"/>
          <w:color w:val="auto"/>
          <w:szCs w:val="24"/>
        </w:rPr>
        <w:t>VA Schedule for Rating Disabilities (</w:t>
      </w:r>
      <w:r w:rsidR="00C1308E" w:rsidRPr="00ED16B5">
        <w:rPr>
          <w:rFonts w:ascii="Calibri" w:hAnsi="Calibri"/>
          <w:color w:val="auto"/>
          <w:szCs w:val="24"/>
        </w:rPr>
        <w:t>VA</w:t>
      </w:r>
      <w:r w:rsidR="003704A9" w:rsidRPr="00ED16B5">
        <w:rPr>
          <w:rFonts w:ascii="Calibri" w:hAnsi="Calibri"/>
          <w:color w:val="auto"/>
          <w:szCs w:val="24"/>
        </w:rPr>
        <w:t>SRD</w:t>
      </w:r>
      <w:r w:rsidR="00981115">
        <w:rPr>
          <w:rFonts w:ascii="Calibri" w:hAnsi="Calibri"/>
          <w:color w:val="auto"/>
          <w:szCs w:val="24"/>
        </w:rPr>
        <w:t>)</w:t>
      </w:r>
      <w:r w:rsidR="00C1308E" w:rsidRPr="00ED16B5">
        <w:rPr>
          <w:rFonts w:ascii="Calibri" w:hAnsi="Calibri"/>
          <w:color w:val="auto"/>
          <w:szCs w:val="24"/>
        </w:rPr>
        <w:t xml:space="preserve"> provision</w:t>
      </w:r>
      <w:r w:rsidR="003704A9" w:rsidRPr="00ED16B5">
        <w:rPr>
          <w:rFonts w:ascii="Calibri" w:hAnsi="Calibri"/>
          <w:color w:val="auto"/>
          <w:szCs w:val="24"/>
        </w:rPr>
        <w:t>s</w:t>
      </w:r>
      <w:r w:rsidR="00C1308E" w:rsidRPr="00ED16B5">
        <w:rPr>
          <w:rFonts w:ascii="Calibri" w:hAnsi="Calibri"/>
          <w:color w:val="auto"/>
          <w:szCs w:val="24"/>
        </w:rPr>
        <w:t xml:space="preserve"> allowing multiple coding of the knee and with the provisions of §4.14 (avoidance of pyramiding).  </w:t>
      </w:r>
      <w:r w:rsidR="00EB7422" w:rsidRPr="00ED16B5">
        <w:rPr>
          <w:rFonts w:ascii="Calibri" w:hAnsi="Calibri"/>
          <w:color w:val="auto"/>
          <w:szCs w:val="24"/>
        </w:rPr>
        <w:t xml:space="preserve">The CI’s knee replacement in 2008 was adjudged post-separation worsening and had little probative value to rating at the time of separation.  </w:t>
      </w:r>
      <w:r w:rsidR="00980374" w:rsidRPr="00ED16B5">
        <w:rPr>
          <w:rFonts w:ascii="Calibri" w:hAnsi="Calibri"/>
          <w:color w:val="auto"/>
          <w:szCs w:val="24"/>
        </w:rPr>
        <w:t>The Board considered the probative values of the exams and the majority determined that the VA exam had the highest probative value</w:t>
      </w:r>
      <w:r w:rsidR="00981115">
        <w:rPr>
          <w:rFonts w:ascii="Calibri" w:hAnsi="Calibri"/>
          <w:color w:val="auto"/>
          <w:szCs w:val="24"/>
        </w:rPr>
        <w:t>,</w:t>
      </w:r>
      <w:r w:rsidR="00980374" w:rsidRPr="00ED16B5">
        <w:rPr>
          <w:rFonts w:ascii="Calibri" w:hAnsi="Calibri"/>
          <w:color w:val="auto"/>
          <w:szCs w:val="24"/>
        </w:rPr>
        <w:t xml:space="preserve"> as it was closest to the date of separation.</w:t>
      </w:r>
    </w:p>
    <w:p w:rsidR="008804E9" w:rsidRPr="00ED16B5" w:rsidRDefault="008804E9" w:rsidP="00813319">
      <w:pPr>
        <w:tabs>
          <w:tab w:val="left" w:pos="288"/>
          <w:tab w:val="left" w:pos="4752"/>
        </w:tabs>
        <w:spacing w:line="240" w:lineRule="exact"/>
        <w:jc w:val="both"/>
        <w:rPr>
          <w:rFonts w:asciiTheme="minorHAnsi" w:hAnsiTheme="minorHAnsi" w:cstheme="minorHAnsi"/>
          <w:color w:val="auto"/>
        </w:rPr>
      </w:pPr>
    </w:p>
    <w:p w:rsidR="00813319" w:rsidRPr="00ED16B5" w:rsidRDefault="008804E9" w:rsidP="00813319">
      <w:pPr>
        <w:tabs>
          <w:tab w:val="left" w:pos="288"/>
          <w:tab w:val="left" w:pos="4752"/>
        </w:tabs>
        <w:spacing w:line="240" w:lineRule="exact"/>
        <w:jc w:val="both"/>
        <w:rPr>
          <w:rFonts w:asciiTheme="minorHAnsi" w:hAnsiTheme="minorHAnsi" w:cstheme="minorHAnsi"/>
          <w:color w:val="auto"/>
        </w:rPr>
      </w:pPr>
      <w:r w:rsidRPr="00ED16B5">
        <w:rPr>
          <w:rFonts w:asciiTheme="minorHAnsi" w:hAnsiTheme="minorHAnsi" w:cstheme="minorHAnsi"/>
          <w:color w:val="auto"/>
        </w:rPr>
        <w:t xml:space="preserve">Using any of the </w:t>
      </w:r>
      <w:r w:rsidR="00EB7422" w:rsidRPr="00ED16B5">
        <w:rPr>
          <w:rFonts w:asciiTheme="minorHAnsi" w:hAnsiTheme="minorHAnsi" w:cstheme="minorHAnsi"/>
          <w:color w:val="auto"/>
        </w:rPr>
        <w:t xml:space="preserve">ROM </w:t>
      </w:r>
      <w:r w:rsidRPr="00ED16B5">
        <w:rPr>
          <w:rFonts w:asciiTheme="minorHAnsi" w:hAnsiTheme="minorHAnsi" w:cstheme="minorHAnsi"/>
          <w:color w:val="auto"/>
        </w:rPr>
        <w:t xml:space="preserve">examinations, the limited ROMs </w:t>
      </w:r>
      <w:r w:rsidR="00EB7422" w:rsidRPr="00ED16B5">
        <w:rPr>
          <w:rFonts w:asciiTheme="minorHAnsi" w:hAnsiTheme="minorHAnsi" w:cstheme="minorHAnsi"/>
          <w:color w:val="auto"/>
        </w:rPr>
        <w:t xml:space="preserve">with abnormal imaging </w:t>
      </w:r>
      <w:r w:rsidRPr="00ED16B5">
        <w:rPr>
          <w:rFonts w:asciiTheme="minorHAnsi" w:hAnsiTheme="minorHAnsi" w:cstheme="minorHAnsi"/>
          <w:color w:val="auto"/>
        </w:rPr>
        <w:t xml:space="preserve">met the 10% rating criteria </w:t>
      </w:r>
      <w:proofErr w:type="gramStart"/>
      <w:r w:rsidRPr="00ED16B5">
        <w:rPr>
          <w:rFonts w:asciiTheme="minorHAnsi" w:hAnsiTheme="minorHAnsi" w:cstheme="minorHAnsi"/>
          <w:color w:val="auto"/>
        </w:rPr>
        <w:t>under</w:t>
      </w:r>
      <w:proofErr w:type="gramEnd"/>
      <w:r w:rsidRPr="00ED16B5">
        <w:rPr>
          <w:rFonts w:asciiTheme="minorHAnsi" w:hAnsiTheme="minorHAnsi" w:cstheme="minorHAnsi"/>
          <w:color w:val="auto"/>
        </w:rPr>
        <w:t xml:space="preserve"> 5003 or other codes (such as 5010) that apply the 5003 criteria for limited motion.  Although the PEB code of 5299-5003 is acceptable, the coding of 5010</w:t>
      </w:r>
      <w:r w:rsidR="00271A39" w:rsidRPr="00ED16B5">
        <w:rPr>
          <w:rFonts w:asciiTheme="minorHAnsi" w:hAnsiTheme="minorHAnsi" w:cstheme="minorHAnsi"/>
          <w:color w:val="auto"/>
        </w:rPr>
        <w:t xml:space="preserve"> </w:t>
      </w:r>
      <w:r w:rsidRPr="00ED16B5">
        <w:rPr>
          <w:rFonts w:asciiTheme="minorHAnsi" w:hAnsiTheme="minorHAnsi" w:cstheme="minorHAnsi"/>
          <w:color w:val="auto"/>
        </w:rPr>
        <w:t>is predominate</w:t>
      </w:r>
      <w:r w:rsidR="00981115">
        <w:rPr>
          <w:rFonts w:asciiTheme="minorHAnsi" w:hAnsiTheme="minorHAnsi" w:cstheme="minorHAnsi"/>
          <w:color w:val="auto"/>
        </w:rPr>
        <w:t>,</w:t>
      </w:r>
      <w:r w:rsidRPr="00ED16B5">
        <w:rPr>
          <w:rFonts w:asciiTheme="minorHAnsi" w:hAnsiTheme="minorHAnsi" w:cstheme="minorHAnsi"/>
          <w:color w:val="auto"/>
        </w:rPr>
        <w:t xml:space="preserve"> as it indicates the traumatic nature of the CI’s injury.</w:t>
      </w:r>
      <w:r w:rsidR="008C42CF" w:rsidRPr="00ED16B5">
        <w:rPr>
          <w:rFonts w:asciiTheme="minorHAnsi" w:hAnsiTheme="minorHAnsi" w:cstheme="minorHAnsi"/>
          <w:color w:val="auto"/>
        </w:rPr>
        <w:t xml:space="preserve">  </w:t>
      </w:r>
      <w:r w:rsidR="0089026E" w:rsidRPr="00ED16B5">
        <w:rPr>
          <w:rFonts w:asciiTheme="minorHAnsi" w:hAnsiTheme="minorHAnsi"/>
          <w:color w:val="auto"/>
          <w:szCs w:val="24"/>
        </w:rPr>
        <w:t xml:space="preserve">The Board found evidence in this case to support a position that the CI’s functional loss due to </w:t>
      </w:r>
      <w:r w:rsidR="00A62B7B" w:rsidRPr="00ED16B5">
        <w:rPr>
          <w:rFonts w:asciiTheme="minorHAnsi" w:hAnsiTheme="minorHAnsi"/>
          <w:color w:val="auto"/>
          <w:szCs w:val="24"/>
        </w:rPr>
        <w:t xml:space="preserve">meniscal repair, </w:t>
      </w:r>
      <w:r w:rsidR="00490A10" w:rsidRPr="00ED16B5">
        <w:rPr>
          <w:rFonts w:asciiTheme="minorHAnsi" w:hAnsiTheme="minorHAnsi"/>
          <w:color w:val="auto"/>
          <w:szCs w:val="24"/>
        </w:rPr>
        <w:t>laxity/instability, loose body, and effusion</w:t>
      </w:r>
      <w:r w:rsidR="00A62B7B" w:rsidRPr="00ED16B5">
        <w:rPr>
          <w:rFonts w:asciiTheme="minorHAnsi" w:hAnsiTheme="minorHAnsi"/>
          <w:color w:val="auto"/>
          <w:szCs w:val="24"/>
        </w:rPr>
        <w:t>s</w:t>
      </w:r>
      <w:r w:rsidR="00490A10" w:rsidRPr="00ED16B5">
        <w:rPr>
          <w:rFonts w:asciiTheme="minorHAnsi" w:hAnsiTheme="minorHAnsi"/>
          <w:color w:val="auto"/>
          <w:szCs w:val="24"/>
        </w:rPr>
        <w:t xml:space="preserve"> (as rated by the VA under code 5257) was in addition to and independent of the </w:t>
      </w:r>
      <w:r w:rsidRPr="00ED16B5">
        <w:rPr>
          <w:rFonts w:asciiTheme="minorHAnsi" w:hAnsiTheme="minorHAnsi"/>
          <w:color w:val="auto"/>
          <w:szCs w:val="24"/>
        </w:rPr>
        <w:t>ROM limitations from osteoarthritis</w:t>
      </w:r>
      <w:r w:rsidR="0089026E" w:rsidRPr="00ED16B5">
        <w:rPr>
          <w:rFonts w:asciiTheme="minorHAnsi" w:hAnsiTheme="minorHAnsi"/>
          <w:color w:val="auto"/>
          <w:szCs w:val="24"/>
        </w:rPr>
        <w:t>.</w:t>
      </w:r>
      <w:r w:rsidR="00AB62C8" w:rsidRPr="00ED16B5">
        <w:rPr>
          <w:rFonts w:asciiTheme="minorHAnsi" w:hAnsiTheme="minorHAnsi"/>
          <w:color w:val="auto"/>
          <w:szCs w:val="24"/>
        </w:rPr>
        <w:t xml:space="preserve">  </w:t>
      </w:r>
      <w:r w:rsidR="0089026E" w:rsidRPr="00ED16B5">
        <w:rPr>
          <w:rFonts w:asciiTheme="minorHAnsi" w:hAnsiTheme="minorHAnsi"/>
          <w:color w:val="auto"/>
          <w:szCs w:val="24"/>
        </w:rPr>
        <w:t>The Board discussed whet</w:t>
      </w:r>
      <w:r w:rsidR="00F33BF6" w:rsidRPr="00ED16B5">
        <w:rPr>
          <w:rFonts w:asciiTheme="minorHAnsi" w:hAnsiTheme="minorHAnsi"/>
          <w:color w:val="auto"/>
          <w:szCs w:val="24"/>
        </w:rPr>
        <w:t>her the records reflected a slight</w:t>
      </w:r>
      <w:r w:rsidR="00BC0175" w:rsidRPr="00ED16B5">
        <w:rPr>
          <w:rFonts w:asciiTheme="minorHAnsi" w:hAnsiTheme="minorHAnsi"/>
          <w:color w:val="auto"/>
          <w:szCs w:val="24"/>
        </w:rPr>
        <w:t xml:space="preserve"> verses moderate </w:t>
      </w:r>
      <w:r w:rsidR="00490A10" w:rsidRPr="00ED16B5">
        <w:rPr>
          <w:rFonts w:asciiTheme="minorHAnsi" w:hAnsiTheme="minorHAnsi"/>
          <w:color w:val="auto"/>
          <w:szCs w:val="24"/>
        </w:rPr>
        <w:t>disability level</w:t>
      </w:r>
      <w:r w:rsidR="00BC0175" w:rsidRPr="00ED16B5">
        <w:rPr>
          <w:rFonts w:asciiTheme="minorHAnsi" w:hAnsiTheme="minorHAnsi"/>
          <w:color w:val="auto"/>
          <w:szCs w:val="24"/>
        </w:rPr>
        <w:t>.</w:t>
      </w:r>
      <w:r w:rsidR="008C42CF" w:rsidRPr="00ED16B5">
        <w:rPr>
          <w:rFonts w:asciiTheme="minorHAnsi" w:hAnsiTheme="minorHAnsi" w:cstheme="minorHAnsi"/>
          <w:color w:val="auto"/>
          <w:szCs w:val="24"/>
        </w:rPr>
        <w:t xml:space="preserve">  </w:t>
      </w:r>
      <w:r w:rsidR="00490A10" w:rsidRPr="00ED16B5">
        <w:rPr>
          <w:rFonts w:ascii="Calibri" w:hAnsi="Calibri"/>
          <w:color w:val="auto"/>
          <w:szCs w:val="24"/>
        </w:rPr>
        <w:t xml:space="preserve">The CI had a meniscal tear repair and debridement, so </w:t>
      </w:r>
      <w:r w:rsidR="00981115">
        <w:rPr>
          <w:rFonts w:ascii="Calibri" w:hAnsi="Calibri"/>
          <w:color w:val="auto"/>
          <w:szCs w:val="24"/>
        </w:rPr>
        <w:t>c</w:t>
      </w:r>
      <w:r w:rsidR="00490A10" w:rsidRPr="00ED16B5">
        <w:rPr>
          <w:rFonts w:ascii="Calibri" w:hAnsi="Calibri"/>
          <w:color w:val="auto"/>
          <w:szCs w:val="24"/>
        </w:rPr>
        <w:t>ode</w:t>
      </w:r>
      <w:r w:rsidR="00980374" w:rsidRPr="00ED16B5">
        <w:rPr>
          <w:rFonts w:ascii="Calibri" w:hAnsi="Calibri"/>
          <w:color w:val="auto"/>
          <w:szCs w:val="24"/>
        </w:rPr>
        <w:t>s</w:t>
      </w:r>
      <w:r w:rsidR="00490A10" w:rsidRPr="00ED16B5">
        <w:rPr>
          <w:rFonts w:ascii="Calibri" w:hAnsi="Calibri"/>
          <w:color w:val="auto"/>
          <w:szCs w:val="24"/>
        </w:rPr>
        <w:t xml:space="preserve"> </w:t>
      </w:r>
      <w:r w:rsidR="00490A10" w:rsidRPr="00ED16B5">
        <w:rPr>
          <w:rFonts w:asciiTheme="minorHAnsi" w:hAnsiTheme="minorHAnsi" w:cstheme="minorHAnsi"/>
          <w:bCs/>
          <w:color w:val="auto"/>
        </w:rPr>
        <w:t>5259</w:t>
      </w:r>
      <w:r w:rsidR="00980374" w:rsidRPr="00ED16B5">
        <w:rPr>
          <w:rFonts w:asciiTheme="minorHAnsi" w:hAnsiTheme="minorHAnsi" w:cstheme="minorHAnsi"/>
          <w:bCs/>
          <w:color w:val="auto"/>
        </w:rPr>
        <w:t xml:space="preserve"> or 5258</w:t>
      </w:r>
      <w:r w:rsidR="00490A10" w:rsidRPr="00ED16B5">
        <w:rPr>
          <w:rFonts w:asciiTheme="minorHAnsi" w:hAnsiTheme="minorHAnsi" w:cstheme="minorHAnsi"/>
          <w:b/>
          <w:bCs/>
          <w:color w:val="auto"/>
        </w:rPr>
        <w:t xml:space="preserve"> </w:t>
      </w:r>
      <w:r w:rsidR="00490A10" w:rsidRPr="00ED16B5">
        <w:rPr>
          <w:rFonts w:asciiTheme="minorHAnsi" w:hAnsiTheme="minorHAnsi" w:cstheme="minorHAnsi"/>
          <w:bCs/>
          <w:color w:val="auto"/>
        </w:rPr>
        <w:t>(c</w:t>
      </w:r>
      <w:r w:rsidR="00980374" w:rsidRPr="00ED16B5">
        <w:rPr>
          <w:rFonts w:asciiTheme="minorHAnsi" w:hAnsiTheme="minorHAnsi" w:cstheme="minorHAnsi"/>
          <w:color w:val="auto"/>
        </w:rPr>
        <w:t xml:space="preserve">artilage, semilunar) </w:t>
      </w:r>
      <w:r w:rsidR="00490A10" w:rsidRPr="00ED16B5">
        <w:rPr>
          <w:rFonts w:asciiTheme="minorHAnsi" w:hAnsiTheme="minorHAnsi" w:cstheme="minorHAnsi"/>
          <w:color w:val="auto"/>
        </w:rPr>
        <w:t>w</w:t>
      </w:r>
      <w:r w:rsidR="00980374" w:rsidRPr="00ED16B5">
        <w:rPr>
          <w:rFonts w:asciiTheme="minorHAnsi" w:hAnsiTheme="minorHAnsi" w:cstheme="minorHAnsi"/>
          <w:color w:val="auto"/>
        </w:rPr>
        <w:t>ere</w:t>
      </w:r>
      <w:r w:rsidR="00490A10" w:rsidRPr="00ED16B5">
        <w:rPr>
          <w:rFonts w:asciiTheme="minorHAnsi" w:hAnsiTheme="minorHAnsi" w:cstheme="minorHAnsi"/>
          <w:color w:val="auto"/>
        </w:rPr>
        <w:t xml:space="preserve"> considered</w:t>
      </w:r>
      <w:r w:rsidR="00271A39" w:rsidRPr="00ED16B5">
        <w:rPr>
          <w:rFonts w:asciiTheme="minorHAnsi" w:hAnsiTheme="minorHAnsi" w:cstheme="minorHAnsi"/>
          <w:color w:val="auto"/>
        </w:rPr>
        <w:t>;</w:t>
      </w:r>
      <w:r w:rsidR="00490A10" w:rsidRPr="00ED16B5">
        <w:rPr>
          <w:rFonts w:asciiTheme="minorHAnsi" w:hAnsiTheme="minorHAnsi" w:cstheme="minorHAnsi"/>
          <w:color w:val="auto"/>
        </w:rPr>
        <w:t xml:space="preserve"> </w:t>
      </w:r>
      <w:r w:rsidR="00980374" w:rsidRPr="00ED16B5">
        <w:rPr>
          <w:rFonts w:asciiTheme="minorHAnsi" w:hAnsiTheme="minorHAnsi" w:cstheme="minorHAnsi"/>
          <w:color w:val="auto"/>
        </w:rPr>
        <w:t>the record demonstrated frequent, or near-constant, knee effusion</w:t>
      </w:r>
      <w:r w:rsidR="00981115">
        <w:rPr>
          <w:rFonts w:asciiTheme="minorHAnsi" w:hAnsiTheme="minorHAnsi" w:cstheme="minorHAnsi"/>
          <w:color w:val="auto"/>
        </w:rPr>
        <w:t>,</w:t>
      </w:r>
      <w:r w:rsidR="00980374" w:rsidRPr="00ED16B5">
        <w:rPr>
          <w:rFonts w:asciiTheme="minorHAnsi" w:hAnsiTheme="minorHAnsi" w:cstheme="minorHAnsi"/>
          <w:color w:val="auto"/>
        </w:rPr>
        <w:t xml:space="preserve"> without frank locking.  H</w:t>
      </w:r>
      <w:r w:rsidR="00490A10" w:rsidRPr="00ED16B5">
        <w:rPr>
          <w:rFonts w:asciiTheme="minorHAnsi" w:hAnsiTheme="minorHAnsi" w:cstheme="minorHAnsi"/>
          <w:color w:val="auto"/>
        </w:rPr>
        <w:t xml:space="preserve">owever, </w:t>
      </w:r>
      <w:r w:rsidR="00980374" w:rsidRPr="00ED16B5">
        <w:rPr>
          <w:rFonts w:asciiTheme="minorHAnsi" w:hAnsiTheme="minorHAnsi" w:cstheme="minorHAnsi"/>
          <w:color w:val="auto"/>
        </w:rPr>
        <w:t xml:space="preserve">all non-ROM </w:t>
      </w:r>
      <w:r w:rsidR="00271A39" w:rsidRPr="00ED16B5">
        <w:rPr>
          <w:rFonts w:asciiTheme="minorHAnsi" w:hAnsiTheme="minorHAnsi" w:cstheme="minorHAnsi"/>
          <w:color w:val="auto"/>
        </w:rPr>
        <w:t>symptoms</w:t>
      </w:r>
      <w:r w:rsidR="00490A10" w:rsidRPr="00ED16B5">
        <w:rPr>
          <w:rFonts w:asciiTheme="minorHAnsi" w:hAnsiTheme="minorHAnsi" w:cstheme="minorHAnsi"/>
          <w:color w:val="auto"/>
        </w:rPr>
        <w:t xml:space="preserve"> </w:t>
      </w:r>
      <w:r w:rsidR="00271A39" w:rsidRPr="00ED16B5">
        <w:rPr>
          <w:rFonts w:asciiTheme="minorHAnsi" w:hAnsiTheme="minorHAnsi" w:cstheme="minorHAnsi"/>
          <w:color w:val="auto"/>
        </w:rPr>
        <w:t xml:space="preserve">under </w:t>
      </w:r>
      <w:r w:rsidR="00980374" w:rsidRPr="00ED16B5">
        <w:rPr>
          <w:rFonts w:asciiTheme="minorHAnsi" w:hAnsiTheme="minorHAnsi" w:cstheme="minorHAnsi"/>
          <w:color w:val="auto"/>
        </w:rPr>
        <w:t xml:space="preserve">analogous </w:t>
      </w:r>
      <w:r w:rsidR="00271A39" w:rsidRPr="00ED16B5">
        <w:rPr>
          <w:rFonts w:asciiTheme="minorHAnsi" w:hAnsiTheme="minorHAnsi" w:cstheme="minorHAnsi"/>
          <w:color w:val="auto"/>
        </w:rPr>
        <w:t>coding for 5257 appeared predominate</w:t>
      </w:r>
      <w:r w:rsidR="00490A10" w:rsidRPr="00ED16B5">
        <w:rPr>
          <w:rFonts w:asciiTheme="minorHAnsi" w:hAnsiTheme="minorHAnsi" w:cstheme="minorHAnsi"/>
          <w:color w:val="auto"/>
        </w:rPr>
        <w:t xml:space="preserve">.  </w:t>
      </w:r>
      <w:r w:rsidR="00490A10" w:rsidRPr="00ED16B5">
        <w:rPr>
          <w:rFonts w:asciiTheme="minorHAnsi" w:hAnsiTheme="minorHAnsi" w:cstheme="minorHAnsi"/>
          <w:color w:val="auto"/>
          <w:szCs w:val="24"/>
        </w:rPr>
        <w:t xml:space="preserve">Given </w:t>
      </w:r>
      <w:r w:rsidR="00BC0175" w:rsidRPr="00ED16B5">
        <w:rPr>
          <w:rFonts w:asciiTheme="minorHAnsi" w:hAnsiTheme="minorHAnsi" w:cstheme="minorHAnsi"/>
          <w:color w:val="auto"/>
          <w:szCs w:val="24"/>
        </w:rPr>
        <w:t xml:space="preserve">the </w:t>
      </w:r>
      <w:r w:rsidR="00490A10" w:rsidRPr="00ED16B5">
        <w:rPr>
          <w:rFonts w:asciiTheme="minorHAnsi" w:hAnsiTheme="minorHAnsi" w:cstheme="minorHAnsi"/>
          <w:color w:val="auto"/>
          <w:szCs w:val="24"/>
        </w:rPr>
        <w:t xml:space="preserve">entirety of the right knee disability (absent limited ROM) the CI’s disability </w:t>
      </w:r>
      <w:r w:rsidR="00271A39" w:rsidRPr="00ED16B5">
        <w:rPr>
          <w:rFonts w:asciiTheme="minorHAnsi" w:hAnsiTheme="minorHAnsi" w:cstheme="minorHAnsi"/>
          <w:color w:val="auto"/>
          <w:szCs w:val="24"/>
        </w:rPr>
        <w:t>picture more closely approximates</w:t>
      </w:r>
      <w:r w:rsidR="00490A10" w:rsidRPr="00ED16B5">
        <w:rPr>
          <w:rFonts w:asciiTheme="minorHAnsi" w:hAnsiTheme="minorHAnsi" w:cstheme="minorHAnsi"/>
          <w:color w:val="auto"/>
          <w:szCs w:val="24"/>
        </w:rPr>
        <w:t xml:space="preserve"> the </w:t>
      </w:r>
      <w:r w:rsidR="00BC0175" w:rsidRPr="00ED16B5">
        <w:rPr>
          <w:rFonts w:asciiTheme="minorHAnsi" w:hAnsiTheme="minorHAnsi" w:cstheme="minorHAnsi"/>
          <w:color w:val="auto"/>
          <w:szCs w:val="24"/>
        </w:rPr>
        <w:t>moderate</w:t>
      </w:r>
      <w:r w:rsidR="00490A10" w:rsidRPr="00ED16B5">
        <w:rPr>
          <w:rFonts w:asciiTheme="minorHAnsi" w:hAnsiTheme="minorHAnsi" w:cstheme="minorHAnsi"/>
          <w:color w:val="auto"/>
          <w:szCs w:val="24"/>
        </w:rPr>
        <w:t xml:space="preserve"> (20%) rating level analogously to </w:t>
      </w:r>
      <w:r w:rsidR="00BC0175" w:rsidRPr="00ED16B5">
        <w:rPr>
          <w:rFonts w:asciiTheme="minorHAnsi" w:hAnsiTheme="minorHAnsi" w:cstheme="minorHAnsi"/>
          <w:color w:val="auto"/>
          <w:szCs w:val="24"/>
        </w:rPr>
        <w:t>code 5257.  After due deliberation, considering all of the evidence and</w:t>
      </w:r>
      <w:r w:rsidR="00BC0175" w:rsidRPr="00ED16B5">
        <w:rPr>
          <w:rFonts w:asciiTheme="minorHAnsi" w:hAnsiTheme="minorHAnsi"/>
          <w:color w:val="auto"/>
          <w:szCs w:val="24"/>
        </w:rPr>
        <w:t xml:space="preserve"> mindful of VASRD §4.3 (reasonable doubt), the Board </w:t>
      </w:r>
      <w:r w:rsidR="00A62B7B" w:rsidRPr="00ED16B5">
        <w:rPr>
          <w:rFonts w:asciiTheme="minorHAnsi" w:hAnsiTheme="minorHAnsi"/>
          <w:color w:val="auto"/>
          <w:szCs w:val="24"/>
        </w:rPr>
        <w:t xml:space="preserve">majority </w:t>
      </w:r>
      <w:r w:rsidR="00BC0175" w:rsidRPr="00ED16B5">
        <w:rPr>
          <w:rFonts w:asciiTheme="minorHAnsi" w:hAnsiTheme="minorHAnsi"/>
          <w:color w:val="auto"/>
          <w:szCs w:val="24"/>
        </w:rPr>
        <w:t>recommends</w:t>
      </w:r>
      <w:r w:rsidR="00813319" w:rsidRPr="00ED16B5">
        <w:rPr>
          <w:rFonts w:asciiTheme="minorHAnsi" w:hAnsiTheme="minorHAnsi"/>
          <w:color w:val="auto"/>
          <w:szCs w:val="24"/>
        </w:rPr>
        <w:t xml:space="preserve"> a separation rating </w:t>
      </w:r>
      <w:r w:rsidR="00AB62C8" w:rsidRPr="00ED16B5">
        <w:rPr>
          <w:rFonts w:asciiTheme="minorHAnsi" w:hAnsiTheme="minorHAnsi"/>
          <w:color w:val="auto"/>
          <w:szCs w:val="24"/>
        </w:rPr>
        <w:t>for</w:t>
      </w:r>
      <w:r w:rsidR="00AB62C8" w:rsidRPr="00ED16B5">
        <w:rPr>
          <w:rFonts w:asciiTheme="minorHAnsi" w:hAnsiTheme="minorHAnsi" w:cstheme="minorHAnsi"/>
          <w:color w:val="auto"/>
          <w:szCs w:val="24"/>
        </w:rPr>
        <w:t xml:space="preserve"> </w:t>
      </w:r>
      <w:r w:rsidR="00A62B7B" w:rsidRPr="00ED16B5">
        <w:rPr>
          <w:rFonts w:asciiTheme="minorHAnsi" w:hAnsiTheme="minorHAnsi"/>
          <w:color w:val="auto"/>
          <w:szCs w:val="24"/>
        </w:rPr>
        <w:t xml:space="preserve">right knee meniscal tear and instability </w:t>
      </w:r>
      <w:r w:rsidR="00981115">
        <w:rPr>
          <w:rFonts w:asciiTheme="minorHAnsi" w:hAnsiTheme="minorHAnsi"/>
          <w:color w:val="auto"/>
          <w:szCs w:val="24"/>
        </w:rPr>
        <w:t>status post</w:t>
      </w:r>
      <w:r w:rsidR="00A62B7B" w:rsidRPr="00ED16B5">
        <w:rPr>
          <w:rFonts w:asciiTheme="minorHAnsi" w:hAnsiTheme="minorHAnsi"/>
          <w:color w:val="auto"/>
          <w:szCs w:val="24"/>
        </w:rPr>
        <w:t xml:space="preserve"> multiple surgical procedures coded 5299-5257 at 20</w:t>
      </w:r>
      <w:r w:rsidR="00A62B7B" w:rsidRPr="00ED16B5">
        <w:rPr>
          <w:rFonts w:asciiTheme="minorHAnsi" w:hAnsiTheme="minorHAnsi" w:cstheme="minorHAnsi"/>
          <w:color w:val="auto"/>
          <w:szCs w:val="24"/>
        </w:rPr>
        <w:t>%</w:t>
      </w:r>
      <w:r w:rsidR="00A62B7B" w:rsidRPr="00ED16B5">
        <w:rPr>
          <w:rFonts w:asciiTheme="minorHAnsi" w:eastAsia="HiddenHorzOCR" w:hAnsiTheme="minorHAnsi" w:cstheme="minorHAnsi"/>
          <w:color w:val="auto"/>
          <w:szCs w:val="24"/>
        </w:rPr>
        <w:t xml:space="preserve">, in addition to </w:t>
      </w:r>
      <w:r w:rsidR="00A62B7B" w:rsidRPr="00ED16B5">
        <w:rPr>
          <w:rFonts w:asciiTheme="minorHAnsi" w:hAnsiTheme="minorHAnsi"/>
          <w:color w:val="auto"/>
          <w:szCs w:val="24"/>
        </w:rPr>
        <w:t xml:space="preserve">a separation rating for </w:t>
      </w:r>
      <w:r w:rsidR="00AB62C8" w:rsidRPr="00ED16B5">
        <w:rPr>
          <w:rFonts w:asciiTheme="minorHAnsi" w:hAnsiTheme="minorHAnsi" w:cstheme="minorHAnsi"/>
          <w:color w:val="auto"/>
          <w:szCs w:val="24"/>
        </w:rPr>
        <w:t>severe compartmental degenerative disease of the right knee</w:t>
      </w:r>
      <w:r w:rsidR="00AB62C8" w:rsidRPr="00ED16B5">
        <w:rPr>
          <w:rFonts w:asciiTheme="minorHAnsi" w:hAnsiTheme="minorHAnsi"/>
          <w:color w:val="auto"/>
          <w:szCs w:val="24"/>
        </w:rPr>
        <w:t xml:space="preserve"> coded 5</w:t>
      </w:r>
      <w:r w:rsidR="00490A10" w:rsidRPr="00ED16B5">
        <w:rPr>
          <w:rFonts w:asciiTheme="minorHAnsi" w:hAnsiTheme="minorHAnsi"/>
          <w:color w:val="auto"/>
          <w:szCs w:val="24"/>
        </w:rPr>
        <w:t>010</w:t>
      </w:r>
      <w:r w:rsidR="00813319" w:rsidRPr="00ED16B5">
        <w:rPr>
          <w:rFonts w:asciiTheme="minorHAnsi" w:hAnsiTheme="minorHAnsi"/>
          <w:color w:val="auto"/>
          <w:szCs w:val="24"/>
        </w:rPr>
        <w:t xml:space="preserve"> </w:t>
      </w:r>
      <w:r w:rsidR="00490A10" w:rsidRPr="00ED16B5">
        <w:rPr>
          <w:rFonts w:asciiTheme="minorHAnsi" w:hAnsiTheme="minorHAnsi"/>
          <w:color w:val="auto"/>
          <w:szCs w:val="24"/>
        </w:rPr>
        <w:t>at 10%</w:t>
      </w:r>
      <w:r w:rsidR="00A62B7B" w:rsidRPr="00ED16B5">
        <w:rPr>
          <w:rFonts w:asciiTheme="minorHAnsi" w:hAnsiTheme="minorHAnsi"/>
          <w:color w:val="auto"/>
          <w:szCs w:val="24"/>
        </w:rPr>
        <w:t>, both</w:t>
      </w:r>
      <w:r w:rsidR="00490A10" w:rsidRPr="00ED16B5">
        <w:rPr>
          <w:rFonts w:asciiTheme="minorHAnsi" w:hAnsiTheme="minorHAnsi"/>
          <w:color w:val="auto"/>
          <w:szCs w:val="24"/>
        </w:rPr>
        <w:t xml:space="preserve"> </w:t>
      </w:r>
      <w:r w:rsidR="00640E9F" w:rsidRPr="00ED16B5">
        <w:rPr>
          <w:rFonts w:asciiTheme="minorHAnsi" w:eastAsia="HiddenHorzOCR" w:hAnsiTheme="minorHAnsi" w:cstheme="minorHAnsi"/>
          <w:color w:val="auto"/>
          <w:szCs w:val="24"/>
        </w:rPr>
        <w:t xml:space="preserve">IAW </w:t>
      </w:r>
      <w:r w:rsidR="00640E9F" w:rsidRPr="00ED16B5">
        <w:rPr>
          <w:rFonts w:asciiTheme="minorHAnsi" w:hAnsiTheme="minorHAnsi" w:cstheme="minorHAnsi"/>
          <w:color w:val="auto"/>
          <w:szCs w:val="24"/>
        </w:rPr>
        <w:t>VASRD §4.71a.</w:t>
      </w:r>
    </w:p>
    <w:p w:rsidR="00271A39" w:rsidRPr="00ED16B5" w:rsidRDefault="00271A39" w:rsidP="00271A39">
      <w:pPr>
        <w:tabs>
          <w:tab w:val="left" w:pos="288"/>
          <w:tab w:val="left" w:pos="4752"/>
        </w:tabs>
        <w:spacing w:line="240" w:lineRule="exact"/>
        <w:jc w:val="both"/>
        <w:rPr>
          <w:rFonts w:asciiTheme="minorHAnsi" w:hAnsiTheme="minorHAnsi" w:cstheme="minorHAnsi"/>
          <w:color w:val="auto"/>
          <w:szCs w:val="24"/>
        </w:rPr>
      </w:pPr>
    </w:p>
    <w:p w:rsidR="002D7DCD" w:rsidRPr="00ED16B5" w:rsidRDefault="00737283" w:rsidP="002D7DCD">
      <w:pPr>
        <w:spacing w:line="240" w:lineRule="exact"/>
        <w:jc w:val="both"/>
        <w:rPr>
          <w:rFonts w:asciiTheme="minorHAnsi" w:hAnsiTheme="minorHAnsi"/>
          <w:color w:val="auto"/>
          <w:szCs w:val="24"/>
        </w:rPr>
      </w:pPr>
      <w:proofErr w:type="gramStart"/>
      <w:r w:rsidRPr="00ED16B5">
        <w:rPr>
          <w:rFonts w:asciiTheme="minorHAnsi" w:eastAsia="HiddenHorzOCR" w:hAnsiTheme="minorHAnsi"/>
          <w:color w:val="auto"/>
          <w:szCs w:val="24"/>
          <w:u w:val="single"/>
        </w:rPr>
        <w:t xml:space="preserve">Other </w:t>
      </w:r>
      <w:r w:rsidR="00A0010C" w:rsidRPr="00ED16B5">
        <w:rPr>
          <w:rFonts w:asciiTheme="minorHAnsi" w:eastAsia="HiddenHorzOCR" w:hAnsiTheme="minorHAnsi"/>
          <w:color w:val="auto"/>
          <w:szCs w:val="24"/>
          <w:u w:val="single"/>
        </w:rPr>
        <w:t>Conditions</w:t>
      </w:r>
      <w:r w:rsidR="0089026E" w:rsidRPr="00ED16B5">
        <w:rPr>
          <w:rFonts w:asciiTheme="minorHAnsi" w:eastAsia="HiddenHorzOCR" w:hAnsiTheme="minorHAnsi"/>
          <w:color w:val="auto"/>
          <w:szCs w:val="24"/>
        </w:rPr>
        <w:t>.</w:t>
      </w:r>
      <w:proofErr w:type="gramEnd"/>
      <w:r w:rsidRPr="00ED16B5">
        <w:rPr>
          <w:rFonts w:asciiTheme="minorHAnsi" w:eastAsia="HiddenHorzOCR" w:hAnsiTheme="minorHAnsi"/>
          <w:color w:val="auto"/>
          <w:szCs w:val="24"/>
        </w:rPr>
        <w:t xml:space="preserve"> </w:t>
      </w:r>
      <w:r w:rsidR="00A0010C" w:rsidRPr="00ED16B5">
        <w:rPr>
          <w:rFonts w:asciiTheme="minorHAnsi" w:eastAsia="HiddenHorzOCR" w:hAnsiTheme="minorHAnsi"/>
          <w:color w:val="auto"/>
          <w:szCs w:val="24"/>
        </w:rPr>
        <w:t xml:space="preserve"> The other condition</w:t>
      </w:r>
      <w:r w:rsidRPr="00ED16B5">
        <w:rPr>
          <w:rFonts w:asciiTheme="minorHAnsi" w:eastAsia="HiddenHorzOCR" w:hAnsiTheme="minorHAnsi"/>
          <w:color w:val="auto"/>
          <w:szCs w:val="24"/>
        </w:rPr>
        <w:t xml:space="preserve"> forwarded by the MEB </w:t>
      </w:r>
      <w:r w:rsidR="00A0010C" w:rsidRPr="00ED16B5">
        <w:rPr>
          <w:rFonts w:asciiTheme="minorHAnsi" w:eastAsia="HiddenHorzOCR" w:hAnsiTheme="minorHAnsi"/>
          <w:color w:val="auto"/>
          <w:szCs w:val="24"/>
        </w:rPr>
        <w:t>was</w:t>
      </w:r>
      <w:r w:rsidRPr="00ED16B5">
        <w:rPr>
          <w:rFonts w:asciiTheme="minorHAnsi" w:eastAsia="HiddenHorzOCR" w:hAnsiTheme="minorHAnsi"/>
          <w:color w:val="auto"/>
          <w:szCs w:val="24"/>
        </w:rPr>
        <w:t xml:space="preserve"> </w:t>
      </w:r>
      <w:r w:rsidR="00A0010C" w:rsidRPr="00ED16B5">
        <w:rPr>
          <w:rFonts w:asciiTheme="minorHAnsi" w:eastAsia="HiddenHorzOCR" w:hAnsiTheme="minorHAnsi"/>
          <w:color w:val="auto"/>
          <w:szCs w:val="24"/>
        </w:rPr>
        <w:t xml:space="preserve">7mm free </w:t>
      </w:r>
      <w:r w:rsidR="00240299" w:rsidRPr="00ED16B5">
        <w:rPr>
          <w:rFonts w:asciiTheme="minorHAnsi" w:eastAsia="HiddenHorzOCR" w:hAnsiTheme="minorHAnsi"/>
          <w:color w:val="auto"/>
          <w:szCs w:val="24"/>
        </w:rPr>
        <w:t xml:space="preserve">(loose) </w:t>
      </w:r>
      <w:r w:rsidR="00A0010C" w:rsidRPr="00ED16B5">
        <w:rPr>
          <w:rFonts w:asciiTheme="minorHAnsi" w:eastAsia="HiddenHorzOCR" w:hAnsiTheme="minorHAnsi"/>
          <w:color w:val="auto"/>
          <w:szCs w:val="24"/>
        </w:rPr>
        <w:t>body</w:t>
      </w:r>
      <w:r w:rsidR="00240299" w:rsidRPr="00ED16B5">
        <w:rPr>
          <w:rFonts w:asciiTheme="minorHAnsi" w:eastAsia="HiddenHorzOCR" w:hAnsiTheme="minorHAnsi"/>
          <w:color w:val="auto"/>
          <w:szCs w:val="24"/>
        </w:rPr>
        <w:t xml:space="preserve"> in the right knee </w:t>
      </w:r>
      <w:r w:rsidR="00A0010C" w:rsidRPr="00ED16B5">
        <w:rPr>
          <w:rFonts w:asciiTheme="minorHAnsi" w:eastAsia="HiddenHorzOCR" w:hAnsiTheme="minorHAnsi"/>
          <w:color w:val="auto"/>
          <w:szCs w:val="24"/>
        </w:rPr>
        <w:t>condition</w:t>
      </w:r>
      <w:r w:rsidRPr="00ED16B5">
        <w:rPr>
          <w:rFonts w:asciiTheme="minorHAnsi" w:eastAsia="HiddenHorzOCR" w:hAnsiTheme="minorHAnsi"/>
          <w:color w:val="auto"/>
          <w:szCs w:val="24"/>
        </w:rPr>
        <w:t xml:space="preserve">.  </w:t>
      </w:r>
      <w:r w:rsidR="00A0010C" w:rsidRPr="00ED16B5">
        <w:rPr>
          <w:rFonts w:asciiTheme="minorHAnsi" w:eastAsia="HiddenHorzOCR" w:hAnsiTheme="minorHAnsi"/>
          <w:color w:val="auto"/>
          <w:szCs w:val="24"/>
        </w:rPr>
        <w:t>This condition</w:t>
      </w:r>
      <w:r w:rsidR="00240299" w:rsidRPr="00ED16B5">
        <w:rPr>
          <w:rFonts w:asciiTheme="minorHAnsi" w:eastAsia="HiddenHorzOCR" w:hAnsiTheme="minorHAnsi"/>
          <w:color w:val="auto"/>
          <w:szCs w:val="24"/>
        </w:rPr>
        <w:t xml:space="preserve"> i</w:t>
      </w:r>
      <w:r w:rsidR="002D7DCD" w:rsidRPr="00ED16B5">
        <w:rPr>
          <w:rFonts w:asciiTheme="minorHAnsi" w:eastAsia="HiddenHorzOCR" w:hAnsiTheme="minorHAnsi"/>
          <w:color w:val="auto"/>
          <w:szCs w:val="24"/>
        </w:rPr>
        <w:t>s one of several specific patho</w:t>
      </w:r>
      <w:r w:rsidR="00240299" w:rsidRPr="00ED16B5">
        <w:rPr>
          <w:rFonts w:asciiTheme="minorHAnsi" w:eastAsia="HiddenHorzOCR" w:hAnsiTheme="minorHAnsi"/>
          <w:color w:val="auto"/>
          <w:szCs w:val="24"/>
        </w:rPr>
        <w:t>logic</w:t>
      </w:r>
      <w:r w:rsidR="002D7DCD" w:rsidRPr="00ED16B5">
        <w:rPr>
          <w:rFonts w:asciiTheme="minorHAnsi" w:eastAsia="HiddenHorzOCR" w:hAnsiTheme="minorHAnsi"/>
          <w:color w:val="auto"/>
          <w:szCs w:val="24"/>
        </w:rPr>
        <w:t xml:space="preserve"> findings related to his right knee condition</w:t>
      </w:r>
      <w:r w:rsidR="00EB7422" w:rsidRPr="00ED16B5">
        <w:rPr>
          <w:rFonts w:asciiTheme="minorHAnsi" w:eastAsia="HiddenHorzOCR" w:hAnsiTheme="minorHAnsi"/>
          <w:color w:val="auto"/>
          <w:szCs w:val="24"/>
        </w:rPr>
        <w:t xml:space="preserve"> and was included in the discussion and overall knee rating above</w:t>
      </w:r>
      <w:r w:rsidR="002D7DCD" w:rsidRPr="00ED16B5">
        <w:rPr>
          <w:rFonts w:asciiTheme="minorHAnsi" w:eastAsia="HiddenHorzOCR" w:hAnsiTheme="minorHAnsi"/>
          <w:color w:val="auto"/>
          <w:szCs w:val="24"/>
        </w:rPr>
        <w:t xml:space="preserve">.  </w:t>
      </w:r>
    </w:p>
    <w:p w:rsidR="00737283" w:rsidRPr="00ED16B5" w:rsidRDefault="00737283" w:rsidP="00737283">
      <w:pPr>
        <w:spacing w:line="240" w:lineRule="exact"/>
        <w:jc w:val="both"/>
        <w:rPr>
          <w:rFonts w:asciiTheme="minorHAnsi" w:eastAsia="HiddenHorzOCR" w:hAnsiTheme="minorHAnsi"/>
          <w:color w:val="auto"/>
          <w:szCs w:val="24"/>
        </w:rPr>
      </w:pPr>
    </w:p>
    <w:p w:rsidR="00DE289E" w:rsidRPr="00ED16B5" w:rsidRDefault="00737283" w:rsidP="00737283">
      <w:pPr>
        <w:spacing w:line="240" w:lineRule="exact"/>
        <w:jc w:val="both"/>
        <w:rPr>
          <w:rFonts w:asciiTheme="minorHAnsi" w:eastAsia="HiddenHorzOCR" w:hAnsiTheme="minorHAnsi"/>
          <w:color w:val="auto"/>
          <w:szCs w:val="24"/>
        </w:rPr>
      </w:pPr>
      <w:proofErr w:type="gramStart"/>
      <w:r w:rsidRPr="00ED16B5">
        <w:rPr>
          <w:rFonts w:asciiTheme="minorHAnsi" w:eastAsia="HiddenHorzOCR" w:hAnsiTheme="minorHAnsi"/>
          <w:color w:val="auto"/>
          <w:szCs w:val="24"/>
          <w:u w:val="single"/>
        </w:rPr>
        <w:t>Other Contended Conditions</w:t>
      </w:r>
      <w:r w:rsidR="0089026E" w:rsidRPr="00ED16B5">
        <w:rPr>
          <w:rFonts w:asciiTheme="minorHAnsi" w:eastAsia="HiddenHorzOCR" w:hAnsiTheme="minorHAnsi"/>
          <w:color w:val="auto"/>
          <w:szCs w:val="24"/>
        </w:rPr>
        <w:t>.</w:t>
      </w:r>
      <w:proofErr w:type="gramEnd"/>
      <w:r w:rsidRPr="00ED16B5">
        <w:rPr>
          <w:rFonts w:asciiTheme="minorHAnsi" w:eastAsia="HiddenHorzOCR" w:hAnsiTheme="minorHAnsi"/>
          <w:color w:val="auto"/>
          <w:szCs w:val="24"/>
        </w:rPr>
        <w:t xml:space="preserve">  The CI’s application asserts that compensable ratings should be considered for </w:t>
      </w:r>
      <w:r w:rsidR="00A0010C" w:rsidRPr="00ED16B5">
        <w:rPr>
          <w:rFonts w:asciiTheme="minorHAnsi" w:eastAsia="HiddenHorzOCR" w:hAnsiTheme="minorHAnsi"/>
          <w:color w:val="auto"/>
          <w:szCs w:val="24"/>
        </w:rPr>
        <w:t>lower back strain</w:t>
      </w:r>
      <w:r w:rsidR="009517FD" w:rsidRPr="00ED16B5">
        <w:rPr>
          <w:rFonts w:asciiTheme="minorHAnsi" w:eastAsia="HiddenHorzOCR" w:hAnsiTheme="minorHAnsi"/>
          <w:color w:val="auto"/>
          <w:szCs w:val="24"/>
        </w:rPr>
        <w:t>/herniated disc</w:t>
      </w:r>
      <w:r w:rsidR="00393884" w:rsidRPr="00ED16B5">
        <w:rPr>
          <w:rFonts w:asciiTheme="minorHAnsi" w:eastAsia="HiddenHorzOCR" w:hAnsiTheme="minorHAnsi"/>
          <w:color w:val="auto"/>
          <w:szCs w:val="24"/>
        </w:rPr>
        <w:t xml:space="preserve"> </w:t>
      </w:r>
      <w:r w:rsidR="00DE289E" w:rsidRPr="00ED16B5">
        <w:rPr>
          <w:rFonts w:asciiTheme="minorHAnsi" w:eastAsia="HiddenHorzOCR" w:hAnsiTheme="minorHAnsi"/>
          <w:color w:val="auto"/>
          <w:szCs w:val="24"/>
        </w:rPr>
        <w:t xml:space="preserve">(VA 0%) </w:t>
      </w:r>
      <w:r w:rsidR="00393884" w:rsidRPr="00ED16B5">
        <w:rPr>
          <w:rFonts w:asciiTheme="minorHAnsi" w:eastAsia="HiddenHorzOCR" w:hAnsiTheme="minorHAnsi"/>
          <w:color w:val="auto"/>
          <w:szCs w:val="24"/>
        </w:rPr>
        <w:t>and depression</w:t>
      </w:r>
      <w:r w:rsidR="00DE289E" w:rsidRPr="00ED16B5">
        <w:rPr>
          <w:rFonts w:asciiTheme="minorHAnsi" w:eastAsia="HiddenHorzOCR" w:hAnsiTheme="minorHAnsi"/>
          <w:color w:val="auto"/>
          <w:szCs w:val="24"/>
        </w:rPr>
        <w:t xml:space="preserve"> (VA 30% in 2007)</w:t>
      </w:r>
      <w:r w:rsidRPr="00ED16B5">
        <w:rPr>
          <w:rFonts w:asciiTheme="minorHAnsi" w:eastAsia="HiddenHorzOCR" w:hAnsiTheme="minorHAnsi"/>
          <w:color w:val="auto"/>
          <w:szCs w:val="24"/>
        </w:rPr>
        <w:t xml:space="preserve">.  </w:t>
      </w:r>
      <w:r w:rsidR="00DE289E" w:rsidRPr="00ED16B5">
        <w:rPr>
          <w:rFonts w:asciiTheme="minorHAnsi" w:eastAsia="HiddenHorzOCR" w:hAnsiTheme="minorHAnsi"/>
          <w:color w:val="auto"/>
          <w:szCs w:val="24"/>
        </w:rPr>
        <w:t xml:space="preserve">Neither of these conditions was mentioned in the DES file.  </w:t>
      </w:r>
      <w:r w:rsidR="00DE289E" w:rsidRPr="00ED16B5">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DE289E" w:rsidRPr="00ED16B5" w:rsidRDefault="00DE289E" w:rsidP="00737283">
      <w:pPr>
        <w:spacing w:line="240" w:lineRule="exact"/>
        <w:jc w:val="both"/>
        <w:rPr>
          <w:rFonts w:asciiTheme="minorHAnsi" w:eastAsia="HiddenHorzOCR" w:hAnsiTheme="minorHAnsi"/>
          <w:color w:val="auto"/>
          <w:szCs w:val="24"/>
        </w:rPr>
      </w:pPr>
    </w:p>
    <w:p w:rsidR="00737283" w:rsidRPr="00ED16B5" w:rsidRDefault="00737283" w:rsidP="00737283">
      <w:pPr>
        <w:spacing w:line="240" w:lineRule="exact"/>
        <w:jc w:val="both"/>
        <w:rPr>
          <w:rFonts w:asciiTheme="minorHAnsi" w:eastAsiaTheme="minorHAnsi" w:hAnsiTheme="minorHAnsi"/>
          <w:color w:val="auto"/>
          <w:szCs w:val="24"/>
        </w:rPr>
      </w:pPr>
      <w:proofErr w:type="gramStart"/>
      <w:r w:rsidRPr="00ED16B5">
        <w:rPr>
          <w:rFonts w:asciiTheme="minorHAnsi" w:hAnsiTheme="minorHAnsi"/>
          <w:color w:val="auto"/>
          <w:szCs w:val="24"/>
          <w:u w:val="single"/>
        </w:rPr>
        <w:t>Remaining Conditions</w:t>
      </w:r>
      <w:r w:rsidR="0089026E" w:rsidRPr="00ED16B5">
        <w:rPr>
          <w:rFonts w:asciiTheme="minorHAnsi" w:hAnsiTheme="minorHAnsi"/>
          <w:color w:val="auto"/>
          <w:szCs w:val="24"/>
        </w:rPr>
        <w:t>.</w:t>
      </w:r>
      <w:proofErr w:type="gramEnd"/>
      <w:r w:rsidR="00393884" w:rsidRPr="00ED16B5">
        <w:rPr>
          <w:rFonts w:asciiTheme="minorHAnsi" w:hAnsiTheme="minorHAnsi"/>
          <w:color w:val="auto"/>
          <w:szCs w:val="24"/>
        </w:rPr>
        <w:t xml:space="preserve"> </w:t>
      </w:r>
      <w:r w:rsidR="009517FD" w:rsidRPr="00ED16B5">
        <w:rPr>
          <w:rFonts w:asciiTheme="minorHAnsi" w:hAnsiTheme="minorHAnsi"/>
          <w:color w:val="auto"/>
          <w:szCs w:val="24"/>
        </w:rPr>
        <w:t xml:space="preserve"> </w:t>
      </w:r>
      <w:r w:rsidRPr="00ED16B5">
        <w:rPr>
          <w:rFonts w:asciiTheme="minorHAnsi" w:hAnsiTheme="minorHAnsi"/>
          <w:color w:val="auto"/>
          <w:szCs w:val="24"/>
        </w:rPr>
        <w:t>No other conditions were noted in the NARSUM,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A64CA1" w:rsidRPr="00ED16B5">
        <w:rPr>
          <w:rFonts w:asciiTheme="minorHAnsi" w:hAnsiTheme="minorHAnsi"/>
          <w:color w:val="auto"/>
          <w:szCs w:val="24"/>
        </w:rPr>
        <w:t xml:space="preserve">. </w:t>
      </w:r>
    </w:p>
    <w:p w:rsidR="00106AD8" w:rsidRPr="00ED16B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ED16B5" w:rsidRDefault="00106AD8" w:rsidP="00106AD8">
      <w:pPr>
        <w:tabs>
          <w:tab w:val="left" w:pos="288"/>
          <w:tab w:val="left" w:pos="4752"/>
        </w:tabs>
        <w:spacing w:line="240" w:lineRule="exact"/>
        <w:rPr>
          <w:rFonts w:ascii="Calibri" w:hAnsi="Calibri"/>
          <w:color w:val="auto"/>
          <w:szCs w:val="24"/>
        </w:rPr>
      </w:pPr>
    </w:p>
    <w:p w:rsidR="00DD469B" w:rsidRPr="00ED16B5" w:rsidRDefault="00737283" w:rsidP="00737283">
      <w:pPr>
        <w:spacing w:line="240" w:lineRule="exact"/>
        <w:jc w:val="both"/>
        <w:rPr>
          <w:rFonts w:asciiTheme="minorHAnsi" w:hAnsiTheme="minorHAnsi"/>
          <w:color w:val="auto"/>
          <w:szCs w:val="24"/>
        </w:rPr>
      </w:pPr>
      <w:r w:rsidRPr="00ED16B5">
        <w:rPr>
          <w:rFonts w:asciiTheme="minorHAnsi" w:hAnsiTheme="minorHAnsi"/>
          <w:color w:val="auto"/>
          <w:szCs w:val="24"/>
          <w:u w:val="single"/>
        </w:rPr>
        <w:t>BOARD FINDINGS</w:t>
      </w:r>
      <w:r w:rsidRPr="00ED16B5">
        <w:rPr>
          <w:rFonts w:asciiTheme="minorHAnsi" w:hAnsiTheme="minorHAnsi"/>
          <w:color w:val="auto"/>
          <w:szCs w:val="24"/>
        </w:rPr>
        <w:t>:</w:t>
      </w:r>
      <w:r w:rsidRPr="00ED16B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F5F32" w:rsidRPr="00ED16B5">
        <w:rPr>
          <w:rFonts w:asciiTheme="minorHAnsi" w:eastAsiaTheme="minorHAnsi" w:hAnsiTheme="minorHAnsi"/>
          <w:color w:val="auto"/>
          <w:szCs w:val="24"/>
        </w:rPr>
        <w:t xml:space="preserve">  In the matter of the right knee</w:t>
      </w:r>
      <w:r w:rsidR="00D57E51" w:rsidRPr="00ED16B5">
        <w:rPr>
          <w:rFonts w:asciiTheme="minorHAnsi" w:eastAsiaTheme="minorHAnsi" w:hAnsiTheme="minorHAnsi"/>
          <w:color w:val="auto"/>
          <w:szCs w:val="24"/>
        </w:rPr>
        <w:t xml:space="preserve"> condition the Board</w:t>
      </w:r>
      <w:r w:rsidR="00DE671B" w:rsidRPr="00ED16B5">
        <w:rPr>
          <w:rFonts w:asciiTheme="minorHAnsi" w:eastAsiaTheme="minorHAnsi" w:hAnsiTheme="minorHAnsi"/>
          <w:color w:val="auto"/>
          <w:szCs w:val="24"/>
        </w:rPr>
        <w:t>,</w:t>
      </w:r>
      <w:r w:rsidR="00D57E51" w:rsidRPr="00ED16B5">
        <w:rPr>
          <w:rFonts w:asciiTheme="minorHAnsi" w:eastAsiaTheme="minorHAnsi" w:hAnsiTheme="minorHAnsi"/>
          <w:color w:val="auto"/>
          <w:szCs w:val="24"/>
        </w:rPr>
        <w:t xml:space="preserve"> by simple majority</w:t>
      </w:r>
      <w:r w:rsidR="00DE671B" w:rsidRPr="00ED16B5">
        <w:rPr>
          <w:rFonts w:asciiTheme="minorHAnsi" w:eastAsiaTheme="minorHAnsi" w:hAnsiTheme="minorHAnsi"/>
          <w:color w:val="auto"/>
          <w:szCs w:val="24"/>
        </w:rPr>
        <w:t>,</w:t>
      </w:r>
      <w:r w:rsidR="00AF5F32" w:rsidRPr="00ED16B5">
        <w:rPr>
          <w:rFonts w:asciiTheme="minorHAnsi" w:eastAsiaTheme="minorHAnsi" w:hAnsiTheme="minorHAnsi"/>
          <w:color w:val="auto"/>
          <w:szCs w:val="24"/>
        </w:rPr>
        <w:t xml:space="preserve"> recommends </w:t>
      </w:r>
      <w:r w:rsidR="00AF5F32" w:rsidRPr="00ED16B5">
        <w:rPr>
          <w:rFonts w:asciiTheme="minorHAnsi" w:hAnsiTheme="minorHAnsi"/>
          <w:color w:val="auto"/>
          <w:szCs w:val="24"/>
        </w:rPr>
        <w:t>a separation rating of 10% for</w:t>
      </w:r>
      <w:r w:rsidR="00AF5F32" w:rsidRPr="00ED16B5">
        <w:rPr>
          <w:rFonts w:asciiTheme="minorHAnsi" w:hAnsiTheme="minorHAnsi" w:cstheme="minorHAnsi"/>
          <w:color w:val="auto"/>
          <w:szCs w:val="24"/>
        </w:rPr>
        <w:t xml:space="preserve"> </w:t>
      </w:r>
      <w:r w:rsidR="00981115">
        <w:rPr>
          <w:rFonts w:asciiTheme="minorHAnsi" w:hAnsiTheme="minorHAnsi" w:cstheme="minorHAnsi"/>
          <w:color w:val="auto"/>
          <w:szCs w:val="24"/>
        </w:rPr>
        <w:t>severe compartmental degenerative</w:t>
      </w:r>
      <w:r w:rsidR="00AF5F32" w:rsidRPr="00ED16B5">
        <w:rPr>
          <w:rFonts w:asciiTheme="minorHAnsi" w:hAnsiTheme="minorHAnsi" w:cstheme="minorHAnsi"/>
          <w:color w:val="auto"/>
          <w:szCs w:val="24"/>
        </w:rPr>
        <w:t xml:space="preserve"> disease of the right knee</w:t>
      </w:r>
      <w:r w:rsidR="00AF5F32" w:rsidRPr="00ED16B5">
        <w:rPr>
          <w:rFonts w:asciiTheme="minorHAnsi" w:hAnsiTheme="minorHAnsi"/>
          <w:color w:val="auto"/>
          <w:szCs w:val="24"/>
        </w:rPr>
        <w:t xml:space="preserve"> coded </w:t>
      </w:r>
      <w:r w:rsidR="00DE289E" w:rsidRPr="00ED16B5">
        <w:rPr>
          <w:rFonts w:asciiTheme="minorHAnsi" w:hAnsiTheme="minorHAnsi"/>
          <w:color w:val="auto"/>
          <w:szCs w:val="24"/>
        </w:rPr>
        <w:t>5010</w:t>
      </w:r>
      <w:r w:rsidR="00981115">
        <w:rPr>
          <w:rFonts w:asciiTheme="minorHAnsi" w:hAnsiTheme="minorHAnsi"/>
          <w:color w:val="auto"/>
          <w:szCs w:val="24"/>
        </w:rPr>
        <w:t>,</w:t>
      </w:r>
      <w:r w:rsidR="00AF5F32" w:rsidRPr="00ED16B5">
        <w:rPr>
          <w:rFonts w:asciiTheme="minorHAnsi" w:hAnsiTheme="minorHAnsi"/>
          <w:color w:val="auto"/>
          <w:szCs w:val="24"/>
        </w:rPr>
        <w:t xml:space="preserve"> and </w:t>
      </w:r>
      <w:r w:rsidR="009517FD" w:rsidRPr="00ED16B5">
        <w:rPr>
          <w:rFonts w:asciiTheme="minorHAnsi" w:hAnsiTheme="minorHAnsi"/>
          <w:color w:val="auto"/>
          <w:szCs w:val="24"/>
        </w:rPr>
        <w:t>20%</w:t>
      </w:r>
      <w:r w:rsidR="00AF5F32" w:rsidRPr="00ED16B5">
        <w:rPr>
          <w:rFonts w:asciiTheme="minorHAnsi" w:hAnsiTheme="minorHAnsi"/>
          <w:color w:val="auto"/>
          <w:szCs w:val="24"/>
        </w:rPr>
        <w:t xml:space="preserve"> for right knee </w:t>
      </w:r>
      <w:r w:rsidR="00A62B7B" w:rsidRPr="00ED16B5">
        <w:rPr>
          <w:rFonts w:asciiTheme="minorHAnsi" w:hAnsiTheme="minorHAnsi"/>
          <w:color w:val="auto"/>
          <w:szCs w:val="24"/>
        </w:rPr>
        <w:t xml:space="preserve">meniscal tear and </w:t>
      </w:r>
      <w:r w:rsidR="00AF5F32" w:rsidRPr="00ED16B5">
        <w:rPr>
          <w:rFonts w:asciiTheme="minorHAnsi" w:hAnsiTheme="minorHAnsi"/>
          <w:color w:val="auto"/>
          <w:szCs w:val="24"/>
        </w:rPr>
        <w:t xml:space="preserve">instability </w:t>
      </w:r>
      <w:r w:rsidR="00981115">
        <w:rPr>
          <w:rFonts w:asciiTheme="minorHAnsi" w:hAnsiTheme="minorHAnsi"/>
          <w:color w:val="auto"/>
          <w:szCs w:val="24"/>
        </w:rPr>
        <w:t>status post</w:t>
      </w:r>
      <w:r w:rsidR="00AF5F32" w:rsidRPr="00ED16B5">
        <w:rPr>
          <w:rFonts w:asciiTheme="minorHAnsi" w:hAnsiTheme="minorHAnsi"/>
          <w:color w:val="auto"/>
          <w:szCs w:val="24"/>
        </w:rPr>
        <w:t xml:space="preserve"> multiple surgical procedures coded </w:t>
      </w:r>
      <w:r w:rsidR="00DE289E" w:rsidRPr="00ED16B5">
        <w:rPr>
          <w:rFonts w:asciiTheme="minorHAnsi" w:hAnsiTheme="minorHAnsi"/>
          <w:color w:val="auto"/>
          <w:szCs w:val="24"/>
        </w:rPr>
        <w:t>5299-</w:t>
      </w:r>
      <w:r w:rsidR="00AF5F32" w:rsidRPr="00ED16B5">
        <w:rPr>
          <w:rFonts w:asciiTheme="minorHAnsi" w:hAnsiTheme="minorHAnsi"/>
          <w:color w:val="auto"/>
          <w:szCs w:val="24"/>
        </w:rPr>
        <w:t>5257</w:t>
      </w:r>
      <w:r w:rsidR="00640E9F" w:rsidRPr="00ED16B5">
        <w:rPr>
          <w:rFonts w:asciiTheme="minorHAnsi" w:eastAsia="HiddenHorzOCR" w:hAnsiTheme="minorHAnsi"/>
          <w:color w:val="auto"/>
          <w:szCs w:val="24"/>
        </w:rPr>
        <w:t xml:space="preserve">, </w:t>
      </w:r>
      <w:r w:rsidR="00640E9F" w:rsidRPr="00ED16B5">
        <w:rPr>
          <w:rFonts w:asciiTheme="minorHAnsi" w:eastAsia="HiddenHorzOCR" w:hAnsiTheme="minorHAnsi" w:cstheme="minorHAnsi"/>
          <w:color w:val="auto"/>
          <w:szCs w:val="24"/>
        </w:rPr>
        <w:lastRenderedPageBreak/>
        <w:t xml:space="preserve">IAW </w:t>
      </w:r>
      <w:r w:rsidR="00640E9F" w:rsidRPr="00ED16B5">
        <w:rPr>
          <w:rFonts w:asciiTheme="minorHAnsi" w:hAnsiTheme="minorHAnsi" w:cstheme="minorHAnsi"/>
          <w:color w:val="auto"/>
          <w:szCs w:val="24"/>
        </w:rPr>
        <w:t>VASRD §4.71a.</w:t>
      </w:r>
      <w:r w:rsidR="00640E9F" w:rsidRPr="00ED16B5">
        <w:rPr>
          <w:color w:val="auto"/>
          <w:szCs w:val="24"/>
        </w:rPr>
        <w:t xml:space="preserve">  </w:t>
      </w:r>
      <w:r w:rsidR="00DE671B" w:rsidRPr="00ED16B5">
        <w:rPr>
          <w:rFonts w:asciiTheme="minorHAnsi" w:hAnsiTheme="minorHAnsi" w:cstheme="minorHAnsi"/>
          <w:color w:val="auto"/>
          <w:szCs w:val="24"/>
        </w:rPr>
        <w:t xml:space="preserve">The single voter for dissent (who recommended </w:t>
      </w:r>
      <w:r w:rsidR="000C26D7" w:rsidRPr="00ED16B5">
        <w:rPr>
          <w:rFonts w:asciiTheme="minorHAnsi" w:hAnsiTheme="minorHAnsi" w:cstheme="minorHAnsi"/>
          <w:color w:val="auto"/>
          <w:szCs w:val="24"/>
        </w:rPr>
        <w:t>coding of 5010 at</w:t>
      </w:r>
      <w:r w:rsidR="00DE671B" w:rsidRPr="00ED16B5">
        <w:rPr>
          <w:rFonts w:asciiTheme="minorHAnsi" w:hAnsiTheme="minorHAnsi" w:cstheme="minorHAnsi"/>
          <w:color w:val="auto"/>
          <w:szCs w:val="24"/>
        </w:rPr>
        <w:t xml:space="preserve"> 10% and </w:t>
      </w:r>
      <w:r w:rsidR="000C26D7" w:rsidRPr="00ED16B5">
        <w:rPr>
          <w:rFonts w:asciiTheme="minorHAnsi" w:hAnsiTheme="minorHAnsi" w:cstheme="minorHAnsi"/>
          <w:color w:val="auto"/>
          <w:szCs w:val="24"/>
        </w:rPr>
        <w:t xml:space="preserve">5259 at </w:t>
      </w:r>
      <w:r w:rsidR="00DE671B" w:rsidRPr="00ED16B5">
        <w:rPr>
          <w:rFonts w:asciiTheme="minorHAnsi" w:hAnsiTheme="minorHAnsi" w:cstheme="minorHAnsi"/>
          <w:color w:val="auto"/>
          <w:szCs w:val="24"/>
        </w:rPr>
        <w:t>10%) submit</w:t>
      </w:r>
      <w:r w:rsidR="000C26D7" w:rsidRPr="00ED16B5">
        <w:rPr>
          <w:rFonts w:asciiTheme="minorHAnsi" w:hAnsiTheme="minorHAnsi" w:cstheme="minorHAnsi"/>
          <w:color w:val="auto"/>
          <w:szCs w:val="24"/>
        </w:rPr>
        <w:t>ted</w:t>
      </w:r>
      <w:r w:rsidR="00DE671B" w:rsidRPr="00ED16B5">
        <w:rPr>
          <w:rFonts w:asciiTheme="minorHAnsi" w:hAnsiTheme="minorHAnsi" w:cstheme="minorHAnsi"/>
          <w:color w:val="auto"/>
          <w:szCs w:val="24"/>
        </w:rPr>
        <w:t xml:space="preserve"> </w:t>
      </w:r>
      <w:r w:rsidR="000C26D7" w:rsidRPr="00ED16B5">
        <w:rPr>
          <w:rFonts w:asciiTheme="minorHAnsi" w:hAnsiTheme="minorHAnsi" w:cstheme="minorHAnsi"/>
          <w:color w:val="auto"/>
          <w:szCs w:val="24"/>
        </w:rPr>
        <w:t xml:space="preserve">the </w:t>
      </w:r>
      <w:proofErr w:type="spellStart"/>
      <w:r w:rsidR="000C26D7" w:rsidRPr="00ED16B5">
        <w:rPr>
          <w:rFonts w:asciiTheme="minorHAnsi" w:hAnsiTheme="minorHAnsi" w:cstheme="minorHAnsi"/>
          <w:color w:val="auto"/>
          <w:szCs w:val="24"/>
        </w:rPr>
        <w:t>addended</w:t>
      </w:r>
      <w:proofErr w:type="spellEnd"/>
      <w:r w:rsidR="000C26D7" w:rsidRPr="00ED16B5">
        <w:rPr>
          <w:rFonts w:asciiTheme="minorHAnsi" w:hAnsiTheme="minorHAnsi" w:cstheme="minorHAnsi"/>
          <w:color w:val="auto"/>
          <w:szCs w:val="24"/>
        </w:rPr>
        <w:t xml:space="preserve"> </w:t>
      </w:r>
      <w:r w:rsidR="00DE671B" w:rsidRPr="00ED16B5">
        <w:rPr>
          <w:rFonts w:asciiTheme="minorHAnsi" w:hAnsiTheme="minorHAnsi" w:cstheme="minorHAnsi"/>
          <w:color w:val="auto"/>
          <w:szCs w:val="24"/>
        </w:rPr>
        <w:t>minority opinion.</w:t>
      </w:r>
      <w:r w:rsidR="009B2073" w:rsidRPr="00ED16B5">
        <w:rPr>
          <w:rFonts w:asciiTheme="minorHAnsi" w:hAnsiTheme="minorHAnsi" w:cstheme="minorHAnsi"/>
          <w:color w:val="auto"/>
          <w:szCs w:val="24"/>
        </w:rPr>
        <w:t xml:space="preserve">  </w:t>
      </w:r>
      <w:r w:rsidR="00A64CA1" w:rsidRPr="00ED16B5">
        <w:rPr>
          <w:rFonts w:asciiTheme="minorHAnsi" w:eastAsiaTheme="minorHAnsi" w:hAnsiTheme="minorHAnsi"/>
          <w:color w:val="auto"/>
          <w:szCs w:val="24"/>
        </w:rPr>
        <w:t xml:space="preserve">In the matter of </w:t>
      </w:r>
      <w:r w:rsidR="00A44554" w:rsidRPr="00ED16B5">
        <w:rPr>
          <w:rFonts w:asciiTheme="minorHAnsi" w:eastAsiaTheme="minorHAnsi" w:hAnsiTheme="minorHAnsi"/>
          <w:color w:val="auto"/>
          <w:szCs w:val="24"/>
        </w:rPr>
        <w:t xml:space="preserve">the </w:t>
      </w:r>
      <w:r w:rsidR="00A44554" w:rsidRPr="00ED16B5">
        <w:rPr>
          <w:rFonts w:asciiTheme="minorHAnsi" w:hAnsiTheme="minorHAnsi"/>
          <w:color w:val="auto"/>
          <w:szCs w:val="24"/>
        </w:rPr>
        <w:t xml:space="preserve">7mm free body (right knee) or </w:t>
      </w:r>
      <w:r w:rsidR="00A64CA1" w:rsidRPr="00ED16B5">
        <w:rPr>
          <w:rFonts w:asciiTheme="minorHAnsi" w:eastAsiaTheme="minorHAnsi" w:hAnsiTheme="minorHAnsi"/>
          <w:color w:val="auto"/>
          <w:szCs w:val="24"/>
        </w:rPr>
        <w:t>any other medical condition eligible for Board consideration</w:t>
      </w:r>
      <w:r w:rsidR="00981115">
        <w:rPr>
          <w:rFonts w:asciiTheme="minorHAnsi" w:eastAsiaTheme="minorHAnsi" w:hAnsiTheme="minorHAnsi"/>
          <w:color w:val="auto"/>
          <w:szCs w:val="24"/>
        </w:rPr>
        <w:t>,</w:t>
      </w:r>
      <w:r w:rsidR="00A64CA1" w:rsidRPr="00ED16B5">
        <w:rPr>
          <w:rFonts w:asciiTheme="minorHAnsi" w:eastAsiaTheme="minorHAnsi" w:hAnsiTheme="minorHAnsi"/>
          <w:color w:val="auto"/>
          <w:szCs w:val="24"/>
        </w:rPr>
        <w:t xml:space="preserve"> the Board unanimously agrees that it cannot recommend a </w:t>
      </w:r>
      <w:r w:rsidR="000C26D7" w:rsidRPr="00ED16B5">
        <w:rPr>
          <w:rFonts w:asciiTheme="minorHAnsi" w:eastAsiaTheme="minorHAnsi" w:hAnsiTheme="minorHAnsi"/>
          <w:color w:val="auto"/>
          <w:szCs w:val="24"/>
        </w:rPr>
        <w:t xml:space="preserve">separate </w:t>
      </w:r>
      <w:r w:rsidR="00A64CA1" w:rsidRPr="00ED16B5">
        <w:rPr>
          <w:rFonts w:asciiTheme="minorHAnsi" w:eastAsiaTheme="minorHAnsi" w:hAnsiTheme="minorHAnsi"/>
          <w:color w:val="auto"/>
          <w:szCs w:val="24"/>
        </w:rPr>
        <w:t>finding of unfit for additional rating at separation.</w:t>
      </w:r>
      <w:r w:rsidR="00A64CA1" w:rsidRPr="00ED16B5">
        <w:rPr>
          <w:rFonts w:asciiTheme="minorHAnsi" w:hAnsiTheme="minorHAnsi"/>
          <w:color w:val="auto"/>
          <w:szCs w:val="24"/>
        </w:rPr>
        <w:t xml:space="preserve">  </w:t>
      </w:r>
    </w:p>
    <w:p w:rsidR="00C8413D" w:rsidRPr="00ED16B5" w:rsidRDefault="00C8413D" w:rsidP="00DE289E">
      <w:pPr>
        <w:pBdr>
          <w:bottom w:val="single" w:sz="12" w:space="1" w:color="auto"/>
        </w:pBdr>
        <w:tabs>
          <w:tab w:val="left" w:pos="288"/>
          <w:tab w:val="left" w:pos="4752"/>
        </w:tabs>
        <w:spacing w:line="240" w:lineRule="exact"/>
        <w:jc w:val="both"/>
        <w:rPr>
          <w:rFonts w:ascii="Calibri" w:hAnsi="Calibri"/>
          <w:color w:val="auto"/>
          <w:szCs w:val="24"/>
        </w:rPr>
      </w:pPr>
    </w:p>
    <w:p w:rsidR="00DE289E" w:rsidRPr="00ED16B5" w:rsidRDefault="00DE289E" w:rsidP="00271A39">
      <w:pPr>
        <w:spacing w:line="240" w:lineRule="exact"/>
        <w:rPr>
          <w:rFonts w:asciiTheme="minorHAnsi" w:hAnsiTheme="minorHAnsi"/>
          <w:color w:val="auto"/>
          <w:szCs w:val="24"/>
          <w:u w:val="single"/>
        </w:rPr>
      </w:pPr>
    </w:p>
    <w:p w:rsidR="00271A39" w:rsidRPr="00ED16B5" w:rsidRDefault="00417AB4" w:rsidP="00DE671B">
      <w:pPr>
        <w:spacing w:line="240" w:lineRule="exact"/>
        <w:jc w:val="both"/>
        <w:rPr>
          <w:rFonts w:asciiTheme="minorHAnsi" w:hAnsiTheme="minorHAnsi"/>
          <w:color w:val="auto"/>
          <w:szCs w:val="24"/>
        </w:rPr>
      </w:pPr>
      <w:r w:rsidRPr="00ED16B5">
        <w:rPr>
          <w:rFonts w:asciiTheme="minorHAnsi" w:hAnsiTheme="minorHAnsi"/>
          <w:color w:val="auto"/>
          <w:szCs w:val="24"/>
          <w:u w:val="single"/>
        </w:rPr>
        <w:t>RECOMMENDATION</w:t>
      </w:r>
      <w:r w:rsidRPr="00ED16B5">
        <w:rPr>
          <w:rFonts w:asciiTheme="minorHAnsi" w:hAnsiTheme="minorHAnsi"/>
          <w:color w:val="auto"/>
          <w:szCs w:val="24"/>
        </w:rPr>
        <w:t>:</w:t>
      </w:r>
      <w:r w:rsidR="00AF5F32" w:rsidRPr="00ED16B5">
        <w:rPr>
          <w:rFonts w:asciiTheme="minorHAnsi" w:hAnsiTheme="minorHAnsi"/>
          <w:color w:val="auto"/>
          <w:szCs w:val="24"/>
        </w:rPr>
        <w:t xml:space="preserve">  </w:t>
      </w:r>
      <w:r w:rsidR="00271A39" w:rsidRPr="00ED16B5">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271A39" w:rsidRPr="00ED16B5" w:rsidRDefault="00271A39" w:rsidP="00271A39">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271A39" w:rsidRPr="00ED16B5" w:rsidTr="00A62B7B">
        <w:trPr>
          <w:trHeight w:val="233"/>
          <w:jc w:val="center"/>
        </w:trPr>
        <w:tc>
          <w:tcPr>
            <w:tcW w:w="6750" w:type="dxa"/>
            <w:shd w:val="clear" w:color="auto" w:fill="D9D9D9"/>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UNFITTING CONDITION</w:t>
            </w:r>
          </w:p>
        </w:tc>
        <w:tc>
          <w:tcPr>
            <w:tcW w:w="1530" w:type="dxa"/>
            <w:shd w:val="clear" w:color="auto" w:fill="D9D9D9"/>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VASRD CODE</w:t>
            </w:r>
          </w:p>
        </w:tc>
        <w:tc>
          <w:tcPr>
            <w:tcW w:w="1080" w:type="dxa"/>
            <w:shd w:val="clear" w:color="auto" w:fill="D9D9D9"/>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RATING</w:t>
            </w:r>
          </w:p>
        </w:tc>
      </w:tr>
      <w:tr w:rsidR="00271A39" w:rsidRPr="00ED16B5" w:rsidTr="00A62B7B">
        <w:trPr>
          <w:jc w:val="center"/>
        </w:trPr>
        <w:tc>
          <w:tcPr>
            <w:tcW w:w="6750" w:type="dxa"/>
            <w:vAlign w:val="center"/>
          </w:tcPr>
          <w:p w:rsidR="00271A39" w:rsidRPr="00ED16B5" w:rsidRDefault="00271A39" w:rsidP="00832FEC">
            <w:pPr>
              <w:tabs>
                <w:tab w:val="left" w:pos="288"/>
                <w:tab w:val="left" w:pos="4752"/>
              </w:tabs>
              <w:spacing w:line="240" w:lineRule="exact"/>
              <w:rPr>
                <w:rFonts w:asciiTheme="minorHAnsi" w:hAnsiTheme="minorHAnsi" w:cstheme="minorHAnsi"/>
                <w:color w:val="auto"/>
                <w:szCs w:val="24"/>
              </w:rPr>
            </w:pPr>
            <w:r w:rsidRPr="00ED16B5">
              <w:rPr>
                <w:rFonts w:asciiTheme="minorHAnsi" w:hAnsiTheme="minorHAnsi" w:cstheme="minorHAnsi"/>
                <w:color w:val="auto"/>
                <w:szCs w:val="24"/>
              </w:rPr>
              <w:t>Compartmental Degenerative Disease (R) Knee</w:t>
            </w:r>
          </w:p>
        </w:tc>
        <w:tc>
          <w:tcPr>
            <w:tcW w:w="1530" w:type="dxa"/>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5010</w:t>
            </w:r>
          </w:p>
        </w:tc>
        <w:tc>
          <w:tcPr>
            <w:tcW w:w="1080" w:type="dxa"/>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10%</w:t>
            </w:r>
          </w:p>
        </w:tc>
      </w:tr>
      <w:tr w:rsidR="00271A39" w:rsidRPr="00ED16B5" w:rsidTr="00A62B7B">
        <w:trPr>
          <w:jc w:val="center"/>
        </w:trPr>
        <w:tc>
          <w:tcPr>
            <w:tcW w:w="6750" w:type="dxa"/>
            <w:vAlign w:val="center"/>
          </w:tcPr>
          <w:p w:rsidR="00271A39" w:rsidRPr="00ED16B5" w:rsidRDefault="00271A39" w:rsidP="009D261B">
            <w:pPr>
              <w:tabs>
                <w:tab w:val="left" w:pos="288"/>
                <w:tab w:val="left" w:pos="4752"/>
              </w:tabs>
              <w:spacing w:line="240" w:lineRule="exact"/>
              <w:rPr>
                <w:rFonts w:asciiTheme="minorHAnsi" w:hAnsiTheme="minorHAnsi" w:cstheme="minorHAnsi"/>
                <w:color w:val="auto"/>
                <w:szCs w:val="24"/>
              </w:rPr>
            </w:pPr>
            <w:r w:rsidRPr="00ED16B5">
              <w:rPr>
                <w:rFonts w:asciiTheme="minorHAnsi" w:hAnsiTheme="minorHAnsi"/>
                <w:color w:val="auto"/>
                <w:szCs w:val="24"/>
              </w:rPr>
              <w:t xml:space="preserve">Right Knee </w:t>
            </w:r>
            <w:r w:rsidR="00A62B7B" w:rsidRPr="00ED16B5">
              <w:rPr>
                <w:rFonts w:asciiTheme="minorHAnsi" w:hAnsiTheme="minorHAnsi"/>
                <w:color w:val="auto"/>
                <w:szCs w:val="24"/>
              </w:rPr>
              <w:t xml:space="preserve">Meniscal Tear &amp; </w:t>
            </w:r>
            <w:r w:rsidRPr="00ED16B5">
              <w:rPr>
                <w:rFonts w:asciiTheme="minorHAnsi" w:hAnsiTheme="minorHAnsi"/>
                <w:color w:val="auto"/>
                <w:szCs w:val="24"/>
              </w:rPr>
              <w:t xml:space="preserve">Instability </w:t>
            </w:r>
            <w:r w:rsidR="009D261B">
              <w:rPr>
                <w:rFonts w:asciiTheme="minorHAnsi" w:hAnsiTheme="minorHAnsi"/>
                <w:color w:val="auto"/>
                <w:szCs w:val="24"/>
              </w:rPr>
              <w:t>Status Post</w:t>
            </w:r>
            <w:r w:rsidRPr="00ED16B5">
              <w:rPr>
                <w:rFonts w:asciiTheme="minorHAnsi" w:hAnsiTheme="minorHAnsi"/>
                <w:color w:val="auto"/>
                <w:szCs w:val="24"/>
              </w:rPr>
              <w:t xml:space="preserve"> Multiple Surgical Procedures</w:t>
            </w:r>
          </w:p>
        </w:tc>
        <w:tc>
          <w:tcPr>
            <w:tcW w:w="1530" w:type="dxa"/>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5299-5257</w:t>
            </w:r>
          </w:p>
        </w:tc>
        <w:tc>
          <w:tcPr>
            <w:tcW w:w="1080" w:type="dxa"/>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20%</w:t>
            </w:r>
          </w:p>
        </w:tc>
      </w:tr>
      <w:tr w:rsidR="00271A39" w:rsidRPr="00ED16B5" w:rsidTr="00A62B7B">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271A39" w:rsidRPr="00ED16B5" w:rsidRDefault="00271A39" w:rsidP="00832FEC">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30%</w:t>
            </w:r>
          </w:p>
        </w:tc>
      </w:tr>
    </w:tbl>
    <w:p w:rsidR="00DD469B" w:rsidRPr="00ED16B5" w:rsidRDefault="00DD469B" w:rsidP="00DD469B">
      <w:pPr>
        <w:tabs>
          <w:tab w:val="left" w:pos="288"/>
          <w:tab w:val="left" w:pos="1710"/>
        </w:tabs>
        <w:spacing w:line="240" w:lineRule="exact"/>
        <w:rPr>
          <w:rFonts w:asciiTheme="minorHAnsi" w:hAnsiTheme="minorHAnsi"/>
          <w:b/>
          <w:caps/>
          <w:color w:val="auto"/>
          <w:u w:val="single"/>
        </w:rPr>
      </w:pPr>
      <w:r w:rsidRPr="00ED16B5">
        <w:rPr>
          <w:rFonts w:asciiTheme="minorHAnsi" w:hAnsiTheme="minorHAnsi"/>
          <w:b/>
          <w:color w:val="auto"/>
          <w:u w:val="single"/>
        </w:rPr>
        <w:t>______________________________________________________________________________</w:t>
      </w:r>
    </w:p>
    <w:p w:rsidR="00DD469B" w:rsidRPr="00ED16B5" w:rsidRDefault="00DD469B" w:rsidP="00DD469B">
      <w:pPr>
        <w:tabs>
          <w:tab w:val="left" w:pos="288"/>
          <w:tab w:val="left" w:pos="4752"/>
        </w:tabs>
        <w:spacing w:line="240" w:lineRule="exact"/>
        <w:rPr>
          <w:rFonts w:ascii="Calibri" w:hAnsi="Calibri"/>
          <w:b/>
          <w:color w:val="auto"/>
          <w:szCs w:val="24"/>
        </w:rPr>
      </w:pPr>
    </w:p>
    <w:p w:rsidR="00DD469B" w:rsidRPr="00ED16B5" w:rsidRDefault="00DD469B" w:rsidP="00DD469B">
      <w:pPr>
        <w:tabs>
          <w:tab w:val="left" w:pos="288"/>
          <w:tab w:val="left" w:pos="4752"/>
        </w:tabs>
        <w:spacing w:line="240" w:lineRule="exact"/>
        <w:jc w:val="both"/>
        <w:rPr>
          <w:rFonts w:asciiTheme="minorHAnsi" w:hAnsiTheme="minorHAnsi"/>
          <w:color w:val="auto"/>
        </w:rPr>
      </w:pPr>
      <w:r w:rsidRPr="00ED16B5">
        <w:rPr>
          <w:rFonts w:asciiTheme="minorHAnsi" w:hAnsiTheme="minorHAnsi"/>
          <w:color w:val="auto"/>
        </w:rPr>
        <w:t>The following documentary evidence was considered:</w:t>
      </w:r>
    </w:p>
    <w:p w:rsidR="00DD469B" w:rsidRPr="00ED16B5" w:rsidRDefault="00DD469B" w:rsidP="00DD469B">
      <w:pPr>
        <w:tabs>
          <w:tab w:val="left" w:pos="288"/>
          <w:tab w:val="left" w:pos="4752"/>
        </w:tabs>
        <w:spacing w:line="240" w:lineRule="exact"/>
        <w:jc w:val="both"/>
        <w:rPr>
          <w:rFonts w:asciiTheme="minorHAnsi" w:hAnsiTheme="minorHAnsi"/>
          <w:color w:val="auto"/>
        </w:rPr>
      </w:pPr>
    </w:p>
    <w:p w:rsidR="00DD469B" w:rsidRPr="00ED16B5" w:rsidRDefault="00DD469B" w:rsidP="00DD469B">
      <w:pPr>
        <w:tabs>
          <w:tab w:val="left" w:pos="288"/>
          <w:tab w:val="left" w:pos="4752"/>
        </w:tabs>
        <w:spacing w:line="240" w:lineRule="exact"/>
        <w:jc w:val="both"/>
        <w:rPr>
          <w:rFonts w:asciiTheme="minorHAnsi" w:hAnsiTheme="minorHAnsi"/>
          <w:color w:val="auto"/>
        </w:rPr>
      </w:pPr>
      <w:r w:rsidRPr="00ED16B5">
        <w:rPr>
          <w:rFonts w:asciiTheme="minorHAnsi" w:hAnsiTheme="minorHAnsi"/>
          <w:color w:val="auto"/>
        </w:rPr>
        <w:t>Ex</w:t>
      </w:r>
      <w:r w:rsidR="00393884" w:rsidRPr="00ED16B5">
        <w:rPr>
          <w:rFonts w:asciiTheme="minorHAnsi" w:hAnsiTheme="minorHAnsi"/>
          <w:color w:val="auto"/>
        </w:rPr>
        <w:t>hibit A.  DD Form 294, dated 20</w:t>
      </w:r>
      <w:r w:rsidR="000C26D7" w:rsidRPr="00ED16B5">
        <w:rPr>
          <w:rFonts w:asciiTheme="minorHAnsi" w:hAnsiTheme="minorHAnsi"/>
          <w:color w:val="auto"/>
        </w:rPr>
        <w:t>091214</w:t>
      </w:r>
      <w:r w:rsidR="003B4C76">
        <w:rPr>
          <w:rFonts w:asciiTheme="minorHAnsi" w:hAnsiTheme="minorHAnsi"/>
          <w:color w:val="auto"/>
        </w:rPr>
        <w:t>, w/</w:t>
      </w:r>
      <w:proofErr w:type="spellStart"/>
      <w:r w:rsidR="003B4C76">
        <w:rPr>
          <w:rFonts w:asciiTheme="minorHAnsi" w:hAnsiTheme="minorHAnsi"/>
          <w:color w:val="auto"/>
        </w:rPr>
        <w:t>atchs</w:t>
      </w:r>
      <w:proofErr w:type="spellEnd"/>
    </w:p>
    <w:p w:rsidR="00DD469B" w:rsidRPr="00ED16B5" w:rsidRDefault="00DD469B" w:rsidP="00DD469B">
      <w:pPr>
        <w:tabs>
          <w:tab w:val="left" w:pos="288"/>
          <w:tab w:val="left" w:pos="4752"/>
        </w:tabs>
        <w:spacing w:line="240" w:lineRule="exact"/>
        <w:jc w:val="both"/>
        <w:rPr>
          <w:rFonts w:asciiTheme="minorHAnsi" w:hAnsiTheme="minorHAnsi"/>
          <w:color w:val="auto"/>
        </w:rPr>
      </w:pPr>
      <w:r w:rsidRPr="00ED16B5">
        <w:rPr>
          <w:rFonts w:asciiTheme="minorHAnsi" w:hAnsiTheme="minorHAnsi"/>
          <w:color w:val="auto"/>
        </w:rPr>
        <w:t xml:space="preserve">Exhibit B.  </w:t>
      </w:r>
      <w:proofErr w:type="gramStart"/>
      <w:r w:rsidRPr="00ED16B5">
        <w:rPr>
          <w:rFonts w:asciiTheme="minorHAnsi" w:hAnsiTheme="minorHAnsi"/>
          <w:color w:val="auto"/>
        </w:rPr>
        <w:t>Service Treatment Record.</w:t>
      </w:r>
      <w:proofErr w:type="gramEnd"/>
    </w:p>
    <w:p w:rsidR="00DD469B" w:rsidRPr="00ED16B5" w:rsidRDefault="00DD469B" w:rsidP="00DD469B">
      <w:pPr>
        <w:tabs>
          <w:tab w:val="left" w:pos="288"/>
          <w:tab w:val="left" w:pos="4752"/>
        </w:tabs>
        <w:spacing w:line="240" w:lineRule="exact"/>
        <w:jc w:val="both"/>
        <w:rPr>
          <w:rFonts w:asciiTheme="minorHAnsi" w:hAnsiTheme="minorHAnsi"/>
          <w:color w:val="auto"/>
        </w:rPr>
      </w:pPr>
      <w:r w:rsidRPr="00ED16B5">
        <w:rPr>
          <w:rFonts w:asciiTheme="minorHAnsi" w:hAnsiTheme="minorHAnsi"/>
          <w:color w:val="auto"/>
        </w:rPr>
        <w:t>Exhibit C.  Department of Vet</w:t>
      </w:r>
      <w:r w:rsidR="003B4C76">
        <w:rPr>
          <w:rFonts w:asciiTheme="minorHAnsi" w:hAnsiTheme="minorHAnsi"/>
          <w:color w:val="auto"/>
        </w:rPr>
        <w:t>erans' Affairs Treatment Record</w:t>
      </w:r>
    </w:p>
    <w:p w:rsidR="00DD469B" w:rsidRPr="00ED16B5" w:rsidRDefault="00DD469B" w:rsidP="00DD469B">
      <w:pPr>
        <w:tabs>
          <w:tab w:val="left" w:pos="288"/>
          <w:tab w:val="left" w:pos="4752"/>
        </w:tabs>
        <w:spacing w:line="240" w:lineRule="exact"/>
        <w:jc w:val="both"/>
        <w:rPr>
          <w:rFonts w:asciiTheme="minorHAnsi" w:hAnsiTheme="minorHAnsi"/>
          <w:color w:val="auto"/>
        </w:rPr>
      </w:pPr>
    </w:p>
    <w:p w:rsidR="00DD469B" w:rsidRPr="00ED16B5" w:rsidRDefault="00DD469B" w:rsidP="00DD469B">
      <w:pPr>
        <w:tabs>
          <w:tab w:val="left" w:pos="288"/>
          <w:tab w:val="left" w:pos="4752"/>
        </w:tabs>
        <w:spacing w:line="240" w:lineRule="exact"/>
        <w:jc w:val="both"/>
        <w:rPr>
          <w:rFonts w:asciiTheme="minorHAnsi" w:hAnsiTheme="minorHAnsi"/>
          <w:color w:val="auto"/>
        </w:rPr>
      </w:pPr>
    </w:p>
    <w:p w:rsidR="00DD469B" w:rsidRPr="00ED16B5" w:rsidRDefault="00DD469B" w:rsidP="00DD469B">
      <w:pPr>
        <w:tabs>
          <w:tab w:val="left" w:pos="288"/>
          <w:tab w:val="left" w:pos="4752"/>
        </w:tabs>
        <w:spacing w:line="240" w:lineRule="exact"/>
        <w:jc w:val="both"/>
        <w:rPr>
          <w:rFonts w:asciiTheme="minorHAnsi" w:hAnsiTheme="minorHAnsi"/>
          <w:color w:val="auto"/>
        </w:rPr>
      </w:pPr>
    </w:p>
    <w:p w:rsidR="00417AB4" w:rsidRPr="00ED16B5" w:rsidRDefault="00417AB4" w:rsidP="00417AB4">
      <w:pPr>
        <w:tabs>
          <w:tab w:val="left" w:pos="288"/>
          <w:tab w:val="left" w:pos="4752"/>
        </w:tabs>
        <w:spacing w:line="240" w:lineRule="exact"/>
        <w:jc w:val="both"/>
        <w:rPr>
          <w:rFonts w:asciiTheme="minorHAnsi" w:hAnsiTheme="minorHAnsi"/>
          <w:color w:val="auto"/>
        </w:rPr>
      </w:pPr>
    </w:p>
    <w:p w:rsidR="00417AB4" w:rsidRPr="00ED16B5" w:rsidRDefault="00417AB4" w:rsidP="00417AB4">
      <w:pPr>
        <w:tabs>
          <w:tab w:val="left" w:pos="0"/>
          <w:tab w:val="left" w:pos="4320"/>
        </w:tabs>
        <w:spacing w:line="240" w:lineRule="exact"/>
        <w:jc w:val="both"/>
        <w:rPr>
          <w:rFonts w:asciiTheme="minorHAnsi" w:hAnsiTheme="minorHAnsi"/>
          <w:color w:val="auto"/>
        </w:rPr>
      </w:pPr>
      <w:r w:rsidRPr="00ED16B5">
        <w:rPr>
          <w:rFonts w:asciiTheme="minorHAnsi" w:hAnsiTheme="minorHAnsi"/>
          <w:color w:val="auto"/>
        </w:rPr>
        <w:t xml:space="preserve">                             </w:t>
      </w:r>
      <w:r w:rsidRPr="00ED16B5">
        <w:rPr>
          <w:rFonts w:asciiTheme="minorHAnsi" w:hAnsiTheme="minorHAnsi"/>
          <w:color w:val="auto"/>
        </w:rPr>
        <w:tab/>
      </w:r>
      <w:r w:rsidRPr="00ED16B5">
        <w:rPr>
          <w:rFonts w:asciiTheme="minorHAnsi" w:hAnsiTheme="minorHAnsi"/>
          <w:color w:val="auto"/>
        </w:rPr>
        <w:tab/>
      </w:r>
      <w:r w:rsidR="0092081C">
        <w:rPr>
          <w:rFonts w:asciiTheme="minorHAnsi" w:hAnsiTheme="minorHAnsi"/>
          <w:color w:val="auto"/>
        </w:rPr>
        <w:t xml:space="preserve"> </w:t>
      </w:r>
    </w:p>
    <w:p w:rsidR="00417AB4" w:rsidRPr="00ED16B5" w:rsidRDefault="00417AB4" w:rsidP="00417AB4">
      <w:pPr>
        <w:tabs>
          <w:tab w:val="left" w:pos="0"/>
          <w:tab w:val="left" w:pos="4320"/>
        </w:tabs>
        <w:spacing w:line="240" w:lineRule="exact"/>
        <w:jc w:val="both"/>
        <w:rPr>
          <w:rFonts w:asciiTheme="minorHAnsi" w:hAnsiTheme="minorHAnsi"/>
          <w:color w:val="auto"/>
        </w:rPr>
      </w:pPr>
      <w:r w:rsidRPr="00ED16B5">
        <w:rPr>
          <w:rFonts w:asciiTheme="minorHAnsi" w:hAnsiTheme="minorHAnsi"/>
          <w:color w:val="auto"/>
        </w:rPr>
        <w:t xml:space="preserve">             </w:t>
      </w:r>
      <w:r w:rsidR="0092081C">
        <w:rPr>
          <w:rFonts w:asciiTheme="minorHAnsi" w:hAnsiTheme="minorHAnsi"/>
          <w:color w:val="auto"/>
        </w:rPr>
        <w:t xml:space="preserve">                </w:t>
      </w:r>
      <w:r w:rsidR="0092081C">
        <w:rPr>
          <w:rFonts w:asciiTheme="minorHAnsi" w:hAnsiTheme="minorHAnsi"/>
          <w:color w:val="auto"/>
        </w:rPr>
        <w:tab/>
      </w:r>
      <w:r w:rsidR="0092081C">
        <w:rPr>
          <w:rFonts w:asciiTheme="minorHAnsi" w:hAnsiTheme="minorHAnsi"/>
          <w:color w:val="auto"/>
        </w:rPr>
        <w:tab/>
      </w:r>
      <w:r w:rsidRPr="00ED16B5">
        <w:rPr>
          <w:rFonts w:asciiTheme="minorHAnsi" w:hAnsiTheme="minorHAnsi"/>
          <w:color w:val="auto"/>
        </w:rPr>
        <w:t xml:space="preserve"> President</w:t>
      </w:r>
    </w:p>
    <w:p w:rsidR="00AA04B3" w:rsidRPr="00ED16B5" w:rsidRDefault="00417AB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D16B5">
        <w:rPr>
          <w:rFonts w:asciiTheme="minorHAnsi" w:hAnsiTheme="minorHAnsi"/>
          <w:color w:val="auto"/>
        </w:rPr>
        <w:tab/>
        <w:t xml:space="preserve">                </w:t>
      </w:r>
      <w:r w:rsidR="0092081C">
        <w:rPr>
          <w:rFonts w:asciiTheme="minorHAnsi" w:hAnsiTheme="minorHAnsi"/>
          <w:color w:val="auto"/>
        </w:rPr>
        <w:t xml:space="preserve">           </w:t>
      </w:r>
      <w:r w:rsidR="0092081C">
        <w:rPr>
          <w:rFonts w:asciiTheme="minorHAnsi" w:hAnsiTheme="minorHAnsi"/>
          <w:color w:val="auto"/>
        </w:rPr>
        <w:tab/>
      </w:r>
      <w:r w:rsidR="0092081C">
        <w:rPr>
          <w:rFonts w:asciiTheme="minorHAnsi" w:hAnsiTheme="minorHAnsi"/>
          <w:color w:val="auto"/>
        </w:rPr>
        <w:tab/>
      </w:r>
      <w:r w:rsidR="0092081C">
        <w:rPr>
          <w:rFonts w:asciiTheme="minorHAnsi" w:hAnsiTheme="minorHAnsi"/>
          <w:color w:val="auto"/>
        </w:rPr>
        <w:tab/>
      </w:r>
      <w:r w:rsidR="0092081C">
        <w:rPr>
          <w:rFonts w:asciiTheme="minorHAnsi" w:hAnsiTheme="minorHAnsi"/>
          <w:color w:val="auto"/>
        </w:rPr>
        <w:tab/>
      </w:r>
      <w:r w:rsidR="0092081C">
        <w:rPr>
          <w:rFonts w:asciiTheme="minorHAnsi" w:hAnsiTheme="minorHAnsi"/>
          <w:color w:val="auto"/>
        </w:rPr>
        <w:tab/>
        <w:t xml:space="preserve"> </w:t>
      </w:r>
      <w:r w:rsidRPr="00ED16B5">
        <w:rPr>
          <w:rFonts w:asciiTheme="minorHAnsi" w:hAnsiTheme="minorHAnsi"/>
          <w:color w:val="auto"/>
        </w:rPr>
        <w:t>Physical Disability Board of Review</w:t>
      </w:r>
    </w:p>
    <w:p w:rsidR="00ED16B5" w:rsidRDefault="00ED16B5">
      <w:pPr>
        <w:rPr>
          <w:rFonts w:asciiTheme="minorHAnsi" w:hAnsiTheme="minorHAnsi"/>
          <w:color w:val="auto"/>
          <w:szCs w:val="24"/>
          <w:u w:val="single"/>
        </w:rPr>
      </w:pPr>
      <w:r>
        <w:rPr>
          <w:rFonts w:asciiTheme="minorHAnsi" w:hAnsiTheme="minorHAnsi"/>
          <w:color w:val="auto"/>
          <w:szCs w:val="24"/>
          <w:u w:val="single"/>
        </w:rPr>
        <w:br w:type="page"/>
      </w:r>
    </w:p>
    <w:p w:rsidR="008C4AC0" w:rsidRPr="00ED16B5" w:rsidRDefault="008C4AC0" w:rsidP="008C4AC0">
      <w:pPr>
        <w:spacing w:line="240" w:lineRule="exact"/>
        <w:rPr>
          <w:rFonts w:asciiTheme="minorHAnsi" w:hAnsiTheme="minorHAnsi"/>
          <w:color w:val="auto"/>
          <w:szCs w:val="24"/>
        </w:rPr>
      </w:pPr>
      <w:r w:rsidRPr="00ED16B5">
        <w:rPr>
          <w:rFonts w:asciiTheme="minorHAnsi" w:hAnsiTheme="minorHAnsi"/>
          <w:color w:val="auto"/>
          <w:szCs w:val="24"/>
          <w:u w:val="single"/>
        </w:rPr>
        <w:lastRenderedPageBreak/>
        <w:t>MINORITY OPINION</w:t>
      </w:r>
      <w:r w:rsidRPr="00ED16B5">
        <w:rPr>
          <w:rFonts w:asciiTheme="minorHAnsi" w:hAnsiTheme="minorHAnsi"/>
          <w:color w:val="auto"/>
          <w:szCs w:val="24"/>
        </w:rPr>
        <w:t>:</w:t>
      </w:r>
    </w:p>
    <w:p w:rsidR="008C4AC0" w:rsidRPr="00ED16B5" w:rsidRDefault="008C4AC0" w:rsidP="008C4AC0">
      <w:pPr>
        <w:spacing w:line="240" w:lineRule="exact"/>
        <w:rPr>
          <w:rFonts w:asciiTheme="minorHAnsi" w:hAnsiTheme="minorHAnsi"/>
          <w:color w:val="auto"/>
          <w:szCs w:val="24"/>
        </w:rPr>
      </w:pPr>
    </w:p>
    <w:p w:rsidR="008C4AC0" w:rsidRPr="00ED16B5" w:rsidRDefault="008C4AC0" w:rsidP="00ED16B5">
      <w:pPr>
        <w:spacing w:line="240" w:lineRule="exact"/>
        <w:jc w:val="both"/>
        <w:rPr>
          <w:rFonts w:asciiTheme="minorHAnsi" w:hAnsiTheme="minorHAnsi" w:cstheme="minorHAnsi"/>
          <w:color w:val="auto"/>
        </w:rPr>
      </w:pPr>
      <w:r w:rsidRPr="00ED16B5">
        <w:rPr>
          <w:rFonts w:asciiTheme="minorHAnsi" w:hAnsiTheme="minorHAnsi"/>
          <w:color w:val="auto"/>
          <w:szCs w:val="24"/>
        </w:rPr>
        <w:t xml:space="preserve">I agree with the majority voters, </w:t>
      </w:r>
      <w:r w:rsidRPr="00ED16B5">
        <w:rPr>
          <w:rFonts w:asciiTheme="minorHAnsi" w:hAnsiTheme="minorHAnsi" w:cstheme="minorHAnsi"/>
          <w:color w:val="auto"/>
        </w:rPr>
        <w:t xml:space="preserve">that the limited ROMs of the right knee, along with abnormal imaging met the 10% rating criteria under 5003, and also that the coding of 5010 is more accurate because it indicates the traumatic nature of the CI’s injury.  </w:t>
      </w:r>
    </w:p>
    <w:p w:rsidR="008C4AC0" w:rsidRPr="00ED16B5" w:rsidRDefault="008C4AC0" w:rsidP="00ED16B5">
      <w:pPr>
        <w:spacing w:line="240" w:lineRule="exact"/>
        <w:jc w:val="both"/>
        <w:rPr>
          <w:rFonts w:asciiTheme="minorHAnsi" w:hAnsiTheme="minorHAnsi" w:cstheme="minorHAnsi"/>
          <w:color w:val="auto"/>
        </w:rPr>
      </w:pPr>
    </w:p>
    <w:p w:rsidR="008C4AC0" w:rsidRPr="00ED16B5" w:rsidRDefault="008C4AC0" w:rsidP="00ED16B5">
      <w:pPr>
        <w:spacing w:line="240" w:lineRule="exact"/>
        <w:jc w:val="both"/>
        <w:rPr>
          <w:rFonts w:asciiTheme="minorHAnsi" w:hAnsiTheme="minorHAnsi"/>
          <w:color w:val="auto"/>
          <w:szCs w:val="24"/>
        </w:rPr>
      </w:pPr>
      <w:r w:rsidRPr="00ED16B5">
        <w:rPr>
          <w:rFonts w:asciiTheme="minorHAnsi" w:hAnsiTheme="minorHAnsi" w:cstheme="minorHAnsi"/>
          <w:color w:val="auto"/>
        </w:rPr>
        <w:t xml:space="preserve">However, I disagree that the remaining </w:t>
      </w:r>
      <w:proofErr w:type="spellStart"/>
      <w:r w:rsidRPr="00ED16B5">
        <w:rPr>
          <w:rFonts w:asciiTheme="minorHAnsi" w:hAnsiTheme="minorHAnsi" w:cstheme="minorHAnsi"/>
          <w:color w:val="auto"/>
        </w:rPr>
        <w:t>symptomotology</w:t>
      </w:r>
      <w:proofErr w:type="spellEnd"/>
      <w:r w:rsidRPr="00ED16B5">
        <w:rPr>
          <w:rFonts w:asciiTheme="minorHAnsi" w:hAnsiTheme="minorHAnsi" w:cstheme="minorHAnsi"/>
          <w:color w:val="auto"/>
        </w:rPr>
        <w:t xml:space="preserve"> (</w:t>
      </w:r>
      <w:proofErr w:type="spellStart"/>
      <w:r w:rsidRPr="00ED16B5">
        <w:rPr>
          <w:rFonts w:asciiTheme="minorHAnsi" w:hAnsiTheme="minorHAnsi"/>
          <w:color w:val="auto"/>
          <w:szCs w:val="24"/>
        </w:rPr>
        <w:t>meniscal</w:t>
      </w:r>
      <w:proofErr w:type="spellEnd"/>
      <w:r w:rsidRPr="00ED16B5">
        <w:rPr>
          <w:rFonts w:asciiTheme="minorHAnsi" w:hAnsiTheme="minorHAnsi"/>
          <w:color w:val="auto"/>
          <w:szCs w:val="24"/>
        </w:rPr>
        <w:t xml:space="preserve"> repair, loose body, and effusions</w:t>
      </w:r>
      <w:r w:rsidRPr="00ED16B5">
        <w:rPr>
          <w:rFonts w:asciiTheme="minorHAnsi" w:hAnsiTheme="minorHAnsi" w:cstheme="minorHAnsi"/>
          <w:color w:val="auto"/>
        </w:rPr>
        <w:t xml:space="preserve">) can be attributed to instability of the knee joint.  </w:t>
      </w:r>
      <w:r w:rsidRPr="00ED16B5">
        <w:rPr>
          <w:rFonts w:asciiTheme="minorHAnsi" w:hAnsiTheme="minorHAnsi"/>
          <w:color w:val="auto"/>
          <w:szCs w:val="24"/>
        </w:rPr>
        <w:t xml:space="preserve">The right knee was examined five months pre separation by an orthopedic physician, where stability was addressed in detail, and there were no findings to indicate instability.   The examiner specified that </w:t>
      </w:r>
      <w:proofErr w:type="spellStart"/>
      <w:r w:rsidRPr="00ED16B5">
        <w:rPr>
          <w:rFonts w:asciiTheme="minorHAnsi" w:hAnsiTheme="minorHAnsi"/>
          <w:color w:val="auto"/>
          <w:szCs w:val="24"/>
        </w:rPr>
        <w:t>Valgus</w:t>
      </w:r>
      <w:proofErr w:type="spellEnd"/>
      <w:r w:rsidRPr="00ED16B5">
        <w:rPr>
          <w:rFonts w:asciiTheme="minorHAnsi" w:hAnsiTheme="minorHAnsi"/>
          <w:color w:val="auto"/>
          <w:szCs w:val="24"/>
        </w:rPr>
        <w:t xml:space="preserve"> and </w:t>
      </w:r>
      <w:proofErr w:type="spellStart"/>
      <w:r w:rsidRPr="00ED16B5">
        <w:rPr>
          <w:rFonts w:asciiTheme="minorHAnsi" w:hAnsiTheme="minorHAnsi"/>
          <w:color w:val="auto"/>
          <w:szCs w:val="24"/>
        </w:rPr>
        <w:t>Varus</w:t>
      </w:r>
      <w:proofErr w:type="spellEnd"/>
      <w:r w:rsidRPr="00ED16B5">
        <w:rPr>
          <w:rFonts w:asciiTheme="minorHAnsi" w:hAnsiTheme="minorHAnsi"/>
          <w:color w:val="auto"/>
          <w:szCs w:val="24"/>
        </w:rPr>
        <w:t xml:space="preserve"> tests were stable, the Lachman’s had a positive end point, and McMurray a</w:t>
      </w:r>
      <w:r w:rsidR="00ED16B5" w:rsidRPr="00ED16B5">
        <w:rPr>
          <w:rFonts w:asciiTheme="minorHAnsi" w:hAnsiTheme="minorHAnsi"/>
          <w:color w:val="auto"/>
          <w:szCs w:val="24"/>
        </w:rPr>
        <w:t xml:space="preserve">nd Drawer tests were stable.  </w:t>
      </w:r>
      <w:r w:rsidRPr="00ED16B5">
        <w:rPr>
          <w:rFonts w:asciiTheme="minorHAnsi" w:hAnsiTheme="minorHAnsi"/>
          <w:color w:val="auto"/>
          <w:szCs w:val="24"/>
        </w:rPr>
        <w:t>The MEB exam and the VA exam (done one month post</w:t>
      </w:r>
      <w:r w:rsidR="00981115">
        <w:rPr>
          <w:rFonts w:asciiTheme="minorHAnsi" w:hAnsiTheme="minorHAnsi"/>
          <w:color w:val="auto"/>
          <w:szCs w:val="24"/>
        </w:rPr>
        <w:t>-</w:t>
      </w:r>
      <w:r w:rsidRPr="00ED16B5">
        <w:rPr>
          <w:rFonts w:asciiTheme="minorHAnsi" w:hAnsiTheme="minorHAnsi"/>
          <w:color w:val="auto"/>
          <w:szCs w:val="24"/>
        </w:rPr>
        <w:t>separation) produced similar ROMs and findings, with the notable addition of the VA examiner’s comment</w:t>
      </w:r>
      <w:r w:rsidR="00981115">
        <w:rPr>
          <w:rFonts w:asciiTheme="minorHAnsi" w:hAnsiTheme="minorHAnsi"/>
          <w:color w:val="auto"/>
          <w:szCs w:val="24"/>
        </w:rPr>
        <w:t>,</w:t>
      </w:r>
      <w:r w:rsidRPr="00ED16B5">
        <w:rPr>
          <w:rFonts w:asciiTheme="minorHAnsi" w:hAnsiTheme="minorHAnsi"/>
          <w:color w:val="auto"/>
          <w:szCs w:val="24"/>
        </w:rPr>
        <w:t xml:space="preserve"> “continued to have right</w:t>
      </w:r>
      <w:r w:rsidR="00ED16B5" w:rsidRPr="00ED16B5">
        <w:rPr>
          <w:rFonts w:asciiTheme="minorHAnsi" w:hAnsiTheme="minorHAnsi"/>
          <w:color w:val="auto"/>
          <w:szCs w:val="24"/>
        </w:rPr>
        <w:t xml:space="preserve"> joint pain and instability.”  </w:t>
      </w:r>
      <w:r w:rsidRPr="00ED16B5">
        <w:rPr>
          <w:rFonts w:asciiTheme="minorHAnsi" w:hAnsiTheme="minorHAnsi"/>
          <w:color w:val="auto"/>
          <w:szCs w:val="24"/>
        </w:rPr>
        <w:t xml:space="preserve">There was no objective evidence in support of the comment, or mention of the type of stability testing or the magnitude of the instability.  This is the first mention of instability in the record, and in my opinion there was not enough evidence to add an additional rating or increased the rating based on the VA examiner’s “instability” comment.  </w:t>
      </w:r>
    </w:p>
    <w:p w:rsidR="00ED16B5" w:rsidRPr="00ED16B5" w:rsidRDefault="00ED16B5" w:rsidP="00ED16B5">
      <w:pPr>
        <w:spacing w:line="240" w:lineRule="exact"/>
        <w:jc w:val="both"/>
        <w:rPr>
          <w:rFonts w:asciiTheme="minorHAnsi" w:hAnsiTheme="minorHAnsi"/>
          <w:color w:val="auto"/>
          <w:szCs w:val="24"/>
        </w:rPr>
      </w:pPr>
    </w:p>
    <w:p w:rsidR="008C4AC0" w:rsidRPr="00ED16B5" w:rsidRDefault="008C4AC0" w:rsidP="00ED16B5">
      <w:pPr>
        <w:pStyle w:val="Default"/>
        <w:spacing w:line="240" w:lineRule="exact"/>
        <w:jc w:val="both"/>
        <w:rPr>
          <w:rFonts w:asciiTheme="minorHAnsi" w:hAnsiTheme="minorHAnsi"/>
          <w:color w:val="auto"/>
        </w:rPr>
      </w:pPr>
      <w:r w:rsidRPr="00ED16B5">
        <w:rPr>
          <w:rFonts w:asciiTheme="minorHAnsi" w:hAnsiTheme="minorHAnsi"/>
          <w:color w:val="auto"/>
        </w:rPr>
        <w:t>A more accurate coding to account for the remaining symptomotology is 5259 (</w:t>
      </w:r>
      <w:r w:rsidR="00981115">
        <w:rPr>
          <w:rFonts w:asciiTheme="minorHAnsi" w:hAnsiTheme="minorHAnsi"/>
          <w:color w:val="auto"/>
        </w:rPr>
        <w:t>c</w:t>
      </w:r>
      <w:r w:rsidRPr="00ED16B5">
        <w:rPr>
          <w:rFonts w:asciiTheme="minorHAnsi" w:hAnsiTheme="minorHAnsi" w:cstheme="minorHAnsi"/>
          <w:color w:val="auto"/>
        </w:rPr>
        <w:t>artilage, semilunar, removal of, symptomatic)</w:t>
      </w:r>
      <w:r w:rsidRPr="00ED16B5">
        <w:rPr>
          <w:rFonts w:asciiTheme="minorHAnsi" w:hAnsiTheme="minorHAnsi"/>
          <w:color w:val="auto"/>
        </w:rPr>
        <w:t xml:space="preserve"> because of the meniscus pro</w:t>
      </w:r>
      <w:r w:rsidR="00ED16B5">
        <w:rPr>
          <w:rFonts w:asciiTheme="minorHAnsi" w:hAnsiTheme="minorHAnsi"/>
          <w:color w:val="auto"/>
        </w:rPr>
        <w:t xml:space="preserve">cedure done on </w:t>
      </w:r>
      <w:r w:rsidR="00981115">
        <w:rPr>
          <w:rFonts w:asciiTheme="minorHAnsi" w:hAnsiTheme="minorHAnsi"/>
          <w:color w:val="auto"/>
        </w:rPr>
        <w:t xml:space="preserve">10 </w:t>
      </w:r>
      <w:r w:rsidR="00ED16B5">
        <w:rPr>
          <w:rFonts w:asciiTheme="minorHAnsi" w:hAnsiTheme="minorHAnsi"/>
          <w:color w:val="auto"/>
        </w:rPr>
        <w:t xml:space="preserve">July 2001.  </w:t>
      </w:r>
      <w:r w:rsidRPr="00ED16B5">
        <w:rPr>
          <w:rFonts w:asciiTheme="minorHAnsi" w:hAnsiTheme="minorHAnsi"/>
          <w:color w:val="auto"/>
        </w:rPr>
        <w:t>The CI was symptomatic (with effusion) and would be appropriately rated at 10% (the only rat</w:t>
      </w:r>
      <w:r w:rsidR="00ED16B5" w:rsidRPr="00ED16B5">
        <w:rPr>
          <w:rFonts w:asciiTheme="minorHAnsi" w:hAnsiTheme="minorHAnsi"/>
          <w:color w:val="auto"/>
        </w:rPr>
        <w:t xml:space="preserve">ing available).  </w:t>
      </w:r>
      <w:r w:rsidRPr="00ED16B5">
        <w:rPr>
          <w:rFonts w:asciiTheme="minorHAnsi" w:hAnsiTheme="minorHAnsi"/>
          <w:color w:val="auto"/>
        </w:rPr>
        <w:t xml:space="preserve">The </w:t>
      </w:r>
      <w:proofErr w:type="spellStart"/>
      <w:r w:rsidRPr="00ED16B5">
        <w:rPr>
          <w:rFonts w:asciiTheme="minorHAnsi" w:hAnsiTheme="minorHAnsi"/>
          <w:color w:val="auto"/>
        </w:rPr>
        <w:t>symptomotology</w:t>
      </w:r>
      <w:proofErr w:type="spellEnd"/>
      <w:r w:rsidRPr="00ED16B5">
        <w:rPr>
          <w:rFonts w:asciiTheme="minorHAnsi" w:hAnsiTheme="minorHAnsi"/>
          <w:color w:val="auto"/>
        </w:rPr>
        <w:t xml:space="preserve"> did</w:t>
      </w:r>
      <w:r w:rsidR="00ED16B5" w:rsidRPr="00ED16B5">
        <w:rPr>
          <w:rFonts w:asciiTheme="minorHAnsi" w:hAnsiTheme="minorHAnsi"/>
          <w:color w:val="auto"/>
        </w:rPr>
        <w:t xml:space="preserve"> not rise to the level of 5258 </w:t>
      </w:r>
      <w:r w:rsidR="00981115">
        <w:rPr>
          <w:rFonts w:asciiTheme="minorHAnsi" w:hAnsiTheme="minorHAnsi"/>
          <w:color w:val="auto"/>
        </w:rPr>
        <w:t>c</w:t>
      </w:r>
      <w:r w:rsidRPr="00ED16B5">
        <w:rPr>
          <w:rFonts w:asciiTheme="minorHAnsi" w:hAnsiTheme="minorHAnsi" w:cstheme="minorHAnsi"/>
          <w:color w:val="auto"/>
        </w:rPr>
        <w:t xml:space="preserve">artilage, semilunar, dislocated, with frequent episodes of locking, pain, and effusion into the joint </w:t>
      </w:r>
      <w:r w:rsidRPr="00ED16B5">
        <w:rPr>
          <w:rFonts w:asciiTheme="minorHAnsi" w:hAnsiTheme="minorHAnsi"/>
          <w:color w:val="auto"/>
        </w:rPr>
        <w:t xml:space="preserve">because there was no evidence of </w:t>
      </w:r>
      <w:r w:rsidRPr="00ED16B5">
        <w:rPr>
          <w:rFonts w:asciiTheme="minorHAnsi" w:hAnsiTheme="minorHAnsi" w:cstheme="minorHAnsi"/>
          <w:color w:val="auto"/>
        </w:rPr>
        <w:t xml:space="preserve">frequent episodes of </w:t>
      </w:r>
      <w:r w:rsidRPr="00ED16B5">
        <w:rPr>
          <w:rFonts w:asciiTheme="minorHAnsi" w:hAnsiTheme="minorHAnsi"/>
          <w:color w:val="auto"/>
        </w:rPr>
        <w:t xml:space="preserve">locking. </w:t>
      </w:r>
    </w:p>
    <w:p w:rsidR="008C4AC0" w:rsidRPr="00ED16B5" w:rsidRDefault="008C4AC0" w:rsidP="00ED16B5">
      <w:pPr>
        <w:spacing w:line="240" w:lineRule="exact"/>
        <w:jc w:val="both"/>
        <w:rPr>
          <w:rFonts w:asciiTheme="minorHAnsi" w:hAnsiTheme="minorHAnsi"/>
          <w:color w:val="auto"/>
          <w:szCs w:val="24"/>
        </w:rPr>
      </w:pPr>
    </w:p>
    <w:p w:rsidR="008C4AC0" w:rsidRPr="00ED16B5" w:rsidRDefault="008C4AC0" w:rsidP="00ED16B5">
      <w:pPr>
        <w:spacing w:line="240" w:lineRule="exact"/>
        <w:jc w:val="both"/>
        <w:rPr>
          <w:rFonts w:asciiTheme="minorHAnsi" w:hAnsiTheme="minorHAnsi"/>
          <w:color w:val="auto"/>
          <w:szCs w:val="24"/>
        </w:rPr>
      </w:pPr>
      <w:r w:rsidRPr="00ED16B5">
        <w:rPr>
          <w:rFonts w:asciiTheme="minorHAnsi" w:hAnsiTheme="minorHAnsi"/>
          <w:color w:val="auto"/>
          <w:szCs w:val="24"/>
          <w:u w:val="single"/>
        </w:rPr>
        <w:t>RECOMMENDATION</w:t>
      </w:r>
      <w:r w:rsidRPr="00ED16B5">
        <w:rPr>
          <w:rFonts w:asciiTheme="minorHAnsi" w:hAnsiTheme="minorHAnsi"/>
          <w:color w:val="auto"/>
          <w:szCs w:val="24"/>
        </w:rPr>
        <w:t>:  The minority voter recommends that the CI’s prior determination be modified as follows, effective as of the date of his prior medical separation:</w:t>
      </w:r>
    </w:p>
    <w:p w:rsidR="008C4AC0" w:rsidRPr="00ED16B5" w:rsidRDefault="008C4AC0" w:rsidP="008C4AC0">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8C4AC0" w:rsidRPr="00ED16B5" w:rsidTr="008C4AC0">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b/>
                <w:color w:val="auto"/>
                <w:szCs w:val="24"/>
              </w:rPr>
            </w:pPr>
            <w:r w:rsidRPr="00ED16B5">
              <w:rPr>
                <w:rFonts w:asciiTheme="minorHAnsi" w:hAnsiTheme="minorHAnsi" w:cstheme="minorHAnsi"/>
                <w:b/>
                <w:color w:val="auto"/>
                <w:szCs w:val="24"/>
              </w:rPr>
              <w:t>RATING</w:t>
            </w:r>
          </w:p>
        </w:tc>
      </w:tr>
      <w:tr w:rsidR="008C4AC0" w:rsidRPr="00ED16B5" w:rsidTr="008C4AC0">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rPr>
                <w:rFonts w:asciiTheme="minorHAnsi" w:hAnsiTheme="minorHAnsi" w:cstheme="minorHAnsi"/>
                <w:color w:val="auto"/>
                <w:szCs w:val="24"/>
              </w:rPr>
            </w:pPr>
            <w:r w:rsidRPr="00ED16B5">
              <w:rPr>
                <w:rFonts w:asciiTheme="minorHAnsi" w:hAnsiTheme="minorHAnsi" w:cstheme="minorHAnsi"/>
                <w:color w:val="auto"/>
                <w:szCs w:val="24"/>
              </w:rPr>
              <w:t>Compartmental Degenerative Disease (R) Knee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5010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10%</w:t>
            </w:r>
          </w:p>
        </w:tc>
      </w:tr>
      <w:tr w:rsidR="008C4AC0" w:rsidRPr="00ED16B5" w:rsidTr="008C4AC0">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rPr>
                <w:rFonts w:asciiTheme="minorHAnsi" w:hAnsiTheme="minorHAnsi" w:cstheme="minorHAnsi"/>
                <w:color w:val="auto"/>
                <w:szCs w:val="24"/>
              </w:rPr>
            </w:pPr>
            <w:r w:rsidRPr="00ED16B5">
              <w:rPr>
                <w:rFonts w:asciiTheme="minorHAnsi" w:hAnsiTheme="minorHAnsi"/>
                <w:color w:val="auto"/>
                <w:szCs w:val="24"/>
              </w:rPr>
              <w:t>Cartilage, Semilunar, Removal</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5259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8C4AC0" w:rsidRPr="00ED16B5" w:rsidRDefault="008C4AC0">
            <w:pPr>
              <w:tabs>
                <w:tab w:val="left" w:pos="288"/>
                <w:tab w:val="left" w:pos="4752"/>
              </w:tabs>
              <w:spacing w:line="240" w:lineRule="exact"/>
              <w:jc w:val="center"/>
              <w:rPr>
                <w:rFonts w:asciiTheme="minorHAnsi" w:hAnsiTheme="minorHAnsi" w:cstheme="minorHAnsi"/>
                <w:color w:val="auto"/>
                <w:szCs w:val="24"/>
              </w:rPr>
            </w:pPr>
            <w:r w:rsidRPr="00ED16B5">
              <w:rPr>
                <w:rFonts w:asciiTheme="minorHAnsi" w:hAnsiTheme="minorHAnsi" w:cstheme="minorHAnsi"/>
                <w:color w:val="auto"/>
                <w:szCs w:val="24"/>
              </w:rPr>
              <w:t>10%</w:t>
            </w:r>
          </w:p>
        </w:tc>
      </w:tr>
      <w:tr w:rsidR="008C4AC0" w:rsidRPr="002C74CA" w:rsidTr="008C4AC0">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C4AC0" w:rsidRPr="002C74CA" w:rsidRDefault="008C4AC0">
            <w:pPr>
              <w:tabs>
                <w:tab w:val="left" w:pos="288"/>
                <w:tab w:val="left" w:pos="4752"/>
              </w:tabs>
              <w:spacing w:line="240" w:lineRule="exact"/>
              <w:jc w:val="center"/>
              <w:rPr>
                <w:rFonts w:asciiTheme="minorHAnsi" w:hAnsiTheme="minorHAnsi" w:cstheme="minorHAnsi"/>
                <w:b/>
                <w:color w:val="auto"/>
                <w:szCs w:val="24"/>
              </w:rPr>
            </w:pPr>
            <w:r w:rsidRPr="002C74CA">
              <w:rPr>
                <w:rFonts w:asciiTheme="minorHAnsi" w:hAnsiTheme="minorHAnsi" w:cs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4AC0" w:rsidRPr="002C74CA" w:rsidRDefault="008C4AC0">
            <w:pPr>
              <w:tabs>
                <w:tab w:val="left" w:pos="288"/>
                <w:tab w:val="left" w:pos="4752"/>
              </w:tabs>
              <w:spacing w:line="240" w:lineRule="exact"/>
              <w:jc w:val="center"/>
              <w:rPr>
                <w:rFonts w:asciiTheme="minorHAnsi" w:hAnsiTheme="minorHAnsi" w:cstheme="minorHAnsi"/>
                <w:b/>
                <w:color w:val="auto"/>
                <w:szCs w:val="24"/>
              </w:rPr>
            </w:pPr>
            <w:r w:rsidRPr="002C74CA">
              <w:rPr>
                <w:rFonts w:asciiTheme="minorHAnsi" w:hAnsiTheme="minorHAnsi" w:cstheme="minorHAnsi"/>
                <w:b/>
                <w:color w:val="auto"/>
                <w:szCs w:val="24"/>
              </w:rPr>
              <w:t>20%</w:t>
            </w:r>
          </w:p>
        </w:tc>
      </w:tr>
    </w:tbl>
    <w:p w:rsidR="002C74CA" w:rsidRDefault="002C74CA" w:rsidP="002C74CA">
      <w:pPr>
        <w:rPr>
          <w:color w:val="auto"/>
        </w:rPr>
      </w:pPr>
    </w:p>
    <w:p w:rsidR="002C74CA" w:rsidRDefault="002C74CA">
      <w:pPr>
        <w:rPr>
          <w:color w:val="auto"/>
        </w:rPr>
      </w:pPr>
      <w:r>
        <w:rPr>
          <w:color w:val="auto"/>
        </w:rPr>
        <w:br w:type="page"/>
      </w:r>
    </w:p>
    <w:p w:rsidR="002C74CA" w:rsidRPr="002C74CA" w:rsidRDefault="002C74CA" w:rsidP="002C74CA">
      <w:pPr>
        <w:rPr>
          <w:color w:val="auto"/>
        </w:rPr>
      </w:pPr>
      <w:r w:rsidRPr="002C74CA">
        <w:rPr>
          <w:color w:val="auto"/>
        </w:rPr>
        <w:lastRenderedPageBreak/>
        <w:t>MEMORANDUM FOR DEPUTY COMMANDANT, MANPOWER &amp; RESERVE AFFAIRS</w:t>
      </w:r>
    </w:p>
    <w:p w:rsidR="002C74CA" w:rsidRPr="002C74CA" w:rsidRDefault="002C74CA" w:rsidP="002C74CA">
      <w:pPr>
        <w:rPr>
          <w:color w:val="auto"/>
        </w:rPr>
      </w:pPr>
    </w:p>
    <w:p w:rsidR="002C74CA" w:rsidRPr="002C74CA" w:rsidRDefault="002C74CA" w:rsidP="002C74CA">
      <w:pPr>
        <w:rPr>
          <w:color w:val="auto"/>
        </w:rPr>
      </w:pPr>
      <w:proofErr w:type="spellStart"/>
      <w:r w:rsidRPr="002C74CA">
        <w:rPr>
          <w:color w:val="auto"/>
        </w:rPr>
        <w:t>Subj</w:t>
      </w:r>
      <w:proofErr w:type="spellEnd"/>
      <w:r w:rsidRPr="002C74CA">
        <w:rPr>
          <w:color w:val="auto"/>
        </w:rPr>
        <w:t>:  PHYSICAL DISABILITY BOARD OF REVIEW (PDBR) RECOMMENDATION</w:t>
      </w:r>
    </w:p>
    <w:p w:rsidR="002C74CA" w:rsidRPr="002C74CA" w:rsidRDefault="002C74CA" w:rsidP="002C74CA">
      <w:pPr>
        <w:rPr>
          <w:color w:val="auto"/>
        </w:rPr>
      </w:pPr>
      <w:r w:rsidRPr="002C74CA">
        <w:rPr>
          <w:color w:val="auto"/>
        </w:rPr>
        <w:t xml:space="preserve">          ICO </w:t>
      </w:r>
      <w:r>
        <w:rPr>
          <w:color w:val="auto"/>
        </w:rPr>
        <w:t>XXXXX</w:t>
      </w:r>
      <w:r w:rsidRPr="002C74CA">
        <w:rPr>
          <w:color w:val="auto"/>
        </w:rPr>
        <w:t xml:space="preserve">, FORMER USMC, XXX XX </w:t>
      </w:r>
      <w:r>
        <w:rPr>
          <w:color w:val="auto"/>
        </w:rPr>
        <w:t>XXXX</w:t>
      </w:r>
    </w:p>
    <w:p w:rsidR="002C74CA" w:rsidRPr="002C74CA" w:rsidRDefault="002C74CA" w:rsidP="002C74CA">
      <w:pPr>
        <w:rPr>
          <w:color w:val="auto"/>
        </w:rPr>
      </w:pPr>
    </w:p>
    <w:p w:rsidR="002C74CA" w:rsidRPr="002C74CA" w:rsidRDefault="002C74CA" w:rsidP="002C74CA">
      <w:pPr>
        <w:rPr>
          <w:color w:val="auto"/>
        </w:rPr>
      </w:pPr>
      <w:r w:rsidRPr="002C74CA">
        <w:rPr>
          <w:color w:val="auto"/>
        </w:rPr>
        <w:t>Ref:   (a) DoDI 6040.44</w:t>
      </w:r>
    </w:p>
    <w:p w:rsidR="002C74CA" w:rsidRPr="002C74CA" w:rsidRDefault="002C74CA" w:rsidP="002C74CA">
      <w:pPr>
        <w:rPr>
          <w:color w:val="auto"/>
        </w:rPr>
      </w:pPr>
      <w:r w:rsidRPr="002C74CA">
        <w:rPr>
          <w:color w:val="auto"/>
        </w:rPr>
        <w:t xml:space="preserve">          (b) PDBR </w:t>
      </w:r>
      <w:proofErr w:type="spellStart"/>
      <w:r w:rsidRPr="002C74CA">
        <w:rPr>
          <w:color w:val="auto"/>
        </w:rPr>
        <w:t>ltr</w:t>
      </w:r>
      <w:proofErr w:type="spellEnd"/>
      <w:r w:rsidRPr="002C74CA">
        <w:rPr>
          <w:color w:val="auto"/>
        </w:rPr>
        <w:t xml:space="preserve"> </w:t>
      </w:r>
      <w:proofErr w:type="spellStart"/>
      <w:r w:rsidRPr="002C74CA">
        <w:rPr>
          <w:color w:val="auto"/>
        </w:rPr>
        <w:t>dtd</w:t>
      </w:r>
      <w:proofErr w:type="spellEnd"/>
      <w:r w:rsidRPr="002C74CA">
        <w:rPr>
          <w:color w:val="auto"/>
        </w:rPr>
        <w:t xml:space="preserve"> 23 Nov 11</w:t>
      </w:r>
    </w:p>
    <w:p w:rsidR="002C74CA" w:rsidRPr="002C74CA" w:rsidRDefault="002C74CA" w:rsidP="002C74CA">
      <w:pPr>
        <w:rPr>
          <w:color w:val="auto"/>
        </w:rPr>
      </w:pPr>
    </w:p>
    <w:p w:rsidR="002C74CA" w:rsidRPr="002C74CA" w:rsidRDefault="002C74CA" w:rsidP="002C74CA">
      <w:pPr>
        <w:rPr>
          <w:color w:val="auto"/>
        </w:rPr>
      </w:pPr>
      <w:r w:rsidRPr="002C74CA">
        <w:rPr>
          <w:color w:val="auto"/>
        </w:rPr>
        <w:t>1.  I have reviewed the subject case pursuant to reference (a) and partially approve the recommendation of reference (b).</w:t>
      </w:r>
    </w:p>
    <w:p w:rsidR="002C74CA" w:rsidRPr="002C74CA" w:rsidRDefault="002C74CA" w:rsidP="002C74CA">
      <w:pPr>
        <w:rPr>
          <w:color w:val="auto"/>
        </w:rPr>
      </w:pPr>
    </w:p>
    <w:p w:rsidR="002C74CA" w:rsidRPr="002C74CA" w:rsidRDefault="002C74CA" w:rsidP="002C74CA">
      <w:pPr>
        <w:rPr>
          <w:color w:val="auto"/>
        </w:rPr>
      </w:pPr>
      <w:r w:rsidRPr="002C74CA">
        <w:rPr>
          <w:color w:val="auto"/>
        </w:rPr>
        <w:t>2.  The subject member’s official records are to be corrected to reflect the following disposition:</w:t>
      </w:r>
    </w:p>
    <w:p w:rsidR="002C74CA" w:rsidRPr="002C74CA" w:rsidRDefault="002C74CA" w:rsidP="002C74CA">
      <w:pPr>
        <w:rPr>
          <w:color w:val="auto"/>
        </w:rPr>
      </w:pPr>
    </w:p>
    <w:p w:rsidR="002C74CA" w:rsidRPr="002C74CA" w:rsidRDefault="002C74CA" w:rsidP="002C74CA">
      <w:pPr>
        <w:rPr>
          <w:color w:val="auto"/>
        </w:rPr>
      </w:pPr>
      <w:r w:rsidRPr="002C74CA">
        <w:rPr>
          <w:color w:val="auto"/>
        </w:rPr>
        <w:t xml:space="preserve">     </w:t>
      </w:r>
      <w:proofErr w:type="gramStart"/>
      <w:r w:rsidRPr="002C74CA">
        <w:rPr>
          <w:color w:val="auto"/>
        </w:rPr>
        <w:t>a.  Separation</w:t>
      </w:r>
      <w:proofErr w:type="gramEnd"/>
      <w:r w:rsidRPr="002C74CA">
        <w:rPr>
          <w:color w:val="auto"/>
        </w:rPr>
        <w:t xml:space="preserve"> from the Naval Service due to physical disability rated at 20 percent (increased from 10 percent) effective the date of his separation from Naval Service.</w:t>
      </w:r>
    </w:p>
    <w:p w:rsidR="002C74CA" w:rsidRPr="002C74CA" w:rsidRDefault="002C74CA" w:rsidP="002C74CA">
      <w:pPr>
        <w:rPr>
          <w:color w:val="auto"/>
        </w:rPr>
      </w:pPr>
    </w:p>
    <w:p w:rsidR="002C74CA" w:rsidRPr="002C74CA" w:rsidRDefault="002C74CA" w:rsidP="002C74CA">
      <w:pPr>
        <w:rPr>
          <w:color w:val="auto"/>
        </w:rPr>
      </w:pPr>
      <w:r w:rsidRPr="002C74CA">
        <w:rPr>
          <w:color w:val="auto"/>
        </w:rPr>
        <w:t>3.  Please ensure all necessary actions are taken to implement this decision including notification to the subject member once those actions are completed.</w:t>
      </w:r>
    </w:p>
    <w:p w:rsidR="002C74CA" w:rsidRPr="002C74CA" w:rsidRDefault="002C74CA" w:rsidP="002C74CA">
      <w:pPr>
        <w:rPr>
          <w:color w:val="auto"/>
        </w:rPr>
      </w:pPr>
    </w:p>
    <w:p w:rsidR="002C74CA" w:rsidRPr="002C74CA" w:rsidRDefault="002C74CA" w:rsidP="002C74CA">
      <w:pPr>
        <w:rPr>
          <w:color w:val="auto"/>
        </w:rPr>
      </w:pPr>
    </w:p>
    <w:p w:rsidR="002C74CA" w:rsidRPr="002C74CA" w:rsidRDefault="002C74CA" w:rsidP="002C74CA">
      <w:pPr>
        <w:rPr>
          <w:color w:val="auto"/>
        </w:rPr>
      </w:pPr>
    </w:p>
    <w:p w:rsidR="002C74CA" w:rsidRPr="002C74CA" w:rsidRDefault="002C74CA" w:rsidP="002C74CA">
      <w:pPr>
        <w:rPr>
          <w:color w:val="auto"/>
        </w:rPr>
      </w:pPr>
      <w:r w:rsidRPr="002C74CA">
        <w:rPr>
          <w:color w:val="auto"/>
        </w:rPr>
        <w:tab/>
      </w:r>
      <w:r w:rsidRPr="002C74CA">
        <w:rPr>
          <w:color w:val="auto"/>
        </w:rPr>
        <w:tab/>
      </w:r>
      <w:r w:rsidRPr="002C74CA">
        <w:rPr>
          <w:color w:val="auto"/>
        </w:rPr>
        <w:tab/>
      </w:r>
      <w:r w:rsidRPr="002C74CA">
        <w:rPr>
          <w:color w:val="auto"/>
        </w:rPr>
        <w:tab/>
      </w:r>
      <w:r w:rsidRPr="002C74CA">
        <w:rPr>
          <w:color w:val="auto"/>
        </w:rPr>
        <w:tab/>
      </w:r>
      <w:r w:rsidRPr="002C74CA">
        <w:rPr>
          <w:color w:val="auto"/>
        </w:rPr>
        <w:tab/>
        <w:t xml:space="preserve">  </w:t>
      </w:r>
    </w:p>
    <w:p w:rsidR="002C74CA" w:rsidRPr="002C74CA" w:rsidRDefault="002C74CA" w:rsidP="002C74CA">
      <w:pPr>
        <w:rPr>
          <w:color w:val="auto"/>
        </w:rPr>
      </w:pPr>
      <w:r w:rsidRPr="002C74CA">
        <w:rPr>
          <w:color w:val="auto"/>
        </w:rPr>
        <w:tab/>
      </w:r>
      <w:r w:rsidRPr="002C74CA">
        <w:rPr>
          <w:color w:val="auto"/>
        </w:rPr>
        <w:tab/>
      </w:r>
      <w:r w:rsidRPr="002C74CA">
        <w:rPr>
          <w:color w:val="auto"/>
        </w:rPr>
        <w:tab/>
      </w:r>
      <w:r w:rsidRPr="002C74CA">
        <w:rPr>
          <w:color w:val="auto"/>
        </w:rPr>
        <w:tab/>
      </w:r>
      <w:r w:rsidRPr="002C74CA">
        <w:rPr>
          <w:color w:val="auto"/>
        </w:rPr>
        <w:tab/>
      </w:r>
      <w:r w:rsidRPr="002C74CA">
        <w:rPr>
          <w:color w:val="auto"/>
        </w:rPr>
        <w:tab/>
        <w:t xml:space="preserve">  Principal Deputy</w:t>
      </w:r>
    </w:p>
    <w:p w:rsidR="002C74CA" w:rsidRPr="002C74CA" w:rsidRDefault="002C74CA" w:rsidP="002C74CA">
      <w:pPr>
        <w:rPr>
          <w:color w:val="auto"/>
        </w:rPr>
      </w:pPr>
      <w:r w:rsidRPr="002C74CA">
        <w:rPr>
          <w:color w:val="auto"/>
        </w:rPr>
        <w:tab/>
      </w:r>
      <w:r w:rsidRPr="002C74CA">
        <w:rPr>
          <w:color w:val="auto"/>
        </w:rPr>
        <w:tab/>
      </w:r>
      <w:r w:rsidRPr="002C74CA">
        <w:rPr>
          <w:color w:val="auto"/>
        </w:rPr>
        <w:tab/>
      </w:r>
      <w:r w:rsidRPr="002C74CA">
        <w:rPr>
          <w:color w:val="auto"/>
        </w:rPr>
        <w:tab/>
      </w:r>
      <w:r w:rsidRPr="002C74CA">
        <w:rPr>
          <w:color w:val="auto"/>
        </w:rPr>
        <w:tab/>
      </w:r>
      <w:r w:rsidRPr="002C74CA">
        <w:rPr>
          <w:color w:val="auto"/>
        </w:rPr>
        <w:tab/>
        <w:t xml:space="preserve">  Assistant Secretary of the Navy</w:t>
      </w:r>
    </w:p>
    <w:p w:rsidR="002C74CA" w:rsidRPr="002C74CA" w:rsidRDefault="002C74CA" w:rsidP="002C74CA">
      <w:pPr>
        <w:rPr>
          <w:color w:val="auto"/>
        </w:rPr>
      </w:pPr>
      <w:r w:rsidRPr="002C74CA">
        <w:rPr>
          <w:color w:val="auto"/>
        </w:rPr>
        <w:tab/>
      </w:r>
      <w:r w:rsidRPr="002C74CA">
        <w:rPr>
          <w:color w:val="auto"/>
        </w:rPr>
        <w:tab/>
      </w:r>
      <w:r w:rsidRPr="002C74CA">
        <w:rPr>
          <w:color w:val="auto"/>
        </w:rPr>
        <w:tab/>
      </w:r>
      <w:r w:rsidRPr="002C74CA">
        <w:rPr>
          <w:color w:val="auto"/>
        </w:rPr>
        <w:tab/>
      </w:r>
      <w:r w:rsidRPr="002C74CA">
        <w:rPr>
          <w:color w:val="auto"/>
        </w:rPr>
        <w:tab/>
      </w:r>
      <w:r w:rsidRPr="002C74CA">
        <w:rPr>
          <w:color w:val="auto"/>
        </w:rPr>
        <w:tab/>
        <w:t xml:space="preserve">    (Manpower &amp; Reserve Affairs)</w:t>
      </w:r>
    </w:p>
    <w:p w:rsidR="002C74CA" w:rsidRPr="002C74CA" w:rsidRDefault="002C74CA" w:rsidP="002C74CA">
      <w:pPr>
        <w:rPr>
          <w:color w:val="auto"/>
        </w:rPr>
      </w:pPr>
    </w:p>
    <w:p w:rsidR="008C4AC0" w:rsidRPr="00ED16B5" w:rsidRDefault="008C4AC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C4AC0" w:rsidRPr="00ED16B5"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0D" w:rsidRDefault="00C6630D">
      <w:r>
        <w:separator/>
      </w:r>
    </w:p>
  </w:endnote>
  <w:endnote w:type="continuationSeparator" w:id="0">
    <w:p w:rsidR="00C6630D" w:rsidRDefault="00C66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532F13">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532F1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C74CA">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BF3BF0">
      <w:rPr>
        <w:rFonts w:asciiTheme="minorHAnsi" w:hAnsiTheme="minorHAnsi"/>
        <w:caps/>
        <w:color w:val="auto"/>
      </w:rPr>
      <w:t>1000386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0D" w:rsidRDefault="00C6630D">
      <w:r>
        <w:separator/>
      </w:r>
    </w:p>
  </w:footnote>
  <w:footnote w:type="continuationSeparator" w:id="0">
    <w:p w:rsidR="00C6630D" w:rsidRDefault="00C66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2D7"/>
    <w:multiLevelType w:val="hybridMultilevel"/>
    <w:tmpl w:val="75A6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A3B7F"/>
    <w:multiLevelType w:val="hybridMultilevel"/>
    <w:tmpl w:val="60C4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C59B3"/>
    <w:multiLevelType w:val="hybridMultilevel"/>
    <w:tmpl w:val="F63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56539"/>
    <w:multiLevelType w:val="hybridMultilevel"/>
    <w:tmpl w:val="120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35C5A"/>
    <w:multiLevelType w:val="hybridMultilevel"/>
    <w:tmpl w:val="6F24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8546"/>
  </w:hdrShapeDefaults>
  <w:footnotePr>
    <w:numRestart w:val="eachSect"/>
    <w:footnote w:id="-1"/>
    <w:footnote w:id="0"/>
  </w:footnotePr>
  <w:endnotePr>
    <w:endnote w:id="-1"/>
    <w:endnote w:id="0"/>
  </w:endnotePr>
  <w:compat/>
  <w:rsids>
    <w:rsidRoot w:val="001C28D1"/>
    <w:rsid w:val="000059FA"/>
    <w:rsid w:val="00006186"/>
    <w:rsid w:val="00006F87"/>
    <w:rsid w:val="00007EDB"/>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0B8"/>
    <w:rsid w:val="000379D0"/>
    <w:rsid w:val="00040FC4"/>
    <w:rsid w:val="000416F8"/>
    <w:rsid w:val="00042C26"/>
    <w:rsid w:val="00043382"/>
    <w:rsid w:val="00044623"/>
    <w:rsid w:val="00051622"/>
    <w:rsid w:val="00052234"/>
    <w:rsid w:val="00053D7C"/>
    <w:rsid w:val="000577C9"/>
    <w:rsid w:val="0006431E"/>
    <w:rsid w:val="00065E21"/>
    <w:rsid w:val="000721E5"/>
    <w:rsid w:val="00072433"/>
    <w:rsid w:val="00075702"/>
    <w:rsid w:val="000775C2"/>
    <w:rsid w:val="000806AD"/>
    <w:rsid w:val="00081D83"/>
    <w:rsid w:val="00082482"/>
    <w:rsid w:val="00085B7F"/>
    <w:rsid w:val="00087051"/>
    <w:rsid w:val="0008708B"/>
    <w:rsid w:val="00092619"/>
    <w:rsid w:val="00092C66"/>
    <w:rsid w:val="00094E4F"/>
    <w:rsid w:val="000A2BCE"/>
    <w:rsid w:val="000A41E3"/>
    <w:rsid w:val="000A4BBA"/>
    <w:rsid w:val="000A5071"/>
    <w:rsid w:val="000B4C99"/>
    <w:rsid w:val="000C06F6"/>
    <w:rsid w:val="000C1D34"/>
    <w:rsid w:val="000C2198"/>
    <w:rsid w:val="000C2362"/>
    <w:rsid w:val="000C26D7"/>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FC4"/>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0FEC"/>
    <w:rsid w:val="001611E4"/>
    <w:rsid w:val="00161761"/>
    <w:rsid w:val="00166182"/>
    <w:rsid w:val="0017427F"/>
    <w:rsid w:val="001745DD"/>
    <w:rsid w:val="00174ECE"/>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4FBC"/>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5A9A"/>
    <w:rsid w:val="00200AA0"/>
    <w:rsid w:val="00202325"/>
    <w:rsid w:val="00202736"/>
    <w:rsid w:val="00203652"/>
    <w:rsid w:val="00205B4F"/>
    <w:rsid w:val="002060B6"/>
    <w:rsid w:val="002066B5"/>
    <w:rsid w:val="00210982"/>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646D"/>
    <w:rsid w:val="002373B0"/>
    <w:rsid w:val="00240299"/>
    <w:rsid w:val="0024174E"/>
    <w:rsid w:val="0024227D"/>
    <w:rsid w:val="00242D14"/>
    <w:rsid w:val="00245891"/>
    <w:rsid w:val="00246860"/>
    <w:rsid w:val="00246DFF"/>
    <w:rsid w:val="00246E89"/>
    <w:rsid w:val="0025183C"/>
    <w:rsid w:val="002528EC"/>
    <w:rsid w:val="00255049"/>
    <w:rsid w:val="00257DE5"/>
    <w:rsid w:val="00260531"/>
    <w:rsid w:val="0026318D"/>
    <w:rsid w:val="00267FD4"/>
    <w:rsid w:val="00270864"/>
    <w:rsid w:val="002712F7"/>
    <w:rsid w:val="0027159C"/>
    <w:rsid w:val="00271A39"/>
    <w:rsid w:val="00274549"/>
    <w:rsid w:val="00274E46"/>
    <w:rsid w:val="00276C86"/>
    <w:rsid w:val="002810A4"/>
    <w:rsid w:val="00284A26"/>
    <w:rsid w:val="00284A7F"/>
    <w:rsid w:val="00287006"/>
    <w:rsid w:val="00292AB2"/>
    <w:rsid w:val="00294437"/>
    <w:rsid w:val="002A13BF"/>
    <w:rsid w:val="002A3237"/>
    <w:rsid w:val="002A58B7"/>
    <w:rsid w:val="002A5943"/>
    <w:rsid w:val="002A5C3C"/>
    <w:rsid w:val="002A685E"/>
    <w:rsid w:val="002A72C7"/>
    <w:rsid w:val="002B03B2"/>
    <w:rsid w:val="002B0749"/>
    <w:rsid w:val="002B2645"/>
    <w:rsid w:val="002B6FA0"/>
    <w:rsid w:val="002C5F10"/>
    <w:rsid w:val="002C6E5B"/>
    <w:rsid w:val="002C74CA"/>
    <w:rsid w:val="002D18B4"/>
    <w:rsid w:val="002D231A"/>
    <w:rsid w:val="002D7DCD"/>
    <w:rsid w:val="002E1877"/>
    <w:rsid w:val="002E1C31"/>
    <w:rsid w:val="002E333A"/>
    <w:rsid w:val="002E3474"/>
    <w:rsid w:val="002E400C"/>
    <w:rsid w:val="002E49C3"/>
    <w:rsid w:val="002E5114"/>
    <w:rsid w:val="002E7570"/>
    <w:rsid w:val="002E764B"/>
    <w:rsid w:val="002F0E28"/>
    <w:rsid w:val="002F2868"/>
    <w:rsid w:val="002F287E"/>
    <w:rsid w:val="002F2D63"/>
    <w:rsid w:val="002F7F81"/>
    <w:rsid w:val="00300A36"/>
    <w:rsid w:val="0030678B"/>
    <w:rsid w:val="00306951"/>
    <w:rsid w:val="00310CD7"/>
    <w:rsid w:val="0032136A"/>
    <w:rsid w:val="00323E70"/>
    <w:rsid w:val="00325BA2"/>
    <w:rsid w:val="00326C08"/>
    <w:rsid w:val="00326F7F"/>
    <w:rsid w:val="003320E8"/>
    <w:rsid w:val="003327D6"/>
    <w:rsid w:val="0033334F"/>
    <w:rsid w:val="0033555E"/>
    <w:rsid w:val="00336805"/>
    <w:rsid w:val="00337351"/>
    <w:rsid w:val="00341A54"/>
    <w:rsid w:val="0034669F"/>
    <w:rsid w:val="00351498"/>
    <w:rsid w:val="00352B22"/>
    <w:rsid w:val="00354547"/>
    <w:rsid w:val="003567DE"/>
    <w:rsid w:val="00357335"/>
    <w:rsid w:val="003574F3"/>
    <w:rsid w:val="00360D3D"/>
    <w:rsid w:val="0036319E"/>
    <w:rsid w:val="003632A4"/>
    <w:rsid w:val="00363362"/>
    <w:rsid w:val="00367D4F"/>
    <w:rsid w:val="003704A9"/>
    <w:rsid w:val="00370743"/>
    <w:rsid w:val="00370EF5"/>
    <w:rsid w:val="0037135B"/>
    <w:rsid w:val="00372251"/>
    <w:rsid w:val="00372EFB"/>
    <w:rsid w:val="0037520D"/>
    <w:rsid w:val="00375724"/>
    <w:rsid w:val="00375809"/>
    <w:rsid w:val="0037628C"/>
    <w:rsid w:val="00376622"/>
    <w:rsid w:val="00376B81"/>
    <w:rsid w:val="00377BD2"/>
    <w:rsid w:val="003821E1"/>
    <w:rsid w:val="00384866"/>
    <w:rsid w:val="003857D4"/>
    <w:rsid w:val="00385D6F"/>
    <w:rsid w:val="00387095"/>
    <w:rsid w:val="00390092"/>
    <w:rsid w:val="00393651"/>
    <w:rsid w:val="00393884"/>
    <w:rsid w:val="003954EE"/>
    <w:rsid w:val="00395E12"/>
    <w:rsid w:val="00396779"/>
    <w:rsid w:val="00397DB7"/>
    <w:rsid w:val="003A27B2"/>
    <w:rsid w:val="003A40B4"/>
    <w:rsid w:val="003A41BA"/>
    <w:rsid w:val="003A6A99"/>
    <w:rsid w:val="003A7FF8"/>
    <w:rsid w:val="003B17AC"/>
    <w:rsid w:val="003B227A"/>
    <w:rsid w:val="003B4C76"/>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17AB4"/>
    <w:rsid w:val="00421485"/>
    <w:rsid w:val="00422B75"/>
    <w:rsid w:val="0043300B"/>
    <w:rsid w:val="00433F36"/>
    <w:rsid w:val="0043503A"/>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3758"/>
    <w:rsid w:val="004761CC"/>
    <w:rsid w:val="00480D4A"/>
    <w:rsid w:val="00481DA1"/>
    <w:rsid w:val="00484212"/>
    <w:rsid w:val="00490A10"/>
    <w:rsid w:val="0049255F"/>
    <w:rsid w:val="0049445D"/>
    <w:rsid w:val="00495350"/>
    <w:rsid w:val="00495AEC"/>
    <w:rsid w:val="00497156"/>
    <w:rsid w:val="004A0C79"/>
    <w:rsid w:val="004A24D2"/>
    <w:rsid w:val="004A3214"/>
    <w:rsid w:val="004A4136"/>
    <w:rsid w:val="004A417B"/>
    <w:rsid w:val="004A4222"/>
    <w:rsid w:val="004B03F3"/>
    <w:rsid w:val="004B0A01"/>
    <w:rsid w:val="004B0CC9"/>
    <w:rsid w:val="004B2536"/>
    <w:rsid w:val="004B6AF3"/>
    <w:rsid w:val="004B715E"/>
    <w:rsid w:val="004B7169"/>
    <w:rsid w:val="004B79C9"/>
    <w:rsid w:val="004C4234"/>
    <w:rsid w:val="004C5E33"/>
    <w:rsid w:val="004C6CDA"/>
    <w:rsid w:val="004D04FE"/>
    <w:rsid w:val="004D10D4"/>
    <w:rsid w:val="004D16BD"/>
    <w:rsid w:val="004D2AAB"/>
    <w:rsid w:val="004D6F2B"/>
    <w:rsid w:val="004E0248"/>
    <w:rsid w:val="004E21A3"/>
    <w:rsid w:val="004E32EA"/>
    <w:rsid w:val="004E6866"/>
    <w:rsid w:val="004E7180"/>
    <w:rsid w:val="004F3222"/>
    <w:rsid w:val="004F3BFA"/>
    <w:rsid w:val="005000AB"/>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2F13"/>
    <w:rsid w:val="0053389C"/>
    <w:rsid w:val="00534D42"/>
    <w:rsid w:val="005350A5"/>
    <w:rsid w:val="00536379"/>
    <w:rsid w:val="00537238"/>
    <w:rsid w:val="005400C5"/>
    <w:rsid w:val="00540BEF"/>
    <w:rsid w:val="00542C9A"/>
    <w:rsid w:val="005436C2"/>
    <w:rsid w:val="005442D4"/>
    <w:rsid w:val="0054586A"/>
    <w:rsid w:val="0054631F"/>
    <w:rsid w:val="0055288D"/>
    <w:rsid w:val="00555259"/>
    <w:rsid w:val="00560731"/>
    <w:rsid w:val="00560D57"/>
    <w:rsid w:val="00562A94"/>
    <w:rsid w:val="0056344C"/>
    <w:rsid w:val="005661E4"/>
    <w:rsid w:val="005709F7"/>
    <w:rsid w:val="005710A9"/>
    <w:rsid w:val="00571D1B"/>
    <w:rsid w:val="005738F5"/>
    <w:rsid w:val="0058039C"/>
    <w:rsid w:val="00593043"/>
    <w:rsid w:val="00595BF0"/>
    <w:rsid w:val="005A1846"/>
    <w:rsid w:val="005A258C"/>
    <w:rsid w:val="005A3560"/>
    <w:rsid w:val="005A464E"/>
    <w:rsid w:val="005A69EB"/>
    <w:rsid w:val="005A6C99"/>
    <w:rsid w:val="005A7D5D"/>
    <w:rsid w:val="005B011A"/>
    <w:rsid w:val="005B1D8F"/>
    <w:rsid w:val="005B1E94"/>
    <w:rsid w:val="005B5B3D"/>
    <w:rsid w:val="005B5B58"/>
    <w:rsid w:val="005B64CF"/>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0E9F"/>
    <w:rsid w:val="00641450"/>
    <w:rsid w:val="006418C9"/>
    <w:rsid w:val="00642BD6"/>
    <w:rsid w:val="00645046"/>
    <w:rsid w:val="0064527A"/>
    <w:rsid w:val="00645EA2"/>
    <w:rsid w:val="00653D2D"/>
    <w:rsid w:val="006573F2"/>
    <w:rsid w:val="00661A3E"/>
    <w:rsid w:val="0066226D"/>
    <w:rsid w:val="00662F08"/>
    <w:rsid w:val="00663589"/>
    <w:rsid w:val="006708E3"/>
    <w:rsid w:val="00670DDC"/>
    <w:rsid w:val="00671EB4"/>
    <w:rsid w:val="006735C9"/>
    <w:rsid w:val="0067443B"/>
    <w:rsid w:val="00684E2B"/>
    <w:rsid w:val="00690FDA"/>
    <w:rsid w:val="00691E61"/>
    <w:rsid w:val="00693C5E"/>
    <w:rsid w:val="00694EEA"/>
    <w:rsid w:val="006955B4"/>
    <w:rsid w:val="00696476"/>
    <w:rsid w:val="006A10FA"/>
    <w:rsid w:val="006A40E6"/>
    <w:rsid w:val="006A4DFC"/>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1B3"/>
    <w:rsid w:val="00707ECE"/>
    <w:rsid w:val="00710CE8"/>
    <w:rsid w:val="007116BC"/>
    <w:rsid w:val="007165CE"/>
    <w:rsid w:val="00720968"/>
    <w:rsid w:val="00721705"/>
    <w:rsid w:val="00721D12"/>
    <w:rsid w:val="00721F8B"/>
    <w:rsid w:val="007237CE"/>
    <w:rsid w:val="00724688"/>
    <w:rsid w:val="0073062D"/>
    <w:rsid w:val="0073254D"/>
    <w:rsid w:val="00736A49"/>
    <w:rsid w:val="00737283"/>
    <w:rsid w:val="007419A1"/>
    <w:rsid w:val="00743B71"/>
    <w:rsid w:val="00743C2D"/>
    <w:rsid w:val="00743E36"/>
    <w:rsid w:val="007446F7"/>
    <w:rsid w:val="00744EBB"/>
    <w:rsid w:val="00745B0A"/>
    <w:rsid w:val="007468AC"/>
    <w:rsid w:val="00746AE2"/>
    <w:rsid w:val="00750C82"/>
    <w:rsid w:val="00750E0D"/>
    <w:rsid w:val="0076100C"/>
    <w:rsid w:val="007612A5"/>
    <w:rsid w:val="00763F95"/>
    <w:rsid w:val="00764F54"/>
    <w:rsid w:val="007651ED"/>
    <w:rsid w:val="00766C87"/>
    <w:rsid w:val="00780378"/>
    <w:rsid w:val="0078107E"/>
    <w:rsid w:val="00781BD4"/>
    <w:rsid w:val="00784832"/>
    <w:rsid w:val="00785D77"/>
    <w:rsid w:val="00786111"/>
    <w:rsid w:val="00791F1E"/>
    <w:rsid w:val="0079282C"/>
    <w:rsid w:val="00794F3D"/>
    <w:rsid w:val="00796045"/>
    <w:rsid w:val="007968AC"/>
    <w:rsid w:val="007969AB"/>
    <w:rsid w:val="007972E7"/>
    <w:rsid w:val="00797882"/>
    <w:rsid w:val="007A0B39"/>
    <w:rsid w:val="007A13D1"/>
    <w:rsid w:val="007A14A4"/>
    <w:rsid w:val="007A168F"/>
    <w:rsid w:val="007A28E4"/>
    <w:rsid w:val="007A3BB3"/>
    <w:rsid w:val="007A5AD1"/>
    <w:rsid w:val="007A5B7B"/>
    <w:rsid w:val="007A76F6"/>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3319"/>
    <w:rsid w:val="0081534B"/>
    <w:rsid w:val="00817713"/>
    <w:rsid w:val="008220F1"/>
    <w:rsid w:val="0082340B"/>
    <w:rsid w:val="00827185"/>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57602"/>
    <w:rsid w:val="0086162B"/>
    <w:rsid w:val="00861D5C"/>
    <w:rsid w:val="00863D23"/>
    <w:rsid w:val="00865207"/>
    <w:rsid w:val="008656A7"/>
    <w:rsid w:val="008659F9"/>
    <w:rsid w:val="00866231"/>
    <w:rsid w:val="00871262"/>
    <w:rsid w:val="00871D4E"/>
    <w:rsid w:val="00871E7B"/>
    <w:rsid w:val="00875B51"/>
    <w:rsid w:val="00875F2D"/>
    <w:rsid w:val="008764DC"/>
    <w:rsid w:val="008804E9"/>
    <w:rsid w:val="00882CC2"/>
    <w:rsid w:val="008830D8"/>
    <w:rsid w:val="00883930"/>
    <w:rsid w:val="00886840"/>
    <w:rsid w:val="0089026E"/>
    <w:rsid w:val="0089153E"/>
    <w:rsid w:val="00896535"/>
    <w:rsid w:val="00896683"/>
    <w:rsid w:val="0089750B"/>
    <w:rsid w:val="00897589"/>
    <w:rsid w:val="008A63A9"/>
    <w:rsid w:val="008A7F7E"/>
    <w:rsid w:val="008B04DB"/>
    <w:rsid w:val="008B27FD"/>
    <w:rsid w:val="008B3AF2"/>
    <w:rsid w:val="008B446D"/>
    <w:rsid w:val="008B515D"/>
    <w:rsid w:val="008B5D31"/>
    <w:rsid w:val="008B6705"/>
    <w:rsid w:val="008C17E5"/>
    <w:rsid w:val="008C22F3"/>
    <w:rsid w:val="008C42CF"/>
    <w:rsid w:val="008C4AC0"/>
    <w:rsid w:val="008D0173"/>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081C"/>
    <w:rsid w:val="00923B25"/>
    <w:rsid w:val="0092402E"/>
    <w:rsid w:val="009259BA"/>
    <w:rsid w:val="00926FCB"/>
    <w:rsid w:val="0093311A"/>
    <w:rsid w:val="00937D06"/>
    <w:rsid w:val="00940044"/>
    <w:rsid w:val="00942645"/>
    <w:rsid w:val="00950A3A"/>
    <w:rsid w:val="009517FD"/>
    <w:rsid w:val="0095340A"/>
    <w:rsid w:val="00954581"/>
    <w:rsid w:val="0095466C"/>
    <w:rsid w:val="00954E5B"/>
    <w:rsid w:val="009576BC"/>
    <w:rsid w:val="00960357"/>
    <w:rsid w:val="0096168C"/>
    <w:rsid w:val="00961840"/>
    <w:rsid w:val="00962F2D"/>
    <w:rsid w:val="009672CD"/>
    <w:rsid w:val="0097087B"/>
    <w:rsid w:val="00972996"/>
    <w:rsid w:val="009730A4"/>
    <w:rsid w:val="009732B8"/>
    <w:rsid w:val="00975C72"/>
    <w:rsid w:val="00976869"/>
    <w:rsid w:val="00977740"/>
    <w:rsid w:val="00977CB4"/>
    <w:rsid w:val="00980374"/>
    <w:rsid w:val="009809B8"/>
    <w:rsid w:val="00981115"/>
    <w:rsid w:val="0098222D"/>
    <w:rsid w:val="00985099"/>
    <w:rsid w:val="0099421F"/>
    <w:rsid w:val="009A0DE3"/>
    <w:rsid w:val="009A1643"/>
    <w:rsid w:val="009A215A"/>
    <w:rsid w:val="009A48AB"/>
    <w:rsid w:val="009A49D3"/>
    <w:rsid w:val="009A4F1B"/>
    <w:rsid w:val="009A66C5"/>
    <w:rsid w:val="009A79BA"/>
    <w:rsid w:val="009B14D1"/>
    <w:rsid w:val="009B1534"/>
    <w:rsid w:val="009B2073"/>
    <w:rsid w:val="009B4963"/>
    <w:rsid w:val="009B4A3B"/>
    <w:rsid w:val="009B69D3"/>
    <w:rsid w:val="009B7BA7"/>
    <w:rsid w:val="009C0938"/>
    <w:rsid w:val="009C22C8"/>
    <w:rsid w:val="009C3F82"/>
    <w:rsid w:val="009C72DD"/>
    <w:rsid w:val="009C7DF5"/>
    <w:rsid w:val="009D056C"/>
    <w:rsid w:val="009D060F"/>
    <w:rsid w:val="009D1ADE"/>
    <w:rsid w:val="009D261B"/>
    <w:rsid w:val="009D37CA"/>
    <w:rsid w:val="009E02E2"/>
    <w:rsid w:val="009E09D0"/>
    <w:rsid w:val="009E0A4F"/>
    <w:rsid w:val="009E1283"/>
    <w:rsid w:val="009E3A7F"/>
    <w:rsid w:val="009E57B1"/>
    <w:rsid w:val="009E6379"/>
    <w:rsid w:val="009F7809"/>
    <w:rsid w:val="009F7AF5"/>
    <w:rsid w:val="00A0010C"/>
    <w:rsid w:val="00A00D14"/>
    <w:rsid w:val="00A01408"/>
    <w:rsid w:val="00A02457"/>
    <w:rsid w:val="00A03190"/>
    <w:rsid w:val="00A0404B"/>
    <w:rsid w:val="00A0798C"/>
    <w:rsid w:val="00A07BDD"/>
    <w:rsid w:val="00A1105B"/>
    <w:rsid w:val="00A1213C"/>
    <w:rsid w:val="00A130E8"/>
    <w:rsid w:val="00A15B6B"/>
    <w:rsid w:val="00A15EB4"/>
    <w:rsid w:val="00A16876"/>
    <w:rsid w:val="00A17956"/>
    <w:rsid w:val="00A200AA"/>
    <w:rsid w:val="00A20558"/>
    <w:rsid w:val="00A213F2"/>
    <w:rsid w:val="00A2186F"/>
    <w:rsid w:val="00A2270B"/>
    <w:rsid w:val="00A23B89"/>
    <w:rsid w:val="00A23FE3"/>
    <w:rsid w:val="00A24891"/>
    <w:rsid w:val="00A248C3"/>
    <w:rsid w:val="00A2496E"/>
    <w:rsid w:val="00A258B7"/>
    <w:rsid w:val="00A32743"/>
    <w:rsid w:val="00A414A9"/>
    <w:rsid w:val="00A43231"/>
    <w:rsid w:val="00A44554"/>
    <w:rsid w:val="00A44CCA"/>
    <w:rsid w:val="00A44D75"/>
    <w:rsid w:val="00A47CF1"/>
    <w:rsid w:val="00A50418"/>
    <w:rsid w:val="00A54A47"/>
    <w:rsid w:val="00A56D26"/>
    <w:rsid w:val="00A571A7"/>
    <w:rsid w:val="00A608FB"/>
    <w:rsid w:val="00A60D83"/>
    <w:rsid w:val="00A60F68"/>
    <w:rsid w:val="00A62B7B"/>
    <w:rsid w:val="00A63DF3"/>
    <w:rsid w:val="00A64CA1"/>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62C8"/>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5F32"/>
    <w:rsid w:val="00AF715F"/>
    <w:rsid w:val="00B06E59"/>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56542"/>
    <w:rsid w:val="00B643A6"/>
    <w:rsid w:val="00B64DD6"/>
    <w:rsid w:val="00B6710C"/>
    <w:rsid w:val="00B67B37"/>
    <w:rsid w:val="00B67E84"/>
    <w:rsid w:val="00B72076"/>
    <w:rsid w:val="00B72303"/>
    <w:rsid w:val="00B72C72"/>
    <w:rsid w:val="00B75D90"/>
    <w:rsid w:val="00B82277"/>
    <w:rsid w:val="00B82C32"/>
    <w:rsid w:val="00B91676"/>
    <w:rsid w:val="00B92758"/>
    <w:rsid w:val="00B95833"/>
    <w:rsid w:val="00BA1824"/>
    <w:rsid w:val="00BA2D98"/>
    <w:rsid w:val="00BA30D1"/>
    <w:rsid w:val="00BA30E1"/>
    <w:rsid w:val="00BA4609"/>
    <w:rsid w:val="00BA5BE2"/>
    <w:rsid w:val="00BA7F46"/>
    <w:rsid w:val="00BB0A0A"/>
    <w:rsid w:val="00BB133C"/>
    <w:rsid w:val="00BB45B5"/>
    <w:rsid w:val="00BB6064"/>
    <w:rsid w:val="00BC0175"/>
    <w:rsid w:val="00BC09D1"/>
    <w:rsid w:val="00BC1CF3"/>
    <w:rsid w:val="00BC3573"/>
    <w:rsid w:val="00BC7F82"/>
    <w:rsid w:val="00BD40AB"/>
    <w:rsid w:val="00BD449D"/>
    <w:rsid w:val="00BD6297"/>
    <w:rsid w:val="00BD6806"/>
    <w:rsid w:val="00BD7433"/>
    <w:rsid w:val="00BD7831"/>
    <w:rsid w:val="00BD7C10"/>
    <w:rsid w:val="00BE046F"/>
    <w:rsid w:val="00BE0DEB"/>
    <w:rsid w:val="00BE19D9"/>
    <w:rsid w:val="00BE2FC1"/>
    <w:rsid w:val="00BE6365"/>
    <w:rsid w:val="00BF0B7F"/>
    <w:rsid w:val="00BF3BF0"/>
    <w:rsid w:val="00BF4720"/>
    <w:rsid w:val="00BF4F49"/>
    <w:rsid w:val="00BF7B4F"/>
    <w:rsid w:val="00BF7B63"/>
    <w:rsid w:val="00C038EC"/>
    <w:rsid w:val="00C05C6D"/>
    <w:rsid w:val="00C07909"/>
    <w:rsid w:val="00C1122B"/>
    <w:rsid w:val="00C1308E"/>
    <w:rsid w:val="00C13B34"/>
    <w:rsid w:val="00C13D5F"/>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25EE"/>
    <w:rsid w:val="00C34047"/>
    <w:rsid w:val="00C34326"/>
    <w:rsid w:val="00C36201"/>
    <w:rsid w:val="00C368E8"/>
    <w:rsid w:val="00C36C3D"/>
    <w:rsid w:val="00C372C7"/>
    <w:rsid w:val="00C42443"/>
    <w:rsid w:val="00C42CBA"/>
    <w:rsid w:val="00C5019E"/>
    <w:rsid w:val="00C5377C"/>
    <w:rsid w:val="00C53E8A"/>
    <w:rsid w:val="00C54DF3"/>
    <w:rsid w:val="00C560A7"/>
    <w:rsid w:val="00C56FC8"/>
    <w:rsid w:val="00C576F4"/>
    <w:rsid w:val="00C60F23"/>
    <w:rsid w:val="00C62EB2"/>
    <w:rsid w:val="00C6630D"/>
    <w:rsid w:val="00C71BEC"/>
    <w:rsid w:val="00C74D3A"/>
    <w:rsid w:val="00C80511"/>
    <w:rsid w:val="00C826F5"/>
    <w:rsid w:val="00C83740"/>
    <w:rsid w:val="00C8413D"/>
    <w:rsid w:val="00C84AD1"/>
    <w:rsid w:val="00C85579"/>
    <w:rsid w:val="00C863E5"/>
    <w:rsid w:val="00C87BE6"/>
    <w:rsid w:val="00C87F76"/>
    <w:rsid w:val="00C931FC"/>
    <w:rsid w:val="00C932C5"/>
    <w:rsid w:val="00C9650E"/>
    <w:rsid w:val="00CA068D"/>
    <w:rsid w:val="00CA1228"/>
    <w:rsid w:val="00CA282D"/>
    <w:rsid w:val="00CA4670"/>
    <w:rsid w:val="00CA602A"/>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0343"/>
    <w:rsid w:val="00CF158D"/>
    <w:rsid w:val="00CF4394"/>
    <w:rsid w:val="00D000A9"/>
    <w:rsid w:val="00D005DB"/>
    <w:rsid w:val="00D0064E"/>
    <w:rsid w:val="00D00981"/>
    <w:rsid w:val="00D02596"/>
    <w:rsid w:val="00D0280D"/>
    <w:rsid w:val="00D07A72"/>
    <w:rsid w:val="00D07CCE"/>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BB8"/>
    <w:rsid w:val="00D40D75"/>
    <w:rsid w:val="00D449F0"/>
    <w:rsid w:val="00D50C8C"/>
    <w:rsid w:val="00D520E4"/>
    <w:rsid w:val="00D52393"/>
    <w:rsid w:val="00D523E4"/>
    <w:rsid w:val="00D5279D"/>
    <w:rsid w:val="00D52A1B"/>
    <w:rsid w:val="00D52FCC"/>
    <w:rsid w:val="00D53F14"/>
    <w:rsid w:val="00D54BE4"/>
    <w:rsid w:val="00D560DC"/>
    <w:rsid w:val="00D57E51"/>
    <w:rsid w:val="00D60483"/>
    <w:rsid w:val="00D61ABB"/>
    <w:rsid w:val="00D63577"/>
    <w:rsid w:val="00D67FD7"/>
    <w:rsid w:val="00D74261"/>
    <w:rsid w:val="00D7441B"/>
    <w:rsid w:val="00D76AB2"/>
    <w:rsid w:val="00D80490"/>
    <w:rsid w:val="00D829AD"/>
    <w:rsid w:val="00D82EE2"/>
    <w:rsid w:val="00D8495C"/>
    <w:rsid w:val="00D8545C"/>
    <w:rsid w:val="00D87788"/>
    <w:rsid w:val="00D877C8"/>
    <w:rsid w:val="00D910C2"/>
    <w:rsid w:val="00D9168C"/>
    <w:rsid w:val="00D9189B"/>
    <w:rsid w:val="00D91DA6"/>
    <w:rsid w:val="00D9706F"/>
    <w:rsid w:val="00D972D4"/>
    <w:rsid w:val="00DA195B"/>
    <w:rsid w:val="00DA59C9"/>
    <w:rsid w:val="00DA6B55"/>
    <w:rsid w:val="00DA6B97"/>
    <w:rsid w:val="00DB0015"/>
    <w:rsid w:val="00DB2AAD"/>
    <w:rsid w:val="00DB626D"/>
    <w:rsid w:val="00DB6365"/>
    <w:rsid w:val="00DC0BF1"/>
    <w:rsid w:val="00DC41C3"/>
    <w:rsid w:val="00DC5817"/>
    <w:rsid w:val="00DC5E01"/>
    <w:rsid w:val="00DD286D"/>
    <w:rsid w:val="00DD2CAF"/>
    <w:rsid w:val="00DD3593"/>
    <w:rsid w:val="00DD469B"/>
    <w:rsid w:val="00DD64E0"/>
    <w:rsid w:val="00DE0C67"/>
    <w:rsid w:val="00DE289E"/>
    <w:rsid w:val="00DE671B"/>
    <w:rsid w:val="00DE6952"/>
    <w:rsid w:val="00DE7E74"/>
    <w:rsid w:val="00DF071B"/>
    <w:rsid w:val="00DF6EF8"/>
    <w:rsid w:val="00E00A69"/>
    <w:rsid w:val="00E017F0"/>
    <w:rsid w:val="00E01A0E"/>
    <w:rsid w:val="00E041E4"/>
    <w:rsid w:val="00E05235"/>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1BD9"/>
    <w:rsid w:val="00E548FA"/>
    <w:rsid w:val="00E57ED4"/>
    <w:rsid w:val="00E6092F"/>
    <w:rsid w:val="00E62049"/>
    <w:rsid w:val="00E629DA"/>
    <w:rsid w:val="00E6469F"/>
    <w:rsid w:val="00E670F8"/>
    <w:rsid w:val="00E67FAC"/>
    <w:rsid w:val="00E70DA1"/>
    <w:rsid w:val="00E7200B"/>
    <w:rsid w:val="00E738CB"/>
    <w:rsid w:val="00E73C88"/>
    <w:rsid w:val="00E74437"/>
    <w:rsid w:val="00E7443D"/>
    <w:rsid w:val="00E81C3E"/>
    <w:rsid w:val="00E82B6D"/>
    <w:rsid w:val="00E91E8F"/>
    <w:rsid w:val="00EA1177"/>
    <w:rsid w:val="00EA118B"/>
    <w:rsid w:val="00EA11B6"/>
    <w:rsid w:val="00EA2181"/>
    <w:rsid w:val="00EA2DD8"/>
    <w:rsid w:val="00EA4475"/>
    <w:rsid w:val="00EA681F"/>
    <w:rsid w:val="00EB3307"/>
    <w:rsid w:val="00EB3823"/>
    <w:rsid w:val="00EB47D8"/>
    <w:rsid w:val="00EB57D3"/>
    <w:rsid w:val="00EB5EFD"/>
    <w:rsid w:val="00EB679F"/>
    <w:rsid w:val="00EB7422"/>
    <w:rsid w:val="00EB76E4"/>
    <w:rsid w:val="00EC0E65"/>
    <w:rsid w:val="00EC2938"/>
    <w:rsid w:val="00EC38EF"/>
    <w:rsid w:val="00EC50C9"/>
    <w:rsid w:val="00EC5461"/>
    <w:rsid w:val="00EC58B4"/>
    <w:rsid w:val="00EC5BB2"/>
    <w:rsid w:val="00ED12F0"/>
    <w:rsid w:val="00ED16B5"/>
    <w:rsid w:val="00ED4773"/>
    <w:rsid w:val="00ED4D06"/>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06AD"/>
    <w:rsid w:val="00F11EBE"/>
    <w:rsid w:val="00F12BA8"/>
    <w:rsid w:val="00F130D0"/>
    <w:rsid w:val="00F14933"/>
    <w:rsid w:val="00F1516A"/>
    <w:rsid w:val="00F22A26"/>
    <w:rsid w:val="00F24072"/>
    <w:rsid w:val="00F26432"/>
    <w:rsid w:val="00F3197A"/>
    <w:rsid w:val="00F32139"/>
    <w:rsid w:val="00F33BF6"/>
    <w:rsid w:val="00F33D56"/>
    <w:rsid w:val="00F34E08"/>
    <w:rsid w:val="00F41D91"/>
    <w:rsid w:val="00F42363"/>
    <w:rsid w:val="00F46964"/>
    <w:rsid w:val="00F46F9A"/>
    <w:rsid w:val="00F470FD"/>
    <w:rsid w:val="00F50F30"/>
    <w:rsid w:val="00F5126A"/>
    <w:rsid w:val="00F5126E"/>
    <w:rsid w:val="00F53278"/>
    <w:rsid w:val="00F631D0"/>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213F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86221703">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14144908">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1801481">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C897-3C9C-4703-BA73-4A8007E3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2011-11-21T18:19:00Z</cp:lastPrinted>
  <dcterms:created xsi:type="dcterms:W3CDTF">2012-03-07T19:09:00Z</dcterms:created>
  <dcterms:modified xsi:type="dcterms:W3CDTF">2012-03-07T19:09:00Z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