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EF018E" w:rsidRDefault="00540BEF" w:rsidP="00540BEF">
      <w:pPr>
        <w:tabs>
          <w:tab w:val="left" w:pos="288"/>
          <w:tab w:val="left" w:pos="4752"/>
        </w:tabs>
        <w:spacing w:line="240" w:lineRule="exact"/>
        <w:jc w:val="center"/>
        <w:rPr>
          <w:rFonts w:asciiTheme="minorHAnsi" w:hAnsiTheme="minorHAnsi"/>
          <w:color w:val="auto"/>
        </w:rPr>
      </w:pPr>
      <w:r w:rsidRPr="00EF018E">
        <w:rPr>
          <w:rFonts w:asciiTheme="minorHAnsi" w:hAnsiTheme="minorHAnsi"/>
          <w:color w:val="auto"/>
        </w:rPr>
        <w:t xml:space="preserve">RECORD OF PROCEEDINGS </w:t>
      </w:r>
    </w:p>
    <w:p w:rsidR="00540BEF" w:rsidRPr="00EF018E" w:rsidRDefault="00540BEF" w:rsidP="00540BEF">
      <w:pPr>
        <w:tabs>
          <w:tab w:val="left" w:pos="288"/>
          <w:tab w:val="left" w:pos="4752"/>
        </w:tabs>
        <w:spacing w:line="240" w:lineRule="exact"/>
        <w:jc w:val="center"/>
        <w:rPr>
          <w:rFonts w:asciiTheme="minorHAnsi" w:hAnsiTheme="minorHAnsi"/>
          <w:color w:val="auto"/>
        </w:rPr>
      </w:pPr>
      <w:r w:rsidRPr="00EF018E">
        <w:rPr>
          <w:rFonts w:asciiTheme="minorHAnsi" w:hAnsiTheme="minorHAnsi"/>
          <w:color w:val="auto"/>
        </w:rPr>
        <w:t>PHYSICAL DISABILITY BOARD OF REVIEW</w:t>
      </w:r>
    </w:p>
    <w:p w:rsidR="00540BEF" w:rsidRPr="00EF018E" w:rsidRDefault="00540BEF" w:rsidP="00540BEF">
      <w:pPr>
        <w:tabs>
          <w:tab w:val="left" w:pos="288"/>
          <w:tab w:val="left" w:pos="4752"/>
        </w:tabs>
        <w:spacing w:line="240" w:lineRule="exact"/>
        <w:jc w:val="both"/>
        <w:rPr>
          <w:rFonts w:asciiTheme="minorHAnsi" w:hAnsiTheme="minorHAnsi"/>
          <w:color w:val="auto"/>
        </w:rPr>
      </w:pPr>
    </w:p>
    <w:p w:rsidR="00540BEF" w:rsidRPr="00EF018E" w:rsidRDefault="00540BEF" w:rsidP="00540BEF">
      <w:pPr>
        <w:tabs>
          <w:tab w:val="left" w:pos="288"/>
          <w:tab w:val="left" w:pos="4752"/>
        </w:tabs>
        <w:spacing w:line="240" w:lineRule="exact"/>
        <w:jc w:val="both"/>
        <w:rPr>
          <w:rFonts w:asciiTheme="minorHAnsi" w:hAnsiTheme="minorHAnsi"/>
          <w:color w:val="auto"/>
        </w:rPr>
      </w:pPr>
      <w:r w:rsidRPr="00EF018E">
        <w:rPr>
          <w:rFonts w:asciiTheme="minorHAnsi" w:hAnsiTheme="minorHAnsi"/>
          <w:color w:val="auto"/>
        </w:rPr>
        <w:t>NAME:</w:t>
      </w:r>
      <w:r w:rsidR="007E3883" w:rsidRPr="00EF018E">
        <w:rPr>
          <w:rFonts w:asciiTheme="minorHAnsi" w:hAnsiTheme="minorHAnsi"/>
          <w:color w:val="auto"/>
        </w:rPr>
        <w:t xml:space="preserve"> </w:t>
      </w:r>
      <w:r w:rsidR="0096605F">
        <w:rPr>
          <w:rFonts w:asciiTheme="minorHAnsi" w:hAnsiTheme="minorHAnsi"/>
          <w:color w:val="auto"/>
        </w:rPr>
        <w:t xml:space="preserve"> </w:t>
      </w:r>
      <w:r w:rsidR="008B38AF">
        <w:rPr>
          <w:rFonts w:asciiTheme="minorHAnsi" w:hAnsiTheme="minorHAnsi"/>
          <w:color w:val="auto"/>
        </w:rPr>
        <w:t xml:space="preserve"> </w:t>
      </w:r>
      <w:r w:rsidRPr="00EF018E">
        <w:rPr>
          <w:rFonts w:asciiTheme="minorHAnsi" w:hAnsiTheme="minorHAnsi"/>
          <w:color w:val="auto"/>
        </w:rPr>
        <w:tab/>
      </w:r>
      <w:r w:rsidRPr="00EF018E">
        <w:rPr>
          <w:rFonts w:asciiTheme="minorHAnsi" w:hAnsiTheme="minorHAnsi"/>
          <w:color w:val="auto"/>
        </w:rPr>
        <w:tab/>
      </w:r>
      <w:r w:rsidR="00891948">
        <w:rPr>
          <w:rFonts w:asciiTheme="minorHAnsi" w:hAnsiTheme="minorHAnsi"/>
          <w:color w:val="auto"/>
        </w:rPr>
        <w:tab/>
      </w:r>
      <w:r w:rsidRPr="00EF018E">
        <w:rPr>
          <w:rFonts w:asciiTheme="minorHAnsi" w:hAnsiTheme="minorHAnsi"/>
          <w:color w:val="auto"/>
        </w:rPr>
        <w:t xml:space="preserve">BRANCH OF SERVICE: </w:t>
      </w:r>
      <w:r w:rsidR="0096605F">
        <w:rPr>
          <w:rFonts w:asciiTheme="minorHAnsi" w:hAnsiTheme="minorHAnsi"/>
          <w:color w:val="auto"/>
        </w:rPr>
        <w:t xml:space="preserve"> </w:t>
      </w:r>
      <w:r w:rsidR="004A7A55" w:rsidRPr="00EF018E">
        <w:rPr>
          <w:rFonts w:asciiTheme="minorHAnsi" w:hAnsiTheme="minorHAnsi"/>
          <w:color w:val="auto"/>
        </w:rPr>
        <w:t>AIR FORCE</w:t>
      </w:r>
    </w:p>
    <w:p w:rsidR="003A7C0E" w:rsidRPr="00EF018E" w:rsidRDefault="00540BEF" w:rsidP="00540BEF">
      <w:pPr>
        <w:tabs>
          <w:tab w:val="left" w:pos="288"/>
          <w:tab w:val="left" w:pos="4752"/>
        </w:tabs>
        <w:spacing w:line="240" w:lineRule="exact"/>
        <w:jc w:val="both"/>
        <w:rPr>
          <w:rFonts w:asciiTheme="minorHAnsi" w:hAnsiTheme="minorHAnsi"/>
          <w:caps/>
          <w:color w:val="auto"/>
        </w:rPr>
      </w:pPr>
      <w:r w:rsidRPr="00EF018E">
        <w:rPr>
          <w:rFonts w:asciiTheme="minorHAnsi" w:hAnsiTheme="minorHAnsi"/>
          <w:color w:val="auto"/>
        </w:rPr>
        <w:t>CASE NUMBER:  PD</w:t>
      </w:r>
      <w:r w:rsidR="004A7A55" w:rsidRPr="00EF018E">
        <w:rPr>
          <w:rFonts w:asciiTheme="minorHAnsi" w:hAnsiTheme="minorHAnsi"/>
          <w:color w:val="auto"/>
        </w:rPr>
        <w:t>1000378</w:t>
      </w:r>
      <w:r w:rsidRPr="00EF018E">
        <w:rPr>
          <w:rFonts w:asciiTheme="minorHAnsi" w:hAnsiTheme="minorHAnsi"/>
          <w:color w:val="auto"/>
        </w:rPr>
        <w:tab/>
      </w:r>
      <w:r w:rsidRPr="00EF018E">
        <w:rPr>
          <w:rFonts w:asciiTheme="minorHAnsi" w:hAnsiTheme="minorHAnsi"/>
          <w:color w:val="auto"/>
        </w:rPr>
        <w:tab/>
      </w:r>
      <w:r w:rsidR="00891948">
        <w:rPr>
          <w:rFonts w:asciiTheme="minorHAnsi" w:hAnsiTheme="minorHAnsi"/>
          <w:color w:val="auto"/>
        </w:rPr>
        <w:tab/>
      </w:r>
      <w:r w:rsidR="00EF018E" w:rsidRPr="00EF018E">
        <w:rPr>
          <w:rFonts w:asciiTheme="minorHAnsi" w:hAnsiTheme="minorHAnsi"/>
          <w:color w:val="auto"/>
        </w:rPr>
        <w:t>SEPARATION DATE</w:t>
      </w:r>
      <w:r w:rsidR="00EF018E" w:rsidRPr="008E5870">
        <w:rPr>
          <w:rFonts w:asciiTheme="minorHAnsi" w:hAnsiTheme="minorHAnsi"/>
          <w:color w:val="auto"/>
        </w:rPr>
        <w:t xml:space="preserve">: </w:t>
      </w:r>
      <w:r w:rsidR="0096605F" w:rsidRPr="008E5870">
        <w:rPr>
          <w:rFonts w:asciiTheme="minorHAnsi" w:hAnsiTheme="minorHAnsi"/>
          <w:color w:val="auto"/>
        </w:rPr>
        <w:t xml:space="preserve"> </w:t>
      </w:r>
      <w:r w:rsidR="00EF018E" w:rsidRPr="008E5870">
        <w:rPr>
          <w:rFonts w:asciiTheme="minorHAnsi" w:hAnsiTheme="minorHAnsi"/>
          <w:color w:val="auto"/>
        </w:rPr>
        <w:t>20010918</w:t>
      </w:r>
    </w:p>
    <w:p w:rsidR="00540BEF" w:rsidRPr="00EF018E" w:rsidRDefault="00540BEF" w:rsidP="00540BEF">
      <w:pPr>
        <w:tabs>
          <w:tab w:val="left" w:pos="288"/>
          <w:tab w:val="left" w:pos="4752"/>
        </w:tabs>
        <w:spacing w:line="240" w:lineRule="exact"/>
        <w:jc w:val="both"/>
        <w:rPr>
          <w:rFonts w:asciiTheme="minorHAnsi" w:hAnsiTheme="minorHAnsi"/>
          <w:color w:val="auto"/>
        </w:rPr>
      </w:pPr>
      <w:r w:rsidRPr="00EF018E">
        <w:rPr>
          <w:rFonts w:asciiTheme="minorHAnsi" w:hAnsiTheme="minorHAnsi"/>
          <w:color w:val="auto"/>
        </w:rPr>
        <w:t xml:space="preserve">BOARD DATE: </w:t>
      </w:r>
      <w:r w:rsidR="0096605F">
        <w:rPr>
          <w:rFonts w:asciiTheme="minorHAnsi" w:hAnsiTheme="minorHAnsi"/>
          <w:color w:val="auto"/>
        </w:rPr>
        <w:t xml:space="preserve"> </w:t>
      </w:r>
      <w:r w:rsidR="008E5870">
        <w:rPr>
          <w:rFonts w:asciiTheme="minorHAnsi" w:hAnsiTheme="minorHAnsi"/>
          <w:color w:val="auto"/>
        </w:rPr>
        <w:t>20110318</w:t>
      </w:r>
      <w:r w:rsidRPr="00EF018E">
        <w:rPr>
          <w:rFonts w:asciiTheme="minorHAnsi" w:hAnsiTheme="minorHAnsi"/>
          <w:color w:val="auto"/>
        </w:rPr>
        <w:tab/>
      </w:r>
      <w:r w:rsidRPr="00EF018E">
        <w:rPr>
          <w:rFonts w:asciiTheme="minorHAnsi" w:hAnsiTheme="minorHAnsi"/>
          <w:color w:val="auto"/>
        </w:rPr>
        <w:tab/>
      </w:r>
    </w:p>
    <w:p w:rsidR="00540BEF" w:rsidRPr="00EF018E" w:rsidRDefault="00540BEF" w:rsidP="00540BEF">
      <w:pPr>
        <w:tabs>
          <w:tab w:val="left" w:pos="288"/>
          <w:tab w:val="left" w:pos="4752"/>
        </w:tabs>
        <w:spacing w:line="240" w:lineRule="exact"/>
        <w:jc w:val="both"/>
        <w:rPr>
          <w:rFonts w:asciiTheme="minorHAnsi" w:hAnsiTheme="minorHAnsi"/>
          <w:color w:val="auto"/>
        </w:rPr>
      </w:pPr>
      <w:r w:rsidRPr="00EF018E">
        <w:rPr>
          <w:rFonts w:asciiTheme="minorHAnsi" w:hAnsiTheme="minorHAnsi"/>
          <w:color w:val="auto"/>
          <w:u w:val="single"/>
        </w:rPr>
        <w:t>__________________________________________</w:t>
      </w:r>
      <w:r w:rsidR="00EF018E">
        <w:rPr>
          <w:rFonts w:asciiTheme="minorHAnsi" w:hAnsiTheme="minorHAnsi"/>
          <w:color w:val="auto"/>
          <w:u w:val="single"/>
        </w:rPr>
        <w:t>______________</w:t>
      </w:r>
      <w:r w:rsidRPr="00EF018E">
        <w:rPr>
          <w:rFonts w:asciiTheme="minorHAnsi" w:hAnsiTheme="minorHAnsi"/>
          <w:color w:val="auto"/>
          <w:u w:val="single"/>
        </w:rPr>
        <w:t>_____________________</w:t>
      </w:r>
      <w:r w:rsidRPr="00EF018E">
        <w:rPr>
          <w:rFonts w:asciiTheme="minorHAnsi" w:hAnsiTheme="minorHAnsi"/>
          <w:color w:val="auto"/>
        </w:rPr>
        <w:t>_</w:t>
      </w:r>
    </w:p>
    <w:p w:rsidR="00B522CD" w:rsidRPr="00EF018E" w:rsidRDefault="00B522CD" w:rsidP="00875F2D">
      <w:pPr>
        <w:tabs>
          <w:tab w:val="left" w:pos="288"/>
          <w:tab w:val="left" w:pos="4752"/>
        </w:tabs>
        <w:spacing w:line="240" w:lineRule="exact"/>
        <w:jc w:val="both"/>
        <w:rPr>
          <w:rFonts w:asciiTheme="minorHAnsi" w:hAnsiTheme="minorHAnsi"/>
          <w:color w:val="auto"/>
        </w:rPr>
      </w:pPr>
    </w:p>
    <w:p w:rsidR="00370535" w:rsidRPr="00C472C7" w:rsidRDefault="002C6E5B" w:rsidP="00577DCE">
      <w:pPr>
        <w:tabs>
          <w:tab w:val="left" w:pos="288"/>
          <w:tab w:val="left" w:pos="4752"/>
        </w:tabs>
        <w:spacing w:line="240" w:lineRule="exact"/>
        <w:jc w:val="both"/>
        <w:rPr>
          <w:rFonts w:asciiTheme="minorHAnsi" w:hAnsiTheme="minorHAnsi"/>
          <w:color w:val="auto"/>
        </w:rPr>
      </w:pPr>
      <w:r w:rsidRPr="00EF018E">
        <w:rPr>
          <w:rFonts w:asciiTheme="minorHAnsi" w:hAnsiTheme="minorHAnsi"/>
          <w:color w:val="auto"/>
          <w:u w:val="single"/>
        </w:rPr>
        <w:t>SUMMARY OF CASE</w:t>
      </w:r>
      <w:r w:rsidRPr="00EF018E">
        <w:rPr>
          <w:rFonts w:asciiTheme="minorHAnsi" w:hAnsiTheme="minorHAnsi"/>
          <w:color w:val="auto"/>
        </w:rPr>
        <w:t xml:space="preserve">:  </w:t>
      </w:r>
      <w:r w:rsidR="00370535" w:rsidRPr="00EC337D">
        <w:rPr>
          <w:rFonts w:asciiTheme="minorHAnsi" w:hAnsiTheme="minorHAnsi"/>
          <w:color w:val="auto"/>
        </w:rPr>
        <w:t>Data extracted from the available evidence of record reflects that this</w:t>
      </w:r>
      <w:r w:rsidRPr="00EF018E">
        <w:rPr>
          <w:rFonts w:asciiTheme="minorHAnsi" w:hAnsiTheme="minorHAnsi" w:cs="Courier New"/>
          <w:color w:val="auto"/>
          <w:szCs w:val="24"/>
        </w:rPr>
        <w:t xml:space="preserve"> covered individual (CI) was </w:t>
      </w:r>
      <w:r w:rsidR="00E322F7" w:rsidRPr="00EF018E">
        <w:rPr>
          <w:rFonts w:asciiTheme="minorHAnsi" w:hAnsiTheme="minorHAnsi" w:cs="Courier New"/>
          <w:color w:val="auto"/>
          <w:szCs w:val="24"/>
        </w:rPr>
        <w:t>an active duty</w:t>
      </w:r>
      <w:r w:rsidR="00705C40" w:rsidRPr="00EF018E">
        <w:rPr>
          <w:rFonts w:asciiTheme="minorHAnsi" w:hAnsiTheme="minorHAnsi" w:cs="Courier New"/>
          <w:color w:val="auto"/>
          <w:szCs w:val="24"/>
        </w:rPr>
        <w:t xml:space="preserve"> </w:t>
      </w:r>
      <w:r w:rsidR="003A7C0E" w:rsidRPr="00EF018E">
        <w:rPr>
          <w:rFonts w:asciiTheme="minorHAnsi" w:hAnsiTheme="minorHAnsi" w:cs="Courier New"/>
          <w:color w:val="auto"/>
          <w:szCs w:val="24"/>
        </w:rPr>
        <w:t>S</w:t>
      </w:r>
      <w:r w:rsidR="00891948">
        <w:rPr>
          <w:rFonts w:asciiTheme="minorHAnsi" w:hAnsiTheme="minorHAnsi" w:cs="Courier New"/>
          <w:color w:val="auto"/>
          <w:szCs w:val="24"/>
        </w:rPr>
        <w:t>enior Airman</w:t>
      </w:r>
      <w:r w:rsidR="004950A4">
        <w:rPr>
          <w:rFonts w:asciiTheme="minorHAnsi" w:hAnsiTheme="minorHAnsi" w:cs="Courier New"/>
          <w:color w:val="auto"/>
          <w:szCs w:val="24"/>
        </w:rPr>
        <w:t xml:space="preserve"> </w:t>
      </w:r>
      <w:r w:rsidR="00680FA7">
        <w:rPr>
          <w:rFonts w:asciiTheme="minorHAnsi" w:hAnsiTheme="minorHAnsi" w:cs="Courier New"/>
          <w:color w:val="auto"/>
          <w:szCs w:val="24"/>
        </w:rPr>
        <w:t>(</w:t>
      </w:r>
      <w:r w:rsidR="004950A4">
        <w:rPr>
          <w:rFonts w:asciiTheme="minorHAnsi" w:hAnsiTheme="minorHAnsi" w:cs="Courier New"/>
          <w:color w:val="auto"/>
          <w:szCs w:val="24"/>
        </w:rPr>
        <w:t>2A531C</w:t>
      </w:r>
      <w:r w:rsidR="00680FA7">
        <w:rPr>
          <w:rFonts w:asciiTheme="minorHAnsi" w:hAnsiTheme="minorHAnsi" w:cs="Courier New"/>
          <w:color w:val="auto"/>
          <w:szCs w:val="24"/>
        </w:rPr>
        <w:t>,</w:t>
      </w:r>
      <w:r w:rsidR="004950A4">
        <w:rPr>
          <w:rFonts w:asciiTheme="minorHAnsi" w:hAnsiTheme="minorHAnsi" w:cs="Courier New"/>
          <w:color w:val="auto"/>
          <w:szCs w:val="24"/>
        </w:rPr>
        <w:t xml:space="preserve"> </w:t>
      </w:r>
      <w:r w:rsidR="003A7C0E" w:rsidRPr="00EF018E">
        <w:rPr>
          <w:rFonts w:asciiTheme="minorHAnsi" w:hAnsiTheme="minorHAnsi" w:cs="Courier New"/>
          <w:color w:val="auto"/>
          <w:szCs w:val="24"/>
        </w:rPr>
        <w:t>Aerospace Maintenance Journeyman</w:t>
      </w:r>
      <w:r w:rsidR="00680FA7">
        <w:rPr>
          <w:rFonts w:asciiTheme="minorHAnsi" w:hAnsiTheme="minorHAnsi" w:cs="Courier New"/>
          <w:color w:val="auto"/>
          <w:szCs w:val="24"/>
        </w:rPr>
        <w:t>)</w:t>
      </w:r>
      <w:r w:rsidR="003A7C0E" w:rsidRPr="00EF018E">
        <w:rPr>
          <w:rFonts w:asciiTheme="minorHAnsi" w:hAnsiTheme="minorHAnsi" w:cs="Courier New"/>
          <w:color w:val="auto"/>
          <w:szCs w:val="24"/>
        </w:rPr>
        <w:t xml:space="preserve">, </w:t>
      </w:r>
      <w:r w:rsidRPr="00EF018E">
        <w:rPr>
          <w:rFonts w:asciiTheme="minorHAnsi" w:hAnsiTheme="minorHAnsi" w:cs="Courier New"/>
          <w:color w:val="auto"/>
          <w:szCs w:val="24"/>
        </w:rPr>
        <w:t xml:space="preserve">medically separated from the </w:t>
      </w:r>
      <w:r w:rsidR="003A7C0E" w:rsidRPr="00EF018E">
        <w:rPr>
          <w:rFonts w:asciiTheme="minorHAnsi" w:hAnsiTheme="minorHAnsi" w:cs="Courier New"/>
          <w:color w:val="auto"/>
          <w:szCs w:val="24"/>
        </w:rPr>
        <w:t xml:space="preserve">Air Force </w:t>
      </w:r>
      <w:r w:rsidRPr="00EF018E">
        <w:rPr>
          <w:rFonts w:asciiTheme="minorHAnsi" w:hAnsiTheme="minorHAnsi" w:cs="Courier New"/>
          <w:color w:val="auto"/>
          <w:szCs w:val="24"/>
        </w:rPr>
        <w:t>in 200</w:t>
      </w:r>
      <w:r w:rsidR="003A7C0E" w:rsidRPr="00EF018E">
        <w:rPr>
          <w:rFonts w:asciiTheme="minorHAnsi" w:hAnsiTheme="minorHAnsi" w:cs="Courier New"/>
          <w:color w:val="auto"/>
          <w:szCs w:val="24"/>
        </w:rPr>
        <w:t>1</w:t>
      </w:r>
      <w:r w:rsidR="00891948">
        <w:rPr>
          <w:rFonts w:asciiTheme="minorHAnsi" w:hAnsiTheme="minorHAnsi" w:cs="Courier New"/>
          <w:color w:val="auto"/>
          <w:szCs w:val="24"/>
        </w:rPr>
        <w:t>.</w:t>
      </w:r>
      <w:r w:rsidRPr="00EF018E">
        <w:rPr>
          <w:rFonts w:asciiTheme="minorHAnsi" w:hAnsiTheme="minorHAnsi" w:cs="Courier New"/>
          <w:color w:val="auto"/>
          <w:szCs w:val="24"/>
        </w:rPr>
        <w:t xml:space="preserve">  The medical basis for the separation was </w:t>
      </w:r>
      <w:r w:rsidR="003A7C0E" w:rsidRPr="00EF018E">
        <w:rPr>
          <w:rFonts w:asciiTheme="minorHAnsi" w:hAnsiTheme="minorHAnsi" w:cs="Courier New"/>
          <w:color w:val="auto"/>
          <w:szCs w:val="24"/>
        </w:rPr>
        <w:t>chronic bilateral knee pain.</w:t>
      </w:r>
      <w:r w:rsidR="003443B3">
        <w:rPr>
          <w:rFonts w:asciiTheme="minorHAnsi" w:hAnsiTheme="minorHAnsi" w:cs="Courier New"/>
          <w:color w:val="auto"/>
          <w:szCs w:val="24"/>
        </w:rPr>
        <w:t xml:space="preserve">  Conservative management with medications, physical therapy and patellar knee sleeves was inadequate.  </w:t>
      </w:r>
      <w:r w:rsidR="00680FA7">
        <w:rPr>
          <w:rFonts w:asciiTheme="minorHAnsi" w:hAnsiTheme="minorHAnsi" w:cs="Courier New"/>
          <w:color w:val="auto"/>
          <w:szCs w:val="24"/>
        </w:rPr>
        <w:t>The CI</w:t>
      </w:r>
      <w:r w:rsidR="003A7C0E" w:rsidRPr="00EF018E">
        <w:rPr>
          <w:rFonts w:asciiTheme="minorHAnsi" w:hAnsiTheme="minorHAnsi" w:cs="Courier New"/>
          <w:color w:val="auto"/>
          <w:szCs w:val="24"/>
        </w:rPr>
        <w:t xml:space="preserve"> was unable </w:t>
      </w:r>
      <w:r w:rsidR="00E322F7" w:rsidRPr="00EF018E">
        <w:rPr>
          <w:rFonts w:asciiTheme="minorHAnsi" w:hAnsiTheme="minorHAnsi" w:cs="Courier New"/>
          <w:color w:val="auto"/>
          <w:szCs w:val="24"/>
        </w:rPr>
        <w:t xml:space="preserve">to perform </w:t>
      </w:r>
      <w:r w:rsidR="004950A4">
        <w:rPr>
          <w:rFonts w:asciiTheme="minorHAnsi" w:hAnsiTheme="minorHAnsi" w:cs="Courier New"/>
          <w:color w:val="auto"/>
          <w:szCs w:val="24"/>
        </w:rPr>
        <w:t xml:space="preserve">his duties </w:t>
      </w:r>
      <w:r w:rsidR="007E445A" w:rsidRPr="00EF018E">
        <w:rPr>
          <w:rFonts w:asciiTheme="minorHAnsi" w:hAnsiTheme="minorHAnsi" w:cs="Courier New"/>
          <w:color w:val="auto"/>
          <w:szCs w:val="24"/>
        </w:rPr>
        <w:t>and</w:t>
      </w:r>
      <w:r w:rsidR="00E322F7" w:rsidRPr="00EF018E">
        <w:rPr>
          <w:rFonts w:asciiTheme="minorHAnsi" w:hAnsiTheme="minorHAnsi" w:cs="Courier New"/>
          <w:color w:val="auto"/>
          <w:szCs w:val="24"/>
        </w:rPr>
        <w:t xml:space="preserve"> underwent a </w:t>
      </w:r>
      <w:r w:rsidR="00705C40" w:rsidRPr="00EF018E">
        <w:rPr>
          <w:rFonts w:asciiTheme="minorHAnsi" w:hAnsiTheme="minorHAnsi" w:cs="Courier New"/>
          <w:color w:val="auto"/>
          <w:szCs w:val="24"/>
        </w:rPr>
        <w:t>Medical Evaluation Board (</w:t>
      </w:r>
      <w:r w:rsidR="00E322F7" w:rsidRPr="00EF018E">
        <w:rPr>
          <w:rFonts w:asciiTheme="minorHAnsi" w:hAnsiTheme="minorHAnsi" w:cs="Courier New"/>
          <w:color w:val="auto"/>
          <w:szCs w:val="24"/>
        </w:rPr>
        <w:t>MEB</w:t>
      </w:r>
      <w:r w:rsidR="00705C40" w:rsidRPr="00EF018E">
        <w:rPr>
          <w:rFonts w:asciiTheme="minorHAnsi" w:hAnsiTheme="minorHAnsi" w:cs="Courier New"/>
          <w:color w:val="auto"/>
          <w:szCs w:val="24"/>
        </w:rPr>
        <w:t>)</w:t>
      </w:r>
      <w:r w:rsidR="00E322F7" w:rsidRPr="00EF018E">
        <w:rPr>
          <w:rFonts w:asciiTheme="minorHAnsi" w:hAnsiTheme="minorHAnsi" w:cs="Courier New"/>
          <w:color w:val="auto"/>
          <w:szCs w:val="24"/>
        </w:rPr>
        <w:t>.</w:t>
      </w:r>
      <w:r w:rsidR="003443B3">
        <w:rPr>
          <w:rFonts w:asciiTheme="minorHAnsi" w:hAnsiTheme="minorHAnsi" w:cs="Courier New"/>
          <w:color w:val="auto"/>
          <w:szCs w:val="24"/>
        </w:rPr>
        <w:t xml:space="preserve"> </w:t>
      </w:r>
      <w:r w:rsidR="00370535">
        <w:rPr>
          <w:rFonts w:asciiTheme="minorHAnsi" w:hAnsiTheme="minorHAnsi" w:cs="Courier New"/>
          <w:color w:val="auto"/>
          <w:szCs w:val="24"/>
        </w:rPr>
        <w:t xml:space="preserve"> </w:t>
      </w:r>
      <w:r w:rsidR="007E445A" w:rsidRPr="00EF018E">
        <w:rPr>
          <w:rFonts w:asciiTheme="minorHAnsi" w:hAnsiTheme="minorHAnsi" w:cs="Courier New"/>
          <w:color w:val="auto"/>
          <w:szCs w:val="24"/>
        </w:rPr>
        <w:t>Bilateral anterior knee pain was the only condition f</w:t>
      </w:r>
      <w:r w:rsidR="00AE5E14" w:rsidRPr="00EF018E">
        <w:rPr>
          <w:rFonts w:asciiTheme="minorHAnsi" w:hAnsiTheme="minorHAnsi" w:cs="Courier New"/>
          <w:color w:val="auto"/>
          <w:szCs w:val="24"/>
        </w:rPr>
        <w:t xml:space="preserve">orwarded to the </w:t>
      </w:r>
      <w:r w:rsidR="00370535" w:rsidRPr="00C472C7">
        <w:rPr>
          <w:rFonts w:asciiTheme="minorHAnsi" w:hAnsiTheme="minorHAnsi"/>
          <w:color w:val="auto"/>
          <w:szCs w:val="24"/>
        </w:rPr>
        <w:t>Physical Evaluation Board (PEB) as medically unacceptable IAW AFI 48-123.</w:t>
      </w:r>
      <w:r w:rsidR="003443B3">
        <w:rPr>
          <w:rFonts w:asciiTheme="minorHAnsi" w:hAnsiTheme="minorHAnsi"/>
          <w:color w:val="auto"/>
          <w:szCs w:val="24"/>
        </w:rPr>
        <w:t xml:space="preserve">  </w:t>
      </w:r>
      <w:r w:rsidR="00694EEA" w:rsidRPr="00EF018E">
        <w:rPr>
          <w:rFonts w:asciiTheme="minorHAnsi" w:hAnsiTheme="minorHAnsi" w:cs="Courier New"/>
          <w:color w:val="auto"/>
          <w:szCs w:val="24"/>
        </w:rPr>
        <w:t xml:space="preserve">Additional conditions supported in the </w:t>
      </w:r>
      <w:r w:rsidR="00705C40" w:rsidRPr="00EF018E">
        <w:rPr>
          <w:rFonts w:asciiTheme="minorHAnsi" w:hAnsiTheme="minorHAnsi" w:cs="Courier New"/>
          <w:color w:val="auto"/>
          <w:szCs w:val="24"/>
        </w:rPr>
        <w:t>Disability Evaluation System (</w:t>
      </w:r>
      <w:r w:rsidR="00694EEA" w:rsidRPr="00EF018E">
        <w:rPr>
          <w:rFonts w:asciiTheme="minorHAnsi" w:hAnsiTheme="minorHAnsi" w:cs="Courier New"/>
          <w:color w:val="auto"/>
          <w:szCs w:val="24"/>
        </w:rPr>
        <w:t>DES</w:t>
      </w:r>
      <w:r w:rsidR="00705C40" w:rsidRPr="00EF018E">
        <w:rPr>
          <w:rFonts w:asciiTheme="minorHAnsi" w:hAnsiTheme="minorHAnsi" w:cs="Courier New"/>
          <w:color w:val="auto"/>
          <w:szCs w:val="24"/>
        </w:rPr>
        <w:t xml:space="preserve">) </w:t>
      </w:r>
      <w:r w:rsidR="00694EEA" w:rsidRPr="00EF018E">
        <w:rPr>
          <w:rFonts w:asciiTheme="minorHAnsi" w:hAnsiTheme="minorHAnsi" w:cs="Courier New"/>
          <w:color w:val="auto"/>
          <w:szCs w:val="24"/>
        </w:rPr>
        <w:t xml:space="preserve">packet </w:t>
      </w:r>
      <w:r w:rsidR="00AE5E14" w:rsidRPr="00EF018E">
        <w:rPr>
          <w:rFonts w:asciiTheme="minorHAnsi" w:hAnsiTheme="minorHAnsi" w:cs="Courier New"/>
          <w:color w:val="auto"/>
          <w:szCs w:val="24"/>
        </w:rPr>
        <w:t xml:space="preserve">were not forwarded for PEB </w:t>
      </w:r>
      <w:r w:rsidR="00AE4624" w:rsidRPr="00EF018E">
        <w:rPr>
          <w:rFonts w:asciiTheme="minorHAnsi" w:hAnsiTheme="minorHAnsi" w:cs="Courier New"/>
          <w:color w:val="auto"/>
          <w:szCs w:val="24"/>
        </w:rPr>
        <w:t>adjudication</w:t>
      </w:r>
      <w:r w:rsidR="007E445A" w:rsidRPr="00EF018E">
        <w:rPr>
          <w:rFonts w:asciiTheme="minorHAnsi" w:hAnsiTheme="minorHAnsi" w:cs="Courier New"/>
          <w:color w:val="auto"/>
          <w:szCs w:val="24"/>
        </w:rPr>
        <w:t xml:space="preserve">. </w:t>
      </w:r>
      <w:r w:rsidR="003443B3">
        <w:rPr>
          <w:rFonts w:asciiTheme="minorHAnsi" w:hAnsiTheme="minorHAnsi" w:cs="Courier New"/>
          <w:color w:val="auto"/>
          <w:szCs w:val="24"/>
        </w:rPr>
        <w:t xml:space="preserve"> </w:t>
      </w:r>
      <w:r w:rsidR="00370535" w:rsidRPr="00C472C7">
        <w:rPr>
          <w:rFonts w:asciiTheme="minorHAnsi" w:hAnsiTheme="minorHAnsi"/>
          <w:color w:val="auto"/>
        </w:rPr>
        <w:t xml:space="preserve">The CI made no appeals and was medically separated with a </w:t>
      </w:r>
      <w:r w:rsidR="00370535">
        <w:rPr>
          <w:rFonts w:asciiTheme="minorHAnsi" w:hAnsiTheme="minorHAnsi"/>
          <w:color w:val="auto"/>
        </w:rPr>
        <w:t>10</w:t>
      </w:r>
      <w:r w:rsidR="00370535" w:rsidRPr="00C472C7">
        <w:rPr>
          <w:rFonts w:asciiTheme="minorHAnsi" w:hAnsiTheme="minorHAnsi"/>
          <w:color w:val="auto"/>
        </w:rPr>
        <w:t>% combined disability rating.</w:t>
      </w:r>
    </w:p>
    <w:p w:rsidR="00923B25" w:rsidRPr="00EF018E" w:rsidRDefault="008B5D31" w:rsidP="00875F2D">
      <w:pPr>
        <w:tabs>
          <w:tab w:val="left" w:pos="288"/>
          <w:tab w:val="left" w:pos="4752"/>
        </w:tabs>
        <w:spacing w:line="240" w:lineRule="exact"/>
        <w:jc w:val="both"/>
        <w:rPr>
          <w:rFonts w:asciiTheme="minorHAnsi" w:hAnsiTheme="minorHAnsi"/>
          <w:color w:val="auto"/>
        </w:rPr>
      </w:pPr>
      <w:r w:rsidRPr="00EF018E">
        <w:rPr>
          <w:rFonts w:asciiTheme="minorHAnsi" w:hAnsiTheme="minorHAnsi"/>
          <w:color w:val="auto"/>
          <w:u w:val="single"/>
        </w:rPr>
        <w:t>___________________________________________________________</w:t>
      </w:r>
      <w:r w:rsidR="00F02B8F">
        <w:rPr>
          <w:rFonts w:asciiTheme="minorHAnsi" w:hAnsiTheme="minorHAnsi"/>
          <w:color w:val="auto"/>
          <w:u w:val="single"/>
        </w:rPr>
        <w:t>_______________</w:t>
      </w:r>
      <w:r w:rsidRPr="00EF018E">
        <w:rPr>
          <w:rFonts w:asciiTheme="minorHAnsi" w:hAnsiTheme="minorHAnsi"/>
          <w:color w:val="auto"/>
          <w:u w:val="single"/>
        </w:rPr>
        <w:t>___</w:t>
      </w:r>
      <w:r w:rsidRPr="00EF018E">
        <w:rPr>
          <w:rFonts w:asciiTheme="minorHAnsi" w:hAnsiTheme="minorHAnsi"/>
          <w:color w:val="auto"/>
        </w:rPr>
        <w:t>_</w:t>
      </w:r>
    </w:p>
    <w:p w:rsidR="00923B25" w:rsidRPr="00EF018E" w:rsidRDefault="00923B25" w:rsidP="00875F2D">
      <w:pPr>
        <w:tabs>
          <w:tab w:val="left" w:pos="288"/>
          <w:tab w:val="left" w:pos="4752"/>
        </w:tabs>
        <w:spacing w:line="240" w:lineRule="exact"/>
        <w:jc w:val="both"/>
        <w:rPr>
          <w:rFonts w:asciiTheme="minorHAnsi" w:hAnsiTheme="minorHAnsi"/>
          <w:color w:val="auto"/>
        </w:rPr>
      </w:pPr>
    </w:p>
    <w:p w:rsidR="00841243" w:rsidRPr="00680FA7" w:rsidRDefault="002C6E5B" w:rsidP="00577DCE">
      <w:pPr>
        <w:tabs>
          <w:tab w:val="left" w:pos="288"/>
          <w:tab w:val="left" w:pos="4752"/>
        </w:tabs>
        <w:spacing w:line="240" w:lineRule="exact"/>
        <w:jc w:val="both"/>
        <w:rPr>
          <w:rFonts w:asciiTheme="minorHAnsi" w:hAnsiTheme="minorHAnsi"/>
          <w:color w:val="auto"/>
          <w:szCs w:val="24"/>
        </w:rPr>
      </w:pPr>
      <w:r w:rsidRPr="00EF018E">
        <w:rPr>
          <w:rFonts w:asciiTheme="minorHAnsi" w:hAnsiTheme="minorHAnsi"/>
          <w:color w:val="auto"/>
          <w:u w:val="single"/>
        </w:rPr>
        <w:t>CI CONTENTION</w:t>
      </w:r>
      <w:r w:rsidRPr="008E5870">
        <w:rPr>
          <w:rFonts w:asciiTheme="minorHAnsi" w:hAnsiTheme="minorHAnsi"/>
          <w:color w:val="auto"/>
        </w:rPr>
        <w:t xml:space="preserve">:  </w:t>
      </w:r>
      <w:r w:rsidRPr="008E5870">
        <w:rPr>
          <w:rFonts w:asciiTheme="minorHAnsi" w:hAnsiTheme="minorHAnsi"/>
          <w:color w:val="auto"/>
          <w:szCs w:val="24"/>
        </w:rPr>
        <w:t>The CI states:</w:t>
      </w:r>
      <w:r w:rsidR="0096605F" w:rsidRPr="008E5870">
        <w:rPr>
          <w:rFonts w:asciiTheme="minorHAnsi" w:hAnsiTheme="minorHAnsi"/>
          <w:color w:val="auto"/>
          <w:szCs w:val="24"/>
        </w:rPr>
        <w:t xml:space="preserve">  “</w:t>
      </w:r>
      <w:r w:rsidR="004A7A55" w:rsidRPr="008E5870">
        <w:rPr>
          <w:rFonts w:asciiTheme="minorHAnsi" w:hAnsiTheme="minorHAnsi" w:cs="Courier New"/>
          <w:color w:val="auto"/>
          <w:szCs w:val="24"/>
        </w:rPr>
        <w:t xml:space="preserve">At the time of discharge, I also had other issues. </w:t>
      </w:r>
      <w:r w:rsidR="0096605F" w:rsidRPr="008E5870">
        <w:rPr>
          <w:rFonts w:asciiTheme="minorHAnsi" w:hAnsiTheme="minorHAnsi" w:cs="Courier New"/>
          <w:color w:val="auto"/>
          <w:szCs w:val="24"/>
        </w:rPr>
        <w:t xml:space="preserve"> </w:t>
      </w:r>
      <w:r w:rsidR="004A7A55" w:rsidRPr="008E5870">
        <w:rPr>
          <w:rFonts w:asciiTheme="minorHAnsi" w:hAnsiTheme="minorHAnsi" w:cs="Courier New"/>
          <w:color w:val="auto"/>
          <w:szCs w:val="24"/>
        </w:rPr>
        <w:t>Please see enclosed statement.</w:t>
      </w:r>
      <w:r w:rsidR="0096605F" w:rsidRPr="008E5870">
        <w:rPr>
          <w:rFonts w:asciiTheme="minorHAnsi" w:hAnsiTheme="minorHAnsi" w:cs="Courier New"/>
          <w:color w:val="auto"/>
          <w:szCs w:val="24"/>
        </w:rPr>
        <w:t>”</w:t>
      </w:r>
      <w:r w:rsidR="004A7A55" w:rsidRPr="008E5870">
        <w:rPr>
          <w:rFonts w:asciiTheme="minorHAnsi" w:hAnsiTheme="minorHAnsi" w:cs="Courier New"/>
          <w:color w:val="auto"/>
          <w:szCs w:val="24"/>
        </w:rPr>
        <w:t xml:space="preserve"> </w:t>
      </w:r>
      <w:r w:rsidR="00896535" w:rsidRPr="008E5870">
        <w:rPr>
          <w:rFonts w:asciiTheme="minorHAnsi" w:hAnsiTheme="minorHAnsi" w:cs="Courier New"/>
          <w:color w:val="auto"/>
          <w:szCs w:val="24"/>
        </w:rPr>
        <w:t xml:space="preserve"> </w:t>
      </w:r>
      <w:r w:rsidR="0096605F" w:rsidRPr="008E5870">
        <w:rPr>
          <w:rFonts w:asciiTheme="minorHAnsi" w:hAnsiTheme="minorHAnsi" w:cs="Courier New"/>
          <w:color w:val="auto"/>
          <w:szCs w:val="24"/>
        </w:rPr>
        <w:t>“</w:t>
      </w:r>
      <w:r w:rsidR="004A7A55" w:rsidRPr="008E5870">
        <w:rPr>
          <w:rFonts w:asciiTheme="minorHAnsi" w:hAnsiTheme="minorHAnsi" w:cs="Courier New"/>
          <w:color w:val="auto"/>
          <w:szCs w:val="24"/>
        </w:rPr>
        <w:t>I</w:t>
      </w:r>
      <w:r w:rsidR="004A7A55" w:rsidRPr="008E5870">
        <w:rPr>
          <w:rFonts w:asciiTheme="minorHAnsi" w:eastAsiaTheme="minorEastAsia" w:hAnsiTheme="minorHAnsi" w:cs="Courier New"/>
          <w:color w:val="auto"/>
          <w:szCs w:val="24"/>
        </w:rPr>
        <w:t xml:space="preserve"> was discharged as a result of knee issues. </w:t>
      </w:r>
      <w:r w:rsidR="0096605F" w:rsidRPr="008E5870">
        <w:rPr>
          <w:rFonts w:asciiTheme="minorHAnsi" w:eastAsiaTheme="minorEastAsia" w:hAnsiTheme="minorHAnsi" w:cs="Courier New"/>
          <w:color w:val="auto"/>
          <w:szCs w:val="24"/>
        </w:rPr>
        <w:t xml:space="preserve"> </w:t>
      </w:r>
      <w:r w:rsidR="004A7A55" w:rsidRPr="008E5870">
        <w:rPr>
          <w:rFonts w:asciiTheme="minorHAnsi" w:eastAsiaTheme="minorEastAsia" w:hAnsiTheme="minorHAnsi" w:cs="Courier New"/>
          <w:color w:val="auto"/>
          <w:szCs w:val="24"/>
        </w:rPr>
        <w:t xml:space="preserve">However, I was also suffering from </w:t>
      </w:r>
      <w:r w:rsidR="00891948">
        <w:rPr>
          <w:rFonts w:asciiTheme="minorHAnsi" w:eastAsiaTheme="minorEastAsia" w:hAnsiTheme="minorHAnsi" w:cs="Courier New"/>
          <w:color w:val="auto"/>
          <w:szCs w:val="24"/>
        </w:rPr>
        <w:t>h</w:t>
      </w:r>
      <w:r w:rsidR="004A7A55" w:rsidRPr="008E5870">
        <w:rPr>
          <w:rFonts w:asciiTheme="minorHAnsi" w:eastAsiaTheme="minorEastAsia" w:hAnsiTheme="minorHAnsi" w:cs="Courier New"/>
          <w:color w:val="auto"/>
          <w:szCs w:val="24"/>
        </w:rPr>
        <w:t xml:space="preserve">igh blood pressure and </w:t>
      </w:r>
      <w:r w:rsidR="00891948">
        <w:rPr>
          <w:rFonts w:asciiTheme="minorHAnsi" w:eastAsiaTheme="minorEastAsia" w:hAnsiTheme="minorHAnsi" w:cs="Courier New"/>
          <w:color w:val="auto"/>
          <w:szCs w:val="24"/>
        </w:rPr>
        <w:t>h</w:t>
      </w:r>
      <w:r w:rsidR="004A7A55" w:rsidRPr="008E5870">
        <w:rPr>
          <w:rFonts w:asciiTheme="minorHAnsi" w:eastAsiaTheme="minorEastAsia" w:hAnsiTheme="minorHAnsi" w:cs="Courier New"/>
          <w:color w:val="auto"/>
          <w:szCs w:val="24"/>
        </w:rPr>
        <w:t>yperthyroidism</w:t>
      </w:r>
      <w:r w:rsidR="004A7A55" w:rsidRPr="00EF018E">
        <w:rPr>
          <w:rFonts w:asciiTheme="minorHAnsi" w:eastAsiaTheme="minorEastAsia" w:hAnsiTheme="minorHAnsi" w:cs="Courier New"/>
          <w:color w:val="auto"/>
          <w:szCs w:val="24"/>
        </w:rPr>
        <w:t xml:space="preserve">.” </w:t>
      </w:r>
      <w:r w:rsidR="00F02B8F">
        <w:rPr>
          <w:rFonts w:asciiTheme="minorHAnsi" w:eastAsiaTheme="minorEastAsia" w:hAnsiTheme="minorHAnsi" w:cs="Courier New"/>
          <w:color w:val="auto"/>
          <w:szCs w:val="24"/>
        </w:rPr>
        <w:t xml:space="preserve"> </w:t>
      </w:r>
      <w:r w:rsidR="00F02B8F" w:rsidRPr="00F02B8F">
        <w:rPr>
          <w:rFonts w:asciiTheme="minorHAnsi" w:eastAsiaTheme="minorHAnsi" w:hAnsiTheme="minorHAnsi" w:cstheme="minorBidi"/>
          <w:color w:val="auto"/>
          <w:szCs w:val="24"/>
        </w:rPr>
        <w:t xml:space="preserve">He additionally includes his VA rating decision letter.  </w:t>
      </w:r>
    </w:p>
    <w:p w:rsidR="00A90D55" w:rsidRPr="00680FA7" w:rsidRDefault="008B5D31" w:rsidP="00841243">
      <w:pPr>
        <w:tabs>
          <w:tab w:val="left" w:pos="288"/>
          <w:tab w:val="left" w:pos="4752"/>
        </w:tabs>
        <w:spacing w:line="240" w:lineRule="exact"/>
        <w:rPr>
          <w:rFonts w:asciiTheme="minorHAnsi" w:hAnsiTheme="minorHAnsi"/>
          <w:color w:val="auto"/>
        </w:rPr>
      </w:pPr>
      <w:r w:rsidRPr="00680FA7">
        <w:rPr>
          <w:rFonts w:asciiTheme="minorHAnsi" w:hAnsiTheme="minorHAnsi"/>
          <w:color w:val="auto"/>
          <w:u w:val="single"/>
        </w:rPr>
        <w:t>______________________________________________________</w:t>
      </w:r>
      <w:r w:rsidR="00F02B8F" w:rsidRPr="00680FA7">
        <w:rPr>
          <w:rFonts w:asciiTheme="minorHAnsi" w:hAnsiTheme="minorHAnsi"/>
          <w:color w:val="auto"/>
          <w:u w:val="single"/>
        </w:rPr>
        <w:t>_</w:t>
      </w:r>
      <w:r w:rsidR="008E5870">
        <w:rPr>
          <w:rFonts w:asciiTheme="minorHAnsi" w:hAnsiTheme="minorHAnsi"/>
          <w:color w:val="auto"/>
          <w:u w:val="single"/>
        </w:rPr>
        <w:t>_</w:t>
      </w:r>
      <w:r w:rsidR="00F02B8F" w:rsidRPr="00680FA7">
        <w:rPr>
          <w:rFonts w:asciiTheme="minorHAnsi" w:hAnsiTheme="minorHAnsi"/>
          <w:color w:val="auto"/>
          <w:u w:val="single"/>
        </w:rPr>
        <w:t>____________</w:t>
      </w:r>
      <w:r w:rsidR="008E5870">
        <w:rPr>
          <w:rFonts w:asciiTheme="minorHAnsi" w:hAnsiTheme="minorHAnsi"/>
          <w:color w:val="auto"/>
          <w:u w:val="single"/>
        </w:rPr>
        <w:t>_</w:t>
      </w:r>
      <w:r w:rsidRPr="00680FA7">
        <w:rPr>
          <w:rFonts w:asciiTheme="minorHAnsi" w:hAnsiTheme="minorHAnsi"/>
          <w:color w:val="auto"/>
          <w:u w:val="single"/>
        </w:rPr>
        <w:t>_________</w:t>
      </w:r>
    </w:p>
    <w:p w:rsidR="001C181A" w:rsidRPr="00680FA7" w:rsidRDefault="001C181A" w:rsidP="00875F2D">
      <w:pPr>
        <w:tabs>
          <w:tab w:val="left" w:pos="288"/>
          <w:tab w:val="left" w:pos="4752"/>
        </w:tabs>
        <w:spacing w:line="240" w:lineRule="exact"/>
        <w:jc w:val="both"/>
        <w:rPr>
          <w:color w:val="auto"/>
        </w:rPr>
      </w:pPr>
    </w:p>
    <w:p w:rsidR="00604701" w:rsidRDefault="002C6E5B" w:rsidP="0016396A">
      <w:pPr>
        <w:tabs>
          <w:tab w:val="left" w:pos="288"/>
          <w:tab w:val="left" w:pos="4752"/>
        </w:tabs>
        <w:spacing w:line="240" w:lineRule="exact"/>
        <w:jc w:val="both"/>
        <w:rPr>
          <w:rFonts w:asciiTheme="minorHAnsi" w:hAnsiTheme="minorHAnsi"/>
          <w:color w:val="auto"/>
        </w:rPr>
      </w:pPr>
      <w:r w:rsidRPr="00680FA7">
        <w:rPr>
          <w:rFonts w:ascii="Calibri" w:hAnsi="Calibri"/>
          <w:color w:val="auto"/>
          <w:u w:val="single"/>
        </w:rPr>
        <w:t>RATING</w:t>
      </w:r>
      <w:r w:rsidRPr="00542C9A">
        <w:rPr>
          <w:rFonts w:ascii="Calibri" w:hAnsi="Calibri"/>
          <w:color w:val="auto"/>
          <w:u w:val="single"/>
        </w:rPr>
        <w:t xml:space="preserve"> COMPARISON</w:t>
      </w:r>
      <w:r w:rsidRPr="00542C9A">
        <w:rPr>
          <w:rFonts w:ascii="Calibri" w:hAnsi="Calibri"/>
          <w:color w:val="auto"/>
        </w:rPr>
        <w:t>:</w:t>
      </w:r>
      <w:r w:rsidR="00370535">
        <w:rPr>
          <w:rFonts w:ascii="Calibri" w:hAnsi="Calibri"/>
          <w:color w:val="auto"/>
        </w:rPr>
        <w:t xml:space="preserve">  </w:t>
      </w:r>
    </w:p>
    <w:p w:rsidR="00604701" w:rsidRDefault="00604701" w:rsidP="00A81146">
      <w:pPr>
        <w:spacing w:line="240" w:lineRule="exact"/>
        <w:rPr>
          <w:rFonts w:asciiTheme="minorHAnsi" w:hAnsiTheme="minorHAnsi"/>
          <w:color w:val="auto"/>
        </w:rPr>
      </w:pPr>
    </w:p>
    <w:tbl>
      <w:tblPr>
        <w:tblStyle w:val="TableGrid"/>
        <w:tblW w:w="9477" w:type="dxa"/>
        <w:jc w:val="center"/>
        <w:tblInd w:w="351" w:type="dxa"/>
        <w:tblLayout w:type="fixed"/>
        <w:tblLook w:val="04A0"/>
      </w:tblPr>
      <w:tblGrid>
        <w:gridCol w:w="1859"/>
        <w:gridCol w:w="1027"/>
        <w:gridCol w:w="810"/>
        <w:gridCol w:w="2343"/>
        <w:gridCol w:w="356"/>
        <w:gridCol w:w="724"/>
        <w:gridCol w:w="774"/>
        <w:gridCol w:w="1584"/>
      </w:tblGrid>
      <w:tr w:rsidR="00A81146" w:rsidRPr="00BE2AB8" w:rsidTr="00891948">
        <w:trPr>
          <w:trHeight w:val="233"/>
          <w:jc w:val="center"/>
        </w:trPr>
        <w:tc>
          <w:tcPr>
            <w:tcW w:w="3696" w:type="dxa"/>
            <w:gridSpan w:val="3"/>
            <w:tcBorders>
              <w:right w:val="thinThickThinSmallGap" w:sz="24" w:space="0" w:color="auto"/>
            </w:tcBorders>
            <w:shd w:val="clear" w:color="auto" w:fill="D9D9D9" w:themeFill="background1" w:themeFillShade="D9"/>
          </w:tcPr>
          <w:p w:rsidR="00A81146" w:rsidRPr="00403FBC" w:rsidRDefault="00680FA7" w:rsidP="00680FA7">
            <w:pPr>
              <w:spacing w:line="240" w:lineRule="exact"/>
              <w:contextualSpacing/>
              <w:jc w:val="center"/>
              <w:rPr>
                <w:b/>
                <w:color w:val="auto"/>
                <w:sz w:val="20"/>
                <w:szCs w:val="20"/>
              </w:rPr>
            </w:pPr>
            <w:r>
              <w:rPr>
                <w:b/>
                <w:color w:val="auto"/>
                <w:sz w:val="20"/>
                <w:szCs w:val="20"/>
              </w:rPr>
              <w:t xml:space="preserve">Service </w:t>
            </w:r>
            <w:r w:rsidR="00A81146" w:rsidRPr="00403FBC">
              <w:rPr>
                <w:b/>
                <w:color w:val="auto"/>
                <w:sz w:val="20"/>
                <w:szCs w:val="20"/>
              </w:rPr>
              <w:t>PEB – Dated 20010716</w:t>
            </w:r>
          </w:p>
        </w:tc>
        <w:tc>
          <w:tcPr>
            <w:tcW w:w="5781" w:type="dxa"/>
            <w:gridSpan w:val="5"/>
            <w:tcBorders>
              <w:left w:val="thinThickThinSmallGap" w:sz="24" w:space="0" w:color="auto"/>
            </w:tcBorders>
            <w:shd w:val="clear" w:color="auto" w:fill="D9D9D9" w:themeFill="background1" w:themeFillShade="D9"/>
          </w:tcPr>
          <w:p w:rsidR="00A81146" w:rsidRPr="00403FBC" w:rsidRDefault="00A81146" w:rsidP="00680FA7">
            <w:pPr>
              <w:spacing w:line="240" w:lineRule="exact"/>
              <w:contextualSpacing/>
              <w:jc w:val="center"/>
              <w:rPr>
                <w:b/>
                <w:color w:val="auto"/>
                <w:sz w:val="20"/>
                <w:szCs w:val="20"/>
              </w:rPr>
            </w:pPr>
            <w:r w:rsidRPr="00403FBC">
              <w:rPr>
                <w:b/>
                <w:color w:val="auto"/>
                <w:sz w:val="20"/>
                <w:szCs w:val="20"/>
              </w:rPr>
              <w:t>VA (5</w:t>
            </w:r>
            <w:r w:rsidR="00BD5BD4">
              <w:rPr>
                <w:b/>
                <w:color w:val="auto"/>
                <w:sz w:val="20"/>
                <w:szCs w:val="20"/>
              </w:rPr>
              <w:t xml:space="preserve"> </w:t>
            </w:r>
            <w:r w:rsidRPr="00403FBC">
              <w:rPr>
                <w:b/>
                <w:color w:val="auto"/>
                <w:sz w:val="20"/>
                <w:szCs w:val="20"/>
              </w:rPr>
              <w:t xml:space="preserve">Mo. </w:t>
            </w:r>
            <w:r w:rsidR="00BD5BD4">
              <w:rPr>
                <w:b/>
                <w:color w:val="auto"/>
                <w:sz w:val="20"/>
                <w:szCs w:val="20"/>
              </w:rPr>
              <w:t xml:space="preserve">After  Separation) – </w:t>
            </w:r>
            <w:r w:rsidRPr="00403FBC">
              <w:rPr>
                <w:b/>
                <w:color w:val="auto"/>
                <w:sz w:val="20"/>
                <w:szCs w:val="20"/>
              </w:rPr>
              <w:t>Effective Date 200</w:t>
            </w:r>
            <w:r w:rsidR="00BD5BD4">
              <w:rPr>
                <w:b/>
                <w:color w:val="auto"/>
                <w:sz w:val="20"/>
                <w:szCs w:val="20"/>
              </w:rPr>
              <w:t>10</w:t>
            </w:r>
            <w:r w:rsidRPr="00403FBC">
              <w:rPr>
                <w:b/>
                <w:color w:val="auto"/>
                <w:sz w:val="20"/>
                <w:szCs w:val="20"/>
              </w:rPr>
              <w:t>919</w:t>
            </w:r>
          </w:p>
        </w:tc>
      </w:tr>
      <w:tr w:rsidR="00A81146" w:rsidRPr="00BE2AB8" w:rsidTr="00891948">
        <w:trPr>
          <w:trHeight w:val="278"/>
          <w:jc w:val="center"/>
        </w:trPr>
        <w:tc>
          <w:tcPr>
            <w:tcW w:w="1859" w:type="dxa"/>
            <w:tcBorders>
              <w:bottom w:val="single" w:sz="4" w:space="0" w:color="000000" w:themeColor="text1"/>
              <w:right w:val="single" w:sz="4" w:space="0" w:color="auto"/>
            </w:tcBorders>
            <w:shd w:val="clear" w:color="auto" w:fill="D9D9D9" w:themeFill="background1" w:themeFillShade="D9"/>
          </w:tcPr>
          <w:p w:rsidR="00A81146" w:rsidRPr="00403FBC" w:rsidRDefault="00A81146" w:rsidP="00680FA7">
            <w:pPr>
              <w:spacing w:line="240" w:lineRule="exact"/>
              <w:contextualSpacing/>
              <w:jc w:val="both"/>
              <w:rPr>
                <w:b/>
                <w:color w:val="auto"/>
                <w:sz w:val="20"/>
                <w:szCs w:val="20"/>
              </w:rPr>
            </w:pPr>
            <w:r w:rsidRPr="00403FBC">
              <w:rPr>
                <w:b/>
                <w:color w:val="auto"/>
                <w:sz w:val="20"/>
                <w:szCs w:val="20"/>
              </w:rPr>
              <w:t>Condition</w:t>
            </w:r>
          </w:p>
        </w:tc>
        <w:tc>
          <w:tcPr>
            <w:tcW w:w="1027" w:type="dxa"/>
            <w:tcBorders>
              <w:left w:val="single" w:sz="4" w:space="0" w:color="auto"/>
              <w:bottom w:val="single" w:sz="4" w:space="0" w:color="000000" w:themeColor="text1"/>
            </w:tcBorders>
            <w:shd w:val="clear" w:color="auto" w:fill="D9D9D9" w:themeFill="background1" w:themeFillShade="D9"/>
          </w:tcPr>
          <w:p w:rsidR="00A81146" w:rsidRPr="00403FBC" w:rsidRDefault="00A81146" w:rsidP="00680FA7">
            <w:pPr>
              <w:spacing w:line="240" w:lineRule="exact"/>
              <w:contextualSpacing/>
              <w:jc w:val="center"/>
              <w:rPr>
                <w:b/>
                <w:color w:val="auto"/>
                <w:sz w:val="20"/>
                <w:szCs w:val="20"/>
              </w:rPr>
            </w:pPr>
            <w:r w:rsidRPr="00403FBC">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A81146" w:rsidRPr="00403FBC" w:rsidRDefault="00A81146" w:rsidP="00680FA7">
            <w:pPr>
              <w:spacing w:line="240" w:lineRule="exact"/>
              <w:contextualSpacing/>
              <w:jc w:val="center"/>
              <w:rPr>
                <w:b/>
                <w:color w:val="auto"/>
                <w:sz w:val="20"/>
                <w:szCs w:val="20"/>
              </w:rPr>
            </w:pPr>
            <w:r w:rsidRPr="00403FBC">
              <w:rPr>
                <w:b/>
                <w:color w:val="auto"/>
                <w:sz w:val="20"/>
                <w:szCs w:val="20"/>
              </w:rPr>
              <w:t>Rating</w:t>
            </w:r>
          </w:p>
        </w:tc>
        <w:tc>
          <w:tcPr>
            <w:tcW w:w="2699" w:type="dxa"/>
            <w:gridSpan w:val="2"/>
            <w:tcBorders>
              <w:left w:val="thinThickThinSmallGap" w:sz="24" w:space="0" w:color="auto"/>
              <w:bottom w:val="single" w:sz="4" w:space="0" w:color="000000" w:themeColor="text1"/>
            </w:tcBorders>
            <w:shd w:val="clear" w:color="auto" w:fill="D9D9D9" w:themeFill="background1" w:themeFillShade="D9"/>
          </w:tcPr>
          <w:p w:rsidR="00A81146" w:rsidRPr="00403FBC" w:rsidRDefault="00A81146" w:rsidP="00680FA7">
            <w:pPr>
              <w:spacing w:line="240" w:lineRule="exact"/>
              <w:contextualSpacing/>
              <w:jc w:val="both"/>
              <w:rPr>
                <w:b/>
                <w:color w:val="auto"/>
                <w:sz w:val="20"/>
                <w:szCs w:val="20"/>
              </w:rPr>
            </w:pPr>
            <w:r w:rsidRPr="00403FBC">
              <w:rPr>
                <w:b/>
                <w:color w:val="auto"/>
                <w:sz w:val="20"/>
                <w:szCs w:val="20"/>
              </w:rPr>
              <w:t>Condition</w:t>
            </w:r>
          </w:p>
        </w:tc>
        <w:tc>
          <w:tcPr>
            <w:tcW w:w="724" w:type="dxa"/>
            <w:tcBorders>
              <w:bottom w:val="single" w:sz="4" w:space="0" w:color="000000" w:themeColor="text1"/>
            </w:tcBorders>
            <w:shd w:val="clear" w:color="auto" w:fill="D9D9D9" w:themeFill="background1" w:themeFillShade="D9"/>
          </w:tcPr>
          <w:p w:rsidR="00A81146" w:rsidRPr="00403FBC" w:rsidRDefault="00A81146" w:rsidP="00680FA7">
            <w:pPr>
              <w:spacing w:line="240" w:lineRule="exact"/>
              <w:contextualSpacing/>
              <w:jc w:val="center"/>
              <w:rPr>
                <w:b/>
                <w:color w:val="auto"/>
                <w:sz w:val="20"/>
                <w:szCs w:val="20"/>
              </w:rPr>
            </w:pPr>
            <w:r w:rsidRPr="00403FBC">
              <w:rPr>
                <w:b/>
                <w:color w:val="auto"/>
                <w:sz w:val="20"/>
                <w:szCs w:val="20"/>
              </w:rPr>
              <w:t>Code</w:t>
            </w:r>
          </w:p>
        </w:tc>
        <w:tc>
          <w:tcPr>
            <w:tcW w:w="774" w:type="dxa"/>
            <w:tcBorders>
              <w:bottom w:val="single" w:sz="4" w:space="0" w:color="000000" w:themeColor="text1"/>
            </w:tcBorders>
            <w:shd w:val="clear" w:color="auto" w:fill="D9D9D9" w:themeFill="background1" w:themeFillShade="D9"/>
          </w:tcPr>
          <w:p w:rsidR="00A81146" w:rsidRPr="00403FBC" w:rsidRDefault="00A81146" w:rsidP="00680FA7">
            <w:pPr>
              <w:spacing w:line="240" w:lineRule="exact"/>
              <w:contextualSpacing/>
              <w:jc w:val="center"/>
              <w:rPr>
                <w:b/>
                <w:color w:val="auto"/>
                <w:sz w:val="20"/>
                <w:szCs w:val="20"/>
              </w:rPr>
            </w:pPr>
            <w:r w:rsidRPr="00403FBC">
              <w:rPr>
                <w:b/>
                <w:color w:val="auto"/>
                <w:sz w:val="20"/>
                <w:szCs w:val="20"/>
              </w:rPr>
              <w:t>Rating</w:t>
            </w:r>
          </w:p>
        </w:tc>
        <w:tc>
          <w:tcPr>
            <w:tcW w:w="1584" w:type="dxa"/>
            <w:tcBorders>
              <w:bottom w:val="single" w:sz="4" w:space="0" w:color="000000" w:themeColor="text1"/>
            </w:tcBorders>
            <w:shd w:val="clear" w:color="auto" w:fill="D9D9D9" w:themeFill="background1" w:themeFillShade="D9"/>
          </w:tcPr>
          <w:p w:rsidR="00A81146" w:rsidRPr="00403FBC" w:rsidRDefault="00A81146" w:rsidP="00680FA7">
            <w:pPr>
              <w:spacing w:line="240" w:lineRule="exact"/>
              <w:contextualSpacing/>
              <w:jc w:val="center"/>
              <w:rPr>
                <w:b/>
                <w:color w:val="auto"/>
                <w:sz w:val="20"/>
                <w:szCs w:val="20"/>
              </w:rPr>
            </w:pPr>
            <w:r w:rsidRPr="00403FBC">
              <w:rPr>
                <w:b/>
                <w:color w:val="auto"/>
                <w:sz w:val="20"/>
                <w:szCs w:val="20"/>
              </w:rPr>
              <w:t>Exam</w:t>
            </w:r>
          </w:p>
        </w:tc>
      </w:tr>
      <w:tr w:rsidR="00A81146" w:rsidRPr="00BE2AB8" w:rsidTr="00891948">
        <w:trPr>
          <w:trHeight w:val="287"/>
          <w:jc w:val="center"/>
        </w:trPr>
        <w:tc>
          <w:tcPr>
            <w:tcW w:w="1859" w:type="dxa"/>
            <w:vMerge w:val="restart"/>
            <w:tcBorders>
              <w:right w:val="single" w:sz="4" w:space="0" w:color="auto"/>
            </w:tcBorders>
            <w:shd w:val="clear" w:color="auto" w:fill="FFFFFF" w:themeFill="background1"/>
            <w:vAlign w:val="center"/>
          </w:tcPr>
          <w:p w:rsidR="00A81146" w:rsidRPr="00403FBC" w:rsidRDefault="00A81146" w:rsidP="00680FA7">
            <w:pPr>
              <w:spacing w:line="240" w:lineRule="exact"/>
              <w:contextualSpacing/>
              <w:rPr>
                <w:color w:val="auto"/>
                <w:sz w:val="20"/>
                <w:szCs w:val="20"/>
              </w:rPr>
            </w:pPr>
            <w:r w:rsidRPr="00403FBC">
              <w:rPr>
                <w:rFonts w:cs="Times New Roman"/>
                <w:color w:val="auto"/>
                <w:sz w:val="18"/>
                <w:szCs w:val="18"/>
              </w:rPr>
              <w:t>Bil</w:t>
            </w:r>
            <w:r w:rsidR="00DD35F3">
              <w:rPr>
                <w:rFonts w:cs="Times New Roman"/>
                <w:color w:val="auto"/>
                <w:sz w:val="18"/>
                <w:szCs w:val="18"/>
              </w:rPr>
              <w:t>ateral</w:t>
            </w:r>
            <w:r w:rsidRPr="00403FBC">
              <w:rPr>
                <w:rFonts w:cs="Times New Roman"/>
                <w:color w:val="auto"/>
                <w:sz w:val="18"/>
                <w:szCs w:val="18"/>
              </w:rPr>
              <w:t xml:space="preserve"> chronic knee pain</w:t>
            </w:r>
            <w:r w:rsidRPr="00403FBC">
              <w:rPr>
                <w:color w:val="auto"/>
                <w:sz w:val="20"/>
                <w:szCs w:val="20"/>
              </w:rPr>
              <w:t xml:space="preserve"> </w:t>
            </w:r>
          </w:p>
        </w:tc>
        <w:tc>
          <w:tcPr>
            <w:tcW w:w="1027" w:type="dxa"/>
            <w:vMerge w:val="restart"/>
            <w:tcBorders>
              <w:left w:val="single" w:sz="4" w:space="0" w:color="auto"/>
            </w:tcBorders>
            <w:shd w:val="clear" w:color="auto" w:fill="FFFFFF" w:themeFill="background1"/>
            <w:vAlign w:val="center"/>
          </w:tcPr>
          <w:p w:rsidR="00A81146" w:rsidRPr="00403FBC" w:rsidRDefault="00A81146" w:rsidP="00680FA7">
            <w:pPr>
              <w:spacing w:line="240" w:lineRule="exact"/>
              <w:contextualSpacing/>
              <w:jc w:val="center"/>
              <w:rPr>
                <w:color w:val="auto"/>
                <w:sz w:val="20"/>
                <w:szCs w:val="20"/>
              </w:rPr>
            </w:pPr>
            <w:r w:rsidRPr="00403FBC">
              <w:rPr>
                <w:rFonts w:cs="Times New Roman"/>
                <w:color w:val="auto"/>
                <w:sz w:val="18"/>
                <w:szCs w:val="18"/>
              </w:rPr>
              <w:t>5003-5299</w:t>
            </w:r>
          </w:p>
        </w:tc>
        <w:tc>
          <w:tcPr>
            <w:tcW w:w="810" w:type="dxa"/>
            <w:vMerge w:val="restart"/>
            <w:tcBorders>
              <w:right w:val="thinThickThinSmallGap" w:sz="24" w:space="0" w:color="auto"/>
            </w:tcBorders>
            <w:shd w:val="clear" w:color="auto" w:fill="FFFFFF" w:themeFill="background1"/>
            <w:vAlign w:val="center"/>
          </w:tcPr>
          <w:p w:rsidR="00A81146" w:rsidRPr="00403FBC" w:rsidRDefault="00A81146" w:rsidP="00680FA7">
            <w:pPr>
              <w:spacing w:line="240" w:lineRule="exact"/>
              <w:contextualSpacing/>
              <w:jc w:val="center"/>
              <w:rPr>
                <w:color w:val="auto"/>
                <w:sz w:val="20"/>
                <w:szCs w:val="20"/>
              </w:rPr>
            </w:pPr>
            <w:r w:rsidRPr="00403FBC">
              <w:rPr>
                <w:color w:val="auto"/>
                <w:sz w:val="20"/>
                <w:szCs w:val="20"/>
              </w:rPr>
              <w:t>10%</w:t>
            </w:r>
          </w:p>
        </w:tc>
        <w:tc>
          <w:tcPr>
            <w:tcW w:w="2343" w:type="dxa"/>
            <w:tcBorders>
              <w:left w:val="thinThickThinSmallGap" w:sz="24" w:space="0" w:color="auto"/>
              <w:right w:val="single" w:sz="4" w:space="0" w:color="auto"/>
            </w:tcBorders>
            <w:shd w:val="clear" w:color="auto" w:fill="FFFFFF" w:themeFill="background1"/>
            <w:vAlign w:val="center"/>
          </w:tcPr>
          <w:p w:rsidR="00A81146" w:rsidRPr="00403FBC" w:rsidRDefault="00A81146" w:rsidP="00680FA7">
            <w:pPr>
              <w:spacing w:line="240" w:lineRule="exact"/>
              <w:contextualSpacing/>
              <w:rPr>
                <w:color w:val="auto"/>
                <w:sz w:val="20"/>
                <w:szCs w:val="20"/>
              </w:rPr>
            </w:pPr>
            <w:r w:rsidRPr="00403FBC">
              <w:rPr>
                <w:rFonts w:cs="Times New Roman"/>
                <w:color w:val="auto"/>
                <w:sz w:val="18"/>
                <w:szCs w:val="18"/>
              </w:rPr>
              <w:t xml:space="preserve">Left Knee </w:t>
            </w:r>
            <w:proofErr w:type="spellStart"/>
            <w:r w:rsidRPr="00403FBC">
              <w:rPr>
                <w:rFonts w:cs="Times New Roman"/>
                <w:color w:val="auto"/>
                <w:sz w:val="18"/>
                <w:szCs w:val="18"/>
              </w:rPr>
              <w:t>Chondromalacia</w:t>
            </w:r>
            <w:proofErr w:type="spellEnd"/>
          </w:p>
        </w:tc>
        <w:tc>
          <w:tcPr>
            <w:tcW w:w="1080" w:type="dxa"/>
            <w:gridSpan w:val="2"/>
            <w:tcBorders>
              <w:left w:val="single" w:sz="4" w:space="0" w:color="auto"/>
            </w:tcBorders>
            <w:shd w:val="clear" w:color="auto" w:fill="FFFFFF" w:themeFill="background1"/>
            <w:vAlign w:val="center"/>
          </w:tcPr>
          <w:p w:rsidR="00A81146" w:rsidRPr="00403FBC" w:rsidRDefault="00A81146" w:rsidP="00680FA7">
            <w:pPr>
              <w:spacing w:line="240" w:lineRule="exact"/>
              <w:contextualSpacing/>
              <w:jc w:val="center"/>
              <w:rPr>
                <w:color w:val="auto"/>
                <w:sz w:val="20"/>
                <w:szCs w:val="20"/>
              </w:rPr>
            </w:pPr>
            <w:r w:rsidRPr="00403FBC">
              <w:rPr>
                <w:rFonts w:cs="Times New Roman"/>
                <w:color w:val="auto"/>
                <w:sz w:val="18"/>
                <w:szCs w:val="18"/>
              </w:rPr>
              <w:t>5299-5257</w:t>
            </w:r>
          </w:p>
        </w:tc>
        <w:tc>
          <w:tcPr>
            <w:tcW w:w="774" w:type="dxa"/>
            <w:shd w:val="clear" w:color="auto" w:fill="FFFFFF" w:themeFill="background1"/>
          </w:tcPr>
          <w:p w:rsidR="00A81146" w:rsidRPr="00403FBC" w:rsidRDefault="00A81146" w:rsidP="00680FA7">
            <w:pPr>
              <w:spacing w:line="240" w:lineRule="exact"/>
              <w:contextualSpacing/>
              <w:jc w:val="center"/>
              <w:rPr>
                <w:color w:val="auto"/>
                <w:sz w:val="20"/>
                <w:szCs w:val="20"/>
              </w:rPr>
            </w:pPr>
            <w:r w:rsidRPr="00403FBC">
              <w:rPr>
                <w:color w:val="auto"/>
                <w:sz w:val="20"/>
                <w:szCs w:val="20"/>
              </w:rPr>
              <w:t>10%</w:t>
            </w:r>
          </w:p>
        </w:tc>
        <w:tc>
          <w:tcPr>
            <w:tcW w:w="1584" w:type="dxa"/>
            <w:shd w:val="clear" w:color="auto" w:fill="FFFFFF" w:themeFill="background1"/>
            <w:vAlign w:val="center"/>
          </w:tcPr>
          <w:p w:rsidR="00A81146" w:rsidRPr="00403FBC" w:rsidRDefault="00A81146" w:rsidP="00680FA7">
            <w:pPr>
              <w:spacing w:line="240" w:lineRule="exact"/>
              <w:contextualSpacing/>
              <w:jc w:val="center"/>
              <w:rPr>
                <w:color w:val="auto"/>
                <w:sz w:val="20"/>
                <w:szCs w:val="20"/>
              </w:rPr>
            </w:pPr>
            <w:r w:rsidRPr="00403FBC">
              <w:rPr>
                <w:rFonts w:cs="Times New Roman"/>
                <w:color w:val="auto"/>
                <w:sz w:val="18"/>
                <w:szCs w:val="18"/>
              </w:rPr>
              <w:t>20020204</w:t>
            </w:r>
          </w:p>
        </w:tc>
      </w:tr>
      <w:tr w:rsidR="00A81146" w:rsidRPr="00BE2AB8" w:rsidTr="00891948">
        <w:trPr>
          <w:trHeight w:val="287"/>
          <w:jc w:val="center"/>
        </w:trPr>
        <w:tc>
          <w:tcPr>
            <w:tcW w:w="1859" w:type="dxa"/>
            <w:vMerge/>
            <w:tcBorders>
              <w:right w:val="single" w:sz="4" w:space="0" w:color="auto"/>
            </w:tcBorders>
            <w:shd w:val="clear" w:color="auto" w:fill="FFFFFF" w:themeFill="background1"/>
            <w:vAlign w:val="center"/>
          </w:tcPr>
          <w:p w:rsidR="00A81146" w:rsidRPr="00403FBC" w:rsidRDefault="00A81146" w:rsidP="00680FA7">
            <w:pPr>
              <w:spacing w:line="240" w:lineRule="exact"/>
              <w:contextualSpacing/>
              <w:rPr>
                <w:color w:val="auto"/>
                <w:sz w:val="20"/>
              </w:rPr>
            </w:pPr>
          </w:p>
        </w:tc>
        <w:tc>
          <w:tcPr>
            <w:tcW w:w="1027" w:type="dxa"/>
            <w:vMerge/>
            <w:tcBorders>
              <w:left w:val="single" w:sz="4" w:space="0" w:color="auto"/>
            </w:tcBorders>
            <w:shd w:val="clear" w:color="auto" w:fill="FFFFFF" w:themeFill="background1"/>
            <w:vAlign w:val="center"/>
          </w:tcPr>
          <w:p w:rsidR="00A81146" w:rsidRPr="00403FBC" w:rsidRDefault="00A81146" w:rsidP="00680FA7">
            <w:pPr>
              <w:spacing w:line="240" w:lineRule="exact"/>
              <w:contextualSpacing/>
              <w:jc w:val="center"/>
              <w:rPr>
                <w:color w:val="auto"/>
                <w:sz w:val="20"/>
              </w:rPr>
            </w:pPr>
          </w:p>
        </w:tc>
        <w:tc>
          <w:tcPr>
            <w:tcW w:w="810" w:type="dxa"/>
            <w:vMerge/>
            <w:tcBorders>
              <w:right w:val="thinThickThinSmallGap" w:sz="24" w:space="0" w:color="auto"/>
            </w:tcBorders>
            <w:shd w:val="clear" w:color="auto" w:fill="FFFFFF" w:themeFill="background1"/>
            <w:vAlign w:val="center"/>
          </w:tcPr>
          <w:p w:rsidR="00A81146" w:rsidRPr="00403FBC" w:rsidRDefault="00A81146" w:rsidP="00680FA7">
            <w:pPr>
              <w:spacing w:line="240" w:lineRule="exact"/>
              <w:contextualSpacing/>
              <w:jc w:val="center"/>
              <w:rPr>
                <w:color w:val="auto"/>
                <w:sz w:val="20"/>
              </w:rPr>
            </w:pPr>
          </w:p>
        </w:tc>
        <w:tc>
          <w:tcPr>
            <w:tcW w:w="2343" w:type="dxa"/>
            <w:tcBorders>
              <w:left w:val="thinThickThinSmallGap" w:sz="24" w:space="0" w:color="auto"/>
              <w:right w:val="single" w:sz="4" w:space="0" w:color="auto"/>
            </w:tcBorders>
            <w:shd w:val="clear" w:color="auto" w:fill="FFFFFF" w:themeFill="background1"/>
            <w:vAlign w:val="center"/>
          </w:tcPr>
          <w:p w:rsidR="00A81146" w:rsidRPr="00403FBC" w:rsidRDefault="00A81146" w:rsidP="00680FA7">
            <w:pPr>
              <w:spacing w:line="240" w:lineRule="exact"/>
              <w:contextualSpacing/>
              <w:rPr>
                <w:color w:val="auto"/>
                <w:sz w:val="20"/>
              </w:rPr>
            </w:pPr>
            <w:r w:rsidRPr="00403FBC">
              <w:rPr>
                <w:rFonts w:cs="Times New Roman"/>
                <w:color w:val="auto"/>
                <w:sz w:val="18"/>
                <w:szCs w:val="18"/>
              </w:rPr>
              <w:t xml:space="preserve">Right Knee </w:t>
            </w:r>
            <w:proofErr w:type="spellStart"/>
            <w:r w:rsidRPr="00403FBC">
              <w:rPr>
                <w:rFonts w:cs="Times New Roman"/>
                <w:color w:val="auto"/>
                <w:sz w:val="18"/>
                <w:szCs w:val="18"/>
              </w:rPr>
              <w:t>Chondromalacia</w:t>
            </w:r>
            <w:proofErr w:type="spellEnd"/>
          </w:p>
        </w:tc>
        <w:tc>
          <w:tcPr>
            <w:tcW w:w="1080" w:type="dxa"/>
            <w:gridSpan w:val="2"/>
            <w:tcBorders>
              <w:left w:val="single" w:sz="4" w:space="0" w:color="auto"/>
            </w:tcBorders>
            <w:shd w:val="clear" w:color="auto" w:fill="FFFFFF" w:themeFill="background1"/>
            <w:vAlign w:val="center"/>
          </w:tcPr>
          <w:p w:rsidR="00A81146" w:rsidRPr="00403FBC" w:rsidRDefault="00A81146" w:rsidP="00680FA7">
            <w:pPr>
              <w:spacing w:line="240" w:lineRule="exact"/>
              <w:contextualSpacing/>
              <w:jc w:val="center"/>
              <w:rPr>
                <w:color w:val="auto"/>
                <w:sz w:val="18"/>
                <w:szCs w:val="18"/>
              </w:rPr>
            </w:pPr>
            <w:r w:rsidRPr="00403FBC">
              <w:rPr>
                <w:rFonts w:cs="Times New Roman"/>
                <w:color w:val="auto"/>
                <w:sz w:val="18"/>
                <w:szCs w:val="18"/>
              </w:rPr>
              <w:t>5299-5257</w:t>
            </w:r>
          </w:p>
        </w:tc>
        <w:tc>
          <w:tcPr>
            <w:tcW w:w="774" w:type="dxa"/>
            <w:shd w:val="clear" w:color="auto" w:fill="FFFFFF" w:themeFill="background1"/>
          </w:tcPr>
          <w:p w:rsidR="00A81146" w:rsidRPr="00403FBC" w:rsidRDefault="00A81146" w:rsidP="00680FA7">
            <w:pPr>
              <w:spacing w:line="240" w:lineRule="exact"/>
              <w:contextualSpacing/>
              <w:jc w:val="center"/>
              <w:rPr>
                <w:color w:val="auto"/>
                <w:sz w:val="20"/>
              </w:rPr>
            </w:pPr>
            <w:r w:rsidRPr="00403FBC">
              <w:rPr>
                <w:color w:val="auto"/>
                <w:sz w:val="20"/>
                <w:szCs w:val="20"/>
              </w:rPr>
              <w:t>0%</w:t>
            </w:r>
            <w:r w:rsidR="00604701">
              <w:rPr>
                <w:color w:val="auto"/>
                <w:sz w:val="20"/>
                <w:szCs w:val="20"/>
              </w:rPr>
              <w:t>*</w:t>
            </w:r>
          </w:p>
        </w:tc>
        <w:tc>
          <w:tcPr>
            <w:tcW w:w="1584" w:type="dxa"/>
            <w:shd w:val="clear" w:color="auto" w:fill="FFFFFF" w:themeFill="background1"/>
            <w:vAlign w:val="center"/>
          </w:tcPr>
          <w:p w:rsidR="00A81146" w:rsidRPr="00403FBC" w:rsidRDefault="00A81146" w:rsidP="00680FA7">
            <w:pPr>
              <w:spacing w:line="240" w:lineRule="exact"/>
              <w:contextualSpacing/>
              <w:jc w:val="center"/>
              <w:rPr>
                <w:color w:val="auto"/>
                <w:sz w:val="20"/>
              </w:rPr>
            </w:pPr>
            <w:r w:rsidRPr="00403FBC">
              <w:rPr>
                <w:rFonts w:cs="Times New Roman"/>
                <w:color w:val="auto"/>
                <w:sz w:val="18"/>
                <w:szCs w:val="18"/>
              </w:rPr>
              <w:t>20020204</w:t>
            </w:r>
          </w:p>
        </w:tc>
      </w:tr>
      <w:tr w:rsidR="008E5870" w:rsidRPr="00BE2AB8" w:rsidTr="00891948">
        <w:trPr>
          <w:trHeight w:val="287"/>
          <w:jc w:val="center"/>
        </w:trPr>
        <w:tc>
          <w:tcPr>
            <w:tcW w:w="3696" w:type="dxa"/>
            <w:gridSpan w:val="3"/>
            <w:vMerge w:val="restart"/>
            <w:tcBorders>
              <w:right w:val="thinThickThinSmallGap" w:sz="24" w:space="0" w:color="auto"/>
            </w:tcBorders>
            <w:shd w:val="clear" w:color="auto" w:fill="FFFFFF" w:themeFill="background1"/>
            <w:vAlign w:val="center"/>
          </w:tcPr>
          <w:p w:rsidR="008E5870" w:rsidRPr="00403FBC" w:rsidRDefault="008E5870" w:rsidP="00891948">
            <w:pPr>
              <w:spacing w:line="240" w:lineRule="exact"/>
              <w:contextualSpacing/>
              <w:jc w:val="center"/>
              <w:rPr>
                <w:color w:val="auto"/>
                <w:sz w:val="20"/>
              </w:rPr>
            </w:pPr>
            <w:r w:rsidRPr="00403FBC">
              <w:rPr>
                <w:color w:val="auto"/>
                <w:sz w:val="20"/>
                <w:szCs w:val="20"/>
              </w:rPr>
              <w:t>↓No Additional MEB</w:t>
            </w:r>
            <w:r>
              <w:rPr>
                <w:color w:val="auto"/>
                <w:sz w:val="20"/>
                <w:szCs w:val="20"/>
              </w:rPr>
              <w:t>/PEB</w:t>
            </w:r>
            <w:r w:rsidRPr="00403FBC">
              <w:rPr>
                <w:color w:val="auto"/>
                <w:sz w:val="20"/>
                <w:szCs w:val="20"/>
              </w:rPr>
              <w:t xml:space="preserve"> Entries↓</w:t>
            </w:r>
          </w:p>
        </w:tc>
        <w:tc>
          <w:tcPr>
            <w:tcW w:w="2343" w:type="dxa"/>
            <w:tcBorders>
              <w:left w:val="thinThickThinSmallGap" w:sz="24" w:space="0" w:color="auto"/>
              <w:right w:val="single" w:sz="4" w:space="0" w:color="auto"/>
            </w:tcBorders>
            <w:shd w:val="clear" w:color="auto" w:fill="FFFFFF" w:themeFill="background1"/>
            <w:vAlign w:val="center"/>
          </w:tcPr>
          <w:p w:rsidR="008E5870" w:rsidRPr="00403FBC" w:rsidRDefault="008E5870" w:rsidP="00680FA7">
            <w:pPr>
              <w:spacing w:line="240" w:lineRule="exact"/>
              <w:contextualSpacing/>
              <w:rPr>
                <w:color w:val="auto"/>
                <w:sz w:val="18"/>
                <w:szCs w:val="18"/>
              </w:rPr>
            </w:pPr>
            <w:r w:rsidRPr="00403FBC">
              <w:rPr>
                <w:rFonts w:cs="Times New Roman"/>
                <w:color w:val="auto"/>
                <w:sz w:val="18"/>
                <w:szCs w:val="18"/>
              </w:rPr>
              <w:t>Hypertension</w:t>
            </w:r>
          </w:p>
        </w:tc>
        <w:tc>
          <w:tcPr>
            <w:tcW w:w="1080" w:type="dxa"/>
            <w:gridSpan w:val="2"/>
            <w:tcBorders>
              <w:left w:val="single" w:sz="4" w:space="0" w:color="auto"/>
            </w:tcBorders>
            <w:shd w:val="clear" w:color="auto" w:fill="FFFFFF" w:themeFill="background1"/>
            <w:vAlign w:val="center"/>
          </w:tcPr>
          <w:p w:rsidR="008E5870" w:rsidRPr="002402B5" w:rsidRDefault="008E5870" w:rsidP="00680FA7">
            <w:pPr>
              <w:spacing w:line="240" w:lineRule="exact"/>
              <w:contextualSpacing/>
              <w:jc w:val="center"/>
              <w:rPr>
                <w:color w:val="auto"/>
                <w:sz w:val="18"/>
                <w:szCs w:val="18"/>
              </w:rPr>
            </w:pPr>
            <w:r w:rsidRPr="002402B5">
              <w:rPr>
                <w:rFonts w:cs="Times New Roman"/>
                <w:color w:val="auto"/>
                <w:sz w:val="18"/>
                <w:szCs w:val="18"/>
              </w:rPr>
              <w:t>7101</w:t>
            </w:r>
          </w:p>
        </w:tc>
        <w:tc>
          <w:tcPr>
            <w:tcW w:w="774" w:type="dxa"/>
            <w:shd w:val="clear" w:color="auto" w:fill="FFFFFF" w:themeFill="background1"/>
          </w:tcPr>
          <w:p w:rsidR="008E5870" w:rsidRPr="002402B5" w:rsidRDefault="008E5870" w:rsidP="00680FA7">
            <w:pPr>
              <w:spacing w:line="240" w:lineRule="exact"/>
              <w:contextualSpacing/>
              <w:jc w:val="center"/>
              <w:rPr>
                <w:color w:val="auto"/>
                <w:sz w:val="20"/>
              </w:rPr>
            </w:pPr>
            <w:r w:rsidRPr="002402B5">
              <w:rPr>
                <w:rFonts w:cs="Times New Roman"/>
                <w:color w:val="auto"/>
                <w:sz w:val="18"/>
                <w:szCs w:val="18"/>
              </w:rPr>
              <w:t>10%</w:t>
            </w:r>
          </w:p>
        </w:tc>
        <w:tc>
          <w:tcPr>
            <w:tcW w:w="1584" w:type="dxa"/>
            <w:shd w:val="clear" w:color="auto" w:fill="FFFFFF" w:themeFill="background1"/>
            <w:vAlign w:val="center"/>
          </w:tcPr>
          <w:p w:rsidR="008E5870" w:rsidRPr="002402B5" w:rsidRDefault="008E5870" w:rsidP="00680FA7">
            <w:pPr>
              <w:spacing w:line="240" w:lineRule="exact"/>
              <w:contextualSpacing/>
              <w:jc w:val="center"/>
              <w:rPr>
                <w:color w:val="auto"/>
                <w:sz w:val="18"/>
                <w:szCs w:val="18"/>
              </w:rPr>
            </w:pPr>
            <w:r w:rsidRPr="002402B5">
              <w:rPr>
                <w:rFonts w:cs="Times New Roman"/>
                <w:color w:val="auto"/>
                <w:sz w:val="18"/>
                <w:szCs w:val="18"/>
              </w:rPr>
              <w:t>20020204</w:t>
            </w:r>
          </w:p>
        </w:tc>
      </w:tr>
      <w:tr w:rsidR="008E5870" w:rsidRPr="00BE2AB8" w:rsidTr="00891948">
        <w:trPr>
          <w:trHeight w:val="287"/>
          <w:jc w:val="center"/>
        </w:trPr>
        <w:tc>
          <w:tcPr>
            <w:tcW w:w="3696" w:type="dxa"/>
            <w:gridSpan w:val="3"/>
            <w:vMerge/>
            <w:tcBorders>
              <w:right w:val="thinThickThinSmallGap" w:sz="24" w:space="0" w:color="auto"/>
            </w:tcBorders>
            <w:shd w:val="clear" w:color="auto" w:fill="FFFFFF" w:themeFill="background1"/>
            <w:vAlign w:val="center"/>
          </w:tcPr>
          <w:p w:rsidR="008E5870" w:rsidRPr="00403FBC" w:rsidRDefault="008E5870" w:rsidP="00680FA7">
            <w:pPr>
              <w:spacing w:line="240" w:lineRule="exact"/>
              <w:contextualSpacing/>
              <w:jc w:val="center"/>
              <w:rPr>
                <w:color w:val="auto"/>
                <w:sz w:val="20"/>
              </w:rPr>
            </w:pPr>
          </w:p>
        </w:tc>
        <w:tc>
          <w:tcPr>
            <w:tcW w:w="2343" w:type="dxa"/>
            <w:tcBorders>
              <w:left w:val="thinThickThinSmallGap" w:sz="24" w:space="0" w:color="auto"/>
              <w:right w:val="single" w:sz="4" w:space="0" w:color="auto"/>
            </w:tcBorders>
            <w:shd w:val="clear" w:color="auto" w:fill="FFFFFF" w:themeFill="background1"/>
            <w:vAlign w:val="center"/>
          </w:tcPr>
          <w:p w:rsidR="008E5870" w:rsidRPr="00403FBC" w:rsidRDefault="008E5870" w:rsidP="00680FA7">
            <w:pPr>
              <w:spacing w:line="240" w:lineRule="exact"/>
              <w:contextualSpacing/>
              <w:rPr>
                <w:color w:val="auto"/>
                <w:sz w:val="18"/>
                <w:szCs w:val="18"/>
              </w:rPr>
            </w:pPr>
            <w:r>
              <w:rPr>
                <w:color w:val="auto"/>
                <w:sz w:val="18"/>
                <w:szCs w:val="18"/>
              </w:rPr>
              <w:t xml:space="preserve">Allergic </w:t>
            </w:r>
            <w:proofErr w:type="spellStart"/>
            <w:r>
              <w:rPr>
                <w:color w:val="auto"/>
                <w:sz w:val="18"/>
                <w:szCs w:val="18"/>
              </w:rPr>
              <w:t>Rhinosinusitis</w:t>
            </w:r>
            <w:proofErr w:type="spellEnd"/>
          </w:p>
        </w:tc>
        <w:tc>
          <w:tcPr>
            <w:tcW w:w="1080" w:type="dxa"/>
            <w:gridSpan w:val="2"/>
            <w:tcBorders>
              <w:left w:val="single" w:sz="4" w:space="0" w:color="auto"/>
            </w:tcBorders>
            <w:shd w:val="clear" w:color="auto" w:fill="FFFFFF" w:themeFill="background1"/>
            <w:vAlign w:val="center"/>
          </w:tcPr>
          <w:p w:rsidR="008E5870" w:rsidRPr="00403FBC" w:rsidRDefault="008E5870" w:rsidP="00680FA7">
            <w:pPr>
              <w:spacing w:line="240" w:lineRule="exact"/>
              <w:contextualSpacing/>
              <w:jc w:val="center"/>
              <w:rPr>
                <w:color w:val="auto"/>
                <w:sz w:val="18"/>
                <w:szCs w:val="18"/>
              </w:rPr>
            </w:pPr>
            <w:r>
              <w:rPr>
                <w:color w:val="auto"/>
                <w:sz w:val="18"/>
                <w:szCs w:val="18"/>
              </w:rPr>
              <w:t>6522</w:t>
            </w:r>
          </w:p>
        </w:tc>
        <w:tc>
          <w:tcPr>
            <w:tcW w:w="774" w:type="dxa"/>
            <w:shd w:val="clear" w:color="auto" w:fill="FFFFFF" w:themeFill="background1"/>
          </w:tcPr>
          <w:p w:rsidR="008E5870" w:rsidRPr="00403FBC" w:rsidRDefault="008E5870" w:rsidP="00680FA7">
            <w:pPr>
              <w:spacing w:line="240" w:lineRule="exact"/>
              <w:contextualSpacing/>
              <w:jc w:val="center"/>
              <w:rPr>
                <w:color w:val="auto"/>
                <w:sz w:val="18"/>
                <w:szCs w:val="18"/>
              </w:rPr>
            </w:pPr>
            <w:r>
              <w:rPr>
                <w:color w:val="auto"/>
                <w:sz w:val="18"/>
                <w:szCs w:val="18"/>
              </w:rPr>
              <w:t>0%</w:t>
            </w:r>
          </w:p>
        </w:tc>
        <w:tc>
          <w:tcPr>
            <w:tcW w:w="1584" w:type="dxa"/>
            <w:shd w:val="clear" w:color="auto" w:fill="FFFFFF" w:themeFill="background1"/>
            <w:vAlign w:val="center"/>
          </w:tcPr>
          <w:p w:rsidR="008E5870" w:rsidRPr="00403FBC" w:rsidRDefault="008E5870" w:rsidP="00680FA7">
            <w:pPr>
              <w:spacing w:line="240" w:lineRule="exact"/>
              <w:contextualSpacing/>
              <w:jc w:val="center"/>
              <w:rPr>
                <w:color w:val="auto"/>
                <w:sz w:val="18"/>
                <w:szCs w:val="18"/>
              </w:rPr>
            </w:pPr>
            <w:r w:rsidRPr="00403FBC">
              <w:rPr>
                <w:rFonts w:cs="Times New Roman"/>
                <w:color w:val="auto"/>
                <w:sz w:val="18"/>
                <w:szCs w:val="18"/>
              </w:rPr>
              <w:t>20020204</w:t>
            </w:r>
          </w:p>
        </w:tc>
      </w:tr>
      <w:tr w:rsidR="008E5870" w:rsidRPr="00BE2AB8" w:rsidTr="00891948">
        <w:trPr>
          <w:trHeight w:val="260"/>
          <w:jc w:val="center"/>
        </w:trPr>
        <w:tc>
          <w:tcPr>
            <w:tcW w:w="3696" w:type="dxa"/>
            <w:gridSpan w:val="3"/>
            <w:vMerge/>
            <w:tcBorders>
              <w:right w:val="thinThickThinSmallGap" w:sz="24" w:space="0" w:color="auto"/>
            </w:tcBorders>
            <w:shd w:val="clear" w:color="auto" w:fill="FFFFFF" w:themeFill="background1"/>
          </w:tcPr>
          <w:p w:rsidR="008E5870" w:rsidRPr="00403FBC" w:rsidRDefault="008E5870" w:rsidP="00680FA7">
            <w:pPr>
              <w:spacing w:line="240" w:lineRule="exact"/>
              <w:contextualSpacing/>
              <w:jc w:val="center"/>
              <w:rPr>
                <w:color w:val="auto"/>
                <w:sz w:val="20"/>
                <w:szCs w:val="20"/>
              </w:rPr>
            </w:pPr>
          </w:p>
        </w:tc>
        <w:tc>
          <w:tcPr>
            <w:tcW w:w="5781" w:type="dxa"/>
            <w:gridSpan w:val="5"/>
            <w:tcBorders>
              <w:left w:val="thinThickThinSmallGap" w:sz="24" w:space="0" w:color="auto"/>
            </w:tcBorders>
            <w:shd w:val="clear" w:color="auto" w:fill="FFFFFF" w:themeFill="background1"/>
            <w:vAlign w:val="center"/>
          </w:tcPr>
          <w:p w:rsidR="008E5870" w:rsidRPr="00403FBC" w:rsidRDefault="008E5870" w:rsidP="00680FA7">
            <w:pPr>
              <w:spacing w:line="240" w:lineRule="exact"/>
              <w:contextualSpacing/>
              <w:jc w:val="center"/>
              <w:rPr>
                <w:color w:val="auto"/>
                <w:sz w:val="20"/>
                <w:szCs w:val="20"/>
              </w:rPr>
            </w:pPr>
            <w:r>
              <w:rPr>
                <w:rFonts w:cs="Times New Roman"/>
                <w:color w:val="auto"/>
                <w:sz w:val="20"/>
                <w:szCs w:val="20"/>
              </w:rPr>
              <w:t xml:space="preserve">Eczema*, </w:t>
            </w:r>
            <w:proofErr w:type="spellStart"/>
            <w:r>
              <w:rPr>
                <w:rFonts w:cs="Times New Roman"/>
                <w:color w:val="auto"/>
                <w:sz w:val="20"/>
                <w:szCs w:val="20"/>
              </w:rPr>
              <w:t>Bil</w:t>
            </w:r>
            <w:proofErr w:type="spellEnd"/>
            <w:r>
              <w:rPr>
                <w:rFonts w:cs="Times New Roman"/>
                <w:color w:val="auto"/>
                <w:sz w:val="20"/>
                <w:szCs w:val="20"/>
              </w:rPr>
              <w:t xml:space="preserve"> Hip Pain, </w:t>
            </w:r>
            <w:proofErr w:type="spellStart"/>
            <w:r>
              <w:rPr>
                <w:rFonts w:cs="Times New Roman"/>
                <w:color w:val="auto"/>
                <w:sz w:val="20"/>
                <w:szCs w:val="20"/>
              </w:rPr>
              <w:t>Bil</w:t>
            </w:r>
            <w:proofErr w:type="spellEnd"/>
            <w:r>
              <w:rPr>
                <w:rFonts w:cs="Times New Roman"/>
                <w:color w:val="auto"/>
                <w:sz w:val="20"/>
                <w:szCs w:val="20"/>
              </w:rPr>
              <w:t xml:space="preserve"> Foot/heel pain, Left shoulder - </w:t>
            </w:r>
            <w:r w:rsidRPr="00403FBC">
              <w:rPr>
                <w:rFonts w:cs="Times New Roman"/>
                <w:color w:val="auto"/>
                <w:sz w:val="20"/>
                <w:szCs w:val="20"/>
              </w:rPr>
              <w:t xml:space="preserve"> </w:t>
            </w:r>
            <w:r>
              <w:rPr>
                <w:rFonts w:cs="Times New Roman"/>
                <w:color w:val="auto"/>
                <w:sz w:val="20"/>
                <w:szCs w:val="20"/>
              </w:rPr>
              <w:t>NSC</w:t>
            </w:r>
            <w:r w:rsidRPr="00403FBC">
              <w:rPr>
                <w:rFonts w:cs="Times New Roman"/>
                <w:color w:val="auto"/>
                <w:sz w:val="20"/>
                <w:szCs w:val="20"/>
              </w:rPr>
              <w:t xml:space="preserve"> </w:t>
            </w:r>
          </w:p>
        </w:tc>
      </w:tr>
      <w:tr w:rsidR="00A81146" w:rsidRPr="00BE2AB8" w:rsidTr="00891948">
        <w:trPr>
          <w:trHeight w:val="242"/>
          <w:jc w:val="center"/>
        </w:trPr>
        <w:tc>
          <w:tcPr>
            <w:tcW w:w="3696" w:type="dxa"/>
            <w:gridSpan w:val="3"/>
            <w:tcBorders>
              <w:right w:val="thinThickThinSmallGap" w:sz="24" w:space="0" w:color="auto"/>
            </w:tcBorders>
            <w:shd w:val="clear" w:color="auto" w:fill="D9D9D9" w:themeFill="background1" w:themeFillShade="D9"/>
            <w:vAlign w:val="center"/>
          </w:tcPr>
          <w:p w:rsidR="00A81146" w:rsidRPr="00BE2AB8" w:rsidRDefault="00A81146" w:rsidP="00680FA7">
            <w:pPr>
              <w:spacing w:line="240" w:lineRule="exact"/>
              <w:contextualSpacing/>
              <w:jc w:val="center"/>
              <w:rPr>
                <w:b/>
                <w:color w:val="auto"/>
                <w:sz w:val="20"/>
                <w:szCs w:val="20"/>
              </w:rPr>
            </w:pPr>
            <w:r w:rsidRPr="00BE2AB8">
              <w:rPr>
                <w:b/>
                <w:color w:val="auto"/>
                <w:sz w:val="20"/>
                <w:szCs w:val="20"/>
              </w:rPr>
              <w:t xml:space="preserve">Final Combined:  </w:t>
            </w:r>
            <w:r w:rsidR="00403FBC">
              <w:rPr>
                <w:b/>
                <w:color w:val="auto"/>
                <w:sz w:val="20"/>
                <w:szCs w:val="20"/>
              </w:rPr>
              <w:t>1</w:t>
            </w:r>
            <w:r w:rsidRPr="00BE2AB8">
              <w:rPr>
                <w:b/>
                <w:color w:val="auto"/>
                <w:sz w:val="20"/>
                <w:szCs w:val="20"/>
              </w:rPr>
              <w:t>0%</w:t>
            </w:r>
          </w:p>
        </w:tc>
        <w:tc>
          <w:tcPr>
            <w:tcW w:w="5781" w:type="dxa"/>
            <w:gridSpan w:val="5"/>
            <w:tcBorders>
              <w:left w:val="thinThickThinSmallGap" w:sz="24" w:space="0" w:color="auto"/>
            </w:tcBorders>
            <w:shd w:val="clear" w:color="auto" w:fill="D9D9D9" w:themeFill="background1" w:themeFillShade="D9"/>
            <w:vAlign w:val="center"/>
          </w:tcPr>
          <w:p w:rsidR="00A81146" w:rsidRPr="00BE2AB8" w:rsidRDefault="00A81146" w:rsidP="00680FA7">
            <w:pPr>
              <w:spacing w:line="240" w:lineRule="exact"/>
              <w:contextualSpacing/>
              <w:jc w:val="center"/>
              <w:rPr>
                <w:b/>
                <w:color w:val="auto"/>
                <w:sz w:val="20"/>
                <w:szCs w:val="20"/>
              </w:rPr>
            </w:pPr>
            <w:r w:rsidRPr="00BE2AB8">
              <w:rPr>
                <w:b/>
                <w:color w:val="auto"/>
                <w:sz w:val="20"/>
                <w:szCs w:val="20"/>
              </w:rPr>
              <w:t xml:space="preserve">Total Combined: </w:t>
            </w:r>
            <w:r>
              <w:rPr>
                <w:b/>
                <w:color w:val="auto"/>
                <w:sz w:val="20"/>
                <w:szCs w:val="20"/>
              </w:rPr>
              <w:t xml:space="preserve"> </w:t>
            </w:r>
            <w:r w:rsidR="00403FBC">
              <w:rPr>
                <w:b/>
                <w:color w:val="auto"/>
                <w:sz w:val="20"/>
                <w:szCs w:val="20"/>
              </w:rPr>
              <w:t>2</w:t>
            </w:r>
            <w:r w:rsidRPr="00BE2AB8">
              <w:rPr>
                <w:b/>
                <w:color w:val="auto"/>
                <w:sz w:val="20"/>
                <w:szCs w:val="20"/>
              </w:rPr>
              <w:t>0%</w:t>
            </w:r>
            <w:r w:rsidR="0096605F">
              <w:rPr>
                <w:b/>
                <w:color w:val="auto"/>
                <w:sz w:val="20"/>
                <w:szCs w:val="20"/>
              </w:rPr>
              <w:t>*</w:t>
            </w:r>
          </w:p>
        </w:tc>
      </w:tr>
    </w:tbl>
    <w:p w:rsidR="00680FA7" w:rsidRPr="00680FA7" w:rsidRDefault="00604701" w:rsidP="00875F2D">
      <w:pPr>
        <w:tabs>
          <w:tab w:val="left" w:pos="288"/>
          <w:tab w:val="left" w:pos="4752"/>
        </w:tabs>
        <w:spacing w:line="240" w:lineRule="exact"/>
        <w:jc w:val="both"/>
        <w:rPr>
          <w:rFonts w:ascii="Calibri" w:hAnsi="Calibri"/>
          <w:color w:val="auto"/>
          <w:sz w:val="22"/>
        </w:rPr>
      </w:pPr>
      <w:r w:rsidRPr="00680FA7">
        <w:rPr>
          <w:rFonts w:ascii="Calibri" w:hAnsi="Calibri"/>
          <w:color w:val="auto"/>
          <w:sz w:val="22"/>
        </w:rPr>
        <w:t>*</w:t>
      </w:r>
      <w:r w:rsidR="0096605F" w:rsidRPr="00680FA7">
        <w:rPr>
          <w:rFonts w:ascii="Calibri" w:hAnsi="Calibri"/>
          <w:color w:val="auto"/>
          <w:sz w:val="22"/>
        </w:rPr>
        <w:t xml:space="preserve">R knee to </w:t>
      </w:r>
      <w:r w:rsidRPr="00680FA7">
        <w:rPr>
          <w:rFonts w:ascii="Calibri" w:hAnsi="Calibri"/>
          <w:color w:val="auto"/>
          <w:sz w:val="22"/>
        </w:rPr>
        <w:t>10% effective 20030528</w:t>
      </w:r>
      <w:r w:rsidR="00680FA7" w:rsidRPr="00680FA7">
        <w:rPr>
          <w:rFonts w:ascii="Calibri" w:hAnsi="Calibri"/>
          <w:color w:val="auto"/>
          <w:sz w:val="22"/>
        </w:rPr>
        <w:t xml:space="preserve"> (combined 30%)</w:t>
      </w:r>
      <w:r w:rsidR="0096605F" w:rsidRPr="00680FA7">
        <w:rPr>
          <w:rFonts w:ascii="Calibri" w:hAnsi="Calibri"/>
          <w:color w:val="auto"/>
          <w:sz w:val="22"/>
        </w:rPr>
        <w:t>;</w:t>
      </w:r>
      <w:r w:rsidR="00680FA7" w:rsidRPr="00680FA7">
        <w:rPr>
          <w:rFonts w:ascii="Calibri" w:hAnsi="Calibri"/>
          <w:color w:val="auto"/>
          <w:sz w:val="22"/>
        </w:rPr>
        <w:t xml:space="preserve"> </w:t>
      </w:r>
      <w:r w:rsidR="00680FA7" w:rsidRPr="00680FA7">
        <w:rPr>
          <w:rFonts w:asciiTheme="minorHAnsi" w:hAnsiTheme="minorHAnsi"/>
          <w:color w:val="auto"/>
          <w:sz w:val="22"/>
        </w:rPr>
        <w:t>Hyperthyroidism (</w:t>
      </w:r>
      <w:r w:rsidR="0096605F" w:rsidRPr="00680FA7">
        <w:rPr>
          <w:rFonts w:ascii="Calibri" w:hAnsi="Calibri"/>
          <w:color w:val="auto"/>
          <w:sz w:val="22"/>
        </w:rPr>
        <w:t>7900</w:t>
      </w:r>
      <w:r w:rsidR="00680FA7" w:rsidRPr="00680FA7">
        <w:rPr>
          <w:rFonts w:ascii="Calibri" w:hAnsi="Calibri"/>
          <w:color w:val="auto"/>
          <w:sz w:val="22"/>
        </w:rPr>
        <w:t>)</w:t>
      </w:r>
      <w:r w:rsidR="0096605F" w:rsidRPr="00680FA7">
        <w:rPr>
          <w:rFonts w:ascii="Calibri" w:hAnsi="Calibri"/>
          <w:color w:val="auto"/>
          <w:sz w:val="22"/>
        </w:rPr>
        <w:t xml:space="preserve"> </w:t>
      </w:r>
      <w:r w:rsidR="00680FA7" w:rsidRPr="00680FA7">
        <w:rPr>
          <w:rFonts w:ascii="Calibri" w:hAnsi="Calibri"/>
          <w:color w:val="auto"/>
          <w:sz w:val="22"/>
        </w:rPr>
        <w:t xml:space="preserve">added at </w:t>
      </w:r>
      <w:r w:rsidRPr="00680FA7">
        <w:rPr>
          <w:rFonts w:asciiTheme="minorHAnsi" w:hAnsiTheme="minorHAnsi"/>
          <w:color w:val="auto"/>
          <w:sz w:val="22"/>
        </w:rPr>
        <w:t>60% effective 20030721</w:t>
      </w:r>
      <w:r w:rsidR="0096605F" w:rsidRPr="00680FA7">
        <w:rPr>
          <w:rFonts w:asciiTheme="minorHAnsi" w:hAnsiTheme="minorHAnsi"/>
          <w:color w:val="auto"/>
          <w:sz w:val="22"/>
        </w:rPr>
        <w:t xml:space="preserve"> </w:t>
      </w:r>
      <w:r w:rsidR="00DD35F3">
        <w:rPr>
          <w:rFonts w:asciiTheme="minorHAnsi" w:hAnsiTheme="minorHAnsi"/>
          <w:color w:val="auto"/>
          <w:sz w:val="22"/>
        </w:rPr>
        <w:t xml:space="preserve">(combined 70%) </w:t>
      </w:r>
      <w:r w:rsidR="00680FA7" w:rsidRPr="00680FA7">
        <w:rPr>
          <w:rFonts w:asciiTheme="minorHAnsi" w:hAnsiTheme="minorHAnsi"/>
          <w:color w:val="auto"/>
          <w:sz w:val="22"/>
        </w:rPr>
        <w:t xml:space="preserve">with </w:t>
      </w:r>
      <w:r w:rsidR="0096605F" w:rsidRPr="00680FA7">
        <w:rPr>
          <w:rFonts w:asciiTheme="minorHAnsi" w:hAnsiTheme="minorHAnsi"/>
          <w:color w:val="auto"/>
          <w:sz w:val="22"/>
        </w:rPr>
        <w:t xml:space="preserve">later </w:t>
      </w:r>
      <w:r w:rsidR="00680FA7" w:rsidRPr="00680FA7">
        <w:rPr>
          <w:rFonts w:asciiTheme="minorHAnsi" w:hAnsiTheme="minorHAnsi"/>
          <w:color w:val="auto"/>
          <w:sz w:val="22"/>
        </w:rPr>
        <w:t xml:space="preserve">changes </w:t>
      </w:r>
    </w:p>
    <w:p w:rsidR="00A90D55" w:rsidRPr="0096605F" w:rsidRDefault="008B5D31" w:rsidP="00875F2D">
      <w:pPr>
        <w:tabs>
          <w:tab w:val="left" w:pos="288"/>
          <w:tab w:val="left" w:pos="4752"/>
        </w:tabs>
        <w:spacing w:line="240" w:lineRule="exact"/>
        <w:jc w:val="both"/>
        <w:rPr>
          <w:color w:val="auto"/>
        </w:rPr>
      </w:pPr>
      <w:r w:rsidRPr="0096605F">
        <w:rPr>
          <w:color w:val="auto"/>
          <w:u w:val="single"/>
        </w:rPr>
        <w:t>_____________________________________________________________</w:t>
      </w:r>
      <w:r w:rsidR="008E5870">
        <w:rPr>
          <w:color w:val="auto"/>
          <w:u w:val="single"/>
        </w:rPr>
        <w:t>__</w:t>
      </w:r>
      <w:r w:rsidRPr="0096605F">
        <w:rPr>
          <w:color w:val="auto"/>
          <w:u w:val="single"/>
        </w:rPr>
        <w:t>_</w:t>
      </w:r>
    </w:p>
    <w:p w:rsidR="00A90D55" w:rsidRPr="0096605F" w:rsidRDefault="00A90D55" w:rsidP="00875F2D">
      <w:pPr>
        <w:tabs>
          <w:tab w:val="left" w:pos="288"/>
          <w:tab w:val="left" w:pos="4752"/>
        </w:tabs>
        <w:spacing w:line="240" w:lineRule="exact"/>
        <w:jc w:val="both"/>
        <w:rPr>
          <w:color w:val="auto"/>
        </w:rPr>
      </w:pPr>
    </w:p>
    <w:p w:rsidR="002C6E5B" w:rsidRPr="00542C9A" w:rsidRDefault="002C6E5B" w:rsidP="008E5870">
      <w:pPr>
        <w:tabs>
          <w:tab w:val="left" w:pos="288"/>
          <w:tab w:val="left" w:pos="4752"/>
        </w:tabs>
        <w:spacing w:line="240" w:lineRule="exact"/>
        <w:jc w:val="both"/>
        <w:rPr>
          <w:rFonts w:asciiTheme="minorHAnsi" w:hAnsiTheme="minorHAnsi"/>
          <w:color w:val="auto"/>
          <w:szCs w:val="24"/>
        </w:rPr>
      </w:pPr>
      <w:r w:rsidRPr="0096605F">
        <w:rPr>
          <w:rFonts w:asciiTheme="minorHAnsi" w:hAnsiTheme="minorHAnsi"/>
          <w:color w:val="auto"/>
          <w:szCs w:val="24"/>
          <w:u w:val="single"/>
        </w:rPr>
        <w:t>ANALYSIS SUMMARY</w:t>
      </w:r>
      <w:r w:rsidRPr="0096605F">
        <w:rPr>
          <w:rFonts w:asciiTheme="minorHAnsi" w:hAnsiTheme="minorHAnsi"/>
          <w:color w:val="auto"/>
          <w:szCs w:val="24"/>
        </w:rPr>
        <w:t>:</w:t>
      </w:r>
      <w:r w:rsidR="00F02B8F" w:rsidRPr="0096605F">
        <w:rPr>
          <w:rFonts w:asciiTheme="minorHAnsi" w:hAnsiTheme="minorHAnsi"/>
          <w:color w:val="auto"/>
          <w:szCs w:val="24"/>
        </w:rPr>
        <w:t xml:space="preserve">  The Board acknowledges the sentiment expressed in the CI’s application, i.e., that there should be additional disability assigned for his </w:t>
      </w:r>
      <w:r w:rsidR="00061EC2" w:rsidRPr="0096605F">
        <w:rPr>
          <w:rFonts w:asciiTheme="minorHAnsi" w:hAnsiTheme="minorHAnsi"/>
          <w:color w:val="auto"/>
          <w:szCs w:val="24"/>
        </w:rPr>
        <w:t xml:space="preserve">hypertension and hyperthyroid </w:t>
      </w:r>
      <w:r w:rsidR="00F02B8F" w:rsidRPr="0096605F">
        <w:rPr>
          <w:rFonts w:asciiTheme="minorHAnsi" w:hAnsiTheme="minorHAnsi"/>
          <w:color w:val="auto"/>
          <w:szCs w:val="24"/>
        </w:rPr>
        <w:t>condition</w:t>
      </w:r>
      <w:r w:rsidR="00061EC2" w:rsidRPr="0096605F">
        <w:rPr>
          <w:rFonts w:asciiTheme="minorHAnsi" w:hAnsiTheme="minorHAnsi"/>
          <w:color w:val="auto"/>
          <w:szCs w:val="24"/>
        </w:rPr>
        <w:t>s</w:t>
      </w:r>
      <w:r w:rsidR="00F02B8F" w:rsidRPr="0096605F">
        <w:rPr>
          <w:rFonts w:asciiTheme="minorHAnsi" w:hAnsiTheme="minorHAnsi"/>
          <w:color w:val="auto"/>
          <w:szCs w:val="24"/>
        </w:rPr>
        <w:t xml:space="preserve"> and for the significant impairment from his service</w:t>
      </w:r>
      <w:r w:rsidR="00891948">
        <w:rPr>
          <w:rFonts w:asciiTheme="minorHAnsi" w:hAnsiTheme="minorHAnsi"/>
          <w:color w:val="auto"/>
          <w:szCs w:val="24"/>
        </w:rPr>
        <w:t xml:space="preserve"> </w:t>
      </w:r>
      <w:r w:rsidR="00F02B8F" w:rsidRPr="0096605F">
        <w:rPr>
          <w:rFonts w:asciiTheme="minorHAnsi" w:hAnsiTheme="minorHAnsi"/>
          <w:color w:val="auto"/>
          <w:szCs w:val="24"/>
        </w:rPr>
        <w:t>incurred musculoskeletal conditions which have worsened over time.  It is a fact, however, that the DES has neither the role nor the authority to compensate service members for anticipated future severity or potential complications of conditions incurred in service or resulting in medical separation.  This role and authority is granted by Congress to the Veterans Administration.  The Board’s author</w:t>
      </w:r>
      <w:r w:rsidR="00F02B8F" w:rsidRPr="00A83B11">
        <w:rPr>
          <w:rFonts w:asciiTheme="minorHAnsi" w:hAnsiTheme="minorHAnsi"/>
          <w:color w:val="auto"/>
          <w:szCs w:val="24"/>
        </w:rPr>
        <w:t xml:space="preserve">ity resides in evaluating the fairness of DES fitness decisions and rating determinations for disability at the time of </w:t>
      </w:r>
      <w:r w:rsidR="00A83B11" w:rsidRPr="00A83B11">
        <w:rPr>
          <w:rFonts w:asciiTheme="minorHAnsi" w:hAnsiTheme="minorHAnsi"/>
          <w:color w:val="auto"/>
          <w:szCs w:val="24"/>
        </w:rPr>
        <w:t>separation</w:t>
      </w:r>
      <w:r w:rsidR="00F02B8F" w:rsidRPr="00A83B11">
        <w:rPr>
          <w:rFonts w:asciiTheme="minorHAnsi" w:hAnsiTheme="minorHAnsi"/>
          <w:color w:val="auto"/>
          <w:szCs w:val="24"/>
        </w:rPr>
        <w:t>.</w:t>
      </w:r>
      <w:r w:rsidR="00E11365">
        <w:rPr>
          <w:rFonts w:asciiTheme="minorHAnsi" w:hAnsiTheme="minorHAnsi"/>
          <w:color w:val="auto"/>
          <w:szCs w:val="24"/>
        </w:rPr>
        <w:t xml:space="preserve">  </w:t>
      </w:r>
      <w:r w:rsidR="00E11365" w:rsidRPr="008E5870">
        <w:rPr>
          <w:rFonts w:asciiTheme="minorHAnsi" w:hAnsiTheme="minorHAnsi"/>
          <w:color w:val="auto"/>
          <w:szCs w:val="24"/>
        </w:rPr>
        <w:t xml:space="preserve">The Board also notes that there was not a separate entry for an exam for the MEB other than in the </w:t>
      </w:r>
      <w:r w:rsidR="00891948">
        <w:rPr>
          <w:rFonts w:asciiTheme="minorHAnsi" w:hAnsiTheme="minorHAnsi"/>
          <w:color w:val="auto"/>
          <w:szCs w:val="24"/>
        </w:rPr>
        <w:t>narrative summary (</w:t>
      </w:r>
      <w:r w:rsidR="00E11365" w:rsidRPr="008E5870">
        <w:rPr>
          <w:rFonts w:asciiTheme="minorHAnsi" w:hAnsiTheme="minorHAnsi"/>
          <w:color w:val="auto"/>
          <w:szCs w:val="24"/>
        </w:rPr>
        <w:t>NARSUM</w:t>
      </w:r>
      <w:r w:rsidR="00891948">
        <w:rPr>
          <w:rFonts w:asciiTheme="minorHAnsi" w:hAnsiTheme="minorHAnsi"/>
          <w:color w:val="auto"/>
          <w:szCs w:val="24"/>
        </w:rPr>
        <w:t>)</w:t>
      </w:r>
      <w:r w:rsidR="00E11365" w:rsidRPr="008E5870">
        <w:rPr>
          <w:rFonts w:asciiTheme="minorHAnsi" w:hAnsiTheme="minorHAnsi"/>
          <w:color w:val="auto"/>
          <w:szCs w:val="24"/>
        </w:rPr>
        <w:t xml:space="preserve">.  While a separation exam was scheduled, there is no record that it was accomplished.  There is an </w:t>
      </w:r>
      <w:r w:rsidR="00E11365" w:rsidRPr="008E5870">
        <w:rPr>
          <w:rFonts w:asciiTheme="minorHAnsi" w:hAnsiTheme="minorHAnsi"/>
          <w:color w:val="auto"/>
          <w:szCs w:val="24"/>
        </w:rPr>
        <w:lastRenderedPageBreak/>
        <w:t>undated note (prob</w:t>
      </w:r>
      <w:r w:rsidR="00891948">
        <w:rPr>
          <w:rFonts w:asciiTheme="minorHAnsi" w:hAnsiTheme="minorHAnsi"/>
          <w:color w:val="auto"/>
          <w:szCs w:val="24"/>
        </w:rPr>
        <w:t>ably</w:t>
      </w:r>
      <w:r w:rsidR="00E11365" w:rsidRPr="008E5870">
        <w:rPr>
          <w:rFonts w:asciiTheme="minorHAnsi" w:hAnsiTheme="minorHAnsi"/>
          <w:color w:val="auto"/>
          <w:szCs w:val="24"/>
        </w:rPr>
        <w:t xml:space="preserve"> o/a </w:t>
      </w:r>
      <w:r w:rsidR="00891948">
        <w:rPr>
          <w:rFonts w:asciiTheme="minorHAnsi" w:hAnsiTheme="minorHAnsi"/>
          <w:color w:val="auto"/>
          <w:szCs w:val="24"/>
        </w:rPr>
        <w:t xml:space="preserve">14 August </w:t>
      </w:r>
      <w:r w:rsidR="00E11365" w:rsidRPr="008E5870">
        <w:rPr>
          <w:rFonts w:asciiTheme="minorHAnsi" w:hAnsiTheme="minorHAnsi"/>
          <w:color w:val="auto"/>
          <w:szCs w:val="24"/>
        </w:rPr>
        <w:t>2001, a week prior to the appointment) indicating that the CI was clear for separation.</w:t>
      </w:r>
      <w:r w:rsidR="00E11365">
        <w:rPr>
          <w:rFonts w:asciiTheme="minorHAnsi" w:hAnsiTheme="minorHAnsi"/>
          <w:color w:val="auto"/>
          <w:szCs w:val="24"/>
        </w:rPr>
        <w:t xml:space="preserve">  </w:t>
      </w:r>
    </w:p>
    <w:p w:rsidR="00370535" w:rsidRDefault="00370535" w:rsidP="001D3693">
      <w:pPr>
        <w:tabs>
          <w:tab w:val="left" w:pos="288"/>
          <w:tab w:val="left" w:pos="4752"/>
        </w:tabs>
        <w:spacing w:line="240" w:lineRule="exact"/>
        <w:rPr>
          <w:rFonts w:asciiTheme="minorHAnsi" w:hAnsiTheme="minorHAnsi"/>
          <w:color w:val="auto"/>
          <w:szCs w:val="24"/>
          <w:u w:val="single"/>
        </w:rPr>
      </w:pPr>
    </w:p>
    <w:p w:rsidR="0040779C" w:rsidRDefault="004950A4" w:rsidP="0040779C">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Bilateral Chronic Knee Pain</w:t>
      </w:r>
      <w:r>
        <w:rPr>
          <w:rFonts w:asciiTheme="minorHAnsi" w:hAnsiTheme="minorHAnsi"/>
          <w:color w:val="auto"/>
          <w:szCs w:val="24"/>
        </w:rPr>
        <w:t>.</w:t>
      </w:r>
      <w:proofErr w:type="gramEnd"/>
      <w:r>
        <w:rPr>
          <w:rFonts w:asciiTheme="minorHAnsi" w:hAnsiTheme="minorHAnsi"/>
          <w:color w:val="auto"/>
          <w:szCs w:val="24"/>
        </w:rPr>
        <w:t xml:space="preserve">  This was the </w:t>
      </w:r>
      <w:r w:rsidRPr="008E5870">
        <w:rPr>
          <w:rFonts w:asciiTheme="minorHAnsi" w:hAnsiTheme="minorHAnsi"/>
          <w:color w:val="auto"/>
          <w:szCs w:val="24"/>
        </w:rPr>
        <w:t xml:space="preserve">single unfitting diagnosis for separation.  </w:t>
      </w:r>
      <w:r w:rsidR="00F3053F" w:rsidRPr="008E5870">
        <w:rPr>
          <w:rFonts w:asciiTheme="minorHAnsi" w:hAnsiTheme="minorHAnsi"/>
          <w:color w:val="auto"/>
          <w:szCs w:val="24"/>
        </w:rPr>
        <w:t xml:space="preserve">The CI denied any history of trauma to his knees.  </w:t>
      </w:r>
      <w:r w:rsidRPr="008E5870">
        <w:rPr>
          <w:rFonts w:asciiTheme="minorHAnsi" w:hAnsiTheme="minorHAnsi"/>
          <w:color w:val="auto"/>
          <w:szCs w:val="24"/>
        </w:rPr>
        <w:t xml:space="preserve">At the MEB </w:t>
      </w:r>
      <w:r w:rsidR="00DD35F3" w:rsidRPr="008E5870">
        <w:rPr>
          <w:rFonts w:asciiTheme="minorHAnsi" w:hAnsiTheme="minorHAnsi"/>
          <w:color w:val="auto"/>
          <w:szCs w:val="24"/>
        </w:rPr>
        <w:t>e</w:t>
      </w:r>
      <w:r w:rsidRPr="008E5870">
        <w:rPr>
          <w:rFonts w:asciiTheme="minorHAnsi" w:hAnsiTheme="minorHAnsi"/>
          <w:color w:val="auto"/>
          <w:szCs w:val="24"/>
        </w:rPr>
        <w:t xml:space="preserve">xam, seven months prior to separation, the CI denied any locking, clicking or giving way.  He complained of bilateral anterior knee pain, left </w:t>
      </w:r>
      <w:r w:rsidR="00E11365" w:rsidRPr="008E5870">
        <w:rPr>
          <w:rFonts w:asciiTheme="minorHAnsi" w:hAnsiTheme="minorHAnsi"/>
          <w:color w:val="auto"/>
          <w:szCs w:val="24"/>
        </w:rPr>
        <w:t>worse</w:t>
      </w:r>
      <w:r w:rsidRPr="008E5870">
        <w:rPr>
          <w:rFonts w:asciiTheme="minorHAnsi" w:hAnsiTheme="minorHAnsi"/>
          <w:color w:val="auto"/>
          <w:szCs w:val="24"/>
        </w:rPr>
        <w:t xml:space="preserve"> than right, aggravated by stair climbing, sitting in a cramped environment and after vigorous activity.  Conservative management with anti-inflammatory medications, glucosamine </w:t>
      </w:r>
      <w:proofErr w:type="spellStart"/>
      <w:r w:rsidRPr="008E5870">
        <w:rPr>
          <w:rFonts w:asciiTheme="minorHAnsi" w:hAnsiTheme="minorHAnsi"/>
          <w:color w:val="auto"/>
          <w:szCs w:val="24"/>
        </w:rPr>
        <w:t>chondroitin</w:t>
      </w:r>
      <w:proofErr w:type="spellEnd"/>
      <w:r w:rsidRPr="008E5870">
        <w:rPr>
          <w:rFonts w:asciiTheme="minorHAnsi" w:hAnsiTheme="minorHAnsi"/>
          <w:color w:val="auto"/>
          <w:szCs w:val="24"/>
        </w:rPr>
        <w:t xml:space="preserve">, activity modification, physical therapy (PT) and knee sleeves was inadequate.  He was noted to have </w:t>
      </w:r>
      <w:r w:rsidR="00A83B11" w:rsidRPr="008E5870">
        <w:rPr>
          <w:rFonts w:asciiTheme="minorHAnsi" w:hAnsiTheme="minorHAnsi"/>
          <w:color w:val="auto"/>
          <w:szCs w:val="24"/>
        </w:rPr>
        <w:t>no swelling, flexion to 130 degrees on range</w:t>
      </w:r>
      <w:r w:rsidR="00A83B11">
        <w:rPr>
          <w:rFonts w:asciiTheme="minorHAnsi" w:hAnsiTheme="minorHAnsi"/>
          <w:color w:val="auto"/>
          <w:szCs w:val="24"/>
        </w:rPr>
        <w:t xml:space="preserve"> of motion</w:t>
      </w:r>
      <w:r w:rsidR="00F3053F">
        <w:rPr>
          <w:rFonts w:asciiTheme="minorHAnsi" w:hAnsiTheme="minorHAnsi"/>
          <w:color w:val="auto"/>
          <w:szCs w:val="24"/>
        </w:rPr>
        <w:t xml:space="preserve"> (ROM) </w:t>
      </w:r>
      <w:r w:rsidR="00A83B11">
        <w:rPr>
          <w:rFonts w:asciiTheme="minorHAnsi" w:hAnsiTheme="minorHAnsi"/>
          <w:color w:val="auto"/>
          <w:szCs w:val="24"/>
        </w:rPr>
        <w:t xml:space="preserve">testing, no joint line tenderness, </w:t>
      </w:r>
      <w:r w:rsidR="00891948">
        <w:rPr>
          <w:rFonts w:asciiTheme="minorHAnsi" w:hAnsiTheme="minorHAnsi"/>
          <w:color w:val="auto"/>
          <w:szCs w:val="24"/>
        </w:rPr>
        <w:t xml:space="preserve">and </w:t>
      </w:r>
      <w:r w:rsidR="00A83B11">
        <w:rPr>
          <w:rFonts w:asciiTheme="minorHAnsi" w:hAnsiTheme="minorHAnsi"/>
          <w:color w:val="auto"/>
          <w:szCs w:val="24"/>
        </w:rPr>
        <w:t>neg</w:t>
      </w:r>
      <w:r w:rsidR="00891948">
        <w:rPr>
          <w:rFonts w:asciiTheme="minorHAnsi" w:hAnsiTheme="minorHAnsi"/>
          <w:color w:val="auto"/>
          <w:szCs w:val="24"/>
        </w:rPr>
        <w:t>ative</w:t>
      </w:r>
      <w:r w:rsidR="00A83B11">
        <w:rPr>
          <w:rFonts w:asciiTheme="minorHAnsi" w:hAnsiTheme="minorHAnsi"/>
          <w:color w:val="auto"/>
          <w:szCs w:val="24"/>
        </w:rPr>
        <w:t xml:space="preserve"> </w:t>
      </w:r>
      <w:proofErr w:type="spellStart"/>
      <w:r w:rsidR="00A83B11">
        <w:rPr>
          <w:rFonts w:asciiTheme="minorHAnsi" w:hAnsiTheme="minorHAnsi"/>
          <w:color w:val="auto"/>
          <w:szCs w:val="24"/>
        </w:rPr>
        <w:t>McMurrays</w:t>
      </w:r>
      <w:proofErr w:type="spellEnd"/>
      <w:r w:rsidR="00A83B11">
        <w:rPr>
          <w:rFonts w:asciiTheme="minorHAnsi" w:hAnsiTheme="minorHAnsi"/>
          <w:color w:val="auto"/>
          <w:szCs w:val="24"/>
        </w:rPr>
        <w:t xml:space="preserve">, </w:t>
      </w:r>
      <w:proofErr w:type="spellStart"/>
      <w:r w:rsidR="00A83B11">
        <w:rPr>
          <w:rFonts w:asciiTheme="minorHAnsi" w:hAnsiTheme="minorHAnsi"/>
          <w:color w:val="auto"/>
          <w:szCs w:val="24"/>
        </w:rPr>
        <w:t>Apleys</w:t>
      </w:r>
      <w:proofErr w:type="spellEnd"/>
      <w:r w:rsidR="00A83B11">
        <w:rPr>
          <w:rFonts w:asciiTheme="minorHAnsi" w:hAnsiTheme="minorHAnsi"/>
          <w:color w:val="auto"/>
          <w:szCs w:val="24"/>
        </w:rPr>
        <w:t>, ant</w:t>
      </w:r>
      <w:r w:rsidR="00891948">
        <w:rPr>
          <w:rFonts w:asciiTheme="minorHAnsi" w:hAnsiTheme="minorHAnsi"/>
          <w:color w:val="auto"/>
          <w:szCs w:val="24"/>
        </w:rPr>
        <w:t>erior and posterio</w:t>
      </w:r>
      <w:r w:rsidR="00224B22">
        <w:rPr>
          <w:rFonts w:asciiTheme="minorHAnsi" w:hAnsiTheme="minorHAnsi"/>
          <w:color w:val="auto"/>
          <w:szCs w:val="24"/>
        </w:rPr>
        <w:t>r</w:t>
      </w:r>
      <w:r w:rsidR="00A83B11">
        <w:rPr>
          <w:rFonts w:asciiTheme="minorHAnsi" w:hAnsiTheme="minorHAnsi"/>
          <w:color w:val="auto"/>
          <w:szCs w:val="24"/>
        </w:rPr>
        <w:t xml:space="preserve"> Drawers, </w:t>
      </w:r>
      <w:proofErr w:type="spellStart"/>
      <w:r w:rsidR="00A83B11">
        <w:rPr>
          <w:rFonts w:asciiTheme="minorHAnsi" w:hAnsiTheme="minorHAnsi"/>
          <w:color w:val="auto"/>
          <w:szCs w:val="24"/>
        </w:rPr>
        <w:t>Lachmans</w:t>
      </w:r>
      <w:proofErr w:type="spellEnd"/>
      <w:r w:rsidR="00A83B11">
        <w:rPr>
          <w:rFonts w:asciiTheme="minorHAnsi" w:hAnsiTheme="minorHAnsi"/>
          <w:color w:val="auto"/>
          <w:szCs w:val="24"/>
        </w:rPr>
        <w:t xml:space="preserve">, and pivot shift.  Glide and tilt were normal, but there was a </w:t>
      </w:r>
      <w:r w:rsidR="0096605F">
        <w:rPr>
          <w:rFonts w:asciiTheme="minorHAnsi" w:hAnsiTheme="minorHAnsi"/>
          <w:color w:val="auto"/>
          <w:szCs w:val="24"/>
        </w:rPr>
        <w:t>positive</w:t>
      </w:r>
      <w:r w:rsidR="00A83B11">
        <w:rPr>
          <w:rFonts w:asciiTheme="minorHAnsi" w:hAnsiTheme="minorHAnsi"/>
          <w:color w:val="auto"/>
          <w:szCs w:val="24"/>
        </w:rPr>
        <w:t xml:space="preserve"> patellar grind test, left &gt; right.  </w:t>
      </w:r>
      <w:proofErr w:type="spellStart"/>
      <w:r w:rsidR="00A83B11">
        <w:rPr>
          <w:rFonts w:asciiTheme="minorHAnsi" w:hAnsiTheme="minorHAnsi"/>
          <w:color w:val="auto"/>
          <w:szCs w:val="24"/>
        </w:rPr>
        <w:t>Valgus</w:t>
      </w:r>
      <w:proofErr w:type="spellEnd"/>
      <w:r w:rsidR="00A83B11">
        <w:rPr>
          <w:rFonts w:asciiTheme="minorHAnsi" w:hAnsiTheme="minorHAnsi"/>
          <w:color w:val="auto"/>
          <w:szCs w:val="24"/>
        </w:rPr>
        <w:t xml:space="preserve"> and </w:t>
      </w:r>
      <w:proofErr w:type="spellStart"/>
      <w:r w:rsidR="00A83B11">
        <w:rPr>
          <w:rFonts w:asciiTheme="minorHAnsi" w:hAnsiTheme="minorHAnsi"/>
          <w:color w:val="auto"/>
          <w:szCs w:val="24"/>
        </w:rPr>
        <w:t>varus</w:t>
      </w:r>
      <w:proofErr w:type="spellEnd"/>
      <w:r w:rsidR="00A83B11">
        <w:rPr>
          <w:rFonts w:asciiTheme="minorHAnsi" w:hAnsiTheme="minorHAnsi"/>
          <w:color w:val="auto"/>
          <w:szCs w:val="24"/>
        </w:rPr>
        <w:t xml:space="preserve"> stress revealed no laxity.  The quadriceps and patellar tendons showed no obvious swelling or discomfort on exam.  A previous knee </w:t>
      </w:r>
      <w:r w:rsidR="0096605F">
        <w:rPr>
          <w:rFonts w:asciiTheme="minorHAnsi" w:hAnsiTheme="minorHAnsi"/>
          <w:color w:val="auto"/>
          <w:szCs w:val="24"/>
        </w:rPr>
        <w:t>X-</w:t>
      </w:r>
      <w:r w:rsidR="00891948">
        <w:rPr>
          <w:rFonts w:asciiTheme="minorHAnsi" w:hAnsiTheme="minorHAnsi"/>
          <w:color w:val="auto"/>
          <w:szCs w:val="24"/>
        </w:rPr>
        <w:t>r</w:t>
      </w:r>
      <w:r w:rsidR="0096605F">
        <w:rPr>
          <w:rFonts w:asciiTheme="minorHAnsi" w:hAnsiTheme="minorHAnsi"/>
          <w:color w:val="auto"/>
          <w:szCs w:val="24"/>
        </w:rPr>
        <w:t xml:space="preserve">ay </w:t>
      </w:r>
      <w:r w:rsidR="00A83B11">
        <w:rPr>
          <w:rFonts w:asciiTheme="minorHAnsi" w:hAnsiTheme="minorHAnsi"/>
          <w:color w:val="auto"/>
          <w:szCs w:val="24"/>
        </w:rPr>
        <w:t>series was normal</w:t>
      </w:r>
      <w:r w:rsidR="00891948">
        <w:rPr>
          <w:rFonts w:asciiTheme="minorHAnsi" w:hAnsiTheme="minorHAnsi"/>
          <w:color w:val="auto"/>
          <w:szCs w:val="24"/>
        </w:rPr>
        <w:t>,</w:t>
      </w:r>
      <w:r w:rsidR="00733316">
        <w:rPr>
          <w:rFonts w:asciiTheme="minorHAnsi" w:hAnsiTheme="minorHAnsi"/>
          <w:color w:val="auto"/>
          <w:szCs w:val="24"/>
        </w:rPr>
        <w:t xml:space="preserve"> without any degenerative changes</w:t>
      </w:r>
      <w:r w:rsidR="00A83B11">
        <w:rPr>
          <w:rFonts w:asciiTheme="minorHAnsi" w:hAnsiTheme="minorHAnsi"/>
          <w:color w:val="auto"/>
          <w:szCs w:val="24"/>
        </w:rPr>
        <w:t xml:space="preserve">. </w:t>
      </w:r>
      <w:r w:rsidR="00891948">
        <w:rPr>
          <w:rFonts w:asciiTheme="minorHAnsi" w:hAnsiTheme="minorHAnsi"/>
          <w:color w:val="auto"/>
          <w:szCs w:val="24"/>
        </w:rPr>
        <w:t xml:space="preserve"> A magnetic resonance imaging </w:t>
      </w:r>
      <w:r w:rsidR="00733316">
        <w:rPr>
          <w:rFonts w:asciiTheme="minorHAnsi" w:hAnsiTheme="minorHAnsi"/>
          <w:color w:val="auto"/>
          <w:szCs w:val="24"/>
        </w:rPr>
        <w:t>of the left knee was formally read as negative</w:t>
      </w:r>
      <w:r w:rsidR="00891948">
        <w:rPr>
          <w:rFonts w:asciiTheme="minorHAnsi" w:hAnsiTheme="minorHAnsi"/>
          <w:color w:val="auto"/>
          <w:szCs w:val="24"/>
        </w:rPr>
        <w:t>;</w:t>
      </w:r>
      <w:r w:rsidR="00733316">
        <w:rPr>
          <w:rFonts w:asciiTheme="minorHAnsi" w:hAnsiTheme="minorHAnsi"/>
          <w:color w:val="auto"/>
          <w:szCs w:val="24"/>
        </w:rPr>
        <w:t xml:space="preserve"> however, the NARSUM indicated a civilian surgeon </w:t>
      </w:r>
      <w:r w:rsidR="00891948">
        <w:rPr>
          <w:rFonts w:asciiTheme="minorHAnsi" w:hAnsiTheme="minorHAnsi"/>
          <w:color w:val="auto"/>
          <w:szCs w:val="24"/>
        </w:rPr>
        <w:t>considered</w:t>
      </w:r>
      <w:r w:rsidR="00733316">
        <w:rPr>
          <w:rFonts w:asciiTheme="minorHAnsi" w:hAnsiTheme="minorHAnsi"/>
          <w:color w:val="auto"/>
          <w:szCs w:val="24"/>
        </w:rPr>
        <w:t xml:space="preserve"> it indicative of a small </w:t>
      </w:r>
      <w:proofErr w:type="spellStart"/>
      <w:r w:rsidR="00733316">
        <w:rPr>
          <w:rFonts w:asciiTheme="minorHAnsi" w:hAnsiTheme="minorHAnsi"/>
          <w:color w:val="auto"/>
          <w:szCs w:val="24"/>
        </w:rPr>
        <w:t>meniscal</w:t>
      </w:r>
      <w:proofErr w:type="spellEnd"/>
      <w:r w:rsidR="00733316">
        <w:rPr>
          <w:rFonts w:asciiTheme="minorHAnsi" w:hAnsiTheme="minorHAnsi"/>
          <w:color w:val="auto"/>
          <w:szCs w:val="24"/>
        </w:rPr>
        <w:t xml:space="preserve"> tear and recommended surgery (which was declined).  </w:t>
      </w:r>
      <w:r w:rsidR="00A83B11">
        <w:rPr>
          <w:rFonts w:asciiTheme="minorHAnsi" w:hAnsiTheme="minorHAnsi"/>
          <w:color w:val="auto"/>
          <w:szCs w:val="24"/>
        </w:rPr>
        <w:t>A</w:t>
      </w:r>
      <w:r w:rsidR="00DD35F3">
        <w:rPr>
          <w:rFonts w:asciiTheme="minorHAnsi" w:hAnsiTheme="minorHAnsi"/>
          <w:color w:val="auto"/>
          <w:szCs w:val="24"/>
        </w:rPr>
        <w:t xml:space="preserve">t the </w:t>
      </w:r>
      <w:r w:rsidR="00A83B11">
        <w:rPr>
          <w:rFonts w:asciiTheme="minorHAnsi" w:hAnsiTheme="minorHAnsi"/>
          <w:color w:val="auto"/>
          <w:szCs w:val="24"/>
        </w:rPr>
        <w:t xml:space="preserve">VA compensation and pension exam, </w:t>
      </w:r>
      <w:r w:rsidR="00A83B11" w:rsidRPr="008E5870">
        <w:rPr>
          <w:rFonts w:asciiTheme="minorHAnsi" w:hAnsiTheme="minorHAnsi"/>
          <w:color w:val="auto"/>
          <w:szCs w:val="24"/>
        </w:rPr>
        <w:t xml:space="preserve">done </w:t>
      </w:r>
      <w:r w:rsidR="00891948">
        <w:rPr>
          <w:rFonts w:asciiTheme="minorHAnsi" w:hAnsiTheme="minorHAnsi"/>
          <w:color w:val="auto"/>
          <w:szCs w:val="24"/>
        </w:rPr>
        <w:t xml:space="preserve">four and a half </w:t>
      </w:r>
      <w:r w:rsidR="00F3053F" w:rsidRPr="008E5870">
        <w:rPr>
          <w:rFonts w:asciiTheme="minorHAnsi" w:hAnsiTheme="minorHAnsi"/>
          <w:color w:val="auto"/>
          <w:szCs w:val="24"/>
        </w:rPr>
        <w:t>months</w:t>
      </w:r>
      <w:r w:rsidR="00F3053F">
        <w:rPr>
          <w:rFonts w:asciiTheme="minorHAnsi" w:hAnsiTheme="minorHAnsi"/>
          <w:color w:val="auto"/>
          <w:szCs w:val="24"/>
        </w:rPr>
        <w:t xml:space="preserve"> after separation, the </w:t>
      </w:r>
      <w:r w:rsidR="00224B22">
        <w:rPr>
          <w:rFonts w:asciiTheme="minorHAnsi" w:hAnsiTheme="minorHAnsi"/>
          <w:color w:val="auto"/>
          <w:szCs w:val="24"/>
        </w:rPr>
        <w:t xml:space="preserve">findings were </w:t>
      </w:r>
      <w:r w:rsidR="00F3053F">
        <w:rPr>
          <w:rFonts w:asciiTheme="minorHAnsi" w:hAnsiTheme="minorHAnsi"/>
          <w:color w:val="auto"/>
          <w:szCs w:val="24"/>
        </w:rPr>
        <w:t>essentially unchanged</w:t>
      </w:r>
      <w:r w:rsidR="00891948">
        <w:rPr>
          <w:rFonts w:asciiTheme="minorHAnsi" w:hAnsiTheme="minorHAnsi"/>
          <w:color w:val="auto"/>
          <w:szCs w:val="24"/>
        </w:rPr>
        <w:t>,</w:t>
      </w:r>
      <w:r w:rsidR="00F3053F">
        <w:rPr>
          <w:rFonts w:asciiTheme="minorHAnsi" w:hAnsiTheme="minorHAnsi"/>
          <w:color w:val="auto"/>
          <w:szCs w:val="24"/>
        </w:rPr>
        <w:t xml:space="preserve"> except for a slightly positive anterior Drawers </w:t>
      </w:r>
      <w:r w:rsidR="00DD35F3">
        <w:rPr>
          <w:rFonts w:asciiTheme="minorHAnsi" w:hAnsiTheme="minorHAnsi"/>
          <w:color w:val="auto"/>
          <w:szCs w:val="24"/>
        </w:rPr>
        <w:t xml:space="preserve">test </w:t>
      </w:r>
      <w:r w:rsidR="00F3053F">
        <w:rPr>
          <w:rFonts w:asciiTheme="minorHAnsi" w:hAnsiTheme="minorHAnsi"/>
          <w:color w:val="auto"/>
          <w:szCs w:val="24"/>
        </w:rPr>
        <w:t xml:space="preserve">on the left.  No </w:t>
      </w:r>
      <w:r w:rsidR="00224B22">
        <w:rPr>
          <w:rFonts w:asciiTheme="minorHAnsi" w:hAnsiTheme="minorHAnsi"/>
          <w:color w:val="auto"/>
          <w:szCs w:val="24"/>
        </w:rPr>
        <w:t>ROM</w:t>
      </w:r>
      <w:r w:rsidR="00891948">
        <w:rPr>
          <w:rFonts w:asciiTheme="minorHAnsi" w:hAnsiTheme="minorHAnsi"/>
          <w:color w:val="auto"/>
          <w:szCs w:val="24"/>
        </w:rPr>
        <w:t xml:space="preserve"> </w:t>
      </w:r>
      <w:r w:rsidR="00F3053F">
        <w:rPr>
          <w:rFonts w:asciiTheme="minorHAnsi" w:hAnsiTheme="minorHAnsi"/>
          <w:color w:val="auto"/>
          <w:szCs w:val="24"/>
        </w:rPr>
        <w:t>was provided.  While the PEB and VA coded the knees differently, 5003-5299 and 5299-</w:t>
      </w:r>
      <w:r w:rsidR="0040779C">
        <w:rPr>
          <w:rFonts w:asciiTheme="minorHAnsi" w:hAnsiTheme="minorHAnsi"/>
          <w:color w:val="auto"/>
          <w:szCs w:val="24"/>
        </w:rPr>
        <w:t xml:space="preserve">5257, and the VA rated them separately, the combined 10% rating was identical.  Both were analogous codes.  </w:t>
      </w:r>
      <w:r w:rsidR="0040779C">
        <w:rPr>
          <w:rFonts w:asciiTheme="minorHAnsi" w:eastAsiaTheme="minorHAnsi" w:hAnsiTheme="minorHAnsi"/>
          <w:color w:val="auto"/>
          <w:szCs w:val="24"/>
        </w:rPr>
        <w:t xml:space="preserve">In the matter of the bilateral chronic knee pain condition, </w:t>
      </w:r>
      <w:r w:rsidR="0040779C" w:rsidRPr="00AE3316">
        <w:rPr>
          <w:rFonts w:asciiTheme="minorHAnsi" w:eastAsiaTheme="minorHAnsi" w:hAnsiTheme="minorHAnsi"/>
          <w:color w:val="auto"/>
          <w:szCs w:val="24"/>
        </w:rPr>
        <w:t>the Board recommends</w:t>
      </w:r>
      <w:r w:rsidR="0040779C">
        <w:rPr>
          <w:rFonts w:asciiTheme="minorHAnsi" w:eastAsiaTheme="minorHAnsi" w:hAnsiTheme="minorHAnsi"/>
          <w:color w:val="auto"/>
          <w:szCs w:val="24"/>
        </w:rPr>
        <w:t xml:space="preserve"> that it be rated for two separate unfitting conditions</w:t>
      </w:r>
      <w:r w:rsidR="00733316">
        <w:rPr>
          <w:rFonts w:asciiTheme="minorHAnsi" w:eastAsiaTheme="minorHAnsi" w:hAnsiTheme="minorHAnsi"/>
          <w:color w:val="auto"/>
          <w:szCs w:val="24"/>
        </w:rPr>
        <w:t>,</w:t>
      </w:r>
      <w:r w:rsidR="0040779C">
        <w:rPr>
          <w:rFonts w:asciiTheme="minorHAnsi" w:eastAsiaTheme="minorHAnsi" w:hAnsiTheme="minorHAnsi"/>
          <w:color w:val="auto"/>
          <w:szCs w:val="24"/>
        </w:rPr>
        <w:t xml:space="preserve"> </w:t>
      </w:r>
      <w:r w:rsidR="00733316">
        <w:rPr>
          <w:rFonts w:asciiTheme="minorHAnsi" w:eastAsiaTheme="minorHAnsi" w:hAnsiTheme="minorHAnsi"/>
          <w:color w:val="auto"/>
          <w:szCs w:val="24"/>
        </w:rPr>
        <w:t xml:space="preserve">with consideration of </w:t>
      </w:r>
      <w:r w:rsidR="00224B22">
        <w:rPr>
          <w:rFonts w:asciiTheme="minorHAnsi" w:eastAsiaTheme="minorHAnsi" w:hAnsiTheme="minorHAnsi"/>
          <w:color w:val="auto"/>
          <w:szCs w:val="24"/>
        </w:rPr>
        <w:t xml:space="preserve">the </w:t>
      </w:r>
      <w:r w:rsidR="00224B22">
        <w:rPr>
          <w:rFonts w:asciiTheme="minorHAnsi" w:hAnsiTheme="minorHAnsi"/>
          <w:color w:val="auto"/>
          <w:szCs w:val="24"/>
        </w:rPr>
        <w:t>VA Schedule for Rating Disabilities (</w:t>
      </w:r>
      <w:r w:rsidR="00224B22" w:rsidRPr="008E5870">
        <w:rPr>
          <w:rFonts w:asciiTheme="minorHAnsi" w:hAnsiTheme="minorHAnsi"/>
          <w:color w:val="auto"/>
          <w:szCs w:val="24"/>
        </w:rPr>
        <w:t>VASRD</w:t>
      </w:r>
      <w:r w:rsidR="00224B22">
        <w:rPr>
          <w:rFonts w:asciiTheme="minorHAnsi" w:hAnsiTheme="minorHAnsi"/>
          <w:color w:val="auto"/>
          <w:szCs w:val="24"/>
        </w:rPr>
        <w:t>)</w:t>
      </w:r>
      <w:r w:rsidR="00224B22" w:rsidRPr="008E5870">
        <w:rPr>
          <w:rFonts w:asciiTheme="minorHAnsi" w:hAnsiTheme="minorHAnsi"/>
          <w:color w:val="auto"/>
          <w:szCs w:val="24"/>
        </w:rPr>
        <w:t xml:space="preserve"> </w:t>
      </w:r>
      <w:r w:rsidR="00733316">
        <w:rPr>
          <w:rFonts w:asciiTheme="minorHAnsi" w:hAnsiTheme="minorHAnsi"/>
          <w:color w:val="auto"/>
          <w:szCs w:val="24"/>
        </w:rPr>
        <w:t>§</w:t>
      </w:r>
      <w:r w:rsidR="00733316">
        <w:rPr>
          <w:rFonts w:asciiTheme="minorHAnsi" w:eastAsiaTheme="minorHAnsi" w:hAnsiTheme="minorHAnsi"/>
          <w:color w:val="auto"/>
          <w:szCs w:val="24"/>
        </w:rPr>
        <w:t xml:space="preserve">4.3 (reasonable doubt) and </w:t>
      </w:r>
      <w:r w:rsidR="00733316" w:rsidRPr="00733316">
        <w:rPr>
          <w:rFonts w:asciiTheme="minorHAnsi" w:eastAsiaTheme="minorHAnsi" w:hAnsiTheme="minorHAnsi"/>
          <w:color w:val="auto"/>
          <w:szCs w:val="24"/>
        </w:rPr>
        <w:t xml:space="preserve">conceding </w:t>
      </w:r>
      <w:r w:rsidR="00224B22">
        <w:rPr>
          <w:rFonts w:asciiTheme="minorHAnsi" w:eastAsiaTheme="minorHAnsi" w:hAnsiTheme="minorHAnsi"/>
          <w:color w:val="auto"/>
          <w:szCs w:val="24"/>
        </w:rPr>
        <w:t xml:space="preserve">VASRD </w:t>
      </w:r>
      <w:r w:rsidR="00733316" w:rsidRPr="00733316">
        <w:rPr>
          <w:rFonts w:asciiTheme="minorHAnsi" w:hAnsiTheme="minorHAnsi"/>
          <w:color w:val="auto"/>
          <w:szCs w:val="24"/>
        </w:rPr>
        <w:t>§4.59</w:t>
      </w:r>
      <w:r w:rsidR="00733316">
        <w:rPr>
          <w:rFonts w:asciiTheme="minorHAnsi" w:hAnsiTheme="minorHAnsi"/>
          <w:color w:val="auto"/>
          <w:szCs w:val="24"/>
        </w:rPr>
        <w:t xml:space="preserve"> (painful motion), </w:t>
      </w:r>
      <w:r w:rsidR="00733316">
        <w:rPr>
          <w:rFonts w:asciiTheme="minorHAnsi" w:eastAsiaTheme="minorHAnsi" w:hAnsiTheme="minorHAnsi"/>
          <w:color w:val="auto"/>
          <w:szCs w:val="24"/>
        </w:rPr>
        <w:t>as follows</w:t>
      </w:r>
      <w:r w:rsidR="0040779C">
        <w:rPr>
          <w:rFonts w:asciiTheme="minorHAnsi" w:eastAsiaTheme="minorHAnsi" w:hAnsiTheme="minorHAnsi"/>
          <w:color w:val="auto"/>
          <w:szCs w:val="24"/>
        </w:rPr>
        <w:t>:</w:t>
      </w:r>
      <w:r w:rsidR="008E5870">
        <w:rPr>
          <w:rFonts w:asciiTheme="minorHAnsi" w:eastAsiaTheme="minorHAnsi" w:hAnsiTheme="minorHAnsi"/>
          <w:color w:val="auto"/>
          <w:szCs w:val="24"/>
        </w:rPr>
        <w:t xml:space="preserve"> chronic left knee pain coded </w:t>
      </w:r>
      <w:r w:rsidR="0040779C">
        <w:rPr>
          <w:rFonts w:asciiTheme="minorHAnsi" w:eastAsiaTheme="minorHAnsi" w:hAnsiTheme="minorHAnsi"/>
          <w:color w:val="auto"/>
          <w:szCs w:val="24"/>
        </w:rPr>
        <w:t>5003 and rated 10% and</w:t>
      </w:r>
      <w:r w:rsidR="008E5870">
        <w:rPr>
          <w:rFonts w:asciiTheme="minorHAnsi" w:eastAsiaTheme="minorHAnsi" w:hAnsiTheme="minorHAnsi"/>
          <w:color w:val="auto"/>
          <w:szCs w:val="24"/>
        </w:rPr>
        <w:t xml:space="preserve"> chronic right knee pain coded </w:t>
      </w:r>
      <w:r w:rsidR="0040779C">
        <w:rPr>
          <w:rFonts w:asciiTheme="minorHAnsi" w:eastAsiaTheme="minorHAnsi" w:hAnsiTheme="minorHAnsi"/>
          <w:color w:val="auto"/>
          <w:szCs w:val="24"/>
        </w:rPr>
        <w:t xml:space="preserve">5003 </w:t>
      </w:r>
      <w:r w:rsidR="0040779C" w:rsidRPr="008E5870">
        <w:rPr>
          <w:rFonts w:asciiTheme="minorHAnsi" w:eastAsiaTheme="minorHAnsi" w:hAnsiTheme="minorHAnsi"/>
          <w:color w:val="auto"/>
          <w:szCs w:val="24"/>
        </w:rPr>
        <w:t xml:space="preserve">and </w:t>
      </w:r>
      <w:r w:rsidR="008E5870" w:rsidRPr="008E5870">
        <w:rPr>
          <w:rFonts w:asciiTheme="minorHAnsi" w:eastAsiaTheme="minorHAnsi" w:hAnsiTheme="minorHAnsi"/>
          <w:color w:val="auto"/>
          <w:szCs w:val="24"/>
        </w:rPr>
        <w:t xml:space="preserve">rated </w:t>
      </w:r>
      <w:r w:rsidR="0040779C" w:rsidRPr="008E5870">
        <w:rPr>
          <w:rFonts w:asciiTheme="minorHAnsi" w:eastAsiaTheme="minorHAnsi" w:hAnsiTheme="minorHAnsi"/>
          <w:color w:val="auto"/>
          <w:szCs w:val="24"/>
        </w:rPr>
        <w:t>0%</w:t>
      </w:r>
      <w:r w:rsidR="00891948">
        <w:rPr>
          <w:rFonts w:asciiTheme="minorHAnsi" w:eastAsiaTheme="minorHAnsi" w:hAnsiTheme="minorHAnsi"/>
          <w:color w:val="auto"/>
          <w:szCs w:val="24"/>
        </w:rPr>
        <w:t>,</w:t>
      </w:r>
      <w:r w:rsidR="0040779C" w:rsidRPr="008E5870">
        <w:rPr>
          <w:rFonts w:asciiTheme="minorHAnsi" w:eastAsiaTheme="minorHAnsi" w:hAnsiTheme="minorHAnsi"/>
          <w:color w:val="auto"/>
          <w:szCs w:val="24"/>
        </w:rPr>
        <w:t xml:space="preserve"> both </w:t>
      </w:r>
      <w:r w:rsidR="00224B22">
        <w:rPr>
          <w:rFonts w:asciiTheme="minorHAnsi" w:hAnsiTheme="minorHAnsi"/>
          <w:color w:val="auto"/>
          <w:szCs w:val="24"/>
        </w:rPr>
        <w:t xml:space="preserve">IAW the VASRD </w:t>
      </w:r>
      <w:r w:rsidR="0040779C" w:rsidRPr="008E5870">
        <w:rPr>
          <w:rFonts w:asciiTheme="minorHAnsi" w:hAnsiTheme="minorHAnsi"/>
          <w:color w:val="auto"/>
          <w:szCs w:val="24"/>
        </w:rPr>
        <w:t>§4.71a.</w:t>
      </w:r>
      <w:r w:rsidR="0040779C">
        <w:rPr>
          <w:rFonts w:asciiTheme="minorHAnsi" w:hAnsiTheme="minorHAnsi"/>
          <w:color w:val="auto"/>
          <w:szCs w:val="24"/>
        </w:rPr>
        <w:t xml:space="preserve">  </w:t>
      </w:r>
    </w:p>
    <w:p w:rsidR="003C0780" w:rsidRDefault="003C0780" w:rsidP="001D3693">
      <w:pPr>
        <w:tabs>
          <w:tab w:val="left" w:pos="288"/>
          <w:tab w:val="left" w:pos="4752"/>
        </w:tabs>
        <w:spacing w:line="240" w:lineRule="exact"/>
        <w:rPr>
          <w:rFonts w:asciiTheme="minorHAnsi" w:hAnsiTheme="minorHAnsi"/>
          <w:color w:val="auto"/>
          <w:szCs w:val="24"/>
          <w:u w:val="single"/>
        </w:rPr>
      </w:pPr>
    </w:p>
    <w:p w:rsidR="008E5870" w:rsidRDefault="00370535" w:rsidP="00577DCE">
      <w:pPr>
        <w:spacing w:line="240" w:lineRule="exact"/>
        <w:jc w:val="both"/>
        <w:rPr>
          <w:rFonts w:asciiTheme="minorHAnsi" w:hAnsiTheme="minorHAnsi"/>
          <w:color w:val="auto"/>
          <w:szCs w:val="24"/>
        </w:rPr>
      </w:pPr>
      <w:proofErr w:type="gramStart"/>
      <w:r w:rsidRPr="008E5870">
        <w:rPr>
          <w:rFonts w:asciiTheme="minorHAnsi" w:eastAsia="HiddenHorzOCR" w:hAnsiTheme="minorHAnsi"/>
          <w:color w:val="auto"/>
          <w:szCs w:val="24"/>
          <w:u w:val="single"/>
        </w:rPr>
        <w:t>Other Contended Conditions</w:t>
      </w:r>
      <w:r w:rsidR="0040779C" w:rsidRPr="008E5870">
        <w:rPr>
          <w:rFonts w:asciiTheme="minorHAnsi" w:eastAsia="HiddenHorzOCR" w:hAnsiTheme="minorHAnsi"/>
          <w:color w:val="auto"/>
          <w:szCs w:val="24"/>
        </w:rPr>
        <w:t>.</w:t>
      </w:r>
      <w:proofErr w:type="gramEnd"/>
      <w:r w:rsidR="0040779C" w:rsidRPr="008E5870">
        <w:rPr>
          <w:rFonts w:asciiTheme="minorHAnsi" w:eastAsia="HiddenHorzOCR" w:hAnsiTheme="minorHAnsi"/>
          <w:color w:val="auto"/>
          <w:szCs w:val="24"/>
        </w:rPr>
        <w:t xml:space="preserve">  </w:t>
      </w:r>
      <w:r w:rsidRPr="008E5870">
        <w:rPr>
          <w:rFonts w:asciiTheme="minorHAnsi" w:eastAsia="HiddenHorzOCR" w:hAnsiTheme="minorHAnsi"/>
          <w:color w:val="auto"/>
          <w:szCs w:val="24"/>
        </w:rPr>
        <w:t xml:space="preserve">The CI’s application asserts that compensable ratings should be considered for </w:t>
      </w:r>
      <w:r w:rsidR="0040779C" w:rsidRPr="008E5870">
        <w:rPr>
          <w:rFonts w:asciiTheme="minorHAnsi" w:eastAsia="HiddenHorzOCR" w:hAnsiTheme="minorHAnsi"/>
          <w:color w:val="auto"/>
          <w:szCs w:val="24"/>
        </w:rPr>
        <w:t>hypertension and hyperthyroidism</w:t>
      </w:r>
      <w:r w:rsidRPr="008E5870">
        <w:rPr>
          <w:rFonts w:asciiTheme="minorHAnsi" w:eastAsia="HiddenHorzOCR" w:hAnsiTheme="minorHAnsi"/>
          <w:color w:val="auto"/>
          <w:szCs w:val="24"/>
        </w:rPr>
        <w:t xml:space="preserve">.  </w:t>
      </w:r>
      <w:r w:rsidR="00673EEF" w:rsidRPr="008E5870">
        <w:rPr>
          <w:rFonts w:asciiTheme="minorHAnsi" w:eastAsia="HiddenHorzOCR" w:hAnsiTheme="minorHAnsi"/>
          <w:color w:val="auto"/>
          <w:szCs w:val="24"/>
        </w:rPr>
        <w:t xml:space="preserve">Labile hypertension was noted in the record numerous times.  Medications were discussed, but not started as the CI was able to control his hypertension with lifestyle modification.  The blood pressure on the MEB physical was normal. </w:t>
      </w:r>
      <w:r w:rsidR="00891948">
        <w:rPr>
          <w:rFonts w:asciiTheme="minorHAnsi" w:eastAsia="HiddenHorzOCR" w:hAnsiTheme="minorHAnsi"/>
          <w:color w:val="auto"/>
          <w:szCs w:val="24"/>
        </w:rPr>
        <w:t xml:space="preserve"> </w:t>
      </w:r>
      <w:r w:rsidR="008E5870" w:rsidRPr="008E5870">
        <w:rPr>
          <w:rFonts w:asciiTheme="minorHAnsi" w:eastAsia="HiddenHorzOCR" w:hAnsiTheme="minorHAnsi"/>
          <w:color w:val="auto"/>
          <w:szCs w:val="24"/>
        </w:rPr>
        <w:t>Hyperthyroidism</w:t>
      </w:r>
      <w:r w:rsidR="008E5870" w:rsidRPr="008E5870">
        <w:rPr>
          <w:rFonts w:asciiTheme="minorHAnsi" w:hAnsiTheme="minorHAnsi"/>
          <w:color w:val="auto"/>
          <w:szCs w:val="24"/>
        </w:rPr>
        <w:t xml:space="preserve"> was not identified in the DES file.  The Board does not have the authority under DoDI 6040.44 to render fitness or rating recommendations for any conditions not considered by the DES.  However, the Board did exam</w:t>
      </w:r>
      <w:r w:rsidR="00577DCE">
        <w:rPr>
          <w:rFonts w:asciiTheme="minorHAnsi" w:hAnsiTheme="minorHAnsi"/>
          <w:color w:val="auto"/>
          <w:szCs w:val="24"/>
        </w:rPr>
        <w:t>ine</w:t>
      </w:r>
      <w:r w:rsidR="008E5870" w:rsidRPr="008E5870">
        <w:rPr>
          <w:rFonts w:asciiTheme="minorHAnsi" w:hAnsiTheme="minorHAnsi"/>
          <w:color w:val="auto"/>
          <w:szCs w:val="24"/>
        </w:rPr>
        <w:t xml:space="preserve"> the record to determine if the diagnosis was possibly missed while on active duty.  It noted that h</w:t>
      </w:r>
      <w:r w:rsidR="00673EEF" w:rsidRPr="008E5870">
        <w:rPr>
          <w:rFonts w:asciiTheme="minorHAnsi" w:eastAsia="HiddenHorzOCR" w:hAnsiTheme="minorHAnsi"/>
          <w:color w:val="auto"/>
          <w:szCs w:val="24"/>
        </w:rPr>
        <w:t>yperthyroidism was diagnosed well after separation.  Although the VA attributes an episode of anxiety to early manifestations of thyroid disease, the CI was diagnosed with a panic attack at the time and complained of being chilled (typical of hypothyroidism)</w:t>
      </w:r>
      <w:r w:rsidR="008E5870" w:rsidRPr="008E5870">
        <w:rPr>
          <w:rFonts w:asciiTheme="minorHAnsi" w:eastAsia="HiddenHorzOCR" w:hAnsiTheme="minorHAnsi"/>
          <w:color w:val="auto"/>
          <w:szCs w:val="24"/>
        </w:rPr>
        <w:t xml:space="preserve">.  On the </w:t>
      </w:r>
      <w:r w:rsidR="00673EEF" w:rsidRPr="008E5870">
        <w:rPr>
          <w:rFonts w:asciiTheme="minorHAnsi" w:eastAsia="HiddenHorzOCR" w:hAnsiTheme="minorHAnsi"/>
          <w:color w:val="auto"/>
          <w:szCs w:val="24"/>
        </w:rPr>
        <w:t xml:space="preserve">discharge exam, blood pressure, heart rate and general exam were all normal.  </w:t>
      </w:r>
      <w:r w:rsidR="008B68AE" w:rsidRPr="008E5870">
        <w:rPr>
          <w:rFonts w:asciiTheme="minorHAnsi" w:eastAsia="HiddenHorzOCR" w:hAnsiTheme="minorHAnsi"/>
          <w:color w:val="auto"/>
          <w:szCs w:val="24"/>
        </w:rPr>
        <w:t xml:space="preserve">An erythrocyte sedimentation rate was normal.  </w:t>
      </w:r>
      <w:r w:rsidR="00673EEF" w:rsidRPr="008E5870">
        <w:rPr>
          <w:rFonts w:asciiTheme="minorHAnsi" w:eastAsia="HiddenHorzOCR" w:hAnsiTheme="minorHAnsi"/>
          <w:color w:val="auto"/>
          <w:szCs w:val="24"/>
        </w:rPr>
        <w:t xml:space="preserve">The CI’s weight was stable at the time of the MEB exam (despite having been on weight management) and actually increased 28 pounds between the PEB and VA exams. </w:t>
      </w:r>
      <w:r w:rsidR="00280894" w:rsidRPr="008E5870">
        <w:rPr>
          <w:rFonts w:asciiTheme="minorHAnsi" w:eastAsia="HiddenHorzOCR" w:hAnsiTheme="minorHAnsi"/>
          <w:color w:val="auto"/>
          <w:szCs w:val="24"/>
        </w:rPr>
        <w:t xml:space="preserve"> </w:t>
      </w:r>
      <w:r w:rsidR="008E5870" w:rsidRPr="008E5870">
        <w:rPr>
          <w:rFonts w:asciiTheme="minorHAnsi" w:eastAsia="HiddenHorzOCR" w:hAnsiTheme="minorHAnsi"/>
          <w:color w:val="auto"/>
          <w:szCs w:val="24"/>
        </w:rPr>
        <w:t xml:space="preserve">The record does not support unrecognized hyperthyroidism while on active duty.  </w:t>
      </w:r>
      <w:r w:rsidR="00280894" w:rsidRPr="008E5870">
        <w:rPr>
          <w:rFonts w:asciiTheme="minorHAnsi" w:eastAsia="HiddenHorzOCR" w:hAnsiTheme="minorHAnsi"/>
          <w:color w:val="auto"/>
          <w:szCs w:val="24"/>
        </w:rPr>
        <w:t>Both</w:t>
      </w:r>
      <w:r w:rsidR="00577DCE">
        <w:t xml:space="preserve"> </w:t>
      </w:r>
      <w:r w:rsidRPr="008E5870">
        <w:rPr>
          <w:rFonts w:asciiTheme="minorHAnsi" w:hAnsiTheme="minorHAnsi"/>
          <w:color w:val="auto"/>
          <w:szCs w:val="24"/>
        </w:rPr>
        <w:t xml:space="preserve">of these conditions were reviewed by the </w:t>
      </w:r>
      <w:r w:rsidR="00891948">
        <w:rPr>
          <w:rFonts w:asciiTheme="minorHAnsi" w:hAnsiTheme="minorHAnsi"/>
          <w:color w:val="auto"/>
          <w:szCs w:val="24"/>
        </w:rPr>
        <w:t>a</w:t>
      </w:r>
      <w:r w:rsidRPr="008E5870">
        <w:rPr>
          <w:rFonts w:asciiTheme="minorHAnsi" w:hAnsiTheme="minorHAnsi"/>
          <w:color w:val="auto"/>
          <w:szCs w:val="24"/>
        </w:rPr>
        <w:t xml:space="preserve">ction </w:t>
      </w:r>
      <w:r w:rsidR="00891948">
        <w:rPr>
          <w:rFonts w:asciiTheme="minorHAnsi" w:hAnsiTheme="minorHAnsi"/>
          <w:color w:val="auto"/>
          <w:szCs w:val="24"/>
        </w:rPr>
        <w:t>o</w:t>
      </w:r>
      <w:r w:rsidRPr="008E5870">
        <w:rPr>
          <w:rFonts w:asciiTheme="minorHAnsi" w:hAnsiTheme="minorHAnsi"/>
          <w:color w:val="auto"/>
          <w:szCs w:val="24"/>
        </w:rPr>
        <w:t>fficer and considered by the Board.  There</w:t>
      </w:r>
      <w:r w:rsidRPr="00EC337D">
        <w:rPr>
          <w:rFonts w:asciiTheme="minorHAnsi" w:hAnsiTheme="minorHAnsi"/>
          <w:color w:val="auto"/>
          <w:szCs w:val="24"/>
        </w:rPr>
        <w:t xml:space="preserve"> was no evidence for concluding that </w:t>
      </w:r>
      <w:r w:rsidR="009B20CE">
        <w:rPr>
          <w:rFonts w:asciiTheme="minorHAnsi" w:hAnsiTheme="minorHAnsi"/>
          <w:color w:val="auto"/>
          <w:szCs w:val="24"/>
        </w:rPr>
        <w:t xml:space="preserve">either of these </w:t>
      </w:r>
      <w:r w:rsidRPr="00EC337D">
        <w:rPr>
          <w:rFonts w:asciiTheme="minorHAnsi" w:hAnsiTheme="minorHAnsi"/>
          <w:color w:val="auto"/>
          <w:szCs w:val="24"/>
        </w:rPr>
        <w:t>conditions interfered with duty performance to a degree that could be argued as unfitting.  The Board determined</w:t>
      </w:r>
      <w:r w:rsidR="008B68AE">
        <w:rPr>
          <w:rFonts w:asciiTheme="minorHAnsi" w:hAnsiTheme="minorHAnsi"/>
          <w:color w:val="auto"/>
          <w:szCs w:val="24"/>
        </w:rPr>
        <w:t xml:space="preserve"> </w:t>
      </w:r>
      <w:r w:rsidRPr="00EC337D">
        <w:rPr>
          <w:rFonts w:asciiTheme="minorHAnsi" w:hAnsiTheme="minorHAnsi"/>
          <w:color w:val="auto"/>
          <w:szCs w:val="24"/>
        </w:rPr>
        <w:t>that none of the stated conditions were subject to disability rating.</w:t>
      </w:r>
      <w:r w:rsidR="00AC1273">
        <w:rPr>
          <w:rFonts w:asciiTheme="minorHAnsi" w:hAnsiTheme="minorHAnsi"/>
          <w:color w:val="auto"/>
          <w:szCs w:val="24"/>
        </w:rPr>
        <w:t xml:space="preserve">  </w:t>
      </w:r>
      <w:r w:rsidR="008E5870" w:rsidRPr="009B20CE">
        <w:rPr>
          <w:rFonts w:asciiTheme="minorHAnsi" w:hAnsiTheme="minorHAnsi"/>
          <w:color w:val="auto"/>
          <w:szCs w:val="24"/>
        </w:rPr>
        <w:t>The Board therefore has no reasonable basis for recommending any additional unfitting conditions for separation rating</w:t>
      </w:r>
      <w:r w:rsidR="00FF093F">
        <w:rPr>
          <w:rFonts w:asciiTheme="minorHAnsi" w:hAnsiTheme="minorHAnsi"/>
          <w:color w:val="auto"/>
          <w:szCs w:val="24"/>
        </w:rPr>
        <w:t>.</w:t>
      </w:r>
    </w:p>
    <w:p w:rsidR="008E5870" w:rsidRDefault="008E5870" w:rsidP="0040779C">
      <w:pPr>
        <w:spacing w:line="240" w:lineRule="exact"/>
        <w:rPr>
          <w:rFonts w:asciiTheme="minorHAnsi" w:hAnsiTheme="minorHAnsi"/>
          <w:color w:val="auto"/>
          <w:szCs w:val="24"/>
        </w:rPr>
      </w:pPr>
    </w:p>
    <w:p w:rsidR="008B68AE" w:rsidRPr="00FF093F" w:rsidRDefault="00370535" w:rsidP="008B68AE">
      <w:pPr>
        <w:spacing w:line="240" w:lineRule="exact"/>
        <w:jc w:val="both"/>
        <w:rPr>
          <w:rFonts w:asciiTheme="minorHAnsi" w:hAnsiTheme="minorHAnsi"/>
          <w:color w:val="auto"/>
          <w:szCs w:val="24"/>
        </w:rPr>
      </w:pPr>
      <w:proofErr w:type="gramStart"/>
      <w:r w:rsidRPr="008E5870">
        <w:rPr>
          <w:rFonts w:asciiTheme="minorHAnsi" w:hAnsiTheme="minorHAnsi"/>
          <w:color w:val="auto"/>
          <w:szCs w:val="24"/>
          <w:u w:val="single"/>
        </w:rPr>
        <w:t>Remaining Conditions</w:t>
      </w:r>
      <w:r w:rsidRPr="008E5870">
        <w:rPr>
          <w:rFonts w:asciiTheme="minorHAnsi" w:hAnsiTheme="minorHAnsi"/>
          <w:color w:val="auto"/>
          <w:szCs w:val="24"/>
        </w:rPr>
        <w:t>.</w:t>
      </w:r>
      <w:proofErr w:type="gramEnd"/>
      <w:r w:rsidRPr="008E5870">
        <w:rPr>
          <w:rFonts w:asciiTheme="minorHAnsi" w:hAnsiTheme="minorHAnsi"/>
          <w:color w:val="auto"/>
          <w:szCs w:val="24"/>
        </w:rPr>
        <w:t xml:space="preserve"> </w:t>
      </w:r>
      <w:r w:rsidR="008B68AE" w:rsidRPr="008E5870">
        <w:rPr>
          <w:rFonts w:asciiTheme="minorHAnsi" w:hAnsiTheme="minorHAnsi"/>
          <w:color w:val="auto"/>
          <w:szCs w:val="24"/>
        </w:rPr>
        <w:t xml:space="preserve">Seasonal allergic rhinitis and recurrent left shoulder dislocation </w:t>
      </w:r>
      <w:r w:rsidR="008E5870" w:rsidRPr="008E5870">
        <w:rPr>
          <w:rFonts w:asciiTheme="minorHAnsi" w:hAnsiTheme="minorHAnsi"/>
          <w:color w:val="auto"/>
          <w:szCs w:val="24"/>
        </w:rPr>
        <w:t>were identified</w:t>
      </w:r>
      <w:r w:rsidR="008B68AE" w:rsidRPr="008E5870">
        <w:rPr>
          <w:rFonts w:asciiTheme="minorHAnsi" w:hAnsiTheme="minorHAnsi"/>
          <w:color w:val="auto"/>
          <w:szCs w:val="24"/>
        </w:rPr>
        <w:t xml:space="preserve"> in the DES file.  Neither was clinically significant during the MEB period, carried an attached profile or was implicated in the </w:t>
      </w:r>
      <w:r w:rsidR="00891948">
        <w:rPr>
          <w:rFonts w:asciiTheme="minorHAnsi" w:hAnsiTheme="minorHAnsi"/>
          <w:color w:val="auto"/>
          <w:szCs w:val="24"/>
        </w:rPr>
        <w:t>c</w:t>
      </w:r>
      <w:r w:rsidR="008B68AE" w:rsidRPr="008E5870">
        <w:rPr>
          <w:rFonts w:asciiTheme="minorHAnsi" w:hAnsiTheme="minorHAnsi"/>
          <w:color w:val="auto"/>
          <w:szCs w:val="24"/>
        </w:rPr>
        <w:t xml:space="preserve">ommander’s statement.  This was reviewed by the </w:t>
      </w:r>
      <w:r w:rsidR="00891948">
        <w:rPr>
          <w:rFonts w:asciiTheme="minorHAnsi" w:hAnsiTheme="minorHAnsi"/>
          <w:color w:val="auto"/>
          <w:szCs w:val="24"/>
        </w:rPr>
        <w:t>a</w:t>
      </w:r>
      <w:r w:rsidR="008B68AE" w:rsidRPr="008E5870">
        <w:rPr>
          <w:rFonts w:asciiTheme="minorHAnsi" w:hAnsiTheme="minorHAnsi"/>
          <w:color w:val="auto"/>
          <w:szCs w:val="24"/>
        </w:rPr>
        <w:t xml:space="preserve">ction </w:t>
      </w:r>
      <w:r w:rsidR="00891948">
        <w:rPr>
          <w:rFonts w:asciiTheme="minorHAnsi" w:hAnsiTheme="minorHAnsi"/>
          <w:color w:val="auto"/>
          <w:szCs w:val="24"/>
        </w:rPr>
        <w:t>o</w:t>
      </w:r>
      <w:r w:rsidR="008B68AE" w:rsidRPr="008E5870">
        <w:rPr>
          <w:rFonts w:asciiTheme="minorHAnsi" w:hAnsiTheme="minorHAnsi"/>
          <w:color w:val="auto"/>
          <w:szCs w:val="24"/>
        </w:rPr>
        <w:t xml:space="preserve">fficer and considered by the Board.  It was determined that </w:t>
      </w:r>
      <w:r w:rsidR="00E11365" w:rsidRPr="008E5870">
        <w:rPr>
          <w:rFonts w:asciiTheme="minorHAnsi" w:hAnsiTheme="minorHAnsi"/>
          <w:color w:val="auto"/>
          <w:szCs w:val="24"/>
        </w:rPr>
        <w:t>neither</w:t>
      </w:r>
      <w:r w:rsidR="008B68AE" w:rsidRPr="008E5870">
        <w:rPr>
          <w:rFonts w:asciiTheme="minorHAnsi" w:hAnsiTheme="minorHAnsi"/>
          <w:color w:val="auto"/>
          <w:szCs w:val="24"/>
        </w:rPr>
        <w:t xml:space="preserve"> could be argued as unfitting and subject to separation rating.  Additionally</w:t>
      </w:r>
      <w:r w:rsidR="009B20CE" w:rsidRPr="008E5870">
        <w:rPr>
          <w:rFonts w:asciiTheme="minorHAnsi" w:hAnsiTheme="minorHAnsi"/>
          <w:color w:val="auto"/>
          <w:szCs w:val="24"/>
        </w:rPr>
        <w:t>,</w:t>
      </w:r>
      <w:r w:rsidR="008B68AE" w:rsidRPr="008E5870">
        <w:rPr>
          <w:rFonts w:asciiTheme="minorHAnsi" w:hAnsiTheme="minorHAnsi"/>
          <w:color w:val="auto"/>
          <w:szCs w:val="24"/>
        </w:rPr>
        <w:t xml:space="preserve"> e</w:t>
      </w:r>
      <w:r w:rsidR="00E11365" w:rsidRPr="008E5870">
        <w:rPr>
          <w:rFonts w:asciiTheme="minorHAnsi" w:hAnsiTheme="minorHAnsi"/>
          <w:color w:val="auto"/>
          <w:szCs w:val="24"/>
        </w:rPr>
        <w:t>c</w:t>
      </w:r>
      <w:r w:rsidR="008B68AE" w:rsidRPr="008E5870">
        <w:rPr>
          <w:rFonts w:asciiTheme="minorHAnsi" w:hAnsiTheme="minorHAnsi"/>
          <w:color w:val="auto"/>
          <w:szCs w:val="24"/>
        </w:rPr>
        <w:t xml:space="preserve">zema, bilateral hip pain, </w:t>
      </w:r>
      <w:r w:rsidR="00E11365" w:rsidRPr="008E5870">
        <w:rPr>
          <w:rFonts w:asciiTheme="minorHAnsi" w:hAnsiTheme="minorHAnsi"/>
          <w:color w:val="auto"/>
          <w:szCs w:val="24"/>
        </w:rPr>
        <w:t xml:space="preserve">and </w:t>
      </w:r>
      <w:r w:rsidR="008B68AE" w:rsidRPr="008E5870">
        <w:rPr>
          <w:rFonts w:asciiTheme="minorHAnsi" w:hAnsiTheme="minorHAnsi"/>
          <w:color w:val="auto"/>
          <w:szCs w:val="24"/>
        </w:rPr>
        <w:t xml:space="preserve">bilateral foot/heel pain were noted in the VA rating decision proximal to separation, but were not </w:t>
      </w:r>
      <w:r w:rsidR="008B68AE" w:rsidRPr="008E5870">
        <w:rPr>
          <w:rFonts w:asciiTheme="minorHAnsi" w:hAnsiTheme="minorHAnsi"/>
          <w:color w:val="auto"/>
          <w:szCs w:val="24"/>
        </w:rPr>
        <w:lastRenderedPageBreak/>
        <w:t>documented in the</w:t>
      </w:r>
      <w:r w:rsidR="008B68AE" w:rsidRPr="00EC337D">
        <w:rPr>
          <w:rFonts w:asciiTheme="minorHAnsi" w:hAnsiTheme="minorHAnsi"/>
          <w:color w:val="auto"/>
          <w:szCs w:val="24"/>
        </w:rPr>
        <w:t xml:space="preserve"> DES file.  The Board does not have the authority under DoDI 6040.44 to render fitness or rating recommendations for any conditions not considered by the DES.</w:t>
      </w:r>
      <w:r w:rsidR="009B20CE">
        <w:rPr>
          <w:rFonts w:asciiTheme="minorHAnsi" w:hAnsiTheme="minorHAnsi"/>
          <w:color w:val="auto"/>
          <w:szCs w:val="24"/>
        </w:rPr>
        <w:t xml:space="preserve">  </w:t>
      </w:r>
      <w:r w:rsidR="009B20CE" w:rsidRPr="009B20CE">
        <w:rPr>
          <w:rFonts w:asciiTheme="minorHAnsi" w:hAnsiTheme="minorHAnsi"/>
          <w:color w:val="auto"/>
          <w:szCs w:val="24"/>
        </w:rPr>
        <w:t xml:space="preserve">The Board therefore has no reasonable basis for recommending any additional unfitting conditions </w:t>
      </w:r>
      <w:r w:rsidR="009B20CE" w:rsidRPr="00FF093F">
        <w:rPr>
          <w:rFonts w:asciiTheme="minorHAnsi" w:hAnsiTheme="minorHAnsi"/>
          <w:color w:val="auto"/>
          <w:szCs w:val="24"/>
        </w:rPr>
        <w:t xml:space="preserve">for separation rating.  </w:t>
      </w:r>
    </w:p>
    <w:p w:rsidR="00A90D55" w:rsidRPr="00FF093F" w:rsidRDefault="008B5D31" w:rsidP="00875F2D">
      <w:pPr>
        <w:tabs>
          <w:tab w:val="left" w:pos="288"/>
          <w:tab w:val="left" w:pos="4752"/>
        </w:tabs>
        <w:spacing w:line="240" w:lineRule="exact"/>
        <w:jc w:val="both"/>
        <w:rPr>
          <w:color w:val="auto"/>
        </w:rPr>
      </w:pPr>
      <w:r w:rsidRPr="00FF093F">
        <w:rPr>
          <w:color w:val="auto"/>
          <w:u w:val="single"/>
        </w:rPr>
        <w:t>_______________________________________________________</w:t>
      </w:r>
      <w:r w:rsidR="002402B5" w:rsidRPr="00FF093F">
        <w:rPr>
          <w:color w:val="auto"/>
          <w:u w:val="single"/>
        </w:rPr>
        <w:t>_</w:t>
      </w:r>
      <w:r w:rsidRPr="00FF093F">
        <w:rPr>
          <w:color w:val="auto"/>
          <w:u w:val="single"/>
        </w:rPr>
        <w:t>________</w:t>
      </w:r>
    </w:p>
    <w:p w:rsidR="00A90D55" w:rsidRPr="00FF093F" w:rsidRDefault="00A90D55" w:rsidP="00875F2D">
      <w:pPr>
        <w:tabs>
          <w:tab w:val="left" w:pos="288"/>
          <w:tab w:val="left" w:pos="4752"/>
        </w:tabs>
        <w:spacing w:line="240" w:lineRule="exact"/>
        <w:jc w:val="both"/>
        <w:rPr>
          <w:color w:val="auto"/>
        </w:rPr>
      </w:pPr>
    </w:p>
    <w:p w:rsidR="00E11365" w:rsidRDefault="00C56FC8" w:rsidP="00577DCE">
      <w:pPr>
        <w:spacing w:line="240" w:lineRule="exact"/>
        <w:jc w:val="both"/>
        <w:rPr>
          <w:rFonts w:asciiTheme="minorHAnsi" w:hAnsiTheme="minorHAnsi"/>
          <w:color w:val="auto"/>
          <w:szCs w:val="24"/>
        </w:rPr>
      </w:pPr>
      <w:r w:rsidRPr="00FF093F">
        <w:rPr>
          <w:rFonts w:asciiTheme="minorHAnsi" w:hAnsiTheme="minorHAnsi"/>
          <w:color w:val="auto"/>
          <w:szCs w:val="24"/>
          <w:u w:val="single"/>
        </w:rPr>
        <w:t>BOARD</w:t>
      </w:r>
      <w:r w:rsidRPr="00542C9A">
        <w:rPr>
          <w:rFonts w:asciiTheme="minorHAnsi" w:hAnsiTheme="minorHAnsi"/>
          <w:color w:val="auto"/>
          <w:szCs w:val="24"/>
          <w:u w:val="single"/>
        </w:rPr>
        <w:t xml:space="preserve">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w:t>
      </w:r>
      <w:r w:rsidRPr="00AC1273">
        <w:rPr>
          <w:rFonts w:asciiTheme="minorHAnsi" w:eastAsiaTheme="minorHAnsi" w:hAnsiTheme="minorHAnsi"/>
          <w:color w:val="auto"/>
          <w:szCs w:val="24"/>
        </w:rPr>
        <w:t xml:space="preserve">inconsistent with the VASRD in effect at the time of the adjudication. </w:t>
      </w:r>
      <w:r w:rsidR="001D68CF" w:rsidRPr="00AC1273">
        <w:rPr>
          <w:rFonts w:asciiTheme="minorHAnsi" w:eastAsiaTheme="minorHAnsi" w:hAnsiTheme="minorHAnsi"/>
          <w:color w:val="auto"/>
          <w:szCs w:val="24"/>
        </w:rPr>
        <w:t xml:space="preserve"> </w:t>
      </w:r>
      <w:r w:rsidR="00E11365" w:rsidRPr="002402B5">
        <w:rPr>
          <w:rFonts w:asciiTheme="minorHAnsi" w:eastAsiaTheme="minorHAnsi" w:hAnsiTheme="minorHAnsi"/>
          <w:color w:val="auto"/>
          <w:szCs w:val="24"/>
        </w:rPr>
        <w:t xml:space="preserve">In the matter of the bilateral chronic knee pain condition, the Board unanimously recommends </w:t>
      </w:r>
      <w:r w:rsidR="002402B5">
        <w:rPr>
          <w:rFonts w:asciiTheme="minorHAnsi" w:eastAsiaTheme="minorHAnsi" w:hAnsiTheme="minorHAnsi"/>
          <w:color w:val="auto"/>
          <w:szCs w:val="24"/>
        </w:rPr>
        <w:t>a change in the VASRD coding</w:t>
      </w:r>
      <w:r w:rsidR="00E11365" w:rsidRPr="002402B5">
        <w:rPr>
          <w:rFonts w:asciiTheme="minorHAnsi" w:eastAsiaTheme="minorHAnsi" w:hAnsiTheme="minorHAnsi"/>
          <w:color w:val="auto"/>
          <w:szCs w:val="24"/>
        </w:rPr>
        <w:t xml:space="preserve"> </w:t>
      </w:r>
      <w:r w:rsidR="002402B5" w:rsidRPr="002402B5">
        <w:rPr>
          <w:rFonts w:asciiTheme="minorHAnsi" w:hAnsiTheme="minorHAnsi"/>
          <w:color w:val="auto"/>
          <w:szCs w:val="24"/>
        </w:rPr>
        <w:t>IAW VASRD §4.71a</w:t>
      </w:r>
      <w:r w:rsidR="002402B5" w:rsidRPr="002402B5">
        <w:rPr>
          <w:rFonts w:asciiTheme="minorHAnsi" w:eastAsiaTheme="minorHAnsi" w:hAnsiTheme="minorHAnsi"/>
          <w:color w:val="auto"/>
          <w:szCs w:val="24"/>
        </w:rPr>
        <w:t xml:space="preserve"> </w:t>
      </w:r>
      <w:r w:rsidR="002402B5">
        <w:rPr>
          <w:rFonts w:asciiTheme="minorHAnsi" w:eastAsiaTheme="minorHAnsi" w:hAnsiTheme="minorHAnsi"/>
          <w:color w:val="auto"/>
          <w:szCs w:val="24"/>
        </w:rPr>
        <w:t>as follows:</w:t>
      </w:r>
      <w:r w:rsidR="00224B22">
        <w:rPr>
          <w:rFonts w:asciiTheme="minorHAnsi" w:eastAsiaTheme="minorHAnsi" w:hAnsiTheme="minorHAnsi"/>
          <w:color w:val="auto"/>
          <w:szCs w:val="24"/>
        </w:rPr>
        <w:t xml:space="preserve"> </w:t>
      </w:r>
      <w:r w:rsidR="008E5870" w:rsidRPr="002402B5">
        <w:rPr>
          <w:rFonts w:asciiTheme="minorHAnsi" w:eastAsiaTheme="minorHAnsi" w:hAnsiTheme="minorHAnsi"/>
          <w:color w:val="auto"/>
          <w:szCs w:val="24"/>
        </w:rPr>
        <w:t>chronic left knee pain coded</w:t>
      </w:r>
      <w:r w:rsidR="002402B5">
        <w:rPr>
          <w:rFonts w:asciiTheme="minorHAnsi" w:eastAsiaTheme="minorHAnsi" w:hAnsiTheme="minorHAnsi"/>
          <w:color w:val="auto"/>
          <w:szCs w:val="24"/>
        </w:rPr>
        <w:t xml:space="preserve"> </w:t>
      </w:r>
      <w:r w:rsidR="00E11365" w:rsidRPr="002402B5">
        <w:rPr>
          <w:rFonts w:asciiTheme="minorHAnsi" w:eastAsiaTheme="minorHAnsi" w:hAnsiTheme="minorHAnsi"/>
          <w:color w:val="auto"/>
          <w:szCs w:val="24"/>
        </w:rPr>
        <w:t>5003 and rated 10%</w:t>
      </w:r>
      <w:r w:rsidR="00891948">
        <w:rPr>
          <w:rFonts w:asciiTheme="minorHAnsi" w:eastAsiaTheme="minorHAnsi" w:hAnsiTheme="minorHAnsi"/>
          <w:color w:val="auto"/>
          <w:szCs w:val="24"/>
        </w:rPr>
        <w:t>,</w:t>
      </w:r>
      <w:r w:rsidR="00E11365" w:rsidRPr="002402B5">
        <w:rPr>
          <w:rFonts w:asciiTheme="minorHAnsi" w:eastAsiaTheme="minorHAnsi" w:hAnsiTheme="minorHAnsi"/>
          <w:color w:val="auto"/>
          <w:szCs w:val="24"/>
        </w:rPr>
        <w:t xml:space="preserve"> and chronic right knee pain coded </w:t>
      </w:r>
      <w:r w:rsidR="00AC1273" w:rsidRPr="002402B5">
        <w:rPr>
          <w:rFonts w:asciiTheme="minorHAnsi" w:eastAsiaTheme="minorHAnsi" w:hAnsiTheme="minorHAnsi"/>
          <w:color w:val="auto"/>
          <w:szCs w:val="24"/>
        </w:rPr>
        <w:t>5003</w:t>
      </w:r>
      <w:r w:rsidR="002402B5">
        <w:rPr>
          <w:rFonts w:asciiTheme="minorHAnsi" w:eastAsiaTheme="minorHAnsi" w:hAnsiTheme="minorHAnsi"/>
          <w:color w:val="auto"/>
          <w:szCs w:val="24"/>
        </w:rPr>
        <w:t>.</w:t>
      </w:r>
      <w:r w:rsidR="008E5870" w:rsidRPr="002402B5">
        <w:rPr>
          <w:rFonts w:asciiTheme="minorHAnsi" w:eastAsiaTheme="minorHAnsi" w:hAnsiTheme="minorHAnsi"/>
          <w:color w:val="auto"/>
          <w:szCs w:val="24"/>
        </w:rPr>
        <w:t xml:space="preserve"> </w:t>
      </w:r>
      <w:r w:rsidR="00AC1273" w:rsidRPr="002402B5">
        <w:rPr>
          <w:rFonts w:asciiTheme="minorHAnsi" w:eastAsiaTheme="minorHAnsi" w:hAnsiTheme="minorHAnsi"/>
          <w:color w:val="auto"/>
          <w:szCs w:val="24"/>
        </w:rPr>
        <w:t xml:space="preserve"> </w:t>
      </w:r>
      <w:r w:rsidR="002402B5" w:rsidRPr="002402B5">
        <w:rPr>
          <w:rFonts w:asciiTheme="minorHAnsi" w:eastAsiaTheme="minorHAnsi" w:hAnsiTheme="minorHAnsi"/>
          <w:color w:val="auto"/>
          <w:szCs w:val="24"/>
        </w:rPr>
        <w:t xml:space="preserve">By a 2:1 vote, the Board recommended rating the right knee at </w:t>
      </w:r>
      <w:r w:rsidR="002402B5">
        <w:rPr>
          <w:rFonts w:asciiTheme="minorHAnsi" w:eastAsiaTheme="minorHAnsi" w:hAnsiTheme="minorHAnsi"/>
          <w:color w:val="auto"/>
          <w:szCs w:val="24"/>
        </w:rPr>
        <w:t>0%</w:t>
      </w:r>
      <w:r w:rsidR="00E11365" w:rsidRPr="002402B5">
        <w:rPr>
          <w:rFonts w:asciiTheme="minorHAnsi" w:hAnsiTheme="minorHAnsi"/>
          <w:color w:val="auto"/>
          <w:szCs w:val="24"/>
        </w:rPr>
        <w:t>.</w:t>
      </w:r>
      <w:r w:rsidR="00AC1273" w:rsidRPr="002402B5">
        <w:rPr>
          <w:rFonts w:asciiTheme="minorHAnsi" w:hAnsiTheme="minorHAnsi"/>
          <w:color w:val="auto"/>
          <w:szCs w:val="24"/>
        </w:rPr>
        <w:t xml:space="preserve">  </w:t>
      </w:r>
      <w:r w:rsidR="002402B5" w:rsidRPr="002402B5">
        <w:rPr>
          <w:rFonts w:asciiTheme="minorHAnsi" w:hAnsiTheme="minorHAnsi"/>
          <w:color w:val="auto"/>
          <w:szCs w:val="24"/>
        </w:rPr>
        <w:t xml:space="preserve">The minority voter favored a 10% rating for the right knee, but did not submit a minority opinion.  </w:t>
      </w:r>
      <w:r w:rsidR="00FF093F">
        <w:rPr>
          <w:rFonts w:asciiTheme="minorHAnsi" w:hAnsiTheme="minorHAnsi"/>
          <w:color w:val="auto"/>
          <w:szCs w:val="24"/>
        </w:rPr>
        <w:t xml:space="preserve">The PEB combined rating of 10% is unchanged.  </w:t>
      </w:r>
      <w:r w:rsidR="009B20CE" w:rsidRPr="002402B5">
        <w:rPr>
          <w:rFonts w:asciiTheme="minorHAnsi" w:hAnsiTheme="minorHAnsi"/>
          <w:color w:val="auto"/>
          <w:szCs w:val="24"/>
        </w:rPr>
        <w:t xml:space="preserve">In the matter of the </w:t>
      </w:r>
      <w:r w:rsidR="009B20CE" w:rsidRPr="002402B5">
        <w:rPr>
          <w:rFonts w:asciiTheme="minorHAnsi" w:eastAsia="HiddenHorzOCR" w:hAnsiTheme="minorHAnsi"/>
          <w:color w:val="auto"/>
          <w:szCs w:val="24"/>
        </w:rPr>
        <w:t xml:space="preserve">hypertension, </w:t>
      </w:r>
      <w:r w:rsidR="002402B5" w:rsidRPr="002402B5">
        <w:rPr>
          <w:rFonts w:asciiTheme="minorHAnsi" w:eastAsia="HiddenHorzOCR" w:hAnsiTheme="minorHAnsi"/>
          <w:color w:val="auto"/>
          <w:szCs w:val="24"/>
        </w:rPr>
        <w:t xml:space="preserve">hyperthyroidism, </w:t>
      </w:r>
      <w:r w:rsidR="009B20CE" w:rsidRPr="002402B5">
        <w:rPr>
          <w:rFonts w:asciiTheme="minorHAnsi" w:hAnsiTheme="minorHAnsi"/>
          <w:color w:val="auto"/>
          <w:szCs w:val="24"/>
        </w:rPr>
        <w:t xml:space="preserve">seasonal allergic rhinitis and recurrent left shoulder </w:t>
      </w:r>
      <w:r w:rsidR="002402B5" w:rsidRPr="002402B5">
        <w:rPr>
          <w:rFonts w:asciiTheme="minorHAnsi" w:hAnsiTheme="minorHAnsi"/>
          <w:color w:val="auto"/>
          <w:szCs w:val="24"/>
        </w:rPr>
        <w:t xml:space="preserve">dislocation </w:t>
      </w:r>
      <w:r w:rsidR="009B20CE" w:rsidRPr="002402B5">
        <w:rPr>
          <w:rFonts w:asciiTheme="minorHAnsi" w:hAnsiTheme="minorHAnsi"/>
          <w:color w:val="auto"/>
          <w:szCs w:val="24"/>
        </w:rPr>
        <w:t>or any other medical conditions eligible for Board consideration</w:t>
      </w:r>
      <w:r w:rsidR="002402B5" w:rsidRPr="002402B5">
        <w:rPr>
          <w:rFonts w:asciiTheme="minorHAnsi" w:hAnsiTheme="minorHAnsi"/>
          <w:color w:val="auto"/>
          <w:szCs w:val="24"/>
        </w:rPr>
        <w:t xml:space="preserve">, </w:t>
      </w:r>
      <w:r w:rsidR="009B20CE" w:rsidRPr="002402B5">
        <w:rPr>
          <w:rFonts w:asciiTheme="minorHAnsi" w:hAnsiTheme="minorHAnsi"/>
          <w:color w:val="auto"/>
          <w:szCs w:val="24"/>
        </w:rPr>
        <w:t>the Board unanimously agrees that it cannot recommend any findings of unfit for additional rating at separation.</w:t>
      </w:r>
    </w:p>
    <w:p w:rsidR="00FB593A" w:rsidRPr="00AC1273" w:rsidRDefault="008B5D31" w:rsidP="00875F2D">
      <w:pPr>
        <w:tabs>
          <w:tab w:val="left" w:pos="288"/>
          <w:tab w:val="left" w:pos="4752"/>
        </w:tabs>
        <w:spacing w:line="240" w:lineRule="exact"/>
        <w:jc w:val="both"/>
        <w:rPr>
          <w:color w:val="auto"/>
        </w:rPr>
      </w:pPr>
      <w:r w:rsidRPr="00AC1273">
        <w:rPr>
          <w:color w:val="auto"/>
          <w:u w:val="single"/>
        </w:rPr>
        <w:t>___________________________________________________________</w:t>
      </w:r>
      <w:r w:rsidR="002402B5">
        <w:rPr>
          <w:color w:val="auto"/>
          <w:u w:val="single"/>
        </w:rPr>
        <w:t>_</w:t>
      </w:r>
      <w:r w:rsidRPr="00AC1273">
        <w:rPr>
          <w:color w:val="auto"/>
          <w:u w:val="single"/>
        </w:rPr>
        <w:t>____</w:t>
      </w:r>
    </w:p>
    <w:p w:rsidR="00FB593A" w:rsidRPr="00AC1273" w:rsidRDefault="00FB593A" w:rsidP="00875F2D">
      <w:pPr>
        <w:tabs>
          <w:tab w:val="left" w:pos="288"/>
          <w:tab w:val="left" w:pos="4752"/>
        </w:tabs>
        <w:spacing w:line="240" w:lineRule="exact"/>
        <w:jc w:val="both"/>
        <w:rPr>
          <w:color w:val="auto"/>
        </w:rPr>
      </w:pPr>
    </w:p>
    <w:p w:rsidR="006E2DC8" w:rsidRPr="00FF093F" w:rsidRDefault="00C56FC8" w:rsidP="0096605F">
      <w:pPr>
        <w:tabs>
          <w:tab w:val="left" w:pos="288"/>
          <w:tab w:val="left" w:pos="4752"/>
        </w:tabs>
        <w:spacing w:line="240" w:lineRule="exact"/>
        <w:jc w:val="both"/>
        <w:rPr>
          <w:rFonts w:asciiTheme="minorHAnsi" w:hAnsiTheme="minorHAnsi"/>
          <w:color w:val="auto"/>
          <w:szCs w:val="24"/>
        </w:rPr>
      </w:pPr>
      <w:r w:rsidRPr="00AC1273">
        <w:rPr>
          <w:rFonts w:asciiTheme="minorHAnsi" w:hAnsiTheme="minorHAnsi"/>
          <w:color w:val="auto"/>
          <w:szCs w:val="24"/>
          <w:u w:val="single"/>
        </w:rPr>
        <w:t>RECOMMENDATION</w:t>
      </w:r>
      <w:r w:rsidR="00E11365" w:rsidRPr="00FF093F">
        <w:rPr>
          <w:rFonts w:asciiTheme="minorHAnsi" w:hAnsiTheme="minorHAnsi"/>
          <w:color w:val="auto"/>
          <w:szCs w:val="24"/>
        </w:rPr>
        <w:t>:</w:t>
      </w:r>
      <w:r w:rsidR="0096605F" w:rsidRPr="00FF093F">
        <w:rPr>
          <w:rFonts w:asciiTheme="minorHAnsi" w:hAnsiTheme="minorHAnsi"/>
          <w:color w:val="auto"/>
        </w:rPr>
        <w:t xml:space="preserve">  </w:t>
      </w:r>
      <w:r w:rsidRPr="00FF093F">
        <w:rPr>
          <w:rFonts w:asciiTheme="minorHAnsi" w:hAnsiTheme="minorHAnsi"/>
          <w:color w:val="auto"/>
          <w:szCs w:val="24"/>
        </w:rPr>
        <w:t>The Board recommends that the CI’s prior determination be modified as follows, effective as of the date of his</w:t>
      </w:r>
      <w:r w:rsidR="00E11365" w:rsidRPr="00FF093F">
        <w:rPr>
          <w:rFonts w:asciiTheme="minorHAnsi" w:hAnsiTheme="minorHAnsi"/>
          <w:color w:val="auto"/>
          <w:szCs w:val="24"/>
        </w:rPr>
        <w:t xml:space="preserve"> </w:t>
      </w:r>
      <w:r w:rsidRPr="00FF093F">
        <w:rPr>
          <w:rFonts w:asciiTheme="minorHAnsi" w:hAnsiTheme="minorHAnsi"/>
          <w:color w:val="auto"/>
          <w:szCs w:val="24"/>
        </w:rPr>
        <w:t>prior medical separation.</w:t>
      </w:r>
    </w:p>
    <w:p w:rsidR="0096605F" w:rsidRPr="00FF093F" w:rsidRDefault="0096605F" w:rsidP="0096605F">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4"/>
        <w:gridCol w:w="1656"/>
        <w:gridCol w:w="1724"/>
        <w:gridCol w:w="1084"/>
      </w:tblGrid>
      <w:tr w:rsidR="00370535" w:rsidRPr="00FF093F" w:rsidTr="00110ACA">
        <w:trPr>
          <w:trHeight w:val="206"/>
          <w:jc w:val="center"/>
        </w:trPr>
        <w:tc>
          <w:tcPr>
            <w:tcW w:w="6660" w:type="dxa"/>
            <w:gridSpan w:val="2"/>
            <w:tcBorders>
              <w:right w:val="single" w:sz="4" w:space="0" w:color="auto"/>
            </w:tcBorders>
            <w:shd w:val="clear" w:color="auto" w:fill="D9D9D9"/>
          </w:tcPr>
          <w:p w:rsidR="00370535" w:rsidRPr="00FF093F" w:rsidRDefault="00370535" w:rsidP="00110ACA">
            <w:pPr>
              <w:tabs>
                <w:tab w:val="left" w:pos="288"/>
                <w:tab w:val="left" w:pos="4752"/>
              </w:tabs>
              <w:spacing w:line="240" w:lineRule="exact"/>
              <w:jc w:val="both"/>
              <w:rPr>
                <w:rFonts w:asciiTheme="minorHAnsi" w:hAnsiTheme="minorHAnsi"/>
                <w:b/>
                <w:color w:val="auto"/>
                <w:szCs w:val="24"/>
              </w:rPr>
            </w:pPr>
            <w:r w:rsidRPr="00FF093F">
              <w:rPr>
                <w:rFonts w:asciiTheme="minorHAnsi" w:hAnsiTheme="minorHAnsi"/>
                <w:b/>
                <w:color w:val="auto"/>
                <w:szCs w:val="24"/>
              </w:rPr>
              <w:t>UNFITTING CONDITION</w:t>
            </w:r>
          </w:p>
        </w:tc>
        <w:tc>
          <w:tcPr>
            <w:tcW w:w="1724" w:type="dxa"/>
            <w:tcBorders>
              <w:left w:val="single" w:sz="4" w:space="0" w:color="auto"/>
            </w:tcBorders>
            <w:shd w:val="clear" w:color="auto" w:fill="D9D9D9"/>
          </w:tcPr>
          <w:p w:rsidR="00370535" w:rsidRPr="00FF093F" w:rsidRDefault="00370535" w:rsidP="00110ACA">
            <w:pPr>
              <w:tabs>
                <w:tab w:val="left" w:pos="288"/>
                <w:tab w:val="left" w:pos="4752"/>
              </w:tabs>
              <w:spacing w:line="240" w:lineRule="exact"/>
              <w:jc w:val="center"/>
              <w:rPr>
                <w:rFonts w:asciiTheme="minorHAnsi" w:hAnsiTheme="minorHAnsi"/>
                <w:b/>
                <w:color w:val="auto"/>
                <w:szCs w:val="24"/>
              </w:rPr>
            </w:pPr>
            <w:r w:rsidRPr="00FF093F">
              <w:rPr>
                <w:rFonts w:asciiTheme="minorHAnsi" w:hAnsiTheme="minorHAnsi"/>
                <w:b/>
                <w:color w:val="auto"/>
                <w:szCs w:val="24"/>
              </w:rPr>
              <w:t>VASRD CODE</w:t>
            </w:r>
          </w:p>
        </w:tc>
        <w:tc>
          <w:tcPr>
            <w:tcW w:w="1084" w:type="dxa"/>
            <w:shd w:val="clear" w:color="auto" w:fill="D9D9D9"/>
          </w:tcPr>
          <w:p w:rsidR="00370535" w:rsidRPr="00FF093F" w:rsidRDefault="00370535" w:rsidP="00110ACA">
            <w:pPr>
              <w:tabs>
                <w:tab w:val="left" w:pos="288"/>
                <w:tab w:val="left" w:pos="4752"/>
              </w:tabs>
              <w:spacing w:line="240" w:lineRule="exact"/>
              <w:jc w:val="center"/>
              <w:rPr>
                <w:rFonts w:asciiTheme="minorHAnsi" w:hAnsiTheme="minorHAnsi"/>
                <w:b/>
                <w:color w:val="auto"/>
                <w:szCs w:val="24"/>
              </w:rPr>
            </w:pPr>
            <w:r w:rsidRPr="00FF093F">
              <w:rPr>
                <w:rFonts w:asciiTheme="minorHAnsi" w:hAnsiTheme="minorHAnsi"/>
                <w:b/>
                <w:color w:val="auto"/>
                <w:szCs w:val="24"/>
              </w:rPr>
              <w:t>RATING</w:t>
            </w:r>
          </w:p>
        </w:tc>
      </w:tr>
      <w:tr w:rsidR="00370535" w:rsidRPr="00FF093F" w:rsidTr="00110ACA">
        <w:trPr>
          <w:jc w:val="center"/>
        </w:trPr>
        <w:tc>
          <w:tcPr>
            <w:tcW w:w="6660" w:type="dxa"/>
            <w:gridSpan w:val="2"/>
            <w:tcBorders>
              <w:right w:val="single" w:sz="4" w:space="0" w:color="auto"/>
            </w:tcBorders>
          </w:tcPr>
          <w:p w:rsidR="00370535" w:rsidRPr="00FF093F" w:rsidRDefault="00E11365" w:rsidP="00110ACA">
            <w:pPr>
              <w:tabs>
                <w:tab w:val="left" w:pos="288"/>
                <w:tab w:val="left" w:pos="4752"/>
              </w:tabs>
              <w:spacing w:line="240" w:lineRule="exact"/>
              <w:jc w:val="both"/>
              <w:rPr>
                <w:rFonts w:asciiTheme="minorHAnsi" w:hAnsiTheme="minorHAnsi"/>
                <w:color w:val="auto"/>
                <w:szCs w:val="24"/>
              </w:rPr>
            </w:pPr>
            <w:r w:rsidRPr="00FF093F">
              <w:rPr>
                <w:rFonts w:asciiTheme="minorHAnsi" w:hAnsiTheme="minorHAnsi"/>
                <w:color w:val="auto"/>
                <w:szCs w:val="24"/>
              </w:rPr>
              <w:t>Left chronic knee pain</w:t>
            </w:r>
          </w:p>
        </w:tc>
        <w:tc>
          <w:tcPr>
            <w:tcW w:w="1724" w:type="dxa"/>
            <w:tcBorders>
              <w:left w:val="single" w:sz="4" w:space="0" w:color="auto"/>
            </w:tcBorders>
          </w:tcPr>
          <w:p w:rsidR="00370535" w:rsidRPr="00FF093F" w:rsidRDefault="00AC1273" w:rsidP="00110ACA">
            <w:pPr>
              <w:tabs>
                <w:tab w:val="left" w:pos="288"/>
                <w:tab w:val="left" w:pos="4752"/>
              </w:tabs>
              <w:spacing w:line="240" w:lineRule="exact"/>
              <w:jc w:val="center"/>
              <w:rPr>
                <w:rFonts w:asciiTheme="minorHAnsi" w:hAnsiTheme="minorHAnsi"/>
                <w:color w:val="auto"/>
                <w:szCs w:val="24"/>
              </w:rPr>
            </w:pPr>
            <w:r w:rsidRPr="00FF093F">
              <w:rPr>
                <w:rFonts w:asciiTheme="minorHAnsi" w:eastAsiaTheme="minorHAnsi" w:hAnsiTheme="minorHAnsi"/>
                <w:color w:val="auto"/>
                <w:szCs w:val="24"/>
              </w:rPr>
              <w:t>5099-5003</w:t>
            </w:r>
          </w:p>
        </w:tc>
        <w:tc>
          <w:tcPr>
            <w:tcW w:w="1084" w:type="dxa"/>
          </w:tcPr>
          <w:p w:rsidR="00370535" w:rsidRPr="00FF093F" w:rsidRDefault="00E11365" w:rsidP="00110ACA">
            <w:pPr>
              <w:tabs>
                <w:tab w:val="left" w:pos="288"/>
                <w:tab w:val="left" w:pos="4752"/>
              </w:tabs>
              <w:spacing w:line="240" w:lineRule="exact"/>
              <w:jc w:val="center"/>
              <w:rPr>
                <w:rFonts w:asciiTheme="minorHAnsi" w:hAnsiTheme="minorHAnsi"/>
                <w:color w:val="auto"/>
                <w:szCs w:val="24"/>
              </w:rPr>
            </w:pPr>
            <w:r w:rsidRPr="00FF093F">
              <w:rPr>
                <w:rFonts w:asciiTheme="minorHAnsi" w:hAnsiTheme="minorHAnsi"/>
                <w:color w:val="auto"/>
                <w:szCs w:val="24"/>
              </w:rPr>
              <w:t>1</w:t>
            </w:r>
            <w:r w:rsidR="00370535" w:rsidRPr="00FF093F">
              <w:rPr>
                <w:rFonts w:asciiTheme="minorHAnsi" w:hAnsiTheme="minorHAnsi"/>
                <w:color w:val="auto"/>
                <w:szCs w:val="24"/>
              </w:rPr>
              <w:t>0%</w:t>
            </w:r>
          </w:p>
        </w:tc>
      </w:tr>
      <w:tr w:rsidR="00E11365" w:rsidRPr="00FF093F" w:rsidTr="00110ACA">
        <w:trPr>
          <w:jc w:val="center"/>
        </w:trPr>
        <w:tc>
          <w:tcPr>
            <w:tcW w:w="6660" w:type="dxa"/>
            <w:gridSpan w:val="2"/>
            <w:tcBorders>
              <w:right w:val="single" w:sz="4" w:space="0" w:color="auto"/>
            </w:tcBorders>
          </w:tcPr>
          <w:p w:rsidR="00E11365" w:rsidRPr="00FF093F" w:rsidRDefault="00E11365" w:rsidP="00110ACA">
            <w:pPr>
              <w:tabs>
                <w:tab w:val="left" w:pos="288"/>
                <w:tab w:val="left" w:pos="4752"/>
              </w:tabs>
              <w:spacing w:line="240" w:lineRule="exact"/>
              <w:jc w:val="both"/>
              <w:rPr>
                <w:rFonts w:asciiTheme="minorHAnsi" w:hAnsiTheme="minorHAnsi"/>
                <w:color w:val="auto"/>
                <w:szCs w:val="24"/>
              </w:rPr>
            </w:pPr>
            <w:r w:rsidRPr="00FF093F">
              <w:rPr>
                <w:rFonts w:asciiTheme="minorHAnsi" w:hAnsiTheme="minorHAnsi"/>
                <w:color w:val="auto"/>
                <w:szCs w:val="24"/>
              </w:rPr>
              <w:t>Right chronic knee pain</w:t>
            </w:r>
          </w:p>
        </w:tc>
        <w:tc>
          <w:tcPr>
            <w:tcW w:w="1724" w:type="dxa"/>
            <w:tcBorders>
              <w:left w:val="single" w:sz="4" w:space="0" w:color="auto"/>
            </w:tcBorders>
          </w:tcPr>
          <w:p w:rsidR="00E11365" w:rsidRPr="00FF093F" w:rsidRDefault="00AC1273" w:rsidP="00110ACA">
            <w:pPr>
              <w:tabs>
                <w:tab w:val="left" w:pos="288"/>
                <w:tab w:val="left" w:pos="4752"/>
              </w:tabs>
              <w:spacing w:line="240" w:lineRule="exact"/>
              <w:jc w:val="center"/>
              <w:rPr>
                <w:rFonts w:asciiTheme="minorHAnsi" w:hAnsiTheme="minorHAnsi"/>
                <w:color w:val="auto"/>
                <w:szCs w:val="24"/>
              </w:rPr>
            </w:pPr>
            <w:r w:rsidRPr="00FF093F">
              <w:rPr>
                <w:rFonts w:asciiTheme="minorHAnsi" w:eastAsiaTheme="minorHAnsi" w:hAnsiTheme="minorHAnsi"/>
                <w:color w:val="auto"/>
                <w:szCs w:val="24"/>
              </w:rPr>
              <w:t>5099-5003</w:t>
            </w:r>
          </w:p>
        </w:tc>
        <w:tc>
          <w:tcPr>
            <w:tcW w:w="1084" w:type="dxa"/>
          </w:tcPr>
          <w:p w:rsidR="00E11365" w:rsidRPr="00FF093F" w:rsidRDefault="00E11365" w:rsidP="00280894">
            <w:pPr>
              <w:tabs>
                <w:tab w:val="left" w:pos="288"/>
                <w:tab w:val="left" w:pos="4752"/>
              </w:tabs>
              <w:spacing w:line="240" w:lineRule="exact"/>
              <w:jc w:val="center"/>
              <w:rPr>
                <w:rFonts w:asciiTheme="minorHAnsi" w:hAnsiTheme="minorHAnsi"/>
                <w:color w:val="auto"/>
                <w:szCs w:val="24"/>
              </w:rPr>
            </w:pPr>
            <w:r w:rsidRPr="00FF093F">
              <w:rPr>
                <w:rFonts w:asciiTheme="minorHAnsi" w:hAnsiTheme="minorHAnsi"/>
                <w:color w:val="auto"/>
                <w:szCs w:val="24"/>
              </w:rPr>
              <w:t>0%</w:t>
            </w:r>
          </w:p>
        </w:tc>
      </w:tr>
      <w:tr w:rsidR="00370535" w:rsidRPr="00FF093F" w:rsidTr="00110ACA">
        <w:tblPrEx>
          <w:tblLook w:val="0000"/>
        </w:tblPrEx>
        <w:trPr>
          <w:gridBefore w:val="1"/>
          <w:wBefore w:w="5004"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tcPr>
          <w:p w:rsidR="00370535" w:rsidRPr="00FF093F" w:rsidRDefault="00370535" w:rsidP="00110ACA">
            <w:pPr>
              <w:tabs>
                <w:tab w:val="left" w:pos="288"/>
                <w:tab w:val="left" w:pos="4752"/>
              </w:tabs>
              <w:spacing w:line="240" w:lineRule="exact"/>
              <w:jc w:val="center"/>
              <w:rPr>
                <w:rFonts w:asciiTheme="minorHAnsi" w:hAnsiTheme="minorHAnsi"/>
                <w:b/>
                <w:color w:val="auto"/>
                <w:szCs w:val="24"/>
              </w:rPr>
            </w:pPr>
            <w:r w:rsidRPr="00FF093F">
              <w:rPr>
                <w:rFonts w:asciiTheme="minorHAnsi" w:hAnsiTheme="minorHAnsi"/>
                <w:b/>
                <w:color w:val="auto"/>
                <w:szCs w:val="24"/>
              </w:rPr>
              <w:t>COMBINED (Incorporating BLF)</w:t>
            </w:r>
          </w:p>
        </w:tc>
        <w:tc>
          <w:tcPr>
            <w:tcW w:w="1084" w:type="dxa"/>
            <w:tcBorders>
              <w:bottom w:val="single" w:sz="4" w:space="0" w:color="000000"/>
            </w:tcBorders>
            <w:shd w:val="clear" w:color="auto" w:fill="D9D9D9" w:themeFill="background1" w:themeFillShade="D9"/>
          </w:tcPr>
          <w:p w:rsidR="00370535" w:rsidRPr="00FF093F" w:rsidRDefault="002402B5" w:rsidP="00280894">
            <w:pPr>
              <w:tabs>
                <w:tab w:val="left" w:pos="288"/>
                <w:tab w:val="left" w:pos="4752"/>
              </w:tabs>
              <w:spacing w:line="240" w:lineRule="exact"/>
              <w:jc w:val="center"/>
              <w:rPr>
                <w:rFonts w:asciiTheme="minorHAnsi" w:hAnsiTheme="minorHAnsi"/>
                <w:b/>
                <w:color w:val="auto"/>
                <w:szCs w:val="24"/>
              </w:rPr>
            </w:pPr>
            <w:r w:rsidRPr="00FF093F">
              <w:rPr>
                <w:rFonts w:asciiTheme="minorHAnsi" w:hAnsiTheme="minorHAnsi"/>
                <w:b/>
                <w:color w:val="auto"/>
                <w:szCs w:val="24"/>
              </w:rPr>
              <w:t>1</w:t>
            </w:r>
            <w:r w:rsidR="0016396A" w:rsidRPr="00FF093F">
              <w:rPr>
                <w:rFonts w:asciiTheme="minorHAnsi" w:hAnsiTheme="minorHAnsi"/>
                <w:b/>
                <w:color w:val="auto"/>
                <w:szCs w:val="24"/>
              </w:rPr>
              <w:t>0%</w:t>
            </w:r>
          </w:p>
        </w:tc>
      </w:tr>
    </w:tbl>
    <w:p w:rsidR="00370535" w:rsidRPr="00FF093F" w:rsidRDefault="00370535" w:rsidP="00370535">
      <w:pPr>
        <w:tabs>
          <w:tab w:val="left" w:pos="288"/>
          <w:tab w:val="left" w:pos="1710"/>
        </w:tabs>
        <w:spacing w:line="240" w:lineRule="exact"/>
        <w:rPr>
          <w:rFonts w:asciiTheme="minorHAnsi" w:hAnsiTheme="minorHAnsi"/>
          <w:caps/>
          <w:color w:val="auto"/>
          <w:u w:val="single"/>
        </w:rPr>
      </w:pPr>
      <w:r w:rsidRPr="00FF093F">
        <w:rPr>
          <w:rFonts w:asciiTheme="minorHAnsi" w:hAnsiTheme="minorHAnsi"/>
          <w:color w:val="auto"/>
          <w:u w:val="single"/>
        </w:rPr>
        <w:t>______________________________________________________________________________</w:t>
      </w:r>
    </w:p>
    <w:p w:rsidR="00370535" w:rsidRPr="00FF093F" w:rsidRDefault="00370535" w:rsidP="00370535">
      <w:pPr>
        <w:tabs>
          <w:tab w:val="left" w:pos="288"/>
          <w:tab w:val="left" w:pos="4752"/>
        </w:tabs>
        <w:spacing w:line="240" w:lineRule="exact"/>
        <w:rPr>
          <w:color w:val="auto"/>
          <w:szCs w:val="24"/>
        </w:rPr>
      </w:pPr>
    </w:p>
    <w:p w:rsidR="00370535" w:rsidRPr="00FF093F" w:rsidRDefault="00370535" w:rsidP="00370535">
      <w:pPr>
        <w:tabs>
          <w:tab w:val="left" w:pos="288"/>
          <w:tab w:val="left" w:pos="4752"/>
        </w:tabs>
        <w:spacing w:line="240" w:lineRule="exact"/>
        <w:jc w:val="both"/>
        <w:rPr>
          <w:rFonts w:asciiTheme="minorHAnsi" w:hAnsiTheme="minorHAnsi"/>
          <w:color w:val="auto"/>
        </w:rPr>
      </w:pPr>
      <w:r w:rsidRPr="00FF093F">
        <w:rPr>
          <w:rFonts w:asciiTheme="minorHAnsi" w:hAnsiTheme="minorHAnsi"/>
          <w:color w:val="auto"/>
        </w:rPr>
        <w:t>The following documentary evidence was considered:</w:t>
      </w:r>
    </w:p>
    <w:p w:rsidR="00370535" w:rsidRPr="00FF093F" w:rsidRDefault="00370535" w:rsidP="00370535">
      <w:pPr>
        <w:tabs>
          <w:tab w:val="left" w:pos="288"/>
          <w:tab w:val="left" w:pos="4752"/>
        </w:tabs>
        <w:spacing w:line="240" w:lineRule="exact"/>
        <w:jc w:val="both"/>
        <w:rPr>
          <w:rFonts w:asciiTheme="minorHAnsi" w:hAnsiTheme="minorHAnsi"/>
          <w:color w:val="auto"/>
        </w:rPr>
      </w:pPr>
    </w:p>
    <w:p w:rsidR="00370535" w:rsidRPr="00FF093F" w:rsidRDefault="00370535" w:rsidP="00370535">
      <w:pPr>
        <w:tabs>
          <w:tab w:val="left" w:pos="288"/>
          <w:tab w:val="left" w:pos="4752"/>
        </w:tabs>
        <w:spacing w:line="240" w:lineRule="exact"/>
        <w:jc w:val="both"/>
        <w:rPr>
          <w:rFonts w:asciiTheme="minorHAnsi" w:hAnsiTheme="minorHAnsi"/>
          <w:color w:val="auto"/>
        </w:rPr>
      </w:pPr>
      <w:r w:rsidRPr="00FF093F">
        <w:rPr>
          <w:rFonts w:asciiTheme="minorHAnsi" w:hAnsiTheme="minorHAnsi"/>
          <w:color w:val="auto"/>
        </w:rPr>
        <w:t xml:space="preserve">Exhibit A.  DD Form </w:t>
      </w:r>
      <w:proofErr w:type="gramStart"/>
      <w:r w:rsidRPr="00FF093F">
        <w:rPr>
          <w:rFonts w:asciiTheme="minorHAnsi" w:hAnsiTheme="minorHAnsi"/>
          <w:color w:val="auto"/>
        </w:rPr>
        <w:t>294,</w:t>
      </w:r>
      <w:proofErr w:type="gramEnd"/>
      <w:r w:rsidRPr="00FF093F">
        <w:rPr>
          <w:rFonts w:asciiTheme="minorHAnsi" w:hAnsiTheme="minorHAnsi"/>
          <w:color w:val="auto"/>
        </w:rPr>
        <w:t xml:space="preserve"> dated 20</w:t>
      </w:r>
      <w:r w:rsidR="00DD35F3" w:rsidRPr="00FF093F">
        <w:rPr>
          <w:rFonts w:asciiTheme="minorHAnsi" w:hAnsiTheme="minorHAnsi"/>
          <w:color w:val="auto"/>
        </w:rPr>
        <w:t>100402</w:t>
      </w:r>
      <w:r w:rsidRPr="00FF093F">
        <w:rPr>
          <w:rFonts w:asciiTheme="minorHAnsi" w:hAnsiTheme="minorHAnsi"/>
          <w:color w:val="auto"/>
        </w:rPr>
        <w:t>, w/</w:t>
      </w:r>
      <w:proofErr w:type="spellStart"/>
      <w:r w:rsidRPr="00FF093F">
        <w:rPr>
          <w:rFonts w:asciiTheme="minorHAnsi" w:hAnsiTheme="minorHAnsi"/>
          <w:color w:val="auto"/>
        </w:rPr>
        <w:t>atchs</w:t>
      </w:r>
      <w:proofErr w:type="spellEnd"/>
      <w:r w:rsidRPr="00FF093F">
        <w:rPr>
          <w:rFonts w:asciiTheme="minorHAnsi" w:hAnsiTheme="minorHAnsi"/>
          <w:color w:val="auto"/>
        </w:rPr>
        <w:t>.</w:t>
      </w:r>
    </w:p>
    <w:p w:rsidR="00370535" w:rsidRPr="00FF093F" w:rsidRDefault="00370535" w:rsidP="00370535">
      <w:pPr>
        <w:tabs>
          <w:tab w:val="left" w:pos="288"/>
          <w:tab w:val="left" w:pos="4752"/>
        </w:tabs>
        <w:spacing w:line="240" w:lineRule="exact"/>
        <w:jc w:val="both"/>
        <w:rPr>
          <w:rFonts w:asciiTheme="minorHAnsi" w:hAnsiTheme="minorHAnsi"/>
          <w:color w:val="auto"/>
        </w:rPr>
      </w:pPr>
      <w:r w:rsidRPr="00FF093F">
        <w:rPr>
          <w:rFonts w:asciiTheme="minorHAnsi" w:hAnsiTheme="minorHAnsi"/>
          <w:color w:val="auto"/>
        </w:rPr>
        <w:t xml:space="preserve">Exhibit B.  </w:t>
      </w:r>
      <w:proofErr w:type="gramStart"/>
      <w:r w:rsidRPr="00FF093F">
        <w:rPr>
          <w:rFonts w:asciiTheme="minorHAnsi" w:hAnsiTheme="minorHAnsi"/>
          <w:color w:val="auto"/>
        </w:rPr>
        <w:t>Service Treatment Record.</w:t>
      </w:r>
      <w:proofErr w:type="gramEnd"/>
    </w:p>
    <w:p w:rsidR="00370535" w:rsidRPr="0096605F" w:rsidRDefault="00370535" w:rsidP="00370535">
      <w:pPr>
        <w:tabs>
          <w:tab w:val="left" w:pos="288"/>
          <w:tab w:val="left" w:pos="4752"/>
        </w:tabs>
        <w:spacing w:line="240" w:lineRule="exact"/>
        <w:jc w:val="both"/>
        <w:rPr>
          <w:rFonts w:asciiTheme="minorHAnsi" w:hAnsiTheme="minorHAnsi"/>
          <w:color w:val="auto"/>
        </w:rPr>
      </w:pPr>
      <w:r w:rsidRPr="00FF093F">
        <w:rPr>
          <w:rFonts w:asciiTheme="minorHAnsi" w:hAnsiTheme="minorHAnsi"/>
          <w:color w:val="auto"/>
        </w:rPr>
        <w:t xml:space="preserve">Exhibit C.  </w:t>
      </w:r>
      <w:proofErr w:type="gramStart"/>
      <w:r w:rsidRPr="00FF093F">
        <w:rPr>
          <w:rFonts w:asciiTheme="minorHAnsi" w:hAnsiTheme="minorHAnsi"/>
          <w:color w:val="auto"/>
        </w:rPr>
        <w:t>Department of Veterans' Af</w:t>
      </w:r>
      <w:r w:rsidRPr="0096605F">
        <w:rPr>
          <w:rFonts w:asciiTheme="minorHAnsi" w:hAnsiTheme="minorHAnsi"/>
          <w:color w:val="auto"/>
        </w:rPr>
        <w:t>fairs Treatment Record.</w:t>
      </w:r>
      <w:proofErr w:type="gramEnd"/>
    </w:p>
    <w:p w:rsidR="00370535" w:rsidRPr="0096605F" w:rsidRDefault="00370535" w:rsidP="00370535">
      <w:pPr>
        <w:tabs>
          <w:tab w:val="left" w:pos="288"/>
          <w:tab w:val="left" w:pos="4752"/>
        </w:tabs>
        <w:spacing w:line="240" w:lineRule="exact"/>
        <w:jc w:val="both"/>
        <w:rPr>
          <w:rFonts w:asciiTheme="minorHAnsi" w:hAnsiTheme="minorHAnsi"/>
          <w:color w:val="auto"/>
        </w:rPr>
      </w:pPr>
    </w:p>
    <w:p w:rsidR="00370535" w:rsidRPr="0096605F" w:rsidRDefault="00370535" w:rsidP="00370535">
      <w:pPr>
        <w:tabs>
          <w:tab w:val="left" w:pos="288"/>
          <w:tab w:val="left" w:pos="4752"/>
        </w:tabs>
        <w:spacing w:line="240" w:lineRule="exact"/>
        <w:jc w:val="both"/>
        <w:rPr>
          <w:rFonts w:asciiTheme="minorHAnsi" w:hAnsiTheme="minorHAnsi"/>
          <w:color w:val="auto"/>
        </w:rPr>
      </w:pPr>
    </w:p>
    <w:p w:rsidR="00370535" w:rsidRPr="0096605F" w:rsidRDefault="00370535" w:rsidP="00370535">
      <w:pPr>
        <w:tabs>
          <w:tab w:val="left" w:pos="288"/>
          <w:tab w:val="left" w:pos="4752"/>
        </w:tabs>
        <w:spacing w:line="240" w:lineRule="exact"/>
        <w:jc w:val="both"/>
        <w:rPr>
          <w:rFonts w:asciiTheme="minorHAnsi" w:hAnsiTheme="minorHAnsi"/>
          <w:color w:val="auto"/>
        </w:rPr>
      </w:pPr>
    </w:p>
    <w:p w:rsidR="00370535" w:rsidRPr="0096605F" w:rsidRDefault="008B38AF" w:rsidP="00370535">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p>
    <w:p w:rsidR="00370535" w:rsidRPr="00006186" w:rsidRDefault="00370535" w:rsidP="00370535">
      <w:pPr>
        <w:tabs>
          <w:tab w:val="left" w:pos="0"/>
          <w:tab w:val="left" w:pos="4320"/>
        </w:tabs>
        <w:spacing w:line="240" w:lineRule="exact"/>
        <w:jc w:val="both"/>
        <w:rPr>
          <w:rFonts w:asciiTheme="minorHAnsi" w:hAnsiTheme="minorHAnsi"/>
          <w:color w:val="auto"/>
        </w:rPr>
      </w:pPr>
      <w:r w:rsidRPr="0096605F">
        <w:rPr>
          <w:rFonts w:asciiTheme="minorHAnsi" w:hAnsiTheme="minorHAnsi"/>
          <w:color w:val="auto"/>
        </w:rPr>
        <w:t xml:space="preserve">                             </w:t>
      </w:r>
      <w:r w:rsidRPr="0096605F">
        <w:rPr>
          <w:rFonts w:asciiTheme="minorHAnsi" w:hAnsiTheme="minorHAnsi"/>
          <w:color w:val="auto"/>
        </w:rPr>
        <w:tab/>
      </w:r>
      <w:r w:rsidRPr="0096605F">
        <w:rPr>
          <w:rFonts w:asciiTheme="minorHAnsi" w:hAnsiTheme="minorHAnsi"/>
          <w:color w:val="auto"/>
        </w:rPr>
        <w:tab/>
        <w:t>Deputy Director</w:t>
      </w:r>
    </w:p>
    <w:p w:rsidR="008B38AF" w:rsidRDefault="00370535" w:rsidP="0037053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8B38AF" w:rsidRDefault="008B38AF">
      <w:pPr>
        <w:rPr>
          <w:rFonts w:asciiTheme="minorHAnsi" w:hAnsiTheme="minorHAnsi"/>
          <w:color w:val="auto"/>
        </w:rPr>
      </w:pPr>
      <w:r>
        <w:rPr>
          <w:rFonts w:asciiTheme="minorHAnsi" w:hAnsiTheme="minorHAnsi"/>
          <w:color w:val="auto"/>
        </w:rPr>
        <w:br w:type="page"/>
      </w:r>
    </w:p>
    <w:p w:rsidR="008B38AF" w:rsidRPr="008B38AF" w:rsidRDefault="008B38AF" w:rsidP="008B38AF">
      <w:pPr>
        <w:tabs>
          <w:tab w:val="left" w:pos="576"/>
        </w:tabs>
        <w:spacing w:line="240" w:lineRule="exact"/>
        <w:ind w:right="-1080"/>
        <w:rPr>
          <w:rFonts w:ascii="Times New Roman" w:hAnsi="Times New Roman"/>
          <w:color w:val="000080"/>
        </w:rPr>
      </w:pPr>
      <w:r w:rsidRPr="008B38AF">
        <w:rPr>
          <w:rFonts w:ascii="Times New Roman" w:hAnsi="Times New Roman"/>
          <w:color w:val="000080"/>
        </w:rPr>
        <w:lastRenderedPageBreak/>
        <w:t>SAF/MRB</w:t>
      </w:r>
    </w:p>
    <w:p w:rsidR="008B38AF" w:rsidRPr="008B38AF" w:rsidRDefault="008B38AF" w:rsidP="008B38AF">
      <w:pPr>
        <w:tabs>
          <w:tab w:val="left" w:pos="576"/>
        </w:tabs>
        <w:spacing w:line="240" w:lineRule="exact"/>
        <w:ind w:right="-1080"/>
        <w:rPr>
          <w:rFonts w:ascii="Times New Roman" w:hAnsi="Times New Roman"/>
          <w:color w:val="000080"/>
        </w:rPr>
      </w:pPr>
      <w:r w:rsidRPr="008B38AF">
        <w:rPr>
          <w:rFonts w:ascii="Times New Roman" w:hAnsi="Times New Roman"/>
          <w:color w:val="000080"/>
        </w:rPr>
        <w:t>1535 Command Drive, Suite E-302</w:t>
      </w:r>
    </w:p>
    <w:p w:rsidR="008B38AF" w:rsidRPr="008B38AF" w:rsidRDefault="008B38AF" w:rsidP="008B38AF">
      <w:pPr>
        <w:tabs>
          <w:tab w:val="left" w:pos="576"/>
        </w:tabs>
        <w:spacing w:line="240" w:lineRule="exact"/>
        <w:ind w:right="-1080"/>
        <w:rPr>
          <w:rFonts w:ascii="Times New Roman" w:hAnsi="Times New Roman"/>
          <w:color w:val="000080"/>
        </w:rPr>
      </w:pPr>
      <w:r w:rsidRPr="008B38AF">
        <w:rPr>
          <w:rFonts w:ascii="Times New Roman" w:hAnsi="Times New Roman"/>
          <w:color w:val="000080"/>
        </w:rPr>
        <w:t>Andrews AFB, MD  20762-7002</w:t>
      </w:r>
    </w:p>
    <w:p w:rsidR="008B38AF" w:rsidRPr="008B38AF" w:rsidRDefault="008B38AF" w:rsidP="008B38AF">
      <w:pPr>
        <w:tabs>
          <w:tab w:val="left" w:pos="576"/>
        </w:tabs>
        <w:spacing w:line="240" w:lineRule="exact"/>
        <w:ind w:right="-1080"/>
        <w:rPr>
          <w:rFonts w:ascii="Times New Roman" w:hAnsi="Times New Roman"/>
          <w:color w:val="000080"/>
        </w:rPr>
      </w:pPr>
    </w:p>
    <w:p w:rsidR="008B38AF" w:rsidRPr="008B38AF" w:rsidRDefault="008B38AF" w:rsidP="008B38AF">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8B38AF" w:rsidRPr="008B38AF" w:rsidRDefault="008B38AF" w:rsidP="008B38AF">
      <w:pPr>
        <w:tabs>
          <w:tab w:val="left" w:pos="720"/>
        </w:tabs>
        <w:spacing w:line="240" w:lineRule="exact"/>
        <w:ind w:right="-1080"/>
        <w:rPr>
          <w:rFonts w:ascii="Times New Roman" w:hAnsi="Times New Roman"/>
          <w:color w:val="000080"/>
          <w:sz w:val="20"/>
        </w:rPr>
      </w:pPr>
    </w:p>
    <w:p w:rsidR="008B38AF" w:rsidRPr="008B38AF" w:rsidRDefault="008B38AF" w:rsidP="008B38AF">
      <w:pPr>
        <w:tabs>
          <w:tab w:val="left" w:pos="720"/>
        </w:tabs>
        <w:spacing w:line="240" w:lineRule="exact"/>
        <w:ind w:right="-360"/>
        <w:rPr>
          <w:rFonts w:ascii="Times New Roman" w:hAnsi="Times New Roman"/>
          <w:color w:val="000080"/>
        </w:rPr>
      </w:pPr>
      <w:r w:rsidRPr="008B38AF">
        <w:rPr>
          <w:rFonts w:ascii="Times New Roman" w:hAnsi="Times New Roman"/>
          <w:color w:val="000080"/>
        </w:rPr>
        <w:tab/>
        <w:t xml:space="preserve">Reference your application submitted under the provisions of </w:t>
      </w:r>
      <w:proofErr w:type="spellStart"/>
      <w:r w:rsidRPr="008B38AF">
        <w:rPr>
          <w:rFonts w:ascii="Times New Roman" w:hAnsi="Times New Roman"/>
          <w:color w:val="000080"/>
        </w:rPr>
        <w:t>DoDI</w:t>
      </w:r>
      <w:proofErr w:type="spellEnd"/>
      <w:r w:rsidRPr="008B38AF">
        <w:rPr>
          <w:rFonts w:ascii="Times New Roman" w:hAnsi="Times New Roman"/>
          <w:color w:val="000080"/>
        </w:rPr>
        <w:t xml:space="preserve"> 6040.44 (Section 1554, 10 USC), PDBR Case Number PD-2010-00378.</w:t>
      </w:r>
    </w:p>
    <w:p w:rsidR="008B38AF" w:rsidRPr="008B38AF" w:rsidRDefault="008B38AF" w:rsidP="008B38AF">
      <w:pPr>
        <w:tabs>
          <w:tab w:val="left" w:pos="720"/>
        </w:tabs>
        <w:spacing w:line="240" w:lineRule="exact"/>
        <w:ind w:right="-1080"/>
        <w:rPr>
          <w:rFonts w:ascii="Times New Roman" w:hAnsi="Times New Roman"/>
          <w:color w:val="000080"/>
        </w:rPr>
      </w:pPr>
    </w:p>
    <w:p w:rsidR="008B38AF" w:rsidRPr="008B38AF" w:rsidRDefault="008B38AF" w:rsidP="008B38AF">
      <w:pPr>
        <w:tabs>
          <w:tab w:val="left" w:pos="720"/>
        </w:tabs>
        <w:spacing w:line="240" w:lineRule="exact"/>
        <w:ind w:right="-360"/>
        <w:rPr>
          <w:rFonts w:ascii="Times New Roman" w:hAnsi="Times New Roman"/>
          <w:color w:val="000080"/>
        </w:rPr>
      </w:pPr>
      <w:r w:rsidRPr="008B38AF">
        <w:rPr>
          <w:rFonts w:ascii="Times New Roman" w:hAnsi="Times New Roman"/>
          <w:color w:val="000080"/>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re-characterization of your separation with severance pay. </w:t>
      </w:r>
    </w:p>
    <w:p w:rsidR="008B38AF" w:rsidRPr="008B38AF" w:rsidRDefault="008B38AF" w:rsidP="008B38AF">
      <w:pPr>
        <w:tabs>
          <w:tab w:val="left" w:pos="720"/>
        </w:tabs>
        <w:spacing w:line="240" w:lineRule="exact"/>
        <w:ind w:right="-1080"/>
        <w:rPr>
          <w:rFonts w:ascii="Times New Roman" w:hAnsi="Times New Roman"/>
          <w:color w:val="000080"/>
        </w:rPr>
      </w:pPr>
    </w:p>
    <w:p w:rsidR="008B38AF" w:rsidRPr="008B38AF" w:rsidRDefault="008B38AF" w:rsidP="008B38AF">
      <w:pPr>
        <w:tabs>
          <w:tab w:val="left" w:pos="720"/>
        </w:tabs>
        <w:spacing w:line="240" w:lineRule="exact"/>
        <w:rPr>
          <w:rFonts w:ascii="Times New Roman" w:hAnsi="Times New Roman"/>
          <w:color w:val="000080"/>
        </w:rPr>
      </w:pPr>
      <w:r w:rsidRPr="008B38AF">
        <w:rPr>
          <w:rFonts w:ascii="Times New Roman" w:hAnsi="Times New Roman"/>
          <w:color w:val="000080"/>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8B38AF" w:rsidRPr="008B38AF" w:rsidRDefault="008B38AF" w:rsidP="008B38AF">
      <w:pPr>
        <w:tabs>
          <w:tab w:val="left" w:pos="720"/>
        </w:tabs>
        <w:spacing w:line="240" w:lineRule="exact"/>
        <w:rPr>
          <w:rFonts w:ascii="Times New Roman" w:hAnsi="Times New Roman"/>
          <w:color w:val="000080"/>
        </w:rPr>
      </w:pPr>
    </w:p>
    <w:p w:rsidR="008B38AF" w:rsidRPr="008B38AF" w:rsidRDefault="008B38AF" w:rsidP="008B38AF">
      <w:pPr>
        <w:tabs>
          <w:tab w:val="left" w:pos="720"/>
        </w:tabs>
        <w:spacing w:line="240" w:lineRule="exact"/>
        <w:ind w:right="-360"/>
        <w:rPr>
          <w:rFonts w:ascii="Times New Roman" w:hAnsi="Times New Roman"/>
          <w:color w:val="000080"/>
        </w:rPr>
      </w:pPr>
      <w:r w:rsidRPr="008B38AF">
        <w:rPr>
          <w:rFonts w:ascii="Times New Roman" w:hAnsi="Times New Roman"/>
          <w:color w:val="000080"/>
        </w:rPr>
        <w:tab/>
      </w:r>
      <w:r w:rsidRPr="008B38AF">
        <w:rPr>
          <w:rFonts w:ascii="Times New Roman" w:hAnsi="Times New Roman"/>
          <w:color w:val="000080"/>
        </w:rPr>
        <w:tab/>
      </w:r>
      <w:r w:rsidRPr="008B38AF">
        <w:rPr>
          <w:rFonts w:ascii="Times New Roman" w:hAnsi="Times New Roman"/>
          <w:color w:val="000080"/>
        </w:rPr>
        <w:tab/>
      </w:r>
      <w:r w:rsidRPr="008B38AF">
        <w:rPr>
          <w:rFonts w:ascii="Times New Roman" w:hAnsi="Times New Roman"/>
          <w:color w:val="000080"/>
        </w:rPr>
        <w:tab/>
      </w:r>
      <w:r w:rsidRPr="008B38AF">
        <w:rPr>
          <w:rFonts w:ascii="Times New Roman" w:hAnsi="Times New Roman"/>
          <w:color w:val="000080"/>
        </w:rPr>
        <w:tab/>
      </w:r>
      <w:r w:rsidRPr="008B38AF">
        <w:rPr>
          <w:rFonts w:ascii="Times New Roman" w:hAnsi="Times New Roman"/>
          <w:color w:val="000080"/>
        </w:rPr>
        <w:tab/>
      </w:r>
      <w:r w:rsidRPr="008B38AF">
        <w:rPr>
          <w:rFonts w:ascii="Times New Roman" w:hAnsi="Times New Roman"/>
          <w:color w:val="000080"/>
        </w:rPr>
        <w:tab/>
        <w:t>Sincerely,</w:t>
      </w:r>
    </w:p>
    <w:p w:rsidR="008B38AF" w:rsidRPr="008B38AF" w:rsidRDefault="008B38AF" w:rsidP="008B38AF">
      <w:pPr>
        <w:tabs>
          <w:tab w:val="left" w:pos="720"/>
        </w:tabs>
        <w:spacing w:line="240" w:lineRule="exact"/>
        <w:ind w:right="-360"/>
        <w:rPr>
          <w:rFonts w:ascii="Times New Roman" w:hAnsi="Times New Roman"/>
          <w:color w:val="000080"/>
        </w:rPr>
      </w:pPr>
    </w:p>
    <w:p w:rsidR="008B38AF" w:rsidRPr="008B38AF" w:rsidRDefault="008B38AF" w:rsidP="008B38AF">
      <w:pPr>
        <w:tabs>
          <w:tab w:val="left" w:pos="720"/>
        </w:tabs>
        <w:spacing w:line="240" w:lineRule="exact"/>
        <w:ind w:right="-1080"/>
        <w:rPr>
          <w:rFonts w:ascii="Times New Roman" w:hAnsi="Times New Roman"/>
          <w:color w:val="000080"/>
        </w:rPr>
      </w:pPr>
    </w:p>
    <w:p w:rsidR="008B38AF" w:rsidRPr="008B38AF" w:rsidRDefault="008B38AF" w:rsidP="008B38AF">
      <w:pPr>
        <w:tabs>
          <w:tab w:val="left" w:pos="720"/>
        </w:tabs>
        <w:spacing w:line="240" w:lineRule="exact"/>
        <w:ind w:right="-1080"/>
        <w:rPr>
          <w:rFonts w:ascii="Times New Roman" w:hAnsi="Times New Roman"/>
          <w:color w:val="000080"/>
        </w:rPr>
      </w:pPr>
    </w:p>
    <w:p w:rsidR="008B38AF" w:rsidRPr="008B38AF" w:rsidRDefault="008B38AF" w:rsidP="008B38AF">
      <w:pPr>
        <w:tabs>
          <w:tab w:val="left" w:pos="720"/>
        </w:tabs>
        <w:spacing w:line="240" w:lineRule="exact"/>
        <w:ind w:right="-1080"/>
        <w:rPr>
          <w:rFonts w:ascii="Times New Roman" w:hAnsi="Times New Roman"/>
          <w:color w:val="000080"/>
        </w:rPr>
      </w:pPr>
    </w:p>
    <w:p w:rsidR="008B38AF" w:rsidRPr="008B38AF" w:rsidRDefault="008B38AF" w:rsidP="008B38AF">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8B38AF" w:rsidRPr="008B38AF" w:rsidRDefault="008B38AF" w:rsidP="008B38AF">
      <w:pPr>
        <w:tabs>
          <w:tab w:val="left" w:pos="720"/>
        </w:tabs>
        <w:spacing w:line="240" w:lineRule="exact"/>
        <w:ind w:left="5040" w:right="-1080"/>
        <w:rPr>
          <w:rFonts w:ascii="Times New Roman" w:hAnsi="Times New Roman"/>
          <w:color w:val="000080"/>
        </w:rPr>
      </w:pPr>
      <w:r w:rsidRPr="008B38AF">
        <w:rPr>
          <w:rFonts w:ascii="Times New Roman" w:hAnsi="Times New Roman"/>
          <w:color w:val="000080"/>
        </w:rPr>
        <w:t>Director</w:t>
      </w:r>
    </w:p>
    <w:p w:rsidR="008B38AF" w:rsidRPr="008B38AF" w:rsidRDefault="008B38AF" w:rsidP="008B38AF">
      <w:pPr>
        <w:tabs>
          <w:tab w:val="left" w:pos="720"/>
        </w:tabs>
        <w:spacing w:line="240" w:lineRule="exact"/>
        <w:ind w:left="5040" w:right="-1080"/>
        <w:rPr>
          <w:rFonts w:ascii="Times New Roman" w:hAnsi="Times New Roman"/>
          <w:color w:val="000080"/>
        </w:rPr>
      </w:pPr>
      <w:r w:rsidRPr="008B38AF">
        <w:rPr>
          <w:rFonts w:ascii="Times New Roman" w:hAnsi="Times New Roman"/>
          <w:color w:val="000080"/>
        </w:rPr>
        <w:t>Air Force Review Boards Agency</w:t>
      </w:r>
    </w:p>
    <w:p w:rsidR="008B38AF" w:rsidRPr="008B38AF" w:rsidRDefault="008B38AF" w:rsidP="008B38AF">
      <w:pPr>
        <w:tabs>
          <w:tab w:val="left" w:pos="720"/>
        </w:tabs>
        <w:spacing w:line="240" w:lineRule="exact"/>
        <w:ind w:right="-1080"/>
        <w:rPr>
          <w:rFonts w:ascii="Times New Roman" w:hAnsi="Times New Roman"/>
          <w:color w:val="000080"/>
        </w:rPr>
      </w:pPr>
    </w:p>
    <w:p w:rsidR="008B38AF" w:rsidRPr="008B38AF" w:rsidRDefault="008B38AF" w:rsidP="008B38AF">
      <w:pPr>
        <w:tabs>
          <w:tab w:val="left" w:pos="720"/>
        </w:tabs>
        <w:spacing w:line="240" w:lineRule="exact"/>
        <w:ind w:right="-1080"/>
        <w:rPr>
          <w:rFonts w:ascii="Times New Roman" w:hAnsi="Times New Roman"/>
          <w:color w:val="000080"/>
        </w:rPr>
      </w:pPr>
      <w:r w:rsidRPr="008B38AF">
        <w:rPr>
          <w:rFonts w:ascii="Times New Roman" w:hAnsi="Times New Roman"/>
          <w:color w:val="000080"/>
        </w:rPr>
        <w:t>Attachments:</w:t>
      </w:r>
    </w:p>
    <w:p w:rsidR="008B38AF" w:rsidRPr="008B38AF" w:rsidRDefault="008B38AF" w:rsidP="008B38AF">
      <w:pPr>
        <w:tabs>
          <w:tab w:val="left" w:pos="720"/>
        </w:tabs>
        <w:spacing w:line="240" w:lineRule="exact"/>
        <w:ind w:right="-1080"/>
        <w:rPr>
          <w:rFonts w:ascii="Times New Roman" w:hAnsi="Times New Roman"/>
          <w:color w:val="000080"/>
        </w:rPr>
      </w:pPr>
      <w:r w:rsidRPr="008B38AF">
        <w:rPr>
          <w:rFonts w:ascii="Times New Roman" w:hAnsi="Times New Roman"/>
          <w:color w:val="000080"/>
        </w:rPr>
        <w:t>1.  Directive</w:t>
      </w:r>
    </w:p>
    <w:p w:rsidR="008B38AF" w:rsidRPr="008B38AF" w:rsidRDefault="008B38AF" w:rsidP="008B38AF">
      <w:pPr>
        <w:tabs>
          <w:tab w:val="left" w:pos="720"/>
        </w:tabs>
        <w:spacing w:line="240" w:lineRule="exact"/>
        <w:ind w:right="-1080"/>
        <w:rPr>
          <w:rFonts w:ascii="Times New Roman" w:hAnsi="Times New Roman"/>
          <w:color w:val="000080"/>
        </w:rPr>
      </w:pPr>
      <w:r w:rsidRPr="008B38AF">
        <w:rPr>
          <w:rFonts w:ascii="Times New Roman" w:hAnsi="Times New Roman"/>
          <w:color w:val="000080"/>
        </w:rPr>
        <w:t>2.  Record of Proceedings</w:t>
      </w:r>
    </w:p>
    <w:p w:rsidR="008B38AF" w:rsidRPr="008B38AF" w:rsidRDefault="008B38AF" w:rsidP="008B38AF">
      <w:pPr>
        <w:tabs>
          <w:tab w:val="left" w:pos="720"/>
        </w:tabs>
        <w:spacing w:line="240" w:lineRule="exact"/>
        <w:ind w:right="-1080"/>
        <w:rPr>
          <w:rFonts w:ascii="Times New Roman" w:hAnsi="Times New Roman"/>
          <w:color w:val="000080"/>
        </w:rPr>
      </w:pPr>
    </w:p>
    <w:p w:rsidR="008B38AF" w:rsidRPr="008B38AF" w:rsidRDefault="008B38AF" w:rsidP="008B38AF">
      <w:pPr>
        <w:tabs>
          <w:tab w:val="left" w:pos="720"/>
        </w:tabs>
        <w:spacing w:line="240" w:lineRule="exact"/>
        <w:ind w:right="-1080"/>
        <w:rPr>
          <w:rFonts w:ascii="Times New Roman" w:hAnsi="Times New Roman"/>
          <w:color w:val="000080"/>
        </w:rPr>
      </w:pPr>
      <w:r w:rsidRPr="008B38AF">
        <w:rPr>
          <w:rFonts w:ascii="Times New Roman" w:hAnsi="Times New Roman"/>
          <w:color w:val="000080"/>
        </w:rPr>
        <w:t>cc:</w:t>
      </w:r>
    </w:p>
    <w:p w:rsidR="008B38AF" w:rsidRPr="008B38AF" w:rsidRDefault="008B38AF" w:rsidP="008B38AF">
      <w:pPr>
        <w:tabs>
          <w:tab w:val="left" w:pos="720"/>
        </w:tabs>
        <w:spacing w:line="240" w:lineRule="exact"/>
        <w:ind w:right="-1080"/>
        <w:rPr>
          <w:rFonts w:ascii="Times New Roman" w:hAnsi="Times New Roman"/>
          <w:color w:val="000080"/>
        </w:rPr>
      </w:pPr>
      <w:r w:rsidRPr="008B38AF">
        <w:rPr>
          <w:rFonts w:ascii="Times New Roman" w:hAnsi="Times New Roman"/>
          <w:color w:val="000080"/>
        </w:rPr>
        <w:t>SAF/MRBR</w:t>
      </w:r>
    </w:p>
    <w:p w:rsidR="008B38AF" w:rsidRDefault="008B38AF" w:rsidP="008B38AF">
      <w:pPr>
        <w:tabs>
          <w:tab w:val="left" w:pos="720"/>
        </w:tabs>
        <w:spacing w:line="240" w:lineRule="exact"/>
        <w:ind w:right="-1080"/>
        <w:rPr>
          <w:rFonts w:ascii="Times New Roman" w:hAnsi="Times New Roman"/>
          <w:color w:val="000080"/>
        </w:rPr>
      </w:pPr>
      <w:r w:rsidRPr="008B38AF">
        <w:rPr>
          <w:rFonts w:ascii="Times New Roman" w:hAnsi="Times New Roman"/>
          <w:color w:val="000080"/>
        </w:rPr>
        <w:t>DFAS-IN</w:t>
      </w:r>
    </w:p>
    <w:p w:rsidR="008B38AF" w:rsidRDefault="008B38AF">
      <w:pPr>
        <w:rPr>
          <w:rFonts w:ascii="Times New Roman" w:hAnsi="Times New Roman"/>
          <w:color w:val="000080"/>
        </w:rPr>
      </w:pPr>
      <w:r>
        <w:rPr>
          <w:rFonts w:ascii="Times New Roman" w:hAnsi="Times New Roman"/>
          <w:color w:val="000080"/>
        </w:rPr>
        <w:br w:type="page"/>
      </w:r>
    </w:p>
    <w:p w:rsidR="008B38AF" w:rsidRPr="00366E20" w:rsidRDefault="008B38AF" w:rsidP="008B38AF">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PD-2010-00378</w:t>
      </w:r>
    </w:p>
    <w:p w:rsidR="008B38AF" w:rsidRPr="00366E20" w:rsidRDefault="008B38AF" w:rsidP="008B38AF">
      <w:pPr>
        <w:tabs>
          <w:tab w:val="left" w:pos="720"/>
        </w:tabs>
        <w:spacing w:line="240" w:lineRule="exact"/>
        <w:ind w:right="-360"/>
        <w:rPr>
          <w:rFonts w:ascii="Times New Roman" w:hAnsi="Times New Roman"/>
          <w:color w:val="000080"/>
        </w:rPr>
      </w:pPr>
    </w:p>
    <w:p w:rsidR="008B38AF" w:rsidRPr="00366E20" w:rsidRDefault="008B38AF" w:rsidP="008B38AF">
      <w:pPr>
        <w:tabs>
          <w:tab w:val="left" w:pos="720"/>
        </w:tabs>
        <w:spacing w:line="240" w:lineRule="exact"/>
        <w:ind w:right="-360"/>
        <w:rPr>
          <w:rFonts w:ascii="Times New Roman" w:hAnsi="Times New Roman"/>
          <w:color w:val="000080"/>
        </w:rPr>
      </w:pPr>
    </w:p>
    <w:p w:rsidR="008B38AF" w:rsidRPr="00366E20" w:rsidRDefault="008B38AF" w:rsidP="008B38AF">
      <w:pPr>
        <w:tabs>
          <w:tab w:val="left" w:pos="720"/>
        </w:tabs>
        <w:spacing w:line="240" w:lineRule="exact"/>
        <w:ind w:right="-360"/>
        <w:rPr>
          <w:rFonts w:ascii="Times New Roman" w:hAnsi="Times New Roman"/>
          <w:color w:val="000080"/>
        </w:rPr>
      </w:pPr>
    </w:p>
    <w:p w:rsidR="008B38AF" w:rsidRPr="00366E20" w:rsidRDefault="008B38AF" w:rsidP="008B38AF">
      <w:pPr>
        <w:tabs>
          <w:tab w:val="left" w:pos="720"/>
        </w:tabs>
        <w:spacing w:line="240" w:lineRule="exact"/>
        <w:ind w:right="-360"/>
        <w:rPr>
          <w:rFonts w:ascii="Times New Roman" w:hAnsi="Times New Roman"/>
          <w:color w:val="000080"/>
        </w:rPr>
      </w:pPr>
    </w:p>
    <w:p w:rsidR="008B38AF" w:rsidRPr="00366E20" w:rsidRDefault="008B38AF" w:rsidP="008B38AF">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8B38AF" w:rsidRPr="00366E20" w:rsidRDefault="008B38AF" w:rsidP="008B38AF">
      <w:pPr>
        <w:tabs>
          <w:tab w:val="left" w:pos="720"/>
        </w:tabs>
        <w:spacing w:line="240" w:lineRule="exact"/>
        <w:ind w:right="-360"/>
        <w:rPr>
          <w:rFonts w:ascii="Times New Roman" w:hAnsi="Times New Roman"/>
          <w:color w:val="000080"/>
        </w:rPr>
      </w:pPr>
    </w:p>
    <w:p w:rsidR="008B38AF" w:rsidRPr="00366E20" w:rsidRDefault="008B38AF" w:rsidP="008B38AF">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8B38AF" w:rsidRPr="00366E20" w:rsidRDefault="008B38AF" w:rsidP="008B38AF">
      <w:pPr>
        <w:tabs>
          <w:tab w:val="left" w:pos="720"/>
        </w:tabs>
        <w:spacing w:line="240" w:lineRule="exact"/>
        <w:ind w:right="-360"/>
        <w:rPr>
          <w:rFonts w:ascii="Times New Roman" w:hAnsi="Times New Roman"/>
          <w:color w:val="000080"/>
        </w:rPr>
      </w:pPr>
    </w:p>
    <w:p w:rsidR="008B38AF" w:rsidRDefault="008B38AF" w:rsidP="008B38AF">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The pertinent military records of the Departme</w:t>
      </w:r>
      <w:r>
        <w:rPr>
          <w:rFonts w:ascii="Times New Roman" w:hAnsi="Times New Roman"/>
          <w:color w:val="000080"/>
        </w:rPr>
        <w:t xml:space="preserve">nt of the Air Force relating xxxxxxxxxxxxxx, be corrected to show that the </w:t>
      </w:r>
      <w:r w:rsidRPr="00366E20">
        <w:rPr>
          <w:rFonts w:ascii="Times New Roman" w:hAnsi="Times New Roman"/>
          <w:color w:val="000080"/>
        </w:rPr>
        <w:t>diagnosis in his finding of unfitness was</w:t>
      </w:r>
      <w:r>
        <w:rPr>
          <w:rFonts w:ascii="Times New Roman" w:hAnsi="Times New Roman"/>
          <w:color w:val="000080"/>
        </w:rPr>
        <w:t xml:space="preserve"> Left Chronic Knee Pain, VASRD code 5099-5003, rated at 10% and Right Chronic Knee Pain, VASRD code 5099-5003, rated at 0% with a combined total rating of 10%; rather than Bilateral Chronic Knee Pain, VASRD Code 5003-5299, rated at 10%. </w:t>
      </w:r>
    </w:p>
    <w:p w:rsidR="008B38AF" w:rsidRDefault="008B38AF" w:rsidP="008B38AF">
      <w:pPr>
        <w:tabs>
          <w:tab w:val="left" w:pos="720"/>
        </w:tabs>
        <w:spacing w:line="240" w:lineRule="exact"/>
        <w:ind w:right="-360"/>
        <w:outlineLvl w:val="0"/>
        <w:rPr>
          <w:rFonts w:ascii="Times New Roman" w:hAnsi="Times New Roman"/>
          <w:color w:val="000080"/>
        </w:rPr>
      </w:pPr>
    </w:p>
    <w:p w:rsidR="008B38AF" w:rsidRDefault="008B38AF" w:rsidP="008B38AF">
      <w:pPr>
        <w:tabs>
          <w:tab w:val="left" w:pos="720"/>
        </w:tabs>
        <w:spacing w:line="240" w:lineRule="exact"/>
        <w:ind w:right="-360"/>
        <w:outlineLvl w:val="0"/>
        <w:rPr>
          <w:rFonts w:ascii="Times New Roman" w:hAnsi="Times New Roman"/>
          <w:color w:val="000080"/>
        </w:rPr>
      </w:pPr>
    </w:p>
    <w:p w:rsidR="008B38AF" w:rsidRDefault="008B38AF" w:rsidP="008B38AF">
      <w:pPr>
        <w:tabs>
          <w:tab w:val="left" w:pos="720"/>
        </w:tabs>
        <w:spacing w:line="240" w:lineRule="exact"/>
        <w:ind w:right="-360"/>
        <w:outlineLvl w:val="0"/>
        <w:rPr>
          <w:rFonts w:ascii="Times New Roman" w:hAnsi="Times New Roman"/>
          <w:color w:val="000080"/>
        </w:rPr>
      </w:pPr>
    </w:p>
    <w:p w:rsidR="008B38AF" w:rsidRDefault="008B38AF" w:rsidP="008B38AF">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p>
    <w:p w:rsidR="008B38AF" w:rsidRDefault="008B38AF" w:rsidP="008B38AF">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8B38AF" w:rsidRDefault="008B38AF" w:rsidP="008B38AF">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8B38AF" w:rsidRPr="008B38AF" w:rsidRDefault="008B38AF" w:rsidP="008B38AF">
      <w:pPr>
        <w:tabs>
          <w:tab w:val="left" w:pos="720"/>
        </w:tabs>
        <w:spacing w:line="240" w:lineRule="exact"/>
        <w:ind w:right="-1080"/>
        <w:rPr>
          <w:rFonts w:ascii="Times New Roman" w:hAnsi="Times New Roman"/>
          <w:color w:val="000080"/>
        </w:rPr>
      </w:pPr>
    </w:p>
    <w:p w:rsidR="00370535" w:rsidRPr="00006186" w:rsidRDefault="00370535" w:rsidP="0037053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A04B3" w:rsidRPr="00FF093F" w:rsidRDefault="00AA04B3" w:rsidP="00875F2D">
      <w:pPr>
        <w:tabs>
          <w:tab w:val="left" w:pos="288"/>
          <w:tab w:val="left" w:pos="4320"/>
          <w:tab w:val="left" w:pos="4410"/>
          <w:tab w:val="left" w:pos="4770"/>
          <w:tab w:val="left" w:pos="4860"/>
          <w:tab w:val="left" w:pos="5040"/>
        </w:tabs>
        <w:spacing w:line="240" w:lineRule="exact"/>
        <w:jc w:val="both"/>
        <w:rPr>
          <w:color w:val="auto"/>
        </w:rPr>
      </w:pPr>
    </w:p>
    <w:sectPr w:rsidR="00AA04B3" w:rsidRPr="00FF093F" w:rsidSect="006418C9">
      <w:footerReference w:type="even" r:id="rId7"/>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DC7" w:rsidRDefault="00C15DC7">
      <w:r>
        <w:separator/>
      </w:r>
    </w:p>
  </w:endnote>
  <w:endnote w:type="continuationSeparator" w:id="0">
    <w:p w:rsidR="00C15DC7" w:rsidRDefault="00C15DC7">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23" w:rsidRDefault="00C80381">
    <w:pPr>
      <w:pStyle w:val="Footer"/>
      <w:framePr w:wrap="around" w:vAnchor="text" w:hAnchor="margin" w:xAlign="center" w:y="1"/>
      <w:rPr>
        <w:rStyle w:val="PageNumber"/>
      </w:rPr>
    </w:pPr>
    <w:r>
      <w:rPr>
        <w:rStyle w:val="PageNumber"/>
      </w:rPr>
      <w:fldChar w:fldCharType="begin"/>
    </w:r>
    <w:r w:rsidR="009C5223">
      <w:rPr>
        <w:rStyle w:val="PageNumber"/>
      </w:rPr>
      <w:instrText xml:space="preserve">PAGE  </w:instrText>
    </w:r>
    <w:r>
      <w:rPr>
        <w:rStyle w:val="PageNumber"/>
      </w:rPr>
      <w:fldChar w:fldCharType="separate"/>
    </w:r>
    <w:r w:rsidR="009C5223">
      <w:rPr>
        <w:rStyle w:val="PageNumber"/>
        <w:noProof/>
      </w:rPr>
      <w:t>2</w:t>
    </w:r>
    <w:r>
      <w:rPr>
        <w:rStyle w:val="PageNumber"/>
      </w:rPr>
      <w:fldChar w:fldCharType="end"/>
    </w:r>
  </w:p>
  <w:p w:rsidR="009C5223" w:rsidRDefault="009C522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23" w:rsidRPr="00280894" w:rsidRDefault="00C80381">
    <w:pPr>
      <w:pStyle w:val="Footer"/>
      <w:framePr w:wrap="around" w:vAnchor="text" w:hAnchor="margin" w:xAlign="center" w:y="1"/>
      <w:rPr>
        <w:rStyle w:val="PageNumber"/>
        <w:rFonts w:asciiTheme="minorHAnsi" w:hAnsiTheme="minorHAnsi"/>
        <w:color w:val="auto"/>
      </w:rPr>
    </w:pPr>
    <w:r w:rsidRPr="00280894">
      <w:rPr>
        <w:rStyle w:val="PageNumber"/>
        <w:rFonts w:asciiTheme="minorHAnsi" w:hAnsiTheme="minorHAnsi"/>
        <w:color w:val="auto"/>
      </w:rPr>
      <w:fldChar w:fldCharType="begin"/>
    </w:r>
    <w:r w:rsidR="009C5223" w:rsidRPr="00280894">
      <w:rPr>
        <w:rStyle w:val="PageNumber"/>
        <w:rFonts w:asciiTheme="minorHAnsi" w:hAnsiTheme="minorHAnsi"/>
        <w:color w:val="auto"/>
      </w:rPr>
      <w:instrText xml:space="preserve">PAGE  </w:instrText>
    </w:r>
    <w:r w:rsidRPr="00280894">
      <w:rPr>
        <w:rStyle w:val="PageNumber"/>
        <w:rFonts w:asciiTheme="minorHAnsi" w:hAnsiTheme="minorHAnsi"/>
        <w:color w:val="auto"/>
      </w:rPr>
      <w:fldChar w:fldCharType="separate"/>
    </w:r>
    <w:r w:rsidR="008B38AF">
      <w:rPr>
        <w:rStyle w:val="PageNumber"/>
        <w:rFonts w:asciiTheme="minorHAnsi" w:hAnsiTheme="minorHAnsi"/>
        <w:noProof/>
        <w:color w:val="auto"/>
      </w:rPr>
      <w:t>4</w:t>
    </w:r>
    <w:r w:rsidRPr="00280894">
      <w:rPr>
        <w:rStyle w:val="PageNumber"/>
        <w:rFonts w:asciiTheme="minorHAnsi" w:hAnsiTheme="minorHAnsi"/>
        <w:color w:val="auto"/>
      </w:rPr>
      <w:fldChar w:fldCharType="end"/>
    </w:r>
  </w:p>
  <w:p w:rsidR="009C5223" w:rsidRPr="00280894" w:rsidRDefault="009C5223" w:rsidP="002B0749">
    <w:pPr>
      <w:pStyle w:val="Footer"/>
      <w:jc w:val="right"/>
      <w:rPr>
        <w:rFonts w:asciiTheme="minorHAnsi" w:hAnsiTheme="minorHAnsi"/>
        <w:color w:val="auto"/>
      </w:rPr>
    </w:pPr>
    <w:r>
      <w:tab/>
    </w:r>
    <w:r w:rsidRPr="00280894">
      <w:rPr>
        <w:rFonts w:asciiTheme="minorHAnsi" w:hAnsiTheme="minorHAnsi"/>
      </w:rPr>
      <w:tab/>
    </w:r>
    <w:r w:rsidRPr="00280894">
      <w:rPr>
        <w:rFonts w:asciiTheme="minorHAnsi" w:hAnsiTheme="minorHAnsi"/>
        <w:caps/>
        <w:color w:val="auto"/>
      </w:rPr>
      <w:t>PD</w:t>
    </w:r>
    <w:r w:rsidR="00370535" w:rsidRPr="00280894">
      <w:rPr>
        <w:rFonts w:asciiTheme="minorHAnsi" w:hAnsiTheme="minorHAnsi"/>
        <w:caps/>
        <w:color w:val="auto"/>
      </w:rPr>
      <w:t>1000378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370535" w:rsidRPr="00684CE6" w:rsidRDefault="00370535" w:rsidP="00370535">
        <w:pPr>
          <w:pStyle w:val="Footer"/>
          <w:jc w:val="right"/>
          <w:rPr>
            <w:color w:val="auto"/>
          </w:rPr>
        </w:pPr>
        <w:r w:rsidRPr="00684CE6">
          <w:rPr>
            <w:color w:val="auto"/>
          </w:rPr>
          <w:t xml:space="preserve">                                                           </w:t>
        </w:r>
        <w:r w:rsidRPr="00370535">
          <w:rPr>
            <w:color w:val="auto"/>
          </w:rPr>
          <w:t>PD1000378</w:t>
        </w:r>
      </w:p>
    </w:sdtContent>
  </w:sdt>
  <w:p w:rsidR="00370535" w:rsidRDefault="00370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DC7" w:rsidRDefault="00C15DC7">
      <w:r>
        <w:separator/>
      </w:r>
    </w:p>
  </w:footnote>
  <w:footnote w:type="continuationSeparator" w:id="0">
    <w:p w:rsidR="00C15DC7" w:rsidRDefault="00C15D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15074"/>
  </w:hdrShapeDefaults>
  <w:footnotePr>
    <w:numRestart w:val="eachSect"/>
    <w:footnote w:id="-1"/>
    <w:footnote w:id="0"/>
  </w:footnotePr>
  <w:endnotePr>
    <w:endnote w:id="-1"/>
    <w:endnote w:id="0"/>
  </w:endnotePr>
  <w:compat/>
  <w:rsids>
    <w:rsidRoot w:val="001C28D1"/>
    <w:rsid w:val="000059FA"/>
    <w:rsid w:val="00006F87"/>
    <w:rsid w:val="00010ABA"/>
    <w:rsid w:val="00010C8C"/>
    <w:rsid w:val="00012428"/>
    <w:rsid w:val="00013417"/>
    <w:rsid w:val="000145C2"/>
    <w:rsid w:val="0001473F"/>
    <w:rsid w:val="00023D43"/>
    <w:rsid w:val="00032E07"/>
    <w:rsid w:val="000332CA"/>
    <w:rsid w:val="0003374E"/>
    <w:rsid w:val="000344E6"/>
    <w:rsid w:val="00035C3A"/>
    <w:rsid w:val="00036E4B"/>
    <w:rsid w:val="000379D0"/>
    <w:rsid w:val="00040FC4"/>
    <w:rsid w:val="000416F8"/>
    <w:rsid w:val="0004366A"/>
    <w:rsid w:val="00051622"/>
    <w:rsid w:val="00052234"/>
    <w:rsid w:val="00053D7C"/>
    <w:rsid w:val="000577C9"/>
    <w:rsid w:val="00061EC2"/>
    <w:rsid w:val="0006431E"/>
    <w:rsid w:val="00072433"/>
    <w:rsid w:val="00075702"/>
    <w:rsid w:val="000775C2"/>
    <w:rsid w:val="000806AD"/>
    <w:rsid w:val="00082482"/>
    <w:rsid w:val="0008708B"/>
    <w:rsid w:val="00094E4F"/>
    <w:rsid w:val="000A2BCE"/>
    <w:rsid w:val="000A41E3"/>
    <w:rsid w:val="000A4BBA"/>
    <w:rsid w:val="000A5071"/>
    <w:rsid w:val="000B2AD3"/>
    <w:rsid w:val="000B6C1F"/>
    <w:rsid w:val="000C06F6"/>
    <w:rsid w:val="000C3C13"/>
    <w:rsid w:val="000C5813"/>
    <w:rsid w:val="000C7DE4"/>
    <w:rsid w:val="000D15E7"/>
    <w:rsid w:val="000D1A24"/>
    <w:rsid w:val="000D21C7"/>
    <w:rsid w:val="000D248A"/>
    <w:rsid w:val="000D43F9"/>
    <w:rsid w:val="000D4717"/>
    <w:rsid w:val="000D6457"/>
    <w:rsid w:val="000D7D55"/>
    <w:rsid w:val="000E0993"/>
    <w:rsid w:val="000E32A7"/>
    <w:rsid w:val="000E37E0"/>
    <w:rsid w:val="000E3D19"/>
    <w:rsid w:val="000F02BE"/>
    <w:rsid w:val="000F427B"/>
    <w:rsid w:val="001008C1"/>
    <w:rsid w:val="00103CCF"/>
    <w:rsid w:val="0010417F"/>
    <w:rsid w:val="001042D2"/>
    <w:rsid w:val="0010530E"/>
    <w:rsid w:val="001103CD"/>
    <w:rsid w:val="00114F20"/>
    <w:rsid w:val="001219DF"/>
    <w:rsid w:val="001231DC"/>
    <w:rsid w:val="001272AE"/>
    <w:rsid w:val="001315DD"/>
    <w:rsid w:val="00135385"/>
    <w:rsid w:val="001364D1"/>
    <w:rsid w:val="00142EBA"/>
    <w:rsid w:val="00150DCB"/>
    <w:rsid w:val="00153740"/>
    <w:rsid w:val="001541C5"/>
    <w:rsid w:val="0015623F"/>
    <w:rsid w:val="00156BA9"/>
    <w:rsid w:val="0016396A"/>
    <w:rsid w:val="00166182"/>
    <w:rsid w:val="00177659"/>
    <w:rsid w:val="001779E5"/>
    <w:rsid w:val="00182A4C"/>
    <w:rsid w:val="00183F77"/>
    <w:rsid w:val="00185DA8"/>
    <w:rsid w:val="00185ECB"/>
    <w:rsid w:val="001870F0"/>
    <w:rsid w:val="0019273F"/>
    <w:rsid w:val="00193AD5"/>
    <w:rsid w:val="00194930"/>
    <w:rsid w:val="001A08CD"/>
    <w:rsid w:val="001A5320"/>
    <w:rsid w:val="001A5E62"/>
    <w:rsid w:val="001A7538"/>
    <w:rsid w:val="001B0B1A"/>
    <w:rsid w:val="001B4EC2"/>
    <w:rsid w:val="001B5B59"/>
    <w:rsid w:val="001B7C8C"/>
    <w:rsid w:val="001C181A"/>
    <w:rsid w:val="001C2053"/>
    <w:rsid w:val="001C23F1"/>
    <w:rsid w:val="001C28D1"/>
    <w:rsid w:val="001C5CFC"/>
    <w:rsid w:val="001C7418"/>
    <w:rsid w:val="001D0051"/>
    <w:rsid w:val="001D2224"/>
    <w:rsid w:val="001D3693"/>
    <w:rsid w:val="001D68CF"/>
    <w:rsid w:val="001D6A8C"/>
    <w:rsid w:val="001D7A56"/>
    <w:rsid w:val="001E15C0"/>
    <w:rsid w:val="001E18E0"/>
    <w:rsid w:val="001E18E2"/>
    <w:rsid w:val="001E2A30"/>
    <w:rsid w:val="001E33D1"/>
    <w:rsid w:val="00200AA0"/>
    <w:rsid w:val="00202736"/>
    <w:rsid w:val="00203652"/>
    <w:rsid w:val="002060B6"/>
    <w:rsid w:val="00216049"/>
    <w:rsid w:val="00217C09"/>
    <w:rsid w:val="00220F5C"/>
    <w:rsid w:val="00224B22"/>
    <w:rsid w:val="00225196"/>
    <w:rsid w:val="00225CB4"/>
    <w:rsid w:val="0023049F"/>
    <w:rsid w:val="002316F6"/>
    <w:rsid w:val="00232AE7"/>
    <w:rsid w:val="00232C9B"/>
    <w:rsid w:val="00232F09"/>
    <w:rsid w:val="002335D5"/>
    <w:rsid w:val="002338CA"/>
    <w:rsid w:val="00233FE5"/>
    <w:rsid w:val="002402B5"/>
    <w:rsid w:val="0024174E"/>
    <w:rsid w:val="0024227D"/>
    <w:rsid w:val="002466C0"/>
    <w:rsid w:val="00246860"/>
    <w:rsid w:val="00246DFF"/>
    <w:rsid w:val="00246E89"/>
    <w:rsid w:val="00250EA3"/>
    <w:rsid w:val="0025183C"/>
    <w:rsid w:val="002528EC"/>
    <w:rsid w:val="002545DF"/>
    <w:rsid w:val="00255049"/>
    <w:rsid w:val="00257DE5"/>
    <w:rsid w:val="00260531"/>
    <w:rsid w:val="0026318D"/>
    <w:rsid w:val="00270864"/>
    <w:rsid w:val="002712F7"/>
    <w:rsid w:val="0027159C"/>
    <w:rsid w:val="00274549"/>
    <w:rsid w:val="00274E46"/>
    <w:rsid w:val="00276C86"/>
    <w:rsid w:val="00280894"/>
    <w:rsid w:val="002810A4"/>
    <w:rsid w:val="00284A26"/>
    <w:rsid w:val="00286239"/>
    <w:rsid w:val="002A3237"/>
    <w:rsid w:val="002A685E"/>
    <w:rsid w:val="002A72C7"/>
    <w:rsid w:val="002B03B2"/>
    <w:rsid w:val="002B0749"/>
    <w:rsid w:val="002B2645"/>
    <w:rsid w:val="002C5F10"/>
    <w:rsid w:val="002C6E5B"/>
    <w:rsid w:val="002D18B4"/>
    <w:rsid w:val="002D231A"/>
    <w:rsid w:val="002E1877"/>
    <w:rsid w:val="002E1C31"/>
    <w:rsid w:val="002E333A"/>
    <w:rsid w:val="002E3474"/>
    <w:rsid w:val="002E400C"/>
    <w:rsid w:val="002E49C3"/>
    <w:rsid w:val="002E7570"/>
    <w:rsid w:val="002E764B"/>
    <w:rsid w:val="002F0E28"/>
    <w:rsid w:val="002F287E"/>
    <w:rsid w:val="002F2D63"/>
    <w:rsid w:val="002F7742"/>
    <w:rsid w:val="002F7F81"/>
    <w:rsid w:val="00300A36"/>
    <w:rsid w:val="0030678B"/>
    <w:rsid w:val="00310CD7"/>
    <w:rsid w:val="0032136A"/>
    <w:rsid w:val="00323E70"/>
    <w:rsid w:val="00325BA2"/>
    <w:rsid w:val="00326F7F"/>
    <w:rsid w:val="003320E8"/>
    <w:rsid w:val="0033555E"/>
    <w:rsid w:val="00336805"/>
    <w:rsid w:val="00337351"/>
    <w:rsid w:val="00341A54"/>
    <w:rsid w:val="003443B3"/>
    <w:rsid w:val="0034669F"/>
    <w:rsid w:val="00351498"/>
    <w:rsid w:val="00352B22"/>
    <w:rsid w:val="003567DE"/>
    <w:rsid w:val="0036319E"/>
    <w:rsid w:val="003632A4"/>
    <w:rsid w:val="00363362"/>
    <w:rsid w:val="00370535"/>
    <w:rsid w:val="00370743"/>
    <w:rsid w:val="00370EF5"/>
    <w:rsid w:val="00372251"/>
    <w:rsid w:val="003731E6"/>
    <w:rsid w:val="0037520D"/>
    <w:rsid w:val="0037628C"/>
    <w:rsid w:val="00376B81"/>
    <w:rsid w:val="00377BD2"/>
    <w:rsid w:val="003821E1"/>
    <w:rsid w:val="00384866"/>
    <w:rsid w:val="003857D4"/>
    <w:rsid w:val="00385D6F"/>
    <w:rsid w:val="00387095"/>
    <w:rsid w:val="00390092"/>
    <w:rsid w:val="00393651"/>
    <w:rsid w:val="003A41BA"/>
    <w:rsid w:val="003A6A99"/>
    <w:rsid w:val="003A7C0E"/>
    <w:rsid w:val="003A7FF8"/>
    <w:rsid w:val="003B227A"/>
    <w:rsid w:val="003B5854"/>
    <w:rsid w:val="003B6764"/>
    <w:rsid w:val="003C0780"/>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3FBC"/>
    <w:rsid w:val="00404B45"/>
    <w:rsid w:val="00406CC5"/>
    <w:rsid w:val="004074A4"/>
    <w:rsid w:val="0040779C"/>
    <w:rsid w:val="004101B2"/>
    <w:rsid w:val="004123D7"/>
    <w:rsid w:val="004172DB"/>
    <w:rsid w:val="00420AB5"/>
    <w:rsid w:val="00421485"/>
    <w:rsid w:val="00422B75"/>
    <w:rsid w:val="00433F36"/>
    <w:rsid w:val="0043503A"/>
    <w:rsid w:val="0044384F"/>
    <w:rsid w:val="00446018"/>
    <w:rsid w:val="004543BC"/>
    <w:rsid w:val="0045645D"/>
    <w:rsid w:val="004574C6"/>
    <w:rsid w:val="00457BCF"/>
    <w:rsid w:val="00457DCE"/>
    <w:rsid w:val="00460E3F"/>
    <w:rsid w:val="00467592"/>
    <w:rsid w:val="004718E7"/>
    <w:rsid w:val="004761CC"/>
    <w:rsid w:val="00480D4A"/>
    <w:rsid w:val="00481DA1"/>
    <w:rsid w:val="0049445D"/>
    <w:rsid w:val="004950A4"/>
    <w:rsid w:val="00495350"/>
    <w:rsid w:val="00497156"/>
    <w:rsid w:val="004A1C89"/>
    <w:rsid w:val="004A24D2"/>
    <w:rsid w:val="004A4136"/>
    <w:rsid w:val="004A417B"/>
    <w:rsid w:val="004A7A55"/>
    <w:rsid w:val="004B03F3"/>
    <w:rsid w:val="004B2536"/>
    <w:rsid w:val="004B6AF3"/>
    <w:rsid w:val="004B6CE8"/>
    <w:rsid w:val="004B715E"/>
    <w:rsid w:val="004B7169"/>
    <w:rsid w:val="004B79C9"/>
    <w:rsid w:val="004C5E33"/>
    <w:rsid w:val="004C6CDA"/>
    <w:rsid w:val="004D10D4"/>
    <w:rsid w:val="004D16BD"/>
    <w:rsid w:val="004D6F2B"/>
    <w:rsid w:val="004E0248"/>
    <w:rsid w:val="004E21A3"/>
    <w:rsid w:val="004E32EA"/>
    <w:rsid w:val="004F3222"/>
    <w:rsid w:val="004F3BFA"/>
    <w:rsid w:val="00510588"/>
    <w:rsid w:val="0051146C"/>
    <w:rsid w:val="00512F25"/>
    <w:rsid w:val="005222E7"/>
    <w:rsid w:val="00523E04"/>
    <w:rsid w:val="0052590B"/>
    <w:rsid w:val="00526591"/>
    <w:rsid w:val="00527178"/>
    <w:rsid w:val="005350A5"/>
    <w:rsid w:val="00536379"/>
    <w:rsid w:val="00537238"/>
    <w:rsid w:val="005400C5"/>
    <w:rsid w:val="00540BEF"/>
    <w:rsid w:val="00542C9A"/>
    <w:rsid w:val="005436C2"/>
    <w:rsid w:val="0054586A"/>
    <w:rsid w:val="0055288D"/>
    <w:rsid w:val="00555259"/>
    <w:rsid w:val="00560D57"/>
    <w:rsid w:val="00562A94"/>
    <w:rsid w:val="005710A9"/>
    <w:rsid w:val="00577DCE"/>
    <w:rsid w:val="00593043"/>
    <w:rsid w:val="00595BF0"/>
    <w:rsid w:val="005A258C"/>
    <w:rsid w:val="005A3560"/>
    <w:rsid w:val="005A6C99"/>
    <w:rsid w:val="005B011A"/>
    <w:rsid w:val="005B1D8F"/>
    <w:rsid w:val="005B1E94"/>
    <w:rsid w:val="005B5B3D"/>
    <w:rsid w:val="005C3758"/>
    <w:rsid w:val="005E3064"/>
    <w:rsid w:val="005E7290"/>
    <w:rsid w:val="005F1115"/>
    <w:rsid w:val="005F27F2"/>
    <w:rsid w:val="005F424D"/>
    <w:rsid w:val="00604701"/>
    <w:rsid w:val="00605AAB"/>
    <w:rsid w:val="00606BEB"/>
    <w:rsid w:val="0061014A"/>
    <w:rsid w:val="00613E26"/>
    <w:rsid w:val="00615641"/>
    <w:rsid w:val="006211D0"/>
    <w:rsid w:val="00624D0C"/>
    <w:rsid w:val="006307BA"/>
    <w:rsid w:val="006315BA"/>
    <w:rsid w:val="00634C4A"/>
    <w:rsid w:val="0063532E"/>
    <w:rsid w:val="00637BDC"/>
    <w:rsid w:val="006418C9"/>
    <w:rsid w:val="00642BD6"/>
    <w:rsid w:val="00645046"/>
    <w:rsid w:val="00645EA2"/>
    <w:rsid w:val="006573F2"/>
    <w:rsid w:val="00662F08"/>
    <w:rsid w:val="00663589"/>
    <w:rsid w:val="00670DDC"/>
    <w:rsid w:val="00671EB4"/>
    <w:rsid w:val="00673EEF"/>
    <w:rsid w:val="0067443B"/>
    <w:rsid w:val="006767D8"/>
    <w:rsid w:val="00676957"/>
    <w:rsid w:val="00680FA7"/>
    <w:rsid w:val="00684E2B"/>
    <w:rsid w:val="00690FDA"/>
    <w:rsid w:val="00694EEA"/>
    <w:rsid w:val="006955B4"/>
    <w:rsid w:val="00696476"/>
    <w:rsid w:val="00696AE6"/>
    <w:rsid w:val="006A10FA"/>
    <w:rsid w:val="006A40E6"/>
    <w:rsid w:val="006A5C07"/>
    <w:rsid w:val="006A75FA"/>
    <w:rsid w:val="006B07D5"/>
    <w:rsid w:val="006B1309"/>
    <w:rsid w:val="006B5923"/>
    <w:rsid w:val="006B67D9"/>
    <w:rsid w:val="006B6C14"/>
    <w:rsid w:val="006C1D6E"/>
    <w:rsid w:val="006C3A68"/>
    <w:rsid w:val="006C6AB1"/>
    <w:rsid w:val="006D2D39"/>
    <w:rsid w:val="006D5CE2"/>
    <w:rsid w:val="006E06D1"/>
    <w:rsid w:val="006E1313"/>
    <w:rsid w:val="006E2DC8"/>
    <w:rsid w:val="006E7356"/>
    <w:rsid w:val="006E77C8"/>
    <w:rsid w:val="006F149D"/>
    <w:rsid w:val="006F1A46"/>
    <w:rsid w:val="006F5A4E"/>
    <w:rsid w:val="00703B6C"/>
    <w:rsid w:val="00705C40"/>
    <w:rsid w:val="00706482"/>
    <w:rsid w:val="00706BEF"/>
    <w:rsid w:val="007116BC"/>
    <w:rsid w:val="007165CE"/>
    <w:rsid w:val="00720968"/>
    <w:rsid w:val="00721D12"/>
    <w:rsid w:val="00721F8B"/>
    <w:rsid w:val="0073254D"/>
    <w:rsid w:val="00733316"/>
    <w:rsid w:val="00736A49"/>
    <w:rsid w:val="00743B71"/>
    <w:rsid w:val="00743C2D"/>
    <w:rsid w:val="00743E36"/>
    <w:rsid w:val="007446F7"/>
    <w:rsid w:val="00744EBB"/>
    <w:rsid w:val="00745B0A"/>
    <w:rsid w:val="007468AC"/>
    <w:rsid w:val="00746AE2"/>
    <w:rsid w:val="00750C82"/>
    <w:rsid w:val="0076100C"/>
    <w:rsid w:val="007651ED"/>
    <w:rsid w:val="00766C87"/>
    <w:rsid w:val="00781BD4"/>
    <w:rsid w:val="00784832"/>
    <w:rsid w:val="00785D77"/>
    <w:rsid w:val="00786111"/>
    <w:rsid w:val="00791F1E"/>
    <w:rsid w:val="00793094"/>
    <w:rsid w:val="00794F3D"/>
    <w:rsid w:val="007968AC"/>
    <w:rsid w:val="007969AB"/>
    <w:rsid w:val="007A0B39"/>
    <w:rsid w:val="007A14A4"/>
    <w:rsid w:val="007A168F"/>
    <w:rsid w:val="007A28E4"/>
    <w:rsid w:val="007A3BB3"/>
    <w:rsid w:val="007A5AD1"/>
    <w:rsid w:val="007A5B7B"/>
    <w:rsid w:val="007B0A06"/>
    <w:rsid w:val="007B5C5C"/>
    <w:rsid w:val="007B7B37"/>
    <w:rsid w:val="007B7C41"/>
    <w:rsid w:val="007C433E"/>
    <w:rsid w:val="007C4DB1"/>
    <w:rsid w:val="007C6046"/>
    <w:rsid w:val="007D0292"/>
    <w:rsid w:val="007D1D24"/>
    <w:rsid w:val="007D21AC"/>
    <w:rsid w:val="007D568A"/>
    <w:rsid w:val="007D574E"/>
    <w:rsid w:val="007E2046"/>
    <w:rsid w:val="007E2FAC"/>
    <w:rsid w:val="007E3883"/>
    <w:rsid w:val="007E445A"/>
    <w:rsid w:val="007E4FBB"/>
    <w:rsid w:val="007E55BF"/>
    <w:rsid w:val="007E71B1"/>
    <w:rsid w:val="007E7B4E"/>
    <w:rsid w:val="007F0CE2"/>
    <w:rsid w:val="007F0EFF"/>
    <w:rsid w:val="007F1375"/>
    <w:rsid w:val="00803850"/>
    <w:rsid w:val="00805AFD"/>
    <w:rsid w:val="00811D5B"/>
    <w:rsid w:val="00817713"/>
    <w:rsid w:val="008220F1"/>
    <w:rsid w:val="00827DB6"/>
    <w:rsid w:val="00830999"/>
    <w:rsid w:val="00830D5E"/>
    <w:rsid w:val="00830F69"/>
    <w:rsid w:val="00833418"/>
    <w:rsid w:val="00834458"/>
    <w:rsid w:val="00835841"/>
    <w:rsid w:val="00837465"/>
    <w:rsid w:val="00841243"/>
    <w:rsid w:val="00841457"/>
    <w:rsid w:val="0084374E"/>
    <w:rsid w:val="00844842"/>
    <w:rsid w:val="00844DD0"/>
    <w:rsid w:val="00850DCC"/>
    <w:rsid w:val="0085206E"/>
    <w:rsid w:val="00852AD4"/>
    <w:rsid w:val="00852BA8"/>
    <w:rsid w:val="00853718"/>
    <w:rsid w:val="008541EF"/>
    <w:rsid w:val="00855FF2"/>
    <w:rsid w:val="00856FA4"/>
    <w:rsid w:val="0086162B"/>
    <w:rsid w:val="00865207"/>
    <w:rsid w:val="008656A7"/>
    <w:rsid w:val="00871262"/>
    <w:rsid w:val="00871D4E"/>
    <w:rsid w:val="00871E7B"/>
    <w:rsid w:val="00871FDA"/>
    <w:rsid w:val="00875B51"/>
    <w:rsid w:val="00875F2D"/>
    <w:rsid w:val="008764DC"/>
    <w:rsid w:val="00882CC2"/>
    <w:rsid w:val="00883930"/>
    <w:rsid w:val="00891948"/>
    <w:rsid w:val="00895976"/>
    <w:rsid w:val="00896535"/>
    <w:rsid w:val="00896683"/>
    <w:rsid w:val="008A63A9"/>
    <w:rsid w:val="008B04DB"/>
    <w:rsid w:val="008B27FD"/>
    <w:rsid w:val="008B38AF"/>
    <w:rsid w:val="008B3AF2"/>
    <w:rsid w:val="008B515D"/>
    <w:rsid w:val="008B5D31"/>
    <w:rsid w:val="008B6705"/>
    <w:rsid w:val="008B68AE"/>
    <w:rsid w:val="008D795D"/>
    <w:rsid w:val="008D7B07"/>
    <w:rsid w:val="008E2D99"/>
    <w:rsid w:val="008E4A60"/>
    <w:rsid w:val="008E5870"/>
    <w:rsid w:val="009014E3"/>
    <w:rsid w:val="009026E8"/>
    <w:rsid w:val="0090690E"/>
    <w:rsid w:val="00906EB7"/>
    <w:rsid w:val="009102BF"/>
    <w:rsid w:val="009115F2"/>
    <w:rsid w:val="00914ADB"/>
    <w:rsid w:val="00923B25"/>
    <w:rsid w:val="0092402E"/>
    <w:rsid w:val="00926FCB"/>
    <w:rsid w:val="00942645"/>
    <w:rsid w:val="00950A3A"/>
    <w:rsid w:val="0095340A"/>
    <w:rsid w:val="00954581"/>
    <w:rsid w:val="0095466C"/>
    <w:rsid w:val="00954E5B"/>
    <w:rsid w:val="009576BC"/>
    <w:rsid w:val="00960357"/>
    <w:rsid w:val="0096168C"/>
    <w:rsid w:val="00961840"/>
    <w:rsid w:val="00962F2D"/>
    <w:rsid w:val="0096605F"/>
    <w:rsid w:val="009672CD"/>
    <w:rsid w:val="00972996"/>
    <w:rsid w:val="009732B8"/>
    <w:rsid w:val="00975C72"/>
    <w:rsid w:val="00976869"/>
    <w:rsid w:val="00977740"/>
    <w:rsid w:val="00977CB4"/>
    <w:rsid w:val="009809B8"/>
    <w:rsid w:val="00985099"/>
    <w:rsid w:val="0099421F"/>
    <w:rsid w:val="009A0DE3"/>
    <w:rsid w:val="009A1643"/>
    <w:rsid w:val="009A215A"/>
    <w:rsid w:val="009A4F1B"/>
    <w:rsid w:val="009A66C5"/>
    <w:rsid w:val="009A79BA"/>
    <w:rsid w:val="009B1534"/>
    <w:rsid w:val="009B20CE"/>
    <w:rsid w:val="009B4A3B"/>
    <w:rsid w:val="009B69D3"/>
    <w:rsid w:val="009B7BA7"/>
    <w:rsid w:val="009C0938"/>
    <w:rsid w:val="009C22C8"/>
    <w:rsid w:val="009C3F82"/>
    <w:rsid w:val="009C5223"/>
    <w:rsid w:val="009C72DD"/>
    <w:rsid w:val="009C7DF5"/>
    <w:rsid w:val="009D056C"/>
    <w:rsid w:val="009D060F"/>
    <w:rsid w:val="009D1ADE"/>
    <w:rsid w:val="009E09D0"/>
    <w:rsid w:val="009E1283"/>
    <w:rsid w:val="009E3A7F"/>
    <w:rsid w:val="009E57B1"/>
    <w:rsid w:val="009F7809"/>
    <w:rsid w:val="009F7AF5"/>
    <w:rsid w:val="00A00D14"/>
    <w:rsid w:val="00A01408"/>
    <w:rsid w:val="00A02457"/>
    <w:rsid w:val="00A03190"/>
    <w:rsid w:val="00A0404B"/>
    <w:rsid w:val="00A07BDD"/>
    <w:rsid w:val="00A07EA5"/>
    <w:rsid w:val="00A1105B"/>
    <w:rsid w:val="00A15B6B"/>
    <w:rsid w:val="00A15EB4"/>
    <w:rsid w:val="00A16876"/>
    <w:rsid w:val="00A200AA"/>
    <w:rsid w:val="00A2186F"/>
    <w:rsid w:val="00A2270B"/>
    <w:rsid w:val="00A23B89"/>
    <w:rsid w:val="00A2496E"/>
    <w:rsid w:val="00A258B7"/>
    <w:rsid w:val="00A32743"/>
    <w:rsid w:val="00A349CA"/>
    <w:rsid w:val="00A414A9"/>
    <w:rsid w:val="00A44D75"/>
    <w:rsid w:val="00A4505E"/>
    <w:rsid w:val="00A47CF1"/>
    <w:rsid w:val="00A50418"/>
    <w:rsid w:val="00A54A47"/>
    <w:rsid w:val="00A56D26"/>
    <w:rsid w:val="00A608FB"/>
    <w:rsid w:val="00A60D83"/>
    <w:rsid w:val="00A60F68"/>
    <w:rsid w:val="00A65C78"/>
    <w:rsid w:val="00A67CA6"/>
    <w:rsid w:val="00A70E7B"/>
    <w:rsid w:val="00A73B84"/>
    <w:rsid w:val="00A7411D"/>
    <w:rsid w:val="00A76094"/>
    <w:rsid w:val="00A768E2"/>
    <w:rsid w:val="00A81146"/>
    <w:rsid w:val="00A82C52"/>
    <w:rsid w:val="00A83B11"/>
    <w:rsid w:val="00A85C59"/>
    <w:rsid w:val="00A86CB6"/>
    <w:rsid w:val="00A90D55"/>
    <w:rsid w:val="00A959E7"/>
    <w:rsid w:val="00A95BBA"/>
    <w:rsid w:val="00A961EE"/>
    <w:rsid w:val="00AA04B3"/>
    <w:rsid w:val="00AA493E"/>
    <w:rsid w:val="00AA73AF"/>
    <w:rsid w:val="00AB1754"/>
    <w:rsid w:val="00AB27DD"/>
    <w:rsid w:val="00AC1273"/>
    <w:rsid w:val="00AC439D"/>
    <w:rsid w:val="00AD067E"/>
    <w:rsid w:val="00AD68C5"/>
    <w:rsid w:val="00AE1273"/>
    <w:rsid w:val="00AE2D29"/>
    <w:rsid w:val="00AE4624"/>
    <w:rsid w:val="00AE5E14"/>
    <w:rsid w:val="00AE6115"/>
    <w:rsid w:val="00AF4FA5"/>
    <w:rsid w:val="00B14FAA"/>
    <w:rsid w:val="00B15D30"/>
    <w:rsid w:val="00B23436"/>
    <w:rsid w:val="00B32179"/>
    <w:rsid w:val="00B331A9"/>
    <w:rsid w:val="00B40A3E"/>
    <w:rsid w:val="00B50227"/>
    <w:rsid w:val="00B522CD"/>
    <w:rsid w:val="00B55917"/>
    <w:rsid w:val="00B64DD6"/>
    <w:rsid w:val="00B72303"/>
    <w:rsid w:val="00B82277"/>
    <w:rsid w:val="00B91676"/>
    <w:rsid w:val="00B95833"/>
    <w:rsid w:val="00BA11D7"/>
    <w:rsid w:val="00BA2D98"/>
    <w:rsid w:val="00BA30D1"/>
    <w:rsid w:val="00BA4609"/>
    <w:rsid w:val="00BA5BE2"/>
    <w:rsid w:val="00BA7F46"/>
    <w:rsid w:val="00BB0A0A"/>
    <w:rsid w:val="00BB45B5"/>
    <w:rsid w:val="00BB6064"/>
    <w:rsid w:val="00BC09D1"/>
    <w:rsid w:val="00BD40AB"/>
    <w:rsid w:val="00BD5BD4"/>
    <w:rsid w:val="00BD6806"/>
    <w:rsid w:val="00BD7433"/>
    <w:rsid w:val="00BD7831"/>
    <w:rsid w:val="00BD7C10"/>
    <w:rsid w:val="00BE046F"/>
    <w:rsid w:val="00BE0DEB"/>
    <w:rsid w:val="00BE2FC1"/>
    <w:rsid w:val="00BE6365"/>
    <w:rsid w:val="00BF0B7F"/>
    <w:rsid w:val="00BF4720"/>
    <w:rsid w:val="00C038EC"/>
    <w:rsid w:val="00C13B34"/>
    <w:rsid w:val="00C13F26"/>
    <w:rsid w:val="00C15DC7"/>
    <w:rsid w:val="00C16E9F"/>
    <w:rsid w:val="00C1713D"/>
    <w:rsid w:val="00C177F1"/>
    <w:rsid w:val="00C21BBD"/>
    <w:rsid w:val="00C25978"/>
    <w:rsid w:val="00C261C6"/>
    <w:rsid w:val="00C30A97"/>
    <w:rsid w:val="00C31DDC"/>
    <w:rsid w:val="00C34326"/>
    <w:rsid w:val="00C36201"/>
    <w:rsid w:val="00C368E8"/>
    <w:rsid w:val="00C36C3D"/>
    <w:rsid w:val="00C372C7"/>
    <w:rsid w:val="00C42443"/>
    <w:rsid w:val="00C42CBA"/>
    <w:rsid w:val="00C5019E"/>
    <w:rsid w:val="00C53E8A"/>
    <w:rsid w:val="00C54DF3"/>
    <w:rsid w:val="00C560A7"/>
    <w:rsid w:val="00C56FC8"/>
    <w:rsid w:val="00C60F23"/>
    <w:rsid w:val="00C62EB2"/>
    <w:rsid w:val="00C71BEC"/>
    <w:rsid w:val="00C74D3A"/>
    <w:rsid w:val="00C80381"/>
    <w:rsid w:val="00C80511"/>
    <w:rsid w:val="00C826F5"/>
    <w:rsid w:val="00C83740"/>
    <w:rsid w:val="00C84AD1"/>
    <w:rsid w:val="00C8512F"/>
    <w:rsid w:val="00C85579"/>
    <w:rsid w:val="00C863E5"/>
    <w:rsid w:val="00C931FC"/>
    <w:rsid w:val="00C932C5"/>
    <w:rsid w:val="00C9650E"/>
    <w:rsid w:val="00CA040E"/>
    <w:rsid w:val="00CA068D"/>
    <w:rsid w:val="00CA282D"/>
    <w:rsid w:val="00CA4670"/>
    <w:rsid w:val="00CA6B1A"/>
    <w:rsid w:val="00CB20DC"/>
    <w:rsid w:val="00CB23DC"/>
    <w:rsid w:val="00CB2487"/>
    <w:rsid w:val="00CB28E2"/>
    <w:rsid w:val="00CB7A6C"/>
    <w:rsid w:val="00CB7FF7"/>
    <w:rsid w:val="00CC0D0E"/>
    <w:rsid w:val="00CC19B3"/>
    <w:rsid w:val="00CC2044"/>
    <w:rsid w:val="00CC39D2"/>
    <w:rsid w:val="00CC69EC"/>
    <w:rsid w:val="00CD15BE"/>
    <w:rsid w:val="00CD32BD"/>
    <w:rsid w:val="00CD34C7"/>
    <w:rsid w:val="00CD5E6D"/>
    <w:rsid w:val="00CD63C8"/>
    <w:rsid w:val="00CF158D"/>
    <w:rsid w:val="00CF4394"/>
    <w:rsid w:val="00D10577"/>
    <w:rsid w:val="00D1323B"/>
    <w:rsid w:val="00D14BAE"/>
    <w:rsid w:val="00D1648B"/>
    <w:rsid w:val="00D16819"/>
    <w:rsid w:val="00D20AC0"/>
    <w:rsid w:val="00D26873"/>
    <w:rsid w:val="00D336C8"/>
    <w:rsid w:val="00D339E8"/>
    <w:rsid w:val="00D40B1F"/>
    <w:rsid w:val="00D40D75"/>
    <w:rsid w:val="00D50C8C"/>
    <w:rsid w:val="00D52393"/>
    <w:rsid w:val="00D523E4"/>
    <w:rsid w:val="00D53F14"/>
    <w:rsid w:val="00D54BE4"/>
    <w:rsid w:val="00D60483"/>
    <w:rsid w:val="00D61ABB"/>
    <w:rsid w:val="00D63577"/>
    <w:rsid w:val="00D67FD7"/>
    <w:rsid w:val="00D74261"/>
    <w:rsid w:val="00D7441B"/>
    <w:rsid w:val="00D76AB2"/>
    <w:rsid w:val="00D80490"/>
    <w:rsid w:val="00D829AD"/>
    <w:rsid w:val="00D82EE2"/>
    <w:rsid w:val="00D851F9"/>
    <w:rsid w:val="00D8545C"/>
    <w:rsid w:val="00D87788"/>
    <w:rsid w:val="00D877C8"/>
    <w:rsid w:val="00D910C2"/>
    <w:rsid w:val="00D9168C"/>
    <w:rsid w:val="00D9189B"/>
    <w:rsid w:val="00D91DA6"/>
    <w:rsid w:val="00D9706F"/>
    <w:rsid w:val="00D972D4"/>
    <w:rsid w:val="00D9735C"/>
    <w:rsid w:val="00DA195B"/>
    <w:rsid w:val="00DA4A94"/>
    <w:rsid w:val="00DB0015"/>
    <w:rsid w:val="00DB2AAD"/>
    <w:rsid w:val="00DB626D"/>
    <w:rsid w:val="00DB6365"/>
    <w:rsid w:val="00DC0BF1"/>
    <w:rsid w:val="00DC41C3"/>
    <w:rsid w:val="00DD3593"/>
    <w:rsid w:val="00DD35F3"/>
    <w:rsid w:val="00DE0C67"/>
    <w:rsid w:val="00DE6952"/>
    <w:rsid w:val="00DE7E74"/>
    <w:rsid w:val="00E00A69"/>
    <w:rsid w:val="00E017F0"/>
    <w:rsid w:val="00E01A0E"/>
    <w:rsid w:val="00E041E4"/>
    <w:rsid w:val="00E103C8"/>
    <w:rsid w:val="00E1085B"/>
    <w:rsid w:val="00E11365"/>
    <w:rsid w:val="00E14581"/>
    <w:rsid w:val="00E15539"/>
    <w:rsid w:val="00E16541"/>
    <w:rsid w:val="00E2536E"/>
    <w:rsid w:val="00E2632B"/>
    <w:rsid w:val="00E322F7"/>
    <w:rsid w:val="00E3369B"/>
    <w:rsid w:val="00E35438"/>
    <w:rsid w:val="00E36D76"/>
    <w:rsid w:val="00E405EA"/>
    <w:rsid w:val="00E408B7"/>
    <w:rsid w:val="00E42789"/>
    <w:rsid w:val="00E43F59"/>
    <w:rsid w:val="00E464F0"/>
    <w:rsid w:val="00E50BEB"/>
    <w:rsid w:val="00E6092F"/>
    <w:rsid w:val="00E629DA"/>
    <w:rsid w:val="00E67FAC"/>
    <w:rsid w:val="00E7200B"/>
    <w:rsid w:val="00E738CB"/>
    <w:rsid w:val="00E73C88"/>
    <w:rsid w:val="00E74437"/>
    <w:rsid w:val="00E81C3E"/>
    <w:rsid w:val="00E82B6D"/>
    <w:rsid w:val="00EA1177"/>
    <w:rsid w:val="00EA118B"/>
    <w:rsid w:val="00EA11B6"/>
    <w:rsid w:val="00EA2181"/>
    <w:rsid w:val="00EA2DD8"/>
    <w:rsid w:val="00EA4475"/>
    <w:rsid w:val="00EA681F"/>
    <w:rsid w:val="00EB3823"/>
    <w:rsid w:val="00EB47D8"/>
    <w:rsid w:val="00EB57D3"/>
    <w:rsid w:val="00EB679F"/>
    <w:rsid w:val="00EB76E4"/>
    <w:rsid w:val="00EC0E65"/>
    <w:rsid w:val="00EC215E"/>
    <w:rsid w:val="00EC2938"/>
    <w:rsid w:val="00EC50C9"/>
    <w:rsid w:val="00EC5BB2"/>
    <w:rsid w:val="00ED664B"/>
    <w:rsid w:val="00EE0B44"/>
    <w:rsid w:val="00EE6FE0"/>
    <w:rsid w:val="00EE704A"/>
    <w:rsid w:val="00EF018E"/>
    <w:rsid w:val="00EF4C74"/>
    <w:rsid w:val="00EF5268"/>
    <w:rsid w:val="00EF608E"/>
    <w:rsid w:val="00F0044B"/>
    <w:rsid w:val="00F02B8F"/>
    <w:rsid w:val="00F04957"/>
    <w:rsid w:val="00F05807"/>
    <w:rsid w:val="00F07052"/>
    <w:rsid w:val="00F0706C"/>
    <w:rsid w:val="00F11EBE"/>
    <w:rsid w:val="00F130D0"/>
    <w:rsid w:val="00F14933"/>
    <w:rsid w:val="00F1516A"/>
    <w:rsid w:val="00F22A26"/>
    <w:rsid w:val="00F24072"/>
    <w:rsid w:val="00F26432"/>
    <w:rsid w:val="00F3053F"/>
    <w:rsid w:val="00F3197A"/>
    <w:rsid w:val="00F32139"/>
    <w:rsid w:val="00F33D56"/>
    <w:rsid w:val="00F34E08"/>
    <w:rsid w:val="00F3619C"/>
    <w:rsid w:val="00F41D91"/>
    <w:rsid w:val="00F42363"/>
    <w:rsid w:val="00F46964"/>
    <w:rsid w:val="00F46F9A"/>
    <w:rsid w:val="00F5126A"/>
    <w:rsid w:val="00F6636A"/>
    <w:rsid w:val="00F67E31"/>
    <w:rsid w:val="00F718A8"/>
    <w:rsid w:val="00F72183"/>
    <w:rsid w:val="00F76D01"/>
    <w:rsid w:val="00F77DCF"/>
    <w:rsid w:val="00F81C35"/>
    <w:rsid w:val="00F82981"/>
    <w:rsid w:val="00F8311F"/>
    <w:rsid w:val="00F83248"/>
    <w:rsid w:val="00F83376"/>
    <w:rsid w:val="00F853AE"/>
    <w:rsid w:val="00F93DCC"/>
    <w:rsid w:val="00F9435D"/>
    <w:rsid w:val="00FB593A"/>
    <w:rsid w:val="00FB6410"/>
    <w:rsid w:val="00FB6E82"/>
    <w:rsid w:val="00FC2A13"/>
    <w:rsid w:val="00FC4284"/>
    <w:rsid w:val="00FC4576"/>
    <w:rsid w:val="00FC7DBC"/>
    <w:rsid w:val="00FD076A"/>
    <w:rsid w:val="00FD0AA0"/>
    <w:rsid w:val="00FD1D5A"/>
    <w:rsid w:val="00FD5059"/>
    <w:rsid w:val="00FD554D"/>
    <w:rsid w:val="00FF093F"/>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5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2D88-BE8A-4C9C-84BC-C35CE61B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6</cp:revision>
  <cp:lastPrinted>2000-06-02T14:59:00Z</cp:lastPrinted>
  <dcterms:created xsi:type="dcterms:W3CDTF">2011-03-19T21:31:00Z</dcterms:created>
  <dcterms:modified xsi:type="dcterms:W3CDTF">2012-05-14T21:31:00Z</dcterms:modified>
</cp:coreProperties>
</file>