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5B" w:rsidRDefault="003B745B" w:rsidP="00BF0E94">
      <w:pPr>
        <w:tabs>
          <w:tab w:val="left" w:pos="288"/>
          <w:tab w:val="left" w:pos="4752"/>
        </w:tabs>
        <w:rPr>
          <w:color w:val="000000" w:themeColor="text1"/>
        </w:rPr>
      </w:pPr>
    </w:p>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0F441A"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E6743D">
        <w:rPr>
          <w:caps/>
          <w:color w:val="000000" w:themeColor="text1"/>
        </w:rPr>
        <w:t>XXXXXXXXXXXXXXXXXX</w:t>
      </w:r>
      <w:r w:rsidR="004216DA" w:rsidRPr="000F441A">
        <w:rPr>
          <w:caps/>
          <w:color w:val="000000" w:themeColor="text1"/>
        </w:rPr>
        <w:t xml:space="preserve">         </w:t>
      </w:r>
      <w:r w:rsidR="0017011B" w:rsidRPr="000F441A">
        <w:rPr>
          <w:caps/>
          <w:color w:val="000000" w:themeColor="text1"/>
        </w:rPr>
        <w:t xml:space="preserve">                                              </w:t>
      </w:r>
      <w:r w:rsidR="004216DA" w:rsidRPr="000F441A">
        <w:rPr>
          <w:caps/>
          <w:color w:val="000000" w:themeColor="text1"/>
        </w:rPr>
        <w:t xml:space="preserve">    </w:t>
      </w:r>
      <w:r w:rsidR="00A9125B">
        <w:rPr>
          <w:caps/>
          <w:color w:val="000000" w:themeColor="text1"/>
        </w:rPr>
        <w:t xml:space="preserve">  </w:t>
      </w:r>
      <w:r w:rsidRPr="000F441A">
        <w:rPr>
          <w:caps/>
          <w:color w:val="000000" w:themeColor="text1"/>
        </w:rPr>
        <w:t xml:space="preserve">BRANCH OF SERVICE: </w:t>
      </w:r>
      <w:r w:rsidR="004C24C5" w:rsidRPr="000F441A">
        <w:rPr>
          <w:caps/>
          <w:color w:val="000000" w:themeColor="text1"/>
        </w:rPr>
        <w:t xml:space="preserve"> </w:t>
      </w:r>
      <w:r w:rsidR="00332DE3" w:rsidRPr="000F441A">
        <w:rPr>
          <w:caps/>
          <w:color w:val="000000" w:themeColor="text1"/>
        </w:rPr>
        <w:t>Army</w:t>
      </w:r>
    </w:p>
    <w:p w:rsidR="00DE3AAD" w:rsidRPr="000F441A" w:rsidRDefault="00012733" w:rsidP="0068098E">
      <w:pPr>
        <w:tabs>
          <w:tab w:val="left" w:pos="288"/>
          <w:tab w:val="left" w:pos="4166"/>
          <w:tab w:val="left" w:pos="4752"/>
          <w:tab w:val="left" w:pos="5130"/>
          <w:tab w:val="left" w:pos="9270"/>
        </w:tabs>
        <w:jc w:val="both"/>
        <w:rPr>
          <w:caps/>
          <w:color w:val="000000" w:themeColor="text1"/>
        </w:rPr>
      </w:pPr>
      <w:r w:rsidRPr="000F441A">
        <w:rPr>
          <w:caps/>
          <w:color w:val="000000" w:themeColor="text1"/>
        </w:rPr>
        <w:t>C</w:t>
      </w:r>
      <w:r w:rsidR="00DE3AAD" w:rsidRPr="000F441A">
        <w:rPr>
          <w:caps/>
          <w:color w:val="000000" w:themeColor="text1"/>
        </w:rPr>
        <w:t>ASE NUMBER:  PD</w:t>
      </w:r>
      <w:r w:rsidR="008F58E1" w:rsidRPr="000F441A">
        <w:rPr>
          <w:caps/>
          <w:color w:val="000000" w:themeColor="text1"/>
        </w:rPr>
        <w:t>1</w:t>
      </w:r>
      <w:r w:rsidR="0017011B" w:rsidRPr="000F441A">
        <w:rPr>
          <w:caps/>
          <w:color w:val="000000" w:themeColor="text1"/>
        </w:rPr>
        <w:t>0</w:t>
      </w:r>
      <w:r w:rsidR="00DE3AAD" w:rsidRPr="000F441A">
        <w:rPr>
          <w:caps/>
          <w:color w:val="000000" w:themeColor="text1"/>
        </w:rPr>
        <w:t>00</w:t>
      </w:r>
      <w:r w:rsidR="0017011B" w:rsidRPr="000F441A">
        <w:rPr>
          <w:caps/>
          <w:color w:val="000000" w:themeColor="text1"/>
        </w:rPr>
        <w:t>377</w:t>
      </w:r>
      <w:r w:rsidR="00DE3AAD" w:rsidRPr="000F441A">
        <w:rPr>
          <w:color w:val="000000" w:themeColor="text1"/>
        </w:rPr>
        <w:t xml:space="preserve"> </w:t>
      </w:r>
      <w:r w:rsidR="00DE3AAD" w:rsidRPr="000F441A">
        <w:rPr>
          <w:color w:val="000000" w:themeColor="text1"/>
        </w:rPr>
        <w:tab/>
      </w:r>
      <w:r w:rsidR="0068098E" w:rsidRPr="000F441A">
        <w:rPr>
          <w:color w:val="000000" w:themeColor="text1"/>
        </w:rPr>
        <w:tab/>
      </w:r>
      <w:r w:rsidR="00DE3AAD" w:rsidRPr="000F441A">
        <w:rPr>
          <w:color w:val="000000" w:themeColor="text1"/>
        </w:rPr>
        <w:t xml:space="preserve">         </w:t>
      </w:r>
      <w:r w:rsidR="00E0346A" w:rsidRPr="000F441A">
        <w:rPr>
          <w:color w:val="000000" w:themeColor="text1"/>
        </w:rPr>
        <w:t xml:space="preserve">                    </w:t>
      </w:r>
      <w:r w:rsidR="00A14DED" w:rsidRPr="000F441A">
        <w:rPr>
          <w:color w:val="000000" w:themeColor="text1"/>
        </w:rPr>
        <w:t xml:space="preserve"> </w:t>
      </w:r>
      <w:r w:rsidR="00DE3AAD" w:rsidRPr="000F441A">
        <w:rPr>
          <w:color w:val="000000" w:themeColor="text1"/>
        </w:rPr>
        <w:t>SEPARATION DATE:  200</w:t>
      </w:r>
      <w:r w:rsidR="009327F0" w:rsidRPr="000F441A">
        <w:rPr>
          <w:color w:val="000000" w:themeColor="text1"/>
        </w:rPr>
        <w:t>6092</w:t>
      </w:r>
      <w:r w:rsidR="00C50449" w:rsidRPr="000F441A">
        <w:rPr>
          <w:color w:val="000000" w:themeColor="text1"/>
        </w:rPr>
        <w:t>5</w:t>
      </w:r>
    </w:p>
    <w:p w:rsidR="003B2143" w:rsidRPr="000F441A" w:rsidRDefault="004F3639" w:rsidP="00BF0E94">
      <w:pPr>
        <w:tabs>
          <w:tab w:val="left" w:pos="288"/>
          <w:tab w:val="left" w:pos="5130"/>
        </w:tabs>
        <w:jc w:val="both"/>
        <w:rPr>
          <w:caps/>
          <w:color w:val="000000" w:themeColor="text1"/>
        </w:rPr>
      </w:pPr>
      <w:r w:rsidRPr="000F441A">
        <w:rPr>
          <w:caps/>
          <w:color w:val="000000" w:themeColor="text1"/>
        </w:rPr>
        <w:t>BOARD DATE:  201</w:t>
      </w:r>
      <w:r w:rsidR="00A14DED" w:rsidRPr="000F441A">
        <w:rPr>
          <w:caps/>
          <w:color w:val="000000" w:themeColor="text1"/>
        </w:rPr>
        <w:t>2</w:t>
      </w:r>
      <w:r w:rsidR="00DA79C8" w:rsidRPr="000F441A">
        <w:rPr>
          <w:caps/>
          <w:color w:val="000000" w:themeColor="text1"/>
        </w:rPr>
        <w:t xml:space="preserve">0402  </w:t>
      </w:r>
    </w:p>
    <w:p w:rsidR="00A14DED" w:rsidRPr="000F441A" w:rsidRDefault="00A14DED" w:rsidP="00A14DED">
      <w:pPr>
        <w:pBdr>
          <w:bottom w:val="single" w:sz="12" w:space="1" w:color="auto"/>
        </w:pBdr>
        <w:tabs>
          <w:tab w:val="left" w:pos="288"/>
          <w:tab w:val="left" w:pos="4752"/>
        </w:tabs>
        <w:jc w:val="both"/>
        <w:rPr>
          <w:color w:val="000000" w:themeColor="text1"/>
        </w:rPr>
      </w:pPr>
    </w:p>
    <w:p w:rsidR="00A14DED" w:rsidRPr="000F441A" w:rsidRDefault="00A14DED" w:rsidP="00A14DED">
      <w:pPr>
        <w:tabs>
          <w:tab w:val="left" w:pos="288"/>
          <w:tab w:val="left" w:pos="4752"/>
        </w:tabs>
        <w:jc w:val="both"/>
        <w:rPr>
          <w:color w:val="000000" w:themeColor="text1"/>
        </w:rPr>
      </w:pPr>
    </w:p>
    <w:p w:rsidR="002F2981" w:rsidRPr="001F29F9" w:rsidRDefault="00FB0E80" w:rsidP="00BF0E94">
      <w:pPr>
        <w:tabs>
          <w:tab w:val="left" w:pos="288"/>
          <w:tab w:val="left" w:pos="4752"/>
        </w:tabs>
        <w:jc w:val="both"/>
        <w:rPr>
          <w:color w:val="000000" w:themeColor="text1"/>
        </w:rPr>
      </w:pPr>
      <w:r w:rsidRPr="000F441A">
        <w:rPr>
          <w:color w:val="000000" w:themeColor="text1"/>
          <w:u w:val="single"/>
        </w:rPr>
        <w:t>SUMMARY OF CASE</w:t>
      </w:r>
      <w:r w:rsidRPr="000F441A">
        <w:rPr>
          <w:color w:val="000000" w:themeColor="text1"/>
        </w:rPr>
        <w:t xml:space="preserve">:  </w:t>
      </w:r>
      <w:r w:rsidR="009759C2" w:rsidRPr="000F441A">
        <w:rPr>
          <w:color w:val="000000" w:themeColor="text1"/>
        </w:rPr>
        <w:t>Data extracted</w:t>
      </w:r>
      <w:r w:rsidR="009759C2" w:rsidRPr="001F29F9">
        <w:rPr>
          <w:color w:val="000000" w:themeColor="text1"/>
        </w:rPr>
        <w:t xml:space="preserve"> from </w:t>
      </w:r>
      <w:r w:rsidR="009759C2" w:rsidRPr="000F441A">
        <w:rPr>
          <w:color w:val="000000" w:themeColor="text1"/>
        </w:rPr>
        <w:t>the available evidence of record reflects that this covered individual (CI)</w:t>
      </w:r>
      <w:r w:rsidR="00570754" w:rsidRPr="000F441A">
        <w:rPr>
          <w:color w:val="000000" w:themeColor="text1"/>
        </w:rPr>
        <w:t xml:space="preserve"> </w:t>
      </w:r>
      <w:r w:rsidR="002C6E5B" w:rsidRPr="000F441A">
        <w:rPr>
          <w:color w:val="000000" w:themeColor="text1"/>
          <w:szCs w:val="24"/>
        </w:rPr>
        <w:t xml:space="preserve">was </w:t>
      </w:r>
      <w:r w:rsidR="00E322F7" w:rsidRPr="000F441A">
        <w:rPr>
          <w:color w:val="000000" w:themeColor="text1"/>
          <w:szCs w:val="24"/>
        </w:rPr>
        <w:t xml:space="preserve">a </w:t>
      </w:r>
      <w:r w:rsidR="006D4E0E" w:rsidRPr="000F441A">
        <w:rPr>
          <w:color w:val="000000" w:themeColor="text1"/>
          <w:szCs w:val="24"/>
        </w:rPr>
        <w:t>National Guard</w:t>
      </w:r>
      <w:r w:rsidR="00AB40E6" w:rsidRPr="000F441A">
        <w:rPr>
          <w:color w:val="000000" w:themeColor="text1"/>
          <w:szCs w:val="24"/>
        </w:rPr>
        <w:t xml:space="preserve"> Soldier,</w:t>
      </w:r>
      <w:r w:rsidR="002E65E6" w:rsidRPr="000F441A">
        <w:rPr>
          <w:color w:val="000000" w:themeColor="text1"/>
          <w:szCs w:val="24"/>
        </w:rPr>
        <w:t xml:space="preserve"> </w:t>
      </w:r>
      <w:r w:rsidR="00661BA2" w:rsidRPr="000F441A">
        <w:rPr>
          <w:color w:val="000000" w:themeColor="text1"/>
          <w:szCs w:val="24"/>
        </w:rPr>
        <w:t>SGT/E-5</w:t>
      </w:r>
      <w:r w:rsidR="00705C40" w:rsidRPr="000F441A">
        <w:rPr>
          <w:color w:val="000000" w:themeColor="text1"/>
          <w:szCs w:val="24"/>
        </w:rPr>
        <w:t>(</w:t>
      </w:r>
      <w:r w:rsidR="005D4BE0" w:rsidRPr="000F441A">
        <w:rPr>
          <w:color w:val="000000" w:themeColor="text1"/>
          <w:szCs w:val="24"/>
        </w:rPr>
        <w:t>11B/</w:t>
      </w:r>
      <w:r w:rsidR="00AB40E6" w:rsidRPr="000F441A">
        <w:rPr>
          <w:color w:val="000000" w:themeColor="text1"/>
          <w:szCs w:val="24"/>
        </w:rPr>
        <w:t>88M</w:t>
      </w:r>
      <w:r w:rsidR="00C75F3D" w:rsidRPr="000F441A">
        <w:rPr>
          <w:color w:val="000000" w:themeColor="text1"/>
          <w:szCs w:val="24"/>
        </w:rPr>
        <w:t xml:space="preserve">, </w:t>
      </w:r>
      <w:r w:rsidR="005D4BE0" w:rsidRPr="000F441A">
        <w:rPr>
          <w:color w:val="000000" w:themeColor="text1"/>
          <w:szCs w:val="24"/>
        </w:rPr>
        <w:t>Infantry/Truck Driver</w:t>
      </w:r>
      <w:r w:rsidR="00E322F7" w:rsidRPr="000F441A">
        <w:rPr>
          <w:color w:val="000000" w:themeColor="text1"/>
          <w:szCs w:val="24"/>
        </w:rPr>
        <w:t>)</w:t>
      </w:r>
      <w:r w:rsidR="00C75F3D" w:rsidRPr="000F441A">
        <w:rPr>
          <w:color w:val="000000" w:themeColor="text1"/>
          <w:szCs w:val="24"/>
        </w:rPr>
        <w:t xml:space="preserve">, </w:t>
      </w:r>
      <w:r w:rsidR="002C6E5B" w:rsidRPr="000F441A">
        <w:rPr>
          <w:color w:val="000000" w:themeColor="text1"/>
          <w:szCs w:val="24"/>
        </w:rPr>
        <w:t xml:space="preserve">medically separated for </w:t>
      </w:r>
      <w:r w:rsidR="00EC58DD" w:rsidRPr="000F441A">
        <w:rPr>
          <w:color w:val="000000" w:themeColor="text1"/>
          <w:szCs w:val="24"/>
        </w:rPr>
        <w:t>cervical spondylosis, w/o neurologic abnormality and lumbago, w/o neurologic abnormality</w:t>
      </w:r>
      <w:r w:rsidR="00C75F3D" w:rsidRPr="000F441A">
        <w:rPr>
          <w:i/>
          <w:color w:val="000000" w:themeColor="text1"/>
          <w:szCs w:val="24"/>
        </w:rPr>
        <w:t>.</w:t>
      </w:r>
      <w:r w:rsidR="001D483A" w:rsidRPr="000F441A">
        <w:rPr>
          <w:color w:val="000000" w:themeColor="text1"/>
          <w:szCs w:val="24"/>
        </w:rPr>
        <w:t xml:space="preserve"> </w:t>
      </w:r>
      <w:r w:rsidR="00A14DED" w:rsidRPr="000F441A">
        <w:rPr>
          <w:color w:val="000000" w:themeColor="text1"/>
          <w:szCs w:val="24"/>
        </w:rPr>
        <w:t xml:space="preserve"> </w:t>
      </w:r>
      <w:r w:rsidR="001D483A" w:rsidRPr="000F441A">
        <w:rPr>
          <w:color w:val="000000" w:themeColor="text1"/>
          <w:szCs w:val="24"/>
        </w:rPr>
        <w:t xml:space="preserve">He initially injured his back in a training accident during mobilization training. </w:t>
      </w:r>
      <w:r w:rsidR="00A14DED" w:rsidRPr="000F441A">
        <w:rPr>
          <w:color w:val="000000" w:themeColor="text1"/>
          <w:szCs w:val="24"/>
        </w:rPr>
        <w:t xml:space="preserve"> </w:t>
      </w:r>
      <w:r w:rsidR="00643C8F" w:rsidRPr="000F441A">
        <w:rPr>
          <w:color w:val="000000" w:themeColor="text1"/>
          <w:szCs w:val="24"/>
        </w:rPr>
        <w:t xml:space="preserve">He did not respond adequately to treatment and was unable to perform within his Military Occupational Specialty (MOS) or meet physical fitness standards.  He was issued a </w:t>
      </w:r>
      <w:r w:rsidR="001D483A" w:rsidRPr="000F441A">
        <w:rPr>
          <w:color w:val="000000" w:themeColor="text1"/>
          <w:szCs w:val="24"/>
        </w:rPr>
        <w:t>permanent U3/L3, and temporary P3</w:t>
      </w:r>
      <w:r w:rsidR="00643C8F" w:rsidRPr="000F441A">
        <w:rPr>
          <w:color w:val="000000" w:themeColor="text1"/>
          <w:szCs w:val="24"/>
        </w:rPr>
        <w:t xml:space="preserve"> profile</w:t>
      </w:r>
      <w:r w:rsidR="001D483A" w:rsidRPr="000F441A">
        <w:rPr>
          <w:color w:val="000000" w:themeColor="text1"/>
          <w:szCs w:val="24"/>
        </w:rPr>
        <w:t>, put in a medical hold company</w:t>
      </w:r>
      <w:r w:rsidR="00643C8F" w:rsidRPr="000F441A">
        <w:rPr>
          <w:color w:val="000000" w:themeColor="text1"/>
          <w:szCs w:val="24"/>
        </w:rPr>
        <w:t xml:space="preserve"> and underwent a Medical Evaluation Board (MEB).</w:t>
      </w:r>
      <w:r w:rsidR="001D483A" w:rsidRPr="000F441A">
        <w:rPr>
          <w:color w:val="000000" w:themeColor="text1"/>
          <w:szCs w:val="24"/>
        </w:rPr>
        <w:t xml:space="preserve"> </w:t>
      </w:r>
      <w:r w:rsidR="00A14DED" w:rsidRPr="000F441A">
        <w:rPr>
          <w:color w:val="000000" w:themeColor="text1"/>
          <w:szCs w:val="24"/>
        </w:rPr>
        <w:t xml:space="preserve"> </w:t>
      </w:r>
      <w:r w:rsidR="001D483A" w:rsidRPr="000F441A">
        <w:rPr>
          <w:color w:val="000000" w:themeColor="text1"/>
          <w:szCs w:val="24"/>
        </w:rPr>
        <w:t>Cervical spondylosis and lumbago were</w:t>
      </w:r>
      <w:r w:rsidR="000A33C8" w:rsidRPr="000F441A">
        <w:rPr>
          <w:color w:val="000000" w:themeColor="text1"/>
          <w:szCs w:val="24"/>
        </w:rPr>
        <w:t xml:space="preserve"> forwarded to the Physical Evaluation Board (PEB) as medically unacceptable IAW AR 40-501</w:t>
      </w:r>
      <w:r w:rsidR="00376E08" w:rsidRPr="000F441A">
        <w:rPr>
          <w:color w:val="000000" w:themeColor="text1"/>
          <w:szCs w:val="24"/>
        </w:rPr>
        <w:t>.</w:t>
      </w:r>
      <w:r w:rsidR="001D483A" w:rsidRPr="000F441A">
        <w:rPr>
          <w:color w:val="000000" w:themeColor="text1"/>
          <w:szCs w:val="24"/>
        </w:rPr>
        <w:t xml:space="preserve"> </w:t>
      </w:r>
      <w:r w:rsidR="00A14DED" w:rsidRPr="000F441A">
        <w:rPr>
          <w:color w:val="000000" w:themeColor="text1"/>
          <w:szCs w:val="24"/>
        </w:rPr>
        <w:t xml:space="preserve"> </w:t>
      </w:r>
      <w:r w:rsidR="001D483A" w:rsidRPr="000F441A">
        <w:rPr>
          <w:color w:val="000000" w:themeColor="text1"/>
          <w:szCs w:val="24"/>
        </w:rPr>
        <w:t xml:space="preserve">Seven </w:t>
      </w:r>
      <w:r w:rsidR="00954E5B" w:rsidRPr="000F441A">
        <w:rPr>
          <w:color w:val="000000" w:themeColor="text1"/>
          <w:szCs w:val="24"/>
        </w:rPr>
        <w:t xml:space="preserve">other conditions, as identified in the rating chart below, were forwarded on the </w:t>
      </w:r>
      <w:r w:rsidR="00B04562" w:rsidRPr="000F441A">
        <w:rPr>
          <w:color w:val="000000" w:themeColor="text1"/>
          <w:szCs w:val="24"/>
        </w:rPr>
        <w:t xml:space="preserve">MEB submission </w:t>
      </w:r>
      <w:r w:rsidR="00954E5B" w:rsidRPr="000F441A">
        <w:rPr>
          <w:color w:val="000000" w:themeColor="text1"/>
          <w:szCs w:val="24"/>
        </w:rPr>
        <w:t>as medically acceptable conditions</w:t>
      </w:r>
      <w:r w:rsidR="00B04562" w:rsidRPr="000F441A">
        <w:rPr>
          <w:color w:val="000000" w:themeColor="text1"/>
          <w:szCs w:val="24"/>
        </w:rPr>
        <w:t>.</w:t>
      </w:r>
      <w:r w:rsidR="001D483A" w:rsidRPr="000F441A">
        <w:rPr>
          <w:color w:val="000000" w:themeColor="text1"/>
          <w:szCs w:val="24"/>
        </w:rPr>
        <w:t xml:space="preserve"> </w:t>
      </w:r>
      <w:r w:rsidR="00A14DED" w:rsidRPr="000F441A">
        <w:rPr>
          <w:color w:val="000000" w:themeColor="text1"/>
          <w:szCs w:val="24"/>
        </w:rPr>
        <w:t xml:space="preserve"> </w:t>
      </w:r>
      <w:r w:rsidR="00842BAA" w:rsidRPr="000F441A">
        <w:rPr>
          <w:color w:val="000000" w:themeColor="text1"/>
          <w:szCs w:val="24"/>
        </w:rPr>
        <w:t xml:space="preserve">The PEB adjudicated the </w:t>
      </w:r>
      <w:r w:rsidR="001D483A" w:rsidRPr="000F441A">
        <w:rPr>
          <w:color w:val="000000" w:themeColor="text1"/>
          <w:szCs w:val="24"/>
        </w:rPr>
        <w:t>cervical spondylosis, w/o neurologic abnormality and lumbago, w/o neurologic abnormality</w:t>
      </w:r>
      <w:r w:rsidR="00842BAA" w:rsidRPr="000F441A">
        <w:rPr>
          <w:color w:val="000000" w:themeColor="text1"/>
          <w:szCs w:val="24"/>
        </w:rPr>
        <w:t xml:space="preserve"> as unfitting, rat</w:t>
      </w:r>
      <w:r w:rsidR="001D483A" w:rsidRPr="000F441A">
        <w:rPr>
          <w:color w:val="000000" w:themeColor="text1"/>
          <w:szCs w:val="24"/>
        </w:rPr>
        <w:t>ed</w:t>
      </w:r>
      <w:r w:rsidR="00842BAA" w:rsidRPr="000F441A">
        <w:rPr>
          <w:color w:val="000000" w:themeColor="text1"/>
          <w:szCs w:val="24"/>
        </w:rPr>
        <w:t xml:space="preserve"> </w:t>
      </w:r>
      <w:r w:rsidR="001D483A" w:rsidRPr="000F441A">
        <w:rPr>
          <w:color w:val="000000" w:themeColor="text1"/>
          <w:szCs w:val="24"/>
        </w:rPr>
        <w:t>0</w:t>
      </w:r>
      <w:r w:rsidR="00842BAA" w:rsidRPr="000F441A">
        <w:rPr>
          <w:color w:val="000000" w:themeColor="text1"/>
          <w:szCs w:val="24"/>
        </w:rPr>
        <w:t xml:space="preserve">% and </w:t>
      </w:r>
      <w:r w:rsidR="001D483A" w:rsidRPr="000F441A">
        <w:rPr>
          <w:color w:val="000000" w:themeColor="text1"/>
          <w:szCs w:val="24"/>
        </w:rPr>
        <w:t>0</w:t>
      </w:r>
      <w:r w:rsidR="00842BAA" w:rsidRPr="000F441A">
        <w:rPr>
          <w:color w:val="000000" w:themeColor="text1"/>
          <w:szCs w:val="24"/>
        </w:rPr>
        <w:t>% respectively</w:t>
      </w:r>
      <w:r w:rsidR="000E31CE" w:rsidRPr="000F441A">
        <w:rPr>
          <w:color w:val="000000" w:themeColor="text1"/>
          <w:szCs w:val="24"/>
        </w:rPr>
        <w:t xml:space="preserve">, </w:t>
      </w:r>
      <w:r w:rsidR="00842BAA" w:rsidRPr="000F441A">
        <w:rPr>
          <w:color w:val="000000" w:themeColor="text1"/>
          <w:szCs w:val="24"/>
        </w:rPr>
        <w:t xml:space="preserve">with application of </w:t>
      </w:r>
      <w:r w:rsidR="000E31CE" w:rsidRPr="000F441A">
        <w:rPr>
          <w:color w:val="000000" w:themeColor="text1"/>
          <w:szCs w:val="24"/>
        </w:rPr>
        <w:t>the</w:t>
      </w:r>
      <w:r w:rsidR="00842BAA" w:rsidRPr="000F441A">
        <w:rPr>
          <w:color w:val="000000" w:themeColor="text1"/>
          <w:szCs w:val="24"/>
        </w:rPr>
        <w:t xml:space="preserve"> </w:t>
      </w:r>
      <w:r w:rsidR="00AD0293" w:rsidRPr="000F441A">
        <w:rPr>
          <w:color w:val="000000" w:themeColor="text1"/>
          <w:szCs w:val="24"/>
        </w:rPr>
        <w:t>US Army Physical Disability Agency (USAPDA) pain policy</w:t>
      </w:r>
      <w:r w:rsidR="00842BAA" w:rsidRPr="000F441A">
        <w:rPr>
          <w:color w:val="000000" w:themeColor="text1"/>
          <w:szCs w:val="24"/>
        </w:rPr>
        <w:t>.</w:t>
      </w:r>
      <w:r w:rsidR="000E31CE" w:rsidRPr="000F441A">
        <w:rPr>
          <w:color w:val="000000" w:themeColor="text1"/>
          <w:szCs w:val="24"/>
        </w:rPr>
        <w:t xml:space="preserve"> </w:t>
      </w:r>
      <w:r w:rsidR="00A14DED" w:rsidRPr="000F441A">
        <w:rPr>
          <w:color w:val="000000" w:themeColor="text1"/>
          <w:szCs w:val="24"/>
        </w:rPr>
        <w:t xml:space="preserve"> </w:t>
      </w:r>
      <w:r w:rsidR="000E31CE" w:rsidRPr="000F441A">
        <w:rPr>
          <w:color w:val="000000" w:themeColor="text1"/>
          <w:szCs w:val="24"/>
        </w:rPr>
        <w:t>The other seven conditions were determined to be not unfitting and not rated.</w:t>
      </w:r>
      <w:r w:rsidR="00A42736" w:rsidRPr="000F441A">
        <w:rPr>
          <w:color w:val="000000" w:themeColor="text1"/>
          <w:szCs w:val="24"/>
        </w:rPr>
        <w:t xml:space="preserve"> </w:t>
      </w:r>
      <w:r w:rsidR="00A14DED" w:rsidRPr="000F441A">
        <w:rPr>
          <w:color w:val="000000" w:themeColor="text1"/>
          <w:szCs w:val="24"/>
        </w:rPr>
        <w:t xml:space="preserve"> </w:t>
      </w:r>
      <w:r w:rsidR="00437D77" w:rsidRPr="000F441A">
        <w:rPr>
          <w:color w:val="000000" w:themeColor="text1"/>
        </w:rPr>
        <w:t xml:space="preserve">The CI </w:t>
      </w:r>
      <w:r w:rsidR="00A14DED" w:rsidRPr="000F441A">
        <w:rPr>
          <w:color w:val="000000" w:themeColor="text1"/>
        </w:rPr>
        <w:t>non-</w:t>
      </w:r>
      <w:r w:rsidR="00A42736" w:rsidRPr="000F441A">
        <w:rPr>
          <w:color w:val="000000" w:themeColor="text1"/>
        </w:rPr>
        <w:t>concurred w</w:t>
      </w:r>
      <w:r w:rsidR="00A14DED" w:rsidRPr="000F441A">
        <w:rPr>
          <w:color w:val="000000" w:themeColor="text1"/>
        </w:rPr>
        <w:t xml:space="preserve">ith </w:t>
      </w:r>
      <w:r w:rsidR="00A42736" w:rsidRPr="000F441A">
        <w:rPr>
          <w:color w:val="000000" w:themeColor="text1"/>
        </w:rPr>
        <w:t>the PEB, waived a formal hearing, did not submit a written appeal,</w:t>
      </w:r>
      <w:r w:rsidR="00437D77" w:rsidRPr="000F441A">
        <w:rPr>
          <w:color w:val="000000" w:themeColor="text1"/>
        </w:rPr>
        <w:t xml:space="preserve"> and was then medically separated with a </w:t>
      </w:r>
      <w:r w:rsidR="00A42736" w:rsidRPr="000F441A">
        <w:rPr>
          <w:color w:val="000000" w:themeColor="text1"/>
        </w:rPr>
        <w:t>0</w:t>
      </w:r>
      <w:r w:rsidR="00437D77" w:rsidRPr="000F441A">
        <w:rPr>
          <w:color w:val="000000" w:themeColor="text1"/>
        </w:rPr>
        <w:t>% combined disability rating</w:t>
      </w:r>
      <w:r w:rsidR="00437D77" w:rsidRPr="001F29F9">
        <w:rPr>
          <w:color w:val="000000" w:themeColor="text1"/>
        </w:rPr>
        <w:t>.</w:t>
      </w:r>
      <w:r w:rsidR="00A14DED">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A14DED">
      <w:pPr>
        <w:autoSpaceDE w:val="0"/>
        <w:autoSpaceDN w:val="0"/>
        <w:adjustRightInd w:val="0"/>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02274C">
        <w:rPr>
          <w:color w:val="000000" w:themeColor="text1"/>
        </w:rPr>
        <w:t xml:space="preserve"> </w:t>
      </w:r>
      <w:r w:rsidR="00A14DED">
        <w:rPr>
          <w:color w:val="000000" w:themeColor="text1"/>
        </w:rPr>
        <w:t xml:space="preserve"> </w:t>
      </w:r>
      <w:r w:rsidR="0002274C">
        <w:rPr>
          <w:color w:val="000000" w:themeColor="text1"/>
        </w:rPr>
        <w:t>The CI states: “</w:t>
      </w:r>
      <w:r w:rsidR="003A131D" w:rsidRPr="00961AB1">
        <w:rPr>
          <w:rFonts w:asciiTheme="minorHAnsi" w:hAnsiTheme="minorHAnsi"/>
          <w:color w:val="000000" w:themeColor="text1"/>
          <w:szCs w:val="24"/>
        </w:rPr>
        <w:t xml:space="preserve">I was not </w:t>
      </w:r>
      <w:r w:rsidR="003A131D" w:rsidRPr="000F441A">
        <w:rPr>
          <w:rFonts w:asciiTheme="minorHAnsi" w:hAnsiTheme="minorHAnsi"/>
          <w:color w:val="000000" w:themeColor="text1"/>
          <w:szCs w:val="24"/>
        </w:rPr>
        <w:t xml:space="preserve">rated for my stroke, </w:t>
      </w:r>
      <w:proofErr w:type="spellStart"/>
      <w:r w:rsidR="003A131D" w:rsidRPr="000F441A">
        <w:rPr>
          <w:rFonts w:asciiTheme="minorHAnsi" w:hAnsiTheme="minorHAnsi"/>
          <w:color w:val="000000" w:themeColor="text1"/>
          <w:szCs w:val="24"/>
        </w:rPr>
        <w:t>cervicalgia</w:t>
      </w:r>
      <w:proofErr w:type="spellEnd"/>
      <w:r w:rsidR="003A131D" w:rsidRPr="000F441A">
        <w:rPr>
          <w:rFonts w:asciiTheme="minorHAnsi" w:hAnsiTheme="minorHAnsi"/>
          <w:color w:val="000000" w:themeColor="text1"/>
          <w:szCs w:val="24"/>
        </w:rPr>
        <w:t xml:space="preserve"> or vertigo which </w:t>
      </w:r>
      <w:r w:rsidR="00B07F09" w:rsidRPr="000F441A">
        <w:rPr>
          <w:rFonts w:asciiTheme="minorHAnsi" w:hAnsiTheme="minorHAnsi"/>
          <w:color w:val="000000" w:themeColor="text1"/>
          <w:szCs w:val="24"/>
        </w:rPr>
        <w:t>are</w:t>
      </w:r>
      <w:r w:rsidR="003A131D" w:rsidRPr="000F441A">
        <w:rPr>
          <w:rFonts w:asciiTheme="minorHAnsi" w:hAnsiTheme="minorHAnsi"/>
          <w:color w:val="000000" w:themeColor="text1"/>
          <w:szCs w:val="24"/>
        </w:rPr>
        <w:t xml:space="preserve"> individually debilitating and occupationally limiting. Because of my injuries, I was not able to continue in my MOS as 11B and 88M. </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My MEB physician mistakenly concluded that my stroke was and old injury</w:t>
      </w:r>
      <w:r w:rsidR="00B07F09"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and existed prior to active duty activation. </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However, active duty medi</w:t>
      </w:r>
      <w:r w:rsidR="00B07F09" w:rsidRPr="000F441A">
        <w:rPr>
          <w:rFonts w:asciiTheme="minorHAnsi" w:hAnsiTheme="minorHAnsi"/>
          <w:color w:val="000000" w:themeColor="text1"/>
          <w:szCs w:val="24"/>
        </w:rPr>
        <w:t>ca</w:t>
      </w:r>
      <w:r w:rsidR="003A131D" w:rsidRPr="000F441A">
        <w:rPr>
          <w:rFonts w:asciiTheme="minorHAnsi" w:hAnsiTheme="minorHAnsi"/>
          <w:color w:val="000000" w:themeColor="text1"/>
          <w:szCs w:val="24"/>
        </w:rPr>
        <w:t xml:space="preserve">l records noted that my stroke </w:t>
      </w:r>
      <w:r w:rsidR="00B07F09" w:rsidRPr="000F441A">
        <w:rPr>
          <w:rFonts w:asciiTheme="minorHAnsi" w:hAnsiTheme="minorHAnsi"/>
          <w:color w:val="000000" w:themeColor="text1"/>
          <w:szCs w:val="24"/>
        </w:rPr>
        <w:t>was</w:t>
      </w:r>
      <w:r w:rsidR="003A131D" w:rsidRPr="000F441A">
        <w:rPr>
          <w:rFonts w:asciiTheme="minorHAnsi" w:hAnsiTheme="minorHAnsi"/>
          <w:color w:val="000000" w:themeColor="text1"/>
          <w:szCs w:val="24"/>
        </w:rPr>
        <w:t xml:space="preserve"> n</w:t>
      </w:r>
      <w:r w:rsidR="00A14DED" w:rsidRPr="000F441A">
        <w:rPr>
          <w:rFonts w:asciiTheme="minorHAnsi" w:hAnsiTheme="minorHAnsi"/>
          <w:color w:val="000000" w:themeColor="text1"/>
          <w:szCs w:val="24"/>
        </w:rPr>
        <w:t xml:space="preserve">ot old and was responsible for </w:t>
      </w:r>
      <w:r w:rsidR="003A131D" w:rsidRPr="000F441A">
        <w:rPr>
          <w:rFonts w:asciiTheme="minorHAnsi" w:hAnsiTheme="minorHAnsi"/>
          <w:color w:val="000000" w:themeColor="text1"/>
          <w:szCs w:val="24"/>
        </w:rPr>
        <w:t xml:space="preserve">my new onset seizures, migraine headaches, </w:t>
      </w:r>
      <w:proofErr w:type="spellStart"/>
      <w:r w:rsidR="003A131D" w:rsidRPr="000F441A">
        <w:rPr>
          <w:rFonts w:asciiTheme="minorHAnsi" w:hAnsiTheme="minorHAnsi"/>
          <w:color w:val="000000" w:themeColor="text1"/>
          <w:szCs w:val="24"/>
        </w:rPr>
        <w:t>nauseu</w:t>
      </w:r>
      <w:proofErr w:type="spellEnd"/>
      <w:r w:rsidR="003A131D" w:rsidRPr="000F441A">
        <w:rPr>
          <w:rFonts w:asciiTheme="minorHAnsi" w:hAnsiTheme="minorHAnsi"/>
          <w:color w:val="000000" w:themeColor="text1"/>
          <w:szCs w:val="24"/>
        </w:rPr>
        <w:t>, tinnitus,</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vertigo, fa</w:t>
      </w:r>
      <w:r w:rsidR="00A14DED" w:rsidRPr="000F441A">
        <w:rPr>
          <w:rFonts w:asciiTheme="minorHAnsi" w:hAnsiTheme="minorHAnsi"/>
          <w:color w:val="000000" w:themeColor="text1"/>
          <w:szCs w:val="24"/>
        </w:rPr>
        <w:t>t</w:t>
      </w:r>
      <w:r w:rsidR="003A131D" w:rsidRPr="000F441A">
        <w:rPr>
          <w:rFonts w:asciiTheme="minorHAnsi" w:hAnsiTheme="minorHAnsi"/>
          <w:color w:val="000000" w:themeColor="text1"/>
          <w:szCs w:val="24"/>
        </w:rPr>
        <w:t xml:space="preserve">igue and general poor state of health. </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They state that they were not able to determine when it happened in any detail.</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 My PCM noted that retrospectively, my </w:t>
      </w:r>
      <w:proofErr w:type="spellStart"/>
      <w:r w:rsidR="003A131D" w:rsidRPr="000F441A">
        <w:rPr>
          <w:rFonts w:asciiTheme="minorHAnsi" w:hAnsiTheme="minorHAnsi"/>
          <w:color w:val="000000" w:themeColor="text1"/>
          <w:szCs w:val="24"/>
        </w:rPr>
        <w:t>hea</w:t>
      </w:r>
      <w:r w:rsidR="00B07F09" w:rsidRPr="000F441A">
        <w:rPr>
          <w:rFonts w:asciiTheme="minorHAnsi" w:hAnsiTheme="minorHAnsi"/>
          <w:color w:val="000000" w:themeColor="text1"/>
          <w:szCs w:val="24"/>
        </w:rPr>
        <w:t>t</w:t>
      </w:r>
      <w:proofErr w:type="spellEnd"/>
      <w:r w:rsidR="003A131D" w:rsidRPr="000F441A">
        <w:rPr>
          <w:rFonts w:asciiTheme="minorHAnsi" w:hAnsiTheme="minorHAnsi"/>
          <w:color w:val="000000" w:themeColor="text1"/>
          <w:szCs w:val="24"/>
        </w:rPr>
        <w:t xml:space="preserve"> injury probably induced my</w:t>
      </w:r>
      <w:r w:rsidR="003A131D" w:rsidRPr="000F441A">
        <w:rPr>
          <w:rFonts w:asciiTheme="minorHAnsi" w:hAnsiTheme="minorHAnsi"/>
          <w:i/>
          <w:iCs/>
          <w:color w:val="000000" w:themeColor="text1"/>
          <w:szCs w:val="24"/>
        </w:rPr>
        <w:t xml:space="preserve"> </w:t>
      </w:r>
      <w:r w:rsidR="003A131D" w:rsidRPr="000F441A">
        <w:rPr>
          <w:rFonts w:asciiTheme="minorHAnsi" w:hAnsiTheme="minorHAnsi"/>
          <w:color w:val="000000" w:themeColor="text1"/>
          <w:szCs w:val="24"/>
        </w:rPr>
        <w:t xml:space="preserve">stroke and resultant neurological problems. </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Additionally my</w:t>
      </w:r>
      <w:r w:rsidR="003A131D" w:rsidRPr="000F441A">
        <w:rPr>
          <w:rFonts w:asciiTheme="minorHAnsi" w:eastAsia="HiddenHorzOCR" w:hAnsiTheme="minorHAnsi"/>
          <w:color w:val="000000" w:themeColor="text1"/>
          <w:szCs w:val="24"/>
        </w:rPr>
        <w:t xml:space="preserve"> </w:t>
      </w:r>
      <w:r w:rsidR="003A131D" w:rsidRPr="000F441A">
        <w:rPr>
          <w:rFonts w:asciiTheme="minorHAnsi" w:hAnsiTheme="minorHAnsi"/>
          <w:color w:val="000000" w:themeColor="text1"/>
          <w:szCs w:val="24"/>
        </w:rPr>
        <w:t xml:space="preserve">active duty Neurologist noted that my migraines were </w:t>
      </w:r>
      <w:r w:rsidR="00F34EF8" w:rsidRPr="000F441A">
        <w:rPr>
          <w:rFonts w:asciiTheme="minorHAnsi" w:hAnsiTheme="minorHAnsi"/>
          <w:color w:val="000000" w:themeColor="text1"/>
          <w:szCs w:val="24"/>
        </w:rPr>
        <w:t>seconda</w:t>
      </w:r>
      <w:r w:rsidR="003A131D" w:rsidRPr="000F441A">
        <w:rPr>
          <w:rFonts w:asciiTheme="minorHAnsi" w:hAnsiTheme="minorHAnsi"/>
          <w:color w:val="000000" w:themeColor="text1"/>
          <w:szCs w:val="24"/>
        </w:rPr>
        <w:t xml:space="preserve">ry to my seizures. </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There exists no clinical evid</w:t>
      </w:r>
      <w:r w:rsidR="00F34EF8" w:rsidRPr="000F441A">
        <w:rPr>
          <w:rFonts w:asciiTheme="minorHAnsi" w:hAnsiTheme="minorHAnsi"/>
          <w:color w:val="000000" w:themeColor="text1"/>
          <w:szCs w:val="24"/>
        </w:rPr>
        <w:t>ence</w:t>
      </w:r>
      <w:r w:rsidR="003A131D" w:rsidRPr="000F441A">
        <w:rPr>
          <w:rFonts w:asciiTheme="minorHAnsi" w:hAnsiTheme="minorHAnsi"/>
          <w:color w:val="000000" w:themeColor="text1"/>
          <w:szCs w:val="24"/>
        </w:rPr>
        <w:t xml:space="preserve"> t</w:t>
      </w:r>
      <w:r w:rsidR="00F34EF8" w:rsidRPr="000F441A">
        <w:rPr>
          <w:rFonts w:asciiTheme="minorHAnsi" w:hAnsiTheme="minorHAnsi"/>
          <w:color w:val="000000" w:themeColor="text1"/>
          <w:szCs w:val="24"/>
        </w:rPr>
        <w:t>hat</w:t>
      </w:r>
      <w:r w:rsidR="003A131D" w:rsidRPr="000F441A">
        <w:rPr>
          <w:rFonts w:asciiTheme="minorHAnsi" w:hAnsiTheme="minorHAnsi"/>
          <w:color w:val="000000" w:themeColor="text1"/>
          <w:szCs w:val="24"/>
        </w:rPr>
        <w:t xml:space="preserve"> my</w:t>
      </w:r>
      <w:r w:rsidR="00F34EF8"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conditions or stroke existed prior to my service. </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Contrarily, my good s</w:t>
      </w:r>
      <w:r w:rsidR="00F34EF8" w:rsidRPr="000F441A">
        <w:rPr>
          <w:rFonts w:asciiTheme="minorHAnsi" w:hAnsiTheme="minorHAnsi"/>
          <w:color w:val="000000" w:themeColor="text1"/>
          <w:szCs w:val="24"/>
        </w:rPr>
        <w:t>t</w:t>
      </w:r>
      <w:r w:rsidR="003A131D" w:rsidRPr="000F441A">
        <w:rPr>
          <w:rFonts w:asciiTheme="minorHAnsi" w:hAnsiTheme="minorHAnsi"/>
          <w:color w:val="000000" w:themeColor="text1"/>
          <w:szCs w:val="24"/>
        </w:rPr>
        <w:t xml:space="preserve">ate of health as evidenced by both my </w:t>
      </w:r>
      <w:r w:rsidR="00F34EF8" w:rsidRPr="000F441A">
        <w:rPr>
          <w:rFonts w:asciiTheme="minorHAnsi" w:hAnsiTheme="minorHAnsi"/>
          <w:color w:val="000000" w:themeColor="text1"/>
          <w:szCs w:val="24"/>
        </w:rPr>
        <w:t>activation</w:t>
      </w:r>
      <w:r w:rsidR="003A131D" w:rsidRPr="000F441A">
        <w:rPr>
          <w:rFonts w:asciiTheme="minorHAnsi" w:hAnsiTheme="minorHAnsi"/>
          <w:color w:val="000000" w:themeColor="text1"/>
          <w:szCs w:val="24"/>
        </w:rPr>
        <w:t xml:space="preserve"> physical and my prior</w:t>
      </w:r>
      <w:r w:rsidR="00F34EF8" w:rsidRPr="000F441A">
        <w:rPr>
          <w:rFonts w:asciiTheme="minorHAnsi" w:hAnsiTheme="minorHAnsi"/>
          <w:color w:val="000000" w:themeColor="text1"/>
          <w:szCs w:val="24"/>
        </w:rPr>
        <w:t xml:space="preserve"> </w:t>
      </w:r>
      <w:proofErr w:type="gramStart"/>
      <w:r w:rsidR="003A131D" w:rsidRPr="000F441A">
        <w:rPr>
          <w:rFonts w:asciiTheme="minorHAnsi" w:hAnsiTheme="minorHAnsi"/>
          <w:color w:val="000000" w:themeColor="text1"/>
          <w:szCs w:val="24"/>
        </w:rPr>
        <w:t>employers</w:t>
      </w:r>
      <w:proofErr w:type="gramEnd"/>
      <w:r w:rsidR="003A131D" w:rsidRPr="000F441A">
        <w:rPr>
          <w:rFonts w:asciiTheme="minorHAnsi" w:hAnsiTheme="minorHAnsi"/>
          <w:color w:val="000000" w:themeColor="text1"/>
          <w:szCs w:val="24"/>
        </w:rPr>
        <w:t xml:space="preserve"> performance </w:t>
      </w:r>
      <w:r w:rsidR="00F34EF8" w:rsidRPr="000F441A">
        <w:rPr>
          <w:rFonts w:asciiTheme="minorHAnsi" w:hAnsiTheme="minorHAnsi"/>
          <w:color w:val="000000" w:themeColor="text1"/>
          <w:szCs w:val="24"/>
        </w:rPr>
        <w:t>letter</w:t>
      </w:r>
      <w:r w:rsidR="003A131D" w:rsidRPr="000F441A">
        <w:rPr>
          <w:rFonts w:asciiTheme="minorHAnsi" w:hAnsiTheme="minorHAnsi"/>
          <w:color w:val="000000" w:themeColor="text1"/>
          <w:szCs w:val="24"/>
        </w:rPr>
        <w:t xml:space="preserve"> suppo</w:t>
      </w:r>
      <w:r w:rsidR="00F34EF8" w:rsidRPr="000F441A">
        <w:rPr>
          <w:rFonts w:asciiTheme="minorHAnsi" w:hAnsiTheme="minorHAnsi"/>
          <w:color w:val="000000" w:themeColor="text1"/>
          <w:szCs w:val="24"/>
        </w:rPr>
        <w:t>rts</w:t>
      </w:r>
      <w:r w:rsidR="003A131D" w:rsidRPr="000F441A">
        <w:rPr>
          <w:rFonts w:asciiTheme="minorHAnsi" w:hAnsiTheme="minorHAnsi"/>
          <w:color w:val="000000" w:themeColor="text1"/>
          <w:szCs w:val="24"/>
        </w:rPr>
        <w:t xml:space="preserve"> my assertions. </w:t>
      </w:r>
      <w:r w:rsidR="00A14DED" w:rsidRPr="000F441A">
        <w:rPr>
          <w:rFonts w:asciiTheme="minorHAnsi" w:hAnsiTheme="minorHAnsi"/>
          <w:color w:val="000000" w:themeColor="text1"/>
          <w:szCs w:val="24"/>
        </w:rPr>
        <w:t xml:space="preserve"> </w:t>
      </w:r>
      <w:r w:rsidR="00F34EF8" w:rsidRPr="000F441A">
        <w:rPr>
          <w:rFonts w:asciiTheme="minorHAnsi" w:hAnsiTheme="minorHAnsi"/>
          <w:color w:val="000000" w:themeColor="text1"/>
          <w:szCs w:val="24"/>
        </w:rPr>
        <w:t>I</w:t>
      </w:r>
      <w:r w:rsidR="003A131D" w:rsidRPr="000F441A">
        <w:rPr>
          <w:rFonts w:asciiTheme="minorHAnsi" w:hAnsiTheme="minorHAnsi"/>
          <w:color w:val="000000" w:themeColor="text1"/>
          <w:szCs w:val="24"/>
        </w:rPr>
        <w:t xml:space="preserve"> h</w:t>
      </w:r>
      <w:r w:rsidR="00F34EF8" w:rsidRPr="000F441A">
        <w:rPr>
          <w:rFonts w:asciiTheme="minorHAnsi" w:hAnsiTheme="minorHAnsi"/>
          <w:color w:val="000000" w:themeColor="text1"/>
          <w:szCs w:val="24"/>
        </w:rPr>
        <w:t>a</w:t>
      </w:r>
      <w:r w:rsidR="003A131D" w:rsidRPr="000F441A">
        <w:rPr>
          <w:rFonts w:asciiTheme="minorHAnsi" w:hAnsiTheme="minorHAnsi"/>
          <w:color w:val="000000" w:themeColor="text1"/>
          <w:szCs w:val="24"/>
        </w:rPr>
        <w:t>d su</w:t>
      </w:r>
      <w:r w:rsidR="00F34EF8" w:rsidRPr="000F441A">
        <w:rPr>
          <w:rFonts w:asciiTheme="minorHAnsi" w:hAnsiTheme="minorHAnsi"/>
          <w:color w:val="000000" w:themeColor="text1"/>
          <w:szCs w:val="24"/>
        </w:rPr>
        <w:t>ffe</w:t>
      </w:r>
      <w:r w:rsidR="003A131D" w:rsidRPr="000F441A">
        <w:rPr>
          <w:rFonts w:asciiTheme="minorHAnsi" w:hAnsiTheme="minorHAnsi"/>
          <w:color w:val="000000" w:themeColor="text1"/>
          <w:szCs w:val="24"/>
        </w:rPr>
        <w:t>red a gross decline in health which</w:t>
      </w:r>
      <w:r w:rsidR="00F34EF8"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h</w:t>
      </w:r>
      <w:r w:rsidR="00F34EF8" w:rsidRPr="000F441A">
        <w:rPr>
          <w:rFonts w:asciiTheme="minorHAnsi" w:hAnsiTheme="minorHAnsi"/>
          <w:color w:val="000000" w:themeColor="text1"/>
          <w:szCs w:val="24"/>
        </w:rPr>
        <w:t>as</w:t>
      </w:r>
      <w:r w:rsidR="003A131D" w:rsidRPr="000F441A">
        <w:rPr>
          <w:rFonts w:asciiTheme="minorHAnsi" w:hAnsiTheme="minorHAnsi"/>
          <w:color w:val="000000" w:themeColor="text1"/>
          <w:szCs w:val="24"/>
        </w:rPr>
        <w:t xml:space="preserve"> greatly impaired my ability to seek</w:t>
      </w:r>
      <w:r w:rsidR="00F34EF8"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employment since sep</w:t>
      </w:r>
      <w:r w:rsidR="00F34EF8" w:rsidRPr="000F441A">
        <w:rPr>
          <w:rFonts w:asciiTheme="minorHAnsi" w:hAnsiTheme="minorHAnsi"/>
          <w:color w:val="000000" w:themeColor="text1"/>
          <w:szCs w:val="24"/>
        </w:rPr>
        <w:t>ara</w:t>
      </w:r>
      <w:r w:rsidR="003A131D" w:rsidRPr="000F441A">
        <w:rPr>
          <w:rFonts w:asciiTheme="minorHAnsi" w:hAnsiTheme="minorHAnsi"/>
          <w:color w:val="000000" w:themeColor="text1"/>
          <w:szCs w:val="24"/>
        </w:rPr>
        <w:t xml:space="preserve">tion. </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Likewise, it </w:t>
      </w:r>
      <w:r w:rsidR="003A131D" w:rsidRPr="000F441A">
        <w:rPr>
          <w:rFonts w:asciiTheme="minorHAnsi" w:hAnsiTheme="minorHAnsi"/>
          <w:iCs/>
          <w:color w:val="000000" w:themeColor="text1"/>
          <w:szCs w:val="24"/>
        </w:rPr>
        <w:t>is</w:t>
      </w:r>
      <w:r w:rsidR="003A131D" w:rsidRPr="000F441A">
        <w:rPr>
          <w:rFonts w:asciiTheme="minorHAnsi" w:hAnsiTheme="minorHAnsi"/>
          <w:i/>
          <w:iCs/>
          <w:color w:val="000000" w:themeColor="text1"/>
          <w:szCs w:val="24"/>
        </w:rPr>
        <w:t xml:space="preserve"> </w:t>
      </w:r>
      <w:r w:rsidR="003A131D" w:rsidRPr="000F441A">
        <w:rPr>
          <w:rFonts w:asciiTheme="minorHAnsi" w:hAnsiTheme="minorHAnsi"/>
          <w:color w:val="000000" w:themeColor="text1"/>
          <w:szCs w:val="24"/>
        </w:rPr>
        <w:t>noted in my medical records th</w:t>
      </w:r>
      <w:r w:rsidR="00F34EF8" w:rsidRPr="000F441A">
        <w:rPr>
          <w:rFonts w:asciiTheme="minorHAnsi" w:hAnsiTheme="minorHAnsi"/>
          <w:color w:val="000000" w:themeColor="text1"/>
          <w:szCs w:val="24"/>
        </w:rPr>
        <w:t>a</w:t>
      </w:r>
      <w:r w:rsidR="003A131D" w:rsidRPr="000F441A">
        <w:rPr>
          <w:rFonts w:asciiTheme="minorHAnsi" w:hAnsiTheme="minorHAnsi"/>
          <w:color w:val="000000" w:themeColor="text1"/>
          <w:szCs w:val="24"/>
        </w:rPr>
        <w:t>t I su</w:t>
      </w:r>
      <w:r w:rsidR="00F34EF8" w:rsidRPr="000F441A">
        <w:rPr>
          <w:rFonts w:asciiTheme="minorHAnsi" w:hAnsiTheme="minorHAnsi"/>
          <w:color w:val="000000" w:themeColor="text1"/>
          <w:szCs w:val="24"/>
        </w:rPr>
        <w:t xml:space="preserve">ffered </w:t>
      </w:r>
      <w:r w:rsidR="003A131D" w:rsidRPr="000F441A">
        <w:rPr>
          <w:rFonts w:asciiTheme="minorHAnsi" w:hAnsiTheme="minorHAnsi"/>
          <w:color w:val="000000" w:themeColor="text1"/>
          <w:szCs w:val="24"/>
        </w:rPr>
        <w:t xml:space="preserve">a </w:t>
      </w:r>
      <w:r w:rsidR="00F34EF8" w:rsidRPr="000F441A">
        <w:rPr>
          <w:rFonts w:asciiTheme="minorHAnsi" w:hAnsiTheme="minorHAnsi"/>
          <w:color w:val="000000" w:themeColor="text1"/>
          <w:szCs w:val="24"/>
        </w:rPr>
        <w:t>n</w:t>
      </w:r>
      <w:r w:rsidR="003A131D" w:rsidRPr="000F441A">
        <w:rPr>
          <w:rFonts w:asciiTheme="minorHAnsi" w:hAnsiTheme="minorHAnsi"/>
          <w:color w:val="000000" w:themeColor="text1"/>
          <w:szCs w:val="24"/>
        </w:rPr>
        <w:t>e</w:t>
      </w:r>
      <w:r w:rsidR="00B07F09" w:rsidRPr="000F441A">
        <w:rPr>
          <w:rFonts w:asciiTheme="minorHAnsi" w:hAnsiTheme="minorHAnsi"/>
          <w:color w:val="000000" w:themeColor="text1"/>
          <w:szCs w:val="24"/>
        </w:rPr>
        <w:t>c</w:t>
      </w:r>
      <w:r w:rsidR="003A131D" w:rsidRPr="000F441A">
        <w:rPr>
          <w:rFonts w:asciiTheme="minorHAnsi" w:hAnsiTheme="minorHAnsi"/>
          <w:color w:val="000000" w:themeColor="text1"/>
          <w:szCs w:val="24"/>
        </w:rPr>
        <w:t>k i</w:t>
      </w:r>
      <w:r w:rsidR="00F34EF8" w:rsidRPr="000F441A">
        <w:rPr>
          <w:rFonts w:asciiTheme="minorHAnsi" w:hAnsiTheme="minorHAnsi"/>
          <w:color w:val="000000" w:themeColor="text1"/>
          <w:szCs w:val="24"/>
        </w:rPr>
        <w:t>nj</w:t>
      </w:r>
      <w:r w:rsidR="003A131D" w:rsidRPr="000F441A">
        <w:rPr>
          <w:rFonts w:asciiTheme="minorHAnsi" w:hAnsiTheme="minorHAnsi"/>
          <w:color w:val="000000" w:themeColor="text1"/>
          <w:szCs w:val="24"/>
        </w:rPr>
        <w:t xml:space="preserve">ury </w:t>
      </w:r>
      <w:r w:rsidR="00F34EF8" w:rsidRPr="000F441A">
        <w:rPr>
          <w:rFonts w:asciiTheme="minorHAnsi" w:hAnsiTheme="minorHAnsi"/>
          <w:color w:val="000000" w:themeColor="text1"/>
          <w:szCs w:val="24"/>
        </w:rPr>
        <w:t>after</w:t>
      </w:r>
      <w:r w:rsidR="003A131D" w:rsidRPr="000F441A">
        <w:rPr>
          <w:rFonts w:asciiTheme="minorHAnsi" w:hAnsiTheme="minorHAnsi"/>
          <w:color w:val="000000" w:themeColor="text1"/>
          <w:szCs w:val="24"/>
        </w:rPr>
        <w:t xml:space="preserve"> dismounting from a truck i</w:t>
      </w:r>
      <w:r w:rsidR="00F34EF8" w:rsidRPr="000F441A">
        <w:rPr>
          <w:rFonts w:asciiTheme="minorHAnsi" w:hAnsiTheme="minorHAnsi"/>
          <w:color w:val="000000" w:themeColor="text1"/>
          <w:szCs w:val="24"/>
        </w:rPr>
        <w:t>n</w:t>
      </w:r>
      <w:r w:rsidR="003A131D" w:rsidRPr="000F441A">
        <w:rPr>
          <w:rFonts w:asciiTheme="minorHAnsi" w:hAnsiTheme="minorHAnsi"/>
          <w:color w:val="000000" w:themeColor="text1"/>
          <w:szCs w:val="24"/>
        </w:rPr>
        <w:t xml:space="preserve"> full ba</w:t>
      </w:r>
      <w:r w:rsidR="00F34EF8" w:rsidRPr="000F441A">
        <w:rPr>
          <w:rFonts w:asciiTheme="minorHAnsi" w:hAnsiTheme="minorHAnsi"/>
          <w:color w:val="000000" w:themeColor="text1"/>
          <w:szCs w:val="24"/>
        </w:rPr>
        <w:t>tt</w:t>
      </w:r>
      <w:r w:rsidR="003A131D" w:rsidRPr="000F441A">
        <w:rPr>
          <w:rFonts w:asciiTheme="minorHAnsi" w:hAnsiTheme="minorHAnsi"/>
          <w:color w:val="000000" w:themeColor="text1"/>
          <w:szCs w:val="24"/>
        </w:rPr>
        <w:t>le</w:t>
      </w:r>
      <w:r w:rsidR="00F34EF8"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gear.</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 </w:t>
      </w:r>
      <w:r w:rsidR="00F34EF8" w:rsidRPr="000F441A">
        <w:rPr>
          <w:rFonts w:asciiTheme="minorHAnsi" w:hAnsiTheme="minorHAnsi"/>
          <w:color w:val="000000" w:themeColor="text1"/>
          <w:szCs w:val="24"/>
        </w:rPr>
        <w:t>I</w:t>
      </w:r>
      <w:r w:rsidR="003A131D" w:rsidRPr="000F441A">
        <w:rPr>
          <w:rFonts w:asciiTheme="minorHAnsi" w:hAnsiTheme="minorHAnsi"/>
          <w:color w:val="000000" w:themeColor="text1"/>
          <w:szCs w:val="24"/>
        </w:rPr>
        <w:t xml:space="preserve"> have suffered chroni</w:t>
      </w:r>
      <w:r w:rsidR="00B07F09" w:rsidRPr="000F441A">
        <w:rPr>
          <w:rFonts w:asciiTheme="minorHAnsi" w:hAnsiTheme="minorHAnsi"/>
          <w:color w:val="000000" w:themeColor="text1"/>
          <w:szCs w:val="24"/>
        </w:rPr>
        <w:t>c</w:t>
      </w:r>
      <w:r w:rsidR="003A131D" w:rsidRPr="000F441A">
        <w:rPr>
          <w:rFonts w:asciiTheme="minorHAnsi" w:hAnsiTheme="minorHAnsi"/>
          <w:color w:val="000000" w:themeColor="text1"/>
          <w:szCs w:val="24"/>
        </w:rPr>
        <w:t xml:space="preserve"> </w:t>
      </w:r>
      <w:proofErr w:type="spellStart"/>
      <w:r w:rsidR="003A131D" w:rsidRPr="000F441A">
        <w:rPr>
          <w:rFonts w:asciiTheme="minorHAnsi" w:hAnsiTheme="minorHAnsi"/>
          <w:color w:val="000000" w:themeColor="text1"/>
          <w:szCs w:val="24"/>
        </w:rPr>
        <w:t>radicu</w:t>
      </w:r>
      <w:r w:rsidR="00B07F09" w:rsidRPr="000F441A">
        <w:rPr>
          <w:rFonts w:asciiTheme="minorHAnsi" w:hAnsiTheme="minorHAnsi"/>
          <w:color w:val="000000" w:themeColor="text1"/>
          <w:szCs w:val="24"/>
        </w:rPr>
        <w:t>l</w:t>
      </w:r>
      <w:r w:rsidR="003A131D" w:rsidRPr="000F441A">
        <w:rPr>
          <w:rFonts w:asciiTheme="minorHAnsi" w:hAnsiTheme="minorHAnsi"/>
          <w:color w:val="000000" w:themeColor="text1"/>
          <w:szCs w:val="24"/>
        </w:rPr>
        <w:t>opathies</w:t>
      </w:r>
      <w:proofErr w:type="spellEnd"/>
      <w:r w:rsidR="003A131D" w:rsidRPr="000F441A">
        <w:rPr>
          <w:rFonts w:asciiTheme="minorHAnsi" w:hAnsiTheme="minorHAnsi"/>
          <w:color w:val="000000" w:themeColor="text1"/>
          <w:szCs w:val="24"/>
        </w:rPr>
        <w:t xml:space="preserve">, </w:t>
      </w:r>
      <w:proofErr w:type="spellStart"/>
      <w:r w:rsidR="003A131D" w:rsidRPr="000F441A">
        <w:rPr>
          <w:rFonts w:asciiTheme="minorHAnsi" w:hAnsiTheme="minorHAnsi"/>
          <w:color w:val="000000" w:themeColor="text1"/>
          <w:szCs w:val="24"/>
        </w:rPr>
        <w:t>cervicalgia</w:t>
      </w:r>
      <w:proofErr w:type="spellEnd"/>
      <w:r w:rsidR="003A131D" w:rsidRPr="000F441A">
        <w:rPr>
          <w:rFonts w:asciiTheme="minorHAnsi" w:hAnsiTheme="minorHAnsi"/>
          <w:color w:val="000000" w:themeColor="text1"/>
          <w:szCs w:val="24"/>
        </w:rPr>
        <w:t xml:space="preserve"> and lumbar pain since that time. </w:t>
      </w:r>
      <w:r w:rsidR="00A14DED"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Contrary to the Arm</w:t>
      </w:r>
      <w:r w:rsidR="00F34EF8" w:rsidRPr="000F441A">
        <w:rPr>
          <w:rFonts w:asciiTheme="minorHAnsi" w:hAnsiTheme="minorHAnsi"/>
          <w:color w:val="000000" w:themeColor="text1"/>
          <w:szCs w:val="24"/>
        </w:rPr>
        <w:t>y</w:t>
      </w:r>
      <w:r w:rsidR="003A131D" w:rsidRPr="000F441A">
        <w:rPr>
          <w:rFonts w:asciiTheme="minorHAnsi" w:hAnsiTheme="minorHAnsi"/>
          <w:color w:val="000000" w:themeColor="text1"/>
          <w:szCs w:val="24"/>
        </w:rPr>
        <w:t>'s 0% disability rating, the VA h</w:t>
      </w:r>
      <w:r w:rsidR="00F34EF8" w:rsidRPr="000F441A">
        <w:rPr>
          <w:rFonts w:asciiTheme="minorHAnsi" w:hAnsiTheme="minorHAnsi"/>
          <w:color w:val="000000" w:themeColor="text1"/>
          <w:szCs w:val="24"/>
        </w:rPr>
        <w:t xml:space="preserve">as </w:t>
      </w:r>
      <w:r w:rsidR="003A131D" w:rsidRPr="000F441A">
        <w:rPr>
          <w:rFonts w:asciiTheme="minorHAnsi" w:hAnsiTheme="minorHAnsi"/>
          <w:color w:val="000000" w:themeColor="text1"/>
          <w:szCs w:val="24"/>
        </w:rPr>
        <w:t>rated me at 50</w:t>
      </w:r>
      <w:r w:rsidR="00F34EF8" w:rsidRPr="000F441A">
        <w:rPr>
          <w:rFonts w:asciiTheme="minorHAnsi" w:hAnsiTheme="minorHAnsi"/>
          <w:color w:val="000000" w:themeColor="text1"/>
          <w:szCs w:val="24"/>
        </w:rPr>
        <w:t>% and</w:t>
      </w:r>
      <w:r w:rsidR="003A131D" w:rsidRPr="000F441A">
        <w:rPr>
          <w:rFonts w:asciiTheme="minorHAnsi" w:hAnsiTheme="minorHAnsi"/>
          <w:color w:val="000000" w:themeColor="text1"/>
          <w:szCs w:val="24"/>
        </w:rPr>
        <w:t xml:space="preserve"> </w:t>
      </w:r>
      <w:r w:rsidR="00F34EF8" w:rsidRPr="000F441A">
        <w:rPr>
          <w:rFonts w:asciiTheme="minorHAnsi" w:hAnsiTheme="minorHAnsi"/>
          <w:color w:val="000000" w:themeColor="text1"/>
          <w:szCs w:val="24"/>
        </w:rPr>
        <w:t>I</w:t>
      </w:r>
      <w:r w:rsidR="003A131D" w:rsidRPr="000F441A">
        <w:rPr>
          <w:rFonts w:asciiTheme="minorHAnsi" w:hAnsiTheme="minorHAnsi"/>
          <w:color w:val="000000" w:themeColor="text1"/>
          <w:szCs w:val="24"/>
        </w:rPr>
        <w:t xml:space="preserve"> am receiving 100% Social Security Disability. </w:t>
      </w:r>
      <w:r w:rsidR="00E04A95"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My conditio</w:t>
      </w:r>
      <w:r w:rsidR="003C181A" w:rsidRPr="000F441A">
        <w:rPr>
          <w:rFonts w:asciiTheme="minorHAnsi" w:hAnsiTheme="minorHAnsi"/>
          <w:color w:val="000000" w:themeColor="text1"/>
          <w:szCs w:val="24"/>
        </w:rPr>
        <w:t>n</w:t>
      </w:r>
      <w:r w:rsidR="00B07F09" w:rsidRPr="000F441A">
        <w:rPr>
          <w:rFonts w:asciiTheme="minorHAnsi" w:hAnsiTheme="minorHAnsi"/>
          <w:color w:val="000000" w:themeColor="text1"/>
          <w:szCs w:val="24"/>
        </w:rPr>
        <w:t xml:space="preserve"> </w:t>
      </w:r>
      <w:r w:rsidR="003C181A" w:rsidRPr="000F441A">
        <w:rPr>
          <w:rFonts w:asciiTheme="minorHAnsi" w:hAnsiTheme="minorHAnsi"/>
          <w:color w:val="000000" w:themeColor="text1"/>
          <w:szCs w:val="24"/>
        </w:rPr>
        <w:t>ha</w:t>
      </w:r>
      <w:r w:rsidR="003A131D" w:rsidRPr="000F441A">
        <w:rPr>
          <w:rFonts w:asciiTheme="minorHAnsi" w:hAnsiTheme="minorHAnsi"/>
          <w:color w:val="000000" w:themeColor="text1"/>
          <w:szCs w:val="24"/>
        </w:rPr>
        <w:t>s not appreci</w:t>
      </w:r>
      <w:r w:rsidR="003C181A" w:rsidRPr="000F441A">
        <w:rPr>
          <w:rFonts w:asciiTheme="minorHAnsi" w:hAnsiTheme="minorHAnsi"/>
          <w:color w:val="000000" w:themeColor="text1"/>
          <w:szCs w:val="24"/>
        </w:rPr>
        <w:t>ab</w:t>
      </w:r>
      <w:r w:rsidR="003A131D" w:rsidRPr="000F441A">
        <w:rPr>
          <w:rFonts w:asciiTheme="minorHAnsi" w:hAnsiTheme="minorHAnsi"/>
          <w:color w:val="000000" w:themeColor="text1"/>
          <w:szCs w:val="24"/>
        </w:rPr>
        <w:t>ly c</w:t>
      </w:r>
      <w:r w:rsidR="003C181A" w:rsidRPr="000F441A">
        <w:rPr>
          <w:rFonts w:asciiTheme="minorHAnsi" w:hAnsiTheme="minorHAnsi"/>
          <w:color w:val="000000" w:themeColor="text1"/>
          <w:szCs w:val="24"/>
        </w:rPr>
        <w:t>h</w:t>
      </w:r>
      <w:r w:rsidR="003A131D" w:rsidRPr="000F441A">
        <w:rPr>
          <w:rFonts w:asciiTheme="minorHAnsi" w:hAnsiTheme="minorHAnsi"/>
          <w:color w:val="000000" w:themeColor="text1"/>
          <w:szCs w:val="24"/>
        </w:rPr>
        <w:t xml:space="preserve">anged </w:t>
      </w:r>
      <w:r w:rsidR="003C181A" w:rsidRPr="000F441A">
        <w:rPr>
          <w:rFonts w:asciiTheme="minorHAnsi" w:hAnsiTheme="minorHAnsi"/>
          <w:color w:val="000000" w:themeColor="text1"/>
          <w:szCs w:val="24"/>
        </w:rPr>
        <w:t>f</w:t>
      </w:r>
      <w:r w:rsidR="003A131D" w:rsidRPr="000F441A">
        <w:rPr>
          <w:rFonts w:asciiTheme="minorHAnsi" w:hAnsiTheme="minorHAnsi"/>
          <w:color w:val="000000" w:themeColor="text1"/>
          <w:szCs w:val="24"/>
        </w:rPr>
        <w:t>or the be</w:t>
      </w:r>
      <w:r w:rsidR="003C181A" w:rsidRPr="000F441A">
        <w:rPr>
          <w:rFonts w:asciiTheme="minorHAnsi" w:hAnsiTheme="minorHAnsi"/>
          <w:color w:val="000000" w:themeColor="text1"/>
          <w:szCs w:val="24"/>
        </w:rPr>
        <w:t>tt</w:t>
      </w:r>
      <w:r w:rsidR="003A131D" w:rsidRPr="000F441A">
        <w:rPr>
          <w:rFonts w:asciiTheme="minorHAnsi" w:hAnsiTheme="minorHAnsi"/>
          <w:color w:val="000000" w:themeColor="text1"/>
          <w:szCs w:val="24"/>
        </w:rPr>
        <w:t>er or worse since my</w:t>
      </w:r>
      <w:r w:rsidR="003C181A"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military separ</w:t>
      </w:r>
      <w:r w:rsidR="003C181A" w:rsidRPr="000F441A">
        <w:rPr>
          <w:rFonts w:asciiTheme="minorHAnsi" w:hAnsiTheme="minorHAnsi"/>
          <w:color w:val="000000" w:themeColor="text1"/>
          <w:szCs w:val="24"/>
        </w:rPr>
        <w:t>a</w:t>
      </w:r>
      <w:r w:rsidR="003A131D" w:rsidRPr="000F441A">
        <w:rPr>
          <w:rFonts w:asciiTheme="minorHAnsi" w:hAnsiTheme="minorHAnsi"/>
          <w:color w:val="000000" w:themeColor="text1"/>
          <w:szCs w:val="24"/>
        </w:rPr>
        <w:t xml:space="preserve">tion. </w:t>
      </w:r>
      <w:r w:rsidR="00E04A95"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Previous to my i</w:t>
      </w:r>
      <w:r w:rsidR="003C181A" w:rsidRPr="000F441A">
        <w:rPr>
          <w:rFonts w:asciiTheme="minorHAnsi" w:hAnsiTheme="minorHAnsi"/>
          <w:color w:val="000000" w:themeColor="text1"/>
          <w:szCs w:val="24"/>
        </w:rPr>
        <w:t>nj</w:t>
      </w:r>
      <w:r w:rsidR="003A131D" w:rsidRPr="000F441A">
        <w:rPr>
          <w:rFonts w:asciiTheme="minorHAnsi" w:hAnsiTheme="minorHAnsi"/>
          <w:color w:val="000000" w:themeColor="text1"/>
          <w:szCs w:val="24"/>
        </w:rPr>
        <w:t>ury</w:t>
      </w:r>
      <w:r w:rsidR="005418DF" w:rsidRPr="000F441A">
        <w:rPr>
          <w:rFonts w:asciiTheme="minorHAnsi" w:hAnsiTheme="minorHAnsi"/>
          <w:color w:val="000000" w:themeColor="text1"/>
          <w:szCs w:val="24"/>
        </w:rPr>
        <w:t xml:space="preserve"> </w:t>
      </w:r>
      <w:r w:rsidR="003C181A" w:rsidRPr="000F441A">
        <w:rPr>
          <w:rFonts w:asciiTheme="minorHAnsi" w:hAnsiTheme="minorHAnsi"/>
          <w:color w:val="000000" w:themeColor="text1"/>
          <w:szCs w:val="24"/>
        </w:rPr>
        <w:t>and</w:t>
      </w:r>
      <w:r w:rsidR="003A131D" w:rsidRPr="000F441A">
        <w:rPr>
          <w:rFonts w:asciiTheme="minorHAnsi" w:hAnsiTheme="minorHAnsi"/>
          <w:color w:val="000000" w:themeColor="text1"/>
          <w:szCs w:val="24"/>
        </w:rPr>
        <w:t xml:space="preserve"> as</w:t>
      </w:r>
      <w:r w:rsidR="003C181A" w:rsidRPr="000F441A">
        <w:rPr>
          <w:rFonts w:asciiTheme="minorHAnsi" w:hAnsiTheme="minorHAnsi"/>
          <w:color w:val="000000" w:themeColor="text1"/>
          <w:szCs w:val="24"/>
        </w:rPr>
        <w:t xml:space="preserve"> a</w:t>
      </w:r>
      <w:r w:rsidR="003A131D" w:rsidRPr="000F441A">
        <w:rPr>
          <w:rFonts w:asciiTheme="minorHAnsi" w:hAnsiTheme="minorHAnsi"/>
          <w:color w:val="000000" w:themeColor="text1"/>
          <w:szCs w:val="24"/>
        </w:rPr>
        <w:t xml:space="preserve"> civili</w:t>
      </w:r>
      <w:r w:rsidR="003C181A" w:rsidRPr="000F441A">
        <w:rPr>
          <w:rFonts w:asciiTheme="minorHAnsi" w:hAnsiTheme="minorHAnsi"/>
          <w:color w:val="000000" w:themeColor="text1"/>
          <w:szCs w:val="24"/>
        </w:rPr>
        <w:t>an</w:t>
      </w:r>
      <w:r w:rsidR="003A131D" w:rsidRPr="000F441A">
        <w:rPr>
          <w:rFonts w:asciiTheme="minorHAnsi" w:hAnsiTheme="minorHAnsi"/>
          <w:color w:val="000000" w:themeColor="text1"/>
          <w:szCs w:val="24"/>
        </w:rPr>
        <w:t xml:space="preserve">, I drove semi-truck </w:t>
      </w:r>
      <w:r w:rsidR="003C181A" w:rsidRPr="000F441A">
        <w:rPr>
          <w:rFonts w:asciiTheme="minorHAnsi" w:hAnsiTheme="minorHAnsi"/>
          <w:color w:val="000000" w:themeColor="text1"/>
          <w:szCs w:val="24"/>
        </w:rPr>
        <w:t>f</w:t>
      </w:r>
      <w:r w:rsidR="003A131D" w:rsidRPr="000F441A">
        <w:rPr>
          <w:rFonts w:asciiTheme="minorHAnsi" w:hAnsiTheme="minorHAnsi"/>
          <w:color w:val="000000" w:themeColor="text1"/>
          <w:szCs w:val="24"/>
        </w:rPr>
        <w:t xml:space="preserve">or </w:t>
      </w:r>
      <w:r w:rsidR="006377D6">
        <w:rPr>
          <w:rFonts w:asciiTheme="minorHAnsi" w:hAnsiTheme="minorHAnsi"/>
          <w:color w:val="000000" w:themeColor="text1"/>
          <w:szCs w:val="24"/>
        </w:rPr>
        <w:t>14</w:t>
      </w:r>
      <w:r w:rsidR="003A131D" w:rsidRPr="000F441A">
        <w:rPr>
          <w:rFonts w:asciiTheme="minorHAnsi" w:hAnsiTheme="minorHAnsi"/>
          <w:color w:val="000000" w:themeColor="text1"/>
          <w:szCs w:val="24"/>
        </w:rPr>
        <w:t xml:space="preserve"> years. </w:t>
      </w:r>
      <w:r w:rsidR="00E04A95"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I </w:t>
      </w:r>
      <w:r w:rsidR="003C181A" w:rsidRPr="000F441A">
        <w:rPr>
          <w:rFonts w:asciiTheme="minorHAnsi" w:hAnsiTheme="minorHAnsi"/>
          <w:color w:val="000000" w:themeColor="text1"/>
          <w:szCs w:val="24"/>
        </w:rPr>
        <w:t>was</w:t>
      </w:r>
      <w:r w:rsidR="003A131D" w:rsidRPr="000F441A">
        <w:rPr>
          <w:rFonts w:asciiTheme="minorHAnsi" w:eastAsia="HiddenHorzOCR" w:hAnsiTheme="minorHAnsi"/>
          <w:color w:val="000000" w:themeColor="text1"/>
          <w:szCs w:val="24"/>
        </w:rPr>
        <w:t xml:space="preserve"> </w:t>
      </w:r>
      <w:r w:rsidR="003A131D" w:rsidRPr="000F441A">
        <w:rPr>
          <w:rFonts w:asciiTheme="minorHAnsi" w:hAnsiTheme="minorHAnsi"/>
          <w:color w:val="000000" w:themeColor="text1"/>
          <w:szCs w:val="24"/>
        </w:rPr>
        <w:t>required to undergo a physi</w:t>
      </w:r>
      <w:r w:rsidR="003C181A" w:rsidRPr="000F441A">
        <w:rPr>
          <w:rFonts w:asciiTheme="minorHAnsi" w:hAnsiTheme="minorHAnsi"/>
          <w:color w:val="000000" w:themeColor="text1"/>
          <w:szCs w:val="24"/>
        </w:rPr>
        <w:t>cal</w:t>
      </w:r>
      <w:r w:rsidR="003A131D" w:rsidRPr="000F441A">
        <w:rPr>
          <w:rFonts w:asciiTheme="minorHAnsi" w:hAnsiTheme="minorHAnsi"/>
          <w:color w:val="000000" w:themeColor="text1"/>
          <w:szCs w:val="24"/>
        </w:rPr>
        <w:t xml:space="preserve"> every </w:t>
      </w:r>
      <w:r w:rsidR="006377D6">
        <w:rPr>
          <w:rFonts w:asciiTheme="minorHAnsi" w:hAnsiTheme="minorHAnsi"/>
          <w:color w:val="000000" w:themeColor="text1"/>
          <w:szCs w:val="24"/>
        </w:rPr>
        <w:t>2</w:t>
      </w:r>
      <w:r w:rsidR="003C181A"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years. </w:t>
      </w:r>
      <w:r w:rsidR="00E04A95"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I consistently passed my physicals. </w:t>
      </w:r>
      <w:r w:rsidR="00E04A95"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Bec</w:t>
      </w:r>
      <w:r w:rsidR="003C181A" w:rsidRPr="000F441A">
        <w:rPr>
          <w:rFonts w:asciiTheme="minorHAnsi" w:hAnsiTheme="minorHAnsi"/>
          <w:color w:val="000000" w:themeColor="text1"/>
          <w:szCs w:val="24"/>
        </w:rPr>
        <w:t>a</w:t>
      </w:r>
      <w:r w:rsidR="003A131D" w:rsidRPr="000F441A">
        <w:rPr>
          <w:rFonts w:asciiTheme="minorHAnsi" w:hAnsiTheme="minorHAnsi"/>
          <w:color w:val="000000" w:themeColor="text1"/>
          <w:szCs w:val="24"/>
        </w:rPr>
        <w:t>use o</w:t>
      </w:r>
      <w:r w:rsidR="003C181A" w:rsidRPr="000F441A">
        <w:rPr>
          <w:rFonts w:asciiTheme="minorHAnsi" w:hAnsiTheme="minorHAnsi"/>
          <w:color w:val="000000" w:themeColor="text1"/>
          <w:szCs w:val="24"/>
        </w:rPr>
        <w:t xml:space="preserve">f </w:t>
      </w:r>
      <w:r w:rsidR="003A131D" w:rsidRPr="000F441A">
        <w:rPr>
          <w:rFonts w:asciiTheme="minorHAnsi" w:hAnsiTheme="minorHAnsi"/>
          <w:color w:val="000000" w:themeColor="text1"/>
          <w:szCs w:val="24"/>
        </w:rPr>
        <w:t xml:space="preserve">my injuries, I </w:t>
      </w:r>
      <w:r w:rsidR="003C181A" w:rsidRPr="000F441A">
        <w:rPr>
          <w:rFonts w:asciiTheme="minorHAnsi" w:hAnsiTheme="minorHAnsi"/>
          <w:color w:val="000000" w:themeColor="text1"/>
          <w:szCs w:val="24"/>
        </w:rPr>
        <w:t>failed</w:t>
      </w:r>
      <w:r w:rsidR="003A131D" w:rsidRPr="000F441A">
        <w:rPr>
          <w:rFonts w:asciiTheme="minorHAnsi" w:hAnsiTheme="minorHAnsi"/>
          <w:color w:val="000000" w:themeColor="text1"/>
          <w:szCs w:val="24"/>
        </w:rPr>
        <w:t xml:space="preserve"> my physical immediately after </w:t>
      </w:r>
      <w:r w:rsidR="003A131D" w:rsidRPr="000F441A">
        <w:rPr>
          <w:rFonts w:asciiTheme="minorHAnsi" w:hAnsiTheme="minorHAnsi"/>
          <w:iCs/>
          <w:color w:val="000000" w:themeColor="text1"/>
          <w:szCs w:val="24"/>
        </w:rPr>
        <w:t>my</w:t>
      </w:r>
      <w:r w:rsidR="003A131D" w:rsidRPr="000F441A">
        <w:rPr>
          <w:rFonts w:asciiTheme="minorHAnsi" w:hAnsiTheme="minorHAnsi"/>
          <w:i/>
          <w:iCs/>
          <w:color w:val="000000" w:themeColor="text1"/>
          <w:szCs w:val="24"/>
        </w:rPr>
        <w:t xml:space="preserve"> </w:t>
      </w:r>
      <w:r w:rsidR="003A131D" w:rsidRPr="000F441A">
        <w:rPr>
          <w:rFonts w:asciiTheme="minorHAnsi" w:hAnsiTheme="minorHAnsi"/>
          <w:color w:val="000000" w:themeColor="text1"/>
          <w:szCs w:val="24"/>
        </w:rPr>
        <w:t xml:space="preserve">military separation. </w:t>
      </w:r>
      <w:r w:rsidR="00E04A95"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Specifically, the</w:t>
      </w:r>
      <w:r w:rsidR="003C181A"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use of anti seizure medication, and my inability to </w:t>
      </w:r>
      <w:proofErr w:type="gramStart"/>
      <w:r w:rsidR="003A131D" w:rsidRPr="000F441A">
        <w:rPr>
          <w:rFonts w:asciiTheme="minorHAnsi" w:hAnsiTheme="minorHAnsi"/>
          <w:color w:val="000000" w:themeColor="text1"/>
          <w:szCs w:val="24"/>
        </w:rPr>
        <w:t>both lift over 20 pounds or</w:t>
      </w:r>
      <w:proofErr w:type="gramEnd"/>
      <w:r w:rsidR="003A131D" w:rsidRPr="000F441A">
        <w:rPr>
          <w:rFonts w:asciiTheme="minorHAnsi" w:hAnsiTheme="minorHAnsi"/>
          <w:color w:val="000000" w:themeColor="text1"/>
          <w:szCs w:val="24"/>
        </w:rPr>
        <w:t xml:space="preserve"> sit for </w:t>
      </w:r>
      <w:r w:rsidR="003C181A" w:rsidRPr="000F441A">
        <w:rPr>
          <w:rFonts w:asciiTheme="minorHAnsi" w:hAnsiTheme="minorHAnsi"/>
          <w:color w:val="000000" w:themeColor="text1"/>
          <w:szCs w:val="24"/>
        </w:rPr>
        <w:t>long</w:t>
      </w:r>
      <w:r w:rsidR="003A131D" w:rsidRPr="000F441A">
        <w:rPr>
          <w:rFonts w:asciiTheme="minorHAnsi" w:hAnsiTheme="minorHAnsi"/>
          <w:color w:val="000000" w:themeColor="text1"/>
          <w:szCs w:val="24"/>
        </w:rPr>
        <w:t xml:space="preserve"> periods of time due to my lumbar and cervical </w:t>
      </w:r>
      <w:r w:rsidR="003C181A" w:rsidRPr="000F441A">
        <w:rPr>
          <w:rFonts w:asciiTheme="minorHAnsi" w:hAnsiTheme="minorHAnsi"/>
          <w:color w:val="000000" w:themeColor="text1"/>
          <w:szCs w:val="24"/>
        </w:rPr>
        <w:t xml:space="preserve">injuries </w:t>
      </w:r>
      <w:r w:rsidR="003A131D" w:rsidRPr="000F441A">
        <w:rPr>
          <w:rFonts w:asciiTheme="minorHAnsi" w:hAnsiTheme="minorHAnsi"/>
          <w:color w:val="000000" w:themeColor="text1"/>
          <w:szCs w:val="24"/>
        </w:rPr>
        <w:t>prevented me from returning to my previous civilian employment</w:t>
      </w:r>
      <w:r w:rsidR="003C181A" w:rsidRPr="000F441A">
        <w:rPr>
          <w:rFonts w:asciiTheme="minorHAnsi" w:hAnsiTheme="minorHAnsi"/>
          <w:color w:val="000000" w:themeColor="text1"/>
          <w:szCs w:val="24"/>
        </w:rPr>
        <w:t>.</w:t>
      </w:r>
      <w:r w:rsidR="003A131D" w:rsidRPr="000F441A">
        <w:rPr>
          <w:rFonts w:asciiTheme="minorHAnsi" w:hAnsiTheme="minorHAnsi"/>
          <w:color w:val="000000" w:themeColor="text1"/>
          <w:szCs w:val="24"/>
        </w:rPr>
        <w:t xml:space="preserve"> </w:t>
      </w:r>
      <w:r w:rsidR="00E04A95" w:rsidRPr="000F441A">
        <w:rPr>
          <w:rFonts w:asciiTheme="minorHAnsi" w:hAnsiTheme="minorHAnsi"/>
          <w:color w:val="000000" w:themeColor="text1"/>
          <w:szCs w:val="24"/>
        </w:rPr>
        <w:t xml:space="preserve"> </w:t>
      </w:r>
      <w:r w:rsidR="003A131D" w:rsidRPr="000F441A">
        <w:rPr>
          <w:rFonts w:asciiTheme="minorHAnsi" w:hAnsiTheme="minorHAnsi"/>
          <w:color w:val="000000" w:themeColor="text1"/>
          <w:szCs w:val="24"/>
        </w:rPr>
        <w:t xml:space="preserve">In addition to these </w:t>
      </w:r>
      <w:r w:rsidR="003C181A" w:rsidRPr="000F441A">
        <w:rPr>
          <w:rFonts w:asciiTheme="minorHAnsi" w:hAnsiTheme="minorHAnsi"/>
          <w:color w:val="000000" w:themeColor="text1"/>
          <w:szCs w:val="24"/>
        </w:rPr>
        <w:t xml:space="preserve">occupational </w:t>
      </w:r>
      <w:r w:rsidR="003A131D" w:rsidRPr="000F441A">
        <w:rPr>
          <w:rFonts w:asciiTheme="minorHAnsi" w:hAnsiTheme="minorHAnsi"/>
          <w:color w:val="000000" w:themeColor="text1"/>
          <w:szCs w:val="24"/>
        </w:rPr>
        <w:t>limita</w:t>
      </w:r>
      <w:r w:rsidR="003C181A" w:rsidRPr="000F441A">
        <w:rPr>
          <w:rFonts w:asciiTheme="minorHAnsi" w:hAnsiTheme="minorHAnsi"/>
          <w:color w:val="000000" w:themeColor="text1"/>
          <w:szCs w:val="24"/>
        </w:rPr>
        <w:t>tions</w:t>
      </w:r>
      <w:r w:rsidR="003A131D" w:rsidRPr="000F441A">
        <w:rPr>
          <w:rFonts w:asciiTheme="minorHAnsi" w:hAnsiTheme="minorHAnsi"/>
          <w:color w:val="000000" w:themeColor="text1"/>
          <w:szCs w:val="24"/>
        </w:rPr>
        <w:t xml:space="preserve">, these </w:t>
      </w:r>
      <w:r w:rsidR="003C181A" w:rsidRPr="000F441A">
        <w:rPr>
          <w:rFonts w:asciiTheme="minorHAnsi" w:hAnsiTheme="minorHAnsi"/>
          <w:color w:val="000000" w:themeColor="text1"/>
          <w:szCs w:val="24"/>
        </w:rPr>
        <w:t xml:space="preserve">injuries </w:t>
      </w:r>
      <w:r w:rsidR="003A131D" w:rsidRPr="000F441A">
        <w:rPr>
          <w:rFonts w:asciiTheme="minorHAnsi" w:hAnsiTheme="minorHAnsi"/>
          <w:color w:val="000000" w:themeColor="text1"/>
          <w:szCs w:val="24"/>
        </w:rPr>
        <w:t>have signi</w:t>
      </w:r>
      <w:r w:rsidR="003C181A" w:rsidRPr="000F441A">
        <w:rPr>
          <w:rFonts w:asciiTheme="minorHAnsi" w:hAnsiTheme="minorHAnsi"/>
          <w:color w:val="000000" w:themeColor="text1"/>
          <w:szCs w:val="24"/>
        </w:rPr>
        <w:t>f</w:t>
      </w:r>
      <w:r w:rsidR="003A131D" w:rsidRPr="000F441A">
        <w:rPr>
          <w:rFonts w:asciiTheme="minorHAnsi" w:hAnsiTheme="minorHAnsi"/>
          <w:color w:val="000000" w:themeColor="text1"/>
          <w:szCs w:val="24"/>
        </w:rPr>
        <w:t>icantly</w:t>
      </w:r>
      <w:r w:rsidR="00A67CD4" w:rsidRPr="000F441A">
        <w:rPr>
          <w:rFonts w:asciiTheme="minorHAnsi" w:hAnsiTheme="minorHAnsi"/>
          <w:color w:val="000000" w:themeColor="text1"/>
          <w:szCs w:val="24"/>
        </w:rPr>
        <w:t xml:space="preserve"> impacted my personal life. </w:t>
      </w:r>
      <w:r w:rsidR="00E04A95"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 xml:space="preserve">Consistent with my complaints while on active duty, </w:t>
      </w:r>
      <w:r w:rsidR="00961AB1" w:rsidRPr="000F441A">
        <w:rPr>
          <w:rFonts w:asciiTheme="minorHAnsi" w:hAnsiTheme="minorHAnsi"/>
          <w:color w:val="000000" w:themeColor="text1"/>
          <w:szCs w:val="24"/>
        </w:rPr>
        <w:t>I</w:t>
      </w:r>
      <w:r w:rsidR="00A67CD4" w:rsidRPr="000F441A">
        <w:rPr>
          <w:rFonts w:asciiTheme="minorHAnsi" w:hAnsiTheme="minorHAnsi"/>
          <w:color w:val="000000" w:themeColor="text1"/>
          <w:szCs w:val="24"/>
        </w:rPr>
        <w:t xml:space="preserve"> am s</w:t>
      </w:r>
      <w:r w:rsidR="00961AB1" w:rsidRPr="000F441A">
        <w:rPr>
          <w:rFonts w:asciiTheme="minorHAnsi" w:hAnsiTheme="minorHAnsi"/>
          <w:color w:val="000000" w:themeColor="text1"/>
          <w:szCs w:val="24"/>
        </w:rPr>
        <w:t>t</w:t>
      </w:r>
      <w:r w:rsidR="00A67CD4" w:rsidRPr="000F441A">
        <w:rPr>
          <w:rFonts w:asciiTheme="minorHAnsi" w:hAnsiTheme="minorHAnsi"/>
          <w:color w:val="000000" w:themeColor="text1"/>
          <w:szCs w:val="24"/>
        </w:rPr>
        <w:t>ill un</w:t>
      </w:r>
      <w:r w:rsidR="005418DF" w:rsidRPr="000F441A">
        <w:rPr>
          <w:rFonts w:asciiTheme="minorHAnsi" w:hAnsiTheme="minorHAnsi"/>
          <w:color w:val="000000" w:themeColor="text1"/>
          <w:szCs w:val="24"/>
        </w:rPr>
        <w:t>a</w:t>
      </w:r>
      <w:r w:rsidR="00A67CD4" w:rsidRPr="000F441A">
        <w:rPr>
          <w:rFonts w:asciiTheme="minorHAnsi" w:hAnsiTheme="minorHAnsi"/>
          <w:color w:val="000000" w:themeColor="text1"/>
          <w:szCs w:val="24"/>
        </w:rPr>
        <w:t>ble to tolerate heat for more than twenty to t</w:t>
      </w:r>
      <w:r w:rsidR="00961AB1" w:rsidRPr="000F441A">
        <w:rPr>
          <w:rFonts w:asciiTheme="minorHAnsi" w:hAnsiTheme="minorHAnsi"/>
          <w:color w:val="000000" w:themeColor="text1"/>
          <w:szCs w:val="24"/>
        </w:rPr>
        <w:t>h</w:t>
      </w:r>
      <w:r w:rsidR="00A67CD4" w:rsidRPr="000F441A">
        <w:rPr>
          <w:rFonts w:asciiTheme="minorHAnsi" w:hAnsiTheme="minorHAnsi"/>
          <w:color w:val="000000" w:themeColor="text1"/>
          <w:szCs w:val="24"/>
        </w:rPr>
        <w:t>irty</w:t>
      </w:r>
      <w:r w:rsidR="00961AB1"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min</w:t>
      </w:r>
      <w:r w:rsidR="00961AB1" w:rsidRPr="000F441A">
        <w:rPr>
          <w:rFonts w:asciiTheme="minorHAnsi" w:hAnsiTheme="minorHAnsi"/>
          <w:color w:val="000000" w:themeColor="text1"/>
          <w:szCs w:val="24"/>
        </w:rPr>
        <w:t>utes</w:t>
      </w:r>
      <w:r w:rsidR="00A67CD4" w:rsidRPr="000F441A">
        <w:rPr>
          <w:rFonts w:asciiTheme="minorHAnsi" w:hAnsiTheme="minorHAnsi"/>
          <w:color w:val="000000" w:themeColor="text1"/>
          <w:szCs w:val="24"/>
        </w:rPr>
        <w:t xml:space="preserve"> without feeling </w:t>
      </w:r>
      <w:r w:rsidR="00961AB1" w:rsidRPr="000F441A">
        <w:rPr>
          <w:rFonts w:asciiTheme="minorHAnsi" w:hAnsiTheme="minorHAnsi"/>
          <w:color w:val="000000" w:themeColor="text1"/>
          <w:szCs w:val="24"/>
        </w:rPr>
        <w:t xml:space="preserve">nauseous and </w:t>
      </w:r>
      <w:r w:rsidR="00A67CD4" w:rsidRPr="000F441A">
        <w:rPr>
          <w:rFonts w:asciiTheme="minorHAnsi" w:hAnsiTheme="minorHAnsi"/>
          <w:color w:val="000000" w:themeColor="text1"/>
          <w:szCs w:val="24"/>
        </w:rPr>
        <w:t xml:space="preserve">dizzy. </w:t>
      </w:r>
      <w:r w:rsidR="00E04A95"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 xml:space="preserve">In </w:t>
      </w:r>
      <w:r w:rsidR="00961AB1" w:rsidRPr="000F441A">
        <w:rPr>
          <w:rFonts w:asciiTheme="minorHAnsi" w:hAnsiTheme="minorHAnsi"/>
          <w:color w:val="000000" w:themeColor="text1"/>
          <w:szCs w:val="24"/>
        </w:rPr>
        <w:t>a</w:t>
      </w:r>
      <w:r w:rsidR="00A67CD4" w:rsidRPr="000F441A">
        <w:rPr>
          <w:rFonts w:asciiTheme="minorHAnsi" w:hAnsiTheme="minorHAnsi"/>
          <w:color w:val="000000" w:themeColor="text1"/>
          <w:szCs w:val="24"/>
        </w:rPr>
        <w:t>ddition t</w:t>
      </w:r>
      <w:r w:rsidR="00961AB1" w:rsidRPr="000F441A">
        <w:rPr>
          <w:rFonts w:asciiTheme="minorHAnsi" w:hAnsiTheme="minorHAnsi"/>
          <w:color w:val="000000" w:themeColor="text1"/>
          <w:szCs w:val="24"/>
        </w:rPr>
        <w:t>o</w:t>
      </w:r>
      <w:r w:rsidR="00A67CD4" w:rsidRPr="000F441A">
        <w:rPr>
          <w:rFonts w:asciiTheme="minorHAnsi" w:hAnsiTheme="minorHAnsi"/>
          <w:color w:val="000000" w:themeColor="text1"/>
          <w:szCs w:val="24"/>
        </w:rPr>
        <w:t xml:space="preserve"> </w:t>
      </w:r>
      <w:r w:rsidR="00961AB1" w:rsidRPr="000F441A">
        <w:rPr>
          <w:rFonts w:asciiTheme="minorHAnsi" w:hAnsiTheme="minorHAnsi"/>
          <w:color w:val="000000" w:themeColor="text1"/>
          <w:szCs w:val="24"/>
        </w:rPr>
        <w:t>th</w:t>
      </w:r>
      <w:r w:rsidR="00A67CD4" w:rsidRPr="000F441A">
        <w:rPr>
          <w:rFonts w:asciiTheme="minorHAnsi" w:hAnsiTheme="minorHAnsi"/>
          <w:color w:val="000000" w:themeColor="text1"/>
          <w:szCs w:val="24"/>
        </w:rPr>
        <w:t xml:space="preserve">is, I experience weekly </w:t>
      </w:r>
      <w:r w:rsidR="00961AB1" w:rsidRPr="000F441A">
        <w:rPr>
          <w:rFonts w:asciiTheme="minorHAnsi" w:hAnsiTheme="minorHAnsi"/>
          <w:color w:val="000000" w:themeColor="text1"/>
          <w:szCs w:val="24"/>
        </w:rPr>
        <w:lastRenderedPageBreak/>
        <w:t>e</w:t>
      </w:r>
      <w:r w:rsidR="00A67CD4" w:rsidRPr="000F441A">
        <w:rPr>
          <w:rFonts w:asciiTheme="minorHAnsi" w:hAnsiTheme="minorHAnsi"/>
          <w:color w:val="000000" w:themeColor="text1"/>
          <w:szCs w:val="24"/>
        </w:rPr>
        <w:t>x</w:t>
      </w:r>
      <w:r w:rsidR="005418DF" w:rsidRPr="000F441A">
        <w:rPr>
          <w:rFonts w:asciiTheme="minorHAnsi" w:hAnsiTheme="minorHAnsi"/>
          <w:color w:val="000000" w:themeColor="text1"/>
          <w:szCs w:val="24"/>
        </w:rPr>
        <w:t>a</w:t>
      </w:r>
      <w:r w:rsidR="00961AB1" w:rsidRPr="000F441A">
        <w:rPr>
          <w:rFonts w:asciiTheme="minorHAnsi" w:hAnsiTheme="minorHAnsi"/>
          <w:color w:val="000000" w:themeColor="text1"/>
          <w:szCs w:val="24"/>
        </w:rPr>
        <w:t>ce</w:t>
      </w:r>
      <w:r w:rsidR="00A67CD4" w:rsidRPr="000F441A">
        <w:rPr>
          <w:rFonts w:asciiTheme="minorHAnsi" w:hAnsiTheme="minorHAnsi"/>
          <w:color w:val="000000" w:themeColor="text1"/>
          <w:szCs w:val="24"/>
        </w:rPr>
        <w:t>rb</w:t>
      </w:r>
      <w:r w:rsidR="005418DF" w:rsidRPr="000F441A">
        <w:rPr>
          <w:rFonts w:asciiTheme="minorHAnsi" w:hAnsiTheme="minorHAnsi"/>
          <w:color w:val="000000" w:themeColor="text1"/>
          <w:szCs w:val="24"/>
        </w:rPr>
        <w:t>a</w:t>
      </w:r>
      <w:r w:rsidR="00961AB1" w:rsidRPr="000F441A">
        <w:rPr>
          <w:rFonts w:asciiTheme="minorHAnsi" w:hAnsiTheme="minorHAnsi"/>
          <w:color w:val="000000" w:themeColor="text1"/>
          <w:szCs w:val="24"/>
        </w:rPr>
        <w:t>t</w:t>
      </w:r>
      <w:r w:rsidR="00A67CD4" w:rsidRPr="000F441A">
        <w:rPr>
          <w:rFonts w:asciiTheme="minorHAnsi" w:hAnsiTheme="minorHAnsi"/>
          <w:color w:val="000000" w:themeColor="text1"/>
          <w:szCs w:val="24"/>
        </w:rPr>
        <w:t xml:space="preserve">ion of my condition which requires me to </w:t>
      </w:r>
      <w:proofErr w:type="gramStart"/>
      <w:r w:rsidR="00A67CD4" w:rsidRPr="000F441A">
        <w:rPr>
          <w:rFonts w:asciiTheme="minorHAnsi" w:hAnsiTheme="minorHAnsi"/>
          <w:color w:val="000000" w:themeColor="text1"/>
          <w:szCs w:val="24"/>
        </w:rPr>
        <w:t>lay</w:t>
      </w:r>
      <w:proofErr w:type="gramEnd"/>
      <w:r w:rsidR="00A67CD4" w:rsidRPr="000F441A">
        <w:rPr>
          <w:rFonts w:asciiTheme="minorHAnsi" w:hAnsiTheme="minorHAnsi"/>
          <w:color w:val="000000" w:themeColor="text1"/>
          <w:szCs w:val="24"/>
        </w:rPr>
        <w:t xml:space="preserve"> down</w:t>
      </w:r>
      <w:r w:rsidR="00961AB1" w:rsidRPr="000F441A">
        <w:rPr>
          <w:rFonts w:asciiTheme="minorHAnsi" w:hAnsiTheme="minorHAnsi"/>
          <w:color w:val="000000" w:themeColor="text1"/>
          <w:szCs w:val="24"/>
        </w:rPr>
        <w:t xml:space="preserve"> and </w:t>
      </w:r>
      <w:r w:rsidR="00A67CD4" w:rsidRPr="000F441A">
        <w:rPr>
          <w:rFonts w:asciiTheme="minorHAnsi" w:hAnsiTheme="minorHAnsi"/>
          <w:color w:val="000000" w:themeColor="text1"/>
          <w:szCs w:val="24"/>
        </w:rPr>
        <w:t>rest</w:t>
      </w:r>
      <w:r w:rsidR="00961AB1" w:rsidRPr="000F441A">
        <w:rPr>
          <w:rFonts w:asciiTheme="minorHAnsi" w:hAnsiTheme="minorHAnsi"/>
          <w:color w:val="000000" w:themeColor="text1"/>
          <w:szCs w:val="24"/>
        </w:rPr>
        <w:t xml:space="preserve"> for</w:t>
      </w:r>
      <w:r w:rsidR="00A67CD4" w:rsidRPr="000F441A">
        <w:rPr>
          <w:rFonts w:asciiTheme="minorHAnsi" w:hAnsiTheme="minorHAnsi"/>
          <w:color w:val="000000" w:themeColor="text1"/>
          <w:szCs w:val="24"/>
        </w:rPr>
        <w:t xml:space="preserve"> up to</w:t>
      </w:r>
      <w:r w:rsidR="00A67CD4" w:rsidRPr="00961AB1">
        <w:rPr>
          <w:rFonts w:asciiTheme="minorHAnsi" w:hAnsiTheme="minorHAnsi"/>
          <w:color w:val="000000" w:themeColor="text1"/>
          <w:szCs w:val="24"/>
        </w:rPr>
        <w:t xml:space="preserve"> a </w:t>
      </w:r>
      <w:r w:rsidR="00961AB1" w:rsidRPr="00961AB1">
        <w:rPr>
          <w:rFonts w:asciiTheme="minorHAnsi" w:hAnsiTheme="minorHAnsi"/>
          <w:color w:val="000000" w:themeColor="text1"/>
          <w:szCs w:val="24"/>
        </w:rPr>
        <w:t>f</w:t>
      </w:r>
      <w:r w:rsidR="00A67CD4" w:rsidRPr="00961AB1">
        <w:rPr>
          <w:rFonts w:asciiTheme="minorHAnsi" w:hAnsiTheme="minorHAnsi"/>
          <w:color w:val="000000" w:themeColor="text1"/>
          <w:szCs w:val="24"/>
        </w:rPr>
        <w:t xml:space="preserve">ew days. </w:t>
      </w:r>
      <w:r w:rsidR="00E04A95">
        <w:rPr>
          <w:rFonts w:asciiTheme="minorHAnsi" w:hAnsiTheme="minorHAnsi"/>
          <w:color w:val="000000" w:themeColor="text1"/>
          <w:szCs w:val="24"/>
        </w:rPr>
        <w:t xml:space="preserve"> </w:t>
      </w:r>
      <w:r w:rsidR="00A67CD4" w:rsidRPr="00961AB1">
        <w:rPr>
          <w:rFonts w:asciiTheme="minorHAnsi" w:hAnsiTheme="minorHAnsi"/>
          <w:color w:val="000000" w:themeColor="text1"/>
          <w:szCs w:val="24"/>
        </w:rPr>
        <w:t>A</w:t>
      </w:r>
      <w:r w:rsidR="00961AB1" w:rsidRPr="00961AB1">
        <w:rPr>
          <w:rFonts w:asciiTheme="minorHAnsi" w:hAnsiTheme="minorHAnsi"/>
          <w:color w:val="000000" w:themeColor="text1"/>
          <w:szCs w:val="24"/>
        </w:rPr>
        <w:t>gain,</w:t>
      </w:r>
      <w:r w:rsidR="00A67CD4" w:rsidRPr="00961AB1">
        <w:rPr>
          <w:rFonts w:asciiTheme="minorHAnsi" w:hAnsiTheme="minorHAnsi"/>
          <w:color w:val="000000" w:themeColor="text1"/>
          <w:szCs w:val="24"/>
        </w:rPr>
        <w:t xml:space="preserve"> this is consistent wit</w:t>
      </w:r>
      <w:r w:rsidR="00961AB1" w:rsidRPr="00961AB1">
        <w:rPr>
          <w:rFonts w:asciiTheme="minorHAnsi" w:hAnsiTheme="minorHAnsi"/>
          <w:color w:val="000000" w:themeColor="text1"/>
          <w:szCs w:val="24"/>
        </w:rPr>
        <w:t>h</w:t>
      </w:r>
      <w:r w:rsidR="00A67CD4" w:rsidRPr="00961AB1">
        <w:rPr>
          <w:rFonts w:asciiTheme="minorHAnsi" w:hAnsiTheme="minorHAnsi"/>
          <w:color w:val="000000" w:themeColor="text1"/>
          <w:szCs w:val="24"/>
        </w:rPr>
        <w:t xml:space="preserve"> symptoms I complained of while on active duty. </w:t>
      </w:r>
      <w:r w:rsidR="00E04A95">
        <w:rPr>
          <w:rFonts w:asciiTheme="minorHAnsi" w:hAnsiTheme="minorHAnsi"/>
          <w:color w:val="000000" w:themeColor="text1"/>
          <w:szCs w:val="24"/>
        </w:rPr>
        <w:t xml:space="preserve"> </w:t>
      </w:r>
      <w:r w:rsidR="00A67CD4" w:rsidRPr="00961AB1">
        <w:rPr>
          <w:rFonts w:asciiTheme="minorHAnsi" w:hAnsiTheme="minorHAnsi"/>
          <w:color w:val="000000" w:themeColor="text1"/>
          <w:szCs w:val="24"/>
        </w:rPr>
        <w:t>It is di</w:t>
      </w:r>
      <w:r w:rsidR="005418DF">
        <w:rPr>
          <w:rFonts w:asciiTheme="minorHAnsi" w:hAnsiTheme="minorHAnsi"/>
          <w:color w:val="000000" w:themeColor="text1"/>
          <w:szCs w:val="24"/>
        </w:rPr>
        <w:t>ff</w:t>
      </w:r>
      <w:r w:rsidR="00A67CD4" w:rsidRPr="00961AB1">
        <w:rPr>
          <w:rFonts w:asciiTheme="minorHAnsi" w:hAnsiTheme="minorHAnsi"/>
          <w:color w:val="000000" w:themeColor="text1"/>
          <w:szCs w:val="24"/>
        </w:rPr>
        <w:t>ic</w:t>
      </w:r>
      <w:r w:rsidR="00961AB1" w:rsidRPr="00961AB1">
        <w:rPr>
          <w:rFonts w:asciiTheme="minorHAnsi" w:hAnsiTheme="minorHAnsi"/>
          <w:color w:val="000000" w:themeColor="text1"/>
          <w:szCs w:val="24"/>
        </w:rPr>
        <w:t>ult</w:t>
      </w:r>
      <w:r w:rsidR="00A67CD4" w:rsidRPr="00961AB1">
        <w:rPr>
          <w:rFonts w:asciiTheme="minorHAnsi" w:hAnsiTheme="minorHAnsi"/>
          <w:color w:val="000000" w:themeColor="text1"/>
          <w:szCs w:val="24"/>
        </w:rPr>
        <w:t xml:space="preserve"> for me to do </w:t>
      </w:r>
      <w:r w:rsidR="00A67CD4" w:rsidRPr="000F441A">
        <w:rPr>
          <w:rFonts w:asciiTheme="minorHAnsi" w:hAnsiTheme="minorHAnsi"/>
          <w:color w:val="000000" w:themeColor="text1"/>
          <w:szCs w:val="24"/>
        </w:rPr>
        <w:t>simple c</w:t>
      </w:r>
      <w:r w:rsidR="00961AB1" w:rsidRPr="000F441A">
        <w:rPr>
          <w:rFonts w:asciiTheme="minorHAnsi" w:hAnsiTheme="minorHAnsi"/>
          <w:color w:val="000000" w:themeColor="text1"/>
          <w:szCs w:val="24"/>
        </w:rPr>
        <w:t>h</w:t>
      </w:r>
      <w:r w:rsidR="00A67CD4" w:rsidRPr="000F441A">
        <w:rPr>
          <w:rFonts w:asciiTheme="minorHAnsi" w:hAnsiTheme="minorHAnsi"/>
          <w:color w:val="000000" w:themeColor="text1"/>
          <w:szCs w:val="24"/>
        </w:rPr>
        <w:t>ores</w:t>
      </w:r>
      <w:r w:rsidR="00961AB1"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 xml:space="preserve">such as mowing my lawn or manual </w:t>
      </w:r>
      <w:proofErr w:type="spellStart"/>
      <w:r w:rsidR="00A67CD4" w:rsidRPr="000F441A">
        <w:rPr>
          <w:rFonts w:asciiTheme="minorHAnsi" w:hAnsiTheme="minorHAnsi"/>
          <w:color w:val="000000" w:themeColor="text1"/>
          <w:szCs w:val="24"/>
        </w:rPr>
        <w:t>lubor</w:t>
      </w:r>
      <w:proofErr w:type="spellEnd"/>
      <w:r w:rsidR="00A67CD4" w:rsidRPr="000F441A">
        <w:rPr>
          <w:rFonts w:asciiTheme="minorHAnsi" w:hAnsiTheme="minorHAnsi"/>
          <w:color w:val="000000" w:themeColor="text1"/>
          <w:szCs w:val="24"/>
        </w:rPr>
        <w:t xml:space="preserve">. </w:t>
      </w:r>
      <w:r w:rsidR="00E04A95"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During active duty, I was told, be</w:t>
      </w:r>
      <w:r w:rsidR="00961AB1" w:rsidRPr="000F441A">
        <w:rPr>
          <w:rFonts w:asciiTheme="minorHAnsi" w:hAnsiTheme="minorHAnsi"/>
          <w:color w:val="000000" w:themeColor="text1"/>
          <w:szCs w:val="24"/>
        </w:rPr>
        <w:t>ca</w:t>
      </w:r>
      <w:r w:rsidR="00A67CD4" w:rsidRPr="000F441A">
        <w:rPr>
          <w:rFonts w:asciiTheme="minorHAnsi" w:hAnsiTheme="minorHAnsi"/>
          <w:color w:val="000000" w:themeColor="text1"/>
          <w:szCs w:val="24"/>
        </w:rPr>
        <w:t>use of my seizures and vertigo, to not bath</w:t>
      </w:r>
      <w:r w:rsidR="00961AB1" w:rsidRPr="000F441A">
        <w:rPr>
          <w:rFonts w:asciiTheme="minorHAnsi" w:hAnsiTheme="minorHAnsi"/>
          <w:color w:val="000000" w:themeColor="text1"/>
          <w:szCs w:val="24"/>
        </w:rPr>
        <w:t>e</w:t>
      </w:r>
      <w:r w:rsidR="00A67CD4" w:rsidRPr="000F441A">
        <w:rPr>
          <w:rFonts w:asciiTheme="minorHAnsi" w:hAnsiTheme="minorHAnsi"/>
          <w:color w:val="000000" w:themeColor="text1"/>
          <w:szCs w:val="24"/>
        </w:rPr>
        <w:t xml:space="preserve"> without someone else</w:t>
      </w:r>
      <w:r w:rsidR="00961AB1"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 xml:space="preserve">present, climb up on </w:t>
      </w:r>
      <w:r w:rsidR="00961AB1" w:rsidRPr="000F441A">
        <w:rPr>
          <w:rFonts w:asciiTheme="minorHAnsi" w:hAnsiTheme="minorHAnsi"/>
          <w:color w:val="000000" w:themeColor="text1"/>
          <w:szCs w:val="24"/>
        </w:rPr>
        <w:t>la</w:t>
      </w:r>
      <w:r w:rsidR="00A67CD4" w:rsidRPr="000F441A">
        <w:rPr>
          <w:rFonts w:asciiTheme="minorHAnsi" w:hAnsiTheme="minorHAnsi"/>
          <w:color w:val="000000" w:themeColor="text1"/>
          <w:szCs w:val="24"/>
        </w:rPr>
        <w:t xml:space="preserve">dders, or do </w:t>
      </w:r>
      <w:proofErr w:type="spellStart"/>
      <w:r w:rsidR="00A67CD4" w:rsidRPr="000F441A">
        <w:rPr>
          <w:rFonts w:asciiTheme="minorHAnsi" w:hAnsiTheme="minorHAnsi"/>
          <w:color w:val="000000" w:themeColor="text1"/>
          <w:szCs w:val="24"/>
        </w:rPr>
        <w:t>any t</w:t>
      </w:r>
      <w:r w:rsidR="00961AB1" w:rsidRPr="000F441A">
        <w:rPr>
          <w:rFonts w:asciiTheme="minorHAnsi" w:hAnsiTheme="minorHAnsi"/>
          <w:color w:val="000000" w:themeColor="text1"/>
          <w:szCs w:val="24"/>
        </w:rPr>
        <w:t>hing</w:t>
      </w:r>
      <w:proofErr w:type="spellEnd"/>
      <w:r w:rsidR="00A67CD4" w:rsidRPr="000F441A">
        <w:rPr>
          <w:rFonts w:asciiTheme="minorHAnsi" w:hAnsiTheme="minorHAnsi"/>
          <w:color w:val="000000" w:themeColor="text1"/>
          <w:szCs w:val="24"/>
        </w:rPr>
        <w:t xml:space="preserve"> where I might </w:t>
      </w:r>
      <w:r w:rsidR="00961AB1" w:rsidRPr="000F441A">
        <w:rPr>
          <w:rFonts w:asciiTheme="minorHAnsi" w:hAnsiTheme="minorHAnsi"/>
          <w:color w:val="000000" w:themeColor="text1"/>
          <w:szCs w:val="24"/>
        </w:rPr>
        <w:t>f</w:t>
      </w:r>
      <w:r w:rsidR="00A67CD4" w:rsidRPr="000F441A">
        <w:rPr>
          <w:rFonts w:asciiTheme="minorHAnsi" w:hAnsiTheme="minorHAnsi"/>
          <w:color w:val="000000" w:themeColor="text1"/>
          <w:szCs w:val="24"/>
        </w:rPr>
        <w:t xml:space="preserve">all or cause serious injury to myself. </w:t>
      </w:r>
      <w:r w:rsidR="00E04A95"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I have been fully compliant with my VA medical</w:t>
      </w:r>
      <w:r w:rsidR="00961AB1"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 xml:space="preserve">care. </w:t>
      </w:r>
      <w:r w:rsidR="00E04A95"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I am still actively tre</w:t>
      </w:r>
      <w:r w:rsidR="00961AB1" w:rsidRPr="000F441A">
        <w:rPr>
          <w:rFonts w:asciiTheme="minorHAnsi" w:hAnsiTheme="minorHAnsi"/>
          <w:color w:val="000000" w:themeColor="text1"/>
          <w:szCs w:val="24"/>
        </w:rPr>
        <w:t>ated</w:t>
      </w:r>
      <w:r w:rsidR="00A67CD4" w:rsidRPr="000F441A">
        <w:rPr>
          <w:rFonts w:asciiTheme="minorHAnsi" w:hAnsiTheme="minorHAnsi"/>
          <w:color w:val="000000" w:themeColor="text1"/>
          <w:szCs w:val="24"/>
        </w:rPr>
        <w:t xml:space="preserve"> for seizures, headaches, </w:t>
      </w:r>
      <w:r w:rsidR="00961AB1" w:rsidRPr="000F441A">
        <w:rPr>
          <w:rFonts w:asciiTheme="minorHAnsi" w:hAnsiTheme="minorHAnsi"/>
          <w:color w:val="000000" w:themeColor="text1"/>
          <w:szCs w:val="24"/>
        </w:rPr>
        <w:t>nausea</w:t>
      </w:r>
      <w:r w:rsidR="00A67CD4" w:rsidRPr="000F441A">
        <w:rPr>
          <w:rFonts w:asciiTheme="minorHAnsi" w:hAnsiTheme="minorHAnsi"/>
          <w:color w:val="000000" w:themeColor="text1"/>
          <w:szCs w:val="24"/>
        </w:rPr>
        <w:t>, f</w:t>
      </w:r>
      <w:r w:rsidR="00961AB1" w:rsidRPr="000F441A">
        <w:rPr>
          <w:rFonts w:asciiTheme="minorHAnsi" w:hAnsiTheme="minorHAnsi"/>
          <w:color w:val="000000" w:themeColor="text1"/>
          <w:szCs w:val="24"/>
        </w:rPr>
        <w:t>a</w:t>
      </w:r>
      <w:r w:rsidR="00A67CD4" w:rsidRPr="000F441A">
        <w:rPr>
          <w:rFonts w:asciiTheme="minorHAnsi" w:hAnsiTheme="minorHAnsi"/>
          <w:color w:val="000000" w:themeColor="text1"/>
          <w:szCs w:val="24"/>
        </w:rPr>
        <w:t xml:space="preserve">tigue and vertigo. </w:t>
      </w:r>
      <w:r w:rsidR="00E04A95"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 xml:space="preserve">I am still taking pain medications </w:t>
      </w:r>
      <w:r w:rsidR="00961AB1" w:rsidRPr="000F441A">
        <w:rPr>
          <w:rFonts w:asciiTheme="minorHAnsi" w:hAnsiTheme="minorHAnsi"/>
          <w:color w:val="000000" w:themeColor="text1"/>
          <w:szCs w:val="24"/>
        </w:rPr>
        <w:t>f</w:t>
      </w:r>
      <w:r w:rsidR="00A67CD4" w:rsidRPr="000F441A">
        <w:rPr>
          <w:rFonts w:asciiTheme="minorHAnsi" w:hAnsiTheme="minorHAnsi"/>
          <w:color w:val="000000" w:themeColor="text1"/>
          <w:szCs w:val="24"/>
        </w:rPr>
        <w:t>or my sp</w:t>
      </w:r>
      <w:r w:rsidR="00961AB1" w:rsidRPr="000F441A">
        <w:rPr>
          <w:rFonts w:asciiTheme="minorHAnsi" w:hAnsiTheme="minorHAnsi"/>
          <w:color w:val="000000" w:themeColor="text1"/>
          <w:szCs w:val="24"/>
        </w:rPr>
        <w:t>inal</w:t>
      </w:r>
      <w:r w:rsidR="00A67CD4" w:rsidRPr="000F441A">
        <w:rPr>
          <w:rFonts w:asciiTheme="minorHAnsi" w:hAnsiTheme="minorHAnsi"/>
          <w:color w:val="000000" w:themeColor="text1"/>
          <w:szCs w:val="24"/>
        </w:rPr>
        <w:t xml:space="preserve"> i</w:t>
      </w:r>
      <w:r w:rsidR="00961AB1" w:rsidRPr="000F441A">
        <w:rPr>
          <w:rFonts w:asciiTheme="minorHAnsi" w:hAnsiTheme="minorHAnsi"/>
          <w:color w:val="000000" w:themeColor="text1"/>
          <w:szCs w:val="24"/>
        </w:rPr>
        <w:t>nj</w:t>
      </w:r>
      <w:r w:rsidR="00A67CD4" w:rsidRPr="000F441A">
        <w:rPr>
          <w:rFonts w:asciiTheme="minorHAnsi" w:hAnsiTheme="minorHAnsi"/>
          <w:color w:val="000000" w:themeColor="text1"/>
          <w:szCs w:val="24"/>
        </w:rPr>
        <w:t xml:space="preserve">uries. </w:t>
      </w:r>
      <w:r w:rsidR="00E04A95"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The</w:t>
      </w:r>
      <w:r w:rsidR="00961AB1" w:rsidRPr="000F441A">
        <w:rPr>
          <w:rFonts w:asciiTheme="minorHAnsi" w:hAnsiTheme="minorHAnsi"/>
          <w:color w:val="000000" w:themeColor="text1"/>
          <w:szCs w:val="24"/>
        </w:rPr>
        <w:t xml:space="preserve"> only</w:t>
      </w:r>
      <w:r w:rsidR="00A67CD4" w:rsidRPr="000F441A">
        <w:rPr>
          <w:rFonts w:asciiTheme="minorHAnsi" w:hAnsiTheme="minorHAnsi"/>
          <w:color w:val="000000" w:themeColor="text1"/>
          <w:szCs w:val="24"/>
        </w:rPr>
        <w:t xml:space="preserve"> conditions which has wor</w:t>
      </w:r>
      <w:r w:rsidR="00961AB1" w:rsidRPr="000F441A">
        <w:rPr>
          <w:rFonts w:asciiTheme="minorHAnsi" w:hAnsiTheme="minorHAnsi"/>
          <w:color w:val="000000" w:themeColor="text1"/>
          <w:szCs w:val="24"/>
        </w:rPr>
        <w:t>sen</w:t>
      </w:r>
      <w:r w:rsidR="00A67CD4" w:rsidRPr="000F441A">
        <w:rPr>
          <w:rFonts w:asciiTheme="minorHAnsi" w:hAnsiTheme="minorHAnsi"/>
          <w:color w:val="000000" w:themeColor="text1"/>
          <w:szCs w:val="24"/>
        </w:rPr>
        <w:t>ed since separation is my carpal tunn</w:t>
      </w:r>
      <w:r w:rsidR="00961AB1" w:rsidRPr="000F441A">
        <w:rPr>
          <w:rFonts w:asciiTheme="minorHAnsi" w:hAnsiTheme="minorHAnsi"/>
          <w:color w:val="000000" w:themeColor="text1"/>
          <w:szCs w:val="24"/>
        </w:rPr>
        <w:t>e</w:t>
      </w:r>
      <w:r w:rsidR="00A67CD4" w:rsidRPr="000F441A">
        <w:rPr>
          <w:rFonts w:asciiTheme="minorHAnsi" w:hAnsiTheme="minorHAnsi"/>
          <w:color w:val="000000" w:themeColor="text1"/>
          <w:szCs w:val="24"/>
        </w:rPr>
        <w:t>l syndrome and depression.</w:t>
      </w:r>
      <w:r w:rsidR="00E04A95" w:rsidRPr="000F441A">
        <w:rPr>
          <w:rFonts w:asciiTheme="minorHAnsi" w:hAnsiTheme="minorHAnsi"/>
          <w:color w:val="000000" w:themeColor="text1"/>
          <w:szCs w:val="24"/>
        </w:rPr>
        <w:t xml:space="preserve"> </w:t>
      </w:r>
      <w:r w:rsidR="00961AB1"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 xml:space="preserve">I requested </w:t>
      </w:r>
      <w:r w:rsidR="00961AB1" w:rsidRPr="000F441A">
        <w:rPr>
          <w:rFonts w:asciiTheme="minorHAnsi" w:hAnsiTheme="minorHAnsi"/>
          <w:color w:val="000000" w:themeColor="text1"/>
          <w:szCs w:val="24"/>
        </w:rPr>
        <w:t>a</w:t>
      </w:r>
      <w:r w:rsidR="00A67CD4" w:rsidRPr="000F441A">
        <w:rPr>
          <w:rFonts w:asciiTheme="minorHAnsi" w:hAnsiTheme="minorHAnsi"/>
          <w:color w:val="000000" w:themeColor="text1"/>
          <w:szCs w:val="24"/>
        </w:rPr>
        <w:t xml:space="preserve"> personal </w:t>
      </w:r>
      <w:proofErr w:type="spellStart"/>
      <w:r w:rsidR="00A67CD4" w:rsidRPr="000F441A">
        <w:rPr>
          <w:rFonts w:asciiTheme="minorHAnsi" w:hAnsiTheme="minorHAnsi"/>
          <w:color w:val="000000" w:themeColor="text1"/>
          <w:szCs w:val="24"/>
        </w:rPr>
        <w:t>aquaintence</w:t>
      </w:r>
      <w:proofErr w:type="spellEnd"/>
      <w:r w:rsidR="00A67CD4" w:rsidRPr="000F441A">
        <w:rPr>
          <w:rFonts w:asciiTheme="minorHAnsi" w:hAnsiTheme="minorHAnsi"/>
          <w:color w:val="000000" w:themeColor="text1"/>
          <w:szCs w:val="24"/>
        </w:rPr>
        <w:t xml:space="preserve">, who is a military physician </w:t>
      </w:r>
      <w:r w:rsidR="00961AB1" w:rsidRPr="000F441A">
        <w:rPr>
          <w:rFonts w:asciiTheme="minorHAnsi" w:hAnsiTheme="minorHAnsi"/>
          <w:color w:val="000000" w:themeColor="text1"/>
          <w:szCs w:val="24"/>
        </w:rPr>
        <w:t>and familiar</w:t>
      </w:r>
      <w:r w:rsidR="00A67CD4" w:rsidRPr="000F441A">
        <w:rPr>
          <w:rFonts w:asciiTheme="minorHAnsi" w:hAnsiTheme="minorHAnsi"/>
          <w:color w:val="000000" w:themeColor="text1"/>
          <w:szCs w:val="24"/>
        </w:rPr>
        <w:t xml:space="preserve"> with the medic</w:t>
      </w:r>
      <w:r w:rsidR="00961AB1" w:rsidRPr="000F441A">
        <w:rPr>
          <w:rFonts w:asciiTheme="minorHAnsi" w:hAnsiTheme="minorHAnsi"/>
          <w:color w:val="000000" w:themeColor="text1"/>
          <w:szCs w:val="24"/>
        </w:rPr>
        <w:t>al</w:t>
      </w:r>
      <w:r w:rsidR="00A67CD4" w:rsidRPr="000F441A">
        <w:rPr>
          <w:rFonts w:asciiTheme="minorHAnsi" w:hAnsiTheme="minorHAnsi"/>
          <w:color w:val="000000" w:themeColor="text1"/>
          <w:szCs w:val="24"/>
        </w:rPr>
        <w:t xml:space="preserve"> board process, t</w:t>
      </w:r>
      <w:r w:rsidR="00961AB1" w:rsidRPr="000F441A">
        <w:rPr>
          <w:rFonts w:asciiTheme="minorHAnsi" w:hAnsiTheme="minorHAnsi"/>
          <w:color w:val="000000" w:themeColor="text1"/>
          <w:szCs w:val="24"/>
        </w:rPr>
        <w:t>o</w:t>
      </w:r>
      <w:r w:rsidR="00A67CD4" w:rsidRPr="000F441A">
        <w:rPr>
          <w:rFonts w:asciiTheme="minorHAnsi" w:hAnsiTheme="minorHAnsi"/>
          <w:color w:val="000000" w:themeColor="text1"/>
          <w:szCs w:val="24"/>
        </w:rPr>
        <w:t xml:space="preserve"> review my medical records </w:t>
      </w:r>
      <w:r w:rsidR="00961AB1" w:rsidRPr="000F441A">
        <w:rPr>
          <w:rFonts w:asciiTheme="minorHAnsi" w:hAnsiTheme="minorHAnsi"/>
          <w:color w:val="000000" w:themeColor="text1"/>
          <w:szCs w:val="24"/>
        </w:rPr>
        <w:t xml:space="preserve">and </w:t>
      </w:r>
      <w:r w:rsidR="00A67CD4" w:rsidRPr="000F441A">
        <w:rPr>
          <w:rFonts w:asciiTheme="minorHAnsi" w:hAnsiTheme="minorHAnsi"/>
          <w:color w:val="000000" w:themeColor="text1"/>
          <w:szCs w:val="24"/>
        </w:rPr>
        <w:t xml:space="preserve">assist me with this appeal request during his </w:t>
      </w:r>
      <w:r w:rsidR="00961AB1" w:rsidRPr="000F441A">
        <w:rPr>
          <w:rFonts w:asciiTheme="minorHAnsi" w:hAnsiTheme="minorHAnsi"/>
          <w:color w:val="000000" w:themeColor="text1"/>
          <w:szCs w:val="24"/>
        </w:rPr>
        <w:t>off</w:t>
      </w:r>
      <w:r w:rsidR="00A67CD4" w:rsidRPr="000F441A">
        <w:rPr>
          <w:rFonts w:asciiTheme="minorHAnsi" w:hAnsiTheme="minorHAnsi"/>
          <w:color w:val="000000" w:themeColor="text1"/>
          <w:szCs w:val="24"/>
        </w:rPr>
        <w:t xml:space="preserve"> duty time. </w:t>
      </w:r>
      <w:r w:rsidR="00E04A95"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 xml:space="preserve">I have attached </w:t>
      </w:r>
      <w:r w:rsidR="00961AB1" w:rsidRPr="000F441A">
        <w:rPr>
          <w:rFonts w:asciiTheme="minorHAnsi" w:hAnsiTheme="minorHAnsi"/>
          <w:color w:val="000000" w:themeColor="text1"/>
          <w:szCs w:val="24"/>
        </w:rPr>
        <w:t>h</w:t>
      </w:r>
      <w:r w:rsidR="00A67CD4" w:rsidRPr="000F441A">
        <w:rPr>
          <w:rFonts w:asciiTheme="minorHAnsi" w:hAnsiTheme="minorHAnsi"/>
          <w:color w:val="000000" w:themeColor="text1"/>
          <w:szCs w:val="24"/>
        </w:rPr>
        <w:t xml:space="preserve">is memorandum. </w:t>
      </w:r>
      <w:r w:rsidR="00E04A95" w:rsidRPr="000F441A">
        <w:rPr>
          <w:rFonts w:asciiTheme="minorHAnsi" w:hAnsiTheme="minorHAnsi"/>
          <w:color w:val="000000" w:themeColor="text1"/>
          <w:szCs w:val="24"/>
        </w:rPr>
        <w:t xml:space="preserve"> </w:t>
      </w:r>
      <w:r w:rsidR="00A67CD4" w:rsidRPr="000F441A">
        <w:rPr>
          <w:rFonts w:asciiTheme="minorHAnsi" w:hAnsiTheme="minorHAnsi"/>
          <w:color w:val="000000" w:themeColor="text1"/>
          <w:szCs w:val="24"/>
        </w:rPr>
        <w:t xml:space="preserve">Thank </w:t>
      </w:r>
      <w:r w:rsidR="005418DF" w:rsidRPr="000F441A">
        <w:rPr>
          <w:rFonts w:asciiTheme="minorHAnsi" w:hAnsiTheme="minorHAnsi"/>
          <w:color w:val="000000" w:themeColor="text1"/>
          <w:szCs w:val="24"/>
        </w:rPr>
        <w:t>you</w:t>
      </w:r>
      <w:r w:rsidR="00A67CD4" w:rsidRPr="000F441A">
        <w:rPr>
          <w:rFonts w:asciiTheme="minorHAnsi" w:hAnsiTheme="minorHAnsi"/>
          <w:color w:val="000000" w:themeColor="text1"/>
          <w:szCs w:val="24"/>
        </w:rPr>
        <w:t xml:space="preserve"> for your consid</w:t>
      </w:r>
      <w:r w:rsidR="003B745B">
        <w:rPr>
          <w:rFonts w:asciiTheme="minorHAnsi" w:hAnsiTheme="minorHAnsi"/>
          <w:color w:val="000000" w:themeColor="text1"/>
          <w:szCs w:val="24"/>
        </w:rPr>
        <w:t>er</w:t>
      </w:r>
      <w:r w:rsidR="00961AB1" w:rsidRPr="000F441A">
        <w:rPr>
          <w:rFonts w:asciiTheme="minorHAnsi" w:hAnsiTheme="minorHAnsi"/>
          <w:color w:val="000000" w:themeColor="text1"/>
          <w:szCs w:val="24"/>
        </w:rPr>
        <w:t>a</w:t>
      </w:r>
      <w:r w:rsidR="003B745B">
        <w:rPr>
          <w:rFonts w:asciiTheme="minorHAnsi" w:hAnsiTheme="minorHAnsi"/>
          <w:color w:val="000000" w:themeColor="text1"/>
          <w:szCs w:val="24"/>
        </w:rPr>
        <w:t>t</w:t>
      </w:r>
      <w:r w:rsidR="00A67CD4" w:rsidRPr="000F441A">
        <w:rPr>
          <w:rFonts w:asciiTheme="minorHAnsi" w:hAnsiTheme="minorHAnsi"/>
          <w:color w:val="000000" w:themeColor="text1"/>
          <w:szCs w:val="24"/>
        </w:rPr>
        <w:t>ion.</w:t>
      </w:r>
      <w:r w:rsidR="00961AB1" w:rsidRPr="000F441A">
        <w:rPr>
          <w:rFonts w:asciiTheme="minorHAnsi" w:hAnsiTheme="minorHAnsi"/>
          <w:color w:val="000000" w:themeColor="text1"/>
          <w:szCs w:val="24"/>
        </w:rPr>
        <w:t>”</w:t>
      </w:r>
      <w:r w:rsidR="00952EF2" w:rsidRPr="000F441A">
        <w:rPr>
          <w:rFonts w:asciiTheme="minorHAnsi" w:hAnsiTheme="minorHAnsi"/>
          <w:color w:val="000000" w:themeColor="text1"/>
          <w:szCs w:val="24"/>
        </w:rPr>
        <w:t xml:space="preserve"> </w:t>
      </w:r>
      <w:r w:rsidR="00E04A95" w:rsidRPr="000F441A">
        <w:rPr>
          <w:rFonts w:asciiTheme="minorHAnsi" w:hAnsiTheme="minorHAnsi"/>
          <w:color w:val="000000" w:themeColor="text1"/>
          <w:szCs w:val="24"/>
        </w:rPr>
        <w:t xml:space="preserve"> </w:t>
      </w:r>
      <w:r w:rsidR="00F23A16" w:rsidRPr="000F441A">
        <w:rPr>
          <w:rFonts w:asciiTheme="minorHAnsi" w:hAnsiTheme="minorHAnsi"/>
          <w:color w:val="000000" w:themeColor="text1"/>
          <w:szCs w:val="24"/>
        </w:rPr>
        <w:t>In addition to the referenced memorandum, h</w:t>
      </w:r>
      <w:r w:rsidR="00ED5284" w:rsidRPr="000F441A">
        <w:rPr>
          <w:rFonts w:eastAsiaTheme="minorHAnsi"/>
          <w:color w:val="000000" w:themeColor="text1"/>
          <w:szCs w:val="24"/>
        </w:rPr>
        <w:t>e additionally lists a</w:t>
      </w:r>
      <w:r w:rsidR="00952EF2" w:rsidRPr="000F441A">
        <w:rPr>
          <w:rFonts w:eastAsiaTheme="minorHAnsi"/>
          <w:color w:val="000000" w:themeColor="text1"/>
          <w:szCs w:val="24"/>
        </w:rPr>
        <w:t xml:space="preserve"> r</w:t>
      </w:r>
      <w:r w:rsidR="00952EF2">
        <w:rPr>
          <w:rFonts w:eastAsiaTheme="minorHAnsi"/>
          <w:color w:val="000000" w:themeColor="text1"/>
          <w:szCs w:val="24"/>
        </w:rPr>
        <w:t>ating of 30% for depression anxiety, which he was being treated for while on Medical Hold.</w:t>
      </w:r>
      <w:r w:rsidR="00E04A95">
        <w:rPr>
          <w:rFonts w:eastAsiaTheme="minorHAnsi"/>
          <w:color w:val="000000" w:themeColor="text1"/>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D254DD" w:rsidRDefault="00D254DD" w:rsidP="00BF0E94">
      <w:pPr>
        <w:jc w:val="left"/>
        <w:rPr>
          <w:color w:val="000000" w:themeColor="text1"/>
          <w:u w:val="single"/>
        </w:rPr>
      </w:pPr>
    </w:p>
    <w:p w:rsidR="00C8590C" w:rsidRPr="000F441A" w:rsidRDefault="007F0AB7" w:rsidP="00BF0E94">
      <w:pPr>
        <w:jc w:val="left"/>
        <w:rPr>
          <w:color w:val="auto"/>
          <w:szCs w:val="28"/>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0F441A" w:rsidRDefault="002151AB" w:rsidP="00E04A95">
      <w:pPr>
        <w:jc w:val="both"/>
        <w:rPr>
          <w:color w:val="auto"/>
        </w:rPr>
      </w:pPr>
    </w:p>
    <w:tbl>
      <w:tblPr>
        <w:tblStyle w:val="TableGrid"/>
        <w:tblW w:w="9378" w:type="dxa"/>
        <w:jc w:val="center"/>
        <w:tblLayout w:type="fixed"/>
        <w:tblLook w:val="04A0"/>
      </w:tblPr>
      <w:tblGrid>
        <w:gridCol w:w="2349"/>
        <w:gridCol w:w="1080"/>
        <w:gridCol w:w="718"/>
        <w:gridCol w:w="2342"/>
        <w:gridCol w:w="1080"/>
        <w:gridCol w:w="819"/>
        <w:gridCol w:w="990"/>
      </w:tblGrid>
      <w:tr w:rsidR="002B4E22" w:rsidRPr="000F441A" w:rsidTr="00A14DED">
        <w:trPr>
          <w:trHeight w:val="233"/>
          <w:jc w:val="center"/>
        </w:trPr>
        <w:tc>
          <w:tcPr>
            <w:tcW w:w="4147" w:type="dxa"/>
            <w:gridSpan w:val="3"/>
            <w:tcBorders>
              <w:right w:val="thinThickThinSmallGap" w:sz="24" w:space="0" w:color="auto"/>
            </w:tcBorders>
            <w:shd w:val="clear" w:color="auto" w:fill="D9D9D9" w:themeFill="background1" w:themeFillShade="D9"/>
            <w:vAlign w:val="center"/>
          </w:tcPr>
          <w:p w:rsidR="002B4E22" w:rsidRPr="000F441A" w:rsidRDefault="00B731E4"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Service PEB – Dated 200</w:t>
            </w:r>
            <w:r w:rsidR="00813F71" w:rsidRPr="000F441A">
              <w:rPr>
                <w:rFonts w:ascii="Calibri" w:hAnsi="Calibri" w:cs="Calibri"/>
                <w:b/>
                <w:color w:val="auto"/>
                <w:sz w:val="18"/>
                <w:szCs w:val="18"/>
              </w:rPr>
              <w:t>60818</w:t>
            </w:r>
          </w:p>
        </w:tc>
        <w:tc>
          <w:tcPr>
            <w:tcW w:w="5231" w:type="dxa"/>
            <w:gridSpan w:val="4"/>
            <w:tcBorders>
              <w:left w:val="thinThickThinSmallGap" w:sz="24" w:space="0" w:color="auto"/>
            </w:tcBorders>
            <w:shd w:val="clear" w:color="auto" w:fill="D9D9D9" w:themeFill="background1" w:themeFillShade="D9"/>
            <w:vAlign w:val="center"/>
          </w:tcPr>
          <w:p w:rsidR="002B4E22" w:rsidRPr="000F441A" w:rsidRDefault="002B4E22"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VA (</w:t>
            </w:r>
            <w:r w:rsidR="004F3846" w:rsidRPr="000F441A">
              <w:rPr>
                <w:rFonts w:ascii="Calibri" w:hAnsi="Calibri" w:cs="Calibri"/>
                <w:b/>
                <w:color w:val="auto"/>
                <w:sz w:val="18"/>
                <w:szCs w:val="18"/>
              </w:rPr>
              <w:t>6</w:t>
            </w:r>
            <w:r w:rsidR="0079154B" w:rsidRPr="000F441A">
              <w:rPr>
                <w:rFonts w:ascii="Calibri" w:hAnsi="Calibri" w:cs="Calibri"/>
                <w:b/>
                <w:color w:val="auto"/>
                <w:sz w:val="18"/>
                <w:szCs w:val="18"/>
              </w:rPr>
              <w:t xml:space="preserve"> </w:t>
            </w:r>
            <w:r w:rsidRPr="000F441A">
              <w:rPr>
                <w:rFonts w:ascii="Calibri" w:hAnsi="Calibri" w:cs="Calibri"/>
                <w:b/>
                <w:color w:val="auto"/>
                <w:sz w:val="18"/>
                <w:szCs w:val="18"/>
              </w:rPr>
              <w:t>Mo. Pr</w:t>
            </w:r>
            <w:r w:rsidR="007272F1" w:rsidRPr="000F441A">
              <w:rPr>
                <w:rFonts w:ascii="Calibri" w:hAnsi="Calibri" w:cs="Calibri"/>
                <w:b/>
                <w:color w:val="auto"/>
                <w:sz w:val="18"/>
                <w:szCs w:val="18"/>
              </w:rPr>
              <w:t>e</w:t>
            </w:r>
            <w:r w:rsidRPr="000F441A">
              <w:rPr>
                <w:rFonts w:ascii="Calibri" w:hAnsi="Calibri" w:cs="Calibri"/>
                <w:b/>
                <w:color w:val="auto"/>
                <w:sz w:val="18"/>
                <w:szCs w:val="18"/>
              </w:rPr>
              <w:t xml:space="preserve"> Separation) – All Effective Date </w:t>
            </w:r>
            <w:r w:rsidR="002D08F3" w:rsidRPr="000F441A">
              <w:rPr>
                <w:rFonts w:ascii="Calibri" w:hAnsi="Calibri" w:cs="Calibri"/>
                <w:b/>
                <w:color w:val="auto"/>
                <w:sz w:val="18"/>
                <w:szCs w:val="18"/>
              </w:rPr>
              <w:t>200</w:t>
            </w:r>
            <w:r w:rsidR="004F3846" w:rsidRPr="000F441A">
              <w:rPr>
                <w:rFonts w:ascii="Calibri" w:hAnsi="Calibri" w:cs="Calibri"/>
                <w:b/>
                <w:color w:val="auto"/>
                <w:sz w:val="18"/>
                <w:szCs w:val="18"/>
              </w:rPr>
              <w:t>60926</w:t>
            </w:r>
          </w:p>
        </w:tc>
      </w:tr>
      <w:tr w:rsidR="002B4E22" w:rsidRPr="000F441A" w:rsidTr="00041685">
        <w:trPr>
          <w:trHeight w:val="278"/>
          <w:jc w:val="center"/>
        </w:trPr>
        <w:tc>
          <w:tcPr>
            <w:tcW w:w="2349" w:type="dxa"/>
            <w:tcBorders>
              <w:bottom w:val="single" w:sz="4" w:space="0" w:color="000000" w:themeColor="text1"/>
              <w:right w:val="single" w:sz="4" w:space="0" w:color="auto"/>
            </w:tcBorders>
            <w:shd w:val="clear" w:color="auto" w:fill="D9D9D9" w:themeFill="background1" w:themeFillShade="D9"/>
            <w:vAlign w:val="center"/>
          </w:tcPr>
          <w:p w:rsidR="002B4E22" w:rsidRPr="000F441A" w:rsidRDefault="002B4E22"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0F441A" w:rsidRDefault="002B4E22"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Code</w:t>
            </w:r>
          </w:p>
        </w:tc>
        <w:tc>
          <w:tcPr>
            <w:tcW w:w="718"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0F441A" w:rsidRDefault="002B4E22"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Rating</w:t>
            </w:r>
          </w:p>
        </w:tc>
        <w:tc>
          <w:tcPr>
            <w:tcW w:w="234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0F441A" w:rsidRDefault="002B4E22"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0F441A" w:rsidRDefault="002B4E22"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Code</w:t>
            </w:r>
          </w:p>
        </w:tc>
        <w:tc>
          <w:tcPr>
            <w:tcW w:w="819" w:type="dxa"/>
            <w:tcBorders>
              <w:bottom w:val="single" w:sz="4" w:space="0" w:color="000000" w:themeColor="text1"/>
            </w:tcBorders>
            <w:shd w:val="clear" w:color="auto" w:fill="D9D9D9" w:themeFill="background1" w:themeFillShade="D9"/>
            <w:vAlign w:val="center"/>
          </w:tcPr>
          <w:p w:rsidR="002B4E22" w:rsidRPr="000F441A" w:rsidRDefault="002B4E22"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0F441A" w:rsidRDefault="002B4E22"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Exam</w:t>
            </w:r>
          </w:p>
        </w:tc>
      </w:tr>
      <w:tr w:rsidR="00E04A95" w:rsidRPr="000F441A" w:rsidTr="00041685">
        <w:trPr>
          <w:trHeight w:val="557"/>
          <w:jc w:val="center"/>
        </w:trPr>
        <w:tc>
          <w:tcPr>
            <w:tcW w:w="2349" w:type="dxa"/>
            <w:tcBorders>
              <w:right w:val="single" w:sz="4" w:space="0" w:color="auto"/>
            </w:tcBorders>
            <w:shd w:val="clear" w:color="auto" w:fill="FFFFFF" w:themeFill="background1"/>
            <w:vAlign w:val="center"/>
          </w:tcPr>
          <w:p w:rsidR="00E04A95" w:rsidRPr="000F441A" w:rsidRDefault="00E04A95" w:rsidP="00453466">
            <w:pPr>
              <w:spacing w:line="180" w:lineRule="exact"/>
              <w:contextualSpacing/>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 xml:space="preserve">Cervical Spondylosis, w/o </w:t>
            </w:r>
            <w:r w:rsidR="00453466" w:rsidRPr="000F441A">
              <w:rPr>
                <w:rFonts w:ascii="Calibri" w:eastAsia="Times New Roman" w:hAnsi="Calibri" w:cs="Calibri"/>
                <w:color w:val="auto"/>
                <w:sz w:val="18"/>
                <w:szCs w:val="18"/>
              </w:rPr>
              <w:t xml:space="preserve">Neurologic </w:t>
            </w:r>
            <w:r w:rsidRPr="000F441A">
              <w:rPr>
                <w:rFonts w:ascii="Calibri" w:eastAsia="Times New Roman" w:hAnsi="Calibri" w:cs="Calibri"/>
                <w:color w:val="auto"/>
                <w:sz w:val="18"/>
                <w:szCs w:val="18"/>
              </w:rPr>
              <w:t>Abnormality</w:t>
            </w:r>
          </w:p>
        </w:tc>
        <w:tc>
          <w:tcPr>
            <w:tcW w:w="1080" w:type="dxa"/>
            <w:tcBorders>
              <w:left w:val="single" w:sz="4" w:space="0" w:color="auto"/>
            </w:tcBorders>
            <w:shd w:val="clear" w:color="auto" w:fill="FFFFFF" w:themeFill="background1"/>
            <w:vAlign w:val="center"/>
          </w:tcPr>
          <w:p w:rsidR="00E04A95" w:rsidRPr="000F441A" w:rsidRDefault="00E04A95"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5299-5237</w:t>
            </w:r>
          </w:p>
        </w:tc>
        <w:tc>
          <w:tcPr>
            <w:tcW w:w="718" w:type="dxa"/>
            <w:tcBorders>
              <w:right w:val="thinThickThinSmallGap" w:sz="24" w:space="0" w:color="auto"/>
            </w:tcBorders>
            <w:shd w:val="clear" w:color="auto" w:fill="FFFFFF" w:themeFill="background1"/>
            <w:vAlign w:val="center"/>
          </w:tcPr>
          <w:p w:rsidR="00E04A95" w:rsidRPr="000F441A" w:rsidRDefault="00E04A95" w:rsidP="00E04A95">
            <w:pPr>
              <w:spacing w:line="180" w:lineRule="exact"/>
              <w:rPr>
                <w:rFonts w:ascii="Calibri" w:eastAsia="Times New Roman" w:hAnsi="Calibri" w:cs="Calibri"/>
                <w:color w:val="auto"/>
                <w:sz w:val="18"/>
                <w:szCs w:val="18"/>
              </w:rPr>
            </w:pPr>
            <w:r w:rsidRPr="000F441A">
              <w:rPr>
                <w:rFonts w:ascii="Calibri" w:hAnsi="Calibri" w:cs="Calibri"/>
                <w:color w:val="auto"/>
                <w:sz w:val="18"/>
                <w:szCs w:val="18"/>
              </w:rPr>
              <w:t>0%</w:t>
            </w:r>
          </w:p>
        </w:tc>
        <w:tc>
          <w:tcPr>
            <w:tcW w:w="2342" w:type="dxa"/>
            <w:tcBorders>
              <w:left w:val="thinThickThinSmallGap" w:sz="24" w:space="0" w:color="auto"/>
            </w:tcBorders>
            <w:shd w:val="clear" w:color="auto" w:fill="FFFFFF" w:themeFill="background1"/>
            <w:vAlign w:val="center"/>
          </w:tcPr>
          <w:p w:rsidR="00E04A95" w:rsidRPr="000F441A" w:rsidRDefault="00E04A95" w:rsidP="00E04A95">
            <w:pPr>
              <w:spacing w:line="180" w:lineRule="exact"/>
              <w:contextualSpacing/>
              <w:jc w:val="left"/>
              <w:rPr>
                <w:rFonts w:ascii="Calibri" w:eastAsia="Times New Roman" w:hAnsi="Calibri" w:cs="Calibri"/>
                <w:color w:val="auto"/>
                <w:sz w:val="18"/>
                <w:szCs w:val="18"/>
              </w:rPr>
            </w:pPr>
            <w:r w:rsidRPr="000F441A">
              <w:rPr>
                <w:rFonts w:cs="Calibri"/>
                <w:color w:val="auto"/>
                <w:sz w:val="18"/>
                <w:szCs w:val="18"/>
              </w:rPr>
              <w:t>DDD, Cervical Spine</w:t>
            </w:r>
          </w:p>
        </w:tc>
        <w:tc>
          <w:tcPr>
            <w:tcW w:w="1080" w:type="dxa"/>
            <w:shd w:val="clear" w:color="auto" w:fill="FFFFFF" w:themeFill="background1"/>
            <w:vAlign w:val="center"/>
          </w:tcPr>
          <w:p w:rsidR="00E04A95" w:rsidRPr="000F441A" w:rsidRDefault="00E04A95" w:rsidP="00E04A95">
            <w:pPr>
              <w:spacing w:line="180" w:lineRule="exact"/>
              <w:contextualSpacing/>
              <w:rPr>
                <w:rFonts w:ascii="Calibri" w:eastAsia="Times New Roman" w:hAnsi="Calibri" w:cs="Calibri"/>
                <w:color w:val="auto"/>
                <w:sz w:val="18"/>
                <w:szCs w:val="18"/>
              </w:rPr>
            </w:pPr>
            <w:r w:rsidRPr="000F441A">
              <w:rPr>
                <w:rFonts w:cs="Calibri"/>
                <w:color w:val="auto"/>
                <w:sz w:val="18"/>
                <w:szCs w:val="18"/>
              </w:rPr>
              <w:t>5010-5243</w:t>
            </w:r>
          </w:p>
        </w:tc>
        <w:tc>
          <w:tcPr>
            <w:tcW w:w="819" w:type="dxa"/>
            <w:shd w:val="clear" w:color="auto" w:fill="FFFFFF" w:themeFill="background1"/>
            <w:vAlign w:val="center"/>
          </w:tcPr>
          <w:p w:rsidR="00E04A95" w:rsidRPr="000F441A" w:rsidRDefault="00E04A95" w:rsidP="00E04A95">
            <w:pPr>
              <w:spacing w:line="180" w:lineRule="exact"/>
              <w:contextualSpacing/>
              <w:rPr>
                <w:rFonts w:ascii="Calibri" w:eastAsia="Times New Roman" w:hAnsi="Calibri" w:cs="Calibri"/>
                <w:color w:val="auto"/>
                <w:sz w:val="18"/>
                <w:szCs w:val="18"/>
              </w:rPr>
            </w:pPr>
            <w:r w:rsidRPr="000F441A">
              <w:rPr>
                <w:rFonts w:cs="Calibri"/>
                <w:color w:val="auto"/>
                <w:sz w:val="18"/>
                <w:szCs w:val="18"/>
              </w:rPr>
              <w:t>10%*</w:t>
            </w:r>
          </w:p>
        </w:tc>
        <w:tc>
          <w:tcPr>
            <w:tcW w:w="990" w:type="dxa"/>
            <w:shd w:val="clear" w:color="auto" w:fill="FFFFFF" w:themeFill="background1"/>
            <w:vAlign w:val="center"/>
          </w:tcPr>
          <w:p w:rsidR="00E04A95" w:rsidRPr="000F441A" w:rsidRDefault="00E04A95"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20060329</w:t>
            </w:r>
          </w:p>
        </w:tc>
      </w:tr>
      <w:tr w:rsidR="00E04A95" w:rsidRPr="000F441A" w:rsidTr="00041685">
        <w:trPr>
          <w:trHeight w:val="287"/>
          <w:jc w:val="center"/>
        </w:trPr>
        <w:tc>
          <w:tcPr>
            <w:tcW w:w="2349" w:type="dxa"/>
            <w:tcBorders>
              <w:right w:val="single" w:sz="4" w:space="0" w:color="auto"/>
            </w:tcBorders>
            <w:shd w:val="clear" w:color="auto" w:fill="FFFFFF" w:themeFill="background1"/>
            <w:vAlign w:val="center"/>
          </w:tcPr>
          <w:p w:rsidR="00E04A95" w:rsidRPr="000F441A" w:rsidRDefault="00E04A95" w:rsidP="00E04A95">
            <w:pPr>
              <w:spacing w:line="180" w:lineRule="exact"/>
              <w:contextualSpacing/>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Lumbago, w/o Neurologic Abnormality</w:t>
            </w:r>
          </w:p>
        </w:tc>
        <w:tc>
          <w:tcPr>
            <w:tcW w:w="1080" w:type="dxa"/>
            <w:tcBorders>
              <w:left w:val="single" w:sz="4" w:space="0" w:color="auto"/>
            </w:tcBorders>
            <w:shd w:val="clear" w:color="auto" w:fill="FFFFFF" w:themeFill="background1"/>
            <w:vAlign w:val="center"/>
          </w:tcPr>
          <w:p w:rsidR="00E04A95" w:rsidRPr="000F441A" w:rsidRDefault="00E04A95"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5299-5237</w:t>
            </w:r>
          </w:p>
        </w:tc>
        <w:tc>
          <w:tcPr>
            <w:tcW w:w="718" w:type="dxa"/>
            <w:tcBorders>
              <w:right w:val="thinThickThinSmallGap" w:sz="24" w:space="0" w:color="auto"/>
            </w:tcBorders>
            <w:shd w:val="clear" w:color="auto" w:fill="FFFFFF" w:themeFill="background1"/>
            <w:vAlign w:val="center"/>
          </w:tcPr>
          <w:p w:rsidR="00E04A95" w:rsidRPr="000F441A" w:rsidRDefault="00E04A95" w:rsidP="00E04A95">
            <w:pPr>
              <w:spacing w:line="180" w:lineRule="exact"/>
              <w:rPr>
                <w:rFonts w:ascii="Calibri" w:eastAsia="Times New Roman" w:hAnsi="Calibri" w:cs="Calibri"/>
                <w:color w:val="auto"/>
                <w:sz w:val="18"/>
                <w:szCs w:val="18"/>
              </w:rPr>
            </w:pPr>
            <w:r w:rsidRPr="000F441A">
              <w:rPr>
                <w:rFonts w:ascii="Calibri" w:hAnsi="Calibri" w:cs="Calibri"/>
                <w:color w:val="auto"/>
                <w:sz w:val="18"/>
                <w:szCs w:val="18"/>
              </w:rPr>
              <w:t>0%</w:t>
            </w:r>
          </w:p>
        </w:tc>
        <w:tc>
          <w:tcPr>
            <w:tcW w:w="2342" w:type="dxa"/>
            <w:tcBorders>
              <w:left w:val="thinThickThinSmallGap" w:sz="24" w:space="0" w:color="auto"/>
              <w:right w:val="single" w:sz="4" w:space="0" w:color="auto"/>
            </w:tcBorders>
            <w:shd w:val="clear" w:color="auto" w:fill="FFFFFF" w:themeFill="background1"/>
            <w:vAlign w:val="center"/>
          </w:tcPr>
          <w:p w:rsidR="00E04A95" w:rsidRPr="000F441A" w:rsidRDefault="00E04A95" w:rsidP="00A165DC">
            <w:pPr>
              <w:spacing w:line="180" w:lineRule="exact"/>
              <w:contextualSpacing/>
              <w:jc w:val="left"/>
              <w:rPr>
                <w:rFonts w:ascii="Calibri" w:eastAsia="Times New Roman" w:hAnsi="Calibri" w:cs="Calibri"/>
                <w:color w:val="auto"/>
                <w:sz w:val="18"/>
                <w:szCs w:val="18"/>
              </w:rPr>
            </w:pPr>
            <w:r w:rsidRPr="000F441A">
              <w:rPr>
                <w:rFonts w:ascii="Calibri" w:hAnsi="Calibri" w:cs="Calibri"/>
                <w:color w:val="auto"/>
                <w:sz w:val="18"/>
                <w:szCs w:val="18"/>
              </w:rPr>
              <w:t>DDD, Lumbar Spine</w:t>
            </w:r>
          </w:p>
        </w:tc>
        <w:tc>
          <w:tcPr>
            <w:tcW w:w="1080" w:type="dxa"/>
            <w:tcBorders>
              <w:left w:val="single" w:sz="4" w:space="0" w:color="auto"/>
            </w:tcBorders>
            <w:shd w:val="clear" w:color="auto" w:fill="FFFFFF" w:themeFill="background1"/>
            <w:vAlign w:val="center"/>
          </w:tcPr>
          <w:p w:rsidR="00E04A95" w:rsidRPr="000F441A" w:rsidRDefault="00E04A95" w:rsidP="00A165DC">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5010-5243</w:t>
            </w:r>
          </w:p>
        </w:tc>
        <w:tc>
          <w:tcPr>
            <w:tcW w:w="819" w:type="dxa"/>
            <w:shd w:val="clear" w:color="auto" w:fill="FFFFFF" w:themeFill="background1"/>
            <w:vAlign w:val="center"/>
          </w:tcPr>
          <w:p w:rsidR="00E04A95" w:rsidRPr="000F441A" w:rsidRDefault="00E04A95" w:rsidP="00A165DC">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10%</w:t>
            </w:r>
          </w:p>
        </w:tc>
        <w:tc>
          <w:tcPr>
            <w:tcW w:w="990" w:type="dxa"/>
            <w:shd w:val="clear" w:color="auto" w:fill="FFFFFF" w:themeFill="background1"/>
            <w:vAlign w:val="center"/>
          </w:tcPr>
          <w:p w:rsidR="00E04A95" w:rsidRPr="000F441A" w:rsidRDefault="00E04A95" w:rsidP="00A165DC">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20060329</w:t>
            </w:r>
          </w:p>
        </w:tc>
      </w:tr>
      <w:tr w:rsidR="00813F71" w:rsidRPr="000F441A" w:rsidTr="00041685">
        <w:trPr>
          <w:trHeight w:val="287"/>
          <w:jc w:val="center"/>
        </w:trPr>
        <w:tc>
          <w:tcPr>
            <w:tcW w:w="2349" w:type="dxa"/>
            <w:tcBorders>
              <w:right w:val="single" w:sz="4" w:space="0" w:color="auto"/>
            </w:tcBorders>
            <w:shd w:val="clear" w:color="auto" w:fill="FFFFFF" w:themeFill="background1"/>
            <w:vAlign w:val="center"/>
          </w:tcPr>
          <w:p w:rsidR="00813F71" w:rsidRPr="000F441A" w:rsidRDefault="00813F71" w:rsidP="00E04A95">
            <w:pPr>
              <w:spacing w:line="180" w:lineRule="exact"/>
              <w:contextualSpacing/>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Seizure Disorder w/Syncopal Episodes</w:t>
            </w:r>
          </w:p>
        </w:tc>
        <w:tc>
          <w:tcPr>
            <w:tcW w:w="1798" w:type="dxa"/>
            <w:gridSpan w:val="2"/>
            <w:tcBorders>
              <w:left w:val="single" w:sz="4" w:space="0" w:color="auto"/>
              <w:right w:val="thinThickThinSmallGap" w:sz="24" w:space="0" w:color="auto"/>
            </w:tcBorders>
            <w:shd w:val="clear" w:color="auto" w:fill="FFFFFF" w:themeFill="background1"/>
            <w:vAlign w:val="center"/>
          </w:tcPr>
          <w:p w:rsidR="00813F71" w:rsidRPr="000F441A" w:rsidRDefault="00813F71"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Not Unfitting</w:t>
            </w:r>
          </w:p>
        </w:tc>
        <w:tc>
          <w:tcPr>
            <w:tcW w:w="2342" w:type="dxa"/>
            <w:tcBorders>
              <w:left w:val="thinThickThinSmallGap" w:sz="24" w:space="0" w:color="auto"/>
              <w:right w:val="single" w:sz="4" w:space="0" w:color="auto"/>
            </w:tcBorders>
            <w:shd w:val="clear" w:color="auto" w:fill="FFFFFF" w:themeFill="background1"/>
            <w:vAlign w:val="center"/>
          </w:tcPr>
          <w:p w:rsidR="00813F71" w:rsidRPr="000F441A" w:rsidRDefault="00C2690D" w:rsidP="00E04A95">
            <w:pPr>
              <w:spacing w:line="180" w:lineRule="exact"/>
              <w:contextualSpacing/>
              <w:jc w:val="left"/>
              <w:rPr>
                <w:rFonts w:ascii="Calibri" w:eastAsia="Times New Roman" w:hAnsi="Calibri" w:cs="Calibri"/>
                <w:color w:val="auto"/>
                <w:sz w:val="18"/>
                <w:szCs w:val="18"/>
              </w:rPr>
            </w:pPr>
            <w:proofErr w:type="spellStart"/>
            <w:r w:rsidRPr="000F441A">
              <w:rPr>
                <w:rFonts w:ascii="Calibri" w:eastAsia="Times New Roman" w:hAnsi="Calibri" w:cs="Calibri"/>
                <w:color w:val="auto"/>
                <w:sz w:val="18"/>
                <w:szCs w:val="18"/>
              </w:rPr>
              <w:t>Epilspsy</w:t>
            </w:r>
            <w:proofErr w:type="spellEnd"/>
          </w:p>
        </w:tc>
        <w:tc>
          <w:tcPr>
            <w:tcW w:w="1080" w:type="dxa"/>
            <w:tcBorders>
              <w:left w:val="single" w:sz="4" w:space="0" w:color="auto"/>
            </w:tcBorders>
            <w:shd w:val="clear" w:color="auto" w:fill="FFFFFF" w:themeFill="background1"/>
            <w:vAlign w:val="center"/>
          </w:tcPr>
          <w:p w:rsidR="00813F71" w:rsidRPr="000F441A" w:rsidRDefault="00C2690D"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8911</w:t>
            </w:r>
          </w:p>
        </w:tc>
        <w:tc>
          <w:tcPr>
            <w:tcW w:w="819" w:type="dxa"/>
            <w:shd w:val="clear" w:color="auto" w:fill="FFFFFF" w:themeFill="background1"/>
            <w:vAlign w:val="center"/>
          </w:tcPr>
          <w:p w:rsidR="00813F71" w:rsidRPr="000F441A" w:rsidRDefault="00C2690D"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10%</w:t>
            </w:r>
          </w:p>
        </w:tc>
        <w:tc>
          <w:tcPr>
            <w:tcW w:w="990" w:type="dxa"/>
            <w:shd w:val="clear" w:color="auto" w:fill="FFFFFF" w:themeFill="background1"/>
            <w:vAlign w:val="center"/>
          </w:tcPr>
          <w:p w:rsidR="00813F71" w:rsidRPr="000F441A" w:rsidRDefault="00C2690D"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20060329</w:t>
            </w:r>
          </w:p>
        </w:tc>
      </w:tr>
      <w:tr w:rsidR="009F1933" w:rsidRPr="000F441A" w:rsidTr="00041685">
        <w:trPr>
          <w:trHeight w:val="333"/>
          <w:jc w:val="center"/>
        </w:trPr>
        <w:tc>
          <w:tcPr>
            <w:tcW w:w="2349" w:type="dxa"/>
            <w:vMerge w:val="restart"/>
            <w:tcBorders>
              <w:right w:val="single" w:sz="4" w:space="0" w:color="auto"/>
            </w:tcBorders>
            <w:shd w:val="clear" w:color="auto" w:fill="FFFFFF" w:themeFill="background1"/>
            <w:vAlign w:val="center"/>
          </w:tcPr>
          <w:p w:rsidR="009F1933" w:rsidRPr="000F441A" w:rsidRDefault="009F1933" w:rsidP="00E04A95">
            <w:pPr>
              <w:spacing w:line="180" w:lineRule="exact"/>
              <w:contextualSpacing/>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 xml:space="preserve">Remote History of </w:t>
            </w:r>
            <w:proofErr w:type="spellStart"/>
            <w:r w:rsidRPr="000F441A">
              <w:rPr>
                <w:rFonts w:ascii="Calibri" w:eastAsia="Times New Roman" w:hAnsi="Calibri" w:cs="Calibri"/>
                <w:color w:val="auto"/>
                <w:sz w:val="18"/>
                <w:szCs w:val="18"/>
              </w:rPr>
              <w:t>Cerebrovascular</w:t>
            </w:r>
            <w:proofErr w:type="spellEnd"/>
            <w:r w:rsidRPr="000F441A">
              <w:rPr>
                <w:rFonts w:ascii="Calibri" w:eastAsia="Times New Roman" w:hAnsi="Calibri" w:cs="Calibri"/>
                <w:color w:val="auto"/>
                <w:sz w:val="18"/>
                <w:szCs w:val="18"/>
              </w:rPr>
              <w:t xml:space="preserve"> Accident w/no Residual Effects</w:t>
            </w:r>
          </w:p>
        </w:tc>
        <w:tc>
          <w:tcPr>
            <w:tcW w:w="1798" w:type="dxa"/>
            <w:gridSpan w:val="2"/>
            <w:vMerge w:val="restart"/>
            <w:tcBorders>
              <w:left w:val="single" w:sz="4" w:space="0" w:color="auto"/>
              <w:right w:val="thinThickThinSmallGap" w:sz="24" w:space="0" w:color="auto"/>
            </w:tcBorders>
            <w:shd w:val="clear" w:color="auto" w:fill="FFFFFF" w:themeFill="background1"/>
            <w:vAlign w:val="center"/>
          </w:tcPr>
          <w:p w:rsidR="009F1933" w:rsidRPr="000F441A" w:rsidRDefault="009F1933"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Not Unfitting</w:t>
            </w:r>
          </w:p>
        </w:tc>
        <w:tc>
          <w:tcPr>
            <w:tcW w:w="2342" w:type="dxa"/>
            <w:tcBorders>
              <w:left w:val="thinThickThinSmallGap" w:sz="24" w:space="0" w:color="auto"/>
              <w:bottom w:val="single" w:sz="4" w:space="0" w:color="auto"/>
              <w:right w:val="single" w:sz="4" w:space="0" w:color="auto"/>
            </w:tcBorders>
            <w:shd w:val="clear" w:color="auto" w:fill="FFFFFF" w:themeFill="background1"/>
            <w:vAlign w:val="center"/>
          </w:tcPr>
          <w:p w:rsidR="009F1933" w:rsidRPr="000F441A" w:rsidRDefault="009F1933" w:rsidP="00E04A95">
            <w:pPr>
              <w:spacing w:line="180" w:lineRule="exact"/>
              <w:contextualSpacing/>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Heart Condition</w:t>
            </w:r>
          </w:p>
        </w:tc>
        <w:tc>
          <w:tcPr>
            <w:tcW w:w="1080" w:type="dxa"/>
            <w:tcBorders>
              <w:left w:val="single" w:sz="4" w:space="0" w:color="auto"/>
              <w:bottom w:val="single" w:sz="4" w:space="0" w:color="auto"/>
            </w:tcBorders>
            <w:shd w:val="clear" w:color="auto" w:fill="FFFFFF" w:themeFill="background1"/>
            <w:vAlign w:val="center"/>
          </w:tcPr>
          <w:p w:rsidR="009F1933" w:rsidRPr="000F441A" w:rsidRDefault="009F1933"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7005</w:t>
            </w:r>
          </w:p>
        </w:tc>
        <w:tc>
          <w:tcPr>
            <w:tcW w:w="819" w:type="dxa"/>
            <w:tcBorders>
              <w:bottom w:val="single" w:sz="4" w:space="0" w:color="auto"/>
            </w:tcBorders>
            <w:shd w:val="clear" w:color="auto" w:fill="FFFFFF" w:themeFill="background1"/>
            <w:vAlign w:val="center"/>
          </w:tcPr>
          <w:p w:rsidR="009F1933" w:rsidRPr="000F441A" w:rsidRDefault="009F1933"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NSC</w:t>
            </w:r>
          </w:p>
        </w:tc>
        <w:tc>
          <w:tcPr>
            <w:tcW w:w="990" w:type="dxa"/>
            <w:tcBorders>
              <w:bottom w:val="single" w:sz="4" w:space="0" w:color="auto"/>
            </w:tcBorders>
            <w:shd w:val="clear" w:color="auto" w:fill="FFFFFF" w:themeFill="background1"/>
            <w:vAlign w:val="center"/>
          </w:tcPr>
          <w:p w:rsidR="009F1933" w:rsidRPr="000F441A" w:rsidRDefault="009F1933"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20060329</w:t>
            </w:r>
          </w:p>
        </w:tc>
      </w:tr>
      <w:tr w:rsidR="009F1933" w:rsidRPr="000F441A" w:rsidTr="00041685">
        <w:trPr>
          <w:trHeight w:val="200"/>
          <w:jc w:val="center"/>
        </w:trPr>
        <w:tc>
          <w:tcPr>
            <w:tcW w:w="2349" w:type="dxa"/>
            <w:vMerge/>
            <w:tcBorders>
              <w:right w:val="single" w:sz="4" w:space="0" w:color="auto"/>
            </w:tcBorders>
            <w:shd w:val="clear" w:color="auto" w:fill="FFFFFF" w:themeFill="background1"/>
            <w:vAlign w:val="center"/>
          </w:tcPr>
          <w:p w:rsidR="009F1933" w:rsidRPr="000F441A" w:rsidRDefault="009F1933" w:rsidP="00E04A95">
            <w:pPr>
              <w:spacing w:line="180" w:lineRule="exact"/>
              <w:contextualSpacing/>
              <w:jc w:val="left"/>
              <w:rPr>
                <w:rFonts w:cs="Calibri"/>
                <w:color w:val="auto"/>
                <w:sz w:val="18"/>
                <w:szCs w:val="18"/>
              </w:rPr>
            </w:pPr>
          </w:p>
        </w:tc>
        <w:tc>
          <w:tcPr>
            <w:tcW w:w="1798" w:type="dxa"/>
            <w:gridSpan w:val="2"/>
            <w:vMerge/>
            <w:tcBorders>
              <w:left w:val="single" w:sz="4" w:space="0" w:color="auto"/>
              <w:right w:val="thinThickThinSmallGap" w:sz="24" w:space="0" w:color="auto"/>
            </w:tcBorders>
            <w:shd w:val="clear" w:color="auto" w:fill="FFFFFF" w:themeFill="background1"/>
            <w:vAlign w:val="center"/>
          </w:tcPr>
          <w:p w:rsidR="009F1933" w:rsidRPr="000F441A" w:rsidRDefault="009F1933" w:rsidP="00E04A95">
            <w:pPr>
              <w:spacing w:line="180" w:lineRule="exact"/>
              <w:contextualSpacing/>
              <w:rPr>
                <w:rFonts w:cs="Calibri"/>
                <w:color w:val="auto"/>
                <w:sz w:val="18"/>
                <w:szCs w:val="18"/>
              </w:rPr>
            </w:pPr>
          </w:p>
        </w:tc>
        <w:tc>
          <w:tcPr>
            <w:tcW w:w="2342" w:type="dxa"/>
            <w:tcBorders>
              <w:top w:val="single" w:sz="4" w:space="0" w:color="auto"/>
              <w:left w:val="thinThickThinSmallGap" w:sz="24" w:space="0" w:color="auto"/>
              <w:right w:val="single" w:sz="4" w:space="0" w:color="auto"/>
            </w:tcBorders>
            <w:shd w:val="clear" w:color="auto" w:fill="FFFFFF" w:themeFill="background1"/>
            <w:vAlign w:val="center"/>
          </w:tcPr>
          <w:p w:rsidR="009F1933" w:rsidRPr="000F441A" w:rsidRDefault="009F1933" w:rsidP="00E04A95">
            <w:pPr>
              <w:spacing w:line="180" w:lineRule="exact"/>
              <w:contextualSpacing/>
              <w:jc w:val="left"/>
              <w:rPr>
                <w:rFonts w:cs="Calibri"/>
                <w:color w:val="auto"/>
                <w:sz w:val="18"/>
                <w:szCs w:val="18"/>
              </w:rPr>
            </w:pPr>
            <w:r w:rsidRPr="000F441A">
              <w:rPr>
                <w:rFonts w:cs="Calibri"/>
                <w:color w:val="auto"/>
                <w:sz w:val="18"/>
                <w:szCs w:val="18"/>
              </w:rPr>
              <w:t>Stroke</w:t>
            </w:r>
          </w:p>
        </w:tc>
        <w:tc>
          <w:tcPr>
            <w:tcW w:w="1080" w:type="dxa"/>
            <w:tcBorders>
              <w:top w:val="single" w:sz="4" w:space="0" w:color="auto"/>
              <w:left w:val="single" w:sz="4" w:space="0" w:color="auto"/>
            </w:tcBorders>
            <w:shd w:val="clear" w:color="auto" w:fill="FFFFFF" w:themeFill="background1"/>
            <w:vAlign w:val="center"/>
          </w:tcPr>
          <w:p w:rsidR="009F1933" w:rsidRPr="000F441A" w:rsidRDefault="009F1933" w:rsidP="00E04A95">
            <w:pPr>
              <w:spacing w:line="180" w:lineRule="exact"/>
              <w:contextualSpacing/>
              <w:rPr>
                <w:rFonts w:cs="Calibri"/>
                <w:color w:val="auto"/>
                <w:sz w:val="18"/>
                <w:szCs w:val="18"/>
              </w:rPr>
            </w:pPr>
            <w:r w:rsidRPr="000F441A">
              <w:rPr>
                <w:rFonts w:cs="Calibri"/>
                <w:color w:val="auto"/>
                <w:sz w:val="18"/>
                <w:szCs w:val="18"/>
              </w:rPr>
              <w:t>8099-8046</w:t>
            </w:r>
          </w:p>
        </w:tc>
        <w:tc>
          <w:tcPr>
            <w:tcW w:w="819" w:type="dxa"/>
            <w:tcBorders>
              <w:top w:val="single" w:sz="4" w:space="0" w:color="auto"/>
            </w:tcBorders>
            <w:shd w:val="clear" w:color="auto" w:fill="FFFFFF" w:themeFill="background1"/>
            <w:vAlign w:val="center"/>
          </w:tcPr>
          <w:p w:rsidR="009F1933" w:rsidRPr="000F441A" w:rsidRDefault="009F1933" w:rsidP="00E04A95">
            <w:pPr>
              <w:spacing w:line="180" w:lineRule="exact"/>
              <w:contextualSpacing/>
              <w:rPr>
                <w:rFonts w:cs="Calibri"/>
                <w:color w:val="auto"/>
                <w:sz w:val="18"/>
                <w:szCs w:val="18"/>
              </w:rPr>
            </w:pPr>
            <w:r w:rsidRPr="000F441A">
              <w:rPr>
                <w:rFonts w:cs="Calibri"/>
                <w:color w:val="auto"/>
                <w:sz w:val="18"/>
                <w:szCs w:val="18"/>
              </w:rPr>
              <w:t>NSC</w:t>
            </w:r>
          </w:p>
        </w:tc>
        <w:tc>
          <w:tcPr>
            <w:tcW w:w="990" w:type="dxa"/>
            <w:tcBorders>
              <w:top w:val="single" w:sz="4" w:space="0" w:color="auto"/>
            </w:tcBorders>
            <w:shd w:val="clear" w:color="auto" w:fill="FFFFFF" w:themeFill="background1"/>
            <w:vAlign w:val="center"/>
          </w:tcPr>
          <w:p w:rsidR="009F1933" w:rsidRPr="000F441A" w:rsidRDefault="009F1933" w:rsidP="00E04A95">
            <w:pPr>
              <w:spacing w:line="180" w:lineRule="exact"/>
              <w:contextualSpacing/>
              <w:rPr>
                <w:rFonts w:cs="Calibri"/>
                <w:color w:val="auto"/>
                <w:sz w:val="18"/>
                <w:szCs w:val="18"/>
              </w:rPr>
            </w:pPr>
            <w:r w:rsidRPr="000F441A">
              <w:rPr>
                <w:rFonts w:ascii="Calibri" w:hAnsi="Calibri" w:cs="Calibri"/>
                <w:color w:val="auto"/>
                <w:sz w:val="18"/>
                <w:szCs w:val="18"/>
              </w:rPr>
              <w:t>20060329</w:t>
            </w:r>
          </w:p>
        </w:tc>
      </w:tr>
      <w:tr w:rsidR="007A65A9" w:rsidRPr="000F441A" w:rsidTr="00041685">
        <w:trPr>
          <w:trHeight w:val="287"/>
          <w:jc w:val="center"/>
        </w:trPr>
        <w:tc>
          <w:tcPr>
            <w:tcW w:w="2349" w:type="dxa"/>
            <w:tcBorders>
              <w:right w:val="single" w:sz="4" w:space="0" w:color="auto"/>
            </w:tcBorders>
            <w:shd w:val="clear" w:color="auto" w:fill="FFFFFF" w:themeFill="background1"/>
            <w:vAlign w:val="center"/>
          </w:tcPr>
          <w:p w:rsidR="00BC5860" w:rsidRPr="000F441A" w:rsidRDefault="00813F71" w:rsidP="00E04A95">
            <w:pPr>
              <w:spacing w:line="180" w:lineRule="exact"/>
              <w:contextualSpacing/>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History of Heat Injury and Heat Stroke w/no Residual Effects</w:t>
            </w:r>
          </w:p>
        </w:tc>
        <w:tc>
          <w:tcPr>
            <w:tcW w:w="1798" w:type="dxa"/>
            <w:gridSpan w:val="2"/>
            <w:tcBorders>
              <w:left w:val="single" w:sz="4" w:space="0" w:color="auto"/>
              <w:right w:val="thinThickThinSmallGap" w:sz="24" w:space="0" w:color="auto"/>
            </w:tcBorders>
            <w:shd w:val="clear" w:color="auto" w:fill="FFFFFF" w:themeFill="background1"/>
            <w:vAlign w:val="center"/>
          </w:tcPr>
          <w:p w:rsidR="00BC5860" w:rsidRPr="000F441A" w:rsidRDefault="007A65A9"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Not Unfitting</w:t>
            </w:r>
          </w:p>
        </w:tc>
        <w:tc>
          <w:tcPr>
            <w:tcW w:w="2342" w:type="dxa"/>
            <w:tcBorders>
              <w:left w:val="thinThickThinSmallGap" w:sz="24" w:space="0" w:color="auto"/>
              <w:right w:val="single" w:sz="4" w:space="0" w:color="auto"/>
            </w:tcBorders>
            <w:shd w:val="clear" w:color="auto" w:fill="FFFFFF" w:themeFill="background1"/>
            <w:vAlign w:val="center"/>
          </w:tcPr>
          <w:p w:rsidR="00BC5860" w:rsidRPr="000F441A" w:rsidRDefault="00406475" w:rsidP="00E04A95">
            <w:pPr>
              <w:spacing w:line="180" w:lineRule="exact"/>
              <w:contextualSpacing/>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Residuals of Heat Exposure</w:t>
            </w:r>
          </w:p>
        </w:tc>
        <w:tc>
          <w:tcPr>
            <w:tcW w:w="1080" w:type="dxa"/>
            <w:tcBorders>
              <w:left w:val="single" w:sz="4" w:space="0" w:color="auto"/>
              <w:right w:val="single" w:sz="4" w:space="0" w:color="auto"/>
            </w:tcBorders>
            <w:shd w:val="clear" w:color="auto" w:fill="FFFFFF" w:themeFill="background1"/>
            <w:vAlign w:val="center"/>
          </w:tcPr>
          <w:p w:rsidR="00BC5860" w:rsidRPr="000F441A" w:rsidRDefault="00406475"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8999-8911</w:t>
            </w:r>
          </w:p>
        </w:tc>
        <w:tc>
          <w:tcPr>
            <w:tcW w:w="819" w:type="dxa"/>
            <w:tcBorders>
              <w:left w:val="single" w:sz="4" w:space="0" w:color="auto"/>
            </w:tcBorders>
            <w:shd w:val="clear" w:color="auto" w:fill="FFFFFF" w:themeFill="background1"/>
            <w:vAlign w:val="center"/>
          </w:tcPr>
          <w:p w:rsidR="00BC5860" w:rsidRPr="000F441A" w:rsidRDefault="00406475"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NSC</w:t>
            </w:r>
          </w:p>
        </w:tc>
        <w:tc>
          <w:tcPr>
            <w:tcW w:w="990" w:type="dxa"/>
            <w:shd w:val="clear" w:color="auto" w:fill="FFFFFF" w:themeFill="background1"/>
            <w:vAlign w:val="center"/>
          </w:tcPr>
          <w:p w:rsidR="00BC5860" w:rsidRPr="000F441A" w:rsidRDefault="00406475"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20060329</w:t>
            </w:r>
          </w:p>
        </w:tc>
      </w:tr>
      <w:tr w:rsidR="00C841B3" w:rsidRPr="000F441A" w:rsidTr="00041685">
        <w:trPr>
          <w:trHeight w:val="287"/>
          <w:jc w:val="center"/>
        </w:trPr>
        <w:tc>
          <w:tcPr>
            <w:tcW w:w="2349" w:type="dxa"/>
            <w:tcBorders>
              <w:right w:val="single" w:sz="4" w:space="0" w:color="auto"/>
            </w:tcBorders>
            <w:shd w:val="clear" w:color="auto" w:fill="FFFFFF" w:themeFill="background1"/>
            <w:vAlign w:val="center"/>
          </w:tcPr>
          <w:p w:rsidR="00C841B3" w:rsidRPr="000F441A" w:rsidRDefault="00C841B3" w:rsidP="00E04A95">
            <w:pPr>
              <w:spacing w:line="180" w:lineRule="exact"/>
              <w:contextualSpacing/>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Migraine Headaches</w:t>
            </w:r>
          </w:p>
        </w:tc>
        <w:tc>
          <w:tcPr>
            <w:tcW w:w="1798" w:type="dxa"/>
            <w:gridSpan w:val="2"/>
            <w:tcBorders>
              <w:left w:val="single" w:sz="4" w:space="0" w:color="auto"/>
              <w:right w:val="thinThickThinSmallGap" w:sz="24" w:space="0" w:color="auto"/>
            </w:tcBorders>
            <w:shd w:val="clear" w:color="auto" w:fill="FFFFFF" w:themeFill="background1"/>
            <w:vAlign w:val="center"/>
          </w:tcPr>
          <w:p w:rsidR="00C841B3" w:rsidRPr="000F441A" w:rsidRDefault="00C841B3"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Not Unfitting</w:t>
            </w:r>
          </w:p>
        </w:tc>
        <w:tc>
          <w:tcPr>
            <w:tcW w:w="2342" w:type="dxa"/>
            <w:tcBorders>
              <w:left w:val="thinThickThinSmallGap" w:sz="24" w:space="0" w:color="auto"/>
              <w:right w:val="single" w:sz="4" w:space="0" w:color="auto"/>
            </w:tcBorders>
            <w:shd w:val="clear" w:color="auto" w:fill="FFFFFF" w:themeFill="background1"/>
            <w:vAlign w:val="center"/>
          </w:tcPr>
          <w:p w:rsidR="00C841B3" w:rsidRPr="000F441A" w:rsidRDefault="00C841B3" w:rsidP="00E04A95">
            <w:pPr>
              <w:spacing w:line="180" w:lineRule="exact"/>
              <w:contextualSpacing/>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Migraine Headache</w:t>
            </w:r>
          </w:p>
        </w:tc>
        <w:tc>
          <w:tcPr>
            <w:tcW w:w="1080" w:type="dxa"/>
            <w:tcBorders>
              <w:left w:val="single" w:sz="4" w:space="0" w:color="auto"/>
              <w:right w:val="single" w:sz="4" w:space="0" w:color="auto"/>
            </w:tcBorders>
            <w:shd w:val="clear" w:color="auto" w:fill="FFFFFF" w:themeFill="background1"/>
            <w:vAlign w:val="center"/>
          </w:tcPr>
          <w:p w:rsidR="00C841B3" w:rsidRPr="000F441A" w:rsidRDefault="00C841B3" w:rsidP="00E04A95">
            <w:pPr>
              <w:spacing w:line="180" w:lineRule="exact"/>
              <w:contextualSpacing/>
              <w:rPr>
                <w:rFonts w:cs="Calibri"/>
                <w:color w:val="auto"/>
                <w:sz w:val="18"/>
                <w:szCs w:val="18"/>
              </w:rPr>
            </w:pPr>
            <w:r w:rsidRPr="000F441A">
              <w:rPr>
                <w:rFonts w:cs="Calibri"/>
                <w:color w:val="auto"/>
                <w:sz w:val="18"/>
                <w:szCs w:val="18"/>
              </w:rPr>
              <w:t>8100</w:t>
            </w:r>
          </w:p>
        </w:tc>
        <w:tc>
          <w:tcPr>
            <w:tcW w:w="819" w:type="dxa"/>
            <w:tcBorders>
              <w:left w:val="single" w:sz="4" w:space="0" w:color="auto"/>
            </w:tcBorders>
            <w:shd w:val="clear" w:color="auto" w:fill="FFFFFF" w:themeFill="background1"/>
            <w:vAlign w:val="center"/>
          </w:tcPr>
          <w:p w:rsidR="00C841B3" w:rsidRPr="000F441A" w:rsidRDefault="00C841B3" w:rsidP="00E04A95">
            <w:pPr>
              <w:spacing w:line="180" w:lineRule="exact"/>
              <w:contextualSpacing/>
              <w:rPr>
                <w:rFonts w:cs="Calibri"/>
                <w:color w:val="auto"/>
                <w:sz w:val="18"/>
                <w:szCs w:val="18"/>
              </w:rPr>
            </w:pPr>
            <w:r w:rsidRPr="000F441A">
              <w:rPr>
                <w:rFonts w:cs="Calibri"/>
                <w:color w:val="auto"/>
                <w:sz w:val="18"/>
                <w:szCs w:val="18"/>
              </w:rPr>
              <w:t>0%</w:t>
            </w:r>
          </w:p>
        </w:tc>
        <w:tc>
          <w:tcPr>
            <w:tcW w:w="990" w:type="dxa"/>
            <w:shd w:val="clear" w:color="auto" w:fill="FFFFFF" w:themeFill="background1"/>
            <w:vAlign w:val="center"/>
          </w:tcPr>
          <w:p w:rsidR="00C841B3" w:rsidRPr="000F441A" w:rsidRDefault="00C841B3"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20060329</w:t>
            </w:r>
          </w:p>
        </w:tc>
      </w:tr>
      <w:tr w:rsidR="00765617" w:rsidRPr="000F441A" w:rsidTr="00041685">
        <w:trPr>
          <w:trHeight w:val="287"/>
          <w:jc w:val="center"/>
        </w:trPr>
        <w:tc>
          <w:tcPr>
            <w:tcW w:w="2349" w:type="dxa"/>
            <w:tcBorders>
              <w:right w:val="single" w:sz="4" w:space="0" w:color="auto"/>
            </w:tcBorders>
            <w:shd w:val="clear" w:color="auto" w:fill="FFFFFF" w:themeFill="background1"/>
            <w:vAlign w:val="center"/>
          </w:tcPr>
          <w:p w:rsidR="00765617" w:rsidRPr="000F441A" w:rsidRDefault="00765617" w:rsidP="00E04A95">
            <w:pPr>
              <w:spacing w:line="180" w:lineRule="exact"/>
              <w:contextualSpacing/>
              <w:jc w:val="left"/>
              <w:rPr>
                <w:rFonts w:cs="Calibri"/>
                <w:color w:val="auto"/>
                <w:sz w:val="18"/>
                <w:szCs w:val="18"/>
              </w:rPr>
            </w:pPr>
            <w:r w:rsidRPr="000F441A">
              <w:rPr>
                <w:rFonts w:cs="Calibri"/>
                <w:color w:val="auto"/>
                <w:sz w:val="18"/>
                <w:szCs w:val="18"/>
              </w:rPr>
              <w:t>Atypical Chest Pain</w:t>
            </w:r>
          </w:p>
        </w:tc>
        <w:tc>
          <w:tcPr>
            <w:tcW w:w="1798" w:type="dxa"/>
            <w:gridSpan w:val="2"/>
            <w:tcBorders>
              <w:left w:val="single" w:sz="4" w:space="0" w:color="auto"/>
              <w:right w:val="thinThickThinSmallGap" w:sz="24" w:space="0" w:color="auto"/>
            </w:tcBorders>
            <w:shd w:val="clear" w:color="auto" w:fill="FFFFFF" w:themeFill="background1"/>
            <w:vAlign w:val="center"/>
          </w:tcPr>
          <w:p w:rsidR="00765617" w:rsidRPr="000F441A" w:rsidRDefault="00765617" w:rsidP="00E04A95">
            <w:pPr>
              <w:spacing w:line="180" w:lineRule="exact"/>
              <w:contextualSpacing/>
              <w:rPr>
                <w:rFonts w:cs="Calibri"/>
                <w:color w:val="auto"/>
                <w:sz w:val="18"/>
                <w:szCs w:val="18"/>
              </w:rPr>
            </w:pPr>
            <w:r w:rsidRPr="000F441A">
              <w:rPr>
                <w:rFonts w:ascii="Calibri" w:hAnsi="Calibri" w:cs="Calibri"/>
                <w:color w:val="auto"/>
                <w:sz w:val="18"/>
                <w:szCs w:val="18"/>
              </w:rPr>
              <w:t>Not Unfitting</w:t>
            </w:r>
          </w:p>
        </w:tc>
        <w:tc>
          <w:tcPr>
            <w:tcW w:w="2342" w:type="dxa"/>
            <w:tcBorders>
              <w:left w:val="thinThickThinSmallGap" w:sz="24" w:space="0" w:color="auto"/>
              <w:right w:val="single" w:sz="4" w:space="0" w:color="auto"/>
            </w:tcBorders>
            <w:shd w:val="clear" w:color="auto" w:fill="FFFFFF" w:themeFill="background1"/>
            <w:vAlign w:val="center"/>
          </w:tcPr>
          <w:p w:rsidR="00765617" w:rsidRPr="000F441A" w:rsidRDefault="00765617" w:rsidP="00E04A95">
            <w:pPr>
              <w:spacing w:line="180" w:lineRule="exact"/>
              <w:contextualSpacing/>
              <w:jc w:val="left"/>
              <w:rPr>
                <w:rFonts w:cs="Calibri"/>
                <w:color w:val="auto"/>
                <w:sz w:val="18"/>
                <w:szCs w:val="18"/>
              </w:rPr>
            </w:pPr>
            <w:r w:rsidRPr="000F441A">
              <w:rPr>
                <w:rFonts w:cs="Calibri"/>
                <w:color w:val="auto"/>
                <w:sz w:val="18"/>
                <w:szCs w:val="18"/>
              </w:rPr>
              <w:t>No VA Entry</w:t>
            </w:r>
          </w:p>
        </w:tc>
        <w:tc>
          <w:tcPr>
            <w:tcW w:w="1080" w:type="dxa"/>
            <w:tcBorders>
              <w:left w:val="single" w:sz="4" w:space="0" w:color="auto"/>
              <w:right w:val="single" w:sz="4" w:space="0" w:color="auto"/>
            </w:tcBorders>
            <w:shd w:val="clear" w:color="auto" w:fill="FFFFFF" w:themeFill="background1"/>
            <w:vAlign w:val="center"/>
          </w:tcPr>
          <w:p w:rsidR="00765617" w:rsidRPr="000F441A" w:rsidRDefault="00765617" w:rsidP="00E04A95">
            <w:pPr>
              <w:spacing w:line="180" w:lineRule="exact"/>
              <w:contextualSpacing/>
              <w:rPr>
                <w:rFonts w:cs="Calibri"/>
                <w:color w:val="auto"/>
                <w:sz w:val="18"/>
                <w:szCs w:val="18"/>
              </w:rPr>
            </w:pPr>
          </w:p>
        </w:tc>
        <w:tc>
          <w:tcPr>
            <w:tcW w:w="819" w:type="dxa"/>
            <w:tcBorders>
              <w:left w:val="single" w:sz="4" w:space="0" w:color="auto"/>
            </w:tcBorders>
            <w:shd w:val="clear" w:color="auto" w:fill="FFFFFF" w:themeFill="background1"/>
            <w:vAlign w:val="center"/>
          </w:tcPr>
          <w:p w:rsidR="00765617" w:rsidRPr="000F441A" w:rsidRDefault="00765617" w:rsidP="00E04A95">
            <w:pPr>
              <w:spacing w:line="180" w:lineRule="exact"/>
              <w:contextualSpacing/>
              <w:rPr>
                <w:rFonts w:cs="Calibri"/>
                <w:color w:val="auto"/>
                <w:sz w:val="18"/>
                <w:szCs w:val="18"/>
              </w:rPr>
            </w:pPr>
          </w:p>
        </w:tc>
        <w:tc>
          <w:tcPr>
            <w:tcW w:w="990" w:type="dxa"/>
            <w:shd w:val="clear" w:color="auto" w:fill="FFFFFF" w:themeFill="background1"/>
            <w:vAlign w:val="center"/>
          </w:tcPr>
          <w:p w:rsidR="00765617" w:rsidRPr="000F441A" w:rsidRDefault="00765617" w:rsidP="00E04A95">
            <w:pPr>
              <w:spacing w:line="180" w:lineRule="exact"/>
              <w:contextualSpacing/>
              <w:rPr>
                <w:rFonts w:cs="Calibri"/>
                <w:color w:val="auto"/>
                <w:sz w:val="18"/>
                <w:szCs w:val="18"/>
              </w:rPr>
            </w:pPr>
          </w:p>
        </w:tc>
      </w:tr>
      <w:tr w:rsidR="00C2690D" w:rsidRPr="000F441A" w:rsidTr="00041685">
        <w:trPr>
          <w:trHeight w:val="287"/>
          <w:jc w:val="center"/>
        </w:trPr>
        <w:tc>
          <w:tcPr>
            <w:tcW w:w="2349" w:type="dxa"/>
            <w:tcBorders>
              <w:right w:val="single" w:sz="4" w:space="0" w:color="auto"/>
            </w:tcBorders>
            <w:shd w:val="clear" w:color="auto" w:fill="FFFFFF" w:themeFill="background1"/>
            <w:vAlign w:val="center"/>
          </w:tcPr>
          <w:p w:rsidR="00C2690D" w:rsidRPr="000F441A" w:rsidRDefault="00C2690D" w:rsidP="00E04A95">
            <w:pPr>
              <w:spacing w:line="180" w:lineRule="exact"/>
              <w:contextualSpacing/>
              <w:jc w:val="left"/>
              <w:rPr>
                <w:rFonts w:cs="Calibri"/>
                <w:color w:val="auto"/>
                <w:sz w:val="18"/>
                <w:szCs w:val="18"/>
              </w:rPr>
            </w:pPr>
            <w:r w:rsidRPr="000F441A">
              <w:rPr>
                <w:rFonts w:cs="Calibri"/>
                <w:color w:val="auto"/>
                <w:sz w:val="18"/>
                <w:szCs w:val="18"/>
              </w:rPr>
              <w:t>Hypertension</w:t>
            </w:r>
          </w:p>
        </w:tc>
        <w:tc>
          <w:tcPr>
            <w:tcW w:w="1798" w:type="dxa"/>
            <w:gridSpan w:val="2"/>
            <w:tcBorders>
              <w:left w:val="single" w:sz="4" w:space="0" w:color="auto"/>
              <w:right w:val="thinThickThinSmallGap" w:sz="24" w:space="0" w:color="auto"/>
            </w:tcBorders>
            <w:shd w:val="clear" w:color="auto" w:fill="FFFFFF" w:themeFill="background1"/>
            <w:vAlign w:val="center"/>
          </w:tcPr>
          <w:p w:rsidR="00C2690D" w:rsidRPr="000F441A" w:rsidRDefault="00C2690D" w:rsidP="00E04A95">
            <w:pPr>
              <w:spacing w:line="180" w:lineRule="exact"/>
              <w:contextualSpacing/>
              <w:rPr>
                <w:rFonts w:cs="Calibri"/>
                <w:color w:val="auto"/>
                <w:sz w:val="18"/>
                <w:szCs w:val="18"/>
              </w:rPr>
            </w:pPr>
            <w:r w:rsidRPr="000F441A">
              <w:rPr>
                <w:rFonts w:ascii="Calibri" w:hAnsi="Calibri" w:cs="Calibri"/>
                <w:color w:val="auto"/>
                <w:sz w:val="18"/>
                <w:szCs w:val="18"/>
              </w:rPr>
              <w:t>Not Unfitting</w:t>
            </w:r>
          </w:p>
        </w:tc>
        <w:tc>
          <w:tcPr>
            <w:tcW w:w="2342" w:type="dxa"/>
            <w:tcBorders>
              <w:left w:val="thinThickThinSmallGap" w:sz="24" w:space="0" w:color="auto"/>
              <w:right w:val="single" w:sz="4" w:space="0" w:color="auto"/>
            </w:tcBorders>
            <w:shd w:val="clear" w:color="auto" w:fill="FFFFFF" w:themeFill="background1"/>
            <w:vAlign w:val="center"/>
          </w:tcPr>
          <w:p w:rsidR="00C2690D" w:rsidRPr="000F441A" w:rsidRDefault="00C2690D" w:rsidP="00E04A95">
            <w:pPr>
              <w:spacing w:line="180" w:lineRule="exact"/>
              <w:contextualSpacing/>
              <w:jc w:val="left"/>
              <w:rPr>
                <w:rFonts w:cs="Calibri"/>
                <w:color w:val="auto"/>
                <w:sz w:val="18"/>
                <w:szCs w:val="18"/>
              </w:rPr>
            </w:pPr>
            <w:r w:rsidRPr="000F441A">
              <w:rPr>
                <w:rFonts w:cs="Calibri"/>
                <w:color w:val="auto"/>
                <w:sz w:val="18"/>
                <w:szCs w:val="18"/>
              </w:rPr>
              <w:t>Hypertension</w:t>
            </w:r>
          </w:p>
        </w:tc>
        <w:tc>
          <w:tcPr>
            <w:tcW w:w="1080" w:type="dxa"/>
            <w:tcBorders>
              <w:left w:val="single" w:sz="4" w:space="0" w:color="auto"/>
              <w:right w:val="single" w:sz="4" w:space="0" w:color="auto"/>
            </w:tcBorders>
            <w:shd w:val="clear" w:color="auto" w:fill="FFFFFF" w:themeFill="background1"/>
            <w:vAlign w:val="center"/>
          </w:tcPr>
          <w:p w:rsidR="00C2690D" w:rsidRPr="000F441A" w:rsidRDefault="00C2690D" w:rsidP="00E04A95">
            <w:pPr>
              <w:spacing w:line="180" w:lineRule="exact"/>
              <w:contextualSpacing/>
              <w:rPr>
                <w:rFonts w:cs="Calibri"/>
                <w:color w:val="auto"/>
                <w:sz w:val="18"/>
                <w:szCs w:val="18"/>
              </w:rPr>
            </w:pPr>
            <w:r w:rsidRPr="000F441A">
              <w:rPr>
                <w:rFonts w:cs="Calibri"/>
                <w:color w:val="auto"/>
                <w:sz w:val="18"/>
                <w:szCs w:val="18"/>
              </w:rPr>
              <w:t>7101</w:t>
            </w:r>
          </w:p>
        </w:tc>
        <w:tc>
          <w:tcPr>
            <w:tcW w:w="819" w:type="dxa"/>
            <w:tcBorders>
              <w:left w:val="single" w:sz="4" w:space="0" w:color="auto"/>
            </w:tcBorders>
            <w:shd w:val="clear" w:color="auto" w:fill="FFFFFF" w:themeFill="background1"/>
            <w:vAlign w:val="center"/>
          </w:tcPr>
          <w:p w:rsidR="00C2690D" w:rsidRPr="000F441A" w:rsidRDefault="00C2690D" w:rsidP="00E04A95">
            <w:pPr>
              <w:spacing w:line="180" w:lineRule="exact"/>
              <w:contextualSpacing/>
              <w:rPr>
                <w:rFonts w:cs="Calibri"/>
                <w:color w:val="auto"/>
                <w:sz w:val="18"/>
                <w:szCs w:val="18"/>
              </w:rPr>
            </w:pPr>
            <w:r w:rsidRPr="000F441A">
              <w:rPr>
                <w:rFonts w:cs="Calibri"/>
                <w:color w:val="auto"/>
                <w:sz w:val="18"/>
                <w:szCs w:val="18"/>
              </w:rPr>
              <w:t>0%</w:t>
            </w:r>
          </w:p>
        </w:tc>
        <w:tc>
          <w:tcPr>
            <w:tcW w:w="990" w:type="dxa"/>
            <w:shd w:val="clear" w:color="auto" w:fill="FFFFFF" w:themeFill="background1"/>
            <w:vAlign w:val="center"/>
          </w:tcPr>
          <w:p w:rsidR="00C2690D" w:rsidRPr="000F441A" w:rsidRDefault="00C2690D" w:rsidP="00E04A95">
            <w:pPr>
              <w:spacing w:line="180" w:lineRule="exact"/>
              <w:contextualSpacing/>
              <w:rPr>
                <w:rFonts w:cs="Calibri"/>
                <w:color w:val="auto"/>
                <w:sz w:val="18"/>
                <w:szCs w:val="18"/>
              </w:rPr>
            </w:pPr>
            <w:r w:rsidRPr="000F441A">
              <w:rPr>
                <w:rFonts w:ascii="Calibri" w:hAnsi="Calibri" w:cs="Calibri"/>
                <w:color w:val="auto"/>
                <w:sz w:val="18"/>
                <w:szCs w:val="18"/>
              </w:rPr>
              <w:t>20060329</w:t>
            </w:r>
          </w:p>
        </w:tc>
      </w:tr>
      <w:tr w:rsidR="00C2690D" w:rsidRPr="000F441A" w:rsidTr="00041685">
        <w:trPr>
          <w:trHeight w:val="287"/>
          <w:jc w:val="center"/>
        </w:trPr>
        <w:tc>
          <w:tcPr>
            <w:tcW w:w="2349" w:type="dxa"/>
            <w:tcBorders>
              <w:right w:val="single" w:sz="4" w:space="0" w:color="auto"/>
            </w:tcBorders>
            <w:shd w:val="clear" w:color="auto" w:fill="FFFFFF" w:themeFill="background1"/>
            <w:vAlign w:val="center"/>
          </w:tcPr>
          <w:p w:rsidR="00C2690D" w:rsidRPr="000F441A" w:rsidRDefault="00C2690D" w:rsidP="00E04A95">
            <w:pPr>
              <w:spacing w:line="180" w:lineRule="exact"/>
              <w:contextualSpacing/>
              <w:jc w:val="left"/>
              <w:rPr>
                <w:rFonts w:cs="Calibri"/>
                <w:color w:val="auto"/>
                <w:sz w:val="18"/>
                <w:szCs w:val="18"/>
              </w:rPr>
            </w:pPr>
            <w:r w:rsidRPr="000F441A">
              <w:rPr>
                <w:rFonts w:cs="Calibri"/>
                <w:color w:val="auto"/>
                <w:sz w:val="18"/>
                <w:szCs w:val="18"/>
              </w:rPr>
              <w:t>Benign Prostatic Hyperplasia</w:t>
            </w:r>
          </w:p>
        </w:tc>
        <w:tc>
          <w:tcPr>
            <w:tcW w:w="1798" w:type="dxa"/>
            <w:gridSpan w:val="2"/>
            <w:tcBorders>
              <w:left w:val="single" w:sz="4" w:space="0" w:color="auto"/>
              <w:right w:val="thinThickThinSmallGap" w:sz="24" w:space="0" w:color="auto"/>
            </w:tcBorders>
            <w:shd w:val="clear" w:color="auto" w:fill="FFFFFF" w:themeFill="background1"/>
            <w:vAlign w:val="center"/>
          </w:tcPr>
          <w:p w:rsidR="00C2690D" w:rsidRPr="000F441A" w:rsidRDefault="00C2690D" w:rsidP="00E04A95">
            <w:pPr>
              <w:spacing w:line="180" w:lineRule="exact"/>
              <w:contextualSpacing/>
              <w:rPr>
                <w:rFonts w:cs="Calibri"/>
                <w:color w:val="auto"/>
                <w:sz w:val="18"/>
                <w:szCs w:val="18"/>
              </w:rPr>
            </w:pPr>
            <w:r w:rsidRPr="000F441A">
              <w:rPr>
                <w:rFonts w:ascii="Calibri" w:hAnsi="Calibri" w:cs="Calibri"/>
                <w:color w:val="auto"/>
                <w:sz w:val="18"/>
                <w:szCs w:val="18"/>
              </w:rPr>
              <w:t>Not Unfitting</w:t>
            </w:r>
          </w:p>
        </w:tc>
        <w:tc>
          <w:tcPr>
            <w:tcW w:w="2342" w:type="dxa"/>
            <w:tcBorders>
              <w:left w:val="thinThickThinSmallGap" w:sz="24" w:space="0" w:color="auto"/>
              <w:right w:val="single" w:sz="4" w:space="0" w:color="auto"/>
            </w:tcBorders>
            <w:shd w:val="clear" w:color="auto" w:fill="FFFFFF" w:themeFill="background1"/>
            <w:vAlign w:val="center"/>
          </w:tcPr>
          <w:p w:rsidR="00C2690D" w:rsidRPr="000F441A" w:rsidRDefault="00C2690D" w:rsidP="00E04A95">
            <w:pPr>
              <w:spacing w:line="180" w:lineRule="exact"/>
              <w:contextualSpacing/>
              <w:jc w:val="left"/>
              <w:rPr>
                <w:rFonts w:cs="Calibri"/>
                <w:color w:val="auto"/>
                <w:sz w:val="18"/>
                <w:szCs w:val="18"/>
              </w:rPr>
            </w:pPr>
            <w:r w:rsidRPr="000F441A">
              <w:rPr>
                <w:rFonts w:cs="Calibri"/>
                <w:color w:val="auto"/>
                <w:sz w:val="18"/>
                <w:szCs w:val="18"/>
              </w:rPr>
              <w:t>Benign Prostatic Hypertrophy</w:t>
            </w:r>
          </w:p>
        </w:tc>
        <w:tc>
          <w:tcPr>
            <w:tcW w:w="1080" w:type="dxa"/>
            <w:tcBorders>
              <w:left w:val="single" w:sz="4" w:space="0" w:color="auto"/>
              <w:right w:val="single" w:sz="4" w:space="0" w:color="auto"/>
            </w:tcBorders>
            <w:shd w:val="clear" w:color="auto" w:fill="FFFFFF" w:themeFill="background1"/>
            <w:vAlign w:val="center"/>
          </w:tcPr>
          <w:p w:rsidR="00C2690D" w:rsidRPr="000F441A" w:rsidRDefault="00C2690D" w:rsidP="00E04A95">
            <w:pPr>
              <w:spacing w:line="180" w:lineRule="exact"/>
              <w:contextualSpacing/>
              <w:rPr>
                <w:rFonts w:cs="Calibri"/>
                <w:color w:val="auto"/>
                <w:sz w:val="18"/>
                <w:szCs w:val="18"/>
              </w:rPr>
            </w:pPr>
            <w:r w:rsidRPr="000F441A">
              <w:rPr>
                <w:rFonts w:cs="Calibri"/>
                <w:color w:val="auto"/>
                <w:sz w:val="18"/>
                <w:szCs w:val="18"/>
              </w:rPr>
              <w:t>7527</w:t>
            </w:r>
          </w:p>
        </w:tc>
        <w:tc>
          <w:tcPr>
            <w:tcW w:w="819" w:type="dxa"/>
            <w:tcBorders>
              <w:left w:val="single" w:sz="4" w:space="0" w:color="auto"/>
              <w:right w:val="single" w:sz="4" w:space="0" w:color="auto"/>
            </w:tcBorders>
            <w:shd w:val="clear" w:color="auto" w:fill="FFFFFF" w:themeFill="background1"/>
            <w:vAlign w:val="center"/>
          </w:tcPr>
          <w:p w:rsidR="00C2690D" w:rsidRPr="000F441A" w:rsidRDefault="00C2690D" w:rsidP="00E04A95">
            <w:pPr>
              <w:spacing w:line="180" w:lineRule="exact"/>
              <w:contextualSpacing/>
              <w:rPr>
                <w:rFonts w:cs="Calibri"/>
                <w:color w:val="auto"/>
                <w:sz w:val="18"/>
                <w:szCs w:val="18"/>
              </w:rPr>
            </w:pPr>
            <w:r w:rsidRPr="000F441A">
              <w:rPr>
                <w:rFonts w:cs="Calibri"/>
                <w:color w:val="auto"/>
                <w:sz w:val="18"/>
                <w:szCs w:val="18"/>
              </w:rPr>
              <w:t>0%</w:t>
            </w:r>
          </w:p>
        </w:tc>
        <w:tc>
          <w:tcPr>
            <w:tcW w:w="990" w:type="dxa"/>
            <w:tcBorders>
              <w:left w:val="single" w:sz="4" w:space="0" w:color="auto"/>
            </w:tcBorders>
            <w:shd w:val="clear" w:color="auto" w:fill="FFFFFF" w:themeFill="background1"/>
            <w:vAlign w:val="center"/>
          </w:tcPr>
          <w:p w:rsidR="00C2690D" w:rsidRPr="000F441A" w:rsidRDefault="00C2690D" w:rsidP="00E04A95">
            <w:pPr>
              <w:spacing w:line="180" w:lineRule="exact"/>
              <w:contextualSpacing/>
              <w:rPr>
                <w:rFonts w:cs="Calibri"/>
                <w:color w:val="auto"/>
                <w:sz w:val="18"/>
                <w:szCs w:val="18"/>
              </w:rPr>
            </w:pPr>
            <w:r w:rsidRPr="000F441A">
              <w:rPr>
                <w:rFonts w:ascii="Calibri" w:hAnsi="Calibri" w:cs="Calibri"/>
                <w:color w:val="auto"/>
                <w:sz w:val="18"/>
                <w:szCs w:val="18"/>
              </w:rPr>
              <w:t>20060329</w:t>
            </w:r>
          </w:p>
        </w:tc>
      </w:tr>
      <w:tr w:rsidR="00CA3245" w:rsidRPr="000F441A" w:rsidTr="00041685">
        <w:trPr>
          <w:trHeight w:val="287"/>
          <w:jc w:val="center"/>
        </w:trPr>
        <w:tc>
          <w:tcPr>
            <w:tcW w:w="4147" w:type="dxa"/>
            <w:gridSpan w:val="3"/>
            <w:vMerge w:val="restart"/>
            <w:tcBorders>
              <w:right w:val="thinThickThinSmallGap" w:sz="24" w:space="0" w:color="auto"/>
            </w:tcBorders>
            <w:shd w:val="clear" w:color="auto" w:fill="FFFFFF" w:themeFill="background1"/>
            <w:vAlign w:val="center"/>
          </w:tcPr>
          <w:p w:rsidR="00CA3245" w:rsidRPr="000F441A" w:rsidRDefault="00CA3245" w:rsidP="00E04A95">
            <w:pPr>
              <w:spacing w:line="180" w:lineRule="exact"/>
              <w:contextualSpacing/>
              <w:rPr>
                <w:rFonts w:cs="Calibri"/>
                <w:color w:val="auto"/>
                <w:sz w:val="18"/>
                <w:szCs w:val="18"/>
              </w:rPr>
            </w:pPr>
            <w:r w:rsidRPr="000F441A">
              <w:rPr>
                <w:rFonts w:ascii="Calibri" w:hAnsi="Calibri" w:cs="Calibri"/>
                <w:color w:val="auto"/>
                <w:sz w:val="18"/>
                <w:szCs w:val="18"/>
              </w:rPr>
              <w:t>↓No Additional MEB/PEB Entries↓</w:t>
            </w:r>
          </w:p>
        </w:tc>
        <w:tc>
          <w:tcPr>
            <w:tcW w:w="2342" w:type="dxa"/>
            <w:tcBorders>
              <w:left w:val="thinThickThinSmallGap" w:sz="24" w:space="0" w:color="auto"/>
              <w:right w:val="single" w:sz="4" w:space="0" w:color="auto"/>
            </w:tcBorders>
            <w:shd w:val="clear" w:color="auto" w:fill="FFFFFF" w:themeFill="background1"/>
            <w:vAlign w:val="center"/>
          </w:tcPr>
          <w:p w:rsidR="00CA3245" w:rsidRPr="000F441A" w:rsidRDefault="00CA3245" w:rsidP="00E04A95">
            <w:pPr>
              <w:spacing w:line="180" w:lineRule="exact"/>
              <w:contextualSpacing/>
              <w:jc w:val="left"/>
              <w:rPr>
                <w:rFonts w:cs="Calibri"/>
                <w:color w:val="auto"/>
                <w:sz w:val="18"/>
                <w:szCs w:val="18"/>
              </w:rPr>
            </w:pPr>
            <w:r w:rsidRPr="000F441A">
              <w:rPr>
                <w:rFonts w:ascii="Calibri" w:hAnsi="Calibri" w:cs="Calibri"/>
                <w:color w:val="auto"/>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CA3245" w:rsidRPr="000F441A" w:rsidRDefault="00CA3245" w:rsidP="00E04A95">
            <w:pPr>
              <w:spacing w:line="180" w:lineRule="exact"/>
              <w:contextualSpacing/>
              <w:rPr>
                <w:rFonts w:cs="Calibri"/>
                <w:color w:val="auto"/>
                <w:sz w:val="18"/>
                <w:szCs w:val="18"/>
              </w:rPr>
            </w:pPr>
            <w:r w:rsidRPr="000F441A">
              <w:rPr>
                <w:rFonts w:cs="Calibri"/>
                <w:color w:val="auto"/>
                <w:sz w:val="18"/>
                <w:szCs w:val="18"/>
              </w:rPr>
              <w:t>6260</w:t>
            </w:r>
          </w:p>
        </w:tc>
        <w:tc>
          <w:tcPr>
            <w:tcW w:w="819" w:type="dxa"/>
            <w:tcBorders>
              <w:left w:val="single" w:sz="4" w:space="0" w:color="auto"/>
              <w:right w:val="single" w:sz="4" w:space="0" w:color="auto"/>
            </w:tcBorders>
            <w:shd w:val="clear" w:color="auto" w:fill="FFFFFF" w:themeFill="background1"/>
            <w:vAlign w:val="center"/>
          </w:tcPr>
          <w:p w:rsidR="00CA3245" w:rsidRPr="000F441A" w:rsidRDefault="00CA3245" w:rsidP="00E04A95">
            <w:pPr>
              <w:spacing w:line="180" w:lineRule="exact"/>
              <w:contextualSpacing/>
              <w:rPr>
                <w:rFonts w:cs="Calibri"/>
                <w:color w:val="auto"/>
                <w:sz w:val="18"/>
                <w:szCs w:val="18"/>
              </w:rPr>
            </w:pPr>
            <w:r w:rsidRPr="000F441A">
              <w:rPr>
                <w:rFonts w:cs="Calibri"/>
                <w:color w:val="auto"/>
                <w:sz w:val="18"/>
                <w:szCs w:val="18"/>
              </w:rPr>
              <w:t>10%</w:t>
            </w:r>
          </w:p>
        </w:tc>
        <w:tc>
          <w:tcPr>
            <w:tcW w:w="990" w:type="dxa"/>
            <w:tcBorders>
              <w:left w:val="single" w:sz="4" w:space="0" w:color="auto"/>
            </w:tcBorders>
            <w:shd w:val="clear" w:color="auto" w:fill="FFFFFF" w:themeFill="background1"/>
            <w:vAlign w:val="center"/>
          </w:tcPr>
          <w:p w:rsidR="00CA3245" w:rsidRPr="000F441A" w:rsidRDefault="00CA3245" w:rsidP="00E04A95">
            <w:pPr>
              <w:spacing w:line="180" w:lineRule="exact"/>
              <w:contextualSpacing/>
              <w:rPr>
                <w:rFonts w:cs="Calibri"/>
                <w:color w:val="auto"/>
                <w:sz w:val="18"/>
                <w:szCs w:val="18"/>
              </w:rPr>
            </w:pPr>
            <w:r w:rsidRPr="000F441A">
              <w:rPr>
                <w:rFonts w:cs="Calibri"/>
                <w:color w:val="auto"/>
                <w:sz w:val="18"/>
                <w:szCs w:val="18"/>
              </w:rPr>
              <w:t>20060329</w:t>
            </w:r>
          </w:p>
        </w:tc>
      </w:tr>
      <w:tr w:rsidR="00CA3245" w:rsidRPr="000F441A" w:rsidTr="00041685">
        <w:trPr>
          <w:trHeight w:val="260"/>
          <w:jc w:val="center"/>
        </w:trPr>
        <w:tc>
          <w:tcPr>
            <w:tcW w:w="4147" w:type="dxa"/>
            <w:gridSpan w:val="3"/>
            <w:vMerge/>
            <w:tcBorders>
              <w:right w:val="thinThickThinSmallGap" w:sz="24" w:space="0" w:color="auto"/>
            </w:tcBorders>
            <w:shd w:val="clear" w:color="auto" w:fill="FFFFFF" w:themeFill="background1"/>
            <w:vAlign w:val="center"/>
          </w:tcPr>
          <w:p w:rsidR="00CA3245" w:rsidRPr="000F441A" w:rsidRDefault="00CA3245" w:rsidP="00E04A95">
            <w:pPr>
              <w:spacing w:line="180" w:lineRule="exact"/>
              <w:contextualSpacing/>
              <w:rPr>
                <w:rFonts w:ascii="Calibri" w:eastAsia="Times New Roman" w:hAnsi="Calibri" w:cs="Calibri"/>
                <w:color w:val="auto"/>
                <w:sz w:val="18"/>
                <w:szCs w:val="18"/>
              </w:rPr>
            </w:pPr>
          </w:p>
        </w:tc>
        <w:tc>
          <w:tcPr>
            <w:tcW w:w="2342" w:type="dxa"/>
            <w:tcBorders>
              <w:left w:val="thinThickThinSmallGap" w:sz="24" w:space="0" w:color="auto"/>
              <w:right w:val="single" w:sz="4" w:space="0" w:color="auto"/>
            </w:tcBorders>
            <w:shd w:val="clear" w:color="auto" w:fill="FFFFFF" w:themeFill="background1"/>
            <w:vAlign w:val="center"/>
          </w:tcPr>
          <w:p w:rsidR="00CA3245" w:rsidRPr="000F441A" w:rsidRDefault="00CA3245" w:rsidP="00E04A95">
            <w:pPr>
              <w:spacing w:line="180" w:lineRule="exact"/>
              <w:jc w:val="left"/>
              <w:rPr>
                <w:rFonts w:ascii="Calibri" w:eastAsia="Times New Roman" w:hAnsi="Calibri" w:cs="Calibri"/>
                <w:color w:val="auto"/>
                <w:sz w:val="18"/>
                <w:szCs w:val="18"/>
              </w:rPr>
            </w:pPr>
            <w:r w:rsidRPr="000F441A">
              <w:rPr>
                <w:rFonts w:ascii="Calibri" w:eastAsia="Times New Roman" w:hAnsi="Calibri" w:cs="Calibri"/>
                <w:color w:val="auto"/>
                <w:sz w:val="18"/>
                <w:szCs w:val="18"/>
              </w:rPr>
              <w:t>Major Depressive Disorder</w:t>
            </w:r>
          </w:p>
        </w:tc>
        <w:tc>
          <w:tcPr>
            <w:tcW w:w="1080" w:type="dxa"/>
            <w:tcBorders>
              <w:left w:val="single" w:sz="4" w:space="0" w:color="auto"/>
            </w:tcBorders>
            <w:shd w:val="clear" w:color="auto" w:fill="FFFFFF" w:themeFill="background1"/>
            <w:vAlign w:val="center"/>
          </w:tcPr>
          <w:p w:rsidR="00CA3245" w:rsidRPr="000F441A" w:rsidRDefault="00CA3245"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9434</w:t>
            </w:r>
          </w:p>
        </w:tc>
        <w:tc>
          <w:tcPr>
            <w:tcW w:w="819" w:type="dxa"/>
            <w:shd w:val="clear" w:color="auto" w:fill="FFFFFF" w:themeFill="background1"/>
            <w:vAlign w:val="center"/>
          </w:tcPr>
          <w:p w:rsidR="00CA3245" w:rsidRPr="000F441A" w:rsidRDefault="00CA3245" w:rsidP="00E04A95">
            <w:pPr>
              <w:spacing w:line="180" w:lineRule="exact"/>
              <w:contextualSpacing/>
              <w:rPr>
                <w:rFonts w:ascii="Calibri" w:eastAsia="Times New Roman" w:hAnsi="Calibri" w:cs="Calibri"/>
                <w:color w:val="auto"/>
                <w:sz w:val="18"/>
                <w:szCs w:val="18"/>
              </w:rPr>
            </w:pPr>
            <w:r w:rsidRPr="000F441A">
              <w:rPr>
                <w:rFonts w:ascii="Calibri" w:eastAsia="Times New Roman" w:hAnsi="Calibri" w:cs="Calibri"/>
                <w:color w:val="auto"/>
                <w:sz w:val="18"/>
                <w:szCs w:val="18"/>
              </w:rPr>
              <w:t>30%</w:t>
            </w:r>
            <w:r w:rsidR="00E021F0" w:rsidRPr="000F441A">
              <w:rPr>
                <w:rFonts w:ascii="Calibri" w:eastAsia="Times New Roman" w:hAnsi="Calibri" w:cs="Calibri"/>
                <w:color w:val="auto"/>
                <w:sz w:val="18"/>
                <w:szCs w:val="18"/>
              </w:rPr>
              <w:t>*</w:t>
            </w:r>
          </w:p>
        </w:tc>
        <w:tc>
          <w:tcPr>
            <w:tcW w:w="990" w:type="dxa"/>
            <w:shd w:val="clear" w:color="auto" w:fill="FFFFFF" w:themeFill="background1"/>
            <w:vAlign w:val="center"/>
          </w:tcPr>
          <w:p w:rsidR="00CA3245" w:rsidRPr="000F441A" w:rsidRDefault="00CA3245"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20070223</w:t>
            </w:r>
          </w:p>
        </w:tc>
      </w:tr>
      <w:tr w:rsidR="00CA3245" w:rsidRPr="000F441A" w:rsidTr="00A14DED">
        <w:trPr>
          <w:trHeight w:val="260"/>
          <w:jc w:val="center"/>
        </w:trPr>
        <w:tc>
          <w:tcPr>
            <w:tcW w:w="4147" w:type="dxa"/>
            <w:gridSpan w:val="3"/>
            <w:vMerge/>
            <w:tcBorders>
              <w:right w:val="thinThickThinSmallGap" w:sz="24" w:space="0" w:color="auto"/>
            </w:tcBorders>
            <w:shd w:val="clear" w:color="auto" w:fill="FFFFFF" w:themeFill="background1"/>
          </w:tcPr>
          <w:p w:rsidR="00CA3245" w:rsidRPr="000F441A" w:rsidRDefault="00CA3245" w:rsidP="00E04A95">
            <w:pPr>
              <w:spacing w:line="180" w:lineRule="exact"/>
              <w:contextualSpacing/>
              <w:rPr>
                <w:rFonts w:ascii="Calibri" w:eastAsia="Times New Roman" w:hAnsi="Calibri" w:cs="Calibri"/>
                <w:color w:val="auto"/>
                <w:sz w:val="18"/>
                <w:szCs w:val="18"/>
              </w:rPr>
            </w:pPr>
          </w:p>
        </w:tc>
        <w:tc>
          <w:tcPr>
            <w:tcW w:w="4241" w:type="dxa"/>
            <w:gridSpan w:val="3"/>
            <w:tcBorders>
              <w:left w:val="thinThickThinSmallGap" w:sz="24" w:space="0" w:color="auto"/>
            </w:tcBorders>
            <w:shd w:val="clear" w:color="auto" w:fill="FFFFFF" w:themeFill="background1"/>
            <w:vAlign w:val="center"/>
          </w:tcPr>
          <w:p w:rsidR="00CA3245" w:rsidRPr="000F441A" w:rsidRDefault="00CA3245"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0% x 2/Not Service Connected x 3</w:t>
            </w:r>
          </w:p>
        </w:tc>
        <w:tc>
          <w:tcPr>
            <w:tcW w:w="990" w:type="dxa"/>
            <w:shd w:val="clear" w:color="auto" w:fill="FFFFFF" w:themeFill="background1"/>
            <w:vAlign w:val="center"/>
          </w:tcPr>
          <w:p w:rsidR="00CA3245" w:rsidRPr="000F441A" w:rsidRDefault="00CA3245" w:rsidP="00E04A95">
            <w:pPr>
              <w:spacing w:line="180" w:lineRule="exact"/>
              <w:contextualSpacing/>
              <w:rPr>
                <w:rFonts w:ascii="Calibri" w:eastAsia="Times New Roman" w:hAnsi="Calibri" w:cs="Calibri"/>
                <w:color w:val="auto"/>
                <w:sz w:val="18"/>
                <w:szCs w:val="18"/>
              </w:rPr>
            </w:pPr>
            <w:r w:rsidRPr="000F441A">
              <w:rPr>
                <w:rFonts w:ascii="Calibri" w:hAnsi="Calibri" w:cs="Calibri"/>
                <w:color w:val="auto"/>
                <w:sz w:val="18"/>
                <w:szCs w:val="18"/>
              </w:rPr>
              <w:t>20060329</w:t>
            </w:r>
          </w:p>
        </w:tc>
      </w:tr>
      <w:tr w:rsidR="007A65A9" w:rsidRPr="000F441A" w:rsidTr="00A14DED">
        <w:trPr>
          <w:trHeight w:val="242"/>
          <w:jc w:val="center"/>
        </w:trPr>
        <w:tc>
          <w:tcPr>
            <w:tcW w:w="4147" w:type="dxa"/>
            <w:gridSpan w:val="3"/>
            <w:tcBorders>
              <w:right w:val="thinThickThinSmallGap" w:sz="24" w:space="0" w:color="auto"/>
            </w:tcBorders>
            <w:shd w:val="clear" w:color="auto" w:fill="D9D9D9" w:themeFill="background1" w:themeFillShade="D9"/>
            <w:vAlign w:val="center"/>
          </w:tcPr>
          <w:p w:rsidR="007A65A9" w:rsidRPr="000F441A" w:rsidRDefault="007A65A9"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 xml:space="preserve">Combined: </w:t>
            </w:r>
            <w:r w:rsidR="006458FD" w:rsidRPr="000F441A">
              <w:rPr>
                <w:rFonts w:ascii="Calibri" w:hAnsi="Calibri" w:cs="Calibri"/>
                <w:b/>
                <w:color w:val="auto"/>
                <w:sz w:val="18"/>
                <w:szCs w:val="18"/>
              </w:rPr>
              <w:t xml:space="preserve"> </w:t>
            </w:r>
            <w:r w:rsidR="00BB195C" w:rsidRPr="000F441A">
              <w:rPr>
                <w:rFonts w:ascii="Calibri" w:hAnsi="Calibri" w:cs="Calibri"/>
                <w:b/>
                <w:color w:val="auto"/>
                <w:sz w:val="18"/>
                <w:szCs w:val="18"/>
              </w:rPr>
              <w:t>0</w:t>
            </w:r>
            <w:r w:rsidRPr="000F441A">
              <w:rPr>
                <w:rFonts w:ascii="Calibri" w:hAnsi="Calibri" w:cs="Calibri"/>
                <w:b/>
                <w:color w:val="auto"/>
                <w:sz w:val="18"/>
                <w:szCs w:val="18"/>
              </w:rPr>
              <w:t>%</w:t>
            </w:r>
          </w:p>
        </w:tc>
        <w:tc>
          <w:tcPr>
            <w:tcW w:w="5231" w:type="dxa"/>
            <w:gridSpan w:val="4"/>
            <w:tcBorders>
              <w:left w:val="thinThickThinSmallGap" w:sz="24" w:space="0" w:color="auto"/>
            </w:tcBorders>
            <w:shd w:val="clear" w:color="auto" w:fill="D9D9D9" w:themeFill="background1" w:themeFillShade="D9"/>
            <w:vAlign w:val="center"/>
          </w:tcPr>
          <w:p w:rsidR="007A65A9" w:rsidRPr="000F441A" w:rsidRDefault="007A65A9" w:rsidP="00E04A95">
            <w:pPr>
              <w:spacing w:line="180" w:lineRule="exact"/>
              <w:contextualSpacing/>
              <w:rPr>
                <w:rFonts w:ascii="Calibri" w:hAnsi="Calibri" w:cs="Calibri"/>
                <w:b/>
                <w:color w:val="auto"/>
                <w:sz w:val="18"/>
                <w:szCs w:val="18"/>
              </w:rPr>
            </w:pPr>
            <w:r w:rsidRPr="000F441A">
              <w:rPr>
                <w:rFonts w:ascii="Calibri" w:hAnsi="Calibri" w:cs="Calibri"/>
                <w:b/>
                <w:color w:val="auto"/>
                <w:sz w:val="18"/>
                <w:szCs w:val="18"/>
              </w:rPr>
              <w:t xml:space="preserve">Combined:  </w:t>
            </w:r>
            <w:r w:rsidR="005A32AA" w:rsidRPr="000F441A">
              <w:rPr>
                <w:rFonts w:ascii="Calibri" w:hAnsi="Calibri" w:cs="Calibri"/>
                <w:b/>
                <w:color w:val="auto"/>
                <w:sz w:val="18"/>
                <w:szCs w:val="18"/>
              </w:rPr>
              <w:t>50</w:t>
            </w:r>
            <w:r w:rsidRPr="000F441A">
              <w:rPr>
                <w:rFonts w:ascii="Calibri" w:hAnsi="Calibri" w:cs="Calibri"/>
                <w:b/>
                <w:color w:val="auto"/>
                <w:sz w:val="18"/>
                <w:szCs w:val="18"/>
              </w:rPr>
              <w:t>%</w:t>
            </w:r>
            <w:r w:rsidR="00E04A95" w:rsidRPr="000F441A">
              <w:rPr>
                <w:rFonts w:ascii="Calibri" w:hAnsi="Calibri" w:cs="Calibri"/>
                <w:b/>
                <w:color w:val="auto"/>
                <w:sz w:val="18"/>
                <w:szCs w:val="18"/>
              </w:rPr>
              <w:t>*</w:t>
            </w:r>
          </w:p>
        </w:tc>
      </w:tr>
    </w:tbl>
    <w:p w:rsidR="00E021F0" w:rsidRPr="000F441A" w:rsidRDefault="00E021F0" w:rsidP="00A14DED">
      <w:pPr>
        <w:tabs>
          <w:tab w:val="left" w:pos="288"/>
          <w:tab w:val="left" w:pos="4752"/>
        </w:tabs>
        <w:spacing w:line="200" w:lineRule="exact"/>
        <w:jc w:val="both"/>
        <w:rPr>
          <w:color w:val="auto"/>
          <w:sz w:val="20"/>
          <w:szCs w:val="18"/>
        </w:rPr>
      </w:pPr>
      <w:r w:rsidRPr="000F441A">
        <w:rPr>
          <w:color w:val="auto"/>
          <w:sz w:val="20"/>
          <w:szCs w:val="18"/>
        </w:rPr>
        <w:t xml:space="preserve">*MDD increased to </w:t>
      </w:r>
      <w:r w:rsidR="00453466" w:rsidRPr="000F441A">
        <w:rPr>
          <w:color w:val="auto"/>
          <w:sz w:val="20"/>
          <w:szCs w:val="18"/>
        </w:rPr>
        <w:t xml:space="preserve">70% effective 20090908 (combined 70%) and to 100% with </w:t>
      </w:r>
      <w:r w:rsidRPr="000F441A">
        <w:rPr>
          <w:color w:val="auto"/>
          <w:sz w:val="20"/>
          <w:szCs w:val="18"/>
        </w:rPr>
        <w:t xml:space="preserve">Cervical Spine increased to 20%, effective </w:t>
      </w:r>
      <w:r w:rsidR="008F47C3" w:rsidRPr="000F441A">
        <w:rPr>
          <w:color w:val="auto"/>
          <w:sz w:val="20"/>
          <w:szCs w:val="18"/>
        </w:rPr>
        <w:t>20100410</w:t>
      </w:r>
      <w:r w:rsidR="00E04A95" w:rsidRPr="000F441A">
        <w:rPr>
          <w:color w:val="auto"/>
          <w:sz w:val="20"/>
          <w:szCs w:val="18"/>
        </w:rPr>
        <w:t xml:space="preserve"> (combined </w:t>
      </w:r>
      <w:r w:rsidRPr="000F441A">
        <w:rPr>
          <w:color w:val="auto"/>
          <w:sz w:val="20"/>
          <w:szCs w:val="18"/>
        </w:rPr>
        <w:t>100%</w:t>
      </w:r>
      <w:r w:rsidR="00E04A95" w:rsidRPr="000F441A">
        <w:rPr>
          <w:color w:val="auto"/>
          <w:sz w:val="20"/>
          <w:szCs w:val="18"/>
        </w:rPr>
        <w:t>)</w:t>
      </w:r>
      <w:r w:rsidR="00E37ED2" w:rsidRPr="000F441A">
        <w:rPr>
          <w:color w:val="auto"/>
          <w:sz w:val="20"/>
          <w:szCs w:val="18"/>
        </w:rPr>
        <w:t xml:space="preserve"> [DRO and Board of Veterans’ Appeals documentation from 2008/9 and 2010] </w:t>
      </w:r>
    </w:p>
    <w:p w:rsidR="00A14DED" w:rsidRPr="000F441A" w:rsidRDefault="00A14DED" w:rsidP="00A14DED">
      <w:pPr>
        <w:pBdr>
          <w:bottom w:val="single" w:sz="12" w:space="1" w:color="auto"/>
        </w:pBdr>
        <w:tabs>
          <w:tab w:val="left" w:pos="288"/>
          <w:tab w:val="left" w:pos="4752"/>
        </w:tabs>
        <w:jc w:val="both"/>
        <w:rPr>
          <w:color w:val="auto"/>
        </w:rPr>
      </w:pPr>
    </w:p>
    <w:p w:rsidR="00A14DED" w:rsidRPr="000F441A" w:rsidRDefault="00A14DED" w:rsidP="00A14DED">
      <w:pPr>
        <w:jc w:val="left"/>
        <w:rPr>
          <w:color w:val="auto"/>
          <w:u w:val="single"/>
        </w:rPr>
      </w:pPr>
    </w:p>
    <w:p w:rsidR="002C6E5B" w:rsidRPr="001F29F9" w:rsidRDefault="002C6E5B" w:rsidP="00197BEB">
      <w:pPr>
        <w:jc w:val="both"/>
        <w:rPr>
          <w:color w:val="000000" w:themeColor="text1"/>
          <w:szCs w:val="24"/>
          <w:u w:val="single"/>
        </w:rPr>
      </w:pPr>
      <w:r w:rsidRPr="000F441A">
        <w:rPr>
          <w:color w:val="auto"/>
          <w:szCs w:val="24"/>
          <w:u w:val="single"/>
        </w:rPr>
        <w:t>ANALYSIS SUMMARY</w:t>
      </w:r>
      <w:r w:rsidRPr="000F441A">
        <w:rPr>
          <w:color w:val="auto"/>
          <w:szCs w:val="24"/>
        </w:rPr>
        <w:t>:</w:t>
      </w:r>
      <w:r w:rsidR="00A14DED" w:rsidRPr="000F441A">
        <w:rPr>
          <w:color w:val="auto"/>
          <w:szCs w:val="24"/>
        </w:rPr>
        <w:t xml:space="preserve">  </w:t>
      </w:r>
      <w:r w:rsidR="00197BEB" w:rsidRPr="000F441A">
        <w:rPr>
          <w:color w:val="auto"/>
          <w:szCs w:val="24"/>
        </w:rPr>
        <w:t xml:space="preserve">The Board acknowledges the CI’s contention that suggests </w:t>
      </w:r>
      <w:r w:rsidR="00201EDA">
        <w:rPr>
          <w:color w:val="auto"/>
          <w:szCs w:val="24"/>
        </w:rPr>
        <w:t>s</w:t>
      </w:r>
      <w:r w:rsidR="00197BEB" w:rsidRPr="000F441A">
        <w:rPr>
          <w:color w:val="auto"/>
          <w:szCs w:val="24"/>
        </w:rPr>
        <w:t>ervice</w:t>
      </w:r>
      <w:r w:rsidR="00197BEB" w:rsidRPr="00197BEB">
        <w:rPr>
          <w:color w:val="auto"/>
          <w:szCs w:val="24"/>
        </w:rPr>
        <w:t xml:space="preserve"> ratings should have been conferred for other conditions documented at the time of separation.  The Board notes that the presence of a diagnosis, in and of itself, is not sufficient to render a condition unfitting and ratable.  The Board wishes to clarify that it is subject to the same laws for </w:t>
      </w:r>
      <w:r w:rsidR="00201EDA">
        <w:rPr>
          <w:color w:val="auto"/>
          <w:szCs w:val="24"/>
        </w:rPr>
        <w:t>s</w:t>
      </w:r>
      <w:r w:rsidR="00197BEB" w:rsidRPr="00197BEB">
        <w:rPr>
          <w:color w:val="auto"/>
          <w:szCs w:val="24"/>
        </w:rPr>
        <w:t>ervice disability entitlements as those under which the Disability Evaluation System (DES) operates</w:t>
      </w:r>
      <w:r w:rsidR="00201EDA">
        <w:rPr>
          <w:color w:val="000000" w:themeColor="text1"/>
          <w:szCs w:val="24"/>
        </w:rPr>
        <w:t xml:space="preserve">.  While the </w:t>
      </w:r>
      <w:r w:rsidR="00197BEB" w:rsidRPr="00197BEB">
        <w:rPr>
          <w:color w:val="000000" w:themeColor="text1"/>
          <w:szCs w:val="24"/>
        </w:rPr>
        <w:t>DES considers all of the service member's medical conditions, compensation can only be offered for those medical conditions that cut  short a service member’s career, and then only to the degree of severity present at the time of final disposition.  However</w:t>
      </w:r>
      <w:r w:rsidR="00197BEB">
        <w:rPr>
          <w:color w:val="000000" w:themeColor="text1"/>
          <w:szCs w:val="24"/>
        </w:rPr>
        <w:t>,</w:t>
      </w:r>
      <w:r w:rsidR="00197BEB" w:rsidRPr="00197BEB">
        <w:rPr>
          <w:color w:val="000000" w:themeColor="text1"/>
          <w:szCs w:val="24"/>
        </w:rPr>
        <w:t xml:space="preserve"> the Department of Veteran</w:t>
      </w:r>
      <w:r w:rsidR="00201EDA">
        <w:rPr>
          <w:color w:val="000000" w:themeColor="text1"/>
          <w:szCs w:val="24"/>
        </w:rPr>
        <w:t>s’</w:t>
      </w:r>
      <w:r w:rsidR="00197BEB" w:rsidRPr="00197BEB">
        <w:rPr>
          <w:color w:val="000000" w:themeColor="text1"/>
          <w:szCs w:val="24"/>
        </w:rPr>
        <w:t xml:space="preserve"> Affairs (DVA), operating under a different set of laws (Title 38, United States Code), is </w:t>
      </w:r>
      <w:r w:rsidR="00201EDA">
        <w:rPr>
          <w:color w:val="000000" w:themeColor="text1"/>
          <w:szCs w:val="24"/>
        </w:rPr>
        <w:t>empowered to compensate service-</w:t>
      </w:r>
      <w:r w:rsidR="00197BEB" w:rsidRPr="00197BEB">
        <w:rPr>
          <w:color w:val="000000" w:themeColor="text1"/>
          <w:szCs w:val="24"/>
        </w:rPr>
        <w:t xml:space="preserve">connected </w:t>
      </w:r>
      <w:r w:rsidR="00197BEB" w:rsidRPr="00197BEB">
        <w:rPr>
          <w:color w:val="000000" w:themeColor="text1"/>
          <w:szCs w:val="24"/>
        </w:rPr>
        <w:lastRenderedPageBreak/>
        <w:t xml:space="preserve">conditions and to periodically re-evaluate said conditions for the purpose of adjusting the </w:t>
      </w:r>
      <w:r w:rsidR="00201EDA">
        <w:rPr>
          <w:color w:val="000000" w:themeColor="text1"/>
          <w:szCs w:val="24"/>
        </w:rPr>
        <w:t>V</w:t>
      </w:r>
      <w:r w:rsidR="00197BEB" w:rsidRPr="00197BEB">
        <w:rPr>
          <w:color w:val="000000" w:themeColor="text1"/>
          <w:szCs w:val="24"/>
        </w:rPr>
        <w:t xml:space="preserve">eteran’s disability rating should </w:t>
      </w:r>
      <w:r w:rsidR="00201EDA">
        <w:rPr>
          <w:color w:val="000000" w:themeColor="text1"/>
          <w:szCs w:val="24"/>
        </w:rPr>
        <w:t>the</w:t>
      </w:r>
      <w:r w:rsidR="00197BEB" w:rsidRPr="00197BEB">
        <w:rPr>
          <w:color w:val="000000" w:themeColor="text1"/>
          <w:szCs w:val="24"/>
        </w:rPr>
        <w:t xml:space="preserve"> degree of impairment vary over time.  The Board utilizes VA evidence proximal to separation in arriving at its recommendations;</w:t>
      </w:r>
      <w:r w:rsidR="00201EDA">
        <w:rPr>
          <w:color w:val="000000" w:themeColor="text1"/>
          <w:szCs w:val="24"/>
        </w:rPr>
        <w:t xml:space="preserve"> and, DoDI 6040.44 defines a 12-</w:t>
      </w:r>
      <w:r w:rsidR="00197BEB" w:rsidRPr="00197BEB">
        <w:rPr>
          <w:color w:val="000000" w:themeColor="text1"/>
          <w:szCs w:val="24"/>
        </w:rPr>
        <w:t>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A9125B">
        <w:rPr>
          <w:color w:val="000000" w:themeColor="text1"/>
          <w:szCs w:val="24"/>
        </w:rPr>
        <w:t xml:space="preserve">  </w:t>
      </w:r>
    </w:p>
    <w:p w:rsidR="004C60A3" w:rsidRPr="001F29F9" w:rsidRDefault="004C60A3" w:rsidP="00BF0E94">
      <w:pPr>
        <w:jc w:val="left"/>
        <w:rPr>
          <w:color w:val="000000" w:themeColor="text1"/>
          <w:szCs w:val="24"/>
        </w:rPr>
      </w:pPr>
    </w:p>
    <w:p w:rsidR="008847BD" w:rsidRPr="000F441A" w:rsidRDefault="008847BD" w:rsidP="00342FC8">
      <w:pPr>
        <w:jc w:val="both"/>
        <w:rPr>
          <w:color w:val="000000" w:themeColor="text1"/>
          <w:szCs w:val="24"/>
        </w:rPr>
      </w:pPr>
      <w:r>
        <w:rPr>
          <w:color w:val="000000" w:themeColor="text1"/>
          <w:szCs w:val="24"/>
          <w:u w:val="single"/>
        </w:rPr>
        <w:t>Neck and Back Conditions (</w:t>
      </w:r>
      <w:r w:rsidRPr="008847BD">
        <w:rPr>
          <w:color w:val="000000" w:themeColor="text1"/>
          <w:szCs w:val="24"/>
          <w:u w:val="single"/>
        </w:rPr>
        <w:t>Cervical Spondylosis, w/o Neurologic Abnormality</w:t>
      </w:r>
      <w:r>
        <w:rPr>
          <w:color w:val="000000" w:themeColor="text1"/>
          <w:szCs w:val="24"/>
          <w:u w:val="single"/>
        </w:rPr>
        <w:t xml:space="preserve"> and </w:t>
      </w:r>
      <w:r w:rsidRPr="008847BD">
        <w:rPr>
          <w:color w:val="000000" w:themeColor="text1"/>
          <w:szCs w:val="24"/>
          <w:u w:val="single"/>
        </w:rPr>
        <w:t>Lumbago, w/o Neurologic Abnormality</w:t>
      </w:r>
      <w:r>
        <w:rPr>
          <w:color w:val="000000" w:themeColor="text1"/>
          <w:szCs w:val="24"/>
          <w:u w:val="single"/>
        </w:rPr>
        <w:t>)</w:t>
      </w:r>
      <w:r w:rsidRPr="008847BD">
        <w:rPr>
          <w:color w:val="000000" w:themeColor="text1"/>
          <w:szCs w:val="24"/>
        </w:rPr>
        <w:t>:</w:t>
      </w:r>
      <w:r>
        <w:rPr>
          <w:color w:val="000000" w:themeColor="text1"/>
          <w:szCs w:val="24"/>
        </w:rPr>
        <w:t xml:space="preserve">  The neck (cervical) and thoracolumbar (back) spine conditions were well documented in the record </w:t>
      </w:r>
      <w:r w:rsidR="00C66323">
        <w:rPr>
          <w:color w:val="000000" w:themeColor="text1"/>
          <w:szCs w:val="24"/>
        </w:rPr>
        <w:t>which</w:t>
      </w:r>
      <w:r>
        <w:rPr>
          <w:color w:val="000000" w:themeColor="text1"/>
          <w:szCs w:val="24"/>
        </w:rPr>
        <w:t xml:space="preserve"> included detailed treatment and </w:t>
      </w:r>
      <w:r w:rsidR="00C66323">
        <w:rPr>
          <w:color w:val="000000" w:themeColor="text1"/>
          <w:szCs w:val="24"/>
        </w:rPr>
        <w:t xml:space="preserve">duty </w:t>
      </w:r>
      <w:r>
        <w:rPr>
          <w:color w:val="000000" w:themeColor="text1"/>
          <w:szCs w:val="24"/>
        </w:rPr>
        <w:t xml:space="preserve">limitation discussions.  </w:t>
      </w:r>
      <w:r w:rsidR="00A57C35" w:rsidRPr="002249A5">
        <w:rPr>
          <w:color w:val="000000" w:themeColor="text1"/>
          <w:szCs w:val="24"/>
        </w:rPr>
        <w:t xml:space="preserve">There were </w:t>
      </w:r>
      <w:r w:rsidRPr="002249A5">
        <w:rPr>
          <w:color w:val="000000" w:themeColor="text1"/>
          <w:szCs w:val="24"/>
        </w:rPr>
        <w:t>t</w:t>
      </w:r>
      <w:r w:rsidR="002249A5">
        <w:rPr>
          <w:color w:val="000000" w:themeColor="text1"/>
          <w:szCs w:val="24"/>
        </w:rPr>
        <w:t>wo</w:t>
      </w:r>
      <w:r w:rsidRPr="002249A5">
        <w:rPr>
          <w:color w:val="000000" w:themeColor="text1"/>
          <w:szCs w:val="24"/>
        </w:rPr>
        <w:t xml:space="preserve"> </w:t>
      </w:r>
      <w:r w:rsidR="00A57C35" w:rsidRPr="002249A5">
        <w:rPr>
          <w:color w:val="000000" w:themeColor="text1"/>
          <w:szCs w:val="24"/>
        </w:rPr>
        <w:t>goniometric range</w:t>
      </w:r>
      <w:r w:rsidR="00201EDA">
        <w:rPr>
          <w:color w:val="000000" w:themeColor="text1"/>
          <w:szCs w:val="24"/>
        </w:rPr>
        <w:t>-</w:t>
      </w:r>
      <w:r w:rsidR="00A57C35" w:rsidRPr="002249A5">
        <w:rPr>
          <w:color w:val="000000" w:themeColor="text1"/>
          <w:szCs w:val="24"/>
        </w:rPr>
        <w:t>of</w:t>
      </w:r>
      <w:r w:rsidR="00201EDA">
        <w:rPr>
          <w:color w:val="000000" w:themeColor="text1"/>
          <w:szCs w:val="24"/>
        </w:rPr>
        <w:t>-</w:t>
      </w:r>
      <w:r w:rsidR="00A57C35" w:rsidRPr="002249A5">
        <w:rPr>
          <w:color w:val="000000" w:themeColor="text1"/>
          <w:szCs w:val="24"/>
        </w:rPr>
        <w:t>motion (ROM) evaluations in evidence, with documentation of additional ratable criteria, which the Board weighed in arriving at its rating recommendation.</w:t>
      </w:r>
      <w:r w:rsidRPr="002249A5">
        <w:rPr>
          <w:color w:val="000000" w:themeColor="text1"/>
          <w:szCs w:val="24"/>
        </w:rPr>
        <w:t xml:space="preserve">  </w:t>
      </w:r>
      <w:r w:rsidR="002249A5">
        <w:rPr>
          <w:color w:val="000000" w:themeColor="text1"/>
          <w:szCs w:val="24"/>
        </w:rPr>
        <w:t>Although three exams are charted</w:t>
      </w:r>
      <w:r w:rsidR="00C66323">
        <w:rPr>
          <w:color w:val="000000" w:themeColor="text1"/>
          <w:szCs w:val="24"/>
        </w:rPr>
        <w:t xml:space="preserve"> below</w:t>
      </w:r>
      <w:r w:rsidR="002249A5">
        <w:rPr>
          <w:color w:val="000000" w:themeColor="text1"/>
          <w:szCs w:val="24"/>
        </w:rPr>
        <w:t>, i</w:t>
      </w:r>
      <w:r w:rsidR="00342FC8" w:rsidRPr="002249A5">
        <w:rPr>
          <w:color w:val="000000" w:themeColor="text1"/>
          <w:szCs w:val="24"/>
        </w:rPr>
        <w:t xml:space="preserve">t is </w:t>
      </w:r>
      <w:r w:rsidR="00C66323">
        <w:rPr>
          <w:color w:val="000000" w:themeColor="text1"/>
          <w:szCs w:val="24"/>
        </w:rPr>
        <w:t xml:space="preserve">most </w:t>
      </w:r>
      <w:r w:rsidR="00342FC8" w:rsidRPr="002249A5">
        <w:rPr>
          <w:color w:val="000000" w:themeColor="text1"/>
          <w:szCs w:val="24"/>
        </w:rPr>
        <w:t xml:space="preserve">likely </w:t>
      </w:r>
      <w:r w:rsidR="00C66323">
        <w:rPr>
          <w:color w:val="000000" w:themeColor="text1"/>
          <w:szCs w:val="24"/>
        </w:rPr>
        <w:t xml:space="preserve">that </w:t>
      </w:r>
      <w:r w:rsidR="00342FC8" w:rsidRPr="002249A5">
        <w:rPr>
          <w:color w:val="000000" w:themeColor="text1"/>
          <w:szCs w:val="24"/>
        </w:rPr>
        <w:t>there were only two independent ROM evaluations</w:t>
      </w:r>
      <w:r w:rsidRPr="002249A5">
        <w:rPr>
          <w:color w:val="000000" w:themeColor="text1"/>
          <w:szCs w:val="24"/>
        </w:rPr>
        <w:t xml:space="preserve"> </w:t>
      </w:r>
      <w:r w:rsidR="00342FC8" w:rsidRPr="002249A5">
        <w:rPr>
          <w:color w:val="000000" w:themeColor="text1"/>
          <w:szCs w:val="24"/>
        </w:rPr>
        <w:t xml:space="preserve">since it </w:t>
      </w:r>
      <w:r w:rsidR="00C66323">
        <w:rPr>
          <w:color w:val="000000" w:themeColor="text1"/>
          <w:szCs w:val="24"/>
        </w:rPr>
        <w:t>is almost certain</w:t>
      </w:r>
      <w:r w:rsidR="00342FC8" w:rsidRPr="002249A5">
        <w:rPr>
          <w:color w:val="000000" w:themeColor="text1"/>
          <w:szCs w:val="24"/>
        </w:rPr>
        <w:t xml:space="preserve"> </w:t>
      </w:r>
      <w:r w:rsidRPr="002249A5">
        <w:rPr>
          <w:color w:val="000000" w:themeColor="text1"/>
          <w:szCs w:val="24"/>
        </w:rPr>
        <w:t xml:space="preserve">that the MEB </w:t>
      </w:r>
      <w:r w:rsidR="00C66323">
        <w:rPr>
          <w:color w:val="000000" w:themeColor="text1"/>
          <w:szCs w:val="24"/>
        </w:rPr>
        <w:t xml:space="preserve">exam </w:t>
      </w:r>
      <w:r w:rsidRPr="002249A5">
        <w:rPr>
          <w:color w:val="000000" w:themeColor="text1"/>
          <w:szCs w:val="24"/>
        </w:rPr>
        <w:t>and VA pre-separation exam</w:t>
      </w:r>
      <w:r>
        <w:rPr>
          <w:color w:val="000000" w:themeColor="text1"/>
          <w:szCs w:val="24"/>
        </w:rPr>
        <w:t xml:space="preserve"> </w:t>
      </w:r>
      <w:r w:rsidR="00342FC8">
        <w:rPr>
          <w:color w:val="000000" w:themeColor="text1"/>
          <w:szCs w:val="24"/>
        </w:rPr>
        <w:t>was</w:t>
      </w:r>
      <w:r>
        <w:rPr>
          <w:color w:val="000000" w:themeColor="text1"/>
          <w:szCs w:val="24"/>
        </w:rPr>
        <w:t xml:space="preserve"> the same exam</w:t>
      </w:r>
      <w:r w:rsidR="002249A5">
        <w:rPr>
          <w:color w:val="000000" w:themeColor="text1"/>
          <w:szCs w:val="24"/>
        </w:rPr>
        <w:t xml:space="preserve">: </w:t>
      </w:r>
      <w:r>
        <w:rPr>
          <w:color w:val="000000" w:themeColor="text1"/>
          <w:szCs w:val="24"/>
        </w:rPr>
        <w:t xml:space="preserve"> DD 2808 item 44 stated “see VA Dictation</w:t>
      </w:r>
      <w:r w:rsidR="006377D6">
        <w:rPr>
          <w:color w:val="000000" w:themeColor="text1"/>
          <w:szCs w:val="24"/>
        </w:rPr>
        <w:t>,</w:t>
      </w:r>
      <w:r>
        <w:rPr>
          <w:color w:val="000000" w:themeColor="text1"/>
          <w:szCs w:val="24"/>
        </w:rPr>
        <w:t xml:space="preserve">” the measured ROMs were the same in the </w:t>
      </w:r>
      <w:r w:rsidR="00201EDA">
        <w:rPr>
          <w:color w:val="000000" w:themeColor="text1"/>
          <w:szCs w:val="24"/>
        </w:rPr>
        <w:t>narrative summary (</w:t>
      </w:r>
      <w:r>
        <w:rPr>
          <w:color w:val="000000" w:themeColor="text1"/>
          <w:szCs w:val="24"/>
        </w:rPr>
        <w:t>NARSUM</w:t>
      </w:r>
      <w:r w:rsidR="00201EDA">
        <w:rPr>
          <w:color w:val="000000" w:themeColor="text1"/>
          <w:szCs w:val="24"/>
        </w:rPr>
        <w:t>)</w:t>
      </w:r>
      <w:r>
        <w:rPr>
          <w:color w:val="000000" w:themeColor="text1"/>
          <w:szCs w:val="24"/>
        </w:rPr>
        <w:t xml:space="preserve"> and </w:t>
      </w:r>
      <w:r w:rsidR="00201EDA">
        <w:rPr>
          <w:color w:val="000000" w:themeColor="text1"/>
          <w:szCs w:val="24"/>
        </w:rPr>
        <w:t>VA rating decision (</w:t>
      </w:r>
      <w:r>
        <w:rPr>
          <w:color w:val="000000" w:themeColor="text1"/>
          <w:szCs w:val="24"/>
        </w:rPr>
        <w:t>VARD</w:t>
      </w:r>
      <w:r w:rsidR="00201EDA">
        <w:rPr>
          <w:color w:val="000000" w:themeColor="text1"/>
          <w:szCs w:val="24"/>
        </w:rPr>
        <w:t>)</w:t>
      </w:r>
      <w:r w:rsidR="002249A5">
        <w:rPr>
          <w:color w:val="000000" w:themeColor="text1"/>
          <w:szCs w:val="24"/>
        </w:rPr>
        <w:t>, and the VARD stated “</w:t>
      </w:r>
      <w:r w:rsidR="00201EDA">
        <w:rPr>
          <w:color w:val="000000" w:themeColor="text1"/>
          <w:szCs w:val="24"/>
        </w:rPr>
        <w:t>i</w:t>
      </w:r>
      <w:r w:rsidR="002249A5" w:rsidRPr="002249A5">
        <w:rPr>
          <w:color w:val="000000" w:themeColor="text1"/>
          <w:szCs w:val="24"/>
        </w:rPr>
        <w:t>n March 2006 a medical evaluation</w:t>
      </w:r>
      <w:r w:rsidR="002249A5">
        <w:rPr>
          <w:color w:val="000000" w:themeColor="text1"/>
          <w:szCs w:val="24"/>
        </w:rPr>
        <w:t xml:space="preserve"> </w:t>
      </w:r>
      <w:r w:rsidR="002249A5" w:rsidRPr="002249A5">
        <w:rPr>
          <w:color w:val="000000" w:themeColor="text1"/>
          <w:szCs w:val="24"/>
        </w:rPr>
        <w:t>board</w:t>
      </w:r>
      <w:r w:rsidR="00C66323">
        <w:rPr>
          <w:color w:val="000000" w:themeColor="text1"/>
          <w:szCs w:val="24"/>
        </w:rPr>
        <w:t xml:space="preserve"> (MEB) and V</w:t>
      </w:r>
      <w:r w:rsidR="002249A5" w:rsidRPr="002249A5">
        <w:rPr>
          <w:color w:val="000000" w:themeColor="text1"/>
          <w:szCs w:val="24"/>
        </w:rPr>
        <w:t xml:space="preserve">A </w:t>
      </w:r>
      <w:proofErr w:type="spellStart"/>
      <w:r w:rsidR="002249A5" w:rsidRPr="002249A5">
        <w:rPr>
          <w:color w:val="000000" w:themeColor="text1"/>
          <w:szCs w:val="24"/>
        </w:rPr>
        <w:t>predischarge</w:t>
      </w:r>
      <w:proofErr w:type="spellEnd"/>
      <w:r w:rsidR="002249A5" w:rsidRPr="002249A5">
        <w:rPr>
          <w:color w:val="000000" w:themeColor="text1"/>
          <w:szCs w:val="24"/>
        </w:rPr>
        <w:t xml:space="preserve"> examination was</w:t>
      </w:r>
      <w:r w:rsidR="002249A5">
        <w:rPr>
          <w:color w:val="000000" w:themeColor="text1"/>
          <w:szCs w:val="24"/>
        </w:rPr>
        <w:t xml:space="preserve"> conducted</w:t>
      </w:r>
      <w:r w:rsidR="00201EDA">
        <w:rPr>
          <w:color w:val="000000" w:themeColor="text1"/>
          <w:szCs w:val="24"/>
        </w:rPr>
        <w:t xml:space="preserve">.”  </w:t>
      </w:r>
      <w:r>
        <w:rPr>
          <w:color w:val="000000" w:themeColor="text1"/>
          <w:szCs w:val="24"/>
        </w:rPr>
        <w:t xml:space="preserve">There were slight </w:t>
      </w:r>
      <w:r w:rsidRPr="000F441A">
        <w:rPr>
          <w:color w:val="000000" w:themeColor="text1"/>
          <w:szCs w:val="24"/>
        </w:rPr>
        <w:t xml:space="preserve">differences in the NARSUM and VARD comments which are included below.  The </w:t>
      </w:r>
      <w:r w:rsidR="00342FC8" w:rsidRPr="000F441A">
        <w:rPr>
          <w:color w:val="000000" w:themeColor="text1"/>
          <w:szCs w:val="24"/>
        </w:rPr>
        <w:t>additional</w:t>
      </w:r>
      <w:r w:rsidRPr="000F441A">
        <w:rPr>
          <w:color w:val="000000" w:themeColor="text1"/>
          <w:szCs w:val="24"/>
        </w:rPr>
        <w:t xml:space="preserve"> ROM exam is a physical therapy </w:t>
      </w:r>
      <w:r w:rsidR="00342FC8" w:rsidRPr="000F441A">
        <w:rPr>
          <w:color w:val="000000" w:themeColor="text1"/>
          <w:szCs w:val="24"/>
        </w:rPr>
        <w:t xml:space="preserve">(PT) </w:t>
      </w:r>
      <w:r w:rsidRPr="000F441A">
        <w:rPr>
          <w:color w:val="000000" w:themeColor="text1"/>
          <w:szCs w:val="24"/>
        </w:rPr>
        <w:t xml:space="preserve">ROM accomplished after the NARSUM, but prior to the MEB and PEB.  The </w:t>
      </w:r>
      <w:r w:rsidR="00342FC8" w:rsidRPr="000F441A">
        <w:rPr>
          <w:color w:val="000000" w:themeColor="text1"/>
          <w:szCs w:val="24"/>
        </w:rPr>
        <w:t xml:space="preserve">PT note and VARD delineate that reported ROMs were expressed as active/passive ROM.  </w:t>
      </w:r>
      <w:r w:rsidR="00AD0293" w:rsidRPr="000F441A">
        <w:rPr>
          <w:color w:val="000000" w:themeColor="text1"/>
          <w:szCs w:val="24"/>
        </w:rPr>
        <w:t xml:space="preserve">The cervical ROMs in the VARD were stated as:  </w:t>
      </w:r>
      <w:r w:rsidR="00342FC8" w:rsidRPr="000F441A">
        <w:rPr>
          <w:color w:val="000000" w:themeColor="text1"/>
          <w:szCs w:val="24"/>
        </w:rPr>
        <w:t xml:space="preserve">“Physical examination demonstrated active/passive </w:t>
      </w:r>
      <w:r w:rsidR="00201EDA">
        <w:rPr>
          <w:color w:val="000000" w:themeColor="text1"/>
          <w:szCs w:val="24"/>
        </w:rPr>
        <w:t>ROM</w:t>
      </w:r>
      <w:r w:rsidR="00342FC8" w:rsidRPr="000F441A">
        <w:rPr>
          <w:color w:val="000000" w:themeColor="text1"/>
          <w:szCs w:val="24"/>
        </w:rPr>
        <w:t xml:space="preserve"> of the cervical spine with flexion of 20/45, extension of 35/45, bilateral lateral flexion 35/45, left rotation of 40/80 and right rotation of 70/80 degrees.</w:t>
      </w:r>
      <w:r w:rsidR="00AD0293" w:rsidRPr="000F441A">
        <w:rPr>
          <w:color w:val="000000" w:themeColor="text1"/>
          <w:szCs w:val="24"/>
        </w:rPr>
        <w:t>”</w:t>
      </w:r>
      <w:r w:rsidR="00342FC8" w:rsidRPr="000F441A">
        <w:rPr>
          <w:color w:val="000000" w:themeColor="text1"/>
          <w:szCs w:val="24"/>
        </w:rPr>
        <w:t xml:space="preserve">  Active ROMs are charted</w:t>
      </w:r>
      <w:r w:rsidR="00342FC8">
        <w:rPr>
          <w:color w:val="000000" w:themeColor="text1"/>
          <w:szCs w:val="24"/>
        </w:rPr>
        <w:t xml:space="preserve"> </w:t>
      </w:r>
      <w:r w:rsidR="00342FC8" w:rsidRPr="00342FC8">
        <w:rPr>
          <w:color w:val="000000" w:themeColor="text1"/>
          <w:szCs w:val="24"/>
        </w:rPr>
        <w:t>IAW VASRD §4.</w:t>
      </w:r>
      <w:r w:rsidR="00342FC8" w:rsidRPr="000F441A">
        <w:rPr>
          <w:color w:val="000000" w:themeColor="text1"/>
          <w:szCs w:val="24"/>
        </w:rPr>
        <w:t xml:space="preserve">71a.  </w:t>
      </w:r>
    </w:p>
    <w:p w:rsidR="008847BD" w:rsidRPr="000F441A" w:rsidRDefault="008847BD" w:rsidP="008847BD">
      <w:pPr>
        <w:tabs>
          <w:tab w:val="left" w:pos="288"/>
          <w:tab w:val="left" w:pos="4752"/>
        </w:tabs>
        <w:jc w:val="both"/>
        <w:rPr>
          <w:color w:val="auto"/>
          <w:szCs w:val="24"/>
          <w:u w:val="single"/>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0"/>
        <w:gridCol w:w="1170"/>
        <w:gridCol w:w="900"/>
        <w:gridCol w:w="1639"/>
        <w:gridCol w:w="1260"/>
        <w:gridCol w:w="1260"/>
        <w:gridCol w:w="1260"/>
      </w:tblGrid>
      <w:tr w:rsidR="008847BD" w:rsidRPr="000F441A" w:rsidTr="00094BC1">
        <w:trPr>
          <w:trHeight w:val="270"/>
          <w:jc w:val="center"/>
        </w:trPr>
        <w:tc>
          <w:tcPr>
            <w:tcW w:w="1550" w:type="dxa"/>
            <w:vMerge w:val="restart"/>
            <w:shd w:val="clear" w:color="auto" w:fill="D9D9D9" w:themeFill="background1" w:themeFillShade="D9"/>
            <w:vAlign w:val="center"/>
          </w:tcPr>
          <w:p w:rsidR="008847BD" w:rsidRPr="000F441A" w:rsidRDefault="008847BD"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Goniometric ROM –Lumbar &amp; Cervical</w:t>
            </w:r>
          </w:p>
        </w:tc>
        <w:tc>
          <w:tcPr>
            <w:tcW w:w="2070" w:type="dxa"/>
            <w:gridSpan w:val="2"/>
            <w:tcBorders>
              <w:bottom w:val="single" w:sz="4" w:space="0" w:color="auto"/>
            </w:tcBorders>
            <w:shd w:val="clear" w:color="auto" w:fill="D9D9D9" w:themeFill="background1" w:themeFillShade="D9"/>
            <w:vAlign w:val="center"/>
          </w:tcPr>
          <w:p w:rsidR="008847BD" w:rsidRPr="000F441A" w:rsidRDefault="008847BD"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MEB ~ 6 Mo. Pre-Sep</w:t>
            </w:r>
          </w:p>
          <w:p w:rsidR="008847BD" w:rsidRPr="000F441A" w:rsidRDefault="008847BD"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(20060321)</w:t>
            </w:r>
          </w:p>
        </w:tc>
        <w:tc>
          <w:tcPr>
            <w:tcW w:w="2899" w:type="dxa"/>
            <w:gridSpan w:val="2"/>
            <w:tcBorders>
              <w:bottom w:val="single" w:sz="4" w:space="0" w:color="auto"/>
            </w:tcBorders>
            <w:shd w:val="clear" w:color="auto" w:fill="D9D9D9" w:themeFill="background1" w:themeFillShade="D9"/>
            <w:vAlign w:val="center"/>
          </w:tcPr>
          <w:p w:rsidR="008847BD" w:rsidRPr="000F441A" w:rsidRDefault="008847BD"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VA</w:t>
            </w:r>
            <w:r w:rsidRPr="000F441A">
              <w:rPr>
                <w:rFonts w:asciiTheme="minorHAnsi" w:eastAsiaTheme="minorHAnsi" w:hAnsiTheme="minorHAnsi"/>
                <w:color w:val="auto"/>
                <w:sz w:val="18"/>
                <w:szCs w:val="18"/>
              </w:rPr>
              <w:t xml:space="preserve"> C&amp;P </w:t>
            </w:r>
            <w:r w:rsidRPr="000F441A">
              <w:rPr>
                <w:rFonts w:asciiTheme="minorHAnsi" w:eastAsia="Calibri" w:hAnsiTheme="minorHAnsi"/>
                <w:color w:val="auto"/>
                <w:sz w:val="18"/>
                <w:szCs w:val="18"/>
              </w:rPr>
              <w:t>~ 6 Mo. Pre-Sep</w:t>
            </w:r>
          </w:p>
          <w:p w:rsidR="008847BD" w:rsidRPr="000F441A" w:rsidRDefault="008847BD" w:rsidP="008847BD">
            <w:pPr>
              <w:spacing w:line="180" w:lineRule="exact"/>
              <w:contextualSpacing/>
              <w:rPr>
                <w:rFonts w:asciiTheme="minorHAnsi" w:eastAsiaTheme="minorHAnsi" w:hAnsiTheme="minorHAnsi"/>
                <w:color w:val="auto"/>
                <w:sz w:val="18"/>
                <w:szCs w:val="18"/>
              </w:rPr>
            </w:pPr>
            <w:r w:rsidRPr="000F441A">
              <w:rPr>
                <w:rFonts w:asciiTheme="minorHAnsi" w:eastAsia="Calibri" w:hAnsiTheme="minorHAnsi"/>
                <w:color w:val="auto"/>
                <w:sz w:val="18"/>
                <w:szCs w:val="18"/>
              </w:rPr>
              <w:t>(20060329)</w:t>
            </w:r>
          </w:p>
        </w:tc>
        <w:tc>
          <w:tcPr>
            <w:tcW w:w="2520" w:type="dxa"/>
            <w:gridSpan w:val="2"/>
            <w:tcBorders>
              <w:bottom w:val="single" w:sz="4" w:space="0" w:color="auto"/>
            </w:tcBorders>
            <w:shd w:val="clear" w:color="auto" w:fill="D9D9D9" w:themeFill="background1" w:themeFillShade="D9"/>
            <w:vAlign w:val="center"/>
          </w:tcPr>
          <w:p w:rsidR="008847BD" w:rsidRPr="000F441A" w:rsidRDefault="008847BD" w:rsidP="008847BD">
            <w:pPr>
              <w:spacing w:line="180" w:lineRule="exact"/>
              <w:contextualSpacing/>
              <w:rPr>
                <w:rFonts w:asciiTheme="minorHAnsi" w:eastAsia="Calibri" w:hAnsiTheme="minorHAnsi"/>
                <w:color w:val="auto"/>
                <w:sz w:val="18"/>
                <w:szCs w:val="18"/>
              </w:rPr>
            </w:pPr>
            <w:r w:rsidRPr="000F441A">
              <w:rPr>
                <w:rFonts w:eastAsia="Calibri"/>
                <w:color w:val="auto"/>
                <w:sz w:val="18"/>
                <w:szCs w:val="18"/>
              </w:rPr>
              <w:t>PT ~ 3 Mo. Pre-Sep</w:t>
            </w:r>
          </w:p>
          <w:p w:rsidR="008847BD" w:rsidRPr="000F441A" w:rsidRDefault="008847BD"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(20060607)</w:t>
            </w:r>
          </w:p>
        </w:tc>
      </w:tr>
      <w:tr w:rsidR="008847BD" w:rsidRPr="000F441A" w:rsidTr="00094BC1">
        <w:trPr>
          <w:trHeight w:val="210"/>
          <w:jc w:val="center"/>
        </w:trPr>
        <w:tc>
          <w:tcPr>
            <w:tcW w:w="1550" w:type="dxa"/>
            <w:vMerge/>
            <w:shd w:val="clear" w:color="auto" w:fill="D9D9D9" w:themeFill="background1" w:themeFillShade="D9"/>
            <w:vAlign w:val="center"/>
          </w:tcPr>
          <w:p w:rsidR="008847BD" w:rsidRPr="000F441A" w:rsidRDefault="008847BD" w:rsidP="008847BD">
            <w:pPr>
              <w:pStyle w:val="ListParagraph"/>
              <w:spacing w:after="0" w:line="180" w:lineRule="exact"/>
              <w:ind w:left="0"/>
              <w:rPr>
                <w:rFonts w:eastAsia="Calibri" w:cstheme="minorHAnsi"/>
                <w:sz w:val="18"/>
                <w:szCs w:val="18"/>
              </w:rPr>
            </w:pPr>
          </w:p>
        </w:tc>
        <w:tc>
          <w:tcPr>
            <w:tcW w:w="1170" w:type="dxa"/>
            <w:tcBorders>
              <w:top w:val="single" w:sz="4" w:space="0" w:color="auto"/>
              <w:right w:val="single" w:sz="4" w:space="0" w:color="auto"/>
            </w:tcBorders>
            <w:shd w:val="clear" w:color="auto" w:fill="D9D9D9" w:themeFill="background1" w:themeFillShade="D9"/>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Lumbar</w:t>
            </w:r>
          </w:p>
        </w:tc>
        <w:tc>
          <w:tcPr>
            <w:tcW w:w="900" w:type="dxa"/>
            <w:tcBorders>
              <w:top w:val="single" w:sz="4" w:space="0" w:color="auto"/>
              <w:left w:val="single" w:sz="4" w:space="0" w:color="auto"/>
            </w:tcBorders>
            <w:shd w:val="clear" w:color="auto" w:fill="D9D9D9" w:themeFill="background1" w:themeFillShade="D9"/>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Cervical</w:t>
            </w:r>
          </w:p>
        </w:tc>
        <w:tc>
          <w:tcPr>
            <w:tcW w:w="1639" w:type="dxa"/>
            <w:tcBorders>
              <w:top w:val="single" w:sz="4" w:space="0" w:color="auto"/>
            </w:tcBorders>
            <w:shd w:val="clear" w:color="auto" w:fill="D9D9D9" w:themeFill="background1" w:themeFillShade="D9"/>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Lumbar</w:t>
            </w:r>
          </w:p>
        </w:tc>
        <w:tc>
          <w:tcPr>
            <w:tcW w:w="1260" w:type="dxa"/>
            <w:tcBorders>
              <w:top w:val="single" w:sz="4" w:space="0" w:color="auto"/>
            </w:tcBorders>
            <w:shd w:val="clear" w:color="auto" w:fill="D9D9D9" w:themeFill="background1" w:themeFillShade="D9"/>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Cervical</w:t>
            </w:r>
          </w:p>
        </w:tc>
        <w:tc>
          <w:tcPr>
            <w:tcW w:w="1260" w:type="dxa"/>
            <w:tcBorders>
              <w:top w:val="single" w:sz="4" w:space="0" w:color="auto"/>
              <w:right w:val="single" w:sz="4" w:space="0" w:color="auto"/>
            </w:tcBorders>
            <w:shd w:val="clear" w:color="auto" w:fill="D9D9D9" w:themeFill="background1" w:themeFillShade="D9"/>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Lumbar</w:t>
            </w:r>
          </w:p>
        </w:tc>
        <w:tc>
          <w:tcPr>
            <w:tcW w:w="1260" w:type="dxa"/>
            <w:tcBorders>
              <w:top w:val="single" w:sz="4" w:space="0" w:color="auto"/>
              <w:left w:val="single" w:sz="4" w:space="0" w:color="auto"/>
            </w:tcBorders>
            <w:shd w:val="clear" w:color="auto" w:fill="D9D9D9" w:themeFill="background1" w:themeFillShade="D9"/>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Cervical</w:t>
            </w:r>
          </w:p>
        </w:tc>
      </w:tr>
      <w:tr w:rsidR="008847BD" w:rsidRPr="000F441A" w:rsidTr="00094BC1">
        <w:trPr>
          <w:jc w:val="center"/>
        </w:trPr>
        <w:tc>
          <w:tcPr>
            <w:tcW w:w="1550" w:type="dxa"/>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Flexion</w:t>
            </w:r>
          </w:p>
        </w:tc>
        <w:tc>
          <w:tcPr>
            <w:tcW w:w="1170" w:type="dxa"/>
            <w:tcBorders>
              <w:right w:val="single" w:sz="4" w:space="0" w:color="auto"/>
            </w:tcBorders>
            <w:vAlign w:val="center"/>
          </w:tcPr>
          <w:p w:rsidR="008847BD" w:rsidRPr="000F441A" w:rsidRDefault="00342FC8"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90</w:t>
            </w:r>
            <w:r w:rsidR="008847BD" w:rsidRPr="000F441A">
              <w:rPr>
                <w:rFonts w:asciiTheme="minorHAnsi" w:eastAsia="Calibri" w:hAnsiTheme="minorHAnsi"/>
                <w:color w:val="auto"/>
                <w:sz w:val="18"/>
                <w:szCs w:val="18"/>
              </w:rPr>
              <w:t>⁰</w:t>
            </w:r>
          </w:p>
        </w:tc>
        <w:tc>
          <w:tcPr>
            <w:tcW w:w="900" w:type="dxa"/>
            <w:tcBorders>
              <w:left w:val="single" w:sz="4" w:space="0" w:color="auto"/>
            </w:tcBorders>
            <w:vAlign w:val="center"/>
          </w:tcPr>
          <w:p w:rsidR="008847BD" w:rsidRPr="000F441A" w:rsidRDefault="00342FC8"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20</w:t>
            </w:r>
            <w:r w:rsidR="008847BD" w:rsidRPr="000F441A">
              <w:rPr>
                <w:rFonts w:asciiTheme="minorHAnsi" w:eastAsia="Calibri" w:hAnsiTheme="minorHAnsi"/>
                <w:color w:val="auto"/>
                <w:sz w:val="18"/>
                <w:szCs w:val="18"/>
              </w:rPr>
              <w:t>⁰</w:t>
            </w:r>
          </w:p>
        </w:tc>
        <w:tc>
          <w:tcPr>
            <w:tcW w:w="1639" w:type="dxa"/>
            <w:vAlign w:val="center"/>
          </w:tcPr>
          <w:p w:rsidR="008847BD" w:rsidRPr="000F441A" w:rsidRDefault="00342FC8"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90</w:t>
            </w:r>
            <w:r w:rsidR="008847BD" w:rsidRPr="000F441A">
              <w:rPr>
                <w:rFonts w:asciiTheme="minorHAnsi" w:eastAsia="Calibri" w:hAnsiTheme="minorHAnsi"/>
                <w:color w:val="auto"/>
                <w:sz w:val="18"/>
                <w:szCs w:val="18"/>
              </w:rPr>
              <w:t>⁰</w:t>
            </w:r>
          </w:p>
        </w:tc>
        <w:tc>
          <w:tcPr>
            <w:tcW w:w="1260" w:type="dxa"/>
            <w:vAlign w:val="center"/>
          </w:tcPr>
          <w:p w:rsidR="008847BD" w:rsidRPr="000F441A" w:rsidRDefault="00342FC8"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20</w:t>
            </w:r>
            <w:r w:rsidR="008847BD" w:rsidRPr="000F441A">
              <w:rPr>
                <w:rFonts w:asciiTheme="minorHAnsi" w:eastAsia="Calibri" w:hAnsiTheme="minorHAnsi"/>
                <w:color w:val="auto"/>
                <w:sz w:val="18"/>
                <w:szCs w:val="18"/>
              </w:rPr>
              <w:t>⁰</w:t>
            </w:r>
          </w:p>
        </w:tc>
        <w:tc>
          <w:tcPr>
            <w:tcW w:w="1260" w:type="dxa"/>
            <w:tcBorders>
              <w:right w:val="single" w:sz="4" w:space="0" w:color="auto"/>
            </w:tcBorders>
            <w:vAlign w:val="center"/>
          </w:tcPr>
          <w:p w:rsidR="008847BD" w:rsidRPr="000F441A" w:rsidRDefault="008847BD"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90⁰</w:t>
            </w:r>
          </w:p>
        </w:tc>
        <w:tc>
          <w:tcPr>
            <w:tcW w:w="1260" w:type="dxa"/>
            <w:tcBorders>
              <w:left w:val="single" w:sz="4" w:space="0" w:color="auto"/>
            </w:tcBorders>
            <w:vAlign w:val="center"/>
          </w:tcPr>
          <w:p w:rsidR="008847BD" w:rsidRPr="000F441A" w:rsidRDefault="008847BD"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20⁰</w:t>
            </w:r>
          </w:p>
        </w:tc>
      </w:tr>
      <w:tr w:rsidR="008847BD" w:rsidRPr="000F441A" w:rsidTr="00094BC1">
        <w:trPr>
          <w:trHeight w:val="242"/>
          <w:jc w:val="center"/>
        </w:trPr>
        <w:tc>
          <w:tcPr>
            <w:tcW w:w="1550" w:type="dxa"/>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Combined</w:t>
            </w:r>
          </w:p>
        </w:tc>
        <w:tc>
          <w:tcPr>
            <w:tcW w:w="1170" w:type="dxa"/>
            <w:tcBorders>
              <w:right w:val="single" w:sz="4" w:space="0" w:color="auto"/>
            </w:tcBorders>
            <w:vAlign w:val="center"/>
          </w:tcPr>
          <w:p w:rsidR="008847BD" w:rsidRPr="000F441A" w:rsidRDefault="00342FC8"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240</w:t>
            </w:r>
            <w:r w:rsidR="008847BD" w:rsidRPr="000F441A">
              <w:rPr>
                <w:rFonts w:asciiTheme="minorHAnsi" w:eastAsia="Calibri" w:hAnsiTheme="minorHAnsi"/>
                <w:color w:val="auto"/>
                <w:sz w:val="18"/>
                <w:szCs w:val="18"/>
              </w:rPr>
              <w:t>⁰</w:t>
            </w:r>
          </w:p>
        </w:tc>
        <w:tc>
          <w:tcPr>
            <w:tcW w:w="900" w:type="dxa"/>
            <w:tcBorders>
              <w:left w:val="single" w:sz="4" w:space="0" w:color="auto"/>
            </w:tcBorders>
            <w:vAlign w:val="center"/>
          </w:tcPr>
          <w:p w:rsidR="008847BD" w:rsidRPr="000F441A" w:rsidRDefault="00094BC1"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205</w:t>
            </w:r>
            <w:r w:rsidR="008847BD" w:rsidRPr="000F441A">
              <w:rPr>
                <w:rFonts w:asciiTheme="minorHAnsi" w:eastAsia="Calibri" w:hAnsiTheme="minorHAnsi"/>
                <w:color w:val="auto"/>
                <w:sz w:val="18"/>
                <w:szCs w:val="18"/>
              </w:rPr>
              <w:t>⁰</w:t>
            </w:r>
          </w:p>
        </w:tc>
        <w:tc>
          <w:tcPr>
            <w:tcW w:w="1639" w:type="dxa"/>
            <w:vAlign w:val="center"/>
          </w:tcPr>
          <w:p w:rsidR="008847BD" w:rsidRPr="000F441A" w:rsidRDefault="00342FC8"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240</w:t>
            </w:r>
            <w:r w:rsidR="008847BD" w:rsidRPr="000F441A">
              <w:rPr>
                <w:rFonts w:asciiTheme="minorHAnsi" w:eastAsia="Calibri" w:hAnsiTheme="minorHAnsi"/>
                <w:color w:val="auto"/>
                <w:sz w:val="18"/>
                <w:szCs w:val="18"/>
              </w:rPr>
              <w:t>⁰</w:t>
            </w:r>
          </w:p>
        </w:tc>
        <w:tc>
          <w:tcPr>
            <w:tcW w:w="1260" w:type="dxa"/>
            <w:vAlign w:val="center"/>
          </w:tcPr>
          <w:p w:rsidR="008847BD" w:rsidRPr="000F441A" w:rsidRDefault="00094BC1"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205</w:t>
            </w:r>
            <w:r w:rsidR="008847BD" w:rsidRPr="000F441A">
              <w:rPr>
                <w:rFonts w:asciiTheme="minorHAnsi" w:eastAsia="Calibri" w:hAnsiTheme="minorHAnsi"/>
                <w:color w:val="auto"/>
                <w:sz w:val="18"/>
                <w:szCs w:val="18"/>
              </w:rPr>
              <w:t>⁰</w:t>
            </w:r>
          </w:p>
        </w:tc>
        <w:tc>
          <w:tcPr>
            <w:tcW w:w="1260" w:type="dxa"/>
            <w:tcBorders>
              <w:right w:val="single" w:sz="4" w:space="0" w:color="auto"/>
            </w:tcBorders>
            <w:vAlign w:val="center"/>
          </w:tcPr>
          <w:p w:rsidR="008847BD" w:rsidRPr="000F441A" w:rsidRDefault="00342FC8" w:rsidP="008847BD">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190</w:t>
            </w:r>
            <w:r w:rsidR="008847BD" w:rsidRPr="000F441A">
              <w:rPr>
                <w:rFonts w:asciiTheme="minorHAnsi" w:eastAsia="Calibri" w:hAnsiTheme="minorHAnsi"/>
                <w:color w:val="auto"/>
                <w:sz w:val="18"/>
                <w:szCs w:val="18"/>
              </w:rPr>
              <w:t>⁰</w:t>
            </w:r>
          </w:p>
        </w:tc>
        <w:tc>
          <w:tcPr>
            <w:tcW w:w="1260" w:type="dxa"/>
            <w:tcBorders>
              <w:left w:val="single" w:sz="4" w:space="0" w:color="auto"/>
            </w:tcBorders>
            <w:vAlign w:val="center"/>
          </w:tcPr>
          <w:p w:rsidR="008847BD" w:rsidRPr="000F441A" w:rsidRDefault="008847BD" w:rsidP="00094BC1">
            <w:pPr>
              <w:spacing w:line="180" w:lineRule="exact"/>
              <w:contextualSpacing/>
              <w:rPr>
                <w:rFonts w:asciiTheme="minorHAnsi" w:eastAsia="Calibri" w:hAnsiTheme="minorHAnsi"/>
                <w:color w:val="auto"/>
                <w:sz w:val="18"/>
                <w:szCs w:val="18"/>
              </w:rPr>
            </w:pPr>
            <w:r w:rsidRPr="000F441A">
              <w:rPr>
                <w:rFonts w:asciiTheme="minorHAnsi" w:eastAsia="Calibri" w:hAnsiTheme="minorHAnsi"/>
                <w:color w:val="auto"/>
                <w:sz w:val="18"/>
                <w:szCs w:val="18"/>
              </w:rPr>
              <w:t>2</w:t>
            </w:r>
            <w:r w:rsidR="00094BC1" w:rsidRPr="000F441A">
              <w:rPr>
                <w:rFonts w:asciiTheme="minorHAnsi" w:eastAsia="Calibri" w:hAnsiTheme="minorHAnsi"/>
                <w:color w:val="auto"/>
                <w:sz w:val="18"/>
                <w:szCs w:val="18"/>
              </w:rPr>
              <w:t>40</w:t>
            </w:r>
            <w:r w:rsidRPr="000F441A">
              <w:rPr>
                <w:rFonts w:asciiTheme="minorHAnsi" w:eastAsia="Calibri" w:hAnsiTheme="minorHAnsi"/>
                <w:color w:val="auto"/>
                <w:sz w:val="18"/>
                <w:szCs w:val="18"/>
              </w:rPr>
              <w:t>⁰</w:t>
            </w:r>
          </w:p>
        </w:tc>
      </w:tr>
      <w:tr w:rsidR="008847BD" w:rsidRPr="000F441A" w:rsidTr="00094BC1">
        <w:trPr>
          <w:trHeight w:val="233"/>
          <w:jc w:val="center"/>
        </w:trPr>
        <w:tc>
          <w:tcPr>
            <w:tcW w:w="1550" w:type="dxa"/>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Comment</w:t>
            </w:r>
            <w:r w:rsidR="00C66323" w:rsidRPr="000F441A">
              <w:rPr>
                <w:rFonts w:eastAsia="Calibri" w:cstheme="minorHAnsi"/>
                <w:sz w:val="18"/>
                <w:szCs w:val="18"/>
              </w:rPr>
              <w:t xml:space="preserve">:  </w:t>
            </w:r>
          </w:p>
          <w:p w:rsidR="00C66323" w:rsidRPr="000F441A" w:rsidRDefault="00C66323"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 xml:space="preserve">VARD </w:t>
            </w:r>
            <w:proofErr w:type="spellStart"/>
            <w:r w:rsidRPr="000F441A">
              <w:rPr>
                <w:rFonts w:eastAsia="Calibri" w:cstheme="minorHAnsi"/>
                <w:sz w:val="18"/>
                <w:szCs w:val="18"/>
              </w:rPr>
              <w:t>normals</w:t>
            </w:r>
            <w:proofErr w:type="spellEnd"/>
            <w:r w:rsidRPr="000F441A">
              <w:rPr>
                <w:rFonts w:eastAsia="Calibri" w:cstheme="minorHAnsi"/>
                <w:sz w:val="18"/>
                <w:szCs w:val="18"/>
              </w:rPr>
              <w:t>-</w:t>
            </w:r>
          </w:p>
          <w:p w:rsidR="00C66323" w:rsidRPr="000F441A" w:rsidRDefault="00C66323"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Lumbar (90/240)</w:t>
            </w:r>
          </w:p>
          <w:p w:rsidR="00C66323" w:rsidRPr="000F441A" w:rsidRDefault="00C66323"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Cervical (45/340)</w:t>
            </w:r>
          </w:p>
        </w:tc>
        <w:tc>
          <w:tcPr>
            <w:tcW w:w="1170" w:type="dxa"/>
            <w:tcBorders>
              <w:right w:val="single" w:sz="4" w:space="0" w:color="auto"/>
            </w:tcBorders>
            <w:vAlign w:val="center"/>
          </w:tcPr>
          <w:p w:rsidR="008847BD" w:rsidRPr="000F441A" w:rsidRDefault="00094BC1" w:rsidP="008847BD">
            <w:pPr>
              <w:tabs>
                <w:tab w:val="left" w:pos="288"/>
                <w:tab w:val="left" w:pos="4752"/>
              </w:tabs>
              <w:spacing w:line="180" w:lineRule="exact"/>
              <w:jc w:val="left"/>
              <w:rPr>
                <w:rFonts w:asciiTheme="minorHAnsi" w:eastAsiaTheme="minorHAnsi" w:hAnsiTheme="minorHAnsi"/>
                <w:color w:val="auto"/>
                <w:sz w:val="18"/>
                <w:szCs w:val="18"/>
              </w:rPr>
            </w:pPr>
            <w:r w:rsidRPr="000F441A">
              <w:rPr>
                <w:rFonts w:eastAsiaTheme="minorHAnsi"/>
                <w:color w:val="auto"/>
                <w:sz w:val="18"/>
                <w:szCs w:val="18"/>
              </w:rPr>
              <w:t>No tender, no spasm, motor 5/5, normal gait and stance, SLR negative, no sensory deficits</w:t>
            </w:r>
          </w:p>
        </w:tc>
        <w:tc>
          <w:tcPr>
            <w:tcW w:w="900" w:type="dxa"/>
            <w:tcBorders>
              <w:left w:val="single" w:sz="4" w:space="0" w:color="auto"/>
            </w:tcBorders>
            <w:vAlign w:val="center"/>
          </w:tcPr>
          <w:p w:rsidR="008847BD" w:rsidRPr="000F441A" w:rsidRDefault="00094BC1" w:rsidP="008847BD">
            <w:pPr>
              <w:tabs>
                <w:tab w:val="left" w:pos="288"/>
                <w:tab w:val="left" w:pos="4752"/>
              </w:tabs>
              <w:spacing w:line="180" w:lineRule="exact"/>
              <w:jc w:val="left"/>
              <w:rPr>
                <w:rFonts w:asciiTheme="minorHAnsi" w:eastAsiaTheme="minorHAnsi" w:hAnsiTheme="minorHAnsi"/>
                <w:color w:val="auto"/>
                <w:sz w:val="18"/>
                <w:szCs w:val="18"/>
              </w:rPr>
            </w:pPr>
            <w:r w:rsidRPr="000F441A">
              <w:rPr>
                <w:rFonts w:eastAsiaTheme="minorHAnsi"/>
                <w:color w:val="auto"/>
                <w:sz w:val="18"/>
                <w:szCs w:val="18"/>
              </w:rPr>
              <w:t>No tender, no spasm, motor 5/5</w:t>
            </w:r>
          </w:p>
        </w:tc>
        <w:tc>
          <w:tcPr>
            <w:tcW w:w="1639" w:type="dxa"/>
            <w:vAlign w:val="center"/>
          </w:tcPr>
          <w:p w:rsidR="008847BD" w:rsidRPr="000F441A" w:rsidRDefault="00094BC1" w:rsidP="00094BC1">
            <w:pPr>
              <w:tabs>
                <w:tab w:val="left" w:pos="288"/>
                <w:tab w:val="left" w:pos="4752"/>
              </w:tabs>
              <w:spacing w:line="180" w:lineRule="exact"/>
              <w:jc w:val="left"/>
              <w:rPr>
                <w:rFonts w:asciiTheme="minorHAnsi" w:eastAsiaTheme="minorHAnsi" w:hAnsiTheme="minorHAnsi"/>
                <w:color w:val="auto"/>
                <w:sz w:val="18"/>
                <w:szCs w:val="18"/>
              </w:rPr>
            </w:pPr>
            <w:r w:rsidRPr="000F441A">
              <w:rPr>
                <w:rFonts w:eastAsiaTheme="minorHAnsi"/>
                <w:color w:val="auto"/>
                <w:sz w:val="18"/>
                <w:szCs w:val="18"/>
              </w:rPr>
              <w:t>No tender, no spasm, motor 5/5, normal gait and stance, SLR negative; MRI degenerative disc process; pain constant and moderate</w:t>
            </w:r>
          </w:p>
        </w:tc>
        <w:tc>
          <w:tcPr>
            <w:tcW w:w="1260" w:type="dxa"/>
            <w:vAlign w:val="center"/>
          </w:tcPr>
          <w:p w:rsidR="008847BD" w:rsidRPr="000F441A" w:rsidRDefault="00094BC1" w:rsidP="00094BC1">
            <w:pPr>
              <w:tabs>
                <w:tab w:val="left" w:pos="288"/>
                <w:tab w:val="left" w:pos="4752"/>
              </w:tabs>
              <w:spacing w:line="180" w:lineRule="exact"/>
              <w:jc w:val="left"/>
              <w:rPr>
                <w:rFonts w:asciiTheme="minorHAnsi" w:eastAsiaTheme="minorHAnsi" w:hAnsiTheme="minorHAnsi"/>
                <w:color w:val="auto"/>
                <w:sz w:val="18"/>
                <w:szCs w:val="18"/>
              </w:rPr>
            </w:pPr>
            <w:r w:rsidRPr="000F441A">
              <w:rPr>
                <w:rFonts w:eastAsiaTheme="minorHAnsi"/>
                <w:color w:val="auto"/>
                <w:sz w:val="18"/>
                <w:szCs w:val="18"/>
              </w:rPr>
              <w:t>No tender, no spasm, motor 5/5; pain on motion</w:t>
            </w:r>
          </w:p>
        </w:tc>
        <w:tc>
          <w:tcPr>
            <w:tcW w:w="1260" w:type="dxa"/>
            <w:tcBorders>
              <w:right w:val="single" w:sz="4" w:space="0" w:color="auto"/>
            </w:tcBorders>
            <w:vAlign w:val="center"/>
          </w:tcPr>
          <w:p w:rsidR="008847BD" w:rsidRPr="000F441A" w:rsidRDefault="00094BC1" w:rsidP="008847BD">
            <w:pPr>
              <w:tabs>
                <w:tab w:val="left" w:pos="288"/>
                <w:tab w:val="left" w:pos="4752"/>
              </w:tabs>
              <w:spacing w:line="180" w:lineRule="exact"/>
              <w:jc w:val="left"/>
              <w:rPr>
                <w:rFonts w:asciiTheme="minorHAnsi" w:eastAsiaTheme="minorHAnsi" w:hAnsiTheme="minorHAnsi"/>
                <w:color w:val="auto"/>
                <w:sz w:val="18"/>
                <w:szCs w:val="18"/>
              </w:rPr>
            </w:pPr>
            <w:r w:rsidRPr="000F441A">
              <w:rPr>
                <w:rFonts w:asciiTheme="minorHAnsi" w:eastAsiaTheme="minorHAnsi" w:hAnsiTheme="minorHAnsi"/>
                <w:color w:val="auto"/>
                <w:sz w:val="18"/>
                <w:szCs w:val="18"/>
              </w:rPr>
              <w:t>Ext limited to pain in B LE</w:t>
            </w:r>
          </w:p>
        </w:tc>
        <w:tc>
          <w:tcPr>
            <w:tcW w:w="1260" w:type="dxa"/>
            <w:tcBorders>
              <w:left w:val="single" w:sz="4" w:space="0" w:color="auto"/>
            </w:tcBorders>
            <w:vAlign w:val="center"/>
          </w:tcPr>
          <w:p w:rsidR="008847BD" w:rsidRPr="000F441A" w:rsidRDefault="00094BC1" w:rsidP="008847BD">
            <w:pPr>
              <w:tabs>
                <w:tab w:val="left" w:pos="288"/>
                <w:tab w:val="left" w:pos="4752"/>
              </w:tabs>
              <w:spacing w:line="180" w:lineRule="exact"/>
              <w:jc w:val="left"/>
              <w:rPr>
                <w:rFonts w:asciiTheme="minorHAnsi" w:eastAsiaTheme="minorHAnsi" w:hAnsiTheme="minorHAnsi"/>
                <w:color w:val="auto"/>
                <w:sz w:val="18"/>
                <w:szCs w:val="18"/>
              </w:rPr>
            </w:pPr>
            <w:r w:rsidRPr="000F441A">
              <w:rPr>
                <w:rFonts w:eastAsiaTheme="minorHAnsi"/>
                <w:color w:val="auto"/>
                <w:sz w:val="18"/>
                <w:szCs w:val="18"/>
              </w:rPr>
              <w:t>Flex limited to pain and tingling into L UE</w:t>
            </w:r>
          </w:p>
        </w:tc>
      </w:tr>
      <w:tr w:rsidR="008847BD" w:rsidRPr="000F441A" w:rsidTr="00094BC1">
        <w:trPr>
          <w:trHeight w:val="233"/>
          <w:jc w:val="center"/>
        </w:trPr>
        <w:tc>
          <w:tcPr>
            <w:tcW w:w="1550" w:type="dxa"/>
            <w:vAlign w:val="center"/>
          </w:tcPr>
          <w:p w:rsidR="008847BD" w:rsidRPr="000F441A" w:rsidRDefault="008847BD" w:rsidP="008847BD">
            <w:pPr>
              <w:pStyle w:val="ListParagraph"/>
              <w:spacing w:after="0" w:line="180" w:lineRule="exact"/>
              <w:ind w:left="0"/>
              <w:rPr>
                <w:rFonts w:eastAsia="Calibri" w:cstheme="minorHAnsi"/>
                <w:sz w:val="18"/>
                <w:szCs w:val="18"/>
              </w:rPr>
            </w:pPr>
            <w:r w:rsidRPr="000F441A">
              <w:rPr>
                <w:rFonts w:eastAsia="Calibri" w:cstheme="minorHAnsi"/>
                <w:sz w:val="18"/>
                <w:szCs w:val="18"/>
              </w:rPr>
              <w:t>§4.71a Rating</w:t>
            </w:r>
          </w:p>
        </w:tc>
        <w:tc>
          <w:tcPr>
            <w:tcW w:w="1170" w:type="dxa"/>
            <w:tcBorders>
              <w:right w:val="single" w:sz="4" w:space="0" w:color="auto"/>
            </w:tcBorders>
            <w:vAlign w:val="center"/>
          </w:tcPr>
          <w:p w:rsidR="008847BD" w:rsidRPr="000F441A" w:rsidRDefault="00094BC1" w:rsidP="00094BC1">
            <w:pPr>
              <w:tabs>
                <w:tab w:val="left" w:pos="288"/>
                <w:tab w:val="left" w:pos="4752"/>
              </w:tabs>
              <w:spacing w:line="180" w:lineRule="exact"/>
              <w:rPr>
                <w:rFonts w:asciiTheme="minorHAnsi" w:eastAsiaTheme="minorHAnsi" w:hAnsiTheme="minorHAnsi"/>
                <w:color w:val="auto"/>
                <w:sz w:val="18"/>
                <w:szCs w:val="18"/>
              </w:rPr>
            </w:pPr>
            <w:r w:rsidRPr="000F441A">
              <w:rPr>
                <w:rFonts w:asciiTheme="minorHAnsi" w:eastAsiaTheme="minorHAnsi" w:hAnsiTheme="minorHAnsi"/>
                <w:color w:val="auto"/>
                <w:sz w:val="18"/>
                <w:szCs w:val="18"/>
              </w:rPr>
              <w:t>0%-10%</w:t>
            </w:r>
          </w:p>
        </w:tc>
        <w:tc>
          <w:tcPr>
            <w:tcW w:w="900" w:type="dxa"/>
            <w:tcBorders>
              <w:left w:val="single" w:sz="4" w:space="0" w:color="auto"/>
            </w:tcBorders>
            <w:vAlign w:val="center"/>
          </w:tcPr>
          <w:p w:rsidR="008847BD" w:rsidRPr="000F441A" w:rsidRDefault="00094BC1" w:rsidP="00094BC1">
            <w:pPr>
              <w:tabs>
                <w:tab w:val="left" w:pos="288"/>
                <w:tab w:val="left" w:pos="4752"/>
              </w:tabs>
              <w:spacing w:line="180" w:lineRule="exact"/>
              <w:rPr>
                <w:rFonts w:asciiTheme="minorHAnsi" w:eastAsiaTheme="minorHAnsi" w:hAnsiTheme="minorHAnsi"/>
                <w:color w:val="auto"/>
                <w:sz w:val="18"/>
                <w:szCs w:val="18"/>
              </w:rPr>
            </w:pPr>
            <w:r w:rsidRPr="000F441A">
              <w:rPr>
                <w:rFonts w:asciiTheme="minorHAnsi" w:eastAsiaTheme="minorHAnsi" w:hAnsiTheme="minorHAnsi"/>
                <w:color w:val="auto"/>
                <w:sz w:val="18"/>
                <w:szCs w:val="18"/>
              </w:rPr>
              <w:t>20</w:t>
            </w:r>
            <w:r w:rsidR="008847BD" w:rsidRPr="000F441A">
              <w:rPr>
                <w:rFonts w:asciiTheme="minorHAnsi" w:eastAsiaTheme="minorHAnsi" w:hAnsiTheme="minorHAnsi"/>
                <w:color w:val="auto"/>
                <w:sz w:val="18"/>
                <w:szCs w:val="18"/>
              </w:rPr>
              <w:t>%</w:t>
            </w:r>
          </w:p>
        </w:tc>
        <w:tc>
          <w:tcPr>
            <w:tcW w:w="1639" w:type="dxa"/>
            <w:vAlign w:val="center"/>
          </w:tcPr>
          <w:p w:rsidR="008847BD" w:rsidRPr="000F441A" w:rsidRDefault="00094BC1" w:rsidP="008847BD">
            <w:pPr>
              <w:tabs>
                <w:tab w:val="left" w:pos="288"/>
                <w:tab w:val="left" w:pos="4752"/>
              </w:tabs>
              <w:spacing w:line="180" w:lineRule="exact"/>
              <w:rPr>
                <w:rFonts w:asciiTheme="minorHAnsi" w:eastAsiaTheme="minorHAnsi" w:hAnsiTheme="minorHAnsi"/>
                <w:color w:val="auto"/>
                <w:sz w:val="18"/>
                <w:szCs w:val="18"/>
              </w:rPr>
            </w:pPr>
            <w:r w:rsidRPr="000F441A">
              <w:rPr>
                <w:rFonts w:asciiTheme="minorHAnsi" w:eastAsiaTheme="minorHAnsi" w:hAnsiTheme="minorHAnsi"/>
                <w:color w:val="auto"/>
                <w:sz w:val="18"/>
                <w:szCs w:val="18"/>
              </w:rPr>
              <w:t>0-10</w:t>
            </w:r>
            <w:r w:rsidR="008847BD" w:rsidRPr="000F441A">
              <w:rPr>
                <w:rFonts w:asciiTheme="minorHAnsi" w:eastAsiaTheme="minorHAnsi" w:hAnsiTheme="minorHAnsi"/>
                <w:color w:val="auto"/>
                <w:sz w:val="18"/>
                <w:szCs w:val="18"/>
              </w:rPr>
              <w:t>%</w:t>
            </w:r>
            <w:r w:rsidRPr="000F441A">
              <w:rPr>
                <w:rFonts w:asciiTheme="minorHAnsi" w:eastAsiaTheme="minorHAnsi" w:hAnsiTheme="minorHAnsi"/>
                <w:color w:val="auto"/>
                <w:sz w:val="18"/>
                <w:szCs w:val="18"/>
              </w:rPr>
              <w:t xml:space="preserve"> (VA 10%)</w:t>
            </w:r>
          </w:p>
        </w:tc>
        <w:tc>
          <w:tcPr>
            <w:tcW w:w="1260" w:type="dxa"/>
            <w:vAlign w:val="center"/>
          </w:tcPr>
          <w:p w:rsidR="008847BD" w:rsidRPr="000F441A" w:rsidRDefault="00094BC1" w:rsidP="008847BD">
            <w:pPr>
              <w:tabs>
                <w:tab w:val="left" w:pos="288"/>
                <w:tab w:val="left" w:pos="4752"/>
              </w:tabs>
              <w:spacing w:line="180" w:lineRule="exact"/>
              <w:rPr>
                <w:rFonts w:asciiTheme="minorHAnsi" w:eastAsiaTheme="minorHAnsi" w:hAnsiTheme="minorHAnsi"/>
                <w:color w:val="auto"/>
                <w:sz w:val="18"/>
                <w:szCs w:val="18"/>
              </w:rPr>
            </w:pPr>
            <w:r w:rsidRPr="000F441A">
              <w:rPr>
                <w:rFonts w:eastAsiaTheme="minorHAnsi"/>
                <w:color w:val="auto"/>
                <w:sz w:val="18"/>
                <w:szCs w:val="18"/>
              </w:rPr>
              <w:t>20% (VA 10%)</w:t>
            </w:r>
          </w:p>
        </w:tc>
        <w:tc>
          <w:tcPr>
            <w:tcW w:w="1260" w:type="dxa"/>
            <w:tcBorders>
              <w:right w:val="single" w:sz="4" w:space="0" w:color="auto"/>
            </w:tcBorders>
            <w:vAlign w:val="center"/>
          </w:tcPr>
          <w:p w:rsidR="008847BD" w:rsidRPr="000F441A" w:rsidRDefault="00094BC1" w:rsidP="008847BD">
            <w:pPr>
              <w:tabs>
                <w:tab w:val="left" w:pos="288"/>
                <w:tab w:val="left" w:pos="4752"/>
              </w:tabs>
              <w:spacing w:line="180" w:lineRule="exact"/>
              <w:rPr>
                <w:rFonts w:asciiTheme="minorHAnsi" w:eastAsiaTheme="minorHAnsi" w:hAnsiTheme="minorHAnsi"/>
                <w:color w:val="auto"/>
                <w:sz w:val="18"/>
                <w:szCs w:val="18"/>
              </w:rPr>
            </w:pPr>
            <w:r w:rsidRPr="000F441A">
              <w:rPr>
                <w:rFonts w:asciiTheme="minorHAnsi" w:eastAsiaTheme="minorHAnsi" w:hAnsiTheme="minorHAnsi"/>
                <w:color w:val="auto"/>
                <w:sz w:val="18"/>
                <w:szCs w:val="18"/>
              </w:rPr>
              <w:t>10% (PEB 0%)</w:t>
            </w:r>
          </w:p>
        </w:tc>
        <w:tc>
          <w:tcPr>
            <w:tcW w:w="1260" w:type="dxa"/>
            <w:tcBorders>
              <w:left w:val="single" w:sz="4" w:space="0" w:color="auto"/>
            </w:tcBorders>
            <w:vAlign w:val="center"/>
          </w:tcPr>
          <w:p w:rsidR="008847BD" w:rsidRPr="000F441A" w:rsidRDefault="00094BC1" w:rsidP="008847BD">
            <w:pPr>
              <w:tabs>
                <w:tab w:val="left" w:pos="288"/>
                <w:tab w:val="left" w:pos="4752"/>
              </w:tabs>
              <w:spacing w:line="180" w:lineRule="exact"/>
              <w:rPr>
                <w:rFonts w:asciiTheme="minorHAnsi" w:eastAsiaTheme="minorHAnsi" w:hAnsiTheme="minorHAnsi"/>
                <w:color w:val="auto"/>
                <w:sz w:val="18"/>
                <w:szCs w:val="18"/>
              </w:rPr>
            </w:pPr>
            <w:r w:rsidRPr="000F441A">
              <w:rPr>
                <w:rFonts w:eastAsiaTheme="minorHAnsi"/>
                <w:color w:val="auto"/>
                <w:sz w:val="18"/>
                <w:szCs w:val="18"/>
              </w:rPr>
              <w:t>20% (PEB 0%)</w:t>
            </w:r>
          </w:p>
        </w:tc>
      </w:tr>
    </w:tbl>
    <w:p w:rsidR="008847BD" w:rsidRPr="000F441A" w:rsidRDefault="008847BD" w:rsidP="00094BC1">
      <w:pPr>
        <w:jc w:val="both"/>
        <w:rPr>
          <w:rFonts w:eastAsiaTheme="minorHAnsi" w:cs="Calibri"/>
          <w:color w:val="auto"/>
          <w:szCs w:val="24"/>
        </w:rPr>
      </w:pPr>
    </w:p>
    <w:p w:rsidR="00C66323" w:rsidRPr="000F441A" w:rsidRDefault="00165EE8" w:rsidP="00165EE8">
      <w:pPr>
        <w:tabs>
          <w:tab w:val="left" w:pos="288"/>
          <w:tab w:val="left" w:pos="4752"/>
        </w:tabs>
        <w:jc w:val="both"/>
        <w:rPr>
          <w:color w:val="auto"/>
          <w:szCs w:val="24"/>
        </w:rPr>
      </w:pPr>
      <w:r w:rsidRPr="000F441A">
        <w:rPr>
          <w:color w:val="auto"/>
          <w:szCs w:val="24"/>
        </w:rPr>
        <w:t xml:space="preserve">The Board carefully reviewed all evidentiary information available.  </w:t>
      </w:r>
      <w:r w:rsidR="002249A5" w:rsidRPr="000F441A">
        <w:rPr>
          <w:color w:val="auto"/>
          <w:szCs w:val="24"/>
        </w:rPr>
        <w:t>The PEB and VA choice of disability code</w:t>
      </w:r>
      <w:r w:rsidR="00C66323" w:rsidRPr="000F441A">
        <w:rPr>
          <w:color w:val="auto"/>
          <w:szCs w:val="24"/>
        </w:rPr>
        <w:t>s</w:t>
      </w:r>
      <w:r w:rsidR="002249A5" w:rsidRPr="000F441A">
        <w:rPr>
          <w:color w:val="auto"/>
          <w:szCs w:val="24"/>
        </w:rPr>
        <w:t xml:space="preserve"> use the same general spine rating criteria for determining rating level.  </w:t>
      </w:r>
    </w:p>
    <w:p w:rsidR="00C66323" w:rsidRPr="000F441A" w:rsidRDefault="00C66323" w:rsidP="00165EE8">
      <w:pPr>
        <w:tabs>
          <w:tab w:val="left" w:pos="288"/>
          <w:tab w:val="left" w:pos="4752"/>
        </w:tabs>
        <w:jc w:val="both"/>
        <w:rPr>
          <w:color w:val="auto"/>
          <w:szCs w:val="24"/>
        </w:rPr>
      </w:pPr>
    </w:p>
    <w:p w:rsidR="005D4BE0" w:rsidRPr="000F441A" w:rsidRDefault="00015641" w:rsidP="0025598B">
      <w:pPr>
        <w:tabs>
          <w:tab w:val="left" w:pos="288"/>
          <w:tab w:val="left" w:pos="4752"/>
        </w:tabs>
        <w:jc w:val="both"/>
        <w:rPr>
          <w:rFonts w:eastAsia="Calibri" w:cs="Times New Roman"/>
          <w:color w:val="auto"/>
          <w:szCs w:val="24"/>
        </w:rPr>
      </w:pPr>
      <w:r w:rsidRPr="000F441A">
        <w:rPr>
          <w:color w:val="000000" w:themeColor="text1"/>
          <w:szCs w:val="24"/>
        </w:rPr>
        <w:tab/>
      </w:r>
      <w:r w:rsidRPr="000F441A">
        <w:rPr>
          <w:color w:val="000000" w:themeColor="text1"/>
          <w:szCs w:val="24"/>
          <w:u w:val="single"/>
        </w:rPr>
        <w:t>Back Condition (Lumbago, w/o Neurologic Abnormality)</w:t>
      </w:r>
      <w:r w:rsidRPr="000F441A">
        <w:rPr>
          <w:color w:val="000000" w:themeColor="text1"/>
          <w:szCs w:val="24"/>
        </w:rPr>
        <w:t xml:space="preserve">.  There was abnormal imaging of the thoracolumbar spine with lumbar mild to moderate degenerative disk changes, but no frank evidence of a herniated disc.  </w:t>
      </w:r>
      <w:r w:rsidRPr="000F441A">
        <w:rPr>
          <w:color w:val="auto"/>
          <w:szCs w:val="24"/>
        </w:rPr>
        <w:t>The PEB disability description stated “</w:t>
      </w:r>
      <w:r w:rsidR="00201EDA">
        <w:rPr>
          <w:color w:val="auto"/>
          <w:szCs w:val="24"/>
        </w:rPr>
        <w:t>t</w:t>
      </w:r>
      <w:r w:rsidRPr="000F441A">
        <w:rPr>
          <w:color w:val="auto"/>
          <w:szCs w:val="24"/>
        </w:rPr>
        <w:t xml:space="preserve">horacolumbar </w:t>
      </w:r>
      <w:r w:rsidR="00201EDA">
        <w:rPr>
          <w:color w:val="auto"/>
          <w:szCs w:val="24"/>
        </w:rPr>
        <w:t>ROM</w:t>
      </w:r>
      <w:r w:rsidRPr="000F441A">
        <w:rPr>
          <w:color w:val="auto"/>
          <w:szCs w:val="24"/>
        </w:rPr>
        <w:t xml:space="preserve"> </w:t>
      </w:r>
      <w:r w:rsidR="00201EDA">
        <w:rPr>
          <w:color w:val="auto"/>
          <w:szCs w:val="24"/>
        </w:rPr>
        <w:t>l</w:t>
      </w:r>
      <w:r w:rsidRPr="000F441A">
        <w:rPr>
          <w:color w:val="auto"/>
          <w:szCs w:val="24"/>
        </w:rPr>
        <w:t xml:space="preserve">imited by </w:t>
      </w:r>
      <w:r w:rsidR="00201EDA">
        <w:rPr>
          <w:color w:val="auto"/>
          <w:szCs w:val="24"/>
        </w:rPr>
        <w:t>p</w:t>
      </w:r>
      <w:r w:rsidRPr="000F441A">
        <w:rPr>
          <w:color w:val="auto"/>
          <w:szCs w:val="24"/>
        </w:rPr>
        <w:t xml:space="preserve">ain.”  The </w:t>
      </w:r>
      <w:r w:rsidR="00201EDA">
        <w:rPr>
          <w:color w:val="auto"/>
          <w:szCs w:val="24"/>
        </w:rPr>
        <w:t>physical therapy (</w:t>
      </w:r>
      <w:r w:rsidRPr="000F441A">
        <w:rPr>
          <w:color w:val="auto"/>
          <w:szCs w:val="24"/>
        </w:rPr>
        <w:t>PT</w:t>
      </w:r>
      <w:r w:rsidR="00201EDA">
        <w:rPr>
          <w:color w:val="auto"/>
          <w:szCs w:val="24"/>
        </w:rPr>
        <w:t>)</w:t>
      </w:r>
      <w:r w:rsidRPr="000F441A">
        <w:rPr>
          <w:color w:val="auto"/>
          <w:szCs w:val="24"/>
        </w:rPr>
        <w:t xml:space="preserve"> exam met the ROM criteria for a 10% rating based on limitation of thoracolumbar motion, and the history of radiating pain on motion met the tenants of §4.59 (painful motion) and §4.40 (functional loss).  </w:t>
      </w:r>
      <w:r w:rsidRPr="000F441A">
        <w:rPr>
          <w:rFonts w:eastAsia="Calibri"/>
          <w:color w:val="auto"/>
          <w:szCs w:val="24"/>
        </w:rPr>
        <w:t xml:space="preserve">There was no evidence of incapacitating pain episodes that would warrant a higher rating under VASRD code 5243 (intervertebral disc syndrome).  </w:t>
      </w:r>
      <w:r w:rsidRPr="000F441A">
        <w:rPr>
          <w:rFonts w:asciiTheme="minorHAnsi" w:hAnsiTheme="minorHAnsi"/>
          <w:color w:val="auto"/>
          <w:szCs w:val="24"/>
        </w:rPr>
        <w:t>No exam in evidence documented an abnormal gait or spinal contour</w:t>
      </w:r>
      <w:r w:rsidR="0025598B" w:rsidRPr="000F441A">
        <w:rPr>
          <w:rFonts w:asciiTheme="minorHAnsi" w:hAnsiTheme="minorHAnsi"/>
          <w:color w:val="auto"/>
          <w:szCs w:val="24"/>
        </w:rPr>
        <w:t xml:space="preserve">.  </w:t>
      </w:r>
      <w:r w:rsidR="005D4BE0" w:rsidRPr="000F441A">
        <w:rPr>
          <w:rFonts w:asciiTheme="minorHAnsi" w:hAnsiTheme="minorHAnsi"/>
          <w:color w:val="auto"/>
          <w:szCs w:val="24"/>
        </w:rPr>
        <w:t xml:space="preserve">The Board majority adjudged the MEB/VA exam as the highest probative value for </w:t>
      </w:r>
      <w:r w:rsidR="005D4BE0" w:rsidRPr="000F441A">
        <w:rPr>
          <w:rFonts w:asciiTheme="minorHAnsi" w:hAnsiTheme="minorHAnsi"/>
          <w:color w:val="auto"/>
          <w:szCs w:val="24"/>
        </w:rPr>
        <w:lastRenderedPageBreak/>
        <w:t>rating</w:t>
      </w:r>
      <w:r w:rsidR="00EA3F44">
        <w:rPr>
          <w:rFonts w:asciiTheme="minorHAnsi" w:hAnsiTheme="minorHAnsi"/>
          <w:color w:val="auto"/>
          <w:szCs w:val="24"/>
        </w:rPr>
        <w:t>, and during that exam there was no objective evidence of painful motion</w:t>
      </w:r>
      <w:r w:rsidR="005D4BE0" w:rsidRPr="000F441A">
        <w:rPr>
          <w:rFonts w:asciiTheme="minorHAnsi" w:hAnsiTheme="minorHAnsi"/>
          <w:color w:val="auto"/>
          <w:szCs w:val="24"/>
        </w:rPr>
        <w:t xml:space="preserve">.  </w:t>
      </w:r>
      <w:r w:rsidRPr="000F441A">
        <w:rPr>
          <w:rFonts w:eastAsia="Calibri" w:cs="Times New Roman"/>
          <w:color w:val="auto"/>
          <w:szCs w:val="24"/>
        </w:rPr>
        <w:t xml:space="preserve">After due deliberation, the Board </w:t>
      </w:r>
      <w:r w:rsidR="005D4BE0" w:rsidRPr="000F441A">
        <w:rPr>
          <w:rFonts w:eastAsia="Calibri" w:cs="Times New Roman"/>
          <w:color w:val="auto"/>
          <w:szCs w:val="24"/>
        </w:rPr>
        <w:t xml:space="preserve">majority </w:t>
      </w:r>
      <w:r w:rsidRPr="000F441A">
        <w:rPr>
          <w:rFonts w:eastAsia="Calibri" w:cs="Times New Roman"/>
          <w:color w:val="auto"/>
          <w:szCs w:val="24"/>
        </w:rPr>
        <w:t xml:space="preserve">recommends </w:t>
      </w:r>
      <w:r w:rsidR="005D4BE0" w:rsidRPr="000F441A">
        <w:rPr>
          <w:rFonts w:eastAsia="Calibri" w:cs="Times New Roman"/>
          <w:color w:val="auto"/>
          <w:szCs w:val="24"/>
        </w:rPr>
        <w:t xml:space="preserve">no change from the PEB 0% rating.  </w:t>
      </w:r>
    </w:p>
    <w:p w:rsidR="00B06A5A" w:rsidRPr="000F441A" w:rsidRDefault="00B06A5A" w:rsidP="00165EE8">
      <w:pPr>
        <w:tabs>
          <w:tab w:val="left" w:pos="288"/>
          <w:tab w:val="left" w:pos="4752"/>
        </w:tabs>
        <w:jc w:val="both"/>
        <w:rPr>
          <w:color w:val="000000" w:themeColor="text1"/>
          <w:szCs w:val="24"/>
        </w:rPr>
      </w:pPr>
    </w:p>
    <w:p w:rsidR="00C66323" w:rsidRDefault="00015641" w:rsidP="00165EE8">
      <w:pPr>
        <w:tabs>
          <w:tab w:val="left" w:pos="288"/>
          <w:tab w:val="left" w:pos="4752"/>
        </w:tabs>
        <w:jc w:val="both"/>
        <w:rPr>
          <w:color w:val="auto"/>
          <w:szCs w:val="24"/>
        </w:rPr>
      </w:pPr>
      <w:r w:rsidRPr="000F441A">
        <w:rPr>
          <w:color w:val="000000" w:themeColor="text1"/>
          <w:szCs w:val="24"/>
        </w:rPr>
        <w:tab/>
      </w:r>
      <w:r w:rsidRPr="000F441A">
        <w:rPr>
          <w:color w:val="000000" w:themeColor="text1"/>
          <w:szCs w:val="24"/>
          <w:u w:val="single"/>
        </w:rPr>
        <w:t>Neck Condition (Cervical Spondylosis, w/o Neurologic Abnormality)</w:t>
      </w:r>
      <w:r w:rsidRPr="000F441A">
        <w:rPr>
          <w:color w:val="000000" w:themeColor="text1"/>
          <w:szCs w:val="24"/>
        </w:rPr>
        <w:t xml:space="preserve">.  </w:t>
      </w:r>
      <w:r w:rsidR="0025598B" w:rsidRPr="000F441A">
        <w:rPr>
          <w:color w:val="000000" w:themeColor="text1"/>
          <w:szCs w:val="24"/>
        </w:rPr>
        <w:t xml:space="preserve">There was abnormal imaging of the cervical spine segment with mild degenerative disk disease </w:t>
      </w:r>
      <w:r w:rsidR="00201EDA">
        <w:rPr>
          <w:color w:val="000000" w:themeColor="text1"/>
          <w:szCs w:val="24"/>
        </w:rPr>
        <w:t xml:space="preserve">(DDD) </w:t>
      </w:r>
      <w:r w:rsidR="0025598B" w:rsidRPr="000F441A">
        <w:rPr>
          <w:color w:val="000000" w:themeColor="text1"/>
          <w:szCs w:val="24"/>
        </w:rPr>
        <w:t xml:space="preserve">and anterior and posterior spondylosis.  </w:t>
      </w:r>
      <w:r w:rsidRPr="000F441A">
        <w:rPr>
          <w:color w:val="auto"/>
          <w:szCs w:val="24"/>
        </w:rPr>
        <w:t>A</w:t>
      </w:r>
      <w:r w:rsidR="00165EE8" w:rsidRPr="000F441A">
        <w:rPr>
          <w:color w:val="auto"/>
          <w:szCs w:val="24"/>
        </w:rPr>
        <w:t xml:space="preserve">ll of the </w:t>
      </w:r>
      <w:r w:rsidR="00C66323" w:rsidRPr="000F441A">
        <w:rPr>
          <w:color w:val="auto"/>
          <w:szCs w:val="24"/>
        </w:rPr>
        <w:t xml:space="preserve">cervical spine </w:t>
      </w:r>
      <w:r w:rsidR="00165EE8" w:rsidRPr="000F441A">
        <w:rPr>
          <w:color w:val="auto"/>
          <w:szCs w:val="24"/>
        </w:rPr>
        <w:t>active ROM evaluations fit the VASRD criteria for a 20% rating based on limitation of cervical spine motion greater than 15 degrees bu</w:t>
      </w:r>
      <w:r w:rsidR="00165EE8" w:rsidRPr="00165EE8">
        <w:rPr>
          <w:color w:val="auto"/>
          <w:szCs w:val="24"/>
        </w:rPr>
        <w:t>t not greater than 30 degrees</w:t>
      </w:r>
      <w:r w:rsidR="00165EE8">
        <w:rPr>
          <w:color w:val="auto"/>
          <w:szCs w:val="24"/>
        </w:rPr>
        <w:t xml:space="preserve">.  </w:t>
      </w:r>
      <w:r w:rsidRPr="00241B01">
        <w:rPr>
          <w:rFonts w:eastAsia="Calibri" w:cs="Times New Roman"/>
          <w:color w:val="auto"/>
          <w:szCs w:val="24"/>
        </w:rPr>
        <w:t xml:space="preserve">After </w:t>
      </w:r>
      <w:r w:rsidRPr="000F441A">
        <w:rPr>
          <w:rFonts w:eastAsia="Calibri" w:cs="Times New Roman"/>
          <w:color w:val="auto"/>
          <w:szCs w:val="24"/>
        </w:rPr>
        <w:t>due deliberation, considering all of the ev</w:t>
      </w:r>
      <w:r w:rsidR="006377D6">
        <w:rPr>
          <w:rFonts w:eastAsia="Calibri" w:cs="Times New Roman"/>
          <w:color w:val="auto"/>
          <w:szCs w:val="24"/>
        </w:rPr>
        <w:t>idence, the Board recommends a s</w:t>
      </w:r>
      <w:r w:rsidRPr="000F441A">
        <w:rPr>
          <w:rFonts w:eastAsia="Calibri" w:cs="Times New Roman"/>
          <w:color w:val="auto"/>
          <w:szCs w:val="24"/>
        </w:rPr>
        <w:t>ervice disability rating of 20% for the cervical (neck) condition</w:t>
      </w:r>
      <w:r>
        <w:rPr>
          <w:rFonts w:eastAsia="Calibri" w:cs="Times New Roman"/>
          <w:color w:val="auto"/>
          <w:szCs w:val="24"/>
        </w:rPr>
        <w:t xml:space="preserve">.  </w:t>
      </w:r>
    </w:p>
    <w:p w:rsidR="00C66323" w:rsidRDefault="00C66323" w:rsidP="00165EE8">
      <w:pPr>
        <w:tabs>
          <w:tab w:val="left" w:pos="288"/>
          <w:tab w:val="left" w:pos="4752"/>
        </w:tabs>
        <w:jc w:val="both"/>
        <w:rPr>
          <w:color w:val="auto"/>
          <w:szCs w:val="24"/>
        </w:rPr>
      </w:pPr>
    </w:p>
    <w:p w:rsidR="008847BD" w:rsidRPr="00AD0293" w:rsidRDefault="00AD0293" w:rsidP="008847BD">
      <w:pPr>
        <w:tabs>
          <w:tab w:val="left" w:pos="288"/>
          <w:tab w:val="left" w:pos="4752"/>
        </w:tabs>
        <w:jc w:val="both"/>
        <w:rPr>
          <w:color w:val="auto"/>
          <w:szCs w:val="24"/>
        </w:rPr>
      </w:pPr>
      <w:r w:rsidRPr="00AD0293">
        <w:rPr>
          <w:color w:val="auto"/>
          <w:szCs w:val="24"/>
        </w:rPr>
        <w:tab/>
      </w:r>
      <w:r w:rsidRPr="00AD0293">
        <w:rPr>
          <w:color w:val="auto"/>
          <w:szCs w:val="24"/>
          <w:u w:val="single"/>
        </w:rPr>
        <w:t>Cervical or Thoracolumbar Radiculopathy</w:t>
      </w:r>
      <w:r w:rsidRPr="00AD0293">
        <w:rPr>
          <w:color w:val="auto"/>
          <w:szCs w:val="24"/>
        </w:rPr>
        <w:t xml:space="preserve">:  </w:t>
      </w:r>
      <w:r w:rsidR="008847BD" w:rsidRPr="00AD0293">
        <w:rPr>
          <w:color w:val="auto"/>
          <w:szCs w:val="24"/>
        </w:rPr>
        <w:t>The Board</w:t>
      </w:r>
      <w:r w:rsidR="00201EDA">
        <w:rPr>
          <w:color w:val="auto"/>
          <w:szCs w:val="24"/>
        </w:rPr>
        <w:t xml:space="preserve"> considered whether additional s</w:t>
      </w:r>
      <w:r w:rsidR="008847BD" w:rsidRPr="00AD0293">
        <w:rPr>
          <w:color w:val="auto"/>
          <w:szCs w:val="24"/>
        </w:rPr>
        <w:t xml:space="preserve">ervice rating could be recommended under a peripheral nerve code, for the residual </w:t>
      </w:r>
      <w:r w:rsidR="00094BC1" w:rsidRPr="00AD0293">
        <w:rPr>
          <w:color w:val="auto"/>
          <w:szCs w:val="24"/>
        </w:rPr>
        <w:t>bilateral lower extremity pain (</w:t>
      </w:r>
      <w:r w:rsidR="008847BD" w:rsidRPr="00AD0293">
        <w:rPr>
          <w:color w:val="auto"/>
          <w:szCs w:val="24"/>
        </w:rPr>
        <w:t>sciatic</w:t>
      </w:r>
      <w:r w:rsidR="00094BC1" w:rsidRPr="00AD0293">
        <w:rPr>
          <w:color w:val="auto"/>
          <w:szCs w:val="24"/>
        </w:rPr>
        <w:t>)</w:t>
      </w:r>
      <w:r w:rsidR="008847BD" w:rsidRPr="00AD0293">
        <w:rPr>
          <w:color w:val="auto"/>
          <w:szCs w:val="24"/>
        </w:rPr>
        <w:t xml:space="preserve"> radiculopathy </w:t>
      </w:r>
      <w:r w:rsidR="00094BC1" w:rsidRPr="00AD0293">
        <w:rPr>
          <w:color w:val="auto"/>
          <w:szCs w:val="24"/>
        </w:rPr>
        <w:t xml:space="preserve">or the </w:t>
      </w:r>
      <w:r w:rsidRPr="00AD0293">
        <w:rPr>
          <w:color w:val="auto"/>
          <w:szCs w:val="24"/>
        </w:rPr>
        <w:t xml:space="preserve">neck-motion induced </w:t>
      </w:r>
      <w:r w:rsidR="00094BC1" w:rsidRPr="00AD0293">
        <w:rPr>
          <w:color w:val="auto"/>
          <w:szCs w:val="24"/>
        </w:rPr>
        <w:t xml:space="preserve">left upper extremity pain and tingling </w:t>
      </w:r>
      <w:r w:rsidR="008847BD" w:rsidRPr="00AD0293">
        <w:rPr>
          <w:color w:val="auto"/>
          <w:szCs w:val="24"/>
        </w:rPr>
        <w:t xml:space="preserve">at separation.  Firm Board precedent requires a functional impairment tied to fitness to support a recommendation for addition of a peripheral nerve rating to </w:t>
      </w:r>
      <w:r w:rsidR="00201EDA">
        <w:rPr>
          <w:color w:val="auto"/>
          <w:szCs w:val="24"/>
        </w:rPr>
        <w:t>s</w:t>
      </w:r>
      <w:r w:rsidR="008847BD" w:rsidRPr="00AD0293">
        <w:rPr>
          <w:color w:val="auto"/>
          <w:szCs w:val="24"/>
        </w:rPr>
        <w:t xml:space="preserve">ervice disability in spine cases. </w:t>
      </w:r>
      <w:r w:rsidRPr="00AD0293">
        <w:rPr>
          <w:color w:val="auto"/>
          <w:szCs w:val="24"/>
        </w:rPr>
        <w:t xml:space="preserve"> </w:t>
      </w:r>
      <w:r w:rsidR="008847BD" w:rsidRPr="00AD0293">
        <w:rPr>
          <w:color w:val="auto"/>
          <w:szCs w:val="24"/>
        </w:rPr>
        <w:t xml:space="preserve">The pain component of a radiculopathy is </w:t>
      </w:r>
      <w:r w:rsidR="008847BD" w:rsidRPr="000F441A">
        <w:rPr>
          <w:color w:val="auto"/>
          <w:szCs w:val="24"/>
        </w:rPr>
        <w:t xml:space="preserve">subsumed under the general spine rating as specified in §4.71a.  The sensory component in this case </w:t>
      </w:r>
      <w:r w:rsidRPr="000F441A">
        <w:rPr>
          <w:color w:val="auto"/>
          <w:szCs w:val="24"/>
        </w:rPr>
        <w:t xml:space="preserve">(left arm transient </w:t>
      </w:r>
      <w:proofErr w:type="spellStart"/>
      <w:r w:rsidRPr="000F441A">
        <w:rPr>
          <w:color w:val="auto"/>
          <w:szCs w:val="24"/>
        </w:rPr>
        <w:t>tinglinging</w:t>
      </w:r>
      <w:proofErr w:type="spellEnd"/>
      <w:r w:rsidRPr="000F441A">
        <w:rPr>
          <w:color w:val="auto"/>
          <w:szCs w:val="24"/>
        </w:rPr>
        <w:t xml:space="preserve"> without a fixed sensory deficit) </w:t>
      </w:r>
      <w:r w:rsidR="008847BD" w:rsidRPr="000F441A">
        <w:rPr>
          <w:color w:val="auto"/>
          <w:szCs w:val="24"/>
        </w:rPr>
        <w:t>ha</w:t>
      </w:r>
      <w:r w:rsidRPr="000F441A">
        <w:rPr>
          <w:color w:val="auto"/>
          <w:szCs w:val="24"/>
        </w:rPr>
        <w:t>d</w:t>
      </w:r>
      <w:r w:rsidR="008847BD" w:rsidRPr="000F441A">
        <w:rPr>
          <w:color w:val="auto"/>
          <w:szCs w:val="24"/>
        </w:rPr>
        <w:t xml:space="preserve"> no functional implications, and no motor weakness was in evidence. </w:t>
      </w:r>
      <w:r w:rsidRPr="000F441A">
        <w:rPr>
          <w:color w:val="auto"/>
          <w:szCs w:val="24"/>
        </w:rPr>
        <w:t xml:space="preserve"> </w:t>
      </w:r>
      <w:r w:rsidR="008847BD" w:rsidRPr="000F441A">
        <w:rPr>
          <w:color w:val="auto"/>
          <w:szCs w:val="24"/>
        </w:rPr>
        <w:t>Since no evidence of functional impairment exists in this case, the Board</w:t>
      </w:r>
      <w:r w:rsidR="008847BD" w:rsidRPr="00AD0293">
        <w:rPr>
          <w:color w:val="auto"/>
          <w:szCs w:val="24"/>
        </w:rPr>
        <w:t xml:space="preserve"> cannot support a recommendation for additional </w:t>
      </w:r>
      <w:r w:rsidR="00201EDA">
        <w:rPr>
          <w:color w:val="auto"/>
          <w:szCs w:val="24"/>
        </w:rPr>
        <w:t>s</w:t>
      </w:r>
      <w:r w:rsidR="008847BD" w:rsidRPr="00AD0293">
        <w:rPr>
          <w:color w:val="auto"/>
          <w:szCs w:val="24"/>
        </w:rPr>
        <w:t>ervice rating based on peripheral nerve impairment.</w:t>
      </w:r>
      <w:r w:rsidRPr="00AD0293">
        <w:rPr>
          <w:color w:val="auto"/>
          <w:szCs w:val="24"/>
        </w:rPr>
        <w:t xml:space="preserve">  </w:t>
      </w:r>
    </w:p>
    <w:p w:rsidR="008847BD" w:rsidRPr="001F29F9" w:rsidRDefault="008847BD" w:rsidP="00BF0E94">
      <w:pPr>
        <w:jc w:val="left"/>
        <w:rPr>
          <w:color w:val="000000" w:themeColor="text1"/>
          <w:szCs w:val="24"/>
          <w:u w:val="single"/>
        </w:rPr>
      </w:pPr>
    </w:p>
    <w:p w:rsidR="00197BEB" w:rsidRPr="00197BEB" w:rsidRDefault="004C60A3" w:rsidP="00197BEB">
      <w:pPr>
        <w:jc w:val="both"/>
        <w:rPr>
          <w:color w:val="auto"/>
          <w:szCs w:val="24"/>
        </w:rPr>
      </w:pPr>
      <w:proofErr w:type="gramStart"/>
      <w:r w:rsidRPr="00197BEB">
        <w:rPr>
          <w:rFonts w:eastAsia="HiddenHorzOCR"/>
          <w:color w:val="auto"/>
          <w:szCs w:val="24"/>
          <w:u w:val="single"/>
        </w:rPr>
        <w:t>Ot</w:t>
      </w:r>
      <w:r w:rsidR="003604A5" w:rsidRPr="00197BEB">
        <w:rPr>
          <w:rFonts w:eastAsia="HiddenHorzOCR"/>
          <w:color w:val="auto"/>
          <w:szCs w:val="24"/>
          <w:u w:val="single"/>
        </w:rPr>
        <w:t xml:space="preserve">her </w:t>
      </w:r>
      <w:r w:rsidR="008F30F4" w:rsidRPr="00197BEB">
        <w:rPr>
          <w:rFonts w:eastAsia="HiddenHorzOCR"/>
          <w:color w:val="auto"/>
          <w:szCs w:val="24"/>
          <w:u w:val="single"/>
        </w:rPr>
        <w:t xml:space="preserve">PEB </w:t>
      </w:r>
      <w:r w:rsidR="003604A5" w:rsidRPr="00197BEB">
        <w:rPr>
          <w:rFonts w:eastAsia="HiddenHorzOCR"/>
          <w:color w:val="auto"/>
          <w:szCs w:val="24"/>
          <w:u w:val="single"/>
        </w:rPr>
        <w:t>Conditions</w:t>
      </w:r>
      <w:r w:rsidR="003604A5" w:rsidRPr="00197BEB">
        <w:rPr>
          <w:rFonts w:eastAsia="HiddenHorzOCR"/>
          <w:color w:val="auto"/>
          <w:szCs w:val="24"/>
        </w:rPr>
        <w:t>.</w:t>
      </w:r>
      <w:proofErr w:type="gramEnd"/>
      <w:r w:rsidR="002F2981" w:rsidRPr="00197BEB">
        <w:rPr>
          <w:rFonts w:eastAsia="HiddenHorzOCR"/>
          <w:color w:val="auto"/>
          <w:szCs w:val="24"/>
        </w:rPr>
        <w:t xml:space="preserve"> </w:t>
      </w:r>
      <w:r w:rsidR="003C5B54" w:rsidRPr="00197BEB">
        <w:rPr>
          <w:rFonts w:eastAsia="HiddenHorzOCR"/>
          <w:color w:val="auto"/>
          <w:szCs w:val="24"/>
        </w:rPr>
        <w:t xml:space="preserve"> </w:t>
      </w:r>
      <w:r w:rsidR="008C3223" w:rsidRPr="000F441A">
        <w:rPr>
          <w:color w:val="auto"/>
          <w:szCs w:val="24"/>
        </w:rPr>
        <w:t xml:space="preserve">The other conditions forwarded by the MEB and adjudicated as not unfitting by the PEB were </w:t>
      </w:r>
      <w:r w:rsidR="00201EDA">
        <w:rPr>
          <w:color w:val="000000" w:themeColor="text1"/>
          <w:szCs w:val="24"/>
        </w:rPr>
        <w:t>s</w:t>
      </w:r>
      <w:r w:rsidR="00E04A95" w:rsidRPr="000F441A">
        <w:rPr>
          <w:color w:val="000000" w:themeColor="text1"/>
          <w:szCs w:val="24"/>
        </w:rPr>
        <w:t xml:space="preserve">eizure </w:t>
      </w:r>
      <w:r w:rsidR="00201EDA">
        <w:rPr>
          <w:color w:val="000000" w:themeColor="text1"/>
          <w:szCs w:val="24"/>
        </w:rPr>
        <w:t>d</w:t>
      </w:r>
      <w:r w:rsidR="00E04A95" w:rsidRPr="000F441A">
        <w:rPr>
          <w:color w:val="000000" w:themeColor="text1"/>
          <w:szCs w:val="24"/>
        </w:rPr>
        <w:t>isorder w/</w:t>
      </w:r>
      <w:proofErr w:type="spellStart"/>
      <w:r w:rsidR="00201EDA">
        <w:rPr>
          <w:color w:val="000000" w:themeColor="text1"/>
          <w:szCs w:val="24"/>
        </w:rPr>
        <w:t>s</w:t>
      </w:r>
      <w:r w:rsidR="00E04A95" w:rsidRPr="000F441A">
        <w:rPr>
          <w:color w:val="000000" w:themeColor="text1"/>
          <w:szCs w:val="24"/>
        </w:rPr>
        <w:t>yncopal</w:t>
      </w:r>
      <w:proofErr w:type="spellEnd"/>
      <w:r w:rsidR="00E04A95" w:rsidRPr="000F441A">
        <w:rPr>
          <w:color w:val="000000" w:themeColor="text1"/>
          <w:szCs w:val="24"/>
        </w:rPr>
        <w:t xml:space="preserve"> </w:t>
      </w:r>
      <w:r w:rsidR="00201EDA">
        <w:rPr>
          <w:color w:val="000000" w:themeColor="text1"/>
          <w:szCs w:val="24"/>
        </w:rPr>
        <w:t>e</w:t>
      </w:r>
      <w:r w:rsidR="00E04A95" w:rsidRPr="000F441A">
        <w:rPr>
          <w:color w:val="000000" w:themeColor="text1"/>
          <w:szCs w:val="24"/>
        </w:rPr>
        <w:t xml:space="preserve">pisodes, </w:t>
      </w:r>
      <w:r w:rsidR="00201EDA">
        <w:rPr>
          <w:color w:val="000000" w:themeColor="text1"/>
          <w:szCs w:val="24"/>
        </w:rPr>
        <w:t>r</w:t>
      </w:r>
      <w:r w:rsidR="00E04A95" w:rsidRPr="000F441A">
        <w:rPr>
          <w:color w:val="000000" w:themeColor="text1"/>
          <w:szCs w:val="24"/>
        </w:rPr>
        <w:t xml:space="preserve">emote </w:t>
      </w:r>
      <w:r w:rsidR="00201EDA">
        <w:rPr>
          <w:color w:val="000000" w:themeColor="text1"/>
          <w:szCs w:val="24"/>
        </w:rPr>
        <w:t>h</w:t>
      </w:r>
      <w:r w:rsidR="00E04A95" w:rsidRPr="000F441A">
        <w:rPr>
          <w:color w:val="000000" w:themeColor="text1"/>
          <w:szCs w:val="24"/>
        </w:rPr>
        <w:t xml:space="preserve">istory of </w:t>
      </w:r>
      <w:proofErr w:type="spellStart"/>
      <w:r w:rsidR="00201EDA">
        <w:rPr>
          <w:color w:val="000000" w:themeColor="text1"/>
          <w:szCs w:val="24"/>
        </w:rPr>
        <w:t>c</w:t>
      </w:r>
      <w:r w:rsidR="00E04A95" w:rsidRPr="000F441A">
        <w:rPr>
          <w:color w:val="000000" w:themeColor="text1"/>
          <w:szCs w:val="24"/>
        </w:rPr>
        <w:t>erebrovascular</w:t>
      </w:r>
      <w:proofErr w:type="spellEnd"/>
      <w:r w:rsidR="00E04A95" w:rsidRPr="000F441A">
        <w:rPr>
          <w:color w:val="000000" w:themeColor="text1"/>
          <w:szCs w:val="24"/>
        </w:rPr>
        <w:t xml:space="preserve"> </w:t>
      </w:r>
      <w:r w:rsidR="00201EDA">
        <w:rPr>
          <w:color w:val="000000" w:themeColor="text1"/>
          <w:szCs w:val="24"/>
        </w:rPr>
        <w:t>a</w:t>
      </w:r>
      <w:r w:rsidR="00E04A95" w:rsidRPr="000F441A">
        <w:rPr>
          <w:color w:val="000000" w:themeColor="text1"/>
          <w:szCs w:val="24"/>
        </w:rPr>
        <w:t xml:space="preserve">ccident w/no </w:t>
      </w:r>
      <w:r w:rsidR="00201EDA">
        <w:rPr>
          <w:color w:val="000000" w:themeColor="text1"/>
          <w:szCs w:val="24"/>
        </w:rPr>
        <w:t>r</w:t>
      </w:r>
      <w:r w:rsidR="00E04A95" w:rsidRPr="000F441A">
        <w:rPr>
          <w:color w:val="000000" w:themeColor="text1"/>
          <w:szCs w:val="24"/>
        </w:rPr>
        <w:t xml:space="preserve">esidual </w:t>
      </w:r>
      <w:r w:rsidR="00201EDA">
        <w:rPr>
          <w:color w:val="000000" w:themeColor="text1"/>
          <w:szCs w:val="24"/>
        </w:rPr>
        <w:t>e</w:t>
      </w:r>
      <w:r w:rsidR="00E04A95" w:rsidRPr="000F441A">
        <w:rPr>
          <w:color w:val="000000" w:themeColor="text1"/>
          <w:szCs w:val="24"/>
        </w:rPr>
        <w:t xml:space="preserve">ffects, </w:t>
      </w:r>
      <w:proofErr w:type="gramStart"/>
      <w:r w:rsidR="00201EDA">
        <w:rPr>
          <w:color w:val="000000" w:themeColor="text1"/>
          <w:szCs w:val="24"/>
        </w:rPr>
        <w:t>h</w:t>
      </w:r>
      <w:r w:rsidR="00E04A95" w:rsidRPr="000F441A">
        <w:rPr>
          <w:color w:val="000000" w:themeColor="text1"/>
          <w:szCs w:val="24"/>
        </w:rPr>
        <w:t>istory</w:t>
      </w:r>
      <w:proofErr w:type="gramEnd"/>
      <w:r w:rsidR="00E04A95" w:rsidRPr="000F441A">
        <w:rPr>
          <w:color w:val="000000" w:themeColor="text1"/>
          <w:szCs w:val="24"/>
        </w:rPr>
        <w:t xml:space="preserve"> of </w:t>
      </w:r>
      <w:r w:rsidR="00201EDA">
        <w:rPr>
          <w:color w:val="000000" w:themeColor="text1"/>
          <w:szCs w:val="24"/>
        </w:rPr>
        <w:t>h</w:t>
      </w:r>
      <w:r w:rsidR="00E04A95" w:rsidRPr="000F441A">
        <w:rPr>
          <w:color w:val="000000" w:themeColor="text1"/>
          <w:szCs w:val="24"/>
        </w:rPr>
        <w:t xml:space="preserve">eat </w:t>
      </w:r>
      <w:r w:rsidR="00201EDA">
        <w:rPr>
          <w:color w:val="000000" w:themeColor="text1"/>
          <w:szCs w:val="24"/>
        </w:rPr>
        <w:t>i</w:t>
      </w:r>
      <w:r w:rsidR="00E04A95" w:rsidRPr="000F441A">
        <w:rPr>
          <w:color w:val="000000" w:themeColor="text1"/>
          <w:szCs w:val="24"/>
        </w:rPr>
        <w:t xml:space="preserve">njury and </w:t>
      </w:r>
      <w:r w:rsidR="00201EDA">
        <w:rPr>
          <w:color w:val="000000" w:themeColor="text1"/>
          <w:szCs w:val="24"/>
        </w:rPr>
        <w:t>h</w:t>
      </w:r>
      <w:r w:rsidR="00E04A95" w:rsidRPr="000F441A">
        <w:rPr>
          <w:color w:val="000000" w:themeColor="text1"/>
          <w:szCs w:val="24"/>
        </w:rPr>
        <w:t xml:space="preserve">eat </w:t>
      </w:r>
      <w:r w:rsidR="00201EDA">
        <w:rPr>
          <w:color w:val="000000" w:themeColor="text1"/>
          <w:szCs w:val="24"/>
        </w:rPr>
        <w:t>s</w:t>
      </w:r>
      <w:r w:rsidR="00E04A95" w:rsidRPr="000F441A">
        <w:rPr>
          <w:color w:val="000000" w:themeColor="text1"/>
          <w:szCs w:val="24"/>
        </w:rPr>
        <w:t xml:space="preserve">troke w/no </w:t>
      </w:r>
      <w:r w:rsidR="00201EDA">
        <w:rPr>
          <w:color w:val="000000" w:themeColor="text1"/>
          <w:szCs w:val="24"/>
        </w:rPr>
        <w:t>r</w:t>
      </w:r>
      <w:r w:rsidR="00E04A95" w:rsidRPr="000F441A">
        <w:rPr>
          <w:color w:val="000000" w:themeColor="text1"/>
          <w:szCs w:val="24"/>
        </w:rPr>
        <w:t xml:space="preserve">esidual </w:t>
      </w:r>
      <w:r w:rsidR="00201EDA">
        <w:rPr>
          <w:color w:val="000000" w:themeColor="text1"/>
          <w:szCs w:val="24"/>
        </w:rPr>
        <w:t>e</w:t>
      </w:r>
      <w:r w:rsidR="00E04A95" w:rsidRPr="000F441A">
        <w:rPr>
          <w:color w:val="000000" w:themeColor="text1"/>
          <w:szCs w:val="24"/>
        </w:rPr>
        <w:t xml:space="preserve">ffects, </w:t>
      </w:r>
      <w:r w:rsidR="00201EDA">
        <w:rPr>
          <w:color w:val="000000" w:themeColor="text1"/>
          <w:szCs w:val="24"/>
        </w:rPr>
        <w:t>m</w:t>
      </w:r>
      <w:r w:rsidR="00E04A95" w:rsidRPr="000F441A">
        <w:rPr>
          <w:color w:val="000000" w:themeColor="text1"/>
          <w:szCs w:val="24"/>
        </w:rPr>
        <w:t xml:space="preserve">igraine </w:t>
      </w:r>
      <w:r w:rsidR="00201EDA">
        <w:rPr>
          <w:color w:val="000000" w:themeColor="text1"/>
          <w:szCs w:val="24"/>
        </w:rPr>
        <w:t>h</w:t>
      </w:r>
      <w:r w:rsidR="00E04A95" w:rsidRPr="000F441A">
        <w:rPr>
          <w:color w:val="000000" w:themeColor="text1"/>
          <w:szCs w:val="24"/>
        </w:rPr>
        <w:t xml:space="preserve">eadaches, </w:t>
      </w:r>
      <w:r w:rsidR="00201EDA">
        <w:rPr>
          <w:color w:val="000000" w:themeColor="text1"/>
          <w:szCs w:val="24"/>
        </w:rPr>
        <w:t>a</w:t>
      </w:r>
      <w:r w:rsidR="00E04A95" w:rsidRPr="000F441A">
        <w:rPr>
          <w:color w:val="000000" w:themeColor="text1"/>
          <w:szCs w:val="24"/>
        </w:rPr>
        <w:t xml:space="preserve">typical </w:t>
      </w:r>
      <w:r w:rsidR="00201EDA">
        <w:rPr>
          <w:color w:val="000000" w:themeColor="text1"/>
          <w:szCs w:val="24"/>
        </w:rPr>
        <w:t>c</w:t>
      </w:r>
      <w:r w:rsidR="00E04A95" w:rsidRPr="000F441A">
        <w:rPr>
          <w:color w:val="000000" w:themeColor="text1"/>
          <w:szCs w:val="24"/>
        </w:rPr>
        <w:t xml:space="preserve">hest </w:t>
      </w:r>
      <w:r w:rsidR="00201EDA">
        <w:rPr>
          <w:color w:val="000000" w:themeColor="text1"/>
          <w:szCs w:val="24"/>
        </w:rPr>
        <w:t>p</w:t>
      </w:r>
      <w:r w:rsidR="00E04A95" w:rsidRPr="000F441A">
        <w:rPr>
          <w:color w:val="000000" w:themeColor="text1"/>
          <w:szCs w:val="24"/>
        </w:rPr>
        <w:t xml:space="preserve">ain, </w:t>
      </w:r>
      <w:r w:rsidR="00201EDA">
        <w:rPr>
          <w:color w:val="000000" w:themeColor="text1"/>
          <w:szCs w:val="24"/>
        </w:rPr>
        <w:t>h</w:t>
      </w:r>
      <w:r w:rsidR="00E04A95" w:rsidRPr="000F441A">
        <w:rPr>
          <w:color w:val="000000" w:themeColor="text1"/>
          <w:szCs w:val="24"/>
        </w:rPr>
        <w:t xml:space="preserve">ypertension and </w:t>
      </w:r>
      <w:r w:rsidR="00201EDA">
        <w:rPr>
          <w:color w:val="000000" w:themeColor="text1"/>
          <w:szCs w:val="24"/>
        </w:rPr>
        <w:t>b</w:t>
      </w:r>
      <w:r w:rsidR="00E04A95" w:rsidRPr="000F441A">
        <w:rPr>
          <w:color w:val="000000" w:themeColor="text1"/>
          <w:szCs w:val="24"/>
        </w:rPr>
        <w:t xml:space="preserve">enign </w:t>
      </w:r>
      <w:r w:rsidR="00201EDA">
        <w:rPr>
          <w:color w:val="000000" w:themeColor="text1"/>
          <w:szCs w:val="24"/>
        </w:rPr>
        <w:t>prostatic h</w:t>
      </w:r>
      <w:r w:rsidR="00E04A95" w:rsidRPr="000F441A">
        <w:rPr>
          <w:color w:val="000000" w:themeColor="text1"/>
          <w:szCs w:val="24"/>
        </w:rPr>
        <w:t>yperplasia</w:t>
      </w:r>
      <w:r w:rsidR="008C3223" w:rsidRPr="000F441A">
        <w:rPr>
          <w:color w:val="auto"/>
          <w:szCs w:val="24"/>
        </w:rPr>
        <w:t xml:space="preserve">.  </w:t>
      </w:r>
      <w:r w:rsidR="00197BEB" w:rsidRPr="000F441A">
        <w:rPr>
          <w:color w:val="auto"/>
          <w:szCs w:val="24"/>
        </w:rPr>
        <w:t xml:space="preserve">The Board’s main charge in respect to these conditions is an assessment of the appropriateness of the PEB’s fitness adjudication.  The Board’s threshold for countering DES fitness determinations is higher than the VASRD §4.3 (reasonable doubt) standard used for its rating recommendations, but remains adherent to the DoDI 6040.44 “fair and equitable” standard.  </w:t>
      </w:r>
      <w:r w:rsidR="00041685" w:rsidRPr="000F441A">
        <w:rPr>
          <w:color w:val="auto"/>
          <w:szCs w:val="24"/>
        </w:rPr>
        <w:t xml:space="preserve">In addition to the unfitting neck and back conditions discussed above, the </w:t>
      </w:r>
      <w:r w:rsidR="00197BEB" w:rsidRPr="000F441A">
        <w:rPr>
          <w:color w:val="auto"/>
          <w:szCs w:val="24"/>
        </w:rPr>
        <w:t>profile</w:t>
      </w:r>
      <w:r w:rsidR="00197BEB">
        <w:rPr>
          <w:color w:val="auto"/>
          <w:szCs w:val="24"/>
        </w:rPr>
        <w:t xml:space="preserve"> </w:t>
      </w:r>
      <w:r w:rsidR="00041685">
        <w:rPr>
          <w:color w:val="auto"/>
          <w:szCs w:val="24"/>
        </w:rPr>
        <w:t xml:space="preserve">also </w:t>
      </w:r>
      <w:r w:rsidR="00197BEB">
        <w:rPr>
          <w:color w:val="auto"/>
          <w:szCs w:val="24"/>
        </w:rPr>
        <w:t xml:space="preserve">listed </w:t>
      </w:r>
      <w:r w:rsidR="00041685">
        <w:rPr>
          <w:color w:val="auto"/>
          <w:szCs w:val="24"/>
        </w:rPr>
        <w:t>seizures as a “</w:t>
      </w:r>
      <w:r w:rsidR="00201EDA">
        <w:rPr>
          <w:color w:val="auto"/>
          <w:szCs w:val="24"/>
        </w:rPr>
        <w:t>t</w:t>
      </w:r>
      <w:r w:rsidR="00041685">
        <w:rPr>
          <w:color w:val="auto"/>
          <w:szCs w:val="24"/>
        </w:rPr>
        <w:t>emp P3</w:t>
      </w:r>
      <w:r w:rsidR="00587872">
        <w:rPr>
          <w:color w:val="auto"/>
          <w:szCs w:val="24"/>
        </w:rPr>
        <w:t>”</w:t>
      </w:r>
      <w:r w:rsidR="00041685">
        <w:rPr>
          <w:color w:val="auto"/>
          <w:szCs w:val="24"/>
        </w:rPr>
        <w:t xml:space="preserve"> restriction with “T-3:  Patient is not allowed to swim, bike, operate any machinery or drive due to seizures.”  T</w:t>
      </w:r>
      <w:r w:rsidR="00197BEB">
        <w:rPr>
          <w:color w:val="000000" w:themeColor="text1"/>
          <w:szCs w:val="24"/>
        </w:rPr>
        <w:t>he commander’s statement did not specify what limitations or conditions impaired duty performance</w:t>
      </w:r>
      <w:r w:rsidR="00197BEB" w:rsidRPr="001F29F9">
        <w:rPr>
          <w:color w:val="000000" w:themeColor="text1"/>
          <w:szCs w:val="24"/>
        </w:rPr>
        <w:t xml:space="preserve">.  </w:t>
      </w:r>
      <w:r w:rsidR="009D549D">
        <w:rPr>
          <w:color w:val="000000" w:themeColor="text1"/>
          <w:szCs w:val="24"/>
        </w:rPr>
        <w:t>Any impact of an “e</w:t>
      </w:r>
      <w:r w:rsidR="009D549D" w:rsidRPr="009D549D">
        <w:rPr>
          <w:color w:val="000000" w:themeColor="text1"/>
          <w:szCs w:val="24"/>
        </w:rPr>
        <w:t>xisted prior to active duty activation</w:t>
      </w:r>
      <w:r w:rsidR="009D549D">
        <w:rPr>
          <w:color w:val="000000" w:themeColor="text1"/>
          <w:szCs w:val="24"/>
        </w:rPr>
        <w:t xml:space="preserve">” (EPTS) determination is only considered for unfitting conditions.  </w:t>
      </w:r>
    </w:p>
    <w:p w:rsidR="00197BEB" w:rsidRDefault="00197BEB" w:rsidP="00197BEB">
      <w:pPr>
        <w:tabs>
          <w:tab w:val="left" w:pos="288"/>
          <w:tab w:val="left" w:pos="4752"/>
        </w:tabs>
        <w:jc w:val="both"/>
        <w:rPr>
          <w:color w:val="auto"/>
          <w:szCs w:val="24"/>
        </w:rPr>
      </w:pPr>
    </w:p>
    <w:p w:rsidR="00041685" w:rsidRPr="00041685" w:rsidRDefault="00B24BAC" w:rsidP="000F441A">
      <w:pPr>
        <w:jc w:val="both"/>
        <w:rPr>
          <w:color w:val="auto"/>
          <w:szCs w:val="24"/>
        </w:rPr>
      </w:pPr>
      <w:r>
        <w:rPr>
          <w:rFonts w:eastAsia="HiddenHorzOCR"/>
          <w:color w:val="000000" w:themeColor="text1"/>
          <w:szCs w:val="24"/>
        </w:rPr>
        <w:t xml:space="preserve">The CI had an initial diagnosis and </w:t>
      </w:r>
      <w:r w:rsidRPr="000F441A">
        <w:rPr>
          <w:rFonts w:eastAsia="HiddenHorzOCR"/>
          <w:color w:val="000000" w:themeColor="text1"/>
          <w:szCs w:val="24"/>
        </w:rPr>
        <w:t xml:space="preserve">hospitalization for seizure condition in April 2006.  Neurologist exam indicated </w:t>
      </w:r>
      <w:proofErr w:type="spellStart"/>
      <w:r w:rsidRPr="000F441A">
        <w:rPr>
          <w:rFonts w:eastAsia="HiddenHorzOCR"/>
          <w:color w:val="000000" w:themeColor="text1"/>
          <w:szCs w:val="24"/>
        </w:rPr>
        <w:t>postictal</w:t>
      </w:r>
      <w:proofErr w:type="spellEnd"/>
      <w:r w:rsidRPr="000F441A">
        <w:rPr>
          <w:rFonts w:eastAsia="HiddenHorzOCR"/>
          <w:color w:val="000000" w:themeColor="text1"/>
          <w:szCs w:val="24"/>
        </w:rPr>
        <w:t xml:space="preserve"> state and </w:t>
      </w:r>
      <w:r w:rsidR="00542566" w:rsidRPr="000F441A">
        <w:rPr>
          <w:rFonts w:eastAsia="HiddenHorzOCR"/>
          <w:color w:val="000000" w:themeColor="text1"/>
          <w:szCs w:val="24"/>
        </w:rPr>
        <w:t xml:space="preserve">electroencephalogram </w:t>
      </w:r>
      <w:r w:rsidRPr="000F441A">
        <w:rPr>
          <w:rFonts w:eastAsia="HiddenHorzOCR"/>
          <w:color w:val="000000" w:themeColor="text1"/>
          <w:szCs w:val="24"/>
        </w:rPr>
        <w:t xml:space="preserve">showed abnormal </w:t>
      </w:r>
      <w:proofErr w:type="spellStart"/>
      <w:r w:rsidRPr="000F441A">
        <w:rPr>
          <w:rFonts w:eastAsia="HiddenHorzOCR"/>
          <w:color w:val="000000" w:themeColor="text1"/>
          <w:szCs w:val="24"/>
        </w:rPr>
        <w:t>postictal</w:t>
      </w:r>
      <w:proofErr w:type="spellEnd"/>
      <w:r w:rsidRPr="000F441A">
        <w:rPr>
          <w:rFonts w:eastAsia="HiddenHorzOCR"/>
          <w:color w:val="000000" w:themeColor="text1"/>
          <w:szCs w:val="24"/>
        </w:rPr>
        <w:t xml:space="preserve"> seizure activity.  </w:t>
      </w:r>
      <w:r w:rsidR="00A72C8A" w:rsidRPr="000F441A">
        <w:rPr>
          <w:rFonts w:eastAsia="HiddenHorzOCR"/>
          <w:color w:val="000000" w:themeColor="text1"/>
          <w:szCs w:val="24"/>
        </w:rPr>
        <w:t xml:space="preserve">The CI had </w:t>
      </w:r>
      <w:proofErr w:type="gramStart"/>
      <w:r w:rsidR="00A72C8A" w:rsidRPr="000F441A">
        <w:rPr>
          <w:rFonts w:eastAsia="HiddenHorzOCR"/>
          <w:color w:val="000000" w:themeColor="text1"/>
          <w:szCs w:val="24"/>
        </w:rPr>
        <w:t>a an</w:t>
      </w:r>
      <w:proofErr w:type="gramEnd"/>
      <w:r w:rsidR="00A72C8A" w:rsidRPr="000F441A">
        <w:rPr>
          <w:rFonts w:eastAsia="HiddenHorzOCR"/>
          <w:color w:val="000000" w:themeColor="text1"/>
          <w:szCs w:val="24"/>
        </w:rPr>
        <w:t xml:space="preserve"> abnormal MRI showing “probable remote ischemic event or injury.”  The </w:t>
      </w:r>
      <w:r w:rsidRPr="000F441A">
        <w:rPr>
          <w:rFonts w:eastAsia="HiddenHorzOCR"/>
          <w:color w:val="000000" w:themeColor="text1"/>
          <w:szCs w:val="24"/>
        </w:rPr>
        <w:t>CI was o</w:t>
      </w:r>
      <w:r>
        <w:rPr>
          <w:rFonts w:eastAsia="HiddenHorzOCR"/>
          <w:color w:val="000000" w:themeColor="text1"/>
          <w:szCs w:val="24"/>
        </w:rPr>
        <w:t xml:space="preserve">n chronic medication and had “not had any </w:t>
      </w:r>
      <w:r w:rsidRPr="00B24BAC">
        <w:rPr>
          <w:rFonts w:eastAsia="HiddenHorzOCR"/>
          <w:color w:val="000000" w:themeColor="text1"/>
          <w:szCs w:val="24"/>
        </w:rPr>
        <w:t>further syncopal episodes or seizures</w:t>
      </w:r>
      <w:r>
        <w:rPr>
          <w:rFonts w:eastAsia="HiddenHorzOCR"/>
          <w:color w:val="000000" w:themeColor="text1"/>
          <w:szCs w:val="24"/>
        </w:rPr>
        <w:t xml:space="preserve"> </w:t>
      </w:r>
      <w:r w:rsidRPr="00B24BAC">
        <w:rPr>
          <w:rFonts w:eastAsia="HiddenHorzOCR"/>
          <w:color w:val="000000" w:themeColor="text1"/>
          <w:szCs w:val="24"/>
        </w:rPr>
        <w:t>since being treated with seizure</w:t>
      </w:r>
      <w:r>
        <w:rPr>
          <w:rFonts w:eastAsia="HiddenHorzOCR"/>
          <w:color w:val="000000" w:themeColor="text1"/>
          <w:szCs w:val="24"/>
        </w:rPr>
        <w:t xml:space="preserve"> </w:t>
      </w:r>
      <w:r w:rsidRPr="00B24BAC">
        <w:rPr>
          <w:rFonts w:eastAsia="HiddenHorzOCR"/>
          <w:color w:val="000000" w:themeColor="text1"/>
          <w:szCs w:val="24"/>
        </w:rPr>
        <w:t>medication.</w:t>
      </w:r>
      <w:r>
        <w:rPr>
          <w:rFonts w:eastAsia="HiddenHorzOCR"/>
          <w:color w:val="000000" w:themeColor="text1"/>
          <w:szCs w:val="24"/>
        </w:rPr>
        <w:t xml:space="preserve">”  </w:t>
      </w:r>
      <w:r w:rsidR="00A72C8A">
        <w:rPr>
          <w:rFonts w:eastAsia="HiddenHorzOCR"/>
          <w:color w:val="000000" w:themeColor="text1"/>
          <w:szCs w:val="24"/>
        </w:rPr>
        <w:t xml:space="preserve">Treatment notes following the NARSUM, and closer to the date of </w:t>
      </w:r>
      <w:proofErr w:type="gramStart"/>
      <w:r w:rsidR="00A72C8A">
        <w:rPr>
          <w:rFonts w:eastAsia="HiddenHorzOCR"/>
          <w:color w:val="000000" w:themeColor="text1"/>
          <w:szCs w:val="24"/>
        </w:rPr>
        <w:t>separation,</w:t>
      </w:r>
      <w:proofErr w:type="gramEnd"/>
      <w:r w:rsidR="00A72C8A">
        <w:rPr>
          <w:rFonts w:eastAsia="HiddenHorzOCR"/>
          <w:color w:val="000000" w:themeColor="text1"/>
          <w:szCs w:val="24"/>
        </w:rPr>
        <w:t xml:space="preserve"> indicated the seizure condition was stable.  </w:t>
      </w:r>
      <w:r w:rsidR="00960C33">
        <w:rPr>
          <w:rFonts w:eastAsia="HiddenHorzOCR"/>
          <w:color w:val="000000" w:themeColor="text1"/>
          <w:szCs w:val="24"/>
        </w:rPr>
        <w:t xml:space="preserve">The profile restrictions were indicated as temporary and are usual for a new diagnosis of seizure until medication has proven effective in seizure prevention (commonly </w:t>
      </w:r>
      <w:r w:rsidR="00201EDA">
        <w:rPr>
          <w:rFonts w:eastAsia="HiddenHorzOCR"/>
          <w:color w:val="000000" w:themeColor="text1"/>
          <w:szCs w:val="24"/>
        </w:rPr>
        <w:t>1</w:t>
      </w:r>
      <w:r w:rsidR="00960C33">
        <w:rPr>
          <w:rFonts w:eastAsia="HiddenHorzOCR"/>
          <w:color w:val="000000" w:themeColor="text1"/>
          <w:szCs w:val="24"/>
        </w:rPr>
        <w:t xml:space="preserve"> year).  </w:t>
      </w:r>
      <w:r w:rsidR="00201EDA">
        <w:rPr>
          <w:rFonts w:eastAsia="HiddenHorzOCR"/>
          <w:color w:val="000000" w:themeColor="text1"/>
          <w:szCs w:val="24"/>
        </w:rPr>
        <w:t xml:space="preserve">After </w:t>
      </w:r>
      <w:r w:rsidR="00960C33">
        <w:rPr>
          <w:rFonts w:eastAsia="HiddenHorzOCR"/>
          <w:color w:val="000000" w:themeColor="text1"/>
          <w:szCs w:val="24"/>
        </w:rPr>
        <w:t xml:space="preserve">separation records through 2010 indicated good seizure control on medication.  </w:t>
      </w:r>
      <w:r w:rsidR="007B087D" w:rsidRPr="000F441A">
        <w:rPr>
          <w:rFonts w:eastAsia="HiddenHorzOCR"/>
          <w:color w:val="000000" w:themeColor="text1"/>
          <w:szCs w:val="24"/>
        </w:rPr>
        <w:t xml:space="preserve">The remote history of </w:t>
      </w:r>
      <w:proofErr w:type="spellStart"/>
      <w:r w:rsidR="00201EDA">
        <w:rPr>
          <w:color w:val="000000" w:themeColor="text1"/>
          <w:szCs w:val="24"/>
        </w:rPr>
        <w:t>c</w:t>
      </w:r>
      <w:r w:rsidR="007B087D" w:rsidRPr="000F441A">
        <w:rPr>
          <w:color w:val="000000" w:themeColor="text1"/>
          <w:szCs w:val="24"/>
        </w:rPr>
        <w:t>erebrovascular</w:t>
      </w:r>
      <w:proofErr w:type="spellEnd"/>
      <w:r w:rsidR="007B087D" w:rsidRPr="000F441A">
        <w:rPr>
          <w:color w:val="000000" w:themeColor="text1"/>
          <w:szCs w:val="24"/>
        </w:rPr>
        <w:t xml:space="preserve"> </w:t>
      </w:r>
      <w:r w:rsidR="00201EDA">
        <w:rPr>
          <w:color w:val="000000" w:themeColor="text1"/>
          <w:szCs w:val="24"/>
        </w:rPr>
        <w:t>a</w:t>
      </w:r>
      <w:r w:rsidR="007B087D" w:rsidRPr="000F441A">
        <w:rPr>
          <w:color w:val="000000" w:themeColor="text1"/>
          <w:szCs w:val="24"/>
        </w:rPr>
        <w:t xml:space="preserve">ccident w/no </w:t>
      </w:r>
      <w:r w:rsidR="00201EDA">
        <w:rPr>
          <w:color w:val="000000" w:themeColor="text1"/>
          <w:szCs w:val="24"/>
        </w:rPr>
        <w:t>r</w:t>
      </w:r>
      <w:r w:rsidR="007B087D" w:rsidRPr="000F441A">
        <w:rPr>
          <w:color w:val="000000" w:themeColor="text1"/>
          <w:szCs w:val="24"/>
        </w:rPr>
        <w:t xml:space="preserve">esidual </w:t>
      </w:r>
      <w:r w:rsidR="00201EDA">
        <w:rPr>
          <w:color w:val="000000" w:themeColor="text1"/>
          <w:szCs w:val="24"/>
        </w:rPr>
        <w:t>e</w:t>
      </w:r>
      <w:r w:rsidR="007B087D" w:rsidRPr="000F441A">
        <w:rPr>
          <w:color w:val="000000" w:themeColor="text1"/>
          <w:szCs w:val="24"/>
        </w:rPr>
        <w:t xml:space="preserve">ffects was based on imaging abnormality and each claimed residual was separately considered.  The history of </w:t>
      </w:r>
      <w:r w:rsidR="00201EDA">
        <w:rPr>
          <w:color w:val="000000" w:themeColor="text1"/>
          <w:szCs w:val="24"/>
        </w:rPr>
        <w:t>h</w:t>
      </w:r>
      <w:r w:rsidR="007B087D" w:rsidRPr="000F441A">
        <w:rPr>
          <w:color w:val="000000" w:themeColor="text1"/>
          <w:szCs w:val="24"/>
        </w:rPr>
        <w:t xml:space="preserve">eat </w:t>
      </w:r>
      <w:r w:rsidR="00201EDA">
        <w:rPr>
          <w:color w:val="000000" w:themeColor="text1"/>
          <w:szCs w:val="24"/>
        </w:rPr>
        <w:t>i</w:t>
      </w:r>
      <w:r w:rsidR="007B087D" w:rsidRPr="000F441A">
        <w:rPr>
          <w:color w:val="000000" w:themeColor="text1"/>
          <w:szCs w:val="24"/>
        </w:rPr>
        <w:t xml:space="preserve">njury and </w:t>
      </w:r>
      <w:r w:rsidR="00201EDA">
        <w:rPr>
          <w:color w:val="000000" w:themeColor="text1"/>
          <w:szCs w:val="24"/>
        </w:rPr>
        <w:t>h</w:t>
      </w:r>
      <w:r w:rsidR="007B087D" w:rsidRPr="000F441A">
        <w:rPr>
          <w:color w:val="000000" w:themeColor="text1"/>
          <w:szCs w:val="24"/>
        </w:rPr>
        <w:t xml:space="preserve">eat </w:t>
      </w:r>
      <w:r w:rsidR="00201EDA">
        <w:rPr>
          <w:color w:val="000000" w:themeColor="text1"/>
          <w:szCs w:val="24"/>
        </w:rPr>
        <w:t>s</w:t>
      </w:r>
      <w:r w:rsidR="007B087D" w:rsidRPr="000F441A">
        <w:rPr>
          <w:color w:val="000000" w:themeColor="text1"/>
          <w:szCs w:val="24"/>
        </w:rPr>
        <w:t xml:space="preserve">troke w/no </w:t>
      </w:r>
      <w:r w:rsidR="00201EDA">
        <w:rPr>
          <w:color w:val="000000" w:themeColor="text1"/>
          <w:szCs w:val="24"/>
        </w:rPr>
        <w:t>r</w:t>
      </w:r>
      <w:r w:rsidR="007B087D" w:rsidRPr="000F441A">
        <w:rPr>
          <w:color w:val="000000" w:themeColor="text1"/>
          <w:szCs w:val="24"/>
        </w:rPr>
        <w:t xml:space="preserve">esidual </w:t>
      </w:r>
      <w:r w:rsidR="00201EDA">
        <w:rPr>
          <w:color w:val="000000" w:themeColor="text1"/>
          <w:szCs w:val="24"/>
        </w:rPr>
        <w:t>e</w:t>
      </w:r>
      <w:r w:rsidR="007B087D" w:rsidRPr="000F441A">
        <w:rPr>
          <w:color w:val="000000" w:themeColor="text1"/>
          <w:szCs w:val="24"/>
        </w:rPr>
        <w:t xml:space="preserve">ffects did indicate a </w:t>
      </w:r>
      <w:proofErr w:type="spellStart"/>
      <w:r w:rsidR="007B087D" w:rsidRPr="000F441A">
        <w:rPr>
          <w:color w:val="000000" w:themeColor="text1"/>
          <w:szCs w:val="24"/>
        </w:rPr>
        <w:t>righer</w:t>
      </w:r>
      <w:proofErr w:type="spellEnd"/>
      <w:r w:rsidR="007B087D" w:rsidRPr="000F441A">
        <w:rPr>
          <w:color w:val="000000" w:themeColor="text1"/>
          <w:szCs w:val="24"/>
        </w:rPr>
        <w:t xml:space="preserve"> risk of recurrence and probable geographic restrictions.  There was scant evidence of recurrent prostrating attacks for the migraine headache condition.  Atypical chest pain was not debilitating and hypertension and </w:t>
      </w:r>
      <w:r w:rsidR="00201EDA">
        <w:rPr>
          <w:color w:val="000000" w:themeColor="text1"/>
          <w:szCs w:val="24"/>
        </w:rPr>
        <w:t>b</w:t>
      </w:r>
      <w:r w:rsidR="007B087D" w:rsidRPr="000F441A">
        <w:rPr>
          <w:color w:val="000000" w:themeColor="text1"/>
          <w:szCs w:val="24"/>
        </w:rPr>
        <w:t xml:space="preserve">enign </w:t>
      </w:r>
      <w:r w:rsidR="00201EDA">
        <w:rPr>
          <w:color w:val="000000" w:themeColor="text1"/>
          <w:szCs w:val="24"/>
        </w:rPr>
        <w:t>p</w:t>
      </w:r>
      <w:r w:rsidR="007B087D" w:rsidRPr="000F441A">
        <w:rPr>
          <w:color w:val="000000" w:themeColor="text1"/>
          <w:szCs w:val="24"/>
        </w:rPr>
        <w:t xml:space="preserve">rostatic </w:t>
      </w:r>
      <w:r w:rsidR="00201EDA">
        <w:rPr>
          <w:color w:val="000000" w:themeColor="text1"/>
          <w:szCs w:val="24"/>
        </w:rPr>
        <w:t>h</w:t>
      </w:r>
      <w:r w:rsidR="007B087D" w:rsidRPr="000F441A">
        <w:rPr>
          <w:color w:val="000000" w:themeColor="text1"/>
          <w:szCs w:val="24"/>
        </w:rPr>
        <w:t xml:space="preserve">yperplasia had no symptoms that were to the level of being unfitting.  </w:t>
      </w:r>
      <w:r w:rsidR="007B087D" w:rsidRPr="000F441A">
        <w:rPr>
          <w:color w:val="auto"/>
          <w:szCs w:val="24"/>
        </w:rPr>
        <w:t xml:space="preserve">After due deliberation in consideration of the preponderance of the evidence, the Board concluded that there was insufficient cause </w:t>
      </w:r>
      <w:r w:rsidR="00733CB9" w:rsidRPr="000F441A">
        <w:rPr>
          <w:color w:val="auto"/>
          <w:szCs w:val="24"/>
        </w:rPr>
        <w:t xml:space="preserve">(preponderance of evidence) </w:t>
      </w:r>
      <w:r w:rsidR="007B087D" w:rsidRPr="000F441A">
        <w:rPr>
          <w:color w:val="auto"/>
          <w:szCs w:val="24"/>
        </w:rPr>
        <w:t xml:space="preserve">to recommend a change in the PEB </w:t>
      </w:r>
      <w:r w:rsidR="00960C33" w:rsidRPr="000F441A">
        <w:rPr>
          <w:color w:val="auto"/>
          <w:szCs w:val="24"/>
        </w:rPr>
        <w:t xml:space="preserve">not unfitting </w:t>
      </w:r>
      <w:r w:rsidR="007B087D" w:rsidRPr="000F441A">
        <w:rPr>
          <w:color w:val="auto"/>
          <w:szCs w:val="24"/>
        </w:rPr>
        <w:t xml:space="preserve">adjudications for the </w:t>
      </w:r>
      <w:r w:rsidR="00201EDA">
        <w:rPr>
          <w:color w:val="000000" w:themeColor="text1"/>
          <w:szCs w:val="24"/>
        </w:rPr>
        <w:t>s</w:t>
      </w:r>
      <w:r w:rsidR="007B087D" w:rsidRPr="000F441A">
        <w:rPr>
          <w:color w:val="000000" w:themeColor="text1"/>
          <w:szCs w:val="24"/>
        </w:rPr>
        <w:t xml:space="preserve">eizure </w:t>
      </w:r>
      <w:r w:rsidR="00201EDA">
        <w:rPr>
          <w:color w:val="000000" w:themeColor="text1"/>
          <w:szCs w:val="24"/>
        </w:rPr>
        <w:t>d</w:t>
      </w:r>
      <w:r w:rsidR="007B087D" w:rsidRPr="000F441A">
        <w:rPr>
          <w:color w:val="000000" w:themeColor="text1"/>
          <w:szCs w:val="24"/>
        </w:rPr>
        <w:t>isorder</w:t>
      </w:r>
      <w:r w:rsidR="007B087D" w:rsidRPr="000F441A">
        <w:rPr>
          <w:color w:val="auto"/>
          <w:szCs w:val="24"/>
        </w:rPr>
        <w:t xml:space="preserve"> </w:t>
      </w:r>
      <w:r w:rsidR="00201EDA">
        <w:rPr>
          <w:color w:val="auto"/>
          <w:szCs w:val="24"/>
        </w:rPr>
        <w:t>r</w:t>
      </w:r>
      <w:r w:rsidR="00041685" w:rsidRPr="000F441A">
        <w:rPr>
          <w:color w:val="auto"/>
          <w:szCs w:val="24"/>
        </w:rPr>
        <w:t xml:space="preserve">emote </w:t>
      </w:r>
      <w:r w:rsidR="00201EDA">
        <w:rPr>
          <w:color w:val="auto"/>
          <w:szCs w:val="24"/>
        </w:rPr>
        <w:t xml:space="preserve">history of </w:t>
      </w:r>
      <w:proofErr w:type="spellStart"/>
      <w:r w:rsidR="00201EDA">
        <w:rPr>
          <w:color w:val="auto"/>
          <w:szCs w:val="24"/>
        </w:rPr>
        <w:t>c</w:t>
      </w:r>
      <w:r w:rsidR="00041685" w:rsidRPr="000F441A">
        <w:rPr>
          <w:color w:val="auto"/>
          <w:szCs w:val="24"/>
        </w:rPr>
        <w:t>erebrovascular</w:t>
      </w:r>
      <w:proofErr w:type="spellEnd"/>
      <w:r w:rsidR="00041685" w:rsidRPr="000F441A">
        <w:rPr>
          <w:color w:val="auto"/>
          <w:szCs w:val="24"/>
        </w:rPr>
        <w:t xml:space="preserve"> </w:t>
      </w:r>
      <w:r w:rsidR="00201EDA">
        <w:rPr>
          <w:color w:val="auto"/>
          <w:szCs w:val="24"/>
        </w:rPr>
        <w:t>a</w:t>
      </w:r>
      <w:r w:rsidR="00041685" w:rsidRPr="000F441A">
        <w:rPr>
          <w:color w:val="auto"/>
          <w:szCs w:val="24"/>
        </w:rPr>
        <w:t xml:space="preserve">ccident </w:t>
      </w:r>
      <w:r w:rsidR="00041685" w:rsidRPr="000F441A">
        <w:rPr>
          <w:color w:val="auto"/>
          <w:szCs w:val="24"/>
        </w:rPr>
        <w:lastRenderedPageBreak/>
        <w:t xml:space="preserve">w/no </w:t>
      </w:r>
      <w:r w:rsidR="00201EDA">
        <w:rPr>
          <w:color w:val="auto"/>
          <w:szCs w:val="24"/>
        </w:rPr>
        <w:t>r</w:t>
      </w:r>
      <w:r w:rsidR="00041685" w:rsidRPr="000F441A">
        <w:rPr>
          <w:color w:val="auto"/>
          <w:szCs w:val="24"/>
        </w:rPr>
        <w:t xml:space="preserve">esidual </w:t>
      </w:r>
      <w:r w:rsidR="00201EDA">
        <w:rPr>
          <w:color w:val="auto"/>
          <w:szCs w:val="24"/>
        </w:rPr>
        <w:t>e</w:t>
      </w:r>
      <w:r w:rsidR="00041685" w:rsidRPr="000F441A">
        <w:rPr>
          <w:color w:val="auto"/>
          <w:szCs w:val="24"/>
        </w:rPr>
        <w:t xml:space="preserve">ffects, </w:t>
      </w:r>
      <w:r w:rsidR="00201EDA">
        <w:rPr>
          <w:color w:val="auto"/>
          <w:szCs w:val="24"/>
        </w:rPr>
        <w:t>h</w:t>
      </w:r>
      <w:r w:rsidR="00041685" w:rsidRPr="000F441A">
        <w:rPr>
          <w:color w:val="auto"/>
          <w:szCs w:val="24"/>
        </w:rPr>
        <w:t xml:space="preserve">istory of </w:t>
      </w:r>
      <w:r w:rsidR="00201EDA">
        <w:rPr>
          <w:color w:val="auto"/>
          <w:szCs w:val="24"/>
        </w:rPr>
        <w:t>h</w:t>
      </w:r>
      <w:r w:rsidR="00041685" w:rsidRPr="000F441A">
        <w:rPr>
          <w:color w:val="auto"/>
          <w:szCs w:val="24"/>
        </w:rPr>
        <w:t xml:space="preserve">eat </w:t>
      </w:r>
      <w:r w:rsidR="00201EDA">
        <w:rPr>
          <w:color w:val="auto"/>
          <w:szCs w:val="24"/>
        </w:rPr>
        <w:t>i</w:t>
      </w:r>
      <w:r w:rsidR="00041685" w:rsidRPr="000F441A">
        <w:rPr>
          <w:color w:val="auto"/>
          <w:szCs w:val="24"/>
        </w:rPr>
        <w:t xml:space="preserve">njury and </w:t>
      </w:r>
      <w:r w:rsidR="00201EDA">
        <w:rPr>
          <w:color w:val="auto"/>
          <w:szCs w:val="24"/>
        </w:rPr>
        <w:t>h</w:t>
      </w:r>
      <w:r w:rsidR="00041685" w:rsidRPr="000F441A">
        <w:rPr>
          <w:color w:val="auto"/>
          <w:szCs w:val="24"/>
        </w:rPr>
        <w:t xml:space="preserve">eat </w:t>
      </w:r>
      <w:r w:rsidR="00201EDA">
        <w:rPr>
          <w:color w:val="auto"/>
          <w:szCs w:val="24"/>
        </w:rPr>
        <w:t>s</w:t>
      </w:r>
      <w:r w:rsidR="00041685" w:rsidRPr="000F441A">
        <w:rPr>
          <w:color w:val="auto"/>
          <w:szCs w:val="24"/>
        </w:rPr>
        <w:t xml:space="preserve">troke w/no </w:t>
      </w:r>
      <w:r w:rsidR="00201EDA">
        <w:rPr>
          <w:color w:val="auto"/>
          <w:szCs w:val="24"/>
        </w:rPr>
        <w:t>r</w:t>
      </w:r>
      <w:r w:rsidR="00041685" w:rsidRPr="000F441A">
        <w:rPr>
          <w:color w:val="auto"/>
          <w:szCs w:val="24"/>
        </w:rPr>
        <w:t xml:space="preserve">esidual </w:t>
      </w:r>
      <w:r w:rsidR="00201EDA">
        <w:rPr>
          <w:color w:val="auto"/>
          <w:szCs w:val="24"/>
        </w:rPr>
        <w:t>e</w:t>
      </w:r>
      <w:r w:rsidR="00041685" w:rsidRPr="000F441A">
        <w:rPr>
          <w:color w:val="auto"/>
          <w:szCs w:val="24"/>
        </w:rPr>
        <w:t xml:space="preserve">ffects, </w:t>
      </w:r>
      <w:r w:rsidR="00201EDA">
        <w:rPr>
          <w:color w:val="auto"/>
          <w:szCs w:val="24"/>
        </w:rPr>
        <w:t>m</w:t>
      </w:r>
      <w:r w:rsidR="00041685" w:rsidRPr="000F441A">
        <w:rPr>
          <w:color w:val="auto"/>
          <w:szCs w:val="24"/>
        </w:rPr>
        <w:t xml:space="preserve">igraine </w:t>
      </w:r>
      <w:r w:rsidR="00201EDA">
        <w:rPr>
          <w:color w:val="auto"/>
          <w:szCs w:val="24"/>
        </w:rPr>
        <w:t>h</w:t>
      </w:r>
      <w:r w:rsidR="00041685" w:rsidRPr="000F441A">
        <w:rPr>
          <w:color w:val="auto"/>
          <w:szCs w:val="24"/>
        </w:rPr>
        <w:t xml:space="preserve">eadaches, </w:t>
      </w:r>
      <w:r w:rsidR="00201EDA">
        <w:rPr>
          <w:color w:val="auto"/>
          <w:szCs w:val="24"/>
        </w:rPr>
        <w:t>a</w:t>
      </w:r>
      <w:r w:rsidR="00041685" w:rsidRPr="000F441A">
        <w:rPr>
          <w:color w:val="auto"/>
          <w:szCs w:val="24"/>
        </w:rPr>
        <w:t xml:space="preserve">typical </w:t>
      </w:r>
      <w:r w:rsidR="00201EDA">
        <w:rPr>
          <w:color w:val="auto"/>
          <w:szCs w:val="24"/>
        </w:rPr>
        <w:t>c</w:t>
      </w:r>
      <w:r w:rsidR="00041685" w:rsidRPr="000F441A">
        <w:rPr>
          <w:color w:val="auto"/>
          <w:szCs w:val="24"/>
        </w:rPr>
        <w:t xml:space="preserve">hest </w:t>
      </w:r>
      <w:r w:rsidR="00201EDA">
        <w:rPr>
          <w:color w:val="auto"/>
          <w:szCs w:val="24"/>
        </w:rPr>
        <w:t>p</w:t>
      </w:r>
      <w:r w:rsidR="00041685" w:rsidRPr="000F441A">
        <w:rPr>
          <w:color w:val="auto"/>
          <w:szCs w:val="24"/>
        </w:rPr>
        <w:t xml:space="preserve">ain, </w:t>
      </w:r>
      <w:r w:rsidR="00201EDA">
        <w:rPr>
          <w:color w:val="auto"/>
          <w:szCs w:val="24"/>
        </w:rPr>
        <w:t>h</w:t>
      </w:r>
      <w:r w:rsidR="00041685" w:rsidRPr="000F441A">
        <w:rPr>
          <w:color w:val="auto"/>
          <w:szCs w:val="24"/>
        </w:rPr>
        <w:t xml:space="preserve">ypertension and </w:t>
      </w:r>
      <w:r w:rsidR="00201EDA">
        <w:rPr>
          <w:color w:val="auto"/>
          <w:szCs w:val="24"/>
        </w:rPr>
        <w:t>b</w:t>
      </w:r>
      <w:r w:rsidR="00041685" w:rsidRPr="000F441A">
        <w:rPr>
          <w:color w:val="auto"/>
          <w:szCs w:val="24"/>
        </w:rPr>
        <w:t xml:space="preserve">enign </w:t>
      </w:r>
      <w:r w:rsidR="00201EDA">
        <w:rPr>
          <w:color w:val="auto"/>
          <w:szCs w:val="24"/>
        </w:rPr>
        <w:t>p</w:t>
      </w:r>
      <w:r w:rsidR="00041685" w:rsidRPr="000F441A">
        <w:rPr>
          <w:color w:val="auto"/>
          <w:szCs w:val="24"/>
        </w:rPr>
        <w:t xml:space="preserve">rostatic </w:t>
      </w:r>
      <w:r w:rsidR="00201EDA">
        <w:rPr>
          <w:color w:val="auto"/>
          <w:szCs w:val="24"/>
        </w:rPr>
        <w:t>h</w:t>
      </w:r>
      <w:r w:rsidR="00041685" w:rsidRPr="000F441A">
        <w:rPr>
          <w:color w:val="auto"/>
          <w:szCs w:val="24"/>
        </w:rPr>
        <w:t>yperplasia</w:t>
      </w:r>
      <w:r w:rsidR="00197BEB" w:rsidRPr="000F441A">
        <w:rPr>
          <w:color w:val="auto"/>
          <w:szCs w:val="24"/>
        </w:rPr>
        <w:t>.</w:t>
      </w:r>
      <w:r w:rsidR="00197BEB" w:rsidRPr="00041685">
        <w:rPr>
          <w:color w:val="auto"/>
          <w:szCs w:val="24"/>
        </w:rPr>
        <w:t xml:space="preserve">  </w:t>
      </w:r>
    </w:p>
    <w:p w:rsidR="00807B99" w:rsidRPr="001F29F9" w:rsidRDefault="00807B99" w:rsidP="00BF0E94">
      <w:pPr>
        <w:jc w:val="left"/>
        <w:rPr>
          <w:rFonts w:eastAsia="HiddenHorzOCR"/>
          <w:color w:val="000000" w:themeColor="text1"/>
          <w:szCs w:val="24"/>
          <w:u w:val="single"/>
        </w:rPr>
      </w:pPr>
    </w:p>
    <w:p w:rsidR="00EC337D" w:rsidRPr="001F29F9" w:rsidRDefault="00EC337D" w:rsidP="00BF0E94">
      <w:pPr>
        <w:jc w:val="both"/>
        <w:rPr>
          <w:color w:val="000000" w:themeColor="text1"/>
          <w:szCs w:val="24"/>
        </w:rPr>
      </w:pPr>
      <w:r w:rsidRPr="001F29F9">
        <w:rPr>
          <w:rFonts w:eastAsia="HiddenHorzOCR"/>
          <w:color w:val="000000" w:themeColor="text1"/>
          <w:szCs w:val="24"/>
          <w:u w:val="single"/>
        </w:rPr>
        <w:t>Other Contended Conditions</w:t>
      </w:r>
      <w:r w:rsidR="003D699E">
        <w:rPr>
          <w:rFonts w:eastAsia="HiddenHorzOCR"/>
          <w:color w:val="000000" w:themeColor="text1"/>
          <w:szCs w:val="24"/>
          <w:u w:val="single"/>
        </w:rPr>
        <w:t xml:space="preserve"> and Remaining </w:t>
      </w:r>
      <w:r w:rsidR="003D699E" w:rsidRPr="000F441A">
        <w:rPr>
          <w:rFonts w:eastAsia="HiddenHorzOCR"/>
          <w:color w:val="000000" w:themeColor="text1"/>
          <w:szCs w:val="24"/>
          <w:u w:val="single"/>
        </w:rPr>
        <w:t>Conditions</w:t>
      </w:r>
      <w:r w:rsidRPr="000F441A">
        <w:rPr>
          <w:rFonts w:eastAsia="HiddenHorzOCR"/>
          <w:color w:val="000000" w:themeColor="text1"/>
          <w:szCs w:val="24"/>
        </w:rPr>
        <w:t xml:space="preserve">.  </w:t>
      </w:r>
      <w:r w:rsidR="003D699E" w:rsidRPr="000F441A">
        <w:rPr>
          <w:rFonts w:eastAsia="HiddenHorzOCR"/>
          <w:color w:val="000000" w:themeColor="text1"/>
          <w:szCs w:val="24"/>
        </w:rPr>
        <w:t xml:space="preserve">Since the MEB and </w:t>
      </w:r>
      <w:r w:rsidR="00594D12" w:rsidRPr="000F441A">
        <w:rPr>
          <w:rFonts w:eastAsia="HiddenHorzOCR"/>
          <w:color w:val="000000" w:themeColor="text1"/>
          <w:szCs w:val="24"/>
        </w:rPr>
        <w:t xml:space="preserve">the </w:t>
      </w:r>
      <w:r w:rsidR="003D699E" w:rsidRPr="000F441A">
        <w:rPr>
          <w:rFonts w:eastAsia="HiddenHorzOCR"/>
          <w:color w:val="000000" w:themeColor="text1"/>
          <w:szCs w:val="24"/>
        </w:rPr>
        <w:t xml:space="preserve">VA exam were the same exam and the MEB </w:t>
      </w:r>
      <w:r w:rsidR="00A92A13" w:rsidRPr="000F441A">
        <w:rPr>
          <w:rFonts w:eastAsia="HiddenHorzOCR"/>
          <w:color w:val="000000" w:themeColor="text1"/>
          <w:szCs w:val="24"/>
        </w:rPr>
        <w:t xml:space="preserve">DD Forms </w:t>
      </w:r>
      <w:r w:rsidR="003D699E" w:rsidRPr="000F441A">
        <w:rPr>
          <w:rFonts w:eastAsia="HiddenHorzOCR"/>
          <w:color w:val="000000" w:themeColor="text1"/>
          <w:szCs w:val="24"/>
        </w:rPr>
        <w:t>280</w:t>
      </w:r>
      <w:r w:rsidR="00A92A13" w:rsidRPr="000F441A">
        <w:rPr>
          <w:rFonts w:eastAsia="HiddenHorzOCR"/>
          <w:color w:val="000000" w:themeColor="text1"/>
          <w:szCs w:val="24"/>
        </w:rPr>
        <w:t>7 and 2808 indicated “</w:t>
      </w:r>
      <w:r w:rsidR="00201EDA">
        <w:rPr>
          <w:rFonts w:eastAsia="HiddenHorzOCR"/>
          <w:color w:val="000000" w:themeColor="text1"/>
          <w:szCs w:val="24"/>
        </w:rPr>
        <w:t>s</w:t>
      </w:r>
      <w:r w:rsidR="00A92A13" w:rsidRPr="000F441A">
        <w:rPr>
          <w:rFonts w:eastAsia="HiddenHorzOCR"/>
          <w:color w:val="000000" w:themeColor="text1"/>
          <w:szCs w:val="24"/>
        </w:rPr>
        <w:t xml:space="preserve">ee VA </w:t>
      </w:r>
      <w:r w:rsidR="00201EDA">
        <w:rPr>
          <w:rFonts w:eastAsia="HiddenHorzOCR"/>
          <w:color w:val="000000" w:themeColor="text1"/>
          <w:szCs w:val="24"/>
        </w:rPr>
        <w:t>d</w:t>
      </w:r>
      <w:r w:rsidR="00A92A13" w:rsidRPr="000F441A">
        <w:rPr>
          <w:rFonts w:eastAsia="HiddenHorzOCR"/>
          <w:color w:val="000000" w:themeColor="text1"/>
          <w:szCs w:val="24"/>
        </w:rPr>
        <w:t>ictation</w:t>
      </w:r>
      <w:r w:rsidR="006377D6">
        <w:rPr>
          <w:rFonts w:eastAsia="HiddenHorzOCR"/>
          <w:color w:val="000000" w:themeColor="text1"/>
          <w:szCs w:val="24"/>
        </w:rPr>
        <w:t>,</w:t>
      </w:r>
      <w:r w:rsidR="00A92A13" w:rsidRPr="000F441A">
        <w:rPr>
          <w:rFonts w:eastAsia="HiddenHorzOCR"/>
          <w:color w:val="000000" w:themeColor="text1"/>
          <w:szCs w:val="24"/>
        </w:rPr>
        <w:t xml:space="preserve">” all conditions mentioned in the VA dictation (C&amp;P exam) were considered as mentioned in the DES file.  </w:t>
      </w:r>
      <w:r w:rsidR="00594D12" w:rsidRPr="000F441A">
        <w:rPr>
          <w:rFonts w:eastAsia="HiddenHorzOCR"/>
          <w:color w:val="000000" w:themeColor="text1"/>
          <w:szCs w:val="24"/>
        </w:rPr>
        <w:t>Tinnitus</w:t>
      </w:r>
      <w:r w:rsidR="00960C33" w:rsidRPr="000F441A">
        <w:rPr>
          <w:rFonts w:eastAsia="HiddenHorzOCR"/>
          <w:color w:val="000000" w:themeColor="text1"/>
          <w:szCs w:val="24"/>
        </w:rPr>
        <w:t>,</w:t>
      </w:r>
      <w:r w:rsidR="00594D12" w:rsidRPr="000F441A">
        <w:rPr>
          <w:rFonts w:eastAsia="HiddenHorzOCR"/>
          <w:color w:val="000000" w:themeColor="text1"/>
          <w:szCs w:val="24"/>
        </w:rPr>
        <w:t xml:space="preserve"> major depressive disorder </w:t>
      </w:r>
      <w:r w:rsidR="00960C33" w:rsidRPr="000F441A">
        <w:rPr>
          <w:rFonts w:eastAsia="HiddenHorzOCR"/>
          <w:color w:val="000000" w:themeColor="text1"/>
          <w:szCs w:val="24"/>
        </w:rPr>
        <w:t xml:space="preserve">and carpal tunnel syndrome </w:t>
      </w:r>
      <w:r w:rsidR="00201EDA">
        <w:rPr>
          <w:rFonts w:eastAsia="HiddenHorzOCR"/>
          <w:color w:val="000000" w:themeColor="text1"/>
          <w:szCs w:val="24"/>
        </w:rPr>
        <w:t xml:space="preserve">were the only VA </w:t>
      </w:r>
      <w:r w:rsidR="00594D12" w:rsidRPr="000F441A">
        <w:rPr>
          <w:rFonts w:eastAsia="HiddenHorzOCR"/>
          <w:color w:val="000000" w:themeColor="text1"/>
          <w:szCs w:val="24"/>
        </w:rPr>
        <w:t xml:space="preserve">rated or contended conditions not included in the discussion above.  </w:t>
      </w:r>
      <w:r w:rsidR="00960C33" w:rsidRPr="000F441A">
        <w:rPr>
          <w:rFonts w:eastAsia="HiddenHorzOCR"/>
          <w:color w:val="000000" w:themeColor="text1"/>
          <w:szCs w:val="24"/>
        </w:rPr>
        <w:t>With regard to tinnitus (ringing in the ears), t</w:t>
      </w:r>
      <w:r w:rsidR="00594D12" w:rsidRPr="000F441A">
        <w:rPr>
          <w:rFonts w:eastAsia="HiddenHorzOCR"/>
          <w:color w:val="000000" w:themeColor="text1"/>
          <w:szCs w:val="24"/>
        </w:rPr>
        <w:t xml:space="preserve">here was no evidence that the CI had any impairment in hearing or speech discrimination to the level of interfering with duty.  </w:t>
      </w:r>
      <w:r w:rsidR="00960C33" w:rsidRPr="000F441A">
        <w:rPr>
          <w:rFonts w:eastAsia="HiddenHorzOCR"/>
          <w:color w:val="000000" w:themeColor="text1"/>
          <w:szCs w:val="24"/>
        </w:rPr>
        <w:t>With regard to major depressive disorder</w:t>
      </w:r>
      <w:r w:rsidR="007C7A11" w:rsidRPr="000F441A">
        <w:rPr>
          <w:rFonts w:eastAsia="HiddenHorzOCR"/>
          <w:color w:val="000000" w:themeColor="text1"/>
          <w:szCs w:val="24"/>
        </w:rPr>
        <w:t>, t</w:t>
      </w:r>
      <w:r w:rsidR="00594D12" w:rsidRPr="000F441A">
        <w:rPr>
          <w:rFonts w:eastAsia="HiddenHorzOCR"/>
          <w:color w:val="000000" w:themeColor="text1"/>
          <w:szCs w:val="24"/>
        </w:rPr>
        <w:t xml:space="preserve">he </w:t>
      </w:r>
      <w:r w:rsidR="00B24BAC" w:rsidRPr="000F441A">
        <w:rPr>
          <w:rFonts w:eastAsia="HiddenHorzOCR"/>
          <w:color w:val="000000" w:themeColor="text1"/>
          <w:szCs w:val="24"/>
        </w:rPr>
        <w:t xml:space="preserve">NARSUM </w:t>
      </w:r>
      <w:r w:rsidR="00594D12" w:rsidRPr="000F441A">
        <w:rPr>
          <w:rFonts w:eastAsia="HiddenHorzOCR"/>
          <w:color w:val="000000" w:themeColor="text1"/>
          <w:szCs w:val="24"/>
        </w:rPr>
        <w:t>diagnos</w:t>
      </w:r>
      <w:r w:rsidR="00B24BAC" w:rsidRPr="000F441A">
        <w:rPr>
          <w:rFonts w:eastAsia="HiddenHorzOCR"/>
          <w:color w:val="000000" w:themeColor="text1"/>
          <w:szCs w:val="24"/>
        </w:rPr>
        <w:t>is was</w:t>
      </w:r>
      <w:r w:rsidR="00594D12" w:rsidRPr="000F441A">
        <w:rPr>
          <w:rFonts w:eastAsia="HiddenHorzOCR"/>
          <w:color w:val="000000" w:themeColor="text1"/>
          <w:szCs w:val="24"/>
        </w:rPr>
        <w:t xml:space="preserve"> depress</w:t>
      </w:r>
      <w:r w:rsidR="00B24BAC" w:rsidRPr="000F441A">
        <w:rPr>
          <w:rFonts w:eastAsia="HiddenHorzOCR"/>
          <w:color w:val="000000" w:themeColor="text1"/>
          <w:szCs w:val="24"/>
        </w:rPr>
        <w:t>ion and anxiety treated with medication</w:t>
      </w:r>
      <w:r w:rsidR="00594D12" w:rsidRPr="000F441A">
        <w:rPr>
          <w:rFonts w:eastAsia="HiddenHorzOCR"/>
          <w:color w:val="000000" w:themeColor="text1"/>
          <w:szCs w:val="24"/>
        </w:rPr>
        <w:t xml:space="preserve"> </w:t>
      </w:r>
      <w:r w:rsidR="00B24BAC" w:rsidRPr="000F441A">
        <w:rPr>
          <w:rFonts w:eastAsia="HiddenHorzOCR"/>
          <w:color w:val="000000" w:themeColor="text1"/>
          <w:szCs w:val="24"/>
        </w:rPr>
        <w:t>(</w:t>
      </w:r>
      <w:proofErr w:type="spellStart"/>
      <w:r w:rsidR="00B24BAC" w:rsidRPr="000F441A">
        <w:rPr>
          <w:rFonts w:eastAsia="HiddenHorzOCR"/>
          <w:color w:val="000000" w:themeColor="text1"/>
          <w:szCs w:val="24"/>
        </w:rPr>
        <w:t>Ativan</w:t>
      </w:r>
      <w:proofErr w:type="spellEnd"/>
      <w:r w:rsidR="00B24BAC" w:rsidRPr="000F441A">
        <w:rPr>
          <w:rFonts w:eastAsia="HiddenHorzOCR"/>
          <w:color w:val="000000" w:themeColor="text1"/>
          <w:szCs w:val="24"/>
        </w:rPr>
        <w:t xml:space="preserve"> and </w:t>
      </w:r>
      <w:proofErr w:type="spellStart"/>
      <w:r w:rsidR="00B24BAC" w:rsidRPr="000F441A">
        <w:rPr>
          <w:rFonts w:eastAsia="HiddenHorzOCR"/>
          <w:color w:val="000000" w:themeColor="text1"/>
          <w:szCs w:val="24"/>
        </w:rPr>
        <w:t>Lexapro</w:t>
      </w:r>
      <w:proofErr w:type="spellEnd"/>
      <w:r w:rsidR="00B24BAC" w:rsidRPr="000F441A">
        <w:rPr>
          <w:rFonts w:eastAsia="HiddenHorzOCR"/>
          <w:color w:val="000000" w:themeColor="text1"/>
          <w:szCs w:val="24"/>
        </w:rPr>
        <w:t xml:space="preserve">).  </w:t>
      </w:r>
      <w:r w:rsidR="007C7A11" w:rsidRPr="000F441A">
        <w:rPr>
          <w:rFonts w:eastAsia="HiddenHorzOCR"/>
          <w:color w:val="000000" w:themeColor="text1"/>
          <w:szCs w:val="24"/>
        </w:rPr>
        <w:t xml:space="preserve">The CI had an S1 profile and only sleep disturbance, which was related to pain rather than a mental disorder, was a significant symptom potentially attributable to a mental disorder.  Right wrist carpal tunnel was </w:t>
      </w:r>
      <w:r w:rsidR="007C7A11" w:rsidRPr="000F441A">
        <w:rPr>
          <w:rFonts w:eastAsia="HiddenHorzOCR"/>
          <w:color w:val="auto"/>
          <w:szCs w:val="24"/>
        </w:rPr>
        <w:t>rated at 0% by the VA and the CI indicated that his conditions that “</w:t>
      </w:r>
      <w:r w:rsidR="00F739B8" w:rsidRPr="000F441A">
        <w:rPr>
          <w:rFonts w:asciiTheme="minorHAnsi" w:hAnsiTheme="minorHAnsi"/>
          <w:color w:val="auto"/>
          <w:szCs w:val="24"/>
        </w:rPr>
        <w:t>worsened since separation is my carpal tunnel syndrome and</w:t>
      </w:r>
      <w:r w:rsidR="00201EDA">
        <w:rPr>
          <w:rFonts w:asciiTheme="minorHAnsi" w:hAnsiTheme="minorHAnsi"/>
          <w:color w:val="000000" w:themeColor="text1"/>
          <w:szCs w:val="24"/>
        </w:rPr>
        <w:t xml:space="preserve"> depression.</w:t>
      </w:r>
      <w:r w:rsidR="007C7A11" w:rsidRPr="000F441A">
        <w:rPr>
          <w:rFonts w:asciiTheme="minorHAnsi" w:hAnsiTheme="minorHAnsi"/>
          <w:color w:val="000000" w:themeColor="text1"/>
          <w:szCs w:val="24"/>
        </w:rPr>
        <w:t>”</w:t>
      </w:r>
      <w:r w:rsidR="00F739B8" w:rsidRPr="000F441A">
        <w:rPr>
          <w:rFonts w:asciiTheme="minorHAnsi" w:hAnsiTheme="minorHAnsi"/>
          <w:color w:val="000000" w:themeColor="text1"/>
          <w:szCs w:val="24"/>
        </w:rPr>
        <w:t xml:space="preserve"> </w:t>
      </w:r>
      <w:r w:rsidR="007C7A11" w:rsidRPr="000F441A">
        <w:rPr>
          <w:rFonts w:asciiTheme="minorHAnsi" w:hAnsiTheme="minorHAnsi"/>
          <w:color w:val="000000" w:themeColor="text1"/>
          <w:szCs w:val="24"/>
        </w:rPr>
        <w:t xml:space="preserve"> There was no indication of any wrist condition adversely impacting duty performance</w:t>
      </w:r>
      <w:r w:rsidR="007C7A11">
        <w:rPr>
          <w:rFonts w:asciiTheme="minorHAnsi" w:hAnsiTheme="minorHAnsi"/>
          <w:color w:val="000000" w:themeColor="text1"/>
          <w:szCs w:val="24"/>
        </w:rPr>
        <w:t xml:space="preserve">.  </w:t>
      </w:r>
      <w:r w:rsidRPr="001F29F9">
        <w:rPr>
          <w:rFonts w:eastAsia="HiddenHorzOCR"/>
          <w:color w:val="000000" w:themeColor="text1"/>
          <w:szCs w:val="24"/>
        </w:rPr>
        <w:t>All</w:t>
      </w:r>
      <w:r w:rsidRPr="001F29F9">
        <w:rPr>
          <w:color w:val="000000" w:themeColor="text1"/>
        </w:rPr>
        <w:t xml:space="preserve"> </w:t>
      </w:r>
      <w:r w:rsidRPr="001F29F9">
        <w:rPr>
          <w:color w:val="000000" w:themeColor="text1"/>
          <w:szCs w:val="24"/>
        </w:rPr>
        <w:t xml:space="preserve">of these conditions were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There was </w:t>
      </w:r>
      <w:r w:rsidR="007C7A11">
        <w:rPr>
          <w:color w:val="000000" w:themeColor="text1"/>
          <w:szCs w:val="24"/>
        </w:rPr>
        <w:t>insufficient</w:t>
      </w:r>
      <w:r w:rsidRPr="001F29F9">
        <w:rPr>
          <w:color w:val="000000" w:themeColor="text1"/>
          <w:szCs w:val="24"/>
        </w:rPr>
        <w:t xml:space="preserve"> evidence for concluding that any of the conditions interfered with duty performance to a degree that could be argued as unfitting.  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r w:rsidR="00960C33">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E3932" w:rsidRDefault="00C56FC8" w:rsidP="003E3932">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t>
      </w:r>
      <w:r w:rsidRPr="000F441A">
        <w:rPr>
          <w:rFonts w:eastAsiaTheme="minorHAnsi"/>
          <w:color w:val="000000" w:themeColor="text1"/>
          <w:szCs w:val="24"/>
        </w:rPr>
        <w:t>with the VASRD in effect at the time of the adjudication.</w:t>
      </w:r>
      <w:r w:rsidR="00A14DED" w:rsidRPr="000F441A">
        <w:rPr>
          <w:rFonts w:eastAsiaTheme="minorHAnsi"/>
          <w:color w:val="000000" w:themeColor="text1"/>
          <w:szCs w:val="24"/>
        </w:rPr>
        <w:t xml:space="preserve">  </w:t>
      </w:r>
      <w:r w:rsidR="003E3932" w:rsidRPr="000F441A">
        <w:rPr>
          <w:rFonts w:eastAsiaTheme="minorHAnsi"/>
          <w:color w:val="000000" w:themeColor="text1"/>
          <w:szCs w:val="24"/>
        </w:rPr>
        <w:t xml:space="preserve">As discussed above, PEB reliance on the USAPDA pain policy for rating the neck and back conditions was operant in this case and the conditions were adjudicated independently of that policy by the Board.  </w:t>
      </w:r>
      <w:r w:rsidR="003E3932" w:rsidRPr="000F441A">
        <w:rPr>
          <w:rFonts w:eastAsia="Calibri" w:cs="Times New Roman"/>
          <w:color w:val="auto"/>
          <w:szCs w:val="24"/>
        </w:rPr>
        <w:t xml:space="preserve">In the matter of the cervical (neck) condition, the Board unanimously recommends a </w:t>
      </w:r>
      <w:r w:rsidR="00201EDA">
        <w:rPr>
          <w:rFonts w:eastAsia="Calibri" w:cs="Times New Roman"/>
          <w:color w:val="auto"/>
          <w:szCs w:val="24"/>
        </w:rPr>
        <w:t>s</w:t>
      </w:r>
      <w:r w:rsidR="003E3932" w:rsidRPr="000F441A">
        <w:rPr>
          <w:rFonts w:eastAsia="Calibri" w:cs="Times New Roman"/>
          <w:color w:val="auto"/>
          <w:szCs w:val="24"/>
        </w:rPr>
        <w:t xml:space="preserve">ervice disability rating of 20%, coded </w:t>
      </w:r>
      <w:r w:rsidR="007C7A11" w:rsidRPr="000F441A">
        <w:rPr>
          <w:rFonts w:cs="Calibri"/>
          <w:color w:val="auto"/>
          <w:szCs w:val="18"/>
        </w:rPr>
        <w:t>5299-5237</w:t>
      </w:r>
      <w:r w:rsidR="003E3932" w:rsidRPr="000F441A">
        <w:rPr>
          <w:rFonts w:eastAsia="Calibri" w:cs="Times New Roman"/>
          <w:color w:val="auto"/>
          <w:szCs w:val="24"/>
        </w:rPr>
        <w:t xml:space="preserve"> IAW VASRD §4.71a.</w:t>
      </w:r>
      <w:r w:rsidR="007C7A11">
        <w:rPr>
          <w:rFonts w:eastAsia="Calibri" w:cs="Times New Roman"/>
          <w:color w:val="auto"/>
          <w:szCs w:val="24"/>
        </w:rPr>
        <w:t xml:space="preserve">  </w:t>
      </w:r>
      <w:r w:rsidR="003E3932" w:rsidRPr="000F441A">
        <w:rPr>
          <w:rFonts w:eastAsia="Calibri" w:cs="Times New Roman"/>
          <w:color w:val="auto"/>
          <w:szCs w:val="24"/>
        </w:rPr>
        <w:t xml:space="preserve">In the matter of the </w:t>
      </w:r>
      <w:r w:rsidR="00201EDA">
        <w:rPr>
          <w:rFonts w:eastAsia="Calibri" w:cs="Times New Roman"/>
          <w:color w:val="auto"/>
          <w:szCs w:val="24"/>
        </w:rPr>
        <w:t>l</w:t>
      </w:r>
      <w:r w:rsidR="003E3932" w:rsidRPr="000F441A">
        <w:rPr>
          <w:rFonts w:eastAsia="Calibri" w:cs="Times New Roman"/>
          <w:color w:val="auto"/>
          <w:szCs w:val="24"/>
        </w:rPr>
        <w:t>umbago (back) condition</w:t>
      </w:r>
      <w:r w:rsidR="000F441A" w:rsidRPr="000F441A">
        <w:rPr>
          <w:rFonts w:eastAsia="Calibri" w:cs="Times New Roman"/>
          <w:color w:val="auto"/>
          <w:szCs w:val="24"/>
        </w:rPr>
        <w:t xml:space="preserve"> and IAW VASRD §4.71a, </w:t>
      </w:r>
      <w:r w:rsidR="003E3932" w:rsidRPr="000F441A">
        <w:rPr>
          <w:rFonts w:eastAsia="Calibri" w:cs="Times New Roman"/>
          <w:color w:val="auto"/>
          <w:szCs w:val="24"/>
        </w:rPr>
        <w:t xml:space="preserve">the Board </w:t>
      </w:r>
      <w:r w:rsidR="000F441A" w:rsidRPr="000F441A">
        <w:rPr>
          <w:rFonts w:eastAsia="Calibri" w:cs="Times New Roman"/>
          <w:color w:val="auto"/>
          <w:szCs w:val="24"/>
        </w:rPr>
        <w:t xml:space="preserve">by a vote of </w:t>
      </w:r>
      <w:r w:rsidR="00733CB9" w:rsidRPr="000F441A">
        <w:rPr>
          <w:rFonts w:eastAsia="Calibri" w:cs="Times New Roman"/>
          <w:color w:val="auto"/>
          <w:szCs w:val="24"/>
        </w:rPr>
        <w:t xml:space="preserve">2:1 </w:t>
      </w:r>
      <w:r w:rsidR="000F441A" w:rsidRPr="000F441A">
        <w:rPr>
          <w:rFonts w:eastAsia="Calibri" w:cs="Times New Roman"/>
          <w:color w:val="auto"/>
          <w:szCs w:val="24"/>
        </w:rPr>
        <w:t xml:space="preserve">recommends no change in the PEB 0% adjudication.  The single voter for dissent (who recommended rating at </w:t>
      </w:r>
      <w:r w:rsidR="000F441A">
        <w:rPr>
          <w:rFonts w:eastAsia="Calibri" w:cs="Times New Roman"/>
          <w:color w:val="auto"/>
          <w:szCs w:val="24"/>
        </w:rPr>
        <w:t>10</w:t>
      </w:r>
      <w:r w:rsidR="000F441A" w:rsidRPr="000F441A">
        <w:rPr>
          <w:rFonts w:eastAsia="Calibri" w:cs="Times New Roman"/>
          <w:color w:val="auto"/>
          <w:szCs w:val="24"/>
        </w:rPr>
        <w:t xml:space="preserve">%) submitted the </w:t>
      </w:r>
      <w:proofErr w:type="spellStart"/>
      <w:r w:rsidR="000F441A" w:rsidRPr="000F441A">
        <w:rPr>
          <w:rFonts w:eastAsia="Calibri" w:cs="Times New Roman"/>
          <w:color w:val="auto"/>
          <w:szCs w:val="24"/>
        </w:rPr>
        <w:t>addended</w:t>
      </w:r>
      <w:proofErr w:type="spellEnd"/>
      <w:r w:rsidR="000F441A" w:rsidRPr="000F441A">
        <w:rPr>
          <w:rFonts w:eastAsia="Calibri" w:cs="Times New Roman"/>
          <w:color w:val="auto"/>
          <w:szCs w:val="24"/>
        </w:rPr>
        <w:t xml:space="preserve"> minority opinion.</w:t>
      </w:r>
      <w:r w:rsidR="007C7A11">
        <w:rPr>
          <w:rFonts w:eastAsia="Calibri" w:cs="Times New Roman"/>
          <w:color w:val="auto"/>
          <w:szCs w:val="24"/>
        </w:rPr>
        <w:t xml:space="preserve">  </w:t>
      </w:r>
      <w:r w:rsidR="003E3932" w:rsidRPr="00560F12">
        <w:rPr>
          <w:rFonts w:eastAsia="Calibri" w:cs="Times New Roman"/>
          <w:color w:val="auto"/>
          <w:szCs w:val="24"/>
        </w:rPr>
        <w:t xml:space="preserve">In the </w:t>
      </w:r>
      <w:r w:rsidR="003E3932" w:rsidRPr="000F441A">
        <w:rPr>
          <w:rFonts w:eastAsia="Calibri" w:cs="Times New Roman"/>
          <w:color w:val="auto"/>
          <w:szCs w:val="24"/>
        </w:rPr>
        <w:t xml:space="preserve">matter of the </w:t>
      </w:r>
      <w:r w:rsidR="00201EDA">
        <w:rPr>
          <w:color w:val="000000" w:themeColor="text1"/>
          <w:szCs w:val="24"/>
        </w:rPr>
        <w:t>s</w:t>
      </w:r>
      <w:r w:rsidR="007C7A11" w:rsidRPr="000F441A">
        <w:rPr>
          <w:color w:val="000000" w:themeColor="text1"/>
          <w:szCs w:val="24"/>
        </w:rPr>
        <w:t xml:space="preserve">eizure </w:t>
      </w:r>
      <w:r w:rsidR="00201EDA">
        <w:rPr>
          <w:color w:val="000000" w:themeColor="text1"/>
          <w:szCs w:val="24"/>
        </w:rPr>
        <w:t>d</w:t>
      </w:r>
      <w:r w:rsidR="007C7A11" w:rsidRPr="000F441A">
        <w:rPr>
          <w:color w:val="000000" w:themeColor="text1"/>
          <w:szCs w:val="24"/>
        </w:rPr>
        <w:t>isorder,</w:t>
      </w:r>
      <w:r w:rsidR="007C7A11" w:rsidRPr="000F441A">
        <w:rPr>
          <w:color w:val="auto"/>
          <w:szCs w:val="24"/>
        </w:rPr>
        <w:t xml:space="preserve"> </w:t>
      </w:r>
      <w:r w:rsidR="00201EDA">
        <w:rPr>
          <w:color w:val="auto"/>
          <w:szCs w:val="24"/>
        </w:rPr>
        <w:t>h</w:t>
      </w:r>
      <w:r w:rsidR="007C7A11" w:rsidRPr="000F441A">
        <w:rPr>
          <w:color w:val="auto"/>
          <w:szCs w:val="24"/>
        </w:rPr>
        <w:t xml:space="preserve">istory of </w:t>
      </w:r>
      <w:proofErr w:type="spellStart"/>
      <w:r w:rsidR="00201EDA">
        <w:rPr>
          <w:color w:val="auto"/>
          <w:szCs w:val="24"/>
        </w:rPr>
        <w:t>c</w:t>
      </w:r>
      <w:r w:rsidR="007C7A11" w:rsidRPr="000F441A">
        <w:rPr>
          <w:color w:val="auto"/>
          <w:szCs w:val="24"/>
        </w:rPr>
        <w:t>erebrovascular</w:t>
      </w:r>
      <w:proofErr w:type="spellEnd"/>
      <w:r w:rsidR="007C7A11" w:rsidRPr="000F441A">
        <w:rPr>
          <w:color w:val="auto"/>
          <w:szCs w:val="24"/>
        </w:rPr>
        <w:t xml:space="preserve"> </w:t>
      </w:r>
      <w:r w:rsidR="00201EDA">
        <w:rPr>
          <w:color w:val="auto"/>
          <w:szCs w:val="24"/>
        </w:rPr>
        <w:t>a</w:t>
      </w:r>
      <w:r w:rsidR="007C7A11" w:rsidRPr="000F441A">
        <w:rPr>
          <w:color w:val="auto"/>
          <w:szCs w:val="24"/>
        </w:rPr>
        <w:t xml:space="preserve">ccident, </w:t>
      </w:r>
      <w:r w:rsidR="00201EDA">
        <w:rPr>
          <w:color w:val="auto"/>
          <w:szCs w:val="24"/>
        </w:rPr>
        <w:t>h</w:t>
      </w:r>
      <w:r w:rsidR="007C7A11" w:rsidRPr="000F441A">
        <w:rPr>
          <w:color w:val="auto"/>
          <w:szCs w:val="24"/>
        </w:rPr>
        <w:t xml:space="preserve">istory of </w:t>
      </w:r>
      <w:r w:rsidR="00201EDA">
        <w:rPr>
          <w:color w:val="auto"/>
          <w:szCs w:val="24"/>
        </w:rPr>
        <w:t>h</w:t>
      </w:r>
      <w:r w:rsidR="007C7A11" w:rsidRPr="000F441A">
        <w:rPr>
          <w:color w:val="auto"/>
          <w:szCs w:val="24"/>
        </w:rPr>
        <w:t xml:space="preserve">eat </w:t>
      </w:r>
      <w:r w:rsidR="00201EDA">
        <w:rPr>
          <w:color w:val="auto"/>
          <w:szCs w:val="24"/>
        </w:rPr>
        <w:t>i</w:t>
      </w:r>
      <w:r w:rsidR="007C7A11" w:rsidRPr="000F441A">
        <w:rPr>
          <w:color w:val="auto"/>
          <w:szCs w:val="24"/>
        </w:rPr>
        <w:t xml:space="preserve">njury and </w:t>
      </w:r>
      <w:r w:rsidR="00201EDA">
        <w:rPr>
          <w:color w:val="auto"/>
          <w:szCs w:val="24"/>
        </w:rPr>
        <w:t>h</w:t>
      </w:r>
      <w:r w:rsidR="007C7A11" w:rsidRPr="000F441A">
        <w:rPr>
          <w:color w:val="auto"/>
          <w:szCs w:val="24"/>
        </w:rPr>
        <w:t xml:space="preserve">eat </w:t>
      </w:r>
      <w:r w:rsidR="00201EDA">
        <w:rPr>
          <w:color w:val="auto"/>
          <w:szCs w:val="24"/>
        </w:rPr>
        <w:t>s</w:t>
      </w:r>
      <w:r w:rsidR="007C7A11" w:rsidRPr="000F441A">
        <w:rPr>
          <w:color w:val="auto"/>
          <w:szCs w:val="24"/>
        </w:rPr>
        <w:t xml:space="preserve">troke, </w:t>
      </w:r>
      <w:r w:rsidR="00201EDA">
        <w:rPr>
          <w:color w:val="auto"/>
          <w:szCs w:val="24"/>
        </w:rPr>
        <w:t>m</w:t>
      </w:r>
      <w:r w:rsidR="007C7A11" w:rsidRPr="000F441A">
        <w:rPr>
          <w:color w:val="auto"/>
          <w:szCs w:val="24"/>
        </w:rPr>
        <w:t xml:space="preserve">igraine </w:t>
      </w:r>
      <w:r w:rsidR="00201EDA">
        <w:rPr>
          <w:color w:val="auto"/>
          <w:szCs w:val="24"/>
        </w:rPr>
        <w:t>h</w:t>
      </w:r>
      <w:r w:rsidR="007C7A11" w:rsidRPr="000F441A">
        <w:rPr>
          <w:color w:val="auto"/>
          <w:szCs w:val="24"/>
        </w:rPr>
        <w:t xml:space="preserve">eadaches, </w:t>
      </w:r>
      <w:r w:rsidR="00201EDA">
        <w:rPr>
          <w:color w:val="auto"/>
          <w:szCs w:val="24"/>
        </w:rPr>
        <w:t>a</w:t>
      </w:r>
      <w:r w:rsidR="007C7A11" w:rsidRPr="000F441A">
        <w:rPr>
          <w:color w:val="auto"/>
          <w:szCs w:val="24"/>
        </w:rPr>
        <w:t xml:space="preserve">typical </w:t>
      </w:r>
      <w:r w:rsidR="00201EDA">
        <w:rPr>
          <w:color w:val="auto"/>
          <w:szCs w:val="24"/>
        </w:rPr>
        <w:t>c</w:t>
      </w:r>
      <w:r w:rsidR="007C7A11" w:rsidRPr="000F441A">
        <w:rPr>
          <w:color w:val="auto"/>
          <w:szCs w:val="24"/>
        </w:rPr>
        <w:t xml:space="preserve">hest </w:t>
      </w:r>
      <w:r w:rsidR="00201EDA">
        <w:rPr>
          <w:color w:val="auto"/>
          <w:szCs w:val="24"/>
        </w:rPr>
        <w:t>p</w:t>
      </w:r>
      <w:r w:rsidR="007C7A11" w:rsidRPr="000F441A">
        <w:rPr>
          <w:color w:val="auto"/>
          <w:szCs w:val="24"/>
        </w:rPr>
        <w:t xml:space="preserve">ain, </w:t>
      </w:r>
      <w:r w:rsidR="00201EDA">
        <w:rPr>
          <w:color w:val="auto"/>
          <w:szCs w:val="24"/>
        </w:rPr>
        <w:t>h</w:t>
      </w:r>
      <w:r w:rsidR="007C7A11" w:rsidRPr="000F441A">
        <w:rPr>
          <w:color w:val="auto"/>
          <w:szCs w:val="24"/>
        </w:rPr>
        <w:t xml:space="preserve">ypertension and </w:t>
      </w:r>
      <w:r w:rsidR="00201EDA">
        <w:rPr>
          <w:color w:val="auto"/>
          <w:szCs w:val="24"/>
        </w:rPr>
        <w:t>b</w:t>
      </w:r>
      <w:r w:rsidR="007C7A11" w:rsidRPr="000F441A">
        <w:rPr>
          <w:color w:val="auto"/>
          <w:szCs w:val="24"/>
        </w:rPr>
        <w:t xml:space="preserve">enign </w:t>
      </w:r>
      <w:r w:rsidR="00201EDA">
        <w:rPr>
          <w:color w:val="auto"/>
          <w:szCs w:val="24"/>
        </w:rPr>
        <w:t>p</w:t>
      </w:r>
      <w:r w:rsidR="007C7A11" w:rsidRPr="000F441A">
        <w:rPr>
          <w:color w:val="auto"/>
          <w:szCs w:val="24"/>
        </w:rPr>
        <w:t xml:space="preserve">rostatic </w:t>
      </w:r>
      <w:r w:rsidR="00201EDA">
        <w:rPr>
          <w:color w:val="auto"/>
          <w:szCs w:val="24"/>
        </w:rPr>
        <w:t>h</w:t>
      </w:r>
      <w:r w:rsidR="007C7A11" w:rsidRPr="000F441A">
        <w:rPr>
          <w:color w:val="auto"/>
          <w:szCs w:val="24"/>
        </w:rPr>
        <w:t>yperplasia</w:t>
      </w:r>
      <w:r w:rsidR="003E3932" w:rsidRPr="000F441A">
        <w:rPr>
          <w:rFonts w:eastAsia="Calibri" w:cs="Times New Roman"/>
          <w:color w:val="auto"/>
          <w:szCs w:val="24"/>
        </w:rPr>
        <w:t xml:space="preserve"> conditions, the Board unanimously recommends no change from the PEB adjudications as not unfitting.</w:t>
      </w:r>
      <w:r w:rsidR="000B4484">
        <w:rPr>
          <w:rFonts w:eastAsia="Calibri" w:cs="Times New Roman"/>
          <w:color w:val="auto"/>
          <w:szCs w:val="24"/>
        </w:rPr>
        <w:t xml:space="preserve">  </w:t>
      </w:r>
      <w:r w:rsidR="003E3932" w:rsidRPr="000F441A">
        <w:rPr>
          <w:rFonts w:eastAsia="Calibri" w:cs="Times New Roman"/>
          <w:color w:val="auto"/>
          <w:szCs w:val="24"/>
        </w:rPr>
        <w:t xml:space="preserve">In the matter of the contended </w:t>
      </w:r>
      <w:r w:rsidR="00201EDA">
        <w:rPr>
          <w:rFonts w:eastAsia="HiddenHorzOCR"/>
          <w:color w:val="000000" w:themeColor="text1"/>
          <w:szCs w:val="24"/>
        </w:rPr>
        <w:t>t</w:t>
      </w:r>
      <w:r w:rsidR="007C7A11" w:rsidRPr="000F441A">
        <w:rPr>
          <w:rFonts w:eastAsia="HiddenHorzOCR"/>
          <w:color w:val="000000" w:themeColor="text1"/>
          <w:szCs w:val="24"/>
        </w:rPr>
        <w:t>innitus, depression/major depressive disorder and carpal tunnel syndrome</w:t>
      </w:r>
      <w:r w:rsidR="003E3932" w:rsidRPr="000F441A">
        <w:rPr>
          <w:rFonts w:eastAsia="Calibri" w:cs="Times New Roman"/>
          <w:color w:val="auto"/>
          <w:szCs w:val="24"/>
        </w:rPr>
        <w:t xml:space="preserve"> conditions, the Board unanimously agrees that it cannot</w:t>
      </w:r>
      <w:r w:rsidR="003E3932" w:rsidRPr="000F441A">
        <w:rPr>
          <w:rFonts w:eastAsia="Calibri" w:cs="Times New Roman"/>
          <w:color w:val="000080"/>
          <w:szCs w:val="24"/>
        </w:rPr>
        <w:t xml:space="preserve"> </w:t>
      </w:r>
      <w:r w:rsidR="003E3932" w:rsidRPr="000F441A">
        <w:rPr>
          <w:rFonts w:eastAsia="Calibri" w:cs="Times New Roman"/>
          <w:color w:val="auto"/>
          <w:szCs w:val="24"/>
        </w:rPr>
        <w:t xml:space="preserve">recommend a finding of unfit for additional </w:t>
      </w:r>
      <w:r w:rsidR="00201EDA">
        <w:rPr>
          <w:rFonts w:eastAsia="Calibri" w:cs="Times New Roman"/>
          <w:color w:val="auto"/>
          <w:szCs w:val="24"/>
        </w:rPr>
        <w:t>s</w:t>
      </w:r>
      <w:r w:rsidR="003E3932" w:rsidRPr="000F441A">
        <w:rPr>
          <w:rFonts w:eastAsia="Calibri" w:cs="Times New Roman"/>
          <w:color w:val="auto"/>
          <w:szCs w:val="24"/>
        </w:rPr>
        <w:t>ervice disability rating.  The Board unanimously agrees that there were no other conditions eligible for Board</w:t>
      </w:r>
      <w:r w:rsidR="003E3932" w:rsidRPr="00560F12">
        <w:rPr>
          <w:rFonts w:eastAsia="Calibri" w:cs="Times New Roman"/>
          <w:color w:val="auto"/>
          <w:szCs w:val="24"/>
        </w:rPr>
        <w:t xml:space="preserve"> consideration which could be recommended as unfitting for additional </w:t>
      </w:r>
      <w:r w:rsidR="00201EDA">
        <w:rPr>
          <w:rFonts w:eastAsia="Calibri" w:cs="Times New Roman"/>
          <w:color w:val="auto"/>
          <w:szCs w:val="24"/>
        </w:rPr>
        <w:t>s</w:t>
      </w:r>
      <w:r w:rsidR="003E3932" w:rsidRPr="00560F12">
        <w:rPr>
          <w:rFonts w:eastAsia="Calibri" w:cs="Times New Roman"/>
          <w:color w:val="auto"/>
          <w:szCs w:val="24"/>
        </w:rPr>
        <w:t>ervice disability rating.</w:t>
      </w:r>
      <w:r w:rsidR="000B4484">
        <w:rPr>
          <w:rFonts w:eastAsia="Calibri" w:cs="Times New Roman"/>
          <w:color w:val="auto"/>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A9125B" w:rsidRDefault="00A9125B">
      <w:pPr>
        <w:rPr>
          <w:color w:val="000000" w:themeColor="text1"/>
          <w:szCs w:val="24"/>
          <w:u w:val="single"/>
        </w:rPr>
      </w:pPr>
      <w:r>
        <w:rPr>
          <w:color w:val="000000" w:themeColor="text1"/>
          <w:szCs w:val="24"/>
          <w:u w:val="single"/>
        </w:rPr>
        <w:br w:type="page"/>
      </w:r>
    </w:p>
    <w:p w:rsidR="008208C3" w:rsidRPr="000F441A" w:rsidRDefault="00C56FC8" w:rsidP="001A7970">
      <w:pPr>
        <w:jc w:val="both"/>
        <w:rPr>
          <w:color w:val="auto"/>
          <w:szCs w:val="24"/>
        </w:rPr>
      </w:pPr>
      <w:r w:rsidRPr="001F29F9">
        <w:rPr>
          <w:color w:val="000000" w:themeColor="text1"/>
          <w:szCs w:val="24"/>
          <w:u w:val="single"/>
        </w:rPr>
        <w:lastRenderedPageBreak/>
        <w:t>RECOMMENDATION</w:t>
      </w:r>
      <w:r w:rsidRPr="001F29F9">
        <w:rPr>
          <w:color w:val="000000" w:themeColor="text1"/>
          <w:szCs w:val="24"/>
        </w:rPr>
        <w:t>:</w:t>
      </w:r>
      <w:r w:rsidR="001A7970">
        <w:rPr>
          <w:color w:val="000000" w:themeColor="text1"/>
          <w:szCs w:val="24"/>
        </w:rPr>
        <w:t xml:space="preserve">  </w:t>
      </w:r>
      <w:r w:rsidR="000F441A" w:rsidRPr="000F441A">
        <w:rPr>
          <w:color w:val="000000" w:themeColor="text1"/>
          <w:szCs w:val="24"/>
        </w:rPr>
        <w:t xml:space="preserve">The Board recommends that the CI’s prior determination be modified as follows and that the discharge with severance </w:t>
      </w:r>
      <w:r w:rsidR="000F441A" w:rsidRPr="000F441A">
        <w:rPr>
          <w:color w:val="auto"/>
          <w:szCs w:val="24"/>
        </w:rPr>
        <w:t xml:space="preserve">pay be recharacterized to reflect permanent disability retirement, effective as of the date of his prior medical separation.  </w:t>
      </w:r>
    </w:p>
    <w:p w:rsidR="00C56FC8" w:rsidRPr="000F441A" w:rsidRDefault="00C56FC8" w:rsidP="001A7970">
      <w:pPr>
        <w:tabs>
          <w:tab w:val="left" w:pos="288"/>
          <w:tab w:val="left" w:pos="4752"/>
        </w:tabs>
        <w:jc w:val="both"/>
        <w:rPr>
          <w:color w:val="auto"/>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0F441A" w:rsidTr="0080588E">
        <w:trPr>
          <w:trHeight w:val="233"/>
          <w:jc w:val="center"/>
        </w:trPr>
        <w:tc>
          <w:tcPr>
            <w:tcW w:w="6282" w:type="dxa"/>
            <w:shd w:val="clear" w:color="auto" w:fill="D9D9D9"/>
            <w:vAlign w:val="center"/>
          </w:tcPr>
          <w:p w:rsidR="00A95BBA" w:rsidRPr="000F441A" w:rsidRDefault="00A95BBA" w:rsidP="00E04A95">
            <w:pPr>
              <w:tabs>
                <w:tab w:val="left" w:pos="288"/>
                <w:tab w:val="left" w:pos="4752"/>
              </w:tabs>
              <w:rPr>
                <w:b/>
                <w:color w:val="auto"/>
                <w:szCs w:val="24"/>
              </w:rPr>
            </w:pPr>
            <w:r w:rsidRPr="000F441A">
              <w:rPr>
                <w:b/>
                <w:color w:val="auto"/>
                <w:szCs w:val="24"/>
              </w:rPr>
              <w:t>UNFITTING CONDITION</w:t>
            </w:r>
          </w:p>
        </w:tc>
        <w:tc>
          <w:tcPr>
            <w:tcW w:w="1710" w:type="dxa"/>
            <w:shd w:val="clear" w:color="auto" w:fill="D9D9D9"/>
            <w:vAlign w:val="center"/>
          </w:tcPr>
          <w:p w:rsidR="00A95BBA" w:rsidRPr="000F441A" w:rsidRDefault="00A95BBA" w:rsidP="00E04A95">
            <w:pPr>
              <w:tabs>
                <w:tab w:val="left" w:pos="288"/>
                <w:tab w:val="left" w:pos="4752"/>
              </w:tabs>
              <w:rPr>
                <w:b/>
                <w:color w:val="auto"/>
                <w:szCs w:val="24"/>
              </w:rPr>
            </w:pPr>
            <w:r w:rsidRPr="000F441A">
              <w:rPr>
                <w:b/>
                <w:color w:val="auto"/>
                <w:szCs w:val="24"/>
              </w:rPr>
              <w:t>VASRD CODE</w:t>
            </w:r>
          </w:p>
        </w:tc>
        <w:tc>
          <w:tcPr>
            <w:tcW w:w="1170" w:type="dxa"/>
            <w:shd w:val="clear" w:color="auto" w:fill="D9D9D9"/>
            <w:vAlign w:val="center"/>
          </w:tcPr>
          <w:p w:rsidR="00A95BBA" w:rsidRPr="000F441A" w:rsidRDefault="00A95BBA" w:rsidP="00E04A95">
            <w:pPr>
              <w:tabs>
                <w:tab w:val="left" w:pos="288"/>
                <w:tab w:val="left" w:pos="4752"/>
              </w:tabs>
              <w:rPr>
                <w:b/>
                <w:color w:val="auto"/>
                <w:szCs w:val="24"/>
              </w:rPr>
            </w:pPr>
            <w:r w:rsidRPr="000F441A">
              <w:rPr>
                <w:b/>
                <w:color w:val="auto"/>
                <w:szCs w:val="24"/>
              </w:rPr>
              <w:t>RATING</w:t>
            </w:r>
          </w:p>
        </w:tc>
      </w:tr>
      <w:tr w:rsidR="00E04A95" w:rsidRPr="000F441A" w:rsidTr="0080588E">
        <w:trPr>
          <w:jc w:val="center"/>
        </w:trPr>
        <w:tc>
          <w:tcPr>
            <w:tcW w:w="6282" w:type="dxa"/>
            <w:vAlign w:val="center"/>
          </w:tcPr>
          <w:p w:rsidR="00E04A95" w:rsidRPr="000F441A" w:rsidRDefault="00E04A95" w:rsidP="00E04A95">
            <w:pPr>
              <w:contextualSpacing/>
              <w:jc w:val="left"/>
              <w:rPr>
                <w:rFonts w:cs="Calibri"/>
                <w:color w:val="auto"/>
                <w:szCs w:val="18"/>
              </w:rPr>
            </w:pPr>
            <w:r w:rsidRPr="000F441A">
              <w:rPr>
                <w:rFonts w:cs="Calibri"/>
                <w:color w:val="auto"/>
                <w:szCs w:val="18"/>
              </w:rPr>
              <w:t>Cervical Spondylosis, w/o Abnormality</w:t>
            </w:r>
          </w:p>
        </w:tc>
        <w:tc>
          <w:tcPr>
            <w:tcW w:w="1710" w:type="dxa"/>
            <w:vAlign w:val="center"/>
          </w:tcPr>
          <w:p w:rsidR="00E04A95" w:rsidRPr="000F441A" w:rsidRDefault="00E04A95" w:rsidP="00E04A95">
            <w:pPr>
              <w:contextualSpacing/>
              <w:rPr>
                <w:rFonts w:cs="Calibri"/>
                <w:color w:val="auto"/>
                <w:szCs w:val="18"/>
              </w:rPr>
            </w:pPr>
            <w:r w:rsidRPr="000F441A">
              <w:rPr>
                <w:rFonts w:cs="Calibri"/>
                <w:color w:val="auto"/>
                <w:szCs w:val="18"/>
              </w:rPr>
              <w:t>5299-5237</w:t>
            </w:r>
          </w:p>
        </w:tc>
        <w:tc>
          <w:tcPr>
            <w:tcW w:w="1170" w:type="dxa"/>
            <w:vAlign w:val="center"/>
          </w:tcPr>
          <w:p w:rsidR="00E04A95" w:rsidRPr="000F441A" w:rsidRDefault="003E3932" w:rsidP="00E04A95">
            <w:pPr>
              <w:rPr>
                <w:rFonts w:cs="Calibri"/>
                <w:color w:val="auto"/>
                <w:szCs w:val="18"/>
              </w:rPr>
            </w:pPr>
            <w:r w:rsidRPr="000F441A">
              <w:rPr>
                <w:rFonts w:cs="Calibri"/>
                <w:color w:val="auto"/>
                <w:szCs w:val="18"/>
              </w:rPr>
              <w:t>2</w:t>
            </w:r>
            <w:r w:rsidR="00E04A95" w:rsidRPr="000F441A">
              <w:rPr>
                <w:rFonts w:cs="Calibri"/>
                <w:color w:val="auto"/>
                <w:szCs w:val="18"/>
              </w:rPr>
              <w:t>0%</w:t>
            </w:r>
          </w:p>
        </w:tc>
      </w:tr>
      <w:tr w:rsidR="00E04A95" w:rsidRPr="000F441A" w:rsidTr="0080588E">
        <w:trPr>
          <w:jc w:val="center"/>
        </w:trPr>
        <w:tc>
          <w:tcPr>
            <w:tcW w:w="6282" w:type="dxa"/>
            <w:vAlign w:val="center"/>
          </w:tcPr>
          <w:p w:rsidR="00E04A95" w:rsidRPr="000F441A" w:rsidRDefault="00E04A95" w:rsidP="00E04A95">
            <w:pPr>
              <w:contextualSpacing/>
              <w:jc w:val="left"/>
              <w:rPr>
                <w:rFonts w:cs="Calibri"/>
                <w:color w:val="auto"/>
                <w:szCs w:val="18"/>
              </w:rPr>
            </w:pPr>
            <w:r w:rsidRPr="000F441A">
              <w:rPr>
                <w:rFonts w:cs="Calibri"/>
                <w:color w:val="auto"/>
                <w:szCs w:val="18"/>
              </w:rPr>
              <w:t>Lumbago, w/o Neurologic Abnormality</w:t>
            </w:r>
          </w:p>
        </w:tc>
        <w:tc>
          <w:tcPr>
            <w:tcW w:w="1710" w:type="dxa"/>
            <w:vAlign w:val="center"/>
          </w:tcPr>
          <w:p w:rsidR="00E04A95" w:rsidRPr="000F441A" w:rsidRDefault="00E04A95" w:rsidP="00E04A95">
            <w:pPr>
              <w:contextualSpacing/>
              <w:rPr>
                <w:rFonts w:cs="Calibri"/>
                <w:color w:val="auto"/>
                <w:szCs w:val="18"/>
              </w:rPr>
            </w:pPr>
            <w:r w:rsidRPr="000F441A">
              <w:rPr>
                <w:rFonts w:cs="Calibri"/>
                <w:color w:val="auto"/>
                <w:szCs w:val="18"/>
              </w:rPr>
              <w:t>5299-5237</w:t>
            </w:r>
          </w:p>
        </w:tc>
        <w:tc>
          <w:tcPr>
            <w:tcW w:w="1170" w:type="dxa"/>
            <w:vAlign w:val="center"/>
          </w:tcPr>
          <w:p w:rsidR="00E04A95" w:rsidRPr="000F441A" w:rsidRDefault="00E04A95" w:rsidP="00E04A95">
            <w:pPr>
              <w:rPr>
                <w:rFonts w:cs="Calibri"/>
                <w:color w:val="auto"/>
                <w:szCs w:val="18"/>
              </w:rPr>
            </w:pPr>
            <w:r w:rsidRPr="000F441A">
              <w:rPr>
                <w:rFonts w:cs="Calibri"/>
                <w:color w:val="auto"/>
                <w:szCs w:val="18"/>
              </w:rPr>
              <w:t>0%</w:t>
            </w:r>
          </w:p>
        </w:tc>
      </w:tr>
      <w:tr w:rsidR="00A95BBA" w:rsidRPr="000F441A"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0F441A" w:rsidRDefault="00A95BBA" w:rsidP="00E04A95">
            <w:pPr>
              <w:tabs>
                <w:tab w:val="left" w:pos="288"/>
                <w:tab w:val="left" w:pos="4752"/>
              </w:tabs>
              <w:rPr>
                <w:b/>
                <w:color w:val="auto"/>
                <w:szCs w:val="24"/>
              </w:rPr>
            </w:pPr>
            <w:r w:rsidRPr="000F441A">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0F441A" w:rsidRDefault="00733CB9" w:rsidP="00E04A95">
            <w:pPr>
              <w:tabs>
                <w:tab w:val="left" w:pos="288"/>
                <w:tab w:val="left" w:pos="4752"/>
              </w:tabs>
              <w:rPr>
                <w:b/>
                <w:color w:val="auto"/>
                <w:szCs w:val="24"/>
              </w:rPr>
            </w:pPr>
            <w:r w:rsidRPr="000F441A">
              <w:rPr>
                <w:b/>
                <w:color w:val="auto"/>
                <w:szCs w:val="24"/>
              </w:rPr>
              <w:t>2</w:t>
            </w:r>
            <w:r w:rsidR="00A95BBA" w:rsidRPr="000F441A">
              <w:rPr>
                <w:b/>
                <w:color w:val="auto"/>
                <w:szCs w:val="24"/>
              </w:rPr>
              <w:t>0%</w:t>
            </w:r>
          </w:p>
        </w:tc>
      </w:tr>
    </w:tbl>
    <w:p w:rsidR="005B1D09" w:rsidRPr="001F29F9" w:rsidRDefault="005B1D09" w:rsidP="00E04A95">
      <w:pPr>
        <w:pBdr>
          <w:bottom w:val="single" w:sz="12" w:space="1" w:color="auto"/>
        </w:pBdr>
        <w:tabs>
          <w:tab w:val="left" w:pos="288"/>
          <w:tab w:val="left" w:pos="4752"/>
        </w:tabs>
        <w:jc w:val="both"/>
        <w:rPr>
          <w:color w:val="000000" w:themeColor="text1"/>
        </w:rPr>
      </w:pPr>
    </w:p>
    <w:p w:rsidR="005B1D09" w:rsidRPr="001F29F9" w:rsidRDefault="005B1D09" w:rsidP="00E04A95">
      <w:pPr>
        <w:jc w:val="both"/>
        <w:rPr>
          <w:color w:val="000000" w:themeColor="text1"/>
          <w:szCs w:val="24"/>
        </w:rPr>
      </w:pPr>
    </w:p>
    <w:p w:rsidR="00D91DA6" w:rsidRPr="001F29F9" w:rsidRDefault="00FB1725" w:rsidP="00E04A95">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E04A95">
      <w:pPr>
        <w:tabs>
          <w:tab w:val="left" w:pos="288"/>
          <w:tab w:val="left" w:pos="4752"/>
        </w:tabs>
        <w:jc w:val="both"/>
        <w:rPr>
          <w:color w:val="000000" w:themeColor="text1"/>
        </w:rPr>
      </w:pPr>
    </w:p>
    <w:p w:rsidR="00114F20" w:rsidRPr="001F29F9" w:rsidRDefault="00FB1725" w:rsidP="00E04A95">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Pr="000F441A">
        <w:rPr>
          <w:color w:val="000000" w:themeColor="text1"/>
          <w:szCs w:val="24"/>
        </w:rPr>
        <w:t>20</w:t>
      </w:r>
      <w:r w:rsidR="001215DF" w:rsidRPr="000F441A">
        <w:rPr>
          <w:color w:val="000000" w:themeColor="text1"/>
          <w:szCs w:val="24"/>
        </w:rPr>
        <w:t>1</w:t>
      </w:r>
      <w:r w:rsidR="003E3932" w:rsidRPr="000F441A">
        <w:rPr>
          <w:color w:val="000000" w:themeColor="text1"/>
          <w:szCs w:val="24"/>
        </w:rPr>
        <w:t>00409,</w:t>
      </w:r>
      <w:r w:rsidR="003E3932">
        <w:rPr>
          <w:color w:val="000000" w:themeColor="text1"/>
          <w:szCs w:val="24"/>
        </w:rPr>
        <w:t xml:space="preserve"> </w:t>
      </w:r>
      <w:r w:rsidR="00201EDA">
        <w:rPr>
          <w:color w:val="000000" w:themeColor="text1"/>
        </w:rPr>
        <w:t>w/atchs</w:t>
      </w:r>
    </w:p>
    <w:p w:rsidR="00114F20" w:rsidRPr="001F29F9" w:rsidRDefault="00FB1725" w:rsidP="00E04A95">
      <w:pPr>
        <w:tabs>
          <w:tab w:val="left" w:pos="288"/>
          <w:tab w:val="left" w:pos="4752"/>
        </w:tabs>
        <w:jc w:val="both"/>
        <w:rPr>
          <w:color w:val="000000" w:themeColor="text1"/>
        </w:rPr>
      </w:pPr>
      <w:r w:rsidRPr="001F29F9">
        <w:rPr>
          <w:color w:val="000000" w:themeColor="text1"/>
        </w:rPr>
        <w:t>Exhib</w:t>
      </w:r>
      <w:r w:rsidR="00201EDA">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E6743D">
        <w:rPr>
          <w:color w:val="000000" w:themeColor="text1"/>
          <w:szCs w:val="24"/>
        </w:rPr>
        <w:t>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3718CD" w:rsidRDefault="003718CD" w:rsidP="006544F5">
      <w:pPr>
        <w:tabs>
          <w:tab w:val="left" w:pos="288"/>
          <w:tab w:val="left" w:pos="4752"/>
        </w:tabs>
        <w:jc w:val="both"/>
        <w:rPr>
          <w:color w:val="000000" w:themeColor="text1"/>
          <w:szCs w:val="24"/>
          <w:u w:val="single"/>
        </w:rPr>
      </w:pPr>
    </w:p>
    <w:p w:rsidR="00682172" w:rsidRDefault="00682172">
      <w:pPr>
        <w:rPr>
          <w:color w:val="000000" w:themeColor="text1"/>
          <w:szCs w:val="24"/>
          <w:u w:val="single"/>
        </w:rPr>
      </w:pPr>
      <w:r>
        <w:rPr>
          <w:color w:val="000000" w:themeColor="text1"/>
          <w:szCs w:val="24"/>
          <w:u w:val="single"/>
        </w:rPr>
        <w:br w:type="page"/>
      </w:r>
    </w:p>
    <w:p w:rsidR="00083356" w:rsidRDefault="000F441A" w:rsidP="00483229">
      <w:pPr>
        <w:tabs>
          <w:tab w:val="left" w:pos="288"/>
          <w:tab w:val="left" w:pos="4752"/>
        </w:tabs>
        <w:jc w:val="both"/>
        <w:rPr>
          <w:color w:val="000000" w:themeColor="text1"/>
          <w:szCs w:val="24"/>
        </w:rPr>
      </w:pPr>
      <w:proofErr w:type="gramStart"/>
      <w:r>
        <w:rPr>
          <w:color w:val="000000" w:themeColor="text1"/>
          <w:szCs w:val="24"/>
          <w:u w:val="single"/>
        </w:rPr>
        <w:lastRenderedPageBreak/>
        <w:t>MINORITY OPINION</w:t>
      </w:r>
      <w:r w:rsidRPr="000F441A">
        <w:rPr>
          <w:color w:val="000000" w:themeColor="text1"/>
          <w:szCs w:val="24"/>
        </w:rPr>
        <w:t>.</w:t>
      </w:r>
      <w:proofErr w:type="gramEnd"/>
      <w:r w:rsidRPr="002A1B37">
        <w:rPr>
          <w:color w:val="000000" w:themeColor="text1"/>
          <w:szCs w:val="24"/>
        </w:rPr>
        <w:t xml:space="preserve">  </w:t>
      </w:r>
      <w:r w:rsidR="002A1B37" w:rsidRPr="002A1B37">
        <w:rPr>
          <w:color w:val="000000" w:themeColor="text1"/>
          <w:szCs w:val="24"/>
        </w:rPr>
        <w:t xml:space="preserve">The </w:t>
      </w:r>
      <w:r w:rsidR="00201EDA">
        <w:rPr>
          <w:color w:val="000000" w:themeColor="text1"/>
          <w:szCs w:val="24"/>
        </w:rPr>
        <w:t>a</w:t>
      </w:r>
      <w:r w:rsidR="002A1B37" w:rsidRPr="002A1B37">
        <w:rPr>
          <w:color w:val="000000" w:themeColor="text1"/>
          <w:szCs w:val="24"/>
        </w:rPr>
        <w:t xml:space="preserve">ction </w:t>
      </w:r>
      <w:r w:rsidR="00201EDA">
        <w:rPr>
          <w:color w:val="000000" w:themeColor="text1"/>
          <w:szCs w:val="24"/>
        </w:rPr>
        <w:t>o</w:t>
      </w:r>
      <w:r w:rsidR="006377D6">
        <w:rPr>
          <w:color w:val="000000" w:themeColor="text1"/>
          <w:szCs w:val="24"/>
        </w:rPr>
        <w:t>fficer</w:t>
      </w:r>
      <w:r w:rsidR="002A1B37" w:rsidRPr="002A1B37">
        <w:rPr>
          <w:color w:val="000000" w:themeColor="text1"/>
          <w:szCs w:val="24"/>
        </w:rPr>
        <w:t xml:space="preserve"> </w:t>
      </w:r>
      <w:r w:rsidR="002A1B37">
        <w:rPr>
          <w:color w:val="000000" w:themeColor="text1"/>
          <w:szCs w:val="24"/>
        </w:rPr>
        <w:t xml:space="preserve">strongly </w:t>
      </w:r>
      <w:r w:rsidR="005E5F0E" w:rsidRPr="00083356">
        <w:rPr>
          <w:color w:val="000000" w:themeColor="text1"/>
          <w:szCs w:val="24"/>
        </w:rPr>
        <w:t xml:space="preserve">non-concurs with the </w:t>
      </w:r>
      <w:r w:rsidR="00201EDA">
        <w:rPr>
          <w:color w:val="000000" w:themeColor="text1"/>
          <w:szCs w:val="24"/>
        </w:rPr>
        <w:t>m</w:t>
      </w:r>
      <w:r w:rsidR="005E5F0E" w:rsidRPr="00083356">
        <w:rPr>
          <w:color w:val="000000" w:themeColor="text1"/>
          <w:szCs w:val="24"/>
        </w:rPr>
        <w:t xml:space="preserve">ajority’s decision </w:t>
      </w:r>
      <w:r w:rsidR="00083356" w:rsidRPr="00083356">
        <w:rPr>
          <w:color w:val="000000" w:themeColor="text1"/>
          <w:szCs w:val="24"/>
        </w:rPr>
        <w:t xml:space="preserve">to rate the CI’s </w:t>
      </w:r>
      <w:r w:rsidR="006F7142">
        <w:rPr>
          <w:color w:val="000000" w:themeColor="text1"/>
          <w:szCs w:val="24"/>
        </w:rPr>
        <w:t>Lumbago (</w:t>
      </w:r>
      <w:r w:rsidR="00083356" w:rsidRPr="00083356">
        <w:rPr>
          <w:color w:val="000000" w:themeColor="text1"/>
          <w:szCs w:val="24"/>
        </w:rPr>
        <w:t>back</w:t>
      </w:r>
      <w:r w:rsidR="006F7142">
        <w:rPr>
          <w:color w:val="000000" w:themeColor="text1"/>
          <w:szCs w:val="24"/>
        </w:rPr>
        <w:t>)</w:t>
      </w:r>
      <w:r w:rsidR="00083356" w:rsidRPr="00083356">
        <w:rPr>
          <w:color w:val="000000" w:themeColor="text1"/>
          <w:szCs w:val="24"/>
        </w:rPr>
        <w:t xml:space="preserve"> condition at 0%</w:t>
      </w:r>
      <w:r w:rsidR="006F7142">
        <w:rPr>
          <w:color w:val="000000" w:themeColor="text1"/>
          <w:szCs w:val="24"/>
        </w:rPr>
        <w:t xml:space="preserve">, and agreed with the </w:t>
      </w:r>
      <w:r w:rsidR="006F7142" w:rsidRPr="000F441A">
        <w:rPr>
          <w:rFonts w:eastAsia="Calibri" w:cs="Times New Roman"/>
          <w:color w:val="auto"/>
          <w:szCs w:val="24"/>
        </w:rPr>
        <w:t xml:space="preserve">cervical (neck) </w:t>
      </w:r>
      <w:r w:rsidR="006F7142">
        <w:rPr>
          <w:color w:val="000000" w:themeColor="text1"/>
          <w:szCs w:val="24"/>
        </w:rPr>
        <w:t xml:space="preserve">20% rating.  </w:t>
      </w:r>
      <w:r w:rsidR="00083356" w:rsidRPr="00083356">
        <w:rPr>
          <w:color w:val="000000" w:themeColor="text1"/>
          <w:szCs w:val="24"/>
        </w:rPr>
        <w:t>The</w:t>
      </w:r>
      <w:r w:rsidR="006F7142">
        <w:rPr>
          <w:color w:val="000000" w:themeColor="text1"/>
          <w:szCs w:val="24"/>
        </w:rPr>
        <w:t xml:space="preserve"> </w:t>
      </w:r>
      <w:r w:rsidR="00201EDA">
        <w:rPr>
          <w:color w:val="000000" w:themeColor="text1"/>
          <w:szCs w:val="24"/>
        </w:rPr>
        <w:t>m</w:t>
      </w:r>
      <w:r w:rsidR="006F7142">
        <w:rPr>
          <w:color w:val="000000" w:themeColor="text1"/>
          <w:szCs w:val="24"/>
        </w:rPr>
        <w:t>ajority</w:t>
      </w:r>
      <w:r w:rsidR="00083356" w:rsidRPr="00083356">
        <w:rPr>
          <w:color w:val="000000" w:themeColor="text1"/>
          <w:szCs w:val="24"/>
        </w:rPr>
        <w:t xml:space="preserve"> </w:t>
      </w:r>
      <w:r w:rsidR="004E4A3D">
        <w:rPr>
          <w:color w:val="000000" w:themeColor="text1"/>
          <w:szCs w:val="24"/>
        </w:rPr>
        <w:t xml:space="preserve">0% </w:t>
      </w:r>
      <w:r w:rsidR="006F7142">
        <w:rPr>
          <w:color w:val="000000" w:themeColor="text1"/>
          <w:szCs w:val="24"/>
        </w:rPr>
        <w:t xml:space="preserve">back </w:t>
      </w:r>
      <w:r w:rsidR="00083356" w:rsidRPr="00083356">
        <w:rPr>
          <w:color w:val="000000" w:themeColor="text1"/>
          <w:szCs w:val="24"/>
        </w:rPr>
        <w:t xml:space="preserve">rating was based on the </w:t>
      </w:r>
      <w:r w:rsidR="003131FD">
        <w:rPr>
          <w:color w:val="000000" w:themeColor="text1"/>
          <w:szCs w:val="24"/>
        </w:rPr>
        <w:t xml:space="preserve">combined </w:t>
      </w:r>
      <w:r w:rsidR="00083356" w:rsidRPr="00083356">
        <w:rPr>
          <w:color w:val="000000" w:themeColor="text1"/>
          <w:szCs w:val="24"/>
        </w:rPr>
        <w:t>VA/</w:t>
      </w:r>
      <w:r w:rsidR="004E4A3D">
        <w:rPr>
          <w:color w:val="000000" w:themeColor="text1"/>
          <w:szCs w:val="24"/>
        </w:rPr>
        <w:t>MEB</w:t>
      </w:r>
      <w:r w:rsidR="00083356" w:rsidRPr="00083356">
        <w:rPr>
          <w:color w:val="000000" w:themeColor="text1"/>
          <w:szCs w:val="24"/>
        </w:rPr>
        <w:t xml:space="preserve"> exam </w:t>
      </w:r>
      <w:r w:rsidR="007B3CE4">
        <w:rPr>
          <w:color w:val="000000" w:themeColor="text1"/>
          <w:szCs w:val="24"/>
        </w:rPr>
        <w:t>(</w:t>
      </w:r>
      <w:r w:rsidR="007B3CE4" w:rsidRPr="007B3CE4">
        <w:rPr>
          <w:color w:val="000000" w:themeColor="text1"/>
          <w:szCs w:val="24"/>
        </w:rPr>
        <w:t>6 Mo. Pre-Sep</w:t>
      </w:r>
      <w:r w:rsidR="003131FD">
        <w:rPr>
          <w:color w:val="000000" w:themeColor="text1"/>
          <w:szCs w:val="24"/>
        </w:rPr>
        <w:t xml:space="preserve">; </w:t>
      </w:r>
      <w:r w:rsidR="006377D6">
        <w:rPr>
          <w:color w:val="000000" w:themeColor="text1"/>
          <w:szCs w:val="24"/>
        </w:rPr>
        <w:t xml:space="preserve">           </w:t>
      </w:r>
      <w:r w:rsidR="00201EDA">
        <w:rPr>
          <w:color w:val="000000" w:themeColor="text1"/>
          <w:szCs w:val="24"/>
        </w:rPr>
        <w:t>29 March 2006</w:t>
      </w:r>
      <w:r w:rsidR="003131FD">
        <w:rPr>
          <w:color w:val="000000" w:themeColor="text1"/>
          <w:szCs w:val="24"/>
        </w:rPr>
        <w:t xml:space="preserve">), </w:t>
      </w:r>
      <w:r w:rsidR="00083356" w:rsidRPr="00083356">
        <w:rPr>
          <w:color w:val="000000" w:themeColor="text1"/>
          <w:szCs w:val="24"/>
        </w:rPr>
        <w:t xml:space="preserve">and completely discounted the physical therapy </w:t>
      </w:r>
      <w:r w:rsidR="00083356">
        <w:rPr>
          <w:color w:val="000000" w:themeColor="text1"/>
          <w:szCs w:val="24"/>
        </w:rPr>
        <w:t xml:space="preserve">(PT) </w:t>
      </w:r>
      <w:r w:rsidR="00083356" w:rsidRPr="00083356">
        <w:rPr>
          <w:color w:val="000000" w:themeColor="text1"/>
          <w:szCs w:val="24"/>
        </w:rPr>
        <w:t xml:space="preserve">ROM exam </w:t>
      </w:r>
      <w:r w:rsidR="003131FD">
        <w:rPr>
          <w:color w:val="000000" w:themeColor="text1"/>
          <w:szCs w:val="24"/>
        </w:rPr>
        <w:t>(3</w:t>
      </w:r>
      <w:r w:rsidR="003131FD" w:rsidRPr="007B3CE4">
        <w:rPr>
          <w:color w:val="000000" w:themeColor="text1"/>
          <w:szCs w:val="24"/>
        </w:rPr>
        <w:t xml:space="preserve"> Mo. Pre-Sep</w:t>
      </w:r>
      <w:r w:rsidR="003131FD">
        <w:rPr>
          <w:color w:val="000000" w:themeColor="text1"/>
          <w:szCs w:val="24"/>
        </w:rPr>
        <w:t xml:space="preserve">; </w:t>
      </w:r>
      <w:r w:rsidR="006377D6">
        <w:rPr>
          <w:color w:val="000000" w:themeColor="text1"/>
          <w:szCs w:val="24"/>
        </w:rPr>
        <w:t>7 June 2006</w:t>
      </w:r>
      <w:r w:rsidR="003131FD" w:rsidRPr="003131FD">
        <w:rPr>
          <w:color w:val="000000" w:themeColor="text1"/>
          <w:szCs w:val="24"/>
        </w:rPr>
        <w:t xml:space="preserve">) </w:t>
      </w:r>
      <w:r w:rsidR="00083356" w:rsidRPr="00083356">
        <w:rPr>
          <w:color w:val="000000" w:themeColor="text1"/>
          <w:szCs w:val="24"/>
        </w:rPr>
        <w:t xml:space="preserve">and other evidence of record for painful </w:t>
      </w:r>
      <w:r w:rsidR="006F7142">
        <w:rPr>
          <w:color w:val="000000" w:themeColor="text1"/>
          <w:szCs w:val="24"/>
        </w:rPr>
        <w:t xml:space="preserve">back </w:t>
      </w:r>
      <w:r w:rsidR="00083356" w:rsidRPr="00083356">
        <w:rPr>
          <w:color w:val="000000" w:themeColor="text1"/>
          <w:szCs w:val="24"/>
        </w:rPr>
        <w:t xml:space="preserve">motion.  </w:t>
      </w:r>
      <w:r w:rsidR="00083356">
        <w:rPr>
          <w:color w:val="000000" w:themeColor="text1"/>
          <w:szCs w:val="24"/>
        </w:rPr>
        <w:t xml:space="preserve">The </w:t>
      </w:r>
      <w:r w:rsidR="00AA54CC">
        <w:rPr>
          <w:color w:val="000000" w:themeColor="text1"/>
          <w:szCs w:val="24"/>
        </w:rPr>
        <w:t xml:space="preserve">verbatim </w:t>
      </w:r>
      <w:r w:rsidR="00083356">
        <w:rPr>
          <w:color w:val="000000" w:themeColor="text1"/>
          <w:szCs w:val="24"/>
        </w:rPr>
        <w:t>PEB disability description was:</w:t>
      </w:r>
    </w:p>
    <w:p w:rsidR="003131FD" w:rsidRDefault="003131FD" w:rsidP="00483229">
      <w:pPr>
        <w:tabs>
          <w:tab w:val="left" w:pos="288"/>
          <w:tab w:val="left" w:pos="4752"/>
        </w:tabs>
        <w:jc w:val="both"/>
        <w:rPr>
          <w:color w:val="000000" w:themeColor="text1"/>
          <w:szCs w:val="24"/>
        </w:rPr>
      </w:pPr>
    </w:p>
    <w:p w:rsidR="00083356" w:rsidRPr="00083356" w:rsidRDefault="00083356" w:rsidP="003131FD">
      <w:pPr>
        <w:tabs>
          <w:tab w:val="left" w:pos="288"/>
          <w:tab w:val="left" w:pos="4752"/>
        </w:tabs>
        <w:spacing w:line="200" w:lineRule="exact"/>
        <w:ind w:left="288" w:right="288"/>
        <w:jc w:val="both"/>
        <w:rPr>
          <w:color w:val="000000" w:themeColor="text1"/>
          <w:sz w:val="20"/>
          <w:szCs w:val="24"/>
        </w:rPr>
      </w:pPr>
      <w:proofErr w:type="gramStart"/>
      <w:r w:rsidRPr="00083356">
        <w:rPr>
          <w:color w:val="000000" w:themeColor="text1"/>
          <w:sz w:val="20"/>
          <w:szCs w:val="24"/>
        </w:rPr>
        <w:t>“LUMBAGO, WITHOUT NEUROLOGIC ABNORMALITY.</w:t>
      </w:r>
      <w:proofErr w:type="gramEnd"/>
      <w:r w:rsidRPr="00083356">
        <w:rPr>
          <w:color w:val="000000" w:themeColor="text1"/>
          <w:sz w:val="20"/>
          <w:szCs w:val="24"/>
        </w:rPr>
        <w:t xml:space="preserve"> </w:t>
      </w:r>
      <w:proofErr w:type="gramStart"/>
      <w:r w:rsidRPr="00083356">
        <w:rPr>
          <w:color w:val="000000" w:themeColor="text1"/>
          <w:sz w:val="20"/>
          <w:szCs w:val="24"/>
        </w:rPr>
        <w:t>THORACOLUMBAR RANGE OF MOTION LIMITED BY PAIN.</w:t>
      </w:r>
      <w:proofErr w:type="gramEnd"/>
      <w:r w:rsidRPr="00083356">
        <w:rPr>
          <w:color w:val="000000" w:themeColor="text1"/>
          <w:sz w:val="20"/>
          <w:szCs w:val="24"/>
        </w:rPr>
        <w:t xml:space="preserve">  (MEBD DIAG 2, NARSUM, PT RANGE OF MOTION EVAL, FT CAMPBELL C&amp;P EVAL, DA FORM 3349)”</w:t>
      </w:r>
    </w:p>
    <w:p w:rsidR="00083356" w:rsidRDefault="00083356" w:rsidP="00483229">
      <w:pPr>
        <w:tabs>
          <w:tab w:val="left" w:pos="288"/>
          <w:tab w:val="left" w:pos="4752"/>
        </w:tabs>
        <w:jc w:val="both"/>
        <w:rPr>
          <w:color w:val="000000" w:themeColor="text1"/>
          <w:szCs w:val="24"/>
        </w:rPr>
      </w:pPr>
    </w:p>
    <w:p w:rsidR="00AA54CC" w:rsidRDefault="00083356" w:rsidP="00AA54CC">
      <w:pPr>
        <w:tabs>
          <w:tab w:val="left" w:pos="288"/>
          <w:tab w:val="left" w:pos="4752"/>
        </w:tabs>
        <w:jc w:val="both"/>
        <w:rPr>
          <w:color w:val="000000" w:themeColor="text1"/>
          <w:szCs w:val="24"/>
        </w:rPr>
      </w:pPr>
      <w:r w:rsidRPr="00083356">
        <w:rPr>
          <w:color w:val="000000" w:themeColor="text1"/>
          <w:szCs w:val="24"/>
        </w:rPr>
        <w:t xml:space="preserve">The PEB disability description specified </w:t>
      </w:r>
      <w:r>
        <w:rPr>
          <w:color w:val="000000" w:themeColor="text1"/>
          <w:szCs w:val="24"/>
        </w:rPr>
        <w:t xml:space="preserve">that </w:t>
      </w:r>
      <w:r w:rsidRPr="00083356">
        <w:rPr>
          <w:color w:val="000000" w:themeColor="text1"/>
          <w:szCs w:val="24"/>
        </w:rPr>
        <w:t>there was ROM limited by pain</w:t>
      </w:r>
      <w:r>
        <w:rPr>
          <w:color w:val="000000" w:themeColor="text1"/>
          <w:szCs w:val="24"/>
        </w:rPr>
        <w:t xml:space="preserve"> and that the PEB </w:t>
      </w:r>
      <w:r w:rsidRPr="00083356">
        <w:rPr>
          <w:color w:val="000000" w:themeColor="text1"/>
          <w:szCs w:val="24"/>
        </w:rPr>
        <w:t>use</w:t>
      </w:r>
      <w:r>
        <w:rPr>
          <w:color w:val="000000" w:themeColor="text1"/>
          <w:szCs w:val="24"/>
        </w:rPr>
        <w:t>d</w:t>
      </w:r>
      <w:r w:rsidRPr="00083356">
        <w:rPr>
          <w:color w:val="000000" w:themeColor="text1"/>
          <w:szCs w:val="24"/>
        </w:rPr>
        <w:t xml:space="preserve"> the </w:t>
      </w:r>
      <w:r>
        <w:rPr>
          <w:color w:val="000000" w:themeColor="text1"/>
          <w:szCs w:val="24"/>
        </w:rPr>
        <w:t>PT</w:t>
      </w:r>
      <w:r w:rsidRPr="00083356">
        <w:rPr>
          <w:color w:val="000000" w:themeColor="text1"/>
          <w:szCs w:val="24"/>
        </w:rPr>
        <w:t xml:space="preserve"> exam </w:t>
      </w:r>
      <w:r>
        <w:rPr>
          <w:color w:val="000000" w:themeColor="text1"/>
          <w:szCs w:val="24"/>
        </w:rPr>
        <w:t>(which was closer to the date of separation) as their rating exam</w:t>
      </w:r>
      <w:r w:rsidRPr="00083356">
        <w:rPr>
          <w:color w:val="000000" w:themeColor="text1"/>
          <w:szCs w:val="24"/>
        </w:rPr>
        <w:t xml:space="preserve">.  Absent application of the USAPDA pain policy, the </w:t>
      </w:r>
      <w:r w:rsidR="00AA54CC">
        <w:rPr>
          <w:color w:val="000000" w:themeColor="text1"/>
          <w:szCs w:val="24"/>
        </w:rPr>
        <w:t xml:space="preserve">PEB </w:t>
      </w:r>
      <w:r w:rsidRPr="00083356">
        <w:rPr>
          <w:color w:val="000000" w:themeColor="text1"/>
          <w:szCs w:val="24"/>
        </w:rPr>
        <w:t xml:space="preserve">disability description </w:t>
      </w:r>
      <w:r>
        <w:rPr>
          <w:color w:val="000000" w:themeColor="text1"/>
          <w:szCs w:val="24"/>
        </w:rPr>
        <w:t xml:space="preserve">alone (ROM limited by pain) </w:t>
      </w:r>
      <w:r w:rsidR="00AA54CC">
        <w:rPr>
          <w:color w:val="000000" w:themeColor="text1"/>
          <w:szCs w:val="24"/>
        </w:rPr>
        <w:t xml:space="preserve">would meet the 10% rating criteria with application of </w:t>
      </w:r>
      <w:r w:rsidR="00AA54CC" w:rsidRPr="00AA54CC">
        <w:rPr>
          <w:color w:val="000000" w:themeColor="text1"/>
          <w:szCs w:val="24"/>
        </w:rPr>
        <w:t>§4.59</w:t>
      </w:r>
      <w:r w:rsidR="00602396">
        <w:rPr>
          <w:color w:val="000000" w:themeColor="text1"/>
          <w:szCs w:val="24"/>
        </w:rPr>
        <w:t>,</w:t>
      </w:r>
      <w:r w:rsidR="006377D6">
        <w:rPr>
          <w:color w:val="000000" w:themeColor="text1"/>
          <w:szCs w:val="24"/>
        </w:rPr>
        <w:t xml:space="preserve"> p</w:t>
      </w:r>
      <w:r w:rsidR="00AA54CC" w:rsidRPr="00AA54CC">
        <w:rPr>
          <w:color w:val="000000" w:themeColor="text1"/>
          <w:szCs w:val="24"/>
        </w:rPr>
        <w:t>ainful motion</w:t>
      </w:r>
      <w:r w:rsidR="00AA54CC">
        <w:rPr>
          <w:color w:val="000000" w:themeColor="text1"/>
          <w:szCs w:val="24"/>
        </w:rPr>
        <w:t xml:space="preserve">.  The </w:t>
      </w:r>
      <w:r>
        <w:rPr>
          <w:color w:val="000000" w:themeColor="text1"/>
          <w:szCs w:val="24"/>
        </w:rPr>
        <w:t xml:space="preserve">ratable goniometric </w:t>
      </w:r>
      <w:r w:rsidRPr="00083356">
        <w:rPr>
          <w:color w:val="000000" w:themeColor="text1"/>
          <w:szCs w:val="24"/>
        </w:rPr>
        <w:t xml:space="preserve">PT exam </w:t>
      </w:r>
      <w:r>
        <w:rPr>
          <w:color w:val="000000" w:themeColor="text1"/>
          <w:szCs w:val="24"/>
        </w:rPr>
        <w:t xml:space="preserve">(combined ROM </w:t>
      </w:r>
      <w:r w:rsidRPr="00AA54CC">
        <w:rPr>
          <w:color w:val="000000" w:themeColor="text1"/>
          <w:szCs w:val="24"/>
        </w:rPr>
        <w:t>190⁰ [normal 240⁰])</w:t>
      </w:r>
      <w:r>
        <w:rPr>
          <w:color w:val="000000" w:themeColor="text1"/>
          <w:szCs w:val="24"/>
        </w:rPr>
        <w:t xml:space="preserve"> </w:t>
      </w:r>
      <w:r w:rsidR="00AA54CC">
        <w:rPr>
          <w:color w:val="000000" w:themeColor="text1"/>
          <w:szCs w:val="24"/>
        </w:rPr>
        <w:t xml:space="preserve">would meet the </w:t>
      </w:r>
      <w:r w:rsidRPr="00083356">
        <w:rPr>
          <w:color w:val="000000" w:themeColor="text1"/>
          <w:szCs w:val="24"/>
        </w:rPr>
        <w:t xml:space="preserve">10% </w:t>
      </w:r>
      <w:r w:rsidR="00AA54CC">
        <w:rPr>
          <w:color w:val="000000" w:themeColor="text1"/>
          <w:szCs w:val="24"/>
        </w:rPr>
        <w:t>general spine formula criteria of “</w:t>
      </w:r>
      <w:r w:rsidR="00AA54CC" w:rsidRPr="00AA54CC">
        <w:rPr>
          <w:color w:val="000000" w:themeColor="text1"/>
          <w:szCs w:val="24"/>
        </w:rPr>
        <w:t xml:space="preserve">combined </w:t>
      </w:r>
      <w:r w:rsidR="006377D6">
        <w:rPr>
          <w:color w:val="000000" w:themeColor="text1"/>
          <w:szCs w:val="24"/>
        </w:rPr>
        <w:t>ROM</w:t>
      </w:r>
      <w:r w:rsidR="00AA54CC" w:rsidRPr="00AA54CC">
        <w:rPr>
          <w:color w:val="000000" w:themeColor="text1"/>
          <w:szCs w:val="24"/>
        </w:rPr>
        <w:t xml:space="preserve"> of the thoracolumbar spine greater than 120 degrees but not greater than 235 degrees</w:t>
      </w:r>
      <w:r w:rsidR="006377D6">
        <w:rPr>
          <w:color w:val="000000" w:themeColor="text1"/>
          <w:szCs w:val="24"/>
        </w:rPr>
        <w:t>.”</w:t>
      </w:r>
      <w:r w:rsidR="00AA54CC">
        <w:rPr>
          <w:color w:val="000000" w:themeColor="text1"/>
          <w:szCs w:val="24"/>
        </w:rPr>
        <w:t xml:space="preserve">  </w:t>
      </w:r>
    </w:p>
    <w:p w:rsidR="00AA54CC" w:rsidRDefault="00AA54CC" w:rsidP="00AA54CC">
      <w:pPr>
        <w:tabs>
          <w:tab w:val="left" w:pos="288"/>
          <w:tab w:val="left" w:pos="4752"/>
        </w:tabs>
        <w:jc w:val="both"/>
        <w:rPr>
          <w:color w:val="000000" w:themeColor="text1"/>
          <w:szCs w:val="24"/>
        </w:rPr>
      </w:pPr>
    </w:p>
    <w:p w:rsidR="00E9070C" w:rsidRDefault="00AA54CC" w:rsidP="00AA54CC">
      <w:pPr>
        <w:tabs>
          <w:tab w:val="left" w:pos="288"/>
          <w:tab w:val="left" w:pos="4752"/>
        </w:tabs>
        <w:jc w:val="both"/>
        <w:rPr>
          <w:color w:val="000000" w:themeColor="text1"/>
          <w:szCs w:val="24"/>
        </w:rPr>
      </w:pPr>
      <w:r>
        <w:rPr>
          <w:color w:val="000000" w:themeColor="text1"/>
          <w:szCs w:val="24"/>
        </w:rPr>
        <w:t>It is conceded that the VA</w:t>
      </w:r>
      <w:r w:rsidR="00A6724C">
        <w:rPr>
          <w:color w:val="000000" w:themeColor="text1"/>
          <w:szCs w:val="24"/>
        </w:rPr>
        <w:t xml:space="preserve"> C&amp;P</w:t>
      </w:r>
      <w:r>
        <w:rPr>
          <w:color w:val="000000" w:themeColor="text1"/>
          <w:szCs w:val="24"/>
        </w:rPr>
        <w:t>/initial MEB exam</w:t>
      </w:r>
      <w:r w:rsidR="003131FD">
        <w:rPr>
          <w:color w:val="000000" w:themeColor="text1"/>
          <w:szCs w:val="24"/>
        </w:rPr>
        <w:t>, in isolation,</w:t>
      </w:r>
      <w:r>
        <w:rPr>
          <w:color w:val="000000" w:themeColor="text1"/>
          <w:szCs w:val="24"/>
        </w:rPr>
        <w:t xml:space="preserve"> may be rated at 0%</w:t>
      </w:r>
      <w:r w:rsidR="00EA3F44">
        <w:rPr>
          <w:color w:val="000000" w:themeColor="text1"/>
          <w:szCs w:val="24"/>
        </w:rPr>
        <w:t xml:space="preserve"> </w:t>
      </w:r>
      <w:r w:rsidR="00BD16F5">
        <w:rPr>
          <w:color w:val="000000" w:themeColor="text1"/>
          <w:szCs w:val="24"/>
        </w:rPr>
        <w:t>without</w:t>
      </w:r>
      <w:r w:rsidR="00EA3F44">
        <w:rPr>
          <w:color w:val="000000" w:themeColor="text1"/>
          <w:szCs w:val="24"/>
        </w:rPr>
        <w:t xml:space="preserve"> a clear and unmistakable error in VASRD application</w:t>
      </w:r>
      <w:r>
        <w:rPr>
          <w:color w:val="000000" w:themeColor="text1"/>
          <w:szCs w:val="24"/>
        </w:rPr>
        <w:t>, even though the VA rated that exam at 10%</w:t>
      </w:r>
      <w:r w:rsidR="003131FD">
        <w:rPr>
          <w:color w:val="000000" w:themeColor="text1"/>
          <w:szCs w:val="24"/>
        </w:rPr>
        <w:t xml:space="preserve"> and reasonable doubt could be applied for a 10% rating</w:t>
      </w:r>
      <w:r w:rsidR="00EA3F44">
        <w:rPr>
          <w:color w:val="000000" w:themeColor="text1"/>
          <w:szCs w:val="24"/>
        </w:rPr>
        <w:t xml:space="preserve">. </w:t>
      </w:r>
      <w:r>
        <w:rPr>
          <w:color w:val="000000" w:themeColor="text1"/>
          <w:szCs w:val="24"/>
        </w:rPr>
        <w:t xml:space="preserve"> </w:t>
      </w:r>
      <w:r w:rsidR="00EA3F44">
        <w:rPr>
          <w:color w:val="000000" w:themeColor="text1"/>
          <w:szCs w:val="24"/>
        </w:rPr>
        <w:t>H</w:t>
      </w:r>
      <w:r>
        <w:rPr>
          <w:color w:val="000000" w:themeColor="text1"/>
          <w:szCs w:val="24"/>
        </w:rPr>
        <w:t xml:space="preserve">owever, the PT exam was closer to the date of separation, </w:t>
      </w:r>
      <w:r w:rsidR="00602396">
        <w:rPr>
          <w:color w:val="000000" w:themeColor="text1"/>
          <w:szCs w:val="24"/>
        </w:rPr>
        <w:t xml:space="preserve">and </w:t>
      </w:r>
      <w:r w:rsidR="00B13CAE">
        <w:rPr>
          <w:color w:val="000000" w:themeColor="text1"/>
          <w:szCs w:val="24"/>
        </w:rPr>
        <w:t>followed a hospitalization for seizure disorder (generalized) which may have exacerbated the back condition.  The PT exam</w:t>
      </w:r>
      <w:r w:rsidR="003131FD">
        <w:rPr>
          <w:color w:val="000000" w:themeColor="text1"/>
          <w:szCs w:val="24"/>
        </w:rPr>
        <w:t xml:space="preserve"> </w:t>
      </w:r>
      <w:r w:rsidR="00EA3F44">
        <w:rPr>
          <w:color w:val="000000" w:themeColor="text1"/>
          <w:szCs w:val="24"/>
        </w:rPr>
        <w:t>was used by the service for rating</w:t>
      </w:r>
      <w:r w:rsidR="003131FD">
        <w:rPr>
          <w:color w:val="000000" w:themeColor="text1"/>
          <w:szCs w:val="24"/>
        </w:rPr>
        <w:t xml:space="preserve"> and </w:t>
      </w:r>
      <w:r w:rsidR="00270D29">
        <w:rPr>
          <w:color w:val="000000" w:themeColor="text1"/>
          <w:szCs w:val="24"/>
        </w:rPr>
        <w:t>aligned with the record of evidence of use of a TENS unit</w:t>
      </w:r>
      <w:r w:rsidR="00682172">
        <w:rPr>
          <w:color w:val="000000" w:themeColor="text1"/>
          <w:szCs w:val="24"/>
        </w:rPr>
        <w:t>;</w:t>
      </w:r>
      <w:r w:rsidR="00EA3F44">
        <w:rPr>
          <w:color w:val="000000" w:themeColor="text1"/>
          <w:szCs w:val="24"/>
        </w:rPr>
        <w:t xml:space="preserve"> pain clinic</w:t>
      </w:r>
      <w:r w:rsidR="00270D29">
        <w:rPr>
          <w:color w:val="000000" w:themeColor="text1"/>
          <w:szCs w:val="24"/>
        </w:rPr>
        <w:t xml:space="preserve"> and chiropractic </w:t>
      </w:r>
      <w:r w:rsidR="00EA3F44">
        <w:rPr>
          <w:color w:val="000000" w:themeColor="text1"/>
          <w:szCs w:val="24"/>
        </w:rPr>
        <w:t>treatment</w:t>
      </w:r>
      <w:r w:rsidR="007B3CE4">
        <w:rPr>
          <w:color w:val="000000" w:themeColor="text1"/>
          <w:szCs w:val="24"/>
        </w:rPr>
        <w:t>s</w:t>
      </w:r>
      <w:r w:rsidR="00682172">
        <w:rPr>
          <w:color w:val="000000" w:themeColor="text1"/>
          <w:szCs w:val="24"/>
        </w:rPr>
        <w:t>;</w:t>
      </w:r>
      <w:r w:rsidR="00EA3F44">
        <w:rPr>
          <w:color w:val="000000" w:themeColor="text1"/>
          <w:szCs w:val="24"/>
        </w:rPr>
        <w:t xml:space="preserve"> a lumbar epidural steroid injection</w:t>
      </w:r>
      <w:r w:rsidR="00682172">
        <w:rPr>
          <w:color w:val="000000" w:themeColor="text1"/>
          <w:szCs w:val="24"/>
        </w:rPr>
        <w:t>;</w:t>
      </w:r>
      <w:r w:rsidR="00EA3F44">
        <w:rPr>
          <w:color w:val="000000" w:themeColor="text1"/>
          <w:szCs w:val="24"/>
        </w:rPr>
        <w:t xml:space="preserve"> and multiple complaints of lower extremity radicular pain on motion or following activity.  </w:t>
      </w:r>
      <w:r w:rsidR="00B13CAE">
        <w:rPr>
          <w:color w:val="000000" w:themeColor="text1"/>
          <w:szCs w:val="24"/>
        </w:rPr>
        <w:t>The PT exam had the highest probative value and would clearly and unmistakably be rated at 10%</w:t>
      </w:r>
      <w:r w:rsidR="00602396">
        <w:rPr>
          <w:color w:val="000000" w:themeColor="text1"/>
          <w:szCs w:val="24"/>
        </w:rPr>
        <w:t xml:space="preserve"> </w:t>
      </w:r>
      <w:r w:rsidR="00602396" w:rsidRPr="000F441A">
        <w:rPr>
          <w:rFonts w:eastAsia="Calibri" w:cs="Times New Roman"/>
          <w:color w:val="auto"/>
          <w:szCs w:val="24"/>
        </w:rPr>
        <w:t>IAW VASRD §4.71a</w:t>
      </w:r>
      <w:r w:rsidR="00B13CAE">
        <w:rPr>
          <w:color w:val="000000" w:themeColor="text1"/>
          <w:szCs w:val="24"/>
        </w:rPr>
        <w:t xml:space="preserve">. </w:t>
      </w:r>
      <w:r w:rsidR="00602396">
        <w:rPr>
          <w:color w:val="000000" w:themeColor="text1"/>
          <w:szCs w:val="24"/>
        </w:rPr>
        <w:t xml:space="preserve"> </w:t>
      </w:r>
    </w:p>
    <w:p w:rsidR="00E9070C" w:rsidRDefault="00E9070C" w:rsidP="00AA54CC">
      <w:pPr>
        <w:tabs>
          <w:tab w:val="left" w:pos="288"/>
          <w:tab w:val="left" w:pos="4752"/>
        </w:tabs>
        <w:jc w:val="both"/>
        <w:rPr>
          <w:color w:val="000000" w:themeColor="text1"/>
          <w:szCs w:val="24"/>
        </w:rPr>
      </w:pPr>
    </w:p>
    <w:p w:rsidR="003131FD" w:rsidRDefault="006F7142" w:rsidP="007B3CE4">
      <w:pPr>
        <w:tabs>
          <w:tab w:val="left" w:pos="288"/>
          <w:tab w:val="left" w:pos="4752"/>
        </w:tabs>
        <w:jc w:val="both"/>
        <w:rPr>
          <w:color w:val="000000" w:themeColor="text1"/>
          <w:szCs w:val="24"/>
        </w:rPr>
      </w:pPr>
      <w:r>
        <w:rPr>
          <w:color w:val="000000" w:themeColor="text1"/>
          <w:szCs w:val="24"/>
        </w:rPr>
        <w:t xml:space="preserve">It is certainly not IAW </w:t>
      </w:r>
      <w:r w:rsidRPr="006F7142">
        <w:rPr>
          <w:color w:val="000000" w:themeColor="text1"/>
          <w:szCs w:val="24"/>
        </w:rPr>
        <w:t>§</w:t>
      </w:r>
      <w:r w:rsidRPr="007B3CE4">
        <w:rPr>
          <w:color w:val="000000" w:themeColor="text1"/>
          <w:szCs w:val="24"/>
        </w:rPr>
        <w:t xml:space="preserve">4.3 </w:t>
      </w:r>
      <w:r>
        <w:rPr>
          <w:color w:val="000000" w:themeColor="text1"/>
          <w:szCs w:val="24"/>
        </w:rPr>
        <w:t>(</w:t>
      </w:r>
      <w:r w:rsidR="006377D6">
        <w:rPr>
          <w:color w:val="000000" w:themeColor="text1"/>
          <w:szCs w:val="24"/>
        </w:rPr>
        <w:t>r</w:t>
      </w:r>
      <w:r w:rsidRPr="007B3CE4">
        <w:rPr>
          <w:color w:val="000000" w:themeColor="text1"/>
          <w:szCs w:val="24"/>
        </w:rPr>
        <w:t>esolution of reasonable doubt</w:t>
      </w:r>
      <w:r>
        <w:rPr>
          <w:color w:val="000000" w:themeColor="text1"/>
          <w:szCs w:val="24"/>
        </w:rPr>
        <w:t xml:space="preserve">) to discount the PEB-rated exam in favor of an exam more remote from separation that </w:t>
      </w:r>
      <w:r w:rsidR="00B13CAE">
        <w:rPr>
          <w:color w:val="000000" w:themeColor="text1"/>
          <w:szCs w:val="24"/>
        </w:rPr>
        <w:t>could</w:t>
      </w:r>
      <w:r>
        <w:rPr>
          <w:color w:val="000000" w:themeColor="text1"/>
          <w:szCs w:val="24"/>
        </w:rPr>
        <w:t xml:space="preserve"> support a lower rating, as </w:t>
      </w:r>
      <w:r w:rsidRPr="006F7142">
        <w:rPr>
          <w:color w:val="000000" w:themeColor="text1"/>
          <w:szCs w:val="24"/>
        </w:rPr>
        <w:t xml:space="preserve">reasonable doubt can only be </w:t>
      </w:r>
      <w:r w:rsidR="00E9070C">
        <w:rPr>
          <w:color w:val="000000" w:themeColor="text1"/>
          <w:szCs w:val="24"/>
        </w:rPr>
        <w:t>“</w:t>
      </w:r>
      <w:r w:rsidRPr="006F7142">
        <w:rPr>
          <w:color w:val="000000" w:themeColor="text1"/>
          <w:szCs w:val="24"/>
        </w:rPr>
        <w:t>resolved in favor of the claimant.</w:t>
      </w:r>
      <w:r w:rsidR="00E9070C">
        <w:rPr>
          <w:color w:val="000000" w:themeColor="text1"/>
          <w:szCs w:val="24"/>
        </w:rPr>
        <w:t>”</w:t>
      </w:r>
      <w:r w:rsidRPr="006F7142">
        <w:rPr>
          <w:color w:val="000000" w:themeColor="text1"/>
          <w:szCs w:val="24"/>
        </w:rPr>
        <w:t xml:space="preserve">  </w:t>
      </w:r>
      <w:r w:rsidR="003131FD">
        <w:rPr>
          <w:color w:val="000000" w:themeColor="text1"/>
          <w:szCs w:val="24"/>
        </w:rPr>
        <w:t xml:space="preserve">The record clearly justifies a </w:t>
      </w:r>
      <w:r>
        <w:rPr>
          <w:color w:val="000000" w:themeColor="text1"/>
          <w:szCs w:val="24"/>
        </w:rPr>
        <w:t>10%</w:t>
      </w:r>
      <w:r w:rsidR="003131FD">
        <w:rPr>
          <w:color w:val="000000" w:themeColor="text1"/>
          <w:szCs w:val="24"/>
        </w:rPr>
        <w:t xml:space="preserve"> </w:t>
      </w:r>
      <w:r w:rsidR="00BD16F5">
        <w:rPr>
          <w:color w:val="000000" w:themeColor="text1"/>
          <w:szCs w:val="24"/>
        </w:rPr>
        <w:t xml:space="preserve">back </w:t>
      </w:r>
      <w:r w:rsidR="003131FD">
        <w:rPr>
          <w:color w:val="000000" w:themeColor="text1"/>
          <w:szCs w:val="24"/>
        </w:rPr>
        <w:t xml:space="preserve">rating with consideration of </w:t>
      </w:r>
      <w:r w:rsidR="003131FD" w:rsidRPr="007B3CE4">
        <w:rPr>
          <w:color w:val="000000" w:themeColor="text1"/>
          <w:szCs w:val="24"/>
        </w:rPr>
        <w:t xml:space="preserve">§4.3 </w:t>
      </w:r>
      <w:r w:rsidR="003131FD">
        <w:rPr>
          <w:color w:val="000000" w:themeColor="text1"/>
          <w:szCs w:val="24"/>
        </w:rPr>
        <w:t>(</w:t>
      </w:r>
      <w:r w:rsidR="006377D6">
        <w:rPr>
          <w:color w:val="000000" w:themeColor="text1"/>
          <w:szCs w:val="24"/>
        </w:rPr>
        <w:t>r</w:t>
      </w:r>
      <w:r w:rsidR="003131FD" w:rsidRPr="007B3CE4">
        <w:rPr>
          <w:color w:val="000000" w:themeColor="text1"/>
          <w:szCs w:val="24"/>
        </w:rPr>
        <w:t>esolution of reasonable doubt</w:t>
      </w:r>
      <w:r w:rsidR="003131FD">
        <w:rPr>
          <w:color w:val="000000" w:themeColor="text1"/>
          <w:szCs w:val="24"/>
        </w:rPr>
        <w:t xml:space="preserve">), </w:t>
      </w:r>
      <w:r w:rsidR="003131FD" w:rsidRPr="003131FD">
        <w:rPr>
          <w:color w:val="000000" w:themeColor="text1"/>
          <w:szCs w:val="24"/>
        </w:rPr>
        <w:t xml:space="preserve">§4.7 </w:t>
      </w:r>
      <w:r w:rsidR="00BD16F5">
        <w:rPr>
          <w:color w:val="000000" w:themeColor="text1"/>
          <w:szCs w:val="24"/>
        </w:rPr>
        <w:t>(</w:t>
      </w:r>
      <w:r w:rsidR="003131FD" w:rsidRPr="003131FD">
        <w:rPr>
          <w:color w:val="000000" w:themeColor="text1"/>
          <w:szCs w:val="24"/>
        </w:rPr>
        <w:t>Higher of two evaluations</w:t>
      </w:r>
      <w:r w:rsidR="00BD16F5">
        <w:rPr>
          <w:color w:val="000000" w:themeColor="text1"/>
          <w:szCs w:val="24"/>
        </w:rPr>
        <w:t xml:space="preserve">), and </w:t>
      </w:r>
      <w:r w:rsidR="00BD16F5" w:rsidRPr="000F441A">
        <w:rPr>
          <w:color w:val="auto"/>
          <w:szCs w:val="24"/>
        </w:rPr>
        <w:t>§4.40 (functional loss)</w:t>
      </w:r>
      <w:r>
        <w:rPr>
          <w:color w:val="auto"/>
          <w:szCs w:val="24"/>
        </w:rPr>
        <w:t>.  T</w:t>
      </w:r>
      <w:r w:rsidR="00BD16F5">
        <w:rPr>
          <w:color w:val="auto"/>
          <w:szCs w:val="24"/>
        </w:rPr>
        <w:t xml:space="preserve">he CI’s thoracolumbar spine condition should be rated at the 10% level, coded 5299-5237.  </w:t>
      </w:r>
    </w:p>
    <w:p w:rsidR="003131FD" w:rsidRDefault="003131FD" w:rsidP="007B3CE4">
      <w:pPr>
        <w:tabs>
          <w:tab w:val="left" w:pos="288"/>
          <w:tab w:val="left" w:pos="4752"/>
        </w:tabs>
        <w:jc w:val="both"/>
        <w:rPr>
          <w:color w:val="000000" w:themeColor="text1"/>
          <w:szCs w:val="24"/>
        </w:rPr>
      </w:pPr>
    </w:p>
    <w:p w:rsidR="006F7142" w:rsidRPr="00682172" w:rsidRDefault="006F7142" w:rsidP="007B3CE4">
      <w:pPr>
        <w:tabs>
          <w:tab w:val="left" w:pos="288"/>
          <w:tab w:val="left" w:pos="4752"/>
        </w:tabs>
        <w:jc w:val="both"/>
        <w:rPr>
          <w:rFonts w:asciiTheme="minorHAnsi" w:hAnsiTheme="minorHAnsi"/>
          <w:color w:val="auto"/>
        </w:rPr>
      </w:pPr>
      <w:r>
        <w:rPr>
          <w:rFonts w:asciiTheme="minorHAnsi" w:hAnsiTheme="minorHAnsi"/>
          <w:color w:val="auto"/>
        </w:rPr>
        <w:t xml:space="preserve">I respectfully submit to the </w:t>
      </w:r>
      <w:r w:rsidR="006377D6">
        <w:rPr>
          <w:rFonts w:asciiTheme="minorHAnsi" w:hAnsiTheme="minorHAnsi"/>
          <w:color w:val="auto"/>
        </w:rPr>
        <w:t>s</w:t>
      </w:r>
      <w:r>
        <w:rPr>
          <w:rFonts w:asciiTheme="minorHAnsi" w:hAnsiTheme="minorHAnsi"/>
          <w:color w:val="auto"/>
        </w:rPr>
        <w:t xml:space="preserve">ecretary that a fair rating recommendation for this soldier is 20% for the neck </w:t>
      </w:r>
      <w:r w:rsidR="004E4A3D">
        <w:rPr>
          <w:rFonts w:asciiTheme="minorHAnsi" w:hAnsiTheme="minorHAnsi"/>
          <w:color w:val="auto"/>
        </w:rPr>
        <w:t xml:space="preserve">condition </w:t>
      </w:r>
      <w:r>
        <w:rPr>
          <w:rFonts w:asciiTheme="minorHAnsi" w:hAnsiTheme="minorHAnsi"/>
          <w:color w:val="auto"/>
        </w:rPr>
        <w:t xml:space="preserve">and 10% for the back condition; and that </w:t>
      </w:r>
      <w:r w:rsidRPr="00907AD4">
        <w:rPr>
          <w:rFonts w:eastAsia="Calibri" w:cs="Times New Roman"/>
          <w:color w:val="auto"/>
          <w:szCs w:val="24"/>
        </w:rPr>
        <w:t xml:space="preserve">the CI’s prior determination </w:t>
      </w:r>
      <w:r>
        <w:rPr>
          <w:rFonts w:eastAsia="Calibri" w:cs="Times New Roman"/>
          <w:color w:val="auto"/>
          <w:szCs w:val="24"/>
        </w:rPr>
        <w:t xml:space="preserve">of </w:t>
      </w:r>
      <w:r w:rsidRPr="00907AD4">
        <w:rPr>
          <w:rFonts w:eastAsia="Calibri" w:cs="Times New Roman"/>
          <w:color w:val="auto"/>
          <w:szCs w:val="24"/>
        </w:rPr>
        <w:t xml:space="preserve">discharge with severance pay be recharacterized to reflect permanent disability </w:t>
      </w:r>
      <w:r w:rsidRPr="00682172">
        <w:rPr>
          <w:rFonts w:eastAsia="Calibri" w:cs="Times New Roman"/>
          <w:color w:val="auto"/>
          <w:szCs w:val="24"/>
        </w:rPr>
        <w:t xml:space="preserve">retirement, as follows.  </w:t>
      </w:r>
    </w:p>
    <w:p w:rsidR="000F441A" w:rsidRPr="00682172" w:rsidRDefault="000F441A" w:rsidP="006544F5">
      <w:pPr>
        <w:tabs>
          <w:tab w:val="left" w:pos="288"/>
          <w:tab w:val="left" w:pos="4752"/>
        </w:tabs>
        <w:jc w:val="both"/>
        <w:rPr>
          <w:color w:val="auto"/>
          <w:szCs w:val="24"/>
          <w:u w:val="single"/>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733CB9" w:rsidRPr="00682172" w:rsidTr="00083356">
        <w:trPr>
          <w:trHeight w:val="233"/>
          <w:jc w:val="center"/>
        </w:trPr>
        <w:tc>
          <w:tcPr>
            <w:tcW w:w="6282" w:type="dxa"/>
            <w:shd w:val="clear" w:color="auto" w:fill="D9D9D9"/>
            <w:vAlign w:val="center"/>
          </w:tcPr>
          <w:p w:rsidR="00733CB9" w:rsidRPr="00682172" w:rsidRDefault="00733CB9" w:rsidP="00083356">
            <w:pPr>
              <w:tabs>
                <w:tab w:val="left" w:pos="288"/>
                <w:tab w:val="left" w:pos="4752"/>
              </w:tabs>
              <w:rPr>
                <w:b/>
                <w:color w:val="auto"/>
                <w:szCs w:val="24"/>
              </w:rPr>
            </w:pPr>
            <w:r w:rsidRPr="00682172">
              <w:rPr>
                <w:b/>
                <w:color w:val="auto"/>
                <w:szCs w:val="24"/>
              </w:rPr>
              <w:t>UNFITTING CONDITION</w:t>
            </w:r>
          </w:p>
        </w:tc>
        <w:tc>
          <w:tcPr>
            <w:tcW w:w="1710" w:type="dxa"/>
            <w:shd w:val="clear" w:color="auto" w:fill="D9D9D9"/>
            <w:vAlign w:val="center"/>
          </w:tcPr>
          <w:p w:rsidR="00733CB9" w:rsidRPr="00682172" w:rsidRDefault="00733CB9" w:rsidP="00083356">
            <w:pPr>
              <w:tabs>
                <w:tab w:val="left" w:pos="288"/>
                <w:tab w:val="left" w:pos="4752"/>
              </w:tabs>
              <w:rPr>
                <w:b/>
                <w:color w:val="auto"/>
                <w:szCs w:val="24"/>
              </w:rPr>
            </w:pPr>
            <w:r w:rsidRPr="00682172">
              <w:rPr>
                <w:b/>
                <w:color w:val="auto"/>
                <w:szCs w:val="24"/>
              </w:rPr>
              <w:t>VASRD CODE</w:t>
            </w:r>
          </w:p>
        </w:tc>
        <w:tc>
          <w:tcPr>
            <w:tcW w:w="1170" w:type="dxa"/>
            <w:shd w:val="clear" w:color="auto" w:fill="D9D9D9"/>
            <w:vAlign w:val="center"/>
          </w:tcPr>
          <w:p w:rsidR="00733CB9" w:rsidRPr="00682172" w:rsidRDefault="00733CB9" w:rsidP="00083356">
            <w:pPr>
              <w:tabs>
                <w:tab w:val="left" w:pos="288"/>
                <w:tab w:val="left" w:pos="4752"/>
              </w:tabs>
              <w:rPr>
                <w:b/>
                <w:color w:val="auto"/>
                <w:szCs w:val="24"/>
              </w:rPr>
            </w:pPr>
            <w:r w:rsidRPr="00682172">
              <w:rPr>
                <w:b/>
                <w:color w:val="auto"/>
                <w:szCs w:val="24"/>
              </w:rPr>
              <w:t>RATING</w:t>
            </w:r>
          </w:p>
        </w:tc>
      </w:tr>
      <w:tr w:rsidR="00733CB9" w:rsidRPr="00682172" w:rsidTr="00083356">
        <w:trPr>
          <w:jc w:val="center"/>
        </w:trPr>
        <w:tc>
          <w:tcPr>
            <w:tcW w:w="6282" w:type="dxa"/>
            <w:vAlign w:val="center"/>
          </w:tcPr>
          <w:p w:rsidR="00733CB9" w:rsidRPr="00682172" w:rsidRDefault="00733CB9" w:rsidP="00083356">
            <w:pPr>
              <w:contextualSpacing/>
              <w:jc w:val="left"/>
              <w:rPr>
                <w:rFonts w:cs="Calibri"/>
                <w:color w:val="auto"/>
                <w:szCs w:val="18"/>
              </w:rPr>
            </w:pPr>
            <w:r w:rsidRPr="00682172">
              <w:rPr>
                <w:rFonts w:cs="Calibri"/>
                <w:color w:val="auto"/>
                <w:szCs w:val="18"/>
              </w:rPr>
              <w:t>Cervical Spondylosis, w/o Abnormality</w:t>
            </w:r>
          </w:p>
        </w:tc>
        <w:tc>
          <w:tcPr>
            <w:tcW w:w="1710" w:type="dxa"/>
            <w:vAlign w:val="center"/>
          </w:tcPr>
          <w:p w:rsidR="00733CB9" w:rsidRPr="00682172" w:rsidRDefault="00733CB9" w:rsidP="00083356">
            <w:pPr>
              <w:contextualSpacing/>
              <w:rPr>
                <w:rFonts w:cs="Calibri"/>
                <w:color w:val="auto"/>
                <w:szCs w:val="18"/>
              </w:rPr>
            </w:pPr>
            <w:r w:rsidRPr="00682172">
              <w:rPr>
                <w:rFonts w:cs="Calibri"/>
                <w:color w:val="auto"/>
                <w:szCs w:val="18"/>
              </w:rPr>
              <w:t>5299-5237</w:t>
            </w:r>
          </w:p>
        </w:tc>
        <w:tc>
          <w:tcPr>
            <w:tcW w:w="1170" w:type="dxa"/>
            <w:vAlign w:val="center"/>
          </w:tcPr>
          <w:p w:rsidR="00733CB9" w:rsidRPr="00682172" w:rsidRDefault="00733CB9" w:rsidP="00083356">
            <w:pPr>
              <w:rPr>
                <w:rFonts w:cs="Calibri"/>
                <w:color w:val="auto"/>
                <w:szCs w:val="18"/>
              </w:rPr>
            </w:pPr>
            <w:r w:rsidRPr="00682172">
              <w:rPr>
                <w:rFonts w:cs="Calibri"/>
                <w:color w:val="auto"/>
                <w:szCs w:val="18"/>
              </w:rPr>
              <w:t>20%</w:t>
            </w:r>
          </w:p>
        </w:tc>
      </w:tr>
      <w:tr w:rsidR="00733CB9" w:rsidRPr="00682172" w:rsidTr="00083356">
        <w:trPr>
          <w:jc w:val="center"/>
        </w:trPr>
        <w:tc>
          <w:tcPr>
            <w:tcW w:w="6282" w:type="dxa"/>
            <w:vAlign w:val="center"/>
          </w:tcPr>
          <w:p w:rsidR="00733CB9" w:rsidRPr="00682172" w:rsidRDefault="00733CB9" w:rsidP="00083356">
            <w:pPr>
              <w:contextualSpacing/>
              <w:jc w:val="left"/>
              <w:rPr>
                <w:rFonts w:cs="Calibri"/>
                <w:color w:val="auto"/>
                <w:szCs w:val="18"/>
              </w:rPr>
            </w:pPr>
            <w:r w:rsidRPr="00682172">
              <w:rPr>
                <w:rFonts w:cs="Calibri"/>
                <w:color w:val="auto"/>
                <w:szCs w:val="18"/>
              </w:rPr>
              <w:t>Lumbago, w/o Neurologic Abnormality</w:t>
            </w:r>
          </w:p>
        </w:tc>
        <w:tc>
          <w:tcPr>
            <w:tcW w:w="1710" w:type="dxa"/>
            <w:vAlign w:val="center"/>
          </w:tcPr>
          <w:p w:rsidR="00733CB9" w:rsidRPr="00682172" w:rsidRDefault="00733CB9" w:rsidP="00083356">
            <w:pPr>
              <w:contextualSpacing/>
              <w:rPr>
                <w:rFonts w:cs="Calibri"/>
                <w:color w:val="auto"/>
                <w:szCs w:val="18"/>
              </w:rPr>
            </w:pPr>
            <w:r w:rsidRPr="00682172">
              <w:rPr>
                <w:rFonts w:cs="Calibri"/>
                <w:color w:val="auto"/>
                <w:szCs w:val="18"/>
              </w:rPr>
              <w:t>5299-5237</w:t>
            </w:r>
          </w:p>
        </w:tc>
        <w:tc>
          <w:tcPr>
            <w:tcW w:w="1170" w:type="dxa"/>
            <w:vAlign w:val="center"/>
          </w:tcPr>
          <w:p w:rsidR="00733CB9" w:rsidRPr="00682172" w:rsidRDefault="00733CB9" w:rsidP="00083356">
            <w:pPr>
              <w:rPr>
                <w:rFonts w:cs="Calibri"/>
                <w:color w:val="auto"/>
                <w:szCs w:val="18"/>
              </w:rPr>
            </w:pPr>
            <w:r w:rsidRPr="00682172">
              <w:rPr>
                <w:rFonts w:cs="Calibri"/>
                <w:color w:val="auto"/>
                <w:szCs w:val="18"/>
              </w:rPr>
              <w:t>10%</w:t>
            </w:r>
          </w:p>
        </w:tc>
      </w:tr>
      <w:tr w:rsidR="00733CB9" w:rsidRPr="00682172" w:rsidTr="00083356">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733CB9" w:rsidRPr="00682172" w:rsidRDefault="00733CB9" w:rsidP="00083356">
            <w:pPr>
              <w:tabs>
                <w:tab w:val="left" w:pos="288"/>
                <w:tab w:val="left" w:pos="4752"/>
              </w:tabs>
              <w:rPr>
                <w:b/>
                <w:color w:val="auto"/>
                <w:szCs w:val="24"/>
              </w:rPr>
            </w:pPr>
            <w:r w:rsidRPr="00682172">
              <w:rPr>
                <w:b/>
                <w:color w:val="auto"/>
                <w:szCs w:val="24"/>
              </w:rPr>
              <w:t>COMBINED</w:t>
            </w:r>
          </w:p>
        </w:tc>
        <w:tc>
          <w:tcPr>
            <w:tcW w:w="1170" w:type="dxa"/>
            <w:tcBorders>
              <w:bottom w:val="single" w:sz="4" w:space="0" w:color="000000"/>
            </w:tcBorders>
            <w:shd w:val="clear" w:color="auto" w:fill="D9D9D9" w:themeFill="background1" w:themeFillShade="D9"/>
            <w:vAlign w:val="center"/>
          </w:tcPr>
          <w:p w:rsidR="00733CB9" w:rsidRPr="00682172" w:rsidRDefault="00733CB9" w:rsidP="00083356">
            <w:pPr>
              <w:tabs>
                <w:tab w:val="left" w:pos="288"/>
                <w:tab w:val="left" w:pos="4752"/>
              </w:tabs>
              <w:rPr>
                <w:b/>
                <w:color w:val="auto"/>
                <w:szCs w:val="24"/>
              </w:rPr>
            </w:pPr>
            <w:r w:rsidRPr="00682172">
              <w:rPr>
                <w:b/>
                <w:color w:val="auto"/>
                <w:szCs w:val="24"/>
              </w:rPr>
              <w:t>30%</w:t>
            </w:r>
          </w:p>
        </w:tc>
      </w:tr>
    </w:tbl>
    <w:p w:rsidR="00E6743D" w:rsidRDefault="00E6743D" w:rsidP="00937F57">
      <w:pPr>
        <w:jc w:val="left"/>
        <w:rPr>
          <w:color w:val="auto"/>
          <w:szCs w:val="24"/>
        </w:rPr>
      </w:pPr>
    </w:p>
    <w:p w:rsidR="00E6743D" w:rsidRDefault="00E6743D">
      <w:pPr>
        <w:rPr>
          <w:color w:val="auto"/>
          <w:szCs w:val="24"/>
        </w:rPr>
      </w:pPr>
      <w:r>
        <w:rPr>
          <w:color w:val="auto"/>
          <w:szCs w:val="24"/>
        </w:rPr>
        <w:br w:type="page"/>
      </w:r>
    </w:p>
    <w:p w:rsidR="00E6743D" w:rsidRPr="00E6743D" w:rsidRDefault="00E6743D" w:rsidP="00E6743D">
      <w:pPr>
        <w:jc w:val="left"/>
        <w:rPr>
          <w:color w:val="auto"/>
        </w:rPr>
      </w:pPr>
    </w:p>
    <w:p w:rsidR="00E6743D" w:rsidRPr="00E6743D" w:rsidRDefault="00E6743D" w:rsidP="00E6743D">
      <w:pPr>
        <w:jc w:val="left"/>
        <w:rPr>
          <w:color w:val="auto"/>
        </w:rPr>
      </w:pPr>
      <w:r w:rsidRPr="00E6743D">
        <w:rPr>
          <w:color w:val="auto"/>
        </w:rPr>
        <w:t xml:space="preserve">MEMORANDUM FOR Commander, US Army Physical Disability Agency </w:t>
      </w:r>
    </w:p>
    <w:p w:rsidR="00E6743D" w:rsidRPr="00E6743D" w:rsidRDefault="00E6743D" w:rsidP="00E6743D">
      <w:pPr>
        <w:jc w:val="left"/>
        <w:rPr>
          <w:color w:val="auto"/>
        </w:rPr>
      </w:pPr>
      <w:r w:rsidRPr="00E6743D">
        <w:rPr>
          <w:color w:val="auto"/>
        </w:rPr>
        <w:t>(TAPD-ZB /), 2900 Crystal Drive, Arlington, VA  22022</w:t>
      </w:r>
    </w:p>
    <w:p w:rsidR="00E6743D" w:rsidRPr="00E6743D" w:rsidRDefault="00E6743D" w:rsidP="00E6743D">
      <w:pPr>
        <w:jc w:val="left"/>
        <w:rPr>
          <w:color w:val="auto"/>
        </w:rPr>
      </w:pPr>
    </w:p>
    <w:p w:rsidR="00E6743D" w:rsidRPr="00E6743D" w:rsidRDefault="00E6743D" w:rsidP="00E6743D">
      <w:pPr>
        <w:ind w:right="-180"/>
        <w:jc w:val="left"/>
        <w:rPr>
          <w:color w:val="auto"/>
        </w:rPr>
      </w:pPr>
      <w:r w:rsidRPr="00E6743D">
        <w:rPr>
          <w:color w:val="auto"/>
        </w:rPr>
        <w:t xml:space="preserve">SUBJECT:  Department of Defense Physical Disability Board of Review Recommendation </w:t>
      </w:r>
    </w:p>
    <w:p w:rsidR="00E6743D" w:rsidRPr="00E6743D" w:rsidRDefault="00E6743D" w:rsidP="00E6743D">
      <w:pPr>
        <w:pStyle w:val="Header"/>
        <w:tabs>
          <w:tab w:val="left" w:pos="720"/>
        </w:tabs>
        <w:jc w:val="left"/>
        <w:rPr>
          <w:color w:val="auto"/>
        </w:rPr>
      </w:pPr>
      <w:proofErr w:type="gramStart"/>
      <w:r w:rsidRPr="00E6743D">
        <w:rPr>
          <w:color w:val="auto"/>
        </w:rPr>
        <w:t>for</w:t>
      </w:r>
      <w:proofErr w:type="gramEnd"/>
      <w:r w:rsidRPr="00E6743D">
        <w:rPr>
          <w:color w:val="auto"/>
        </w:rPr>
        <w:t xml:space="preserve"> </w:t>
      </w:r>
      <w:proofErr w:type="spellStart"/>
      <w:r>
        <w:rPr>
          <w:color w:val="auto"/>
        </w:rPr>
        <w:t>xxxxxxxxxxxxx</w:t>
      </w:r>
      <w:proofErr w:type="spellEnd"/>
      <w:r w:rsidRPr="00E6743D">
        <w:rPr>
          <w:color w:val="auto"/>
        </w:rPr>
        <w:t>, AR20120007060 (PD201</w:t>
      </w:r>
      <w:r>
        <w:rPr>
          <w:color w:val="auto"/>
        </w:rPr>
        <w:t>0</w:t>
      </w:r>
      <w:r w:rsidRPr="00E6743D">
        <w:rPr>
          <w:color w:val="auto"/>
        </w:rPr>
        <w:t>00377)</w:t>
      </w:r>
    </w:p>
    <w:p w:rsidR="00E6743D" w:rsidRPr="00E6743D" w:rsidRDefault="00E6743D" w:rsidP="00E6743D">
      <w:pPr>
        <w:pStyle w:val="Header"/>
        <w:tabs>
          <w:tab w:val="left" w:pos="720"/>
        </w:tabs>
        <w:jc w:val="left"/>
        <w:rPr>
          <w:color w:val="auto"/>
        </w:rPr>
      </w:pPr>
    </w:p>
    <w:p w:rsidR="00E6743D" w:rsidRPr="00E6743D" w:rsidRDefault="00E6743D" w:rsidP="00E6743D">
      <w:pPr>
        <w:jc w:val="left"/>
        <w:rPr>
          <w:color w:val="auto"/>
        </w:rPr>
      </w:pPr>
    </w:p>
    <w:p w:rsidR="00E6743D" w:rsidRPr="00E6743D" w:rsidRDefault="00E6743D" w:rsidP="00E6743D">
      <w:pPr>
        <w:jc w:val="left"/>
        <w:rPr>
          <w:color w:val="auto"/>
        </w:rPr>
      </w:pPr>
      <w:r w:rsidRPr="00E6743D">
        <w:rPr>
          <w:color w:val="auto"/>
        </w:rP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rsidRPr="00E6743D">
        <w:rPr>
          <w:color w:val="auto"/>
        </w:rPr>
        <w:t>recharacterization</w:t>
      </w:r>
      <w:proofErr w:type="spellEnd"/>
      <w:r w:rsidRPr="00E6743D">
        <w:rPr>
          <w:color w:val="auto"/>
        </w:rPr>
        <w:t xml:space="preserve"> of the individual’s separation.  This decision is final.  </w:t>
      </w:r>
    </w:p>
    <w:p w:rsidR="00E6743D" w:rsidRPr="00E6743D" w:rsidRDefault="00E6743D" w:rsidP="00E6743D">
      <w:pPr>
        <w:jc w:val="left"/>
        <w:rPr>
          <w:color w:val="auto"/>
        </w:rPr>
      </w:pPr>
    </w:p>
    <w:p w:rsidR="00E6743D" w:rsidRPr="00E6743D" w:rsidRDefault="00E6743D" w:rsidP="00E6743D">
      <w:pPr>
        <w:jc w:val="left"/>
        <w:rPr>
          <w:color w:val="auto"/>
        </w:rPr>
      </w:pPr>
      <w:r w:rsidRPr="00E6743D">
        <w:rPr>
          <w:color w:val="auto"/>
        </w:rPr>
        <w:t xml:space="preserve">2.  I direct that all the Department of the Army records of the individual concerned be corrected accordingly no later than 120 days from the date of this memorandum.   </w:t>
      </w:r>
    </w:p>
    <w:p w:rsidR="00E6743D" w:rsidRPr="00E6743D" w:rsidRDefault="00E6743D" w:rsidP="00E6743D">
      <w:pPr>
        <w:jc w:val="left"/>
        <w:rPr>
          <w:color w:val="auto"/>
        </w:rPr>
      </w:pPr>
    </w:p>
    <w:p w:rsidR="00E6743D" w:rsidRPr="00E6743D" w:rsidRDefault="00E6743D" w:rsidP="00E6743D">
      <w:pPr>
        <w:jc w:val="left"/>
        <w:rPr>
          <w:color w:val="auto"/>
        </w:rPr>
      </w:pPr>
      <w:r w:rsidRPr="00E6743D">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E6743D" w:rsidRPr="00E6743D" w:rsidRDefault="00E6743D" w:rsidP="00E6743D">
      <w:pPr>
        <w:jc w:val="left"/>
        <w:rPr>
          <w:color w:val="auto"/>
        </w:rPr>
      </w:pPr>
    </w:p>
    <w:p w:rsidR="00E6743D" w:rsidRPr="00E6743D" w:rsidRDefault="00E6743D" w:rsidP="00E6743D">
      <w:pPr>
        <w:jc w:val="left"/>
        <w:rPr>
          <w:color w:val="auto"/>
        </w:rPr>
      </w:pPr>
      <w:r w:rsidRPr="00E6743D">
        <w:rPr>
          <w:color w:val="auto"/>
        </w:rPr>
        <w:t xml:space="preserve"> BY ORDER OF THE SECRETARY OF THE ARMY:</w:t>
      </w:r>
    </w:p>
    <w:p w:rsidR="00E6743D" w:rsidRPr="00E6743D" w:rsidRDefault="00E6743D" w:rsidP="00E6743D">
      <w:pPr>
        <w:jc w:val="left"/>
        <w:rPr>
          <w:color w:val="auto"/>
        </w:rPr>
      </w:pPr>
    </w:p>
    <w:p w:rsidR="00E6743D" w:rsidRPr="00E6743D" w:rsidRDefault="00E6743D" w:rsidP="00E6743D">
      <w:pPr>
        <w:jc w:val="left"/>
        <w:rPr>
          <w:color w:val="auto"/>
        </w:rPr>
      </w:pPr>
    </w:p>
    <w:p w:rsidR="00E6743D" w:rsidRPr="00E6743D" w:rsidRDefault="00E6743D" w:rsidP="00E6743D">
      <w:pPr>
        <w:pStyle w:val="Header"/>
        <w:tabs>
          <w:tab w:val="clear" w:pos="4320"/>
          <w:tab w:val="clear" w:pos="8640"/>
        </w:tabs>
        <w:jc w:val="left"/>
        <w:rPr>
          <w:color w:val="auto"/>
        </w:rPr>
      </w:pPr>
    </w:p>
    <w:p w:rsidR="00E6743D" w:rsidRPr="00E6743D" w:rsidRDefault="00E6743D" w:rsidP="00E6743D">
      <w:pPr>
        <w:jc w:val="left"/>
        <w:rPr>
          <w:color w:val="auto"/>
        </w:rPr>
      </w:pPr>
    </w:p>
    <w:p w:rsidR="00E6743D" w:rsidRPr="00E6743D" w:rsidRDefault="00E6743D" w:rsidP="00E6743D">
      <w:pPr>
        <w:jc w:val="left"/>
        <w:rPr>
          <w:color w:val="auto"/>
        </w:rPr>
      </w:pPr>
      <w:bookmarkStart w:id="0" w:name="OLE_LINK3"/>
      <w:bookmarkStart w:id="1" w:name="OLE_LINK4"/>
      <w:r w:rsidRPr="00E6743D">
        <w:rPr>
          <w:color w:val="auto"/>
        </w:rPr>
        <w:t>Encl</w:t>
      </w:r>
      <w:r w:rsidRPr="00E6743D">
        <w:rPr>
          <w:color w:val="auto"/>
        </w:rPr>
        <w:tab/>
      </w:r>
      <w:r w:rsidRPr="00E6743D">
        <w:rPr>
          <w:color w:val="auto"/>
        </w:rPr>
        <w:tab/>
      </w:r>
      <w:r w:rsidRPr="00E6743D">
        <w:rPr>
          <w:color w:val="auto"/>
        </w:rPr>
        <w:tab/>
      </w:r>
      <w:r w:rsidRPr="00E6743D">
        <w:rPr>
          <w:color w:val="auto"/>
        </w:rPr>
        <w:tab/>
      </w:r>
      <w:r w:rsidRPr="00E6743D">
        <w:rPr>
          <w:color w:val="auto"/>
        </w:rPr>
        <w:tab/>
      </w:r>
      <w:r w:rsidRPr="00E6743D">
        <w:rPr>
          <w:color w:val="auto"/>
        </w:rPr>
        <w:tab/>
      </w:r>
      <w:proofErr w:type="spellStart"/>
      <w:r>
        <w:rPr>
          <w:color w:val="auto"/>
        </w:rPr>
        <w:t>xxxxxxxxxxxxxxx</w:t>
      </w:r>
      <w:proofErr w:type="spellEnd"/>
    </w:p>
    <w:p w:rsidR="00E6743D" w:rsidRPr="00E6743D" w:rsidRDefault="00E6743D" w:rsidP="00E6743D">
      <w:pPr>
        <w:jc w:val="left"/>
        <w:rPr>
          <w:color w:val="auto"/>
        </w:rPr>
      </w:pPr>
      <w:r w:rsidRPr="00E6743D">
        <w:rPr>
          <w:color w:val="auto"/>
        </w:rPr>
        <w:tab/>
      </w:r>
      <w:r w:rsidRPr="00E6743D">
        <w:rPr>
          <w:color w:val="auto"/>
        </w:rPr>
        <w:tab/>
      </w:r>
      <w:r w:rsidRPr="00E6743D">
        <w:rPr>
          <w:color w:val="auto"/>
        </w:rPr>
        <w:tab/>
      </w:r>
      <w:r w:rsidRPr="00E6743D">
        <w:rPr>
          <w:color w:val="auto"/>
        </w:rPr>
        <w:tab/>
      </w:r>
      <w:r w:rsidRPr="00E6743D">
        <w:rPr>
          <w:color w:val="auto"/>
        </w:rPr>
        <w:tab/>
      </w:r>
      <w:r w:rsidRPr="00E6743D">
        <w:rPr>
          <w:color w:val="auto"/>
        </w:rPr>
        <w:tab/>
        <w:t xml:space="preserve">     Deputy Assistant Secretary</w:t>
      </w:r>
    </w:p>
    <w:p w:rsidR="00E6743D" w:rsidRPr="00E6743D" w:rsidRDefault="00E6743D" w:rsidP="00E6743D">
      <w:pPr>
        <w:jc w:val="left"/>
        <w:rPr>
          <w:color w:val="auto"/>
        </w:rPr>
      </w:pPr>
      <w:r w:rsidRPr="00E6743D">
        <w:rPr>
          <w:color w:val="auto"/>
        </w:rPr>
        <w:tab/>
      </w:r>
      <w:r w:rsidRPr="00E6743D">
        <w:rPr>
          <w:color w:val="auto"/>
        </w:rPr>
        <w:tab/>
      </w:r>
      <w:r w:rsidRPr="00E6743D">
        <w:rPr>
          <w:color w:val="auto"/>
        </w:rPr>
        <w:tab/>
      </w:r>
      <w:r w:rsidRPr="00E6743D">
        <w:rPr>
          <w:color w:val="auto"/>
        </w:rPr>
        <w:tab/>
      </w:r>
      <w:r w:rsidRPr="00E6743D">
        <w:rPr>
          <w:color w:val="auto"/>
        </w:rPr>
        <w:tab/>
      </w:r>
      <w:r w:rsidRPr="00E6743D">
        <w:rPr>
          <w:color w:val="auto"/>
        </w:rPr>
        <w:tab/>
        <w:t xml:space="preserve">         (Army Review Boards)</w:t>
      </w:r>
      <w:bookmarkEnd w:id="0"/>
      <w:bookmarkEnd w:id="1"/>
    </w:p>
    <w:p w:rsidR="00E6743D" w:rsidRPr="00E6743D" w:rsidRDefault="00E6743D" w:rsidP="00E6743D">
      <w:pPr>
        <w:jc w:val="left"/>
        <w:rPr>
          <w:color w:val="auto"/>
        </w:rPr>
      </w:pPr>
    </w:p>
    <w:p w:rsidR="00E6743D" w:rsidRPr="00E6743D" w:rsidRDefault="00E6743D" w:rsidP="00E6743D">
      <w:pPr>
        <w:jc w:val="left"/>
        <w:rPr>
          <w:color w:val="auto"/>
        </w:rPr>
      </w:pPr>
      <w:r w:rsidRPr="00E6743D">
        <w:rPr>
          <w:color w:val="auto"/>
        </w:rPr>
        <w:t xml:space="preserve">CF: </w:t>
      </w:r>
    </w:p>
    <w:p w:rsidR="00E6743D" w:rsidRPr="00E6743D" w:rsidRDefault="00E6743D" w:rsidP="00E6743D">
      <w:pPr>
        <w:jc w:val="left"/>
        <w:rPr>
          <w:color w:val="auto"/>
        </w:rPr>
      </w:pPr>
      <w:r w:rsidRPr="00E6743D">
        <w:rPr>
          <w:color w:val="auto"/>
        </w:rPr>
        <w:t xml:space="preserve">(  ) </w:t>
      </w:r>
      <w:proofErr w:type="gramStart"/>
      <w:r w:rsidRPr="00E6743D">
        <w:rPr>
          <w:color w:val="auto"/>
        </w:rPr>
        <w:t>DoD</w:t>
      </w:r>
      <w:proofErr w:type="gramEnd"/>
      <w:r w:rsidRPr="00E6743D">
        <w:rPr>
          <w:color w:val="auto"/>
        </w:rPr>
        <w:t xml:space="preserve"> PDBR</w:t>
      </w:r>
    </w:p>
    <w:p w:rsidR="00E6743D" w:rsidRPr="00E6743D" w:rsidRDefault="00E6743D" w:rsidP="00E6743D">
      <w:pPr>
        <w:jc w:val="left"/>
        <w:rPr>
          <w:color w:val="auto"/>
        </w:rPr>
      </w:pPr>
      <w:r w:rsidRPr="00E6743D">
        <w:rPr>
          <w:color w:val="auto"/>
        </w:rPr>
        <w:t>(  ) DVA</w:t>
      </w:r>
    </w:p>
    <w:p w:rsidR="00427C7F" w:rsidRPr="006F7142" w:rsidRDefault="00427C7F" w:rsidP="00937F57">
      <w:pPr>
        <w:jc w:val="left"/>
        <w:rPr>
          <w:color w:val="auto"/>
          <w:szCs w:val="24"/>
        </w:rPr>
      </w:pPr>
    </w:p>
    <w:sectPr w:rsidR="00427C7F" w:rsidRPr="006F714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BB" w:rsidRDefault="00C96BBB">
      <w:r>
        <w:separator/>
      </w:r>
    </w:p>
  </w:endnote>
  <w:endnote w:type="continuationSeparator" w:id="0">
    <w:p w:rsidR="00C96BBB" w:rsidRDefault="00C96B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131FD" w:rsidRPr="00374247" w:rsidRDefault="003131FD" w:rsidP="00374247">
        <w:pPr>
          <w:pStyle w:val="Footer"/>
          <w:ind w:firstLine="4320"/>
          <w:rPr>
            <w:color w:val="auto"/>
            <w:szCs w:val="24"/>
          </w:rPr>
        </w:pPr>
        <w:r w:rsidRPr="00374247">
          <w:rPr>
            <w:color w:val="auto"/>
            <w:szCs w:val="24"/>
          </w:rPr>
          <w:t xml:space="preserve">   </w:t>
        </w:r>
        <w:r w:rsidR="00FD149D" w:rsidRPr="00374247">
          <w:rPr>
            <w:color w:val="auto"/>
            <w:szCs w:val="24"/>
          </w:rPr>
          <w:fldChar w:fldCharType="begin"/>
        </w:r>
        <w:r w:rsidRPr="00374247">
          <w:rPr>
            <w:color w:val="auto"/>
            <w:szCs w:val="24"/>
          </w:rPr>
          <w:instrText xml:space="preserve"> PAGE   \* MERGEFORMAT </w:instrText>
        </w:r>
        <w:r w:rsidR="00FD149D" w:rsidRPr="00374247">
          <w:rPr>
            <w:color w:val="auto"/>
            <w:szCs w:val="24"/>
          </w:rPr>
          <w:fldChar w:fldCharType="separate"/>
        </w:r>
        <w:r w:rsidR="00E6743D" w:rsidRPr="00E6743D">
          <w:rPr>
            <w:noProof/>
            <w:color w:val="auto"/>
          </w:rPr>
          <w:t>3</w:t>
        </w:r>
        <w:r w:rsidR="00FD149D"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0</w:t>
        </w:r>
        <w:r w:rsidRPr="001D64F3">
          <w:rPr>
            <w:color w:val="auto"/>
            <w:szCs w:val="24"/>
          </w:rPr>
          <w:t>00</w:t>
        </w:r>
        <w:r>
          <w:rPr>
            <w:color w:val="auto"/>
            <w:szCs w:val="24"/>
          </w:rPr>
          <w:t>377</w:t>
        </w:r>
      </w:p>
    </w:sdtContent>
  </w:sdt>
  <w:p w:rsidR="003131FD" w:rsidRPr="00684CE6" w:rsidRDefault="003131F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BB" w:rsidRDefault="00C96BBB">
      <w:r>
        <w:separator/>
      </w:r>
    </w:p>
  </w:footnote>
  <w:footnote w:type="continuationSeparator" w:id="0">
    <w:p w:rsidR="00C96BBB" w:rsidRDefault="00C96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065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5641"/>
    <w:rsid w:val="00017778"/>
    <w:rsid w:val="00021361"/>
    <w:rsid w:val="000226DA"/>
    <w:rsid w:val="0002274C"/>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85"/>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13"/>
    <w:rsid w:val="00072433"/>
    <w:rsid w:val="00072B3E"/>
    <w:rsid w:val="0007388C"/>
    <w:rsid w:val="0007488B"/>
    <w:rsid w:val="00075702"/>
    <w:rsid w:val="00075A0C"/>
    <w:rsid w:val="000775C2"/>
    <w:rsid w:val="00077835"/>
    <w:rsid w:val="000806AD"/>
    <w:rsid w:val="00080BDF"/>
    <w:rsid w:val="00080C57"/>
    <w:rsid w:val="00081B80"/>
    <w:rsid w:val="00082482"/>
    <w:rsid w:val="00082CA0"/>
    <w:rsid w:val="00083356"/>
    <w:rsid w:val="00084CF2"/>
    <w:rsid w:val="00085D7B"/>
    <w:rsid w:val="0008708B"/>
    <w:rsid w:val="00092619"/>
    <w:rsid w:val="00092C66"/>
    <w:rsid w:val="000949DD"/>
    <w:rsid w:val="00094BC1"/>
    <w:rsid w:val="00094E4F"/>
    <w:rsid w:val="000A2BCE"/>
    <w:rsid w:val="000A31E2"/>
    <w:rsid w:val="000A33C8"/>
    <w:rsid w:val="000A41E3"/>
    <w:rsid w:val="000A4BBA"/>
    <w:rsid w:val="000A5071"/>
    <w:rsid w:val="000B0AD2"/>
    <w:rsid w:val="000B1022"/>
    <w:rsid w:val="000B2FB8"/>
    <w:rsid w:val="000B4484"/>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1CE"/>
    <w:rsid w:val="000E37E0"/>
    <w:rsid w:val="000E3F20"/>
    <w:rsid w:val="000E4C25"/>
    <w:rsid w:val="000E4CBF"/>
    <w:rsid w:val="000E5577"/>
    <w:rsid w:val="000E7034"/>
    <w:rsid w:val="000E7FCF"/>
    <w:rsid w:val="000F02BE"/>
    <w:rsid w:val="000F0928"/>
    <w:rsid w:val="000F0B3D"/>
    <w:rsid w:val="000F1E65"/>
    <w:rsid w:val="000F427B"/>
    <w:rsid w:val="000F43D0"/>
    <w:rsid w:val="000F441A"/>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121"/>
    <w:rsid w:val="00113D2A"/>
    <w:rsid w:val="00114F20"/>
    <w:rsid w:val="0011590B"/>
    <w:rsid w:val="001211AF"/>
    <w:rsid w:val="001215DF"/>
    <w:rsid w:val="001219DF"/>
    <w:rsid w:val="0012220B"/>
    <w:rsid w:val="00122ABE"/>
    <w:rsid w:val="001231DC"/>
    <w:rsid w:val="0012453A"/>
    <w:rsid w:val="0012489B"/>
    <w:rsid w:val="0012602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5387"/>
    <w:rsid w:val="00165EE8"/>
    <w:rsid w:val="00166182"/>
    <w:rsid w:val="001665A7"/>
    <w:rsid w:val="0017011B"/>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97BEB"/>
    <w:rsid w:val="001A025E"/>
    <w:rsid w:val="001A08CD"/>
    <w:rsid w:val="001A0A1E"/>
    <w:rsid w:val="001A2182"/>
    <w:rsid w:val="001A323E"/>
    <w:rsid w:val="001A5320"/>
    <w:rsid w:val="001A5E62"/>
    <w:rsid w:val="001A6848"/>
    <w:rsid w:val="001A7538"/>
    <w:rsid w:val="001A7970"/>
    <w:rsid w:val="001B06FB"/>
    <w:rsid w:val="001B0B1A"/>
    <w:rsid w:val="001B20E6"/>
    <w:rsid w:val="001B2AA8"/>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304"/>
    <w:rsid w:val="001D37B9"/>
    <w:rsid w:val="001D3DC0"/>
    <w:rsid w:val="001D483A"/>
    <w:rsid w:val="001D4F88"/>
    <w:rsid w:val="001D64F3"/>
    <w:rsid w:val="001D68CF"/>
    <w:rsid w:val="001D6A8C"/>
    <w:rsid w:val="001D7A56"/>
    <w:rsid w:val="001E15C0"/>
    <w:rsid w:val="001E18E0"/>
    <w:rsid w:val="001E18E2"/>
    <w:rsid w:val="001E19D0"/>
    <w:rsid w:val="001E2A30"/>
    <w:rsid w:val="001E2FF1"/>
    <w:rsid w:val="001E32BB"/>
    <w:rsid w:val="001E3FE1"/>
    <w:rsid w:val="001E41FE"/>
    <w:rsid w:val="001E635C"/>
    <w:rsid w:val="001F0297"/>
    <w:rsid w:val="001F29F9"/>
    <w:rsid w:val="001F6E0B"/>
    <w:rsid w:val="00200AA0"/>
    <w:rsid w:val="00201EDA"/>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49A5"/>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5CBB"/>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598B"/>
    <w:rsid w:val="00257538"/>
    <w:rsid w:val="00257AFF"/>
    <w:rsid w:val="00257DE5"/>
    <w:rsid w:val="00260531"/>
    <w:rsid w:val="00260B9A"/>
    <w:rsid w:val="00262EA5"/>
    <w:rsid w:val="0026318D"/>
    <w:rsid w:val="00264148"/>
    <w:rsid w:val="002660AF"/>
    <w:rsid w:val="00270864"/>
    <w:rsid w:val="00270D29"/>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1B37"/>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2655"/>
    <w:rsid w:val="00303C7C"/>
    <w:rsid w:val="00305856"/>
    <w:rsid w:val="00305867"/>
    <w:rsid w:val="0030678B"/>
    <w:rsid w:val="00306D16"/>
    <w:rsid w:val="00307595"/>
    <w:rsid w:val="00307DA6"/>
    <w:rsid w:val="00310CD7"/>
    <w:rsid w:val="003131FD"/>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2FC8"/>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6A80"/>
    <w:rsid w:val="00397DB7"/>
    <w:rsid w:val="003A131D"/>
    <w:rsid w:val="003A27B2"/>
    <w:rsid w:val="003A40B4"/>
    <w:rsid w:val="003A41BA"/>
    <w:rsid w:val="003A4A9F"/>
    <w:rsid w:val="003A5491"/>
    <w:rsid w:val="003A5958"/>
    <w:rsid w:val="003A6A99"/>
    <w:rsid w:val="003A6E60"/>
    <w:rsid w:val="003A76AB"/>
    <w:rsid w:val="003A7FF8"/>
    <w:rsid w:val="003B17AC"/>
    <w:rsid w:val="003B2143"/>
    <w:rsid w:val="003B227A"/>
    <w:rsid w:val="003B3A77"/>
    <w:rsid w:val="003B4319"/>
    <w:rsid w:val="003B5854"/>
    <w:rsid w:val="003B6764"/>
    <w:rsid w:val="003B745B"/>
    <w:rsid w:val="003B7A8B"/>
    <w:rsid w:val="003C181A"/>
    <w:rsid w:val="003C247E"/>
    <w:rsid w:val="003C294B"/>
    <w:rsid w:val="003C5046"/>
    <w:rsid w:val="003C5B54"/>
    <w:rsid w:val="003C6068"/>
    <w:rsid w:val="003C7AEC"/>
    <w:rsid w:val="003D2BA3"/>
    <w:rsid w:val="003D316B"/>
    <w:rsid w:val="003D3C22"/>
    <w:rsid w:val="003D4A03"/>
    <w:rsid w:val="003D56A0"/>
    <w:rsid w:val="003D609F"/>
    <w:rsid w:val="003D699E"/>
    <w:rsid w:val="003D69F5"/>
    <w:rsid w:val="003D7089"/>
    <w:rsid w:val="003D7DDB"/>
    <w:rsid w:val="003E024F"/>
    <w:rsid w:val="003E02C7"/>
    <w:rsid w:val="003E0543"/>
    <w:rsid w:val="003E061D"/>
    <w:rsid w:val="003E0B5A"/>
    <w:rsid w:val="003E1682"/>
    <w:rsid w:val="003E31E3"/>
    <w:rsid w:val="003E3932"/>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475"/>
    <w:rsid w:val="004068E0"/>
    <w:rsid w:val="00406CC5"/>
    <w:rsid w:val="00406FCA"/>
    <w:rsid w:val="004074A4"/>
    <w:rsid w:val="004101B2"/>
    <w:rsid w:val="004123D7"/>
    <w:rsid w:val="00412658"/>
    <w:rsid w:val="004129DA"/>
    <w:rsid w:val="00415EA4"/>
    <w:rsid w:val="0041604B"/>
    <w:rsid w:val="004172DB"/>
    <w:rsid w:val="004174F0"/>
    <w:rsid w:val="00420665"/>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466"/>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229"/>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C1A"/>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4A3D"/>
    <w:rsid w:val="004E6866"/>
    <w:rsid w:val="004F0C58"/>
    <w:rsid w:val="004F3222"/>
    <w:rsid w:val="004F3639"/>
    <w:rsid w:val="004F3846"/>
    <w:rsid w:val="004F3BFA"/>
    <w:rsid w:val="004F4E3C"/>
    <w:rsid w:val="004F5A1A"/>
    <w:rsid w:val="004F77A3"/>
    <w:rsid w:val="005000AB"/>
    <w:rsid w:val="00500EAF"/>
    <w:rsid w:val="00500F3C"/>
    <w:rsid w:val="005025EE"/>
    <w:rsid w:val="00503401"/>
    <w:rsid w:val="00503DDF"/>
    <w:rsid w:val="00504D5D"/>
    <w:rsid w:val="00505524"/>
    <w:rsid w:val="005058D5"/>
    <w:rsid w:val="00506688"/>
    <w:rsid w:val="00510588"/>
    <w:rsid w:val="00510F9C"/>
    <w:rsid w:val="0051146C"/>
    <w:rsid w:val="0051220B"/>
    <w:rsid w:val="00512253"/>
    <w:rsid w:val="00512484"/>
    <w:rsid w:val="00514449"/>
    <w:rsid w:val="00515419"/>
    <w:rsid w:val="005157BD"/>
    <w:rsid w:val="005214A3"/>
    <w:rsid w:val="00521998"/>
    <w:rsid w:val="005222E7"/>
    <w:rsid w:val="00523488"/>
    <w:rsid w:val="00523A8B"/>
    <w:rsid w:val="00523E04"/>
    <w:rsid w:val="00525003"/>
    <w:rsid w:val="0052590B"/>
    <w:rsid w:val="0052592B"/>
    <w:rsid w:val="00525B90"/>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18DF"/>
    <w:rsid w:val="00542566"/>
    <w:rsid w:val="00542B34"/>
    <w:rsid w:val="00542C9A"/>
    <w:rsid w:val="005436C2"/>
    <w:rsid w:val="005442D4"/>
    <w:rsid w:val="0054586A"/>
    <w:rsid w:val="00545C0E"/>
    <w:rsid w:val="0054631F"/>
    <w:rsid w:val="00546C24"/>
    <w:rsid w:val="005471BA"/>
    <w:rsid w:val="00547BDA"/>
    <w:rsid w:val="00547BE6"/>
    <w:rsid w:val="0055034F"/>
    <w:rsid w:val="00550476"/>
    <w:rsid w:val="0055288D"/>
    <w:rsid w:val="00554466"/>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872"/>
    <w:rsid w:val="00587DDE"/>
    <w:rsid w:val="00593043"/>
    <w:rsid w:val="00594D12"/>
    <w:rsid w:val="00595B60"/>
    <w:rsid w:val="00595B63"/>
    <w:rsid w:val="00595BF0"/>
    <w:rsid w:val="00597E16"/>
    <w:rsid w:val="005A0B1D"/>
    <w:rsid w:val="005A1846"/>
    <w:rsid w:val="005A258C"/>
    <w:rsid w:val="005A32AA"/>
    <w:rsid w:val="005A3560"/>
    <w:rsid w:val="005A464E"/>
    <w:rsid w:val="005A62FC"/>
    <w:rsid w:val="005A6BE8"/>
    <w:rsid w:val="005A6C99"/>
    <w:rsid w:val="005A7D5D"/>
    <w:rsid w:val="005B0040"/>
    <w:rsid w:val="005B011A"/>
    <w:rsid w:val="005B0283"/>
    <w:rsid w:val="005B1ADA"/>
    <w:rsid w:val="005B1D09"/>
    <w:rsid w:val="005B1D8F"/>
    <w:rsid w:val="005B1E94"/>
    <w:rsid w:val="005B3C6A"/>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4BE0"/>
    <w:rsid w:val="005D5E91"/>
    <w:rsid w:val="005D67EF"/>
    <w:rsid w:val="005D71A4"/>
    <w:rsid w:val="005E3064"/>
    <w:rsid w:val="005E54DC"/>
    <w:rsid w:val="005E5F0E"/>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2396"/>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7D6"/>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26"/>
    <w:rsid w:val="00653AB2"/>
    <w:rsid w:val="00653D2D"/>
    <w:rsid w:val="0065435E"/>
    <w:rsid w:val="006544F5"/>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172"/>
    <w:rsid w:val="00682486"/>
    <w:rsid w:val="006833A7"/>
    <w:rsid w:val="00684CE6"/>
    <w:rsid w:val="00684E2B"/>
    <w:rsid w:val="006857A0"/>
    <w:rsid w:val="00687C7E"/>
    <w:rsid w:val="00687D3D"/>
    <w:rsid w:val="00690569"/>
    <w:rsid w:val="00690FDA"/>
    <w:rsid w:val="00691E61"/>
    <w:rsid w:val="0069216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1B3"/>
    <w:rsid w:val="006B4AA2"/>
    <w:rsid w:val="006B4C4D"/>
    <w:rsid w:val="006B53C4"/>
    <w:rsid w:val="006B586B"/>
    <w:rsid w:val="006B5923"/>
    <w:rsid w:val="006B67D9"/>
    <w:rsid w:val="006B6C14"/>
    <w:rsid w:val="006B7159"/>
    <w:rsid w:val="006B715E"/>
    <w:rsid w:val="006C01D0"/>
    <w:rsid w:val="006C1D6E"/>
    <w:rsid w:val="006C2EF6"/>
    <w:rsid w:val="006C3A68"/>
    <w:rsid w:val="006C3B08"/>
    <w:rsid w:val="006C6AB1"/>
    <w:rsid w:val="006C6E6B"/>
    <w:rsid w:val="006C73D4"/>
    <w:rsid w:val="006C7416"/>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7142"/>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196"/>
    <w:rsid w:val="00707ECE"/>
    <w:rsid w:val="00710CE8"/>
    <w:rsid w:val="00711350"/>
    <w:rsid w:val="00711538"/>
    <w:rsid w:val="007116BC"/>
    <w:rsid w:val="00711961"/>
    <w:rsid w:val="00711CA6"/>
    <w:rsid w:val="007165CE"/>
    <w:rsid w:val="00717452"/>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7F9"/>
    <w:rsid w:val="0073254D"/>
    <w:rsid w:val="00733CB9"/>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5617"/>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7A1"/>
    <w:rsid w:val="007A3BB3"/>
    <w:rsid w:val="007A3F91"/>
    <w:rsid w:val="007A3F9C"/>
    <w:rsid w:val="007A5AD1"/>
    <w:rsid w:val="007A5B7B"/>
    <w:rsid w:val="007A65A9"/>
    <w:rsid w:val="007A7FD8"/>
    <w:rsid w:val="007B0128"/>
    <w:rsid w:val="007B0635"/>
    <w:rsid w:val="007B087D"/>
    <w:rsid w:val="007B0A06"/>
    <w:rsid w:val="007B0B24"/>
    <w:rsid w:val="007B0F8B"/>
    <w:rsid w:val="007B1C83"/>
    <w:rsid w:val="007B3CE4"/>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C7A11"/>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0F7"/>
    <w:rsid w:val="007E176C"/>
    <w:rsid w:val="007E2046"/>
    <w:rsid w:val="007E3883"/>
    <w:rsid w:val="007E4876"/>
    <w:rsid w:val="007E48CD"/>
    <w:rsid w:val="007E4ACB"/>
    <w:rsid w:val="007E4FBB"/>
    <w:rsid w:val="007E55BF"/>
    <w:rsid w:val="007E59E3"/>
    <w:rsid w:val="007E5E39"/>
    <w:rsid w:val="007E681E"/>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07B99"/>
    <w:rsid w:val="00811BD9"/>
    <w:rsid w:val="00811D5B"/>
    <w:rsid w:val="00813C51"/>
    <w:rsid w:val="00813F71"/>
    <w:rsid w:val="00816B6B"/>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864"/>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544"/>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676E4"/>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47BD"/>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2C33"/>
    <w:rsid w:val="008C3223"/>
    <w:rsid w:val="008C3FD0"/>
    <w:rsid w:val="008C4F01"/>
    <w:rsid w:val="008C5152"/>
    <w:rsid w:val="008C710E"/>
    <w:rsid w:val="008D1484"/>
    <w:rsid w:val="008D29E7"/>
    <w:rsid w:val="008D43E8"/>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47C3"/>
    <w:rsid w:val="008F58E1"/>
    <w:rsid w:val="008F6E05"/>
    <w:rsid w:val="008F6FC8"/>
    <w:rsid w:val="0090045D"/>
    <w:rsid w:val="00900906"/>
    <w:rsid w:val="00900D8F"/>
    <w:rsid w:val="00901229"/>
    <w:rsid w:val="009014E3"/>
    <w:rsid w:val="009020ED"/>
    <w:rsid w:val="009026E8"/>
    <w:rsid w:val="00902D83"/>
    <w:rsid w:val="00902FDD"/>
    <w:rsid w:val="00905EEF"/>
    <w:rsid w:val="00906EB7"/>
    <w:rsid w:val="00907FE6"/>
    <w:rsid w:val="009102BF"/>
    <w:rsid w:val="00911490"/>
    <w:rsid w:val="009115F2"/>
    <w:rsid w:val="00911B11"/>
    <w:rsid w:val="00914ADB"/>
    <w:rsid w:val="00917182"/>
    <w:rsid w:val="00920251"/>
    <w:rsid w:val="00921153"/>
    <w:rsid w:val="00921CFD"/>
    <w:rsid w:val="00923B25"/>
    <w:rsid w:val="0092402E"/>
    <w:rsid w:val="009259BA"/>
    <w:rsid w:val="00926FCB"/>
    <w:rsid w:val="009303BB"/>
    <w:rsid w:val="0093108A"/>
    <w:rsid w:val="00931B6D"/>
    <w:rsid w:val="009327F0"/>
    <w:rsid w:val="0093311A"/>
    <w:rsid w:val="009346D0"/>
    <w:rsid w:val="009369A6"/>
    <w:rsid w:val="00937F57"/>
    <w:rsid w:val="0094031E"/>
    <w:rsid w:val="009419B4"/>
    <w:rsid w:val="00941A4C"/>
    <w:rsid w:val="00942645"/>
    <w:rsid w:val="009461E6"/>
    <w:rsid w:val="00950A3A"/>
    <w:rsid w:val="00952CC5"/>
    <w:rsid w:val="00952EF2"/>
    <w:rsid w:val="0095340A"/>
    <w:rsid w:val="00953AF6"/>
    <w:rsid w:val="0095423E"/>
    <w:rsid w:val="00954581"/>
    <w:rsid w:val="0095466C"/>
    <w:rsid w:val="00954E5B"/>
    <w:rsid w:val="00955100"/>
    <w:rsid w:val="00955316"/>
    <w:rsid w:val="00955E45"/>
    <w:rsid w:val="009576BC"/>
    <w:rsid w:val="00957899"/>
    <w:rsid w:val="00957927"/>
    <w:rsid w:val="00960357"/>
    <w:rsid w:val="00960C33"/>
    <w:rsid w:val="0096168C"/>
    <w:rsid w:val="00961840"/>
    <w:rsid w:val="00961AB1"/>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49D"/>
    <w:rsid w:val="009D5DE9"/>
    <w:rsid w:val="009E09D0"/>
    <w:rsid w:val="009E1181"/>
    <w:rsid w:val="009E1283"/>
    <w:rsid w:val="009E3A7F"/>
    <w:rsid w:val="009E4C9B"/>
    <w:rsid w:val="009E4DFC"/>
    <w:rsid w:val="009E5789"/>
    <w:rsid w:val="009E57B1"/>
    <w:rsid w:val="009E6379"/>
    <w:rsid w:val="009F020F"/>
    <w:rsid w:val="009F1933"/>
    <w:rsid w:val="009F3B63"/>
    <w:rsid w:val="009F43E2"/>
    <w:rsid w:val="009F6292"/>
    <w:rsid w:val="009F7809"/>
    <w:rsid w:val="009F7822"/>
    <w:rsid w:val="009F7AF5"/>
    <w:rsid w:val="00A00613"/>
    <w:rsid w:val="00A006F1"/>
    <w:rsid w:val="00A007A7"/>
    <w:rsid w:val="00A00D14"/>
    <w:rsid w:val="00A01408"/>
    <w:rsid w:val="00A02457"/>
    <w:rsid w:val="00A02AA8"/>
    <w:rsid w:val="00A02D5A"/>
    <w:rsid w:val="00A03190"/>
    <w:rsid w:val="00A03A9E"/>
    <w:rsid w:val="00A0404B"/>
    <w:rsid w:val="00A06F66"/>
    <w:rsid w:val="00A0798C"/>
    <w:rsid w:val="00A07BDD"/>
    <w:rsid w:val="00A07F12"/>
    <w:rsid w:val="00A1105B"/>
    <w:rsid w:val="00A1213C"/>
    <w:rsid w:val="00A130E8"/>
    <w:rsid w:val="00A14DED"/>
    <w:rsid w:val="00A15B6B"/>
    <w:rsid w:val="00A15EB4"/>
    <w:rsid w:val="00A16172"/>
    <w:rsid w:val="00A165DC"/>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2736"/>
    <w:rsid w:val="00A44141"/>
    <w:rsid w:val="00A44CCA"/>
    <w:rsid w:val="00A44D75"/>
    <w:rsid w:val="00A47CF1"/>
    <w:rsid w:val="00A50418"/>
    <w:rsid w:val="00A50B17"/>
    <w:rsid w:val="00A53A9B"/>
    <w:rsid w:val="00A54A47"/>
    <w:rsid w:val="00A555E1"/>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24C"/>
    <w:rsid w:val="00A67591"/>
    <w:rsid w:val="00A67911"/>
    <w:rsid w:val="00A67CA6"/>
    <w:rsid w:val="00A67CD4"/>
    <w:rsid w:val="00A70E7B"/>
    <w:rsid w:val="00A717EA"/>
    <w:rsid w:val="00A72C8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125B"/>
    <w:rsid w:val="00A9225E"/>
    <w:rsid w:val="00A92A13"/>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4CC"/>
    <w:rsid w:val="00AA73AF"/>
    <w:rsid w:val="00AB062D"/>
    <w:rsid w:val="00AB0A8A"/>
    <w:rsid w:val="00AB1754"/>
    <w:rsid w:val="00AB1F8D"/>
    <w:rsid w:val="00AB27DD"/>
    <w:rsid w:val="00AB40E6"/>
    <w:rsid w:val="00AB4BA4"/>
    <w:rsid w:val="00AB592E"/>
    <w:rsid w:val="00AC0C1C"/>
    <w:rsid w:val="00AC1305"/>
    <w:rsid w:val="00AC37BE"/>
    <w:rsid w:val="00AC439D"/>
    <w:rsid w:val="00AC62CC"/>
    <w:rsid w:val="00AC713F"/>
    <w:rsid w:val="00AC7329"/>
    <w:rsid w:val="00AC7D96"/>
    <w:rsid w:val="00AD00E4"/>
    <w:rsid w:val="00AD0293"/>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6A5A"/>
    <w:rsid w:val="00B0773A"/>
    <w:rsid w:val="00B07955"/>
    <w:rsid w:val="00B07F09"/>
    <w:rsid w:val="00B1176B"/>
    <w:rsid w:val="00B13B46"/>
    <w:rsid w:val="00B13CAE"/>
    <w:rsid w:val="00B140B8"/>
    <w:rsid w:val="00B14FAA"/>
    <w:rsid w:val="00B15BED"/>
    <w:rsid w:val="00B15D30"/>
    <w:rsid w:val="00B15F09"/>
    <w:rsid w:val="00B16D18"/>
    <w:rsid w:val="00B177DE"/>
    <w:rsid w:val="00B20624"/>
    <w:rsid w:val="00B21F2F"/>
    <w:rsid w:val="00B23436"/>
    <w:rsid w:val="00B237F1"/>
    <w:rsid w:val="00B23F10"/>
    <w:rsid w:val="00B24328"/>
    <w:rsid w:val="00B24BAC"/>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46A36"/>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2C80"/>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95C"/>
    <w:rsid w:val="00BB1F04"/>
    <w:rsid w:val="00BB45B5"/>
    <w:rsid w:val="00BB4DDE"/>
    <w:rsid w:val="00BB6064"/>
    <w:rsid w:val="00BB65CE"/>
    <w:rsid w:val="00BB7012"/>
    <w:rsid w:val="00BC09D1"/>
    <w:rsid w:val="00BC1CF3"/>
    <w:rsid w:val="00BC2BE0"/>
    <w:rsid w:val="00BC3573"/>
    <w:rsid w:val="00BC5860"/>
    <w:rsid w:val="00BC7F82"/>
    <w:rsid w:val="00BD16F5"/>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90D"/>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449"/>
    <w:rsid w:val="00C50C8C"/>
    <w:rsid w:val="00C51962"/>
    <w:rsid w:val="00C5377C"/>
    <w:rsid w:val="00C53E8A"/>
    <w:rsid w:val="00C54DF3"/>
    <w:rsid w:val="00C560A7"/>
    <w:rsid w:val="00C56FC8"/>
    <w:rsid w:val="00C60F23"/>
    <w:rsid w:val="00C6170B"/>
    <w:rsid w:val="00C62EB2"/>
    <w:rsid w:val="00C63431"/>
    <w:rsid w:val="00C64C87"/>
    <w:rsid w:val="00C65414"/>
    <w:rsid w:val="00C66323"/>
    <w:rsid w:val="00C665FE"/>
    <w:rsid w:val="00C71BEC"/>
    <w:rsid w:val="00C73942"/>
    <w:rsid w:val="00C73A83"/>
    <w:rsid w:val="00C74D3A"/>
    <w:rsid w:val="00C75F3D"/>
    <w:rsid w:val="00C76C3C"/>
    <w:rsid w:val="00C80511"/>
    <w:rsid w:val="00C80655"/>
    <w:rsid w:val="00C81937"/>
    <w:rsid w:val="00C826F5"/>
    <w:rsid w:val="00C83740"/>
    <w:rsid w:val="00C841B3"/>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6BBB"/>
    <w:rsid w:val="00C97000"/>
    <w:rsid w:val="00C975BD"/>
    <w:rsid w:val="00CA068D"/>
    <w:rsid w:val="00CA08DF"/>
    <w:rsid w:val="00CA1228"/>
    <w:rsid w:val="00CA1C73"/>
    <w:rsid w:val="00CA282D"/>
    <w:rsid w:val="00CA3245"/>
    <w:rsid w:val="00CA3F73"/>
    <w:rsid w:val="00CA4670"/>
    <w:rsid w:val="00CA5F89"/>
    <w:rsid w:val="00CA6B1A"/>
    <w:rsid w:val="00CB145F"/>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647F"/>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4DD"/>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250"/>
    <w:rsid w:val="00D449F0"/>
    <w:rsid w:val="00D462D7"/>
    <w:rsid w:val="00D46A33"/>
    <w:rsid w:val="00D5062C"/>
    <w:rsid w:val="00D50C8C"/>
    <w:rsid w:val="00D51C3D"/>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9B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2D6A"/>
    <w:rsid w:val="00DA3EC8"/>
    <w:rsid w:val="00DA40C1"/>
    <w:rsid w:val="00DA5564"/>
    <w:rsid w:val="00DA6B55"/>
    <w:rsid w:val="00DA6B97"/>
    <w:rsid w:val="00DA6CEE"/>
    <w:rsid w:val="00DA79C8"/>
    <w:rsid w:val="00DB0015"/>
    <w:rsid w:val="00DB0359"/>
    <w:rsid w:val="00DB0ABB"/>
    <w:rsid w:val="00DB1410"/>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C39"/>
    <w:rsid w:val="00DE7E74"/>
    <w:rsid w:val="00DF071B"/>
    <w:rsid w:val="00DF5C84"/>
    <w:rsid w:val="00DF5EC0"/>
    <w:rsid w:val="00DF6EF8"/>
    <w:rsid w:val="00DF6EFE"/>
    <w:rsid w:val="00E00A69"/>
    <w:rsid w:val="00E017BC"/>
    <w:rsid w:val="00E017F0"/>
    <w:rsid w:val="00E01A0E"/>
    <w:rsid w:val="00E021F0"/>
    <w:rsid w:val="00E025FE"/>
    <w:rsid w:val="00E0346A"/>
    <w:rsid w:val="00E041E4"/>
    <w:rsid w:val="00E04A95"/>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E23"/>
    <w:rsid w:val="00E362D2"/>
    <w:rsid w:val="00E36D76"/>
    <w:rsid w:val="00E37ED2"/>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43D"/>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70C"/>
    <w:rsid w:val="00E90A62"/>
    <w:rsid w:val="00E92419"/>
    <w:rsid w:val="00E9265E"/>
    <w:rsid w:val="00E956DB"/>
    <w:rsid w:val="00E9763D"/>
    <w:rsid w:val="00EA1177"/>
    <w:rsid w:val="00EA118B"/>
    <w:rsid w:val="00EA11B6"/>
    <w:rsid w:val="00EA2181"/>
    <w:rsid w:val="00EA2DD8"/>
    <w:rsid w:val="00EA30FC"/>
    <w:rsid w:val="00EA3F44"/>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8DD"/>
    <w:rsid w:val="00EC5BB2"/>
    <w:rsid w:val="00EC75AF"/>
    <w:rsid w:val="00ED12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A16"/>
    <w:rsid w:val="00F24072"/>
    <w:rsid w:val="00F26432"/>
    <w:rsid w:val="00F3197A"/>
    <w:rsid w:val="00F32139"/>
    <w:rsid w:val="00F33CF0"/>
    <w:rsid w:val="00F33D56"/>
    <w:rsid w:val="00F34E08"/>
    <w:rsid w:val="00F34EF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39B8"/>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49D"/>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paragraph" w:styleId="Heading4">
    <w:name w:val="heading 4"/>
    <w:basedOn w:val="Normal"/>
    <w:link w:val="Heading4Char"/>
    <w:uiPriority w:val="9"/>
    <w:qFormat/>
    <w:rsid w:val="003D699E"/>
    <w:pPr>
      <w:spacing w:before="332" w:after="166" w:line="240" w:lineRule="auto"/>
      <w:jc w:val="left"/>
      <w:outlineLvl w:val="3"/>
    </w:pPr>
    <w:rPr>
      <w:rFonts w:ascii="Times New Roman" w:hAnsi="Times New Roman" w:cs="Times New Roman"/>
      <w:b/>
      <w:bCs/>
      <w:color w:val="59331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ing4Char">
    <w:name w:val="Heading 4 Char"/>
    <w:basedOn w:val="DefaultParagraphFont"/>
    <w:link w:val="Heading4"/>
    <w:uiPriority w:val="9"/>
    <w:rsid w:val="003D699E"/>
    <w:rPr>
      <w:rFonts w:ascii="Times New Roman" w:hAnsi="Times New Roman" w:cs="Times New Roman"/>
      <w:b/>
      <w:bCs/>
      <w:color w:val="59331F"/>
      <w:szCs w:val="24"/>
    </w:rPr>
  </w:style>
  <w:style w:type="paragraph" w:styleId="NormalWeb">
    <w:name w:val="Normal (Web)"/>
    <w:basedOn w:val="Normal"/>
    <w:uiPriority w:val="99"/>
    <w:unhideWhenUsed/>
    <w:rsid w:val="003D699E"/>
    <w:pPr>
      <w:spacing w:before="100" w:beforeAutospacing="1" w:after="100" w:afterAutospacing="1" w:line="240" w:lineRule="auto"/>
      <w:jc w:val="left"/>
    </w:pPr>
    <w:rPr>
      <w:rFonts w:ascii="Times New Roman" w:hAnsi="Times New Roman" w:cs="Times New Roman"/>
      <w:color w:val="auto"/>
      <w:szCs w:val="24"/>
    </w:rPr>
  </w:style>
  <w:style w:type="character" w:customStyle="1" w:styleId="HeaderChar">
    <w:name w:val="Header Char"/>
    <w:basedOn w:val="DefaultParagraphFont"/>
    <w:link w:val="Header"/>
    <w:uiPriority w:val="99"/>
    <w:rsid w:val="00E6743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612829002">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24422984">
      <w:bodyDiv w:val="1"/>
      <w:marLeft w:val="0"/>
      <w:marRight w:val="0"/>
      <w:marTop w:val="0"/>
      <w:marBottom w:val="0"/>
      <w:divBdr>
        <w:top w:val="none" w:sz="0" w:space="0" w:color="auto"/>
        <w:left w:val="none" w:sz="0" w:space="0" w:color="auto"/>
        <w:bottom w:val="none" w:sz="0" w:space="0" w:color="auto"/>
        <w:right w:val="none" w:sz="0" w:space="0" w:color="auto"/>
      </w:divBdr>
      <w:divsChild>
        <w:div w:id="1954164262">
          <w:marLeft w:val="0"/>
          <w:marRight w:val="0"/>
          <w:marTop w:val="0"/>
          <w:marBottom w:val="0"/>
          <w:divBdr>
            <w:top w:val="none" w:sz="0" w:space="0" w:color="auto"/>
            <w:left w:val="none" w:sz="0" w:space="0" w:color="auto"/>
            <w:bottom w:val="none" w:sz="0" w:space="0" w:color="auto"/>
            <w:right w:val="none" w:sz="0" w:space="0" w:color="auto"/>
          </w:divBdr>
        </w:div>
      </w:divsChild>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08089722">
      <w:bodyDiv w:val="1"/>
      <w:marLeft w:val="0"/>
      <w:marRight w:val="0"/>
      <w:marTop w:val="0"/>
      <w:marBottom w:val="0"/>
      <w:divBdr>
        <w:top w:val="none" w:sz="0" w:space="0" w:color="auto"/>
        <w:left w:val="none" w:sz="0" w:space="0" w:color="auto"/>
        <w:bottom w:val="none" w:sz="0" w:space="0" w:color="auto"/>
        <w:right w:val="none" w:sz="0" w:space="0" w:color="auto"/>
      </w:divBdr>
      <w:divsChild>
        <w:div w:id="582177734">
          <w:marLeft w:val="0"/>
          <w:marRight w:val="1"/>
          <w:marTop w:val="0"/>
          <w:marBottom w:val="0"/>
          <w:divBdr>
            <w:top w:val="none" w:sz="0" w:space="0" w:color="auto"/>
            <w:left w:val="none" w:sz="0" w:space="0" w:color="auto"/>
            <w:bottom w:val="none" w:sz="0" w:space="0" w:color="auto"/>
            <w:right w:val="none" w:sz="0" w:space="0" w:color="auto"/>
          </w:divBdr>
          <w:divsChild>
            <w:div w:id="1911455223">
              <w:marLeft w:val="0"/>
              <w:marRight w:val="0"/>
              <w:marTop w:val="0"/>
              <w:marBottom w:val="0"/>
              <w:divBdr>
                <w:top w:val="none" w:sz="0" w:space="0" w:color="auto"/>
                <w:left w:val="none" w:sz="0" w:space="0" w:color="auto"/>
                <w:bottom w:val="none" w:sz="0" w:space="0" w:color="auto"/>
                <w:right w:val="none" w:sz="0" w:space="0" w:color="auto"/>
              </w:divBdr>
              <w:divsChild>
                <w:div w:id="305277294">
                  <w:marLeft w:val="0"/>
                  <w:marRight w:val="1"/>
                  <w:marTop w:val="0"/>
                  <w:marBottom w:val="0"/>
                  <w:divBdr>
                    <w:top w:val="none" w:sz="0" w:space="0" w:color="auto"/>
                    <w:left w:val="none" w:sz="0" w:space="0" w:color="auto"/>
                    <w:bottom w:val="none" w:sz="0" w:space="0" w:color="auto"/>
                    <w:right w:val="none" w:sz="0" w:space="0" w:color="auto"/>
                  </w:divBdr>
                  <w:divsChild>
                    <w:div w:id="2033526500">
                      <w:marLeft w:val="0"/>
                      <w:marRight w:val="0"/>
                      <w:marTop w:val="0"/>
                      <w:marBottom w:val="0"/>
                      <w:divBdr>
                        <w:top w:val="none" w:sz="0" w:space="0" w:color="auto"/>
                        <w:left w:val="none" w:sz="0" w:space="0" w:color="auto"/>
                        <w:bottom w:val="none" w:sz="0" w:space="0" w:color="auto"/>
                        <w:right w:val="none" w:sz="0" w:space="0" w:color="auto"/>
                      </w:divBdr>
                      <w:divsChild>
                        <w:div w:id="1635526081">
                          <w:marLeft w:val="0"/>
                          <w:marRight w:val="0"/>
                          <w:marTop w:val="0"/>
                          <w:marBottom w:val="0"/>
                          <w:divBdr>
                            <w:top w:val="none" w:sz="0" w:space="0" w:color="auto"/>
                            <w:left w:val="none" w:sz="0" w:space="0" w:color="auto"/>
                            <w:bottom w:val="none" w:sz="0" w:space="0" w:color="auto"/>
                            <w:right w:val="none" w:sz="0" w:space="0" w:color="auto"/>
                          </w:divBdr>
                          <w:divsChild>
                            <w:div w:id="430048415">
                              <w:marLeft w:val="0"/>
                              <w:marRight w:val="0"/>
                              <w:marTop w:val="120"/>
                              <w:marBottom w:val="360"/>
                              <w:divBdr>
                                <w:top w:val="none" w:sz="0" w:space="0" w:color="auto"/>
                                <w:left w:val="none" w:sz="0" w:space="0" w:color="auto"/>
                                <w:bottom w:val="none" w:sz="0" w:space="0" w:color="auto"/>
                                <w:right w:val="none" w:sz="0" w:space="0" w:color="auto"/>
                              </w:divBdr>
                              <w:divsChild>
                                <w:div w:id="1766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15389">
      <w:bodyDiv w:val="1"/>
      <w:marLeft w:val="0"/>
      <w:marRight w:val="0"/>
      <w:marTop w:val="0"/>
      <w:marBottom w:val="0"/>
      <w:divBdr>
        <w:top w:val="none" w:sz="0" w:space="0" w:color="auto"/>
        <w:left w:val="none" w:sz="0" w:space="0" w:color="auto"/>
        <w:bottom w:val="none" w:sz="0" w:space="0" w:color="auto"/>
        <w:right w:val="none" w:sz="0" w:space="0" w:color="auto"/>
      </w:divBdr>
      <w:divsChild>
        <w:div w:id="1944412787">
          <w:marLeft w:val="0"/>
          <w:marRight w:val="1"/>
          <w:marTop w:val="0"/>
          <w:marBottom w:val="0"/>
          <w:divBdr>
            <w:top w:val="none" w:sz="0" w:space="0" w:color="auto"/>
            <w:left w:val="none" w:sz="0" w:space="0" w:color="auto"/>
            <w:bottom w:val="none" w:sz="0" w:space="0" w:color="auto"/>
            <w:right w:val="none" w:sz="0" w:space="0" w:color="auto"/>
          </w:divBdr>
          <w:divsChild>
            <w:div w:id="301471805">
              <w:marLeft w:val="0"/>
              <w:marRight w:val="0"/>
              <w:marTop w:val="0"/>
              <w:marBottom w:val="0"/>
              <w:divBdr>
                <w:top w:val="none" w:sz="0" w:space="0" w:color="auto"/>
                <w:left w:val="none" w:sz="0" w:space="0" w:color="auto"/>
                <w:bottom w:val="none" w:sz="0" w:space="0" w:color="auto"/>
                <w:right w:val="none" w:sz="0" w:space="0" w:color="auto"/>
              </w:divBdr>
              <w:divsChild>
                <w:div w:id="205143598">
                  <w:marLeft w:val="0"/>
                  <w:marRight w:val="1"/>
                  <w:marTop w:val="0"/>
                  <w:marBottom w:val="0"/>
                  <w:divBdr>
                    <w:top w:val="none" w:sz="0" w:space="0" w:color="auto"/>
                    <w:left w:val="none" w:sz="0" w:space="0" w:color="auto"/>
                    <w:bottom w:val="none" w:sz="0" w:space="0" w:color="auto"/>
                    <w:right w:val="none" w:sz="0" w:space="0" w:color="auto"/>
                  </w:divBdr>
                  <w:divsChild>
                    <w:div w:id="719861224">
                      <w:marLeft w:val="0"/>
                      <w:marRight w:val="0"/>
                      <w:marTop w:val="0"/>
                      <w:marBottom w:val="0"/>
                      <w:divBdr>
                        <w:top w:val="none" w:sz="0" w:space="0" w:color="auto"/>
                        <w:left w:val="none" w:sz="0" w:space="0" w:color="auto"/>
                        <w:bottom w:val="none" w:sz="0" w:space="0" w:color="auto"/>
                        <w:right w:val="none" w:sz="0" w:space="0" w:color="auto"/>
                      </w:divBdr>
                      <w:divsChild>
                        <w:div w:id="1366755773">
                          <w:marLeft w:val="0"/>
                          <w:marRight w:val="0"/>
                          <w:marTop w:val="0"/>
                          <w:marBottom w:val="0"/>
                          <w:divBdr>
                            <w:top w:val="none" w:sz="0" w:space="0" w:color="auto"/>
                            <w:left w:val="none" w:sz="0" w:space="0" w:color="auto"/>
                            <w:bottom w:val="none" w:sz="0" w:space="0" w:color="auto"/>
                            <w:right w:val="none" w:sz="0" w:space="0" w:color="auto"/>
                          </w:divBdr>
                          <w:divsChild>
                            <w:div w:id="2004233168">
                              <w:marLeft w:val="0"/>
                              <w:marRight w:val="0"/>
                              <w:marTop w:val="120"/>
                              <w:marBottom w:val="360"/>
                              <w:divBdr>
                                <w:top w:val="none" w:sz="0" w:space="0" w:color="auto"/>
                                <w:left w:val="none" w:sz="0" w:space="0" w:color="auto"/>
                                <w:bottom w:val="none" w:sz="0" w:space="0" w:color="auto"/>
                                <w:right w:val="none" w:sz="0" w:space="0" w:color="auto"/>
                              </w:divBdr>
                              <w:divsChild>
                                <w:div w:id="1971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20A6-7C1E-4721-82EA-3FD23655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3693</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2012-05-16T11:47:00Z</dcterms:created>
  <dcterms:modified xsi:type="dcterms:W3CDTF">2012-05-16T11:47:00Z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