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6C148E" w:rsidRDefault="00540BEF" w:rsidP="00190E48">
      <w:pPr>
        <w:tabs>
          <w:tab w:val="left" w:pos="288"/>
          <w:tab w:val="left" w:pos="4752"/>
        </w:tabs>
        <w:spacing w:line="240" w:lineRule="exact"/>
        <w:jc w:val="center"/>
        <w:rPr>
          <w:rFonts w:asciiTheme="minorHAnsi" w:hAnsiTheme="minorHAnsi"/>
          <w:color w:val="auto"/>
        </w:rPr>
      </w:pPr>
      <w:r w:rsidRPr="006C148E">
        <w:rPr>
          <w:rFonts w:asciiTheme="minorHAnsi" w:hAnsiTheme="minorHAnsi"/>
          <w:color w:val="auto"/>
        </w:rPr>
        <w:t>RECORD OF PROCEEDINGS</w:t>
      </w:r>
    </w:p>
    <w:p w:rsidR="00540BEF" w:rsidRPr="006C148E" w:rsidRDefault="00540BEF" w:rsidP="00190E48">
      <w:pPr>
        <w:tabs>
          <w:tab w:val="left" w:pos="288"/>
          <w:tab w:val="left" w:pos="4752"/>
        </w:tabs>
        <w:spacing w:line="240" w:lineRule="exact"/>
        <w:jc w:val="center"/>
        <w:rPr>
          <w:rFonts w:asciiTheme="minorHAnsi" w:hAnsiTheme="minorHAnsi"/>
          <w:color w:val="auto"/>
        </w:rPr>
      </w:pPr>
      <w:r w:rsidRPr="006C148E">
        <w:rPr>
          <w:rFonts w:asciiTheme="minorHAnsi" w:hAnsiTheme="minorHAnsi"/>
          <w:color w:val="auto"/>
        </w:rPr>
        <w:t>PHYSICAL DISABILITY BOARD OF REVIEW</w:t>
      </w:r>
    </w:p>
    <w:p w:rsidR="00540BEF" w:rsidRPr="006C148E" w:rsidRDefault="00540BEF" w:rsidP="00190E48">
      <w:pPr>
        <w:tabs>
          <w:tab w:val="left" w:pos="288"/>
          <w:tab w:val="left" w:pos="4752"/>
        </w:tabs>
        <w:spacing w:line="240" w:lineRule="exact"/>
        <w:jc w:val="both"/>
        <w:rPr>
          <w:rFonts w:asciiTheme="minorHAnsi" w:hAnsiTheme="minorHAnsi"/>
          <w:caps/>
          <w:color w:val="auto"/>
        </w:rPr>
      </w:pPr>
    </w:p>
    <w:p w:rsidR="00BC32C0" w:rsidRPr="006C148E" w:rsidRDefault="00361302" w:rsidP="001E669C">
      <w:pPr>
        <w:tabs>
          <w:tab w:val="left" w:pos="288"/>
          <w:tab w:val="left" w:pos="4752"/>
          <w:tab w:val="left" w:pos="5130"/>
          <w:tab w:val="left" w:pos="9270"/>
        </w:tabs>
        <w:spacing w:line="240" w:lineRule="exact"/>
        <w:jc w:val="both"/>
        <w:rPr>
          <w:rFonts w:asciiTheme="minorHAnsi" w:hAnsiTheme="minorHAnsi"/>
          <w:caps/>
          <w:color w:val="auto"/>
        </w:rPr>
      </w:pPr>
      <w:r w:rsidRPr="006C148E">
        <w:rPr>
          <w:rFonts w:asciiTheme="minorHAnsi" w:hAnsiTheme="minorHAnsi"/>
          <w:caps/>
          <w:color w:val="auto"/>
        </w:rPr>
        <w:t xml:space="preserve">NAME: </w:t>
      </w:r>
      <w:r w:rsidR="005D0088" w:rsidRPr="006C148E">
        <w:rPr>
          <w:rFonts w:asciiTheme="minorHAnsi" w:hAnsiTheme="minorHAnsi"/>
          <w:caps/>
          <w:color w:val="auto"/>
        </w:rPr>
        <w:t xml:space="preserve"> </w:t>
      </w:r>
      <w:r w:rsidR="000A523C">
        <w:rPr>
          <w:rFonts w:asciiTheme="minorHAnsi" w:hAnsiTheme="minorHAnsi"/>
          <w:caps/>
          <w:color w:val="auto"/>
        </w:rPr>
        <w:t xml:space="preserve">XXXXXXX                        </w:t>
      </w:r>
      <w:r w:rsidR="001E669C" w:rsidRPr="006C148E">
        <w:rPr>
          <w:rFonts w:asciiTheme="minorHAnsi" w:hAnsiTheme="minorHAnsi"/>
          <w:caps/>
          <w:color w:val="auto"/>
        </w:rPr>
        <w:t xml:space="preserve">           </w:t>
      </w:r>
      <w:r w:rsidR="00BC32C0" w:rsidRPr="006C148E">
        <w:rPr>
          <w:rFonts w:asciiTheme="minorHAnsi" w:hAnsiTheme="minorHAnsi"/>
          <w:caps/>
          <w:color w:val="auto"/>
        </w:rPr>
        <w:t xml:space="preserve">        </w:t>
      </w:r>
      <w:r w:rsidR="005D0088" w:rsidRPr="006C148E">
        <w:rPr>
          <w:rFonts w:asciiTheme="minorHAnsi" w:hAnsiTheme="minorHAnsi"/>
          <w:caps/>
          <w:color w:val="auto"/>
        </w:rPr>
        <w:t xml:space="preserve">                          </w:t>
      </w:r>
      <w:r w:rsidR="00B43518">
        <w:rPr>
          <w:rFonts w:asciiTheme="minorHAnsi" w:hAnsiTheme="minorHAnsi"/>
          <w:caps/>
          <w:color w:val="auto"/>
        </w:rPr>
        <w:t xml:space="preserve"> </w:t>
      </w:r>
      <w:r w:rsidR="005D0088" w:rsidRPr="006C148E">
        <w:rPr>
          <w:rFonts w:asciiTheme="minorHAnsi" w:hAnsiTheme="minorHAnsi"/>
          <w:caps/>
          <w:color w:val="auto"/>
        </w:rPr>
        <w:t xml:space="preserve">   </w:t>
      </w:r>
      <w:r w:rsidR="001E669C" w:rsidRPr="006C148E">
        <w:rPr>
          <w:rFonts w:asciiTheme="minorHAnsi" w:hAnsiTheme="minorHAnsi"/>
          <w:caps/>
          <w:color w:val="auto"/>
        </w:rPr>
        <w:t xml:space="preserve">BRANCH OF SERVICE: </w:t>
      </w:r>
      <w:r w:rsidR="005D0088" w:rsidRPr="006C148E">
        <w:rPr>
          <w:rFonts w:asciiTheme="minorHAnsi" w:hAnsiTheme="minorHAnsi"/>
          <w:caps/>
          <w:color w:val="auto"/>
        </w:rPr>
        <w:t xml:space="preserve"> marine corps</w:t>
      </w:r>
    </w:p>
    <w:p w:rsidR="00BC32C0" w:rsidRPr="006C148E" w:rsidRDefault="001E669C" w:rsidP="00BC32C0">
      <w:pPr>
        <w:tabs>
          <w:tab w:val="left" w:pos="288"/>
          <w:tab w:val="left" w:pos="4752"/>
        </w:tabs>
        <w:spacing w:line="240" w:lineRule="exact"/>
        <w:ind w:right="-900"/>
        <w:jc w:val="both"/>
        <w:rPr>
          <w:rFonts w:asciiTheme="minorHAnsi" w:hAnsiTheme="minorHAnsi"/>
          <w:caps/>
          <w:color w:val="auto"/>
        </w:rPr>
      </w:pPr>
      <w:r w:rsidRPr="006C148E">
        <w:rPr>
          <w:rFonts w:asciiTheme="minorHAnsi" w:hAnsiTheme="minorHAnsi"/>
          <w:caps/>
          <w:color w:val="auto"/>
        </w:rPr>
        <w:t>CASE NUMBER:  PD</w:t>
      </w:r>
      <w:r w:rsidR="00BC32C0" w:rsidRPr="006C148E">
        <w:rPr>
          <w:rFonts w:asciiTheme="minorHAnsi" w:hAnsiTheme="minorHAnsi"/>
          <w:caps/>
          <w:color w:val="auto"/>
        </w:rPr>
        <w:t>1000370</w:t>
      </w:r>
      <w:r w:rsidR="006F3BF4" w:rsidRPr="006C148E">
        <w:rPr>
          <w:rFonts w:asciiTheme="minorHAnsi" w:hAnsiTheme="minorHAnsi"/>
          <w:color w:val="auto"/>
        </w:rPr>
        <w:t xml:space="preserve"> </w:t>
      </w:r>
      <w:r w:rsidR="006F3BF4" w:rsidRPr="006C148E">
        <w:rPr>
          <w:rFonts w:asciiTheme="minorHAnsi" w:hAnsiTheme="minorHAnsi"/>
          <w:color w:val="auto"/>
        </w:rPr>
        <w:tab/>
        <w:t xml:space="preserve">                          </w:t>
      </w:r>
      <w:r w:rsidR="00B43518">
        <w:rPr>
          <w:rFonts w:asciiTheme="minorHAnsi" w:hAnsiTheme="minorHAnsi"/>
          <w:color w:val="auto"/>
        </w:rPr>
        <w:t xml:space="preserve">  </w:t>
      </w:r>
      <w:r w:rsidR="006F3BF4" w:rsidRPr="006C148E">
        <w:rPr>
          <w:rFonts w:asciiTheme="minorHAnsi" w:hAnsiTheme="minorHAnsi"/>
          <w:color w:val="auto"/>
        </w:rPr>
        <w:t xml:space="preserve">  </w:t>
      </w:r>
      <w:r w:rsidRPr="006C148E">
        <w:rPr>
          <w:rFonts w:asciiTheme="minorHAnsi" w:hAnsiTheme="minorHAnsi"/>
          <w:color w:val="auto"/>
        </w:rPr>
        <w:t xml:space="preserve">SEPARATION DATE:  </w:t>
      </w:r>
      <w:r w:rsidR="00BC32C0" w:rsidRPr="006C148E">
        <w:rPr>
          <w:rFonts w:asciiTheme="minorHAnsi" w:hAnsiTheme="minorHAnsi"/>
          <w:caps/>
          <w:color w:val="auto"/>
        </w:rPr>
        <w:t>20061115</w:t>
      </w:r>
    </w:p>
    <w:p w:rsidR="00AF32E2" w:rsidRPr="006C148E" w:rsidRDefault="001E669C" w:rsidP="001E669C">
      <w:pPr>
        <w:tabs>
          <w:tab w:val="left" w:pos="288"/>
          <w:tab w:val="left" w:pos="5130"/>
        </w:tabs>
        <w:spacing w:line="240" w:lineRule="exact"/>
        <w:jc w:val="both"/>
        <w:rPr>
          <w:rFonts w:asciiTheme="minorHAnsi" w:hAnsiTheme="minorHAnsi"/>
          <w:color w:val="auto"/>
        </w:rPr>
      </w:pPr>
      <w:r w:rsidRPr="006C148E">
        <w:rPr>
          <w:rFonts w:asciiTheme="minorHAnsi" w:hAnsiTheme="minorHAnsi"/>
          <w:caps/>
          <w:color w:val="auto"/>
        </w:rPr>
        <w:t>BOARD DATE:  2011</w:t>
      </w:r>
      <w:r w:rsidR="00AF32E2" w:rsidRPr="006C148E">
        <w:rPr>
          <w:rFonts w:asciiTheme="minorHAnsi" w:hAnsiTheme="minorHAnsi"/>
          <w:color w:val="auto"/>
        </w:rPr>
        <w:t>0608</w:t>
      </w:r>
      <w:r w:rsidRPr="006C148E">
        <w:rPr>
          <w:rFonts w:asciiTheme="minorHAnsi" w:hAnsiTheme="minorHAnsi"/>
          <w:color w:val="auto"/>
        </w:rPr>
        <w:t xml:space="preserve"> </w:t>
      </w:r>
    </w:p>
    <w:p w:rsidR="006F3BF4" w:rsidRPr="006C148E" w:rsidRDefault="006F3BF4" w:rsidP="006F3BF4">
      <w:pPr>
        <w:pBdr>
          <w:bottom w:val="single" w:sz="12" w:space="1" w:color="auto"/>
        </w:pBdr>
        <w:tabs>
          <w:tab w:val="left" w:pos="288"/>
          <w:tab w:val="left" w:pos="4752"/>
        </w:tabs>
        <w:spacing w:line="240" w:lineRule="exact"/>
        <w:jc w:val="both"/>
        <w:rPr>
          <w:rFonts w:asciiTheme="minorHAnsi" w:hAnsiTheme="minorHAnsi"/>
          <w:color w:val="auto"/>
          <w:u w:val="single"/>
        </w:rPr>
      </w:pPr>
    </w:p>
    <w:p w:rsidR="006F3BF4" w:rsidRPr="006C148E" w:rsidRDefault="006F3BF4" w:rsidP="006F3BF4">
      <w:pPr>
        <w:tabs>
          <w:tab w:val="left" w:pos="288"/>
          <w:tab w:val="left" w:pos="4752"/>
        </w:tabs>
        <w:spacing w:line="240" w:lineRule="exact"/>
        <w:rPr>
          <w:rFonts w:ascii="Calibri" w:hAnsi="Calibri"/>
          <w:color w:val="auto"/>
          <w:szCs w:val="24"/>
        </w:rPr>
      </w:pPr>
    </w:p>
    <w:p w:rsidR="00AE2957" w:rsidRPr="006C148E" w:rsidRDefault="002C6E5B" w:rsidP="002C1759">
      <w:pPr>
        <w:tabs>
          <w:tab w:val="left" w:pos="288"/>
          <w:tab w:val="left" w:pos="4752"/>
        </w:tabs>
        <w:spacing w:line="240" w:lineRule="exact"/>
        <w:jc w:val="both"/>
        <w:rPr>
          <w:rFonts w:asciiTheme="minorHAnsi" w:hAnsiTheme="minorHAnsi"/>
          <w:color w:val="auto"/>
          <w:szCs w:val="24"/>
        </w:rPr>
      </w:pPr>
      <w:r w:rsidRPr="006C148E">
        <w:rPr>
          <w:rFonts w:asciiTheme="minorHAnsi" w:hAnsiTheme="minorHAnsi"/>
          <w:color w:val="auto"/>
          <w:u w:val="single"/>
        </w:rPr>
        <w:t>SUMMARY OF CASE</w:t>
      </w:r>
      <w:r w:rsidRPr="006C148E">
        <w:rPr>
          <w:rFonts w:asciiTheme="minorHAnsi" w:hAnsiTheme="minorHAnsi"/>
          <w:color w:val="auto"/>
        </w:rPr>
        <w:t xml:space="preserve">:  </w:t>
      </w:r>
      <w:r w:rsidR="00AF6AAF" w:rsidRPr="006C148E">
        <w:rPr>
          <w:rFonts w:asciiTheme="minorHAnsi" w:hAnsiTheme="minorHAnsi"/>
          <w:color w:val="auto"/>
        </w:rPr>
        <w:t xml:space="preserve">Data extracted from the available evidence of record reflects that this covered individual (CI) </w:t>
      </w:r>
      <w:r w:rsidR="00BC32C0" w:rsidRPr="006C148E">
        <w:rPr>
          <w:rFonts w:asciiTheme="minorHAnsi" w:hAnsiTheme="minorHAnsi"/>
          <w:color w:val="auto"/>
          <w:szCs w:val="24"/>
        </w:rPr>
        <w:t>was an active duty Lance Corporal (3521, Diesel Mechanic) medically separated from the Marine Corps</w:t>
      </w:r>
      <w:r w:rsidR="008E7833" w:rsidRPr="006C148E">
        <w:rPr>
          <w:rFonts w:asciiTheme="minorHAnsi" w:hAnsiTheme="minorHAnsi"/>
          <w:color w:val="auto"/>
          <w:szCs w:val="24"/>
        </w:rPr>
        <w:t xml:space="preserve"> Reserve</w:t>
      </w:r>
      <w:r w:rsidR="00BC32C0" w:rsidRPr="006C148E">
        <w:rPr>
          <w:rFonts w:asciiTheme="minorHAnsi" w:hAnsiTheme="minorHAnsi"/>
          <w:color w:val="auto"/>
          <w:szCs w:val="24"/>
        </w:rPr>
        <w:t xml:space="preserve"> in 2006.  The medical basis for the separation was </w:t>
      </w:r>
      <w:r w:rsidR="00942204" w:rsidRPr="006C148E">
        <w:rPr>
          <w:rFonts w:asciiTheme="minorHAnsi" w:hAnsiTheme="minorHAnsi"/>
          <w:color w:val="auto"/>
          <w:szCs w:val="24"/>
        </w:rPr>
        <w:t xml:space="preserve">chronic thoracic back pain </w:t>
      </w:r>
      <w:r w:rsidR="002C1759" w:rsidRPr="006C148E">
        <w:rPr>
          <w:rFonts w:asciiTheme="minorHAnsi" w:hAnsiTheme="minorHAnsi"/>
          <w:color w:val="auto"/>
          <w:szCs w:val="24"/>
        </w:rPr>
        <w:t>(</w:t>
      </w:r>
      <w:r w:rsidR="00D2341A" w:rsidRPr="006C148E">
        <w:rPr>
          <w:rFonts w:asciiTheme="minorHAnsi" w:hAnsiTheme="minorHAnsi"/>
          <w:color w:val="auto"/>
          <w:szCs w:val="24"/>
        </w:rPr>
        <w:t>slight/chronic)</w:t>
      </w:r>
      <w:r w:rsidR="00BC32C0" w:rsidRPr="006C148E">
        <w:rPr>
          <w:rFonts w:asciiTheme="minorHAnsi" w:hAnsiTheme="minorHAnsi"/>
          <w:color w:val="auto"/>
          <w:szCs w:val="24"/>
        </w:rPr>
        <w:t xml:space="preserve">. </w:t>
      </w:r>
      <w:r w:rsidR="005D0088" w:rsidRPr="006C148E">
        <w:rPr>
          <w:rFonts w:asciiTheme="minorHAnsi" w:hAnsiTheme="minorHAnsi"/>
          <w:color w:val="auto"/>
          <w:szCs w:val="24"/>
        </w:rPr>
        <w:t xml:space="preserve"> </w:t>
      </w:r>
      <w:r w:rsidR="00D2341A" w:rsidRPr="006C148E">
        <w:rPr>
          <w:rFonts w:asciiTheme="minorHAnsi" w:hAnsiTheme="minorHAnsi"/>
          <w:color w:val="auto"/>
          <w:szCs w:val="24"/>
        </w:rPr>
        <w:t xml:space="preserve">While the CI was lifting plywood in Iraq, </w:t>
      </w:r>
      <w:r w:rsidR="005D0088" w:rsidRPr="006C148E">
        <w:rPr>
          <w:rFonts w:asciiTheme="minorHAnsi" w:hAnsiTheme="minorHAnsi"/>
          <w:color w:val="auto"/>
          <w:szCs w:val="24"/>
        </w:rPr>
        <w:t>he</w:t>
      </w:r>
      <w:r w:rsidR="00D2341A" w:rsidRPr="006C148E">
        <w:rPr>
          <w:rFonts w:asciiTheme="minorHAnsi" w:hAnsiTheme="minorHAnsi"/>
          <w:color w:val="auto"/>
          <w:szCs w:val="24"/>
        </w:rPr>
        <w:t xml:space="preserve"> felt a sharp pain in his back and a shooting pain sensation down his right leg</w:t>
      </w:r>
      <w:r w:rsidR="00942204">
        <w:rPr>
          <w:rFonts w:asciiTheme="minorHAnsi" w:hAnsiTheme="minorHAnsi"/>
          <w:color w:val="auto"/>
          <w:szCs w:val="24"/>
        </w:rPr>
        <w:t>,</w:t>
      </w:r>
      <w:r w:rsidR="00D2341A" w:rsidRPr="006C148E">
        <w:rPr>
          <w:rFonts w:asciiTheme="minorHAnsi" w:hAnsiTheme="minorHAnsi"/>
          <w:color w:val="auto"/>
          <w:szCs w:val="24"/>
        </w:rPr>
        <w:t xml:space="preserve"> radiating down to below his knee.  The CI had undergone and failed anti-inflammatory medication, extensive physical therapy (PT), and a </w:t>
      </w:r>
      <w:r w:rsidR="00942204" w:rsidRPr="006C148E">
        <w:rPr>
          <w:rFonts w:asciiTheme="minorHAnsi" w:hAnsiTheme="minorHAnsi"/>
          <w:color w:val="auto"/>
          <w:szCs w:val="24"/>
        </w:rPr>
        <w:t xml:space="preserve">transcutaneous electrical nerve stimulation </w:t>
      </w:r>
      <w:r w:rsidR="00D2341A" w:rsidRPr="006C148E">
        <w:rPr>
          <w:rFonts w:asciiTheme="minorHAnsi" w:hAnsiTheme="minorHAnsi"/>
          <w:color w:val="auto"/>
          <w:szCs w:val="24"/>
        </w:rPr>
        <w:t xml:space="preserve">(TENS) </w:t>
      </w:r>
      <w:r w:rsidR="00C460F9" w:rsidRPr="006C148E">
        <w:rPr>
          <w:rFonts w:asciiTheme="minorHAnsi" w:hAnsiTheme="minorHAnsi"/>
          <w:color w:val="auto"/>
          <w:szCs w:val="24"/>
        </w:rPr>
        <w:t>unit</w:t>
      </w:r>
      <w:r w:rsidR="00942204">
        <w:rPr>
          <w:rFonts w:asciiTheme="minorHAnsi" w:hAnsiTheme="minorHAnsi"/>
          <w:color w:val="auto"/>
          <w:szCs w:val="24"/>
        </w:rPr>
        <w:t xml:space="preserve">.  </w:t>
      </w:r>
      <w:r w:rsidR="00D5018A" w:rsidRPr="006C148E">
        <w:rPr>
          <w:rFonts w:asciiTheme="minorHAnsi" w:hAnsiTheme="minorHAnsi"/>
          <w:color w:val="auto"/>
          <w:szCs w:val="24"/>
        </w:rPr>
        <w:t xml:space="preserve">Despite a U3 </w:t>
      </w:r>
      <w:r w:rsidR="00942204">
        <w:rPr>
          <w:rFonts w:asciiTheme="minorHAnsi" w:hAnsiTheme="minorHAnsi"/>
          <w:color w:val="auto"/>
          <w:szCs w:val="24"/>
        </w:rPr>
        <w:t>p</w:t>
      </w:r>
      <w:r w:rsidR="00D5018A" w:rsidRPr="006C148E">
        <w:rPr>
          <w:rFonts w:asciiTheme="minorHAnsi" w:hAnsiTheme="minorHAnsi"/>
          <w:color w:val="auto"/>
          <w:szCs w:val="24"/>
        </w:rPr>
        <w:t>rofile</w:t>
      </w:r>
      <w:r w:rsidR="00942204">
        <w:rPr>
          <w:rFonts w:asciiTheme="minorHAnsi" w:hAnsiTheme="minorHAnsi"/>
          <w:color w:val="auto"/>
          <w:szCs w:val="24"/>
        </w:rPr>
        <w:t xml:space="preserve"> and several extended sick leave periods</w:t>
      </w:r>
      <w:r w:rsidR="00D5018A" w:rsidRPr="006C148E">
        <w:rPr>
          <w:rFonts w:asciiTheme="minorHAnsi" w:hAnsiTheme="minorHAnsi"/>
          <w:color w:val="auto"/>
          <w:szCs w:val="24"/>
        </w:rPr>
        <w:t>, the CI was unable to perform within his military occupational specialty (MOS</w:t>
      </w:r>
      <w:r w:rsidR="002C1759" w:rsidRPr="006C148E">
        <w:rPr>
          <w:rFonts w:asciiTheme="minorHAnsi" w:hAnsiTheme="minorHAnsi"/>
          <w:color w:val="auto"/>
          <w:szCs w:val="24"/>
        </w:rPr>
        <w:t>) and</w:t>
      </w:r>
      <w:r w:rsidR="00D5018A" w:rsidRPr="006C148E">
        <w:rPr>
          <w:rFonts w:asciiTheme="minorHAnsi" w:hAnsiTheme="minorHAnsi"/>
          <w:color w:val="auto"/>
          <w:szCs w:val="24"/>
        </w:rPr>
        <w:t xml:space="preserve"> was referred to a Medic</w:t>
      </w:r>
      <w:r w:rsidR="005D0088" w:rsidRPr="006C148E">
        <w:rPr>
          <w:rFonts w:asciiTheme="minorHAnsi" w:hAnsiTheme="minorHAnsi"/>
          <w:color w:val="auto"/>
          <w:szCs w:val="24"/>
        </w:rPr>
        <w:t xml:space="preserve">al Evaluation Board (MEB).  </w:t>
      </w:r>
      <w:r w:rsidR="00EA1BA1" w:rsidRPr="006C148E">
        <w:rPr>
          <w:rFonts w:asciiTheme="minorHAnsi" w:hAnsiTheme="minorHAnsi"/>
          <w:color w:val="auto"/>
          <w:szCs w:val="24"/>
        </w:rPr>
        <w:t xml:space="preserve">The MEB forwarded </w:t>
      </w:r>
      <w:r w:rsidR="00942204">
        <w:rPr>
          <w:rFonts w:asciiTheme="minorHAnsi" w:hAnsiTheme="minorHAnsi"/>
          <w:color w:val="auto"/>
          <w:szCs w:val="24"/>
        </w:rPr>
        <w:t>b</w:t>
      </w:r>
      <w:r w:rsidR="0076215A" w:rsidRPr="006C148E">
        <w:rPr>
          <w:rFonts w:asciiTheme="minorHAnsi" w:hAnsiTheme="minorHAnsi"/>
          <w:color w:val="auto"/>
          <w:szCs w:val="24"/>
        </w:rPr>
        <w:t xml:space="preserve">ackache, </w:t>
      </w:r>
      <w:r w:rsidR="00942204">
        <w:rPr>
          <w:rFonts w:asciiTheme="minorHAnsi" w:hAnsiTheme="minorHAnsi"/>
          <w:color w:val="auto"/>
          <w:szCs w:val="24"/>
        </w:rPr>
        <w:t>u</w:t>
      </w:r>
      <w:r w:rsidR="0076215A" w:rsidRPr="006C148E">
        <w:rPr>
          <w:rFonts w:asciiTheme="minorHAnsi" w:hAnsiTheme="minorHAnsi"/>
          <w:color w:val="auto"/>
          <w:szCs w:val="24"/>
        </w:rPr>
        <w:t xml:space="preserve">nspecified to the Physical Evaluation Board (PEB) on NAVMED 6100/1.  </w:t>
      </w:r>
      <w:r w:rsidR="00AD53FB">
        <w:rPr>
          <w:rFonts w:asciiTheme="minorHAnsi" w:hAnsiTheme="minorHAnsi"/>
          <w:color w:val="auto"/>
          <w:szCs w:val="24"/>
        </w:rPr>
        <w:t>The I</w:t>
      </w:r>
      <w:r w:rsidR="00AE2957" w:rsidRPr="006C148E">
        <w:rPr>
          <w:rFonts w:asciiTheme="minorHAnsi" w:hAnsiTheme="minorHAnsi"/>
          <w:color w:val="auto"/>
          <w:szCs w:val="24"/>
        </w:rPr>
        <w:t xml:space="preserve">nformal PEB adjudicated </w:t>
      </w:r>
      <w:r w:rsidR="00942204" w:rsidRPr="006C148E">
        <w:rPr>
          <w:rFonts w:asciiTheme="minorHAnsi" w:hAnsiTheme="minorHAnsi"/>
          <w:color w:val="auto"/>
          <w:szCs w:val="24"/>
        </w:rPr>
        <w:t>chronic thoracic back pain (slight</w:t>
      </w:r>
      <w:r w:rsidR="00942204">
        <w:rPr>
          <w:rFonts w:asciiTheme="minorHAnsi" w:hAnsiTheme="minorHAnsi"/>
          <w:color w:val="auto"/>
          <w:szCs w:val="24"/>
        </w:rPr>
        <w:t>/</w:t>
      </w:r>
      <w:r w:rsidR="00942204" w:rsidRPr="006C148E">
        <w:rPr>
          <w:rFonts w:asciiTheme="minorHAnsi" w:hAnsiTheme="minorHAnsi"/>
          <w:color w:val="auto"/>
          <w:szCs w:val="24"/>
        </w:rPr>
        <w:t>constant</w:t>
      </w:r>
      <w:r w:rsidR="00AE2957" w:rsidRPr="006C148E">
        <w:rPr>
          <w:rFonts w:asciiTheme="minorHAnsi" w:hAnsiTheme="minorHAnsi"/>
          <w:color w:val="auto"/>
          <w:szCs w:val="24"/>
        </w:rPr>
        <w:t xml:space="preserve">) as unfitting rated </w:t>
      </w:r>
      <w:r w:rsidR="006F3BF4" w:rsidRPr="006C148E">
        <w:rPr>
          <w:rFonts w:asciiTheme="minorHAnsi" w:hAnsiTheme="minorHAnsi"/>
          <w:color w:val="auto"/>
          <w:szCs w:val="24"/>
        </w:rPr>
        <w:t>as</w:t>
      </w:r>
      <w:r w:rsidR="00AE2957" w:rsidRPr="006C148E">
        <w:rPr>
          <w:rFonts w:asciiTheme="minorHAnsi" w:hAnsiTheme="minorHAnsi"/>
          <w:color w:val="auto"/>
          <w:szCs w:val="24"/>
        </w:rPr>
        <w:t xml:space="preserve"> 5237 at 0%</w:t>
      </w:r>
      <w:r w:rsidR="006F3BF4" w:rsidRPr="006C148E">
        <w:rPr>
          <w:rFonts w:asciiTheme="minorHAnsi" w:hAnsiTheme="minorHAnsi"/>
          <w:color w:val="auto"/>
          <w:szCs w:val="24"/>
        </w:rPr>
        <w:t>;</w:t>
      </w:r>
      <w:r w:rsidR="00AE2957" w:rsidRPr="006C148E">
        <w:rPr>
          <w:rFonts w:asciiTheme="minorHAnsi" w:hAnsiTheme="minorHAnsi"/>
          <w:color w:val="auto"/>
          <w:szCs w:val="24"/>
        </w:rPr>
        <w:t xml:space="preserve"> with </w:t>
      </w:r>
      <w:r w:rsidR="002C1759" w:rsidRPr="006C148E">
        <w:rPr>
          <w:rFonts w:asciiTheme="minorHAnsi" w:hAnsiTheme="minorHAnsi"/>
          <w:color w:val="auto"/>
          <w:szCs w:val="24"/>
        </w:rPr>
        <w:t>probable</w:t>
      </w:r>
      <w:r w:rsidR="008E7833" w:rsidRPr="006C148E">
        <w:rPr>
          <w:rFonts w:asciiTheme="minorHAnsi" w:hAnsiTheme="minorHAnsi"/>
          <w:color w:val="auto"/>
          <w:szCs w:val="24"/>
        </w:rPr>
        <w:t xml:space="preserve"> application of SECNAVINST </w:t>
      </w:r>
      <w:r w:rsidR="00AE2957" w:rsidRPr="006C148E">
        <w:rPr>
          <w:rFonts w:asciiTheme="minorHAnsi" w:hAnsiTheme="minorHAnsi"/>
          <w:color w:val="auto"/>
          <w:szCs w:val="24"/>
        </w:rPr>
        <w:t xml:space="preserve">1850.4e and DoDI 1332.39.  The CI was </w:t>
      </w:r>
      <w:r w:rsidR="005D0088" w:rsidRPr="006C148E">
        <w:rPr>
          <w:rFonts w:asciiTheme="minorHAnsi" w:hAnsiTheme="minorHAnsi"/>
          <w:color w:val="auto"/>
          <w:szCs w:val="24"/>
        </w:rPr>
        <w:t>apparently erroneously</w:t>
      </w:r>
      <w:r w:rsidR="008E7833" w:rsidRPr="006C148E">
        <w:rPr>
          <w:rFonts w:asciiTheme="minorHAnsi" w:hAnsiTheme="minorHAnsi"/>
          <w:color w:val="auto"/>
          <w:szCs w:val="24"/>
        </w:rPr>
        <w:t xml:space="preserve">/administratively </w:t>
      </w:r>
      <w:r w:rsidR="005D0088" w:rsidRPr="006C148E">
        <w:rPr>
          <w:rFonts w:asciiTheme="minorHAnsi" w:hAnsiTheme="minorHAnsi"/>
          <w:color w:val="auto"/>
          <w:szCs w:val="24"/>
        </w:rPr>
        <w:t xml:space="preserve">notified of </w:t>
      </w:r>
      <w:r w:rsidR="00AE2957" w:rsidRPr="006C148E">
        <w:rPr>
          <w:rFonts w:asciiTheme="minorHAnsi" w:hAnsiTheme="minorHAnsi"/>
          <w:color w:val="auto"/>
          <w:szCs w:val="24"/>
        </w:rPr>
        <w:t>TDRL</w:t>
      </w:r>
      <w:r w:rsidR="005D0088" w:rsidRPr="006C148E">
        <w:rPr>
          <w:rFonts w:asciiTheme="minorHAnsi" w:hAnsiTheme="minorHAnsi"/>
          <w:color w:val="auto"/>
          <w:szCs w:val="24"/>
        </w:rPr>
        <w:t xml:space="preserve"> at 50% which was corrected</w:t>
      </w:r>
      <w:r w:rsidR="006F3BF4" w:rsidRPr="006C148E">
        <w:rPr>
          <w:rFonts w:asciiTheme="minorHAnsi" w:hAnsiTheme="minorHAnsi"/>
          <w:color w:val="auto"/>
          <w:szCs w:val="24"/>
        </w:rPr>
        <w:t xml:space="preserve"> to severance pay for a 0% disability rating</w:t>
      </w:r>
      <w:r w:rsidR="00AE2957" w:rsidRPr="006C148E">
        <w:rPr>
          <w:rFonts w:asciiTheme="minorHAnsi" w:hAnsiTheme="minorHAnsi"/>
          <w:color w:val="auto"/>
          <w:szCs w:val="24"/>
        </w:rPr>
        <w:t>.  The CI made no appeals and was medically separated with a 0% disability rating.</w:t>
      </w:r>
    </w:p>
    <w:p w:rsidR="00B40839" w:rsidRPr="006C148E" w:rsidRDefault="00B40839" w:rsidP="002C1759">
      <w:pPr>
        <w:tabs>
          <w:tab w:val="left" w:pos="288"/>
          <w:tab w:val="left" w:pos="4752"/>
        </w:tabs>
        <w:spacing w:line="240" w:lineRule="exact"/>
        <w:jc w:val="both"/>
        <w:rPr>
          <w:rFonts w:asciiTheme="minorHAnsi" w:hAnsiTheme="minorHAnsi"/>
          <w:color w:val="auto"/>
          <w:szCs w:val="24"/>
        </w:rPr>
      </w:pPr>
      <w:r w:rsidRPr="006C148E">
        <w:rPr>
          <w:rFonts w:asciiTheme="minorHAnsi" w:hAnsiTheme="minorHAnsi"/>
          <w:color w:val="auto"/>
          <w:szCs w:val="24"/>
        </w:rPr>
        <w:t>______________________________________________________________________________</w:t>
      </w:r>
    </w:p>
    <w:p w:rsidR="00B40839" w:rsidRPr="006C148E" w:rsidRDefault="00B40839" w:rsidP="002C1759">
      <w:pPr>
        <w:tabs>
          <w:tab w:val="left" w:pos="288"/>
          <w:tab w:val="left" w:pos="4752"/>
        </w:tabs>
        <w:spacing w:line="240" w:lineRule="exact"/>
        <w:jc w:val="both"/>
        <w:rPr>
          <w:rFonts w:asciiTheme="minorHAnsi" w:hAnsiTheme="minorHAnsi"/>
          <w:color w:val="auto"/>
          <w:szCs w:val="24"/>
        </w:rPr>
      </w:pPr>
    </w:p>
    <w:p w:rsidR="00BC32C0" w:rsidRPr="006C148E" w:rsidRDefault="002C6E5B" w:rsidP="002C1759">
      <w:pPr>
        <w:tabs>
          <w:tab w:val="left" w:pos="288"/>
          <w:tab w:val="left" w:pos="4752"/>
        </w:tabs>
        <w:spacing w:line="240" w:lineRule="exact"/>
        <w:jc w:val="both"/>
        <w:rPr>
          <w:rFonts w:asciiTheme="minorHAnsi" w:hAnsiTheme="minorHAnsi"/>
          <w:color w:val="auto"/>
          <w:szCs w:val="24"/>
        </w:rPr>
      </w:pPr>
      <w:r w:rsidRPr="006C148E">
        <w:rPr>
          <w:rFonts w:asciiTheme="minorHAnsi" w:hAnsiTheme="minorHAnsi"/>
          <w:color w:val="auto"/>
          <w:u w:val="single"/>
        </w:rPr>
        <w:t>CI CONTENTION</w:t>
      </w:r>
      <w:r w:rsidRPr="006C148E">
        <w:rPr>
          <w:rFonts w:asciiTheme="minorHAnsi" w:hAnsiTheme="minorHAnsi"/>
          <w:color w:val="auto"/>
        </w:rPr>
        <w:t xml:space="preserve">:  </w:t>
      </w:r>
      <w:r w:rsidR="00BC32C0" w:rsidRPr="006C148E">
        <w:rPr>
          <w:rFonts w:asciiTheme="minorHAnsi" w:hAnsiTheme="minorHAnsi"/>
          <w:color w:val="auto"/>
          <w:szCs w:val="24"/>
        </w:rPr>
        <w:t>“At first I was awarded 50% TDRL and for some reason somewhere along the way it was changed to 0% and severance…I received a VA disability rating of ten percent.  I just want to know how this happened.</w:t>
      </w:r>
      <w:r w:rsidR="00942204">
        <w:rPr>
          <w:rFonts w:asciiTheme="minorHAnsi" w:hAnsiTheme="minorHAnsi"/>
          <w:color w:val="auto"/>
          <w:szCs w:val="24"/>
        </w:rPr>
        <w:t xml:space="preserve"> </w:t>
      </w:r>
      <w:r w:rsidR="00BC32C0" w:rsidRPr="006C148E">
        <w:rPr>
          <w:rFonts w:asciiTheme="minorHAnsi" w:hAnsiTheme="minorHAnsi"/>
          <w:color w:val="auto"/>
          <w:szCs w:val="24"/>
        </w:rPr>
        <w:t xml:space="preserve"> I feel that ten percent is inadequate for the injury I received.  I also received 10% for tinnitus and have a pending claim for PTSD. </w:t>
      </w:r>
      <w:r w:rsidR="00942204">
        <w:rPr>
          <w:rFonts w:asciiTheme="minorHAnsi" w:hAnsiTheme="minorHAnsi"/>
          <w:color w:val="auto"/>
          <w:szCs w:val="24"/>
        </w:rPr>
        <w:t xml:space="preserve"> </w:t>
      </w:r>
      <w:r w:rsidR="00BC32C0" w:rsidRPr="006C148E">
        <w:rPr>
          <w:rFonts w:asciiTheme="minorHAnsi" w:hAnsiTheme="minorHAnsi"/>
          <w:color w:val="auto"/>
          <w:szCs w:val="24"/>
        </w:rPr>
        <w:t>I would appreciate having this reviewed.  I would still like to have base privileges [sic]…</w:t>
      </w:r>
      <w:r w:rsidR="00BC32C0" w:rsidRPr="006C148E">
        <w:rPr>
          <w:color w:val="auto"/>
        </w:rPr>
        <w:t xml:space="preserve"> </w:t>
      </w:r>
      <w:r w:rsidR="00BC32C0" w:rsidRPr="006C148E">
        <w:rPr>
          <w:rFonts w:asciiTheme="minorHAnsi" w:hAnsiTheme="minorHAnsi"/>
          <w:color w:val="auto"/>
          <w:szCs w:val="24"/>
        </w:rPr>
        <w:t>Going through wounded warriors they helped me change my re-enlistment code from an RE-2B to and RE-3P.</w:t>
      </w:r>
      <w:r w:rsidR="00942204">
        <w:rPr>
          <w:rFonts w:asciiTheme="minorHAnsi" w:hAnsiTheme="minorHAnsi"/>
          <w:color w:val="auto"/>
          <w:szCs w:val="24"/>
        </w:rPr>
        <w:t xml:space="preserve">  </w:t>
      </w:r>
      <w:r w:rsidR="00BC32C0" w:rsidRPr="006C148E">
        <w:rPr>
          <w:rFonts w:asciiTheme="minorHAnsi" w:hAnsiTheme="minorHAnsi"/>
          <w:color w:val="auto"/>
          <w:szCs w:val="24"/>
        </w:rPr>
        <w:t>I just wanna know if this was a fair rating or should I have kept my TDRL and how did it get changed?</w:t>
      </w:r>
      <w:r w:rsidR="00942204">
        <w:rPr>
          <w:rFonts w:asciiTheme="minorHAnsi" w:hAnsiTheme="minorHAnsi"/>
          <w:color w:val="auto"/>
          <w:szCs w:val="24"/>
        </w:rPr>
        <w:t xml:space="preserve"> </w:t>
      </w:r>
      <w:r w:rsidR="00BC32C0" w:rsidRPr="006C148E">
        <w:rPr>
          <w:rFonts w:asciiTheme="minorHAnsi" w:hAnsiTheme="minorHAnsi"/>
          <w:color w:val="auto"/>
          <w:szCs w:val="24"/>
        </w:rPr>
        <w:t xml:space="preserve"> Thank you for your time and consideration.” </w:t>
      </w:r>
      <w:r w:rsidR="00EC5FFB" w:rsidRPr="006C148E">
        <w:rPr>
          <w:rFonts w:asciiTheme="minorHAnsi" w:hAnsiTheme="minorHAnsi"/>
          <w:color w:val="auto"/>
          <w:szCs w:val="24"/>
        </w:rPr>
        <w:t xml:space="preserve"> </w:t>
      </w:r>
    </w:p>
    <w:p w:rsidR="001F00CF" w:rsidRPr="006C148E" w:rsidRDefault="001F00CF" w:rsidP="002C1759">
      <w:pPr>
        <w:spacing w:line="240" w:lineRule="exact"/>
        <w:rPr>
          <w:rFonts w:asciiTheme="minorHAnsi" w:hAnsiTheme="minorHAnsi"/>
          <w:color w:val="auto"/>
          <w:u w:val="single"/>
        </w:rPr>
      </w:pPr>
      <w:r w:rsidRPr="006C148E">
        <w:rPr>
          <w:rFonts w:asciiTheme="minorHAnsi" w:hAnsiTheme="minorHAnsi"/>
          <w:color w:val="auto"/>
          <w:u w:val="single"/>
        </w:rPr>
        <w:t>______________________________________________________________________________</w:t>
      </w:r>
    </w:p>
    <w:p w:rsidR="002C1759" w:rsidRPr="006C148E" w:rsidRDefault="002C1759" w:rsidP="002C1759">
      <w:pPr>
        <w:spacing w:line="240" w:lineRule="exact"/>
        <w:rPr>
          <w:rFonts w:asciiTheme="minorHAnsi" w:hAnsiTheme="minorHAnsi"/>
          <w:color w:val="auto"/>
          <w:u w:val="single"/>
        </w:rPr>
      </w:pPr>
    </w:p>
    <w:p w:rsidR="001F00CF" w:rsidRPr="006C148E" w:rsidRDefault="002C6E5B" w:rsidP="002C1759">
      <w:pPr>
        <w:spacing w:line="240" w:lineRule="exact"/>
        <w:rPr>
          <w:rFonts w:asciiTheme="minorHAnsi" w:hAnsiTheme="minorHAnsi"/>
          <w:color w:val="auto"/>
        </w:rPr>
      </w:pPr>
      <w:r w:rsidRPr="006C148E">
        <w:rPr>
          <w:rFonts w:asciiTheme="minorHAnsi" w:hAnsiTheme="minorHAnsi"/>
          <w:color w:val="auto"/>
          <w:u w:val="single"/>
        </w:rPr>
        <w:t>RATING COMPARISON</w:t>
      </w:r>
      <w:r w:rsidRPr="006C148E">
        <w:rPr>
          <w:rFonts w:asciiTheme="minorHAnsi" w:hAnsiTheme="minorHAnsi"/>
          <w:color w:val="auto"/>
        </w:rPr>
        <w:t>:</w:t>
      </w:r>
    </w:p>
    <w:p w:rsidR="005D0088" w:rsidRPr="006C148E" w:rsidRDefault="005D0088" w:rsidP="002C1759">
      <w:pPr>
        <w:spacing w:line="240" w:lineRule="exact"/>
        <w:rPr>
          <w:rFonts w:asciiTheme="minorHAnsi" w:hAnsiTheme="minorHAnsi"/>
          <w:color w:val="auto"/>
        </w:rPr>
      </w:pPr>
    </w:p>
    <w:tbl>
      <w:tblPr>
        <w:tblStyle w:val="TableGrid"/>
        <w:tblW w:w="9254" w:type="dxa"/>
        <w:jc w:val="center"/>
        <w:tblInd w:w="338" w:type="dxa"/>
        <w:tblLayout w:type="fixed"/>
        <w:tblLook w:val="04A0"/>
      </w:tblPr>
      <w:tblGrid>
        <w:gridCol w:w="2340"/>
        <w:gridCol w:w="810"/>
        <w:gridCol w:w="900"/>
        <w:gridCol w:w="2647"/>
        <w:gridCol w:w="718"/>
        <w:gridCol w:w="828"/>
        <w:gridCol w:w="1011"/>
      </w:tblGrid>
      <w:tr w:rsidR="001F00CF" w:rsidRPr="006C148E" w:rsidTr="00942204">
        <w:trPr>
          <w:trHeight w:val="233"/>
          <w:jc w:val="center"/>
        </w:trPr>
        <w:tc>
          <w:tcPr>
            <w:tcW w:w="405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1F00CF" w:rsidRPr="006C148E" w:rsidRDefault="001F00CF" w:rsidP="007B7195">
            <w:pPr>
              <w:spacing w:line="200" w:lineRule="exact"/>
              <w:jc w:val="center"/>
              <w:rPr>
                <w:rFonts w:ascii="Calibri" w:hAnsi="Calibri"/>
                <w:b/>
                <w:color w:val="auto"/>
                <w:sz w:val="20"/>
              </w:rPr>
            </w:pPr>
            <w:r w:rsidRPr="006C148E">
              <w:rPr>
                <w:rFonts w:ascii="Calibri" w:hAnsi="Calibri"/>
                <w:b/>
                <w:color w:val="auto"/>
                <w:sz w:val="20"/>
                <w:szCs w:val="20"/>
              </w:rPr>
              <w:t xml:space="preserve">Service IPEB – Dated </w:t>
            </w:r>
            <w:r w:rsidRPr="006C148E">
              <w:rPr>
                <w:rFonts w:cs="Times New Roman"/>
                <w:b/>
                <w:color w:val="auto"/>
                <w:sz w:val="20"/>
                <w:szCs w:val="20"/>
              </w:rPr>
              <w:t>20061004</w:t>
            </w:r>
          </w:p>
        </w:tc>
        <w:tc>
          <w:tcPr>
            <w:tcW w:w="5204"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F00CF" w:rsidRPr="006C148E" w:rsidRDefault="001F00CF" w:rsidP="007B7195">
            <w:pPr>
              <w:spacing w:line="200" w:lineRule="exact"/>
              <w:jc w:val="center"/>
              <w:rPr>
                <w:rFonts w:ascii="Calibri" w:hAnsi="Calibri"/>
                <w:b/>
                <w:color w:val="auto"/>
                <w:sz w:val="20"/>
              </w:rPr>
            </w:pPr>
            <w:r w:rsidRPr="006C148E">
              <w:rPr>
                <w:rFonts w:ascii="Calibri" w:hAnsi="Calibri"/>
                <w:b/>
                <w:color w:val="auto"/>
                <w:sz w:val="20"/>
                <w:szCs w:val="20"/>
              </w:rPr>
              <w:t>VA (1 Mo. Pre Separation) – All Effective Date 200</w:t>
            </w:r>
            <w:r w:rsidR="00EC5FFB" w:rsidRPr="006C148E">
              <w:rPr>
                <w:rFonts w:ascii="Calibri" w:hAnsi="Calibri"/>
                <w:b/>
                <w:color w:val="auto"/>
                <w:sz w:val="20"/>
                <w:szCs w:val="20"/>
              </w:rPr>
              <w:t>6</w:t>
            </w:r>
            <w:r w:rsidRPr="006C148E">
              <w:rPr>
                <w:rFonts w:ascii="Calibri" w:hAnsi="Calibri"/>
                <w:b/>
                <w:color w:val="auto"/>
                <w:sz w:val="20"/>
                <w:szCs w:val="20"/>
              </w:rPr>
              <w:t>1116</w:t>
            </w:r>
          </w:p>
        </w:tc>
      </w:tr>
      <w:tr w:rsidR="001F00CF" w:rsidRPr="006C148E" w:rsidTr="00942204">
        <w:trPr>
          <w:trHeight w:val="278"/>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F00CF" w:rsidRPr="006C148E" w:rsidRDefault="001F00CF" w:rsidP="007B7195">
            <w:pPr>
              <w:spacing w:line="200" w:lineRule="exact"/>
              <w:jc w:val="center"/>
              <w:rPr>
                <w:rFonts w:ascii="Calibri" w:hAnsi="Calibri"/>
                <w:b/>
                <w:color w:val="auto"/>
                <w:sz w:val="20"/>
              </w:rPr>
            </w:pPr>
            <w:r w:rsidRPr="006C148E">
              <w:rPr>
                <w:rFonts w:ascii="Calibri" w:hAnsi="Calibri"/>
                <w:b/>
                <w:color w:val="auto"/>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F00CF" w:rsidRPr="006C148E" w:rsidRDefault="001F00CF" w:rsidP="007B7195">
            <w:pPr>
              <w:spacing w:line="200" w:lineRule="exact"/>
              <w:jc w:val="center"/>
              <w:rPr>
                <w:rFonts w:ascii="Calibri" w:hAnsi="Calibri"/>
                <w:b/>
                <w:color w:val="auto"/>
                <w:sz w:val="20"/>
              </w:rPr>
            </w:pPr>
            <w:r w:rsidRPr="006C148E">
              <w:rPr>
                <w:rFonts w:ascii="Calibri" w:hAnsi="Calibri"/>
                <w:b/>
                <w:color w:val="auto"/>
                <w:sz w:val="20"/>
                <w:szCs w:val="20"/>
              </w:rPr>
              <w:t>Code</w:t>
            </w:r>
          </w:p>
        </w:tc>
        <w:tc>
          <w:tcPr>
            <w:tcW w:w="90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1F00CF" w:rsidRPr="006C148E" w:rsidRDefault="001F00CF" w:rsidP="007B7195">
            <w:pPr>
              <w:spacing w:line="200" w:lineRule="exact"/>
              <w:jc w:val="center"/>
              <w:rPr>
                <w:rFonts w:ascii="Calibri" w:hAnsi="Calibri"/>
                <w:b/>
                <w:color w:val="auto"/>
                <w:sz w:val="20"/>
              </w:rPr>
            </w:pPr>
            <w:r w:rsidRPr="006C148E">
              <w:rPr>
                <w:rFonts w:ascii="Calibri" w:hAnsi="Calibri"/>
                <w:b/>
                <w:color w:val="auto"/>
                <w:sz w:val="20"/>
                <w:szCs w:val="20"/>
              </w:rPr>
              <w:t>Rating</w:t>
            </w:r>
          </w:p>
        </w:tc>
        <w:tc>
          <w:tcPr>
            <w:tcW w:w="2647"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F00CF" w:rsidRPr="006C148E" w:rsidRDefault="001F00CF" w:rsidP="007B7195">
            <w:pPr>
              <w:spacing w:line="200" w:lineRule="exact"/>
              <w:jc w:val="center"/>
              <w:rPr>
                <w:rFonts w:ascii="Calibri" w:hAnsi="Calibri"/>
                <w:b/>
                <w:color w:val="auto"/>
                <w:sz w:val="20"/>
              </w:rPr>
            </w:pPr>
            <w:r w:rsidRPr="006C148E">
              <w:rPr>
                <w:rFonts w:ascii="Calibri" w:hAnsi="Calibri"/>
                <w:b/>
                <w:color w:val="auto"/>
                <w:sz w:val="20"/>
                <w:szCs w:val="20"/>
              </w:rPr>
              <w:t>Condition</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F00CF" w:rsidRPr="006C148E" w:rsidRDefault="001F00CF" w:rsidP="007B7195">
            <w:pPr>
              <w:spacing w:line="200" w:lineRule="exact"/>
              <w:jc w:val="center"/>
              <w:rPr>
                <w:rFonts w:ascii="Calibri" w:hAnsi="Calibri"/>
                <w:b/>
                <w:color w:val="auto"/>
                <w:sz w:val="20"/>
              </w:rPr>
            </w:pPr>
            <w:r w:rsidRPr="006C148E">
              <w:rPr>
                <w:rFonts w:ascii="Calibri" w:hAnsi="Calibri"/>
                <w:b/>
                <w:color w:val="auto"/>
                <w:sz w:val="20"/>
                <w:szCs w:val="20"/>
              </w:rPr>
              <w:t>Code</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F00CF" w:rsidRPr="006C148E" w:rsidRDefault="001F00CF" w:rsidP="007B7195">
            <w:pPr>
              <w:spacing w:line="200" w:lineRule="exact"/>
              <w:jc w:val="center"/>
              <w:rPr>
                <w:rFonts w:ascii="Calibri" w:hAnsi="Calibri"/>
                <w:b/>
                <w:color w:val="auto"/>
                <w:sz w:val="20"/>
              </w:rPr>
            </w:pPr>
            <w:r w:rsidRPr="006C148E">
              <w:rPr>
                <w:rFonts w:ascii="Calibri" w:hAnsi="Calibri"/>
                <w:b/>
                <w:color w:val="auto"/>
                <w:sz w:val="20"/>
                <w:szCs w:val="20"/>
              </w:rPr>
              <w:t>Rating</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F00CF" w:rsidRPr="006C148E" w:rsidRDefault="001F00CF" w:rsidP="007B7195">
            <w:pPr>
              <w:spacing w:line="200" w:lineRule="exact"/>
              <w:jc w:val="center"/>
              <w:rPr>
                <w:rFonts w:ascii="Calibri" w:hAnsi="Calibri"/>
                <w:b/>
                <w:color w:val="auto"/>
                <w:sz w:val="20"/>
              </w:rPr>
            </w:pPr>
            <w:r w:rsidRPr="006C148E">
              <w:rPr>
                <w:rFonts w:ascii="Calibri" w:hAnsi="Calibri"/>
                <w:b/>
                <w:color w:val="auto"/>
                <w:sz w:val="20"/>
                <w:szCs w:val="20"/>
              </w:rPr>
              <w:t>Exam</w:t>
            </w:r>
          </w:p>
        </w:tc>
      </w:tr>
      <w:tr w:rsidR="001F00CF" w:rsidRPr="006C148E" w:rsidTr="00942204">
        <w:trPr>
          <w:trHeight w:val="287"/>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F00CF" w:rsidRPr="006C148E" w:rsidRDefault="001F00CF" w:rsidP="00942204">
            <w:pPr>
              <w:pStyle w:val="ListParagraph"/>
              <w:spacing w:after="0" w:line="240" w:lineRule="exact"/>
              <w:ind w:left="0"/>
              <w:rPr>
                <w:rFonts w:cs="Times New Roman"/>
                <w:sz w:val="18"/>
                <w:szCs w:val="18"/>
              </w:rPr>
            </w:pPr>
            <w:r w:rsidRPr="006C148E">
              <w:rPr>
                <w:sz w:val="18"/>
                <w:szCs w:val="18"/>
              </w:rPr>
              <w:t>Chronic Thoracic Back Pain</w:t>
            </w:r>
            <w:r w:rsidR="005D0088" w:rsidRPr="006C148E">
              <w:rPr>
                <w:sz w:val="18"/>
                <w:szCs w:val="18"/>
              </w:rPr>
              <w:t xml:space="preserve"> </w:t>
            </w:r>
            <w:r w:rsidRPr="006C148E">
              <w:rPr>
                <w:sz w:val="18"/>
                <w:szCs w:val="18"/>
              </w:rPr>
              <w:t>(</w:t>
            </w:r>
            <w:r w:rsidR="00942204">
              <w:rPr>
                <w:sz w:val="18"/>
                <w:szCs w:val="18"/>
              </w:rPr>
              <w:t>S</w:t>
            </w:r>
            <w:r w:rsidR="00EC5FFB" w:rsidRPr="006C148E">
              <w:rPr>
                <w:sz w:val="18"/>
                <w:szCs w:val="18"/>
              </w:rPr>
              <w:t>light</w:t>
            </w:r>
            <w:r w:rsidR="002C1759" w:rsidRPr="006C148E">
              <w:rPr>
                <w:sz w:val="18"/>
                <w:szCs w:val="18"/>
              </w:rPr>
              <w:t xml:space="preserve"> </w:t>
            </w:r>
            <w:r w:rsidR="00942204">
              <w:rPr>
                <w:sz w:val="18"/>
                <w:szCs w:val="18"/>
              </w:rPr>
              <w:t>C</w:t>
            </w:r>
            <w:r w:rsidR="002C1759" w:rsidRPr="006C148E">
              <w:rPr>
                <w:sz w:val="18"/>
                <w:szCs w:val="18"/>
              </w:rPr>
              <w:t>onstant</w:t>
            </w:r>
            <w:r w:rsidRPr="006C148E">
              <w:rPr>
                <w:sz w:val="18"/>
                <w:szCs w:val="18"/>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F00CF" w:rsidRPr="006C148E" w:rsidRDefault="001F00CF" w:rsidP="007B7195">
            <w:pPr>
              <w:spacing w:line="180" w:lineRule="exact"/>
              <w:jc w:val="center"/>
              <w:rPr>
                <w:rFonts w:ascii="Calibri" w:hAnsi="Calibri"/>
                <w:color w:val="auto"/>
                <w:sz w:val="18"/>
                <w:szCs w:val="18"/>
              </w:rPr>
            </w:pPr>
            <w:r w:rsidRPr="006C148E">
              <w:rPr>
                <w:rFonts w:ascii="Calibri" w:hAnsi="Calibri"/>
                <w:color w:val="auto"/>
                <w:sz w:val="18"/>
                <w:szCs w:val="18"/>
              </w:rPr>
              <w:t>5237</w:t>
            </w:r>
          </w:p>
        </w:tc>
        <w:tc>
          <w:tcPr>
            <w:tcW w:w="90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hideMark/>
          </w:tcPr>
          <w:p w:rsidR="001F00CF" w:rsidRPr="006C148E" w:rsidRDefault="001F00CF" w:rsidP="007B7195">
            <w:pPr>
              <w:spacing w:line="180" w:lineRule="exact"/>
              <w:jc w:val="center"/>
              <w:rPr>
                <w:rFonts w:ascii="Calibri" w:hAnsi="Calibri"/>
                <w:color w:val="auto"/>
                <w:sz w:val="18"/>
                <w:szCs w:val="18"/>
              </w:rPr>
            </w:pPr>
            <w:r w:rsidRPr="006C148E">
              <w:rPr>
                <w:rFonts w:ascii="Calibri" w:hAnsi="Calibri"/>
                <w:color w:val="auto"/>
                <w:sz w:val="18"/>
                <w:szCs w:val="18"/>
              </w:rPr>
              <w:t>0%</w:t>
            </w:r>
          </w:p>
        </w:tc>
        <w:tc>
          <w:tcPr>
            <w:tcW w:w="2647"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F00CF" w:rsidRPr="006C148E" w:rsidRDefault="001F00CF" w:rsidP="005D0088">
            <w:pPr>
              <w:spacing w:line="180" w:lineRule="exact"/>
              <w:rPr>
                <w:rFonts w:ascii="Calibri" w:hAnsi="Calibri"/>
                <w:color w:val="auto"/>
                <w:sz w:val="18"/>
                <w:szCs w:val="18"/>
              </w:rPr>
            </w:pPr>
            <w:r w:rsidRPr="006C148E">
              <w:rPr>
                <w:rFonts w:cs="Times New Roman"/>
                <w:color w:val="auto"/>
                <w:sz w:val="18"/>
                <w:szCs w:val="18"/>
              </w:rPr>
              <w:t xml:space="preserve">Dextroscoliosis  of the Thoracic and Lumbar Spine, and Wedging of the </w:t>
            </w:r>
            <w:r w:rsidR="00B43518" w:rsidRPr="006C148E">
              <w:rPr>
                <w:rFonts w:cs="Times New Roman"/>
                <w:color w:val="auto"/>
                <w:sz w:val="18"/>
                <w:szCs w:val="18"/>
              </w:rPr>
              <w:t>Vertebrae</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F00CF" w:rsidRPr="006C148E" w:rsidRDefault="001F00CF" w:rsidP="007B7195">
            <w:pPr>
              <w:spacing w:line="180" w:lineRule="exact"/>
              <w:jc w:val="center"/>
              <w:rPr>
                <w:rFonts w:ascii="Calibri" w:hAnsi="Calibri"/>
                <w:color w:val="auto"/>
                <w:sz w:val="18"/>
                <w:szCs w:val="18"/>
              </w:rPr>
            </w:pPr>
            <w:r w:rsidRPr="006C148E">
              <w:rPr>
                <w:rFonts w:ascii="Calibri" w:hAnsi="Calibri"/>
                <w:color w:val="auto"/>
                <w:sz w:val="18"/>
                <w:szCs w:val="18"/>
              </w:rPr>
              <w:t>5235</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F00CF" w:rsidRPr="006C148E" w:rsidRDefault="001F00CF" w:rsidP="005D0088">
            <w:pPr>
              <w:spacing w:line="180" w:lineRule="exact"/>
              <w:jc w:val="center"/>
              <w:rPr>
                <w:rFonts w:ascii="Calibri" w:hAnsi="Calibri"/>
                <w:color w:val="auto"/>
                <w:sz w:val="18"/>
                <w:szCs w:val="18"/>
              </w:rPr>
            </w:pPr>
            <w:r w:rsidRPr="006C148E">
              <w:rPr>
                <w:rFonts w:ascii="Calibri" w:hAnsi="Calibri"/>
                <w:color w:val="auto"/>
                <w:sz w:val="18"/>
                <w:szCs w:val="18"/>
              </w:rPr>
              <w:t>*10%</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F00CF" w:rsidRPr="006C148E" w:rsidRDefault="001F00CF" w:rsidP="005D0088">
            <w:pPr>
              <w:spacing w:line="180" w:lineRule="exact"/>
              <w:rPr>
                <w:rFonts w:ascii="Calibri" w:hAnsi="Calibri"/>
                <w:color w:val="auto"/>
                <w:sz w:val="18"/>
                <w:szCs w:val="18"/>
              </w:rPr>
            </w:pPr>
            <w:r w:rsidRPr="006C148E">
              <w:rPr>
                <w:rFonts w:ascii="Calibri" w:hAnsi="Calibri"/>
                <w:color w:val="auto"/>
                <w:sz w:val="18"/>
                <w:szCs w:val="18"/>
              </w:rPr>
              <w:t>20061002</w:t>
            </w:r>
          </w:p>
        </w:tc>
      </w:tr>
      <w:tr w:rsidR="005D0088" w:rsidRPr="006C148E" w:rsidTr="00942204">
        <w:trPr>
          <w:trHeight w:val="287"/>
          <w:jc w:val="center"/>
        </w:trPr>
        <w:tc>
          <w:tcPr>
            <w:tcW w:w="4050" w:type="dxa"/>
            <w:gridSpan w:val="3"/>
            <w:vMerge w:val="restart"/>
            <w:tcBorders>
              <w:top w:val="single" w:sz="4" w:space="0" w:color="000000" w:themeColor="text1"/>
              <w:left w:val="single" w:sz="4" w:space="0" w:color="000000" w:themeColor="text1"/>
              <w:right w:val="thinThickThinSmallGap" w:sz="24" w:space="0" w:color="000000" w:themeColor="text1"/>
            </w:tcBorders>
            <w:shd w:val="clear" w:color="auto" w:fill="FFFFFF" w:themeFill="background1"/>
            <w:hideMark/>
          </w:tcPr>
          <w:p w:rsidR="005D0088" w:rsidRPr="006C148E" w:rsidRDefault="005D0088" w:rsidP="005D0088">
            <w:pPr>
              <w:jc w:val="center"/>
              <w:rPr>
                <w:rFonts w:ascii="Calibri" w:hAnsi="Calibri"/>
                <w:color w:val="auto"/>
                <w:sz w:val="18"/>
                <w:szCs w:val="18"/>
              </w:rPr>
            </w:pPr>
            <w:r w:rsidRPr="006C148E">
              <w:rPr>
                <w:rFonts w:ascii="Calibri" w:hAnsi="Calibri"/>
                <w:color w:val="auto"/>
                <w:sz w:val="18"/>
                <w:szCs w:val="18"/>
              </w:rPr>
              <w:t>↓No Additional MEB/PEB Entries↓</w:t>
            </w:r>
          </w:p>
        </w:tc>
        <w:tc>
          <w:tcPr>
            <w:tcW w:w="2647"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D0088" w:rsidRPr="006C148E" w:rsidRDefault="005D0088" w:rsidP="007B7195">
            <w:pPr>
              <w:spacing w:line="180" w:lineRule="exact"/>
              <w:rPr>
                <w:color w:val="auto"/>
                <w:sz w:val="18"/>
                <w:szCs w:val="18"/>
              </w:rPr>
            </w:pPr>
            <w:r w:rsidRPr="006C148E">
              <w:rPr>
                <w:color w:val="auto"/>
                <w:sz w:val="18"/>
                <w:szCs w:val="18"/>
              </w:rPr>
              <w:t>Tinnitus</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D0088" w:rsidRPr="006C148E" w:rsidRDefault="005D0088" w:rsidP="007B7195">
            <w:pPr>
              <w:spacing w:line="180" w:lineRule="exact"/>
              <w:jc w:val="center"/>
              <w:rPr>
                <w:rFonts w:ascii="Calibri" w:hAnsi="Calibri"/>
                <w:color w:val="auto"/>
                <w:sz w:val="18"/>
                <w:szCs w:val="18"/>
              </w:rPr>
            </w:pPr>
            <w:r w:rsidRPr="006C148E">
              <w:rPr>
                <w:rFonts w:ascii="Calibri" w:hAnsi="Calibri"/>
                <w:color w:val="auto"/>
                <w:sz w:val="18"/>
                <w:szCs w:val="18"/>
              </w:rPr>
              <w:t>6260</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D0088" w:rsidRPr="006C148E" w:rsidRDefault="005D0088" w:rsidP="007B7195">
            <w:pPr>
              <w:spacing w:line="180" w:lineRule="exact"/>
              <w:jc w:val="center"/>
              <w:rPr>
                <w:rFonts w:ascii="Calibri" w:hAnsi="Calibri"/>
                <w:color w:val="auto"/>
                <w:sz w:val="18"/>
                <w:szCs w:val="18"/>
              </w:rPr>
            </w:pPr>
            <w:r w:rsidRPr="006C148E">
              <w:rPr>
                <w:rFonts w:ascii="Calibri" w:hAnsi="Calibri"/>
                <w:color w:val="auto"/>
                <w:sz w:val="18"/>
                <w:szCs w:val="18"/>
              </w:rPr>
              <w:t>10%</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D0088" w:rsidRPr="006C148E" w:rsidRDefault="005D0088" w:rsidP="007B7195">
            <w:pPr>
              <w:spacing w:line="180" w:lineRule="exact"/>
              <w:jc w:val="center"/>
              <w:rPr>
                <w:rFonts w:ascii="Calibri" w:hAnsi="Calibri"/>
                <w:color w:val="auto"/>
                <w:sz w:val="18"/>
                <w:szCs w:val="18"/>
              </w:rPr>
            </w:pPr>
            <w:r w:rsidRPr="006C148E">
              <w:rPr>
                <w:rFonts w:ascii="Calibri" w:hAnsi="Calibri"/>
                <w:color w:val="auto"/>
                <w:sz w:val="18"/>
                <w:szCs w:val="18"/>
              </w:rPr>
              <w:t>20100811</w:t>
            </w:r>
          </w:p>
        </w:tc>
      </w:tr>
      <w:tr w:rsidR="005D0088" w:rsidRPr="006C148E" w:rsidTr="00942204">
        <w:trPr>
          <w:trHeight w:val="260"/>
          <w:jc w:val="center"/>
        </w:trPr>
        <w:tc>
          <w:tcPr>
            <w:tcW w:w="4050" w:type="dxa"/>
            <w:gridSpan w:val="3"/>
            <w:vMerge/>
            <w:tcBorders>
              <w:left w:val="single" w:sz="4" w:space="0" w:color="000000" w:themeColor="text1"/>
              <w:bottom w:val="single" w:sz="4" w:space="0" w:color="000000" w:themeColor="text1"/>
              <w:right w:val="thinThickThinSmallGap" w:sz="24" w:space="0" w:color="000000" w:themeColor="text1"/>
            </w:tcBorders>
            <w:vAlign w:val="center"/>
            <w:hideMark/>
          </w:tcPr>
          <w:p w:rsidR="005D0088" w:rsidRPr="006C148E" w:rsidRDefault="005D0088" w:rsidP="005D0088">
            <w:pPr>
              <w:jc w:val="center"/>
              <w:rPr>
                <w:color w:val="auto"/>
                <w:sz w:val="18"/>
                <w:szCs w:val="18"/>
              </w:rPr>
            </w:pPr>
          </w:p>
        </w:tc>
        <w:tc>
          <w:tcPr>
            <w:tcW w:w="5204"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D0088" w:rsidRPr="006C148E" w:rsidRDefault="005D0088" w:rsidP="005D0088">
            <w:pPr>
              <w:spacing w:line="180" w:lineRule="exact"/>
              <w:jc w:val="center"/>
              <w:rPr>
                <w:rFonts w:ascii="Calibri" w:hAnsi="Calibri"/>
                <w:color w:val="auto"/>
                <w:sz w:val="18"/>
                <w:szCs w:val="18"/>
              </w:rPr>
            </w:pPr>
            <w:r w:rsidRPr="006C148E">
              <w:rPr>
                <w:rFonts w:ascii="Calibri" w:hAnsi="Calibri"/>
                <w:color w:val="auto"/>
                <w:sz w:val="18"/>
                <w:szCs w:val="18"/>
              </w:rPr>
              <w:t>0% x 1/Not Service Connected x 2</w:t>
            </w:r>
          </w:p>
        </w:tc>
      </w:tr>
      <w:tr w:rsidR="001F00CF" w:rsidRPr="006C148E" w:rsidTr="00942204">
        <w:trPr>
          <w:trHeight w:val="242"/>
          <w:jc w:val="center"/>
        </w:trPr>
        <w:tc>
          <w:tcPr>
            <w:tcW w:w="405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1F00CF" w:rsidRPr="006C148E" w:rsidRDefault="001F00CF" w:rsidP="007B7195">
            <w:pPr>
              <w:spacing w:line="200" w:lineRule="exact"/>
              <w:jc w:val="center"/>
              <w:rPr>
                <w:rFonts w:ascii="Calibri" w:hAnsi="Calibri"/>
                <w:b/>
                <w:color w:val="auto"/>
                <w:sz w:val="20"/>
              </w:rPr>
            </w:pPr>
            <w:r w:rsidRPr="006C148E">
              <w:rPr>
                <w:rFonts w:ascii="Calibri" w:hAnsi="Calibri"/>
                <w:b/>
                <w:color w:val="auto"/>
                <w:sz w:val="20"/>
                <w:szCs w:val="20"/>
              </w:rPr>
              <w:t>Combined:  0%</w:t>
            </w:r>
          </w:p>
        </w:tc>
        <w:tc>
          <w:tcPr>
            <w:tcW w:w="5204"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F00CF" w:rsidRPr="006C148E" w:rsidRDefault="001F00CF" w:rsidP="007B7195">
            <w:pPr>
              <w:spacing w:line="200" w:lineRule="exact"/>
              <w:jc w:val="center"/>
              <w:rPr>
                <w:rFonts w:ascii="Calibri" w:hAnsi="Calibri"/>
                <w:b/>
                <w:color w:val="auto"/>
                <w:sz w:val="20"/>
              </w:rPr>
            </w:pPr>
            <w:r w:rsidRPr="006C148E">
              <w:rPr>
                <w:rFonts w:ascii="Calibri" w:hAnsi="Calibri"/>
                <w:b/>
                <w:color w:val="auto"/>
                <w:sz w:val="20"/>
                <w:szCs w:val="20"/>
              </w:rPr>
              <w:t>Combined:  20%</w:t>
            </w:r>
          </w:p>
        </w:tc>
      </w:tr>
    </w:tbl>
    <w:p w:rsidR="001F00CF" w:rsidRPr="00942204" w:rsidRDefault="001F00CF" w:rsidP="001F00CF">
      <w:pPr>
        <w:tabs>
          <w:tab w:val="left" w:pos="288"/>
          <w:tab w:val="left" w:pos="4752"/>
        </w:tabs>
        <w:spacing w:line="240" w:lineRule="exact"/>
        <w:jc w:val="both"/>
        <w:rPr>
          <w:rFonts w:asciiTheme="minorHAnsi" w:hAnsiTheme="minorHAnsi"/>
          <w:color w:val="auto"/>
          <w:sz w:val="20"/>
        </w:rPr>
      </w:pPr>
      <w:r w:rsidRPr="00942204">
        <w:rPr>
          <w:rFonts w:asciiTheme="minorHAnsi" w:hAnsiTheme="minorHAnsi"/>
          <w:color w:val="auto"/>
          <w:sz w:val="20"/>
        </w:rPr>
        <w:t>*</w:t>
      </w:r>
      <w:r w:rsidR="00EC5FFB" w:rsidRPr="00942204">
        <w:rPr>
          <w:rFonts w:asciiTheme="minorHAnsi" w:hAnsiTheme="minorHAnsi"/>
          <w:color w:val="auto"/>
          <w:sz w:val="20"/>
        </w:rPr>
        <w:t>Back i</w:t>
      </w:r>
      <w:r w:rsidRPr="00942204">
        <w:rPr>
          <w:rFonts w:asciiTheme="minorHAnsi" w:hAnsiTheme="minorHAnsi"/>
          <w:color w:val="auto"/>
          <w:sz w:val="20"/>
        </w:rPr>
        <w:t>ncreased to 20% based on exam 20100728 effective 20100308</w:t>
      </w:r>
      <w:r w:rsidR="00EC5FFB" w:rsidRPr="00942204">
        <w:rPr>
          <w:rFonts w:asciiTheme="minorHAnsi" w:hAnsiTheme="minorHAnsi"/>
          <w:color w:val="auto"/>
          <w:sz w:val="20"/>
        </w:rPr>
        <w:t xml:space="preserve"> (combined 30%)</w:t>
      </w:r>
    </w:p>
    <w:p w:rsidR="00106AD8" w:rsidRPr="006C148E"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6C148E" w:rsidRDefault="00106AD8" w:rsidP="00106AD8">
      <w:pPr>
        <w:tabs>
          <w:tab w:val="left" w:pos="288"/>
          <w:tab w:val="left" w:pos="4752"/>
        </w:tabs>
        <w:spacing w:line="240" w:lineRule="exact"/>
        <w:rPr>
          <w:rFonts w:ascii="Calibri" w:hAnsi="Calibri"/>
          <w:color w:val="auto"/>
          <w:szCs w:val="24"/>
        </w:rPr>
      </w:pPr>
    </w:p>
    <w:p w:rsidR="00513A48" w:rsidRPr="006C148E" w:rsidRDefault="002C6E5B" w:rsidP="00EC5FFB">
      <w:pPr>
        <w:tabs>
          <w:tab w:val="left" w:pos="288"/>
          <w:tab w:val="left" w:pos="4752"/>
        </w:tabs>
        <w:spacing w:line="240" w:lineRule="exact"/>
        <w:jc w:val="both"/>
        <w:rPr>
          <w:rFonts w:asciiTheme="minorHAnsi" w:hAnsiTheme="minorHAnsi"/>
          <w:color w:val="auto"/>
          <w:szCs w:val="24"/>
        </w:rPr>
      </w:pPr>
      <w:r w:rsidRPr="006C148E">
        <w:rPr>
          <w:rFonts w:asciiTheme="minorHAnsi" w:hAnsiTheme="minorHAnsi"/>
          <w:color w:val="auto"/>
          <w:szCs w:val="24"/>
          <w:u w:val="single"/>
        </w:rPr>
        <w:t>ANALYSIS SUMMARY</w:t>
      </w:r>
      <w:r w:rsidRPr="006C148E">
        <w:rPr>
          <w:rFonts w:asciiTheme="minorHAnsi" w:hAnsiTheme="minorHAnsi"/>
          <w:color w:val="auto"/>
          <w:szCs w:val="24"/>
        </w:rPr>
        <w:t>:</w:t>
      </w:r>
      <w:r w:rsidR="00C276CD" w:rsidRPr="006C148E">
        <w:rPr>
          <w:rFonts w:asciiTheme="minorHAnsi" w:hAnsiTheme="minorHAnsi"/>
          <w:color w:val="auto"/>
          <w:szCs w:val="24"/>
        </w:rPr>
        <w:t xml:space="preserve">  </w:t>
      </w:r>
      <w:r w:rsidR="00513A48" w:rsidRPr="006C148E">
        <w:rPr>
          <w:rFonts w:asciiTheme="minorHAnsi" w:hAnsiTheme="minorHAnsi"/>
          <w:color w:val="auto"/>
          <w:szCs w:val="24"/>
        </w:rPr>
        <w:t>It is noted for the record that the Board has neither the jurisdiction nor authority to scrutinize or render opinions in reference to the CI’s statements in the application regarding suspected D</w:t>
      </w:r>
      <w:r w:rsidR="00942204">
        <w:rPr>
          <w:rFonts w:asciiTheme="minorHAnsi" w:hAnsiTheme="minorHAnsi"/>
          <w:color w:val="auto"/>
          <w:szCs w:val="24"/>
        </w:rPr>
        <w:t>isability Evaluation System (D</w:t>
      </w:r>
      <w:r w:rsidR="00513A48" w:rsidRPr="006C148E">
        <w:rPr>
          <w:rFonts w:asciiTheme="minorHAnsi" w:hAnsiTheme="minorHAnsi"/>
          <w:color w:val="auto"/>
          <w:szCs w:val="24"/>
        </w:rPr>
        <w:t>ES</w:t>
      </w:r>
      <w:r w:rsidR="00942204">
        <w:rPr>
          <w:rFonts w:asciiTheme="minorHAnsi" w:hAnsiTheme="minorHAnsi"/>
          <w:color w:val="auto"/>
          <w:szCs w:val="24"/>
        </w:rPr>
        <w:t>)</w:t>
      </w:r>
      <w:r w:rsidR="00513A48" w:rsidRPr="006C148E">
        <w:rPr>
          <w:rFonts w:asciiTheme="minorHAnsi" w:hAnsiTheme="minorHAnsi"/>
          <w:color w:val="auto"/>
          <w:szCs w:val="24"/>
        </w:rPr>
        <w:t xml:space="preserve"> improprieties </w:t>
      </w:r>
      <w:r w:rsidR="002C1759" w:rsidRPr="006C148E">
        <w:rPr>
          <w:rFonts w:asciiTheme="minorHAnsi" w:hAnsiTheme="minorHAnsi"/>
          <w:color w:val="auto"/>
          <w:szCs w:val="24"/>
        </w:rPr>
        <w:t xml:space="preserve">in the processing of his case. </w:t>
      </w:r>
      <w:r w:rsidR="00513A48" w:rsidRPr="006C148E">
        <w:rPr>
          <w:rFonts w:asciiTheme="minorHAnsi" w:hAnsiTheme="minorHAnsi"/>
          <w:color w:val="auto"/>
          <w:szCs w:val="24"/>
        </w:rPr>
        <w:t xml:space="preserve"> The Board’s role is confined to the review of medical records and all evidence at hand to </w:t>
      </w:r>
      <w:r w:rsidR="00513A48" w:rsidRPr="006C148E">
        <w:rPr>
          <w:rFonts w:asciiTheme="minorHAnsi" w:hAnsiTheme="minorHAnsi"/>
          <w:color w:val="auto"/>
          <w:szCs w:val="24"/>
        </w:rPr>
        <w:lastRenderedPageBreak/>
        <w:t xml:space="preserve">assess the fairness of PEB rating determinations compared to </w:t>
      </w:r>
      <w:r w:rsidR="00942204">
        <w:rPr>
          <w:rFonts w:asciiTheme="minorHAnsi" w:hAnsiTheme="minorHAnsi"/>
          <w:color w:val="auto"/>
          <w:szCs w:val="24"/>
        </w:rPr>
        <w:t>the VA Schedule for Rating Disabilities (</w:t>
      </w:r>
      <w:r w:rsidR="00513A48" w:rsidRPr="006C148E">
        <w:rPr>
          <w:rFonts w:asciiTheme="minorHAnsi" w:hAnsiTheme="minorHAnsi"/>
          <w:color w:val="auto"/>
          <w:szCs w:val="24"/>
        </w:rPr>
        <w:t>VASRD</w:t>
      </w:r>
      <w:r w:rsidR="00942204">
        <w:rPr>
          <w:rFonts w:asciiTheme="minorHAnsi" w:hAnsiTheme="minorHAnsi"/>
          <w:color w:val="auto"/>
          <w:szCs w:val="24"/>
        </w:rPr>
        <w:t>)</w:t>
      </w:r>
      <w:r w:rsidR="00513A48" w:rsidRPr="006C148E">
        <w:rPr>
          <w:rFonts w:asciiTheme="minorHAnsi" w:hAnsiTheme="minorHAnsi"/>
          <w:color w:val="auto"/>
          <w:szCs w:val="24"/>
        </w:rPr>
        <w:t xml:space="preserve"> standards, as well as the fairness of PEB fitness adjudications.</w:t>
      </w:r>
    </w:p>
    <w:p w:rsidR="002C6E5B" w:rsidRPr="006C148E" w:rsidRDefault="002C6E5B" w:rsidP="00AF1668">
      <w:pPr>
        <w:tabs>
          <w:tab w:val="left" w:pos="288"/>
          <w:tab w:val="left" w:pos="4752"/>
        </w:tabs>
        <w:spacing w:line="240" w:lineRule="exact"/>
        <w:rPr>
          <w:rFonts w:asciiTheme="minorHAnsi" w:hAnsiTheme="minorHAnsi"/>
          <w:color w:val="auto"/>
          <w:szCs w:val="24"/>
        </w:rPr>
      </w:pPr>
    </w:p>
    <w:p w:rsidR="009C22C8" w:rsidRPr="006C148E" w:rsidRDefault="00926FCB" w:rsidP="00DD64E0">
      <w:pPr>
        <w:tabs>
          <w:tab w:val="left" w:pos="288"/>
          <w:tab w:val="left" w:pos="4752"/>
        </w:tabs>
        <w:spacing w:line="240" w:lineRule="exact"/>
        <w:jc w:val="both"/>
        <w:rPr>
          <w:rFonts w:asciiTheme="minorHAnsi" w:hAnsiTheme="minorHAnsi"/>
          <w:color w:val="auto"/>
          <w:szCs w:val="24"/>
        </w:rPr>
      </w:pPr>
      <w:r w:rsidRPr="006C148E">
        <w:rPr>
          <w:rFonts w:asciiTheme="minorHAnsi" w:hAnsiTheme="minorHAnsi"/>
          <w:color w:val="auto"/>
          <w:szCs w:val="24"/>
          <w:u w:val="single"/>
        </w:rPr>
        <w:t>Back</w:t>
      </w:r>
      <w:r w:rsidR="002C6E5B" w:rsidRPr="006C148E">
        <w:rPr>
          <w:rFonts w:asciiTheme="minorHAnsi" w:hAnsiTheme="minorHAnsi"/>
          <w:color w:val="auto"/>
          <w:szCs w:val="24"/>
          <w:u w:val="single"/>
        </w:rPr>
        <w:t xml:space="preserve"> Condition</w:t>
      </w:r>
      <w:r w:rsidR="002C6E5B" w:rsidRPr="006C148E">
        <w:rPr>
          <w:rFonts w:asciiTheme="minorHAnsi" w:hAnsiTheme="minorHAnsi"/>
          <w:color w:val="auto"/>
          <w:szCs w:val="24"/>
        </w:rPr>
        <w:t xml:space="preserve">.  </w:t>
      </w:r>
      <w:r w:rsidR="007C6046" w:rsidRPr="006C148E">
        <w:rPr>
          <w:rFonts w:asciiTheme="minorHAnsi" w:hAnsiTheme="minorHAnsi"/>
          <w:color w:val="auto"/>
          <w:szCs w:val="24"/>
        </w:rPr>
        <w:t xml:space="preserve">There were </w:t>
      </w:r>
      <w:r w:rsidR="00FE508D" w:rsidRPr="006C148E">
        <w:rPr>
          <w:rFonts w:asciiTheme="minorHAnsi" w:hAnsiTheme="minorHAnsi"/>
          <w:color w:val="auto"/>
          <w:szCs w:val="24"/>
        </w:rPr>
        <w:t>t</w:t>
      </w:r>
      <w:r w:rsidR="006F3BF4" w:rsidRPr="006C148E">
        <w:rPr>
          <w:rFonts w:asciiTheme="minorHAnsi" w:hAnsiTheme="minorHAnsi"/>
          <w:color w:val="auto"/>
          <w:szCs w:val="24"/>
        </w:rPr>
        <w:t>wo</w:t>
      </w:r>
      <w:r w:rsidR="00FE508D" w:rsidRPr="006C148E">
        <w:rPr>
          <w:rFonts w:asciiTheme="minorHAnsi" w:hAnsiTheme="minorHAnsi"/>
          <w:color w:val="auto"/>
          <w:szCs w:val="24"/>
        </w:rPr>
        <w:t xml:space="preserve"> </w:t>
      </w:r>
      <w:r w:rsidR="007C6046" w:rsidRPr="006C148E">
        <w:rPr>
          <w:rFonts w:asciiTheme="minorHAnsi" w:hAnsiTheme="minorHAnsi"/>
          <w:color w:val="auto"/>
          <w:szCs w:val="24"/>
        </w:rPr>
        <w:t xml:space="preserve">goniometric </w:t>
      </w:r>
      <w:proofErr w:type="gramStart"/>
      <w:r w:rsidR="007C6046" w:rsidRPr="006C148E">
        <w:rPr>
          <w:rFonts w:asciiTheme="minorHAnsi" w:hAnsiTheme="minorHAnsi"/>
          <w:color w:val="auto"/>
          <w:szCs w:val="24"/>
        </w:rPr>
        <w:t>range</w:t>
      </w:r>
      <w:proofErr w:type="gramEnd"/>
      <w:r w:rsidR="00942204">
        <w:rPr>
          <w:rFonts w:asciiTheme="minorHAnsi" w:hAnsiTheme="minorHAnsi"/>
          <w:color w:val="auto"/>
          <w:szCs w:val="24"/>
        </w:rPr>
        <w:t xml:space="preserve"> </w:t>
      </w:r>
      <w:r w:rsidR="007C6046" w:rsidRPr="006C148E">
        <w:rPr>
          <w:rFonts w:asciiTheme="minorHAnsi" w:hAnsiTheme="minorHAnsi"/>
          <w:color w:val="auto"/>
          <w:szCs w:val="24"/>
        </w:rPr>
        <w:t>of</w:t>
      </w:r>
      <w:r w:rsidR="00942204">
        <w:rPr>
          <w:rFonts w:asciiTheme="minorHAnsi" w:hAnsiTheme="minorHAnsi"/>
          <w:color w:val="auto"/>
          <w:szCs w:val="24"/>
        </w:rPr>
        <w:t xml:space="preserve"> </w:t>
      </w:r>
      <w:r w:rsidR="007C6046" w:rsidRPr="006C148E">
        <w:rPr>
          <w:rFonts w:asciiTheme="minorHAnsi" w:hAnsiTheme="minorHAnsi"/>
          <w:color w:val="auto"/>
          <w:szCs w:val="24"/>
        </w:rPr>
        <w:t xml:space="preserve">motion (ROM) evaluations in evidence which the Board </w:t>
      </w:r>
      <w:r w:rsidR="00743E36" w:rsidRPr="006C148E">
        <w:rPr>
          <w:rFonts w:asciiTheme="minorHAnsi" w:hAnsiTheme="minorHAnsi"/>
          <w:color w:val="auto"/>
          <w:szCs w:val="24"/>
        </w:rPr>
        <w:t>weighed in arriving at its rating recommendation</w:t>
      </w:r>
      <w:r w:rsidR="007C6046" w:rsidRPr="006C148E">
        <w:rPr>
          <w:rFonts w:asciiTheme="minorHAnsi" w:hAnsiTheme="minorHAnsi"/>
          <w:color w:val="auto"/>
          <w:szCs w:val="24"/>
        </w:rPr>
        <w:t>.</w:t>
      </w:r>
      <w:r w:rsidR="00743E36" w:rsidRPr="006C148E">
        <w:rPr>
          <w:rFonts w:asciiTheme="minorHAnsi" w:hAnsiTheme="minorHAnsi"/>
          <w:color w:val="auto"/>
          <w:szCs w:val="24"/>
        </w:rPr>
        <w:t xml:space="preserve"> </w:t>
      </w:r>
      <w:r w:rsidR="009C22C8" w:rsidRPr="006C148E">
        <w:rPr>
          <w:rFonts w:asciiTheme="minorHAnsi" w:hAnsiTheme="minorHAnsi"/>
          <w:color w:val="auto"/>
          <w:szCs w:val="24"/>
        </w:rPr>
        <w:t>All three</w:t>
      </w:r>
      <w:r w:rsidR="004A3214" w:rsidRPr="006C148E">
        <w:rPr>
          <w:rFonts w:asciiTheme="minorHAnsi" w:hAnsiTheme="minorHAnsi"/>
          <w:color w:val="auto"/>
          <w:szCs w:val="24"/>
        </w:rPr>
        <w:t xml:space="preserve"> </w:t>
      </w:r>
      <w:r w:rsidR="009C22C8" w:rsidRPr="006C148E">
        <w:rPr>
          <w:rFonts w:asciiTheme="minorHAnsi" w:hAnsiTheme="minorHAnsi"/>
          <w:color w:val="auto"/>
          <w:szCs w:val="24"/>
        </w:rPr>
        <w:t>exams are summarized in the chart below.</w:t>
      </w:r>
    </w:p>
    <w:p w:rsidR="00DF4CBD" w:rsidRPr="006C148E" w:rsidRDefault="00DF4CBD" w:rsidP="00DD64E0">
      <w:pPr>
        <w:tabs>
          <w:tab w:val="left" w:pos="288"/>
          <w:tab w:val="left" w:pos="4752"/>
        </w:tabs>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8"/>
        <w:gridCol w:w="1822"/>
        <w:gridCol w:w="2108"/>
        <w:gridCol w:w="2428"/>
      </w:tblGrid>
      <w:tr w:rsidR="00FE508D" w:rsidRPr="006C148E" w:rsidTr="006F3BF4">
        <w:trPr>
          <w:jc w:val="center"/>
        </w:trPr>
        <w:tc>
          <w:tcPr>
            <w:tcW w:w="221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E508D" w:rsidRPr="006C148E" w:rsidRDefault="00FE508D" w:rsidP="00FE508D">
            <w:pPr>
              <w:spacing w:line="200" w:lineRule="exact"/>
              <w:contextualSpacing/>
              <w:jc w:val="center"/>
              <w:rPr>
                <w:rFonts w:asciiTheme="minorHAnsi" w:eastAsia="Calibri" w:hAnsiTheme="minorHAnsi"/>
                <w:b/>
                <w:color w:val="auto"/>
                <w:sz w:val="20"/>
              </w:rPr>
            </w:pPr>
            <w:r w:rsidRPr="006C148E">
              <w:rPr>
                <w:rFonts w:asciiTheme="minorHAnsi" w:eastAsia="Calibri" w:hAnsiTheme="minorHAnsi" w:cstheme="minorBidi"/>
                <w:color w:val="auto"/>
                <w:sz w:val="20"/>
              </w:rPr>
              <w:t>Goniometric ROM - Thoracolumbar</w:t>
            </w:r>
          </w:p>
        </w:tc>
        <w:tc>
          <w:tcPr>
            <w:tcW w:w="182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972F3" w:rsidRPr="006C148E" w:rsidRDefault="00FE508D" w:rsidP="006F3BF4">
            <w:pPr>
              <w:spacing w:line="200" w:lineRule="exact"/>
              <w:jc w:val="center"/>
              <w:rPr>
                <w:rFonts w:asciiTheme="minorHAnsi" w:eastAsia="Calibri" w:hAnsiTheme="minorHAnsi"/>
                <w:color w:val="auto"/>
                <w:sz w:val="20"/>
              </w:rPr>
            </w:pPr>
            <w:r w:rsidRPr="006C148E">
              <w:rPr>
                <w:rFonts w:asciiTheme="minorHAnsi" w:eastAsia="Calibri" w:hAnsiTheme="minorHAnsi"/>
                <w:color w:val="auto"/>
                <w:sz w:val="20"/>
              </w:rPr>
              <w:t xml:space="preserve">PT ~ </w:t>
            </w:r>
            <w:r w:rsidR="008972F3" w:rsidRPr="006C148E">
              <w:rPr>
                <w:rFonts w:asciiTheme="minorHAnsi" w:eastAsia="Calibri" w:hAnsiTheme="minorHAnsi"/>
                <w:color w:val="auto"/>
                <w:sz w:val="20"/>
              </w:rPr>
              <w:t>4</w:t>
            </w:r>
            <w:r w:rsidRPr="006C148E">
              <w:rPr>
                <w:rFonts w:asciiTheme="minorHAnsi" w:eastAsia="Calibri" w:hAnsiTheme="minorHAnsi"/>
                <w:color w:val="auto"/>
                <w:sz w:val="20"/>
              </w:rPr>
              <w:t xml:space="preserve"> Mo. Pre-Sep</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B3432" w:rsidRPr="006C148E" w:rsidRDefault="00FE508D" w:rsidP="006F3BF4">
            <w:pPr>
              <w:spacing w:line="200" w:lineRule="exact"/>
              <w:jc w:val="center"/>
              <w:rPr>
                <w:rFonts w:asciiTheme="minorHAnsi" w:eastAsia="Calibri" w:hAnsiTheme="minorHAnsi"/>
                <w:color w:val="auto"/>
                <w:sz w:val="20"/>
              </w:rPr>
            </w:pPr>
            <w:r w:rsidRPr="006C148E">
              <w:rPr>
                <w:rFonts w:asciiTheme="minorHAnsi" w:eastAsia="Calibri" w:hAnsiTheme="minorHAnsi"/>
                <w:color w:val="auto"/>
                <w:sz w:val="20"/>
              </w:rPr>
              <w:t xml:space="preserve">MEB ~ </w:t>
            </w:r>
            <w:r w:rsidR="004B3432" w:rsidRPr="006C148E">
              <w:rPr>
                <w:rFonts w:asciiTheme="minorHAnsi" w:eastAsia="Calibri" w:hAnsiTheme="minorHAnsi"/>
                <w:color w:val="auto"/>
                <w:sz w:val="20"/>
              </w:rPr>
              <w:t>3</w:t>
            </w:r>
            <w:r w:rsidRPr="006C148E">
              <w:rPr>
                <w:rFonts w:asciiTheme="minorHAnsi" w:eastAsia="Calibri" w:hAnsiTheme="minorHAnsi"/>
                <w:color w:val="auto"/>
                <w:sz w:val="20"/>
              </w:rPr>
              <w:t xml:space="preserve">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A1B73" w:rsidRPr="006C148E" w:rsidRDefault="00FE508D" w:rsidP="006F3BF4">
            <w:pPr>
              <w:spacing w:line="200" w:lineRule="exact"/>
              <w:jc w:val="center"/>
              <w:rPr>
                <w:rFonts w:asciiTheme="minorHAnsi" w:eastAsia="Calibri" w:hAnsiTheme="minorHAnsi"/>
                <w:color w:val="auto"/>
                <w:sz w:val="20"/>
              </w:rPr>
            </w:pPr>
            <w:r w:rsidRPr="006C148E">
              <w:rPr>
                <w:rFonts w:asciiTheme="minorHAnsi" w:eastAsia="Calibri" w:hAnsiTheme="minorHAnsi"/>
                <w:color w:val="auto"/>
                <w:sz w:val="20"/>
              </w:rPr>
              <w:t>VA</w:t>
            </w:r>
            <w:r w:rsidRPr="006C148E">
              <w:rPr>
                <w:rFonts w:asciiTheme="minorHAnsi" w:eastAsiaTheme="minorHAnsi" w:hAnsiTheme="minorHAnsi" w:cstheme="minorBidi"/>
                <w:color w:val="auto"/>
                <w:sz w:val="20"/>
              </w:rPr>
              <w:t xml:space="preserve"> C&amp;P </w:t>
            </w:r>
            <w:r w:rsidRPr="006C148E">
              <w:rPr>
                <w:rFonts w:asciiTheme="minorHAnsi" w:eastAsia="Calibri" w:hAnsiTheme="minorHAnsi"/>
                <w:color w:val="auto"/>
                <w:sz w:val="20"/>
              </w:rPr>
              <w:t xml:space="preserve">~ </w:t>
            </w:r>
            <w:r w:rsidR="001A1B73" w:rsidRPr="006C148E">
              <w:rPr>
                <w:rFonts w:asciiTheme="minorHAnsi" w:eastAsia="Calibri" w:hAnsiTheme="minorHAnsi"/>
                <w:color w:val="auto"/>
                <w:sz w:val="20"/>
              </w:rPr>
              <w:t>1</w:t>
            </w:r>
            <w:r w:rsidRPr="006C148E">
              <w:rPr>
                <w:rFonts w:asciiTheme="minorHAnsi" w:eastAsia="Calibri" w:hAnsiTheme="minorHAnsi"/>
                <w:color w:val="auto"/>
                <w:sz w:val="20"/>
              </w:rPr>
              <w:t xml:space="preserve"> Mo. </w:t>
            </w:r>
            <w:r w:rsidR="001A1B73" w:rsidRPr="006C148E">
              <w:rPr>
                <w:rFonts w:asciiTheme="minorHAnsi" w:eastAsia="Calibri" w:hAnsiTheme="minorHAnsi"/>
                <w:color w:val="auto"/>
                <w:sz w:val="20"/>
              </w:rPr>
              <w:t>Pre</w:t>
            </w:r>
            <w:r w:rsidRPr="006C148E">
              <w:rPr>
                <w:rFonts w:asciiTheme="minorHAnsi" w:eastAsia="Calibri" w:hAnsiTheme="minorHAnsi"/>
                <w:color w:val="auto"/>
                <w:sz w:val="20"/>
              </w:rPr>
              <w:t>-Sep</w:t>
            </w:r>
          </w:p>
        </w:tc>
      </w:tr>
      <w:tr w:rsidR="006F3BF4" w:rsidRPr="006C148E" w:rsidTr="006F3BF4">
        <w:trPr>
          <w:jc w:val="center"/>
        </w:trPr>
        <w:tc>
          <w:tcPr>
            <w:tcW w:w="2218" w:type="dxa"/>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942204">
            <w:pPr>
              <w:spacing w:line="180" w:lineRule="exact"/>
              <w:contextualSpacing/>
              <w:rPr>
                <w:rFonts w:asciiTheme="minorHAnsi" w:eastAsia="Calibri" w:hAnsiTheme="minorHAnsi"/>
                <w:color w:val="auto"/>
                <w:sz w:val="18"/>
                <w:szCs w:val="18"/>
              </w:rPr>
            </w:pPr>
            <w:r w:rsidRPr="006C148E">
              <w:rPr>
                <w:rFonts w:asciiTheme="minorHAnsi" w:eastAsia="Calibri" w:hAnsiTheme="minorHAnsi"/>
                <w:color w:val="auto"/>
                <w:sz w:val="18"/>
                <w:szCs w:val="18"/>
              </w:rPr>
              <w:t>Flex (0-90)</w:t>
            </w:r>
          </w:p>
        </w:tc>
        <w:tc>
          <w:tcPr>
            <w:tcW w:w="3930" w:type="dxa"/>
            <w:gridSpan w:val="2"/>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DF4CBD">
            <w:pPr>
              <w:spacing w:line="180" w:lineRule="exact"/>
              <w:jc w:val="center"/>
              <w:rPr>
                <w:rFonts w:asciiTheme="minorHAnsi" w:eastAsia="Calibri" w:hAnsiTheme="minorHAnsi"/>
                <w:color w:val="auto"/>
                <w:sz w:val="18"/>
                <w:szCs w:val="18"/>
              </w:rPr>
            </w:pPr>
            <w:r w:rsidRPr="006C148E">
              <w:rPr>
                <w:rFonts w:asciiTheme="minorHAnsi" w:eastAsia="Calibri" w:hAnsiTheme="minorHAnsi"/>
                <w:color w:val="auto"/>
                <w:sz w:val="18"/>
                <w:szCs w:val="18"/>
              </w:rPr>
              <w:t xml:space="preserve">100⁰ (90⁰) </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DF4CBD">
            <w:pPr>
              <w:spacing w:line="180" w:lineRule="exact"/>
              <w:jc w:val="center"/>
              <w:rPr>
                <w:rFonts w:asciiTheme="minorHAnsi" w:eastAsia="Calibri" w:hAnsiTheme="minorHAnsi"/>
                <w:color w:val="auto"/>
                <w:sz w:val="18"/>
                <w:szCs w:val="18"/>
              </w:rPr>
            </w:pPr>
            <w:r w:rsidRPr="006C148E">
              <w:rPr>
                <w:rFonts w:asciiTheme="minorHAnsi" w:eastAsia="Calibri" w:hAnsiTheme="minorHAnsi"/>
                <w:color w:val="auto"/>
                <w:sz w:val="18"/>
                <w:szCs w:val="18"/>
              </w:rPr>
              <w:t>80⁰</w:t>
            </w:r>
          </w:p>
        </w:tc>
      </w:tr>
      <w:tr w:rsidR="006F3BF4" w:rsidRPr="006C148E" w:rsidTr="006F3BF4">
        <w:trPr>
          <w:jc w:val="center"/>
        </w:trPr>
        <w:tc>
          <w:tcPr>
            <w:tcW w:w="2218" w:type="dxa"/>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942204">
            <w:pPr>
              <w:spacing w:line="180" w:lineRule="exact"/>
              <w:contextualSpacing/>
              <w:rPr>
                <w:rFonts w:asciiTheme="minorHAnsi" w:eastAsia="Calibri" w:hAnsiTheme="minorHAnsi"/>
                <w:color w:val="auto"/>
                <w:sz w:val="18"/>
                <w:szCs w:val="18"/>
              </w:rPr>
            </w:pPr>
            <w:r w:rsidRPr="006C148E">
              <w:rPr>
                <w:rFonts w:asciiTheme="minorHAnsi" w:eastAsia="Calibri" w:hAnsiTheme="minorHAnsi"/>
                <w:color w:val="auto"/>
                <w:sz w:val="18"/>
                <w:szCs w:val="18"/>
              </w:rPr>
              <w:t>Ext (0-30)</w:t>
            </w:r>
          </w:p>
        </w:tc>
        <w:tc>
          <w:tcPr>
            <w:tcW w:w="3930" w:type="dxa"/>
            <w:gridSpan w:val="2"/>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FE508D">
            <w:pPr>
              <w:spacing w:line="180" w:lineRule="exact"/>
              <w:jc w:val="center"/>
              <w:rPr>
                <w:rFonts w:asciiTheme="minorHAnsi" w:eastAsia="Calibri" w:hAnsiTheme="minorHAnsi"/>
                <w:color w:val="auto"/>
                <w:sz w:val="18"/>
                <w:szCs w:val="18"/>
              </w:rPr>
            </w:pPr>
            <w:r w:rsidRPr="006C148E">
              <w:rPr>
                <w:rFonts w:asciiTheme="minorHAnsi" w:eastAsia="Calibri" w:hAnsiTheme="minorHAnsi"/>
                <w:color w:val="auto"/>
                <w:sz w:val="18"/>
                <w:szCs w:val="18"/>
              </w:rPr>
              <w:t>16⁰ (15⁰)</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DF4CBD">
            <w:pPr>
              <w:spacing w:line="180" w:lineRule="exact"/>
              <w:jc w:val="center"/>
              <w:rPr>
                <w:rFonts w:asciiTheme="minorHAnsi" w:eastAsia="Calibri" w:hAnsiTheme="minorHAnsi"/>
                <w:color w:val="auto"/>
                <w:sz w:val="18"/>
                <w:szCs w:val="18"/>
              </w:rPr>
            </w:pPr>
            <w:r w:rsidRPr="006C148E">
              <w:rPr>
                <w:rFonts w:asciiTheme="minorHAnsi" w:eastAsia="Calibri" w:hAnsiTheme="minorHAnsi"/>
                <w:color w:val="auto"/>
                <w:sz w:val="18"/>
                <w:szCs w:val="18"/>
              </w:rPr>
              <w:t>20⁰</w:t>
            </w:r>
          </w:p>
        </w:tc>
      </w:tr>
      <w:tr w:rsidR="006F3BF4" w:rsidRPr="006C148E" w:rsidTr="006F3BF4">
        <w:trPr>
          <w:trHeight w:val="188"/>
          <w:jc w:val="center"/>
        </w:trPr>
        <w:tc>
          <w:tcPr>
            <w:tcW w:w="2218" w:type="dxa"/>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942204">
            <w:pPr>
              <w:spacing w:line="180" w:lineRule="exact"/>
              <w:contextualSpacing/>
              <w:rPr>
                <w:rFonts w:asciiTheme="minorHAnsi" w:eastAsia="Calibri" w:hAnsiTheme="minorHAnsi"/>
                <w:color w:val="auto"/>
                <w:sz w:val="18"/>
                <w:szCs w:val="18"/>
              </w:rPr>
            </w:pPr>
            <w:r w:rsidRPr="006C148E">
              <w:rPr>
                <w:rFonts w:asciiTheme="minorHAnsi" w:eastAsia="Calibri" w:hAnsiTheme="minorHAnsi"/>
                <w:color w:val="auto"/>
                <w:sz w:val="18"/>
                <w:szCs w:val="18"/>
              </w:rPr>
              <w:t>R Lat Flex (0-30)</w:t>
            </w:r>
          </w:p>
        </w:tc>
        <w:tc>
          <w:tcPr>
            <w:tcW w:w="3930" w:type="dxa"/>
            <w:gridSpan w:val="2"/>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DF4CBD">
            <w:pPr>
              <w:spacing w:line="180" w:lineRule="exact"/>
              <w:jc w:val="center"/>
              <w:rPr>
                <w:rFonts w:asciiTheme="minorHAnsi" w:eastAsia="Calibri" w:hAnsiTheme="minorHAnsi"/>
                <w:color w:val="auto"/>
                <w:sz w:val="18"/>
                <w:szCs w:val="18"/>
              </w:rPr>
            </w:pPr>
            <w:r w:rsidRPr="006C148E">
              <w:rPr>
                <w:rFonts w:asciiTheme="minorHAnsi" w:eastAsia="Calibri" w:hAnsiTheme="minorHAnsi"/>
                <w:color w:val="auto"/>
                <w:sz w:val="18"/>
                <w:szCs w:val="18"/>
              </w:rPr>
              <w:t>41⁰ (30⁰)</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DF4CBD">
            <w:pPr>
              <w:spacing w:line="180" w:lineRule="exact"/>
              <w:jc w:val="center"/>
              <w:rPr>
                <w:rFonts w:asciiTheme="minorHAnsi" w:eastAsia="Calibri" w:hAnsiTheme="minorHAnsi"/>
                <w:color w:val="auto"/>
                <w:sz w:val="18"/>
                <w:szCs w:val="18"/>
              </w:rPr>
            </w:pPr>
            <w:r w:rsidRPr="006C148E">
              <w:rPr>
                <w:rFonts w:asciiTheme="minorHAnsi" w:eastAsia="Calibri" w:hAnsiTheme="minorHAnsi"/>
                <w:color w:val="auto"/>
                <w:sz w:val="18"/>
                <w:szCs w:val="18"/>
              </w:rPr>
              <w:t>20⁰</w:t>
            </w:r>
          </w:p>
        </w:tc>
      </w:tr>
      <w:tr w:rsidR="006F3BF4" w:rsidRPr="006C148E" w:rsidTr="006F3BF4">
        <w:trPr>
          <w:jc w:val="center"/>
        </w:trPr>
        <w:tc>
          <w:tcPr>
            <w:tcW w:w="2218" w:type="dxa"/>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942204">
            <w:pPr>
              <w:spacing w:line="180" w:lineRule="exact"/>
              <w:contextualSpacing/>
              <w:rPr>
                <w:rFonts w:asciiTheme="minorHAnsi" w:eastAsia="Calibri" w:hAnsiTheme="minorHAnsi"/>
                <w:color w:val="auto"/>
                <w:sz w:val="18"/>
                <w:szCs w:val="18"/>
              </w:rPr>
            </w:pPr>
            <w:r w:rsidRPr="006C148E">
              <w:rPr>
                <w:rFonts w:asciiTheme="minorHAnsi" w:eastAsia="Calibri" w:hAnsiTheme="minorHAnsi"/>
                <w:color w:val="auto"/>
                <w:sz w:val="18"/>
                <w:szCs w:val="18"/>
              </w:rPr>
              <w:t>L Lat Flex 0-30)</w:t>
            </w:r>
          </w:p>
        </w:tc>
        <w:tc>
          <w:tcPr>
            <w:tcW w:w="3930" w:type="dxa"/>
            <w:gridSpan w:val="2"/>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DF4CBD">
            <w:pPr>
              <w:spacing w:line="180" w:lineRule="exact"/>
              <w:jc w:val="center"/>
              <w:rPr>
                <w:rFonts w:asciiTheme="minorHAnsi" w:eastAsia="Calibri" w:hAnsiTheme="minorHAnsi"/>
                <w:color w:val="auto"/>
                <w:sz w:val="18"/>
                <w:szCs w:val="18"/>
              </w:rPr>
            </w:pPr>
            <w:r w:rsidRPr="006C148E">
              <w:rPr>
                <w:rFonts w:asciiTheme="minorHAnsi" w:eastAsia="Calibri" w:hAnsiTheme="minorHAnsi"/>
                <w:color w:val="auto"/>
                <w:sz w:val="18"/>
                <w:szCs w:val="18"/>
              </w:rPr>
              <w:t>48⁰ (30⁰)</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DF4CBD">
            <w:pPr>
              <w:spacing w:line="180" w:lineRule="exact"/>
              <w:jc w:val="center"/>
              <w:rPr>
                <w:rFonts w:asciiTheme="minorHAnsi" w:eastAsia="Calibri" w:hAnsiTheme="minorHAnsi"/>
                <w:color w:val="auto"/>
                <w:sz w:val="18"/>
                <w:szCs w:val="18"/>
              </w:rPr>
            </w:pPr>
            <w:r w:rsidRPr="006C148E">
              <w:rPr>
                <w:rFonts w:asciiTheme="minorHAnsi" w:eastAsia="Calibri" w:hAnsiTheme="minorHAnsi"/>
                <w:color w:val="auto"/>
                <w:sz w:val="18"/>
                <w:szCs w:val="18"/>
              </w:rPr>
              <w:t>20⁰</w:t>
            </w:r>
          </w:p>
        </w:tc>
      </w:tr>
      <w:tr w:rsidR="006F3BF4" w:rsidRPr="006C148E" w:rsidTr="006F3BF4">
        <w:trPr>
          <w:jc w:val="center"/>
        </w:trPr>
        <w:tc>
          <w:tcPr>
            <w:tcW w:w="2218" w:type="dxa"/>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942204">
            <w:pPr>
              <w:spacing w:line="180" w:lineRule="exact"/>
              <w:contextualSpacing/>
              <w:rPr>
                <w:rFonts w:asciiTheme="minorHAnsi" w:eastAsia="Calibri" w:hAnsiTheme="minorHAnsi"/>
                <w:color w:val="auto"/>
                <w:sz w:val="18"/>
                <w:szCs w:val="18"/>
              </w:rPr>
            </w:pPr>
            <w:r w:rsidRPr="006C148E">
              <w:rPr>
                <w:rFonts w:asciiTheme="minorHAnsi" w:eastAsia="Calibri" w:hAnsiTheme="minorHAnsi"/>
                <w:color w:val="auto"/>
                <w:sz w:val="18"/>
                <w:szCs w:val="18"/>
              </w:rPr>
              <w:t>R Rotation (0-30)</w:t>
            </w:r>
          </w:p>
        </w:tc>
        <w:tc>
          <w:tcPr>
            <w:tcW w:w="3930" w:type="dxa"/>
            <w:gridSpan w:val="2"/>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FE508D">
            <w:pPr>
              <w:spacing w:line="180" w:lineRule="exact"/>
              <w:jc w:val="center"/>
              <w:rPr>
                <w:rFonts w:asciiTheme="minorHAnsi" w:eastAsia="Calibri" w:hAnsiTheme="minorHAnsi"/>
                <w:color w:val="auto"/>
                <w:sz w:val="18"/>
                <w:szCs w:val="18"/>
              </w:rPr>
            </w:pPr>
            <w:r w:rsidRPr="006C148E">
              <w:rPr>
                <w:rFonts w:asciiTheme="minorHAnsi" w:eastAsia="Calibri" w:hAnsiTheme="minorHAnsi"/>
                <w:color w:val="auto"/>
                <w:sz w:val="18"/>
                <w:szCs w:val="18"/>
              </w:rPr>
              <w:t>40⁰ (30⁰)</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DF4CBD">
            <w:pPr>
              <w:spacing w:line="180" w:lineRule="exact"/>
              <w:jc w:val="center"/>
              <w:rPr>
                <w:rFonts w:asciiTheme="minorHAnsi" w:eastAsia="Calibri" w:hAnsiTheme="minorHAnsi"/>
                <w:color w:val="auto"/>
                <w:sz w:val="18"/>
                <w:szCs w:val="18"/>
              </w:rPr>
            </w:pPr>
            <w:r w:rsidRPr="006C148E">
              <w:rPr>
                <w:rFonts w:asciiTheme="minorHAnsi" w:eastAsia="Calibri" w:hAnsiTheme="minorHAnsi"/>
                <w:color w:val="auto"/>
                <w:sz w:val="18"/>
                <w:szCs w:val="18"/>
              </w:rPr>
              <w:t>20⁰</w:t>
            </w:r>
          </w:p>
        </w:tc>
      </w:tr>
      <w:tr w:rsidR="006F3BF4" w:rsidRPr="006C148E" w:rsidTr="006F3BF4">
        <w:trPr>
          <w:jc w:val="center"/>
        </w:trPr>
        <w:tc>
          <w:tcPr>
            <w:tcW w:w="2218" w:type="dxa"/>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942204">
            <w:pPr>
              <w:spacing w:line="180" w:lineRule="exact"/>
              <w:contextualSpacing/>
              <w:rPr>
                <w:rFonts w:asciiTheme="minorHAnsi" w:eastAsia="Calibri" w:hAnsiTheme="minorHAnsi"/>
                <w:color w:val="auto"/>
                <w:sz w:val="18"/>
                <w:szCs w:val="18"/>
              </w:rPr>
            </w:pPr>
            <w:r w:rsidRPr="006C148E">
              <w:rPr>
                <w:rFonts w:asciiTheme="minorHAnsi" w:eastAsia="Calibri" w:hAnsiTheme="minorHAnsi"/>
                <w:color w:val="auto"/>
                <w:sz w:val="18"/>
                <w:szCs w:val="18"/>
              </w:rPr>
              <w:t>L Rotation (0-30)</w:t>
            </w:r>
          </w:p>
        </w:tc>
        <w:tc>
          <w:tcPr>
            <w:tcW w:w="3930" w:type="dxa"/>
            <w:gridSpan w:val="2"/>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DF4CBD">
            <w:pPr>
              <w:spacing w:line="180" w:lineRule="exact"/>
              <w:jc w:val="center"/>
              <w:rPr>
                <w:rFonts w:asciiTheme="minorHAnsi" w:eastAsia="Calibri" w:hAnsiTheme="minorHAnsi"/>
                <w:color w:val="auto"/>
                <w:sz w:val="18"/>
                <w:szCs w:val="18"/>
              </w:rPr>
            </w:pPr>
            <w:r w:rsidRPr="006C148E">
              <w:rPr>
                <w:rFonts w:asciiTheme="minorHAnsi" w:eastAsia="Calibri" w:hAnsiTheme="minorHAnsi"/>
                <w:color w:val="auto"/>
                <w:sz w:val="18"/>
                <w:szCs w:val="18"/>
              </w:rPr>
              <w:t>49⁰ (30⁰)</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DF4CBD">
            <w:pPr>
              <w:spacing w:line="180" w:lineRule="exact"/>
              <w:jc w:val="center"/>
              <w:rPr>
                <w:rFonts w:asciiTheme="minorHAnsi" w:eastAsia="Calibri" w:hAnsiTheme="minorHAnsi"/>
                <w:color w:val="auto"/>
                <w:sz w:val="18"/>
                <w:szCs w:val="18"/>
              </w:rPr>
            </w:pPr>
            <w:r w:rsidRPr="006C148E">
              <w:rPr>
                <w:rFonts w:asciiTheme="minorHAnsi" w:eastAsia="Calibri" w:hAnsiTheme="minorHAnsi"/>
                <w:color w:val="auto"/>
                <w:sz w:val="18"/>
                <w:szCs w:val="18"/>
              </w:rPr>
              <w:t>20⁰</w:t>
            </w:r>
          </w:p>
        </w:tc>
      </w:tr>
      <w:tr w:rsidR="006F3BF4" w:rsidRPr="006C148E" w:rsidTr="006F3BF4">
        <w:trPr>
          <w:jc w:val="center"/>
        </w:trPr>
        <w:tc>
          <w:tcPr>
            <w:tcW w:w="2218" w:type="dxa"/>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942204">
            <w:pPr>
              <w:spacing w:line="180" w:lineRule="exact"/>
              <w:contextualSpacing/>
              <w:rPr>
                <w:rFonts w:asciiTheme="minorHAnsi" w:eastAsia="Calibri" w:hAnsiTheme="minorHAnsi"/>
                <w:color w:val="auto"/>
                <w:sz w:val="18"/>
                <w:szCs w:val="18"/>
              </w:rPr>
            </w:pPr>
            <w:r w:rsidRPr="006C148E">
              <w:rPr>
                <w:rFonts w:asciiTheme="minorHAnsi" w:eastAsia="Calibri" w:hAnsiTheme="minorHAnsi"/>
                <w:color w:val="auto"/>
                <w:sz w:val="18"/>
                <w:szCs w:val="18"/>
              </w:rPr>
              <w:t>COMBINED (240)</w:t>
            </w:r>
          </w:p>
        </w:tc>
        <w:tc>
          <w:tcPr>
            <w:tcW w:w="3930" w:type="dxa"/>
            <w:gridSpan w:val="2"/>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DF4CBD">
            <w:pPr>
              <w:spacing w:line="180" w:lineRule="exact"/>
              <w:jc w:val="center"/>
              <w:rPr>
                <w:rFonts w:asciiTheme="minorHAnsi" w:hAnsiTheme="minorHAnsi"/>
                <w:color w:val="auto"/>
                <w:sz w:val="18"/>
                <w:szCs w:val="18"/>
              </w:rPr>
            </w:pPr>
            <w:r w:rsidRPr="006C148E">
              <w:rPr>
                <w:rFonts w:asciiTheme="minorHAnsi" w:eastAsia="Calibri" w:hAnsiTheme="minorHAnsi"/>
                <w:color w:val="auto"/>
                <w:sz w:val="18"/>
                <w:szCs w:val="18"/>
              </w:rPr>
              <w:t>225⁰</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6F3BF4" w:rsidRPr="006C148E" w:rsidRDefault="006F3BF4" w:rsidP="00FE508D">
            <w:pPr>
              <w:spacing w:line="180" w:lineRule="exact"/>
              <w:jc w:val="center"/>
              <w:rPr>
                <w:rFonts w:asciiTheme="minorHAnsi" w:hAnsiTheme="minorHAnsi"/>
                <w:color w:val="auto"/>
                <w:sz w:val="18"/>
                <w:szCs w:val="18"/>
              </w:rPr>
            </w:pPr>
            <w:r w:rsidRPr="006C148E">
              <w:rPr>
                <w:rFonts w:asciiTheme="minorHAnsi" w:eastAsia="Calibri" w:hAnsiTheme="minorHAnsi"/>
                <w:color w:val="auto"/>
                <w:sz w:val="18"/>
                <w:szCs w:val="18"/>
              </w:rPr>
              <w:t>180⁰</w:t>
            </w:r>
          </w:p>
        </w:tc>
      </w:tr>
      <w:tr w:rsidR="00FE508D" w:rsidRPr="006C148E" w:rsidTr="006F3BF4">
        <w:trPr>
          <w:jc w:val="center"/>
        </w:trPr>
        <w:tc>
          <w:tcPr>
            <w:tcW w:w="2218" w:type="dxa"/>
            <w:tcBorders>
              <w:top w:val="single" w:sz="4" w:space="0" w:color="000000"/>
              <w:left w:val="single" w:sz="4" w:space="0" w:color="000000"/>
              <w:bottom w:val="single" w:sz="4" w:space="0" w:color="000000"/>
              <w:right w:val="single" w:sz="4" w:space="0" w:color="000000"/>
            </w:tcBorders>
            <w:vAlign w:val="center"/>
            <w:hideMark/>
          </w:tcPr>
          <w:p w:rsidR="00942204" w:rsidRDefault="00FE508D" w:rsidP="00942204">
            <w:pPr>
              <w:spacing w:line="180" w:lineRule="exact"/>
              <w:contextualSpacing/>
              <w:rPr>
                <w:rFonts w:asciiTheme="minorHAnsi" w:eastAsia="Calibri" w:hAnsiTheme="minorHAnsi"/>
                <w:color w:val="auto"/>
                <w:sz w:val="18"/>
                <w:szCs w:val="18"/>
              </w:rPr>
            </w:pPr>
            <w:r w:rsidRPr="006C148E">
              <w:rPr>
                <w:rFonts w:asciiTheme="minorHAnsi" w:eastAsia="Calibri" w:hAnsiTheme="minorHAnsi"/>
                <w:color w:val="auto"/>
                <w:sz w:val="18"/>
                <w:szCs w:val="18"/>
              </w:rPr>
              <w:t>Comment</w:t>
            </w:r>
            <w:r w:rsidR="006F3BF4" w:rsidRPr="006C148E">
              <w:rPr>
                <w:rFonts w:asciiTheme="minorHAnsi" w:eastAsia="Calibri" w:hAnsiTheme="minorHAnsi"/>
                <w:color w:val="auto"/>
                <w:sz w:val="18"/>
                <w:szCs w:val="18"/>
              </w:rPr>
              <w:t xml:space="preserve">:  </w:t>
            </w:r>
          </w:p>
          <w:p w:rsidR="00FE508D" w:rsidRPr="006C148E" w:rsidRDefault="006F3BF4" w:rsidP="00942204">
            <w:pPr>
              <w:spacing w:line="180" w:lineRule="exact"/>
              <w:contextualSpacing/>
              <w:rPr>
                <w:rFonts w:asciiTheme="minorHAnsi" w:eastAsia="Calibri" w:hAnsiTheme="minorHAnsi"/>
                <w:color w:val="auto"/>
                <w:sz w:val="18"/>
                <w:szCs w:val="18"/>
              </w:rPr>
            </w:pPr>
            <w:r w:rsidRPr="006C148E">
              <w:rPr>
                <w:rFonts w:asciiTheme="minorHAnsi" w:eastAsia="Calibri" w:hAnsiTheme="minorHAnsi"/>
                <w:color w:val="auto"/>
                <w:sz w:val="18"/>
                <w:szCs w:val="18"/>
              </w:rPr>
              <w:t>MEB used PT ROMs</w:t>
            </w:r>
          </w:p>
        </w:tc>
        <w:tc>
          <w:tcPr>
            <w:tcW w:w="1822" w:type="dxa"/>
            <w:tcBorders>
              <w:top w:val="single" w:sz="4" w:space="0" w:color="000000"/>
              <w:left w:val="single" w:sz="4" w:space="0" w:color="000000"/>
              <w:bottom w:val="single" w:sz="4" w:space="0" w:color="000000"/>
              <w:right w:val="single" w:sz="4" w:space="0" w:color="000000"/>
            </w:tcBorders>
            <w:vAlign w:val="center"/>
          </w:tcPr>
          <w:p w:rsidR="00541800" w:rsidRPr="006C148E" w:rsidRDefault="008972F3" w:rsidP="00DF4CBD">
            <w:pPr>
              <w:tabs>
                <w:tab w:val="left" w:pos="288"/>
                <w:tab w:val="left" w:pos="4752"/>
              </w:tabs>
              <w:spacing w:line="180" w:lineRule="exact"/>
              <w:rPr>
                <w:rFonts w:asciiTheme="minorHAnsi" w:eastAsiaTheme="minorHAnsi" w:hAnsiTheme="minorHAnsi"/>
                <w:color w:val="auto"/>
                <w:sz w:val="18"/>
                <w:szCs w:val="18"/>
              </w:rPr>
            </w:pPr>
            <w:r w:rsidRPr="006C148E">
              <w:rPr>
                <w:rFonts w:asciiTheme="minorHAnsi" w:eastAsiaTheme="minorHAnsi" w:hAnsiTheme="minorHAnsi"/>
                <w:color w:val="auto"/>
                <w:sz w:val="18"/>
                <w:szCs w:val="18"/>
              </w:rPr>
              <w:t>Waddell’s sign + light touch</w:t>
            </w:r>
            <w:r w:rsidR="00DF4CBD" w:rsidRPr="006C148E">
              <w:rPr>
                <w:rFonts w:asciiTheme="minorHAnsi" w:eastAsiaTheme="minorHAnsi" w:hAnsiTheme="minorHAnsi"/>
                <w:color w:val="auto"/>
                <w:sz w:val="18"/>
                <w:szCs w:val="18"/>
              </w:rPr>
              <w:t>;</w:t>
            </w:r>
            <w:r w:rsidR="006F3BF4" w:rsidRPr="006C148E">
              <w:rPr>
                <w:rFonts w:asciiTheme="minorHAnsi" w:eastAsiaTheme="minorHAnsi" w:hAnsiTheme="minorHAnsi"/>
                <w:color w:val="auto"/>
                <w:sz w:val="18"/>
                <w:szCs w:val="18"/>
              </w:rPr>
              <w:t xml:space="preserve"> </w:t>
            </w:r>
            <w:r w:rsidR="00541800" w:rsidRPr="006C148E">
              <w:rPr>
                <w:rFonts w:asciiTheme="minorHAnsi" w:eastAsiaTheme="minorHAnsi" w:hAnsiTheme="minorHAnsi"/>
                <w:color w:val="auto"/>
                <w:sz w:val="18"/>
                <w:szCs w:val="18"/>
              </w:rPr>
              <w:t>No gait deviations</w:t>
            </w:r>
          </w:p>
        </w:tc>
        <w:tc>
          <w:tcPr>
            <w:tcW w:w="2108" w:type="dxa"/>
            <w:tcBorders>
              <w:top w:val="single" w:sz="4" w:space="0" w:color="000000"/>
              <w:left w:val="single" w:sz="4" w:space="0" w:color="000000"/>
              <w:bottom w:val="single" w:sz="4" w:space="0" w:color="000000"/>
              <w:right w:val="single" w:sz="4" w:space="0" w:color="000000"/>
            </w:tcBorders>
            <w:vAlign w:val="center"/>
          </w:tcPr>
          <w:p w:rsidR="004B3432" w:rsidRPr="006C148E" w:rsidRDefault="008E7833" w:rsidP="00942204">
            <w:pPr>
              <w:tabs>
                <w:tab w:val="left" w:pos="288"/>
                <w:tab w:val="left" w:pos="4752"/>
              </w:tabs>
              <w:spacing w:line="180" w:lineRule="exact"/>
              <w:rPr>
                <w:rFonts w:asciiTheme="minorHAnsi" w:eastAsiaTheme="minorHAnsi" w:hAnsiTheme="minorHAnsi"/>
                <w:color w:val="auto"/>
                <w:sz w:val="18"/>
                <w:szCs w:val="18"/>
              </w:rPr>
            </w:pPr>
            <w:r w:rsidRPr="006C148E">
              <w:rPr>
                <w:rFonts w:asciiTheme="minorHAnsi" w:eastAsiaTheme="minorHAnsi" w:hAnsiTheme="minorHAnsi"/>
                <w:color w:val="auto"/>
                <w:sz w:val="18"/>
                <w:szCs w:val="18"/>
              </w:rPr>
              <w:t xml:space="preserve">Physical </w:t>
            </w:r>
            <w:r w:rsidR="00942204">
              <w:rPr>
                <w:rFonts w:asciiTheme="minorHAnsi" w:eastAsiaTheme="minorHAnsi" w:hAnsiTheme="minorHAnsi"/>
                <w:color w:val="auto"/>
                <w:sz w:val="18"/>
                <w:szCs w:val="18"/>
              </w:rPr>
              <w:t>t</w:t>
            </w:r>
            <w:r w:rsidRPr="006C148E">
              <w:rPr>
                <w:rFonts w:asciiTheme="minorHAnsi" w:eastAsiaTheme="minorHAnsi" w:hAnsiTheme="minorHAnsi"/>
                <w:color w:val="auto"/>
                <w:sz w:val="18"/>
                <w:szCs w:val="18"/>
              </w:rPr>
              <w:t xml:space="preserve">herapist documented Waddell’s sign  + light touch; no gait deviations     </w:t>
            </w:r>
            <w:r w:rsidR="004B3432" w:rsidRPr="006C148E">
              <w:rPr>
                <w:rFonts w:asciiTheme="minorHAnsi" w:eastAsiaTheme="minorHAnsi" w:hAnsiTheme="minorHAnsi"/>
                <w:color w:val="auto"/>
                <w:sz w:val="18"/>
                <w:szCs w:val="18"/>
              </w:rPr>
              <w:t>Pain limits ROM</w:t>
            </w:r>
            <w:r w:rsidR="00DF4CBD" w:rsidRPr="006C148E">
              <w:rPr>
                <w:rFonts w:asciiTheme="minorHAnsi" w:eastAsiaTheme="minorHAnsi" w:hAnsiTheme="minorHAnsi"/>
                <w:color w:val="auto"/>
                <w:sz w:val="18"/>
                <w:szCs w:val="18"/>
              </w:rPr>
              <w:t xml:space="preserve">; </w:t>
            </w:r>
            <w:r w:rsidR="004B3432" w:rsidRPr="006C148E">
              <w:rPr>
                <w:rFonts w:asciiTheme="minorHAnsi" w:eastAsiaTheme="minorHAnsi" w:hAnsiTheme="minorHAnsi"/>
                <w:color w:val="auto"/>
                <w:sz w:val="18"/>
                <w:szCs w:val="18"/>
              </w:rPr>
              <w:t>Tenderness of lower T spine and L paraspinals muscles</w:t>
            </w:r>
          </w:p>
        </w:tc>
        <w:tc>
          <w:tcPr>
            <w:tcW w:w="2428" w:type="dxa"/>
            <w:tcBorders>
              <w:top w:val="single" w:sz="4" w:space="0" w:color="000000"/>
              <w:left w:val="single" w:sz="4" w:space="0" w:color="000000"/>
              <w:bottom w:val="single" w:sz="4" w:space="0" w:color="000000"/>
              <w:right w:val="single" w:sz="4" w:space="0" w:color="000000"/>
            </w:tcBorders>
            <w:vAlign w:val="center"/>
          </w:tcPr>
          <w:p w:rsidR="00FE508D" w:rsidRPr="006C148E" w:rsidRDefault="001A1B73" w:rsidP="00FE508D">
            <w:pPr>
              <w:tabs>
                <w:tab w:val="left" w:pos="288"/>
                <w:tab w:val="left" w:pos="4752"/>
              </w:tabs>
              <w:spacing w:line="180" w:lineRule="exact"/>
              <w:rPr>
                <w:rFonts w:asciiTheme="minorHAnsi" w:eastAsiaTheme="minorHAnsi" w:hAnsiTheme="minorHAnsi"/>
                <w:color w:val="auto"/>
                <w:sz w:val="18"/>
                <w:szCs w:val="18"/>
              </w:rPr>
            </w:pPr>
            <w:r w:rsidRPr="006C148E">
              <w:rPr>
                <w:rFonts w:asciiTheme="minorHAnsi" w:eastAsiaTheme="minorHAnsi" w:hAnsiTheme="minorHAnsi"/>
                <w:color w:val="auto"/>
                <w:sz w:val="18"/>
                <w:szCs w:val="18"/>
              </w:rPr>
              <w:t xml:space="preserve">Spin joint function limited </w:t>
            </w:r>
            <w:r w:rsidR="002C1759" w:rsidRPr="006C148E">
              <w:rPr>
                <w:rFonts w:asciiTheme="minorHAnsi" w:eastAsiaTheme="minorHAnsi" w:hAnsiTheme="minorHAnsi"/>
                <w:color w:val="auto"/>
                <w:sz w:val="18"/>
                <w:szCs w:val="18"/>
              </w:rPr>
              <w:t>after</w:t>
            </w:r>
            <w:r w:rsidRPr="006C148E">
              <w:rPr>
                <w:rFonts w:asciiTheme="minorHAnsi" w:eastAsiaTheme="minorHAnsi" w:hAnsiTheme="minorHAnsi"/>
                <w:color w:val="auto"/>
                <w:sz w:val="18"/>
                <w:szCs w:val="18"/>
              </w:rPr>
              <w:t xml:space="preserve"> repetitive use by pain, </w:t>
            </w:r>
            <w:r w:rsidR="002C1759" w:rsidRPr="006C148E">
              <w:rPr>
                <w:rFonts w:asciiTheme="minorHAnsi" w:eastAsiaTheme="minorHAnsi" w:hAnsiTheme="minorHAnsi"/>
                <w:color w:val="auto"/>
                <w:sz w:val="18"/>
                <w:szCs w:val="18"/>
              </w:rPr>
              <w:t>fatigue, weakness,lack of</w:t>
            </w:r>
            <w:r w:rsidRPr="006C148E">
              <w:rPr>
                <w:rFonts w:asciiTheme="minorHAnsi" w:eastAsiaTheme="minorHAnsi" w:hAnsiTheme="minorHAnsi"/>
                <w:color w:val="auto"/>
                <w:sz w:val="18"/>
                <w:szCs w:val="18"/>
              </w:rPr>
              <w:t xml:space="preserve"> endurance and pain</w:t>
            </w:r>
            <w:r w:rsidR="008065DB" w:rsidRPr="006C148E">
              <w:rPr>
                <w:rFonts w:asciiTheme="minorHAnsi" w:eastAsiaTheme="minorHAnsi" w:hAnsiTheme="minorHAnsi"/>
                <w:color w:val="auto"/>
                <w:sz w:val="18"/>
                <w:szCs w:val="18"/>
              </w:rPr>
              <w:t xml:space="preserve"> …additionally limit by 10</w:t>
            </w:r>
            <w:r w:rsidR="008065DB" w:rsidRPr="006C148E">
              <w:rPr>
                <w:rFonts w:asciiTheme="minorHAnsi" w:eastAsia="Calibri" w:hAnsiTheme="minorHAnsi"/>
                <w:color w:val="auto"/>
                <w:sz w:val="18"/>
                <w:szCs w:val="18"/>
              </w:rPr>
              <w:t>⁰</w:t>
            </w:r>
          </w:p>
        </w:tc>
      </w:tr>
      <w:tr w:rsidR="00FE508D" w:rsidRPr="006C148E" w:rsidTr="006F3BF4">
        <w:trPr>
          <w:jc w:val="center"/>
        </w:trPr>
        <w:tc>
          <w:tcPr>
            <w:tcW w:w="2218" w:type="dxa"/>
            <w:tcBorders>
              <w:top w:val="single" w:sz="4" w:space="0" w:color="000000"/>
              <w:left w:val="single" w:sz="4" w:space="0" w:color="000000"/>
              <w:bottom w:val="single" w:sz="4" w:space="0" w:color="000000"/>
              <w:right w:val="single" w:sz="4" w:space="0" w:color="000000"/>
            </w:tcBorders>
            <w:vAlign w:val="center"/>
            <w:hideMark/>
          </w:tcPr>
          <w:p w:rsidR="00FE508D" w:rsidRPr="006C148E" w:rsidRDefault="00FE508D" w:rsidP="00942204">
            <w:pPr>
              <w:spacing w:line="180" w:lineRule="exact"/>
              <w:contextualSpacing/>
              <w:rPr>
                <w:rFonts w:asciiTheme="minorHAnsi" w:eastAsia="Calibri" w:hAnsiTheme="minorHAnsi"/>
                <w:color w:val="auto"/>
                <w:sz w:val="18"/>
                <w:szCs w:val="18"/>
              </w:rPr>
            </w:pPr>
            <w:r w:rsidRPr="006C148E">
              <w:rPr>
                <w:rFonts w:asciiTheme="minorHAnsi" w:eastAsia="Calibri" w:hAnsiTheme="minorHAnsi"/>
                <w:color w:val="auto"/>
                <w:sz w:val="18"/>
                <w:szCs w:val="18"/>
              </w:rPr>
              <w:t>§4.71a Rating</w:t>
            </w:r>
          </w:p>
        </w:tc>
        <w:tc>
          <w:tcPr>
            <w:tcW w:w="1822" w:type="dxa"/>
            <w:tcBorders>
              <w:top w:val="single" w:sz="4" w:space="0" w:color="000000"/>
              <w:left w:val="single" w:sz="4" w:space="0" w:color="000000"/>
              <w:bottom w:val="single" w:sz="4" w:space="0" w:color="000000"/>
              <w:right w:val="single" w:sz="4" w:space="0" w:color="000000"/>
            </w:tcBorders>
            <w:vAlign w:val="center"/>
            <w:hideMark/>
          </w:tcPr>
          <w:p w:rsidR="00FE508D" w:rsidRPr="006C148E" w:rsidRDefault="008972F3" w:rsidP="00FE508D">
            <w:pPr>
              <w:tabs>
                <w:tab w:val="left" w:pos="288"/>
                <w:tab w:val="left" w:pos="4752"/>
              </w:tabs>
              <w:spacing w:line="180" w:lineRule="exact"/>
              <w:jc w:val="center"/>
              <w:rPr>
                <w:rFonts w:asciiTheme="minorHAnsi" w:eastAsiaTheme="minorHAnsi" w:hAnsiTheme="minorHAnsi"/>
                <w:color w:val="auto"/>
                <w:sz w:val="18"/>
                <w:szCs w:val="18"/>
              </w:rPr>
            </w:pPr>
            <w:r w:rsidRPr="006C148E">
              <w:rPr>
                <w:rFonts w:asciiTheme="minorHAnsi" w:eastAsiaTheme="minorHAnsi" w:hAnsiTheme="minorHAnsi"/>
                <w:color w:val="auto"/>
                <w:sz w:val="18"/>
                <w:szCs w:val="18"/>
              </w:rPr>
              <w:t>10</w:t>
            </w:r>
            <w:r w:rsidR="00FE508D" w:rsidRPr="006C148E">
              <w:rPr>
                <w:rFonts w:asciiTheme="minorHAnsi" w:eastAsiaTheme="minorHAnsi" w:hAnsiTheme="minorHAnsi"/>
                <w:color w:val="auto"/>
                <w:sz w:val="18"/>
                <w:szCs w:val="18"/>
              </w:rPr>
              <w:t>%</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711871" w:rsidRPr="006C148E" w:rsidRDefault="001A1B73" w:rsidP="00DF4CBD">
            <w:pPr>
              <w:tabs>
                <w:tab w:val="left" w:pos="288"/>
                <w:tab w:val="left" w:pos="4752"/>
              </w:tabs>
              <w:spacing w:line="180" w:lineRule="exact"/>
              <w:jc w:val="center"/>
              <w:rPr>
                <w:rFonts w:asciiTheme="minorHAnsi" w:eastAsiaTheme="minorHAnsi" w:hAnsiTheme="minorHAnsi"/>
                <w:color w:val="auto"/>
                <w:sz w:val="18"/>
                <w:szCs w:val="18"/>
              </w:rPr>
            </w:pPr>
            <w:r w:rsidRPr="006C148E">
              <w:rPr>
                <w:rFonts w:asciiTheme="minorHAnsi" w:eastAsiaTheme="minorHAnsi" w:hAnsiTheme="minorHAnsi"/>
                <w:color w:val="auto"/>
                <w:sz w:val="18"/>
                <w:szCs w:val="18"/>
              </w:rPr>
              <w:t>10</w:t>
            </w:r>
            <w:r w:rsidR="00FE508D" w:rsidRPr="006C148E">
              <w:rPr>
                <w:rFonts w:asciiTheme="minorHAnsi" w:eastAsiaTheme="minorHAnsi" w:hAnsiTheme="minorHAnsi"/>
                <w:color w:val="auto"/>
                <w:sz w:val="18"/>
                <w:szCs w:val="18"/>
              </w:rPr>
              <w:t>%</w:t>
            </w:r>
            <w:r w:rsidR="00DF4CBD" w:rsidRPr="006C148E">
              <w:rPr>
                <w:rFonts w:asciiTheme="minorHAnsi" w:eastAsiaTheme="minorHAnsi" w:hAnsiTheme="minorHAnsi"/>
                <w:color w:val="auto"/>
                <w:sz w:val="18"/>
                <w:szCs w:val="18"/>
              </w:rPr>
              <w:t xml:space="preserve"> </w:t>
            </w:r>
            <w:r w:rsidR="00711871" w:rsidRPr="006C148E">
              <w:rPr>
                <w:rFonts w:asciiTheme="minorHAnsi" w:eastAsiaTheme="minorHAnsi" w:hAnsiTheme="minorHAnsi"/>
                <w:color w:val="auto"/>
                <w:sz w:val="18"/>
                <w:szCs w:val="18"/>
              </w:rPr>
              <w:t>(MEB 0%)</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711871" w:rsidRPr="006C148E" w:rsidRDefault="00711871" w:rsidP="00DF4CBD">
            <w:pPr>
              <w:tabs>
                <w:tab w:val="left" w:pos="288"/>
                <w:tab w:val="left" w:pos="4752"/>
              </w:tabs>
              <w:spacing w:line="180" w:lineRule="exact"/>
              <w:jc w:val="center"/>
              <w:rPr>
                <w:rFonts w:asciiTheme="minorHAnsi" w:eastAsiaTheme="minorHAnsi" w:hAnsiTheme="minorHAnsi"/>
                <w:color w:val="auto"/>
                <w:sz w:val="18"/>
                <w:szCs w:val="18"/>
              </w:rPr>
            </w:pPr>
            <w:r w:rsidRPr="006C148E">
              <w:rPr>
                <w:rFonts w:asciiTheme="minorHAnsi" w:eastAsiaTheme="minorHAnsi" w:hAnsiTheme="minorHAnsi"/>
                <w:color w:val="auto"/>
                <w:sz w:val="18"/>
                <w:szCs w:val="18"/>
              </w:rPr>
              <w:t>10%</w:t>
            </w:r>
          </w:p>
        </w:tc>
      </w:tr>
    </w:tbl>
    <w:p w:rsidR="00FE508D" w:rsidRPr="006C148E" w:rsidRDefault="00FE508D" w:rsidP="00FE508D">
      <w:pPr>
        <w:spacing w:line="180" w:lineRule="exact"/>
        <w:rPr>
          <w:rFonts w:asciiTheme="minorHAnsi" w:eastAsiaTheme="minorHAnsi" w:hAnsiTheme="minorHAnsi" w:cstheme="minorBidi"/>
          <w:color w:val="auto"/>
          <w:sz w:val="18"/>
          <w:szCs w:val="18"/>
        </w:rPr>
      </w:pPr>
    </w:p>
    <w:p w:rsidR="00DF4CBD" w:rsidRPr="006C148E" w:rsidRDefault="00D2341A" w:rsidP="002C1759">
      <w:pPr>
        <w:tabs>
          <w:tab w:val="left" w:pos="288"/>
          <w:tab w:val="left" w:pos="4752"/>
        </w:tabs>
        <w:spacing w:line="240" w:lineRule="exact"/>
        <w:jc w:val="both"/>
        <w:rPr>
          <w:rFonts w:asciiTheme="minorHAnsi" w:hAnsiTheme="minorHAnsi"/>
          <w:color w:val="auto"/>
          <w:szCs w:val="24"/>
        </w:rPr>
      </w:pPr>
      <w:r w:rsidRPr="006C148E">
        <w:rPr>
          <w:rFonts w:asciiTheme="minorHAnsi" w:hAnsiTheme="minorHAnsi"/>
          <w:color w:val="auto"/>
          <w:szCs w:val="24"/>
        </w:rPr>
        <w:t xml:space="preserve">The </w:t>
      </w:r>
      <w:r w:rsidR="002C1759" w:rsidRPr="006C148E">
        <w:rPr>
          <w:rFonts w:asciiTheme="minorHAnsi" w:hAnsiTheme="minorHAnsi"/>
          <w:color w:val="auto"/>
          <w:szCs w:val="24"/>
        </w:rPr>
        <w:t>PT</w:t>
      </w:r>
      <w:r w:rsidR="00AE2957" w:rsidRPr="006C148E">
        <w:rPr>
          <w:rFonts w:asciiTheme="minorHAnsi" w:hAnsiTheme="minorHAnsi"/>
          <w:color w:val="auto"/>
          <w:szCs w:val="24"/>
        </w:rPr>
        <w:t xml:space="preserve"> </w:t>
      </w:r>
      <w:r w:rsidRPr="006C148E">
        <w:rPr>
          <w:rFonts w:asciiTheme="minorHAnsi" w:hAnsiTheme="minorHAnsi"/>
          <w:color w:val="auto"/>
          <w:szCs w:val="24"/>
        </w:rPr>
        <w:t xml:space="preserve">exam </w:t>
      </w:r>
      <w:r w:rsidR="00AE2957" w:rsidRPr="006C148E">
        <w:rPr>
          <w:rFonts w:asciiTheme="minorHAnsi" w:hAnsiTheme="minorHAnsi"/>
          <w:color w:val="auto"/>
          <w:szCs w:val="24"/>
        </w:rPr>
        <w:t>four months prior to separation</w:t>
      </w:r>
      <w:r w:rsidR="006F3BF4" w:rsidRPr="006C148E">
        <w:rPr>
          <w:rFonts w:asciiTheme="minorHAnsi" w:hAnsiTheme="minorHAnsi"/>
          <w:color w:val="auto"/>
          <w:szCs w:val="24"/>
        </w:rPr>
        <w:t xml:space="preserve"> </w:t>
      </w:r>
      <w:r w:rsidR="00AE2957" w:rsidRPr="006C148E">
        <w:rPr>
          <w:rFonts w:asciiTheme="minorHAnsi" w:hAnsiTheme="minorHAnsi"/>
          <w:color w:val="auto"/>
          <w:szCs w:val="24"/>
        </w:rPr>
        <w:t xml:space="preserve">indicated the CI complained of constant pain that ranged </w:t>
      </w:r>
      <w:r w:rsidR="00541800" w:rsidRPr="006C148E">
        <w:rPr>
          <w:rFonts w:asciiTheme="minorHAnsi" w:hAnsiTheme="minorHAnsi"/>
          <w:color w:val="auto"/>
          <w:szCs w:val="24"/>
        </w:rPr>
        <w:t>from</w:t>
      </w:r>
      <w:r w:rsidR="00AE2957" w:rsidRPr="006C148E">
        <w:rPr>
          <w:rFonts w:asciiTheme="minorHAnsi" w:hAnsiTheme="minorHAnsi"/>
          <w:color w:val="auto"/>
          <w:szCs w:val="24"/>
        </w:rPr>
        <w:t xml:space="preserve"> 1/10 with ten being the worst when lying supine and 6/10 with repeatedly bending forward and walking greater than 20 minutes.  The CI also complained that all active ROM </w:t>
      </w:r>
      <w:r w:rsidR="00541800" w:rsidRPr="006C148E">
        <w:rPr>
          <w:rFonts w:asciiTheme="minorHAnsi" w:hAnsiTheme="minorHAnsi"/>
          <w:color w:val="auto"/>
          <w:szCs w:val="24"/>
        </w:rPr>
        <w:t>caused</w:t>
      </w:r>
      <w:r w:rsidR="00AE2957" w:rsidRPr="006C148E">
        <w:rPr>
          <w:rFonts w:asciiTheme="minorHAnsi" w:hAnsiTheme="minorHAnsi"/>
          <w:color w:val="auto"/>
          <w:szCs w:val="24"/>
        </w:rPr>
        <w:t xml:space="preserve"> increased pain with bilateral rotation and </w:t>
      </w:r>
      <w:r w:rsidR="00541800" w:rsidRPr="006C148E">
        <w:rPr>
          <w:rFonts w:asciiTheme="minorHAnsi" w:hAnsiTheme="minorHAnsi"/>
          <w:color w:val="auto"/>
          <w:szCs w:val="24"/>
        </w:rPr>
        <w:t>he had daily numbness in his right lateral thigh.  The examiner documented that there was a Waddell</w:t>
      </w:r>
      <w:r w:rsidR="00DF4CBD" w:rsidRPr="006C148E">
        <w:rPr>
          <w:rFonts w:asciiTheme="minorHAnsi" w:hAnsiTheme="minorHAnsi"/>
          <w:color w:val="auto"/>
          <w:szCs w:val="24"/>
        </w:rPr>
        <w:t xml:space="preserve"> sign of positive hyper-reaction to light touch.</w:t>
      </w:r>
      <w:r w:rsidR="006C148E">
        <w:rPr>
          <w:rFonts w:asciiTheme="minorHAnsi" w:hAnsiTheme="minorHAnsi"/>
          <w:color w:val="auto"/>
          <w:szCs w:val="24"/>
        </w:rPr>
        <w:t xml:space="preserve">  </w:t>
      </w:r>
      <w:r w:rsidR="00541800" w:rsidRPr="006C148E">
        <w:rPr>
          <w:rFonts w:asciiTheme="minorHAnsi" w:hAnsiTheme="minorHAnsi"/>
          <w:color w:val="auto"/>
          <w:szCs w:val="24"/>
        </w:rPr>
        <w:t xml:space="preserve">The MEB exam </w:t>
      </w:r>
      <w:r w:rsidR="0074077D" w:rsidRPr="006C148E">
        <w:rPr>
          <w:rFonts w:asciiTheme="minorHAnsi" w:hAnsiTheme="minorHAnsi"/>
          <w:color w:val="auto"/>
          <w:szCs w:val="24"/>
        </w:rPr>
        <w:t xml:space="preserve">three </w:t>
      </w:r>
      <w:r w:rsidR="00541800" w:rsidRPr="006C148E">
        <w:rPr>
          <w:rFonts w:asciiTheme="minorHAnsi" w:hAnsiTheme="minorHAnsi"/>
          <w:color w:val="auto"/>
          <w:szCs w:val="24"/>
        </w:rPr>
        <w:t xml:space="preserve">months prior to separation indicated that the CI wore a Jewett brace for approximately two to three weeks and has a TENS unit which helped prevent muscle spasms.  The CI complained of feeling that his right leg was </w:t>
      </w:r>
      <w:r w:rsidR="002C1759" w:rsidRPr="006C148E">
        <w:rPr>
          <w:rFonts w:asciiTheme="minorHAnsi" w:hAnsiTheme="minorHAnsi"/>
          <w:color w:val="auto"/>
          <w:szCs w:val="24"/>
        </w:rPr>
        <w:t>vibrating and</w:t>
      </w:r>
      <w:r w:rsidR="00541800" w:rsidRPr="006C148E">
        <w:rPr>
          <w:rFonts w:asciiTheme="minorHAnsi" w:hAnsiTheme="minorHAnsi"/>
          <w:color w:val="auto"/>
          <w:szCs w:val="24"/>
        </w:rPr>
        <w:t xml:space="preserve"> his average pain was 4/10</w:t>
      </w:r>
      <w:r w:rsidR="00942204">
        <w:rPr>
          <w:rFonts w:asciiTheme="minorHAnsi" w:hAnsiTheme="minorHAnsi"/>
          <w:color w:val="auto"/>
          <w:szCs w:val="24"/>
        </w:rPr>
        <w:t>,</w:t>
      </w:r>
      <w:r w:rsidR="00541800" w:rsidRPr="006C148E">
        <w:rPr>
          <w:rFonts w:asciiTheme="minorHAnsi" w:hAnsiTheme="minorHAnsi"/>
          <w:color w:val="auto"/>
          <w:szCs w:val="24"/>
        </w:rPr>
        <w:t xml:space="preserve"> aggravated by prolonged walking, bending</w:t>
      </w:r>
      <w:r w:rsidR="0074077D" w:rsidRPr="006C148E">
        <w:rPr>
          <w:rFonts w:asciiTheme="minorHAnsi" w:hAnsiTheme="minorHAnsi"/>
          <w:color w:val="auto"/>
          <w:szCs w:val="24"/>
        </w:rPr>
        <w:t xml:space="preserve">, </w:t>
      </w:r>
      <w:r w:rsidR="00541800" w:rsidRPr="006C148E">
        <w:rPr>
          <w:rFonts w:asciiTheme="minorHAnsi" w:hAnsiTheme="minorHAnsi"/>
          <w:color w:val="auto"/>
          <w:szCs w:val="24"/>
        </w:rPr>
        <w:t xml:space="preserve">running </w:t>
      </w:r>
      <w:r w:rsidR="0074077D" w:rsidRPr="006C148E">
        <w:rPr>
          <w:rFonts w:asciiTheme="minorHAnsi" w:hAnsiTheme="minorHAnsi"/>
          <w:color w:val="auto"/>
          <w:szCs w:val="24"/>
        </w:rPr>
        <w:t xml:space="preserve">which was limited to 500 yards without pain.  The physical exam indicated tenderness to </w:t>
      </w:r>
      <w:r w:rsidR="002C1759" w:rsidRPr="006C148E">
        <w:rPr>
          <w:rFonts w:asciiTheme="minorHAnsi" w:hAnsiTheme="minorHAnsi"/>
          <w:color w:val="auto"/>
          <w:szCs w:val="24"/>
        </w:rPr>
        <w:t>the</w:t>
      </w:r>
      <w:r w:rsidR="0074077D" w:rsidRPr="006C148E">
        <w:rPr>
          <w:rFonts w:asciiTheme="minorHAnsi" w:hAnsiTheme="minorHAnsi"/>
          <w:color w:val="auto"/>
          <w:szCs w:val="24"/>
        </w:rPr>
        <w:t xml:space="preserve"> lower thoracic spine and left paraspinals muscles and the ROM was limited by pain. </w:t>
      </w:r>
      <w:r w:rsidR="00DF4CBD" w:rsidRPr="006C148E">
        <w:rPr>
          <w:rFonts w:asciiTheme="minorHAnsi" w:hAnsiTheme="minorHAnsi"/>
          <w:color w:val="auto"/>
          <w:szCs w:val="24"/>
        </w:rPr>
        <w:t xml:space="preserve"> </w:t>
      </w:r>
      <w:r w:rsidR="0074077D" w:rsidRPr="006C148E">
        <w:rPr>
          <w:rFonts w:asciiTheme="minorHAnsi" w:hAnsiTheme="minorHAnsi"/>
          <w:color w:val="auto"/>
          <w:szCs w:val="24"/>
        </w:rPr>
        <w:t>A</w:t>
      </w:r>
      <w:r w:rsidR="00942204">
        <w:rPr>
          <w:rFonts w:asciiTheme="minorHAnsi" w:hAnsiTheme="minorHAnsi"/>
          <w:color w:val="auto"/>
          <w:szCs w:val="24"/>
        </w:rPr>
        <w:t xml:space="preserve"> magnetic resonance imaging (</w:t>
      </w:r>
      <w:r w:rsidR="0074077D" w:rsidRPr="006C148E">
        <w:rPr>
          <w:rFonts w:asciiTheme="minorHAnsi" w:hAnsiTheme="minorHAnsi"/>
          <w:color w:val="auto"/>
          <w:szCs w:val="24"/>
        </w:rPr>
        <w:t>MRI</w:t>
      </w:r>
      <w:r w:rsidR="00942204">
        <w:rPr>
          <w:rFonts w:asciiTheme="minorHAnsi" w:hAnsiTheme="minorHAnsi"/>
          <w:color w:val="auto"/>
          <w:szCs w:val="24"/>
        </w:rPr>
        <w:t>)</w:t>
      </w:r>
      <w:r w:rsidR="0074077D" w:rsidRPr="006C148E">
        <w:rPr>
          <w:rFonts w:asciiTheme="minorHAnsi" w:hAnsiTheme="minorHAnsi"/>
          <w:color w:val="auto"/>
          <w:szCs w:val="24"/>
        </w:rPr>
        <w:t xml:space="preserve"> had findings of a </w:t>
      </w:r>
      <w:r w:rsidR="006F3BF4" w:rsidRPr="006C148E">
        <w:rPr>
          <w:rFonts w:asciiTheme="minorHAnsi" w:hAnsiTheme="minorHAnsi"/>
          <w:color w:val="auto"/>
          <w:szCs w:val="24"/>
        </w:rPr>
        <w:t>mild anterior wedge deformity.</w:t>
      </w:r>
    </w:p>
    <w:p w:rsidR="00DF4CBD" w:rsidRPr="006C148E" w:rsidRDefault="00DF4CBD" w:rsidP="002C1759">
      <w:pPr>
        <w:tabs>
          <w:tab w:val="left" w:pos="288"/>
          <w:tab w:val="left" w:pos="4752"/>
        </w:tabs>
        <w:spacing w:line="240" w:lineRule="exact"/>
        <w:jc w:val="both"/>
        <w:rPr>
          <w:rFonts w:asciiTheme="minorHAnsi" w:hAnsiTheme="minorHAnsi"/>
          <w:color w:val="auto"/>
          <w:szCs w:val="24"/>
        </w:rPr>
      </w:pPr>
    </w:p>
    <w:p w:rsidR="00513A48" w:rsidRPr="006C148E" w:rsidRDefault="004A30E8" w:rsidP="002C1759">
      <w:pPr>
        <w:tabs>
          <w:tab w:val="left" w:pos="288"/>
          <w:tab w:val="left" w:pos="4752"/>
        </w:tabs>
        <w:spacing w:line="240" w:lineRule="exact"/>
        <w:jc w:val="both"/>
        <w:rPr>
          <w:rFonts w:asciiTheme="minorHAnsi" w:hAnsiTheme="minorHAnsi"/>
          <w:color w:val="auto"/>
          <w:szCs w:val="24"/>
        </w:rPr>
      </w:pPr>
      <w:r w:rsidRPr="006C148E">
        <w:rPr>
          <w:rFonts w:asciiTheme="minorHAnsi" w:hAnsiTheme="minorHAnsi"/>
          <w:color w:val="auto"/>
          <w:szCs w:val="24"/>
        </w:rPr>
        <w:t xml:space="preserve">In the VA </w:t>
      </w:r>
      <w:r w:rsidR="00942204">
        <w:rPr>
          <w:rFonts w:asciiTheme="minorHAnsi" w:hAnsiTheme="minorHAnsi"/>
          <w:color w:val="auto"/>
          <w:szCs w:val="24"/>
        </w:rPr>
        <w:t>c</w:t>
      </w:r>
      <w:r w:rsidRPr="006C148E">
        <w:rPr>
          <w:rFonts w:asciiTheme="minorHAnsi" w:hAnsiTheme="minorHAnsi"/>
          <w:color w:val="auto"/>
          <w:szCs w:val="24"/>
        </w:rPr>
        <w:t xml:space="preserve">ompensation </w:t>
      </w:r>
      <w:r w:rsidR="00942204">
        <w:rPr>
          <w:rFonts w:asciiTheme="minorHAnsi" w:hAnsiTheme="minorHAnsi"/>
          <w:color w:val="auto"/>
          <w:szCs w:val="24"/>
        </w:rPr>
        <w:t>and</w:t>
      </w:r>
      <w:r w:rsidRPr="006C148E">
        <w:rPr>
          <w:rFonts w:asciiTheme="minorHAnsi" w:hAnsiTheme="minorHAnsi"/>
          <w:color w:val="auto"/>
          <w:szCs w:val="24"/>
        </w:rPr>
        <w:t xml:space="preserve"> </w:t>
      </w:r>
      <w:r w:rsidR="00942204">
        <w:rPr>
          <w:rFonts w:asciiTheme="minorHAnsi" w:hAnsiTheme="minorHAnsi"/>
          <w:color w:val="auto"/>
          <w:szCs w:val="24"/>
        </w:rPr>
        <w:t>p</w:t>
      </w:r>
      <w:r w:rsidRPr="006C148E">
        <w:rPr>
          <w:rFonts w:asciiTheme="minorHAnsi" w:hAnsiTheme="minorHAnsi"/>
          <w:color w:val="auto"/>
          <w:szCs w:val="24"/>
        </w:rPr>
        <w:t>ension examination one month prior to separation</w:t>
      </w:r>
      <w:r w:rsidR="00942204">
        <w:rPr>
          <w:rFonts w:asciiTheme="minorHAnsi" w:hAnsiTheme="minorHAnsi"/>
          <w:color w:val="auto"/>
          <w:szCs w:val="24"/>
        </w:rPr>
        <w:t>,</w:t>
      </w:r>
      <w:r w:rsidR="00BE64D0">
        <w:rPr>
          <w:rFonts w:asciiTheme="minorHAnsi" w:hAnsiTheme="minorHAnsi"/>
          <w:color w:val="auto"/>
          <w:szCs w:val="24"/>
        </w:rPr>
        <w:t xml:space="preserve"> </w:t>
      </w:r>
      <w:r w:rsidRPr="006C148E">
        <w:rPr>
          <w:rFonts w:asciiTheme="minorHAnsi" w:hAnsiTheme="minorHAnsi"/>
          <w:color w:val="auto"/>
          <w:szCs w:val="24"/>
        </w:rPr>
        <w:t>the CI</w:t>
      </w:r>
      <w:r w:rsidRPr="006C148E">
        <w:rPr>
          <w:rFonts w:asciiTheme="minorHAnsi" w:hAnsiTheme="minorHAnsi"/>
          <w:i/>
          <w:color w:val="auto"/>
          <w:sz w:val="20"/>
        </w:rPr>
        <w:t xml:space="preserve"> </w:t>
      </w:r>
      <w:r w:rsidRPr="006C148E">
        <w:rPr>
          <w:rFonts w:asciiTheme="minorHAnsi" w:hAnsiTheme="minorHAnsi"/>
          <w:color w:val="auto"/>
          <w:szCs w:val="24"/>
        </w:rPr>
        <w:t xml:space="preserve">complained of </w:t>
      </w:r>
      <w:r w:rsidR="00361302" w:rsidRPr="006C148E">
        <w:rPr>
          <w:rFonts w:asciiTheme="minorHAnsi" w:hAnsiTheme="minorHAnsi"/>
          <w:color w:val="auto"/>
          <w:szCs w:val="24"/>
        </w:rPr>
        <w:t xml:space="preserve">constant, </w:t>
      </w:r>
      <w:r w:rsidRPr="006C148E">
        <w:rPr>
          <w:rFonts w:asciiTheme="minorHAnsi" w:hAnsiTheme="minorHAnsi"/>
          <w:color w:val="auto"/>
          <w:szCs w:val="24"/>
        </w:rPr>
        <w:t xml:space="preserve">stiffness and weakness in the low back </w:t>
      </w:r>
      <w:proofErr w:type="gramStart"/>
      <w:r w:rsidRPr="006C148E">
        <w:rPr>
          <w:rFonts w:asciiTheme="minorHAnsi" w:hAnsiTheme="minorHAnsi"/>
          <w:color w:val="auto"/>
          <w:szCs w:val="24"/>
        </w:rPr>
        <w:t xml:space="preserve">which occurred </w:t>
      </w:r>
      <w:r w:rsidR="00361302" w:rsidRPr="006C148E">
        <w:rPr>
          <w:rFonts w:asciiTheme="minorHAnsi" w:hAnsiTheme="minorHAnsi"/>
          <w:color w:val="auto"/>
          <w:szCs w:val="24"/>
        </w:rPr>
        <w:t xml:space="preserve">with and </w:t>
      </w:r>
      <w:r w:rsidR="00017025" w:rsidRPr="006C148E">
        <w:rPr>
          <w:rFonts w:asciiTheme="minorHAnsi" w:hAnsiTheme="minorHAnsi"/>
          <w:color w:val="auto"/>
          <w:szCs w:val="24"/>
        </w:rPr>
        <w:t>without</w:t>
      </w:r>
      <w:r w:rsidR="00361302" w:rsidRPr="006C148E">
        <w:rPr>
          <w:rFonts w:asciiTheme="minorHAnsi" w:hAnsiTheme="minorHAnsi"/>
          <w:color w:val="auto"/>
          <w:szCs w:val="24"/>
        </w:rPr>
        <w:t xml:space="preserve"> </w:t>
      </w:r>
      <w:r w:rsidR="00017025" w:rsidRPr="006C148E">
        <w:rPr>
          <w:rFonts w:asciiTheme="minorHAnsi" w:hAnsiTheme="minorHAnsi"/>
          <w:color w:val="auto"/>
          <w:szCs w:val="24"/>
        </w:rPr>
        <w:t>physical</w:t>
      </w:r>
      <w:r w:rsidR="00361302" w:rsidRPr="006C148E">
        <w:rPr>
          <w:rFonts w:asciiTheme="minorHAnsi" w:hAnsiTheme="minorHAnsi"/>
          <w:color w:val="auto"/>
          <w:szCs w:val="24"/>
        </w:rPr>
        <w:t xml:space="preserve"> activity.</w:t>
      </w:r>
      <w:proofErr w:type="gramEnd"/>
      <w:r w:rsidR="00361302" w:rsidRPr="006C148E">
        <w:rPr>
          <w:rFonts w:asciiTheme="minorHAnsi" w:hAnsiTheme="minorHAnsi"/>
          <w:color w:val="auto"/>
          <w:szCs w:val="24"/>
        </w:rPr>
        <w:t xml:space="preserve">  The CI further described the pain as aching, sharp, sticking and cramping and he rated the pain level as 5 with 10 being the worst.  The CI required narcotic </w:t>
      </w:r>
      <w:r w:rsidR="00361302" w:rsidRPr="00942204">
        <w:rPr>
          <w:rFonts w:asciiTheme="minorHAnsi" w:hAnsiTheme="minorHAnsi"/>
          <w:color w:val="auto"/>
          <w:szCs w:val="24"/>
        </w:rPr>
        <w:t>medication (</w:t>
      </w:r>
      <w:proofErr w:type="spellStart"/>
      <w:r w:rsidR="00942204">
        <w:rPr>
          <w:rFonts w:asciiTheme="minorHAnsi" w:hAnsiTheme="minorHAnsi"/>
          <w:color w:val="auto"/>
          <w:szCs w:val="24"/>
        </w:rPr>
        <w:t>p</w:t>
      </w:r>
      <w:r w:rsidR="00361302" w:rsidRPr="00942204">
        <w:rPr>
          <w:rFonts w:asciiTheme="minorHAnsi" w:hAnsiTheme="minorHAnsi"/>
          <w:color w:val="auto"/>
          <w:szCs w:val="24"/>
        </w:rPr>
        <w:t>ercocet</w:t>
      </w:r>
      <w:proofErr w:type="spellEnd"/>
      <w:r w:rsidR="00361302" w:rsidRPr="00942204">
        <w:rPr>
          <w:rFonts w:asciiTheme="minorHAnsi" w:hAnsiTheme="minorHAnsi"/>
          <w:color w:val="auto"/>
          <w:szCs w:val="24"/>
        </w:rPr>
        <w:t>)</w:t>
      </w:r>
      <w:r w:rsidR="00017025" w:rsidRPr="00942204">
        <w:rPr>
          <w:rFonts w:asciiTheme="minorHAnsi" w:hAnsiTheme="minorHAnsi"/>
          <w:color w:val="auto"/>
          <w:szCs w:val="24"/>
        </w:rPr>
        <w:t xml:space="preserve"> and a muscle relaxant (</w:t>
      </w:r>
      <w:proofErr w:type="spellStart"/>
      <w:r w:rsidR="00942204">
        <w:rPr>
          <w:rFonts w:asciiTheme="minorHAnsi" w:hAnsiTheme="minorHAnsi"/>
          <w:color w:val="auto"/>
          <w:szCs w:val="24"/>
        </w:rPr>
        <w:t>f</w:t>
      </w:r>
      <w:r w:rsidR="00017025" w:rsidRPr="00942204">
        <w:rPr>
          <w:rFonts w:asciiTheme="minorHAnsi" w:hAnsiTheme="minorHAnsi"/>
          <w:color w:val="auto"/>
          <w:szCs w:val="24"/>
        </w:rPr>
        <w:t>lexeril</w:t>
      </w:r>
      <w:proofErr w:type="spellEnd"/>
      <w:r w:rsidR="00017025" w:rsidRPr="00942204">
        <w:rPr>
          <w:rFonts w:asciiTheme="minorHAnsi" w:hAnsiTheme="minorHAnsi"/>
          <w:color w:val="auto"/>
          <w:szCs w:val="24"/>
        </w:rPr>
        <w:t>)</w:t>
      </w:r>
      <w:r w:rsidR="00361302" w:rsidRPr="00942204">
        <w:rPr>
          <w:rFonts w:asciiTheme="minorHAnsi" w:hAnsiTheme="minorHAnsi"/>
          <w:color w:val="auto"/>
          <w:szCs w:val="24"/>
        </w:rPr>
        <w:t xml:space="preserve"> for</w:t>
      </w:r>
      <w:r w:rsidR="00361302" w:rsidRPr="006C148E">
        <w:rPr>
          <w:rFonts w:asciiTheme="minorHAnsi" w:hAnsiTheme="minorHAnsi"/>
          <w:color w:val="auto"/>
          <w:szCs w:val="24"/>
        </w:rPr>
        <w:t xml:space="preserve"> pain relief</w:t>
      </w:r>
      <w:r w:rsidR="00017025" w:rsidRPr="006C148E">
        <w:rPr>
          <w:rFonts w:asciiTheme="minorHAnsi" w:hAnsiTheme="minorHAnsi"/>
          <w:color w:val="auto"/>
          <w:szCs w:val="24"/>
        </w:rPr>
        <w:t xml:space="preserve">.  The CI denied being incapacitated from his </w:t>
      </w:r>
      <w:r w:rsidR="00281444" w:rsidRPr="006C148E">
        <w:rPr>
          <w:rFonts w:asciiTheme="minorHAnsi" w:hAnsiTheme="minorHAnsi"/>
          <w:color w:val="auto"/>
          <w:szCs w:val="24"/>
        </w:rPr>
        <w:t>condition;</w:t>
      </w:r>
      <w:r w:rsidR="00017025" w:rsidRPr="006C148E">
        <w:rPr>
          <w:rFonts w:asciiTheme="minorHAnsi" w:hAnsiTheme="minorHAnsi"/>
          <w:color w:val="auto"/>
          <w:szCs w:val="24"/>
        </w:rPr>
        <w:t xml:space="preserve"> however</w:t>
      </w:r>
      <w:r w:rsidR="00DF4CBD" w:rsidRPr="006C148E">
        <w:rPr>
          <w:rFonts w:asciiTheme="minorHAnsi" w:hAnsiTheme="minorHAnsi"/>
          <w:color w:val="auto"/>
          <w:szCs w:val="24"/>
        </w:rPr>
        <w:t>,</w:t>
      </w:r>
      <w:r w:rsidR="00017025" w:rsidRPr="006C148E">
        <w:rPr>
          <w:rFonts w:asciiTheme="minorHAnsi" w:hAnsiTheme="minorHAnsi"/>
          <w:color w:val="auto"/>
          <w:szCs w:val="24"/>
        </w:rPr>
        <w:t xml:space="preserve"> he could not vacuum, walk, shop, perform gardening </w:t>
      </w:r>
      <w:r w:rsidR="002C1759" w:rsidRPr="006C148E">
        <w:rPr>
          <w:rFonts w:asciiTheme="minorHAnsi" w:hAnsiTheme="minorHAnsi"/>
          <w:color w:val="auto"/>
          <w:szCs w:val="24"/>
        </w:rPr>
        <w:t>activities</w:t>
      </w:r>
      <w:r w:rsidR="00017025" w:rsidRPr="006C148E">
        <w:rPr>
          <w:rFonts w:asciiTheme="minorHAnsi" w:hAnsiTheme="minorHAnsi"/>
          <w:color w:val="auto"/>
          <w:szCs w:val="24"/>
        </w:rPr>
        <w:t xml:space="preserve"> or push a lawn mower.  The physical exam findings were tenderness, and after repetitive use, joint function was further limited by pain, weakness, lack of endurance and pain.  The examiner opined that the objective factors that contribute</w:t>
      </w:r>
      <w:r w:rsidR="004354D7" w:rsidRPr="006C148E">
        <w:rPr>
          <w:rFonts w:asciiTheme="minorHAnsi" w:hAnsiTheme="minorHAnsi"/>
          <w:color w:val="auto"/>
          <w:szCs w:val="24"/>
        </w:rPr>
        <w:t>d to the CI’s disability</w:t>
      </w:r>
      <w:r w:rsidR="00017025" w:rsidRPr="006C148E">
        <w:rPr>
          <w:rFonts w:asciiTheme="minorHAnsi" w:hAnsiTheme="minorHAnsi"/>
          <w:color w:val="auto"/>
          <w:szCs w:val="24"/>
        </w:rPr>
        <w:t xml:space="preserve"> were ROM and x-ray findings</w:t>
      </w:r>
      <w:r w:rsidR="004354D7" w:rsidRPr="006C148E">
        <w:rPr>
          <w:rFonts w:asciiTheme="minorHAnsi" w:hAnsiTheme="minorHAnsi"/>
          <w:color w:val="auto"/>
          <w:szCs w:val="24"/>
        </w:rPr>
        <w:t>.</w:t>
      </w:r>
    </w:p>
    <w:p w:rsidR="00513A48" w:rsidRPr="006C148E" w:rsidRDefault="00513A48" w:rsidP="002C1759">
      <w:pPr>
        <w:tabs>
          <w:tab w:val="left" w:pos="288"/>
          <w:tab w:val="left" w:pos="4752"/>
        </w:tabs>
        <w:spacing w:line="240" w:lineRule="exact"/>
        <w:jc w:val="both"/>
        <w:rPr>
          <w:rFonts w:asciiTheme="minorHAnsi" w:hAnsiTheme="minorHAnsi"/>
          <w:color w:val="auto"/>
          <w:szCs w:val="24"/>
        </w:rPr>
      </w:pPr>
    </w:p>
    <w:p w:rsidR="001C325B" w:rsidRPr="006C148E" w:rsidRDefault="00281444" w:rsidP="00281444">
      <w:pPr>
        <w:tabs>
          <w:tab w:val="left" w:pos="288"/>
          <w:tab w:val="left" w:pos="4752"/>
        </w:tabs>
        <w:spacing w:line="240" w:lineRule="exact"/>
        <w:jc w:val="both"/>
        <w:rPr>
          <w:rFonts w:asciiTheme="minorHAnsi" w:hAnsiTheme="minorHAnsi"/>
          <w:color w:val="auto"/>
          <w:szCs w:val="24"/>
        </w:rPr>
      </w:pPr>
      <w:r w:rsidRPr="006C148E">
        <w:rPr>
          <w:rFonts w:asciiTheme="minorHAnsi" w:hAnsiTheme="minorHAnsi"/>
          <w:color w:val="auto"/>
          <w:szCs w:val="24"/>
        </w:rPr>
        <w:t xml:space="preserve">There was no evidence of a lower extremity motor deficit and the CI’s sensory radiculopathy did not limit duty performance.  The CI’s pain symptoms and pain radiculopathy is considered under the </w:t>
      </w:r>
      <w:r w:rsidR="00BE64D0" w:rsidRPr="006C148E">
        <w:rPr>
          <w:rFonts w:asciiTheme="minorHAnsi" w:hAnsiTheme="minorHAnsi"/>
          <w:color w:val="auto"/>
          <w:szCs w:val="24"/>
        </w:rPr>
        <w:t xml:space="preserve">general rating formula for diseases of the spine </w:t>
      </w:r>
      <w:r w:rsidRPr="006C148E">
        <w:rPr>
          <w:rFonts w:asciiTheme="minorHAnsi" w:hAnsiTheme="minorHAnsi"/>
          <w:color w:val="auto"/>
          <w:szCs w:val="24"/>
        </w:rPr>
        <w:t>“with or without symptoms such as pain (whether or not it radiates), stiffness or aching in the area of the spine affected by residuals of injury or disease</w:t>
      </w:r>
      <w:r w:rsidR="00BE64D0">
        <w:rPr>
          <w:rFonts w:asciiTheme="minorHAnsi" w:hAnsiTheme="minorHAnsi"/>
          <w:color w:val="auto"/>
          <w:szCs w:val="24"/>
        </w:rPr>
        <w:t>.</w:t>
      </w:r>
      <w:r w:rsidRPr="006C148E">
        <w:rPr>
          <w:rFonts w:asciiTheme="minorHAnsi" w:hAnsiTheme="minorHAnsi"/>
          <w:color w:val="auto"/>
          <w:szCs w:val="24"/>
        </w:rPr>
        <w:t>”  There were no periods of incapacitation IAW VASRD 5243 and radiographic evidence did not indicate vertebral body fracture with loss of 50</w:t>
      </w:r>
      <w:r w:rsidR="00BE64D0">
        <w:rPr>
          <w:rFonts w:asciiTheme="minorHAnsi" w:hAnsiTheme="minorHAnsi"/>
          <w:color w:val="auto"/>
          <w:szCs w:val="24"/>
        </w:rPr>
        <w:t>%</w:t>
      </w:r>
      <w:r w:rsidRPr="006C148E">
        <w:rPr>
          <w:rFonts w:asciiTheme="minorHAnsi" w:hAnsiTheme="minorHAnsi"/>
          <w:color w:val="auto"/>
          <w:szCs w:val="24"/>
        </w:rPr>
        <w:t xml:space="preserve"> or more of the height.  </w:t>
      </w:r>
      <w:r w:rsidR="000A44D4" w:rsidRPr="006C148E">
        <w:rPr>
          <w:rFonts w:asciiTheme="minorHAnsi" w:hAnsiTheme="minorHAnsi"/>
          <w:color w:val="auto"/>
          <w:szCs w:val="24"/>
        </w:rPr>
        <w:t xml:space="preserve">The PEB rated the </w:t>
      </w:r>
      <w:r w:rsidR="00BE64D0" w:rsidRPr="006C148E">
        <w:rPr>
          <w:rFonts w:asciiTheme="minorHAnsi" w:hAnsiTheme="minorHAnsi"/>
          <w:color w:val="auto"/>
          <w:szCs w:val="24"/>
        </w:rPr>
        <w:t xml:space="preserve">chronic thoracic back pain </w:t>
      </w:r>
      <w:r w:rsidR="000A44D4" w:rsidRPr="006C148E">
        <w:rPr>
          <w:rFonts w:asciiTheme="minorHAnsi" w:hAnsiTheme="minorHAnsi"/>
          <w:color w:val="auto"/>
          <w:szCs w:val="24"/>
        </w:rPr>
        <w:t>(</w:t>
      </w:r>
      <w:r w:rsidR="002C1759" w:rsidRPr="006C148E">
        <w:rPr>
          <w:rFonts w:asciiTheme="minorHAnsi" w:hAnsiTheme="minorHAnsi"/>
          <w:color w:val="auto"/>
          <w:szCs w:val="24"/>
        </w:rPr>
        <w:t>slight. constant</w:t>
      </w:r>
      <w:r w:rsidR="000A44D4" w:rsidRPr="006C148E">
        <w:rPr>
          <w:rFonts w:asciiTheme="minorHAnsi" w:hAnsiTheme="minorHAnsi"/>
          <w:color w:val="auto"/>
          <w:szCs w:val="24"/>
        </w:rPr>
        <w:t xml:space="preserve">) as 5237 </w:t>
      </w:r>
      <w:r w:rsidR="00BE64D0" w:rsidRPr="006C148E">
        <w:rPr>
          <w:rFonts w:asciiTheme="minorHAnsi" w:hAnsiTheme="minorHAnsi"/>
          <w:color w:val="auto"/>
          <w:szCs w:val="24"/>
        </w:rPr>
        <w:t xml:space="preserve">(lumbosacral </w:t>
      </w:r>
      <w:r w:rsidR="000A44D4" w:rsidRPr="006C148E">
        <w:rPr>
          <w:rFonts w:asciiTheme="minorHAnsi" w:hAnsiTheme="minorHAnsi"/>
          <w:color w:val="auto"/>
          <w:szCs w:val="24"/>
        </w:rPr>
        <w:t>or cervical strain</w:t>
      </w:r>
      <w:r w:rsidR="002C1759" w:rsidRPr="006C148E">
        <w:rPr>
          <w:rFonts w:asciiTheme="minorHAnsi" w:hAnsiTheme="minorHAnsi"/>
          <w:color w:val="auto"/>
          <w:szCs w:val="24"/>
        </w:rPr>
        <w:t>) at</w:t>
      </w:r>
      <w:r w:rsidR="000F3247" w:rsidRPr="006C148E">
        <w:rPr>
          <w:rFonts w:asciiTheme="minorHAnsi" w:hAnsiTheme="minorHAnsi"/>
          <w:color w:val="auto"/>
          <w:szCs w:val="24"/>
        </w:rPr>
        <w:t xml:space="preserve"> 0%.  The VA coded the condition </w:t>
      </w:r>
      <w:r w:rsidR="001C325B" w:rsidRPr="006C148E">
        <w:rPr>
          <w:rFonts w:asciiTheme="minorHAnsi" w:hAnsiTheme="minorHAnsi"/>
          <w:color w:val="auto"/>
          <w:szCs w:val="24"/>
        </w:rPr>
        <w:t>as</w:t>
      </w:r>
      <w:r w:rsidR="000F3247" w:rsidRPr="006C148E">
        <w:rPr>
          <w:rFonts w:asciiTheme="minorHAnsi" w:hAnsiTheme="minorHAnsi"/>
          <w:color w:val="auto"/>
          <w:szCs w:val="24"/>
        </w:rPr>
        <w:t xml:space="preserve"> </w:t>
      </w:r>
      <w:r w:rsidR="004E55C4" w:rsidRPr="006C148E">
        <w:rPr>
          <w:rFonts w:asciiTheme="minorHAnsi" w:hAnsiTheme="minorHAnsi"/>
          <w:color w:val="auto"/>
          <w:szCs w:val="24"/>
        </w:rPr>
        <w:t>5235 (</w:t>
      </w:r>
      <w:r w:rsidR="00BE64D0" w:rsidRPr="006C148E">
        <w:rPr>
          <w:rFonts w:asciiTheme="minorHAnsi" w:hAnsiTheme="minorHAnsi"/>
          <w:color w:val="auto"/>
          <w:szCs w:val="24"/>
        </w:rPr>
        <w:t>ve</w:t>
      </w:r>
      <w:r w:rsidR="004E55C4" w:rsidRPr="006C148E">
        <w:rPr>
          <w:rFonts w:asciiTheme="minorHAnsi" w:hAnsiTheme="minorHAnsi"/>
          <w:color w:val="auto"/>
          <w:szCs w:val="24"/>
        </w:rPr>
        <w:t xml:space="preserve">rtebral fracture or dislocation) at </w:t>
      </w:r>
      <w:r w:rsidR="004E55C4" w:rsidRPr="006C148E">
        <w:rPr>
          <w:rFonts w:asciiTheme="minorHAnsi" w:hAnsiTheme="minorHAnsi"/>
          <w:color w:val="auto"/>
          <w:szCs w:val="24"/>
        </w:rPr>
        <w:lastRenderedPageBreak/>
        <w:t xml:space="preserve">10%.  The PEB and the VA chose different </w:t>
      </w:r>
      <w:r w:rsidR="001C325B" w:rsidRPr="006C148E">
        <w:rPr>
          <w:rFonts w:asciiTheme="minorHAnsi" w:hAnsiTheme="minorHAnsi"/>
          <w:color w:val="auto"/>
          <w:szCs w:val="24"/>
        </w:rPr>
        <w:t xml:space="preserve">disability </w:t>
      </w:r>
      <w:r w:rsidR="004E55C4" w:rsidRPr="006C148E">
        <w:rPr>
          <w:rFonts w:asciiTheme="minorHAnsi" w:hAnsiTheme="minorHAnsi"/>
          <w:color w:val="auto"/>
          <w:szCs w:val="24"/>
        </w:rPr>
        <w:t>coding options</w:t>
      </w:r>
      <w:r w:rsidR="00963787" w:rsidRPr="006C148E">
        <w:rPr>
          <w:rFonts w:asciiTheme="minorHAnsi" w:hAnsiTheme="minorHAnsi"/>
          <w:color w:val="auto"/>
          <w:szCs w:val="24"/>
        </w:rPr>
        <w:t>,</w:t>
      </w:r>
      <w:r w:rsidR="004E55C4" w:rsidRPr="006C148E">
        <w:rPr>
          <w:rFonts w:asciiTheme="minorHAnsi" w:hAnsiTheme="minorHAnsi"/>
          <w:color w:val="auto"/>
          <w:szCs w:val="24"/>
        </w:rPr>
        <w:t xml:space="preserve"> but this did not </w:t>
      </w:r>
      <w:r w:rsidR="00432C91" w:rsidRPr="006C148E">
        <w:rPr>
          <w:rFonts w:asciiTheme="minorHAnsi" w:hAnsiTheme="minorHAnsi"/>
          <w:color w:val="auto"/>
          <w:szCs w:val="24"/>
        </w:rPr>
        <w:t>impact the rating in this case</w:t>
      </w:r>
      <w:r w:rsidR="00963787" w:rsidRPr="006C148E">
        <w:rPr>
          <w:rFonts w:asciiTheme="minorHAnsi" w:hAnsiTheme="minorHAnsi"/>
          <w:color w:val="auto"/>
          <w:szCs w:val="24"/>
        </w:rPr>
        <w:t xml:space="preserve"> as either code uses the general spine formulae criteria</w:t>
      </w:r>
      <w:r w:rsidR="00432C91" w:rsidRPr="006C148E">
        <w:rPr>
          <w:rFonts w:asciiTheme="minorHAnsi" w:hAnsiTheme="minorHAnsi"/>
          <w:color w:val="auto"/>
          <w:szCs w:val="24"/>
        </w:rPr>
        <w:t xml:space="preserve">.  </w:t>
      </w:r>
      <w:r w:rsidR="001C325B" w:rsidRPr="006C148E">
        <w:rPr>
          <w:rFonts w:asciiTheme="minorHAnsi" w:hAnsiTheme="minorHAnsi"/>
          <w:color w:val="auto"/>
          <w:szCs w:val="24"/>
        </w:rPr>
        <w:t xml:space="preserve">There was no indication in the PEB worksheet that a combined ROM was calculated.  However, if the actual </w:t>
      </w:r>
      <w:r w:rsidR="00963787" w:rsidRPr="006C148E">
        <w:rPr>
          <w:rFonts w:asciiTheme="minorHAnsi" w:hAnsiTheme="minorHAnsi"/>
          <w:color w:val="auto"/>
          <w:szCs w:val="24"/>
        </w:rPr>
        <w:t xml:space="preserve">exam </w:t>
      </w:r>
      <w:r w:rsidR="001C325B" w:rsidRPr="006C148E">
        <w:rPr>
          <w:rFonts w:asciiTheme="minorHAnsi" w:hAnsiTheme="minorHAnsi"/>
          <w:color w:val="auto"/>
          <w:szCs w:val="24"/>
        </w:rPr>
        <w:t xml:space="preserve">ROM numbers were added without considering </w:t>
      </w:r>
      <w:r w:rsidR="00BE64D0">
        <w:rPr>
          <w:rFonts w:asciiTheme="minorHAnsi" w:hAnsiTheme="minorHAnsi"/>
          <w:color w:val="auto"/>
          <w:szCs w:val="24"/>
        </w:rPr>
        <w:t>n</w:t>
      </w:r>
      <w:r w:rsidR="001C325B" w:rsidRPr="006C148E">
        <w:rPr>
          <w:rFonts w:asciiTheme="minorHAnsi" w:hAnsiTheme="minorHAnsi"/>
          <w:color w:val="auto"/>
          <w:szCs w:val="24"/>
        </w:rPr>
        <w:t>otes 2 (VA maximums) and 4 (rounding to nearest five degrees) of the general spine formulae</w:t>
      </w:r>
      <w:r w:rsidR="00BE64D0">
        <w:rPr>
          <w:rFonts w:asciiTheme="minorHAnsi" w:hAnsiTheme="minorHAnsi"/>
          <w:color w:val="auto"/>
          <w:szCs w:val="24"/>
        </w:rPr>
        <w:t>,</w:t>
      </w:r>
      <w:r w:rsidR="001C325B" w:rsidRPr="006C148E">
        <w:rPr>
          <w:rFonts w:asciiTheme="minorHAnsi" w:hAnsiTheme="minorHAnsi"/>
          <w:color w:val="auto"/>
          <w:szCs w:val="24"/>
        </w:rPr>
        <w:t xml:space="preserve"> the erroneous combined ROM would not have met the 10% rating criteria.  With application of the </w:t>
      </w:r>
      <w:r w:rsidR="00963787" w:rsidRPr="006C148E">
        <w:rPr>
          <w:rFonts w:asciiTheme="minorHAnsi" w:hAnsiTheme="minorHAnsi"/>
          <w:color w:val="auto"/>
          <w:szCs w:val="24"/>
        </w:rPr>
        <w:t xml:space="preserve">VASRD </w:t>
      </w:r>
      <w:r w:rsidR="001C325B" w:rsidRPr="006C148E">
        <w:rPr>
          <w:rFonts w:asciiTheme="minorHAnsi" w:hAnsiTheme="minorHAnsi"/>
          <w:color w:val="auto"/>
          <w:szCs w:val="24"/>
        </w:rPr>
        <w:t xml:space="preserve">notes, the CI’s combined ROM was 225° for </w:t>
      </w:r>
      <w:r w:rsidR="006F3BF4" w:rsidRPr="006C148E">
        <w:rPr>
          <w:rFonts w:asciiTheme="minorHAnsi" w:hAnsiTheme="minorHAnsi"/>
          <w:color w:val="auto"/>
          <w:szCs w:val="24"/>
        </w:rPr>
        <w:t>the</w:t>
      </w:r>
      <w:r w:rsidR="001C325B" w:rsidRPr="006C148E">
        <w:rPr>
          <w:rFonts w:asciiTheme="minorHAnsi" w:hAnsiTheme="minorHAnsi"/>
          <w:color w:val="auto"/>
          <w:szCs w:val="24"/>
        </w:rPr>
        <w:t xml:space="preserve"> military ROM exam.</w:t>
      </w:r>
    </w:p>
    <w:p w:rsidR="001C325B" w:rsidRPr="006C148E" w:rsidRDefault="001C325B" w:rsidP="002C1759">
      <w:pPr>
        <w:pStyle w:val="PlainText"/>
        <w:tabs>
          <w:tab w:val="left" w:pos="720"/>
          <w:tab w:val="left" w:pos="1080"/>
          <w:tab w:val="left" w:pos="1350"/>
          <w:tab w:val="left" w:pos="1620"/>
          <w:tab w:val="right" w:leader="dot" w:pos="9180"/>
        </w:tabs>
        <w:spacing w:line="240" w:lineRule="exact"/>
        <w:jc w:val="both"/>
        <w:rPr>
          <w:rFonts w:asciiTheme="minorHAnsi" w:hAnsiTheme="minorHAnsi"/>
          <w:sz w:val="24"/>
          <w:szCs w:val="24"/>
        </w:rPr>
      </w:pPr>
    </w:p>
    <w:p w:rsidR="004E55C4" w:rsidRPr="006C148E" w:rsidRDefault="002C1759" w:rsidP="002C1759">
      <w:pPr>
        <w:pStyle w:val="PlainText"/>
        <w:tabs>
          <w:tab w:val="left" w:pos="720"/>
          <w:tab w:val="left" w:pos="1080"/>
          <w:tab w:val="left" w:pos="1350"/>
          <w:tab w:val="left" w:pos="1620"/>
          <w:tab w:val="right" w:leader="dot" w:pos="9180"/>
        </w:tabs>
        <w:spacing w:line="240" w:lineRule="exact"/>
        <w:jc w:val="both"/>
        <w:rPr>
          <w:rFonts w:asciiTheme="minorHAnsi" w:hAnsiTheme="minorHAnsi"/>
          <w:sz w:val="24"/>
          <w:szCs w:val="24"/>
        </w:rPr>
      </w:pPr>
      <w:r w:rsidRPr="006C148E">
        <w:rPr>
          <w:rFonts w:asciiTheme="minorHAnsi" w:hAnsiTheme="minorHAnsi"/>
          <w:sz w:val="24"/>
          <w:szCs w:val="24"/>
        </w:rPr>
        <w:t xml:space="preserve">All exams proximate to separation met the 10% rating </w:t>
      </w:r>
      <w:r w:rsidR="00281444" w:rsidRPr="006C148E">
        <w:rPr>
          <w:rFonts w:asciiTheme="minorHAnsi" w:hAnsiTheme="minorHAnsi"/>
          <w:sz w:val="24"/>
          <w:szCs w:val="24"/>
        </w:rPr>
        <w:t>criteria for “</w:t>
      </w:r>
      <w:r w:rsidRPr="006C148E">
        <w:rPr>
          <w:rFonts w:asciiTheme="minorHAnsi" w:hAnsiTheme="minorHAnsi"/>
          <w:sz w:val="24"/>
          <w:szCs w:val="24"/>
        </w:rPr>
        <w:t>combined range of motion of the thoracolumbar spine greater than 120 degrees but not greater than 235 degrees.</w:t>
      </w:r>
      <w:r w:rsidR="00281444" w:rsidRPr="006C148E">
        <w:rPr>
          <w:rFonts w:asciiTheme="minorHAnsi" w:hAnsiTheme="minorHAnsi"/>
          <w:sz w:val="24"/>
          <w:szCs w:val="24"/>
        </w:rPr>
        <w:t>”</w:t>
      </w:r>
      <w:r w:rsidRPr="006C148E">
        <w:rPr>
          <w:rFonts w:asciiTheme="minorHAnsi" w:hAnsiTheme="minorHAnsi"/>
          <w:sz w:val="24"/>
          <w:szCs w:val="24"/>
        </w:rPr>
        <w:t xml:space="preserve">  </w:t>
      </w:r>
      <w:r w:rsidR="008065DB" w:rsidRPr="006C148E">
        <w:rPr>
          <w:rFonts w:asciiTheme="minorHAnsi" w:hAnsiTheme="minorHAnsi"/>
          <w:sz w:val="24"/>
          <w:szCs w:val="24"/>
        </w:rPr>
        <w:t xml:space="preserve">The radiographic evidence of thoracic and lumbar scoliosis was noted as well as questionable T12-L1 compression fracture and wedging.  </w:t>
      </w:r>
      <w:r w:rsidR="00281444" w:rsidRPr="006C148E">
        <w:rPr>
          <w:rFonts w:asciiTheme="minorHAnsi" w:hAnsiTheme="minorHAnsi"/>
          <w:sz w:val="24"/>
          <w:szCs w:val="24"/>
        </w:rPr>
        <w:t>Although</w:t>
      </w:r>
      <w:r w:rsidR="00E825D2" w:rsidRPr="006C148E">
        <w:rPr>
          <w:rFonts w:asciiTheme="minorHAnsi" w:hAnsiTheme="minorHAnsi"/>
          <w:sz w:val="24"/>
          <w:szCs w:val="24"/>
        </w:rPr>
        <w:t xml:space="preserve"> the CI had localized tenderness, there is no documentation of </w:t>
      </w:r>
      <w:r w:rsidR="001C325B" w:rsidRPr="006C148E">
        <w:rPr>
          <w:rFonts w:asciiTheme="minorHAnsi" w:hAnsiTheme="minorHAnsi"/>
          <w:sz w:val="24"/>
          <w:szCs w:val="24"/>
        </w:rPr>
        <w:t xml:space="preserve">muscle spasm or guarding severe enough to result in an abnormal gait or abnormal spinal contour </w:t>
      </w:r>
      <w:r w:rsidR="006B5656" w:rsidRPr="006C148E">
        <w:rPr>
          <w:rFonts w:asciiTheme="minorHAnsi" w:hAnsiTheme="minorHAnsi"/>
          <w:sz w:val="24"/>
          <w:szCs w:val="24"/>
        </w:rPr>
        <w:t xml:space="preserve">for the higher rating.  After due deliberation, considering all </w:t>
      </w:r>
      <w:r w:rsidRPr="006C148E">
        <w:rPr>
          <w:rFonts w:asciiTheme="minorHAnsi" w:hAnsiTheme="minorHAnsi"/>
          <w:sz w:val="24"/>
          <w:szCs w:val="24"/>
        </w:rPr>
        <w:t>of</w:t>
      </w:r>
      <w:r w:rsidR="006B5656" w:rsidRPr="006C148E">
        <w:rPr>
          <w:rFonts w:asciiTheme="minorHAnsi" w:hAnsiTheme="minorHAnsi"/>
          <w:sz w:val="24"/>
          <w:szCs w:val="24"/>
        </w:rPr>
        <w:t xml:space="preserve"> the </w:t>
      </w:r>
      <w:r w:rsidRPr="006C148E">
        <w:rPr>
          <w:rFonts w:asciiTheme="minorHAnsi" w:hAnsiTheme="minorHAnsi"/>
          <w:sz w:val="24"/>
          <w:szCs w:val="24"/>
        </w:rPr>
        <w:t>evidence and</w:t>
      </w:r>
      <w:r w:rsidR="006B5656" w:rsidRPr="006C148E">
        <w:rPr>
          <w:rFonts w:asciiTheme="minorHAnsi" w:hAnsiTheme="minorHAnsi"/>
          <w:sz w:val="24"/>
          <w:szCs w:val="24"/>
        </w:rPr>
        <w:t xml:space="preserve"> </w:t>
      </w:r>
      <w:r w:rsidRPr="006C148E">
        <w:rPr>
          <w:rFonts w:asciiTheme="minorHAnsi" w:hAnsiTheme="minorHAnsi"/>
          <w:sz w:val="24"/>
          <w:szCs w:val="24"/>
        </w:rPr>
        <w:t>mindful</w:t>
      </w:r>
      <w:r w:rsidR="006B5656" w:rsidRPr="006C148E">
        <w:rPr>
          <w:rFonts w:asciiTheme="minorHAnsi" w:hAnsiTheme="minorHAnsi"/>
          <w:sz w:val="24"/>
          <w:szCs w:val="24"/>
        </w:rPr>
        <w:t xml:space="preserve"> of VASRD §4.3 (reasonable doubt), the Board recommends that the condition be </w:t>
      </w:r>
      <w:r w:rsidRPr="006C148E">
        <w:rPr>
          <w:rFonts w:asciiTheme="minorHAnsi" w:hAnsiTheme="minorHAnsi"/>
          <w:sz w:val="24"/>
          <w:szCs w:val="24"/>
        </w:rPr>
        <w:t>rated</w:t>
      </w:r>
      <w:r w:rsidR="006B5656" w:rsidRPr="006C148E">
        <w:rPr>
          <w:rFonts w:asciiTheme="minorHAnsi" w:hAnsiTheme="minorHAnsi"/>
          <w:sz w:val="24"/>
          <w:szCs w:val="24"/>
        </w:rPr>
        <w:t xml:space="preserve"> 10% for the </w:t>
      </w:r>
      <w:r w:rsidR="00BE64D0" w:rsidRPr="006C148E">
        <w:rPr>
          <w:rFonts w:asciiTheme="minorHAnsi" w:hAnsiTheme="minorHAnsi"/>
          <w:sz w:val="24"/>
          <w:szCs w:val="24"/>
        </w:rPr>
        <w:t xml:space="preserve">chronic thoracic back pain </w:t>
      </w:r>
      <w:r w:rsidR="006B5656" w:rsidRPr="006C148E">
        <w:rPr>
          <w:rFonts w:asciiTheme="minorHAnsi" w:hAnsiTheme="minorHAnsi"/>
          <w:sz w:val="24"/>
          <w:szCs w:val="24"/>
        </w:rPr>
        <w:t>condition</w:t>
      </w:r>
      <w:r w:rsidR="00F70A63" w:rsidRPr="006C148E">
        <w:rPr>
          <w:rFonts w:asciiTheme="minorHAnsi" w:hAnsiTheme="minorHAnsi"/>
          <w:sz w:val="24"/>
          <w:szCs w:val="24"/>
        </w:rPr>
        <w:t xml:space="preserve"> and no addition of any peripheral nerve (radiculopathy) unfitting or ratable condition</w:t>
      </w:r>
      <w:r w:rsidR="006B5656" w:rsidRPr="006C148E">
        <w:rPr>
          <w:rFonts w:asciiTheme="minorHAnsi" w:hAnsiTheme="minorHAnsi"/>
          <w:sz w:val="24"/>
          <w:szCs w:val="24"/>
        </w:rPr>
        <w:t>.</w:t>
      </w:r>
    </w:p>
    <w:p w:rsidR="006B5656" w:rsidRPr="006C148E" w:rsidRDefault="006B5656" w:rsidP="002C1759">
      <w:pPr>
        <w:pStyle w:val="PlainText"/>
        <w:tabs>
          <w:tab w:val="left" w:pos="720"/>
          <w:tab w:val="left" w:pos="1080"/>
          <w:tab w:val="left" w:pos="1350"/>
          <w:tab w:val="left" w:pos="1620"/>
          <w:tab w:val="right" w:leader="dot" w:pos="9180"/>
        </w:tabs>
        <w:spacing w:line="240" w:lineRule="exact"/>
        <w:jc w:val="both"/>
        <w:rPr>
          <w:rFonts w:asciiTheme="minorHAnsi" w:hAnsiTheme="minorHAnsi"/>
          <w:sz w:val="24"/>
          <w:szCs w:val="24"/>
        </w:rPr>
      </w:pPr>
    </w:p>
    <w:p w:rsidR="003129B2" w:rsidRPr="006C148E" w:rsidRDefault="002C1759" w:rsidP="002C1759">
      <w:pPr>
        <w:pStyle w:val="PlainText"/>
        <w:tabs>
          <w:tab w:val="left" w:pos="720"/>
          <w:tab w:val="left" w:pos="1080"/>
          <w:tab w:val="left" w:pos="1350"/>
          <w:tab w:val="left" w:pos="1620"/>
          <w:tab w:val="right" w:leader="dot" w:pos="9180"/>
        </w:tabs>
        <w:spacing w:line="240" w:lineRule="exact"/>
        <w:jc w:val="both"/>
        <w:rPr>
          <w:rFonts w:asciiTheme="minorHAnsi" w:hAnsiTheme="minorHAnsi"/>
          <w:sz w:val="24"/>
          <w:szCs w:val="24"/>
        </w:rPr>
      </w:pPr>
      <w:proofErr w:type="gramStart"/>
      <w:r w:rsidRPr="006C148E">
        <w:rPr>
          <w:rFonts w:asciiTheme="minorHAnsi" w:hAnsiTheme="minorHAnsi"/>
          <w:sz w:val="24"/>
          <w:szCs w:val="24"/>
          <w:u w:val="single"/>
        </w:rPr>
        <w:t>Remaining Conditions</w:t>
      </w:r>
      <w:r w:rsidR="00BE64D0">
        <w:rPr>
          <w:rFonts w:asciiTheme="minorHAnsi" w:hAnsiTheme="minorHAnsi"/>
          <w:sz w:val="24"/>
          <w:szCs w:val="24"/>
          <w:u w:val="single"/>
        </w:rPr>
        <w:t>.</w:t>
      </w:r>
      <w:proofErr w:type="gramEnd"/>
      <w:r w:rsidRPr="006C148E">
        <w:rPr>
          <w:rFonts w:asciiTheme="minorHAnsi" w:hAnsiTheme="minorHAnsi"/>
          <w:sz w:val="24"/>
          <w:szCs w:val="24"/>
        </w:rPr>
        <w:t xml:space="preserve">  Tinnitus was rated 10% by the VA after additional evidence was provided and reviewed by the VA </w:t>
      </w:r>
      <w:r w:rsidR="00BE64D0" w:rsidRPr="006C148E">
        <w:rPr>
          <w:rFonts w:asciiTheme="minorHAnsi" w:hAnsiTheme="minorHAnsi"/>
          <w:sz w:val="24"/>
          <w:szCs w:val="24"/>
        </w:rPr>
        <w:t>decision review officer</w:t>
      </w:r>
      <w:r w:rsidRPr="006C148E">
        <w:rPr>
          <w:rFonts w:asciiTheme="minorHAnsi" w:hAnsiTheme="minorHAnsi"/>
          <w:sz w:val="24"/>
          <w:szCs w:val="24"/>
        </w:rPr>
        <w:t xml:space="preserve">.  </w:t>
      </w:r>
      <w:r w:rsidR="00B45B40" w:rsidRPr="006C148E">
        <w:rPr>
          <w:rFonts w:asciiTheme="minorHAnsi" w:hAnsiTheme="minorHAnsi"/>
          <w:sz w:val="24"/>
          <w:szCs w:val="24"/>
        </w:rPr>
        <w:t xml:space="preserve">This condition was mentioned by the CI in the MEB </w:t>
      </w:r>
      <w:r w:rsidR="00BE64D0" w:rsidRPr="006C148E">
        <w:rPr>
          <w:rFonts w:asciiTheme="minorHAnsi" w:hAnsiTheme="minorHAnsi"/>
          <w:sz w:val="24"/>
          <w:szCs w:val="24"/>
        </w:rPr>
        <w:t>history and physical</w:t>
      </w:r>
      <w:r w:rsidR="00BE64D0">
        <w:rPr>
          <w:rFonts w:asciiTheme="minorHAnsi" w:hAnsiTheme="minorHAnsi"/>
          <w:sz w:val="24"/>
          <w:szCs w:val="24"/>
        </w:rPr>
        <w:t xml:space="preserve"> (H&amp;P)</w:t>
      </w:r>
      <w:r w:rsidR="00B45B40" w:rsidRPr="006C148E">
        <w:rPr>
          <w:rFonts w:asciiTheme="minorHAnsi" w:hAnsiTheme="minorHAnsi"/>
          <w:sz w:val="24"/>
          <w:szCs w:val="24"/>
        </w:rPr>
        <w:t xml:space="preserve">.  There was no documentation of this condition in the </w:t>
      </w:r>
      <w:r w:rsidR="00BE64D0" w:rsidRPr="006C148E">
        <w:rPr>
          <w:rFonts w:asciiTheme="minorHAnsi" w:hAnsiTheme="minorHAnsi"/>
          <w:sz w:val="24"/>
          <w:szCs w:val="24"/>
        </w:rPr>
        <w:t xml:space="preserve">narrative summary </w:t>
      </w:r>
      <w:r w:rsidR="00B45B40" w:rsidRPr="006C148E">
        <w:rPr>
          <w:rFonts w:asciiTheme="minorHAnsi" w:hAnsiTheme="minorHAnsi"/>
          <w:sz w:val="24"/>
          <w:szCs w:val="24"/>
        </w:rPr>
        <w:t xml:space="preserve">(NARSUM), nor was the CI given a </w:t>
      </w:r>
      <w:r w:rsidR="00F70A63" w:rsidRPr="006C148E">
        <w:rPr>
          <w:rFonts w:asciiTheme="minorHAnsi" w:hAnsiTheme="minorHAnsi"/>
          <w:sz w:val="24"/>
          <w:szCs w:val="24"/>
        </w:rPr>
        <w:t>duty restriction</w:t>
      </w:r>
      <w:r w:rsidR="00B45B40" w:rsidRPr="006C148E">
        <w:rPr>
          <w:rFonts w:asciiTheme="minorHAnsi" w:hAnsiTheme="minorHAnsi"/>
          <w:sz w:val="24"/>
          <w:szCs w:val="24"/>
        </w:rPr>
        <w:t xml:space="preserve"> for this condition.  </w:t>
      </w:r>
      <w:r w:rsidRPr="006C148E">
        <w:rPr>
          <w:rFonts w:asciiTheme="minorHAnsi" w:hAnsiTheme="minorHAnsi"/>
          <w:sz w:val="24"/>
          <w:szCs w:val="24"/>
        </w:rPr>
        <w:t xml:space="preserve">The tinnitus was reviewed by the </w:t>
      </w:r>
      <w:r w:rsidR="00BE64D0" w:rsidRPr="006C148E">
        <w:rPr>
          <w:rFonts w:asciiTheme="minorHAnsi" w:hAnsiTheme="minorHAnsi"/>
          <w:sz w:val="24"/>
          <w:szCs w:val="24"/>
        </w:rPr>
        <w:t xml:space="preserve">action officer </w:t>
      </w:r>
      <w:r w:rsidRPr="006C148E">
        <w:rPr>
          <w:rFonts w:asciiTheme="minorHAnsi" w:hAnsiTheme="minorHAnsi"/>
          <w:sz w:val="24"/>
          <w:szCs w:val="24"/>
        </w:rPr>
        <w:t xml:space="preserve">and considered by the Board.  </w:t>
      </w:r>
      <w:r w:rsidR="00B45B40" w:rsidRPr="006C148E">
        <w:rPr>
          <w:rFonts w:asciiTheme="minorHAnsi" w:hAnsiTheme="minorHAnsi"/>
          <w:sz w:val="24"/>
          <w:szCs w:val="24"/>
        </w:rPr>
        <w:t xml:space="preserve">There was no satisfactory indication from the record that the tinnitus significantly </w:t>
      </w:r>
      <w:r w:rsidRPr="006C148E">
        <w:rPr>
          <w:rFonts w:asciiTheme="minorHAnsi" w:hAnsiTheme="minorHAnsi"/>
          <w:sz w:val="24"/>
          <w:szCs w:val="24"/>
        </w:rPr>
        <w:t>interfered</w:t>
      </w:r>
      <w:r w:rsidR="00B45B40" w:rsidRPr="006C148E">
        <w:rPr>
          <w:rFonts w:asciiTheme="minorHAnsi" w:hAnsiTheme="minorHAnsi"/>
          <w:sz w:val="24"/>
          <w:szCs w:val="24"/>
        </w:rPr>
        <w:t xml:space="preserve"> with satisfactory performance of MOS requirements.  </w:t>
      </w:r>
      <w:r w:rsidR="00F70A63" w:rsidRPr="006C148E">
        <w:rPr>
          <w:rFonts w:asciiTheme="minorHAnsi" w:hAnsiTheme="minorHAnsi"/>
          <w:sz w:val="24"/>
          <w:szCs w:val="24"/>
        </w:rPr>
        <w:t>All evidence considered</w:t>
      </w:r>
      <w:proofErr w:type="gramStart"/>
      <w:r w:rsidR="00F70A63" w:rsidRPr="006C148E">
        <w:rPr>
          <w:rFonts w:asciiTheme="minorHAnsi" w:hAnsiTheme="minorHAnsi"/>
          <w:sz w:val="24"/>
          <w:szCs w:val="24"/>
        </w:rPr>
        <w:t>,</w:t>
      </w:r>
      <w:proofErr w:type="gramEnd"/>
      <w:r w:rsidR="00F70A63" w:rsidRPr="006C148E">
        <w:rPr>
          <w:rFonts w:asciiTheme="minorHAnsi" w:hAnsiTheme="minorHAnsi"/>
          <w:sz w:val="24"/>
          <w:szCs w:val="24"/>
        </w:rPr>
        <w:t xml:space="preserve"> there is not reasonable doubt in the CI’s favor supporting addition of </w:t>
      </w:r>
      <w:r w:rsidR="00BE64D0">
        <w:rPr>
          <w:rFonts w:asciiTheme="minorHAnsi" w:hAnsiTheme="minorHAnsi"/>
          <w:sz w:val="24"/>
          <w:szCs w:val="24"/>
        </w:rPr>
        <w:t>t</w:t>
      </w:r>
      <w:r w:rsidR="00F70A63" w:rsidRPr="006C148E">
        <w:rPr>
          <w:rFonts w:asciiTheme="minorHAnsi" w:hAnsiTheme="minorHAnsi"/>
          <w:sz w:val="24"/>
          <w:szCs w:val="24"/>
        </w:rPr>
        <w:t xml:space="preserve">innitus as an unfitting condition for separation rating.  The CI contends for adding </w:t>
      </w:r>
      <w:r w:rsidR="00BE64D0">
        <w:rPr>
          <w:rFonts w:asciiTheme="minorHAnsi" w:hAnsiTheme="minorHAnsi"/>
          <w:sz w:val="24"/>
          <w:szCs w:val="24"/>
        </w:rPr>
        <w:t>p</w:t>
      </w:r>
      <w:r w:rsidR="00F70A63" w:rsidRPr="006C148E">
        <w:rPr>
          <w:rFonts w:asciiTheme="minorHAnsi" w:hAnsiTheme="minorHAnsi"/>
          <w:sz w:val="24"/>
          <w:szCs w:val="24"/>
        </w:rPr>
        <w:t xml:space="preserve">osttraumatic </w:t>
      </w:r>
      <w:r w:rsidR="00BE64D0">
        <w:rPr>
          <w:rFonts w:asciiTheme="minorHAnsi" w:hAnsiTheme="minorHAnsi"/>
          <w:sz w:val="24"/>
          <w:szCs w:val="24"/>
        </w:rPr>
        <w:t>s</w:t>
      </w:r>
      <w:r w:rsidR="00F70A63" w:rsidRPr="006C148E">
        <w:rPr>
          <w:rFonts w:asciiTheme="minorHAnsi" w:hAnsiTheme="minorHAnsi"/>
          <w:sz w:val="24"/>
          <w:szCs w:val="24"/>
        </w:rPr>
        <w:t xml:space="preserve">tress </w:t>
      </w:r>
      <w:r w:rsidR="00BE64D0">
        <w:rPr>
          <w:rFonts w:asciiTheme="minorHAnsi" w:hAnsiTheme="minorHAnsi"/>
          <w:sz w:val="24"/>
          <w:szCs w:val="24"/>
        </w:rPr>
        <w:t>d</w:t>
      </w:r>
      <w:r w:rsidR="00F70A63" w:rsidRPr="006C148E">
        <w:rPr>
          <w:rFonts w:asciiTheme="minorHAnsi" w:hAnsiTheme="minorHAnsi"/>
          <w:sz w:val="24"/>
          <w:szCs w:val="24"/>
        </w:rPr>
        <w:t xml:space="preserve">isorder (PTSD) as he noted he has a pending claim for PTSD and wants it reviewed.  PTSD was not mentioned in the DES package and any “nervous trouble of any sort” was specifically denied on the MEB H&amp;P.  </w:t>
      </w:r>
      <w:r w:rsidR="003129B2" w:rsidRPr="006C148E">
        <w:rPr>
          <w:rFonts w:asciiTheme="minorHAnsi" w:hAnsiTheme="minorHAnsi"/>
          <w:sz w:val="24"/>
          <w:szCs w:val="24"/>
        </w:rPr>
        <w:t xml:space="preserve">There was no indication that any mental health condition interfered with duty performance in the commander’s </w:t>
      </w:r>
      <w:r w:rsidR="00BE64D0">
        <w:rPr>
          <w:rFonts w:asciiTheme="minorHAnsi" w:hAnsiTheme="minorHAnsi"/>
          <w:sz w:val="24"/>
          <w:szCs w:val="24"/>
        </w:rPr>
        <w:t>assessment</w:t>
      </w:r>
      <w:r w:rsidR="003129B2" w:rsidRPr="006C148E">
        <w:rPr>
          <w:rFonts w:asciiTheme="minorHAnsi" w:hAnsiTheme="minorHAnsi"/>
          <w:sz w:val="24"/>
          <w:szCs w:val="24"/>
        </w:rPr>
        <w:t>, NARSUM, or profile.  The Board does not have the authority under DoDI 6040.44 to render fitness or rating recommendations for any conditions not considered by the DES.  No other conditions were service connected with a compensable rating by the VA within twelve months of separation.  The Board therefore has no reasonable basis for recommending any additional unfitting conditions for separation rating.</w:t>
      </w:r>
    </w:p>
    <w:p w:rsidR="00B45B40" w:rsidRPr="006C148E" w:rsidRDefault="00B45B40" w:rsidP="002C1759">
      <w:pPr>
        <w:pBdr>
          <w:bottom w:val="single" w:sz="12" w:space="1" w:color="auto"/>
        </w:pBdr>
        <w:tabs>
          <w:tab w:val="left" w:pos="288"/>
          <w:tab w:val="left" w:pos="4752"/>
        </w:tabs>
        <w:spacing w:line="240" w:lineRule="exact"/>
        <w:jc w:val="both"/>
        <w:rPr>
          <w:rFonts w:ascii="Calibri" w:hAnsi="Calibri"/>
          <w:color w:val="auto"/>
          <w:szCs w:val="24"/>
        </w:rPr>
      </w:pPr>
    </w:p>
    <w:p w:rsidR="00B45B40" w:rsidRPr="006C148E" w:rsidRDefault="00B45B40" w:rsidP="002C1759">
      <w:pPr>
        <w:tabs>
          <w:tab w:val="left" w:pos="288"/>
          <w:tab w:val="left" w:pos="4752"/>
        </w:tabs>
        <w:spacing w:line="240" w:lineRule="exact"/>
        <w:jc w:val="both"/>
        <w:rPr>
          <w:rFonts w:ascii="Calibri" w:hAnsi="Calibri"/>
          <w:color w:val="auto"/>
          <w:szCs w:val="24"/>
        </w:rPr>
      </w:pPr>
    </w:p>
    <w:p w:rsidR="008065DB" w:rsidRPr="006C148E" w:rsidRDefault="00B45B40" w:rsidP="002C1759">
      <w:pPr>
        <w:spacing w:line="240" w:lineRule="exact"/>
        <w:jc w:val="both"/>
        <w:rPr>
          <w:rFonts w:asciiTheme="minorHAnsi" w:eastAsiaTheme="minorHAnsi" w:hAnsiTheme="minorHAnsi"/>
          <w:color w:val="auto"/>
          <w:szCs w:val="24"/>
        </w:rPr>
      </w:pPr>
      <w:r w:rsidRPr="006C148E">
        <w:rPr>
          <w:rFonts w:asciiTheme="minorHAnsi" w:hAnsiTheme="minorHAnsi"/>
          <w:color w:val="auto"/>
          <w:szCs w:val="24"/>
          <w:u w:val="single"/>
        </w:rPr>
        <w:t>BOARD FINDINGS</w:t>
      </w:r>
      <w:r w:rsidRPr="006C148E">
        <w:rPr>
          <w:rFonts w:asciiTheme="minorHAnsi" w:hAnsiTheme="minorHAnsi"/>
          <w:color w:val="auto"/>
          <w:szCs w:val="24"/>
        </w:rPr>
        <w:t>:</w:t>
      </w:r>
      <w:r w:rsidRPr="006C148E">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8065DB" w:rsidRPr="006C148E">
        <w:rPr>
          <w:rFonts w:asciiTheme="minorHAnsi" w:eastAsiaTheme="minorHAnsi" w:hAnsiTheme="minorHAnsi"/>
          <w:color w:val="auto"/>
          <w:szCs w:val="24"/>
        </w:rPr>
        <w:t>In the matter of the back pain condition, the Board unanimously recommends a rating of 10% coded 5237 IAW VASRD §4.71a.  In the matter of the tinnitus condition, or any other medical conditions eligible for Board consideration</w:t>
      </w:r>
      <w:r w:rsidR="00BE64D0">
        <w:rPr>
          <w:rFonts w:asciiTheme="minorHAnsi" w:eastAsiaTheme="minorHAnsi" w:hAnsiTheme="minorHAnsi"/>
          <w:color w:val="auto"/>
          <w:szCs w:val="24"/>
        </w:rPr>
        <w:t>,</w:t>
      </w:r>
      <w:r w:rsidR="008065DB" w:rsidRPr="006C148E">
        <w:rPr>
          <w:rFonts w:asciiTheme="minorHAnsi" w:eastAsiaTheme="minorHAnsi" w:hAnsiTheme="minorHAnsi"/>
          <w:color w:val="auto"/>
          <w:szCs w:val="24"/>
        </w:rPr>
        <w:t xml:space="preserve"> the Board unanimously agrees that it cannot recommend any findings of unfit for additional rating at separation.</w:t>
      </w:r>
    </w:p>
    <w:p w:rsidR="003129B2" w:rsidRPr="006C148E" w:rsidRDefault="003129B2" w:rsidP="003129B2">
      <w:pPr>
        <w:pBdr>
          <w:bottom w:val="single" w:sz="12" w:space="1" w:color="auto"/>
        </w:pBdr>
        <w:tabs>
          <w:tab w:val="left" w:pos="288"/>
          <w:tab w:val="left" w:pos="4752"/>
        </w:tabs>
        <w:spacing w:line="240" w:lineRule="exact"/>
        <w:jc w:val="both"/>
        <w:rPr>
          <w:rFonts w:ascii="Calibri" w:hAnsi="Calibri"/>
          <w:color w:val="auto"/>
          <w:szCs w:val="24"/>
        </w:rPr>
      </w:pPr>
    </w:p>
    <w:p w:rsidR="006C148E" w:rsidRDefault="006C148E">
      <w:pPr>
        <w:rPr>
          <w:rFonts w:asciiTheme="minorHAnsi" w:hAnsiTheme="minorHAnsi"/>
          <w:color w:val="auto"/>
          <w:szCs w:val="24"/>
          <w:u w:val="single"/>
        </w:rPr>
      </w:pPr>
    </w:p>
    <w:p w:rsidR="0086448C" w:rsidRPr="006C148E" w:rsidRDefault="00C56FC8" w:rsidP="003129B2">
      <w:pPr>
        <w:spacing w:line="240" w:lineRule="exact"/>
        <w:jc w:val="both"/>
        <w:rPr>
          <w:rFonts w:asciiTheme="minorHAnsi" w:hAnsiTheme="minorHAnsi"/>
          <w:color w:val="auto"/>
          <w:szCs w:val="24"/>
        </w:rPr>
      </w:pPr>
      <w:r w:rsidRPr="006C148E">
        <w:rPr>
          <w:rFonts w:asciiTheme="minorHAnsi" w:hAnsiTheme="minorHAnsi"/>
          <w:color w:val="auto"/>
          <w:szCs w:val="24"/>
          <w:u w:val="single"/>
        </w:rPr>
        <w:t>RECOMMENDATION</w:t>
      </w:r>
      <w:r w:rsidRPr="006C148E">
        <w:rPr>
          <w:rFonts w:asciiTheme="minorHAnsi" w:hAnsiTheme="minorHAnsi"/>
          <w:color w:val="auto"/>
          <w:szCs w:val="24"/>
        </w:rPr>
        <w:t xml:space="preserve">: </w:t>
      </w:r>
      <w:r w:rsidR="001E669C" w:rsidRPr="006C148E">
        <w:rPr>
          <w:rFonts w:asciiTheme="minorHAnsi" w:hAnsiTheme="minorHAnsi"/>
          <w:color w:val="auto"/>
          <w:szCs w:val="24"/>
        </w:rPr>
        <w:t xml:space="preserve"> </w:t>
      </w:r>
      <w:r w:rsidR="003129B2" w:rsidRPr="006C148E">
        <w:rPr>
          <w:rFonts w:asciiTheme="minorHAnsi" w:hAnsiTheme="minorHAnsi"/>
          <w:color w:val="auto"/>
          <w:szCs w:val="24"/>
        </w:rPr>
        <w:t>The Board recommends that the CI’s prior determination be modified as follows, effective as of the date of his prior medical separation:</w:t>
      </w:r>
    </w:p>
    <w:p w:rsidR="003129B2" w:rsidRPr="006C148E" w:rsidRDefault="003129B2" w:rsidP="003129B2">
      <w:pPr>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E669C" w:rsidRPr="006C148E" w:rsidTr="001E669C">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6C148E" w:rsidRDefault="001E669C" w:rsidP="001E669C">
            <w:pPr>
              <w:tabs>
                <w:tab w:val="left" w:pos="288"/>
                <w:tab w:val="left" w:pos="4752"/>
              </w:tabs>
              <w:spacing w:line="240" w:lineRule="exact"/>
              <w:jc w:val="center"/>
              <w:rPr>
                <w:rFonts w:asciiTheme="minorHAnsi" w:hAnsiTheme="minorHAnsi"/>
                <w:b/>
                <w:color w:val="auto"/>
                <w:szCs w:val="24"/>
              </w:rPr>
            </w:pPr>
            <w:r w:rsidRPr="006C148E">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6C148E" w:rsidRDefault="001E669C" w:rsidP="001E669C">
            <w:pPr>
              <w:tabs>
                <w:tab w:val="left" w:pos="288"/>
                <w:tab w:val="left" w:pos="4752"/>
              </w:tabs>
              <w:spacing w:line="240" w:lineRule="exact"/>
              <w:jc w:val="center"/>
              <w:rPr>
                <w:rFonts w:asciiTheme="minorHAnsi" w:hAnsiTheme="minorHAnsi"/>
                <w:b/>
                <w:color w:val="auto"/>
                <w:szCs w:val="24"/>
              </w:rPr>
            </w:pPr>
            <w:r w:rsidRPr="006C148E">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6C148E" w:rsidRDefault="001E669C" w:rsidP="001E669C">
            <w:pPr>
              <w:tabs>
                <w:tab w:val="left" w:pos="288"/>
                <w:tab w:val="left" w:pos="4752"/>
              </w:tabs>
              <w:spacing w:line="240" w:lineRule="exact"/>
              <w:jc w:val="center"/>
              <w:rPr>
                <w:rFonts w:asciiTheme="minorHAnsi" w:hAnsiTheme="minorHAnsi"/>
                <w:b/>
                <w:color w:val="auto"/>
                <w:szCs w:val="24"/>
              </w:rPr>
            </w:pPr>
            <w:r w:rsidRPr="006C148E">
              <w:rPr>
                <w:rFonts w:asciiTheme="minorHAnsi" w:hAnsiTheme="minorHAnsi"/>
                <w:b/>
                <w:color w:val="auto"/>
                <w:szCs w:val="24"/>
              </w:rPr>
              <w:t>RATING</w:t>
            </w:r>
          </w:p>
        </w:tc>
      </w:tr>
      <w:tr w:rsidR="001E669C" w:rsidRPr="006C148E" w:rsidTr="001E669C">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E669C" w:rsidRPr="006C148E" w:rsidRDefault="00B45B40" w:rsidP="00BE64D0">
            <w:pPr>
              <w:tabs>
                <w:tab w:val="left" w:pos="288"/>
                <w:tab w:val="left" w:pos="4752"/>
              </w:tabs>
              <w:spacing w:line="240" w:lineRule="exact"/>
              <w:rPr>
                <w:rFonts w:asciiTheme="minorHAnsi" w:hAnsiTheme="minorHAnsi"/>
                <w:color w:val="auto"/>
                <w:szCs w:val="24"/>
              </w:rPr>
            </w:pPr>
            <w:r w:rsidRPr="006C148E">
              <w:rPr>
                <w:rFonts w:asciiTheme="minorHAnsi" w:hAnsiTheme="minorHAnsi"/>
                <w:color w:val="auto"/>
                <w:szCs w:val="24"/>
              </w:rPr>
              <w:t>Chronic Thoracic Back Pain (</w:t>
            </w:r>
            <w:r w:rsidR="00BE64D0">
              <w:rPr>
                <w:rFonts w:asciiTheme="minorHAnsi" w:hAnsiTheme="minorHAnsi"/>
                <w:color w:val="auto"/>
                <w:szCs w:val="24"/>
              </w:rPr>
              <w:t>S</w:t>
            </w:r>
            <w:r w:rsidR="002C1759" w:rsidRPr="006C148E">
              <w:rPr>
                <w:rFonts w:asciiTheme="minorHAnsi" w:hAnsiTheme="minorHAnsi"/>
                <w:color w:val="auto"/>
                <w:szCs w:val="24"/>
              </w:rPr>
              <w:t>light</w:t>
            </w:r>
            <w:r w:rsidR="00BE64D0">
              <w:rPr>
                <w:rFonts w:asciiTheme="minorHAnsi" w:hAnsiTheme="minorHAnsi"/>
                <w:color w:val="auto"/>
                <w:szCs w:val="24"/>
              </w:rPr>
              <w:t>/C</w:t>
            </w:r>
            <w:r w:rsidR="002C1759" w:rsidRPr="006C148E">
              <w:rPr>
                <w:rFonts w:asciiTheme="minorHAnsi" w:hAnsiTheme="minorHAnsi"/>
                <w:color w:val="auto"/>
                <w:szCs w:val="24"/>
              </w:rPr>
              <w:t>onstant</w:t>
            </w:r>
            <w:r w:rsidRPr="006C148E">
              <w:rPr>
                <w:rFonts w:asciiTheme="minorHAnsi" w:hAnsiTheme="minorHAnsi"/>
                <w:color w:val="auto"/>
                <w:szCs w:val="24"/>
              </w:rPr>
              <w:t>)</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6C148E" w:rsidRDefault="00B45B40" w:rsidP="001E669C">
            <w:pPr>
              <w:tabs>
                <w:tab w:val="left" w:pos="288"/>
                <w:tab w:val="left" w:pos="4752"/>
              </w:tabs>
              <w:spacing w:line="240" w:lineRule="exact"/>
              <w:jc w:val="center"/>
              <w:rPr>
                <w:rFonts w:asciiTheme="minorHAnsi" w:hAnsiTheme="minorHAnsi"/>
                <w:color w:val="auto"/>
                <w:szCs w:val="24"/>
              </w:rPr>
            </w:pPr>
            <w:r w:rsidRPr="006C148E">
              <w:rPr>
                <w:rFonts w:asciiTheme="minorHAnsi" w:hAnsiTheme="minorHAnsi"/>
                <w:color w:val="auto"/>
                <w:szCs w:val="24"/>
              </w:rPr>
              <w:t>5237</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E669C" w:rsidRPr="006C148E" w:rsidRDefault="00B45B40" w:rsidP="001E669C">
            <w:pPr>
              <w:tabs>
                <w:tab w:val="left" w:pos="288"/>
                <w:tab w:val="left" w:pos="4752"/>
              </w:tabs>
              <w:spacing w:line="240" w:lineRule="exact"/>
              <w:jc w:val="center"/>
              <w:rPr>
                <w:rFonts w:asciiTheme="minorHAnsi" w:hAnsiTheme="minorHAnsi"/>
                <w:color w:val="auto"/>
                <w:szCs w:val="24"/>
              </w:rPr>
            </w:pPr>
            <w:r w:rsidRPr="006C148E">
              <w:rPr>
                <w:rFonts w:asciiTheme="minorHAnsi" w:hAnsiTheme="minorHAnsi"/>
                <w:color w:val="auto"/>
                <w:szCs w:val="24"/>
              </w:rPr>
              <w:t>1</w:t>
            </w:r>
            <w:r w:rsidR="001E669C" w:rsidRPr="006C148E">
              <w:rPr>
                <w:rFonts w:asciiTheme="minorHAnsi" w:hAnsiTheme="minorHAnsi"/>
                <w:color w:val="auto"/>
                <w:szCs w:val="24"/>
              </w:rPr>
              <w:t>0%</w:t>
            </w:r>
          </w:p>
        </w:tc>
      </w:tr>
      <w:tr w:rsidR="001E669C" w:rsidRPr="006C148E" w:rsidTr="001E669C">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6C148E" w:rsidRDefault="001E669C" w:rsidP="001E669C">
            <w:pPr>
              <w:tabs>
                <w:tab w:val="left" w:pos="288"/>
                <w:tab w:val="left" w:pos="4752"/>
              </w:tabs>
              <w:spacing w:line="240" w:lineRule="exact"/>
              <w:jc w:val="center"/>
              <w:rPr>
                <w:rFonts w:asciiTheme="minorHAnsi" w:hAnsiTheme="minorHAnsi"/>
                <w:b/>
                <w:color w:val="auto"/>
                <w:szCs w:val="24"/>
              </w:rPr>
            </w:pPr>
            <w:r w:rsidRPr="006C148E">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6C148E" w:rsidRDefault="00B45B40" w:rsidP="001E669C">
            <w:pPr>
              <w:tabs>
                <w:tab w:val="left" w:pos="288"/>
                <w:tab w:val="left" w:pos="4752"/>
              </w:tabs>
              <w:spacing w:line="240" w:lineRule="exact"/>
              <w:jc w:val="center"/>
              <w:rPr>
                <w:rFonts w:asciiTheme="minorHAnsi" w:hAnsiTheme="minorHAnsi"/>
                <w:b/>
                <w:color w:val="auto"/>
                <w:szCs w:val="24"/>
              </w:rPr>
            </w:pPr>
            <w:r w:rsidRPr="006C148E">
              <w:rPr>
                <w:rFonts w:asciiTheme="minorHAnsi" w:hAnsiTheme="minorHAnsi"/>
                <w:b/>
                <w:color w:val="auto"/>
                <w:szCs w:val="24"/>
              </w:rPr>
              <w:t>1</w:t>
            </w:r>
            <w:r w:rsidR="001E669C" w:rsidRPr="006C148E">
              <w:rPr>
                <w:rFonts w:asciiTheme="minorHAnsi" w:hAnsiTheme="minorHAnsi"/>
                <w:b/>
                <w:color w:val="auto"/>
                <w:szCs w:val="24"/>
              </w:rPr>
              <w:t>0%</w:t>
            </w:r>
          </w:p>
        </w:tc>
      </w:tr>
    </w:tbl>
    <w:p w:rsidR="00106AD8" w:rsidRPr="006C148E" w:rsidRDefault="00285BAC" w:rsidP="00106AD8">
      <w:pPr>
        <w:tabs>
          <w:tab w:val="left" w:pos="288"/>
          <w:tab w:val="left" w:pos="4752"/>
        </w:tabs>
        <w:spacing w:line="240" w:lineRule="exact"/>
        <w:rPr>
          <w:rFonts w:ascii="Calibri" w:hAnsi="Calibri"/>
          <w:color w:val="auto"/>
          <w:szCs w:val="24"/>
        </w:rPr>
      </w:pPr>
      <w:r w:rsidRPr="006C148E">
        <w:rPr>
          <w:rFonts w:ascii="Calibri" w:hAnsi="Calibri"/>
          <w:color w:val="auto"/>
          <w:szCs w:val="24"/>
        </w:rPr>
        <w:t>______________________________________________________________________________</w:t>
      </w:r>
    </w:p>
    <w:p w:rsidR="00D91DA6" w:rsidRPr="006C148E" w:rsidRDefault="00FB1725" w:rsidP="00190E48">
      <w:pPr>
        <w:tabs>
          <w:tab w:val="left" w:pos="288"/>
          <w:tab w:val="left" w:pos="4752"/>
        </w:tabs>
        <w:spacing w:line="240" w:lineRule="exact"/>
        <w:jc w:val="both"/>
        <w:rPr>
          <w:rFonts w:asciiTheme="minorHAnsi" w:hAnsiTheme="minorHAnsi"/>
          <w:color w:val="auto"/>
        </w:rPr>
      </w:pPr>
      <w:r w:rsidRPr="006C148E">
        <w:rPr>
          <w:rFonts w:asciiTheme="minorHAnsi" w:hAnsiTheme="minorHAnsi"/>
          <w:color w:val="auto"/>
        </w:rPr>
        <w:lastRenderedPageBreak/>
        <w:t>The following documentary evidence was considered:</w:t>
      </w:r>
    </w:p>
    <w:p w:rsidR="00EB5EFD" w:rsidRPr="006C148E" w:rsidRDefault="00EB5EFD" w:rsidP="00190E48">
      <w:pPr>
        <w:tabs>
          <w:tab w:val="left" w:pos="288"/>
          <w:tab w:val="left" w:pos="4752"/>
        </w:tabs>
        <w:spacing w:line="240" w:lineRule="exact"/>
        <w:jc w:val="both"/>
        <w:rPr>
          <w:rFonts w:asciiTheme="minorHAnsi" w:hAnsiTheme="minorHAnsi"/>
          <w:color w:val="auto"/>
        </w:rPr>
      </w:pPr>
    </w:p>
    <w:p w:rsidR="00114F20" w:rsidRPr="006C148E" w:rsidRDefault="00FB1725" w:rsidP="00190E48">
      <w:pPr>
        <w:tabs>
          <w:tab w:val="left" w:pos="288"/>
          <w:tab w:val="left" w:pos="4752"/>
        </w:tabs>
        <w:spacing w:line="240" w:lineRule="exact"/>
        <w:jc w:val="both"/>
        <w:rPr>
          <w:rFonts w:asciiTheme="minorHAnsi" w:hAnsiTheme="minorHAnsi"/>
          <w:color w:val="auto"/>
        </w:rPr>
      </w:pPr>
      <w:r w:rsidRPr="006C148E">
        <w:rPr>
          <w:rFonts w:asciiTheme="minorHAnsi" w:hAnsiTheme="minorHAnsi"/>
          <w:color w:val="auto"/>
        </w:rPr>
        <w:t xml:space="preserve">Exhibit A.  DD Form </w:t>
      </w:r>
      <w:proofErr w:type="gramStart"/>
      <w:r w:rsidRPr="006C148E">
        <w:rPr>
          <w:rFonts w:asciiTheme="minorHAnsi" w:hAnsiTheme="minorHAnsi"/>
          <w:color w:val="auto"/>
        </w:rPr>
        <w:t>294,</w:t>
      </w:r>
      <w:proofErr w:type="gramEnd"/>
      <w:r w:rsidRPr="006C148E">
        <w:rPr>
          <w:rFonts w:asciiTheme="minorHAnsi" w:hAnsiTheme="minorHAnsi"/>
          <w:color w:val="auto"/>
        </w:rPr>
        <w:t xml:space="preserve"> dated </w:t>
      </w:r>
      <w:r w:rsidR="00285BAC" w:rsidRPr="006C148E">
        <w:rPr>
          <w:rFonts w:asciiTheme="minorHAnsi" w:hAnsiTheme="minorHAnsi"/>
          <w:color w:val="auto"/>
        </w:rPr>
        <w:t>20</w:t>
      </w:r>
      <w:r w:rsidR="00B40839" w:rsidRPr="006C148E">
        <w:rPr>
          <w:rFonts w:asciiTheme="minorHAnsi" w:hAnsiTheme="minorHAnsi"/>
          <w:color w:val="auto"/>
        </w:rPr>
        <w:t>100404</w:t>
      </w:r>
      <w:r w:rsidRPr="006C148E">
        <w:rPr>
          <w:rFonts w:asciiTheme="minorHAnsi" w:hAnsiTheme="minorHAnsi"/>
          <w:color w:val="auto"/>
        </w:rPr>
        <w:t>, w/</w:t>
      </w:r>
      <w:proofErr w:type="spellStart"/>
      <w:r w:rsidRPr="006C148E">
        <w:rPr>
          <w:rFonts w:asciiTheme="minorHAnsi" w:hAnsiTheme="minorHAnsi"/>
          <w:color w:val="auto"/>
        </w:rPr>
        <w:t>atchs</w:t>
      </w:r>
      <w:proofErr w:type="spellEnd"/>
      <w:r w:rsidRPr="006C148E">
        <w:rPr>
          <w:rFonts w:asciiTheme="minorHAnsi" w:hAnsiTheme="minorHAnsi"/>
          <w:color w:val="auto"/>
        </w:rPr>
        <w:t>.</w:t>
      </w:r>
    </w:p>
    <w:p w:rsidR="00114F20" w:rsidRPr="006C148E" w:rsidRDefault="00FB1725" w:rsidP="00190E48">
      <w:pPr>
        <w:tabs>
          <w:tab w:val="left" w:pos="288"/>
          <w:tab w:val="left" w:pos="4752"/>
        </w:tabs>
        <w:spacing w:line="240" w:lineRule="exact"/>
        <w:jc w:val="both"/>
        <w:rPr>
          <w:rFonts w:asciiTheme="minorHAnsi" w:hAnsiTheme="minorHAnsi"/>
          <w:color w:val="auto"/>
        </w:rPr>
      </w:pPr>
      <w:r w:rsidRPr="006C148E">
        <w:rPr>
          <w:rFonts w:asciiTheme="minorHAnsi" w:hAnsiTheme="minorHAnsi"/>
          <w:color w:val="auto"/>
        </w:rPr>
        <w:t xml:space="preserve">Exhibit B.  </w:t>
      </w:r>
      <w:proofErr w:type="gramStart"/>
      <w:r w:rsidRPr="006C148E">
        <w:rPr>
          <w:rFonts w:asciiTheme="minorHAnsi" w:hAnsiTheme="minorHAnsi"/>
          <w:color w:val="auto"/>
        </w:rPr>
        <w:t>Service Treatment Record.</w:t>
      </w:r>
      <w:proofErr w:type="gramEnd"/>
    </w:p>
    <w:p w:rsidR="0086448C" w:rsidRPr="006C148E" w:rsidRDefault="00FB1725" w:rsidP="0086448C">
      <w:pPr>
        <w:tabs>
          <w:tab w:val="left" w:pos="288"/>
          <w:tab w:val="left" w:pos="4752"/>
        </w:tabs>
        <w:spacing w:line="240" w:lineRule="exact"/>
        <w:jc w:val="both"/>
        <w:rPr>
          <w:rFonts w:asciiTheme="minorHAnsi" w:hAnsiTheme="minorHAnsi"/>
          <w:color w:val="auto"/>
        </w:rPr>
      </w:pPr>
      <w:r w:rsidRPr="006C148E">
        <w:rPr>
          <w:rFonts w:asciiTheme="minorHAnsi" w:hAnsiTheme="minorHAnsi"/>
          <w:color w:val="auto"/>
        </w:rPr>
        <w:t xml:space="preserve">Exhibit C.  </w:t>
      </w:r>
      <w:proofErr w:type="gramStart"/>
      <w:r w:rsidRPr="006C148E">
        <w:rPr>
          <w:rFonts w:asciiTheme="minorHAnsi" w:hAnsiTheme="minorHAnsi"/>
          <w:color w:val="auto"/>
        </w:rPr>
        <w:t>Department of Veterans' Affairs Treatment Record.</w:t>
      </w:r>
      <w:proofErr w:type="gramEnd"/>
    </w:p>
    <w:p w:rsidR="0086448C" w:rsidRPr="006C148E" w:rsidRDefault="0086448C" w:rsidP="0086448C">
      <w:pPr>
        <w:tabs>
          <w:tab w:val="left" w:pos="288"/>
          <w:tab w:val="left" w:pos="4752"/>
        </w:tabs>
        <w:spacing w:line="240" w:lineRule="exact"/>
        <w:jc w:val="both"/>
        <w:rPr>
          <w:rFonts w:asciiTheme="minorHAnsi" w:hAnsiTheme="minorHAnsi"/>
          <w:color w:val="auto"/>
        </w:rPr>
      </w:pPr>
    </w:p>
    <w:p w:rsidR="006F3BF4" w:rsidRPr="006C148E" w:rsidRDefault="006F3BF4" w:rsidP="0086448C">
      <w:pPr>
        <w:tabs>
          <w:tab w:val="left" w:pos="288"/>
          <w:tab w:val="left" w:pos="4752"/>
        </w:tabs>
        <w:spacing w:line="240" w:lineRule="exact"/>
        <w:jc w:val="both"/>
        <w:rPr>
          <w:rFonts w:asciiTheme="minorHAnsi" w:hAnsiTheme="minorHAnsi"/>
          <w:color w:val="auto"/>
        </w:rPr>
      </w:pPr>
    </w:p>
    <w:p w:rsidR="006F3BF4" w:rsidRPr="006C148E" w:rsidRDefault="006F3BF4" w:rsidP="0086448C">
      <w:pPr>
        <w:tabs>
          <w:tab w:val="left" w:pos="288"/>
          <w:tab w:val="left" w:pos="4752"/>
        </w:tabs>
        <w:spacing w:line="240" w:lineRule="exact"/>
        <w:jc w:val="both"/>
        <w:rPr>
          <w:rFonts w:asciiTheme="minorHAnsi" w:hAnsiTheme="minorHAnsi"/>
          <w:color w:val="auto"/>
        </w:rPr>
      </w:pPr>
    </w:p>
    <w:p w:rsidR="006F3BF4" w:rsidRPr="006C148E" w:rsidRDefault="006F3BF4" w:rsidP="0086448C">
      <w:pPr>
        <w:tabs>
          <w:tab w:val="left" w:pos="288"/>
          <w:tab w:val="left" w:pos="4752"/>
        </w:tabs>
        <w:spacing w:line="240" w:lineRule="exact"/>
        <w:jc w:val="both"/>
        <w:rPr>
          <w:rFonts w:asciiTheme="minorHAnsi" w:hAnsiTheme="minorHAnsi"/>
          <w:color w:val="auto"/>
        </w:rPr>
      </w:pPr>
    </w:p>
    <w:p w:rsidR="00D91DA6" w:rsidRDefault="0086448C" w:rsidP="0086448C">
      <w:pPr>
        <w:tabs>
          <w:tab w:val="left" w:pos="288"/>
          <w:tab w:val="left" w:pos="4752"/>
        </w:tabs>
        <w:spacing w:line="240" w:lineRule="exact"/>
        <w:jc w:val="both"/>
        <w:rPr>
          <w:rFonts w:asciiTheme="minorHAnsi" w:hAnsiTheme="minorHAnsi"/>
          <w:color w:val="auto"/>
        </w:rPr>
      </w:pPr>
      <w:r w:rsidRPr="006C148E">
        <w:rPr>
          <w:rFonts w:asciiTheme="minorHAnsi" w:hAnsiTheme="minorHAnsi"/>
          <w:color w:val="auto"/>
        </w:rPr>
        <w:t xml:space="preserve">                                                      </w:t>
      </w:r>
      <w:r w:rsidR="008E7833" w:rsidRPr="006C148E">
        <w:rPr>
          <w:rFonts w:asciiTheme="minorHAnsi" w:hAnsiTheme="minorHAnsi"/>
          <w:color w:val="auto"/>
        </w:rPr>
        <w:t xml:space="preserve">                             </w:t>
      </w:r>
      <w:r w:rsidR="006F3BF4" w:rsidRPr="006C148E">
        <w:rPr>
          <w:rFonts w:asciiTheme="minorHAnsi" w:hAnsiTheme="minorHAnsi"/>
          <w:color w:val="auto"/>
        </w:rPr>
        <w:t xml:space="preserve">    </w:t>
      </w:r>
      <w:r w:rsidR="00B43518">
        <w:rPr>
          <w:rFonts w:asciiTheme="minorHAnsi" w:hAnsiTheme="minorHAnsi"/>
          <w:color w:val="auto"/>
        </w:rPr>
        <w:t xml:space="preserve">     </w:t>
      </w:r>
      <w:r w:rsidR="006F3BF4" w:rsidRPr="006C148E">
        <w:rPr>
          <w:rFonts w:asciiTheme="minorHAnsi" w:hAnsiTheme="minorHAnsi"/>
          <w:color w:val="auto"/>
        </w:rPr>
        <w:t xml:space="preserve"> </w:t>
      </w:r>
    </w:p>
    <w:p w:rsidR="00D91DA6" w:rsidRPr="006C148E" w:rsidRDefault="00FB1725" w:rsidP="00190E48">
      <w:pPr>
        <w:tabs>
          <w:tab w:val="left" w:pos="0"/>
          <w:tab w:val="left" w:pos="4320"/>
        </w:tabs>
        <w:spacing w:line="240" w:lineRule="exact"/>
        <w:jc w:val="both"/>
        <w:rPr>
          <w:rFonts w:asciiTheme="minorHAnsi" w:hAnsiTheme="minorHAnsi"/>
          <w:color w:val="auto"/>
        </w:rPr>
      </w:pPr>
      <w:r w:rsidRPr="006C148E">
        <w:rPr>
          <w:rFonts w:asciiTheme="minorHAnsi" w:hAnsiTheme="minorHAnsi"/>
          <w:color w:val="auto"/>
        </w:rPr>
        <w:t xml:space="preserve">                       </w:t>
      </w:r>
      <w:r w:rsidRPr="006C148E">
        <w:rPr>
          <w:rFonts w:asciiTheme="minorHAnsi" w:hAnsiTheme="minorHAnsi"/>
          <w:color w:val="auto"/>
        </w:rPr>
        <w:tab/>
      </w:r>
      <w:r w:rsidRPr="006C148E">
        <w:rPr>
          <w:rFonts w:asciiTheme="minorHAnsi" w:hAnsiTheme="minorHAnsi"/>
          <w:color w:val="auto"/>
        </w:rPr>
        <w:tab/>
        <w:t>Deputy Director</w:t>
      </w:r>
    </w:p>
    <w:p w:rsidR="00B522CD"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C148E">
        <w:rPr>
          <w:rFonts w:asciiTheme="minorHAnsi" w:hAnsiTheme="minorHAnsi"/>
          <w:color w:val="auto"/>
        </w:rPr>
        <w:tab/>
        <w:t xml:space="preserve">                           </w:t>
      </w:r>
      <w:r w:rsidRPr="006C148E">
        <w:rPr>
          <w:rFonts w:asciiTheme="minorHAnsi" w:hAnsiTheme="minorHAnsi"/>
          <w:color w:val="auto"/>
        </w:rPr>
        <w:tab/>
      </w:r>
      <w:r w:rsidRPr="006C148E">
        <w:rPr>
          <w:rFonts w:asciiTheme="minorHAnsi" w:hAnsiTheme="minorHAnsi"/>
          <w:color w:val="auto"/>
        </w:rPr>
        <w:tab/>
      </w:r>
      <w:r w:rsidRPr="006C148E">
        <w:rPr>
          <w:rFonts w:asciiTheme="minorHAnsi" w:hAnsiTheme="minorHAnsi"/>
          <w:color w:val="auto"/>
        </w:rPr>
        <w:tab/>
      </w:r>
      <w:r w:rsidRPr="006C148E">
        <w:rPr>
          <w:rFonts w:asciiTheme="minorHAnsi" w:hAnsiTheme="minorHAnsi"/>
          <w:color w:val="auto"/>
        </w:rPr>
        <w:tab/>
      </w:r>
      <w:r w:rsidRPr="006C148E">
        <w:rPr>
          <w:rFonts w:asciiTheme="minorHAnsi" w:hAnsiTheme="minorHAnsi"/>
          <w:color w:val="auto"/>
        </w:rPr>
        <w:tab/>
        <w:t>Physical Disability Board of Review</w:t>
      </w:r>
    </w:p>
    <w:p w:rsidR="000A523C" w:rsidRDefault="000A523C">
      <w:pPr>
        <w:rPr>
          <w:rFonts w:asciiTheme="minorHAnsi" w:hAnsiTheme="minorHAnsi"/>
          <w:color w:val="auto"/>
        </w:rPr>
      </w:pPr>
      <w:r>
        <w:rPr>
          <w:rFonts w:asciiTheme="minorHAnsi" w:hAnsiTheme="minorHAnsi"/>
          <w:color w:val="auto"/>
        </w:rPr>
        <w:br w:type="page"/>
      </w:r>
    </w:p>
    <w:p w:rsidR="000A523C" w:rsidRDefault="000A523C"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A523C" w:rsidRPr="000A523C" w:rsidRDefault="000A523C" w:rsidP="000A523C">
      <w:pPr>
        <w:rPr>
          <w:color w:val="auto"/>
        </w:rPr>
      </w:pPr>
      <w:r w:rsidRPr="000A523C">
        <w:rPr>
          <w:color w:val="auto"/>
        </w:rPr>
        <w:t>MEMORANDUM FOR DEPUTY COMMANDANT, MANPOWER &amp; RESERVE AFFAIRS</w:t>
      </w:r>
    </w:p>
    <w:p w:rsidR="000A523C" w:rsidRPr="000A523C" w:rsidRDefault="000A523C" w:rsidP="000A523C">
      <w:pPr>
        <w:rPr>
          <w:color w:val="auto"/>
        </w:rPr>
      </w:pPr>
    </w:p>
    <w:p w:rsidR="000A523C" w:rsidRPr="000A523C" w:rsidRDefault="000A523C" w:rsidP="000A523C">
      <w:pPr>
        <w:rPr>
          <w:color w:val="auto"/>
        </w:rPr>
      </w:pPr>
      <w:proofErr w:type="spellStart"/>
      <w:r w:rsidRPr="000A523C">
        <w:rPr>
          <w:color w:val="auto"/>
        </w:rPr>
        <w:t>Subj</w:t>
      </w:r>
      <w:proofErr w:type="spellEnd"/>
      <w:r w:rsidRPr="000A523C">
        <w:rPr>
          <w:color w:val="auto"/>
        </w:rPr>
        <w:t>:  PHYSICAL DISABILITY BOARD OF REVIEW (PDBR) RECOMMENDATION</w:t>
      </w:r>
    </w:p>
    <w:p w:rsidR="000A523C" w:rsidRPr="000A523C" w:rsidRDefault="000A523C" w:rsidP="000A523C">
      <w:pPr>
        <w:tabs>
          <w:tab w:val="left" w:pos="630"/>
        </w:tabs>
        <w:rPr>
          <w:color w:val="auto"/>
        </w:rPr>
      </w:pPr>
      <w:r w:rsidRPr="000A523C">
        <w:rPr>
          <w:color w:val="auto"/>
        </w:rPr>
        <w:t xml:space="preserve">          </w:t>
      </w:r>
      <w:r w:rsidRPr="000A523C">
        <w:rPr>
          <w:color w:val="auto"/>
        </w:rPr>
        <w:tab/>
        <w:t xml:space="preserve">ICO </w:t>
      </w:r>
      <w:r>
        <w:rPr>
          <w:color w:val="auto"/>
        </w:rPr>
        <w:t>XXXXX</w:t>
      </w:r>
      <w:r w:rsidRPr="000A523C">
        <w:rPr>
          <w:color w:val="auto"/>
        </w:rPr>
        <w:t xml:space="preserve">, FORMER USMC, XXX XX </w:t>
      </w:r>
      <w:r>
        <w:rPr>
          <w:color w:val="auto"/>
        </w:rPr>
        <w:t>XXXX</w:t>
      </w:r>
    </w:p>
    <w:p w:rsidR="000A523C" w:rsidRPr="000A523C" w:rsidRDefault="000A523C" w:rsidP="000A523C">
      <w:pPr>
        <w:rPr>
          <w:color w:val="auto"/>
        </w:rPr>
      </w:pPr>
    </w:p>
    <w:p w:rsidR="000A523C" w:rsidRPr="000A523C" w:rsidRDefault="000A523C" w:rsidP="000A523C">
      <w:pPr>
        <w:rPr>
          <w:color w:val="auto"/>
        </w:rPr>
      </w:pPr>
      <w:r w:rsidRPr="000A523C">
        <w:rPr>
          <w:color w:val="auto"/>
        </w:rPr>
        <w:t>Ref:   (a) DoDI 6040.44</w:t>
      </w:r>
    </w:p>
    <w:p w:rsidR="000A523C" w:rsidRPr="000A523C" w:rsidRDefault="000A523C" w:rsidP="000A523C">
      <w:pPr>
        <w:rPr>
          <w:color w:val="auto"/>
        </w:rPr>
      </w:pPr>
      <w:r w:rsidRPr="000A523C">
        <w:rPr>
          <w:color w:val="auto"/>
        </w:rPr>
        <w:t xml:space="preserve">          (b) PDBR </w:t>
      </w:r>
      <w:proofErr w:type="spellStart"/>
      <w:r w:rsidRPr="000A523C">
        <w:rPr>
          <w:color w:val="auto"/>
        </w:rPr>
        <w:t>ltr</w:t>
      </w:r>
      <w:proofErr w:type="spellEnd"/>
      <w:r w:rsidRPr="000A523C">
        <w:rPr>
          <w:color w:val="auto"/>
        </w:rPr>
        <w:t xml:space="preserve"> </w:t>
      </w:r>
      <w:proofErr w:type="spellStart"/>
      <w:r w:rsidRPr="000A523C">
        <w:rPr>
          <w:color w:val="auto"/>
        </w:rPr>
        <w:t>dtd</w:t>
      </w:r>
      <w:proofErr w:type="spellEnd"/>
      <w:r w:rsidRPr="000A523C">
        <w:rPr>
          <w:color w:val="auto"/>
        </w:rPr>
        <w:t xml:space="preserve"> 16 Jun 11</w:t>
      </w:r>
    </w:p>
    <w:p w:rsidR="000A523C" w:rsidRPr="000A523C" w:rsidRDefault="000A523C" w:rsidP="000A523C">
      <w:pPr>
        <w:rPr>
          <w:color w:val="auto"/>
        </w:rPr>
      </w:pPr>
    </w:p>
    <w:p w:rsidR="000A523C" w:rsidRPr="000A523C" w:rsidRDefault="000A523C" w:rsidP="000A523C">
      <w:pPr>
        <w:rPr>
          <w:color w:val="auto"/>
        </w:rPr>
      </w:pPr>
      <w:r w:rsidRPr="000A523C">
        <w:rPr>
          <w:color w:val="auto"/>
        </w:rPr>
        <w:t>1.  I have reviewed the subject case pursuant to reference (a) and approve the recommendation of the PDBR (reference (b)).</w:t>
      </w:r>
    </w:p>
    <w:p w:rsidR="000A523C" w:rsidRPr="000A523C" w:rsidRDefault="000A523C" w:rsidP="000A523C">
      <w:pPr>
        <w:rPr>
          <w:color w:val="auto"/>
        </w:rPr>
      </w:pPr>
    </w:p>
    <w:p w:rsidR="000A523C" w:rsidRPr="000A523C" w:rsidRDefault="000A523C" w:rsidP="000A523C">
      <w:pPr>
        <w:rPr>
          <w:color w:val="auto"/>
        </w:rPr>
      </w:pPr>
      <w:r w:rsidRPr="000A523C">
        <w:rPr>
          <w:color w:val="auto"/>
        </w:rPr>
        <w:t>2.  The subject member’s official records are to be corrected to reflect the following disposition:</w:t>
      </w:r>
    </w:p>
    <w:p w:rsidR="000A523C" w:rsidRPr="000A523C" w:rsidRDefault="000A523C" w:rsidP="000A523C">
      <w:pPr>
        <w:rPr>
          <w:color w:val="auto"/>
        </w:rPr>
      </w:pPr>
    </w:p>
    <w:p w:rsidR="000A523C" w:rsidRPr="000A523C" w:rsidRDefault="000A523C" w:rsidP="000A523C">
      <w:pPr>
        <w:rPr>
          <w:color w:val="auto"/>
        </w:rPr>
      </w:pPr>
      <w:r w:rsidRPr="000A523C">
        <w:rPr>
          <w:color w:val="auto"/>
        </w:rPr>
        <w:tab/>
        <w:t>a. Separation from the naval service due to physical disability rated at 10 percent (increased from 0 percent) effective 15 November 2006.</w:t>
      </w:r>
    </w:p>
    <w:p w:rsidR="000A523C" w:rsidRPr="000A523C" w:rsidRDefault="000A523C" w:rsidP="000A523C">
      <w:pPr>
        <w:rPr>
          <w:color w:val="auto"/>
        </w:rPr>
      </w:pPr>
    </w:p>
    <w:p w:rsidR="000A523C" w:rsidRPr="000A523C" w:rsidRDefault="000A523C" w:rsidP="000A523C">
      <w:pPr>
        <w:rPr>
          <w:color w:val="auto"/>
        </w:rPr>
      </w:pPr>
      <w:r w:rsidRPr="000A523C">
        <w:rPr>
          <w:color w:val="auto"/>
        </w:rPr>
        <w:t>3.  Please ensure all necessary actions are taken to implement this decision including notification to the subject member once those actions are completed.</w:t>
      </w:r>
    </w:p>
    <w:p w:rsidR="000A523C" w:rsidRPr="000A523C" w:rsidRDefault="000A523C" w:rsidP="000A523C">
      <w:pPr>
        <w:rPr>
          <w:color w:val="auto"/>
        </w:rPr>
      </w:pPr>
    </w:p>
    <w:p w:rsidR="000A523C" w:rsidRPr="000A523C" w:rsidRDefault="000A523C" w:rsidP="000A523C">
      <w:pPr>
        <w:rPr>
          <w:color w:val="auto"/>
        </w:rPr>
      </w:pPr>
    </w:p>
    <w:p w:rsidR="000A523C" w:rsidRPr="000A523C" w:rsidRDefault="000A523C" w:rsidP="000A523C">
      <w:pPr>
        <w:rPr>
          <w:color w:val="auto"/>
        </w:rPr>
      </w:pPr>
    </w:p>
    <w:p w:rsidR="000A523C" w:rsidRPr="000A523C" w:rsidRDefault="000A523C" w:rsidP="000A523C">
      <w:pPr>
        <w:tabs>
          <w:tab w:val="left" w:pos="4680"/>
        </w:tabs>
        <w:rPr>
          <w:color w:val="auto"/>
        </w:rPr>
      </w:pPr>
      <w:r w:rsidRPr="000A523C">
        <w:rPr>
          <w:color w:val="auto"/>
        </w:rPr>
        <w:tab/>
      </w:r>
    </w:p>
    <w:p w:rsidR="000A523C" w:rsidRPr="000A523C" w:rsidRDefault="000A523C" w:rsidP="000A523C">
      <w:pPr>
        <w:rPr>
          <w:color w:val="auto"/>
        </w:rPr>
      </w:pPr>
      <w:r w:rsidRPr="000A523C">
        <w:rPr>
          <w:color w:val="auto"/>
        </w:rPr>
        <w:tab/>
      </w:r>
      <w:r w:rsidRPr="000A523C">
        <w:rPr>
          <w:color w:val="auto"/>
        </w:rPr>
        <w:tab/>
      </w:r>
      <w:r w:rsidRPr="000A523C">
        <w:rPr>
          <w:color w:val="auto"/>
        </w:rPr>
        <w:tab/>
      </w:r>
      <w:r w:rsidRPr="000A523C">
        <w:rPr>
          <w:color w:val="auto"/>
        </w:rPr>
        <w:tab/>
      </w:r>
      <w:r w:rsidRPr="000A523C">
        <w:rPr>
          <w:color w:val="auto"/>
        </w:rPr>
        <w:tab/>
      </w:r>
      <w:r w:rsidRPr="000A523C">
        <w:rPr>
          <w:color w:val="auto"/>
        </w:rPr>
        <w:tab/>
        <w:t xml:space="preserve">      Assistant General Counsel</w:t>
      </w:r>
    </w:p>
    <w:p w:rsidR="000A523C" w:rsidRPr="000A523C" w:rsidRDefault="000A523C" w:rsidP="000A523C">
      <w:pPr>
        <w:rPr>
          <w:color w:val="auto"/>
        </w:rPr>
      </w:pPr>
      <w:r w:rsidRPr="000A523C">
        <w:rPr>
          <w:color w:val="auto"/>
        </w:rPr>
        <w:tab/>
      </w:r>
      <w:r w:rsidRPr="000A523C">
        <w:rPr>
          <w:color w:val="auto"/>
        </w:rPr>
        <w:tab/>
      </w:r>
      <w:r w:rsidRPr="000A523C">
        <w:rPr>
          <w:color w:val="auto"/>
        </w:rPr>
        <w:tab/>
      </w:r>
      <w:r w:rsidRPr="000A523C">
        <w:rPr>
          <w:color w:val="auto"/>
        </w:rPr>
        <w:tab/>
      </w:r>
      <w:r w:rsidRPr="000A523C">
        <w:rPr>
          <w:color w:val="auto"/>
        </w:rPr>
        <w:tab/>
      </w:r>
      <w:r w:rsidRPr="000A523C">
        <w:rPr>
          <w:color w:val="auto"/>
        </w:rPr>
        <w:tab/>
        <w:t xml:space="preserve">        (Manpower &amp; Reserve Affairs)</w:t>
      </w:r>
    </w:p>
    <w:p w:rsidR="000A523C" w:rsidRDefault="000A523C" w:rsidP="000A523C"/>
    <w:p w:rsidR="000A523C" w:rsidRPr="006C148E" w:rsidRDefault="000A523C"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0A523C" w:rsidRPr="006C148E"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560" w:rsidRDefault="00154560">
      <w:r>
        <w:separator/>
      </w:r>
    </w:p>
  </w:endnote>
  <w:endnote w:type="continuationSeparator" w:id="0">
    <w:p w:rsidR="00154560" w:rsidRDefault="00154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C0" w:rsidRDefault="008511B1">
    <w:pPr>
      <w:pStyle w:val="Footer"/>
      <w:framePr w:wrap="around" w:vAnchor="text" w:hAnchor="margin" w:xAlign="center" w:y="1"/>
      <w:rPr>
        <w:rStyle w:val="PageNumber"/>
      </w:rPr>
    </w:pPr>
    <w:r>
      <w:rPr>
        <w:rStyle w:val="PageNumber"/>
      </w:rPr>
      <w:fldChar w:fldCharType="begin"/>
    </w:r>
    <w:r w:rsidR="00BC32C0">
      <w:rPr>
        <w:rStyle w:val="PageNumber"/>
      </w:rPr>
      <w:instrText xml:space="preserve">PAGE  </w:instrText>
    </w:r>
    <w:r>
      <w:rPr>
        <w:rStyle w:val="PageNumber"/>
      </w:rPr>
      <w:fldChar w:fldCharType="separate"/>
    </w:r>
    <w:r w:rsidR="00BC32C0">
      <w:rPr>
        <w:rStyle w:val="PageNumber"/>
        <w:noProof/>
      </w:rPr>
      <w:t>2</w:t>
    </w:r>
    <w:r>
      <w:rPr>
        <w:rStyle w:val="PageNumber"/>
      </w:rPr>
      <w:fldChar w:fldCharType="end"/>
    </w:r>
  </w:p>
  <w:p w:rsidR="00BC32C0" w:rsidRDefault="00BC32C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C0" w:rsidRPr="00AC713F" w:rsidRDefault="008511B1">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BC32C0"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0A523C">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BC32C0" w:rsidRPr="00D13FDD" w:rsidRDefault="00BC32C0" w:rsidP="002B0749">
    <w:pPr>
      <w:pStyle w:val="Footer"/>
      <w:jc w:val="right"/>
      <w:rPr>
        <w:rFonts w:asciiTheme="minorHAnsi" w:hAnsiTheme="minorHAnsi"/>
        <w:color w:val="auto"/>
      </w:rPr>
    </w:pPr>
    <w:r>
      <w:tab/>
    </w:r>
    <w:r>
      <w:tab/>
    </w:r>
    <w:r w:rsidRPr="00D13FDD">
      <w:rPr>
        <w:rFonts w:asciiTheme="minorHAnsi" w:hAnsiTheme="minorHAnsi"/>
        <w:caps/>
        <w:color w:val="auto"/>
      </w:rPr>
      <w:t>PD</w:t>
    </w:r>
    <w:r w:rsidR="00D13FDD" w:rsidRPr="00D13FDD">
      <w:rPr>
        <w:rFonts w:asciiTheme="minorHAnsi" w:hAnsiTheme="minorHAnsi"/>
        <w:caps/>
        <w:color w:val="auto"/>
      </w:rPr>
      <w:t>1000370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560" w:rsidRDefault="00154560">
      <w:r>
        <w:separator/>
      </w:r>
    </w:p>
  </w:footnote>
  <w:footnote w:type="continuationSeparator" w:id="0">
    <w:p w:rsidR="00154560" w:rsidRDefault="00154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5058"/>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417"/>
    <w:rsid w:val="000145C2"/>
    <w:rsid w:val="0001473F"/>
    <w:rsid w:val="00014A9E"/>
    <w:rsid w:val="00017025"/>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4EB5"/>
    <w:rsid w:val="000577C9"/>
    <w:rsid w:val="0006431E"/>
    <w:rsid w:val="00065E21"/>
    <w:rsid w:val="00072433"/>
    <w:rsid w:val="00075702"/>
    <w:rsid w:val="000775C2"/>
    <w:rsid w:val="000806AD"/>
    <w:rsid w:val="00082482"/>
    <w:rsid w:val="0008708B"/>
    <w:rsid w:val="00092619"/>
    <w:rsid w:val="00092C66"/>
    <w:rsid w:val="00094E4F"/>
    <w:rsid w:val="000A2BCE"/>
    <w:rsid w:val="000A41E3"/>
    <w:rsid w:val="000A44D4"/>
    <w:rsid w:val="000A4BBA"/>
    <w:rsid w:val="000A5071"/>
    <w:rsid w:val="000A523C"/>
    <w:rsid w:val="000B4C99"/>
    <w:rsid w:val="000C06F6"/>
    <w:rsid w:val="000C1D34"/>
    <w:rsid w:val="000C2362"/>
    <w:rsid w:val="000C3C13"/>
    <w:rsid w:val="000C4D89"/>
    <w:rsid w:val="000C53F9"/>
    <w:rsid w:val="000C5813"/>
    <w:rsid w:val="000C75CF"/>
    <w:rsid w:val="000C7B83"/>
    <w:rsid w:val="000C7DE4"/>
    <w:rsid w:val="000D15E7"/>
    <w:rsid w:val="000D1A24"/>
    <w:rsid w:val="000D21C7"/>
    <w:rsid w:val="000D248A"/>
    <w:rsid w:val="000D35D8"/>
    <w:rsid w:val="000D43F9"/>
    <w:rsid w:val="000D4717"/>
    <w:rsid w:val="000D6457"/>
    <w:rsid w:val="000D670A"/>
    <w:rsid w:val="000D7D55"/>
    <w:rsid w:val="000E0993"/>
    <w:rsid w:val="000E37E0"/>
    <w:rsid w:val="000E7034"/>
    <w:rsid w:val="000F02BE"/>
    <w:rsid w:val="000F3247"/>
    <w:rsid w:val="000F427B"/>
    <w:rsid w:val="000F5CA2"/>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3AC6"/>
    <w:rsid w:val="001272AE"/>
    <w:rsid w:val="001315DD"/>
    <w:rsid w:val="0013525F"/>
    <w:rsid w:val="00135385"/>
    <w:rsid w:val="0013582A"/>
    <w:rsid w:val="001364D1"/>
    <w:rsid w:val="00142EBA"/>
    <w:rsid w:val="00143B79"/>
    <w:rsid w:val="00150B8A"/>
    <w:rsid w:val="00150DCB"/>
    <w:rsid w:val="00151912"/>
    <w:rsid w:val="00153740"/>
    <w:rsid w:val="001541C5"/>
    <w:rsid w:val="00154560"/>
    <w:rsid w:val="0015623F"/>
    <w:rsid w:val="00156585"/>
    <w:rsid w:val="00156BA9"/>
    <w:rsid w:val="0016110D"/>
    <w:rsid w:val="00161761"/>
    <w:rsid w:val="00166182"/>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1B73"/>
    <w:rsid w:val="001A1C32"/>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325B"/>
    <w:rsid w:val="001C5CFC"/>
    <w:rsid w:val="001C7418"/>
    <w:rsid w:val="001C7EBE"/>
    <w:rsid w:val="001D0051"/>
    <w:rsid w:val="001D2224"/>
    <w:rsid w:val="001D31AA"/>
    <w:rsid w:val="001D39AA"/>
    <w:rsid w:val="001D4F88"/>
    <w:rsid w:val="001D68CF"/>
    <w:rsid w:val="001D6A8C"/>
    <w:rsid w:val="001D75BE"/>
    <w:rsid w:val="001D7A56"/>
    <w:rsid w:val="001E15C0"/>
    <w:rsid w:val="001E18E0"/>
    <w:rsid w:val="001E18E2"/>
    <w:rsid w:val="001E19D0"/>
    <w:rsid w:val="001E2A30"/>
    <w:rsid w:val="001E669C"/>
    <w:rsid w:val="001F00CF"/>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2AD1"/>
    <w:rsid w:val="00255049"/>
    <w:rsid w:val="00257DE5"/>
    <w:rsid w:val="00260531"/>
    <w:rsid w:val="0026318D"/>
    <w:rsid w:val="00270864"/>
    <w:rsid w:val="002712F7"/>
    <w:rsid w:val="0027159C"/>
    <w:rsid w:val="00274549"/>
    <w:rsid w:val="00274E46"/>
    <w:rsid w:val="00276C86"/>
    <w:rsid w:val="002810A4"/>
    <w:rsid w:val="00281444"/>
    <w:rsid w:val="00284A26"/>
    <w:rsid w:val="00285BAC"/>
    <w:rsid w:val="00287006"/>
    <w:rsid w:val="00292AB2"/>
    <w:rsid w:val="00294437"/>
    <w:rsid w:val="002A3237"/>
    <w:rsid w:val="002A58B7"/>
    <w:rsid w:val="002A5943"/>
    <w:rsid w:val="002A5C3C"/>
    <w:rsid w:val="002A685E"/>
    <w:rsid w:val="002A72C7"/>
    <w:rsid w:val="002B03B2"/>
    <w:rsid w:val="002B0749"/>
    <w:rsid w:val="002B2645"/>
    <w:rsid w:val="002B6FA0"/>
    <w:rsid w:val="002C1759"/>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129B2"/>
    <w:rsid w:val="0032136A"/>
    <w:rsid w:val="00323E70"/>
    <w:rsid w:val="00325BA2"/>
    <w:rsid w:val="00326C08"/>
    <w:rsid w:val="00326F7F"/>
    <w:rsid w:val="003320E8"/>
    <w:rsid w:val="0033334F"/>
    <w:rsid w:val="0033555E"/>
    <w:rsid w:val="00336805"/>
    <w:rsid w:val="00337351"/>
    <w:rsid w:val="00340250"/>
    <w:rsid w:val="00341734"/>
    <w:rsid w:val="00341A54"/>
    <w:rsid w:val="0034669F"/>
    <w:rsid w:val="00351498"/>
    <w:rsid w:val="00352B22"/>
    <w:rsid w:val="00354547"/>
    <w:rsid w:val="003567DE"/>
    <w:rsid w:val="003574F3"/>
    <w:rsid w:val="00361302"/>
    <w:rsid w:val="0036319E"/>
    <w:rsid w:val="003632A4"/>
    <w:rsid w:val="00363362"/>
    <w:rsid w:val="00367D4F"/>
    <w:rsid w:val="00370743"/>
    <w:rsid w:val="00370EF5"/>
    <w:rsid w:val="0037135B"/>
    <w:rsid w:val="00372251"/>
    <w:rsid w:val="00374EB3"/>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31ECB"/>
    <w:rsid w:val="00432C91"/>
    <w:rsid w:val="00433F36"/>
    <w:rsid w:val="0043503A"/>
    <w:rsid w:val="004354D7"/>
    <w:rsid w:val="00442043"/>
    <w:rsid w:val="0044384F"/>
    <w:rsid w:val="00444F80"/>
    <w:rsid w:val="00446018"/>
    <w:rsid w:val="004543BC"/>
    <w:rsid w:val="0045645D"/>
    <w:rsid w:val="004574C6"/>
    <w:rsid w:val="00457BCF"/>
    <w:rsid w:val="00457DCE"/>
    <w:rsid w:val="00460E3F"/>
    <w:rsid w:val="00462F68"/>
    <w:rsid w:val="00466CED"/>
    <w:rsid w:val="00467592"/>
    <w:rsid w:val="00467690"/>
    <w:rsid w:val="00470744"/>
    <w:rsid w:val="004718E7"/>
    <w:rsid w:val="00472535"/>
    <w:rsid w:val="004761CC"/>
    <w:rsid w:val="00480D4A"/>
    <w:rsid w:val="00481DA1"/>
    <w:rsid w:val="00484212"/>
    <w:rsid w:val="0049255F"/>
    <w:rsid w:val="0049445D"/>
    <w:rsid w:val="00495350"/>
    <w:rsid w:val="00497156"/>
    <w:rsid w:val="00497FB9"/>
    <w:rsid w:val="004A0C79"/>
    <w:rsid w:val="004A24D2"/>
    <w:rsid w:val="004A30E8"/>
    <w:rsid w:val="004A3214"/>
    <w:rsid w:val="004A4136"/>
    <w:rsid w:val="004A417B"/>
    <w:rsid w:val="004B03F3"/>
    <w:rsid w:val="004B0CC9"/>
    <w:rsid w:val="004B2536"/>
    <w:rsid w:val="004B3432"/>
    <w:rsid w:val="004B6AF3"/>
    <w:rsid w:val="004B6E12"/>
    <w:rsid w:val="004B715E"/>
    <w:rsid w:val="004B7169"/>
    <w:rsid w:val="004B79C9"/>
    <w:rsid w:val="004C5E33"/>
    <w:rsid w:val="004C6CDA"/>
    <w:rsid w:val="004D10D4"/>
    <w:rsid w:val="004D16BD"/>
    <w:rsid w:val="004D2576"/>
    <w:rsid w:val="004D2AAB"/>
    <w:rsid w:val="004D553A"/>
    <w:rsid w:val="004D6F2B"/>
    <w:rsid w:val="004E0248"/>
    <w:rsid w:val="004E21A3"/>
    <w:rsid w:val="004E32EA"/>
    <w:rsid w:val="004E55C4"/>
    <w:rsid w:val="004E6866"/>
    <w:rsid w:val="004F3222"/>
    <w:rsid w:val="004F3BFA"/>
    <w:rsid w:val="005000AB"/>
    <w:rsid w:val="005025EE"/>
    <w:rsid w:val="00510588"/>
    <w:rsid w:val="0051146C"/>
    <w:rsid w:val="00513A48"/>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1800"/>
    <w:rsid w:val="00542C9A"/>
    <w:rsid w:val="005436C2"/>
    <w:rsid w:val="005442D4"/>
    <w:rsid w:val="00544361"/>
    <w:rsid w:val="0054586A"/>
    <w:rsid w:val="0054631F"/>
    <w:rsid w:val="0055288D"/>
    <w:rsid w:val="00555259"/>
    <w:rsid w:val="00556EC5"/>
    <w:rsid w:val="00560D57"/>
    <w:rsid w:val="00562A94"/>
    <w:rsid w:val="005709F7"/>
    <w:rsid w:val="005710A9"/>
    <w:rsid w:val="00571D1B"/>
    <w:rsid w:val="005738F5"/>
    <w:rsid w:val="0058039C"/>
    <w:rsid w:val="00593043"/>
    <w:rsid w:val="00595BF0"/>
    <w:rsid w:val="005A1846"/>
    <w:rsid w:val="005A258C"/>
    <w:rsid w:val="005A3560"/>
    <w:rsid w:val="005A464E"/>
    <w:rsid w:val="005A6C99"/>
    <w:rsid w:val="005A7D5D"/>
    <w:rsid w:val="005B011A"/>
    <w:rsid w:val="005B1D8F"/>
    <w:rsid w:val="005B1E94"/>
    <w:rsid w:val="005B5B3D"/>
    <w:rsid w:val="005B64CF"/>
    <w:rsid w:val="005C16F3"/>
    <w:rsid w:val="005C3758"/>
    <w:rsid w:val="005D0088"/>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5951"/>
    <w:rsid w:val="00637BDC"/>
    <w:rsid w:val="006418C9"/>
    <w:rsid w:val="00642BD6"/>
    <w:rsid w:val="00642DFF"/>
    <w:rsid w:val="00645046"/>
    <w:rsid w:val="0064527A"/>
    <w:rsid w:val="00645EA2"/>
    <w:rsid w:val="00653D2D"/>
    <w:rsid w:val="006573F2"/>
    <w:rsid w:val="006609AD"/>
    <w:rsid w:val="00662F08"/>
    <w:rsid w:val="00663589"/>
    <w:rsid w:val="006708E3"/>
    <w:rsid w:val="00670DDC"/>
    <w:rsid w:val="00671EB4"/>
    <w:rsid w:val="0067443B"/>
    <w:rsid w:val="00680B2F"/>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656"/>
    <w:rsid w:val="006B5923"/>
    <w:rsid w:val="006B67D9"/>
    <w:rsid w:val="006B6C14"/>
    <w:rsid w:val="006B715E"/>
    <w:rsid w:val="006C148E"/>
    <w:rsid w:val="006C1D6E"/>
    <w:rsid w:val="006C2EF6"/>
    <w:rsid w:val="006C3A68"/>
    <w:rsid w:val="006C6AB1"/>
    <w:rsid w:val="006D2D39"/>
    <w:rsid w:val="006D4E0E"/>
    <w:rsid w:val="006D5CE2"/>
    <w:rsid w:val="006E06D1"/>
    <w:rsid w:val="006E0CF9"/>
    <w:rsid w:val="006E1313"/>
    <w:rsid w:val="006E2DC8"/>
    <w:rsid w:val="006E7356"/>
    <w:rsid w:val="006E77C8"/>
    <w:rsid w:val="006F149D"/>
    <w:rsid w:val="006F1A46"/>
    <w:rsid w:val="006F3BF4"/>
    <w:rsid w:val="006F4F06"/>
    <w:rsid w:val="006F5A4E"/>
    <w:rsid w:val="00703B6C"/>
    <w:rsid w:val="00705C40"/>
    <w:rsid w:val="00706482"/>
    <w:rsid w:val="00706BEF"/>
    <w:rsid w:val="00707ECE"/>
    <w:rsid w:val="00710CE8"/>
    <w:rsid w:val="007116BC"/>
    <w:rsid w:val="00711871"/>
    <w:rsid w:val="007165CE"/>
    <w:rsid w:val="00720198"/>
    <w:rsid w:val="00720968"/>
    <w:rsid w:val="00721705"/>
    <w:rsid w:val="00721D12"/>
    <w:rsid w:val="00721F8B"/>
    <w:rsid w:val="007237CE"/>
    <w:rsid w:val="00724688"/>
    <w:rsid w:val="0073062D"/>
    <w:rsid w:val="0073254D"/>
    <w:rsid w:val="00736A49"/>
    <w:rsid w:val="0074077D"/>
    <w:rsid w:val="007419A1"/>
    <w:rsid w:val="00743B71"/>
    <w:rsid w:val="00743C2D"/>
    <w:rsid w:val="00743E36"/>
    <w:rsid w:val="007446F7"/>
    <w:rsid w:val="00744EBB"/>
    <w:rsid w:val="00745B0A"/>
    <w:rsid w:val="007468AC"/>
    <w:rsid w:val="00746AE2"/>
    <w:rsid w:val="00750C82"/>
    <w:rsid w:val="0076100C"/>
    <w:rsid w:val="007612A5"/>
    <w:rsid w:val="0076215A"/>
    <w:rsid w:val="00763F95"/>
    <w:rsid w:val="007651ED"/>
    <w:rsid w:val="00766C87"/>
    <w:rsid w:val="007769C4"/>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2A89"/>
    <w:rsid w:val="007C433E"/>
    <w:rsid w:val="007C4452"/>
    <w:rsid w:val="007C4B3C"/>
    <w:rsid w:val="007C4DB1"/>
    <w:rsid w:val="007C6046"/>
    <w:rsid w:val="007D0292"/>
    <w:rsid w:val="007D065E"/>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5E8C"/>
    <w:rsid w:val="008065DB"/>
    <w:rsid w:val="008078D8"/>
    <w:rsid w:val="00811D5B"/>
    <w:rsid w:val="00817713"/>
    <w:rsid w:val="008220F1"/>
    <w:rsid w:val="0082340B"/>
    <w:rsid w:val="00827DB6"/>
    <w:rsid w:val="008304B2"/>
    <w:rsid w:val="00830999"/>
    <w:rsid w:val="00830D5E"/>
    <w:rsid w:val="00830F69"/>
    <w:rsid w:val="00833418"/>
    <w:rsid w:val="00834458"/>
    <w:rsid w:val="00835841"/>
    <w:rsid w:val="00836DE6"/>
    <w:rsid w:val="00837465"/>
    <w:rsid w:val="00841243"/>
    <w:rsid w:val="00841457"/>
    <w:rsid w:val="0084374E"/>
    <w:rsid w:val="00844842"/>
    <w:rsid w:val="00844DD0"/>
    <w:rsid w:val="008455EF"/>
    <w:rsid w:val="0085089F"/>
    <w:rsid w:val="008511B1"/>
    <w:rsid w:val="0085206E"/>
    <w:rsid w:val="00852AD4"/>
    <w:rsid w:val="00852BA8"/>
    <w:rsid w:val="00853718"/>
    <w:rsid w:val="00853C9D"/>
    <w:rsid w:val="008541EF"/>
    <w:rsid w:val="0085568A"/>
    <w:rsid w:val="00856AC7"/>
    <w:rsid w:val="00856FA4"/>
    <w:rsid w:val="0086162B"/>
    <w:rsid w:val="00861D5C"/>
    <w:rsid w:val="0086448C"/>
    <w:rsid w:val="00865207"/>
    <w:rsid w:val="008656A7"/>
    <w:rsid w:val="00866231"/>
    <w:rsid w:val="00871262"/>
    <w:rsid w:val="00871D4E"/>
    <w:rsid w:val="00871E7B"/>
    <w:rsid w:val="00875B51"/>
    <w:rsid w:val="00875F2D"/>
    <w:rsid w:val="008764DC"/>
    <w:rsid w:val="00882CC2"/>
    <w:rsid w:val="00883930"/>
    <w:rsid w:val="008937FC"/>
    <w:rsid w:val="00896535"/>
    <w:rsid w:val="00896683"/>
    <w:rsid w:val="008972F3"/>
    <w:rsid w:val="0089750B"/>
    <w:rsid w:val="00897589"/>
    <w:rsid w:val="008A63A9"/>
    <w:rsid w:val="008A7F7E"/>
    <w:rsid w:val="008B04DB"/>
    <w:rsid w:val="008B27FD"/>
    <w:rsid w:val="008B3AF2"/>
    <w:rsid w:val="008B515D"/>
    <w:rsid w:val="008B5D31"/>
    <w:rsid w:val="008B6705"/>
    <w:rsid w:val="008B77C3"/>
    <w:rsid w:val="008C22F3"/>
    <w:rsid w:val="008C7ABD"/>
    <w:rsid w:val="008D7749"/>
    <w:rsid w:val="008D795D"/>
    <w:rsid w:val="008D7B07"/>
    <w:rsid w:val="008E1E94"/>
    <w:rsid w:val="008E2D99"/>
    <w:rsid w:val="008E4A60"/>
    <w:rsid w:val="008E744D"/>
    <w:rsid w:val="008E7833"/>
    <w:rsid w:val="008F1E08"/>
    <w:rsid w:val="008F3D8A"/>
    <w:rsid w:val="00900D8F"/>
    <w:rsid w:val="009014E3"/>
    <w:rsid w:val="009026E8"/>
    <w:rsid w:val="00906EB7"/>
    <w:rsid w:val="009102BF"/>
    <w:rsid w:val="00911490"/>
    <w:rsid w:val="009115F2"/>
    <w:rsid w:val="00914ADB"/>
    <w:rsid w:val="00923B25"/>
    <w:rsid w:val="0092402E"/>
    <w:rsid w:val="009259BA"/>
    <w:rsid w:val="00926FCB"/>
    <w:rsid w:val="0093311A"/>
    <w:rsid w:val="00942204"/>
    <w:rsid w:val="00942645"/>
    <w:rsid w:val="00950A3A"/>
    <w:rsid w:val="0095340A"/>
    <w:rsid w:val="00954581"/>
    <w:rsid w:val="0095466C"/>
    <w:rsid w:val="00954E5B"/>
    <w:rsid w:val="009576BC"/>
    <w:rsid w:val="00960357"/>
    <w:rsid w:val="0096168C"/>
    <w:rsid w:val="00961840"/>
    <w:rsid w:val="00962F2D"/>
    <w:rsid w:val="00963787"/>
    <w:rsid w:val="00966937"/>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0EB4"/>
    <w:rsid w:val="009C22C8"/>
    <w:rsid w:val="009C3F82"/>
    <w:rsid w:val="009C72DD"/>
    <w:rsid w:val="009C7DF5"/>
    <w:rsid w:val="009D056C"/>
    <w:rsid w:val="009D060F"/>
    <w:rsid w:val="009D1ADE"/>
    <w:rsid w:val="009D37CA"/>
    <w:rsid w:val="009E09D0"/>
    <w:rsid w:val="009E1283"/>
    <w:rsid w:val="009E3A7F"/>
    <w:rsid w:val="009E57B1"/>
    <w:rsid w:val="009E6379"/>
    <w:rsid w:val="009E7560"/>
    <w:rsid w:val="009F7809"/>
    <w:rsid w:val="009F7AF5"/>
    <w:rsid w:val="00A00D14"/>
    <w:rsid w:val="00A01408"/>
    <w:rsid w:val="00A02457"/>
    <w:rsid w:val="00A03190"/>
    <w:rsid w:val="00A0404B"/>
    <w:rsid w:val="00A060FB"/>
    <w:rsid w:val="00A0798C"/>
    <w:rsid w:val="00A07BDD"/>
    <w:rsid w:val="00A1105B"/>
    <w:rsid w:val="00A1213C"/>
    <w:rsid w:val="00A130E8"/>
    <w:rsid w:val="00A15B6B"/>
    <w:rsid w:val="00A15EB4"/>
    <w:rsid w:val="00A16876"/>
    <w:rsid w:val="00A200AA"/>
    <w:rsid w:val="00A20558"/>
    <w:rsid w:val="00A20655"/>
    <w:rsid w:val="00A2186F"/>
    <w:rsid w:val="00A2270B"/>
    <w:rsid w:val="00A23B89"/>
    <w:rsid w:val="00A23FE3"/>
    <w:rsid w:val="00A248C3"/>
    <w:rsid w:val="00A2496E"/>
    <w:rsid w:val="00A258B7"/>
    <w:rsid w:val="00A32743"/>
    <w:rsid w:val="00A414A9"/>
    <w:rsid w:val="00A44CCA"/>
    <w:rsid w:val="00A44D75"/>
    <w:rsid w:val="00A47CF1"/>
    <w:rsid w:val="00A50418"/>
    <w:rsid w:val="00A52B4A"/>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713F"/>
    <w:rsid w:val="00AD067E"/>
    <w:rsid w:val="00AD2801"/>
    <w:rsid w:val="00AD53FB"/>
    <w:rsid w:val="00AD6870"/>
    <w:rsid w:val="00AD68C5"/>
    <w:rsid w:val="00AE1273"/>
    <w:rsid w:val="00AE2957"/>
    <w:rsid w:val="00AE2D29"/>
    <w:rsid w:val="00AE4624"/>
    <w:rsid w:val="00AE5E14"/>
    <w:rsid w:val="00AE6115"/>
    <w:rsid w:val="00AE625B"/>
    <w:rsid w:val="00AF1668"/>
    <w:rsid w:val="00AF32E2"/>
    <w:rsid w:val="00AF4FA5"/>
    <w:rsid w:val="00AF6AAF"/>
    <w:rsid w:val="00B07955"/>
    <w:rsid w:val="00B140B8"/>
    <w:rsid w:val="00B14FAA"/>
    <w:rsid w:val="00B15D30"/>
    <w:rsid w:val="00B20624"/>
    <w:rsid w:val="00B23436"/>
    <w:rsid w:val="00B237F1"/>
    <w:rsid w:val="00B26354"/>
    <w:rsid w:val="00B26CA0"/>
    <w:rsid w:val="00B32179"/>
    <w:rsid w:val="00B33007"/>
    <w:rsid w:val="00B331A9"/>
    <w:rsid w:val="00B36569"/>
    <w:rsid w:val="00B40839"/>
    <w:rsid w:val="00B40A05"/>
    <w:rsid w:val="00B40A3E"/>
    <w:rsid w:val="00B427BB"/>
    <w:rsid w:val="00B43518"/>
    <w:rsid w:val="00B449EE"/>
    <w:rsid w:val="00B45B40"/>
    <w:rsid w:val="00B50227"/>
    <w:rsid w:val="00B50510"/>
    <w:rsid w:val="00B522CD"/>
    <w:rsid w:val="00B55143"/>
    <w:rsid w:val="00B555C8"/>
    <w:rsid w:val="00B55917"/>
    <w:rsid w:val="00B643A6"/>
    <w:rsid w:val="00B64DD6"/>
    <w:rsid w:val="00B6710C"/>
    <w:rsid w:val="00B67E84"/>
    <w:rsid w:val="00B72076"/>
    <w:rsid w:val="00B72303"/>
    <w:rsid w:val="00B72C72"/>
    <w:rsid w:val="00B82277"/>
    <w:rsid w:val="00B86E9A"/>
    <w:rsid w:val="00B91676"/>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2C0"/>
    <w:rsid w:val="00BC3573"/>
    <w:rsid w:val="00BC7F82"/>
    <w:rsid w:val="00BD40AB"/>
    <w:rsid w:val="00BD6297"/>
    <w:rsid w:val="00BD6806"/>
    <w:rsid w:val="00BD7433"/>
    <w:rsid w:val="00BD7831"/>
    <w:rsid w:val="00BD7C10"/>
    <w:rsid w:val="00BE046F"/>
    <w:rsid w:val="00BE0DEB"/>
    <w:rsid w:val="00BE2FC1"/>
    <w:rsid w:val="00BE6365"/>
    <w:rsid w:val="00BE64D0"/>
    <w:rsid w:val="00BE6B5D"/>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04B2"/>
    <w:rsid w:val="00C42443"/>
    <w:rsid w:val="00C42CBA"/>
    <w:rsid w:val="00C460F9"/>
    <w:rsid w:val="00C5019E"/>
    <w:rsid w:val="00C5377C"/>
    <w:rsid w:val="00C53E8A"/>
    <w:rsid w:val="00C54DF3"/>
    <w:rsid w:val="00C560A7"/>
    <w:rsid w:val="00C56FC8"/>
    <w:rsid w:val="00C60F23"/>
    <w:rsid w:val="00C62EB2"/>
    <w:rsid w:val="00C673FE"/>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520D"/>
    <w:rsid w:val="00CA6B1A"/>
    <w:rsid w:val="00CB20DC"/>
    <w:rsid w:val="00CB23DC"/>
    <w:rsid w:val="00CB2487"/>
    <w:rsid w:val="00CB28E2"/>
    <w:rsid w:val="00CB58FC"/>
    <w:rsid w:val="00CB7A3E"/>
    <w:rsid w:val="00CB7FF7"/>
    <w:rsid w:val="00CC0D0E"/>
    <w:rsid w:val="00CC19B3"/>
    <w:rsid w:val="00CC2044"/>
    <w:rsid w:val="00CC3687"/>
    <w:rsid w:val="00CC39D2"/>
    <w:rsid w:val="00CC69EC"/>
    <w:rsid w:val="00CD15BE"/>
    <w:rsid w:val="00CD1EF2"/>
    <w:rsid w:val="00CD32BD"/>
    <w:rsid w:val="00CD34C7"/>
    <w:rsid w:val="00CD5653"/>
    <w:rsid w:val="00CD5E6D"/>
    <w:rsid w:val="00CD63C8"/>
    <w:rsid w:val="00CF158D"/>
    <w:rsid w:val="00CF1C24"/>
    <w:rsid w:val="00CF4394"/>
    <w:rsid w:val="00D000A9"/>
    <w:rsid w:val="00D005DB"/>
    <w:rsid w:val="00D0064E"/>
    <w:rsid w:val="00D00981"/>
    <w:rsid w:val="00D02596"/>
    <w:rsid w:val="00D0280D"/>
    <w:rsid w:val="00D07A72"/>
    <w:rsid w:val="00D10577"/>
    <w:rsid w:val="00D1323B"/>
    <w:rsid w:val="00D13FDD"/>
    <w:rsid w:val="00D14BAE"/>
    <w:rsid w:val="00D1648B"/>
    <w:rsid w:val="00D16819"/>
    <w:rsid w:val="00D17DD9"/>
    <w:rsid w:val="00D20AC0"/>
    <w:rsid w:val="00D2321B"/>
    <w:rsid w:val="00D2341A"/>
    <w:rsid w:val="00D23DE4"/>
    <w:rsid w:val="00D26873"/>
    <w:rsid w:val="00D31683"/>
    <w:rsid w:val="00D336C8"/>
    <w:rsid w:val="00D339E8"/>
    <w:rsid w:val="00D3662E"/>
    <w:rsid w:val="00D40B1F"/>
    <w:rsid w:val="00D40D75"/>
    <w:rsid w:val="00D449F0"/>
    <w:rsid w:val="00D47E97"/>
    <w:rsid w:val="00D5018A"/>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6AB2"/>
    <w:rsid w:val="00D80490"/>
    <w:rsid w:val="00D80673"/>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41C3"/>
    <w:rsid w:val="00DD286D"/>
    <w:rsid w:val="00DD2CAF"/>
    <w:rsid w:val="00DD3593"/>
    <w:rsid w:val="00DD64E0"/>
    <w:rsid w:val="00DE0C67"/>
    <w:rsid w:val="00DE5A7D"/>
    <w:rsid w:val="00DE6952"/>
    <w:rsid w:val="00DE7E74"/>
    <w:rsid w:val="00DF071B"/>
    <w:rsid w:val="00DF4CBD"/>
    <w:rsid w:val="00DF6EF8"/>
    <w:rsid w:val="00E00A69"/>
    <w:rsid w:val="00E017F0"/>
    <w:rsid w:val="00E01A0E"/>
    <w:rsid w:val="00E041E4"/>
    <w:rsid w:val="00E0492E"/>
    <w:rsid w:val="00E1012B"/>
    <w:rsid w:val="00E103C8"/>
    <w:rsid w:val="00E1085B"/>
    <w:rsid w:val="00E1308B"/>
    <w:rsid w:val="00E14581"/>
    <w:rsid w:val="00E15539"/>
    <w:rsid w:val="00E16541"/>
    <w:rsid w:val="00E2536E"/>
    <w:rsid w:val="00E25B8A"/>
    <w:rsid w:val="00E2632B"/>
    <w:rsid w:val="00E322F7"/>
    <w:rsid w:val="00E3369B"/>
    <w:rsid w:val="00E33FE7"/>
    <w:rsid w:val="00E36D76"/>
    <w:rsid w:val="00E405EA"/>
    <w:rsid w:val="00E408B7"/>
    <w:rsid w:val="00E41637"/>
    <w:rsid w:val="00E42789"/>
    <w:rsid w:val="00E43F59"/>
    <w:rsid w:val="00E43FEE"/>
    <w:rsid w:val="00E464F0"/>
    <w:rsid w:val="00E5019D"/>
    <w:rsid w:val="00E50BEB"/>
    <w:rsid w:val="00E50F1D"/>
    <w:rsid w:val="00E540A3"/>
    <w:rsid w:val="00E548FA"/>
    <w:rsid w:val="00E54CC9"/>
    <w:rsid w:val="00E6092F"/>
    <w:rsid w:val="00E62049"/>
    <w:rsid w:val="00E629DA"/>
    <w:rsid w:val="00E6469F"/>
    <w:rsid w:val="00E670F8"/>
    <w:rsid w:val="00E67FAC"/>
    <w:rsid w:val="00E7200B"/>
    <w:rsid w:val="00E738CB"/>
    <w:rsid w:val="00E73C88"/>
    <w:rsid w:val="00E74437"/>
    <w:rsid w:val="00E7443D"/>
    <w:rsid w:val="00E81C3E"/>
    <w:rsid w:val="00E825D2"/>
    <w:rsid w:val="00E82B6D"/>
    <w:rsid w:val="00E852F6"/>
    <w:rsid w:val="00EA1177"/>
    <w:rsid w:val="00EA118B"/>
    <w:rsid w:val="00EA11B6"/>
    <w:rsid w:val="00EA1BA1"/>
    <w:rsid w:val="00EA2181"/>
    <w:rsid w:val="00EA2DD8"/>
    <w:rsid w:val="00EA4475"/>
    <w:rsid w:val="00EA65D7"/>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C5FFB"/>
    <w:rsid w:val="00ED0951"/>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07705"/>
    <w:rsid w:val="00F11EBE"/>
    <w:rsid w:val="00F12BA8"/>
    <w:rsid w:val="00F130D0"/>
    <w:rsid w:val="00F14933"/>
    <w:rsid w:val="00F14951"/>
    <w:rsid w:val="00F1516A"/>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6636A"/>
    <w:rsid w:val="00F667C5"/>
    <w:rsid w:val="00F67E31"/>
    <w:rsid w:val="00F67F9F"/>
    <w:rsid w:val="00F70A63"/>
    <w:rsid w:val="00F718A8"/>
    <w:rsid w:val="00F72183"/>
    <w:rsid w:val="00F76D01"/>
    <w:rsid w:val="00F81C35"/>
    <w:rsid w:val="00F82981"/>
    <w:rsid w:val="00F8311F"/>
    <w:rsid w:val="00F83248"/>
    <w:rsid w:val="00F83376"/>
    <w:rsid w:val="00F853AE"/>
    <w:rsid w:val="00F93C74"/>
    <w:rsid w:val="00F93DCC"/>
    <w:rsid w:val="00F9435D"/>
    <w:rsid w:val="00F97740"/>
    <w:rsid w:val="00FA1987"/>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508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FE508D"/>
    <w:pPr>
      <w:jc w:val="center"/>
    </w:pPr>
    <w:rPr>
      <w:rFonts w:ascii="Verdana" w:hAnsi="Verdana"/>
      <w:b/>
      <w:bCs/>
      <w:color w:val="800000"/>
      <w:szCs w:val="24"/>
    </w:rPr>
  </w:style>
  <w:style w:type="character" w:customStyle="1" w:styleId="TitleChar">
    <w:name w:val="Title Char"/>
    <w:basedOn w:val="DefaultParagraphFont"/>
    <w:link w:val="Title"/>
    <w:rsid w:val="00FE508D"/>
    <w:rPr>
      <w:rFonts w:ascii="Verdana" w:hAnsi="Verdana"/>
      <w:b/>
      <w:bCs/>
      <w:color w:val="8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4110616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B526-ADBA-4ED7-8256-B9C88C95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2011-06-15T13:56:00Z</cp:lastPrinted>
  <dcterms:created xsi:type="dcterms:W3CDTF">2012-03-08T14:18:00Z</dcterms:created>
  <dcterms:modified xsi:type="dcterms:W3CDTF">2012-03-08T14:18:00Z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