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292034"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07421E">
        <w:rPr>
          <w:rFonts w:asciiTheme="minorHAnsi" w:hAnsiTheme="minorHAnsi"/>
          <w:caps/>
          <w:color w:val="auto"/>
        </w:rPr>
        <w:t>XXXXXXXXXXXXXX</w:t>
      </w:r>
      <w:r w:rsidR="00F02437" w:rsidRPr="00292034">
        <w:rPr>
          <w:rFonts w:asciiTheme="minorHAnsi" w:hAnsiTheme="minorHAnsi"/>
          <w:caps/>
          <w:color w:val="auto"/>
        </w:rPr>
        <w:tab/>
      </w:r>
      <w:r w:rsidR="00D75B05" w:rsidRPr="00292034">
        <w:rPr>
          <w:rFonts w:asciiTheme="minorHAnsi" w:hAnsiTheme="minorHAnsi"/>
          <w:caps/>
          <w:color w:val="auto"/>
        </w:rPr>
        <w:tab/>
        <w:t xml:space="preserve">                 </w:t>
      </w:r>
      <w:r w:rsidR="00337314" w:rsidRPr="00292034">
        <w:rPr>
          <w:rFonts w:asciiTheme="minorHAnsi" w:hAnsiTheme="minorHAnsi"/>
          <w:caps/>
          <w:color w:val="auto"/>
        </w:rPr>
        <w:t xml:space="preserve"> </w:t>
      </w:r>
      <w:r w:rsidRPr="00292034">
        <w:rPr>
          <w:rFonts w:asciiTheme="minorHAnsi" w:hAnsiTheme="minorHAnsi"/>
          <w:caps/>
          <w:color w:val="auto"/>
        </w:rPr>
        <w:t xml:space="preserve">BRANCH OF SERVICE: </w:t>
      </w:r>
      <w:r w:rsidR="004C24C5" w:rsidRPr="00292034">
        <w:rPr>
          <w:rFonts w:asciiTheme="minorHAnsi" w:hAnsiTheme="minorHAnsi"/>
          <w:caps/>
          <w:color w:val="auto"/>
        </w:rPr>
        <w:t xml:space="preserve"> </w:t>
      </w:r>
      <w:r w:rsidR="00332DE3" w:rsidRPr="00292034">
        <w:rPr>
          <w:rFonts w:asciiTheme="minorHAnsi" w:hAnsiTheme="minorHAnsi"/>
          <w:caps/>
          <w:color w:val="auto"/>
        </w:rPr>
        <w:t>air force</w:t>
      </w:r>
    </w:p>
    <w:p w:rsidR="00DE3AAD" w:rsidRPr="00292034"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292034">
        <w:rPr>
          <w:rFonts w:asciiTheme="minorHAnsi" w:hAnsiTheme="minorHAnsi"/>
          <w:caps/>
          <w:color w:val="auto"/>
        </w:rPr>
        <w:t>C</w:t>
      </w:r>
      <w:r w:rsidR="00DE3AAD" w:rsidRPr="00292034">
        <w:rPr>
          <w:rFonts w:asciiTheme="minorHAnsi" w:hAnsiTheme="minorHAnsi"/>
          <w:caps/>
          <w:color w:val="auto"/>
        </w:rPr>
        <w:t>ASE NUMBER:  PD</w:t>
      </w:r>
      <w:r w:rsidR="0072380D" w:rsidRPr="00292034">
        <w:rPr>
          <w:rFonts w:asciiTheme="minorHAnsi" w:hAnsiTheme="minorHAnsi"/>
          <w:caps/>
          <w:color w:val="auto"/>
        </w:rPr>
        <w:t>2010</w:t>
      </w:r>
      <w:r w:rsidR="00F02437" w:rsidRPr="00292034">
        <w:rPr>
          <w:rFonts w:asciiTheme="minorHAnsi" w:hAnsiTheme="minorHAnsi"/>
          <w:caps/>
          <w:color w:val="auto"/>
        </w:rPr>
        <w:t>003</w:t>
      </w:r>
      <w:r w:rsidR="0072380D" w:rsidRPr="00292034">
        <w:rPr>
          <w:rFonts w:asciiTheme="minorHAnsi" w:hAnsiTheme="minorHAnsi"/>
          <w:caps/>
          <w:color w:val="auto"/>
        </w:rPr>
        <w:t>64</w:t>
      </w:r>
      <w:r w:rsidR="00DE3AAD" w:rsidRPr="00292034">
        <w:rPr>
          <w:rFonts w:asciiTheme="minorHAnsi" w:hAnsiTheme="minorHAnsi"/>
          <w:color w:val="auto"/>
        </w:rPr>
        <w:tab/>
        <w:t xml:space="preserve">         </w:t>
      </w:r>
      <w:r w:rsidR="008337A4">
        <w:rPr>
          <w:rFonts w:asciiTheme="minorHAnsi" w:hAnsiTheme="minorHAnsi"/>
          <w:color w:val="auto"/>
        </w:rPr>
        <w:t xml:space="preserve">       </w:t>
      </w:r>
      <w:r w:rsidR="00E0346A" w:rsidRPr="00292034">
        <w:rPr>
          <w:rFonts w:asciiTheme="minorHAnsi" w:hAnsiTheme="minorHAnsi"/>
          <w:color w:val="auto"/>
        </w:rPr>
        <w:t xml:space="preserve">              </w:t>
      </w:r>
      <w:r w:rsidR="00021DC5" w:rsidRPr="00292034">
        <w:rPr>
          <w:rFonts w:asciiTheme="minorHAnsi" w:hAnsiTheme="minorHAnsi"/>
          <w:color w:val="auto"/>
        </w:rPr>
        <w:t>S</w:t>
      </w:r>
      <w:r w:rsidR="00DE3AAD" w:rsidRPr="00292034">
        <w:rPr>
          <w:rFonts w:asciiTheme="minorHAnsi" w:hAnsiTheme="minorHAnsi"/>
          <w:color w:val="auto"/>
        </w:rPr>
        <w:t>EPARATION DATE:  200</w:t>
      </w:r>
      <w:r w:rsidR="00F02437" w:rsidRPr="00292034">
        <w:rPr>
          <w:rFonts w:asciiTheme="minorHAnsi" w:hAnsiTheme="minorHAnsi"/>
          <w:color w:val="auto"/>
        </w:rPr>
        <w:t>50712</w:t>
      </w:r>
    </w:p>
    <w:p w:rsidR="004F3639" w:rsidRPr="00292034" w:rsidRDefault="004F3639" w:rsidP="00510F9C">
      <w:pPr>
        <w:tabs>
          <w:tab w:val="left" w:pos="288"/>
          <w:tab w:val="left" w:pos="5130"/>
        </w:tabs>
        <w:spacing w:line="240" w:lineRule="exact"/>
        <w:jc w:val="both"/>
        <w:rPr>
          <w:rFonts w:asciiTheme="minorHAnsi" w:hAnsiTheme="minorHAnsi"/>
          <w:color w:val="auto"/>
        </w:rPr>
      </w:pPr>
      <w:r w:rsidRPr="00292034">
        <w:rPr>
          <w:rFonts w:asciiTheme="minorHAnsi" w:hAnsiTheme="minorHAnsi"/>
          <w:caps/>
          <w:color w:val="auto"/>
        </w:rPr>
        <w:t xml:space="preserve">BOARD DATE:  </w:t>
      </w:r>
      <w:r w:rsidR="003F2435" w:rsidRPr="00292034">
        <w:rPr>
          <w:rFonts w:asciiTheme="minorHAnsi" w:hAnsiTheme="minorHAnsi"/>
          <w:caps/>
          <w:color w:val="auto"/>
        </w:rPr>
        <w:t>20</w:t>
      </w:r>
      <w:r w:rsidR="00337314" w:rsidRPr="00292034">
        <w:rPr>
          <w:rFonts w:asciiTheme="minorHAnsi" w:hAnsiTheme="minorHAnsi"/>
          <w:caps/>
          <w:color w:val="auto"/>
        </w:rPr>
        <w:t>12</w:t>
      </w:r>
      <w:r w:rsidR="00292034" w:rsidRPr="00292034">
        <w:rPr>
          <w:rFonts w:asciiTheme="minorHAnsi" w:hAnsiTheme="minorHAnsi"/>
          <w:caps/>
          <w:color w:val="auto"/>
        </w:rPr>
        <w:t>0216</w:t>
      </w:r>
    </w:p>
    <w:p w:rsidR="008E0D8F" w:rsidRPr="00292034"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Pr="00292034" w:rsidRDefault="00FF4C90" w:rsidP="00FF4C90">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292034">
        <w:rPr>
          <w:rFonts w:asciiTheme="minorHAnsi" w:hAnsiTheme="minorHAnsi"/>
          <w:color w:val="auto"/>
          <w:u w:val="single"/>
        </w:rPr>
        <w:t>SUMMARY OF CASE</w:t>
      </w:r>
      <w:r w:rsidRPr="00292034">
        <w:rPr>
          <w:rFonts w:asciiTheme="minorHAnsi" w:hAnsiTheme="minorHAnsi"/>
          <w:color w:val="auto"/>
        </w:rPr>
        <w:t xml:space="preserve">:  </w:t>
      </w:r>
      <w:r w:rsidR="009759C2" w:rsidRPr="00292034">
        <w:rPr>
          <w:rFonts w:asciiTheme="minorHAnsi" w:hAnsiTheme="minorHAnsi"/>
          <w:color w:val="auto"/>
        </w:rPr>
        <w:t>Data extracted from the available evidence of record reflects that this covered individual (CI)</w:t>
      </w:r>
      <w:r w:rsidR="00570754" w:rsidRPr="00292034">
        <w:rPr>
          <w:rFonts w:asciiTheme="minorHAnsi" w:hAnsiTheme="minorHAnsi"/>
          <w:color w:val="auto"/>
        </w:rPr>
        <w:t xml:space="preserve"> </w:t>
      </w:r>
      <w:r w:rsidR="002C6E5B" w:rsidRPr="00292034">
        <w:rPr>
          <w:rFonts w:asciiTheme="minorHAnsi" w:hAnsiTheme="minorHAnsi"/>
          <w:color w:val="auto"/>
          <w:szCs w:val="24"/>
        </w:rPr>
        <w:t xml:space="preserve">was </w:t>
      </w:r>
      <w:r w:rsidR="00E322F7" w:rsidRPr="00292034">
        <w:rPr>
          <w:rFonts w:asciiTheme="minorHAnsi" w:hAnsiTheme="minorHAnsi"/>
          <w:color w:val="auto"/>
          <w:szCs w:val="24"/>
        </w:rPr>
        <w:t xml:space="preserve">an </w:t>
      </w:r>
      <w:r w:rsidR="006D4E0E" w:rsidRPr="00292034">
        <w:rPr>
          <w:rFonts w:asciiTheme="minorHAnsi" w:hAnsiTheme="minorHAnsi"/>
          <w:color w:val="auto"/>
          <w:szCs w:val="24"/>
        </w:rPr>
        <w:t>Air National Guard</w:t>
      </w:r>
      <w:r w:rsidR="002E65E6" w:rsidRPr="00292034">
        <w:rPr>
          <w:rFonts w:asciiTheme="minorHAnsi" w:hAnsiTheme="minorHAnsi"/>
          <w:color w:val="auto"/>
          <w:szCs w:val="24"/>
        </w:rPr>
        <w:t xml:space="preserve"> member,</w:t>
      </w:r>
      <w:r w:rsidR="006D4E0E" w:rsidRPr="00292034">
        <w:rPr>
          <w:rFonts w:asciiTheme="minorHAnsi" w:hAnsiTheme="minorHAnsi"/>
          <w:color w:val="auto"/>
          <w:szCs w:val="24"/>
        </w:rPr>
        <w:t xml:space="preserve"> </w:t>
      </w:r>
      <w:r w:rsidR="00F02437" w:rsidRPr="00292034">
        <w:rPr>
          <w:rFonts w:asciiTheme="minorHAnsi" w:hAnsiTheme="minorHAnsi"/>
          <w:color w:val="auto"/>
          <w:szCs w:val="24"/>
        </w:rPr>
        <w:t>TSgt/E-6</w:t>
      </w:r>
      <w:r w:rsidR="00705C40" w:rsidRPr="00292034">
        <w:rPr>
          <w:rFonts w:asciiTheme="minorHAnsi" w:hAnsiTheme="minorHAnsi"/>
          <w:color w:val="auto"/>
          <w:szCs w:val="24"/>
        </w:rPr>
        <w:t xml:space="preserve"> (</w:t>
      </w:r>
      <w:r w:rsidR="00F02437" w:rsidRPr="00292034">
        <w:rPr>
          <w:rFonts w:asciiTheme="minorHAnsi" w:hAnsiTheme="minorHAnsi"/>
          <w:color w:val="auto"/>
          <w:szCs w:val="24"/>
        </w:rPr>
        <w:t>3M071</w:t>
      </w:r>
      <w:r w:rsidR="00C75F3D" w:rsidRPr="00292034">
        <w:rPr>
          <w:rFonts w:asciiTheme="minorHAnsi" w:hAnsiTheme="minorHAnsi"/>
          <w:color w:val="auto"/>
          <w:szCs w:val="24"/>
        </w:rPr>
        <w:t xml:space="preserve">, </w:t>
      </w:r>
      <w:r w:rsidR="00F02437" w:rsidRPr="00292034">
        <w:rPr>
          <w:rFonts w:asciiTheme="minorHAnsi" w:hAnsiTheme="minorHAnsi"/>
          <w:color w:val="auto"/>
          <w:szCs w:val="24"/>
        </w:rPr>
        <w:t>Services Craftsman</w:t>
      </w:r>
      <w:r w:rsidR="00E322F7" w:rsidRPr="00292034">
        <w:rPr>
          <w:rFonts w:asciiTheme="minorHAnsi" w:hAnsiTheme="minorHAnsi"/>
          <w:color w:val="auto"/>
          <w:szCs w:val="24"/>
        </w:rPr>
        <w:t>)</w:t>
      </w:r>
      <w:proofErr w:type="gramStart"/>
      <w:r w:rsidR="00C75F3D" w:rsidRPr="00292034">
        <w:rPr>
          <w:rFonts w:asciiTheme="minorHAnsi" w:hAnsiTheme="minorHAnsi"/>
          <w:color w:val="auto"/>
          <w:szCs w:val="24"/>
        </w:rPr>
        <w:t>,</w:t>
      </w:r>
      <w:proofErr w:type="gramEnd"/>
      <w:r w:rsidR="00C75F3D" w:rsidRPr="00292034">
        <w:rPr>
          <w:rFonts w:asciiTheme="minorHAnsi" w:hAnsiTheme="minorHAnsi"/>
          <w:color w:val="auto"/>
          <w:szCs w:val="24"/>
        </w:rPr>
        <w:t xml:space="preserve"> </w:t>
      </w:r>
      <w:r w:rsidR="002C6E5B" w:rsidRPr="00292034">
        <w:rPr>
          <w:rFonts w:asciiTheme="minorHAnsi" w:hAnsiTheme="minorHAnsi"/>
          <w:color w:val="auto"/>
          <w:szCs w:val="24"/>
        </w:rPr>
        <w:t>medically separated for</w:t>
      </w:r>
      <w:r w:rsidR="00F02437" w:rsidRPr="00292034">
        <w:rPr>
          <w:rFonts w:asciiTheme="minorHAnsi" w:hAnsiTheme="minorHAnsi"/>
          <w:color w:val="auto"/>
          <w:szCs w:val="24"/>
        </w:rPr>
        <w:t xml:space="preserve"> </w:t>
      </w:r>
      <w:r w:rsidR="000341D5" w:rsidRPr="00292034">
        <w:rPr>
          <w:rFonts w:asciiTheme="minorHAnsi" w:hAnsiTheme="minorHAnsi"/>
          <w:color w:val="auto"/>
          <w:szCs w:val="24"/>
        </w:rPr>
        <w:t>chronic low back pain</w:t>
      </w:r>
      <w:r w:rsidR="00256C5E" w:rsidRPr="00292034">
        <w:rPr>
          <w:rFonts w:asciiTheme="minorHAnsi" w:hAnsiTheme="minorHAnsi"/>
          <w:color w:val="auto"/>
          <w:szCs w:val="24"/>
        </w:rPr>
        <w:t xml:space="preserve"> </w:t>
      </w:r>
      <w:r w:rsidR="006A5B3A" w:rsidRPr="00292034">
        <w:rPr>
          <w:rFonts w:asciiTheme="minorHAnsi" w:hAnsiTheme="minorHAnsi"/>
          <w:color w:val="auto"/>
          <w:szCs w:val="24"/>
        </w:rPr>
        <w:t xml:space="preserve">(LBP) </w:t>
      </w:r>
      <w:r w:rsidR="00256C5E" w:rsidRPr="00292034">
        <w:rPr>
          <w:rFonts w:asciiTheme="minorHAnsi" w:hAnsiTheme="minorHAnsi"/>
          <w:color w:val="auto"/>
          <w:szCs w:val="24"/>
        </w:rPr>
        <w:t>associated with degenerative disc disease (DDD) and lumbar spondylosis</w:t>
      </w:r>
      <w:r w:rsidR="00C75F3D" w:rsidRPr="00292034">
        <w:rPr>
          <w:rFonts w:asciiTheme="minorHAnsi" w:hAnsiTheme="minorHAnsi"/>
          <w:i/>
          <w:color w:val="auto"/>
          <w:szCs w:val="24"/>
        </w:rPr>
        <w:t>.</w:t>
      </w:r>
      <w:r w:rsidR="003F3B17" w:rsidRPr="00292034">
        <w:rPr>
          <w:rFonts w:asciiTheme="minorHAnsi" w:hAnsiTheme="minorHAnsi"/>
          <w:color w:val="auto"/>
          <w:szCs w:val="24"/>
        </w:rPr>
        <w:t xml:space="preserve">  </w:t>
      </w:r>
      <w:r w:rsidR="006A5B3A" w:rsidRPr="00292034">
        <w:rPr>
          <w:rFonts w:asciiTheme="minorHAnsi" w:hAnsiTheme="minorHAnsi"/>
          <w:color w:val="auto"/>
          <w:szCs w:val="24"/>
        </w:rPr>
        <w:t xml:space="preserve">The CI’s LBP began in </w:t>
      </w:r>
      <w:r w:rsidR="003F3B17" w:rsidRPr="00292034">
        <w:rPr>
          <w:rFonts w:asciiTheme="minorHAnsi" w:hAnsiTheme="minorHAnsi"/>
          <w:color w:val="auto"/>
          <w:szCs w:val="24"/>
        </w:rPr>
        <w:t>November 2003</w:t>
      </w:r>
      <w:r w:rsidR="006A5B3A" w:rsidRPr="00292034">
        <w:rPr>
          <w:rFonts w:asciiTheme="minorHAnsi" w:hAnsiTheme="minorHAnsi"/>
          <w:color w:val="auto"/>
          <w:szCs w:val="24"/>
        </w:rPr>
        <w:t xml:space="preserve"> when he was </w:t>
      </w:r>
      <w:r w:rsidR="003F3B17" w:rsidRPr="00292034">
        <w:rPr>
          <w:rFonts w:asciiTheme="minorHAnsi" w:hAnsiTheme="minorHAnsi"/>
          <w:color w:val="auto"/>
          <w:szCs w:val="24"/>
        </w:rPr>
        <w:t>involved in a motor vehicle accident</w:t>
      </w:r>
      <w:r w:rsidR="006A5B3A" w:rsidRPr="00292034">
        <w:rPr>
          <w:rFonts w:asciiTheme="minorHAnsi" w:hAnsiTheme="minorHAnsi"/>
          <w:color w:val="auto"/>
          <w:szCs w:val="24"/>
        </w:rPr>
        <w:t xml:space="preserve">, suffering a lumbar strain.  MRI revealed two-level DDD and facet joint </w:t>
      </w:r>
      <w:proofErr w:type="spellStart"/>
      <w:r w:rsidR="006A5B3A" w:rsidRPr="00292034">
        <w:rPr>
          <w:rFonts w:asciiTheme="minorHAnsi" w:hAnsiTheme="minorHAnsi"/>
          <w:color w:val="auto"/>
          <w:szCs w:val="24"/>
        </w:rPr>
        <w:t>arthropathy</w:t>
      </w:r>
      <w:proofErr w:type="spellEnd"/>
      <w:r w:rsidR="006A5B3A" w:rsidRPr="00292034">
        <w:rPr>
          <w:rFonts w:asciiTheme="minorHAnsi" w:hAnsiTheme="minorHAnsi"/>
          <w:color w:val="auto"/>
          <w:szCs w:val="24"/>
        </w:rPr>
        <w:t xml:space="preserve">.  His treatment included medications (including </w:t>
      </w:r>
      <w:r w:rsidR="000C1A3F" w:rsidRPr="00292034">
        <w:rPr>
          <w:rFonts w:asciiTheme="minorHAnsi" w:hAnsiTheme="minorHAnsi"/>
          <w:color w:val="auto"/>
          <w:szCs w:val="24"/>
        </w:rPr>
        <w:t xml:space="preserve">daily </w:t>
      </w:r>
      <w:r w:rsidR="006A5B3A" w:rsidRPr="00292034">
        <w:rPr>
          <w:rFonts w:asciiTheme="minorHAnsi" w:hAnsiTheme="minorHAnsi"/>
          <w:color w:val="auto"/>
          <w:szCs w:val="24"/>
        </w:rPr>
        <w:t>narcotics), physical therapy, and facet joint injections without lasting relief</w:t>
      </w:r>
      <w:r w:rsidR="003F3B17" w:rsidRPr="00292034">
        <w:rPr>
          <w:rFonts w:asciiTheme="minorHAnsi" w:hAnsiTheme="minorHAnsi"/>
          <w:color w:val="auto"/>
          <w:szCs w:val="24"/>
        </w:rPr>
        <w:t xml:space="preserve">.  </w:t>
      </w:r>
      <w:r w:rsidR="00E322F7" w:rsidRPr="00292034">
        <w:rPr>
          <w:rFonts w:asciiTheme="minorHAnsi" w:hAnsiTheme="minorHAnsi"/>
          <w:color w:val="auto"/>
          <w:szCs w:val="24"/>
        </w:rPr>
        <w:t xml:space="preserve">He did not respond adequately </w:t>
      </w:r>
      <w:r w:rsidR="00C75F3D" w:rsidRPr="00292034">
        <w:rPr>
          <w:rFonts w:asciiTheme="minorHAnsi" w:hAnsiTheme="minorHAnsi"/>
          <w:color w:val="auto"/>
          <w:szCs w:val="24"/>
        </w:rPr>
        <w:t xml:space="preserve">to </w:t>
      </w:r>
      <w:r w:rsidR="003F3B17" w:rsidRPr="00292034">
        <w:rPr>
          <w:rFonts w:asciiTheme="minorHAnsi" w:hAnsiTheme="minorHAnsi"/>
          <w:color w:val="auto"/>
          <w:szCs w:val="24"/>
        </w:rPr>
        <w:t xml:space="preserve">this </w:t>
      </w:r>
      <w:r w:rsidR="00C75F3D" w:rsidRPr="00292034">
        <w:rPr>
          <w:rFonts w:asciiTheme="minorHAnsi" w:hAnsiTheme="minorHAnsi"/>
          <w:color w:val="auto"/>
          <w:szCs w:val="24"/>
        </w:rPr>
        <w:t xml:space="preserve">treatment and was unable to </w:t>
      </w:r>
      <w:r w:rsidR="00E322F7" w:rsidRPr="00292034">
        <w:rPr>
          <w:rFonts w:asciiTheme="minorHAnsi" w:hAnsiTheme="minorHAnsi"/>
          <w:color w:val="auto"/>
          <w:szCs w:val="24"/>
        </w:rPr>
        <w:t xml:space="preserve">perform within his </w:t>
      </w:r>
      <w:r w:rsidR="009020ED" w:rsidRPr="00292034">
        <w:rPr>
          <w:rFonts w:asciiTheme="minorHAnsi" w:hAnsiTheme="minorHAnsi"/>
          <w:color w:val="auto"/>
          <w:szCs w:val="24"/>
        </w:rPr>
        <w:t>Military O</w:t>
      </w:r>
      <w:r w:rsidR="00705C40" w:rsidRPr="00292034">
        <w:rPr>
          <w:rFonts w:asciiTheme="minorHAnsi" w:hAnsiTheme="minorHAnsi"/>
          <w:color w:val="auto"/>
          <w:szCs w:val="24"/>
        </w:rPr>
        <w:t xml:space="preserve">ccupational </w:t>
      </w:r>
      <w:r w:rsidR="009020ED" w:rsidRPr="00292034">
        <w:rPr>
          <w:rFonts w:asciiTheme="minorHAnsi" w:hAnsiTheme="minorHAnsi"/>
          <w:color w:val="auto"/>
          <w:szCs w:val="24"/>
        </w:rPr>
        <w:t>S</w:t>
      </w:r>
      <w:r w:rsidR="003A40B4" w:rsidRPr="00292034">
        <w:rPr>
          <w:rFonts w:asciiTheme="minorHAnsi" w:hAnsiTheme="minorHAnsi"/>
          <w:color w:val="auto"/>
          <w:szCs w:val="24"/>
        </w:rPr>
        <w:t>pecialty</w:t>
      </w:r>
      <w:r w:rsidR="002752AE" w:rsidRPr="00292034">
        <w:rPr>
          <w:rFonts w:asciiTheme="minorHAnsi" w:hAnsiTheme="minorHAnsi"/>
          <w:color w:val="auto"/>
          <w:szCs w:val="24"/>
        </w:rPr>
        <w:t xml:space="preserve"> (MOS) or meet </w:t>
      </w:r>
      <w:r w:rsidR="0044411E" w:rsidRPr="00292034">
        <w:rPr>
          <w:rFonts w:asciiTheme="minorHAnsi" w:hAnsiTheme="minorHAnsi"/>
          <w:color w:val="auto"/>
          <w:szCs w:val="24"/>
        </w:rPr>
        <w:t xml:space="preserve">physical fitness </w:t>
      </w:r>
      <w:r w:rsidR="002752AE" w:rsidRPr="00292034">
        <w:rPr>
          <w:rFonts w:asciiTheme="minorHAnsi" w:hAnsiTheme="minorHAnsi"/>
          <w:color w:val="auto"/>
          <w:szCs w:val="24"/>
        </w:rPr>
        <w:t>standards</w:t>
      </w:r>
      <w:r w:rsidR="00555C66" w:rsidRPr="00292034">
        <w:rPr>
          <w:rFonts w:asciiTheme="minorHAnsi" w:hAnsiTheme="minorHAnsi"/>
          <w:color w:val="auto"/>
          <w:szCs w:val="24"/>
        </w:rPr>
        <w:t>.  He was issued</w:t>
      </w:r>
      <w:r w:rsidR="00E322F7" w:rsidRPr="00292034">
        <w:rPr>
          <w:rFonts w:asciiTheme="minorHAnsi" w:hAnsiTheme="minorHAnsi"/>
          <w:color w:val="auto"/>
          <w:szCs w:val="24"/>
        </w:rPr>
        <w:t xml:space="preserve"> a </w:t>
      </w:r>
      <w:r w:rsidR="000C1A3F" w:rsidRPr="00292034">
        <w:rPr>
          <w:rFonts w:asciiTheme="minorHAnsi" w:hAnsiTheme="minorHAnsi"/>
          <w:color w:val="auto"/>
          <w:szCs w:val="24"/>
        </w:rPr>
        <w:t xml:space="preserve">temporary </w:t>
      </w:r>
      <w:r w:rsidR="0020291C" w:rsidRPr="00292034">
        <w:rPr>
          <w:rFonts w:asciiTheme="minorHAnsi" w:hAnsiTheme="minorHAnsi"/>
          <w:color w:val="auto"/>
          <w:szCs w:val="24"/>
        </w:rPr>
        <w:t>U3</w:t>
      </w:r>
      <w:r w:rsidR="0044411E" w:rsidRPr="00292034">
        <w:rPr>
          <w:rFonts w:asciiTheme="minorHAnsi" w:hAnsiTheme="minorHAnsi"/>
          <w:color w:val="auto"/>
          <w:szCs w:val="24"/>
        </w:rPr>
        <w:t xml:space="preserve"> </w:t>
      </w:r>
      <w:r w:rsidR="00E322F7" w:rsidRPr="00292034">
        <w:rPr>
          <w:rFonts w:asciiTheme="minorHAnsi" w:hAnsiTheme="minorHAnsi"/>
          <w:color w:val="auto"/>
          <w:szCs w:val="24"/>
        </w:rPr>
        <w:t>profile</w:t>
      </w:r>
      <w:r w:rsidR="0044411E" w:rsidRPr="00C472C7">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3F3B17">
        <w:rPr>
          <w:rFonts w:asciiTheme="minorHAnsi" w:hAnsiTheme="minorHAnsi"/>
          <w:color w:val="auto"/>
          <w:szCs w:val="24"/>
        </w:rPr>
        <w:t xml:space="preserve">  </w:t>
      </w:r>
      <w:r w:rsidR="0020291C">
        <w:rPr>
          <w:rFonts w:asciiTheme="minorHAnsi" w:hAnsiTheme="minorHAnsi"/>
          <w:color w:val="auto"/>
          <w:szCs w:val="24"/>
        </w:rPr>
        <w:t xml:space="preserve">“Other </w:t>
      </w:r>
      <w:r w:rsidR="000341D5">
        <w:rPr>
          <w:rFonts w:asciiTheme="minorHAnsi" w:hAnsiTheme="minorHAnsi"/>
          <w:color w:val="auto"/>
          <w:szCs w:val="24"/>
        </w:rPr>
        <w:t>neurological conditions”</w:t>
      </w:r>
      <w:r w:rsidR="000341D5" w:rsidRPr="00C472C7">
        <w:rPr>
          <w:rFonts w:asciiTheme="minorHAnsi" w:hAnsiTheme="minorHAnsi"/>
          <w:color w:val="auto"/>
          <w:szCs w:val="24"/>
        </w:rPr>
        <w:t xml:space="preserve"> </w:t>
      </w:r>
      <w:r w:rsidR="000341D5" w:rsidRPr="0020291C">
        <w:rPr>
          <w:rFonts w:asciiTheme="minorHAnsi" w:hAnsiTheme="minorHAnsi"/>
          <w:color w:val="auto"/>
          <w:szCs w:val="24"/>
        </w:rPr>
        <w:t>were</w:t>
      </w:r>
      <w:r w:rsidR="000341D5" w:rsidRPr="00C472C7">
        <w:rPr>
          <w:rFonts w:asciiTheme="minorHAnsi" w:hAnsiTheme="minorHAnsi"/>
          <w:color w:val="auto"/>
          <w:szCs w:val="24"/>
        </w:rPr>
        <w:t xml:space="preserve"> </w:t>
      </w:r>
      <w:r w:rsidR="000A33C8" w:rsidRPr="00C472C7">
        <w:rPr>
          <w:rFonts w:asciiTheme="minorHAnsi" w:hAnsiTheme="minorHAnsi"/>
          <w:color w:val="auto"/>
          <w:szCs w:val="24"/>
        </w:rPr>
        <w:t xml:space="preserve">forwarded to the Physical Evaluation Board (PEB) as medically unacceptable IAW </w:t>
      </w:r>
      <w:r w:rsidR="003F3B17" w:rsidRPr="003F3B17">
        <w:rPr>
          <w:rFonts w:asciiTheme="minorHAnsi" w:hAnsiTheme="minorHAnsi"/>
          <w:color w:val="auto"/>
          <w:szCs w:val="24"/>
        </w:rPr>
        <w:t>AFI 48-123</w:t>
      </w:r>
      <w:r w:rsidR="00376E08" w:rsidRPr="00C472C7">
        <w:rPr>
          <w:rFonts w:asciiTheme="minorHAnsi" w:hAnsiTheme="minorHAnsi"/>
          <w:color w:val="auto"/>
          <w:szCs w:val="24"/>
        </w:rPr>
        <w:t>.</w:t>
      </w:r>
      <w:r w:rsidR="003F3B17">
        <w:rPr>
          <w:rFonts w:asciiTheme="minorHAnsi" w:hAnsiTheme="minorHAnsi"/>
          <w:color w:val="auto"/>
          <w:szCs w:val="24"/>
        </w:rPr>
        <w:t xml:space="preserve">  </w:t>
      </w:r>
      <w:r w:rsidR="001A5E62" w:rsidRPr="00C472C7">
        <w:rPr>
          <w:rFonts w:asciiTheme="minorHAnsi" w:hAnsiTheme="minorHAnsi"/>
          <w:color w:val="auto"/>
          <w:szCs w:val="24"/>
        </w:rPr>
        <w:t>No other conditions appeared on the MEB’s submission.  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0341D5">
        <w:rPr>
          <w:rFonts w:asciiTheme="minorHAnsi" w:hAnsiTheme="minorHAnsi"/>
          <w:color w:val="auto"/>
          <w:szCs w:val="24"/>
        </w:rPr>
        <w:t>file</w:t>
      </w:r>
      <w:r w:rsidR="001A5E62" w:rsidRPr="00C472C7">
        <w:rPr>
          <w:rFonts w:asciiTheme="minorHAnsi" w:hAnsiTheme="minorHAnsi"/>
          <w:color w:val="auto"/>
          <w:szCs w:val="24"/>
        </w:rPr>
        <w:t xml:space="preserve"> </w:t>
      </w:r>
      <w:r w:rsidR="000341D5">
        <w:rPr>
          <w:rFonts w:asciiTheme="minorHAnsi" w:hAnsiTheme="minorHAnsi"/>
          <w:color w:val="auto"/>
          <w:szCs w:val="24"/>
        </w:rPr>
        <w:t>are</w:t>
      </w:r>
      <w:r w:rsidR="001A5E62" w:rsidRPr="00C472C7">
        <w:rPr>
          <w:rFonts w:asciiTheme="minorHAnsi" w:hAnsiTheme="minorHAnsi"/>
          <w:color w:val="auto"/>
          <w:szCs w:val="24"/>
        </w:rPr>
        <w:t xml:space="preserve"> discussed below.</w:t>
      </w:r>
      <w:r w:rsidR="003F3B17">
        <w:rPr>
          <w:rFonts w:asciiTheme="minorHAnsi" w:hAnsiTheme="minorHAnsi"/>
          <w:color w:val="auto"/>
          <w:szCs w:val="24"/>
        </w:rPr>
        <w:t xml:space="preserve">  </w:t>
      </w:r>
      <w:r w:rsidR="00B20624" w:rsidRPr="00C472C7">
        <w:rPr>
          <w:rFonts w:asciiTheme="minorHAnsi" w:hAnsiTheme="minorHAnsi"/>
          <w:color w:val="auto"/>
          <w:szCs w:val="24"/>
        </w:rPr>
        <w:t xml:space="preserve">The PEB adjudicated the </w:t>
      </w:r>
      <w:r w:rsidR="000341D5" w:rsidRPr="0020291C">
        <w:rPr>
          <w:rFonts w:asciiTheme="minorHAnsi" w:hAnsiTheme="minorHAnsi"/>
          <w:color w:val="auto"/>
          <w:szCs w:val="24"/>
        </w:rPr>
        <w:t xml:space="preserve">chronic low back pain </w:t>
      </w:r>
      <w:r w:rsidR="00B20624" w:rsidRPr="0020291C">
        <w:rPr>
          <w:rFonts w:asciiTheme="minorHAnsi" w:hAnsiTheme="minorHAnsi"/>
          <w:color w:val="auto"/>
          <w:szCs w:val="24"/>
        </w:rPr>
        <w:t xml:space="preserve">condition </w:t>
      </w:r>
      <w:r w:rsidR="00B20624" w:rsidRPr="00C472C7">
        <w:rPr>
          <w:rFonts w:asciiTheme="minorHAnsi" w:hAnsiTheme="minorHAnsi"/>
          <w:color w:val="auto"/>
          <w:szCs w:val="24"/>
        </w:rPr>
        <w:t xml:space="preserve">as unfitting, rated </w:t>
      </w:r>
      <w:r w:rsidR="0020291C" w:rsidRPr="0020291C">
        <w:rPr>
          <w:rFonts w:asciiTheme="minorHAnsi" w:hAnsiTheme="minorHAnsi"/>
          <w:color w:val="auto"/>
          <w:szCs w:val="24"/>
        </w:rPr>
        <w:t>20</w:t>
      </w:r>
      <w:r w:rsidR="00B20624" w:rsidRPr="0020291C">
        <w:rPr>
          <w:rFonts w:asciiTheme="minorHAnsi" w:hAnsiTheme="minorHAnsi"/>
          <w:color w:val="auto"/>
          <w:szCs w:val="24"/>
        </w:rPr>
        <w:t>%</w:t>
      </w:r>
      <w:r w:rsidR="0020291C">
        <w:rPr>
          <w:rFonts w:asciiTheme="minorHAnsi" w:hAnsiTheme="minorHAnsi"/>
          <w:color w:val="auto"/>
          <w:szCs w:val="24"/>
        </w:rPr>
        <w:t xml:space="preserve"> </w:t>
      </w:r>
      <w:r w:rsidR="00B20624" w:rsidRPr="00C472C7">
        <w:rPr>
          <w:rFonts w:asciiTheme="minorHAnsi" w:hAnsiTheme="minorHAnsi"/>
          <w:color w:val="auto"/>
          <w:szCs w:val="24"/>
        </w:rPr>
        <w:t xml:space="preserve">with application of </w:t>
      </w:r>
      <w:r w:rsidR="0020291C" w:rsidRPr="00337314">
        <w:rPr>
          <w:rFonts w:asciiTheme="minorHAnsi" w:hAnsiTheme="minorHAnsi"/>
          <w:color w:val="auto"/>
          <w:szCs w:val="24"/>
        </w:rPr>
        <w:t xml:space="preserve">the </w:t>
      </w:r>
      <w:r w:rsidR="002B0204" w:rsidRPr="00337314">
        <w:rPr>
          <w:rFonts w:asciiTheme="minorHAnsi" w:hAnsiTheme="minorHAnsi"/>
          <w:color w:val="auto"/>
          <w:szCs w:val="24"/>
        </w:rPr>
        <w:t>Veterans’ Administration Schedule for Rating Disabilities (VASRD)</w:t>
      </w:r>
      <w:r w:rsidR="00B20624" w:rsidRPr="00337314">
        <w:rPr>
          <w:rFonts w:asciiTheme="minorHAnsi" w:hAnsiTheme="minorHAnsi"/>
          <w:color w:val="auto"/>
          <w:szCs w:val="24"/>
        </w:rPr>
        <w:t>.</w:t>
      </w:r>
      <w:r w:rsidR="003F3B17" w:rsidRPr="00337314">
        <w:rPr>
          <w:rFonts w:asciiTheme="minorHAnsi" w:hAnsiTheme="minorHAnsi"/>
          <w:color w:val="auto"/>
          <w:szCs w:val="24"/>
        </w:rPr>
        <w:t xml:space="preserve">  </w:t>
      </w:r>
      <w:r w:rsidR="00B20624" w:rsidRPr="00337314">
        <w:rPr>
          <w:rFonts w:asciiTheme="minorHAnsi" w:hAnsiTheme="minorHAnsi"/>
          <w:color w:val="auto"/>
        </w:rPr>
        <w:t>The</w:t>
      </w:r>
      <w:r w:rsidR="00B20624" w:rsidRPr="00C472C7">
        <w:rPr>
          <w:rFonts w:asciiTheme="minorHAnsi" w:hAnsiTheme="minorHAnsi"/>
          <w:color w:val="auto"/>
        </w:rPr>
        <w:t xml:space="preserve"> CI </w:t>
      </w:r>
      <w:r w:rsidR="00235FCA">
        <w:rPr>
          <w:rFonts w:asciiTheme="minorHAnsi" w:hAnsiTheme="minorHAnsi"/>
          <w:color w:val="auto"/>
        </w:rPr>
        <w:t xml:space="preserve">did not appeal </w:t>
      </w:r>
      <w:r w:rsidR="00B20624" w:rsidRPr="00C472C7">
        <w:rPr>
          <w:rFonts w:asciiTheme="minorHAnsi" w:hAnsiTheme="minorHAnsi"/>
          <w:color w:val="auto"/>
        </w:rPr>
        <w:t xml:space="preserve">and was medically separated with a </w:t>
      </w:r>
      <w:r w:rsidR="0020291C">
        <w:rPr>
          <w:rFonts w:asciiTheme="minorHAnsi" w:hAnsiTheme="minorHAnsi"/>
          <w:color w:val="auto"/>
        </w:rPr>
        <w:t>20</w:t>
      </w:r>
      <w:r w:rsidR="00B20624" w:rsidRPr="00C472C7">
        <w:rPr>
          <w:rFonts w:asciiTheme="minorHAnsi" w:hAnsiTheme="minorHAnsi"/>
          <w:color w:val="auto"/>
        </w:rPr>
        <w:t>% disability rating.</w:t>
      </w:r>
    </w:p>
    <w:p w:rsidR="0020291C" w:rsidRDefault="0020291C" w:rsidP="00510F9C">
      <w:pPr>
        <w:pBdr>
          <w:bottom w:val="single" w:sz="12" w:space="1" w:color="auto"/>
        </w:pBdr>
        <w:tabs>
          <w:tab w:val="left" w:pos="288"/>
          <w:tab w:val="left" w:pos="4752"/>
        </w:tabs>
        <w:spacing w:line="240" w:lineRule="exact"/>
        <w:jc w:val="both"/>
        <w:rPr>
          <w:rFonts w:asciiTheme="minorHAnsi" w:hAnsiTheme="minorHAnsi"/>
          <w:color w:val="auto"/>
        </w:rPr>
      </w:pPr>
    </w:p>
    <w:p w:rsidR="00021DC5" w:rsidRDefault="00021DC5"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20291C">
        <w:rPr>
          <w:rFonts w:asciiTheme="minorHAnsi" w:hAnsiTheme="minorHAnsi"/>
          <w:color w:val="auto"/>
        </w:rPr>
        <w:t xml:space="preserve">  “Cannot work due to injury</w:t>
      </w:r>
      <w:r w:rsidR="000341D5">
        <w:rPr>
          <w:rFonts w:asciiTheme="minorHAnsi" w:hAnsiTheme="minorHAnsi"/>
          <w:color w:val="auto"/>
        </w:rPr>
        <w:t>.</w:t>
      </w:r>
      <w:r w:rsidR="0020291C">
        <w:rPr>
          <w:rFonts w:asciiTheme="minorHAnsi" w:hAnsiTheme="minorHAnsi"/>
          <w:color w:val="auto"/>
        </w:rPr>
        <w:t>”</w:t>
      </w:r>
      <w:r w:rsidR="00021DC5">
        <w:rPr>
          <w:rFonts w:asciiTheme="minorHAnsi" w:hAnsiTheme="minorHAnsi"/>
          <w:color w:val="auto"/>
        </w:rPr>
        <w:t xml:space="preserve">  </w:t>
      </w:r>
      <w:r w:rsidR="00ED5284" w:rsidRPr="0020291C">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r w:rsidR="00DC7E62">
        <w:rPr>
          <w:rFonts w:eastAsiaTheme="minorHAnsi" w:cstheme="minorBidi"/>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5B0040" w:rsidRDefault="005B0040">
      <w:pPr>
        <w:rPr>
          <w:rFonts w:asciiTheme="minorHAnsi" w:hAnsiTheme="minorHAnsi"/>
          <w:color w:val="auto"/>
          <w:u w:val="single"/>
        </w:rPr>
      </w:pPr>
    </w:p>
    <w:p w:rsidR="002338CA" w:rsidRPr="00417A48"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2151AB" w:rsidRPr="00417A48" w:rsidRDefault="002151AB" w:rsidP="00510F9C">
      <w:pPr>
        <w:spacing w:line="240" w:lineRule="exact"/>
        <w:rPr>
          <w:rFonts w:asciiTheme="minorHAnsi" w:hAnsiTheme="minorHAnsi"/>
          <w:color w:val="auto"/>
        </w:rPr>
      </w:pPr>
    </w:p>
    <w:tbl>
      <w:tblPr>
        <w:tblStyle w:val="TableGrid"/>
        <w:tblW w:w="9378" w:type="dxa"/>
        <w:jc w:val="center"/>
        <w:tblInd w:w="198" w:type="dxa"/>
        <w:tblLayout w:type="fixed"/>
        <w:tblLook w:val="04A0"/>
      </w:tblPr>
      <w:tblGrid>
        <w:gridCol w:w="2979"/>
        <w:gridCol w:w="1080"/>
        <w:gridCol w:w="1080"/>
        <w:gridCol w:w="1890"/>
        <w:gridCol w:w="810"/>
        <w:gridCol w:w="810"/>
        <w:gridCol w:w="729"/>
      </w:tblGrid>
      <w:tr w:rsidR="002B4E22" w:rsidRPr="00417A48" w:rsidTr="00925038">
        <w:trPr>
          <w:trHeight w:val="233"/>
          <w:jc w:val="center"/>
        </w:trPr>
        <w:tc>
          <w:tcPr>
            <w:tcW w:w="5139" w:type="dxa"/>
            <w:gridSpan w:val="3"/>
            <w:tcBorders>
              <w:right w:val="thinThickThinSmallGap" w:sz="24" w:space="0" w:color="auto"/>
            </w:tcBorders>
            <w:shd w:val="clear" w:color="auto" w:fill="D9D9D9" w:themeFill="background1" w:themeFillShade="D9"/>
            <w:vAlign w:val="center"/>
          </w:tcPr>
          <w:p w:rsidR="002B4E22" w:rsidRPr="00417A48" w:rsidRDefault="00B731E4" w:rsidP="0020291C">
            <w:pPr>
              <w:spacing w:line="200" w:lineRule="exact"/>
              <w:contextualSpacing/>
              <w:jc w:val="center"/>
              <w:rPr>
                <w:b/>
                <w:color w:val="auto"/>
                <w:sz w:val="20"/>
                <w:szCs w:val="20"/>
              </w:rPr>
            </w:pPr>
            <w:r w:rsidRPr="00417A48">
              <w:rPr>
                <w:b/>
                <w:color w:val="auto"/>
                <w:sz w:val="20"/>
                <w:szCs w:val="20"/>
              </w:rPr>
              <w:t xml:space="preserve">Service </w:t>
            </w:r>
            <w:r w:rsidR="0020291C" w:rsidRPr="00417A48">
              <w:rPr>
                <w:b/>
                <w:color w:val="auto"/>
                <w:sz w:val="20"/>
                <w:szCs w:val="20"/>
              </w:rPr>
              <w:t>I</w:t>
            </w:r>
            <w:r w:rsidRPr="00417A48">
              <w:rPr>
                <w:b/>
                <w:color w:val="auto"/>
                <w:sz w:val="20"/>
                <w:szCs w:val="20"/>
              </w:rPr>
              <w:t>PEB – Dated 200</w:t>
            </w:r>
            <w:r w:rsidR="0020291C" w:rsidRPr="00417A48">
              <w:rPr>
                <w:b/>
                <w:color w:val="auto"/>
                <w:sz w:val="20"/>
                <w:szCs w:val="20"/>
              </w:rPr>
              <w:t>50429</w:t>
            </w:r>
          </w:p>
        </w:tc>
        <w:tc>
          <w:tcPr>
            <w:tcW w:w="4239" w:type="dxa"/>
            <w:gridSpan w:val="4"/>
            <w:tcBorders>
              <w:left w:val="thinThickThinSmallGap" w:sz="24" w:space="0" w:color="auto"/>
            </w:tcBorders>
            <w:shd w:val="clear" w:color="auto" w:fill="D9D9D9" w:themeFill="background1" w:themeFillShade="D9"/>
            <w:vAlign w:val="center"/>
          </w:tcPr>
          <w:p w:rsidR="002B4E22" w:rsidRPr="00417A48" w:rsidRDefault="002B4E22" w:rsidP="00A2020F">
            <w:pPr>
              <w:spacing w:line="200" w:lineRule="exact"/>
              <w:contextualSpacing/>
              <w:jc w:val="center"/>
              <w:rPr>
                <w:b/>
                <w:color w:val="auto"/>
                <w:sz w:val="20"/>
                <w:szCs w:val="20"/>
              </w:rPr>
            </w:pPr>
            <w:r w:rsidRPr="00417A48">
              <w:rPr>
                <w:b/>
                <w:color w:val="auto"/>
                <w:sz w:val="20"/>
                <w:szCs w:val="20"/>
              </w:rPr>
              <w:t xml:space="preserve">VA– All Effective Date </w:t>
            </w:r>
            <w:r w:rsidR="002D08F3" w:rsidRPr="00417A48">
              <w:rPr>
                <w:b/>
                <w:color w:val="auto"/>
                <w:sz w:val="20"/>
                <w:szCs w:val="20"/>
              </w:rPr>
              <w:t>200</w:t>
            </w:r>
            <w:r w:rsidR="00A2020F" w:rsidRPr="00417A48">
              <w:rPr>
                <w:b/>
                <w:color w:val="auto"/>
                <w:sz w:val="20"/>
                <w:szCs w:val="20"/>
              </w:rPr>
              <w:t>50713</w:t>
            </w:r>
          </w:p>
        </w:tc>
      </w:tr>
      <w:tr w:rsidR="00925038" w:rsidRPr="00417A48" w:rsidTr="00925038">
        <w:trPr>
          <w:trHeight w:val="278"/>
          <w:jc w:val="center"/>
        </w:trPr>
        <w:tc>
          <w:tcPr>
            <w:tcW w:w="2979" w:type="dxa"/>
            <w:tcBorders>
              <w:bottom w:val="single" w:sz="4" w:space="0" w:color="000000" w:themeColor="text1"/>
              <w:right w:val="single" w:sz="4" w:space="0" w:color="auto"/>
            </w:tcBorders>
            <w:shd w:val="clear" w:color="auto" w:fill="D9D9D9" w:themeFill="background1" w:themeFillShade="D9"/>
            <w:vAlign w:val="center"/>
          </w:tcPr>
          <w:p w:rsidR="002B4E22" w:rsidRPr="00417A48" w:rsidRDefault="002B4E22" w:rsidP="00B0472F">
            <w:pPr>
              <w:spacing w:line="200" w:lineRule="exact"/>
              <w:contextualSpacing/>
              <w:jc w:val="center"/>
              <w:rPr>
                <w:b/>
                <w:color w:val="auto"/>
                <w:sz w:val="20"/>
                <w:szCs w:val="20"/>
              </w:rPr>
            </w:pPr>
            <w:r w:rsidRPr="00417A48">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417A48" w:rsidRDefault="002B4E22" w:rsidP="00B0472F">
            <w:pPr>
              <w:spacing w:line="200" w:lineRule="exact"/>
              <w:contextualSpacing/>
              <w:jc w:val="center"/>
              <w:rPr>
                <w:b/>
                <w:color w:val="auto"/>
                <w:sz w:val="20"/>
                <w:szCs w:val="20"/>
              </w:rPr>
            </w:pPr>
            <w:r w:rsidRPr="00417A48">
              <w:rPr>
                <w:b/>
                <w:color w:val="auto"/>
                <w:sz w:val="20"/>
                <w:szCs w:val="20"/>
              </w:rPr>
              <w:t>Code</w:t>
            </w:r>
          </w:p>
        </w:tc>
        <w:tc>
          <w:tcPr>
            <w:tcW w:w="108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417A48" w:rsidRDefault="002B4E22" w:rsidP="00B0472F">
            <w:pPr>
              <w:spacing w:line="200" w:lineRule="exact"/>
              <w:contextualSpacing/>
              <w:jc w:val="center"/>
              <w:rPr>
                <w:b/>
                <w:color w:val="auto"/>
                <w:sz w:val="20"/>
                <w:szCs w:val="20"/>
              </w:rPr>
            </w:pPr>
            <w:r w:rsidRPr="00417A48">
              <w:rPr>
                <w:b/>
                <w:color w:val="auto"/>
                <w:sz w:val="20"/>
                <w:szCs w:val="20"/>
              </w:rPr>
              <w:t>Rating</w:t>
            </w:r>
          </w:p>
        </w:tc>
        <w:tc>
          <w:tcPr>
            <w:tcW w:w="189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417A48" w:rsidRDefault="002B4E22" w:rsidP="00B0472F">
            <w:pPr>
              <w:spacing w:line="200" w:lineRule="exact"/>
              <w:contextualSpacing/>
              <w:jc w:val="center"/>
              <w:rPr>
                <w:b/>
                <w:color w:val="auto"/>
                <w:sz w:val="20"/>
                <w:szCs w:val="20"/>
              </w:rPr>
            </w:pPr>
            <w:r w:rsidRPr="00417A48">
              <w:rPr>
                <w:b/>
                <w:color w:val="auto"/>
                <w:sz w:val="20"/>
                <w:szCs w:val="20"/>
              </w:rPr>
              <w:t>Condition</w:t>
            </w:r>
          </w:p>
        </w:tc>
        <w:tc>
          <w:tcPr>
            <w:tcW w:w="810" w:type="dxa"/>
            <w:tcBorders>
              <w:bottom w:val="single" w:sz="4" w:space="0" w:color="000000" w:themeColor="text1"/>
            </w:tcBorders>
            <w:shd w:val="clear" w:color="auto" w:fill="D9D9D9" w:themeFill="background1" w:themeFillShade="D9"/>
            <w:vAlign w:val="center"/>
          </w:tcPr>
          <w:p w:rsidR="002B4E22" w:rsidRPr="00417A48" w:rsidRDefault="002B4E22" w:rsidP="00B0472F">
            <w:pPr>
              <w:spacing w:line="200" w:lineRule="exact"/>
              <w:contextualSpacing/>
              <w:jc w:val="center"/>
              <w:rPr>
                <w:b/>
                <w:color w:val="auto"/>
                <w:sz w:val="20"/>
                <w:szCs w:val="20"/>
              </w:rPr>
            </w:pPr>
            <w:r w:rsidRPr="00417A48">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417A48" w:rsidRDefault="002B4E22" w:rsidP="00B0472F">
            <w:pPr>
              <w:spacing w:line="200" w:lineRule="exact"/>
              <w:contextualSpacing/>
              <w:jc w:val="center"/>
              <w:rPr>
                <w:b/>
                <w:color w:val="auto"/>
                <w:sz w:val="20"/>
                <w:szCs w:val="20"/>
              </w:rPr>
            </w:pPr>
            <w:r w:rsidRPr="00417A48">
              <w:rPr>
                <w:b/>
                <w:color w:val="auto"/>
                <w:sz w:val="20"/>
                <w:szCs w:val="20"/>
              </w:rPr>
              <w:t>Rating</w:t>
            </w:r>
          </w:p>
        </w:tc>
        <w:tc>
          <w:tcPr>
            <w:tcW w:w="729" w:type="dxa"/>
            <w:tcBorders>
              <w:bottom w:val="single" w:sz="4" w:space="0" w:color="000000" w:themeColor="text1"/>
            </w:tcBorders>
            <w:shd w:val="clear" w:color="auto" w:fill="D9D9D9" w:themeFill="background1" w:themeFillShade="D9"/>
            <w:vAlign w:val="center"/>
          </w:tcPr>
          <w:p w:rsidR="002B4E22" w:rsidRPr="00417A48" w:rsidRDefault="002B4E22" w:rsidP="00B0472F">
            <w:pPr>
              <w:spacing w:line="200" w:lineRule="exact"/>
              <w:contextualSpacing/>
              <w:jc w:val="center"/>
              <w:rPr>
                <w:b/>
                <w:color w:val="auto"/>
                <w:sz w:val="20"/>
                <w:szCs w:val="20"/>
              </w:rPr>
            </w:pPr>
            <w:r w:rsidRPr="00417A48">
              <w:rPr>
                <w:b/>
                <w:color w:val="auto"/>
                <w:sz w:val="20"/>
                <w:szCs w:val="20"/>
              </w:rPr>
              <w:t>Exam</w:t>
            </w:r>
          </w:p>
        </w:tc>
      </w:tr>
      <w:tr w:rsidR="00925038" w:rsidRPr="00417A48" w:rsidTr="00925038">
        <w:trPr>
          <w:trHeight w:val="287"/>
          <w:jc w:val="center"/>
        </w:trPr>
        <w:tc>
          <w:tcPr>
            <w:tcW w:w="2979" w:type="dxa"/>
            <w:tcBorders>
              <w:right w:val="single" w:sz="4" w:space="0" w:color="auto"/>
            </w:tcBorders>
            <w:shd w:val="clear" w:color="auto" w:fill="FFFFFF" w:themeFill="background1"/>
            <w:vAlign w:val="center"/>
          </w:tcPr>
          <w:p w:rsidR="002D08F3" w:rsidRPr="00417A48" w:rsidRDefault="00DC7E62" w:rsidP="00925038">
            <w:pPr>
              <w:spacing w:line="180" w:lineRule="exact"/>
              <w:contextualSpacing/>
              <w:rPr>
                <w:color w:val="auto"/>
                <w:sz w:val="18"/>
                <w:szCs w:val="18"/>
              </w:rPr>
            </w:pPr>
            <w:r w:rsidRPr="00417A48">
              <w:rPr>
                <w:color w:val="auto"/>
                <w:sz w:val="18"/>
                <w:szCs w:val="18"/>
              </w:rPr>
              <w:t xml:space="preserve">LBP </w:t>
            </w:r>
            <w:r w:rsidR="00925038" w:rsidRPr="00417A48">
              <w:rPr>
                <w:color w:val="auto"/>
                <w:sz w:val="18"/>
                <w:szCs w:val="18"/>
              </w:rPr>
              <w:t xml:space="preserve">A/W </w:t>
            </w:r>
            <w:r w:rsidRPr="00417A48">
              <w:rPr>
                <w:color w:val="auto"/>
                <w:sz w:val="18"/>
                <w:szCs w:val="18"/>
              </w:rPr>
              <w:t>DDD &amp; Lumbar Spondylosis</w:t>
            </w:r>
          </w:p>
        </w:tc>
        <w:tc>
          <w:tcPr>
            <w:tcW w:w="1080" w:type="dxa"/>
            <w:tcBorders>
              <w:left w:val="single" w:sz="4" w:space="0" w:color="auto"/>
            </w:tcBorders>
            <w:shd w:val="clear" w:color="auto" w:fill="FFFFFF" w:themeFill="background1"/>
            <w:vAlign w:val="center"/>
          </w:tcPr>
          <w:p w:rsidR="002D08F3" w:rsidRPr="00417A48" w:rsidRDefault="00A2020F" w:rsidP="00B0472F">
            <w:pPr>
              <w:spacing w:line="180" w:lineRule="exact"/>
              <w:contextualSpacing/>
              <w:jc w:val="center"/>
              <w:rPr>
                <w:color w:val="auto"/>
                <w:sz w:val="18"/>
                <w:szCs w:val="18"/>
              </w:rPr>
            </w:pPr>
            <w:r w:rsidRPr="00417A48">
              <w:rPr>
                <w:color w:val="auto"/>
                <w:sz w:val="18"/>
                <w:szCs w:val="18"/>
              </w:rPr>
              <w:t>5243-5299</w:t>
            </w:r>
          </w:p>
        </w:tc>
        <w:tc>
          <w:tcPr>
            <w:tcW w:w="1080" w:type="dxa"/>
            <w:tcBorders>
              <w:right w:val="thinThickThinSmallGap" w:sz="24" w:space="0" w:color="auto"/>
            </w:tcBorders>
            <w:shd w:val="clear" w:color="auto" w:fill="FFFFFF" w:themeFill="background1"/>
            <w:vAlign w:val="center"/>
          </w:tcPr>
          <w:p w:rsidR="002D08F3" w:rsidRPr="00417A48" w:rsidRDefault="00A2020F" w:rsidP="00B0472F">
            <w:pPr>
              <w:spacing w:line="180" w:lineRule="exact"/>
              <w:contextualSpacing/>
              <w:jc w:val="center"/>
              <w:rPr>
                <w:color w:val="auto"/>
                <w:sz w:val="18"/>
                <w:szCs w:val="18"/>
                <w:highlight w:val="yellow"/>
              </w:rPr>
            </w:pPr>
            <w:r w:rsidRPr="00417A48">
              <w:rPr>
                <w:color w:val="auto"/>
                <w:sz w:val="18"/>
                <w:szCs w:val="18"/>
              </w:rPr>
              <w:t>20%</w:t>
            </w:r>
          </w:p>
        </w:tc>
        <w:tc>
          <w:tcPr>
            <w:tcW w:w="1890" w:type="dxa"/>
            <w:tcBorders>
              <w:left w:val="thinThickThinSmallGap" w:sz="24" w:space="0" w:color="auto"/>
            </w:tcBorders>
            <w:shd w:val="clear" w:color="auto" w:fill="FFFFFF" w:themeFill="background1"/>
            <w:vAlign w:val="center"/>
          </w:tcPr>
          <w:p w:rsidR="002D08F3" w:rsidRPr="00417A48" w:rsidRDefault="00925038" w:rsidP="00925038">
            <w:pPr>
              <w:spacing w:line="180" w:lineRule="exact"/>
              <w:contextualSpacing/>
              <w:rPr>
                <w:color w:val="auto"/>
                <w:sz w:val="18"/>
                <w:szCs w:val="18"/>
              </w:rPr>
            </w:pPr>
            <w:r w:rsidRPr="00417A48">
              <w:rPr>
                <w:color w:val="auto"/>
                <w:sz w:val="18"/>
                <w:szCs w:val="18"/>
              </w:rPr>
              <w:t>DDD</w:t>
            </w:r>
            <w:r w:rsidR="00A2020F" w:rsidRPr="00417A48">
              <w:rPr>
                <w:color w:val="auto"/>
                <w:sz w:val="18"/>
                <w:szCs w:val="18"/>
              </w:rPr>
              <w:t xml:space="preserve"> </w:t>
            </w:r>
            <w:r w:rsidRPr="00417A48">
              <w:rPr>
                <w:color w:val="auto"/>
                <w:sz w:val="18"/>
                <w:szCs w:val="18"/>
              </w:rPr>
              <w:t>&amp; L4-S1</w:t>
            </w:r>
            <w:r w:rsidR="00DC7E62" w:rsidRPr="00417A48">
              <w:rPr>
                <w:color w:val="auto"/>
                <w:sz w:val="18"/>
                <w:szCs w:val="18"/>
              </w:rPr>
              <w:t xml:space="preserve"> </w:t>
            </w:r>
            <w:r w:rsidRPr="00417A48">
              <w:rPr>
                <w:color w:val="auto"/>
                <w:sz w:val="18"/>
                <w:szCs w:val="18"/>
              </w:rPr>
              <w:t>…</w:t>
            </w:r>
          </w:p>
        </w:tc>
        <w:tc>
          <w:tcPr>
            <w:tcW w:w="810" w:type="dxa"/>
            <w:shd w:val="clear" w:color="auto" w:fill="FFFFFF" w:themeFill="background1"/>
            <w:vAlign w:val="center"/>
          </w:tcPr>
          <w:p w:rsidR="002D08F3" w:rsidRPr="00417A48" w:rsidRDefault="00A2020F" w:rsidP="00B0472F">
            <w:pPr>
              <w:spacing w:line="180" w:lineRule="exact"/>
              <w:contextualSpacing/>
              <w:jc w:val="center"/>
              <w:rPr>
                <w:color w:val="auto"/>
                <w:sz w:val="18"/>
                <w:szCs w:val="18"/>
              </w:rPr>
            </w:pPr>
            <w:r w:rsidRPr="00417A48">
              <w:rPr>
                <w:color w:val="auto"/>
                <w:sz w:val="18"/>
                <w:szCs w:val="18"/>
              </w:rPr>
              <w:t>5243</w:t>
            </w:r>
          </w:p>
        </w:tc>
        <w:tc>
          <w:tcPr>
            <w:tcW w:w="810" w:type="dxa"/>
            <w:shd w:val="clear" w:color="auto" w:fill="FFFFFF" w:themeFill="background1"/>
            <w:vAlign w:val="center"/>
          </w:tcPr>
          <w:p w:rsidR="002D08F3" w:rsidRPr="00417A48" w:rsidRDefault="00A2020F" w:rsidP="00B0472F">
            <w:pPr>
              <w:spacing w:line="180" w:lineRule="exact"/>
              <w:contextualSpacing/>
              <w:jc w:val="center"/>
              <w:rPr>
                <w:color w:val="auto"/>
                <w:sz w:val="18"/>
                <w:szCs w:val="18"/>
              </w:rPr>
            </w:pPr>
            <w:r w:rsidRPr="00417A48">
              <w:rPr>
                <w:color w:val="auto"/>
                <w:sz w:val="18"/>
                <w:szCs w:val="18"/>
              </w:rPr>
              <w:t>20%</w:t>
            </w:r>
            <w:r w:rsidR="000D3C81">
              <w:rPr>
                <w:color w:val="auto"/>
                <w:sz w:val="18"/>
                <w:szCs w:val="18"/>
              </w:rPr>
              <w:t>*</w:t>
            </w:r>
          </w:p>
        </w:tc>
        <w:tc>
          <w:tcPr>
            <w:tcW w:w="729" w:type="dxa"/>
            <w:shd w:val="clear" w:color="auto" w:fill="FFFFFF" w:themeFill="background1"/>
            <w:vAlign w:val="center"/>
          </w:tcPr>
          <w:p w:rsidR="002D08F3" w:rsidRPr="00417A48" w:rsidRDefault="00A2020F" w:rsidP="00B0472F">
            <w:pPr>
              <w:spacing w:line="180" w:lineRule="exact"/>
              <w:contextualSpacing/>
              <w:jc w:val="center"/>
              <w:rPr>
                <w:color w:val="auto"/>
                <w:sz w:val="18"/>
                <w:szCs w:val="18"/>
                <w:highlight w:val="yellow"/>
              </w:rPr>
            </w:pPr>
            <w:r w:rsidRPr="00417A48">
              <w:rPr>
                <w:color w:val="auto"/>
                <w:sz w:val="18"/>
                <w:szCs w:val="18"/>
              </w:rPr>
              <w:t>STR</w:t>
            </w:r>
          </w:p>
        </w:tc>
      </w:tr>
      <w:tr w:rsidR="007A65A9" w:rsidRPr="00417A48" w:rsidTr="00925038">
        <w:trPr>
          <w:trHeight w:val="260"/>
          <w:jc w:val="center"/>
        </w:trPr>
        <w:tc>
          <w:tcPr>
            <w:tcW w:w="5139" w:type="dxa"/>
            <w:gridSpan w:val="3"/>
            <w:tcBorders>
              <w:right w:val="thinThickThinSmallGap" w:sz="24" w:space="0" w:color="auto"/>
            </w:tcBorders>
            <w:shd w:val="clear" w:color="auto" w:fill="FFFFFF" w:themeFill="background1"/>
            <w:vAlign w:val="center"/>
          </w:tcPr>
          <w:p w:rsidR="007A65A9" w:rsidRPr="00417A48" w:rsidRDefault="008E09AB" w:rsidP="00337314">
            <w:pPr>
              <w:spacing w:line="180" w:lineRule="exact"/>
              <w:contextualSpacing/>
              <w:jc w:val="center"/>
              <w:rPr>
                <w:color w:val="auto"/>
                <w:sz w:val="18"/>
                <w:szCs w:val="18"/>
              </w:rPr>
            </w:pPr>
            <w:r w:rsidRPr="00417A48">
              <w:rPr>
                <w:color w:val="auto"/>
                <w:sz w:val="18"/>
                <w:szCs w:val="18"/>
              </w:rPr>
              <w:t>↓No Additional MEB/PEB Entries↓</w:t>
            </w:r>
          </w:p>
        </w:tc>
        <w:tc>
          <w:tcPr>
            <w:tcW w:w="3510" w:type="dxa"/>
            <w:gridSpan w:val="3"/>
            <w:tcBorders>
              <w:left w:val="thinThickThinSmallGap" w:sz="24" w:space="0" w:color="auto"/>
            </w:tcBorders>
            <w:shd w:val="clear" w:color="auto" w:fill="FFFFFF" w:themeFill="background1"/>
            <w:vAlign w:val="center"/>
          </w:tcPr>
          <w:p w:rsidR="007A65A9" w:rsidRPr="00417A48" w:rsidRDefault="007A65A9" w:rsidP="00A2020F">
            <w:pPr>
              <w:spacing w:line="180" w:lineRule="exact"/>
              <w:contextualSpacing/>
              <w:jc w:val="center"/>
              <w:rPr>
                <w:color w:val="auto"/>
                <w:sz w:val="18"/>
                <w:szCs w:val="18"/>
              </w:rPr>
            </w:pPr>
            <w:r w:rsidRPr="00417A48">
              <w:rPr>
                <w:rFonts w:cs="Times New Roman"/>
                <w:color w:val="auto"/>
                <w:sz w:val="18"/>
                <w:szCs w:val="18"/>
              </w:rPr>
              <w:t xml:space="preserve">Not Service Connected </w:t>
            </w:r>
            <w:r w:rsidR="00374EA1" w:rsidRPr="00417A48">
              <w:rPr>
                <w:rFonts w:cs="Times New Roman"/>
                <w:color w:val="auto"/>
                <w:sz w:val="18"/>
                <w:szCs w:val="18"/>
              </w:rPr>
              <w:t>x</w:t>
            </w:r>
            <w:r w:rsidRPr="00417A48">
              <w:rPr>
                <w:rFonts w:cs="Times New Roman"/>
                <w:color w:val="auto"/>
                <w:sz w:val="18"/>
                <w:szCs w:val="18"/>
              </w:rPr>
              <w:t xml:space="preserve"> </w:t>
            </w:r>
            <w:r w:rsidR="00A2020F" w:rsidRPr="00417A48">
              <w:rPr>
                <w:rFonts w:cs="Times New Roman"/>
                <w:color w:val="auto"/>
                <w:sz w:val="18"/>
                <w:szCs w:val="18"/>
              </w:rPr>
              <w:t>1</w:t>
            </w:r>
          </w:p>
        </w:tc>
        <w:tc>
          <w:tcPr>
            <w:tcW w:w="729" w:type="dxa"/>
            <w:shd w:val="clear" w:color="auto" w:fill="FFFFFF" w:themeFill="background1"/>
            <w:vAlign w:val="center"/>
          </w:tcPr>
          <w:p w:rsidR="007A65A9" w:rsidRPr="00417A48" w:rsidRDefault="00A2020F" w:rsidP="00B0472F">
            <w:pPr>
              <w:spacing w:line="180" w:lineRule="exact"/>
              <w:contextualSpacing/>
              <w:jc w:val="center"/>
              <w:rPr>
                <w:color w:val="auto"/>
                <w:sz w:val="18"/>
                <w:szCs w:val="18"/>
                <w:highlight w:val="yellow"/>
              </w:rPr>
            </w:pPr>
            <w:r w:rsidRPr="00417A48">
              <w:rPr>
                <w:color w:val="auto"/>
                <w:sz w:val="18"/>
                <w:szCs w:val="18"/>
              </w:rPr>
              <w:t>STR</w:t>
            </w:r>
          </w:p>
        </w:tc>
      </w:tr>
      <w:tr w:rsidR="007A65A9" w:rsidRPr="00417A48" w:rsidTr="00925038">
        <w:trPr>
          <w:trHeight w:val="242"/>
          <w:jc w:val="center"/>
        </w:trPr>
        <w:tc>
          <w:tcPr>
            <w:tcW w:w="5139" w:type="dxa"/>
            <w:gridSpan w:val="3"/>
            <w:tcBorders>
              <w:right w:val="thinThickThinSmallGap" w:sz="24" w:space="0" w:color="auto"/>
            </w:tcBorders>
            <w:shd w:val="clear" w:color="auto" w:fill="D9D9D9" w:themeFill="background1" w:themeFillShade="D9"/>
            <w:vAlign w:val="center"/>
          </w:tcPr>
          <w:p w:rsidR="007A65A9" w:rsidRPr="00417A48" w:rsidRDefault="007A65A9" w:rsidP="008E09AB">
            <w:pPr>
              <w:spacing w:line="200" w:lineRule="exact"/>
              <w:contextualSpacing/>
              <w:jc w:val="center"/>
              <w:rPr>
                <w:b/>
                <w:color w:val="auto"/>
                <w:sz w:val="20"/>
                <w:szCs w:val="20"/>
              </w:rPr>
            </w:pPr>
            <w:r w:rsidRPr="00417A48">
              <w:rPr>
                <w:b/>
                <w:color w:val="auto"/>
                <w:sz w:val="20"/>
                <w:szCs w:val="20"/>
              </w:rPr>
              <w:t xml:space="preserve">Combined: </w:t>
            </w:r>
            <w:r w:rsidR="006458FD" w:rsidRPr="00417A48">
              <w:rPr>
                <w:b/>
                <w:color w:val="auto"/>
                <w:sz w:val="20"/>
                <w:szCs w:val="20"/>
              </w:rPr>
              <w:t xml:space="preserve"> </w:t>
            </w:r>
            <w:r w:rsidR="008E09AB" w:rsidRPr="00417A48">
              <w:rPr>
                <w:b/>
                <w:color w:val="auto"/>
                <w:sz w:val="20"/>
                <w:szCs w:val="20"/>
              </w:rPr>
              <w:t>20</w:t>
            </w:r>
            <w:r w:rsidRPr="00417A48">
              <w:rPr>
                <w:b/>
                <w:color w:val="auto"/>
                <w:sz w:val="20"/>
                <w:szCs w:val="20"/>
              </w:rPr>
              <w:t>%</w:t>
            </w:r>
          </w:p>
        </w:tc>
        <w:tc>
          <w:tcPr>
            <w:tcW w:w="4239" w:type="dxa"/>
            <w:gridSpan w:val="4"/>
            <w:tcBorders>
              <w:left w:val="thinThickThinSmallGap" w:sz="24" w:space="0" w:color="auto"/>
            </w:tcBorders>
            <w:shd w:val="clear" w:color="auto" w:fill="D9D9D9" w:themeFill="background1" w:themeFillShade="D9"/>
            <w:vAlign w:val="center"/>
          </w:tcPr>
          <w:p w:rsidR="007A65A9" w:rsidRPr="00417A48" w:rsidRDefault="007A65A9" w:rsidP="008E09AB">
            <w:pPr>
              <w:spacing w:line="200" w:lineRule="exact"/>
              <w:contextualSpacing/>
              <w:jc w:val="center"/>
              <w:rPr>
                <w:b/>
                <w:color w:val="auto"/>
                <w:sz w:val="20"/>
                <w:szCs w:val="20"/>
              </w:rPr>
            </w:pPr>
            <w:r w:rsidRPr="00417A48">
              <w:rPr>
                <w:b/>
                <w:color w:val="auto"/>
                <w:sz w:val="20"/>
                <w:szCs w:val="20"/>
              </w:rPr>
              <w:t xml:space="preserve">Combined:  </w:t>
            </w:r>
            <w:r w:rsidR="008E09AB" w:rsidRPr="00417A48">
              <w:rPr>
                <w:b/>
                <w:color w:val="auto"/>
                <w:sz w:val="20"/>
                <w:szCs w:val="20"/>
              </w:rPr>
              <w:t>2</w:t>
            </w:r>
            <w:r w:rsidR="006F0F9C" w:rsidRPr="00417A48">
              <w:rPr>
                <w:b/>
                <w:color w:val="auto"/>
                <w:sz w:val="20"/>
                <w:szCs w:val="20"/>
              </w:rPr>
              <w:t>0</w:t>
            </w:r>
            <w:r w:rsidRPr="00417A48">
              <w:rPr>
                <w:b/>
                <w:color w:val="auto"/>
                <w:sz w:val="20"/>
                <w:szCs w:val="20"/>
              </w:rPr>
              <w:t>%</w:t>
            </w:r>
            <w:r w:rsidR="000D3C81">
              <w:rPr>
                <w:b/>
                <w:color w:val="auto"/>
                <w:sz w:val="20"/>
                <w:szCs w:val="20"/>
              </w:rPr>
              <w:t>*</w:t>
            </w:r>
          </w:p>
        </w:tc>
      </w:tr>
    </w:tbl>
    <w:p w:rsidR="00437D18" w:rsidRPr="00417A48" w:rsidRDefault="00DC7E62" w:rsidP="00925038">
      <w:pPr>
        <w:pBdr>
          <w:bottom w:val="single" w:sz="12" w:space="1" w:color="auto"/>
        </w:pBdr>
        <w:tabs>
          <w:tab w:val="left" w:pos="288"/>
          <w:tab w:val="left" w:pos="4752"/>
        </w:tabs>
        <w:spacing w:line="200" w:lineRule="exact"/>
        <w:jc w:val="both"/>
        <w:rPr>
          <w:rFonts w:asciiTheme="minorHAnsi" w:hAnsiTheme="minorHAnsi"/>
          <w:color w:val="auto"/>
          <w:sz w:val="20"/>
          <w:szCs w:val="18"/>
        </w:rPr>
      </w:pPr>
      <w:r w:rsidRPr="00417A48">
        <w:rPr>
          <w:rFonts w:asciiTheme="minorHAnsi" w:hAnsiTheme="minorHAnsi"/>
          <w:color w:val="auto"/>
          <w:sz w:val="20"/>
          <w:szCs w:val="18"/>
        </w:rPr>
        <w:t>* DDD 5243 increased to 40%</w:t>
      </w:r>
      <w:r w:rsidR="00925038" w:rsidRPr="00417A48">
        <w:rPr>
          <w:rFonts w:asciiTheme="minorHAnsi" w:hAnsiTheme="minorHAnsi"/>
          <w:color w:val="auto"/>
          <w:sz w:val="20"/>
          <w:szCs w:val="18"/>
        </w:rPr>
        <w:t xml:space="preserve"> effective 20070124</w:t>
      </w:r>
      <w:r w:rsidRPr="00417A48">
        <w:rPr>
          <w:rFonts w:asciiTheme="minorHAnsi" w:hAnsiTheme="minorHAnsi"/>
          <w:color w:val="auto"/>
          <w:sz w:val="20"/>
          <w:szCs w:val="18"/>
        </w:rPr>
        <w:t xml:space="preserve"> </w:t>
      </w:r>
      <w:r w:rsidR="00925038" w:rsidRPr="00417A48">
        <w:rPr>
          <w:rFonts w:asciiTheme="minorHAnsi" w:hAnsiTheme="minorHAnsi"/>
          <w:color w:val="auto"/>
          <w:sz w:val="20"/>
          <w:szCs w:val="18"/>
        </w:rPr>
        <w:t xml:space="preserve">(combined 40%) and </w:t>
      </w:r>
      <w:r w:rsidR="00541461" w:rsidRPr="00417A48">
        <w:rPr>
          <w:rFonts w:asciiTheme="minorHAnsi" w:hAnsiTheme="minorHAnsi"/>
          <w:color w:val="auto"/>
          <w:sz w:val="20"/>
          <w:szCs w:val="18"/>
        </w:rPr>
        <w:t xml:space="preserve">added </w:t>
      </w:r>
      <w:r w:rsidR="00925038" w:rsidRPr="00417A48">
        <w:rPr>
          <w:rFonts w:asciiTheme="minorHAnsi" w:hAnsiTheme="minorHAnsi"/>
          <w:color w:val="auto"/>
          <w:sz w:val="20"/>
          <w:szCs w:val="18"/>
        </w:rPr>
        <w:t>PTSD</w:t>
      </w:r>
      <w:r w:rsidR="00541461" w:rsidRPr="00417A48">
        <w:rPr>
          <w:rFonts w:asciiTheme="minorHAnsi" w:hAnsiTheme="minorHAnsi"/>
          <w:color w:val="auto"/>
          <w:sz w:val="20"/>
          <w:szCs w:val="18"/>
        </w:rPr>
        <w:t xml:space="preserve"> 9411</w:t>
      </w:r>
      <w:r w:rsidR="00925038" w:rsidRPr="00417A48">
        <w:rPr>
          <w:rFonts w:asciiTheme="minorHAnsi" w:hAnsiTheme="minorHAnsi"/>
          <w:color w:val="auto"/>
          <w:sz w:val="20"/>
          <w:szCs w:val="18"/>
        </w:rPr>
        <w:t xml:space="preserve"> at 70% effective 20080807 (combined 80%) </w:t>
      </w:r>
      <w:r w:rsidR="00541461" w:rsidRPr="00417A48">
        <w:rPr>
          <w:rFonts w:asciiTheme="minorHAnsi" w:hAnsiTheme="minorHAnsi"/>
          <w:color w:val="auto"/>
          <w:sz w:val="20"/>
          <w:szCs w:val="18"/>
        </w:rPr>
        <w:t xml:space="preserve">both </w:t>
      </w:r>
      <w:r w:rsidRPr="00417A48">
        <w:rPr>
          <w:rFonts w:asciiTheme="minorHAnsi" w:hAnsiTheme="minorHAnsi"/>
          <w:color w:val="auto"/>
          <w:sz w:val="20"/>
          <w:szCs w:val="18"/>
        </w:rPr>
        <w:t>by Board of Veterans’ Appeals decision</w:t>
      </w:r>
    </w:p>
    <w:p w:rsidR="00DC7E62" w:rsidRPr="00DC7E62" w:rsidRDefault="00DC7E62" w:rsidP="00510F9C">
      <w:pPr>
        <w:pBdr>
          <w:bottom w:val="single" w:sz="12" w:space="1" w:color="auto"/>
        </w:pBdr>
        <w:tabs>
          <w:tab w:val="left" w:pos="288"/>
          <w:tab w:val="left" w:pos="4752"/>
        </w:tabs>
        <w:spacing w:line="240" w:lineRule="exact"/>
        <w:jc w:val="both"/>
        <w:rPr>
          <w:rFonts w:asciiTheme="minorHAnsi" w:hAnsiTheme="minorHAnsi"/>
          <w:color w:val="auto"/>
        </w:rPr>
      </w:pPr>
    </w:p>
    <w:p w:rsidR="008E09AB" w:rsidRDefault="008E09AB" w:rsidP="00C6170B">
      <w:pPr>
        <w:rPr>
          <w:rFonts w:asciiTheme="minorHAnsi" w:hAnsiTheme="minorHAnsi"/>
          <w:color w:val="auto"/>
          <w:szCs w:val="24"/>
          <w:u w:val="single"/>
        </w:rPr>
      </w:pPr>
    </w:p>
    <w:p w:rsidR="004C60A3" w:rsidRDefault="002C6E5B" w:rsidP="00F108A1">
      <w:pPr>
        <w:spacing w:line="240" w:lineRule="exact"/>
        <w:jc w:val="both"/>
        <w:rPr>
          <w:color w:val="auto"/>
          <w:szCs w:val="24"/>
        </w:rPr>
      </w:pPr>
      <w:r w:rsidRPr="00396779">
        <w:rPr>
          <w:rFonts w:asciiTheme="minorHAnsi" w:hAnsiTheme="minorHAnsi"/>
          <w:color w:val="auto"/>
          <w:szCs w:val="24"/>
          <w:u w:val="single"/>
        </w:rPr>
        <w:t>ANALYSIS SUMMARY</w:t>
      </w:r>
      <w:r w:rsidRPr="00F108A1">
        <w:rPr>
          <w:rFonts w:asciiTheme="minorHAnsi" w:hAnsiTheme="minorHAnsi"/>
          <w:color w:val="auto"/>
          <w:szCs w:val="24"/>
        </w:rPr>
        <w:t>:</w:t>
      </w:r>
      <w:r w:rsidR="00AF7C4A" w:rsidRPr="00F108A1">
        <w:rPr>
          <w:rFonts w:asciiTheme="minorHAnsi" w:hAnsiTheme="minorHAnsi"/>
          <w:color w:val="auto"/>
          <w:szCs w:val="24"/>
        </w:rPr>
        <w:t xml:space="preserve">  </w:t>
      </w:r>
      <w:r w:rsidR="00F108A1" w:rsidRPr="00F108A1">
        <w:rPr>
          <w:color w:val="auto"/>
          <w:szCs w:val="24"/>
        </w:rPr>
        <w:t>The Board acknowledges the sentiment expressed in the CI’s application regarding the significant impairment with which his service-incurred condition continues to burden him</w:t>
      </w:r>
      <w:r w:rsidR="00F108A1">
        <w:rPr>
          <w:color w:val="auto"/>
          <w:szCs w:val="24"/>
        </w:rPr>
        <w:t>, and its</w:t>
      </w:r>
      <w:r w:rsidR="00F108A1" w:rsidRPr="00F108A1">
        <w:rPr>
          <w:color w:val="auto"/>
          <w:szCs w:val="24"/>
        </w:rPr>
        <w:t xml:space="preserve"> </w:t>
      </w:r>
      <w:r w:rsidR="00F108A1">
        <w:rPr>
          <w:color w:val="auto"/>
          <w:szCs w:val="24"/>
        </w:rPr>
        <w:t xml:space="preserve">impact </w:t>
      </w:r>
      <w:r w:rsidR="00F108A1" w:rsidRPr="00F108A1">
        <w:rPr>
          <w:color w:val="auto"/>
          <w:szCs w:val="24"/>
        </w:rPr>
        <w:t>on his current earning ability.</w:t>
      </w:r>
      <w:r w:rsidR="00F108A1">
        <w:rPr>
          <w:color w:val="auto"/>
          <w:szCs w:val="24"/>
        </w:rPr>
        <w:t xml:space="preserve">  </w:t>
      </w:r>
      <w:r w:rsidR="00F108A1" w:rsidRPr="00F108A1">
        <w:rPr>
          <w:color w:val="auto"/>
          <w:szCs w:val="24"/>
        </w:rPr>
        <w:t xml:space="preserve">The Board wishes to clarify that it is subject to the same laws for </w:t>
      </w:r>
      <w:r w:rsidR="00235FCA">
        <w:rPr>
          <w:color w:val="auto"/>
          <w:szCs w:val="24"/>
        </w:rPr>
        <w:t>s</w:t>
      </w:r>
      <w:r w:rsidR="00F108A1" w:rsidRPr="00F108A1">
        <w:rPr>
          <w:color w:val="auto"/>
          <w:szCs w:val="24"/>
        </w:rPr>
        <w:t xml:space="preserve">ervice disability entitlements as those under which the DES operates. </w:t>
      </w:r>
      <w:r w:rsidR="00F108A1">
        <w:rPr>
          <w:color w:val="auto"/>
          <w:szCs w:val="24"/>
        </w:rPr>
        <w:t xml:space="preserve"> </w:t>
      </w:r>
      <w:r w:rsidR="00235FCA">
        <w:rPr>
          <w:color w:val="auto"/>
          <w:szCs w:val="24"/>
        </w:rPr>
        <w:t xml:space="preserve">The </w:t>
      </w:r>
      <w:r w:rsidR="00F108A1" w:rsidRPr="00F108A1">
        <w:rPr>
          <w:color w:val="auto"/>
          <w:szCs w:val="24"/>
        </w:rPr>
        <w:t>DES has neither the role nor the authority to compensate service members for anticipated future severity or potential complications of conditions resulting in medical separation.</w:t>
      </w:r>
      <w:r w:rsidR="00F108A1">
        <w:rPr>
          <w:color w:val="auto"/>
          <w:szCs w:val="24"/>
        </w:rPr>
        <w:t xml:space="preserve"> </w:t>
      </w:r>
      <w:r w:rsidR="00F108A1" w:rsidRPr="00F108A1">
        <w:rPr>
          <w:color w:val="auto"/>
          <w:szCs w:val="24"/>
        </w:rPr>
        <w:t xml:space="preserve"> That role and authority is granted by Congress to the Department of Veteran</w:t>
      </w:r>
      <w:r w:rsidR="00235FCA">
        <w:rPr>
          <w:color w:val="auto"/>
          <w:szCs w:val="24"/>
        </w:rPr>
        <w:t>s’</w:t>
      </w:r>
      <w:r w:rsidR="00F108A1" w:rsidRPr="00F108A1">
        <w:rPr>
          <w:color w:val="auto"/>
          <w:szCs w:val="24"/>
        </w:rPr>
        <w:t xml:space="preserve"> Affairs (DVA), operating under a different set of laws (Title 38, United States Code). </w:t>
      </w:r>
      <w:r w:rsidR="00F108A1">
        <w:rPr>
          <w:color w:val="auto"/>
          <w:szCs w:val="24"/>
        </w:rPr>
        <w:t xml:space="preserve"> </w:t>
      </w:r>
      <w:r w:rsidR="00F108A1" w:rsidRPr="00F108A1">
        <w:rPr>
          <w:color w:val="auto"/>
          <w:szCs w:val="24"/>
        </w:rPr>
        <w:t xml:space="preserve">The Board evaluates </w:t>
      </w:r>
      <w:r w:rsidR="00235FCA">
        <w:rPr>
          <w:color w:val="auto"/>
          <w:szCs w:val="24"/>
        </w:rPr>
        <w:t>D</w:t>
      </w:r>
      <w:r w:rsidR="00F108A1" w:rsidRPr="00F108A1">
        <w:rPr>
          <w:color w:val="auto"/>
          <w:szCs w:val="24"/>
        </w:rPr>
        <w:t>VA evidence proxima</w:t>
      </w:r>
      <w:r w:rsidR="00F108A1">
        <w:rPr>
          <w:color w:val="auto"/>
          <w:szCs w:val="24"/>
        </w:rPr>
        <w:t>te</w:t>
      </w:r>
      <w:r w:rsidR="00F108A1" w:rsidRPr="00F108A1">
        <w:rPr>
          <w:color w:val="auto"/>
          <w:szCs w:val="24"/>
        </w:rPr>
        <w:t xml:space="preserve"> to separation in arriving at its recommendations, but its authority resides</w:t>
      </w:r>
      <w:r w:rsidR="00235FCA">
        <w:rPr>
          <w:color w:val="auto"/>
          <w:szCs w:val="24"/>
        </w:rPr>
        <w:t xml:space="preserve"> in evaluating the fairness of </w:t>
      </w:r>
      <w:r w:rsidR="00F108A1" w:rsidRPr="00F108A1">
        <w:rPr>
          <w:color w:val="auto"/>
          <w:szCs w:val="24"/>
        </w:rPr>
        <w:t>DES fitness decisions and rating determinations for disability at the time of separation.</w:t>
      </w:r>
    </w:p>
    <w:p w:rsidR="00F108A1" w:rsidRPr="00F108A1" w:rsidRDefault="00F108A1" w:rsidP="00F108A1">
      <w:pPr>
        <w:spacing w:line="240" w:lineRule="exact"/>
        <w:jc w:val="both"/>
        <w:rPr>
          <w:rFonts w:asciiTheme="minorHAnsi" w:hAnsiTheme="minorHAnsi"/>
          <w:color w:val="auto"/>
          <w:szCs w:val="24"/>
        </w:rPr>
      </w:pPr>
    </w:p>
    <w:p w:rsidR="003F2EEE" w:rsidRDefault="003F3B17" w:rsidP="002B3B89">
      <w:pPr>
        <w:tabs>
          <w:tab w:val="left" w:pos="288"/>
          <w:tab w:val="left" w:pos="4752"/>
        </w:tabs>
        <w:spacing w:line="240" w:lineRule="exact"/>
        <w:jc w:val="both"/>
        <w:rPr>
          <w:rFonts w:asciiTheme="minorHAnsi" w:hAnsiTheme="minorHAnsi"/>
          <w:color w:val="auto"/>
          <w:szCs w:val="24"/>
        </w:rPr>
      </w:pPr>
      <w:proofErr w:type="gramStart"/>
      <w:r w:rsidRPr="00F108A1">
        <w:rPr>
          <w:rFonts w:asciiTheme="minorHAnsi" w:hAnsiTheme="minorHAnsi"/>
          <w:color w:val="auto"/>
          <w:szCs w:val="24"/>
          <w:u w:val="single"/>
        </w:rPr>
        <w:t>Low Back Pain Condition</w:t>
      </w:r>
      <w:r w:rsidRPr="000D3C81">
        <w:rPr>
          <w:rFonts w:asciiTheme="minorHAnsi" w:hAnsiTheme="minorHAnsi"/>
          <w:color w:val="auto"/>
          <w:szCs w:val="24"/>
        </w:rPr>
        <w:t>.</w:t>
      </w:r>
      <w:proofErr w:type="gramEnd"/>
      <w:r w:rsidR="00B70ACA" w:rsidRPr="00F108A1">
        <w:rPr>
          <w:rFonts w:asciiTheme="minorHAnsi" w:hAnsiTheme="minorHAnsi"/>
          <w:color w:val="auto"/>
          <w:szCs w:val="24"/>
        </w:rPr>
        <w:t xml:space="preserve">  There </w:t>
      </w:r>
      <w:r w:rsidR="0031690E" w:rsidRPr="00F108A1">
        <w:rPr>
          <w:rFonts w:asciiTheme="minorHAnsi" w:hAnsiTheme="minorHAnsi"/>
          <w:color w:val="auto"/>
          <w:szCs w:val="24"/>
        </w:rPr>
        <w:t xml:space="preserve">were </w:t>
      </w:r>
      <w:r w:rsidR="00E950B7">
        <w:rPr>
          <w:rFonts w:asciiTheme="minorHAnsi" w:hAnsiTheme="minorHAnsi"/>
          <w:color w:val="auto"/>
          <w:szCs w:val="24"/>
        </w:rPr>
        <w:t>four</w:t>
      </w:r>
      <w:r w:rsidR="0031690E" w:rsidRPr="00F108A1">
        <w:rPr>
          <w:rFonts w:asciiTheme="minorHAnsi" w:hAnsiTheme="minorHAnsi"/>
          <w:color w:val="auto"/>
          <w:szCs w:val="24"/>
        </w:rPr>
        <w:t xml:space="preserve"> thoracolumbar spine evaluations, including</w:t>
      </w:r>
      <w:r w:rsidR="00D55C9F" w:rsidRPr="00F108A1">
        <w:rPr>
          <w:rFonts w:asciiTheme="minorHAnsi" w:hAnsiTheme="minorHAnsi"/>
          <w:color w:val="auto"/>
          <w:szCs w:val="24"/>
        </w:rPr>
        <w:t xml:space="preserve"> one</w:t>
      </w:r>
      <w:r w:rsidR="00B70ACA" w:rsidRPr="00F108A1">
        <w:rPr>
          <w:rFonts w:asciiTheme="minorHAnsi" w:hAnsiTheme="minorHAnsi"/>
          <w:color w:val="auto"/>
          <w:szCs w:val="24"/>
        </w:rPr>
        <w:t xml:space="preserve"> goniometric range-of-motion (</w:t>
      </w:r>
      <w:r w:rsidR="00B70ACA" w:rsidRPr="00664296">
        <w:rPr>
          <w:rFonts w:asciiTheme="minorHAnsi" w:hAnsiTheme="minorHAnsi"/>
          <w:color w:val="auto"/>
          <w:szCs w:val="24"/>
        </w:rPr>
        <w:t>ROM) evaluation</w:t>
      </w:r>
      <w:r w:rsidR="0031690E">
        <w:rPr>
          <w:rFonts w:asciiTheme="minorHAnsi" w:hAnsiTheme="minorHAnsi"/>
          <w:color w:val="auto"/>
          <w:szCs w:val="24"/>
        </w:rPr>
        <w:t>,</w:t>
      </w:r>
      <w:r w:rsidR="00B70ACA" w:rsidRPr="00664296">
        <w:rPr>
          <w:rFonts w:asciiTheme="minorHAnsi" w:hAnsiTheme="minorHAnsi"/>
          <w:color w:val="auto"/>
          <w:szCs w:val="24"/>
        </w:rPr>
        <w:t xml:space="preserve"> in evidence which the Board</w:t>
      </w:r>
      <w:r w:rsidR="0031690E">
        <w:rPr>
          <w:rFonts w:asciiTheme="minorHAnsi" w:hAnsiTheme="minorHAnsi"/>
          <w:color w:val="auto"/>
          <w:szCs w:val="24"/>
        </w:rPr>
        <w:t xml:space="preserve"> </w:t>
      </w:r>
      <w:r w:rsidR="00B70ACA" w:rsidRPr="00664296">
        <w:rPr>
          <w:rFonts w:asciiTheme="minorHAnsi" w:hAnsiTheme="minorHAnsi"/>
          <w:color w:val="auto"/>
          <w:szCs w:val="24"/>
        </w:rPr>
        <w:t xml:space="preserve">weighed in arriving at its rating recommendation. </w:t>
      </w:r>
      <w:r w:rsidR="00AF7C4A">
        <w:rPr>
          <w:rFonts w:asciiTheme="minorHAnsi" w:hAnsiTheme="minorHAnsi"/>
          <w:color w:val="auto"/>
          <w:szCs w:val="24"/>
        </w:rPr>
        <w:t xml:space="preserve"> </w:t>
      </w:r>
      <w:r w:rsidR="00E950B7">
        <w:rPr>
          <w:rFonts w:asciiTheme="minorHAnsi" w:hAnsiTheme="minorHAnsi"/>
          <w:color w:val="auto"/>
          <w:szCs w:val="24"/>
        </w:rPr>
        <w:t>These</w:t>
      </w:r>
      <w:r w:rsidR="0031690E">
        <w:rPr>
          <w:rFonts w:asciiTheme="minorHAnsi" w:hAnsiTheme="minorHAnsi"/>
          <w:color w:val="auto"/>
          <w:szCs w:val="24"/>
        </w:rPr>
        <w:t xml:space="preserve"> evaluations are summarized in the below chart.  </w:t>
      </w:r>
    </w:p>
    <w:p w:rsidR="00D75B05" w:rsidRDefault="00D75B05" w:rsidP="002B3B89">
      <w:pPr>
        <w:tabs>
          <w:tab w:val="left" w:pos="288"/>
          <w:tab w:val="left" w:pos="4752"/>
        </w:tabs>
        <w:spacing w:line="240" w:lineRule="exact"/>
        <w:jc w:val="both"/>
        <w:rPr>
          <w:rFonts w:asciiTheme="minorHAnsi" w:hAnsiTheme="minorHAnsi"/>
          <w:color w:val="auto"/>
          <w:szCs w:val="24"/>
        </w:rPr>
      </w:pPr>
    </w:p>
    <w:tbl>
      <w:tblPr>
        <w:tblW w:w="9295" w:type="dxa"/>
        <w:jc w:val="center"/>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0"/>
        <w:gridCol w:w="1424"/>
        <w:gridCol w:w="1572"/>
        <w:gridCol w:w="1673"/>
        <w:gridCol w:w="1543"/>
        <w:gridCol w:w="1513"/>
      </w:tblGrid>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50B7" w:rsidRPr="00292034" w:rsidRDefault="00E950B7" w:rsidP="00E950B7">
            <w:pPr>
              <w:pStyle w:val="ListParagraph"/>
              <w:spacing w:after="0" w:line="240" w:lineRule="exact"/>
              <w:ind w:left="0"/>
              <w:rPr>
                <w:rFonts w:eastAsia="Calibri" w:cstheme="minorHAnsi"/>
                <w:b/>
                <w:color w:val="000000" w:themeColor="text1"/>
                <w:sz w:val="18"/>
                <w:szCs w:val="18"/>
              </w:rPr>
            </w:pPr>
            <w:r w:rsidRPr="00292034">
              <w:rPr>
                <w:rFonts w:eastAsia="Calibri" w:cstheme="minorHAnsi"/>
                <w:color w:val="000000" w:themeColor="text1"/>
                <w:sz w:val="18"/>
                <w:szCs w:val="18"/>
              </w:rPr>
              <w:t>Goniometric ROM - Thoracolumbar</w:t>
            </w:r>
          </w:p>
        </w:tc>
        <w:tc>
          <w:tcPr>
            <w:tcW w:w="1424" w:type="dxa"/>
            <w:tcBorders>
              <w:top w:val="single" w:sz="4" w:space="0" w:color="000000"/>
              <w:left w:val="single" w:sz="4" w:space="0" w:color="000000"/>
              <w:bottom w:val="single" w:sz="4" w:space="0" w:color="000000"/>
              <w:right w:val="single" w:sz="4" w:space="0" w:color="000000"/>
            </w:tcBorders>
            <w:shd w:val="pct15" w:color="auto" w:fill="auto"/>
          </w:tcPr>
          <w:p w:rsidR="00E950B7" w:rsidRPr="00292034" w:rsidRDefault="00E950B7" w:rsidP="00E950B7">
            <w:pPr>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STR ~10 Mo. Pre-Sep</w:t>
            </w:r>
          </w:p>
          <w:p w:rsidR="00E950B7" w:rsidRPr="00292034" w:rsidRDefault="00E950B7" w:rsidP="00E950B7">
            <w:pPr>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(20040921)</w:t>
            </w:r>
          </w:p>
        </w:tc>
        <w:tc>
          <w:tcPr>
            <w:tcW w:w="1572" w:type="dxa"/>
            <w:tcBorders>
              <w:top w:val="single" w:sz="4" w:space="0" w:color="000000"/>
              <w:left w:val="single" w:sz="4" w:space="0" w:color="000000"/>
              <w:bottom w:val="single" w:sz="4" w:space="0" w:color="000000"/>
              <w:right w:val="single" w:sz="4" w:space="0" w:color="000000"/>
            </w:tcBorders>
            <w:shd w:val="pct15" w:color="auto" w:fill="auto"/>
          </w:tcPr>
          <w:p w:rsidR="00E950B7" w:rsidRPr="00292034" w:rsidRDefault="00E950B7" w:rsidP="00E950B7">
            <w:pPr>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Pain Management ~6 Mo. Pre-Sep</w:t>
            </w:r>
          </w:p>
          <w:p w:rsidR="00E950B7" w:rsidRPr="00292034" w:rsidRDefault="00E950B7" w:rsidP="00E950B7">
            <w:pPr>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(20050105)</w:t>
            </w:r>
          </w:p>
        </w:tc>
        <w:tc>
          <w:tcPr>
            <w:tcW w:w="167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50B7" w:rsidRPr="00292034" w:rsidRDefault="00E950B7" w:rsidP="00E950B7">
            <w:pPr>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NARSUM ~ 4 Mo. Pre-Sep</w:t>
            </w:r>
          </w:p>
          <w:p w:rsidR="00E950B7" w:rsidRPr="00292034" w:rsidRDefault="00E950B7" w:rsidP="00E950B7">
            <w:pPr>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(20050313)</w:t>
            </w:r>
          </w:p>
        </w:tc>
        <w:tc>
          <w:tcPr>
            <w:tcW w:w="15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950B7" w:rsidRPr="00292034" w:rsidRDefault="00E950B7" w:rsidP="00E950B7">
            <w:pPr>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PT ~ 2 Mo. Pre-Sep</w:t>
            </w:r>
          </w:p>
          <w:p w:rsidR="00E950B7" w:rsidRPr="00292034" w:rsidRDefault="00E950B7" w:rsidP="00E950B7">
            <w:pPr>
              <w:contextualSpacing/>
              <w:jc w:val="center"/>
              <w:rPr>
                <w:rFonts w:asciiTheme="minorHAnsi" w:eastAsia="Calibri" w:hAnsiTheme="minorHAnsi"/>
                <w:i/>
                <w:color w:val="000000" w:themeColor="text1"/>
                <w:sz w:val="18"/>
                <w:szCs w:val="18"/>
              </w:rPr>
            </w:pPr>
            <w:r w:rsidRPr="00292034">
              <w:rPr>
                <w:rFonts w:asciiTheme="minorHAnsi" w:eastAsia="Calibri" w:hAnsiTheme="minorHAnsi"/>
                <w:color w:val="000000" w:themeColor="text1"/>
                <w:sz w:val="18"/>
                <w:szCs w:val="18"/>
              </w:rPr>
              <w:t>[VA-Rated]</w:t>
            </w:r>
            <w:r w:rsidRPr="00292034">
              <w:rPr>
                <w:rFonts w:asciiTheme="minorHAnsi" w:eastAsia="Calibri" w:hAnsiTheme="minorHAnsi"/>
                <w:i/>
                <w:color w:val="000000" w:themeColor="text1"/>
                <w:sz w:val="18"/>
                <w:szCs w:val="18"/>
              </w:rPr>
              <w:t xml:space="preserve"> (20050526)</w:t>
            </w:r>
          </w:p>
        </w:tc>
        <w:tc>
          <w:tcPr>
            <w:tcW w:w="1513" w:type="dxa"/>
            <w:tcBorders>
              <w:top w:val="single" w:sz="4" w:space="0" w:color="000000"/>
              <w:left w:val="single" w:sz="4" w:space="0" w:color="000000"/>
              <w:bottom w:val="single" w:sz="4" w:space="0" w:color="000000"/>
              <w:right w:val="single" w:sz="4" w:space="0" w:color="000000"/>
            </w:tcBorders>
            <w:shd w:val="pct15" w:color="auto" w:fill="auto"/>
            <w:vAlign w:val="center"/>
          </w:tcPr>
          <w:p w:rsidR="00E950B7" w:rsidRPr="00292034" w:rsidRDefault="00E950B7" w:rsidP="00A56C55">
            <w:pPr>
              <w:spacing w:line="200" w:lineRule="exact"/>
              <w:contextualSpacing/>
              <w:jc w:val="center"/>
              <w:rPr>
                <w:rFonts w:asciiTheme="minorHAnsi" w:eastAsia="Calibri" w:hAnsiTheme="minorHAnsi"/>
                <w:color w:val="auto"/>
                <w:sz w:val="20"/>
              </w:rPr>
            </w:pPr>
            <w:r w:rsidRPr="00292034">
              <w:rPr>
                <w:rFonts w:asciiTheme="minorHAnsi" w:eastAsia="Calibri" w:hAnsiTheme="minorHAnsi"/>
                <w:color w:val="auto"/>
                <w:sz w:val="20"/>
              </w:rPr>
              <w:t>VA C&amp;P ~ 29 Mo. Post-Sep</w:t>
            </w:r>
          </w:p>
          <w:p w:rsidR="00E950B7" w:rsidRPr="00292034" w:rsidRDefault="00E950B7" w:rsidP="00A56C55">
            <w:pPr>
              <w:spacing w:line="200" w:lineRule="exact"/>
              <w:contextualSpacing/>
              <w:jc w:val="center"/>
              <w:rPr>
                <w:rFonts w:asciiTheme="minorHAnsi" w:eastAsia="Calibri" w:hAnsiTheme="minorHAnsi"/>
                <w:i/>
                <w:color w:val="auto"/>
                <w:sz w:val="20"/>
              </w:rPr>
            </w:pPr>
            <w:r w:rsidRPr="00292034">
              <w:rPr>
                <w:rFonts w:asciiTheme="minorHAnsi" w:eastAsia="Calibri" w:hAnsiTheme="minorHAnsi"/>
                <w:i/>
                <w:color w:val="auto"/>
                <w:sz w:val="16"/>
              </w:rPr>
              <w:t>(20070124)</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r w:rsidRPr="00292034">
              <w:rPr>
                <w:rFonts w:eastAsia="Calibri" w:cstheme="minorHAnsi"/>
                <w:color w:val="000000" w:themeColor="text1"/>
                <w:sz w:val="18"/>
                <w:szCs w:val="18"/>
              </w:rPr>
              <w:t>Flex (0-90)</w:t>
            </w:r>
          </w:p>
        </w:tc>
        <w:tc>
          <w:tcPr>
            <w:tcW w:w="1424" w:type="dxa"/>
            <w:vMerge w:val="restart"/>
            <w:tcBorders>
              <w:top w:val="single" w:sz="4" w:space="0" w:color="000000"/>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w:t>
            </w:r>
            <w:r w:rsidRPr="00292034">
              <w:rPr>
                <w:rFonts w:asciiTheme="minorHAnsi" w:eastAsia="Calibri" w:hAnsiTheme="minorHAnsi" w:cstheme="minorHAnsi"/>
                <w:color w:val="000000" w:themeColor="text1"/>
                <w:sz w:val="18"/>
                <w:szCs w:val="18"/>
              </w:rPr>
              <w:t>↓</w:t>
            </w:r>
            <w:r w:rsidRPr="00292034">
              <w:rPr>
                <w:rFonts w:asciiTheme="minorHAnsi" w:eastAsia="Calibri" w:hAnsiTheme="minorHAnsi"/>
                <w:color w:val="000000" w:themeColor="text1"/>
                <w:sz w:val="18"/>
                <w:szCs w:val="18"/>
              </w:rPr>
              <w:t xml:space="preserve"> flexion but otherwise normal ROM”</w:t>
            </w:r>
          </w:p>
        </w:tc>
        <w:tc>
          <w:tcPr>
            <w:tcW w:w="1572" w:type="dxa"/>
            <w:vMerge w:val="restart"/>
            <w:tcBorders>
              <w:top w:val="single" w:sz="4" w:space="0" w:color="000000"/>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No ROMs reported</w:t>
            </w:r>
          </w:p>
        </w:tc>
        <w:tc>
          <w:tcPr>
            <w:tcW w:w="1673" w:type="dxa"/>
            <w:vMerge w:val="restart"/>
            <w:tcBorders>
              <w:top w:val="single" w:sz="4" w:space="0" w:color="000000"/>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No ROMs reported</w:t>
            </w: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(48⁰) 50⁰</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A56C55">
            <w:pPr>
              <w:spacing w:line="180" w:lineRule="exact"/>
              <w:contextualSpacing/>
              <w:jc w:val="center"/>
              <w:rPr>
                <w:rFonts w:asciiTheme="minorHAnsi" w:eastAsia="Calibri" w:hAnsiTheme="minorHAnsi"/>
                <w:color w:val="auto"/>
                <w:sz w:val="18"/>
                <w:szCs w:val="18"/>
              </w:rPr>
            </w:pPr>
            <w:r w:rsidRPr="00292034">
              <w:rPr>
                <w:rFonts w:asciiTheme="minorHAnsi" w:eastAsia="Calibri" w:hAnsiTheme="minorHAnsi"/>
                <w:color w:val="auto"/>
                <w:sz w:val="18"/>
                <w:szCs w:val="18"/>
              </w:rPr>
              <w:t>30⁰</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r w:rsidRPr="00292034">
              <w:rPr>
                <w:rFonts w:eastAsia="Calibri" w:cstheme="minorHAnsi"/>
                <w:color w:val="000000" w:themeColor="text1"/>
                <w:sz w:val="18"/>
                <w:szCs w:val="18"/>
              </w:rPr>
              <w:t>Ext (0-30)</w:t>
            </w:r>
          </w:p>
        </w:tc>
        <w:tc>
          <w:tcPr>
            <w:tcW w:w="1424"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72"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673" w:type="dxa"/>
            <w:vMerge/>
            <w:tcBorders>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20⁰</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A56C55">
            <w:pPr>
              <w:spacing w:line="180" w:lineRule="exact"/>
              <w:contextualSpacing/>
              <w:jc w:val="center"/>
              <w:rPr>
                <w:rFonts w:asciiTheme="minorHAnsi" w:eastAsia="Calibri" w:hAnsiTheme="minorHAnsi"/>
                <w:color w:val="auto"/>
                <w:sz w:val="18"/>
                <w:szCs w:val="18"/>
              </w:rPr>
            </w:pPr>
            <w:r w:rsidRPr="00292034">
              <w:rPr>
                <w:rFonts w:asciiTheme="minorHAnsi" w:eastAsia="Calibri" w:hAnsiTheme="minorHAnsi"/>
                <w:color w:val="auto"/>
                <w:sz w:val="18"/>
                <w:szCs w:val="18"/>
              </w:rPr>
              <w:t>10⁰</w:t>
            </w:r>
          </w:p>
        </w:tc>
      </w:tr>
      <w:tr w:rsidR="00E950B7" w:rsidRPr="001F29F9" w:rsidTr="00E950B7">
        <w:trPr>
          <w:trHeight w:val="188"/>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r w:rsidRPr="00292034">
              <w:rPr>
                <w:rFonts w:eastAsia="Calibri" w:cstheme="minorHAnsi"/>
                <w:color w:val="000000" w:themeColor="text1"/>
                <w:sz w:val="18"/>
                <w:szCs w:val="18"/>
              </w:rPr>
              <w:t>R Lat Flex (0-30)</w:t>
            </w:r>
          </w:p>
        </w:tc>
        <w:tc>
          <w:tcPr>
            <w:tcW w:w="1424"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72"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673" w:type="dxa"/>
            <w:vMerge/>
            <w:tcBorders>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20⁰</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A56C55">
            <w:pPr>
              <w:spacing w:line="180" w:lineRule="exact"/>
              <w:contextualSpacing/>
              <w:jc w:val="center"/>
              <w:rPr>
                <w:rFonts w:asciiTheme="minorHAnsi" w:eastAsia="Calibri" w:hAnsiTheme="minorHAnsi"/>
                <w:color w:val="auto"/>
                <w:sz w:val="18"/>
                <w:szCs w:val="18"/>
              </w:rPr>
            </w:pPr>
            <w:r w:rsidRPr="00292034">
              <w:rPr>
                <w:rFonts w:asciiTheme="minorHAnsi" w:eastAsia="Calibri" w:hAnsiTheme="minorHAnsi"/>
                <w:color w:val="auto"/>
                <w:sz w:val="18"/>
                <w:szCs w:val="18"/>
              </w:rPr>
              <w:t>30⁰</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r w:rsidRPr="00292034">
              <w:rPr>
                <w:rFonts w:eastAsia="Calibri" w:cstheme="minorHAnsi"/>
                <w:color w:val="000000" w:themeColor="text1"/>
                <w:sz w:val="18"/>
                <w:szCs w:val="18"/>
              </w:rPr>
              <w:t>L Lat Flex 0-30)</w:t>
            </w:r>
          </w:p>
        </w:tc>
        <w:tc>
          <w:tcPr>
            <w:tcW w:w="1424"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72"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673" w:type="dxa"/>
            <w:vMerge/>
            <w:tcBorders>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(22⁰) 20⁰</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A56C55">
            <w:pPr>
              <w:spacing w:line="180" w:lineRule="exact"/>
              <w:contextualSpacing/>
              <w:jc w:val="center"/>
              <w:rPr>
                <w:rFonts w:asciiTheme="minorHAnsi" w:eastAsia="Calibri" w:hAnsiTheme="minorHAnsi"/>
                <w:color w:val="auto"/>
                <w:sz w:val="18"/>
                <w:szCs w:val="18"/>
              </w:rPr>
            </w:pPr>
            <w:r w:rsidRPr="00292034">
              <w:rPr>
                <w:rFonts w:asciiTheme="minorHAnsi" w:eastAsia="Calibri" w:hAnsiTheme="minorHAnsi"/>
                <w:color w:val="auto"/>
                <w:sz w:val="18"/>
                <w:szCs w:val="18"/>
              </w:rPr>
              <w:t>30⁰</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r w:rsidRPr="00292034">
              <w:rPr>
                <w:rFonts w:eastAsia="Calibri" w:cstheme="minorHAnsi"/>
                <w:color w:val="000000" w:themeColor="text1"/>
                <w:sz w:val="18"/>
                <w:szCs w:val="18"/>
              </w:rPr>
              <w:t>R Rotation (0-30)</w:t>
            </w:r>
          </w:p>
        </w:tc>
        <w:tc>
          <w:tcPr>
            <w:tcW w:w="1424"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72"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673" w:type="dxa"/>
            <w:vMerge/>
            <w:tcBorders>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(48⁰) 30⁰</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A56C55">
            <w:pPr>
              <w:spacing w:line="180" w:lineRule="exact"/>
              <w:contextualSpacing/>
              <w:jc w:val="center"/>
              <w:rPr>
                <w:rFonts w:asciiTheme="minorHAnsi" w:eastAsia="Calibri" w:hAnsiTheme="minorHAnsi"/>
                <w:color w:val="auto"/>
                <w:sz w:val="18"/>
                <w:szCs w:val="18"/>
              </w:rPr>
            </w:pPr>
            <w:r w:rsidRPr="00292034">
              <w:rPr>
                <w:rFonts w:asciiTheme="minorHAnsi" w:eastAsia="Calibri" w:hAnsiTheme="minorHAnsi"/>
                <w:color w:val="auto"/>
                <w:sz w:val="18"/>
                <w:szCs w:val="18"/>
              </w:rPr>
              <w:t>(40) 30⁰</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r w:rsidRPr="00292034">
              <w:rPr>
                <w:rFonts w:eastAsia="Calibri" w:cstheme="minorHAnsi"/>
                <w:color w:val="000000" w:themeColor="text1"/>
                <w:sz w:val="18"/>
                <w:szCs w:val="18"/>
              </w:rPr>
              <w:t>L Rotation (0-30)</w:t>
            </w:r>
          </w:p>
        </w:tc>
        <w:tc>
          <w:tcPr>
            <w:tcW w:w="1424"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72" w:type="dxa"/>
            <w:vMerge/>
            <w:tcBorders>
              <w:left w:val="single" w:sz="4" w:space="0" w:color="000000"/>
              <w:right w:val="single" w:sz="4" w:space="0" w:color="000000"/>
            </w:tcBorders>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673" w:type="dxa"/>
            <w:vMerge/>
            <w:tcBorders>
              <w:left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spacing w:line="180" w:lineRule="exact"/>
              <w:contextualSpacing/>
              <w:jc w:val="center"/>
              <w:rPr>
                <w:rFonts w:asciiTheme="minorHAnsi" w:eastAsia="Calibri" w:hAnsiTheme="minorHAnsi"/>
                <w:color w:val="000000" w:themeColor="text1"/>
                <w:sz w:val="18"/>
                <w:szCs w:val="18"/>
              </w:rPr>
            </w:pPr>
            <w:r w:rsidRPr="00292034">
              <w:rPr>
                <w:rFonts w:asciiTheme="minorHAnsi" w:eastAsia="Calibri" w:hAnsiTheme="minorHAnsi"/>
                <w:color w:val="000000" w:themeColor="text1"/>
                <w:sz w:val="18"/>
                <w:szCs w:val="18"/>
              </w:rPr>
              <w:t>(40⁰) 30⁰</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A56C55">
            <w:pPr>
              <w:spacing w:line="180" w:lineRule="exact"/>
              <w:contextualSpacing/>
              <w:jc w:val="center"/>
              <w:rPr>
                <w:rFonts w:asciiTheme="minorHAnsi" w:eastAsia="Calibri" w:hAnsiTheme="minorHAnsi"/>
                <w:color w:val="auto"/>
                <w:sz w:val="18"/>
                <w:szCs w:val="18"/>
              </w:rPr>
            </w:pPr>
            <w:r w:rsidRPr="00292034">
              <w:rPr>
                <w:rFonts w:asciiTheme="minorHAnsi" w:eastAsia="Calibri" w:hAnsiTheme="minorHAnsi"/>
                <w:color w:val="auto"/>
                <w:sz w:val="18"/>
                <w:szCs w:val="18"/>
              </w:rPr>
              <w:t>(40) 30⁰</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r w:rsidRPr="00292034">
              <w:rPr>
                <w:rFonts w:eastAsia="Calibri" w:cstheme="minorHAnsi"/>
                <w:color w:val="000000" w:themeColor="text1"/>
                <w:sz w:val="18"/>
                <w:szCs w:val="18"/>
              </w:rPr>
              <w:t>COMBINED (240)</w:t>
            </w:r>
          </w:p>
        </w:tc>
        <w:tc>
          <w:tcPr>
            <w:tcW w:w="1424" w:type="dxa"/>
            <w:vMerge/>
            <w:tcBorders>
              <w:left w:val="single" w:sz="4" w:space="0" w:color="000000"/>
              <w:bottom w:val="single" w:sz="4" w:space="0" w:color="000000"/>
              <w:right w:val="single" w:sz="4" w:space="0" w:color="000000"/>
            </w:tcBorders>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p>
        </w:tc>
        <w:tc>
          <w:tcPr>
            <w:tcW w:w="1572" w:type="dxa"/>
            <w:vMerge/>
            <w:tcBorders>
              <w:left w:val="single" w:sz="4" w:space="0" w:color="000000"/>
              <w:bottom w:val="single" w:sz="4" w:space="0" w:color="000000"/>
              <w:right w:val="single" w:sz="4" w:space="0" w:color="000000"/>
            </w:tcBorders>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p>
        </w:tc>
        <w:tc>
          <w:tcPr>
            <w:tcW w:w="1673" w:type="dxa"/>
            <w:vMerge/>
            <w:tcBorders>
              <w:left w:val="single" w:sz="4" w:space="0" w:color="000000"/>
              <w:bottom w:val="single" w:sz="4" w:space="0" w:color="000000"/>
              <w:right w:val="single" w:sz="4" w:space="0" w:color="000000"/>
            </w:tcBorders>
            <w:vAlign w:val="center"/>
          </w:tcPr>
          <w:p w:rsidR="00E950B7" w:rsidRPr="00292034" w:rsidRDefault="00E950B7" w:rsidP="00E950B7">
            <w:pPr>
              <w:pStyle w:val="ListParagraph"/>
              <w:spacing w:after="0" w:line="180" w:lineRule="exact"/>
              <w:ind w:left="0"/>
              <w:jc w:val="center"/>
              <w:rPr>
                <w:rFonts w:eastAsia="Calibri" w:cstheme="minorHAnsi"/>
                <w:color w:val="000000" w:themeColor="text1"/>
                <w:sz w:val="18"/>
                <w:szCs w:val="18"/>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spacing w:line="180" w:lineRule="exact"/>
              <w:jc w:val="center"/>
              <w:rPr>
                <w:rFonts w:asciiTheme="minorHAnsi" w:hAnsiTheme="minorHAnsi"/>
                <w:color w:val="000000" w:themeColor="text1"/>
                <w:sz w:val="18"/>
                <w:szCs w:val="18"/>
              </w:rPr>
            </w:pPr>
            <w:r w:rsidRPr="00292034">
              <w:rPr>
                <w:rFonts w:asciiTheme="minorHAnsi" w:eastAsia="Calibri" w:hAnsiTheme="minorHAnsi"/>
                <w:color w:val="000000" w:themeColor="text1"/>
                <w:sz w:val="18"/>
                <w:szCs w:val="18"/>
              </w:rPr>
              <w:t>170⁰</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A56C55">
            <w:pPr>
              <w:spacing w:line="180" w:lineRule="exact"/>
              <w:jc w:val="center"/>
              <w:rPr>
                <w:rFonts w:asciiTheme="minorHAnsi" w:hAnsiTheme="minorHAnsi"/>
                <w:color w:val="auto"/>
                <w:sz w:val="18"/>
                <w:szCs w:val="18"/>
              </w:rPr>
            </w:pPr>
            <w:r w:rsidRPr="00292034">
              <w:rPr>
                <w:rFonts w:asciiTheme="minorHAnsi" w:eastAsia="Calibri" w:hAnsiTheme="minorHAnsi"/>
                <w:color w:val="auto"/>
                <w:sz w:val="18"/>
                <w:szCs w:val="18"/>
              </w:rPr>
              <w:t>160⁰</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vAlign w:val="center"/>
            <w:hideMark/>
          </w:tcPr>
          <w:p w:rsidR="00E950B7" w:rsidRPr="00292034" w:rsidRDefault="00E950B7" w:rsidP="00E950B7">
            <w:pPr>
              <w:pStyle w:val="ListParagraph"/>
              <w:spacing w:after="0" w:line="180" w:lineRule="exact"/>
              <w:ind w:left="0"/>
              <w:rPr>
                <w:rFonts w:eastAsia="Calibri" w:cstheme="minorHAnsi"/>
                <w:color w:val="000000" w:themeColor="text1"/>
                <w:sz w:val="18"/>
                <w:szCs w:val="18"/>
              </w:rPr>
            </w:pPr>
            <w:r w:rsidRPr="00292034">
              <w:rPr>
                <w:rFonts w:eastAsia="Calibri" w:cstheme="minorHAnsi"/>
                <w:color w:val="000000" w:themeColor="text1"/>
                <w:sz w:val="18"/>
                <w:szCs w:val="18"/>
              </w:rPr>
              <w:t>Comment</w:t>
            </w:r>
          </w:p>
        </w:tc>
        <w:tc>
          <w:tcPr>
            <w:tcW w:w="1424"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tabs>
                <w:tab w:val="left" w:pos="288"/>
                <w:tab w:val="left" w:pos="4752"/>
              </w:tabs>
              <w:spacing w:line="180" w:lineRule="exact"/>
              <w:rPr>
                <w:rFonts w:asciiTheme="minorHAnsi" w:eastAsiaTheme="minorHAnsi" w:hAnsiTheme="minorHAnsi"/>
                <w:color w:val="000000" w:themeColor="text1"/>
                <w:sz w:val="18"/>
                <w:szCs w:val="18"/>
              </w:rPr>
            </w:pPr>
            <w:r w:rsidRPr="00292034">
              <w:rPr>
                <w:rFonts w:asciiTheme="minorHAnsi" w:eastAsiaTheme="minorHAnsi" w:hAnsiTheme="minorHAnsi"/>
                <w:color w:val="000000" w:themeColor="text1"/>
                <w:sz w:val="18"/>
                <w:szCs w:val="18"/>
              </w:rPr>
              <w:t xml:space="preserve">Mod lumbar muscle rigidity, normal gait, </w:t>
            </w:r>
            <w:proofErr w:type="spellStart"/>
            <w:r w:rsidRPr="00292034">
              <w:rPr>
                <w:rFonts w:asciiTheme="minorHAnsi" w:eastAsiaTheme="minorHAnsi" w:hAnsiTheme="minorHAnsi"/>
                <w:color w:val="000000" w:themeColor="text1"/>
                <w:sz w:val="18"/>
                <w:szCs w:val="18"/>
              </w:rPr>
              <w:t>neg</w:t>
            </w:r>
            <w:proofErr w:type="spellEnd"/>
            <w:r w:rsidRPr="00292034">
              <w:rPr>
                <w:rFonts w:asciiTheme="minorHAnsi" w:eastAsiaTheme="minorHAnsi" w:hAnsiTheme="minorHAnsi"/>
                <w:color w:val="000000" w:themeColor="text1"/>
                <w:sz w:val="18"/>
                <w:szCs w:val="18"/>
              </w:rPr>
              <w:t xml:space="preserve"> SLR </w:t>
            </w:r>
            <w:proofErr w:type="spellStart"/>
            <w:r w:rsidRPr="00292034">
              <w:rPr>
                <w:rFonts w:asciiTheme="minorHAnsi" w:eastAsiaTheme="minorHAnsi" w:hAnsiTheme="minorHAnsi"/>
                <w:color w:val="000000" w:themeColor="text1"/>
                <w:sz w:val="18"/>
                <w:szCs w:val="18"/>
              </w:rPr>
              <w:t>bilat</w:t>
            </w:r>
            <w:proofErr w:type="spellEnd"/>
            <w:r w:rsidRPr="00292034">
              <w:rPr>
                <w:rFonts w:asciiTheme="minorHAnsi" w:eastAsiaTheme="minorHAnsi" w:hAnsiTheme="minorHAnsi"/>
                <w:color w:val="000000" w:themeColor="text1"/>
                <w:sz w:val="18"/>
                <w:szCs w:val="18"/>
              </w:rPr>
              <w:t>, normal reflexes, no wasting</w:t>
            </w:r>
          </w:p>
        </w:tc>
        <w:tc>
          <w:tcPr>
            <w:tcW w:w="1572"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tabs>
                <w:tab w:val="left" w:pos="288"/>
                <w:tab w:val="left" w:pos="4752"/>
              </w:tabs>
              <w:spacing w:line="180" w:lineRule="exact"/>
              <w:rPr>
                <w:rFonts w:asciiTheme="minorHAnsi" w:eastAsiaTheme="minorHAnsi" w:hAnsiTheme="minorHAnsi"/>
                <w:color w:val="000000" w:themeColor="text1"/>
                <w:sz w:val="18"/>
                <w:szCs w:val="18"/>
              </w:rPr>
            </w:pPr>
            <w:r w:rsidRPr="00292034">
              <w:rPr>
                <w:rFonts w:asciiTheme="minorHAnsi" w:eastAsiaTheme="minorHAnsi" w:hAnsiTheme="minorHAnsi"/>
                <w:color w:val="000000" w:themeColor="text1"/>
                <w:sz w:val="18"/>
                <w:szCs w:val="18"/>
              </w:rPr>
              <w:t xml:space="preserve">TTP at L4-L5 and L5-S1 (worse w/ flexion &amp; extension), </w:t>
            </w:r>
            <w:proofErr w:type="spellStart"/>
            <w:r w:rsidRPr="00292034">
              <w:rPr>
                <w:rFonts w:asciiTheme="minorHAnsi" w:eastAsiaTheme="minorHAnsi" w:hAnsiTheme="minorHAnsi"/>
                <w:color w:val="000000" w:themeColor="text1"/>
                <w:sz w:val="18"/>
                <w:szCs w:val="18"/>
              </w:rPr>
              <w:t>neg</w:t>
            </w:r>
            <w:proofErr w:type="spellEnd"/>
            <w:r w:rsidRPr="00292034">
              <w:rPr>
                <w:rFonts w:asciiTheme="minorHAnsi" w:eastAsiaTheme="minorHAnsi" w:hAnsiTheme="minorHAnsi"/>
                <w:color w:val="000000" w:themeColor="text1"/>
                <w:sz w:val="18"/>
                <w:szCs w:val="18"/>
              </w:rPr>
              <w:t xml:space="preserve"> SLR, no radicular symptoms, </w:t>
            </w:r>
            <w:proofErr w:type="spellStart"/>
            <w:r w:rsidRPr="00292034">
              <w:rPr>
                <w:rFonts w:asciiTheme="minorHAnsi" w:eastAsiaTheme="minorHAnsi" w:hAnsiTheme="minorHAnsi"/>
                <w:color w:val="000000" w:themeColor="text1"/>
                <w:sz w:val="18"/>
                <w:szCs w:val="18"/>
              </w:rPr>
              <w:t>neuro</w:t>
            </w:r>
            <w:proofErr w:type="spellEnd"/>
            <w:r w:rsidRPr="00292034">
              <w:rPr>
                <w:rFonts w:asciiTheme="minorHAnsi" w:eastAsiaTheme="minorHAnsi" w:hAnsiTheme="minorHAnsi"/>
                <w:color w:val="000000" w:themeColor="text1"/>
                <w:sz w:val="18"/>
                <w:szCs w:val="18"/>
              </w:rPr>
              <w:t xml:space="preserve"> normal, heel- and toe-walk normal</w:t>
            </w:r>
          </w:p>
        </w:tc>
        <w:tc>
          <w:tcPr>
            <w:tcW w:w="167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tabs>
                <w:tab w:val="left" w:pos="288"/>
                <w:tab w:val="left" w:pos="4752"/>
              </w:tabs>
              <w:spacing w:line="180" w:lineRule="exact"/>
              <w:rPr>
                <w:rFonts w:asciiTheme="minorHAnsi" w:eastAsiaTheme="minorHAnsi" w:hAnsiTheme="minorHAnsi"/>
                <w:color w:val="000000" w:themeColor="text1"/>
                <w:sz w:val="18"/>
                <w:szCs w:val="18"/>
              </w:rPr>
            </w:pPr>
            <w:r w:rsidRPr="00292034">
              <w:rPr>
                <w:rFonts w:asciiTheme="minorHAnsi" w:eastAsiaTheme="minorHAnsi" w:hAnsiTheme="minorHAnsi"/>
                <w:color w:val="000000" w:themeColor="text1"/>
                <w:sz w:val="18"/>
                <w:szCs w:val="18"/>
              </w:rPr>
              <w:t>Walks with a cane, requires daily narcotics, difficulty sitting/walking, difficulty driving/sleeping</w:t>
            </w: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tabs>
                <w:tab w:val="left" w:pos="288"/>
                <w:tab w:val="left" w:pos="4752"/>
              </w:tabs>
              <w:spacing w:line="180" w:lineRule="exact"/>
              <w:rPr>
                <w:rFonts w:asciiTheme="minorHAnsi" w:eastAsiaTheme="minorHAnsi" w:hAnsiTheme="minorHAnsi"/>
                <w:color w:val="000000" w:themeColor="text1"/>
                <w:sz w:val="18"/>
                <w:szCs w:val="18"/>
              </w:rPr>
            </w:pPr>
            <w:r w:rsidRPr="00292034">
              <w:rPr>
                <w:rFonts w:asciiTheme="minorHAnsi" w:eastAsiaTheme="minorHAnsi" w:hAnsiTheme="minorHAnsi"/>
                <w:color w:val="000000" w:themeColor="text1"/>
                <w:sz w:val="18"/>
                <w:szCs w:val="18"/>
              </w:rPr>
              <w:t>Lower extremity strength normal, +SLR at 60, +Waddell’s x4</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292034" w:rsidRDefault="00E950B7" w:rsidP="00E950B7">
            <w:pPr>
              <w:tabs>
                <w:tab w:val="left" w:pos="288"/>
                <w:tab w:val="left" w:pos="4752"/>
              </w:tabs>
              <w:spacing w:line="180" w:lineRule="exact"/>
              <w:rPr>
                <w:rFonts w:asciiTheme="minorHAnsi" w:eastAsiaTheme="minorHAnsi" w:hAnsiTheme="minorHAnsi"/>
                <w:color w:val="auto"/>
                <w:sz w:val="18"/>
                <w:szCs w:val="18"/>
              </w:rPr>
            </w:pPr>
            <w:r w:rsidRPr="00292034">
              <w:rPr>
                <w:rFonts w:asciiTheme="minorHAnsi" w:eastAsiaTheme="minorHAnsi" w:hAnsiTheme="minorHAnsi"/>
                <w:color w:val="auto"/>
                <w:sz w:val="18"/>
                <w:szCs w:val="18"/>
              </w:rPr>
              <w:t xml:space="preserve">Pain-limited motion; normal muscle tone &amp; gait; can walk on heels and toes; lumbar curve normal; reflexes normal; </w:t>
            </w:r>
            <w:proofErr w:type="spellStart"/>
            <w:r w:rsidRPr="00292034">
              <w:rPr>
                <w:rFonts w:asciiTheme="minorHAnsi" w:eastAsiaTheme="minorHAnsi" w:hAnsiTheme="minorHAnsi"/>
                <w:color w:val="auto"/>
                <w:sz w:val="18"/>
                <w:szCs w:val="18"/>
              </w:rPr>
              <w:t>Hx</w:t>
            </w:r>
            <w:proofErr w:type="spellEnd"/>
            <w:r w:rsidRPr="00292034">
              <w:rPr>
                <w:rFonts w:asciiTheme="minorHAnsi" w:eastAsiaTheme="minorHAnsi" w:hAnsiTheme="minorHAnsi"/>
                <w:color w:val="auto"/>
                <w:sz w:val="18"/>
                <w:szCs w:val="18"/>
              </w:rPr>
              <w:t xml:space="preserve"> – uses cane, unemployed</w:t>
            </w:r>
          </w:p>
        </w:tc>
      </w:tr>
      <w:tr w:rsidR="00E950B7" w:rsidRPr="001F29F9" w:rsidTr="00E950B7">
        <w:trPr>
          <w:jc w:val="center"/>
        </w:trPr>
        <w:tc>
          <w:tcPr>
            <w:tcW w:w="1570" w:type="dxa"/>
            <w:tcBorders>
              <w:top w:val="single" w:sz="4" w:space="0" w:color="000000"/>
              <w:left w:val="single" w:sz="4" w:space="0" w:color="000000"/>
              <w:bottom w:val="single" w:sz="4" w:space="0" w:color="000000"/>
              <w:right w:val="single" w:sz="4" w:space="0" w:color="000000"/>
            </w:tcBorders>
            <w:hideMark/>
          </w:tcPr>
          <w:p w:rsidR="00E950B7" w:rsidRPr="001F29F9" w:rsidRDefault="00E950B7" w:rsidP="00E950B7">
            <w:pPr>
              <w:pStyle w:val="ListParagraph"/>
              <w:spacing w:after="0" w:line="180" w:lineRule="exact"/>
              <w:ind w:left="0"/>
              <w:jc w:val="center"/>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1424" w:type="dxa"/>
            <w:tcBorders>
              <w:top w:val="single" w:sz="4" w:space="0" w:color="000000"/>
              <w:left w:val="single" w:sz="4" w:space="0" w:color="000000"/>
              <w:bottom w:val="single" w:sz="4" w:space="0" w:color="000000"/>
              <w:right w:val="single" w:sz="4" w:space="0" w:color="000000"/>
            </w:tcBorders>
          </w:tcPr>
          <w:p w:rsidR="00E950B7" w:rsidRPr="00E950B7" w:rsidRDefault="00E950B7" w:rsidP="00E950B7">
            <w:pPr>
              <w:tabs>
                <w:tab w:val="left" w:pos="288"/>
                <w:tab w:val="left" w:pos="4752"/>
              </w:tabs>
              <w:spacing w:line="180" w:lineRule="exact"/>
              <w:jc w:val="center"/>
              <w:rPr>
                <w:rFonts w:asciiTheme="minorHAnsi" w:eastAsiaTheme="minorHAnsi" w:hAnsiTheme="minorHAnsi"/>
                <w:color w:val="000000" w:themeColor="text1"/>
                <w:sz w:val="18"/>
                <w:szCs w:val="18"/>
              </w:rPr>
            </w:pPr>
            <w:r w:rsidRPr="00E950B7">
              <w:rPr>
                <w:rFonts w:asciiTheme="minorHAnsi" w:eastAsiaTheme="minorHAnsi" w:hAnsiTheme="minorHAnsi"/>
                <w:color w:val="000000" w:themeColor="text1"/>
                <w:sz w:val="18"/>
                <w:szCs w:val="18"/>
              </w:rPr>
              <w:t>20%</w:t>
            </w:r>
          </w:p>
        </w:tc>
        <w:tc>
          <w:tcPr>
            <w:tcW w:w="1572" w:type="dxa"/>
            <w:tcBorders>
              <w:top w:val="single" w:sz="4" w:space="0" w:color="000000"/>
              <w:left w:val="single" w:sz="4" w:space="0" w:color="000000"/>
              <w:bottom w:val="single" w:sz="4" w:space="0" w:color="000000"/>
              <w:right w:val="single" w:sz="4" w:space="0" w:color="000000"/>
            </w:tcBorders>
          </w:tcPr>
          <w:p w:rsidR="00E950B7" w:rsidRPr="001F29F9" w:rsidRDefault="00E950B7" w:rsidP="00E950B7">
            <w:pPr>
              <w:tabs>
                <w:tab w:val="left" w:pos="288"/>
                <w:tab w:val="left" w:pos="4752"/>
              </w:tabs>
              <w:spacing w:line="180" w:lineRule="exact"/>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c>
          <w:tcPr>
            <w:tcW w:w="1673" w:type="dxa"/>
            <w:tcBorders>
              <w:top w:val="single" w:sz="4" w:space="0" w:color="000000"/>
              <w:left w:val="single" w:sz="4" w:space="0" w:color="000000"/>
              <w:bottom w:val="single" w:sz="4" w:space="0" w:color="000000"/>
              <w:right w:val="single" w:sz="4" w:space="0" w:color="000000"/>
            </w:tcBorders>
            <w:vAlign w:val="center"/>
          </w:tcPr>
          <w:p w:rsidR="00E950B7" w:rsidRPr="001F29F9" w:rsidRDefault="00E950B7" w:rsidP="00E950B7">
            <w:pPr>
              <w:tabs>
                <w:tab w:val="left" w:pos="288"/>
                <w:tab w:val="left" w:pos="4752"/>
              </w:tabs>
              <w:spacing w:line="180" w:lineRule="exact"/>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(PEB 20%)</w:t>
            </w:r>
          </w:p>
        </w:tc>
        <w:tc>
          <w:tcPr>
            <w:tcW w:w="1543" w:type="dxa"/>
            <w:tcBorders>
              <w:top w:val="single" w:sz="4" w:space="0" w:color="000000"/>
              <w:left w:val="single" w:sz="4" w:space="0" w:color="000000"/>
              <w:bottom w:val="single" w:sz="4" w:space="0" w:color="000000"/>
              <w:right w:val="single" w:sz="4" w:space="0" w:color="000000"/>
            </w:tcBorders>
            <w:vAlign w:val="center"/>
          </w:tcPr>
          <w:p w:rsidR="00E950B7" w:rsidRPr="001F29F9" w:rsidRDefault="00E950B7" w:rsidP="00E950B7">
            <w:pPr>
              <w:tabs>
                <w:tab w:val="left" w:pos="288"/>
                <w:tab w:val="left" w:pos="4752"/>
              </w:tabs>
              <w:spacing w:line="180" w:lineRule="exact"/>
              <w:jc w:val="center"/>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r w:rsidRPr="001F29F9">
              <w:rPr>
                <w:rFonts w:asciiTheme="minorHAnsi" w:eastAsiaTheme="minorHAnsi" w:hAnsiTheme="minorHAnsi"/>
                <w:color w:val="000000" w:themeColor="text1"/>
                <w:sz w:val="18"/>
                <w:szCs w:val="18"/>
              </w:rPr>
              <w:t>%</w:t>
            </w:r>
          </w:p>
        </w:tc>
        <w:tc>
          <w:tcPr>
            <w:tcW w:w="1513" w:type="dxa"/>
            <w:tcBorders>
              <w:top w:val="single" w:sz="4" w:space="0" w:color="000000"/>
              <w:left w:val="single" w:sz="4" w:space="0" w:color="000000"/>
              <w:bottom w:val="single" w:sz="4" w:space="0" w:color="000000"/>
              <w:right w:val="single" w:sz="4" w:space="0" w:color="000000"/>
            </w:tcBorders>
            <w:vAlign w:val="center"/>
          </w:tcPr>
          <w:p w:rsidR="00E950B7" w:rsidRPr="00E950B7" w:rsidRDefault="00E950B7" w:rsidP="00A56C55">
            <w:pPr>
              <w:tabs>
                <w:tab w:val="left" w:pos="288"/>
                <w:tab w:val="left" w:pos="4752"/>
              </w:tabs>
              <w:spacing w:line="180" w:lineRule="exact"/>
              <w:jc w:val="center"/>
              <w:rPr>
                <w:rFonts w:asciiTheme="minorHAnsi" w:eastAsiaTheme="minorHAnsi" w:hAnsiTheme="minorHAnsi"/>
                <w:color w:val="auto"/>
                <w:sz w:val="18"/>
                <w:szCs w:val="18"/>
              </w:rPr>
            </w:pPr>
            <w:r w:rsidRPr="00E950B7">
              <w:rPr>
                <w:rFonts w:asciiTheme="minorHAnsi" w:eastAsiaTheme="minorHAnsi" w:hAnsiTheme="minorHAnsi"/>
                <w:color w:val="auto"/>
                <w:sz w:val="18"/>
                <w:szCs w:val="18"/>
              </w:rPr>
              <w:t>40%</w:t>
            </w:r>
          </w:p>
        </w:tc>
      </w:tr>
    </w:tbl>
    <w:p w:rsidR="00DA3A82" w:rsidRPr="001F29F9" w:rsidRDefault="00DA3A82" w:rsidP="00D75B05">
      <w:pPr>
        <w:rPr>
          <w:rFonts w:asciiTheme="minorHAnsi" w:eastAsiaTheme="minorHAnsi" w:hAnsiTheme="minorHAnsi"/>
          <w:color w:val="000000" w:themeColor="text1"/>
          <w:szCs w:val="24"/>
        </w:rPr>
      </w:pPr>
    </w:p>
    <w:p w:rsidR="00E950B7" w:rsidRDefault="0031690E" w:rsidP="0031690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An outpatient note in the </w:t>
      </w:r>
      <w:r w:rsidR="00235FCA">
        <w:rPr>
          <w:rFonts w:asciiTheme="minorHAnsi" w:hAnsiTheme="minorHAnsi"/>
          <w:color w:val="auto"/>
          <w:szCs w:val="24"/>
        </w:rPr>
        <w:t>s</w:t>
      </w:r>
      <w:r>
        <w:rPr>
          <w:rFonts w:asciiTheme="minorHAnsi" w:hAnsiTheme="minorHAnsi"/>
          <w:color w:val="auto"/>
          <w:szCs w:val="24"/>
        </w:rPr>
        <w:t>ervice treatment record (STR) 10 months pr</w:t>
      </w:r>
      <w:r w:rsidR="008337A4">
        <w:rPr>
          <w:rFonts w:asciiTheme="minorHAnsi" w:hAnsiTheme="minorHAnsi"/>
          <w:color w:val="auto"/>
          <w:szCs w:val="24"/>
        </w:rPr>
        <w:t xml:space="preserve">ior to </w:t>
      </w:r>
      <w:r>
        <w:rPr>
          <w:rFonts w:asciiTheme="minorHAnsi" w:hAnsiTheme="minorHAnsi"/>
          <w:color w:val="auto"/>
          <w:szCs w:val="24"/>
        </w:rPr>
        <w:t xml:space="preserve">separation, reported decreased flexion but otherwise normal ROMs (without </w:t>
      </w:r>
      <w:r w:rsidR="002E0CA8">
        <w:rPr>
          <w:rFonts w:asciiTheme="minorHAnsi" w:hAnsiTheme="minorHAnsi"/>
          <w:color w:val="auto"/>
          <w:szCs w:val="24"/>
        </w:rPr>
        <w:t>quantitative values).  The examiner also noted moderate lumbar muscle rigidity.  Gait was normal, straight leg raises negative, reflexes were normal, and there was no wasting (atrophy).  Two prior notes, at 11 and 20 months pre-separation (initial injury was 20 months pre-separation), also noted spasm or muscle rigidity, and the 20-month note reported ROM deficits in all ranges secondary to spasm (without quantitative values).</w:t>
      </w:r>
      <w:r w:rsidR="00E950B7">
        <w:rPr>
          <w:rFonts w:asciiTheme="minorHAnsi" w:hAnsiTheme="minorHAnsi"/>
          <w:color w:val="auto"/>
          <w:szCs w:val="24"/>
        </w:rPr>
        <w:t xml:space="preserve">  </w:t>
      </w:r>
    </w:p>
    <w:p w:rsidR="00E950B7" w:rsidRDefault="00E950B7" w:rsidP="0031690E">
      <w:pPr>
        <w:tabs>
          <w:tab w:val="left" w:pos="288"/>
          <w:tab w:val="left" w:pos="4752"/>
        </w:tabs>
        <w:spacing w:line="240" w:lineRule="exact"/>
        <w:jc w:val="both"/>
        <w:rPr>
          <w:rFonts w:asciiTheme="minorHAnsi" w:hAnsiTheme="minorHAnsi"/>
          <w:color w:val="auto"/>
          <w:szCs w:val="24"/>
        </w:rPr>
      </w:pPr>
    </w:p>
    <w:p w:rsidR="0031690E" w:rsidRDefault="0031690E" w:rsidP="0031690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Pain management notes, six months pr</w:t>
      </w:r>
      <w:r w:rsidR="008337A4">
        <w:rPr>
          <w:rFonts w:asciiTheme="minorHAnsi" w:hAnsiTheme="minorHAnsi"/>
          <w:color w:val="auto"/>
          <w:szCs w:val="24"/>
        </w:rPr>
        <w:t xml:space="preserve">ior to </w:t>
      </w:r>
      <w:r>
        <w:rPr>
          <w:rFonts w:asciiTheme="minorHAnsi" w:hAnsiTheme="minorHAnsi"/>
          <w:color w:val="auto"/>
          <w:szCs w:val="24"/>
        </w:rPr>
        <w:t>separation, reported tenderness at L4-5 and L5-S1, worse with flexion and extension.  The remainder of the exam was normal, with negative straight leg raises, normal neurological evaluation, and normal heel- and toe-walking.  The examiner also noted the CI reported no radicular symptoms.</w:t>
      </w:r>
    </w:p>
    <w:p w:rsidR="0031690E" w:rsidRDefault="0031690E" w:rsidP="0031690E">
      <w:pPr>
        <w:tabs>
          <w:tab w:val="left" w:pos="288"/>
          <w:tab w:val="left" w:pos="4752"/>
        </w:tabs>
        <w:spacing w:line="240" w:lineRule="exact"/>
        <w:jc w:val="both"/>
        <w:rPr>
          <w:rFonts w:asciiTheme="minorHAnsi" w:hAnsiTheme="minorHAnsi"/>
          <w:color w:val="auto"/>
          <w:szCs w:val="24"/>
        </w:rPr>
      </w:pPr>
    </w:p>
    <w:p w:rsidR="00D75B05" w:rsidRDefault="006A5B3A" w:rsidP="000771B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235FCA">
        <w:rPr>
          <w:rFonts w:asciiTheme="minorHAnsi" w:hAnsiTheme="minorHAnsi"/>
          <w:color w:val="auto"/>
          <w:szCs w:val="24"/>
        </w:rPr>
        <w:t>narrative summery (</w:t>
      </w:r>
      <w:r>
        <w:rPr>
          <w:rFonts w:asciiTheme="minorHAnsi" w:hAnsiTheme="minorHAnsi"/>
          <w:color w:val="auto"/>
          <w:szCs w:val="24"/>
        </w:rPr>
        <w:t>NARSUM</w:t>
      </w:r>
      <w:r w:rsidR="00235FCA">
        <w:rPr>
          <w:rFonts w:asciiTheme="minorHAnsi" w:hAnsiTheme="minorHAnsi"/>
          <w:color w:val="auto"/>
          <w:szCs w:val="24"/>
        </w:rPr>
        <w:t>)</w:t>
      </w:r>
      <w:r>
        <w:rPr>
          <w:rFonts w:asciiTheme="minorHAnsi" w:hAnsiTheme="minorHAnsi"/>
          <w:color w:val="auto"/>
          <w:szCs w:val="24"/>
        </w:rPr>
        <w:t>, four months pr</w:t>
      </w:r>
      <w:r w:rsidR="008337A4">
        <w:rPr>
          <w:rFonts w:asciiTheme="minorHAnsi" w:hAnsiTheme="minorHAnsi"/>
          <w:color w:val="auto"/>
          <w:szCs w:val="24"/>
        </w:rPr>
        <w:t xml:space="preserve">ior to </w:t>
      </w:r>
      <w:r>
        <w:rPr>
          <w:rFonts w:asciiTheme="minorHAnsi" w:hAnsiTheme="minorHAnsi"/>
          <w:color w:val="auto"/>
          <w:szCs w:val="24"/>
        </w:rPr>
        <w:t xml:space="preserve">separation, </w:t>
      </w:r>
      <w:r w:rsidR="000C1A3F">
        <w:rPr>
          <w:rFonts w:asciiTheme="minorHAnsi" w:hAnsiTheme="minorHAnsi"/>
          <w:color w:val="auto"/>
          <w:szCs w:val="24"/>
        </w:rPr>
        <w:t xml:space="preserve">did not contain </w:t>
      </w:r>
      <w:r w:rsidR="000771BF">
        <w:rPr>
          <w:rFonts w:asciiTheme="minorHAnsi" w:hAnsiTheme="minorHAnsi"/>
          <w:color w:val="auto"/>
          <w:szCs w:val="24"/>
        </w:rPr>
        <w:t>a separate</w:t>
      </w:r>
      <w:r w:rsidR="000C1A3F">
        <w:rPr>
          <w:rFonts w:asciiTheme="minorHAnsi" w:hAnsiTheme="minorHAnsi"/>
          <w:color w:val="auto"/>
          <w:szCs w:val="24"/>
        </w:rPr>
        <w:t xml:space="preserve"> </w:t>
      </w:r>
      <w:r w:rsidR="00E950B7">
        <w:rPr>
          <w:rFonts w:asciiTheme="minorHAnsi" w:hAnsiTheme="minorHAnsi"/>
          <w:color w:val="auto"/>
          <w:szCs w:val="24"/>
        </w:rPr>
        <w:t xml:space="preserve">ROM </w:t>
      </w:r>
      <w:r w:rsidR="000C1A3F">
        <w:rPr>
          <w:rFonts w:asciiTheme="minorHAnsi" w:hAnsiTheme="minorHAnsi"/>
          <w:color w:val="auto"/>
          <w:szCs w:val="24"/>
        </w:rPr>
        <w:t xml:space="preserve">physical examination, but provided useful historical and interview data.  The examiner noted the CI walked with a cane, </w:t>
      </w:r>
      <w:r w:rsidR="000C1A3F" w:rsidRPr="000C1A3F">
        <w:rPr>
          <w:rFonts w:asciiTheme="minorHAnsi" w:hAnsiTheme="minorHAnsi"/>
          <w:color w:val="auto"/>
          <w:szCs w:val="24"/>
        </w:rPr>
        <w:t>required daily narcotic medications</w:t>
      </w:r>
      <w:r w:rsidR="000C1A3F">
        <w:rPr>
          <w:rFonts w:asciiTheme="minorHAnsi" w:hAnsiTheme="minorHAnsi"/>
          <w:color w:val="auto"/>
          <w:szCs w:val="24"/>
        </w:rPr>
        <w:t>,</w:t>
      </w:r>
      <w:r w:rsidR="000C1A3F" w:rsidRPr="000C1A3F">
        <w:rPr>
          <w:rFonts w:asciiTheme="minorHAnsi" w:hAnsiTheme="minorHAnsi"/>
          <w:color w:val="auto"/>
          <w:szCs w:val="24"/>
        </w:rPr>
        <w:t xml:space="preserve"> and ha</w:t>
      </w:r>
      <w:r w:rsidR="000C1A3F">
        <w:rPr>
          <w:rFonts w:asciiTheme="minorHAnsi" w:hAnsiTheme="minorHAnsi"/>
          <w:color w:val="auto"/>
          <w:szCs w:val="24"/>
        </w:rPr>
        <w:t>d</w:t>
      </w:r>
      <w:r w:rsidR="000C1A3F" w:rsidRPr="000C1A3F">
        <w:rPr>
          <w:rFonts w:asciiTheme="minorHAnsi" w:hAnsiTheme="minorHAnsi"/>
          <w:color w:val="auto"/>
          <w:szCs w:val="24"/>
        </w:rPr>
        <w:t xml:space="preserve"> a </w:t>
      </w:r>
      <w:r w:rsidR="000771BF">
        <w:rPr>
          <w:rFonts w:asciiTheme="minorHAnsi" w:hAnsiTheme="minorHAnsi"/>
          <w:color w:val="auto"/>
          <w:szCs w:val="24"/>
        </w:rPr>
        <w:t>“</w:t>
      </w:r>
      <w:r w:rsidR="000C1A3F" w:rsidRPr="000C1A3F">
        <w:rPr>
          <w:rFonts w:asciiTheme="minorHAnsi" w:hAnsiTheme="minorHAnsi"/>
          <w:color w:val="auto"/>
          <w:szCs w:val="24"/>
        </w:rPr>
        <w:t>difficult time sitting, standing, and walking</w:t>
      </w:r>
      <w:r w:rsidR="000C1A3F">
        <w:rPr>
          <w:rFonts w:asciiTheme="minorHAnsi" w:hAnsiTheme="minorHAnsi"/>
          <w:color w:val="auto"/>
          <w:szCs w:val="24"/>
        </w:rPr>
        <w:t xml:space="preserve"> </w:t>
      </w:r>
      <w:r w:rsidR="000C1A3F" w:rsidRPr="000C1A3F">
        <w:rPr>
          <w:rFonts w:asciiTheme="minorHAnsi" w:hAnsiTheme="minorHAnsi"/>
          <w:color w:val="auto"/>
          <w:szCs w:val="24"/>
        </w:rPr>
        <w:t>for any significant period without switching positions or having to stop and rest.</w:t>
      </w:r>
      <w:r w:rsidR="000771BF">
        <w:rPr>
          <w:rFonts w:asciiTheme="minorHAnsi" w:hAnsiTheme="minorHAnsi"/>
          <w:color w:val="auto"/>
          <w:szCs w:val="24"/>
        </w:rPr>
        <w:t xml:space="preserve">” </w:t>
      </w:r>
      <w:r w:rsidR="000C1A3F" w:rsidRPr="000C1A3F">
        <w:rPr>
          <w:rFonts w:asciiTheme="minorHAnsi" w:hAnsiTheme="minorHAnsi"/>
          <w:color w:val="auto"/>
          <w:szCs w:val="24"/>
        </w:rPr>
        <w:t xml:space="preserve"> He </w:t>
      </w:r>
      <w:r w:rsidR="000771BF">
        <w:rPr>
          <w:rFonts w:asciiTheme="minorHAnsi" w:hAnsiTheme="minorHAnsi"/>
          <w:color w:val="auto"/>
          <w:szCs w:val="24"/>
        </w:rPr>
        <w:t xml:space="preserve">was also noted to have </w:t>
      </w:r>
      <w:r w:rsidR="000C1A3F" w:rsidRPr="000C1A3F">
        <w:rPr>
          <w:rFonts w:asciiTheme="minorHAnsi" w:hAnsiTheme="minorHAnsi"/>
          <w:color w:val="auto"/>
          <w:szCs w:val="24"/>
        </w:rPr>
        <w:t>a difficult time driving distances and difficult</w:t>
      </w:r>
      <w:r w:rsidR="000771BF">
        <w:rPr>
          <w:rFonts w:asciiTheme="minorHAnsi" w:hAnsiTheme="minorHAnsi"/>
          <w:color w:val="auto"/>
          <w:szCs w:val="24"/>
        </w:rPr>
        <w:t xml:space="preserve"> </w:t>
      </w:r>
      <w:r w:rsidR="000C1A3F" w:rsidRPr="000C1A3F">
        <w:rPr>
          <w:rFonts w:asciiTheme="minorHAnsi" w:hAnsiTheme="minorHAnsi"/>
          <w:color w:val="auto"/>
          <w:szCs w:val="24"/>
        </w:rPr>
        <w:t>time sleeping at night due to his lumbar discomfort</w:t>
      </w:r>
      <w:r w:rsidR="000771BF">
        <w:rPr>
          <w:rFonts w:asciiTheme="minorHAnsi" w:hAnsiTheme="minorHAnsi"/>
          <w:color w:val="auto"/>
          <w:szCs w:val="24"/>
        </w:rPr>
        <w:t xml:space="preserve">.  </w:t>
      </w:r>
      <w:r w:rsidR="00DC7E62" w:rsidRPr="00DC7E62">
        <w:rPr>
          <w:rFonts w:asciiTheme="minorHAnsi" w:hAnsiTheme="minorHAnsi"/>
          <w:color w:val="auto"/>
          <w:szCs w:val="24"/>
        </w:rPr>
        <w:t xml:space="preserve">MRI </w:t>
      </w:r>
      <w:r w:rsidR="00E950B7" w:rsidRPr="00E950B7">
        <w:rPr>
          <w:rFonts w:asciiTheme="minorHAnsi" w:hAnsiTheme="minorHAnsi"/>
          <w:color w:val="auto"/>
          <w:szCs w:val="24"/>
        </w:rPr>
        <w:t xml:space="preserve">had </w:t>
      </w:r>
      <w:r w:rsidR="00DC7E62" w:rsidRPr="00DC7E62">
        <w:rPr>
          <w:rFonts w:asciiTheme="minorHAnsi" w:hAnsiTheme="minorHAnsi"/>
          <w:color w:val="auto"/>
          <w:szCs w:val="24"/>
        </w:rPr>
        <w:t>revealed mild diffuse disc bulge</w:t>
      </w:r>
      <w:r w:rsidR="0011552E">
        <w:rPr>
          <w:rFonts w:asciiTheme="minorHAnsi" w:hAnsiTheme="minorHAnsi"/>
          <w:color w:val="auto"/>
          <w:szCs w:val="24"/>
        </w:rPr>
        <w:t>s</w:t>
      </w:r>
      <w:r w:rsidR="00DC7E62" w:rsidRPr="00DC7E62">
        <w:rPr>
          <w:rFonts w:asciiTheme="minorHAnsi" w:hAnsiTheme="minorHAnsi"/>
          <w:color w:val="auto"/>
          <w:szCs w:val="24"/>
        </w:rPr>
        <w:t xml:space="preserve"> </w:t>
      </w:r>
      <w:r w:rsidR="0011552E">
        <w:rPr>
          <w:rFonts w:asciiTheme="minorHAnsi" w:hAnsiTheme="minorHAnsi"/>
          <w:color w:val="auto"/>
          <w:szCs w:val="24"/>
        </w:rPr>
        <w:t>and</w:t>
      </w:r>
      <w:r w:rsidR="00DC7E62" w:rsidRPr="00DC7E62">
        <w:rPr>
          <w:rFonts w:asciiTheme="minorHAnsi" w:hAnsiTheme="minorHAnsi"/>
          <w:color w:val="auto"/>
          <w:szCs w:val="24"/>
        </w:rPr>
        <w:t xml:space="preserve"> mild facet </w:t>
      </w:r>
      <w:proofErr w:type="spellStart"/>
      <w:r w:rsidR="00DC7E62" w:rsidRPr="00DC7E62">
        <w:rPr>
          <w:rFonts w:asciiTheme="minorHAnsi" w:hAnsiTheme="minorHAnsi"/>
          <w:color w:val="auto"/>
          <w:szCs w:val="24"/>
        </w:rPr>
        <w:t>arthropathy</w:t>
      </w:r>
      <w:proofErr w:type="spellEnd"/>
      <w:r w:rsidR="0011552E" w:rsidRPr="0011552E">
        <w:rPr>
          <w:rFonts w:asciiTheme="minorHAnsi" w:hAnsiTheme="minorHAnsi"/>
          <w:color w:val="auto"/>
          <w:szCs w:val="24"/>
        </w:rPr>
        <w:t xml:space="preserve"> </w:t>
      </w:r>
      <w:r w:rsidR="0011552E">
        <w:rPr>
          <w:rFonts w:asciiTheme="minorHAnsi" w:hAnsiTheme="minorHAnsi"/>
          <w:color w:val="auto"/>
          <w:szCs w:val="24"/>
        </w:rPr>
        <w:t xml:space="preserve">at </w:t>
      </w:r>
      <w:r w:rsidR="0011552E" w:rsidRPr="00DC7E62">
        <w:rPr>
          <w:rFonts w:asciiTheme="minorHAnsi" w:hAnsiTheme="minorHAnsi"/>
          <w:color w:val="auto"/>
          <w:szCs w:val="24"/>
        </w:rPr>
        <w:t>L4-L5</w:t>
      </w:r>
      <w:r w:rsidR="0011552E">
        <w:rPr>
          <w:rFonts w:asciiTheme="minorHAnsi" w:hAnsiTheme="minorHAnsi"/>
          <w:color w:val="auto"/>
          <w:szCs w:val="24"/>
        </w:rPr>
        <w:t xml:space="preserve"> and </w:t>
      </w:r>
      <w:r w:rsidR="00DC7E62" w:rsidRPr="00DC7E62">
        <w:rPr>
          <w:rFonts w:asciiTheme="minorHAnsi" w:hAnsiTheme="minorHAnsi"/>
          <w:color w:val="auto"/>
          <w:szCs w:val="24"/>
        </w:rPr>
        <w:t>L5-S</w:t>
      </w:r>
      <w:r w:rsidR="0011552E">
        <w:rPr>
          <w:rFonts w:asciiTheme="minorHAnsi" w:hAnsiTheme="minorHAnsi"/>
          <w:color w:val="auto"/>
          <w:szCs w:val="24"/>
        </w:rPr>
        <w:t xml:space="preserve">1, without </w:t>
      </w:r>
      <w:proofErr w:type="spellStart"/>
      <w:r w:rsidR="0011552E">
        <w:rPr>
          <w:rFonts w:asciiTheme="minorHAnsi" w:hAnsiTheme="minorHAnsi"/>
          <w:color w:val="auto"/>
          <w:szCs w:val="24"/>
        </w:rPr>
        <w:t>neuroforaminal</w:t>
      </w:r>
      <w:proofErr w:type="spellEnd"/>
      <w:r w:rsidR="0011552E">
        <w:rPr>
          <w:rFonts w:asciiTheme="minorHAnsi" w:hAnsiTheme="minorHAnsi"/>
          <w:color w:val="auto"/>
          <w:szCs w:val="24"/>
        </w:rPr>
        <w:t xml:space="preserve"> or spinal cord impingement.  </w:t>
      </w:r>
    </w:p>
    <w:p w:rsidR="0011552E" w:rsidRDefault="0011552E" w:rsidP="000771BF">
      <w:pPr>
        <w:tabs>
          <w:tab w:val="left" w:pos="288"/>
          <w:tab w:val="left" w:pos="4752"/>
        </w:tabs>
        <w:spacing w:line="240" w:lineRule="exact"/>
        <w:jc w:val="both"/>
        <w:rPr>
          <w:rFonts w:asciiTheme="minorHAnsi" w:hAnsiTheme="minorHAnsi"/>
          <w:color w:val="auto"/>
          <w:szCs w:val="24"/>
        </w:rPr>
      </w:pPr>
    </w:p>
    <w:p w:rsidR="00064E9A" w:rsidRDefault="00064E9A" w:rsidP="00064E9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STR also contained evidence the CI underwent (previously planned, as noted in the NARSUM and pain management notes) radiofrequency </w:t>
      </w:r>
      <w:proofErr w:type="spellStart"/>
      <w:r>
        <w:rPr>
          <w:rFonts w:asciiTheme="minorHAnsi" w:hAnsiTheme="minorHAnsi"/>
          <w:color w:val="auto"/>
          <w:szCs w:val="24"/>
        </w:rPr>
        <w:t>neurotomy</w:t>
      </w:r>
      <w:proofErr w:type="spellEnd"/>
      <w:r>
        <w:rPr>
          <w:rFonts w:asciiTheme="minorHAnsi" w:hAnsiTheme="minorHAnsi"/>
          <w:color w:val="auto"/>
          <w:szCs w:val="24"/>
        </w:rPr>
        <w:t xml:space="preserve"> (</w:t>
      </w:r>
      <w:proofErr w:type="spellStart"/>
      <w:r>
        <w:rPr>
          <w:rFonts w:asciiTheme="minorHAnsi" w:hAnsiTheme="minorHAnsi"/>
          <w:color w:val="auto"/>
          <w:szCs w:val="24"/>
        </w:rPr>
        <w:t>rhizotomy</w:t>
      </w:r>
      <w:proofErr w:type="spellEnd"/>
      <w:r>
        <w:rPr>
          <w:rFonts w:asciiTheme="minorHAnsi" w:hAnsiTheme="minorHAnsi"/>
          <w:color w:val="auto"/>
          <w:szCs w:val="24"/>
        </w:rPr>
        <w:t xml:space="preserve">) bilaterally at three levels, L3-4, L4-5, and L5-S1, at three months pre-separation.  The CI’s </w:t>
      </w:r>
      <w:r w:rsidR="008E066C">
        <w:rPr>
          <w:rFonts w:asciiTheme="minorHAnsi" w:hAnsiTheme="minorHAnsi"/>
          <w:color w:val="auto"/>
          <w:szCs w:val="24"/>
        </w:rPr>
        <w:t xml:space="preserve">immediate </w:t>
      </w:r>
      <w:r>
        <w:rPr>
          <w:rFonts w:asciiTheme="minorHAnsi" w:hAnsiTheme="minorHAnsi"/>
          <w:color w:val="auto"/>
          <w:szCs w:val="24"/>
        </w:rPr>
        <w:t>response to this procedure was not r</w:t>
      </w:r>
      <w:r w:rsidR="008E066C">
        <w:rPr>
          <w:rFonts w:asciiTheme="minorHAnsi" w:hAnsiTheme="minorHAnsi"/>
          <w:color w:val="auto"/>
          <w:szCs w:val="24"/>
        </w:rPr>
        <w:t>e</w:t>
      </w:r>
      <w:r>
        <w:rPr>
          <w:rFonts w:asciiTheme="minorHAnsi" w:hAnsiTheme="minorHAnsi"/>
          <w:color w:val="auto"/>
          <w:szCs w:val="24"/>
        </w:rPr>
        <w:t>ported</w:t>
      </w:r>
      <w:r w:rsidR="008E066C">
        <w:rPr>
          <w:rFonts w:asciiTheme="minorHAnsi" w:hAnsiTheme="minorHAnsi"/>
          <w:color w:val="auto"/>
          <w:szCs w:val="24"/>
        </w:rPr>
        <w:t>;</w:t>
      </w:r>
      <w:r>
        <w:rPr>
          <w:rFonts w:asciiTheme="minorHAnsi" w:hAnsiTheme="minorHAnsi"/>
          <w:color w:val="auto"/>
          <w:szCs w:val="24"/>
        </w:rPr>
        <w:t xml:space="preserve"> however, the pain management physician anticipated 60-70% reduction in his pain lasting about 12 months.  </w:t>
      </w:r>
    </w:p>
    <w:p w:rsidR="00064E9A" w:rsidRPr="003F3B17" w:rsidRDefault="00064E9A" w:rsidP="00064E9A">
      <w:pPr>
        <w:tabs>
          <w:tab w:val="left" w:pos="288"/>
          <w:tab w:val="left" w:pos="4752"/>
        </w:tabs>
        <w:spacing w:line="240" w:lineRule="exact"/>
        <w:jc w:val="both"/>
        <w:rPr>
          <w:rFonts w:asciiTheme="minorHAnsi" w:hAnsiTheme="minorHAnsi"/>
          <w:color w:val="auto"/>
          <w:szCs w:val="24"/>
        </w:rPr>
      </w:pPr>
    </w:p>
    <w:p w:rsidR="00E65E54" w:rsidRDefault="00B250D8" w:rsidP="000771B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 physical therapy note two months </w:t>
      </w:r>
      <w:r w:rsidR="008337A4">
        <w:rPr>
          <w:rFonts w:asciiTheme="minorHAnsi" w:hAnsiTheme="minorHAnsi"/>
          <w:color w:val="auto"/>
          <w:szCs w:val="24"/>
        </w:rPr>
        <w:t xml:space="preserve">before </w:t>
      </w:r>
      <w:r>
        <w:rPr>
          <w:rFonts w:asciiTheme="minorHAnsi" w:hAnsiTheme="minorHAnsi"/>
          <w:color w:val="auto"/>
          <w:szCs w:val="24"/>
        </w:rPr>
        <w:t xml:space="preserve">separation, containing the only quantitative (goniometric) ROMs in the record, revealed decreased flexion meeting the 20% criteria under the </w:t>
      </w:r>
      <w:r w:rsidR="00235FCA">
        <w:rPr>
          <w:rFonts w:asciiTheme="minorHAnsi" w:hAnsiTheme="minorHAnsi"/>
          <w:color w:val="auto"/>
          <w:szCs w:val="24"/>
        </w:rPr>
        <w:t>g</w:t>
      </w:r>
      <w:r>
        <w:rPr>
          <w:rFonts w:asciiTheme="minorHAnsi" w:hAnsiTheme="minorHAnsi"/>
          <w:color w:val="auto"/>
          <w:szCs w:val="24"/>
        </w:rPr>
        <w:t xml:space="preserve">eneral </w:t>
      </w:r>
      <w:r w:rsidR="00235FCA">
        <w:rPr>
          <w:rFonts w:asciiTheme="minorHAnsi" w:hAnsiTheme="minorHAnsi"/>
          <w:color w:val="auto"/>
          <w:szCs w:val="24"/>
        </w:rPr>
        <w:t>r</w:t>
      </w:r>
      <w:r>
        <w:rPr>
          <w:rFonts w:asciiTheme="minorHAnsi" w:hAnsiTheme="minorHAnsi"/>
          <w:color w:val="auto"/>
          <w:szCs w:val="24"/>
        </w:rPr>
        <w:t xml:space="preserve">ating </w:t>
      </w:r>
      <w:r w:rsidR="00235FCA">
        <w:rPr>
          <w:rFonts w:asciiTheme="minorHAnsi" w:hAnsiTheme="minorHAnsi"/>
          <w:color w:val="auto"/>
          <w:szCs w:val="24"/>
        </w:rPr>
        <w:t>f</w:t>
      </w:r>
      <w:r>
        <w:rPr>
          <w:rFonts w:asciiTheme="minorHAnsi" w:hAnsiTheme="minorHAnsi"/>
          <w:color w:val="auto"/>
          <w:szCs w:val="24"/>
        </w:rPr>
        <w:t xml:space="preserve">ormula for </w:t>
      </w:r>
      <w:r w:rsidR="00235FCA">
        <w:rPr>
          <w:rFonts w:asciiTheme="minorHAnsi" w:hAnsiTheme="minorHAnsi"/>
          <w:color w:val="auto"/>
          <w:szCs w:val="24"/>
        </w:rPr>
        <w:t>d</w:t>
      </w:r>
      <w:r>
        <w:rPr>
          <w:rFonts w:asciiTheme="minorHAnsi" w:hAnsiTheme="minorHAnsi"/>
          <w:color w:val="auto"/>
          <w:szCs w:val="24"/>
        </w:rPr>
        <w:t xml:space="preserve">iseases and </w:t>
      </w:r>
      <w:r w:rsidR="00235FCA">
        <w:rPr>
          <w:rFonts w:asciiTheme="minorHAnsi" w:hAnsiTheme="minorHAnsi"/>
          <w:color w:val="auto"/>
          <w:szCs w:val="24"/>
        </w:rPr>
        <w:t>i</w:t>
      </w:r>
      <w:r>
        <w:rPr>
          <w:rFonts w:asciiTheme="minorHAnsi" w:hAnsiTheme="minorHAnsi"/>
          <w:color w:val="auto"/>
          <w:szCs w:val="24"/>
        </w:rPr>
        <w:t xml:space="preserve">njuries of the </w:t>
      </w:r>
      <w:r w:rsidR="00235FCA">
        <w:rPr>
          <w:rFonts w:asciiTheme="minorHAnsi" w:hAnsiTheme="minorHAnsi"/>
          <w:color w:val="auto"/>
          <w:szCs w:val="24"/>
        </w:rPr>
        <w:t>s</w:t>
      </w:r>
      <w:r>
        <w:rPr>
          <w:rFonts w:asciiTheme="minorHAnsi" w:hAnsiTheme="minorHAnsi"/>
          <w:color w:val="auto"/>
          <w:szCs w:val="24"/>
        </w:rPr>
        <w:t xml:space="preserve">pine, VASRD </w:t>
      </w:r>
      <w:r>
        <w:rPr>
          <w:rFonts w:asciiTheme="minorHAnsi" w:hAnsiTheme="minorHAnsi" w:cstheme="minorHAnsi"/>
          <w:color w:val="auto"/>
          <w:szCs w:val="24"/>
        </w:rPr>
        <w:t>§</w:t>
      </w:r>
      <w:r>
        <w:rPr>
          <w:rFonts w:asciiTheme="minorHAnsi" w:hAnsiTheme="minorHAnsi"/>
          <w:color w:val="auto"/>
          <w:szCs w:val="24"/>
        </w:rPr>
        <w:t xml:space="preserve">4.71a.  The examiner </w:t>
      </w:r>
      <w:r>
        <w:rPr>
          <w:rFonts w:asciiTheme="minorHAnsi" w:hAnsiTheme="minorHAnsi"/>
          <w:color w:val="auto"/>
          <w:szCs w:val="24"/>
        </w:rPr>
        <w:lastRenderedPageBreak/>
        <w:t xml:space="preserve">also noted normal lower extremity strength, straight leg raising (apparently positive) at 60 degrees, and four positive Waddell’s signs.  </w:t>
      </w:r>
    </w:p>
    <w:p w:rsidR="00E55C33" w:rsidRDefault="00E55C33" w:rsidP="000771BF">
      <w:pPr>
        <w:tabs>
          <w:tab w:val="left" w:pos="288"/>
          <w:tab w:val="left" w:pos="4752"/>
        </w:tabs>
        <w:spacing w:line="240" w:lineRule="exact"/>
        <w:jc w:val="both"/>
        <w:rPr>
          <w:rFonts w:asciiTheme="minorHAnsi" w:hAnsiTheme="minorHAnsi"/>
          <w:color w:val="auto"/>
          <w:szCs w:val="24"/>
        </w:rPr>
      </w:pPr>
    </w:p>
    <w:p w:rsidR="00B250D8" w:rsidRDefault="00E55C33" w:rsidP="000771B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Although remote from separation, VA exams at 29 and 66 months post-separation showed continued significant impairment due to LBP</w:t>
      </w:r>
      <w:r w:rsidR="008E066C">
        <w:rPr>
          <w:rFonts w:asciiTheme="minorHAnsi" w:hAnsiTheme="minorHAnsi"/>
          <w:color w:val="auto"/>
          <w:szCs w:val="24"/>
        </w:rPr>
        <w:t xml:space="preserve"> with decreased ROMs</w:t>
      </w:r>
      <w:r>
        <w:rPr>
          <w:rFonts w:asciiTheme="minorHAnsi" w:hAnsiTheme="minorHAnsi"/>
          <w:color w:val="auto"/>
          <w:szCs w:val="24"/>
        </w:rPr>
        <w:t>.  At both exams the CI reported using a cane and remained unemployed.  ROM deficits were significant, meeting the 40% criteria at 29 months</w:t>
      </w:r>
      <w:r w:rsidR="00AF5ACE">
        <w:rPr>
          <w:rFonts w:asciiTheme="minorHAnsi" w:hAnsiTheme="minorHAnsi"/>
          <w:color w:val="auto"/>
          <w:szCs w:val="24"/>
        </w:rPr>
        <w:t xml:space="preserve">, and 20% at 66 months.  Painful motion or pain-limited motion was also noted.  There was no spasm, abnormal gait (despite cane use noted in history), or abnormal spinal contour, and neurological exams remained normal.  </w:t>
      </w:r>
      <w:r w:rsidR="008E066C">
        <w:rPr>
          <w:rFonts w:asciiTheme="minorHAnsi" w:hAnsiTheme="minorHAnsi"/>
          <w:color w:val="auto"/>
          <w:szCs w:val="24"/>
        </w:rPr>
        <w:t xml:space="preserve">The VA Board of Appeals (noted in VARD from September 2010) granted a 40% lumbar spine rating effective January </w:t>
      </w:r>
      <w:r w:rsidR="00235FCA">
        <w:rPr>
          <w:rFonts w:asciiTheme="minorHAnsi" w:hAnsiTheme="minorHAnsi"/>
          <w:color w:val="auto"/>
          <w:szCs w:val="24"/>
        </w:rPr>
        <w:t>2007 (</w:t>
      </w:r>
      <w:r w:rsidR="008E066C" w:rsidRPr="008E066C">
        <w:rPr>
          <w:rFonts w:asciiTheme="minorHAnsi" w:hAnsiTheme="minorHAnsi"/>
          <w:color w:val="auto"/>
          <w:szCs w:val="24"/>
        </w:rPr>
        <w:t xml:space="preserve">18 months post-separation).  </w:t>
      </w:r>
      <w:r w:rsidR="008E066C">
        <w:rPr>
          <w:rFonts w:asciiTheme="minorHAnsi" w:hAnsiTheme="minorHAnsi"/>
          <w:color w:val="auto"/>
          <w:szCs w:val="24"/>
        </w:rPr>
        <w:t>Any increased impairment noted in either exam would be considered a post-separation worsening, and not indicative of the CI’s condition at separation.</w:t>
      </w:r>
    </w:p>
    <w:p w:rsidR="008E066C" w:rsidRDefault="008E066C" w:rsidP="000771BF">
      <w:pPr>
        <w:tabs>
          <w:tab w:val="left" w:pos="288"/>
          <w:tab w:val="left" w:pos="4752"/>
        </w:tabs>
        <w:spacing w:line="240" w:lineRule="exact"/>
        <w:jc w:val="both"/>
        <w:rPr>
          <w:rFonts w:asciiTheme="minorHAnsi" w:hAnsiTheme="minorHAnsi"/>
          <w:color w:val="auto"/>
          <w:szCs w:val="24"/>
        </w:rPr>
      </w:pPr>
    </w:p>
    <w:p w:rsidR="00CF2338" w:rsidRDefault="00AF5ACE" w:rsidP="00064E9A">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Pr>
          <w:rFonts w:asciiTheme="minorHAnsi" w:hAnsiTheme="minorHAnsi"/>
          <w:color w:val="auto"/>
          <w:szCs w:val="24"/>
        </w:rPr>
        <w:t>C</w:t>
      </w:r>
      <w:r w:rsidR="00532FFC">
        <w:rPr>
          <w:rFonts w:asciiTheme="minorHAnsi" w:hAnsiTheme="minorHAnsi"/>
          <w:color w:val="auto"/>
          <w:szCs w:val="24"/>
        </w:rPr>
        <w:t xml:space="preserve">oding </w:t>
      </w:r>
      <w:r>
        <w:rPr>
          <w:rFonts w:asciiTheme="minorHAnsi" w:hAnsiTheme="minorHAnsi"/>
          <w:color w:val="auto"/>
          <w:szCs w:val="24"/>
        </w:rPr>
        <w:t xml:space="preserve">in this case </w:t>
      </w:r>
      <w:r w:rsidR="00532FFC">
        <w:rPr>
          <w:rFonts w:asciiTheme="minorHAnsi" w:hAnsiTheme="minorHAnsi"/>
          <w:color w:val="auto"/>
          <w:szCs w:val="24"/>
        </w:rPr>
        <w:t xml:space="preserve">would </w:t>
      </w:r>
      <w:r>
        <w:rPr>
          <w:rFonts w:asciiTheme="minorHAnsi" w:hAnsiTheme="minorHAnsi"/>
          <w:color w:val="auto"/>
          <w:szCs w:val="24"/>
        </w:rPr>
        <w:t xml:space="preserve">optimally </w:t>
      </w:r>
      <w:r w:rsidR="00532FFC">
        <w:rPr>
          <w:rFonts w:asciiTheme="minorHAnsi" w:hAnsiTheme="minorHAnsi"/>
          <w:color w:val="auto"/>
          <w:szCs w:val="24"/>
        </w:rPr>
        <w:t>be either 5237 (lumbosacral strain) or 5242 (degenerative arthritis of the spine)</w:t>
      </w:r>
      <w:r w:rsidR="008E066C">
        <w:rPr>
          <w:rFonts w:asciiTheme="minorHAnsi" w:hAnsiTheme="minorHAnsi"/>
          <w:color w:val="auto"/>
          <w:szCs w:val="24"/>
        </w:rPr>
        <w:t>;</w:t>
      </w:r>
      <w:r w:rsidR="00532FFC">
        <w:rPr>
          <w:rFonts w:asciiTheme="minorHAnsi" w:hAnsiTheme="minorHAnsi"/>
          <w:color w:val="auto"/>
          <w:szCs w:val="24"/>
        </w:rPr>
        <w:t xml:space="preserve"> </w:t>
      </w:r>
      <w:r>
        <w:rPr>
          <w:rFonts w:asciiTheme="minorHAnsi" w:hAnsiTheme="minorHAnsi"/>
          <w:color w:val="auto"/>
          <w:szCs w:val="24"/>
        </w:rPr>
        <w:t xml:space="preserve">however </w:t>
      </w:r>
      <w:r w:rsidR="00532FFC">
        <w:rPr>
          <w:rFonts w:asciiTheme="minorHAnsi" w:hAnsiTheme="minorHAnsi"/>
          <w:color w:val="auto"/>
          <w:szCs w:val="24"/>
        </w:rPr>
        <w:t>t</w:t>
      </w:r>
      <w:r w:rsidR="00532FFC" w:rsidRPr="00CF065F">
        <w:rPr>
          <w:rFonts w:asciiTheme="minorHAnsi" w:hAnsiTheme="minorHAnsi"/>
          <w:color w:val="auto"/>
          <w:szCs w:val="24"/>
        </w:rPr>
        <w:t xml:space="preserve">he </w:t>
      </w:r>
      <w:r w:rsidR="00532FFC">
        <w:rPr>
          <w:rFonts w:asciiTheme="minorHAnsi" w:hAnsiTheme="minorHAnsi"/>
          <w:color w:val="auto"/>
          <w:szCs w:val="24"/>
        </w:rPr>
        <w:t>radiologic evidence of</w:t>
      </w:r>
      <w:r w:rsidR="00532FFC" w:rsidRPr="00CF065F">
        <w:rPr>
          <w:rFonts w:asciiTheme="minorHAnsi" w:hAnsiTheme="minorHAnsi"/>
          <w:color w:val="auto"/>
          <w:szCs w:val="24"/>
        </w:rPr>
        <w:t xml:space="preserve"> disc pathology supports the </w:t>
      </w:r>
      <w:r>
        <w:rPr>
          <w:rFonts w:asciiTheme="minorHAnsi" w:hAnsiTheme="minorHAnsi"/>
          <w:color w:val="auto"/>
          <w:szCs w:val="24"/>
        </w:rPr>
        <w:t xml:space="preserve">analogous </w:t>
      </w:r>
      <w:r w:rsidR="00532FFC" w:rsidRPr="00CF065F">
        <w:rPr>
          <w:rFonts w:asciiTheme="minorHAnsi" w:hAnsiTheme="minorHAnsi"/>
          <w:color w:val="auto"/>
          <w:szCs w:val="24"/>
        </w:rPr>
        <w:t xml:space="preserve">coding </w:t>
      </w:r>
      <w:r>
        <w:rPr>
          <w:rFonts w:asciiTheme="minorHAnsi" w:hAnsiTheme="minorHAnsi"/>
          <w:color w:val="auto"/>
          <w:szCs w:val="24"/>
        </w:rPr>
        <w:t>to</w:t>
      </w:r>
      <w:r w:rsidR="00532FFC" w:rsidRPr="00CF065F">
        <w:rPr>
          <w:rFonts w:asciiTheme="minorHAnsi" w:hAnsiTheme="minorHAnsi"/>
          <w:color w:val="auto"/>
          <w:szCs w:val="24"/>
        </w:rPr>
        <w:t xml:space="preserve"> 5243</w:t>
      </w:r>
      <w:r w:rsidR="00532FFC">
        <w:rPr>
          <w:rFonts w:asciiTheme="minorHAnsi" w:hAnsiTheme="minorHAnsi"/>
          <w:color w:val="auto"/>
          <w:szCs w:val="24"/>
        </w:rPr>
        <w:t xml:space="preserve"> (</w:t>
      </w:r>
      <w:r w:rsidR="00532FFC" w:rsidRPr="00CF065F">
        <w:rPr>
          <w:rFonts w:asciiTheme="minorHAnsi" w:hAnsiTheme="minorHAnsi"/>
          <w:color w:val="auto"/>
          <w:szCs w:val="24"/>
        </w:rPr>
        <w:t>intervertebral disc syndrome</w:t>
      </w:r>
      <w:r w:rsidR="00532FFC">
        <w:rPr>
          <w:rFonts w:asciiTheme="minorHAnsi" w:hAnsiTheme="minorHAnsi"/>
          <w:color w:val="auto"/>
          <w:szCs w:val="24"/>
        </w:rPr>
        <w:t>)</w:t>
      </w:r>
      <w:r>
        <w:rPr>
          <w:rFonts w:asciiTheme="minorHAnsi" w:hAnsiTheme="minorHAnsi"/>
          <w:color w:val="auto"/>
          <w:szCs w:val="24"/>
        </w:rPr>
        <w:t>;</w:t>
      </w:r>
      <w:r w:rsidR="00532FFC">
        <w:rPr>
          <w:rFonts w:asciiTheme="minorHAnsi" w:hAnsiTheme="minorHAnsi"/>
          <w:color w:val="auto"/>
          <w:szCs w:val="24"/>
        </w:rPr>
        <w:t xml:space="preserve"> that code, as selected by the PEB and VA, is acceptable</w:t>
      </w:r>
      <w:r w:rsidR="00532FFC" w:rsidRPr="00CF065F">
        <w:rPr>
          <w:rFonts w:asciiTheme="minorHAnsi" w:hAnsiTheme="minorHAnsi"/>
          <w:color w:val="auto"/>
          <w:szCs w:val="24"/>
        </w:rPr>
        <w:t xml:space="preserve">.  </w:t>
      </w:r>
      <w:r w:rsidR="00064E9A">
        <w:rPr>
          <w:rFonts w:asciiTheme="minorHAnsi" w:hAnsiTheme="minorHAnsi"/>
          <w:color w:val="auto"/>
          <w:szCs w:val="24"/>
        </w:rPr>
        <w:t>There w</w:t>
      </w:r>
      <w:r w:rsidR="00532FFC">
        <w:rPr>
          <w:rFonts w:asciiTheme="minorHAnsi" w:hAnsiTheme="minorHAnsi"/>
          <w:color w:val="auto"/>
          <w:szCs w:val="24"/>
        </w:rPr>
        <w:t>ere</w:t>
      </w:r>
      <w:r w:rsidR="00064E9A">
        <w:rPr>
          <w:rFonts w:asciiTheme="minorHAnsi" w:hAnsiTheme="minorHAnsi"/>
          <w:color w:val="auto"/>
          <w:szCs w:val="24"/>
        </w:rPr>
        <w:t xml:space="preserve"> no report</w:t>
      </w:r>
      <w:r w:rsidR="00532FFC">
        <w:rPr>
          <w:rFonts w:asciiTheme="minorHAnsi" w:hAnsiTheme="minorHAnsi"/>
          <w:color w:val="auto"/>
          <w:szCs w:val="24"/>
        </w:rPr>
        <w:t>s</w:t>
      </w:r>
      <w:r w:rsidR="00064E9A">
        <w:rPr>
          <w:rFonts w:asciiTheme="minorHAnsi" w:hAnsiTheme="minorHAnsi"/>
          <w:color w:val="auto"/>
          <w:szCs w:val="24"/>
        </w:rPr>
        <w:t xml:space="preserve"> of incapaci</w:t>
      </w:r>
      <w:r w:rsidR="00532FFC">
        <w:rPr>
          <w:rFonts w:asciiTheme="minorHAnsi" w:hAnsiTheme="minorHAnsi"/>
          <w:color w:val="auto"/>
          <w:szCs w:val="24"/>
        </w:rPr>
        <w:t xml:space="preserve">tating episodes requiring bed rest prescribed by a physician and treatment by a physician, as required for rating under intervertebral disc syndrome, so the condition is most appropriately rated using the </w:t>
      </w:r>
      <w:r w:rsidR="00235FCA">
        <w:rPr>
          <w:rFonts w:asciiTheme="minorHAnsi" w:hAnsiTheme="minorHAnsi"/>
          <w:color w:val="auto"/>
          <w:szCs w:val="24"/>
        </w:rPr>
        <w:t>g</w:t>
      </w:r>
      <w:r w:rsidR="00532FFC">
        <w:rPr>
          <w:rFonts w:asciiTheme="minorHAnsi" w:hAnsiTheme="minorHAnsi"/>
          <w:color w:val="auto"/>
          <w:szCs w:val="24"/>
        </w:rPr>
        <w:t xml:space="preserve">eneral </w:t>
      </w:r>
      <w:r w:rsidR="00235FCA">
        <w:rPr>
          <w:rFonts w:asciiTheme="minorHAnsi" w:hAnsiTheme="minorHAnsi"/>
          <w:color w:val="auto"/>
          <w:szCs w:val="24"/>
        </w:rPr>
        <w:t>r</w:t>
      </w:r>
      <w:r w:rsidR="00532FFC">
        <w:rPr>
          <w:rFonts w:asciiTheme="minorHAnsi" w:hAnsiTheme="minorHAnsi"/>
          <w:color w:val="auto"/>
          <w:szCs w:val="24"/>
        </w:rPr>
        <w:t xml:space="preserve">ating </w:t>
      </w:r>
      <w:r w:rsidR="00235FCA">
        <w:rPr>
          <w:rFonts w:asciiTheme="minorHAnsi" w:hAnsiTheme="minorHAnsi"/>
          <w:color w:val="auto"/>
          <w:szCs w:val="24"/>
        </w:rPr>
        <w:t>f</w:t>
      </w:r>
      <w:r w:rsidR="00532FFC">
        <w:rPr>
          <w:rFonts w:asciiTheme="minorHAnsi" w:hAnsiTheme="minorHAnsi"/>
          <w:color w:val="auto"/>
          <w:szCs w:val="24"/>
        </w:rPr>
        <w:t xml:space="preserve">ormula for </w:t>
      </w:r>
      <w:r w:rsidR="00235FCA">
        <w:rPr>
          <w:rFonts w:asciiTheme="minorHAnsi" w:hAnsiTheme="minorHAnsi"/>
          <w:color w:val="auto"/>
          <w:szCs w:val="24"/>
        </w:rPr>
        <w:t>d</w:t>
      </w:r>
      <w:r w:rsidR="00532FFC">
        <w:rPr>
          <w:rFonts w:asciiTheme="minorHAnsi" w:hAnsiTheme="minorHAnsi"/>
          <w:color w:val="auto"/>
          <w:szCs w:val="24"/>
        </w:rPr>
        <w:t xml:space="preserve">iseases and </w:t>
      </w:r>
      <w:r w:rsidR="00235FCA">
        <w:rPr>
          <w:rFonts w:asciiTheme="minorHAnsi" w:hAnsiTheme="minorHAnsi"/>
          <w:color w:val="auto"/>
          <w:szCs w:val="24"/>
        </w:rPr>
        <w:t>i</w:t>
      </w:r>
      <w:r w:rsidR="00532FFC">
        <w:rPr>
          <w:rFonts w:asciiTheme="minorHAnsi" w:hAnsiTheme="minorHAnsi"/>
          <w:color w:val="auto"/>
          <w:szCs w:val="24"/>
        </w:rPr>
        <w:t xml:space="preserve">njuries of the </w:t>
      </w:r>
      <w:r w:rsidR="00235FCA">
        <w:rPr>
          <w:rFonts w:asciiTheme="minorHAnsi" w:hAnsiTheme="minorHAnsi"/>
          <w:color w:val="auto"/>
          <w:szCs w:val="24"/>
        </w:rPr>
        <w:t>s</w:t>
      </w:r>
      <w:r w:rsidR="00532FFC" w:rsidRPr="00292034">
        <w:rPr>
          <w:rFonts w:asciiTheme="minorHAnsi" w:hAnsiTheme="minorHAnsi"/>
          <w:color w:val="auto"/>
          <w:szCs w:val="24"/>
        </w:rPr>
        <w:t xml:space="preserve">pine.  </w:t>
      </w:r>
      <w:r w:rsidR="00064E9A" w:rsidRPr="00292034">
        <w:rPr>
          <w:rFonts w:asciiTheme="minorHAnsi" w:hAnsiTheme="minorHAnsi"/>
          <w:color w:val="auto"/>
          <w:szCs w:val="24"/>
        </w:rPr>
        <w:t xml:space="preserve">The record did not provide evidence the CI’s condition ever </w:t>
      </w:r>
      <w:r w:rsidR="008E066C" w:rsidRPr="00292034">
        <w:rPr>
          <w:rFonts w:asciiTheme="minorHAnsi" w:hAnsiTheme="minorHAnsi"/>
          <w:color w:val="auto"/>
          <w:szCs w:val="24"/>
        </w:rPr>
        <w:t>approached</w:t>
      </w:r>
      <w:r w:rsidR="00064E9A" w:rsidRPr="00292034">
        <w:rPr>
          <w:rFonts w:asciiTheme="minorHAnsi" w:hAnsiTheme="minorHAnsi"/>
          <w:color w:val="auto"/>
          <w:szCs w:val="24"/>
        </w:rPr>
        <w:t xml:space="preserve"> the 40% criteria</w:t>
      </w:r>
      <w:r w:rsidR="00532FFC" w:rsidRPr="00292034">
        <w:rPr>
          <w:rFonts w:asciiTheme="minorHAnsi" w:hAnsiTheme="minorHAnsi"/>
          <w:color w:val="auto"/>
          <w:szCs w:val="24"/>
        </w:rPr>
        <w:t xml:space="preserve"> </w:t>
      </w:r>
      <w:r w:rsidR="008E066C" w:rsidRPr="00292034">
        <w:rPr>
          <w:rFonts w:asciiTheme="minorHAnsi" w:hAnsiTheme="minorHAnsi"/>
          <w:color w:val="auto"/>
          <w:szCs w:val="24"/>
        </w:rPr>
        <w:t xml:space="preserve">(requiring </w:t>
      </w:r>
      <w:r w:rsidR="008E066C" w:rsidRPr="00292034">
        <w:rPr>
          <w:color w:val="auto"/>
          <w:szCs w:val="24"/>
        </w:rPr>
        <w:t>forward flexion of 30 degrees or less, or favorable ankylosis of the entire thoracolumbar spine</w:t>
      </w:r>
      <w:r w:rsidR="008E066C" w:rsidRPr="00292034">
        <w:rPr>
          <w:rFonts w:asciiTheme="minorHAnsi" w:hAnsiTheme="minorHAnsi"/>
          <w:color w:val="auto"/>
          <w:szCs w:val="24"/>
        </w:rPr>
        <w:t xml:space="preserve">) proximate to </w:t>
      </w:r>
      <w:r w:rsidRPr="00292034">
        <w:rPr>
          <w:rFonts w:asciiTheme="minorHAnsi" w:hAnsiTheme="minorHAnsi"/>
          <w:color w:val="auto"/>
          <w:szCs w:val="24"/>
        </w:rPr>
        <w:t>separation</w:t>
      </w:r>
      <w:r w:rsidR="00064E9A" w:rsidRPr="00292034">
        <w:rPr>
          <w:color w:val="auto"/>
          <w:szCs w:val="24"/>
        </w:rPr>
        <w:t>.</w:t>
      </w:r>
      <w:r w:rsidR="00532FFC" w:rsidRPr="00292034">
        <w:rPr>
          <w:color w:val="auto"/>
          <w:szCs w:val="24"/>
        </w:rPr>
        <w:t xml:space="preserve">  </w:t>
      </w:r>
      <w:r w:rsidR="00CF2338" w:rsidRPr="00292034">
        <w:rPr>
          <w:rFonts w:asciiTheme="minorHAnsi" w:hAnsiTheme="minorHAnsi"/>
          <w:color w:val="auto"/>
          <w:szCs w:val="24"/>
        </w:rPr>
        <w:t>All evidence considered</w:t>
      </w:r>
      <w:proofErr w:type="gramStart"/>
      <w:r w:rsidR="00CF2338" w:rsidRPr="00292034">
        <w:rPr>
          <w:rFonts w:asciiTheme="minorHAnsi" w:hAnsiTheme="minorHAnsi"/>
          <w:color w:val="auto"/>
          <w:szCs w:val="24"/>
        </w:rPr>
        <w:t>,</w:t>
      </w:r>
      <w:proofErr w:type="gramEnd"/>
      <w:r w:rsidR="00CF2338" w:rsidRPr="00292034">
        <w:rPr>
          <w:rFonts w:asciiTheme="minorHAnsi" w:hAnsiTheme="minorHAnsi"/>
          <w:color w:val="auto"/>
          <w:szCs w:val="24"/>
        </w:rPr>
        <w:t xml:space="preserve"> there is not reasonable doubt in the</w:t>
      </w:r>
      <w:r w:rsidR="00CF2338" w:rsidRPr="00396779">
        <w:rPr>
          <w:rFonts w:asciiTheme="minorHAnsi" w:hAnsiTheme="minorHAnsi"/>
          <w:color w:val="auto"/>
          <w:szCs w:val="24"/>
        </w:rPr>
        <w:t xml:space="preserve"> CI’s favor supporting a change from the PEB’s rating decision for the </w:t>
      </w:r>
      <w:r w:rsidR="00CF2338">
        <w:rPr>
          <w:rFonts w:asciiTheme="minorHAnsi" w:hAnsiTheme="minorHAnsi"/>
          <w:color w:val="auto"/>
          <w:szCs w:val="24"/>
        </w:rPr>
        <w:t>low back pain</w:t>
      </w:r>
      <w:r w:rsidR="00CF2338" w:rsidRPr="00396779">
        <w:rPr>
          <w:rFonts w:asciiTheme="minorHAnsi" w:hAnsiTheme="minorHAnsi"/>
          <w:color w:val="auto"/>
          <w:szCs w:val="24"/>
        </w:rPr>
        <w:t xml:space="preserve"> condition.</w:t>
      </w:r>
      <w:r w:rsidR="00CF2338">
        <w:rPr>
          <w:rFonts w:asciiTheme="minorHAnsi" w:hAnsiTheme="minorHAnsi"/>
          <w:color w:val="auto"/>
          <w:szCs w:val="24"/>
        </w:rPr>
        <w:t xml:space="preserve">  </w:t>
      </w:r>
    </w:p>
    <w:p w:rsidR="00064E9A" w:rsidRDefault="00064E9A" w:rsidP="00064E9A">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064E9A" w:rsidRDefault="00064E9A" w:rsidP="00235FCA">
      <w:pPr>
        <w:spacing w:line="240" w:lineRule="exact"/>
        <w:jc w:val="both"/>
        <w:rPr>
          <w:color w:val="auto"/>
          <w:szCs w:val="24"/>
        </w:rPr>
      </w:pPr>
      <w:r w:rsidRPr="00CF065F">
        <w:rPr>
          <w:color w:val="auto"/>
          <w:szCs w:val="24"/>
          <w:u w:val="single"/>
        </w:rPr>
        <w:t>LBP Condition (Radiculopathy)</w:t>
      </w:r>
      <w:r w:rsidRPr="00CF065F">
        <w:rPr>
          <w:color w:val="auto"/>
          <w:szCs w:val="24"/>
        </w:rPr>
        <w:t>.  There</w:t>
      </w:r>
      <w:r w:rsidRPr="00BE7FB3">
        <w:rPr>
          <w:color w:val="auto"/>
          <w:szCs w:val="24"/>
        </w:rPr>
        <w:t xml:space="preserve"> </w:t>
      </w:r>
      <w:r w:rsidRPr="00292034">
        <w:rPr>
          <w:color w:val="auto"/>
          <w:szCs w:val="24"/>
        </w:rPr>
        <w:t xml:space="preserve">was no evidence of unfitting peripheral nerve impairment in this case.  The CI endorsed episodic radiation of his pain into his legs, but no leg weakness or </w:t>
      </w:r>
      <w:proofErr w:type="spellStart"/>
      <w:r w:rsidRPr="00292034">
        <w:rPr>
          <w:color w:val="auto"/>
          <w:szCs w:val="24"/>
        </w:rPr>
        <w:t>paresthesias</w:t>
      </w:r>
      <w:proofErr w:type="spellEnd"/>
      <w:r w:rsidRPr="00292034">
        <w:rPr>
          <w:color w:val="auto"/>
          <w:szCs w:val="24"/>
        </w:rPr>
        <w:t>.</w:t>
      </w:r>
      <w:r w:rsidR="008E066C" w:rsidRPr="00292034">
        <w:rPr>
          <w:color w:val="auto"/>
          <w:szCs w:val="24"/>
        </w:rPr>
        <w:t xml:space="preserve">  Any pain </w:t>
      </w:r>
      <w:r w:rsidRPr="00292034">
        <w:rPr>
          <w:color w:val="auto"/>
          <w:szCs w:val="24"/>
        </w:rPr>
        <w:t>radiculopathy is considered above under the CI’s primary unfitting</w:t>
      </w:r>
      <w:r w:rsidR="00235FCA">
        <w:rPr>
          <w:color w:val="auto"/>
          <w:szCs w:val="24"/>
        </w:rPr>
        <w:t xml:space="preserve"> lumbosacral condition IAW the g</w:t>
      </w:r>
      <w:r w:rsidRPr="00292034">
        <w:rPr>
          <w:color w:val="auto"/>
          <w:szCs w:val="24"/>
        </w:rPr>
        <w:t xml:space="preserve">eneral </w:t>
      </w:r>
      <w:r w:rsidR="00235FCA">
        <w:rPr>
          <w:color w:val="auto"/>
          <w:szCs w:val="24"/>
        </w:rPr>
        <w:t>rating formula for diseases and i</w:t>
      </w:r>
      <w:r w:rsidRPr="00292034">
        <w:rPr>
          <w:color w:val="auto"/>
          <w:szCs w:val="24"/>
        </w:rPr>
        <w:t xml:space="preserve">njuries of the </w:t>
      </w:r>
      <w:r w:rsidR="00235FCA">
        <w:rPr>
          <w:color w:val="auto"/>
          <w:szCs w:val="24"/>
        </w:rPr>
        <w:t>s</w:t>
      </w:r>
      <w:r w:rsidRPr="00292034">
        <w:rPr>
          <w:color w:val="auto"/>
          <w:szCs w:val="24"/>
        </w:rPr>
        <w:t>pine, “</w:t>
      </w:r>
      <w:r w:rsidR="00235FCA">
        <w:rPr>
          <w:color w:val="auto"/>
          <w:szCs w:val="24"/>
        </w:rPr>
        <w:t>w</w:t>
      </w:r>
      <w:r w:rsidRPr="00292034">
        <w:rPr>
          <w:color w:val="auto"/>
          <w:szCs w:val="24"/>
        </w:rPr>
        <w:t xml:space="preserve">ith or without symptoms such as pain (whether or not it radiates), stiffness, or aching in the area of the spine affected by residuals of injury or disease.”  </w:t>
      </w:r>
      <w:r w:rsidR="00F108A1" w:rsidRPr="00292034">
        <w:rPr>
          <w:color w:val="auto"/>
          <w:szCs w:val="24"/>
        </w:rPr>
        <w:t xml:space="preserve">Although the MEB diagnosed “other neurological conditions,” there was no evidence of neuropathy.  </w:t>
      </w:r>
      <w:r w:rsidRPr="00292034">
        <w:rPr>
          <w:color w:val="auto"/>
          <w:szCs w:val="24"/>
        </w:rPr>
        <w:t xml:space="preserve">None of the exams in the record noted any sensory deficits, and lower extremity motor function was normal throughout the record, without atrophy or foot drop.  The reported gait abnormalities (requiring a cane to walk) were most likely due to pain and/or muscle spasm, as the neurological evaluations were </w:t>
      </w:r>
      <w:r w:rsidR="00CF2338" w:rsidRPr="00292034">
        <w:rPr>
          <w:color w:val="auto"/>
          <w:szCs w:val="24"/>
        </w:rPr>
        <w:t xml:space="preserve">normal.  </w:t>
      </w:r>
      <w:r w:rsidRPr="00292034">
        <w:rPr>
          <w:color w:val="auto"/>
          <w:szCs w:val="24"/>
        </w:rPr>
        <w:t>This leaves no grounds for Board recommendation of an additionally unfitting neuropathy.  All evidence considered</w:t>
      </w:r>
      <w:proofErr w:type="gramStart"/>
      <w:r w:rsidRPr="00292034">
        <w:rPr>
          <w:color w:val="auto"/>
          <w:szCs w:val="24"/>
        </w:rPr>
        <w:t>,</w:t>
      </w:r>
      <w:proofErr w:type="gramEnd"/>
      <w:r w:rsidRPr="00292034">
        <w:rPr>
          <w:color w:val="auto"/>
          <w:szCs w:val="24"/>
        </w:rPr>
        <w:t xml:space="preserve"> there is not reasonable doubt in the CI’s favor supporting addition of any lower extremity radiculopathy as an unfitting condition for separation rating.</w:t>
      </w:r>
    </w:p>
    <w:p w:rsidR="00064E9A" w:rsidRDefault="00064E9A" w:rsidP="00064E9A">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3A1169" w:rsidRDefault="003A1169" w:rsidP="003A1169">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A56C55">
        <w:rPr>
          <w:rFonts w:asciiTheme="minorHAnsi" w:hAnsiTheme="minorHAnsi"/>
          <w:color w:val="auto"/>
          <w:szCs w:val="24"/>
        </w:rPr>
        <w:t xml:space="preserve"> </w:t>
      </w:r>
      <w:r w:rsidRPr="00F6196E">
        <w:rPr>
          <w:rFonts w:asciiTheme="minorHAnsi" w:hAnsiTheme="minorHAnsi"/>
          <w:color w:val="auto"/>
          <w:szCs w:val="24"/>
        </w:rPr>
        <w:t>No other conditions were noted in the NARSUM or found elsewhere in the DES file</w:t>
      </w:r>
      <w:r>
        <w:rPr>
          <w:rFonts w:asciiTheme="minorHAnsi" w:hAnsiTheme="minorHAnsi"/>
          <w:color w:val="auto"/>
          <w:szCs w:val="24"/>
        </w:rPr>
        <w:t xml:space="preserve">.  </w:t>
      </w:r>
      <w:r w:rsidR="00A56C55">
        <w:rPr>
          <w:rFonts w:asciiTheme="minorHAnsi" w:hAnsiTheme="minorHAnsi"/>
          <w:color w:val="auto"/>
          <w:szCs w:val="24"/>
        </w:rPr>
        <w:t>The V</w:t>
      </w:r>
      <w:r w:rsidR="00235FCA">
        <w:rPr>
          <w:rFonts w:asciiTheme="minorHAnsi" w:hAnsiTheme="minorHAnsi"/>
          <w:color w:val="auto"/>
          <w:szCs w:val="24"/>
        </w:rPr>
        <w:t>A granted a 70% rating for post</w:t>
      </w:r>
      <w:r w:rsidR="00A56C55">
        <w:rPr>
          <w:rFonts w:asciiTheme="minorHAnsi" w:hAnsiTheme="minorHAnsi"/>
          <w:color w:val="auto"/>
          <w:szCs w:val="24"/>
        </w:rPr>
        <w:t xml:space="preserve">traumatic stress disorder (PTSD) effective January 2007 and VA notes indicated a prior diagnosis of depression in 2003; however, no mental health condition was noted in the DES file, the profile was S1, and the commander’s statement indicated good motivation and only back-related physical constraints to full duty.  </w:t>
      </w:r>
      <w:r w:rsidRPr="00F6196E">
        <w:rPr>
          <w:rFonts w:asciiTheme="minorHAnsi" w:hAnsiTheme="minorHAnsi"/>
          <w:color w:val="auto"/>
          <w:szCs w:val="24"/>
        </w:rPr>
        <w:t>The Board does not have the authority under DoDI 6040.44 to render fitness or rating recommendations for any conditions not considered by the DES</w:t>
      </w:r>
      <w:r w:rsidRPr="00B56F3D">
        <w:rPr>
          <w:rFonts w:asciiTheme="minorHAnsi" w:hAnsiTheme="minorHAnsi"/>
          <w:color w:val="auto"/>
          <w:szCs w:val="24"/>
        </w:rPr>
        <w:t>.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DC7E62" w:rsidRPr="00B427BB" w:rsidRDefault="00C56FC8" w:rsidP="00DC7E62">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32FFC">
        <w:rPr>
          <w:rFonts w:asciiTheme="minorHAnsi" w:eastAsiaTheme="minorHAnsi" w:hAnsiTheme="minorHAnsi"/>
          <w:color w:val="auto"/>
          <w:szCs w:val="24"/>
        </w:rPr>
        <w:t xml:space="preserve">  </w:t>
      </w:r>
      <w:r w:rsidR="00DC7E62" w:rsidRPr="00396779">
        <w:rPr>
          <w:rFonts w:asciiTheme="minorHAnsi" w:eastAsiaTheme="minorHAnsi" w:hAnsiTheme="minorHAnsi"/>
          <w:color w:val="auto"/>
          <w:szCs w:val="24"/>
        </w:rPr>
        <w:t xml:space="preserve">The Board did not </w:t>
      </w:r>
      <w:r w:rsidR="00DC7E62" w:rsidRPr="00396779">
        <w:rPr>
          <w:rFonts w:asciiTheme="minorHAnsi" w:eastAsiaTheme="minorHAnsi" w:hAnsiTheme="minorHAnsi"/>
          <w:color w:val="auto"/>
          <w:szCs w:val="24"/>
        </w:rPr>
        <w:lastRenderedPageBreak/>
        <w:t xml:space="preserve">surmise from the record or PEB </w:t>
      </w:r>
      <w:r w:rsidR="00DC7E62" w:rsidRPr="00292034">
        <w:rPr>
          <w:rFonts w:asciiTheme="minorHAnsi" w:eastAsiaTheme="minorHAnsi" w:hAnsiTheme="minorHAnsi"/>
          <w:color w:val="auto"/>
          <w:szCs w:val="24"/>
        </w:rPr>
        <w:t xml:space="preserve">ruling in this case that any prerogatives outside the VASRD were exercised.  In the matter of the </w:t>
      </w:r>
      <w:r w:rsidR="00532FFC" w:rsidRPr="00292034">
        <w:rPr>
          <w:rFonts w:asciiTheme="minorHAnsi" w:eastAsiaTheme="minorHAnsi" w:hAnsiTheme="minorHAnsi"/>
          <w:color w:val="auto"/>
          <w:szCs w:val="24"/>
        </w:rPr>
        <w:t xml:space="preserve">low back </w:t>
      </w:r>
      <w:r w:rsidR="00DC7E62" w:rsidRPr="00292034">
        <w:rPr>
          <w:rFonts w:asciiTheme="minorHAnsi" w:eastAsiaTheme="minorHAnsi" w:hAnsiTheme="minorHAnsi"/>
          <w:color w:val="auto"/>
          <w:szCs w:val="24"/>
        </w:rPr>
        <w:t xml:space="preserve">condition and </w:t>
      </w:r>
      <w:r w:rsidR="00DC7E62" w:rsidRPr="00292034">
        <w:rPr>
          <w:rFonts w:asciiTheme="minorHAnsi" w:hAnsiTheme="minorHAnsi"/>
          <w:color w:val="auto"/>
          <w:szCs w:val="24"/>
        </w:rPr>
        <w:t>IAW VASRD §4.71a</w:t>
      </w:r>
      <w:r w:rsidR="00DC7E62" w:rsidRPr="00292034">
        <w:rPr>
          <w:rFonts w:asciiTheme="minorHAnsi" w:eastAsiaTheme="minorHAnsi" w:hAnsiTheme="minorHAnsi"/>
          <w:color w:val="auto"/>
          <w:szCs w:val="24"/>
        </w:rPr>
        <w:t>, the Board unanimously recommends no change in the PEB adjudication</w:t>
      </w:r>
      <w:r w:rsidR="00DC7E62" w:rsidRPr="00292034">
        <w:rPr>
          <w:rFonts w:asciiTheme="minorHAnsi" w:hAnsiTheme="minorHAnsi"/>
          <w:color w:val="auto"/>
          <w:szCs w:val="24"/>
        </w:rPr>
        <w:t>.  The Board unanimously agrees that there were no other conditions eligible for Board consideration which could be recommended as additionally unfitting for rating at s</w:t>
      </w:r>
      <w:r w:rsidR="00DC7E62" w:rsidRPr="00B427BB">
        <w:rPr>
          <w:rFonts w:asciiTheme="minorHAnsi" w:hAnsiTheme="minorHAnsi"/>
          <w:color w:val="auto"/>
          <w:szCs w:val="24"/>
        </w:rPr>
        <w:t>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6B4AA2" w:rsidRPr="003A1169" w:rsidRDefault="00C56FC8" w:rsidP="003A1169">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3A1169">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292034">
        <w:rPr>
          <w:rFonts w:asciiTheme="minorHAnsi" w:hAnsiTheme="minorHAnsi"/>
          <w:color w:val="auto"/>
          <w:szCs w:val="24"/>
        </w:rPr>
        <w:t>.</w:t>
      </w:r>
    </w:p>
    <w:p w:rsidR="004101B2" w:rsidRPr="00A56C55"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292034" w:rsidTr="00103948">
        <w:trPr>
          <w:trHeight w:val="233"/>
          <w:jc w:val="center"/>
        </w:trPr>
        <w:tc>
          <w:tcPr>
            <w:tcW w:w="6480" w:type="dxa"/>
            <w:shd w:val="clear" w:color="auto" w:fill="D9D9D9"/>
            <w:vAlign w:val="center"/>
          </w:tcPr>
          <w:p w:rsidR="00A95BBA" w:rsidRPr="00292034" w:rsidRDefault="00A95BBA" w:rsidP="00103948">
            <w:pPr>
              <w:tabs>
                <w:tab w:val="left" w:pos="288"/>
                <w:tab w:val="left" w:pos="4752"/>
              </w:tabs>
              <w:spacing w:line="240" w:lineRule="exact"/>
              <w:jc w:val="center"/>
              <w:rPr>
                <w:rFonts w:asciiTheme="minorHAnsi" w:hAnsiTheme="minorHAnsi"/>
                <w:b/>
                <w:color w:val="auto"/>
                <w:szCs w:val="24"/>
              </w:rPr>
            </w:pPr>
            <w:r w:rsidRPr="00292034">
              <w:rPr>
                <w:rFonts w:asciiTheme="minorHAnsi" w:hAnsiTheme="minorHAnsi"/>
                <w:b/>
                <w:color w:val="auto"/>
                <w:szCs w:val="24"/>
              </w:rPr>
              <w:t>UNFITTING CONDITION</w:t>
            </w:r>
          </w:p>
        </w:tc>
        <w:tc>
          <w:tcPr>
            <w:tcW w:w="1710" w:type="dxa"/>
            <w:shd w:val="clear" w:color="auto" w:fill="D9D9D9"/>
            <w:vAlign w:val="center"/>
          </w:tcPr>
          <w:p w:rsidR="00A95BBA" w:rsidRPr="00292034" w:rsidRDefault="00A95BBA" w:rsidP="00103948">
            <w:pPr>
              <w:tabs>
                <w:tab w:val="left" w:pos="288"/>
                <w:tab w:val="left" w:pos="4752"/>
              </w:tabs>
              <w:spacing w:line="240" w:lineRule="exact"/>
              <w:jc w:val="center"/>
              <w:rPr>
                <w:rFonts w:asciiTheme="minorHAnsi" w:hAnsiTheme="minorHAnsi"/>
                <w:b/>
                <w:color w:val="auto"/>
                <w:szCs w:val="24"/>
              </w:rPr>
            </w:pPr>
            <w:r w:rsidRPr="00292034">
              <w:rPr>
                <w:rFonts w:asciiTheme="minorHAnsi" w:hAnsiTheme="minorHAnsi"/>
                <w:b/>
                <w:color w:val="auto"/>
                <w:szCs w:val="24"/>
              </w:rPr>
              <w:t>VASRD CODE</w:t>
            </w:r>
          </w:p>
        </w:tc>
        <w:tc>
          <w:tcPr>
            <w:tcW w:w="1170" w:type="dxa"/>
            <w:shd w:val="clear" w:color="auto" w:fill="D9D9D9"/>
            <w:vAlign w:val="center"/>
          </w:tcPr>
          <w:p w:rsidR="00A95BBA" w:rsidRPr="00292034" w:rsidRDefault="00A95BBA" w:rsidP="00103948">
            <w:pPr>
              <w:tabs>
                <w:tab w:val="left" w:pos="288"/>
                <w:tab w:val="left" w:pos="4752"/>
              </w:tabs>
              <w:spacing w:line="240" w:lineRule="exact"/>
              <w:jc w:val="center"/>
              <w:rPr>
                <w:rFonts w:asciiTheme="minorHAnsi" w:hAnsiTheme="minorHAnsi"/>
                <w:b/>
                <w:color w:val="auto"/>
                <w:szCs w:val="24"/>
              </w:rPr>
            </w:pPr>
            <w:r w:rsidRPr="00292034">
              <w:rPr>
                <w:rFonts w:asciiTheme="minorHAnsi" w:hAnsiTheme="minorHAnsi"/>
                <w:b/>
                <w:color w:val="auto"/>
                <w:szCs w:val="24"/>
              </w:rPr>
              <w:t>RATING</w:t>
            </w:r>
          </w:p>
        </w:tc>
      </w:tr>
      <w:tr w:rsidR="00A95BBA" w:rsidRPr="00292034" w:rsidTr="00103948">
        <w:trPr>
          <w:jc w:val="center"/>
        </w:trPr>
        <w:tc>
          <w:tcPr>
            <w:tcW w:w="6480" w:type="dxa"/>
            <w:vAlign w:val="center"/>
          </w:tcPr>
          <w:p w:rsidR="00A95BBA" w:rsidRPr="00292034" w:rsidRDefault="003A1169" w:rsidP="00103948">
            <w:pPr>
              <w:tabs>
                <w:tab w:val="left" w:pos="288"/>
                <w:tab w:val="left" w:pos="4752"/>
              </w:tabs>
              <w:spacing w:line="240" w:lineRule="exact"/>
              <w:rPr>
                <w:rFonts w:asciiTheme="minorHAnsi" w:hAnsiTheme="minorHAnsi"/>
                <w:color w:val="auto"/>
                <w:szCs w:val="24"/>
              </w:rPr>
            </w:pPr>
            <w:r w:rsidRPr="00292034">
              <w:rPr>
                <w:rFonts w:asciiTheme="minorHAnsi" w:hAnsiTheme="minorHAnsi"/>
                <w:color w:val="auto"/>
                <w:szCs w:val="24"/>
              </w:rPr>
              <w:t>Chronic LBP Associated with DDD and Lumbar Spondylosis</w:t>
            </w:r>
          </w:p>
        </w:tc>
        <w:tc>
          <w:tcPr>
            <w:tcW w:w="1710" w:type="dxa"/>
            <w:vAlign w:val="center"/>
          </w:tcPr>
          <w:p w:rsidR="00A95BBA" w:rsidRPr="00292034" w:rsidRDefault="003A1169" w:rsidP="003A1169">
            <w:pPr>
              <w:tabs>
                <w:tab w:val="left" w:pos="288"/>
                <w:tab w:val="left" w:pos="4752"/>
              </w:tabs>
              <w:spacing w:line="240" w:lineRule="exact"/>
              <w:jc w:val="center"/>
              <w:rPr>
                <w:rFonts w:asciiTheme="minorHAnsi" w:hAnsiTheme="minorHAnsi"/>
                <w:color w:val="auto"/>
                <w:szCs w:val="24"/>
              </w:rPr>
            </w:pPr>
            <w:r w:rsidRPr="00292034">
              <w:rPr>
                <w:rFonts w:asciiTheme="minorHAnsi" w:hAnsiTheme="minorHAnsi"/>
                <w:color w:val="auto"/>
                <w:szCs w:val="24"/>
              </w:rPr>
              <w:t>5299-5243</w:t>
            </w:r>
          </w:p>
        </w:tc>
        <w:tc>
          <w:tcPr>
            <w:tcW w:w="1170" w:type="dxa"/>
            <w:vAlign w:val="center"/>
          </w:tcPr>
          <w:p w:rsidR="00A95BBA" w:rsidRPr="00292034" w:rsidRDefault="003A1169" w:rsidP="00103948">
            <w:pPr>
              <w:tabs>
                <w:tab w:val="left" w:pos="288"/>
                <w:tab w:val="left" w:pos="4752"/>
              </w:tabs>
              <w:spacing w:line="240" w:lineRule="exact"/>
              <w:jc w:val="center"/>
              <w:rPr>
                <w:rFonts w:asciiTheme="minorHAnsi" w:hAnsiTheme="minorHAnsi"/>
                <w:color w:val="auto"/>
                <w:szCs w:val="24"/>
              </w:rPr>
            </w:pPr>
            <w:r w:rsidRPr="00292034">
              <w:rPr>
                <w:rFonts w:asciiTheme="minorHAnsi" w:hAnsiTheme="minorHAnsi"/>
                <w:color w:val="auto"/>
                <w:szCs w:val="24"/>
              </w:rPr>
              <w:t>2</w:t>
            </w:r>
            <w:r w:rsidR="00A95BBA" w:rsidRPr="00292034">
              <w:rPr>
                <w:rFonts w:asciiTheme="minorHAnsi" w:hAnsiTheme="minorHAnsi"/>
                <w:color w:val="auto"/>
                <w:szCs w:val="24"/>
              </w:rPr>
              <w:t>0%</w:t>
            </w:r>
          </w:p>
        </w:tc>
      </w:tr>
      <w:tr w:rsidR="00A95BBA" w:rsidRPr="00292034"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92034" w:rsidRDefault="00A95BBA" w:rsidP="00103948">
            <w:pPr>
              <w:tabs>
                <w:tab w:val="left" w:pos="288"/>
                <w:tab w:val="left" w:pos="4752"/>
              </w:tabs>
              <w:spacing w:line="240" w:lineRule="exact"/>
              <w:jc w:val="center"/>
              <w:rPr>
                <w:rFonts w:asciiTheme="minorHAnsi" w:hAnsiTheme="minorHAnsi"/>
                <w:b/>
                <w:color w:val="auto"/>
                <w:szCs w:val="24"/>
              </w:rPr>
            </w:pPr>
            <w:r w:rsidRPr="0029203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92034" w:rsidRDefault="003A1169" w:rsidP="00103948">
            <w:pPr>
              <w:tabs>
                <w:tab w:val="left" w:pos="288"/>
                <w:tab w:val="left" w:pos="4752"/>
              </w:tabs>
              <w:spacing w:line="240" w:lineRule="exact"/>
              <w:jc w:val="center"/>
              <w:rPr>
                <w:rFonts w:asciiTheme="minorHAnsi" w:hAnsiTheme="minorHAnsi"/>
                <w:b/>
                <w:color w:val="auto"/>
                <w:szCs w:val="24"/>
              </w:rPr>
            </w:pPr>
            <w:r w:rsidRPr="00292034">
              <w:rPr>
                <w:rFonts w:asciiTheme="minorHAnsi" w:hAnsiTheme="minorHAnsi"/>
                <w:b/>
                <w:color w:val="auto"/>
                <w:szCs w:val="24"/>
              </w:rPr>
              <w:t>2</w:t>
            </w:r>
            <w:r w:rsidR="00A95BBA" w:rsidRPr="00292034">
              <w:rPr>
                <w:rFonts w:asciiTheme="minorHAnsi" w:hAnsiTheme="minorHAnsi"/>
                <w:b/>
                <w:color w:val="auto"/>
                <w:szCs w:val="24"/>
              </w:rPr>
              <w:t>0%</w:t>
            </w:r>
          </w:p>
        </w:tc>
      </w:tr>
    </w:tbl>
    <w:p w:rsidR="00A56C55" w:rsidRPr="00292034" w:rsidRDefault="00A56C55" w:rsidP="00A56C5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56C55" w:rsidRPr="00292034" w:rsidRDefault="00A56C55" w:rsidP="00A56C55">
      <w:pPr>
        <w:spacing w:line="240" w:lineRule="exact"/>
        <w:rPr>
          <w:rFonts w:asciiTheme="minorHAnsi" w:hAnsiTheme="minorHAnsi"/>
          <w:color w:val="auto"/>
          <w:szCs w:val="24"/>
          <w:u w:val="single"/>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sidRPr="00292034">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2380D">
        <w:rPr>
          <w:rFonts w:asciiTheme="minorHAnsi" w:hAnsiTheme="minorHAnsi"/>
          <w:color w:val="auto"/>
        </w:rPr>
        <w:t>100319</w:t>
      </w:r>
      <w:r w:rsidR="00235FCA">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r w:rsidR="00235FCA">
        <w:rPr>
          <w:rFonts w:asciiTheme="minorHAnsi" w:hAnsiTheme="minorHAnsi"/>
          <w:color w:val="auto"/>
        </w:rPr>
        <w:t>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35FCA">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Default="00114F20" w:rsidP="00510F9C">
      <w:pPr>
        <w:tabs>
          <w:tab w:val="left" w:pos="288"/>
          <w:tab w:val="left" w:pos="4752"/>
        </w:tabs>
        <w:spacing w:line="240" w:lineRule="exact"/>
        <w:jc w:val="both"/>
        <w:rPr>
          <w:rFonts w:asciiTheme="minorHAnsi" w:hAnsiTheme="minorHAnsi"/>
          <w:color w:val="auto"/>
        </w:rPr>
      </w:pPr>
    </w:p>
    <w:p w:rsidR="000341D5" w:rsidRDefault="000341D5" w:rsidP="00510F9C">
      <w:pPr>
        <w:tabs>
          <w:tab w:val="left" w:pos="288"/>
          <w:tab w:val="left" w:pos="4752"/>
        </w:tabs>
        <w:spacing w:line="240" w:lineRule="exact"/>
        <w:jc w:val="both"/>
        <w:rPr>
          <w:rFonts w:asciiTheme="minorHAnsi" w:hAnsiTheme="minorHAnsi"/>
          <w:color w:val="auto"/>
        </w:rPr>
      </w:pPr>
    </w:p>
    <w:p w:rsidR="000341D5" w:rsidRPr="00006186" w:rsidRDefault="000341D5" w:rsidP="00510F9C">
      <w:pPr>
        <w:tabs>
          <w:tab w:val="left" w:pos="288"/>
          <w:tab w:val="left" w:pos="4752"/>
        </w:tabs>
        <w:spacing w:line="240" w:lineRule="exact"/>
        <w:jc w:val="both"/>
        <w:rPr>
          <w:rFonts w:asciiTheme="minorHAnsi" w:hAnsiTheme="minorHAnsi"/>
          <w:color w:val="auto"/>
        </w:rPr>
      </w:pPr>
    </w:p>
    <w:p w:rsidR="000341D5" w:rsidRPr="00DE2CDE" w:rsidRDefault="000341D5" w:rsidP="000341D5">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r>
      <w:r w:rsidR="0007421E">
        <w:rPr>
          <w:rFonts w:asciiTheme="minorHAnsi" w:hAnsiTheme="minorHAnsi"/>
          <w:color w:val="auto"/>
        </w:rPr>
        <w:t>XXXXXXXXXXXXXXXXXXXX</w:t>
      </w:r>
    </w:p>
    <w:p w:rsidR="000341D5" w:rsidRPr="00DE2CDE" w:rsidRDefault="000341D5" w:rsidP="000341D5">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07421E" w:rsidRDefault="000341D5" w:rsidP="000341D5">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07421E" w:rsidRDefault="0007421E">
      <w:pPr>
        <w:rPr>
          <w:rFonts w:asciiTheme="minorHAnsi" w:hAnsiTheme="minorHAnsi"/>
          <w:color w:val="auto"/>
        </w:rPr>
      </w:pPr>
      <w:r>
        <w:rPr>
          <w:rFonts w:asciiTheme="minorHAnsi" w:hAnsiTheme="minorHAnsi"/>
          <w:color w:val="auto"/>
        </w:rPr>
        <w:br w:type="page"/>
      </w:r>
    </w:p>
    <w:p w:rsidR="0007421E" w:rsidRPr="0007421E" w:rsidRDefault="0007421E" w:rsidP="0007421E">
      <w:pPr>
        <w:tabs>
          <w:tab w:val="left" w:pos="576"/>
        </w:tabs>
        <w:spacing w:line="240" w:lineRule="exact"/>
        <w:ind w:right="-1080"/>
        <w:rPr>
          <w:rFonts w:ascii="Times New Roman" w:hAnsi="Times New Roman"/>
          <w:color w:val="auto"/>
        </w:rPr>
      </w:pPr>
      <w:r w:rsidRPr="0007421E">
        <w:rPr>
          <w:rFonts w:ascii="Times New Roman" w:hAnsi="Times New Roman"/>
          <w:color w:val="auto"/>
        </w:rPr>
        <w:lastRenderedPageBreak/>
        <w:t>SAF/MRB</w:t>
      </w:r>
    </w:p>
    <w:p w:rsidR="0007421E" w:rsidRPr="0007421E" w:rsidRDefault="0007421E" w:rsidP="0007421E">
      <w:pPr>
        <w:tabs>
          <w:tab w:val="left" w:pos="576"/>
        </w:tabs>
        <w:spacing w:line="240" w:lineRule="exact"/>
        <w:ind w:right="-1080"/>
        <w:rPr>
          <w:rFonts w:ascii="Times New Roman" w:hAnsi="Times New Roman"/>
          <w:color w:val="auto"/>
        </w:rPr>
      </w:pPr>
      <w:r w:rsidRPr="0007421E">
        <w:rPr>
          <w:rFonts w:ascii="Times New Roman" w:hAnsi="Times New Roman"/>
          <w:color w:val="auto"/>
        </w:rPr>
        <w:t>1500 West Perimeter Road, Suite 3700</w:t>
      </w:r>
    </w:p>
    <w:p w:rsidR="0007421E" w:rsidRPr="0007421E" w:rsidRDefault="0007421E" w:rsidP="0007421E">
      <w:pPr>
        <w:tabs>
          <w:tab w:val="left" w:pos="576"/>
        </w:tabs>
        <w:spacing w:line="240" w:lineRule="exact"/>
        <w:ind w:right="-1080"/>
        <w:rPr>
          <w:rFonts w:ascii="Times New Roman" w:hAnsi="Times New Roman"/>
          <w:color w:val="auto"/>
        </w:rPr>
      </w:pPr>
      <w:r w:rsidRPr="0007421E">
        <w:rPr>
          <w:rFonts w:ascii="Times New Roman" w:hAnsi="Times New Roman"/>
          <w:color w:val="auto"/>
        </w:rPr>
        <w:t>Joint Base Andrews MD  20762</w:t>
      </w:r>
    </w:p>
    <w:p w:rsidR="0007421E" w:rsidRPr="0007421E" w:rsidRDefault="0007421E" w:rsidP="0007421E">
      <w:pPr>
        <w:tabs>
          <w:tab w:val="left" w:pos="576"/>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r w:rsidRPr="0007421E">
        <w:rPr>
          <w:rFonts w:ascii="Times New Roman" w:hAnsi="Times New Roman"/>
          <w:color w:val="auto"/>
        </w:rPr>
        <w:t xml:space="preserve">Dear </w:t>
      </w:r>
      <w:r>
        <w:rPr>
          <w:rFonts w:ascii="Times New Roman" w:hAnsi="Times New Roman"/>
          <w:color w:val="auto"/>
        </w:rPr>
        <w:t>X</w:t>
      </w:r>
      <w:r w:rsidR="00043791">
        <w:rPr>
          <w:rFonts w:ascii="Times New Roman" w:hAnsi="Times New Roman"/>
          <w:color w:val="auto"/>
        </w:rPr>
        <w:t>XXXXXXXXX</w:t>
      </w: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360"/>
        <w:rPr>
          <w:rFonts w:ascii="Times New Roman" w:hAnsi="Times New Roman"/>
          <w:color w:val="auto"/>
        </w:rPr>
      </w:pPr>
      <w:r w:rsidRPr="0007421E">
        <w:rPr>
          <w:rFonts w:ascii="Times New Roman" w:hAnsi="Times New Roman"/>
          <w:color w:val="auto"/>
        </w:rPr>
        <w:tab/>
        <w:t>Reference your application submitted under the provisions of DoDI 6040.44 (Title 10 U.S.C. §</w:t>
      </w:r>
      <w:proofErr w:type="gramStart"/>
      <w:r w:rsidRPr="0007421E">
        <w:rPr>
          <w:rFonts w:ascii="Times New Roman" w:hAnsi="Times New Roman"/>
          <w:color w:val="auto"/>
        </w:rPr>
        <w:t>  1554a</w:t>
      </w:r>
      <w:proofErr w:type="gramEnd"/>
      <w:r w:rsidRPr="0007421E">
        <w:rPr>
          <w:rFonts w:ascii="Times New Roman" w:hAnsi="Times New Roman"/>
          <w:color w:val="auto"/>
        </w:rPr>
        <w:t>), PDBR Case Number PD-2010-00364</w:t>
      </w: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360"/>
        <w:rPr>
          <w:rFonts w:ascii="Times New Roman" w:hAnsi="Times New Roman"/>
          <w:color w:val="auto"/>
        </w:rPr>
      </w:pPr>
      <w:r w:rsidRPr="0007421E">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rPr>
          <w:rFonts w:ascii="Times New Roman" w:hAnsi="Times New Roman"/>
          <w:color w:val="auto"/>
        </w:rPr>
      </w:pPr>
      <w:r w:rsidRPr="0007421E">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07421E" w:rsidRPr="0007421E" w:rsidRDefault="0007421E" w:rsidP="0007421E">
      <w:pPr>
        <w:tabs>
          <w:tab w:val="left" w:pos="720"/>
        </w:tabs>
        <w:spacing w:line="240" w:lineRule="exact"/>
        <w:ind w:right="-36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r w:rsidRPr="0007421E">
        <w:rPr>
          <w:rFonts w:ascii="Times New Roman" w:hAnsi="Times New Roman"/>
          <w:color w:val="auto"/>
        </w:rPr>
        <w:tab/>
      </w:r>
      <w:r w:rsidRPr="0007421E">
        <w:rPr>
          <w:rFonts w:ascii="Times New Roman" w:hAnsi="Times New Roman"/>
          <w:color w:val="auto"/>
        </w:rPr>
        <w:tab/>
      </w:r>
      <w:r w:rsidRPr="0007421E">
        <w:rPr>
          <w:rFonts w:ascii="Times New Roman" w:hAnsi="Times New Roman"/>
          <w:color w:val="auto"/>
        </w:rPr>
        <w:tab/>
      </w:r>
      <w:r w:rsidRPr="0007421E">
        <w:rPr>
          <w:rFonts w:ascii="Times New Roman" w:hAnsi="Times New Roman"/>
          <w:color w:val="auto"/>
        </w:rPr>
        <w:tab/>
      </w:r>
      <w:r w:rsidRPr="0007421E">
        <w:rPr>
          <w:rFonts w:ascii="Times New Roman" w:hAnsi="Times New Roman"/>
          <w:color w:val="auto"/>
        </w:rPr>
        <w:tab/>
      </w:r>
      <w:r w:rsidRPr="0007421E">
        <w:rPr>
          <w:rFonts w:ascii="Times New Roman" w:hAnsi="Times New Roman"/>
          <w:color w:val="auto"/>
        </w:rPr>
        <w:tab/>
      </w:r>
      <w:r w:rsidRPr="0007421E">
        <w:rPr>
          <w:rFonts w:ascii="Times New Roman" w:hAnsi="Times New Roman"/>
          <w:color w:val="auto"/>
        </w:rPr>
        <w:tab/>
        <w:t>Sincerely,</w:t>
      </w: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left="5040" w:right="-1080"/>
        <w:rPr>
          <w:rFonts w:ascii="Times New Roman" w:hAnsi="Times New Roman"/>
          <w:color w:val="auto"/>
        </w:rPr>
      </w:pPr>
      <w:r>
        <w:rPr>
          <w:rFonts w:ascii="Times New Roman" w:hAnsi="Times New Roman"/>
          <w:color w:val="auto"/>
        </w:rPr>
        <w:t>X</w:t>
      </w:r>
      <w:r w:rsidR="00043791">
        <w:rPr>
          <w:rFonts w:ascii="Times New Roman" w:hAnsi="Times New Roman"/>
          <w:color w:val="auto"/>
        </w:rPr>
        <w:t>XXXXXXXXXX</w:t>
      </w:r>
    </w:p>
    <w:p w:rsidR="0007421E" w:rsidRPr="0007421E" w:rsidRDefault="0007421E" w:rsidP="0007421E">
      <w:pPr>
        <w:tabs>
          <w:tab w:val="left" w:pos="720"/>
        </w:tabs>
        <w:spacing w:line="240" w:lineRule="exact"/>
        <w:ind w:left="5040" w:right="-1080"/>
        <w:rPr>
          <w:rFonts w:ascii="Times New Roman" w:hAnsi="Times New Roman"/>
          <w:color w:val="auto"/>
        </w:rPr>
      </w:pPr>
      <w:r w:rsidRPr="0007421E">
        <w:rPr>
          <w:rFonts w:ascii="Times New Roman" w:hAnsi="Times New Roman"/>
          <w:color w:val="auto"/>
        </w:rPr>
        <w:t>Director</w:t>
      </w:r>
    </w:p>
    <w:p w:rsidR="0007421E" w:rsidRPr="0007421E" w:rsidRDefault="0007421E" w:rsidP="0007421E">
      <w:pPr>
        <w:tabs>
          <w:tab w:val="left" w:pos="720"/>
        </w:tabs>
        <w:spacing w:line="240" w:lineRule="exact"/>
        <w:ind w:left="5040" w:right="-1080"/>
        <w:rPr>
          <w:rFonts w:ascii="Times New Roman" w:hAnsi="Times New Roman"/>
          <w:color w:val="auto"/>
        </w:rPr>
      </w:pPr>
      <w:r w:rsidRPr="0007421E">
        <w:rPr>
          <w:rFonts w:ascii="Times New Roman" w:hAnsi="Times New Roman"/>
          <w:color w:val="auto"/>
        </w:rPr>
        <w:t>Air Force Review Boards Agency</w:t>
      </w:r>
    </w:p>
    <w:p w:rsidR="0007421E" w:rsidRPr="0007421E" w:rsidRDefault="0007421E" w:rsidP="0007421E">
      <w:pPr>
        <w:tabs>
          <w:tab w:val="left" w:pos="720"/>
        </w:tabs>
        <w:spacing w:line="240" w:lineRule="exact"/>
        <w:ind w:right="-1080"/>
        <w:rPr>
          <w:rFonts w:ascii="Times New Roman" w:hAnsi="Times New Roman"/>
          <w:color w:val="auto"/>
        </w:rPr>
      </w:pPr>
    </w:p>
    <w:p w:rsidR="0007421E" w:rsidRPr="0007421E" w:rsidRDefault="0007421E" w:rsidP="0007421E">
      <w:pPr>
        <w:tabs>
          <w:tab w:val="left" w:pos="720"/>
        </w:tabs>
        <w:spacing w:line="240" w:lineRule="exact"/>
        <w:ind w:right="-1080"/>
        <w:rPr>
          <w:rFonts w:ascii="Times New Roman" w:hAnsi="Times New Roman"/>
          <w:color w:val="auto"/>
        </w:rPr>
      </w:pPr>
      <w:r w:rsidRPr="0007421E">
        <w:rPr>
          <w:rFonts w:ascii="Times New Roman" w:hAnsi="Times New Roman"/>
          <w:color w:val="auto"/>
        </w:rPr>
        <w:t>Attachment:</w:t>
      </w:r>
    </w:p>
    <w:p w:rsidR="0007421E" w:rsidRPr="0007421E" w:rsidRDefault="0007421E" w:rsidP="0007421E">
      <w:pPr>
        <w:tabs>
          <w:tab w:val="left" w:pos="720"/>
        </w:tabs>
        <w:spacing w:line="240" w:lineRule="exact"/>
        <w:ind w:right="-1080"/>
        <w:rPr>
          <w:rFonts w:ascii="Times New Roman" w:hAnsi="Times New Roman"/>
          <w:color w:val="auto"/>
        </w:rPr>
      </w:pPr>
      <w:r w:rsidRPr="0007421E">
        <w:rPr>
          <w:rFonts w:ascii="Times New Roman" w:hAnsi="Times New Roman"/>
          <w:color w:val="auto"/>
        </w:rPr>
        <w:t>Record of Proceedings</w:t>
      </w:r>
    </w:p>
    <w:p w:rsidR="000341D5" w:rsidRDefault="000341D5" w:rsidP="000341D5">
      <w:pPr>
        <w:tabs>
          <w:tab w:val="left" w:pos="0"/>
          <w:tab w:val="left" w:pos="4320"/>
        </w:tabs>
        <w:spacing w:line="240" w:lineRule="exact"/>
        <w:jc w:val="both"/>
        <w:rPr>
          <w:rFonts w:asciiTheme="minorHAnsi" w:hAnsiTheme="minorHAnsi"/>
          <w:color w:val="auto"/>
        </w:rPr>
      </w:pPr>
    </w:p>
    <w:sectPr w:rsidR="000341D5"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58" w:rsidRDefault="00007858">
      <w:r>
        <w:separator/>
      </w:r>
    </w:p>
  </w:endnote>
  <w:endnote w:type="continuationSeparator" w:id="0">
    <w:p w:rsidR="00007858" w:rsidRDefault="00007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56C55" w:rsidRPr="00684CE6" w:rsidRDefault="00DF57F6" w:rsidP="00F65ED5">
        <w:pPr>
          <w:pStyle w:val="Footer"/>
          <w:jc w:val="right"/>
          <w:rPr>
            <w:color w:val="auto"/>
          </w:rPr>
        </w:pPr>
        <w:r w:rsidRPr="00684CE6">
          <w:rPr>
            <w:color w:val="auto"/>
          </w:rPr>
          <w:fldChar w:fldCharType="begin"/>
        </w:r>
        <w:r w:rsidR="00A56C55" w:rsidRPr="00684CE6">
          <w:rPr>
            <w:color w:val="auto"/>
          </w:rPr>
          <w:instrText xml:space="preserve"> PAGE   \* MERGEFORMAT </w:instrText>
        </w:r>
        <w:r w:rsidRPr="00684CE6">
          <w:rPr>
            <w:color w:val="auto"/>
          </w:rPr>
          <w:fldChar w:fldCharType="separate"/>
        </w:r>
        <w:r w:rsidR="00043791">
          <w:rPr>
            <w:noProof/>
            <w:color w:val="auto"/>
          </w:rPr>
          <w:t>5</w:t>
        </w:r>
        <w:r w:rsidRPr="00684CE6">
          <w:rPr>
            <w:color w:val="auto"/>
          </w:rPr>
          <w:fldChar w:fldCharType="end"/>
        </w:r>
        <w:r w:rsidR="00A56C55" w:rsidRPr="00684CE6">
          <w:rPr>
            <w:color w:val="auto"/>
          </w:rPr>
          <w:t xml:space="preserve">                                                           PD</w:t>
        </w:r>
        <w:r w:rsidR="00A56C55" w:rsidRPr="00FB5E8E">
          <w:rPr>
            <w:color w:val="auto"/>
          </w:rPr>
          <w:t>10003</w:t>
        </w:r>
        <w:r w:rsidR="00A56C55">
          <w:rPr>
            <w:color w:val="auto"/>
          </w:rPr>
          <w:t>64</w:t>
        </w:r>
      </w:p>
    </w:sdtContent>
  </w:sdt>
  <w:p w:rsidR="00A56C55" w:rsidRPr="00684CE6" w:rsidRDefault="00A56C5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58" w:rsidRDefault="00007858">
      <w:r>
        <w:separator/>
      </w:r>
    </w:p>
  </w:footnote>
  <w:footnote w:type="continuationSeparator" w:id="0">
    <w:p w:rsidR="00007858" w:rsidRDefault="00007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913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858"/>
    <w:rsid w:val="00010ABA"/>
    <w:rsid w:val="00010B0F"/>
    <w:rsid w:val="00012428"/>
    <w:rsid w:val="00012733"/>
    <w:rsid w:val="00013417"/>
    <w:rsid w:val="000145C2"/>
    <w:rsid w:val="0001473F"/>
    <w:rsid w:val="00014A9E"/>
    <w:rsid w:val="00021361"/>
    <w:rsid w:val="00021DC5"/>
    <w:rsid w:val="00022CF3"/>
    <w:rsid w:val="00023913"/>
    <w:rsid w:val="00023D43"/>
    <w:rsid w:val="00024DE7"/>
    <w:rsid w:val="00026092"/>
    <w:rsid w:val="00030776"/>
    <w:rsid w:val="00032E07"/>
    <w:rsid w:val="000332CA"/>
    <w:rsid w:val="0003374E"/>
    <w:rsid w:val="000341D5"/>
    <w:rsid w:val="000344D8"/>
    <w:rsid w:val="000344E6"/>
    <w:rsid w:val="00035C3A"/>
    <w:rsid w:val="00036E4B"/>
    <w:rsid w:val="00037929"/>
    <w:rsid w:val="000379D0"/>
    <w:rsid w:val="00040FC4"/>
    <w:rsid w:val="000416F8"/>
    <w:rsid w:val="00042C26"/>
    <w:rsid w:val="00043382"/>
    <w:rsid w:val="00043791"/>
    <w:rsid w:val="00044623"/>
    <w:rsid w:val="000452D7"/>
    <w:rsid w:val="00051622"/>
    <w:rsid w:val="00051A11"/>
    <w:rsid w:val="00052234"/>
    <w:rsid w:val="00053D7C"/>
    <w:rsid w:val="000575C5"/>
    <w:rsid w:val="000577C9"/>
    <w:rsid w:val="00060FFD"/>
    <w:rsid w:val="0006431E"/>
    <w:rsid w:val="00064E9A"/>
    <w:rsid w:val="000652EA"/>
    <w:rsid w:val="00065E21"/>
    <w:rsid w:val="000673ED"/>
    <w:rsid w:val="00070DED"/>
    <w:rsid w:val="00072433"/>
    <w:rsid w:val="0007421E"/>
    <w:rsid w:val="0007488B"/>
    <w:rsid w:val="00075702"/>
    <w:rsid w:val="00075A0C"/>
    <w:rsid w:val="000771BF"/>
    <w:rsid w:val="000775C2"/>
    <w:rsid w:val="000806AD"/>
    <w:rsid w:val="00080BDF"/>
    <w:rsid w:val="00082482"/>
    <w:rsid w:val="00084CF2"/>
    <w:rsid w:val="00085D7B"/>
    <w:rsid w:val="0008708B"/>
    <w:rsid w:val="00092619"/>
    <w:rsid w:val="00092C66"/>
    <w:rsid w:val="000949DD"/>
    <w:rsid w:val="00094E4F"/>
    <w:rsid w:val="000A2BCE"/>
    <w:rsid w:val="000A31E2"/>
    <w:rsid w:val="000A33C8"/>
    <w:rsid w:val="000A41E3"/>
    <w:rsid w:val="000A4BBA"/>
    <w:rsid w:val="000A5071"/>
    <w:rsid w:val="000A617A"/>
    <w:rsid w:val="000B0AD2"/>
    <w:rsid w:val="000B1022"/>
    <w:rsid w:val="000B2FB8"/>
    <w:rsid w:val="000B4C99"/>
    <w:rsid w:val="000C06F6"/>
    <w:rsid w:val="000C197C"/>
    <w:rsid w:val="000C1A3F"/>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3C81"/>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2CD0"/>
    <w:rsid w:val="00103948"/>
    <w:rsid w:val="00103CCF"/>
    <w:rsid w:val="0010417F"/>
    <w:rsid w:val="001042D2"/>
    <w:rsid w:val="0010530E"/>
    <w:rsid w:val="00105C07"/>
    <w:rsid w:val="00106AD8"/>
    <w:rsid w:val="00107EC5"/>
    <w:rsid w:val="001103CD"/>
    <w:rsid w:val="00113D2A"/>
    <w:rsid w:val="00114F20"/>
    <w:rsid w:val="0011552E"/>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204F"/>
    <w:rsid w:val="00200AA0"/>
    <w:rsid w:val="00202325"/>
    <w:rsid w:val="00202736"/>
    <w:rsid w:val="0020291C"/>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FCA"/>
    <w:rsid w:val="00236018"/>
    <w:rsid w:val="002374C9"/>
    <w:rsid w:val="0024162D"/>
    <w:rsid w:val="0024174E"/>
    <w:rsid w:val="00242238"/>
    <w:rsid w:val="0024227D"/>
    <w:rsid w:val="00242D14"/>
    <w:rsid w:val="002432F4"/>
    <w:rsid w:val="00244CAB"/>
    <w:rsid w:val="00246860"/>
    <w:rsid w:val="002468D9"/>
    <w:rsid w:val="00246DFF"/>
    <w:rsid w:val="00246E89"/>
    <w:rsid w:val="0025183C"/>
    <w:rsid w:val="00252351"/>
    <w:rsid w:val="002528EC"/>
    <w:rsid w:val="00253EAA"/>
    <w:rsid w:val="00255049"/>
    <w:rsid w:val="00256C5E"/>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034"/>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B8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0CA8"/>
    <w:rsid w:val="002E1877"/>
    <w:rsid w:val="002E1C31"/>
    <w:rsid w:val="002E2E0F"/>
    <w:rsid w:val="002E333A"/>
    <w:rsid w:val="002E3474"/>
    <w:rsid w:val="002E400C"/>
    <w:rsid w:val="002E4230"/>
    <w:rsid w:val="002E49C3"/>
    <w:rsid w:val="002E5114"/>
    <w:rsid w:val="002E5988"/>
    <w:rsid w:val="002E65E6"/>
    <w:rsid w:val="002E7072"/>
    <w:rsid w:val="002E7570"/>
    <w:rsid w:val="002E764B"/>
    <w:rsid w:val="002F0D6A"/>
    <w:rsid w:val="002F0E28"/>
    <w:rsid w:val="002F287E"/>
    <w:rsid w:val="002F2981"/>
    <w:rsid w:val="002F2D63"/>
    <w:rsid w:val="002F6004"/>
    <w:rsid w:val="002F6AD8"/>
    <w:rsid w:val="002F7F81"/>
    <w:rsid w:val="00300A36"/>
    <w:rsid w:val="00301B45"/>
    <w:rsid w:val="00305856"/>
    <w:rsid w:val="0030678B"/>
    <w:rsid w:val="00306D16"/>
    <w:rsid w:val="00307595"/>
    <w:rsid w:val="00310CD7"/>
    <w:rsid w:val="00313D7A"/>
    <w:rsid w:val="0031690E"/>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14"/>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1169"/>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04B8"/>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35"/>
    <w:rsid w:val="003F28DB"/>
    <w:rsid w:val="003F2EEE"/>
    <w:rsid w:val="003F3B17"/>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17A48"/>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6DD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3D34"/>
    <w:rsid w:val="004E6866"/>
    <w:rsid w:val="004F0C58"/>
    <w:rsid w:val="004F3222"/>
    <w:rsid w:val="004F3639"/>
    <w:rsid w:val="004F3BFA"/>
    <w:rsid w:val="004F4E3C"/>
    <w:rsid w:val="004F58F0"/>
    <w:rsid w:val="004F5A1A"/>
    <w:rsid w:val="004F77A3"/>
    <w:rsid w:val="005000AB"/>
    <w:rsid w:val="00500F3C"/>
    <w:rsid w:val="005025EE"/>
    <w:rsid w:val="00503401"/>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1F8"/>
    <w:rsid w:val="00523A8B"/>
    <w:rsid w:val="00523E04"/>
    <w:rsid w:val="00525003"/>
    <w:rsid w:val="0052590B"/>
    <w:rsid w:val="005261A5"/>
    <w:rsid w:val="00526591"/>
    <w:rsid w:val="00527178"/>
    <w:rsid w:val="005278CB"/>
    <w:rsid w:val="00532FFC"/>
    <w:rsid w:val="00534D42"/>
    <w:rsid w:val="005350A5"/>
    <w:rsid w:val="00536379"/>
    <w:rsid w:val="00537238"/>
    <w:rsid w:val="005400C5"/>
    <w:rsid w:val="005404CD"/>
    <w:rsid w:val="00540BE0"/>
    <w:rsid w:val="00540BEF"/>
    <w:rsid w:val="00541461"/>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302"/>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815"/>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03F"/>
    <w:rsid w:val="0062036E"/>
    <w:rsid w:val="006211D0"/>
    <w:rsid w:val="00621595"/>
    <w:rsid w:val="006222CC"/>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B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2326"/>
    <w:rsid w:val="007237CE"/>
    <w:rsid w:val="0072380D"/>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032E"/>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20"/>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238B"/>
    <w:rsid w:val="007C433E"/>
    <w:rsid w:val="007C4452"/>
    <w:rsid w:val="007C4B3C"/>
    <w:rsid w:val="007C4DB1"/>
    <w:rsid w:val="007C6046"/>
    <w:rsid w:val="007C67B9"/>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965"/>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4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7A4"/>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1AB"/>
    <w:rsid w:val="00847EB0"/>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78B"/>
    <w:rsid w:val="00871D4E"/>
    <w:rsid w:val="00871E7B"/>
    <w:rsid w:val="008721BB"/>
    <w:rsid w:val="0087566D"/>
    <w:rsid w:val="00875B50"/>
    <w:rsid w:val="00875B51"/>
    <w:rsid w:val="00875F2D"/>
    <w:rsid w:val="008764DC"/>
    <w:rsid w:val="00882CC2"/>
    <w:rsid w:val="0088325A"/>
    <w:rsid w:val="00883930"/>
    <w:rsid w:val="00884535"/>
    <w:rsid w:val="0088594F"/>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44D"/>
    <w:rsid w:val="008C3FD0"/>
    <w:rsid w:val="008C4F01"/>
    <w:rsid w:val="008D1484"/>
    <w:rsid w:val="008D29E7"/>
    <w:rsid w:val="008D5104"/>
    <w:rsid w:val="008D75F4"/>
    <w:rsid w:val="008D795D"/>
    <w:rsid w:val="008D7B07"/>
    <w:rsid w:val="008E066C"/>
    <w:rsid w:val="008E09AB"/>
    <w:rsid w:val="008E0D8F"/>
    <w:rsid w:val="008E0F4E"/>
    <w:rsid w:val="008E1E94"/>
    <w:rsid w:val="008E2D99"/>
    <w:rsid w:val="008E30D4"/>
    <w:rsid w:val="008E38B0"/>
    <w:rsid w:val="008E4A60"/>
    <w:rsid w:val="008E744D"/>
    <w:rsid w:val="008F1E08"/>
    <w:rsid w:val="008F30F4"/>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038"/>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DE7"/>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EBF"/>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E6505"/>
    <w:rsid w:val="009F020F"/>
    <w:rsid w:val="009F3B63"/>
    <w:rsid w:val="009F43E2"/>
    <w:rsid w:val="009F6292"/>
    <w:rsid w:val="009F7809"/>
    <w:rsid w:val="009F7AF5"/>
    <w:rsid w:val="00A00613"/>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20F"/>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C55"/>
    <w:rsid w:val="00A56D26"/>
    <w:rsid w:val="00A571A7"/>
    <w:rsid w:val="00A5749A"/>
    <w:rsid w:val="00A575E1"/>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20A"/>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5ACE"/>
    <w:rsid w:val="00AF6ECC"/>
    <w:rsid w:val="00AF7C4A"/>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50D8"/>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ACA"/>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1844"/>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06F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E61"/>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2338"/>
    <w:rsid w:val="00CF4340"/>
    <w:rsid w:val="00CF4394"/>
    <w:rsid w:val="00CF48B4"/>
    <w:rsid w:val="00CF4F20"/>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5C9F"/>
    <w:rsid w:val="00D560DC"/>
    <w:rsid w:val="00D56602"/>
    <w:rsid w:val="00D60483"/>
    <w:rsid w:val="00D61ABB"/>
    <w:rsid w:val="00D62D5C"/>
    <w:rsid w:val="00D63577"/>
    <w:rsid w:val="00D6644C"/>
    <w:rsid w:val="00D67FD7"/>
    <w:rsid w:val="00D72410"/>
    <w:rsid w:val="00D73D53"/>
    <w:rsid w:val="00D7408A"/>
    <w:rsid w:val="00D74261"/>
    <w:rsid w:val="00D7441B"/>
    <w:rsid w:val="00D75589"/>
    <w:rsid w:val="00D75B05"/>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677"/>
    <w:rsid w:val="00D9706F"/>
    <w:rsid w:val="00D972D4"/>
    <w:rsid w:val="00DA195B"/>
    <w:rsid w:val="00DA27F3"/>
    <w:rsid w:val="00DA2D1E"/>
    <w:rsid w:val="00DA3A82"/>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1C3"/>
    <w:rsid w:val="00DC4A3C"/>
    <w:rsid w:val="00DC4FA4"/>
    <w:rsid w:val="00DC5B37"/>
    <w:rsid w:val="00DC7E62"/>
    <w:rsid w:val="00DD286D"/>
    <w:rsid w:val="00DD2CAF"/>
    <w:rsid w:val="00DD3593"/>
    <w:rsid w:val="00DD64E0"/>
    <w:rsid w:val="00DD7BE0"/>
    <w:rsid w:val="00DE0C67"/>
    <w:rsid w:val="00DE3AAD"/>
    <w:rsid w:val="00DE598A"/>
    <w:rsid w:val="00DE6952"/>
    <w:rsid w:val="00DE7E74"/>
    <w:rsid w:val="00DF071B"/>
    <w:rsid w:val="00DF57F6"/>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2752E"/>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5C33"/>
    <w:rsid w:val="00E57703"/>
    <w:rsid w:val="00E57ED4"/>
    <w:rsid w:val="00E57FED"/>
    <w:rsid w:val="00E6092F"/>
    <w:rsid w:val="00E62049"/>
    <w:rsid w:val="00E629DA"/>
    <w:rsid w:val="00E64374"/>
    <w:rsid w:val="00E6469F"/>
    <w:rsid w:val="00E65D39"/>
    <w:rsid w:val="00E65E54"/>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50B7"/>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14E4"/>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2437"/>
    <w:rsid w:val="00F03525"/>
    <w:rsid w:val="00F0424D"/>
    <w:rsid w:val="00F04957"/>
    <w:rsid w:val="00F05807"/>
    <w:rsid w:val="00F06451"/>
    <w:rsid w:val="00F07052"/>
    <w:rsid w:val="00F0706C"/>
    <w:rsid w:val="00F108A1"/>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21A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6330"/>
    <w:rsid w:val="00FA78C8"/>
    <w:rsid w:val="00FA7A2F"/>
    <w:rsid w:val="00FB09FE"/>
    <w:rsid w:val="00FB0E80"/>
    <w:rsid w:val="00FB101D"/>
    <w:rsid w:val="00FB1725"/>
    <w:rsid w:val="00FB2493"/>
    <w:rsid w:val="00FB42B7"/>
    <w:rsid w:val="00FB4484"/>
    <w:rsid w:val="00FB593A"/>
    <w:rsid w:val="00FB5E8E"/>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F477-177F-496D-88A3-D953038F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1915</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6</cp:revision>
  <cp:lastPrinted>2012-02-16T19:37:00Z</cp:lastPrinted>
  <dcterms:created xsi:type="dcterms:W3CDTF">2012-02-16T14:44:00Z</dcterms:created>
  <dcterms:modified xsi:type="dcterms:W3CDTF">2012-05-23T13:04:00Z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