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8A6A0A" w:rsidRPr="008A6A0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8A6A0A">
        <w:rPr>
          <w:rFonts w:asciiTheme="minorHAnsi" w:hAnsiTheme="minorHAnsi"/>
          <w:caps/>
          <w:color w:val="auto"/>
        </w:rPr>
        <w:t xml:space="preserve">NAME:  </w:t>
      </w:r>
      <w:r w:rsidR="00C240C8">
        <w:rPr>
          <w:rFonts w:asciiTheme="minorHAnsi" w:hAnsiTheme="minorHAnsi"/>
          <w:caps/>
          <w:color w:val="auto"/>
        </w:rPr>
        <w:t>XXXXXXXXXXXXX</w:t>
      </w:r>
      <w:r w:rsidR="00686B2A">
        <w:rPr>
          <w:rFonts w:asciiTheme="minorHAnsi" w:hAnsiTheme="minorHAnsi"/>
          <w:caps/>
          <w:color w:val="auto"/>
        </w:rPr>
        <w:t>.</w:t>
      </w:r>
      <w:r w:rsidR="004216DA" w:rsidRPr="008A6A0A">
        <w:rPr>
          <w:rFonts w:asciiTheme="minorHAnsi" w:hAnsiTheme="minorHAnsi"/>
          <w:caps/>
          <w:color w:val="auto"/>
        </w:rPr>
        <w:t xml:space="preserve">            </w:t>
      </w:r>
      <w:r w:rsidR="00686B2A">
        <w:rPr>
          <w:rFonts w:asciiTheme="minorHAnsi" w:hAnsiTheme="minorHAnsi"/>
          <w:caps/>
          <w:color w:val="auto"/>
        </w:rPr>
        <w:tab/>
      </w:r>
      <w:r w:rsidR="00686B2A">
        <w:rPr>
          <w:rFonts w:asciiTheme="minorHAnsi" w:hAnsiTheme="minorHAnsi"/>
          <w:caps/>
          <w:color w:val="auto"/>
        </w:rPr>
        <w:tab/>
        <w:t xml:space="preserve">    </w:t>
      </w:r>
      <w:r w:rsidR="005C3784">
        <w:rPr>
          <w:rFonts w:asciiTheme="minorHAnsi" w:hAnsiTheme="minorHAnsi"/>
          <w:caps/>
          <w:color w:val="auto"/>
        </w:rPr>
        <w:t xml:space="preserve">       </w:t>
      </w:r>
      <w:r w:rsidRPr="008A6A0A">
        <w:rPr>
          <w:rFonts w:asciiTheme="minorHAnsi" w:hAnsiTheme="minorHAnsi"/>
          <w:caps/>
          <w:color w:val="auto"/>
        </w:rPr>
        <w:t xml:space="preserve">BRANCH OF SERVICE: </w:t>
      </w:r>
      <w:r w:rsidR="004C24C5" w:rsidRPr="008A6A0A">
        <w:rPr>
          <w:rFonts w:asciiTheme="minorHAnsi" w:hAnsiTheme="minorHAnsi"/>
          <w:caps/>
          <w:color w:val="auto"/>
        </w:rPr>
        <w:t xml:space="preserve"> </w:t>
      </w:r>
      <w:r w:rsidR="00686B2A">
        <w:rPr>
          <w:rFonts w:asciiTheme="minorHAnsi" w:hAnsiTheme="minorHAnsi"/>
          <w:caps/>
          <w:color w:val="auto"/>
        </w:rPr>
        <w:t>coast Guard</w:t>
      </w:r>
    </w:p>
    <w:p w:rsidR="00DE3AAD" w:rsidRPr="008A6A0A"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8A6A0A">
        <w:rPr>
          <w:rFonts w:asciiTheme="minorHAnsi" w:hAnsiTheme="minorHAnsi"/>
          <w:caps/>
          <w:color w:val="auto"/>
        </w:rPr>
        <w:t>C</w:t>
      </w:r>
      <w:r w:rsidR="00DE3AAD" w:rsidRPr="008A6A0A">
        <w:rPr>
          <w:rFonts w:asciiTheme="minorHAnsi" w:hAnsiTheme="minorHAnsi"/>
          <w:caps/>
          <w:color w:val="auto"/>
        </w:rPr>
        <w:t>ASE NUMBER:  PD</w:t>
      </w:r>
      <w:r w:rsidR="00686B2A">
        <w:rPr>
          <w:rFonts w:asciiTheme="minorHAnsi" w:hAnsiTheme="minorHAnsi"/>
          <w:caps/>
          <w:color w:val="auto"/>
        </w:rPr>
        <w:t>1000344</w:t>
      </w:r>
      <w:r w:rsidR="00DE3AAD" w:rsidRPr="008A6A0A">
        <w:rPr>
          <w:rFonts w:asciiTheme="minorHAnsi" w:hAnsiTheme="minorHAnsi"/>
          <w:color w:val="auto"/>
        </w:rPr>
        <w:tab/>
        <w:t xml:space="preserve">         </w:t>
      </w:r>
      <w:r w:rsidR="00E0346A" w:rsidRPr="008A6A0A">
        <w:rPr>
          <w:rFonts w:asciiTheme="minorHAnsi" w:hAnsiTheme="minorHAnsi"/>
          <w:color w:val="auto"/>
        </w:rPr>
        <w:t xml:space="preserve">  </w:t>
      </w:r>
      <w:r w:rsidR="005C3784">
        <w:rPr>
          <w:rFonts w:asciiTheme="minorHAnsi" w:hAnsiTheme="minorHAnsi"/>
          <w:color w:val="auto"/>
        </w:rPr>
        <w:t xml:space="preserve">                   </w:t>
      </w:r>
      <w:r w:rsidR="00DE3AAD" w:rsidRPr="008A6A0A">
        <w:rPr>
          <w:rFonts w:asciiTheme="minorHAnsi" w:hAnsiTheme="minorHAnsi"/>
          <w:color w:val="auto"/>
        </w:rPr>
        <w:t>SEPARATION DATE:  200</w:t>
      </w:r>
      <w:r w:rsidR="00686B2A">
        <w:rPr>
          <w:rFonts w:asciiTheme="minorHAnsi" w:hAnsiTheme="minorHAnsi"/>
          <w:color w:val="auto"/>
        </w:rPr>
        <w:t>60804</w:t>
      </w:r>
    </w:p>
    <w:p w:rsidR="004F3639" w:rsidRPr="008A6A0A" w:rsidRDefault="004F3639" w:rsidP="00510F9C">
      <w:pPr>
        <w:tabs>
          <w:tab w:val="left" w:pos="288"/>
          <w:tab w:val="left" w:pos="5130"/>
        </w:tabs>
        <w:spacing w:line="240" w:lineRule="exact"/>
        <w:jc w:val="both"/>
        <w:rPr>
          <w:rFonts w:asciiTheme="minorHAnsi" w:hAnsiTheme="minorHAnsi"/>
          <w:color w:val="auto"/>
        </w:rPr>
      </w:pPr>
      <w:r w:rsidRPr="008A6A0A">
        <w:rPr>
          <w:rFonts w:asciiTheme="minorHAnsi" w:hAnsiTheme="minorHAnsi"/>
          <w:caps/>
          <w:color w:val="auto"/>
        </w:rPr>
        <w:t>BOARD DATE:  2011</w:t>
      </w:r>
      <w:r w:rsidR="00F81ED2">
        <w:rPr>
          <w:rFonts w:asciiTheme="minorHAnsi" w:hAnsiTheme="minorHAnsi"/>
          <w:caps/>
          <w:color w:val="auto"/>
        </w:rPr>
        <w:t>1129</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Default="00FB0E80" w:rsidP="00FB0E80">
      <w:pPr>
        <w:tabs>
          <w:tab w:val="left" w:pos="288"/>
          <w:tab w:val="left" w:pos="4752"/>
        </w:tabs>
        <w:spacing w:line="240" w:lineRule="exact"/>
        <w:jc w:val="both"/>
        <w:rPr>
          <w:rFonts w:asciiTheme="minorHAnsi" w:hAnsiTheme="minorHAnsi"/>
          <w:color w:val="auto"/>
        </w:rPr>
      </w:pPr>
    </w:p>
    <w:p w:rsidR="00F63FC7" w:rsidRPr="007B3F9A"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686B2A">
        <w:rPr>
          <w:rFonts w:asciiTheme="minorHAnsi" w:hAnsiTheme="minorHAnsi"/>
          <w:color w:val="auto"/>
          <w:szCs w:val="24"/>
        </w:rPr>
        <w:t>YN2/E-5</w:t>
      </w:r>
      <w:r w:rsidR="00C75F3D">
        <w:rPr>
          <w:rFonts w:asciiTheme="minorHAnsi" w:hAnsiTheme="minorHAnsi"/>
          <w:color w:val="auto"/>
          <w:szCs w:val="24"/>
        </w:rPr>
        <w:t xml:space="preserve"> </w:t>
      </w:r>
      <w:r w:rsidR="002C6E5B" w:rsidRPr="00AD7F8F">
        <w:rPr>
          <w:rFonts w:asciiTheme="minorHAnsi" w:hAnsiTheme="minorHAnsi"/>
          <w:color w:val="auto"/>
          <w:szCs w:val="24"/>
        </w:rPr>
        <w:t>medically separated for</w:t>
      </w:r>
      <w:r w:rsidR="008A6A0A">
        <w:rPr>
          <w:rFonts w:asciiTheme="minorHAnsi" w:hAnsiTheme="minorHAnsi"/>
          <w:color w:val="auto"/>
          <w:szCs w:val="24"/>
        </w:rPr>
        <w:t xml:space="preserve"> </w:t>
      </w:r>
      <w:r w:rsidR="00686B2A">
        <w:rPr>
          <w:rFonts w:asciiTheme="minorHAnsi" w:hAnsiTheme="minorHAnsi"/>
          <w:color w:val="auto"/>
          <w:szCs w:val="24"/>
        </w:rPr>
        <w:t>intervertebral disc syndrome</w:t>
      </w:r>
      <w:r w:rsidR="00C75F3D" w:rsidRPr="00036A96">
        <w:rPr>
          <w:rFonts w:asciiTheme="minorHAnsi" w:hAnsiTheme="minorHAnsi"/>
          <w:color w:val="auto"/>
          <w:szCs w:val="24"/>
        </w:rPr>
        <w:t>.</w:t>
      </w:r>
      <w:r w:rsidR="00036A96">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A453EE">
        <w:rPr>
          <w:rFonts w:asciiTheme="minorHAnsi" w:hAnsiTheme="minorHAnsi"/>
          <w:color w:val="auto"/>
          <w:szCs w:val="24"/>
        </w:rPr>
        <w:t>m</w:t>
      </w:r>
      <w:r w:rsidR="009020ED" w:rsidRPr="008A6A0A">
        <w:rPr>
          <w:rFonts w:asciiTheme="minorHAnsi" w:hAnsiTheme="minorHAnsi"/>
          <w:color w:val="auto"/>
          <w:szCs w:val="24"/>
        </w:rPr>
        <w:t xml:space="preserve">ilitary </w:t>
      </w:r>
      <w:r w:rsidR="009A3652">
        <w:rPr>
          <w:rFonts w:asciiTheme="minorHAnsi" w:hAnsiTheme="minorHAnsi"/>
          <w:color w:val="auto"/>
          <w:szCs w:val="24"/>
        </w:rPr>
        <w:t>rating</w:t>
      </w:r>
      <w:r w:rsidR="002752AE" w:rsidRPr="008A6A0A">
        <w:rPr>
          <w:rFonts w:asciiTheme="minorHAnsi" w:hAnsiTheme="minorHAnsi"/>
          <w:color w:val="auto"/>
          <w:szCs w:val="24"/>
        </w:rPr>
        <w:t xml:space="preserve"> or meet </w:t>
      </w:r>
      <w:r w:rsidR="0044411E" w:rsidRPr="008A6A0A">
        <w:rPr>
          <w:rFonts w:asciiTheme="minorHAnsi" w:hAnsiTheme="minorHAnsi"/>
          <w:color w:val="auto"/>
          <w:szCs w:val="24"/>
        </w:rPr>
        <w:t xml:space="preserve">physical fitness </w:t>
      </w:r>
      <w:r w:rsidR="002752AE" w:rsidRPr="008A6A0A">
        <w:rPr>
          <w:rFonts w:asciiTheme="minorHAnsi" w:hAnsiTheme="minorHAnsi"/>
          <w:color w:val="auto"/>
          <w:szCs w:val="24"/>
        </w:rPr>
        <w:t>standards</w:t>
      </w:r>
      <w:r w:rsidR="00ED731B">
        <w:rPr>
          <w:rFonts w:asciiTheme="minorHAnsi" w:hAnsiTheme="minorHAnsi"/>
          <w:color w:val="auto"/>
          <w:szCs w:val="24"/>
        </w:rPr>
        <w:t xml:space="preserve"> and </w:t>
      </w:r>
      <w:r w:rsidR="00E322F7" w:rsidRPr="008A6A0A">
        <w:rPr>
          <w:rFonts w:asciiTheme="minorHAnsi" w:hAnsiTheme="minorHAnsi"/>
          <w:color w:val="auto"/>
          <w:szCs w:val="24"/>
        </w:rPr>
        <w:t xml:space="preserve">underwent a </w:t>
      </w:r>
      <w:r w:rsidR="00EE0589">
        <w:rPr>
          <w:rFonts w:asciiTheme="minorHAnsi" w:hAnsiTheme="minorHAnsi"/>
          <w:color w:val="auto"/>
          <w:szCs w:val="24"/>
        </w:rPr>
        <w:t>Disability</w:t>
      </w:r>
      <w:r w:rsidR="00705C40" w:rsidRPr="008A6A0A">
        <w:rPr>
          <w:rFonts w:asciiTheme="minorHAnsi" w:hAnsiTheme="minorHAnsi"/>
          <w:color w:val="auto"/>
          <w:szCs w:val="24"/>
        </w:rPr>
        <w:t xml:space="preserve"> Evaluation Board (</w:t>
      </w:r>
      <w:r w:rsidR="00EE0589">
        <w:rPr>
          <w:rFonts w:asciiTheme="minorHAnsi" w:hAnsiTheme="minorHAnsi"/>
          <w:color w:val="auto"/>
          <w:szCs w:val="24"/>
        </w:rPr>
        <w:t>D</w:t>
      </w:r>
      <w:r w:rsidR="00E322F7" w:rsidRPr="008A6A0A">
        <w:rPr>
          <w:rFonts w:asciiTheme="minorHAnsi" w:hAnsiTheme="minorHAnsi"/>
          <w:color w:val="auto"/>
          <w:szCs w:val="24"/>
        </w:rPr>
        <w:t>EB</w:t>
      </w:r>
      <w:r w:rsidR="00705C40" w:rsidRPr="008A6A0A">
        <w:rPr>
          <w:rFonts w:asciiTheme="minorHAnsi" w:hAnsiTheme="minorHAnsi"/>
          <w:color w:val="auto"/>
          <w:szCs w:val="24"/>
        </w:rPr>
        <w:t>)</w:t>
      </w:r>
      <w:r w:rsidR="00E322F7" w:rsidRPr="008A6A0A">
        <w:rPr>
          <w:rFonts w:asciiTheme="minorHAnsi" w:hAnsiTheme="minorHAnsi"/>
          <w:color w:val="auto"/>
          <w:szCs w:val="24"/>
        </w:rPr>
        <w:t>.</w:t>
      </w:r>
      <w:r w:rsidR="0086593B" w:rsidRPr="008A6A0A">
        <w:rPr>
          <w:rFonts w:asciiTheme="minorHAnsi" w:hAnsiTheme="minorHAnsi"/>
          <w:color w:val="auto"/>
          <w:szCs w:val="24"/>
        </w:rPr>
        <w:t xml:space="preserve"> </w:t>
      </w:r>
      <w:r w:rsidR="00C40FFA">
        <w:rPr>
          <w:rFonts w:asciiTheme="minorHAnsi" w:hAnsiTheme="minorHAnsi"/>
          <w:color w:val="auto"/>
          <w:szCs w:val="24"/>
        </w:rPr>
        <w:t xml:space="preserve"> I</w:t>
      </w:r>
      <w:r w:rsidR="00010521">
        <w:rPr>
          <w:rFonts w:asciiTheme="minorHAnsi" w:hAnsiTheme="minorHAnsi"/>
          <w:color w:val="auto"/>
          <w:szCs w:val="24"/>
        </w:rPr>
        <w:t>ntervertebral disc syndrome</w:t>
      </w:r>
      <w:r w:rsidR="00010521" w:rsidRPr="008A6A0A">
        <w:rPr>
          <w:rFonts w:asciiTheme="minorHAnsi" w:hAnsiTheme="minorHAnsi"/>
          <w:color w:val="auto"/>
          <w:szCs w:val="24"/>
        </w:rPr>
        <w:t xml:space="preserve"> </w:t>
      </w:r>
      <w:r w:rsidR="00010521">
        <w:rPr>
          <w:rFonts w:asciiTheme="minorHAnsi" w:hAnsiTheme="minorHAnsi"/>
          <w:color w:val="auto"/>
          <w:szCs w:val="24"/>
        </w:rPr>
        <w:t>was</w:t>
      </w:r>
      <w:r w:rsidR="000A33C8" w:rsidRPr="008A6A0A">
        <w:rPr>
          <w:rFonts w:asciiTheme="minorHAnsi" w:hAnsiTheme="minorHAnsi"/>
          <w:color w:val="auto"/>
          <w:szCs w:val="24"/>
        </w:rPr>
        <w:t xml:space="preserve"> forwarded to the Physical Evaluation Board (PEB) as medically unacceptable</w:t>
      </w:r>
      <w:r w:rsidR="005A6122">
        <w:rPr>
          <w:rFonts w:asciiTheme="minorHAnsi" w:hAnsiTheme="minorHAnsi"/>
          <w:color w:val="auto"/>
          <w:szCs w:val="24"/>
        </w:rPr>
        <w:t xml:space="preserve">.  </w:t>
      </w:r>
      <w:r w:rsidR="00B20624" w:rsidRPr="008A6A0A">
        <w:rPr>
          <w:rFonts w:asciiTheme="minorHAnsi" w:hAnsiTheme="minorHAnsi"/>
          <w:color w:val="auto"/>
          <w:szCs w:val="24"/>
        </w:rPr>
        <w:t xml:space="preserve">The </w:t>
      </w:r>
      <w:r w:rsidR="00C665FE" w:rsidRPr="008A6A0A">
        <w:rPr>
          <w:rFonts w:asciiTheme="minorHAnsi" w:hAnsiTheme="minorHAnsi"/>
          <w:color w:val="auto"/>
          <w:szCs w:val="24"/>
        </w:rPr>
        <w:t>I</w:t>
      </w:r>
      <w:r w:rsidR="00FB792E" w:rsidRPr="008A6A0A">
        <w:rPr>
          <w:rFonts w:asciiTheme="minorHAnsi" w:hAnsiTheme="minorHAnsi"/>
          <w:color w:val="auto"/>
          <w:szCs w:val="24"/>
        </w:rPr>
        <w:t xml:space="preserve">nformal </w:t>
      </w:r>
      <w:r w:rsidR="00B20624" w:rsidRPr="008A6A0A">
        <w:rPr>
          <w:rFonts w:asciiTheme="minorHAnsi" w:hAnsiTheme="minorHAnsi"/>
          <w:color w:val="auto"/>
          <w:szCs w:val="24"/>
        </w:rPr>
        <w:t>PEB</w:t>
      </w:r>
      <w:r w:rsidR="007828B4" w:rsidRPr="008A6A0A">
        <w:rPr>
          <w:rFonts w:asciiTheme="minorHAnsi" w:hAnsiTheme="minorHAnsi"/>
          <w:color w:val="auto"/>
          <w:szCs w:val="24"/>
        </w:rPr>
        <w:t xml:space="preserve"> (IPEB)</w:t>
      </w:r>
      <w:r w:rsidR="00B20624" w:rsidRPr="008A6A0A">
        <w:rPr>
          <w:rFonts w:asciiTheme="minorHAnsi" w:hAnsiTheme="minorHAnsi"/>
          <w:color w:val="auto"/>
          <w:szCs w:val="24"/>
        </w:rPr>
        <w:t xml:space="preserve"> adjudicated the </w:t>
      </w:r>
      <w:r w:rsidR="00010521">
        <w:rPr>
          <w:rFonts w:asciiTheme="minorHAnsi" w:hAnsiTheme="minorHAnsi"/>
          <w:color w:val="auto"/>
          <w:szCs w:val="24"/>
        </w:rPr>
        <w:t>intervertebral disc syndrome</w:t>
      </w:r>
      <w:r w:rsidR="00B20624" w:rsidRPr="008A6A0A">
        <w:rPr>
          <w:rFonts w:asciiTheme="minorHAnsi" w:hAnsiTheme="minorHAnsi"/>
          <w:color w:val="auto"/>
          <w:szCs w:val="24"/>
        </w:rPr>
        <w:t xml:space="preserve"> condition as unfitting, rated </w:t>
      </w:r>
      <w:r w:rsidR="00010521">
        <w:rPr>
          <w:rFonts w:asciiTheme="minorHAnsi" w:hAnsiTheme="minorHAnsi"/>
          <w:color w:val="auto"/>
          <w:szCs w:val="24"/>
        </w:rPr>
        <w:t>20</w:t>
      </w:r>
      <w:r w:rsidR="00B20624" w:rsidRPr="008A6A0A">
        <w:rPr>
          <w:rFonts w:asciiTheme="minorHAnsi" w:hAnsiTheme="minorHAnsi"/>
          <w:color w:val="auto"/>
          <w:szCs w:val="24"/>
        </w:rPr>
        <w:t>%</w:t>
      </w:r>
      <w:r w:rsidR="00B80EDD" w:rsidRPr="008A6A0A">
        <w:rPr>
          <w:rFonts w:asciiTheme="minorHAnsi" w:hAnsiTheme="minorHAnsi"/>
          <w:color w:val="auto"/>
          <w:szCs w:val="24"/>
        </w:rPr>
        <w:t>,</w:t>
      </w:r>
      <w:r w:rsidR="00B20624" w:rsidRPr="008A6A0A">
        <w:rPr>
          <w:rFonts w:asciiTheme="minorHAnsi" w:hAnsiTheme="minorHAnsi"/>
          <w:color w:val="auto"/>
          <w:szCs w:val="24"/>
        </w:rPr>
        <w:t xml:space="preserve"> with application of the </w:t>
      </w:r>
      <w:r w:rsidR="002B0204" w:rsidRPr="008A6A0A">
        <w:rPr>
          <w:rFonts w:asciiTheme="minorHAnsi" w:hAnsiTheme="minorHAnsi"/>
          <w:color w:val="auto"/>
          <w:szCs w:val="24"/>
        </w:rPr>
        <w:t>Veterans’ Administration Schedule for Rating Disabilities (VASRD)</w:t>
      </w:r>
      <w:r w:rsidR="00B20624" w:rsidRPr="008A6A0A">
        <w:rPr>
          <w:rFonts w:asciiTheme="minorHAnsi" w:hAnsiTheme="minorHAnsi"/>
          <w:color w:val="auto"/>
          <w:szCs w:val="24"/>
        </w:rPr>
        <w:t>.</w:t>
      </w:r>
      <w:r w:rsidR="00010521">
        <w:rPr>
          <w:rFonts w:asciiTheme="minorHAnsi" w:hAnsiTheme="minorHAnsi"/>
          <w:color w:val="auto"/>
          <w:szCs w:val="24"/>
        </w:rPr>
        <w:t xml:space="preserve"> </w:t>
      </w:r>
      <w:r w:rsidR="00036A96">
        <w:rPr>
          <w:rFonts w:asciiTheme="minorHAnsi" w:hAnsiTheme="minorHAnsi"/>
          <w:color w:val="auto"/>
          <w:szCs w:val="24"/>
        </w:rPr>
        <w:t xml:space="preserve"> </w:t>
      </w:r>
      <w:r w:rsidR="00B20624" w:rsidRPr="007B3F9A">
        <w:rPr>
          <w:rFonts w:asciiTheme="minorHAnsi" w:hAnsiTheme="minorHAnsi"/>
          <w:color w:val="auto"/>
          <w:szCs w:val="24"/>
        </w:rPr>
        <w:t xml:space="preserve">The </w:t>
      </w:r>
      <w:r w:rsidR="00ED731B">
        <w:rPr>
          <w:rFonts w:asciiTheme="minorHAnsi" w:hAnsiTheme="minorHAnsi"/>
          <w:color w:val="auto"/>
          <w:szCs w:val="24"/>
        </w:rPr>
        <w:t>Formal PEB concurred on appeal and the CI</w:t>
      </w:r>
      <w:r w:rsidR="00B20624" w:rsidRPr="007B3F9A">
        <w:rPr>
          <w:rFonts w:asciiTheme="minorHAnsi" w:hAnsiTheme="minorHAnsi"/>
          <w:color w:val="auto"/>
          <w:szCs w:val="24"/>
        </w:rPr>
        <w:t xml:space="preserve"> was medically separated with a </w:t>
      </w:r>
      <w:r w:rsidR="00010521" w:rsidRPr="007B3F9A">
        <w:rPr>
          <w:rFonts w:asciiTheme="minorHAnsi" w:hAnsiTheme="minorHAnsi"/>
          <w:color w:val="auto"/>
          <w:szCs w:val="24"/>
        </w:rPr>
        <w:t>20</w:t>
      </w:r>
      <w:r w:rsidR="00B20624" w:rsidRPr="007B3F9A">
        <w:rPr>
          <w:rFonts w:asciiTheme="minorHAnsi" w:hAnsiTheme="minorHAnsi"/>
          <w:color w:val="auto"/>
          <w:szCs w:val="24"/>
        </w:rPr>
        <w:t>% disability rating.</w:t>
      </w:r>
    </w:p>
    <w:p w:rsidR="007B3F9A" w:rsidRDefault="007B3F9A" w:rsidP="007B3F9A">
      <w:pPr>
        <w:pBdr>
          <w:bottom w:val="single" w:sz="12" w:space="1" w:color="auto"/>
        </w:pBdr>
        <w:tabs>
          <w:tab w:val="left" w:pos="288"/>
          <w:tab w:val="left" w:pos="4752"/>
        </w:tabs>
        <w:spacing w:line="240" w:lineRule="exact"/>
        <w:jc w:val="both"/>
        <w:rPr>
          <w:rFonts w:asciiTheme="minorHAnsi" w:hAnsiTheme="minorHAnsi"/>
          <w:color w:val="auto"/>
          <w:u w:val="single"/>
        </w:rPr>
      </w:pPr>
    </w:p>
    <w:p w:rsidR="007B3F9A" w:rsidRPr="00AD7F8F" w:rsidRDefault="007B3F9A" w:rsidP="007B3F9A">
      <w:pPr>
        <w:tabs>
          <w:tab w:val="left" w:pos="288"/>
          <w:tab w:val="left" w:pos="4752"/>
        </w:tabs>
        <w:spacing w:line="240" w:lineRule="exact"/>
        <w:jc w:val="both"/>
        <w:rPr>
          <w:rFonts w:asciiTheme="minorHAnsi" w:hAnsiTheme="minorHAnsi"/>
          <w:color w:val="auto"/>
        </w:rPr>
      </w:pPr>
    </w:p>
    <w:p w:rsidR="00085D7B" w:rsidRPr="007B3F9A" w:rsidRDefault="002C6E5B" w:rsidP="007B3F9A">
      <w:pPr>
        <w:tabs>
          <w:tab w:val="left" w:pos="288"/>
          <w:tab w:val="left" w:pos="4752"/>
        </w:tabs>
        <w:spacing w:line="240" w:lineRule="exact"/>
        <w:jc w:val="both"/>
        <w:rPr>
          <w:rFonts w:asciiTheme="minorHAnsi" w:hAnsiTheme="minorHAnsi"/>
          <w:color w:val="auto"/>
          <w:szCs w:val="24"/>
        </w:rPr>
      </w:pPr>
      <w:r w:rsidRPr="007B3F9A">
        <w:rPr>
          <w:rFonts w:asciiTheme="minorHAnsi" w:hAnsiTheme="minorHAnsi"/>
          <w:color w:val="auto"/>
          <w:szCs w:val="24"/>
        </w:rPr>
        <w:t>CI CONTENTION:</w:t>
      </w:r>
      <w:r w:rsidR="00010521" w:rsidRPr="007B3F9A">
        <w:rPr>
          <w:rFonts w:asciiTheme="minorHAnsi" w:hAnsiTheme="minorHAnsi"/>
          <w:color w:val="auto"/>
          <w:szCs w:val="24"/>
        </w:rPr>
        <w:t xml:space="preserve"> </w:t>
      </w:r>
      <w:r w:rsidR="005C3784">
        <w:rPr>
          <w:rFonts w:asciiTheme="minorHAnsi" w:hAnsiTheme="minorHAnsi"/>
          <w:color w:val="auto"/>
          <w:szCs w:val="24"/>
        </w:rPr>
        <w:t xml:space="preserve"> </w:t>
      </w:r>
      <w:r w:rsidR="00010521" w:rsidRPr="007B3F9A">
        <w:rPr>
          <w:rFonts w:asciiTheme="minorHAnsi" w:hAnsiTheme="minorHAnsi"/>
          <w:color w:val="auto"/>
          <w:szCs w:val="24"/>
        </w:rPr>
        <w:t>“CPEB decision to discharge me with a 20% disability rating for Intervertebral Disk Syndrome was based on one visual assessment made by a Physician’s Assistant, who was conducting her first medical review for separation.  Attached are numerous reports from Teche Regional Medical Center-Physical Therapy, with measurements that were taken using both a goniometer and inclinometer over various periods</w:t>
      </w:r>
      <w:r w:rsidR="005C3784">
        <w:rPr>
          <w:rFonts w:asciiTheme="minorHAnsi" w:hAnsiTheme="minorHAnsi"/>
          <w:color w:val="auto"/>
          <w:szCs w:val="24"/>
        </w:rPr>
        <w:t>.</w:t>
      </w:r>
      <w:r w:rsidR="00010521" w:rsidRPr="007B3F9A">
        <w:rPr>
          <w:rFonts w:asciiTheme="minorHAnsi" w:hAnsiTheme="minorHAnsi"/>
          <w:color w:val="auto"/>
          <w:szCs w:val="24"/>
        </w:rPr>
        <w:t>”</w:t>
      </w:r>
      <w:r w:rsidR="00645D4A">
        <w:rPr>
          <w:rFonts w:asciiTheme="minorHAnsi" w:hAnsiTheme="minorHAnsi"/>
          <w:color w:val="auto"/>
          <w:szCs w:val="24"/>
        </w:rPr>
        <w:t xml:space="preserve">  Additionally </w:t>
      </w:r>
      <w:r w:rsidR="00FC0482">
        <w:rPr>
          <w:rFonts w:asciiTheme="minorHAnsi" w:hAnsiTheme="minorHAnsi"/>
          <w:color w:val="auto"/>
          <w:szCs w:val="24"/>
        </w:rPr>
        <w:t xml:space="preserve">the CI lists his VA ratings for right and left </w:t>
      </w:r>
      <w:r w:rsidR="00645D4A">
        <w:rPr>
          <w:rFonts w:asciiTheme="minorHAnsi" w:hAnsiTheme="minorHAnsi"/>
          <w:color w:val="auto"/>
          <w:szCs w:val="24"/>
        </w:rPr>
        <w:t>knee osteoarthritis</w:t>
      </w:r>
      <w:r w:rsidR="00FC0482">
        <w:rPr>
          <w:rFonts w:asciiTheme="minorHAnsi" w:hAnsiTheme="minorHAnsi"/>
          <w:color w:val="auto"/>
          <w:szCs w:val="24"/>
        </w:rPr>
        <w:t>.</w:t>
      </w:r>
    </w:p>
    <w:p w:rsidR="007B3F9A" w:rsidRDefault="007B3F9A" w:rsidP="007B3F9A">
      <w:pPr>
        <w:pBdr>
          <w:bottom w:val="single" w:sz="12" w:space="1" w:color="auto"/>
        </w:pBdr>
        <w:tabs>
          <w:tab w:val="left" w:pos="288"/>
          <w:tab w:val="left" w:pos="4752"/>
        </w:tabs>
        <w:spacing w:line="240" w:lineRule="exact"/>
        <w:jc w:val="both"/>
        <w:rPr>
          <w:rFonts w:asciiTheme="minorHAnsi" w:hAnsiTheme="minorHAnsi"/>
          <w:color w:val="auto"/>
          <w:u w:val="single"/>
        </w:rPr>
      </w:pPr>
    </w:p>
    <w:p w:rsidR="005B0040" w:rsidRDefault="005B0040">
      <w:pPr>
        <w:rPr>
          <w:rFonts w:asciiTheme="minorHAnsi" w:hAnsiTheme="minorHAnsi"/>
          <w:color w:val="auto"/>
          <w:u w:val="single"/>
        </w:rPr>
      </w:pPr>
    </w:p>
    <w:p w:rsidR="002151AB" w:rsidRPr="00FF1022"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279" w:type="dxa"/>
        <w:jc w:val="center"/>
        <w:tblInd w:w="297" w:type="dxa"/>
        <w:tblLayout w:type="fixed"/>
        <w:tblLook w:val="04A0"/>
      </w:tblPr>
      <w:tblGrid>
        <w:gridCol w:w="2300"/>
        <w:gridCol w:w="900"/>
        <w:gridCol w:w="810"/>
        <w:gridCol w:w="2389"/>
        <w:gridCol w:w="1062"/>
        <w:gridCol w:w="828"/>
        <w:gridCol w:w="990"/>
      </w:tblGrid>
      <w:tr w:rsidR="002B4E22" w:rsidRPr="00676E82" w:rsidTr="005C3784">
        <w:trPr>
          <w:trHeight w:val="233"/>
          <w:jc w:val="center"/>
        </w:trPr>
        <w:tc>
          <w:tcPr>
            <w:tcW w:w="4010" w:type="dxa"/>
            <w:gridSpan w:val="3"/>
            <w:tcBorders>
              <w:right w:val="thinThickThinSmallGap" w:sz="24" w:space="0" w:color="auto"/>
            </w:tcBorders>
            <w:shd w:val="clear" w:color="auto" w:fill="D9D9D9" w:themeFill="background1" w:themeFillShade="D9"/>
            <w:vAlign w:val="center"/>
          </w:tcPr>
          <w:p w:rsidR="002B4E22" w:rsidRPr="00676E82" w:rsidRDefault="00B731E4" w:rsidP="00010521">
            <w:pPr>
              <w:spacing w:line="200" w:lineRule="exact"/>
              <w:contextualSpacing/>
              <w:jc w:val="center"/>
              <w:rPr>
                <w:b/>
                <w:color w:val="auto"/>
                <w:sz w:val="20"/>
                <w:szCs w:val="20"/>
              </w:rPr>
            </w:pPr>
            <w:r w:rsidRPr="00676E82">
              <w:rPr>
                <w:b/>
                <w:color w:val="auto"/>
                <w:sz w:val="20"/>
                <w:szCs w:val="20"/>
              </w:rPr>
              <w:t xml:space="preserve">Service </w:t>
            </w:r>
            <w:r w:rsidR="00010521" w:rsidRPr="00676E82">
              <w:rPr>
                <w:b/>
                <w:color w:val="auto"/>
                <w:sz w:val="20"/>
                <w:szCs w:val="20"/>
              </w:rPr>
              <w:t>I</w:t>
            </w:r>
            <w:r w:rsidRPr="00676E82">
              <w:rPr>
                <w:b/>
                <w:color w:val="auto"/>
                <w:sz w:val="20"/>
                <w:szCs w:val="20"/>
              </w:rPr>
              <w:t>PEB – Dated 200</w:t>
            </w:r>
            <w:r w:rsidR="00010521" w:rsidRPr="00676E82">
              <w:rPr>
                <w:b/>
                <w:color w:val="auto"/>
                <w:sz w:val="20"/>
                <w:szCs w:val="20"/>
              </w:rPr>
              <w:t>60328</w:t>
            </w:r>
          </w:p>
        </w:tc>
        <w:tc>
          <w:tcPr>
            <w:tcW w:w="5269" w:type="dxa"/>
            <w:gridSpan w:val="4"/>
            <w:tcBorders>
              <w:left w:val="thinThickThinSmallGap" w:sz="24" w:space="0" w:color="auto"/>
            </w:tcBorders>
            <w:shd w:val="clear" w:color="auto" w:fill="D9D9D9" w:themeFill="background1" w:themeFillShade="D9"/>
            <w:vAlign w:val="center"/>
          </w:tcPr>
          <w:p w:rsidR="002B4E22" w:rsidRPr="00676E82" w:rsidRDefault="002B4E22" w:rsidP="00676E82">
            <w:pPr>
              <w:spacing w:line="200" w:lineRule="exact"/>
              <w:contextualSpacing/>
              <w:jc w:val="center"/>
              <w:rPr>
                <w:b/>
                <w:color w:val="auto"/>
                <w:sz w:val="20"/>
                <w:szCs w:val="20"/>
              </w:rPr>
            </w:pPr>
            <w:r w:rsidRPr="00676E82">
              <w:rPr>
                <w:b/>
                <w:color w:val="auto"/>
                <w:sz w:val="20"/>
                <w:szCs w:val="20"/>
              </w:rPr>
              <w:t>VA (</w:t>
            </w:r>
            <w:r w:rsidR="00676E82">
              <w:rPr>
                <w:b/>
                <w:color w:val="auto"/>
                <w:sz w:val="20"/>
                <w:szCs w:val="20"/>
              </w:rPr>
              <w:t>5</w:t>
            </w:r>
            <w:r w:rsidR="0079154B" w:rsidRPr="00676E82">
              <w:rPr>
                <w:b/>
                <w:color w:val="auto"/>
                <w:sz w:val="20"/>
                <w:szCs w:val="20"/>
              </w:rPr>
              <w:t xml:space="preserve"> </w:t>
            </w:r>
            <w:r w:rsidRPr="00676E82">
              <w:rPr>
                <w:b/>
                <w:color w:val="auto"/>
                <w:sz w:val="20"/>
                <w:szCs w:val="20"/>
              </w:rPr>
              <w:t xml:space="preserve">Mo. After Separation) – All Effective Date </w:t>
            </w:r>
            <w:r w:rsidR="002D08F3" w:rsidRPr="00676E82">
              <w:rPr>
                <w:b/>
                <w:color w:val="auto"/>
                <w:sz w:val="20"/>
                <w:szCs w:val="20"/>
              </w:rPr>
              <w:t>200</w:t>
            </w:r>
            <w:r w:rsidR="00676E82">
              <w:rPr>
                <w:b/>
                <w:color w:val="auto"/>
                <w:sz w:val="20"/>
                <w:szCs w:val="20"/>
              </w:rPr>
              <w:t>60805</w:t>
            </w:r>
          </w:p>
        </w:tc>
      </w:tr>
      <w:tr w:rsidR="002B4E22" w:rsidRPr="00676E82" w:rsidTr="005C3784">
        <w:trPr>
          <w:trHeight w:val="278"/>
          <w:jc w:val="center"/>
        </w:trPr>
        <w:tc>
          <w:tcPr>
            <w:tcW w:w="2300" w:type="dxa"/>
            <w:tcBorders>
              <w:bottom w:val="single" w:sz="4" w:space="0" w:color="000000" w:themeColor="text1"/>
              <w:right w:val="single" w:sz="4" w:space="0" w:color="auto"/>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Condition</w:t>
            </w:r>
          </w:p>
        </w:tc>
        <w:tc>
          <w:tcPr>
            <w:tcW w:w="900" w:type="dxa"/>
            <w:tcBorders>
              <w:left w:val="single" w:sz="4" w:space="0" w:color="auto"/>
              <w:bottom w:val="single" w:sz="4" w:space="0" w:color="000000" w:themeColor="text1"/>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Rating</w:t>
            </w:r>
          </w:p>
        </w:tc>
        <w:tc>
          <w:tcPr>
            <w:tcW w:w="2389"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676E82" w:rsidRDefault="002B4E22" w:rsidP="00B0472F">
            <w:pPr>
              <w:spacing w:line="200" w:lineRule="exact"/>
              <w:contextualSpacing/>
              <w:jc w:val="center"/>
              <w:rPr>
                <w:b/>
                <w:color w:val="auto"/>
                <w:sz w:val="20"/>
                <w:szCs w:val="20"/>
              </w:rPr>
            </w:pPr>
            <w:r w:rsidRPr="00676E82">
              <w:rPr>
                <w:b/>
                <w:color w:val="auto"/>
                <w:sz w:val="20"/>
                <w:szCs w:val="20"/>
              </w:rPr>
              <w:t>Exam</w:t>
            </w:r>
          </w:p>
        </w:tc>
      </w:tr>
      <w:tr w:rsidR="002D08F3" w:rsidRPr="00676E82" w:rsidTr="005C3784">
        <w:trPr>
          <w:trHeight w:val="287"/>
          <w:jc w:val="center"/>
        </w:trPr>
        <w:tc>
          <w:tcPr>
            <w:tcW w:w="2300" w:type="dxa"/>
            <w:tcBorders>
              <w:right w:val="single" w:sz="4" w:space="0" w:color="auto"/>
            </w:tcBorders>
            <w:shd w:val="clear" w:color="auto" w:fill="FFFFFF" w:themeFill="background1"/>
            <w:vAlign w:val="center"/>
          </w:tcPr>
          <w:p w:rsidR="002D08F3" w:rsidRPr="00676E82" w:rsidRDefault="00010521" w:rsidP="00B0472F">
            <w:pPr>
              <w:spacing w:line="180" w:lineRule="exact"/>
              <w:contextualSpacing/>
              <w:rPr>
                <w:color w:val="auto"/>
                <w:sz w:val="18"/>
                <w:szCs w:val="18"/>
              </w:rPr>
            </w:pPr>
            <w:r w:rsidRPr="00676E82">
              <w:rPr>
                <w:color w:val="auto"/>
                <w:sz w:val="18"/>
                <w:szCs w:val="18"/>
              </w:rPr>
              <w:t>Intervetebral Disc Syndrome</w:t>
            </w:r>
          </w:p>
        </w:tc>
        <w:tc>
          <w:tcPr>
            <w:tcW w:w="900" w:type="dxa"/>
            <w:tcBorders>
              <w:left w:val="single" w:sz="4" w:space="0" w:color="auto"/>
            </w:tcBorders>
            <w:shd w:val="clear" w:color="auto" w:fill="FFFFFF" w:themeFill="background1"/>
            <w:vAlign w:val="center"/>
          </w:tcPr>
          <w:p w:rsidR="002D08F3" w:rsidRPr="00676E82" w:rsidRDefault="00010521" w:rsidP="00B0472F">
            <w:pPr>
              <w:spacing w:line="180" w:lineRule="exact"/>
              <w:contextualSpacing/>
              <w:jc w:val="center"/>
              <w:rPr>
                <w:color w:val="auto"/>
                <w:sz w:val="18"/>
                <w:szCs w:val="18"/>
              </w:rPr>
            </w:pPr>
            <w:r w:rsidRPr="00676E82">
              <w:rPr>
                <w:color w:val="auto"/>
                <w:sz w:val="18"/>
                <w:szCs w:val="18"/>
              </w:rPr>
              <w:t>5243</w:t>
            </w:r>
          </w:p>
        </w:tc>
        <w:tc>
          <w:tcPr>
            <w:tcW w:w="810" w:type="dxa"/>
            <w:tcBorders>
              <w:right w:val="thinThickThinSmallGap" w:sz="24" w:space="0" w:color="auto"/>
            </w:tcBorders>
            <w:shd w:val="clear" w:color="auto" w:fill="FFFFFF" w:themeFill="background1"/>
            <w:vAlign w:val="center"/>
          </w:tcPr>
          <w:p w:rsidR="002D08F3" w:rsidRPr="00676E82" w:rsidRDefault="00010521" w:rsidP="00B0472F">
            <w:pPr>
              <w:spacing w:line="180" w:lineRule="exact"/>
              <w:contextualSpacing/>
              <w:jc w:val="center"/>
              <w:rPr>
                <w:color w:val="auto"/>
                <w:sz w:val="18"/>
                <w:szCs w:val="18"/>
              </w:rPr>
            </w:pPr>
            <w:r w:rsidRPr="00676E82">
              <w:rPr>
                <w:color w:val="auto"/>
                <w:sz w:val="18"/>
                <w:szCs w:val="18"/>
              </w:rPr>
              <w:t>20</w:t>
            </w:r>
            <w:r w:rsidR="002D08F3" w:rsidRPr="00676E82">
              <w:rPr>
                <w:color w:val="auto"/>
                <w:sz w:val="18"/>
                <w:szCs w:val="18"/>
              </w:rPr>
              <w:t>%</w:t>
            </w:r>
          </w:p>
        </w:tc>
        <w:tc>
          <w:tcPr>
            <w:tcW w:w="2389" w:type="dxa"/>
            <w:tcBorders>
              <w:left w:val="thinThickThinSmallGap" w:sz="24" w:space="0" w:color="auto"/>
            </w:tcBorders>
            <w:shd w:val="clear" w:color="auto" w:fill="FFFFFF" w:themeFill="background1"/>
            <w:vAlign w:val="center"/>
          </w:tcPr>
          <w:p w:rsidR="002D08F3" w:rsidRPr="00676E82" w:rsidRDefault="00010521" w:rsidP="00B0472F">
            <w:pPr>
              <w:spacing w:line="180" w:lineRule="exact"/>
              <w:contextualSpacing/>
              <w:rPr>
                <w:color w:val="auto"/>
                <w:sz w:val="18"/>
                <w:szCs w:val="18"/>
              </w:rPr>
            </w:pPr>
            <w:r w:rsidRPr="00676E82">
              <w:rPr>
                <w:color w:val="auto"/>
                <w:sz w:val="18"/>
                <w:szCs w:val="18"/>
              </w:rPr>
              <w:t>Lumbar Strain</w:t>
            </w:r>
            <w:r w:rsidR="00676E82" w:rsidRPr="00676E82">
              <w:rPr>
                <w:color w:val="auto"/>
                <w:sz w:val="18"/>
                <w:szCs w:val="18"/>
              </w:rPr>
              <w:t xml:space="preserve"> with DDD</w:t>
            </w:r>
          </w:p>
        </w:tc>
        <w:tc>
          <w:tcPr>
            <w:tcW w:w="1062" w:type="dxa"/>
            <w:shd w:val="clear" w:color="auto" w:fill="FFFFFF" w:themeFill="background1"/>
            <w:vAlign w:val="center"/>
          </w:tcPr>
          <w:p w:rsidR="002D08F3" w:rsidRPr="00676E82" w:rsidRDefault="00676E82" w:rsidP="00B0472F">
            <w:pPr>
              <w:spacing w:line="180" w:lineRule="exact"/>
              <w:contextualSpacing/>
              <w:jc w:val="center"/>
              <w:rPr>
                <w:color w:val="auto"/>
                <w:sz w:val="18"/>
                <w:szCs w:val="18"/>
              </w:rPr>
            </w:pPr>
            <w:r w:rsidRPr="00676E82">
              <w:rPr>
                <w:color w:val="auto"/>
                <w:sz w:val="18"/>
                <w:szCs w:val="18"/>
              </w:rPr>
              <w:t>5243</w:t>
            </w:r>
          </w:p>
        </w:tc>
        <w:tc>
          <w:tcPr>
            <w:tcW w:w="828" w:type="dxa"/>
            <w:shd w:val="clear" w:color="auto" w:fill="FFFFFF" w:themeFill="background1"/>
            <w:vAlign w:val="center"/>
          </w:tcPr>
          <w:p w:rsidR="002D08F3" w:rsidRPr="00676E82" w:rsidRDefault="00676E82" w:rsidP="00B0472F">
            <w:pPr>
              <w:spacing w:line="180" w:lineRule="exact"/>
              <w:contextualSpacing/>
              <w:jc w:val="center"/>
              <w:rPr>
                <w:color w:val="auto"/>
                <w:sz w:val="18"/>
                <w:szCs w:val="18"/>
              </w:rPr>
            </w:pPr>
            <w:r w:rsidRPr="00676E82">
              <w:rPr>
                <w:color w:val="auto"/>
                <w:sz w:val="18"/>
                <w:szCs w:val="18"/>
              </w:rPr>
              <w:t>0</w:t>
            </w:r>
            <w:r w:rsidR="002D08F3" w:rsidRPr="00676E82">
              <w:rPr>
                <w:color w:val="auto"/>
                <w:sz w:val="18"/>
                <w:szCs w:val="18"/>
              </w:rPr>
              <w:t>%</w:t>
            </w:r>
            <w:r w:rsidR="00FB6F42">
              <w:rPr>
                <w:color w:val="auto"/>
                <w:sz w:val="18"/>
                <w:szCs w:val="18"/>
              </w:rPr>
              <w:t>*</w:t>
            </w:r>
          </w:p>
        </w:tc>
        <w:tc>
          <w:tcPr>
            <w:tcW w:w="990" w:type="dxa"/>
            <w:shd w:val="clear" w:color="auto" w:fill="FFFFFF" w:themeFill="background1"/>
            <w:vAlign w:val="center"/>
          </w:tcPr>
          <w:p w:rsidR="002D08F3" w:rsidRPr="00676E82" w:rsidRDefault="002D08F3" w:rsidP="00676E82">
            <w:pPr>
              <w:spacing w:line="180" w:lineRule="exact"/>
              <w:contextualSpacing/>
              <w:jc w:val="center"/>
              <w:rPr>
                <w:color w:val="auto"/>
                <w:sz w:val="18"/>
                <w:szCs w:val="18"/>
              </w:rPr>
            </w:pPr>
            <w:r w:rsidRPr="00676E82">
              <w:rPr>
                <w:color w:val="auto"/>
                <w:sz w:val="18"/>
                <w:szCs w:val="18"/>
              </w:rPr>
              <w:t>200</w:t>
            </w:r>
            <w:r w:rsidR="00676E82">
              <w:rPr>
                <w:color w:val="auto"/>
                <w:sz w:val="18"/>
                <w:szCs w:val="18"/>
              </w:rPr>
              <w:t>70303</w:t>
            </w:r>
          </w:p>
        </w:tc>
      </w:tr>
      <w:tr w:rsidR="00ED731B" w:rsidRPr="00676E82" w:rsidTr="005C3784">
        <w:trPr>
          <w:trHeight w:val="287"/>
          <w:jc w:val="center"/>
        </w:trPr>
        <w:tc>
          <w:tcPr>
            <w:tcW w:w="4010" w:type="dxa"/>
            <w:gridSpan w:val="3"/>
            <w:vMerge w:val="restart"/>
            <w:tcBorders>
              <w:right w:val="thinThickThinSmallGap" w:sz="24" w:space="0" w:color="auto"/>
            </w:tcBorders>
            <w:shd w:val="clear" w:color="auto" w:fill="FFFFFF" w:themeFill="background1"/>
            <w:vAlign w:val="center"/>
          </w:tcPr>
          <w:p w:rsidR="00ED731B" w:rsidRPr="00676E82" w:rsidRDefault="00ED731B" w:rsidP="00ED731B">
            <w:pPr>
              <w:spacing w:line="180" w:lineRule="exact"/>
              <w:contextualSpacing/>
              <w:jc w:val="center"/>
              <w:rPr>
                <w:color w:val="auto"/>
                <w:sz w:val="18"/>
                <w:szCs w:val="18"/>
              </w:rPr>
            </w:pPr>
            <w:r w:rsidRPr="00676E82">
              <w:rPr>
                <w:color w:val="auto"/>
                <w:sz w:val="18"/>
                <w:szCs w:val="18"/>
              </w:rPr>
              <w:t>↓No Additional MEB/PEB Entries↓</w:t>
            </w:r>
          </w:p>
          <w:p w:rsidR="00ED731B" w:rsidRPr="00676E82" w:rsidRDefault="00ED731B" w:rsidP="00B0472F">
            <w:pPr>
              <w:spacing w:line="180" w:lineRule="exact"/>
              <w:contextualSpacing/>
              <w:jc w:val="center"/>
              <w:rPr>
                <w:color w:val="auto"/>
                <w:sz w:val="18"/>
                <w:szCs w:val="18"/>
              </w:rPr>
            </w:pPr>
          </w:p>
        </w:tc>
        <w:tc>
          <w:tcPr>
            <w:tcW w:w="2389" w:type="dxa"/>
            <w:tcBorders>
              <w:left w:val="thinThickThinSmallGap" w:sz="24" w:space="0" w:color="auto"/>
              <w:right w:val="single" w:sz="4" w:space="0" w:color="auto"/>
            </w:tcBorders>
            <w:shd w:val="clear" w:color="auto" w:fill="FFFFFF" w:themeFill="background1"/>
            <w:vAlign w:val="center"/>
          </w:tcPr>
          <w:p w:rsidR="00ED731B" w:rsidRPr="00676E82" w:rsidRDefault="00ED731B" w:rsidP="00676E82">
            <w:pPr>
              <w:spacing w:line="180" w:lineRule="exact"/>
              <w:contextualSpacing/>
              <w:rPr>
                <w:color w:val="auto"/>
                <w:sz w:val="18"/>
                <w:szCs w:val="18"/>
              </w:rPr>
            </w:pPr>
            <w:r>
              <w:rPr>
                <w:color w:val="auto"/>
                <w:sz w:val="18"/>
                <w:szCs w:val="18"/>
              </w:rPr>
              <w:t>L Knee Osteoarthritis</w:t>
            </w:r>
          </w:p>
        </w:tc>
        <w:tc>
          <w:tcPr>
            <w:tcW w:w="1062" w:type="dxa"/>
            <w:tcBorders>
              <w:left w:val="single" w:sz="4" w:space="0" w:color="auto"/>
            </w:tcBorders>
            <w:shd w:val="clear" w:color="auto" w:fill="FFFFFF" w:themeFill="background1"/>
            <w:vAlign w:val="center"/>
          </w:tcPr>
          <w:p w:rsidR="00ED731B" w:rsidRPr="00676E82" w:rsidRDefault="00ED731B" w:rsidP="00B0472F">
            <w:pPr>
              <w:spacing w:line="180" w:lineRule="exact"/>
              <w:contextualSpacing/>
              <w:jc w:val="center"/>
              <w:rPr>
                <w:color w:val="auto"/>
                <w:sz w:val="18"/>
                <w:szCs w:val="18"/>
              </w:rPr>
            </w:pPr>
            <w:r>
              <w:rPr>
                <w:color w:val="auto"/>
                <w:sz w:val="18"/>
                <w:szCs w:val="18"/>
              </w:rPr>
              <w:t>5010-5261</w:t>
            </w:r>
          </w:p>
        </w:tc>
        <w:tc>
          <w:tcPr>
            <w:tcW w:w="828" w:type="dxa"/>
            <w:shd w:val="clear" w:color="auto" w:fill="FFFFFF" w:themeFill="background1"/>
            <w:vAlign w:val="center"/>
          </w:tcPr>
          <w:p w:rsidR="00ED731B" w:rsidRPr="00676E82" w:rsidRDefault="00ED731B" w:rsidP="00B0472F">
            <w:pPr>
              <w:spacing w:line="180" w:lineRule="exact"/>
              <w:contextualSpacing/>
              <w:jc w:val="center"/>
              <w:rPr>
                <w:color w:val="auto"/>
                <w:sz w:val="18"/>
                <w:szCs w:val="18"/>
              </w:rPr>
            </w:pPr>
            <w:r>
              <w:rPr>
                <w:color w:val="auto"/>
                <w:sz w:val="18"/>
                <w:szCs w:val="18"/>
              </w:rPr>
              <w:t>10</w:t>
            </w:r>
            <w:r w:rsidRPr="00676E82">
              <w:rPr>
                <w:color w:val="auto"/>
                <w:sz w:val="18"/>
                <w:szCs w:val="18"/>
              </w:rPr>
              <w:t>%</w:t>
            </w:r>
          </w:p>
        </w:tc>
        <w:tc>
          <w:tcPr>
            <w:tcW w:w="990" w:type="dxa"/>
            <w:shd w:val="clear" w:color="auto" w:fill="FFFFFF" w:themeFill="background1"/>
            <w:vAlign w:val="center"/>
          </w:tcPr>
          <w:p w:rsidR="00ED731B" w:rsidRPr="00676E82" w:rsidRDefault="00ED731B" w:rsidP="00676E82">
            <w:pPr>
              <w:spacing w:line="180" w:lineRule="exact"/>
              <w:contextualSpacing/>
              <w:jc w:val="center"/>
              <w:rPr>
                <w:color w:val="auto"/>
                <w:sz w:val="18"/>
                <w:szCs w:val="18"/>
              </w:rPr>
            </w:pPr>
            <w:r w:rsidRPr="00676E82">
              <w:rPr>
                <w:color w:val="auto"/>
                <w:sz w:val="18"/>
                <w:szCs w:val="18"/>
              </w:rPr>
              <w:t>200</w:t>
            </w:r>
            <w:r>
              <w:rPr>
                <w:color w:val="auto"/>
                <w:sz w:val="18"/>
                <w:szCs w:val="18"/>
              </w:rPr>
              <w:t>60930</w:t>
            </w:r>
            <w:r w:rsidRPr="00676E82">
              <w:rPr>
                <w:color w:val="auto"/>
                <w:sz w:val="18"/>
                <w:szCs w:val="18"/>
              </w:rPr>
              <w:t xml:space="preserve"> </w:t>
            </w:r>
          </w:p>
        </w:tc>
      </w:tr>
      <w:tr w:rsidR="00ED731B" w:rsidRPr="00676E82" w:rsidTr="005C3784">
        <w:trPr>
          <w:trHeight w:val="287"/>
          <w:jc w:val="center"/>
        </w:trPr>
        <w:tc>
          <w:tcPr>
            <w:tcW w:w="4010" w:type="dxa"/>
            <w:gridSpan w:val="3"/>
            <w:vMerge/>
            <w:tcBorders>
              <w:right w:val="thinThickThinSmallGap" w:sz="24" w:space="0" w:color="auto"/>
            </w:tcBorders>
            <w:shd w:val="clear" w:color="auto" w:fill="FFFFFF" w:themeFill="background1"/>
            <w:vAlign w:val="center"/>
          </w:tcPr>
          <w:p w:rsidR="00ED731B" w:rsidRDefault="00ED731B"/>
        </w:tc>
        <w:tc>
          <w:tcPr>
            <w:tcW w:w="2389" w:type="dxa"/>
            <w:tcBorders>
              <w:left w:val="thinThickThinSmallGap" w:sz="24" w:space="0" w:color="auto"/>
              <w:right w:val="single" w:sz="4" w:space="0" w:color="auto"/>
            </w:tcBorders>
            <w:shd w:val="clear" w:color="auto" w:fill="FFFFFF" w:themeFill="background1"/>
            <w:vAlign w:val="center"/>
          </w:tcPr>
          <w:p w:rsidR="00ED731B" w:rsidRPr="00676E82" w:rsidRDefault="00ED731B" w:rsidP="00B0472F">
            <w:pPr>
              <w:spacing w:line="180" w:lineRule="exact"/>
              <w:contextualSpacing/>
              <w:rPr>
                <w:color w:val="auto"/>
                <w:sz w:val="18"/>
                <w:szCs w:val="18"/>
              </w:rPr>
            </w:pPr>
            <w:r>
              <w:rPr>
                <w:color w:val="auto"/>
                <w:sz w:val="18"/>
                <w:szCs w:val="18"/>
              </w:rPr>
              <w:t>R Knee Osteoarthritis</w:t>
            </w:r>
          </w:p>
        </w:tc>
        <w:tc>
          <w:tcPr>
            <w:tcW w:w="1062" w:type="dxa"/>
            <w:tcBorders>
              <w:left w:val="single" w:sz="4" w:space="0" w:color="auto"/>
              <w:right w:val="single" w:sz="4" w:space="0" w:color="auto"/>
            </w:tcBorders>
            <w:shd w:val="clear" w:color="auto" w:fill="FFFFFF" w:themeFill="background1"/>
            <w:vAlign w:val="center"/>
          </w:tcPr>
          <w:p w:rsidR="00ED731B" w:rsidRPr="00676E82" w:rsidRDefault="00ED731B" w:rsidP="00984050">
            <w:pPr>
              <w:spacing w:line="180" w:lineRule="exact"/>
              <w:contextualSpacing/>
              <w:jc w:val="center"/>
              <w:rPr>
                <w:color w:val="auto"/>
                <w:sz w:val="18"/>
                <w:szCs w:val="18"/>
              </w:rPr>
            </w:pPr>
            <w:r>
              <w:rPr>
                <w:color w:val="auto"/>
                <w:sz w:val="18"/>
                <w:szCs w:val="18"/>
              </w:rPr>
              <w:t>5010-5261</w:t>
            </w:r>
          </w:p>
        </w:tc>
        <w:tc>
          <w:tcPr>
            <w:tcW w:w="828" w:type="dxa"/>
            <w:tcBorders>
              <w:left w:val="single" w:sz="4" w:space="0" w:color="auto"/>
            </w:tcBorders>
            <w:shd w:val="clear" w:color="auto" w:fill="FFFFFF" w:themeFill="background1"/>
            <w:vAlign w:val="center"/>
          </w:tcPr>
          <w:p w:rsidR="00ED731B" w:rsidRPr="00676E82" w:rsidRDefault="00ED731B" w:rsidP="00984050">
            <w:pPr>
              <w:spacing w:line="180" w:lineRule="exact"/>
              <w:contextualSpacing/>
              <w:jc w:val="center"/>
              <w:rPr>
                <w:color w:val="auto"/>
                <w:sz w:val="18"/>
                <w:szCs w:val="18"/>
              </w:rPr>
            </w:pPr>
            <w:r>
              <w:rPr>
                <w:color w:val="auto"/>
                <w:sz w:val="18"/>
                <w:szCs w:val="18"/>
              </w:rPr>
              <w:t>10</w:t>
            </w:r>
            <w:r w:rsidRPr="00676E82">
              <w:rPr>
                <w:color w:val="auto"/>
                <w:sz w:val="18"/>
                <w:szCs w:val="18"/>
              </w:rPr>
              <w:t>%</w:t>
            </w:r>
          </w:p>
        </w:tc>
        <w:tc>
          <w:tcPr>
            <w:tcW w:w="990" w:type="dxa"/>
            <w:shd w:val="clear" w:color="auto" w:fill="FFFFFF" w:themeFill="background1"/>
            <w:vAlign w:val="center"/>
          </w:tcPr>
          <w:p w:rsidR="00ED731B" w:rsidRPr="00676E82" w:rsidRDefault="00ED731B" w:rsidP="00984050">
            <w:pPr>
              <w:spacing w:line="180" w:lineRule="exact"/>
              <w:contextualSpacing/>
              <w:jc w:val="center"/>
              <w:rPr>
                <w:color w:val="auto"/>
                <w:sz w:val="18"/>
                <w:szCs w:val="18"/>
              </w:rPr>
            </w:pPr>
            <w:r w:rsidRPr="00676E82">
              <w:rPr>
                <w:color w:val="auto"/>
                <w:sz w:val="18"/>
                <w:szCs w:val="18"/>
              </w:rPr>
              <w:t>200</w:t>
            </w:r>
            <w:r>
              <w:rPr>
                <w:color w:val="auto"/>
                <w:sz w:val="18"/>
                <w:szCs w:val="18"/>
              </w:rPr>
              <w:t>60930</w:t>
            </w:r>
            <w:r w:rsidRPr="00676E82">
              <w:rPr>
                <w:color w:val="auto"/>
                <w:sz w:val="18"/>
                <w:szCs w:val="18"/>
              </w:rPr>
              <w:t xml:space="preserve"> </w:t>
            </w:r>
          </w:p>
        </w:tc>
      </w:tr>
      <w:tr w:rsidR="00ED731B" w:rsidRPr="00676E82" w:rsidTr="005C3784">
        <w:trPr>
          <w:trHeight w:val="260"/>
          <w:jc w:val="center"/>
        </w:trPr>
        <w:tc>
          <w:tcPr>
            <w:tcW w:w="4010" w:type="dxa"/>
            <w:gridSpan w:val="3"/>
            <w:vMerge/>
            <w:tcBorders>
              <w:right w:val="thinThickThinSmallGap" w:sz="24" w:space="0" w:color="auto"/>
            </w:tcBorders>
            <w:shd w:val="clear" w:color="auto" w:fill="FFFFFF" w:themeFill="background1"/>
          </w:tcPr>
          <w:p w:rsidR="00ED731B" w:rsidRPr="00676E82" w:rsidRDefault="00ED731B" w:rsidP="00B0472F">
            <w:pPr>
              <w:spacing w:line="180" w:lineRule="exact"/>
              <w:contextualSpacing/>
              <w:jc w:val="center"/>
              <w:rPr>
                <w:color w:val="auto"/>
                <w:sz w:val="18"/>
                <w:szCs w:val="18"/>
              </w:rPr>
            </w:pPr>
          </w:p>
        </w:tc>
        <w:tc>
          <w:tcPr>
            <w:tcW w:w="4279" w:type="dxa"/>
            <w:gridSpan w:val="3"/>
            <w:tcBorders>
              <w:left w:val="thinThickThinSmallGap" w:sz="24" w:space="0" w:color="auto"/>
            </w:tcBorders>
            <w:shd w:val="clear" w:color="auto" w:fill="FFFFFF" w:themeFill="background1"/>
            <w:vAlign w:val="center"/>
          </w:tcPr>
          <w:p w:rsidR="00ED731B" w:rsidRPr="00676E82" w:rsidRDefault="00ED731B" w:rsidP="005B006D">
            <w:pPr>
              <w:spacing w:line="180" w:lineRule="exact"/>
              <w:contextualSpacing/>
              <w:jc w:val="center"/>
              <w:rPr>
                <w:color w:val="auto"/>
                <w:sz w:val="18"/>
                <w:szCs w:val="18"/>
              </w:rPr>
            </w:pPr>
            <w:r w:rsidRPr="00676E82">
              <w:rPr>
                <w:rFonts w:cs="Times New Roman"/>
                <w:color w:val="auto"/>
                <w:sz w:val="18"/>
                <w:szCs w:val="18"/>
              </w:rPr>
              <w:t xml:space="preserve">0% x </w:t>
            </w:r>
            <w:r>
              <w:rPr>
                <w:rFonts w:cs="Times New Roman"/>
                <w:color w:val="auto"/>
                <w:sz w:val="18"/>
                <w:szCs w:val="18"/>
              </w:rPr>
              <w:t>1</w:t>
            </w:r>
            <w:r w:rsidRPr="00676E82">
              <w:rPr>
                <w:rFonts w:cs="Times New Roman"/>
                <w:color w:val="auto"/>
                <w:sz w:val="18"/>
                <w:szCs w:val="18"/>
              </w:rPr>
              <w:t xml:space="preserve">/Not Service Connected x </w:t>
            </w:r>
            <w:r>
              <w:rPr>
                <w:rFonts w:cs="Times New Roman"/>
                <w:color w:val="auto"/>
                <w:sz w:val="18"/>
                <w:szCs w:val="18"/>
              </w:rPr>
              <w:t>3</w:t>
            </w:r>
          </w:p>
        </w:tc>
        <w:tc>
          <w:tcPr>
            <w:tcW w:w="990" w:type="dxa"/>
            <w:shd w:val="clear" w:color="auto" w:fill="FFFFFF" w:themeFill="background1"/>
            <w:vAlign w:val="center"/>
          </w:tcPr>
          <w:p w:rsidR="00ED731B" w:rsidRPr="00676E82" w:rsidRDefault="00ED731B" w:rsidP="00B0472F">
            <w:pPr>
              <w:spacing w:line="180" w:lineRule="exact"/>
              <w:contextualSpacing/>
              <w:jc w:val="center"/>
              <w:rPr>
                <w:color w:val="auto"/>
                <w:sz w:val="18"/>
                <w:szCs w:val="18"/>
              </w:rPr>
            </w:pPr>
          </w:p>
        </w:tc>
      </w:tr>
      <w:tr w:rsidR="00676E82" w:rsidRPr="00676E82" w:rsidTr="005C3784">
        <w:trPr>
          <w:trHeight w:val="242"/>
          <w:jc w:val="center"/>
        </w:trPr>
        <w:tc>
          <w:tcPr>
            <w:tcW w:w="4010" w:type="dxa"/>
            <w:gridSpan w:val="3"/>
            <w:tcBorders>
              <w:right w:val="thinThickThinSmallGap" w:sz="24" w:space="0" w:color="auto"/>
            </w:tcBorders>
            <w:shd w:val="clear" w:color="auto" w:fill="D9D9D9" w:themeFill="background1" w:themeFillShade="D9"/>
            <w:vAlign w:val="center"/>
          </w:tcPr>
          <w:p w:rsidR="00676E82" w:rsidRPr="00676E82" w:rsidRDefault="00676E82" w:rsidP="00676E82">
            <w:pPr>
              <w:spacing w:line="200" w:lineRule="exact"/>
              <w:contextualSpacing/>
              <w:jc w:val="center"/>
              <w:rPr>
                <w:b/>
                <w:color w:val="auto"/>
                <w:sz w:val="20"/>
                <w:szCs w:val="20"/>
              </w:rPr>
            </w:pPr>
            <w:r w:rsidRPr="00676E82">
              <w:rPr>
                <w:b/>
                <w:color w:val="auto"/>
                <w:sz w:val="20"/>
                <w:szCs w:val="20"/>
              </w:rPr>
              <w:t xml:space="preserve">Combined:  </w:t>
            </w:r>
            <w:r>
              <w:rPr>
                <w:b/>
                <w:color w:val="auto"/>
                <w:sz w:val="20"/>
                <w:szCs w:val="20"/>
              </w:rPr>
              <w:t>20</w:t>
            </w:r>
            <w:r w:rsidRPr="00676E82">
              <w:rPr>
                <w:b/>
                <w:color w:val="auto"/>
                <w:sz w:val="20"/>
                <w:szCs w:val="20"/>
              </w:rPr>
              <w:t>%</w:t>
            </w:r>
          </w:p>
        </w:tc>
        <w:tc>
          <w:tcPr>
            <w:tcW w:w="5269" w:type="dxa"/>
            <w:gridSpan w:val="4"/>
            <w:tcBorders>
              <w:left w:val="thinThickThinSmallGap" w:sz="24" w:space="0" w:color="auto"/>
            </w:tcBorders>
            <w:shd w:val="clear" w:color="auto" w:fill="D9D9D9" w:themeFill="background1" w:themeFillShade="D9"/>
            <w:vAlign w:val="center"/>
          </w:tcPr>
          <w:p w:rsidR="00676E82" w:rsidRPr="00676E82" w:rsidRDefault="00676E82" w:rsidP="00676E82">
            <w:pPr>
              <w:spacing w:line="200" w:lineRule="exact"/>
              <w:contextualSpacing/>
              <w:jc w:val="center"/>
              <w:rPr>
                <w:b/>
                <w:color w:val="auto"/>
                <w:sz w:val="20"/>
                <w:szCs w:val="20"/>
              </w:rPr>
            </w:pPr>
            <w:r w:rsidRPr="00676E82">
              <w:rPr>
                <w:b/>
                <w:color w:val="auto"/>
                <w:sz w:val="20"/>
                <w:szCs w:val="20"/>
              </w:rPr>
              <w:t xml:space="preserve">Combined:  </w:t>
            </w:r>
            <w:r>
              <w:rPr>
                <w:b/>
                <w:color w:val="auto"/>
                <w:sz w:val="20"/>
                <w:szCs w:val="20"/>
              </w:rPr>
              <w:t>5</w:t>
            </w:r>
            <w:r w:rsidRPr="00676E82">
              <w:rPr>
                <w:b/>
                <w:color w:val="auto"/>
                <w:sz w:val="20"/>
                <w:szCs w:val="20"/>
              </w:rPr>
              <w:t>0%</w:t>
            </w:r>
          </w:p>
        </w:tc>
      </w:tr>
    </w:tbl>
    <w:p w:rsidR="00437D18" w:rsidRPr="00F81ED2" w:rsidRDefault="00A52580" w:rsidP="00510F9C">
      <w:pPr>
        <w:pBdr>
          <w:bottom w:val="single" w:sz="12" w:space="1" w:color="auto"/>
        </w:pBdr>
        <w:tabs>
          <w:tab w:val="left" w:pos="288"/>
          <w:tab w:val="left" w:pos="4752"/>
        </w:tabs>
        <w:spacing w:line="240" w:lineRule="exact"/>
        <w:jc w:val="both"/>
        <w:rPr>
          <w:rFonts w:asciiTheme="minorHAnsi" w:hAnsiTheme="minorHAnsi"/>
          <w:color w:val="auto"/>
          <w:sz w:val="20"/>
        </w:rPr>
      </w:pPr>
      <w:r w:rsidRPr="00F81ED2">
        <w:rPr>
          <w:rFonts w:asciiTheme="minorHAnsi" w:hAnsiTheme="minorHAnsi"/>
          <w:color w:val="auto"/>
          <w:sz w:val="20"/>
        </w:rPr>
        <w:t>*</w:t>
      </w:r>
      <w:r w:rsidR="00FB6F42">
        <w:rPr>
          <w:rFonts w:asciiTheme="minorHAnsi" w:hAnsiTheme="minorHAnsi"/>
          <w:color w:val="auto"/>
          <w:sz w:val="20"/>
        </w:rPr>
        <w:t xml:space="preserve">VARD 20080404 </w:t>
      </w:r>
      <w:r w:rsidRPr="00F81ED2">
        <w:rPr>
          <w:rFonts w:asciiTheme="minorHAnsi" w:hAnsiTheme="minorHAnsi"/>
          <w:color w:val="auto"/>
          <w:sz w:val="20"/>
        </w:rPr>
        <w:t xml:space="preserve">increased to </w:t>
      </w:r>
      <w:r w:rsidR="00F81ED2" w:rsidRPr="00F81ED2">
        <w:rPr>
          <w:rFonts w:asciiTheme="minorHAnsi" w:hAnsiTheme="minorHAnsi"/>
          <w:color w:val="auto"/>
          <w:sz w:val="20"/>
        </w:rPr>
        <w:t>40%</w:t>
      </w:r>
      <w:r w:rsidR="00FB6F42">
        <w:rPr>
          <w:rFonts w:asciiTheme="minorHAnsi" w:hAnsiTheme="minorHAnsi"/>
          <w:color w:val="auto"/>
          <w:sz w:val="20"/>
        </w:rPr>
        <w:t xml:space="preserve"> effective the day after separation.</w:t>
      </w:r>
    </w:p>
    <w:p w:rsidR="00A52580" w:rsidRPr="00391858" w:rsidRDefault="00A52580"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4468F" w:rsidRDefault="0004468F" w:rsidP="0004468F">
      <w:pPr>
        <w:spacing w:line="240" w:lineRule="exact"/>
        <w:rPr>
          <w:rFonts w:asciiTheme="minorHAnsi" w:hAnsiTheme="minorHAnsi"/>
          <w:color w:val="auto"/>
          <w:szCs w:val="24"/>
        </w:rPr>
      </w:pPr>
    </w:p>
    <w:p w:rsidR="005A6122" w:rsidRDefault="002C6E5B" w:rsidP="005A026B">
      <w:pPr>
        <w:spacing w:line="240" w:lineRule="exact"/>
        <w:jc w:val="both"/>
        <w:rPr>
          <w:rFonts w:asciiTheme="minorHAnsi" w:hAnsiTheme="minorHAnsi"/>
          <w:color w:val="auto"/>
          <w:szCs w:val="24"/>
        </w:rPr>
      </w:pPr>
      <w:r w:rsidRPr="0004468F">
        <w:rPr>
          <w:rFonts w:asciiTheme="minorHAnsi" w:hAnsiTheme="minorHAnsi"/>
          <w:color w:val="auto"/>
          <w:szCs w:val="24"/>
          <w:u w:val="single"/>
        </w:rPr>
        <w:t>ANALYSIS SUMMARY</w:t>
      </w:r>
      <w:r w:rsidRPr="00396779">
        <w:rPr>
          <w:rFonts w:asciiTheme="minorHAnsi" w:hAnsiTheme="minorHAnsi"/>
          <w:color w:val="auto"/>
          <w:szCs w:val="24"/>
        </w:rPr>
        <w:t>:</w:t>
      </w:r>
      <w:r w:rsidR="00406766">
        <w:rPr>
          <w:rFonts w:asciiTheme="minorHAnsi" w:hAnsiTheme="minorHAnsi"/>
          <w:color w:val="auto"/>
          <w:szCs w:val="24"/>
        </w:rPr>
        <w:t xml:space="preserve">  </w:t>
      </w:r>
      <w:r w:rsidR="0004468F">
        <w:rPr>
          <w:rFonts w:asciiTheme="minorHAnsi" w:hAnsiTheme="minorHAnsi"/>
          <w:color w:val="auto"/>
          <w:szCs w:val="24"/>
        </w:rPr>
        <w:t>T</w:t>
      </w:r>
      <w:r w:rsidR="0004468F" w:rsidRPr="001F5378">
        <w:rPr>
          <w:rFonts w:asciiTheme="minorHAnsi" w:hAnsiTheme="minorHAnsi"/>
          <w:color w:val="auto"/>
          <w:szCs w:val="24"/>
        </w:rPr>
        <w:t xml:space="preserve">he </w:t>
      </w:r>
      <w:r w:rsidR="005C3784" w:rsidRPr="001F5378">
        <w:rPr>
          <w:rFonts w:asciiTheme="minorHAnsi" w:hAnsiTheme="minorHAnsi"/>
          <w:color w:val="auto"/>
          <w:szCs w:val="24"/>
        </w:rPr>
        <w:t>military services</w:t>
      </w:r>
      <w:r w:rsidR="0004468F" w:rsidRPr="001F5378">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5C3784">
        <w:rPr>
          <w:rFonts w:asciiTheme="minorHAnsi" w:hAnsiTheme="minorHAnsi"/>
          <w:color w:val="auto"/>
          <w:szCs w:val="24"/>
        </w:rPr>
        <w:t>,</w:t>
      </w:r>
      <w:r w:rsidR="0004468F" w:rsidRPr="001F5378">
        <w:rPr>
          <w:rFonts w:asciiTheme="minorHAnsi" w:hAnsiTheme="minorHAnsi"/>
          <w:color w:val="auto"/>
          <w:szCs w:val="24"/>
        </w:rPr>
        <w:t xml:space="preserve"> however</w:t>
      </w:r>
      <w:r w:rsidR="005C3784">
        <w:rPr>
          <w:rFonts w:asciiTheme="minorHAnsi" w:hAnsiTheme="minorHAnsi"/>
          <w:color w:val="auto"/>
          <w:szCs w:val="24"/>
        </w:rPr>
        <w:t>,</w:t>
      </w:r>
      <w:r w:rsidR="0004468F" w:rsidRPr="001F5378">
        <w:rPr>
          <w:rFonts w:asciiTheme="minorHAnsi" w:hAnsiTheme="minorHAnsi"/>
          <w:color w:val="auto"/>
          <w:szCs w:val="24"/>
        </w:rPr>
        <w:t xml:space="preserve"> can rate and compensate all service connected conditions without regard to their impact on performance of military duties.  The VA can also increase or decrease ratings based on the changing severity of each condition over time.  The Board’s role is confined to the review of medical records and all evidence at hand to assess the fairness of PEB rating determinations compared to </w:t>
      </w:r>
      <w:r w:rsidR="005C3784">
        <w:rPr>
          <w:rFonts w:asciiTheme="minorHAnsi" w:hAnsiTheme="minorHAnsi"/>
          <w:color w:val="auto"/>
          <w:szCs w:val="24"/>
        </w:rPr>
        <w:t>VA Schedule for Rating Disabilities (</w:t>
      </w:r>
      <w:r w:rsidR="0004468F" w:rsidRPr="001F5378">
        <w:rPr>
          <w:rFonts w:asciiTheme="minorHAnsi" w:hAnsiTheme="minorHAnsi"/>
          <w:color w:val="auto"/>
          <w:szCs w:val="24"/>
        </w:rPr>
        <w:t>VASRD</w:t>
      </w:r>
      <w:r w:rsidR="005C3784">
        <w:rPr>
          <w:rFonts w:asciiTheme="minorHAnsi" w:hAnsiTheme="minorHAnsi"/>
          <w:color w:val="auto"/>
          <w:szCs w:val="24"/>
        </w:rPr>
        <w:t>)</w:t>
      </w:r>
      <w:r w:rsidR="0004468F" w:rsidRPr="001F5378">
        <w:rPr>
          <w:rFonts w:asciiTheme="minorHAnsi" w:hAnsiTheme="minorHAnsi"/>
          <w:color w:val="auto"/>
          <w:szCs w:val="24"/>
        </w:rPr>
        <w:t xml:space="preserve"> standards, as well as the fairness of PEB fitness adjudications at the time of separation.  </w:t>
      </w:r>
    </w:p>
    <w:p w:rsidR="006311F9" w:rsidRDefault="006311F9" w:rsidP="006311F9">
      <w:pPr>
        <w:spacing w:line="240" w:lineRule="exact"/>
        <w:jc w:val="both"/>
        <w:rPr>
          <w:rFonts w:asciiTheme="minorHAnsi" w:hAnsiTheme="minorHAnsi"/>
          <w:color w:val="auto"/>
          <w:szCs w:val="24"/>
          <w:u w:val="single"/>
        </w:rPr>
      </w:pPr>
    </w:p>
    <w:p w:rsidR="006311F9" w:rsidRDefault="006311F9" w:rsidP="006311F9">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Intervertebral Disc Syndrome</w:t>
      </w:r>
      <w:r>
        <w:rPr>
          <w:rFonts w:asciiTheme="minorHAnsi" w:hAnsiTheme="minorHAnsi"/>
          <w:color w:val="auto"/>
          <w:szCs w:val="24"/>
        </w:rPr>
        <w:t>.</w:t>
      </w:r>
      <w:proofErr w:type="gramEnd"/>
      <w:r>
        <w:rPr>
          <w:rFonts w:asciiTheme="minorHAnsi" w:hAnsiTheme="minorHAnsi"/>
          <w:color w:val="auto"/>
          <w:szCs w:val="24"/>
        </w:rPr>
        <w:t xml:space="preserve">  The CI had a history of chronic low back pain that worsened in</w:t>
      </w:r>
      <w:r w:rsidR="00EE0589">
        <w:rPr>
          <w:rFonts w:asciiTheme="minorHAnsi" w:hAnsiTheme="minorHAnsi"/>
          <w:color w:val="auto"/>
          <w:szCs w:val="24"/>
        </w:rPr>
        <w:t xml:space="preserve"> the year preceding the D</w:t>
      </w:r>
      <w:r>
        <w:rPr>
          <w:rFonts w:asciiTheme="minorHAnsi" w:hAnsiTheme="minorHAnsi"/>
          <w:color w:val="auto"/>
          <w:szCs w:val="24"/>
        </w:rPr>
        <w:t xml:space="preserve">EB. </w:t>
      </w:r>
      <w:r w:rsidR="00B37FB7">
        <w:rPr>
          <w:rFonts w:asciiTheme="minorHAnsi" w:hAnsiTheme="minorHAnsi"/>
          <w:color w:val="auto"/>
          <w:szCs w:val="24"/>
        </w:rPr>
        <w:t>A m</w:t>
      </w:r>
      <w:r>
        <w:rPr>
          <w:rFonts w:asciiTheme="minorHAnsi" w:hAnsiTheme="minorHAnsi"/>
          <w:color w:val="auto"/>
          <w:szCs w:val="24"/>
        </w:rPr>
        <w:t xml:space="preserve">agnetic resonance imaging scanning in October 2005 </w:t>
      </w:r>
      <w:r>
        <w:rPr>
          <w:rFonts w:asciiTheme="minorHAnsi" w:hAnsiTheme="minorHAnsi"/>
          <w:color w:val="auto"/>
          <w:szCs w:val="24"/>
        </w:rPr>
        <w:lastRenderedPageBreak/>
        <w:t xml:space="preserve">demonstrated degenerative disc disease at L3-4, with small posterior herniation and L4-5 with bulging disc, without nerve root involvement.  The VASRD general rating formula for diseases and injuries of the spine relies on thoracolumbar range of motion (ROM).  The CI contends the ROM reported in the narrative summary was not accurate because the examiner was an inexperienced physician assistant who estimated the ROM based on a visual assessment rather than use of a goniometer or inclinometer.  He contends the ROM results provided by </w:t>
      </w:r>
      <w:proofErr w:type="spellStart"/>
      <w:r>
        <w:rPr>
          <w:rFonts w:asciiTheme="minorHAnsi" w:hAnsiTheme="minorHAnsi"/>
          <w:color w:val="auto"/>
          <w:szCs w:val="24"/>
        </w:rPr>
        <w:t>Teche</w:t>
      </w:r>
      <w:proofErr w:type="spellEnd"/>
      <w:r>
        <w:rPr>
          <w:rFonts w:asciiTheme="minorHAnsi" w:hAnsiTheme="minorHAnsi"/>
          <w:color w:val="auto"/>
          <w:szCs w:val="24"/>
        </w:rPr>
        <w:t xml:space="preserve"> Regional Medical Center physical therapy are accurate and should be used in determining a VASRD disability rating.  Except for the 27 January 2006 ROM results, the ROM measurements reported by </w:t>
      </w:r>
      <w:proofErr w:type="spellStart"/>
      <w:r>
        <w:rPr>
          <w:rFonts w:asciiTheme="minorHAnsi" w:hAnsiTheme="minorHAnsi"/>
          <w:color w:val="auto"/>
          <w:szCs w:val="24"/>
        </w:rPr>
        <w:t>Teche</w:t>
      </w:r>
      <w:proofErr w:type="spellEnd"/>
      <w:r>
        <w:rPr>
          <w:rFonts w:asciiTheme="minorHAnsi" w:hAnsiTheme="minorHAnsi"/>
          <w:color w:val="auto"/>
          <w:szCs w:val="24"/>
        </w:rPr>
        <w:t xml:space="preserve"> Regional Medical Center (TRMC) physical therapy were lumbar ROMs, not thoracolumbar ROMs.  TRMC physical therapy performed lumbar ROMs in accordance with the AMA guideline (American Medical Association Guides to the Evaluation of Permanent Impairment; presumed to be fifth edition) which directs separate measurements for each segment of the spine using a dual inclinometer method</w:t>
      </w:r>
      <w:r w:rsidR="00B37FB7">
        <w:rPr>
          <w:rFonts w:asciiTheme="minorHAnsi" w:hAnsiTheme="minorHAnsi"/>
          <w:color w:val="auto"/>
          <w:szCs w:val="24"/>
        </w:rPr>
        <w:t>,</w:t>
      </w:r>
      <w:r>
        <w:rPr>
          <w:rFonts w:asciiTheme="minorHAnsi" w:hAnsiTheme="minorHAnsi"/>
          <w:color w:val="auto"/>
          <w:szCs w:val="24"/>
        </w:rPr>
        <w:t xml:space="preserve"> i.e.</w:t>
      </w:r>
      <w:r w:rsidR="00B37FB7">
        <w:rPr>
          <w:rFonts w:asciiTheme="minorHAnsi" w:hAnsiTheme="minorHAnsi"/>
          <w:color w:val="auto"/>
          <w:szCs w:val="24"/>
        </w:rPr>
        <w:t>,</w:t>
      </w:r>
      <w:r>
        <w:rPr>
          <w:rFonts w:asciiTheme="minorHAnsi" w:hAnsiTheme="minorHAnsi"/>
          <w:color w:val="auto"/>
          <w:szCs w:val="24"/>
        </w:rPr>
        <w:t xml:space="preserve"> thoracic segment separately from the lumbar segment.  The AMA method also involves subtraction of sacral movement that is part of the VASRD thoracolumbar ROM.  VARSD rating guidance under the general rule for rating spinal conditions uses the combined thoracic and lumbar ROM measured from the vertical.  Therefore, lumbar ROMs reported by TRMC physical therapy are not equivalent to thoracolumbar ROM, and do not directly correlate with ratings using the VASRD general rating formula.  The TRMC physical therapy ROM work sheets did not include a measurement of thoracic spine ROM that could be combined with the lumbar ROM to provide values that would more nearly approximate the thoracolumbar ROM for rating using the VASRD.  </w:t>
      </w:r>
    </w:p>
    <w:p w:rsidR="006311F9" w:rsidRDefault="006311F9" w:rsidP="006311F9">
      <w:pPr>
        <w:spacing w:line="240" w:lineRule="exact"/>
        <w:jc w:val="both"/>
        <w:rPr>
          <w:rFonts w:asciiTheme="minorHAnsi" w:hAnsiTheme="minorHAnsi"/>
          <w:color w:val="auto"/>
          <w:szCs w:val="24"/>
        </w:rPr>
      </w:pPr>
    </w:p>
    <w:p w:rsidR="006311F9" w:rsidRDefault="006311F9" w:rsidP="006311F9">
      <w:pPr>
        <w:spacing w:line="240" w:lineRule="exact"/>
        <w:jc w:val="both"/>
        <w:rPr>
          <w:rFonts w:asciiTheme="minorHAnsi" w:hAnsiTheme="minorHAnsi"/>
          <w:color w:val="auto"/>
          <w:szCs w:val="24"/>
        </w:rPr>
      </w:pPr>
      <w:r>
        <w:rPr>
          <w:rFonts w:asciiTheme="minorHAnsi" w:hAnsiTheme="minorHAnsi"/>
          <w:color w:val="auto"/>
          <w:szCs w:val="24"/>
        </w:rPr>
        <w:t xml:space="preserve">Due to the significant differences between the </w:t>
      </w:r>
      <w:r w:rsidR="00B37FB7">
        <w:rPr>
          <w:rFonts w:asciiTheme="minorHAnsi" w:hAnsiTheme="minorHAnsi"/>
          <w:color w:val="auto"/>
          <w:szCs w:val="24"/>
        </w:rPr>
        <w:t>narrative summary</w:t>
      </w:r>
      <w:r>
        <w:rPr>
          <w:rFonts w:asciiTheme="minorHAnsi" w:hAnsiTheme="minorHAnsi"/>
          <w:color w:val="auto"/>
          <w:szCs w:val="24"/>
        </w:rPr>
        <w:t xml:space="preserve"> ROM and 27 January 2006 TRMC physical therapy thoracolumbar ROM, the Board carefully reviewed all examinations to develop a consistent picture of the CI’s back condition.  </w:t>
      </w:r>
      <w:r w:rsidR="00B37FB7">
        <w:rPr>
          <w:rFonts w:asciiTheme="minorHAnsi" w:hAnsiTheme="minorHAnsi"/>
          <w:color w:val="auto"/>
          <w:szCs w:val="24"/>
        </w:rPr>
        <w:t xml:space="preserve">A summary follows: </w:t>
      </w:r>
    </w:p>
    <w:p w:rsidR="006311F9" w:rsidRDefault="006311F9" w:rsidP="006311F9">
      <w:pPr>
        <w:spacing w:line="240" w:lineRule="exact"/>
        <w:jc w:val="both"/>
        <w:rPr>
          <w:rFonts w:asciiTheme="minorHAnsi" w:hAnsiTheme="minorHAnsi"/>
          <w:color w:val="auto"/>
          <w:szCs w:val="24"/>
        </w:rPr>
      </w:pPr>
    </w:p>
    <w:p w:rsidR="006311F9" w:rsidRDefault="006311F9" w:rsidP="006311F9">
      <w:pPr>
        <w:pStyle w:val="ListParagraph"/>
        <w:numPr>
          <w:ilvl w:val="0"/>
          <w:numId w:val="20"/>
        </w:numPr>
        <w:spacing w:line="240" w:lineRule="exact"/>
        <w:jc w:val="both"/>
        <w:rPr>
          <w:sz w:val="24"/>
          <w:szCs w:val="24"/>
        </w:rPr>
      </w:pPr>
      <w:r>
        <w:rPr>
          <w:sz w:val="24"/>
          <w:szCs w:val="24"/>
        </w:rPr>
        <w:t xml:space="preserve">At the neurosurgery evaluation on 25 March 2005, there was a history of intermittent low back pain for six years that had recently become progressively worse.  There were no radicular symptoms; strength was normal (5/5); the CI was able to heel and toe walk; sensation was intact; and examination testing for nerve root irritation was negative.  Although a goniometric ROM was not reported, the neurosurgeon stated the CI had a “full ROM of the lumbar spine.”  </w:t>
      </w:r>
    </w:p>
    <w:p w:rsidR="006311F9" w:rsidRDefault="006311F9" w:rsidP="006311F9">
      <w:pPr>
        <w:pStyle w:val="ListParagraph"/>
        <w:numPr>
          <w:ilvl w:val="0"/>
          <w:numId w:val="20"/>
        </w:numPr>
        <w:spacing w:line="240" w:lineRule="exact"/>
        <w:jc w:val="both"/>
        <w:rPr>
          <w:sz w:val="24"/>
          <w:szCs w:val="24"/>
        </w:rPr>
      </w:pPr>
      <w:r>
        <w:rPr>
          <w:sz w:val="24"/>
          <w:szCs w:val="24"/>
        </w:rPr>
        <w:t>At the 30 April 2005 TRMC physical therapy encounter during an acute exacerbation of low back pain, the lumber ROM was 27 degrees in flexion, which is approximately 50% of normal (normal lumbar flexion is 60 degrees</w:t>
      </w:r>
      <w:r>
        <w:rPr>
          <w:rFonts w:cstheme="minorHAnsi"/>
          <w:sz w:val="24"/>
          <w:szCs w:val="24"/>
        </w:rPr>
        <w:t>)</w:t>
      </w:r>
      <w:r>
        <w:rPr>
          <w:sz w:val="24"/>
          <w:szCs w:val="24"/>
        </w:rPr>
        <w:t xml:space="preserve">.  </w:t>
      </w:r>
    </w:p>
    <w:p w:rsidR="006311F9" w:rsidRDefault="006311F9" w:rsidP="006311F9">
      <w:pPr>
        <w:pStyle w:val="ListParagraph"/>
        <w:numPr>
          <w:ilvl w:val="0"/>
          <w:numId w:val="20"/>
        </w:numPr>
        <w:spacing w:line="240" w:lineRule="exact"/>
        <w:jc w:val="both"/>
        <w:rPr>
          <w:sz w:val="24"/>
          <w:szCs w:val="24"/>
        </w:rPr>
      </w:pPr>
      <w:r>
        <w:rPr>
          <w:sz w:val="24"/>
          <w:szCs w:val="24"/>
        </w:rPr>
        <w:t>At the 21 July 2005 clinic encounter with his physician, he could flex forward until his fingers were 8” to floor, which is approximately 60 to 70 degrees</w:t>
      </w:r>
      <w:r>
        <w:rPr>
          <w:rFonts w:cstheme="minorHAnsi"/>
          <w:sz w:val="24"/>
          <w:szCs w:val="24"/>
        </w:rPr>
        <w:t xml:space="preserve"> of thoracolumbar flexion for a man of the same height with average arm span (CI is 72” tall)</w:t>
      </w:r>
      <w:r>
        <w:rPr>
          <w:sz w:val="24"/>
          <w:szCs w:val="24"/>
        </w:rPr>
        <w:t xml:space="preserve">.  </w:t>
      </w:r>
    </w:p>
    <w:p w:rsidR="006311F9" w:rsidRDefault="006311F9" w:rsidP="006311F9">
      <w:pPr>
        <w:pStyle w:val="ListParagraph"/>
        <w:numPr>
          <w:ilvl w:val="0"/>
          <w:numId w:val="20"/>
        </w:numPr>
        <w:spacing w:line="240" w:lineRule="exact"/>
        <w:jc w:val="both"/>
        <w:rPr>
          <w:sz w:val="24"/>
          <w:szCs w:val="24"/>
        </w:rPr>
      </w:pPr>
      <w:r>
        <w:rPr>
          <w:sz w:val="24"/>
          <w:szCs w:val="24"/>
        </w:rPr>
        <w:t>A 29 July 2005 TRMC physical therapy encounter records lumbar flexion of 60</w:t>
      </w:r>
      <w:r>
        <w:rPr>
          <w:rFonts w:cstheme="minorHAnsi"/>
          <w:sz w:val="24"/>
          <w:szCs w:val="24"/>
        </w:rPr>
        <w:t>°</w:t>
      </w:r>
      <w:r>
        <w:rPr>
          <w:sz w:val="24"/>
          <w:szCs w:val="24"/>
        </w:rPr>
        <w:t xml:space="preserve"> which is normal, but with reduced lumbar extension (13</w:t>
      </w:r>
      <w:r>
        <w:rPr>
          <w:rFonts w:cstheme="minorHAnsi"/>
          <w:sz w:val="24"/>
          <w:szCs w:val="24"/>
        </w:rPr>
        <w:t xml:space="preserve">°) and </w:t>
      </w:r>
      <w:r>
        <w:rPr>
          <w:sz w:val="24"/>
          <w:szCs w:val="24"/>
        </w:rPr>
        <w:t>lumbar side bending (19</w:t>
      </w:r>
      <w:r>
        <w:rPr>
          <w:rFonts w:cstheme="minorHAnsi"/>
          <w:sz w:val="24"/>
          <w:szCs w:val="24"/>
        </w:rPr>
        <w:t>°</w:t>
      </w:r>
      <w:r>
        <w:rPr>
          <w:sz w:val="24"/>
          <w:szCs w:val="24"/>
        </w:rPr>
        <w:t xml:space="preserve"> and 17</w:t>
      </w:r>
      <w:r>
        <w:rPr>
          <w:rFonts w:cstheme="minorHAnsi"/>
          <w:sz w:val="24"/>
          <w:szCs w:val="24"/>
        </w:rPr>
        <w:t>°</w:t>
      </w:r>
      <w:r>
        <w:rPr>
          <w:sz w:val="24"/>
          <w:szCs w:val="24"/>
        </w:rPr>
        <w:t xml:space="preserve">).  </w:t>
      </w:r>
    </w:p>
    <w:p w:rsidR="006311F9" w:rsidRDefault="006311F9" w:rsidP="006311F9">
      <w:pPr>
        <w:pStyle w:val="ListParagraph"/>
        <w:numPr>
          <w:ilvl w:val="0"/>
          <w:numId w:val="20"/>
        </w:numPr>
        <w:spacing w:line="240" w:lineRule="exact"/>
        <w:jc w:val="both"/>
        <w:rPr>
          <w:sz w:val="24"/>
          <w:szCs w:val="24"/>
        </w:rPr>
      </w:pPr>
      <w:r>
        <w:rPr>
          <w:sz w:val="24"/>
          <w:szCs w:val="24"/>
        </w:rPr>
        <w:t xml:space="preserve">Clinic encounters in August and October 2005 recorded ROM was “decreased” without other descriptors that reflect the amount.  </w:t>
      </w:r>
    </w:p>
    <w:p w:rsidR="006311F9" w:rsidRDefault="006311F9" w:rsidP="006311F9">
      <w:pPr>
        <w:pStyle w:val="ListParagraph"/>
        <w:numPr>
          <w:ilvl w:val="0"/>
          <w:numId w:val="20"/>
        </w:numPr>
        <w:spacing w:line="240" w:lineRule="exact"/>
        <w:jc w:val="both"/>
        <w:rPr>
          <w:sz w:val="24"/>
          <w:szCs w:val="24"/>
        </w:rPr>
      </w:pPr>
      <w:r>
        <w:rPr>
          <w:sz w:val="24"/>
          <w:szCs w:val="24"/>
        </w:rPr>
        <w:t xml:space="preserve">A TRMC physical therapy appointment on 1 December 2005 recorded lumbar flexions of 26, 28 and 35 degrees, in accordance with the AMA Guide.  This examination also recorded the sacral inclinometer readings, as well as the straight leg raise readings.  According to the AMA Guide, the validity of a lumbar ROM examination is questionable when the tightest straight leg raise movement exceeds the combined sacral flexion plus extension by more than 15 degrees; it was exceeded by 35 degrees. </w:t>
      </w:r>
    </w:p>
    <w:p w:rsidR="006311F9" w:rsidRPr="006311F9" w:rsidRDefault="006311F9" w:rsidP="00B37FB7">
      <w:pPr>
        <w:pStyle w:val="ListParagraph"/>
        <w:numPr>
          <w:ilvl w:val="0"/>
          <w:numId w:val="20"/>
        </w:numPr>
        <w:spacing w:line="240" w:lineRule="exact"/>
        <w:ind w:right="720"/>
        <w:jc w:val="both"/>
        <w:rPr>
          <w:sz w:val="20"/>
          <w:szCs w:val="20"/>
        </w:rPr>
      </w:pPr>
      <w:r w:rsidRPr="006311F9">
        <w:rPr>
          <w:sz w:val="24"/>
          <w:szCs w:val="24"/>
        </w:rPr>
        <w:t>At the 15 December 2005 neurosurgery follow up, the CI reported that he was</w:t>
      </w:r>
      <w:r w:rsidR="00B37FB7">
        <w:rPr>
          <w:sz w:val="24"/>
          <w:szCs w:val="24"/>
        </w:rPr>
        <w:t xml:space="preserve"> </w:t>
      </w:r>
      <w:r w:rsidRPr="006311F9">
        <w:rPr>
          <w:sz w:val="24"/>
          <w:szCs w:val="24"/>
        </w:rPr>
        <w:t>unable to perform full military duties</w:t>
      </w:r>
      <w:r w:rsidR="00B37FB7" w:rsidRPr="00B37FB7">
        <w:rPr>
          <w:sz w:val="24"/>
          <w:szCs w:val="24"/>
        </w:rPr>
        <w:t xml:space="preserve"> </w:t>
      </w:r>
      <w:r w:rsidR="00B37FB7" w:rsidRPr="006311F9">
        <w:rPr>
          <w:sz w:val="24"/>
          <w:szCs w:val="24"/>
        </w:rPr>
        <w:t xml:space="preserve">due to </w:t>
      </w:r>
      <w:r w:rsidR="00B37FB7">
        <w:rPr>
          <w:sz w:val="24"/>
          <w:szCs w:val="24"/>
        </w:rPr>
        <w:t>h</w:t>
      </w:r>
      <w:r w:rsidR="00B37FB7" w:rsidRPr="006311F9">
        <w:rPr>
          <w:sz w:val="24"/>
          <w:szCs w:val="24"/>
        </w:rPr>
        <w:t>is back pain</w:t>
      </w:r>
      <w:r w:rsidRPr="006311F9">
        <w:rPr>
          <w:sz w:val="24"/>
          <w:szCs w:val="24"/>
        </w:rPr>
        <w:t xml:space="preserve">.  The surgeon wrote: </w:t>
      </w:r>
    </w:p>
    <w:p w:rsidR="00B37FB7" w:rsidRDefault="00B37FB7" w:rsidP="006311F9">
      <w:pPr>
        <w:spacing w:line="240" w:lineRule="exact"/>
        <w:ind w:left="1440" w:right="720"/>
        <w:jc w:val="both"/>
        <w:rPr>
          <w:rFonts w:asciiTheme="minorHAnsi" w:hAnsiTheme="minorHAnsi"/>
          <w:color w:val="auto"/>
          <w:sz w:val="20"/>
        </w:rPr>
      </w:pPr>
    </w:p>
    <w:p w:rsidR="00B37FB7" w:rsidRDefault="00B37FB7" w:rsidP="006311F9">
      <w:pPr>
        <w:spacing w:line="240" w:lineRule="exact"/>
        <w:ind w:left="1440" w:right="720"/>
        <w:jc w:val="both"/>
        <w:rPr>
          <w:rFonts w:asciiTheme="minorHAnsi" w:hAnsiTheme="minorHAnsi"/>
          <w:color w:val="auto"/>
          <w:sz w:val="20"/>
        </w:rPr>
      </w:pPr>
    </w:p>
    <w:p w:rsidR="006311F9" w:rsidRDefault="006311F9" w:rsidP="006311F9">
      <w:pPr>
        <w:spacing w:line="240" w:lineRule="exact"/>
        <w:ind w:left="1440" w:right="720"/>
        <w:jc w:val="both"/>
        <w:rPr>
          <w:rFonts w:asciiTheme="minorHAnsi" w:hAnsiTheme="minorHAnsi"/>
          <w:color w:val="auto"/>
          <w:sz w:val="20"/>
        </w:rPr>
      </w:pPr>
      <w:r>
        <w:rPr>
          <w:rFonts w:asciiTheme="minorHAnsi" w:hAnsiTheme="minorHAnsi"/>
          <w:color w:val="auto"/>
          <w:sz w:val="20"/>
        </w:rPr>
        <w:lastRenderedPageBreak/>
        <w:t>I asked him once again whether he feels that his symptoms in his back are severe enough to warrant undergoing lumbar fusion surgery and he states that he does not feel that they are.  They do impact on many of his daily activities but he states that they really are not particularly severe.  He has an achy pain in his back during the day and some difficulty with sleeping at night, but not what he would call unremitting, severe lower back pain.  He stated definitively today that he is not interested in surgery to eradicate the level of pain that he is experiencing.</w:t>
      </w:r>
    </w:p>
    <w:p w:rsidR="006311F9" w:rsidRDefault="006311F9" w:rsidP="006311F9">
      <w:pPr>
        <w:spacing w:line="240" w:lineRule="exact"/>
        <w:ind w:left="720" w:right="720"/>
        <w:jc w:val="both"/>
        <w:rPr>
          <w:rFonts w:asciiTheme="minorHAnsi" w:hAnsiTheme="minorHAnsi"/>
          <w:color w:val="auto"/>
          <w:sz w:val="20"/>
        </w:rPr>
      </w:pPr>
    </w:p>
    <w:p w:rsidR="006311F9" w:rsidRDefault="006311F9" w:rsidP="006311F9">
      <w:pPr>
        <w:pStyle w:val="ListParagraph"/>
        <w:numPr>
          <w:ilvl w:val="0"/>
          <w:numId w:val="21"/>
        </w:numPr>
        <w:spacing w:line="240" w:lineRule="exact"/>
        <w:jc w:val="both"/>
        <w:rPr>
          <w:sz w:val="24"/>
          <w:szCs w:val="24"/>
        </w:rPr>
      </w:pPr>
      <w:r>
        <w:rPr>
          <w:sz w:val="24"/>
          <w:szCs w:val="24"/>
        </w:rPr>
        <w:t xml:space="preserve">The MEB </w:t>
      </w:r>
      <w:r w:rsidR="00B37FB7">
        <w:rPr>
          <w:sz w:val="24"/>
          <w:szCs w:val="24"/>
        </w:rPr>
        <w:t>narrative summary</w:t>
      </w:r>
      <w:r>
        <w:rPr>
          <w:sz w:val="24"/>
          <w:szCs w:val="24"/>
        </w:rPr>
        <w:t xml:space="preserve"> (undated, but service treatment record entry for MEB physical examination is dated 21 December 2005) records “lumbar spine” flexion of “around” 45 degrees.  It is not clear if the examiner was referring to lumbar segment motion or combined thoracolumbar motion.  The IPEB (28 March 2006) based its VASRD rating on the </w:t>
      </w:r>
      <w:r w:rsidR="00B37FB7">
        <w:rPr>
          <w:sz w:val="24"/>
          <w:szCs w:val="24"/>
        </w:rPr>
        <w:t xml:space="preserve">narrative summary </w:t>
      </w:r>
      <w:r>
        <w:rPr>
          <w:sz w:val="24"/>
          <w:szCs w:val="24"/>
        </w:rPr>
        <w:t xml:space="preserve">ROM.  </w:t>
      </w:r>
    </w:p>
    <w:p w:rsidR="006311F9" w:rsidRDefault="006311F9" w:rsidP="006311F9">
      <w:pPr>
        <w:pStyle w:val="ListParagraph"/>
        <w:numPr>
          <w:ilvl w:val="0"/>
          <w:numId w:val="21"/>
        </w:numPr>
        <w:spacing w:line="240" w:lineRule="exact"/>
        <w:jc w:val="both"/>
        <w:rPr>
          <w:sz w:val="24"/>
          <w:szCs w:val="24"/>
        </w:rPr>
      </w:pPr>
      <w:r>
        <w:rPr>
          <w:sz w:val="24"/>
          <w:szCs w:val="24"/>
        </w:rPr>
        <w:t xml:space="preserve">A 20 January 2006 TRMC physical therapy appointment two weeks after an emergency room visit for a flare of back pain recorded a lumbar flexion of 17 degrees. </w:t>
      </w:r>
    </w:p>
    <w:p w:rsidR="006311F9" w:rsidRDefault="006311F9" w:rsidP="006311F9">
      <w:pPr>
        <w:pStyle w:val="ListParagraph"/>
        <w:numPr>
          <w:ilvl w:val="0"/>
          <w:numId w:val="21"/>
        </w:numPr>
        <w:spacing w:line="240" w:lineRule="exact"/>
        <w:jc w:val="both"/>
        <w:rPr>
          <w:rFonts w:cstheme="minorHAnsi"/>
          <w:sz w:val="24"/>
          <w:szCs w:val="24"/>
        </w:rPr>
      </w:pPr>
      <w:r>
        <w:rPr>
          <w:sz w:val="24"/>
          <w:szCs w:val="24"/>
        </w:rPr>
        <w:t>A TRMC physical therapy appointment on 27 January 2006, expressly for measurement of thoracolumbar ROM in accordance with the VASRD, recorded thoracolumbar flexions of 25, 25 and 28 degrees</w:t>
      </w:r>
      <w:r>
        <w:rPr>
          <w:rFonts w:cstheme="minorHAnsi"/>
          <w:sz w:val="24"/>
          <w:szCs w:val="24"/>
        </w:rPr>
        <w:t xml:space="preserve"> (after exercise)</w:t>
      </w:r>
      <w:r>
        <w:rPr>
          <w:sz w:val="24"/>
          <w:szCs w:val="24"/>
        </w:rPr>
        <w:t xml:space="preserve"> that are essentially no different than the lumbar ROM measurements (that exclude thoracic ROM) from 1 December 2005, both without documentary evidence of an acute exacerbation of back pain.  Both of these later ROMs were not different from an April 2005 lumbar flexion that was in the setting of an acute exacerbation.  </w:t>
      </w:r>
    </w:p>
    <w:p w:rsidR="006311F9" w:rsidRDefault="006311F9" w:rsidP="006311F9">
      <w:pPr>
        <w:pStyle w:val="ListParagraph"/>
        <w:numPr>
          <w:ilvl w:val="0"/>
          <w:numId w:val="21"/>
        </w:numPr>
        <w:spacing w:line="240" w:lineRule="exact"/>
        <w:jc w:val="both"/>
        <w:rPr>
          <w:rFonts w:cstheme="minorHAnsi"/>
          <w:sz w:val="24"/>
          <w:szCs w:val="24"/>
        </w:rPr>
      </w:pPr>
      <w:r>
        <w:rPr>
          <w:sz w:val="24"/>
          <w:szCs w:val="24"/>
        </w:rPr>
        <w:t>At a 26 April 2006 follow up appointment with his physician (no acute flare)</w:t>
      </w:r>
      <w:proofErr w:type="gramStart"/>
      <w:r>
        <w:rPr>
          <w:sz w:val="24"/>
          <w:szCs w:val="24"/>
        </w:rPr>
        <w:t>,</w:t>
      </w:r>
      <w:proofErr w:type="gramEnd"/>
      <w:r>
        <w:rPr>
          <w:sz w:val="24"/>
          <w:szCs w:val="24"/>
        </w:rPr>
        <w:t xml:space="preserve"> he could flex reaching his fingers to the level of his knees, which is approximately 45 degree of thoracolumbar flexion (although the examiner stated 10</w:t>
      </w:r>
      <w:r>
        <w:rPr>
          <w:rFonts w:cstheme="minorHAnsi"/>
          <w:sz w:val="24"/>
          <w:szCs w:val="24"/>
        </w:rPr>
        <w:t xml:space="preserve"> to </w:t>
      </w:r>
      <w:r>
        <w:rPr>
          <w:sz w:val="24"/>
          <w:szCs w:val="24"/>
        </w:rPr>
        <w:t>15 degrees not consistent with the observed movement</w:t>
      </w:r>
      <w:r>
        <w:rPr>
          <w:rFonts w:cstheme="minorHAnsi"/>
          <w:sz w:val="24"/>
          <w:szCs w:val="24"/>
        </w:rPr>
        <w:t xml:space="preserve">). </w:t>
      </w:r>
    </w:p>
    <w:p w:rsidR="006311F9" w:rsidRDefault="006311F9" w:rsidP="006311F9">
      <w:pPr>
        <w:pStyle w:val="ListParagraph"/>
        <w:numPr>
          <w:ilvl w:val="0"/>
          <w:numId w:val="21"/>
        </w:numPr>
        <w:spacing w:line="240" w:lineRule="exact"/>
        <w:jc w:val="both"/>
        <w:rPr>
          <w:sz w:val="24"/>
          <w:szCs w:val="24"/>
        </w:rPr>
      </w:pPr>
      <w:r>
        <w:rPr>
          <w:rFonts w:cstheme="minorHAnsi"/>
          <w:sz w:val="24"/>
          <w:szCs w:val="24"/>
        </w:rPr>
        <w:t xml:space="preserve">During an acute exacerbation of low back pain on 1 June 2006, the physical therapist recorded a lumbar flexion of 15 degrees (similar to a 21 January 2006 value close to the time of a documented acute flare).  </w:t>
      </w:r>
    </w:p>
    <w:p w:rsidR="006311F9" w:rsidRDefault="006311F9" w:rsidP="006311F9">
      <w:pPr>
        <w:pStyle w:val="ListParagraph"/>
        <w:numPr>
          <w:ilvl w:val="0"/>
          <w:numId w:val="21"/>
        </w:numPr>
        <w:spacing w:line="240" w:lineRule="exact"/>
        <w:jc w:val="both"/>
        <w:rPr>
          <w:sz w:val="24"/>
          <w:szCs w:val="24"/>
        </w:rPr>
      </w:pPr>
      <w:r>
        <w:rPr>
          <w:sz w:val="24"/>
          <w:szCs w:val="24"/>
        </w:rPr>
        <w:t>At the VA compensation and pension (C&amp;P) examination of the spine, seven months after separation, the recorded thoracolumbar ROM was 20 degrees in all planes.  The C&amp;P examiner did not believe the ROM results were valid and recorded the CI gave an “extremely poor effort” during ROM testing.  Reportedly, the CI did not provide full participation because of “fear of pain.”  Based on this examination, the VA initially adjudicated a zero percent rating.  On appeal, the VA assigned a 40% rating based on the TRMC ROM examinations.</w:t>
      </w:r>
    </w:p>
    <w:p w:rsidR="006311F9" w:rsidRDefault="006311F9" w:rsidP="006311F9">
      <w:pPr>
        <w:spacing w:line="240" w:lineRule="exact"/>
        <w:jc w:val="both"/>
        <w:rPr>
          <w:rFonts w:asciiTheme="minorHAnsi" w:hAnsiTheme="minorHAnsi" w:cstheme="minorHAnsi"/>
          <w:color w:val="auto"/>
          <w:szCs w:val="24"/>
        </w:rPr>
      </w:pPr>
      <w:r>
        <w:rPr>
          <w:rFonts w:asciiTheme="minorHAnsi" w:hAnsiTheme="minorHAnsi"/>
          <w:color w:val="auto"/>
          <w:szCs w:val="24"/>
        </w:rPr>
        <w:t>Although different examiners at different times described the CI’s ROM in different terms or by different methodology, the Board concluded there was a consistent picture and sufficient evidence to make a rating recommendation IAW the VASRD.  The preponderance of evidence does not support that the impairment is consistent with a VASRD rating of 40%.  Although the VASRD requires the use of ROM (or incapacitating episodes for intervertebral disc syndrome) in determining the impairment of spinal conditions, this is not in isolation from the evidence of the other details of the medical evaluation and clinical impression.  While the 27 January 2006 TRMC physical therapy examination reports thoracolumbar flexion limited to 25 to 30 degrees</w:t>
      </w:r>
      <w:r>
        <w:rPr>
          <w:rFonts w:asciiTheme="minorHAnsi" w:hAnsiTheme="minorHAnsi" w:cstheme="minorHAnsi"/>
          <w:color w:val="auto"/>
          <w:szCs w:val="24"/>
        </w:rPr>
        <w:t xml:space="preserve">, </w:t>
      </w:r>
      <w:r>
        <w:rPr>
          <w:rFonts w:asciiTheme="minorHAnsi" w:hAnsiTheme="minorHAnsi"/>
          <w:color w:val="auto"/>
          <w:szCs w:val="24"/>
        </w:rPr>
        <w:t xml:space="preserve">the overall findings do not support this degree of restriction or impairment during the times between acute exacerbations.  The Board noted that the thoracolumbar ROM was consistently in the range consistent with the 20% rating (greater than 30 degrees but not more than 60 degrees) in between acute exacerbations and during non-compensation examinations.  The TRMC physical therapy thoracolumbar ROM recorded 27 January 2006 (25 to 28 degrees after exercise) was not consistent with a thoracolumbar ROM that would be suggested by the TRMC physical therapy lumbar ROM values from 1 December 2005 (25 to 30 degrees) or </w:t>
      </w:r>
      <w:r>
        <w:rPr>
          <w:rFonts w:asciiTheme="minorHAnsi" w:hAnsiTheme="minorHAnsi" w:cstheme="minorHAnsi"/>
          <w:color w:val="auto"/>
          <w:szCs w:val="24"/>
        </w:rPr>
        <w:t xml:space="preserve">April 2005 (27 degrees).  The April 2005 TRMC physical therapy lumbar flexion was measured during an acute flare of back pain and was similar to the December 2005 values.  </w:t>
      </w:r>
      <w:r>
        <w:rPr>
          <w:rFonts w:asciiTheme="minorHAnsi" w:hAnsiTheme="minorHAnsi"/>
          <w:color w:val="auto"/>
          <w:szCs w:val="24"/>
        </w:rPr>
        <w:t xml:space="preserve">Although the CI was </w:t>
      </w:r>
      <w:r>
        <w:rPr>
          <w:rFonts w:asciiTheme="minorHAnsi" w:hAnsiTheme="minorHAnsi"/>
          <w:color w:val="auto"/>
          <w:szCs w:val="24"/>
        </w:rPr>
        <w:lastRenderedPageBreak/>
        <w:t>seen in the emergency room on 4 January 2005 for exacerbation of his back pain, between the 1 December 2005 and 27 January 2006 TRMC examinations, there is no evidence of injury or incident that would have caused the CI’s back condition to become permanently worse.  The lumbar flexion recorded on 1 December 2005 (ranged from 25</w:t>
      </w:r>
      <w:r>
        <w:rPr>
          <w:rFonts w:asciiTheme="minorHAnsi" w:hAnsiTheme="minorHAnsi" w:cstheme="minorHAnsi"/>
          <w:color w:val="auto"/>
          <w:szCs w:val="24"/>
        </w:rPr>
        <w:t>°</w:t>
      </w:r>
      <w:r>
        <w:rPr>
          <w:rFonts w:asciiTheme="minorHAnsi" w:hAnsiTheme="minorHAnsi"/>
          <w:color w:val="auto"/>
          <w:szCs w:val="24"/>
        </w:rPr>
        <w:t xml:space="preserve"> to 35</w:t>
      </w:r>
      <w:r>
        <w:rPr>
          <w:rFonts w:asciiTheme="minorHAnsi" w:hAnsiTheme="minorHAnsi" w:cstheme="minorHAnsi"/>
          <w:color w:val="auto"/>
          <w:szCs w:val="24"/>
        </w:rPr>
        <w:t xml:space="preserve">°) is </w:t>
      </w:r>
      <w:r>
        <w:rPr>
          <w:rFonts w:asciiTheme="minorHAnsi" w:hAnsiTheme="minorHAnsi"/>
          <w:color w:val="auto"/>
          <w:szCs w:val="24"/>
        </w:rPr>
        <w:t>42% to 58% of predicted normal lumbar flexion of 60</w:t>
      </w:r>
      <w:r>
        <w:rPr>
          <w:rFonts w:asciiTheme="minorHAnsi" w:hAnsiTheme="minorHAnsi" w:cstheme="minorHAnsi"/>
          <w:color w:val="auto"/>
          <w:szCs w:val="24"/>
        </w:rPr>
        <w:t xml:space="preserve">°.  Applying this proportional loss to the normal thoracolumbar ROM of 90 degrees would yield 40 to 50 degrees and would assume a similar proportional loss of motion in the non-diseased thoracic spine.  </w:t>
      </w:r>
      <w:r>
        <w:rPr>
          <w:rFonts w:asciiTheme="minorHAnsi" w:hAnsiTheme="minorHAnsi"/>
          <w:color w:val="auto"/>
          <w:szCs w:val="24"/>
        </w:rPr>
        <w:t xml:space="preserve">This is within the same ROM reported by the </w:t>
      </w:r>
      <w:r w:rsidR="00B37FB7">
        <w:rPr>
          <w:rFonts w:asciiTheme="minorHAnsi" w:hAnsiTheme="minorHAnsi"/>
          <w:color w:val="auto"/>
          <w:szCs w:val="24"/>
        </w:rPr>
        <w:t>narrative summary e</w:t>
      </w:r>
      <w:r>
        <w:rPr>
          <w:rFonts w:asciiTheme="minorHAnsi" w:hAnsiTheme="minorHAnsi"/>
          <w:color w:val="auto"/>
          <w:szCs w:val="24"/>
        </w:rPr>
        <w:t>xaminer and is consistent with the 20% rating under the VASRD general rating formula for diseases and injuries of the spine.  Applying the proportional loss of lumbar ROM to the entire thoracolumbar ROM would be expected to overestimate the decrease of thoracolumbar ROM since there was no documented thoracic spine disease and the thoracic spine ROM would be assumed to be normal.  Since there was no thoracic spine disease, a normal thoracic ROM (45 degrees) added to the 1 December 2005 TRMC measured lumbar ROM (25 to 30 degrees) would exceed the 30 degree threshold for the 40% VASRD rating, and possibly more nearly approximate the 10% rating with a combined lumbar flexion plus a normal thoracic flexion greater than 60 degrees.  The Board also noted that at the time of the 1 December 2005 TRMC physical therapy ROM measurement, the tightest straight leg ROM exceeded the sum of sacral flexion and extension by more than 15 degrees</w:t>
      </w:r>
      <w:r>
        <w:rPr>
          <w:rFonts w:asciiTheme="minorHAnsi" w:hAnsiTheme="minorHAnsi" w:cstheme="minorHAnsi"/>
          <w:color w:val="auto"/>
          <w:szCs w:val="24"/>
        </w:rPr>
        <w:t xml:space="preserve"> (by 31 to 36 degrees), which suggests a under reported lumbar ROM.  </w:t>
      </w:r>
    </w:p>
    <w:p w:rsidR="006311F9" w:rsidRDefault="006311F9" w:rsidP="006311F9">
      <w:pPr>
        <w:spacing w:line="240" w:lineRule="exact"/>
        <w:jc w:val="both"/>
        <w:rPr>
          <w:rFonts w:asciiTheme="minorHAnsi" w:hAnsiTheme="minorHAnsi"/>
          <w:color w:val="auto"/>
          <w:szCs w:val="24"/>
        </w:rPr>
      </w:pPr>
    </w:p>
    <w:p w:rsidR="006311F9" w:rsidRDefault="006311F9" w:rsidP="006311F9">
      <w:pPr>
        <w:spacing w:line="240" w:lineRule="exact"/>
        <w:jc w:val="both"/>
        <w:rPr>
          <w:rFonts w:asciiTheme="minorHAnsi" w:hAnsiTheme="minorHAnsi"/>
          <w:color w:val="auto"/>
          <w:szCs w:val="24"/>
        </w:rPr>
      </w:pPr>
      <w:r>
        <w:rPr>
          <w:rFonts w:asciiTheme="minorHAnsi" w:hAnsiTheme="minorHAnsi"/>
          <w:color w:val="auto"/>
          <w:szCs w:val="24"/>
        </w:rPr>
        <w:t xml:space="preserve">In its assignment of probative value to the disparate exams, the Board must acknowledge that disability compensation examinations may predispose a lowered pain threshold since the examinee is generally quite aware that the severity of symptoms and pain tolerance on ROM is directly correlated with the resulting rating and financial gain.  The measurement of ROM reflecting pain with motion is dependent on the examinee’s reported pain, with scant ability by the examiner to objectively confirm it.  Based on the preponderance of evidence, the Board concluded that the CI’s back ROM most nearly approximated the 20% rating for thoracolumbar ROM, flexion greater than 30 degrees but not more than 60 degrees.  </w:t>
      </w:r>
    </w:p>
    <w:p w:rsidR="006311F9" w:rsidRDefault="006311F9" w:rsidP="006311F9">
      <w:pPr>
        <w:spacing w:line="240" w:lineRule="exact"/>
        <w:jc w:val="both"/>
        <w:rPr>
          <w:rFonts w:asciiTheme="minorHAnsi" w:hAnsiTheme="minorHAnsi"/>
          <w:color w:val="auto"/>
          <w:szCs w:val="24"/>
        </w:rPr>
      </w:pPr>
    </w:p>
    <w:p w:rsidR="006311F9" w:rsidRDefault="006311F9" w:rsidP="006311F9">
      <w:pPr>
        <w:spacing w:line="240" w:lineRule="exact"/>
        <w:jc w:val="both"/>
        <w:rPr>
          <w:rFonts w:asciiTheme="minorHAnsi" w:hAnsiTheme="minorHAnsi"/>
          <w:color w:val="auto"/>
          <w:szCs w:val="24"/>
        </w:rPr>
      </w:pPr>
      <w:r>
        <w:rPr>
          <w:rFonts w:asciiTheme="minorHAnsi" w:hAnsiTheme="minorHAnsi"/>
          <w:color w:val="auto"/>
          <w:szCs w:val="24"/>
        </w:rPr>
        <w:t xml:space="preserve">The Board considered rating under incapacitating episodes for intervertebral disc syndrome.  A 29 July 2005 physical therapy encounter records CI report of two to four episodes of severe pain per year.  There were 5 to 6 exacerbations of low back pain for which the CI sought acute medical care documented in the 18 months before separation (dates are 30 April 2005,             5-11 October 2005, 4 January 2006, 3 March 2006, 23 March 2006, and 1 June 2006).  However, there was not bed rest prescribed by a physician.  At the 26 April 2006 routine clinic appointment, the CI requested a couple of days off just to </w:t>
      </w:r>
      <w:r w:rsidR="00B37FB7">
        <w:rPr>
          <w:rFonts w:asciiTheme="minorHAnsi" w:hAnsiTheme="minorHAnsi"/>
          <w:color w:val="auto"/>
          <w:szCs w:val="24"/>
        </w:rPr>
        <w:t>lie</w:t>
      </w:r>
      <w:r>
        <w:rPr>
          <w:rFonts w:asciiTheme="minorHAnsi" w:hAnsiTheme="minorHAnsi"/>
          <w:color w:val="auto"/>
          <w:szCs w:val="24"/>
        </w:rPr>
        <w:t xml:space="preserve"> around and rest his back</w:t>
      </w:r>
      <w:r w:rsidR="00B37FB7">
        <w:rPr>
          <w:rFonts w:asciiTheme="minorHAnsi" w:hAnsiTheme="minorHAnsi"/>
          <w:color w:val="auto"/>
          <w:szCs w:val="24"/>
        </w:rPr>
        <w:t>,</w:t>
      </w:r>
      <w:r>
        <w:rPr>
          <w:rFonts w:asciiTheme="minorHAnsi" w:hAnsiTheme="minorHAnsi"/>
          <w:color w:val="auto"/>
          <w:szCs w:val="24"/>
        </w:rPr>
        <w:t xml:space="preserve"> but there was not an acute exacerbation; however, the physician wrote only for continuation of current medications.  The Board concluded the preponderance of evidence did not support a higher rating using this alternate formula providing no additional benefit to the CI.  Although an electromyography indicated possible radiculopathy, there were no objective findings on examination of radiculopathy.  All evidence considered</w:t>
      </w:r>
      <w:proofErr w:type="gramStart"/>
      <w:r>
        <w:rPr>
          <w:rFonts w:asciiTheme="minorHAnsi" w:hAnsiTheme="minorHAnsi"/>
          <w:color w:val="auto"/>
          <w:szCs w:val="24"/>
        </w:rPr>
        <w:t>,</w:t>
      </w:r>
      <w:proofErr w:type="gramEnd"/>
      <w:r>
        <w:rPr>
          <w:rFonts w:asciiTheme="minorHAnsi" w:hAnsiTheme="minorHAnsi"/>
          <w:color w:val="auto"/>
          <w:szCs w:val="24"/>
        </w:rPr>
        <w:t xml:space="preserve"> there is not reasonable doubt in the CI’s favor supporting addition of lumbar radiculopathy as an unfitting condition for separation rating.  After due deliberation, considering all of the evidence and mindful of VASRD §4.3 (reasonable doubt), the Board recommends no change to the separation rating of 20% adjudicated by the PEB for the CI’s back condition.</w:t>
      </w:r>
    </w:p>
    <w:p w:rsidR="00A52580" w:rsidRDefault="00A52580" w:rsidP="005A026B">
      <w:pPr>
        <w:spacing w:line="240" w:lineRule="exact"/>
        <w:jc w:val="both"/>
        <w:rPr>
          <w:rFonts w:asciiTheme="minorHAnsi" w:hAnsiTheme="minorHAnsi"/>
          <w:color w:val="auto"/>
          <w:szCs w:val="24"/>
        </w:rPr>
      </w:pPr>
    </w:p>
    <w:p w:rsidR="001C4035" w:rsidRPr="00EC337D" w:rsidRDefault="00417C83" w:rsidP="005A026B">
      <w:pPr>
        <w:spacing w:line="240" w:lineRule="exact"/>
        <w:jc w:val="both"/>
        <w:rPr>
          <w:rFonts w:asciiTheme="minorHAnsi" w:hAnsiTheme="minorHAnsi"/>
          <w:color w:val="auto"/>
          <w:szCs w:val="24"/>
        </w:rPr>
      </w:pPr>
      <w:proofErr w:type="gramStart"/>
      <w:r w:rsidRPr="00417C83">
        <w:rPr>
          <w:rFonts w:asciiTheme="minorHAnsi" w:hAnsiTheme="minorHAnsi"/>
          <w:color w:val="auto"/>
          <w:szCs w:val="24"/>
          <w:u w:val="single"/>
        </w:rPr>
        <w:t>Other Contended Conditions</w:t>
      </w:r>
      <w:r w:rsidR="001D51DC">
        <w:rPr>
          <w:rFonts w:asciiTheme="minorHAnsi" w:hAnsiTheme="minorHAnsi"/>
          <w:color w:val="auto"/>
          <w:szCs w:val="24"/>
          <w:u w:val="single"/>
        </w:rPr>
        <w:t>.</w:t>
      </w:r>
      <w:proofErr w:type="gramEnd"/>
      <w:r w:rsidR="001C4035">
        <w:rPr>
          <w:rFonts w:asciiTheme="minorHAnsi" w:hAnsiTheme="minorHAnsi"/>
          <w:color w:val="auto"/>
          <w:szCs w:val="24"/>
        </w:rPr>
        <w:t xml:space="preserve">  </w:t>
      </w:r>
      <w:r w:rsidR="001C4035" w:rsidRPr="007973D8">
        <w:rPr>
          <w:rFonts w:asciiTheme="minorHAnsi" w:eastAsia="HiddenHorzOCR" w:hAnsiTheme="minorHAnsi"/>
          <w:color w:val="auto"/>
          <w:szCs w:val="24"/>
        </w:rPr>
        <w:t>The</w:t>
      </w:r>
      <w:r w:rsidR="001C4035" w:rsidRPr="00711350">
        <w:rPr>
          <w:rFonts w:asciiTheme="minorHAnsi" w:eastAsia="HiddenHorzOCR" w:hAnsiTheme="minorHAnsi"/>
          <w:color w:val="auto"/>
          <w:szCs w:val="24"/>
        </w:rPr>
        <w:t xml:space="preserve"> CI</w:t>
      </w:r>
      <w:r w:rsidR="001C4035">
        <w:rPr>
          <w:rFonts w:asciiTheme="minorHAnsi" w:eastAsia="HiddenHorzOCR" w:hAnsiTheme="minorHAnsi"/>
          <w:color w:val="auto"/>
          <w:szCs w:val="24"/>
        </w:rPr>
        <w:t xml:space="preserve"> list</w:t>
      </w:r>
      <w:r w:rsidR="00372978">
        <w:rPr>
          <w:rFonts w:asciiTheme="minorHAnsi" w:eastAsia="HiddenHorzOCR" w:hAnsiTheme="minorHAnsi"/>
          <w:color w:val="auto"/>
          <w:szCs w:val="24"/>
        </w:rPr>
        <w:t>ed</w:t>
      </w:r>
      <w:r w:rsidR="001C4035">
        <w:rPr>
          <w:rFonts w:asciiTheme="minorHAnsi" w:eastAsia="HiddenHorzOCR" w:hAnsiTheme="minorHAnsi"/>
          <w:color w:val="auto"/>
          <w:szCs w:val="24"/>
        </w:rPr>
        <w:t xml:space="preserve"> </w:t>
      </w:r>
      <w:r w:rsidR="00372978">
        <w:rPr>
          <w:rFonts w:asciiTheme="minorHAnsi" w:eastAsia="HiddenHorzOCR" w:hAnsiTheme="minorHAnsi"/>
          <w:color w:val="auto"/>
          <w:szCs w:val="24"/>
        </w:rPr>
        <w:t xml:space="preserve">the </w:t>
      </w:r>
      <w:r w:rsidR="001C4035">
        <w:rPr>
          <w:rFonts w:asciiTheme="minorHAnsi" w:eastAsia="HiddenHorzOCR" w:hAnsiTheme="minorHAnsi"/>
          <w:color w:val="auto"/>
          <w:szCs w:val="24"/>
        </w:rPr>
        <w:t xml:space="preserve">VA ratings for right and left knee osteoarthritis and a contention for consideration for </w:t>
      </w:r>
      <w:r w:rsidR="001C4035" w:rsidRPr="00711350">
        <w:rPr>
          <w:rFonts w:asciiTheme="minorHAnsi" w:eastAsia="HiddenHorzOCR" w:hAnsiTheme="minorHAnsi"/>
          <w:color w:val="auto"/>
          <w:szCs w:val="24"/>
        </w:rPr>
        <w:t xml:space="preserve">compensable ratings </w:t>
      </w:r>
      <w:r w:rsidR="001C4035">
        <w:rPr>
          <w:rFonts w:asciiTheme="minorHAnsi" w:eastAsia="HiddenHorzOCR" w:hAnsiTheme="minorHAnsi"/>
          <w:color w:val="auto"/>
          <w:szCs w:val="24"/>
        </w:rPr>
        <w:t xml:space="preserve">is implied.  </w:t>
      </w:r>
      <w:r w:rsidR="001C4035">
        <w:rPr>
          <w:rFonts w:asciiTheme="minorHAnsi" w:hAnsiTheme="minorHAnsi"/>
          <w:color w:val="auto"/>
          <w:szCs w:val="24"/>
        </w:rPr>
        <w:t>At the joint C&amp;P examination two months after separation, the CI reported two to three years of knee pain with stairs</w:t>
      </w:r>
      <w:r w:rsidR="00B37FB7">
        <w:rPr>
          <w:rFonts w:asciiTheme="minorHAnsi" w:hAnsiTheme="minorHAnsi"/>
          <w:color w:val="auto"/>
          <w:szCs w:val="24"/>
        </w:rPr>
        <w:t>,</w:t>
      </w:r>
      <w:r w:rsidR="001C4035">
        <w:rPr>
          <w:rFonts w:asciiTheme="minorHAnsi" w:hAnsiTheme="minorHAnsi"/>
          <w:color w:val="auto"/>
          <w:szCs w:val="24"/>
        </w:rPr>
        <w:t xml:space="preserve"> symptoms of giving way</w:t>
      </w:r>
      <w:r w:rsidR="00B37FB7">
        <w:rPr>
          <w:rFonts w:asciiTheme="minorHAnsi" w:hAnsiTheme="minorHAnsi"/>
          <w:color w:val="auto"/>
          <w:szCs w:val="24"/>
        </w:rPr>
        <w:t>,</w:t>
      </w:r>
      <w:r w:rsidR="001C4035">
        <w:rPr>
          <w:rFonts w:asciiTheme="minorHAnsi" w:hAnsiTheme="minorHAnsi"/>
          <w:color w:val="auto"/>
          <w:szCs w:val="24"/>
        </w:rPr>
        <w:t xml:space="preserve"> and flare ups of knee pain twice per month</w:t>
      </w:r>
      <w:r w:rsidR="00B37FB7">
        <w:rPr>
          <w:rFonts w:asciiTheme="minorHAnsi" w:hAnsiTheme="minorHAnsi"/>
          <w:color w:val="auto"/>
          <w:szCs w:val="24"/>
        </w:rPr>
        <w:t>,</w:t>
      </w:r>
      <w:r w:rsidR="001C4035">
        <w:rPr>
          <w:rFonts w:asciiTheme="minorHAnsi" w:hAnsiTheme="minorHAnsi"/>
          <w:color w:val="auto"/>
          <w:szCs w:val="24"/>
        </w:rPr>
        <w:t xml:space="preserve"> lasting two days.  A single medical encounter</w:t>
      </w:r>
      <w:r w:rsidR="00372978">
        <w:rPr>
          <w:rFonts w:asciiTheme="minorHAnsi" w:hAnsiTheme="minorHAnsi"/>
          <w:color w:val="auto"/>
          <w:szCs w:val="24"/>
        </w:rPr>
        <w:t xml:space="preserve"> prior to separation in February 2005 for left anterior knee pain </w:t>
      </w:r>
      <w:r w:rsidR="00110398">
        <w:rPr>
          <w:rFonts w:asciiTheme="minorHAnsi" w:hAnsiTheme="minorHAnsi"/>
          <w:color w:val="auto"/>
          <w:szCs w:val="24"/>
        </w:rPr>
        <w:t xml:space="preserve">is </w:t>
      </w:r>
      <w:r w:rsidR="001C4035">
        <w:rPr>
          <w:rFonts w:asciiTheme="minorHAnsi" w:hAnsiTheme="minorHAnsi"/>
          <w:color w:val="auto"/>
          <w:szCs w:val="24"/>
        </w:rPr>
        <w:t xml:space="preserve">recorded as normal.  </w:t>
      </w:r>
      <w:r w:rsidR="00110398">
        <w:rPr>
          <w:rFonts w:asciiTheme="minorHAnsi" w:hAnsiTheme="minorHAnsi"/>
          <w:color w:val="auto"/>
          <w:szCs w:val="24"/>
        </w:rPr>
        <w:t xml:space="preserve">The knee </w:t>
      </w:r>
      <w:r w:rsidR="001C4035" w:rsidRPr="00711350">
        <w:rPr>
          <w:rFonts w:asciiTheme="minorHAnsi" w:hAnsiTheme="minorHAnsi"/>
          <w:color w:val="auto"/>
          <w:szCs w:val="24"/>
        </w:rPr>
        <w:t>condition w</w:t>
      </w:r>
      <w:r w:rsidR="00110398">
        <w:rPr>
          <w:rFonts w:asciiTheme="minorHAnsi" w:hAnsiTheme="minorHAnsi"/>
          <w:color w:val="auto"/>
          <w:szCs w:val="24"/>
        </w:rPr>
        <w:t xml:space="preserve">as </w:t>
      </w:r>
      <w:r w:rsidR="001C4035" w:rsidRPr="00711350">
        <w:rPr>
          <w:rFonts w:asciiTheme="minorHAnsi" w:hAnsiTheme="minorHAnsi"/>
          <w:color w:val="auto"/>
          <w:szCs w:val="24"/>
        </w:rPr>
        <w:t xml:space="preserve">reviewed by the </w:t>
      </w:r>
      <w:r w:rsidR="001C4035">
        <w:rPr>
          <w:rFonts w:asciiTheme="minorHAnsi" w:hAnsiTheme="minorHAnsi"/>
          <w:color w:val="auto"/>
          <w:szCs w:val="24"/>
        </w:rPr>
        <w:t>a</w:t>
      </w:r>
      <w:r w:rsidR="001C4035" w:rsidRPr="00711350">
        <w:rPr>
          <w:rFonts w:asciiTheme="minorHAnsi" w:hAnsiTheme="minorHAnsi"/>
          <w:color w:val="auto"/>
          <w:szCs w:val="24"/>
        </w:rPr>
        <w:t xml:space="preserve">ction </w:t>
      </w:r>
      <w:r w:rsidR="001C4035">
        <w:rPr>
          <w:rFonts w:asciiTheme="minorHAnsi" w:hAnsiTheme="minorHAnsi"/>
          <w:color w:val="auto"/>
          <w:szCs w:val="24"/>
        </w:rPr>
        <w:t>o</w:t>
      </w:r>
      <w:r w:rsidR="001C4035" w:rsidRPr="00711350">
        <w:rPr>
          <w:rFonts w:asciiTheme="minorHAnsi" w:hAnsiTheme="minorHAnsi"/>
          <w:color w:val="auto"/>
          <w:szCs w:val="24"/>
        </w:rPr>
        <w:t xml:space="preserve">fficer and considered by the Board.  There was no evidence for concluding that </w:t>
      </w:r>
      <w:r w:rsidR="00110398">
        <w:rPr>
          <w:rFonts w:asciiTheme="minorHAnsi" w:hAnsiTheme="minorHAnsi"/>
          <w:color w:val="auto"/>
          <w:szCs w:val="24"/>
        </w:rPr>
        <w:t xml:space="preserve">the knee </w:t>
      </w:r>
      <w:r w:rsidR="001C4035" w:rsidRPr="00711350">
        <w:rPr>
          <w:rFonts w:asciiTheme="minorHAnsi" w:hAnsiTheme="minorHAnsi"/>
          <w:color w:val="auto"/>
          <w:szCs w:val="24"/>
        </w:rPr>
        <w:t xml:space="preserve">condition interfered with duty </w:t>
      </w:r>
      <w:r w:rsidR="001C4035" w:rsidRPr="00711350">
        <w:rPr>
          <w:rFonts w:asciiTheme="minorHAnsi" w:hAnsiTheme="minorHAnsi"/>
          <w:color w:val="auto"/>
          <w:szCs w:val="24"/>
        </w:rPr>
        <w:lastRenderedPageBreak/>
        <w:t xml:space="preserve">performance to a degree that could be argued as unfitting.  The Board determined therefore that none of the stated conditions were subject to </w:t>
      </w:r>
      <w:r w:rsidR="00EE0589">
        <w:rPr>
          <w:rFonts w:asciiTheme="minorHAnsi" w:hAnsiTheme="minorHAnsi"/>
          <w:color w:val="auto"/>
          <w:szCs w:val="24"/>
        </w:rPr>
        <w:t>S</w:t>
      </w:r>
      <w:r w:rsidR="001C4035" w:rsidRPr="00711350">
        <w:rPr>
          <w:rFonts w:asciiTheme="minorHAnsi" w:hAnsiTheme="minorHAnsi"/>
          <w:color w:val="auto"/>
          <w:szCs w:val="24"/>
        </w:rPr>
        <w:t>ervice disability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E0589" w:rsidRDefault="00EE0589" w:rsidP="000B291E">
      <w:pPr>
        <w:spacing w:line="240" w:lineRule="exact"/>
        <w:jc w:val="both"/>
        <w:rPr>
          <w:rFonts w:asciiTheme="minorHAnsi" w:hAnsiTheme="minorHAnsi"/>
          <w:color w:val="auto"/>
          <w:szCs w:val="24"/>
          <w:u w:val="single"/>
        </w:rPr>
      </w:pPr>
    </w:p>
    <w:p w:rsidR="000258D9" w:rsidRPr="001F5378" w:rsidRDefault="00C56FC8" w:rsidP="000B291E">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B291E">
        <w:rPr>
          <w:rFonts w:asciiTheme="minorHAnsi" w:eastAsiaTheme="minorHAnsi" w:hAnsiTheme="minorHAnsi"/>
          <w:color w:val="auto"/>
          <w:szCs w:val="24"/>
        </w:rPr>
        <w:t xml:space="preserve">  </w:t>
      </w:r>
      <w:r w:rsidR="000258D9" w:rsidRPr="001F5378">
        <w:rPr>
          <w:rFonts w:asciiTheme="minorHAnsi" w:hAnsiTheme="minorHAnsi"/>
          <w:color w:val="auto"/>
          <w:szCs w:val="24"/>
        </w:rPr>
        <w:t xml:space="preserve">In the matter of the </w:t>
      </w:r>
      <w:r w:rsidR="000258D9">
        <w:rPr>
          <w:rFonts w:asciiTheme="minorHAnsi" w:hAnsiTheme="minorHAnsi"/>
          <w:color w:val="auto"/>
          <w:szCs w:val="24"/>
        </w:rPr>
        <w:t xml:space="preserve">intervertebral disc syndrome </w:t>
      </w:r>
      <w:r w:rsidR="000258D9" w:rsidRPr="001F5378">
        <w:rPr>
          <w:rFonts w:asciiTheme="minorHAnsi" w:hAnsiTheme="minorHAnsi"/>
          <w:color w:val="auto"/>
          <w:szCs w:val="24"/>
        </w:rPr>
        <w:t>and IAW VASRD §4.71a, the Board</w:t>
      </w:r>
      <w:r w:rsidR="005F3B2C">
        <w:rPr>
          <w:rFonts w:asciiTheme="minorHAnsi" w:hAnsiTheme="minorHAnsi"/>
          <w:color w:val="auto"/>
          <w:szCs w:val="24"/>
        </w:rPr>
        <w:t xml:space="preserve"> </w:t>
      </w:r>
      <w:r w:rsidR="000258D9" w:rsidRPr="001F5378">
        <w:rPr>
          <w:rFonts w:asciiTheme="minorHAnsi" w:hAnsiTheme="minorHAnsi"/>
          <w:color w:val="auto"/>
          <w:szCs w:val="24"/>
        </w:rPr>
        <w:t>unanimously recommends no change in the PEB adjudication at separation.</w:t>
      </w:r>
      <w:r w:rsidR="000B291E">
        <w:rPr>
          <w:rFonts w:asciiTheme="minorHAnsi" w:hAnsiTheme="minorHAnsi"/>
          <w:color w:val="auto"/>
          <w:szCs w:val="24"/>
        </w:rPr>
        <w:t xml:space="preserve">  </w:t>
      </w:r>
      <w:r w:rsidR="000258D9" w:rsidRPr="001F5378">
        <w:rPr>
          <w:rFonts w:asciiTheme="minorHAnsi" w:hAnsiTheme="minorHAnsi"/>
          <w:color w:val="auto"/>
          <w:szCs w:val="24"/>
        </w:rPr>
        <w:t xml:space="preserve">In the matter of </w:t>
      </w:r>
      <w:r w:rsidR="000258D9">
        <w:rPr>
          <w:rFonts w:asciiTheme="minorHAnsi" w:hAnsiTheme="minorHAnsi"/>
          <w:color w:val="auto"/>
          <w:szCs w:val="24"/>
        </w:rPr>
        <w:t xml:space="preserve">right and left knee osteoarthritis, </w:t>
      </w:r>
      <w:r w:rsidR="000258D9" w:rsidRPr="001F5378">
        <w:rPr>
          <w:rFonts w:asciiTheme="minorHAnsi" w:hAnsiTheme="minorHAnsi"/>
          <w:color w:val="auto"/>
          <w:szCs w:val="24"/>
        </w:rPr>
        <w:t>or any other medical conditions eligible for Board consideration</w:t>
      </w:r>
      <w:r w:rsidR="000258D9">
        <w:rPr>
          <w:rFonts w:asciiTheme="minorHAnsi" w:hAnsiTheme="minorHAnsi"/>
          <w:color w:val="auto"/>
          <w:szCs w:val="24"/>
        </w:rPr>
        <w:t>,</w:t>
      </w:r>
      <w:r w:rsidR="000258D9" w:rsidRPr="001F5378">
        <w:rPr>
          <w:rFonts w:asciiTheme="minorHAnsi" w:hAnsiTheme="minorHAnsi"/>
          <w:color w:val="auto"/>
          <w:szCs w:val="24"/>
        </w:rPr>
        <w:t xml:space="preserve"> 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B37FB7" w:rsidRDefault="00B37FB7" w:rsidP="001D51DC">
      <w:pPr>
        <w:spacing w:line="240" w:lineRule="exact"/>
        <w:jc w:val="both"/>
        <w:rPr>
          <w:rFonts w:asciiTheme="minorHAnsi" w:hAnsiTheme="minorHAnsi"/>
          <w:color w:val="auto"/>
          <w:szCs w:val="24"/>
          <w:u w:val="single"/>
        </w:rPr>
      </w:pPr>
    </w:p>
    <w:p w:rsidR="006B4AA2" w:rsidRDefault="00C56FC8" w:rsidP="001D51DC">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A748FF">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110398"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Intervertebral Disc Syndrome</w:t>
            </w:r>
          </w:p>
        </w:tc>
        <w:tc>
          <w:tcPr>
            <w:tcW w:w="1710" w:type="dxa"/>
            <w:vAlign w:val="center"/>
          </w:tcPr>
          <w:p w:rsidR="00A95BBA" w:rsidRPr="00AF01B2" w:rsidRDefault="00110398"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A95BBA" w:rsidRPr="00AF01B2" w:rsidRDefault="00110398" w:rsidP="00103948">
            <w:pPr>
              <w:tabs>
                <w:tab w:val="left" w:pos="288"/>
                <w:tab w:val="left" w:pos="4752"/>
              </w:tabs>
              <w:spacing w:line="240" w:lineRule="exact"/>
              <w:jc w:val="center"/>
              <w:rPr>
                <w:rFonts w:asciiTheme="minorHAnsi" w:hAnsiTheme="minorHAnsi"/>
                <w:color w:val="auto"/>
                <w:szCs w:val="24"/>
              </w:rPr>
            </w:pPr>
            <w:r w:rsidRPr="00110398">
              <w:rPr>
                <w:rFonts w:asciiTheme="minorHAnsi" w:hAnsiTheme="minorHAnsi"/>
                <w:color w:val="auto"/>
                <w:szCs w:val="24"/>
              </w:rPr>
              <w:t>2</w:t>
            </w:r>
            <w:r w:rsidR="00A95BBA" w:rsidRPr="00110398">
              <w:rPr>
                <w:rFonts w:asciiTheme="minorHAnsi" w:hAnsiTheme="minorHAnsi"/>
                <w:color w:val="auto"/>
                <w:szCs w:val="24"/>
              </w:rPr>
              <w:t>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10398" w:rsidP="00103948">
            <w:pPr>
              <w:tabs>
                <w:tab w:val="left" w:pos="288"/>
                <w:tab w:val="left" w:pos="4752"/>
              </w:tabs>
              <w:spacing w:line="240" w:lineRule="exact"/>
              <w:jc w:val="center"/>
              <w:rPr>
                <w:rFonts w:asciiTheme="minorHAnsi" w:hAnsiTheme="minorHAnsi"/>
                <w:b/>
                <w:color w:val="auto"/>
                <w:szCs w:val="24"/>
              </w:rPr>
            </w:pPr>
            <w:r w:rsidRPr="00110398">
              <w:rPr>
                <w:rFonts w:asciiTheme="minorHAnsi" w:hAnsiTheme="minorHAnsi"/>
                <w:b/>
                <w:color w:val="auto"/>
                <w:szCs w:val="24"/>
              </w:rPr>
              <w:t>2</w:t>
            </w:r>
            <w:r w:rsidR="00A95BBA" w:rsidRPr="00110398">
              <w:rPr>
                <w:rFonts w:asciiTheme="minorHAnsi" w:hAnsiTheme="minorHAnsi"/>
                <w:b/>
                <w:color w:val="auto"/>
                <w:szCs w:val="24"/>
              </w:rPr>
              <w:t>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5B006D">
        <w:rPr>
          <w:rFonts w:asciiTheme="minorHAnsi" w:hAnsiTheme="minorHAnsi"/>
          <w:color w:val="auto"/>
        </w:rPr>
        <w:t>100403</w:t>
      </w:r>
      <w:r>
        <w:rPr>
          <w:rFonts w:asciiTheme="minorHAnsi" w:hAnsiTheme="minorHAnsi"/>
          <w:color w:val="auto"/>
        </w:rPr>
        <w:t xml:space="preserve">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343C16" w:rsidRDefault="00343C16" w:rsidP="00510F9C">
      <w:pPr>
        <w:tabs>
          <w:tab w:val="left" w:pos="288"/>
          <w:tab w:val="left" w:pos="4752"/>
        </w:tabs>
        <w:spacing w:line="240" w:lineRule="exact"/>
        <w:jc w:val="both"/>
        <w:rPr>
          <w:rFonts w:asciiTheme="minorHAnsi" w:hAnsiTheme="minorHAnsi"/>
          <w:color w:val="auto"/>
        </w:rPr>
      </w:pPr>
    </w:p>
    <w:p w:rsidR="00343C16" w:rsidRDefault="00343C16" w:rsidP="00510F9C">
      <w:pPr>
        <w:tabs>
          <w:tab w:val="left" w:pos="288"/>
          <w:tab w:val="left" w:pos="4752"/>
        </w:tabs>
        <w:spacing w:line="240" w:lineRule="exact"/>
        <w:jc w:val="both"/>
        <w:rPr>
          <w:rFonts w:asciiTheme="minorHAnsi" w:hAnsiTheme="minorHAnsi"/>
          <w:color w:val="auto"/>
        </w:rPr>
      </w:pPr>
    </w:p>
    <w:p w:rsidR="00343C16" w:rsidRDefault="00343C16" w:rsidP="00510F9C">
      <w:pPr>
        <w:tabs>
          <w:tab w:val="left" w:pos="288"/>
          <w:tab w:val="left" w:pos="4752"/>
        </w:tabs>
        <w:spacing w:line="240" w:lineRule="exact"/>
        <w:jc w:val="both"/>
        <w:rPr>
          <w:rFonts w:asciiTheme="minorHAnsi" w:hAnsiTheme="minorHAnsi"/>
          <w:color w:val="auto"/>
        </w:rPr>
      </w:pPr>
    </w:p>
    <w:p w:rsidR="00343C16" w:rsidRDefault="00343C16" w:rsidP="00343C16">
      <w:pPr>
        <w:tabs>
          <w:tab w:val="left" w:pos="0"/>
          <w:tab w:val="left" w:pos="4320"/>
        </w:tabs>
        <w:spacing w:line="240" w:lineRule="exact"/>
        <w:jc w:val="both"/>
        <w:rPr>
          <w:rFonts w:asciiTheme="minorHAnsi" w:hAnsiTheme="minorHAnsi"/>
          <w:color w:val="auto"/>
        </w:rPr>
      </w:pPr>
    </w:p>
    <w:p w:rsidR="00343C16" w:rsidRPr="00C25746" w:rsidRDefault="00C240C8" w:rsidP="00343C16">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XXXXXXXXXXXXXXXXXXXX</w:t>
      </w:r>
    </w:p>
    <w:p w:rsidR="00343C16" w:rsidRDefault="00343C16" w:rsidP="00343C16">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President</w:t>
      </w:r>
    </w:p>
    <w:p w:rsidR="00C240C8" w:rsidRDefault="00343C16" w:rsidP="00343C16">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C240C8" w:rsidRDefault="00C240C8">
      <w:pPr>
        <w:rPr>
          <w:rFonts w:asciiTheme="minorHAnsi" w:hAnsiTheme="minorHAnsi"/>
          <w:color w:val="auto"/>
        </w:rPr>
      </w:pPr>
      <w:r>
        <w:rPr>
          <w:rFonts w:asciiTheme="minorHAnsi" w:hAnsiTheme="minorHAnsi"/>
          <w:color w:val="auto"/>
        </w:rPr>
        <w:br w:type="page"/>
      </w:r>
    </w:p>
    <w:p w:rsidR="00343C16" w:rsidRPr="00C25746" w:rsidRDefault="00343C16" w:rsidP="00343C16">
      <w:pPr>
        <w:tabs>
          <w:tab w:val="left" w:pos="0"/>
          <w:tab w:val="left" w:pos="4320"/>
        </w:tabs>
        <w:spacing w:line="240" w:lineRule="exact"/>
        <w:ind w:left="5040"/>
        <w:jc w:val="both"/>
        <w:rPr>
          <w:rFonts w:asciiTheme="minorHAnsi" w:hAnsiTheme="minorHAnsi"/>
          <w:color w:val="auto"/>
        </w:rPr>
      </w:pPr>
    </w:p>
    <w:p w:rsidR="00343C16" w:rsidRPr="00006186" w:rsidRDefault="00343C16" w:rsidP="00510F9C">
      <w:pPr>
        <w:tabs>
          <w:tab w:val="left" w:pos="288"/>
          <w:tab w:val="left" w:pos="4752"/>
        </w:tabs>
        <w:spacing w:line="240" w:lineRule="exact"/>
        <w:jc w:val="both"/>
        <w:rPr>
          <w:rFonts w:asciiTheme="minorHAnsi" w:hAnsiTheme="minorHAnsi"/>
          <w:color w:val="auto"/>
        </w:rPr>
      </w:pPr>
    </w:p>
    <w:p w:rsidR="00C240C8" w:rsidRPr="00C240C8" w:rsidRDefault="00C240C8" w:rsidP="00C240C8">
      <w:pPr>
        <w:autoSpaceDE w:val="0"/>
        <w:autoSpaceDN w:val="0"/>
        <w:adjustRightInd w:val="0"/>
        <w:rPr>
          <w:rFonts w:ascii="Arial" w:hAnsi="Arial" w:cs="Arial"/>
          <w:color w:val="auto"/>
          <w:sz w:val="18"/>
          <w:szCs w:val="18"/>
        </w:rPr>
      </w:pPr>
      <w:r w:rsidRPr="00C240C8">
        <w:rPr>
          <w:rFonts w:ascii="Arial" w:hAnsi="Arial" w:cs="Arial"/>
          <w:color w:val="auto"/>
          <w:sz w:val="18"/>
          <w:szCs w:val="18"/>
        </w:rPr>
        <w:t>U.S. Department of</w:t>
      </w:r>
    </w:p>
    <w:p w:rsidR="00C240C8" w:rsidRPr="00C240C8" w:rsidRDefault="00C240C8" w:rsidP="00C240C8">
      <w:pPr>
        <w:autoSpaceDE w:val="0"/>
        <w:autoSpaceDN w:val="0"/>
        <w:adjustRightInd w:val="0"/>
        <w:rPr>
          <w:rFonts w:ascii="Arial" w:hAnsi="Arial" w:cs="Arial"/>
          <w:color w:val="auto"/>
          <w:sz w:val="18"/>
          <w:szCs w:val="18"/>
        </w:rPr>
      </w:pPr>
      <w:r w:rsidRPr="00C240C8">
        <w:rPr>
          <w:rFonts w:ascii="Arial" w:hAnsi="Arial" w:cs="Arial"/>
          <w:color w:val="auto"/>
          <w:sz w:val="18"/>
          <w:szCs w:val="18"/>
        </w:rPr>
        <w:t>Homeland Security</w:t>
      </w:r>
    </w:p>
    <w:p w:rsidR="00C240C8" w:rsidRPr="00C240C8" w:rsidRDefault="00C240C8" w:rsidP="00C240C8">
      <w:pPr>
        <w:autoSpaceDE w:val="0"/>
        <w:autoSpaceDN w:val="0"/>
        <w:adjustRightInd w:val="0"/>
        <w:rPr>
          <w:rFonts w:ascii="Times New Roman" w:hAnsi="Times New Roman"/>
          <w:color w:val="auto"/>
          <w:sz w:val="23"/>
          <w:szCs w:val="23"/>
        </w:rPr>
      </w:pPr>
      <w:r w:rsidRPr="00C240C8">
        <w:rPr>
          <w:rFonts w:ascii="Times New Roman" w:hAnsi="Times New Roman"/>
          <w:color w:val="auto"/>
          <w:sz w:val="23"/>
          <w:szCs w:val="23"/>
        </w:rPr>
        <w:t>United States</w:t>
      </w:r>
    </w:p>
    <w:p w:rsidR="00C240C8" w:rsidRPr="00C240C8" w:rsidRDefault="00C240C8" w:rsidP="00C240C8">
      <w:pPr>
        <w:autoSpaceDE w:val="0"/>
        <w:autoSpaceDN w:val="0"/>
        <w:adjustRightInd w:val="0"/>
        <w:rPr>
          <w:rFonts w:ascii="Arial" w:hAnsi="Arial" w:cs="Arial"/>
          <w:b/>
          <w:bCs/>
          <w:color w:val="auto"/>
          <w:sz w:val="21"/>
          <w:szCs w:val="21"/>
        </w:rPr>
      </w:pPr>
      <w:r w:rsidRPr="00C240C8">
        <w:rPr>
          <w:rFonts w:ascii="Times New Roman" w:hAnsi="Times New Roman"/>
          <w:color w:val="auto"/>
          <w:sz w:val="23"/>
          <w:szCs w:val="23"/>
        </w:rPr>
        <w:t xml:space="preserve">Coast </w:t>
      </w:r>
      <w:r w:rsidRPr="00C240C8">
        <w:rPr>
          <w:rFonts w:ascii="Arial" w:hAnsi="Arial" w:cs="Arial"/>
          <w:b/>
          <w:bCs/>
          <w:color w:val="auto"/>
          <w:sz w:val="21"/>
          <w:szCs w:val="21"/>
        </w:rPr>
        <w:t>Guard</w:t>
      </w:r>
    </w:p>
    <w:p w:rsidR="00C240C8" w:rsidRPr="00C240C8" w:rsidRDefault="00C240C8" w:rsidP="00C240C8">
      <w:pPr>
        <w:autoSpaceDE w:val="0"/>
        <w:autoSpaceDN w:val="0"/>
        <w:adjustRightInd w:val="0"/>
        <w:rPr>
          <w:rFonts w:ascii="Times New Roman" w:hAnsi="Times New Roman"/>
          <w:color w:val="auto"/>
          <w:sz w:val="22"/>
          <w:szCs w:val="22"/>
        </w:rPr>
      </w:pPr>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Dear XXXXXXXXXX</w:t>
      </w:r>
    </w:p>
    <w:p w:rsidR="00C240C8" w:rsidRPr="00C240C8" w:rsidRDefault="00C240C8" w:rsidP="00C240C8">
      <w:pPr>
        <w:autoSpaceDE w:val="0"/>
        <w:autoSpaceDN w:val="0"/>
        <w:adjustRightInd w:val="0"/>
        <w:rPr>
          <w:rFonts w:ascii="Arial" w:hAnsi="Arial" w:cs="Arial"/>
          <w:b/>
          <w:bCs/>
          <w:color w:val="auto"/>
          <w:sz w:val="16"/>
          <w:szCs w:val="16"/>
        </w:rPr>
      </w:pPr>
      <w:r w:rsidRPr="00C240C8">
        <w:rPr>
          <w:rFonts w:ascii="Arial" w:hAnsi="Arial" w:cs="Arial"/>
          <w:b/>
          <w:bCs/>
          <w:color w:val="auto"/>
          <w:sz w:val="16"/>
          <w:szCs w:val="16"/>
        </w:rPr>
        <w:t>Commandant</w:t>
      </w:r>
    </w:p>
    <w:p w:rsidR="00C240C8" w:rsidRPr="00C240C8" w:rsidRDefault="00C240C8" w:rsidP="00C240C8">
      <w:pPr>
        <w:autoSpaceDE w:val="0"/>
        <w:autoSpaceDN w:val="0"/>
        <w:adjustRightInd w:val="0"/>
        <w:rPr>
          <w:rFonts w:ascii="Arial" w:hAnsi="Arial" w:cs="Arial"/>
          <w:b/>
          <w:bCs/>
          <w:color w:val="auto"/>
          <w:sz w:val="16"/>
          <w:szCs w:val="16"/>
        </w:rPr>
      </w:pPr>
      <w:r w:rsidRPr="00C240C8">
        <w:rPr>
          <w:rFonts w:ascii="Arial" w:hAnsi="Arial" w:cs="Arial"/>
          <w:b/>
          <w:bCs/>
          <w:color w:val="auto"/>
          <w:sz w:val="16"/>
          <w:szCs w:val="16"/>
        </w:rPr>
        <w:t>United States Coast Guard</w:t>
      </w:r>
    </w:p>
    <w:p w:rsidR="00C240C8" w:rsidRPr="00C240C8" w:rsidRDefault="00C240C8" w:rsidP="00C240C8">
      <w:pPr>
        <w:autoSpaceDE w:val="0"/>
        <w:autoSpaceDN w:val="0"/>
        <w:adjustRightInd w:val="0"/>
        <w:rPr>
          <w:rFonts w:ascii="Times New Roman" w:hAnsi="Times New Roman"/>
          <w:color w:val="auto"/>
          <w:sz w:val="17"/>
          <w:szCs w:val="17"/>
        </w:rPr>
      </w:pPr>
      <w:r w:rsidRPr="00C240C8">
        <w:rPr>
          <w:rFonts w:ascii="Times New Roman" w:hAnsi="Times New Roman"/>
          <w:color w:val="auto"/>
          <w:sz w:val="17"/>
          <w:szCs w:val="17"/>
        </w:rPr>
        <w:t xml:space="preserve">Mall </w:t>
      </w:r>
      <w:proofErr w:type="spellStart"/>
      <w:r w:rsidRPr="00C240C8">
        <w:rPr>
          <w:rFonts w:ascii="HiddenHorzOCR" w:eastAsia="HiddenHorzOCR" w:hAnsi="Arial" w:cs="HiddenHorzOCR" w:hint="eastAsia"/>
          <w:color w:val="auto"/>
          <w:sz w:val="13"/>
          <w:szCs w:val="13"/>
        </w:rPr>
        <w:t>Sto</w:t>
      </w:r>
      <w:proofErr w:type="spellEnd"/>
      <w:r w:rsidRPr="00C240C8">
        <w:rPr>
          <w:rFonts w:ascii="HiddenHorzOCR" w:eastAsia="HiddenHorzOCR" w:hAnsi="Arial" w:cs="HiddenHorzOCR" w:hint="eastAsia"/>
          <w:color w:val="auto"/>
          <w:sz w:val="13"/>
          <w:szCs w:val="13"/>
        </w:rPr>
        <w:t xml:space="preserve">~ </w:t>
      </w:r>
      <w:r w:rsidRPr="00C240C8">
        <w:rPr>
          <w:rFonts w:ascii="Times New Roman" w:hAnsi="Times New Roman"/>
          <w:color w:val="auto"/>
          <w:sz w:val="17"/>
          <w:szCs w:val="17"/>
        </w:rPr>
        <w:t>7801</w:t>
      </w:r>
    </w:p>
    <w:p w:rsidR="00C240C8" w:rsidRPr="00C240C8" w:rsidRDefault="00C240C8" w:rsidP="00C240C8">
      <w:pPr>
        <w:autoSpaceDE w:val="0"/>
        <w:autoSpaceDN w:val="0"/>
        <w:adjustRightInd w:val="0"/>
        <w:rPr>
          <w:rFonts w:ascii="Times New Roman" w:hAnsi="Times New Roman"/>
          <w:color w:val="auto"/>
          <w:sz w:val="17"/>
          <w:szCs w:val="17"/>
        </w:rPr>
      </w:pPr>
      <w:proofErr w:type="gramStart"/>
      <w:r w:rsidRPr="00C240C8">
        <w:rPr>
          <w:rFonts w:ascii="Times New Roman" w:hAnsi="Times New Roman"/>
          <w:color w:val="auto"/>
          <w:sz w:val="17"/>
          <w:szCs w:val="17"/>
        </w:rPr>
        <w:t>21002" SI.</w:t>
      </w:r>
      <w:proofErr w:type="gramEnd"/>
    </w:p>
    <w:p w:rsidR="00C240C8" w:rsidRPr="00C240C8" w:rsidRDefault="00C240C8" w:rsidP="00C240C8">
      <w:pPr>
        <w:autoSpaceDE w:val="0"/>
        <w:autoSpaceDN w:val="0"/>
        <w:adjustRightInd w:val="0"/>
        <w:rPr>
          <w:rFonts w:ascii="Times New Roman" w:hAnsi="Times New Roman"/>
          <w:color w:val="auto"/>
          <w:sz w:val="17"/>
          <w:szCs w:val="17"/>
        </w:rPr>
      </w:pPr>
      <w:r w:rsidRPr="00C240C8">
        <w:rPr>
          <w:rFonts w:ascii="Times New Roman" w:hAnsi="Times New Roman"/>
          <w:color w:val="auto"/>
          <w:sz w:val="17"/>
          <w:szCs w:val="17"/>
        </w:rPr>
        <w:t>Washington. DC 20593·7801</w:t>
      </w:r>
    </w:p>
    <w:p w:rsidR="00C240C8" w:rsidRPr="00C240C8" w:rsidRDefault="00C240C8" w:rsidP="00C240C8">
      <w:pPr>
        <w:autoSpaceDE w:val="0"/>
        <w:autoSpaceDN w:val="0"/>
        <w:adjustRightInd w:val="0"/>
        <w:rPr>
          <w:rFonts w:ascii="Arial" w:hAnsi="Arial" w:cs="Arial"/>
          <w:color w:val="auto"/>
          <w:sz w:val="15"/>
          <w:szCs w:val="15"/>
        </w:rPr>
      </w:pPr>
      <w:r w:rsidRPr="00C240C8">
        <w:rPr>
          <w:rFonts w:ascii="Arial" w:hAnsi="Arial" w:cs="Arial"/>
          <w:color w:val="auto"/>
          <w:sz w:val="15"/>
          <w:szCs w:val="15"/>
        </w:rPr>
        <w:t>Staff Symbol: CG·1</w:t>
      </w:r>
    </w:p>
    <w:p w:rsidR="00C240C8" w:rsidRPr="00C240C8" w:rsidRDefault="00C240C8" w:rsidP="00C240C8">
      <w:pPr>
        <w:autoSpaceDE w:val="0"/>
        <w:autoSpaceDN w:val="0"/>
        <w:adjustRightInd w:val="0"/>
        <w:rPr>
          <w:rFonts w:ascii="Arial" w:hAnsi="Arial" w:cs="Arial"/>
          <w:color w:val="auto"/>
          <w:sz w:val="26"/>
          <w:szCs w:val="26"/>
        </w:rPr>
      </w:pPr>
      <w:r w:rsidRPr="00C240C8">
        <w:rPr>
          <w:rFonts w:ascii="Arial" w:hAnsi="Arial" w:cs="Arial"/>
          <w:color w:val="auto"/>
          <w:sz w:val="26"/>
          <w:szCs w:val="26"/>
        </w:rPr>
        <w:t>MAR 1 2012</w:t>
      </w:r>
    </w:p>
    <w:p w:rsidR="00C240C8" w:rsidRPr="00C240C8" w:rsidRDefault="00C240C8" w:rsidP="00C240C8">
      <w:pPr>
        <w:autoSpaceDE w:val="0"/>
        <w:autoSpaceDN w:val="0"/>
        <w:adjustRightInd w:val="0"/>
        <w:rPr>
          <w:rFonts w:ascii="Times New Roman" w:hAnsi="Times New Roman"/>
          <w:color w:val="auto"/>
          <w:sz w:val="22"/>
          <w:szCs w:val="22"/>
        </w:rPr>
      </w:pPr>
      <w:r w:rsidRPr="00C240C8">
        <w:rPr>
          <w:rFonts w:ascii="Times New Roman" w:hAnsi="Times New Roman"/>
          <w:color w:val="auto"/>
        </w:rPr>
        <w:t>I am the Designated Decision Authority for the Coast Guard on applications submitted to the</w:t>
      </w:r>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Department of Defense Physical Disability Board of Review (</w:t>
      </w:r>
      <w:proofErr w:type="gramStart"/>
      <w:r w:rsidRPr="00C240C8">
        <w:rPr>
          <w:rFonts w:ascii="Times New Roman" w:hAnsi="Times New Roman"/>
          <w:color w:val="auto"/>
        </w:rPr>
        <w:t>DoD</w:t>
      </w:r>
      <w:proofErr w:type="gramEnd"/>
      <w:r w:rsidRPr="00C240C8">
        <w:rPr>
          <w:rFonts w:ascii="Times New Roman" w:hAnsi="Times New Roman"/>
          <w:color w:val="auto"/>
        </w:rPr>
        <w:t xml:space="preserve"> PDBR). </w:t>
      </w:r>
      <w:r w:rsidRPr="00C240C8">
        <w:rPr>
          <w:rFonts w:ascii="Arial" w:hAnsi="Arial" w:cs="Arial"/>
          <w:color w:val="auto"/>
        </w:rPr>
        <w:t xml:space="preserve">In </w:t>
      </w:r>
      <w:r w:rsidRPr="00C240C8">
        <w:rPr>
          <w:rFonts w:ascii="Times New Roman" w:hAnsi="Times New Roman"/>
          <w:color w:val="auto"/>
        </w:rPr>
        <w:t>your case (Case</w:t>
      </w:r>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Number PD-2010-00344), I accept the recommendation of the DoD PDBR with no</w:t>
      </w:r>
    </w:p>
    <w:p w:rsidR="00C240C8" w:rsidRPr="00C240C8" w:rsidRDefault="00C240C8" w:rsidP="00C240C8">
      <w:pPr>
        <w:autoSpaceDE w:val="0"/>
        <w:autoSpaceDN w:val="0"/>
        <w:adjustRightInd w:val="0"/>
        <w:rPr>
          <w:rFonts w:ascii="Times New Roman" w:hAnsi="Times New Roman"/>
          <w:color w:val="auto"/>
        </w:rPr>
      </w:pPr>
      <w:proofErr w:type="spellStart"/>
      <w:proofErr w:type="gramStart"/>
      <w:r w:rsidRPr="00C240C8">
        <w:rPr>
          <w:rFonts w:ascii="Times New Roman" w:hAnsi="Times New Roman"/>
          <w:color w:val="auto"/>
        </w:rPr>
        <w:t>recharacterization</w:t>
      </w:r>
      <w:proofErr w:type="spellEnd"/>
      <w:proofErr w:type="gramEnd"/>
      <w:r w:rsidRPr="00C240C8">
        <w:rPr>
          <w:rFonts w:ascii="Times New Roman" w:hAnsi="Times New Roman"/>
          <w:color w:val="auto"/>
        </w:rPr>
        <w:t xml:space="preserve"> of separation or modification of the disability rating. Enclosed is a copy of the</w:t>
      </w:r>
    </w:p>
    <w:p w:rsidR="00C240C8" w:rsidRPr="00C240C8" w:rsidRDefault="00C240C8" w:rsidP="00C240C8">
      <w:pPr>
        <w:autoSpaceDE w:val="0"/>
        <w:autoSpaceDN w:val="0"/>
        <w:adjustRightInd w:val="0"/>
        <w:rPr>
          <w:rFonts w:ascii="Times New Roman" w:hAnsi="Times New Roman"/>
          <w:color w:val="auto"/>
        </w:rPr>
      </w:pPr>
      <w:proofErr w:type="gramStart"/>
      <w:r w:rsidRPr="00C240C8">
        <w:rPr>
          <w:rFonts w:ascii="Times New Roman" w:hAnsi="Times New Roman"/>
          <w:color w:val="auto"/>
        </w:rPr>
        <w:t>Board's recommendation and record of proceedings for your information.</w:t>
      </w:r>
      <w:proofErr w:type="gramEnd"/>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A copy of this decision has also been provided to the DoD PDBR and the Department of</w:t>
      </w:r>
    </w:p>
    <w:p w:rsidR="00C240C8" w:rsidRPr="00C240C8" w:rsidRDefault="00C240C8" w:rsidP="00C240C8">
      <w:pPr>
        <w:autoSpaceDE w:val="0"/>
        <w:autoSpaceDN w:val="0"/>
        <w:adjustRightInd w:val="0"/>
        <w:rPr>
          <w:rFonts w:ascii="Times New Roman" w:hAnsi="Times New Roman"/>
          <w:color w:val="auto"/>
        </w:rPr>
      </w:pPr>
      <w:proofErr w:type="gramStart"/>
      <w:r w:rsidRPr="00C240C8">
        <w:rPr>
          <w:rFonts w:ascii="Times New Roman" w:hAnsi="Times New Roman"/>
          <w:color w:val="auto"/>
        </w:rPr>
        <w:t>Veterans Affairs.</w:t>
      </w:r>
      <w:proofErr w:type="gramEnd"/>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If you have any further questions, please contact the Coast Guard Personnel Service Center at</w:t>
      </w:r>
    </w:p>
    <w:p w:rsidR="00C240C8" w:rsidRPr="00C240C8" w:rsidRDefault="00C240C8" w:rsidP="00C240C8">
      <w:pPr>
        <w:autoSpaceDE w:val="0"/>
        <w:autoSpaceDN w:val="0"/>
        <w:adjustRightInd w:val="0"/>
        <w:rPr>
          <w:rFonts w:ascii="Times New Roman" w:hAnsi="Times New Roman"/>
          <w:color w:val="auto"/>
        </w:rPr>
      </w:pPr>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Rear Admiral, U.S. Coast Guard</w:t>
      </w:r>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Assistant Commandant for Human Resources</w:t>
      </w:r>
    </w:p>
    <w:p w:rsidR="00C240C8" w:rsidRPr="00C240C8" w:rsidRDefault="00C240C8" w:rsidP="00C240C8">
      <w:pPr>
        <w:autoSpaceDE w:val="0"/>
        <w:autoSpaceDN w:val="0"/>
        <w:adjustRightInd w:val="0"/>
        <w:rPr>
          <w:rFonts w:ascii="Times New Roman" w:hAnsi="Times New Roman"/>
          <w:color w:val="auto"/>
        </w:rPr>
      </w:pPr>
      <w:r w:rsidRPr="00C240C8">
        <w:rPr>
          <w:rFonts w:ascii="Times New Roman" w:hAnsi="Times New Roman"/>
          <w:color w:val="auto"/>
        </w:rPr>
        <w:t>Enclosures: (1) PDBR President memo dated December 8, 2011</w:t>
      </w:r>
    </w:p>
    <w:p w:rsidR="00D91DA6" w:rsidRPr="00C240C8" w:rsidRDefault="00D91DA6" w:rsidP="00510F9C">
      <w:pPr>
        <w:tabs>
          <w:tab w:val="left" w:pos="288"/>
          <w:tab w:val="left" w:pos="4752"/>
        </w:tabs>
        <w:spacing w:line="240" w:lineRule="exact"/>
        <w:jc w:val="both"/>
        <w:rPr>
          <w:rFonts w:asciiTheme="minorHAnsi" w:hAnsiTheme="minorHAnsi"/>
          <w:color w:val="auto"/>
        </w:rPr>
      </w:pPr>
    </w:p>
    <w:p w:rsidR="00114F20" w:rsidRPr="00C240C8" w:rsidRDefault="00114F20" w:rsidP="00510F9C">
      <w:pPr>
        <w:tabs>
          <w:tab w:val="left" w:pos="288"/>
          <w:tab w:val="left" w:pos="4752"/>
        </w:tabs>
        <w:spacing w:line="240" w:lineRule="exact"/>
        <w:jc w:val="both"/>
        <w:rPr>
          <w:rFonts w:asciiTheme="minorHAnsi" w:hAnsiTheme="minorHAnsi"/>
          <w:color w:val="auto"/>
        </w:rPr>
      </w:pPr>
    </w:p>
    <w:p w:rsidR="00114F20" w:rsidRPr="00C240C8" w:rsidRDefault="00114F20" w:rsidP="00510F9C">
      <w:pPr>
        <w:tabs>
          <w:tab w:val="left" w:pos="288"/>
          <w:tab w:val="left" w:pos="4752"/>
        </w:tabs>
        <w:spacing w:line="240" w:lineRule="exact"/>
        <w:jc w:val="both"/>
        <w:rPr>
          <w:rFonts w:asciiTheme="minorHAnsi" w:hAnsiTheme="minorHAnsi"/>
          <w:color w:val="auto"/>
        </w:rPr>
      </w:pPr>
    </w:p>
    <w:p w:rsidR="00114F20" w:rsidRPr="00C240C8" w:rsidRDefault="00114F20" w:rsidP="00510F9C">
      <w:pPr>
        <w:tabs>
          <w:tab w:val="left" w:pos="288"/>
          <w:tab w:val="left" w:pos="4752"/>
        </w:tabs>
        <w:spacing w:line="240" w:lineRule="exact"/>
        <w:jc w:val="both"/>
        <w:rPr>
          <w:rFonts w:asciiTheme="minorHAnsi" w:hAnsiTheme="minorHAnsi"/>
          <w:color w:val="auto"/>
        </w:rPr>
      </w:pPr>
    </w:p>
    <w:p w:rsidR="007D57C0" w:rsidRPr="00C240C8" w:rsidRDefault="007D57C0" w:rsidP="00C34CEB">
      <w:pPr>
        <w:spacing w:line="180" w:lineRule="exact"/>
        <w:rPr>
          <w:rFonts w:asciiTheme="minorHAnsi" w:eastAsiaTheme="minorHAnsi" w:hAnsiTheme="minorHAnsi" w:cstheme="minorBidi"/>
          <w:color w:val="auto"/>
          <w:sz w:val="18"/>
          <w:szCs w:val="18"/>
        </w:rPr>
      </w:pPr>
    </w:p>
    <w:p w:rsidR="00A15208" w:rsidRDefault="00A15208">
      <w:pPr>
        <w:rPr>
          <w:rFonts w:asciiTheme="minorHAnsi" w:eastAsiaTheme="minorHAnsi" w:hAnsiTheme="minorHAnsi" w:cstheme="minorBidi"/>
          <w:color w:val="auto"/>
          <w:szCs w:val="24"/>
        </w:rPr>
      </w:pPr>
    </w:p>
    <w:p w:rsidR="000258D9" w:rsidRDefault="000258D9">
      <w:pPr>
        <w:rPr>
          <w:rFonts w:asciiTheme="minorHAnsi" w:eastAsiaTheme="minorHAnsi" w:hAnsiTheme="minorHAnsi" w:cstheme="minorBidi"/>
          <w:color w:val="auto"/>
          <w:szCs w:val="24"/>
        </w:rPr>
      </w:pPr>
    </w:p>
    <w:sectPr w:rsidR="000258D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96" w:rsidRDefault="00E14C96">
      <w:r>
        <w:separator/>
      </w:r>
    </w:p>
  </w:endnote>
  <w:endnote w:type="continuationSeparator" w:id="0">
    <w:p w:rsidR="00E14C96" w:rsidRDefault="00E14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6693A" w:rsidRPr="00684CE6" w:rsidRDefault="00804744" w:rsidP="00F65ED5">
        <w:pPr>
          <w:pStyle w:val="Footer"/>
          <w:jc w:val="right"/>
          <w:rPr>
            <w:color w:val="auto"/>
          </w:rPr>
        </w:pPr>
        <w:r w:rsidRPr="00684CE6">
          <w:rPr>
            <w:color w:val="auto"/>
          </w:rPr>
          <w:fldChar w:fldCharType="begin"/>
        </w:r>
        <w:r w:rsidR="0096693A" w:rsidRPr="00684CE6">
          <w:rPr>
            <w:color w:val="auto"/>
          </w:rPr>
          <w:instrText xml:space="preserve"> PAGE   \* MERGEFORMAT </w:instrText>
        </w:r>
        <w:r w:rsidRPr="00684CE6">
          <w:rPr>
            <w:color w:val="auto"/>
          </w:rPr>
          <w:fldChar w:fldCharType="separate"/>
        </w:r>
        <w:r w:rsidR="00C240C8">
          <w:rPr>
            <w:noProof/>
            <w:color w:val="auto"/>
          </w:rPr>
          <w:t>6</w:t>
        </w:r>
        <w:r w:rsidRPr="00684CE6">
          <w:rPr>
            <w:color w:val="auto"/>
          </w:rPr>
          <w:fldChar w:fldCharType="end"/>
        </w:r>
        <w:r w:rsidR="0096693A" w:rsidRPr="00684CE6">
          <w:rPr>
            <w:color w:val="auto"/>
          </w:rPr>
          <w:t xml:space="preserve">                                                           </w:t>
        </w:r>
        <w:r w:rsidR="0096693A" w:rsidRPr="00010521">
          <w:rPr>
            <w:color w:val="auto"/>
          </w:rPr>
          <w:t>PD</w:t>
        </w:r>
        <w:r w:rsidR="0096693A">
          <w:rPr>
            <w:color w:val="auto"/>
          </w:rPr>
          <w:t>1000344</w:t>
        </w:r>
      </w:p>
    </w:sdtContent>
  </w:sdt>
  <w:p w:rsidR="0096693A" w:rsidRPr="00684CE6" w:rsidRDefault="0096693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96" w:rsidRDefault="00E14C96">
      <w:r>
        <w:separator/>
      </w:r>
    </w:p>
  </w:footnote>
  <w:footnote w:type="continuationSeparator" w:id="0">
    <w:p w:rsidR="00E14C96" w:rsidRDefault="00E14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E0B1A"/>
    <w:multiLevelType w:val="hybridMultilevel"/>
    <w:tmpl w:val="417A6858"/>
    <w:lvl w:ilvl="0" w:tplc="51B4B780">
      <w:start w:val="20"/>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1463C"/>
    <w:multiLevelType w:val="hybridMultilevel"/>
    <w:tmpl w:val="72F820AE"/>
    <w:lvl w:ilvl="0" w:tplc="51B4B780">
      <w:start w:val="20"/>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7"/>
  </w:num>
  <w:num w:numId="5">
    <w:abstractNumId w:val="3"/>
  </w:num>
  <w:num w:numId="6">
    <w:abstractNumId w:val="9"/>
  </w:num>
  <w:num w:numId="7">
    <w:abstractNumId w:val="0"/>
  </w:num>
  <w:num w:numId="8">
    <w:abstractNumId w:val="5"/>
  </w:num>
  <w:num w:numId="9">
    <w:abstractNumId w:val="17"/>
  </w:num>
  <w:num w:numId="10">
    <w:abstractNumId w:val="11"/>
  </w:num>
  <w:num w:numId="11">
    <w:abstractNumId w:val="4"/>
  </w:num>
  <w:num w:numId="12">
    <w:abstractNumId w:val="14"/>
  </w:num>
  <w:num w:numId="13">
    <w:abstractNumId w:val="8"/>
  </w:num>
  <w:num w:numId="14">
    <w:abstractNumId w:val="16"/>
  </w:num>
  <w:num w:numId="15">
    <w:abstractNumId w:val="20"/>
  </w:num>
  <w:num w:numId="16">
    <w:abstractNumId w:val="1"/>
  </w:num>
  <w:num w:numId="17">
    <w:abstractNumId w:val="18"/>
  </w:num>
  <w:num w:numId="18">
    <w:abstractNumId w:val="10"/>
  </w:num>
  <w:num w:numId="19">
    <w:abstractNumId w:val="1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6786"/>
  </w:hdrShapeDefaults>
  <w:footnotePr>
    <w:numRestart w:val="eachSect"/>
    <w:footnote w:id="-1"/>
    <w:footnote w:id="0"/>
  </w:footnotePr>
  <w:endnotePr>
    <w:endnote w:id="-1"/>
    <w:endnote w:id="0"/>
  </w:endnotePr>
  <w:compat/>
  <w:rsids>
    <w:rsidRoot w:val="001C28D1"/>
    <w:rsid w:val="00001BE2"/>
    <w:rsid w:val="000024F5"/>
    <w:rsid w:val="000059FA"/>
    <w:rsid w:val="00006186"/>
    <w:rsid w:val="00006E54"/>
    <w:rsid w:val="00006F87"/>
    <w:rsid w:val="00007107"/>
    <w:rsid w:val="00010521"/>
    <w:rsid w:val="00010ABA"/>
    <w:rsid w:val="00010B0F"/>
    <w:rsid w:val="00012428"/>
    <w:rsid w:val="00012733"/>
    <w:rsid w:val="00013417"/>
    <w:rsid w:val="000136EE"/>
    <w:rsid w:val="000145C2"/>
    <w:rsid w:val="0001473F"/>
    <w:rsid w:val="00014A9E"/>
    <w:rsid w:val="00021361"/>
    <w:rsid w:val="00022CF3"/>
    <w:rsid w:val="00023913"/>
    <w:rsid w:val="00023D43"/>
    <w:rsid w:val="0002431B"/>
    <w:rsid w:val="00024DE7"/>
    <w:rsid w:val="000258D9"/>
    <w:rsid w:val="00026092"/>
    <w:rsid w:val="00030776"/>
    <w:rsid w:val="00032E07"/>
    <w:rsid w:val="000332CA"/>
    <w:rsid w:val="0003374E"/>
    <w:rsid w:val="000344D8"/>
    <w:rsid w:val="000344E6"/>
    <w:rsid w:val="00035B0E"/>
    <w:rsid w:val="00035C3A"/>
    <w:rsid w:val="00036A96"/>
    <w:rsid w:val="00036E4B"/>
    <w:rsid w:val="00037929"/>
    <w:rsid w:val="000379D0"/>
    <w:rsid w:val="000403EB"/>
    <w:rsid w:val="00040FC4"/>
    <w:rsid w:val="000416F8"/>
    <w:rsid w:val="00042C26"/>
    <w:rsid w:val="00043382"/>
    <w:rsid w:val="0004388B"/>
    <w:rsid w:val="00044623"/>
    <w:rsid w:val="0004468F"/>
    <w:rsid w:val="000452D7"/>
    <w:rsid w:val="00050536"/>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77DD1"/>
    <w:rsid w:val="000806AD"/>
    <w:rsid w:val="00080BDF"/>
    <w:rsid w:val="00082482"/>
    <w:rsid w:val="00084CF2"/>
    <w:rsid w:val="00085D7B"/>
    <w:rsid w:val="0008708B"/>
    <w:rsid w:val="00092619"/>
    <w:rsid w:val="00092C66"/>
    <w:rsid w:val="000949DD"/>
    <w:rsid w:val="00094E4F"/>
    <w:rsid w:val="0009651F"/>
    <w:rsid w:val="000A2BCE"/>
    <w:rsid w:val="000A33C8"/>
    <w:rsid w:val="000A41E3"/>
    <w:rsid w:val="000A4BBA"/>
    <w:rsid w:val="000A5071"/>
    <w:rsid w:val="000B0AD2"/>
    <w:rsid w:val="000B1022"/>
    <w:rsid w:val="000B291E"/>
    <w:rsid w:val="000B2FB8"/>
    <w:rsid w:val="000B4C99"/>
    <w:rsid w:val="000B6178"/>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132E"/>
    <w:rsid w:val="000F3DB6"/>
    <w:rsid w:val="000F427B"/>
    <w:rsid w:val="000F43D0"/>
    <w:rsid w:val="000F4D16"/>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98"/>
    <w:rsid w:val="001103CD"/>
    <w:rsid w:val="00113D2A"/>
    <w:rsid w:val="00114F20"/>
    <w:rsid w:val="0011590B"/>
    <w:rsid w:val="001173CC"/>
    <w:rsid w:val="001211AF"/>
    <w:rsid w:val="001219DF"/>
    <w:rsid w:val="0012220B"/>
    <w:rsid w:val="00122ABE"/>
    <w:rsid w:val="001231DC"/>
    <w:rsid w:val="0012324B"/>
    <w:rsid w:val="0012489B"/>
    <w:rsid w:val="001272AE"/>
    <w:rsid w:val="00130756"/>
    <w:rsid w:val="001315DD"/>
    <w:rsid w:val="0013525F"/>
    <w:rsid w:val="00135385"/>
    <w:rsid w:val="001364D1"/>
    <w:rsid w:val="001374C7"/>
    <w:rsid w:val="001421FD"/>
    <w:rsid w:val="001425C8"/>
    <w:rsid w:val="00142EBA"/>
    <w:rsid w:val="00143B79"/>
    <w:rsid w:val="00144B61"/>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C30"/>
    <w:rsid w:val="001B4C0B"/>
    <w:rsid w:val="001B4EC2"/>
    <w:rsid w:val="001B5B59"/>
    <w:rsid w:val="001B60E0"/>
    <w:rsid w:val="001B755A"/>
    <w:rsid w:val="001B7C8C"/>
    <w:rsid w:val="001C0688"/>
    <w:rsid w:val="001C181A"/>
    <w:rsid w:val="001C1877"/>
    <w:rsid w:val="001C2053"/>
    <w:rsid w:val="001C252F"/>
    <w:rsid w:val="001C28D1"/>
    <w:rsid w:val="001C3473"/>
    <w:rsid w:val="001C4035"/>
    <w:rsid w:val="001C5BDA"/>
    <w:rsid w:val="001C5CFC"/>
    <w:rsid w:val="001C7231"/>
    <w:rsid w:val="001C7418"/>
    <w:rsid w:val="001C7EBE"/>
    <w:rsid w:val="001D0051"/>
    <w:rsid w:val="001D169A"/>
    <w:rsid w:val="001D2224"/>
    <w:rsid w:val="001D31AA"/>
    <w:rsid w:val="001D3DC0"/>
    <w:rsid w:val="001D4F88"/>
    <w:rsid w:val="001D51DC"/>
    <w:rsid w:val="001D68CF"/>
    <w:rsid w:val="001D6A8C"/>
    <w:rsid w:val="001D7A56"/>
    <w:rsid w:val="001E15C0"/>
    <w:rsid w:val="001E18E0"/>
    <w:rsid w:val="001E18E2"/>
    <w:rsid w:val="001E19D0"/>
    <w:rsid w:val="001E2A30"/>
    <w:rsid w:val="001E2FF1"/>
    <w:rsid w:val="001E41FE"/>
    <w:rsid w:val="001E635C"/>
    <w:rsid w:val="001F0297"/>
    <w:rsid w:val="001F68E0"/>
    <w:rsid w:val="00200AA0"/>
    <w:rsid w:val="00202115"/>
    <w:rsid w:val="00202325"/>
    <w:rsid w:val="00202736"/>
    <w:rsid w:val="00203652"/>
    <w:rsid w:val="00204562"/>
    <w:rsid w:val="00205B4F"/>
    <w:rsid w:val="002060B6"/>
    <w:rsid w:val="002066B5"/>
    <w:rsid w:val="002066F4"/>
    <w:rsid w:val="00210167"/>
    <w:rsid w:val="00211612"/>
    <w:rsid w:val="002119B6"/>
    <w:rsid w:val="00212B40"/>
    <w:rsid w:val="00213BD0"/>
    <w:rsid w:val="00214DBA"/>
    <w:rsid w:val="002151AB"/>
    <w:rsid w:val="0021548C"/>
    <w:rsid w:val="00215C4C"/>
    <w:rsid w:val="00215ED6"/>
    <w:rsid w:val="00216049"/>
    <w:rsid w:val="002163FA"/>
    <w:rsid w:val="002168E9"/>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73A"/>
    <w:rsid w:val="00246860"/>
    <w:rsid w:val="002468D9"/>
    <w:rsid w:val="00246DFF"/>
    <w:rsid w:val="00246E89"/>
    <w:rsid w:val="0025183C"/>
    <w:rsid w:val="00252351"/>
    <w:rsid w:val="002528EC"/>
    <w:rsid w:val="00253EAA"/>
    <w:rsid w:val="00255049"/>
    <w:rsid w:val="00257AFF"/>
    <w:rsid w:val="00257DE5"/>
    <w:rsid w:val="00260531"/>
    <w:rsid w:val="00260A07"/>
    <w:rsid w:val="00260A3D"/>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E35"/>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4591"/>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40B5"/>
    <w:rsid w:val="002F6AD8"/>
    <w:rsid w:val="002F7F81"/>
    <w:rsid w:val="00300A36"/>
    <w:rsid w:val="00301B45"/>
    <w:rsid w:val="00305856"/>
    <w:rsid w:val="0030678B"/>
    <w:rsid w:val="00306D16"/>
    <w:rsid w:val="00307595"/>
    <w:rsid w:val="00310CD7"/>
    <w:rsid w:val="00313D7A"/>
    <w:rsid w:val="00313FA7"/>
    <w:rsid w:val="00317041"/>
    <w:rsid w:val="0032136A"/>
    <w:rsid w:val="00323A90"/>
    <w:rsid w:val="00323E70"/>
    <w:rsid w:val="003258A7"/>
    <w:rsid w:val="00325BA2"/>
    <w:rsid w:val="003262BD"/>
    <w:rsid w:val="00326B1C"/>
    <w:rsid w:val="00326C08"/>
    <w:rsid w:val="00326F7F"/>
    <w:rsid w:val="00330311"/>
    <w:rsid w:val="00330961"/>
    <w:rsid w:val="00330D55"/>
    <w:rsid w:val="003320E8"/>
    <w:rsid w:val="003328FD"/>
    <w:rsid w:val="00332DE3"/>
    <w:rsid w:val="0033334F"/>
    <w:rsid w:val="00334514"/>
    <w:rsid w:val="0033555E"/>
    <w:rsid w:val="00336805"/>
    <w:rsid w:val="00337351"/>
    <w:rsid w:val="0033796F"/>
    <w:rsid w:val="00341A54"/>
    <w:rsid w:val="003422F7"/>
    <w:rsid w:val="00343C16"/>
    <w:rsid w:val="00344A4F"/>
    <w:rsid w:val="00344D17"/>
    <w:rsid w:val="0034669F"/>
    <w:rsid w:val="003512F8"/>
    <w:rsid w:val="00351498"/>
    <w:rsid w:val="00352B22"/>
    <w:rsid w:val="00352CBF"/>
    <w:rsid w:val="00354547"/>
    <w:rsid w:val="003549F5"/>
    <w:rsid w:val="003567DE"/>
    <w:rsid w:val="003574F3"/>
    <w:rsid w:val="00357831"/>
    <w:rsid w:val="003604A5"/>
    <w:rsid w:val="0036319E"/>
    <w:rsid w:val="003632A4"/>
    <w:rsid w:val="00363362"/>
    <w:rsid w:val="00363F76"/>
    <w:rsid w:val="00365767"/>
    <w:rsid w:val="003659C0"/>
    <w:rsid w:val="003660DF"/>
    <w:rsid w:val="00367D4F"/>
    <w:rsid w:val="00370743"/>
    <w:rsid w:val="00370EF5"/>
    <w:rsid w:val="0037135B"/>
    <w:rsid w:val="00372251"/>
    <w:rsid w:val="00372978"/>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01E2"/>
    <w:rsid w:val="00391858"/>
    <w:rsid w:val="00393651"/>
    <w:rsid w:val="00394926"/>
    <w:rsid w:val="00394FF9"/>
    <w:rsid w:val="00395651"/>
    <w:rsid w:val="00395839"/>
    <w:rsid w:val="00395E12"/>
    <w:rsid w:val="003962A8"/>
    <w:rsid w:val="00396779"/>
    <w:rsid w:val="00397DB7"/>
    <w:rsid w:val="003A27B2"/>
    <w:rsid w:val="003A40B4"/>
    <w:rsid w:val="003A41BA"/>
    <w:rsid w:val="003A5491"/>
    <w:rsid w:val="003A5958"/>
    <w:rsid w:val="003A6A99"/>
    <w:rsid w:val="003A6DB0"/>
    <w:rsid w:val="003A6E60"/>
    <w:rsid w:val="003A6E6B"/>
    <w:rsid w:val="003A7FF8"/>
    <w:rsid w:val="003B17AC"/>
    <w:rsid w:val="003B227A"/>
    <w:rsid w:val="003B3A77"/>
    <w:rsid w:val="003B4319"/>
    <w:rsid w:val="003B5854"/>
    <w:rsid w:val="003B61CD"/>
    <w:rsid w:val="003B6764"/>
    <w:rsid w:val="003B7A8B"/>
    <w:rsid w:val="003C294B"/>
    <w:rsid w:val="003C5046"/>
    <w:rsid w:val="003C6068"/>
    <w:rsid w:val="003C7AEC"/>
    <w:rsid w:val="003D2BA3"/>
    <w:rsid w:val="003D316B"/>
    <w:rsid w:val="003D3C22"/>
    <w:rsid w:val="003D4713"/>
    <w:rsid w:val="003D56A0"/>
    <w:rsid w:val="003D5952"/>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14A"/>
    <w:rsid w:val="003F776F"/>
    <w:rsid w:val="003F799C"/>
    <w:rsid w:val="004007E9"/>
    <w:rsid w:val="00400810"/>
    <w:rsid w:val="00401825"/>
    <w:rsid w:val="00401BBC"/>
    <w:rsid w:val="0040360A"/>
    <w:rsid w:val="00403BFB"/>
    <w:rsid w:val="00404B45"/>
    <w:rsid w:val="00405BCF"/>
    <w:rsid w:val="00406766"/>
    <w:rsid w:val="00406CC5"/>
    <w:rsid w:val="004074A4"/>
    <w:rsid w:val="004101B2"/>
    <w:rsid w:val="00411C18"/>
    <w:rsid w:val="004123D7"/>
    <w:rsid w:val="00412658"/>
    <w:rsid w:val="004129DA"/>
    <w:rsid w:val="00413DFC"/>
    <w:rsid w:val="00415EA4"/>
    <w:rsid w:val="0041604B"/>
    <w:rsid w:val="004172DB"/>
    <w:rsid w:val="00417C83"/>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3400"/>
    <w:rsid w:val="0049445D"/>
    <w:rsid w:val="00495350"/>
    <w:rsid w:val="00495E3C"/>
    <w:rsid w:val="00497156"/>
    <w:rsid w:val="004A0C79"/>
    <w:rsid w:val="004A24D2"/>
    <w:rsid w:val="004A3214"/>
    <w:rsid w:val="004A3B0A"/>
    <w:rsid w:val="004A4136"/>
    <w:rsid w:val="004A417B"/>
    <w:rsid w:val="004A4378"/>
    <w:rsid w:val="004A712D"/>
    <w:rsid w:val="004B03F3"/>
    <w:rsid w:val="004B0CC9"/>
    <w:rsid w:val="004B1B44"/>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56E4"/>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275"/>
    <w:rsid w:val="00506688"/>
    <w:rsid w:val="00510588"/>
    <w:rsid w:val="00510F9C"/>
    <w:rsid w:val="0051146C"/>
    <w:rsid w:val="0051220B"/>
    <w:rsid w:val="00512253"/>
    <w:rsid w:val="00512484"/>
    <w:rsid w:val="00514449"/>
    <w:rsid w:val="00515419"/>
    <w:rsid w:val="005157BD"/>
    <w:rsid w:val="005214A3"/>
    <w:rsid w:val="005214D2"/>
    <w:rsid w:val="005222E7"/>
    <w:rsid w:val="00523A8B"/>
    <w:rsid w:val="00523E04"/>
    <w:rsid w:val="00525003"/>
    <w:rsid w:val="0052590B"/>
    <w:rsid w:val="00526591"/>
    <w:rsid w:val="00527178"/>
    <w:rsid w:val="005278CB"/>
    <w:rsid w:val="00530208"/>
    <w:rsid w:val="00530B8B"/>
    <w:rsid w:val="005330EA"/>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0BC9"/>
    <w:rsid w:val="0055288D"/>
    <w:rsid w:val="00555259"/>
    <w:rsid w:val="00555A3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406C"/>
    <w:rsid w:val="00575963"/>
    <w:rsid w:val="00575EBE"/>
    <w:rsid w:val="0058039C"/>
    <w:rsid w:val="00580A63"/>
    <w:rsid w:val="00581486"/>
    <w:rsid w:val="00583379"/>
    <w:rsid w:val="0058417C"/>
    <w:rsid w:val="00586EC6"/>
    <w:rsid w:val="00587C8E"/>
    <w:rsid w:val="00587DDE"/>
    <w:rsid w:val="00593043"/>
    <w:rsid w:val="00595B60"/>
    <w:rsid w:val="00595BF0"/>
    <w:rsid w:val="00597E16"/>
    <w:rsid w:val="005A026B"/>
    <w:rsid w:val="005A0B1D"/>
    <w:rsid w:val="005A0EB0"/>
    <w:rsid w:val="005A1846"/>
    <w:rsid w:val="005A258C"/>
    <w:rsid w:val="005A3560"/>
    <w:rsid w:val="005A464E"/>
    <w:rsid w:val="005A6122"/>
    <w:rsid w:val="005A62FC"/>
    <w:rsid w:val="005A6C99"/>
    <w:rsid w:val="005A7D5D"/>
    <w:rsid w:val="005B0040"/>
    <w:rsid w:val="005B006D"/>
    <w:rsid w:val="005B011A"/>
    <w:rsid w:val="005B0283"/>
    <w:rsid w:val="005B1ADA"/>
    <w:rsid w:val="005B1D8F"/>
    <w:rsid w:val="005B1E94"/>
    <w:rsid w:val="005B5B3D"/>
    <w:rsid w:val="005B64CF"/>
    <w:rsid w:val="005C0E87"/>
    <w:rsid w:val="005C16F3"/>
    <w:rsid w:val="005C3758"/>
    <w:rsid w:val="005C3784"/>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3B2C"/>
    <w:rsid w:val="005F424D"/>
    <w:rsid w:val="005F55F5"/>
    <w:rsid w:val="005F5EC1"/>
    <w:rsid w:val="005F67A9"/>
    <w:rsid w:val="005F6B6D"/>
    <w:rsid w:val="006008F8"/>
    <w:rsid w:val="00605AAB"/>
    <w:rsid w:val="00606BEB"/>
    <w:rsid w:val="0061014A"/>
    <w:rsid w:val="0061054B"/>
    <w:rsid w:val="00611180"/>
    <w:rsid w:val="00612FB0"/>
    <w:rsid w:val="0061356D"/>
    <w:rsid w:val="00613E26"/>
    <w:rsid w:val="00614011"/>
    <w:rsid w:val="00615641"/>
    <w:rsid w:val="00616959"/>
    <w:rsid w:val="006201DE"/>
    <w:rsid w:val="0062036E"/>
    <w:rsid w:val="006211D0"/>
    <w:rsid w:val="00621595"/>
    <w:rsid w:val="0062359D"/>
    <w:rsid w:val="00623634"/>
    <w:rsid w:val="00624D0C"/>
    <w:rsid w:val="006274B4"/>
    <w:rsid w:val="006307BA"/>
    <w:rsid w:val="006311F9"/>
    <w:rsid w:val="006315BA"/>
    <w:rsid w:val="00634C4A"/>
    <w:rsid w:val="00634FE9"/>
    <w:rsid w:val="0063532E"/>
    <w:rsid w:val="00637063"/>
    <w:rsid w:val="0063737C"/>
    <w:rsid w:val="00637BDC"/>
    <w:rsid w:val="00640622"/>
    <w:rsid w:val="00640EE3"/>
    <w:rsid w:val="006418C9"/>
    <w:rsid w:val="00642BD6"/>
    <w:rsid w:val="00645046"/>
    <w:rsid w:val="0064527A"/>
    <w:rsid w:val="006458FD"/>
    <w:rsid w:val="00645D4A"/>
    <w:rsid w:val="00645EA2"/>
    <w:rsid w:val="00651E6D"/>
    <w:rsid w:val="00653D2D"/>
    <w:rsid w:val="006555E7"/>
    <w:rsid w:val="006560B6"/>
    <w:rsid w:val="006573F2"/>
    <w:rsid w:val="00660BD0"/>
    <w:rsid w:val="00662AD0"/>
    <w:rsid w:val="00662F08"/>
    <w:rsid w:val="00663589"/>
    <w:rsid w:val="006649CD"/>
    <w:rsid w:val="00665D75"/>
    <w:rsid w:val="006708E3"/>
    <w:rsid w:val="00670DDC"/>
    <w:rsid w:val="00671389"/>
    <w:rsid w:val="00671EB4"/>
    <w:rsid w:val="00673CDC"/>
    <w:rsid w:val="0067443B"/>
    <w:rsid w:val="00676E82"/>
    <w:rsid w:val="006770AA"/>
    <w:rsid w:val="00682486"/>
    <w:rsid w:val="00684CE6"/>
    <w:rsid w:val="00684E2B"/>
    <w:rsid w:val="00686B2A"/>
    <w:rsid w:val="00687C7E"/>
    <w:rsid w:val="00690569"/>
    <w:rsid w:val="00690FDA"/>
    <w:rsid w:val="00691E61"/>
    <w:rsid w:val="006937C6"/>
    <w:rsid w:val="00693C5E"/>
    <w:rsid w:val="00693CEE"/>
    <w:rsid w:val="00694EEA"/>
    <w:rsid w:val="006950E5"/>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D7A88"/>
    <w:rsid w:val="006E06D1"/>
    <w:rsid w:val="006E1313"/>
    <w:rsid w:val="006E2DC8"/>
    <w:rsid w:val="006E7356"/>
    <w:rsid w:val="006E77C8"/>
    <w:rsid w:val="006F0F9C"/>
    <w:rsid w:val="006F149D"/>
    <w:rsid w:val="006F1A46"/>
    <w:rsid w:val="006F4F06"/>
    <w:rsid w:val="006F5A4E"/>
    <w:rsid w:val="006F5D37"/>
    <w:rsid w:val="006F6005"/>
    <w:rsid w:val="007005EA"/>
    <w:rsid w:val="0070399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28E3"/>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A89"/>
    <w:rsid w:val="00744EBB"/>
    <w:rsid w:val="00745B0A"/>
    <w:rsid w:val="00745DBE"/>
    <w:rsid w:val="007468AC"/>
    <w:rsid w:val="00746AE2"/>
    <w:rsid w:val="00750C82"/>
    <w:rsid w:val="00750E3A"/>
    <w:rsid w:val="00752035"/>
    <w:rsid w:val="00753348"/>
    <w:rsid w:val="0075745C"/>
    <w:rsid w:val="0076100C"/>
    <w:rsid w:val="007612A5"/>
    <w:rsid w:val="00763B56"/>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672"/>
    <w:rsid w:val="007A5AD1"/>
    <w:rsid w:val="007A5B7B"/>
    <w:rsid w:val="007A65A9"/>
    <w:rsid w:val="007B0128"/>
    <w:rsid w:val="007B0A06"/>
    <w:rsid w:val="007B0B24"/>
    <w:rsid w:val="007B1C83"/>
    <w:rsid w:val="007B3F9A"/>
    <w:rsid w:val="007B4181"/>
    <w:rsid w:val="007B5C5C"/>
    <w:rsid w:val="007B67B8"/>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57CE"/>
    <w:rsid w:val="007D67CB"/>
    <w:rsid w:val="007D6BFE"/>
    <w:rsid w:val="007E2046"/>
    <w:rsid w:val="007E320F"/>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0F8"/>
    <w:rsid w:val="007F30E4"/>
    <w:rsid w:val="007F3D3E"/>
    <w:rsid w:val="0080064F"/>
    <w:rsid w:val="00801B85"/>
    <w:rsid w:val="00803850"/>
    <w:rsid w:val="008039E8"/>
    <w:rsid w:val="00804385"/>
    <w:rsid w:val="00804744"/>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93B"/>
    <w:rsid w:val="00865FA3"/>
    <w:rsid w:val="00866231"/>
    <w:rsid w:val="00871262"/>
    <w:rsid w:val="0087170E"/>
    <w:rsid w:val="00871D4E"/>
    <w:rsid w:val="00871E7B"/>
    <w:rsid w:val="008721BB"/>
    <w:rsid w:val="00874F1B"/>
    <w:rsid w:val="0087566D"/>
    <w:rsid w:val="00875B50"/>
    <w:rsid w:val="00875B51"/>
    <w:rsid w:val="00875F2D"/>
    <w:rsid w:val="008764DC"/>
    <w:rsid w:val="00877D42"/>
    <w:rsid w:val="00882CC2"/>
    <w:rsid w:val="0088325A"/>
    <w:rsid w:val="00883930"/>
    <w:rsid w:val="00884535"/>
    <w:rsid w:val="008902BE"/>
    <w:rsid w:val="0089038F"/>
    <w:rsid w:val="00890CDA"/>
    <w:rsid w:val="00891BBA"/>
    <w:rsid w:val="00892079"/>
    <w:rsid w:val="00892B90"/>
    <w:rsid w:val="0089328A"/>
    <w:rsid w:val="00896535"/>
    <w:rsid w:val="00896683"/>
    <w:rsid w:val="00896E71"/>
    <w:rsid w:val="0089750B"/>
    <w:rsid w:val="00897589"/>
    <w:rsid w:val="008A0D4F"/>
    <w:rsid w:val="008A39D7"/>
    <w:rsid w:val="008A42F7"/>
    <w:rsid w:val="008A55DE"/>
    <w:rsid w:val="008A5C34"/>
    <w:rsid w:val="008A63A9"/>
    <w:rsid w:val="008A6A0A"/>
    <w:rsid w:val="008A7073"/>
    <w:rsid w:val="008A79F0"/>
    <w:rsid w:val="008A7F7E"/>
    <w:rsid w:val="008B04DB"/>
    <w:rsid w:val="008B09B4"/>
    <w:rsid w:val="008B1DF4"/>
    <w:rsid w:val="008B27FD"/>
    <w:rsid w:val="008B2FDB"/>
    <w:rsid w:val="008B3AF2"/>
    <w:rsid w:val="008B446D"/>
    <w:rsid w:val="008B515D"/>
    <w:rsid w:val="008B59BD"/>
    <w:rsid w:val="008B5D31"/>
    <w:rsid w:val="008B6705"/>
    <w:rsid w:val="008C22F3"/>
    <w:rsid w:val="008C3FD0"/>
    <w:rsid w:val="008C4F01"/>
    <w:rsid w:val="008D1484"/>
    <w:rsid w:val="008D29E7"/>
    <w:rsid w:val="008D5104"/>
    <w:rsid w:val="008D6E8B"/>
    <w:rsid w:val="008D75F4"/>
    <w:rsid w:val="008D795D"/>
    <w:rsid w:val="008D7B07"/>
    <w:rsid w:val="008E0D8F"/>
    <w:rsid w:val="008E0F4E"/>
    <w:rsid w:val="008E1E94"/>
    <w:rsid w:val="008E2D99"/>
    <w:rsid w:val="008E30D4"/>
    <w:rsid w:val="008E38B0"/>
    <w:rsid w:val="008E4A60"/>
    <w:rsid w:val="008E744D"/>
    <w:rsid w:val="008F1E08"/>
    <w:rsid w:val="008F6E21"/>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47DAA"/>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AED"/>
    <w:rsid w:val="00962F2D"/>
    <w:rsid w:val="00963A7A"/>
    <w:rsid w:val="0096693A"/>
    <w:rsid w:val="009672CD"/>
    <w:rsid w:val="00972996"/>
    <w:rsid w:val="009732B8"/>
    <w:rsid w:val="00973D7B"/>
    <w:rsid w:val="00974647"/>
    <w:rsid w:val="0097514A"/>
    <w:rsid w:val="009759C2"/>
    <w:rsid w:val="00975C72"/>
    <w:rsid w:val="00976869"/>
    <w:rsid w:val="00977740"/>
    <w:rsid w:val="00977CB4"/>
    <w:rsid w:val="009809B8"/>
    <w:rsid w:val="00980E70"/>
    <w:rsid w:val="00981086"/>
    <w:rsid w:val="009818AF"/>
    <w:rsid w:val="00981B1C"/>
    <w:rsid w:val="0098222D"/>
    <w:rsid w:val="00984050"/>
    <w:rsid w:val="00985099"/>
    <w:rsid w:val="00985D32"/>
    <w:rsid w:val="00986514"/>
    <w:rsid w:val="00986FCC"/>
    <w:rsid w:val="009935C3"/>
    <w:rsid w:val="0099421F"/>
    <w:rsid w:val="00994FC8"/>
    <w:rsid w:val="009A0DE3"/>
    <w:rsid w:val="009A1643"/>
    <w:rsid w:val="009A215A"/>
    <w:rsid w:val="009A3652"/>
    <w:rsid w:val="009A49D3"/>
    <w:rsid w:val="009A4F1B"/>
    <w:rsid w:val="009A6238"/>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2B30"/>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38F3"/>
    <w:rsid w:val="00A0404B"/>
    <w:rsid w:val="00A05DCE"/>
    <w:rsid w:val="00A06F66"/>
    <w:rsid w:val="00A0798C"/>
    <w:rsid w:val="00A07BDD"/>
    <w:rsid w:val="00A07F12"/>
    <w:rsid w:val="00A1105B"/>
    <w:rsid w:val="00A1213C"/>
    <w:rsid w:val="00A130E8"/>
    <w:rsid w:val="00A15208"/>
    <w:rsid w:val="00A15B6B"/>
    <w:rsid w:val="00A15EB4"/>
    <w:rsid w:val="00A16172"/>
    <w:rsid w:val="00A166A8"/>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3FCD"/>
    <w:rsid w:val="00A44141"/>
    <w:rsid w:val="00A44CCA"/>
    <w:rsid w:val="00A44D75"/>
    <w:rsid w:val="00A453EE"/>
    <w:rsid w:val="00A47CF1"/>
    <w:rsid w:val="00A50418"/>
    <w:rsid w:val="00A52580"/>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48FF"/>
    <w:rsid w:val="00A756C4"/>
    <w:rsid w:val="00A7592B"/>
    <w:rsid w:val="00A76094"/>
    <w:rsid w:val="00A768E2"/>
    <w:rsid w:val="00A82836"/>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D6D"/>
    <w:rsid w:val="00AA73AF"/>
    <w:rsid w:val="00AB0A8A"/>
    <w:rsid w:val="00AB1754"/>
    <w:rsid w:val="00AB1F8D"/>
    <w:rsid w:val="00AB27DD"/>
    <w:rsid w:val="00AB3A24"/>
    <w:rsid w:val="00AB592E"/>
    <w:rsid w:val="00AC37BE"/>
    <w:rsid w:val="00AC439D"/>
    <w:rsid w:val="00AC62CC"/>
    <w:rsid w:val="00AC713F"/>
    <w:rsid w:val="00AC7329"/>
    <w:rsid w:val="00AC7D96"/>
    <w:rsid w:val="00AD00E4"/>
    <w:rsid w:val="00AD067E"/>
    <w:rsid w:val="00AD168B"/>
    <w:rsid w:val="00AD1B4E"/>
    <w:rsid w:val="00AD2801"/>
    <w:rsid w:val="00AD3496"/>
    <w:rsid w:val="00AD431D"/>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27718"/>
    <w:rsid w:val="00B27DE2"/>
    <w:rsid w:val="00B31965"/>
    <w:rsid w:val="00B32179"/>
    <w:rsid w:val="00B32341"/>
    <w:rsid w:val="00B32C2B"/>
    <w:rsid w:val="00B33007"/>
    <w:rsid w:val="00B331A9"/>
    <w:rsid w:val="00B33498"/>
    <w:rsid w:val="00B33598"/>
    <w:rsid w:val="00B35A17"/>
    <w:rsid w:val="00B36569"/>
    <w:rsid w:val="00B37345"/>
    <w:rsid w:val="00B37F53"/>
    <w:rsid w:val="00B37FB7"/>
    <w:rsid w:val="00B40A05"/>
    <w:rsid w:val="00B40A3E"/>
    <w:rsid w:val="00B427BB"/>
    <w:rsid w:val="00B437CC"/>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56A"/>
    <w:rsid w:val="00B643A6"/>
    <w:rsid w:val="00B64DD6"/>
    <w:rsid w:val="00B6534D"/>
    <w:rsid w:val="00B66505"/>
    <w:rsid w:val="00B6710C"/>
    <w:rsid w:val="00B67241"/>
    <w:rsid w:val="00B67E84"/>
    <w:rsid w:val="00B72076"/>
    <w:rsid w:val="00B72303"/>
    <w:rsid w:val="00B72C72"/>
    <w:rsid w:val="00B72ED9"/>
    <w:rsid w:val="00B731E4"/>
    <w:rsid w:val="00B751CE"/>
    <w:rsid w:val="00B75A8B"/>
    <w:rsid w:val="00B75B61"/>
    <w:rsid w:val="00B76796"/>
    <w:rsid w:val="00B76817"/>
    <w:rsid w:val="00B771E0"/>
    <w:rsid w:val="00B7793B"/>
    <w:rsid w:val="00B77EE7"/>
    <w:rsid w:val="00B80EDD"/>
    <w:rsid w:val="00B81087"/>
    <w:rsid w:val="00B812BD"/>
    <w:rsid w:val="00B81964"/>
    <w:rsid w:val="00B82277"/>
    <w:rsid w:val="00B83F87"/>
    <w:rsid w:val="00B8478F"/>
    <w:rsid w:val="00B91676"/>
    <w:rsid w:val="00B9322B"/>
    <w:rsid w:val="00B955D5"/>
    <w:rsid w:val="00B95833"/>
    <w:rsid w:val="00BA1824"/>
    <w:rsid w:val="00BA2679"/>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6A7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0C8"/>
    <w:rsid w:val="00C24AD9"/>
    <w:rsid w:val="00C25978"/>
    <w:rsid w:val="00C261C6"/>
    <w:rsid w:val="00C26621"/>
    <w:rsid w:val="00C26E7C"/>
    <w:rsid w:val="00C276CD"/>
    <w:rsid w:val="00C27827"/>
    <w:rsid w:val="00C30A97"/>
    <w:rsid w:val="00C31DDC"/>
    <w:rsid w:val="00C3223A"/>
    <w:rsid w:val="00C34168"/>
    <w:rsid w:val="00C341BC"/>
    <w:rsid w:val="00C34326"/>
    <w:rsid w:val="00C34CEB"/>
    <w:rsid w:val="00C36201"/>
    <w:rsid w:val="00C368E8"/>
    <w:rsid w:val="00C36C3D"/>
    <w:rsid w:val="00C372C7"/>
    <w:rsid w:val="00C40FFA"/>
    <w:rsid w:val="00C42443"/>
    <w:rsid w:val="00C42CBA"/>
    <w:rsid w:val="00C4338C"/>
    <w:rsid w:val="00C43C2B"/>
    <w:rsid w:val="00C443BF"/>
    <w:rsid w:val="00C45B27"/>
    <w:rsid w:val="00C472C7"/>
    <w:rsid w:val="00C5019E"/>
    <w:rsid w:val="00C508A1"/>
    <w:rsid w:val="00C51962"/>
    <w:rsid w:val="00C5377C"/>
    <w:rsid w:val="00C53E8A"/>
    <w:rsid w:val="00C53F18"/>
    <w:rsid w:val="00C54DF3"/>
    <w:rsid w:val="00C560A7"/>
    <w:rsid w:val="00C56CB9"/>
    <w:rsid w:val="00C56FC8"/>
    <w:rsid w:val="00C60F23"/>
    <w:rsid w:val="00C6170B"/>
    <w:rsid w:val="00C62EB2"/>
    <w:rsid w:val="00C64C87"/>
    <w:rsid w:val="00C665FE"/>
    <w:rsid w:val="00C71A0C"/>
    <w:rsid w:val="00C71BEC"/>
    <w:rsid w:val="00C74295"/>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9C3"/>
    <w:rsid w:val="00CD1EF2"/>
    <w:rsid w:val="00CD32BD"/>
    <w:rsid w:val="00CD34C7"/>
    <w:rsid w:val="00CD5653"/>
    <w:rsid w:val="00CD5E6D"/>
    <w:rsid w:val="00CD63C8"/>
    <w:rsid w:val="00CD76F8"/>
    <w:rsid w:val="00CE02E8"/>
    <w:rsid w:val="00CE069E"/>
    <w:rsid w:val="00CE0DE0"/>
    <w:rsid w:val="00CE3722"/>
    <w:rsid w:val="00CE5669"/>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2CDA"/>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B48"/>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21F"/>
    <w:rsid w:val="00DE598A"/>
    <w:rsid w:val="00DE6952"/>
    <w:rsid w:val="00DE7E74"/>
    <w:rsid w:val="00DF071B"/>
    <w:rsid w:val="00DF2A39"/>
    <w:rsid w:val="00DF5C84"/>
    <w:rsid w:val="00DF6EF8"/>
    <w:rsid w:val="00E00A69"/>
    <w:rsid w:val="00E017BC"/>
    <w:rsid w:val="00E017F0"/>
    <w:rsid w:val="00E01A0E"/>
    <w:rsid w:val="00E0346A"/>
    <w:rsid w:val="00E041E4"/>
    <w:rsid w:val="00E04AEE"/>
    <w:rsid w:val="00E05A27"/>
    <w:rsid w:val="00E1012B"/>
    <w:rsid w:val="00E103C8"/>
    <w:rsid w:val="00E1085B"/>
    <w:rsid w:val="00E1308B"/>
    <w:rsid w:val="00E14581"/>
    <w:rsid w:val="00E14623"/>
    <w:rsid w:val="00E14C96"/>
    <w:rsid w:val="00E15539"/>
    <w:rsid w:val="00E16541"/>
    <w:rsid w:val="00E16646"/>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38A2"/>
    <w:rsid w:val="00E548FA"/>
    <w:rsid w:val="00E57703"/>
    <w:rsid w:val="00E57ED4"/>
    <w:rsid w:val="00E57FED"/>
    <w:rsid w:val="00E6092F"/>
    <w:rsid w:val="00E62049"/>
    <w:rsid w:val="00E629DA"/>
    <w:rsid w:val="00E64374"/>
    <w:rsid w:val="00E6469F"/>
    <w:rsid w:val="00E65D39"/>
    <w:rsid w:val="00E66220"/>
    <w:rsid w:val="00E670F8"/>
    <w:rsid w:val="00E6741B"/>
    <w:rsid w:val="00E67FAC"/>
    <w:rsid w:val="00E7200B"/>
    <w:rsid w:val="00E738CB"/>
    <w:rsid w:val="00E73C88"/>
    <w:rsid w:val="00E74437"/>
    <w:rsid w:val="00E7443D"/>
    <w:rsid w:val="00E75ACE"/>
    <w:rsid w:val="00E771AF"/>
    <w:rsid w:val="00E77DFD"/>
    <w:rsid w:val="00E80386"/>
    <w:rsid w:val="00E809C3"/>
    <w:rsid w:val="00E81A1A"/>
    <w:rsid w:val="00E81C3E"/>
    <w:rsid w:val="00E82359"/>
    <w:rsid w:val="00E82B6D"/>
    <w:rsid w:val="00E83187"/>
    <w:rsid w:val="00E831E9"/>
    <w:rsid w:val="00E8608F"/>
    <w:rsid w:val="00E86C1D"/>
    <w:rsid w:val="00E877AB"/>
    <w:rsid w:val="00E95158"/>
    <w:rsid w:val="00E960C9"/>
    <w:rsid w:val="00E9763D"/>
    <w:rsid w:val="00EA1177"/>
    <w:rsid w:val="00EA118B"/>
    <w:rsid w:val="00EA11B6"/>
    <w:rsid w:val="00EA2181"/>
    <w:rsid w:val="00EA2DD8"/>
    <w:rsid w:val="00EA4475"/>
    <w:rsid w:val="00EA52FE"/>
    <w:rsid w:val="00EA5572"/>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1F62"/>
    <w:rsid w:val="00ED1FBC"/>
    <w:rsid w:val="00ED290C"/>
    <w:rsid w:val="00ED2A6C"/>
    <w:rsid w:val="00ED4773"/>
    <w:rsid w:val="00ED5284"/>
    <w:rsid w:val="00ED664B"/>
    <w:rsid w:val="00ED6A61"/>
    <w:rsid w:val="00ED731B"/>
    <w:rsid w:val="00ED7DA4"/>
    <w:rsid w:val="00EE03BB"/>
    <w:rsid w:val="00EE0552"/>
    <w:rsid w:val="00EE0589"/>
    <w:rsid w:val="00EE0B44"/>
    <w:rsid w:val="00EE125D"/>
    <w:rsid w:val="00EE23DE"/>
    <w:rsid w:val="00EE48BB"/>
    <w:rsid w:val="00EE6FE0"/>
    <w:rsid w:val="00EE704A"/>
    <w:rsid w:val="00EE7840"/>
    <w:rsid w:val="00EF2E75"/>
    <w:rsid w:val="00EF41BD"/>
    <w:rsid w:val="00EF4C74"/>
    <w:rsid w:val="00EF5268"/>
    <w:rsid w:val="00EF608E"/>
    <w:rsid w:val="00EF6C4A"/>
    <w:rsid w:val="00F000D0"/>
    <w:rsid w:val="00F0044B"/>
    <w:rsid w:val="00F029DA"/>
    <w:rsid w:val="00F03525"/>
    <w:rsid w:val="00F0424D"/>
    <w:rsid w:val="00F04957"/>
    <w:rsid w:val="00F05807"/>
    <w:rsid w:val="00F06451"/>
    <w:rsid w:val="00F07052"/>
    <w:rsid w:val="00F0706C"/>
    <w:rsid w:val="00F10E2D"/>
    <w:rsid w:val="00F1119D"/>
    <w:rsid w:val="00F11EBE"/>
    <w:rsid w:val="00F12293"/>
    <w:rsid w:val="00F12BA8"/>
    <w:rsid w:val="00F130D0"/>
    <w:rsid w:val="00F14933"/>
    <w:rsid w:val="00F1516A"/>
    <w:rsid w:val="00F15EE5"/>
    <w:rsid w:val="00F171F9"/>
    <w:rsid w:val="00F1737C"/>
    <w:rsid w:val="00F17B58"/>
    <w:rsid w:val="00F22A26"/>
    <w:rsid w:val="00F24072"/>
    <w:rsid w:val="00F26432"/>
    <w:rsid w:val="00F305F4"/>
    <w:rsid w:val="00F3197A"/>
    <w:rsid w:val="00F32139"/>
    <w:rsid w:val="00F33082"/>
    <w:rsid w:val="00F33D56"/>
    <w:rsid w:val="00F34E08"/>
    <w:rsid w:val="00F41D91"/>
    <w:rsid w:val="00F41F52"/>
    <w:rsid w:val="00F42363"/>
    <w:rsid w:val="00F427C4"/>
    <w:rsid w:val="00F4290D"/>
    <w:rsid w:val="00F43D6C"/>
    <w:rsid w:val="00F440B3"/>
    <w:rsid w:val="00F45998"/>
    <w:rsid w:val="00F46964"/>
    <w:rsid w:val="00F46F9A"/>
    <w:rsid w:val="00F470FD"/>
    <w:rsid w:val="00F4794E"/>
    <w:rsid w:val="00F50F30"/>
    <w:rsid w:val="00F5126A"/>
    <w:rsid w:val="00F5126E"/>
    <w:rsid w:val="00F516EF"/>
    <w:rsid w:val="00F51755"/>
    <w:rsid w:val="00F53877"/>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1ED2"/>
    <w:rsid w:val="00F82981"/>
    <w:rsid w:val="00F8311F"/>
    <w:rsid w:val="00F83248"/>
    <w:rsid w:val="00F83376"/>
    <w:rsid w:val="00F853AE"/>
    <w:rsid w:val="00F85BAC"/>
    <w:rsid w:val="00F908D5"/>
    <w:rsid w:val="00F913B9"/>
    <w:rsid w:val="00F93BDE"/>
    <w:rsid w:val="00F93C74"/>
    <w:rsid w:val="00F93DCC"/>
    <w:rsid w:val="00F9435D"/>
    <w:rsid w:val="00F966F9"/>
    <w:rsid w:val="00F96F61"/>
    <w:rsid w:val="00F97740"/>
    <w:rsid w:val="00FA0C8F"/>
    <w:rsid w:val="00FA24E0"/>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80C"/>
    <w:rsid w:val="00FB593A"/>
    <w:rsid w:val="00FB6410"/>
    <w:rsid w:val="00FB6E82"/>
    <w:rsid w:val="00FB6F42"/>
    <w:rsid w:val="00FB792E"/>
    <w:rsid w:val="00FB7CF0"/>
    <w:rsid w:val="00FC0042"/>
    <w:rsid w:val="00FC0482"/>
    <w:rsid w:val="00FC1E67"/>
    <w:rsid w:val="00FC2A13"/>
    <w:rsid w:val="00FC2EF2"/>
    <w:rsid w:val="00FC4284"/>
    <w:rsid w:val="00FC4576"/>
    <w:rsid w:val="00FC5FF5"/>
    <w:rsid w:val="00FC6285"/>
    <w:rsid w:val="00FC78FB"/>
    <w:rsid w:val="00FC7DBC"/>
    <w:rsid w:val="00FD076A"/>
    <w:rsid w:val="00FD0AA0"/>
    <w:rsid w:val="00FD1D5A"/>
    <w:rsid w:val="00FD3491"/>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22540511">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374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11BE-93C7-47E1-81BE-B649155D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2011-12-05T15:20:00Z</cp:lastPrinted>
  <dcterms:created xsi:type="dcterms:W3CDTF">2012-05-08T14:17:00Z</dcterms:created>
  <dcterms:modified xsi:type="dcterms:W3CDTF">2012-05-08T14:17:00Z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