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A74DCE" w:rsidRPr="00A74DCE" w:rsidRDefault="00A74DCE" w:rsidP="00A74DCE">
      <w:pPr>
        <w:tabs>
          <w:tab w:val="left" w:pos="288"/>
          <w:tab w:val="left" w:pos="4752"/>
        </w:tabs>
        <w:spacing w:line="240" w:lineRule="exact"/>
        <w:jc w:val="both"/>
        <w:rPr>
          <w:rFonts w:asciiTheme="minorHAnsi" w:hAnsiTheme="minorHAnsi"/>
          <w:caps/>
          <w:color w:val="auto"/>
        </w:rPr>
      </w:pPr>
      <w:r w:rsidRPr="00A74DCE">
        <w:rPr>
          <w:rFonts w:asciiTheme="minorHAnsi" w:hAnsiTheme="minorHAnsi"/>
          <w:caps/>
          <w:color w:val="auto"/>
        </w:rPr>
        <w:t xml:space="preserve">NAME: </w:t>
      </w:r>
      <w:r w:rsidR="00152FAE">
        <w:rPr>
          <w:rFonts w:asciiTheme="minorHAnsi" w:hAnsiTheme="minorHAnsi"/>
          <w:caps/>
          <w:color w:val="auto"/>
        </w:rPr>
        <w:t>XxXXXX</w:t>
      </w:r>
      <w:r w:rsidRPr="00A74DCE">
        <w:rPr>
          <w:rFonts w:asciiTheme="minorHAnsi" w:hAnsiTheme="minorHAnsi"/>
          <w:caps/>
          <w:color w:val="auto"/>
        </w:rPr>
        <w:t xml:space="preserve">                </w:t>
      </w:r>
      <w:r w:rsidRPr="00A74DCE">
        <w:rPr>
          <w:rFonts w:asciiTheme="minorHAnsi" w:hAnsiTheme="minorHAnsi"/>
          <w:caps/>
          <w:color w:val="auto"/>
        </w:rPr>
        <w:tab/>
      </w:r>
      <w:r w:rsidRPr="00A74DCE">
        <w:rPr>
          <w:rFonts w:asciiTheme="minorHAnsi" w:hAnsiTheme="minorHAnsi"/>
          <w:caps/>
          <w:color w:val="auto"/>
        </w:rPr>
        <w:tab/>
        <w:t xml:space="preserve">BRANCH OF SERVICE: MARINE CORPS </w:t>
      </w:r>
    </w:p>
    <w:p w:rsidR="00A74DCE" w:rsidRPr="00A74DCE" w:rsidRDefault="00A74DCE" w:rsidP="00A74DCE">
      <w:pPr>
        <w:tabs>
          <w:tab w:val="left" w:pos="288"/>
          <w:tab w:val="left" w:pos="4752"/>
        </w:tabs>
        <w:spacing w:line="240" w:lineRule="exact"/>
        <w:jc w:val="both"/>
        <w:rPr>
          <w:rFonts w:asciiTheme="minorHAnsi" w:hAnsiTheme="minorHAnsi"/>
          <w:caps/>
          <w:color w:val="auto"/>
        </w:rPr>
      </w:pPr>
      <w:r w:rsidRPr="00A74DCE">
        <w:rPr>
          <w:rFonts w:asciiTheme="minorHAnsi" w:hAnsiTheme="minorHAnsi"/>
          <w:caps/>
          <w:color w:val="auto"/>
        </w:rPr>
        <w:t>CASE NUMBER:  PD1000254</w:t>
      </w:r>
      <w:r w:rsidRPr="00A74DCE">
        <w:rPr>
          <w:rFonts w:asciiTheme="minorHAnsi" w:hAnsiTheme="minorHAnsi"/>
          <w:caps/>
          <w:color w:val="auto"/>
        </w:rPr>
        <w:tab/>
      </w:r>
      <w:r w:rsidRPr="00A74DCE">
        <w:rPr>
          <w:rFonts w:asciiTheme="minorHAnsi" w:hAnsiTheme="minorHAnsi"/>
          <w:caps/>
          <w:color w:val="auto"/>
        </w:rPr>
        <w:tab/>
        <w:t>SEPARATION DATE: 20070515</w:t>
      </w:r>
    </w:p>
    <w:p w:rsidR="00A74DCE" w:rsidRDefault="00A74DCE" w:rsidP="00154744">
      <w:pPr>
        <w:tabs>
          <w:tab w:val="left" w:pos="288"/>
          <w:tab w:val="left" w:pos="4752"/>
        </w:tabs>
        <w:spacing w:line="240" w:lineRule="exact"/>
        <w:jc w:val="both"/>
        <w:rPr>
          <w:rFonts w:asciiTheme="minorHAnsi" w:hAnsiTheme="minorHAnsi"/>
          <w:caps/>
          <w:color w:val="auto"/>
        </w:rPr>
      </w:pPr>
      <w:r w:rsidRPr="00A74DCE">
        <w:rPr>
          <w:rFonts w:asciiTheme="minorHAnsi" w:hAnsiTheme="minorHAnsi"/>
          <w:caps/>
          <w:color w:val="auto"/>
        </w:rPr>
        <w:t xml:space="preserve">BOARD DATE: </w:t>
      </w:r>
      <w:r w:rsidRPr="003522F9">
        <w:rPr>
          <w:rFonts w:asciiTheme="minorHAnsi" w:hAnsiTheme="minorHAnsi"/>
          <w:caps/>
          <w:color w:val="auto"/>
        </w:rPr>
        <w:t>2011</w:t>
      </w:r>
      <w:r w:rsidR="003522F9" w:rsidRPr="003522F9">
        <w:rPr>
          <w:rFonts w:asciiTheme="minorHAnsi" w:hAnsiTheme="minorHAnsi"/>
          <w:caps/>
          <w:color w:val="auto"/>
        </w:rPr>
        <w:t>0309</w:t>
      </w:r>
      <w:r w:rsidRPr="00A74DCE">
        <w:rPr>
          <w:rFonts w:asciiTheme="minorHAnsi" w:hAnsiTheme="minorHAnsi"/>
          <w:caps/>
          <w:color w:val="auto"/>
        </w:rPr>
        <w:tab/>
      </w:r>
      <w:r w:rsidRPr="00A74DCE">
        <w:rPr>
          <w:rFonts w:asciiTheme="minorHAnsi" w:hAnsiTheme="minorHAnsi"/>
          <w:caps/>
          <w:color w:val="auto"/>
        </w:rPr>
        <w:tab/>
      </w:r>
    </w:p>
    <w:p w:rsidR="00540BEF" w:rsidRPr="00D571C5" w:rsidRDefault="002E289F" w:rsidP="00A74DCE">
      <w:pPr>
        <w:tabs>
          <w:tab w:val="left" w:pos="288"/>
          <w:tab w:val="left" w:pos="4752"/>
        </w:tabs>
        <w:spacing w:line="240" w:lineRule="exact"/>
        <w:rPr>
          <w:rFonts w:asciiTheme="minorHAnsi" w:hAnsiTheme="minorHAnsi"/>
          <w:b/>
          <w:caps/>
          <w:color w:val="auto"/>
          <w:u w:val="single"/>
        </w:rPr>
      </w:pPr>
      <w:r w:rsidRPr="00D571C5">
        <w:rPr>
          <w:rFonts w:asciiTheme="minorHAnsi" w:hAnsiTheme="minorHAnsi"/>
          <w:b/>
          <w:color w:val="auto"/>
          <w:u w:val="single"/>
        </w:rPr>
        <w:t>___</w:t>
      </w:r>
      <w:r w:rsidR="00540BEF" w:rsidRPr="00D571C5">
        <w:rPr>
          <w:rFonts w:asciiTheme="minorHAnsi" w:hAnsiTheme="minorHAnsi"/>
          <w:b/>
          <w:color w:val="auto"/>
          <w:u w:val="single"/>
        </w:rPr>
        <w:t>______________________________________________________________</w:t>
      </w:r>
      <w:r w:rsidR="00AC713F" w:rsidRPr="00D571C5">
        <w:rPr>
          <w:rFonts w:asciiTheme="minorHAnsi" w:hAnsiTheme="minorHAnsi"/>
          <w:b/>
          <w:color w:val="auto"/>
          <w:u w:val="single"/>
        </w:rPr>
        <w:t>___</w:t>
      </w:r>
      <w:r w:rsidR="00A74DCE" w:rsidRPr="00D571C5">
        <w:rPr>
          <w:rFonts w:asciiTheme="minorHAnsi" w:hAnsiTheme="minorHAnsi"/>
          <w:b/>
          <w:color w:val="auto"/>
          <w:u w:val="single"/>
        </w:rPr>
        <w:t>__</w:t>
      </w:r>
      <w:r w:rsidR="00AC713F" w:rsidRPr="00D571C5">
        <w:rPr>
          <w:rFonts w:asciiTheme="minorHAnsi" w:hAnsiTheme="minorHAnsi"/>
          <w:b/>
          <w:color w:val="auto"/>
          <w:u w:val="single"/>
        </w:rPr>
        <w:t>________</w:t>
      </w:r>
    </w:p>
    <w:p w:rsidR="00B522CD" w:rsidRPr="00D91DA6" w:rsidRDefault="00B522CD" w:rsidP="00AF1668">
      <w:pPr>
        <w:tabs>
          <w:tab w:val="left" w:pos="288"/>
          <w:tab w:val="left" w:pos="4752"/>
        </w:tabs>
        <w:spacing w:line="240" w:lineRule="exact"/>
        <w:rPr>
          <w:color w:val="000080"/>
        </w:rPr>
      </w:pPr>
    </w:p>
    <w:p w:rsidR="005052D4" w:rsidRPr="00AE3316" w:rsidRDefault="00A74DCE" w:rsidP="00D571C5">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Pr>
          <w:rFonts w:ascii="Calibri" w:hAnsi="Calibri"/>
          <w:color w:val="auto"/>
          <w:szCs w:val="24"/>
        </w:rPr>
        <w:t>Data extracted from the available evidence of record reflects that t</w:t>
      </w:r>
      <w:r w:rsidRPr="00A241D4">
        <w:rPr>
          <w:rFonts w:ascii="Calibri" w:hAnsi="Calibri"/>
          <w:color w:val="auto"/>
          <w:szCs w:val="24"/>
        </w:rPr>
        <w:t>his covered individual (CI) was an active duty</w:t>
      </w:r>
      <w:r>
        <w:rPr>
          <w:rFonts w:ascii="Calibri" w:hAnsi="Calibri"/>
          <w:color w:val="auto"/>
          <w:szCs w:val="24"/>
        </w:rPr>
        <w:t xml:space="preserve"> LC</w:t>
      </w:r>
      <w:r w:rsidR="00D571C5">
        <w:rPr>
          <w:rFonts w:ascii="Calibri" w:hAnsi="Calibri"/>
          <w:color w:val="auto"/>
          <w:szCs w:val="24"/>
        </w:rPr>
        <w:t>pl</w:t>
      </w:r>
      <w:r>
        <w:rPr>
          <w:rFonts w:ascii="Calibri" w:hAnsi="Calibri"/>
          <w:color w:val="auto"/>
          <w:szCs w:val="24"/>
        </w:rPr>
        <w:t xml:space="preserve"> </w:t>
      </w:r>
      <w:r w:rsidRPr="00A241D4">
        <w:rPr>
          <w:rFonts w:ascii="Calibri" w:hAnsi="Calibri"/>
          <w:color w:val="auto"/>
          <w:szCs w:val="24"/>
        </w:rPr>
        <w:t>(</w:t>
      </w:r>
      <w:r>
        <w:rPr>
          <w:rFonts w:ascii="Calibri" w:hAnsi="Calibri"/>
          <w:color w:val="auto"/>
          <w:szCs w:val="24"/>
        </w:rPr>
        <w:t>0311</w:t>
      </w:r>
      <w:r w:rsidRPr="00A241D4">
        <w:rPr>
          <w:rFonts w:ascii="Calibri" w:hAnsi="Calibri"/>
          <w:color w:val="auto"/>
          <w:szCs w:val="24"/>
        </w:rPr>
        <w:t xml:space="preserve">, </w:t>
      </w:r>
      <w:r>
        <w:rPr>
          <w:rFonts w:ascii="Calibri" w:hAnsi="Calibri"/>
          <w:color w:val="auto"/>
          <w:szCs w:val="24"/>
        </w:rPr>
        <w:t>Infantry</w:t>
      </w:r>
      <w:r w:rsidRPr="00A241D4">
        <w:rPr>
          <w:rFonts w:ascii="Calibri" w:hAnsi="Calibri"/>
          <w:color w:val="auto"/>
          <w:szCs w:val="24"/>
        </w:rPr>
        <w:t xml:space="preserve">) medically separated from the </w:t>
      </w:r>
      <w:r>
        <w:rPr>
          <w:rFonts w:ascii="Calibri" w:hAnsi="Calibri"/>
          <w:color w:val="auto"/>
          <w:szCs w:val="24"/>
        </w:rPr>
        <w:t>Marine Corps</w:t>
      </w:r>
      <w:r w:rsidRPr="00A241D4">
        <w:rPr>
          <w:rFonts w:ascii="Calibri" w:hAnsi="Calibri"/>
          <w:color w:val="auto"/>
          <w:szCs w:val="24"/>
        </w:rPr>
        <w:t xml:space="preserve"> in </w:t>
      </w:r>
      <w:r w:rsidR="00D571C5">
        <w:rPr>
          <w:rFonts w:ascii="Calibri" w:hAnsi="Calibri"/>
          <w:color w:val="auto"/>
          <w:szCs w:val="24"/>
        </w:rPr>
        <w:t xml:space="preserve">May </w:t>
      </w:r>
      <w:r w:rsidRPr="00A241D4">
        <w:rPr>
          <w:rFonts w:ascii="Calibri" w:hAnsi="Calibri"/>
          <w:color w:val="auto"/>
          <w:szCs w:val="24"/>
        </w:rPr>
        <w:t>200</w:t>
      </w:r>
      <w:r>
        <w:rPr>
          <w:rFonts w:ascii="Calibri" w:hAnsi="Calibri"/>
          <w:color w:val="auto"/>
          <w:szCs w:val="24"/>
        </w:rPr>
        <w:t>7.</w:t>
      </w:r>
      <w:r w:rsidRPr="00A241D4">
        <w:rPr>
          <w:rFonts w:ascii="Calibri" w:hAnsi="Calibri"/>
          <w:color w:val="auto"/>
          <w:szCs w:val="24"/>
        </w:rPr>
        <w:t xml:space="preserve"> </w:t>
      </w:r>
      <w:r>
        <w:rPr>
          <w:rFonts w:ascii="Calibri" w:hAnsi="Calibri"/>
          <w:color w:val="auto"/>
          <w:szCs w:val="24"/>
        </w:rPr>
        <w:t xml:space="preserve"> </w:t>
      </w:r>
      <w:r w:rsidRPr="00A241D4">
        <w:rPr>
          <w:rFonts w:ascii="Calibri" w:hAnsi="Calibri"/>
          <w:color w:val="auto"/>
          <w:szCs w:val="24"/>
        </w:rPr>
        <w:t xml:space="preserve">The medical basis for separation was </w:t>
      </w:r>
      <w:r w:rsidR="008927E9">
        <w:rPr>
          <w:rFonts w:ascii="Calibri" w:hAnsi="Calibri"/>
          <w:color w:val="auto"/>
          <w:szCs w:val="24"/>
        </w:rPr>
        <w:t>p</w:t>
      </w:r>
      <w:r>
        <w:rPr>
          <w:rFonts w:ascii="Calibri" w:hAnsi="Calibri"/>
          <w:color w:val="auto"/>
          <w:szCs w:val="24"/>
        </w:rPr>
        <w:t>ost</w:t>
      </w:r>
      <w:r w:rsidR="00D571C5">
        <w:rPr>
          <w:rFonts w:ascii="Calibri" w:hAnsi="Calibri"/>
          <w:color w:val="auto"/>
          <w:szCs w:val="24"/>
        </w:rPr>
        <w:t>t</w:t>
      </w:r>
      <w:r>
        <w:rPr>
          <w:rFonts w:ascii="Calibri" w:hAnsi="Calibri"/>
          <w:color w:val="auto"/>
          <w:szCs w:val="24"/>
        </w:rPr>
        <w:t xml:space="preserve">raumatic </w:t>
      </w:r>
      <w:r w:rsidR="00D571C5">
        <w:rPr>
          <w:rFonts w:ascii="Calibri" w:hAnsi="Calibri"/>
          <w:color w:val="auto"/>
          <w:szCs w:val="24"/>
        </w:rPr>
        <w:t>s</w:t>
      </w:r>
      <w:r>
        <w:rPr>
          <w:rFonts w:ascii="Calibri" w:hAnsi="Calibri"/>
          <w:color w:val="auto"/>
          <w:szCs w:val="24"/>
        </w:rPr>
        <w:t xml:space="preserve">tress </w:t>
      </w:r>
      <w:r w:rsidR="00D571C5">
        <w:rPr>
          <w:rFonts w:ascii="Calibri" w:hAnsi="Calibri"/>
          <w:color w:val="auto"/>
          <w:szCs w:val="24"/>
        </w:rPr>
        <w:t>d</w:t>
      </w:r>
      <w:r>
        <w:rPr>
          <w:rFonts w:ascii="Calibri" w:hAnsi="Calibri"/>
          <w:color w:val="auto"/>
          <w:szCs w:val="24"/>
        </w:rPr>
        <w:t>isorder (PTSD).  He developed symptoms during two deployments to Iraq.  He did not seek help</w:t>
      </w:r>
      <w:r w:rsidR="00D571C5">
        <w:rPr>
          <w:rFonts w:ascii="Calibri" w:hAnsi="Calibri"/>
          <w:color w:val="auto"/>
          <w:szCs w:val="24"/>
        </w:rPr>
        <w:t xml:space="preserve"> after </w:t>
      </w:r>
      <w:r>
        <w:rPr>
          <w:rFonts w:ascii="Calibri" w:hAnsi="Calibri"/>
          <w:color w:val="auto"/>
          <w:szCs w:val="24"/>
        </w:rPr>
        <w:t>the first deployment, but “self-medicated” with alcohol.  He was returned early from his second deploy</w:t>
      </w:r>
      <w:r w:rsidR="00D571C5">
        <w:rPr>
          <w:rFonts w:ascii="Calibri" w:hAnsi="Calibri"/>
          <w:color w:val="auto"/>
          <w:szCs w:val="24"/>
        </w:rPr>
        <w:t xml:space="preserve">ment for PTSD symptoms.  </w:t>
      </w:r>
      <w:r>
        <w:rPr>
          <w:rFonts w:ascii="Calibri" w:hAnsi="Calibri"/>
          <w:color w:val="auto"/>
          <w:szCs w:val="24"/>
        </w:rPr>
        <w:t xml:space="preserve">Criterion A </w:t>
      </w:r>
      <w:r w:rsidRPr="00C21144">
        <w:rPr>
          <w:rFonts w:ascii="Calibri" w:hAnsi="Calibri"/>
          <w:color w:val="auto"/>
          <w:szCs w:val="24"/>
        </w:rPr>
        <w:t>combat stressors</w:t>
      </w:r>
      <w:r>
        <w:rPr>
          <w:rFonts w:ascii="Calibri" w:hAnsi="Calibri"/>
          <w:color w:val="auto"/>
          <w:szCs w:val="24"/>
        </w:rPr>
        <w:t xml:space="preserve"> including personal wounding</w:t>
      </w:r>
      <w:r w:rsidRPr="00C21144">
        <w:rPr>
          <w:rFonts w:ascii="Calibri" w:hAnsi="Calibri"/>
          <w:color w:val="auto"/>
          <w:szCs w:val="24"/>
        </w:rPr>
        <w:t xml:space="preserve"> were documented and Diagnostic and Statistical Manual of Mental Disorders (DSM IV) criteria for an Axis I diagnosis of PTSD were met.  </w:t>
      </w:r>
      <w:r>
        <w:rPr>
          <w:rFonts w:ascii="Calibri" w:hAnsi="Calibri"/>
          <w:color w:val="auto"/>
          <w:szCs w:val="24"/>
        </w:rPr>
        <w:t xml:space="preserve">He was treated with medication and counseling, but failed to respond adequately to perform within his military occupational specialty and was referred to the Medical Evaluation Board (MEB).  </w:t>
      </w:r>
      <w:r w:rsidRPr="00C21144">
        <w:rPr>
          <w:rFonts w:ascii="Calibri" w:hAnsi="Calibri"/>
          <w:color w:val="auto"/>
          <w:szCs w:val="24"/>
        </w:rPr>
        <w:t xml:space="preserve">PTSD </w:t>
      </w:r>
      <w:r>
        <w:rPr>
          <w:rFonts w:ascii="Calibri" w:hAnsi="Calibri"/>
          <w:color w:val="auto"/>
          <w:szCs w:val="24"/>
        </w:rPr>
        <w:t>was</w:t>
      </w:r>
      <w:r w:rsidRPr="00C21144">
        <w:rPr>
          <w:rFonts w:ascii="Calibri" w:hAnsi="Calibri"/>
          <w:color w:val="auto"/>
          <w:szCs w:val="24"/>
        </w:rPr>
        <w:t xml:space="preserve"> forwarded to the Physical Evaluation Board (PEB) as medically unacceptable.  </w:t>
      </w:r>
      <w:r w:rsidRPr="00861D5C">
        <w:rPr>
          <w:rFonts w:ascii="Calibri" w:hAnsi="Calibri"/>
          <w:color w:val="auto"/>
          <w:szCs w:val="24"/>
        </w:rPr>
        <w:t xml:space="preserve">The PEB adjudicated the </w:t>
      </w:r>
      <w:r>
        <w:rPr>
          <w:rFonts w:ascii="Calibri" w:hAnsi="Calibri"/>
          <w:color w:val="auto"/>
          <w:szCs w:val="24"/>
        </w:rPr>
        <w:t>PTSD</w:t>
      </w:r>
      <w:r w:rsidRPr="00861D5C">
        <w:rPr>
          <w:rFonts w:ascii="Calibri" w:hAnsi="Calibri"/>
          <w:color w:val="auto"/>
          <w:szCs w:val="24"/>
        </w:rPr>
        <w:t xml:space="preserve"> condition as unfitting</w:t>
      </w:r>
      <w:r w:rsidR="00B50A69">
        <w:rPr>
          <w:rFonts w:ascii="Calibri" w:hAnsi="Calibri"/>
          <w:color w:val="auto"/>
          <w:szCs w:val="24"/>
        </w:rPr>
        <w:t xml:space="preserve"> (</w:t>
      </w:r>
      <w:r w:rsidRPr="00861D5C">
        <w:rPr>
          <w:rFonts w:ascii="Calibri" w:hAnsi="Calibri"/>
          <w:color w:val="auto"/>
          <w:szCs w:val="24"/>
        </w:rPr>
        <w:t>rated</w:t>
      </w:r>
      <w:r w:rsidR="005707EE">
        <w:rPr>
          <w:rFonts w:ascii="Calibri" w:hAnsi="Calibri"/>
          <w:color w:val="auto"/>
          <w:szCs w:val="24"/>
        </w:rPr>
        <w:t xml:space="preserve"> </w:t>
      </w:r>
      <w:r>
        <w:rPr>
          <w:rFonts w:ascii="Calibri" w:hAnsi="Calibri"/>
          <w:color w:val="auto"/>
          <w:szCs w:val="24"/>
        </w:rPr>
        <w:t>10</w:t>
      </w:r>
      <w:r w:rsidRPr="00861D5C">
        <w:rPr>
          <w:rFonts w:ascii="Calibri" w:hAnsi="Calibri"/>
          <w:color w:val="auto"/>
          <w:szCs w:val="24"/>
        </w:rPr>
        <w:t>%</w:t>
      </w:r>
      <w:r w:rsidR="00B50A69">
        <w:rPr>
          <w:rFonts w:ascii="Calibri" w:hAnsi="Calibri"/>
          <w:color w:val="auto"/>
          <w:szCs w:val="24"/>
        </w:rPr>
        <w:t>)</w:t>
      </w:r>
      <w:r w:rsidRPr="00861D5C">
        <w:rPr>
          <w:rFonts w:ascii="Calibri" w:hAnsi="Calibri"/>
          <w:color w:val="auto"/>
          <w:szCs w:val="24"/>
        </w:rPr>
        <w:t xml:space="preserve"> with application of DoDI 1332.39</w:t>
      </w:r>
      <w:r w:rsidR="00B50A69">
        <w:rPr>
          <w:rFonts w:ascii="Calibri" w:hAnsi="Calibri"/>
          <w:color w:val="auto"/>
          <w:szCs w:val="24"/>
        </w:rPr>
        <w:t>.  “</w:t>
      </w:r>
      <w:r w:rsidRPr="00C21144">
        <w:rPr>
          <w:rFonts w:ascii="Calibri" w:hAnsi="Calibri"/>
          <w:color w:val="auto"/>
          <w:szCs w:val="24"/>
        </w:rPr>
        <w:t>Status Post IED Blast</w:t>
      </w:r>
      <w:r w:rsidR="00B50A69">
        <w:rPr>
          <w:rFonts w:ascii="Calibri" w:hAnsi="Calibri"/>
          <w:color w:val="auto"/>
          <w:szCs w:val="24"/>
        </w:rPr>
        <w:t>” was added</w:t>
      </w:r>
      <w:r>
        <w:rPr>
          <w:rFonts w:ascii="Calibri" w:hAnsi="Calibri"/>
          <w:color w:val="auto"/>
          <w:szCs w:val="24"/>
        </w:rPr>
        <w:t xml:space="preserve"> as a related Category II condition</w:t>
      </w:r>
      <w:r w:rsidR="001B66A1">
        <w:rPr>
          <w:rFonts w:ascii="Calibri" w:hAnsi="Calibri"/>
          <w:color w:val="auto"/>
          <w:szCs w:val="24"/>
        </w:rPr>
        <w:t xml:space="preserve"> </w:t>
      </w:r>
      <w:r w:rsidR="00A27C51">
        <w:rPr>
          <w:rFonts w:ascii="Calibri" w:hAnsi="Calibri"/>
          <w:color w:val="auto"/>
          <w:szCs w:val="24"/>
        </w:rPr>
        <w:t>(</w:t>
      </w:r>
      <w:r w:rsidR="00B50A69">
        <w:rPr>
          <w:rFonts w:ascii="Calibri" w:hAnsi="Calibri"/>
          <w:color w:val="auto"/>
          <w:szCs w:val="24"/>
        </w:rPr>
        <w:t>a</w:t>
      </w:r>
      <w:r w:rsidR="00A27C51">
        <w:rPr>
          <w:rFonts w:ascii="Calibri" w:hAnsi="Calibri"/>
          <w:color w:val="auto"/>
          <w:szCs w:val="24"/>
        </w:rPr>
        <w:t xml:space="preserve"> condition that contribut</w:t>
      </w:r>
      <w:r w:rsidR="00B50A69">
        <w:rPr>
          <w:rFonts w:ascii="Calibri" w:hAnsi="Calibri"/>
          <w:color w:val="auto"/>
          <w:szCs w:val="24"/>
        </w:rPr>
        <w:t>es</w:t>
      </w:r>
      <w:r w:rsidR="00A27C51">
        <w:rPr>
          <w:rFonts w:ascii="Calibri" w:hAnsi="Calibri"/>
          <w:color w:val="auto"/>
          <w:szCs w:val="24"/>
        </w:rPr>
        <w:t xml:space="preserve"> to the unfitting condition</w:t>
      </w:r>
      <w:r w:rsidR="00B50A69">
        <w:rPr>
          <w:rFonts w:ascii="Calibri" w:hAnsi="Calibri"/>
          <w:color w:val="auto"/>
          <w:szCs w:val="24"/>
        </w:rPr>
        <w:t>)</w:t>
      </w:r>
      <w:r w:rsidRPr="00861D5C">
        <w:rPr>
          <w:rFonts w:ascii="Calibri" w:hAnsi="Calibri"/>
          <w:color w:val="auto"/>
          <w:szCs w:val="24"/>
        </w:rPr>
        <w:t>.</w:t>
      </w:r>
      <w:r w:rsidRPr="00B20624">
        <w:rPr>
          <w:rFonts w:ascii="Calibri" w:hAnsi="Calibri"/>
          <w:color w:val="auto"/>
          <w:szCs w:val="24"/>
        </w:rPr>
        <w:t xml:space="preserve">  </w:t>
      </w:r>
      <w:r w:rsidRPr="00861D5C">
        <w:rPr>
          <w:rFonts w:asciiTheme="minorHAnsi" w:hAnsiTheme="minorHAnsi"/>
          <w:color w:val="auto"/>
        </w:rPr>
        <w:t xml:space="preserve">The CI </w:t>
      </w:r>
      <w:r w:rsidR="00B50A69">
        <w:rPr>
          <w:rFonts w:asciiTheme="minorHAnsi" w:hAnsiTheme="minorHAnsi"/>
          <w:color w:val="auto"/>
        </w:rPr>
        <w:t>accepted the PEB findings</w:t>
      </w:r>
      <w:r w:rsidRPr="005F46C5">
        <w:rPr>
          <w:rFonts w:asciiTheme="minorHAnsi" w:hAnsiTheme="minorHAnsi"/>
          <w:color w:val="auto"/>
        </w:rPr>
        <w:t>, and</w:t>
      </w:r>
      <w:r w:rsidRPr="00861D5C">
        <w:rPr>
          <w:rFonts w:asciiTheme="minorHAnsi" w:hAnsiTheme="minorHAnsi"/>
          <w:color w:val="auto"/>
        </w:rPr>
        <w:t xml:space="preserve"> was medically separated with a </w:t>
      </w:r>
      <w:r>
        <w:rPr>
          <w:rFonts w:asciiTheme="minorHAnsi" w:hAnsiTheme="minorHAnsi"/>
          <w:color w:val="auto"/>
        </w:rPr>
        <w:t>10</w:t>
      </w:r>
      <w:r w:rsidRPr="00861D5C">
        <w:rPr>
          <w:rFonts w:asciiTheme="minorHAnsi" w:hAnsiTheme="minorHAnsi"/>
          <w:color w:val="auto"/>
        </w:rPr>
        <w:t>% disability rating.</w:t>
      </w:r>
      <w:r w:rsidR="005052D4" w:rsidRPr="00861D5C">
        <w:rPr>
          <w:rFonts w:asciiTheme="minorHAnsi" w:hAnsiTheme="minorHAnsi"/>
          <w:color w:val="auto"/>
        </w:rPr>
        <w:t xml:space="preserve"> </w:t>
      </w:r>
    </w:p>
    <w:p w:rsidR="005052D4" w:rsidRDefault="005052D4" w:rsidP="005052D4">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AC713F" w:rsidRDefault="0085089F" w:rsidP="00190E48">
      <w:pPr>
        <w:tabs>
          <w:tab w:val="left" w:pos="288"/>
          <w:tab w:val="left" w:pos="4752"/>
        </w:tabs>
        <w:spacing w:line="240" w:lineRule="exact"/>
        <w:jc w:val="both"/>
        <w:rPr>
          <w:rFonts w:asciiTheme="minorHAnsi" w:hAnsiTheme="minorHAnsi"/>
          <w:color w:val="auto"/>
          <w:u w:val="single"/>
        </w:rPr>
      </w:pPr>
    </w:p>
    <w:p w:rsidR="00BD6297" w:rsidRDefault="00A74DCE" w:rsidP="00D571C5">
      <w:pPr>
        <w:tabs>
          <w:tab w:val="left" w:pos="288"/>
          <w:tab w:val="left" w:pos="4752"/>
        </w:tabs>
        <w:spacing w:line="240" w:lineRule="exact"/>
        <w:jc w:val="both"/>
        <w:rPr>
          <w:rFonts w:ascii="Calibri" w:hAnsi="Calibri"/>
          <w:color w:val="auto"/>
          <w:szCs w:val="24"/>
          <w:highlight w:val="cyan"/>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D11F11">
        <w:rPr>
          <w:rFonts w:ascii="Calibri" w:hAnsi="Calibri"/>
          <w:color w:val="auto"/>
          <w:szCs w:val="24"/>
        </w:rPr>
        <w:t>,</w:t>
      </w:r>
      <w:r>
        <w:rPr>
          <w:rFonts w:ascii="Calibri" w:hAnsi="Calibri"/>
          <w:color w:val="auto"/>
          <w:szCs w:val="24"/>
        </w:rPr>
        <w:t xml:space="preserve"> </w:t>
      </w:r>
      <w:r w:rsidRPr="005F46C5">
        <w:rPr>
          <w:rFonts w:ascii="Calibri" w:hAnsi="Calibri"/>
          <w:color w:val="auto"/>
          <w:szCs w:val="24"/>
        </w:rPr>
        <w:t>“I was assigned less than 50% disability rating by the military for my unfitting PTSD upon discharge from active duty. The PDBR should assign the highest final disability rating applicable consistent with 38 CFR</w:t>
      </w:r>
      <w:r w:rsidR="00B50A69">
        <w:rPr>
          <w:rFonts w:ascii="Calibri" w:hAnsi="Calibri"/>
          <w:color w:val="auto"/>
          <w:szCs w:val="24"/>
        </w:rPr>
        <w:t xml:space="preserve"> </w:t>
      </w:r>
      <w:r w:rsidRPr="005F46C5">
        <w:rPr>
          <w:rFonts w:ascii="Calibri" w:hAnsi="Calibri"/>
          <w:color w:val="auto"/>
          <w:szCs w:val="24"/>
        </w:rPr>
        <w:t xml:space="preserve">4.I29 and DOD policy (continuation) Please see attached list of contentions regarding why the PDBR should make the changes </w:t>
      </w:r>
      <w:r w:rsidR="00B50A69">
        <w:rPr>
          <w:rFonts w:ascii="Calibri" w:hAnsi="Calibri"/>
          <w:color w:val="auto"/>
          <w:szCs w:val="24"/>
        </w:rPr>
        <w:t xml:space="preserve">I </w:t>
      </w:r>
      <w:r w:rsidRPr="005F46C5">
        <w:rPr>
          <w:rFonts w:ascii="Calibri" w:hAnsi="Calibri"/>
          <w:color w:val="auto"/>
          <w:szCs w:val="24"/>
        </w:rPr>
        <w:t>request in Item 3.”</w:t>
      </w:r>
      <w:r>
        <w:rPr>
          <w:rFonts w:ascii="Calibri" w:hAnsi="Calibri"/>
          <w:color w:val="auto"/>
          <w:szCs w:val="24"/>
        </w:rPr>
        <w:t xml:space="preserve">  He requests that the Traumatic Brain Injury (TBI) condition for which he was found ‘fit’ by the military be changed to </w:t>
      </w:r>
      <w:r w:rsidR="008F389D">
        <w:rPr>
          <w:rFonts w:ascii="Calibri" w:hAnsi="Calibri"/>
          <w:color w:val="auto"/>
          <w:szCs w:val="24"/>
        </w:rPr>
        <w:t>“</w:t>
      </w:r>
      <w:r>
        <w:rPr>
          <w:rFonts w:ascii="Calibri" w:hAnsi="Calibri"/>
          <w:color w:val="auto"/>
          <w:szCs w:val="24"/>
        </w:rPr>
        <w:t>unfitting</w:t>
      </w:r>
      <w:r w:rsidR="008F389D">
        <w:rPr>
          <w:rFonts w:ascii="Calibri" w:hAnsi="Calibri"/>
          <w:color w:val="auto"/>
          <w:szCs w:val="24"/>
        </w:rPr>
        <w:t>”</w:t>
      </w:r>
      <w:r>
        <w:rPr>
          <w:rFonts w:ascii="Calibri" w:hAnsi="Calibri"/>
          <w:color w:val="auto"/>
          <w:szCs w:val="24"/>
        </w:rPr>
        <w:t xml:space="preserve"> and assigned the highest possible rating.  </w:t>
      </w:r>
      <w:r w:rsidRPr="005F46C5">
        <w:rPr>
          <w:rFonts w:ascii="Calibri" w:hAnsi="Calibri"/>
          <w:color w:val="auto"/>
          <w:szCs w:val="24"/>
        </w:rPr>
        <w:t>He additionally lists his VA conditions and ratings as per the chart below.  A contention for their inclusion in the separation rating is therefore implied.</w:t>
      </w:r>
      <w:r>
        <w:rPr>
          <w:rFonts w:ascii="Calibri" w:hAnsi="Calibri"/>
          <w:color w:val="auto"/>
          <w:szCs w:val="24"/>
        </w:rPr>
        <w:t xml:space="preserve">  </w:t>
      </w:r>
      <w:r w:rsidRPr="005F46C5">
        <w:rPr>
          <w:rFonts w:ascii="Calibri" w:hAnsi="Calibri"/>
          <w:color w:val="auto"/>
          <w:szCs w:val="24"/>
        </w:rPr>
        <w:t xml:space="preserve">This case is court remanded under the </w:t>
      </w:r>
      <w:r w:rsidRPr="00B50A69">
        <w:rPr>
          <w:rFonts w:ascii="Calibri" w:hAnsi="Calibri"/>
          <w:i/>
          <w:color w:val="auto"/>
          <w:szCs w:val="24"/>
        </w:rPr>
        <w:t xml:space="preserve">Sabo et al v. </w:t>
      </w:r>
      <w:r w:rsidR="00B50A69" w:rsidRPr="00B50A69">
        <w:rPr>
          <w:rFonts w:ascii="Calibri" w:hAnsi="Calibri"/>
          <w:i/>
          <w:color w:val="auto"/>
          <w:szCs w:val="24"/>
        </w:rPr>
        <w:t>United States</w:t>
      </w:r>
      <w:r w:rsidR="00B50A69">
        <w:rPr>
          <w:rFonts w:ascii="Calibri" w:hAnsi="Calibri"/>
          <w:color w:val="auto"/>
          <w:szCs w:val="24"/>
        </w:rPr>
        <w:t xml:space="preserve"> class action suit</w:t>
      </w:r>
      <w:r w:rsidR="008F389D">
        <w:rPr>
          <w:rFonts w:ascii="Calibri" w:hAnsi="Calibri"/>
          <w:color w:val="auto"/>
          <w:szCs w:val="24"/>
        </w:rPr>
        <w:t>.</w:t>
      </w:r>
    </w:p>
    <w:p w:rsidR="002E289F" w:rsidRPr="00D571C5" w:rsidRDefault="002E289F" w:rsidP="002E289F">
      <w:pPr>
        <w:tabs>
          <w:tab w:val="left" w:pos="288"/>
          <w:tab w:val="left" w:pos="4752"/>
        </w:tabs>
        <w:spacing w:line="240" w:lineRule="exact"/>
        <w:jc w:val="both"/>
        <w:rPr>
          <w:rFonts w:asciiTheme="minorHAnsi" w:hAnsiTheme="minorHAnsi"/>
          <w:b/>
          <w:caps/>
          <w:color w:val="auto"/>
          <w:u w:val="single"/>
        </w:rPr>
      </w:pPr>
      <w:r w:rsidRPr="00D571C5">
        <w:rPr>
          <w:rFonts w:asciiTheme="minorHAnsi" w:hAnsiTheme="minorHAnsi"/>
          <w:b/>
          <w:color w:val="auto"/>
          <w:u w:val="single"/>
        </w:rPr>
        <w:t>__</w:t>
      </w:r>
      <w:r w:rsidRPr="00D571C5">
        <w:rPr>
          <w:rFonts w:asciiTheme="minorHAnsi" w:hAnsiTheme="minorHAnsi"/>
          <w:b/>
          <w:color w:val="auto"/>
          <w:u w:val="single"/>
        </w:rPr>
        <w:softHyphen/>
        <w:t>____________________________________________________________________________</w:t>
      </w:r>
    </w:p>
    <w:p w:rsidR="006544AF" w:rsidRDefault="006544AF"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5"/>
        <w:gridCol w:w="720"/>
        <w:gridCol w:w="1080"/>
        <w:gridCol w:w="2880"/>
        <w:gridCol w:w="1080"/>
        <w:gridCol w:w="675"/>
        <w:gridCol w:w="990"/>
      </w:tblGrid>
      <w:tr w:rsidR="00523D42" w:rsidRPr="00523D42" w:rsidTr="00A35315">
        <w:trPr>
          <w:trHeight w:val="233"/>
          <w:jc w:val="center"/>
        </w:trPr>
        <w:tc>
          <w:tcPr>
            <w:tcW w:w="3645" w:type="dxa"/>
            <w:gridSpan w:val="3"/>
            <w:tcBorders>
              <w:right w:val="thinThickThinSmallGap" w:sz="24" w:space="0" w:color="auto"/>
            </w:tcBorders>
            <w:shd w:val="clear" w:color="auto" w:fill="D9D9D9"/>
            <w:vAlign w:val="center"/>
          </w:tcPr>
          <w:p w:rsidR="00523D42" w:rsidRPr="00523D42" w:rsidRDefault="00523D42" w:rsidP="00B13667">
            <w:pPr>
              <w:spacing w:line="200" w:lineRule="exact"/>
              <w:contextualSpacing/>
              <w:jc w:val="center"/>
              <w:rPr>
                <w:rFonts w:ascii="Calibri" w:eastAsia="Calibri" w:hAnsi="Calibri"/>
                <w:b/>
                <w:color w:val="auto"/>
                <w:sz w:val="20"/>
              </w:rPr>
            </w:pPr>
            <w:r w:rsidRPr="00523D42">
              <w:rPr>
                <w:rFonts w:ascii="Calibri" w:eastAsia="Calibri" w:hAnsi="Calibri"/>
                <w:b/>
                <w:color w:val="auto"/>
                <w:sz w:val="20"/>
              </w:rPr>
              <w:t>Service IPEB – Dated 20070323</w:t>
            </w:r>
          </w:p>
        </w:tc>
        <w:tc>
          <w:tcPr>
            <w:tcW w:w="5625" w:type="dxa"/>
            <w:gridSpan w:val="4"/>
            <w:tcBorders>
              <w:left w:val="thinThickThinSmallGap" w:sz="24" w:space="0" w:color="auto"/>
            </w:tcBorders>
            <w:shd w:val="clear" w:color="auto" w:fill="D9D9D9"/>
            <w:vAlign w:val="center"/>
          </w:tcPr>
          <w:p w:rsidR="00523D42" w:rsidRPr="00523D42" w:rsidRDefault="00523D42" w:rsidP="00B13667">
            <w:pPr>
              <w:spacing w:line="200" w:lineRule="exact"/>
              <w:contextualSpacing/>
              <w:jc w:val="center"/>
              <w:rPr>
                <w:rFonts w:ascii="Calibri" w:eastAsia="Calibri" w:hAnsi="Calibri"/>
                <w:b/>
                <w:color w:val="auto"/>
                <w:sz w:val="20"/>
              </w:rPr>
            </w:pPr>
            <w:r w:rsidRPr="00523D42">
              <w:rPr>
                <w:rFonts w:ascii="Calibri" w:eastAsia="Calibri" w:hAnsi="Calibri"/>
                <w:b/>
                <w:color w:val="auto"/>
                <w:sz w:val="20"/>
              </w:rPr>
              <w:t xml:space="preserve">VA (2 </w:t>
            </w:r>
            <w:r w:rsidR="00C423C3">
              <w:rPr>
                <w:rFonts w:ascii="Calibri" w:eastAsia="Calibri" w:hAnsi="Calibri"/>
                <w:b/>
                <w:color w:val="auto"/>
                <w:sz w:val="20"/>
              </w:rPr>
              <w:t>m</w:t>
            </w:r>
            <w:r w:rsidRPr="00523D42">
              <w:rPr>
                <w:rFonts w:ascii="Calibri" w:eastAsia="Calibri" w:hAnsi="Calibri"/>
                <w:b/>
                <w:color w:val="auto"/>
                <w:sz w:val="20"/>
              </w:rPr>
              <w:t>o. after Separation) – All Effective 20070</w:t>
            </w:r>
            <w:r w:rsidR="00C423C3">
              <w:rPr>
                <w:rFonts w:ascii="Calibri" w:eastAsia="Calibri" w:hAnsi="Calibri"/>
                <w:b/>
                <w:color w:val="auto"/>
                <w:sz w:val="20"/>
              </w:rPr>
              <w:t>51</w:t>
            </w:r>
            <w:r w:rsidRPr="00523D42">
              <w:rPr>
                <w:rFonts w:ascii="Calibri" w:eastAsia="Calibri" w:hAnsi="Calibri"/>
                <w:b/>
                <w:color w:val="auto"/>
                <w:sz w:val="20"/>
              </w:rPr>
              <w:t>6</w:t>
            </w:r>
          </w:p>
        </w:tc>
      </w:tr>
      <w:tr w:rsidR="00523D42" w:rsidRPr="00523D42" w:rsidTr="00A35315">
        <w:trPr>
          <w:trHeight w:val="233"/>
          <w:jc w:val="center"/>
        </w:trPr>
        <w:tc>
          <w:tcPr>
            <w:tcW w:w="1845" w:type="dxa"/>
            <w:tcBorders>
              <w:bottom w:val="single" w:sz="4" w:space="0" w:color="000000"/>
            </w:tcBorders>
            <w:shd w:val="clear" w:color="auto" w:fill="D9D9D9"/>
            <w:vAlign w:val="center"/>
          </w:tcPr>
          <w:p w:rsidR="00523D42" w:rsidRPr="00523D42" w:rsidRDefault="00523D42" w:rsidP="00B13667">
            <w:pPr>
              <w:spacing w:line="200" w:lineRule="exact"/>
              <w:contextualSpacing/>
              <w:jc w:val="center"/>
              <w:rPr>
                <w:rFonts w:ascii="Calibri" w:eastAsia="Calibri" w:hAnsi="Calibri"/>
                <w:b/>
                <w:color w:val="auto"/>
                <w:sz w:val="20"/>
              </w:rPr>
            </w:pPr>
            <w:r w:rsidRPr="00523D42">
              <w:rPr>
                <w:rFonts w:ascii="Calibri" w:eastAsia="Calibri" w:hAnsi="Calibri"/>
                <w:b/>
                <w:color w:val="auto"/>
                <w:sz w:val="20"/>
              </w:rPr>
              <w:t>Condition</w:t>
            </w:r>
          </w:p>
        </w:tc>
        <w:tc>
          <w:tcPr>
            <w:tcW w:w="720" w:type="dxa"/>
            <w:tcBorders>
              <w:bottom w:val="single" w:sz="4" w:space="0" w:color="000000"/>
            </w:tcBorders>
            <w:shd w:val="clear" w:color="auto" w:fill="D9D9D9"/>
            <w:vAlign w:val="center"/>
          </w:tcPr>
          <w:p w:rsidR="00523D42" w:rsidRPr="00523D42" w:rsidRDefault="00523D42" w:rsidP="00B13667">
            <w:pPr>
              <w:spacing w:line="200" w:lineRule="exact"/>
              <w:contextualSpacing/>
              <w:jc w:val="center"/>
              <w:rPr>
                <w:rFonts w:ascii="Calibri" w:eastAsia="Calibri" w:hAnsi="Calibri"/>
                <w:b/>
                <w:color w:val="auto"/>
                <w:sz w:val="20"/>
              </w:rPr>
            </w:pPr>
            <w:r w:rsidRPr="00523D42">
              <w:rPr>
                <w:rFonts w:ascii="Calibri" w:eastAsia="Calibri" w:hAnsi="Calibri"/>
                <w:b/>
                <w:color w:val="auto"/>
                <w:sz w:val="20"/>
              </w:rPr>
              <w:t>Code</w:t>
            </w:r>
          </w:p>
        </w:tc>
        <w:tc>
          <w:tcPr>
            <w:tcW w:w="1080" w:type="dxa"/>
            <w:tcBorders>
              <w:bottom w:val="single" w:sz="4" w:space="0" w:color="000000"/>
              <w:right w:val="thinThickThinSmallGap" w:sz="24" w:space="0" w:color="auto"/>
            </w:tcBorders>
            <w:shd w:val="clear" w:color="auto" w:fill="D9D9D9"/>
            <w:vAlign w:val="center"/>
          </w:tcPr>
          <w:p w:rsidR="00523D42" w:rsidRPr="00523D42" w:rsidRDefault="00523D42" w:rsidP="00B13667">
            <w:pPr>
              <w:spacing w:line="200" w:lineRule="exact"/>
              <w:contextualSpacing/>
              <w:jc w:val="center"/>
              <w:rPr>
                <w:rFonts w:ascii="Calibri" w:eastAsia="Calibri" w:hAnsi="Calibri"/>
                <w:b/>
                <w:color w:val="auto"/>
                <w:sz w:val="20"/>
              </w:rPr>
            </w:pPr>
            <w:r w:rsidRPr="00523D42">
              <w:rPr>
                <w:rFonts w:ascii="Calibri" w:eastAsia="Calibri" w:hAnsi="Calibri"/>
                <w:b/>
                <w:color w:val="auto"/>
                <w:sz w:val="20"/>
              </w:rPr>
              <w:t>Rating</w:t>
            </w:r>
          </w:p>
        </w:tc>
        <w:tc>
          <w:tcPr>
            <w:tcW w:w="2880" w:type="dxa"/>
            <w:tcBorders>
              <w:left w:val="thinThickThinSmallGap" w:sz="24" w:space="0" w:color="auto"/>
              <w:bottom w:val="single" w:sz="4" w:space="0" w:color="000000"/>
            </w:tcBorders>
            <w:shd w:val="clear" w:color="auto" w:fill="D9D9D9"/>
            <w:vAlign w:val="center"/>
          </w:tcPr>
          <w:p w:rsidR="00523D42" w:rsidRPr="00523D42" w:rsidRDefault="00523D42" w:rsidP="00B13667">
            <w:pPr>
              <w:spacing w:line="200" w:lineRule="exact"/>
              <w:contextualSpacing/>
              <w:jc w:val="center"/>
              <w:rPr>
                <w:rFonts w:ascii="Calibri" w:eastAsia="Calibri" w:hAnsi="Calibri"/>
                <w:b/>
                <w:color w:val="auto"/>
                <w:sz w:val="20"/>
              </w:rPr>
            </w:pPr>
            <w:r w:rsidRPr="00523D42">
              <w:rPr>
                <w:rFonts w:ascii="Calibri" w:eastAsia="Calibri" w:hAnsi="Calibri"/>
                <w:b/>
                <w:color w:val="auto"/>
                <w:sz w:val="20"/>
              </w:rPr>
              <w:t>Condition</w:t>
            </w:r>
          </w:p>
        </w:tc>
        <w:tc>
          <w:tcPr>
            <w:tcW w:w="1080" w:type="dxa"/>
            <w:tcBorders>
              <w:bottom w:val="single" w:sz="4" w:space="0" w:color="000000"/>
            </w:tcBorders>
            <w:shd w:val="clear" w:color="auto" w:fill="D9D9D9"/>
            <w:vAlign w:val="center"/>
          </w:tcPr>
          <w:p w:rsidR="00523D42" w:rsidRPr="00523D42" w:rsidRDefault="00523D42" w:rsidP="00B13667">
            <w:pPr>
              <w:spacing w:line="200" w:lineRule="exact"/>
              <w:contextualSpacing/>
              <w:jc w:val="center"/>
              <w:rPr>
                <w:rFonts w:ascii="Calibri" w:eastAsia="Calibri" w:hAnsi="Calibri"/>
                <w:b/>
                <w:color w:val="auto"/>
                <w:sz w:val="20"/>
              </w:rPr>
            </w:pPr>
            <w:r w:rsidRPr="00523D42">
              <w:rPr>
                <w:rFonts w:ascii="Calibri" w:eastAsia="Calibri" w:hAnsi="Calibri"/>
                <w:b/>
                <w:color w:val="auto"/>
                <w:sz w:val="20"/>
              </w:rPr>
              <w:t>Code</w:t>
            </w:r>
          </w:p>
        </w:tc>
        <w:tc>
          <w:tcPr>
            <w:tcW w:w="675" w:type="dxa"/>
            <w:tcBorders>
              <w:bottom w:val="single" w:sz="4" w:space="0" w:color="000000"/>
            </w:tcBorders>
            <w:shd w:val="clear" w:color="auto" w:fill="D9D9D9"/>
            <w:vAlign w:val="center"/>
          </w:tcPr>
          <w:p w:rsidR="00523D42" w:rsidRPr="00523D42" w:rsidRDefault="00523D42" w:rsidP="00B13667">
            <w:pPr>
              <w:spacing w:line="200" w:lineRule="exact"/>
              <w:contextualSpacing/>
              <w:jc w:val="center"/>
              <w:rPr>
                <w:rFonts w:ascii="Calibri" w:eastAsia="Calibri" w:hAnsi="Calibri"/>
                <w:b/>
                <w:color w:val="auto"/>
                <w:sz w:val="20"/>
              </w:rPr>
            </w:pPr>
            <w:r w:rsidRPr="00523D42">
              <w:rPr>
                <w:rFonts w:ascii="Calibri" w:eastAsia="Calibri" w:hAnsi="Calibri"/>
                <w:b/>
                <w:color w:val="auto"/>
                <w:sz w:val="20"/>
              </w:rPr>
              <w:t>Rating</w:t>
            </w:r>
          </w:p>
        </w:tc>
        <w:tc>
          <w:tcPr>
            <w:tcW w:w="990" w:type="dxa"/>
            <w:tcBorders>
              <w:bottom w:val="single" w:sz="4" w:space="0" w:color="000000"/>
            </w:tcBorders>
            <w:shd w:val="clear" w:color="auto" w:fill="D9D9D9"/>
            <w:vAlign w:val="center"/>
          </w:tcPr>
          <w:p w:rsidR="00523D42" w:rsidRPr="00523D42" w:rsidRDefault="00523D42" w:rsidP="00B13667">
            <w:pPr>
              <w:spacing w:line="200" w:lineRule="exact"/>
              <w:contextualSpacing/>
              <w:jc w:val="center"/>
              <w:rPr>
                <w:rFonts w:ascii="Calibri" w:eastAsia="Calibri" w:hAnsi="Calibri"/>
                <w:b/>
                <w:color w:val="auto"/>
                <w:sz w:val="20"/>
              </w:rPr>
            </w:pPr>
            <w:r w:rsidRPr="00523D42">
              <w:rPr>
                <w:rFonts w:ascii="Calibri" w:eastAsia="Calibri" w:hAnsi="Calibri"/>
                <w:b/>
                <w:color w:val="auto"/>
                <w:sz w:val="20"/>
              </w:rPr>
              <w:t>Exam</w:t>
            </w:r>
          </w:p>
        </w:tc>
      </w:tr>
      <w:tr w:rsidR="00523D42" w:rsidRPr="00523D42" w:rsidTr="00A35315">
        <w:trPr>
          <w:trHeight w:val="287"/>
          <w:jc w:val="center"/>
        </w:trPr>
        <w:tc>
          <w:tcPr>
            <w:tcW w:w="1845" w:type="dxa"/>
            <w:shd w:val="clear" w:color="auto" w:fill="FFFFFF"/>
            <w:vAlign w:val="center"/>
          </w:tcPr>
          <w:p w:rsidR="00523D42" w:rsidRPr="00523D42" w:rsidRDefault="00523D42" w:rsidP="00B13667">
            <w:pPr>
              <w:spacing w:line="180" w:lineRule="exact"/>
              <w:contextualSpacing/>
              <w:rPr>
                <w:rFonts w:ascii="Calibri" w:eastAsia="Calibri" w:hAnsi="Calibri"/>
                <w:color w:val="auto"/>
                <w:sz w:val="18"/>
                <w:szCs w:val="18"/>
              </w:rPr>
            </w:pPr>
            <w:r w:rsidRPr="00523D42">
              <w:rPr>
                <w:rFonts w:ascii="Calibri" w:eastAsia="Calibri" w:hAnsi="Calibri"/>
                <w:color w:val="auto"/>
                <w:sz w:val="18"/>
                <w:szCs w:val="18"/>
              </w:rPr>
              <w:t>PTSD</w:t>
            </w:r>
          </w:p>
        </w:tc>
        <w:tc>
          <w:tcPr>
            <w:tcW w:w="720" w:type="dxa"/>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9411</w:t>
            </w:r>
          </w:p>
        </w:tc>
        <w:tc>
          <w:tcPr>
            <w:tcW w:w="1080" w:type="dxa"/>
            <w:tcBorders>
              <w:right w:val="thinThickThinSmallGap" w:sz="24" w:space="0" w:color="auto"/>
            </w:tcBorders>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10%</w:t>
            </w:r>
          </w:p>
        </w:tc>
        <w:tc>
          <w:tcPr>
            <w:tcW w:w="2880" w:type="dxa"/>
            <w:tcBorders>
              <w:left w:val="thinThickThinSmallGap" w:sz="24" w:space="0" w:color="auto"/>
            </w:tcBorders>
            <w:shd w:val="clear" w:color="auto" w:fill="FFFFFF"/>
            <w:vAlign w:val="center"/>
          </w:tcPr>
          <w:p w:rsidR="00523D42" w:rsidRPr="00523D42" w:rsidRDefault="00523D42" w:rsidP="00B13667">
            <w:pPr>
              <w:spacing w:line="180" w:lineRule="exact"/>
              <w:contextualSpacing/>
              <w:rPr>
                <w:rFonts w:ascii="Calibri" w:eastAsia="Calibri" w:hAnsi="Calibri"/>
                <w:color w:val="auto"/>
                <w:sz w:val="18"/>
                <w:szCs w:val="18"/>
              </w:rPr>
            </w:pPr>
            <w:r w:rsidRPr="00523D42">
              <w:rPr>
                <w:rFonts w:ascii="Calibri" w:eastAsia="Calibri" w:hAnsi="Calibri"/>
                <w:color w:val="auto"/>
                <w:sz w:val="18"/>
                <w:szCs w:val="18"/>
              </w:rPr>
              <w:t>PTSD</w:t>
            </w:r>
          </w:p>
        </w:tc>
        <w:tc>
          <w:tcPr>
            <w:tcW w:w="1080" w:type="dxa"/>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9411</w:t>
            </w:r>
          </w:p>
        </w:tc>
        <w:tc>
          <w:tcPr>
            <w:tcW w:w="675" w:type="dxa"/>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50%</w:t>
            </w:r>
          </w:p>
        </w:tc>
        <w:tc>
          <w:tcPr>
            <w:tcW w:w="990" w:type="dxa"/>
            <w:shd w:val="clear" w:color="auto" w:fill="FFFFFF"/>
            <w:vAlign w:val="center"/>
          </w:tcPr>
          <w:p w:rsidR="00523D42" w:rsidRPr="00523D42" w:rsidRDefault="00523D42" w:rsidP="00A35315">
            <w:pPr>
              <w:spacing w:line="24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20070706</w:t>
            </w:r>
          </w:p>
        </w:tc>
      </w:tr>
      <w:tr w:rsidR="00523D42" w:rsidRPr="00523D42" w:rsidTr="00A35315">
        <w:trPr>
          <w:trHeight w:val="296"/>
          <w:jc w:val="center"/>
        </w:trPr>
        <w:tc>
          <w:tcPr>
            <w:tcW w:w="1845" w:type="dxa"/>
            <w:tcBorders>
              <w:bottom w:val="single" w:sz="4" w:space="0" w:color="auto"/>
              <w:right w:val="single" w:sz="4" w:space="0" w:color="auto"/>
            </w:tcBorders>
            <w:shd w:val="clear" w:color="auto" w:fill="FFFFFF"/>
            <w:vAlign w:val="center"/>
          </w:tcPr>
          <w:p w:rsidR="00523D42" w:rsidRPr="00523D42" w:rsidRDefault="00523D42" w:rsidP="00B13667">
            <w:pPr>
              <w:spacing w:line="180" w:lineRule="exact"/>
              <w:contextualSpacing/>
              <w:rPr>
                <w:rFonts w:ascii="Calibri" w:eastAsia="Calibri" w:hAnsi="Calibri"/>
                <w:color w:val="auto"/>
                <w:sz w:val="18"/>
                <w:szCs w:val="18"/>
              </w:rPr>
            </w:pPr>
            <w:r w:rsidRPr="00523D42">
              <w:rPr>
                <w:rFonts w:ascii="Calibri" w:eastAsia="Calibri" w:hAnsi="Calibri"/>
                <w:color w:val="auto"/>
                <w:sz w:val="18"/>
                <w:szCs w:val="18"/>
              </w:rPr>
              <w:t>Status Post IED Blast</w:t>
            </w:r>
          </w:p>
        </w:tc>
        <w:tc>
          <w:tcPr>
            <w:tcW w:w="1800" w:type="dxa"/>
            <w:gridSpan w:val="2"/>
            <w:tcBorders>
              <w:left w:val="single" w:sz="4" w:space="0" w:color="auto"/>
              <w:bottom w:val="single" w:sz="4" w:space="0" w:color="auto"/>
              <w:right w:val="thinThickThinSmallGap" w:sz="24" w:space="0" w:color="auto"/>
            </w:tcBorders>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Category II</w:t>
            </w:r>
          </w:p>
        </w:tc>
        <w:tc>
          <w:tcPr>
            <w:tcW w:w="2880" w:type="dxa"/>
            <w:tcBorders>
              <w:left w:val="thinThickThinSmallGap" w:sz="24" w:space="0" w:color="auto"/>
              <w:bottom w:val="single" w:sz="4" w:space="0" w:color="auto"/>
            </w:tcBorders>
            <w:shd w:val="clear" w:color="auto" w:fill="FFFFFF"/>
            <w:vAlign w:val="center"/>
          </w:tcPr>
          <w:p w:rsidR="00523D42" w:rsidRPr="00523D42" w:rsidRDefault="00523D42" w:rsidP="00B13667">
            <w:pPr>
              <w:spacing w:line="180" w:lineRule="exact"/>
              <w:contextualSpacing/>
              <w:rPr>
                <w:rFonts w:ascii="Calibri" w:eastAsia="Calibri" w:hAnsi="Calibri"/>
                <w:color w:val="auto"/>
                <w:sz w:val="18"/>
                <w:szCs w:val="18"/>
              </w:rPr>
            </w:pPr>
            <w:r w:rsidRPr="00523D42">
              <w:rPr>
                <w:rFonts w:ascii="Calibri" w:eastAsia="Calibri" w:hAnsi="Calibri"/>
                <w:color w:val="auto"/>
                <w:sz w:val="18"/>
                <w:szCs w:val="18"/>
              </w:rPr>
              <w:t>Posttraumatic Headaches</w:t>
            </w:r>
          </w:p>
        </w:tc>
        <w:tc>
          <w:tcPr>
            <w:tcW w:w="1080" w:type="dxa"/>
            <w:shd w:val="clear" w:color="auto" w:fill="FFFFFF"/>
            <w:vAlign w:val="center"/>
          </w:tcPr>
          <w:p w:rsidR="00523D42" w:rsidRPr="00523D42" w:rsidRDefault="00523D42" w:rsidP="00B13667">
            <w:pPr>
              <w:spacing w:line="180" w:lineRule="exact"/>
              <w:contextualSpacing/>
              <w:rPr>
                <w:rFonts w:ascii="Calibri" w:eastAsia="Calibri" w:hAnsi="Calibri"/>
                <w:color w:val="auto"/>
                <w:sz w:val="18"/>
                <w:szCs w:val="18"/>
              </w:rPr>
            </w:pPr>
            <w:r w:rsidRPr="00523D42">
              <w:rPr>
                <w:rFonts w:ascii="Calibri" w:eastAsia="Calibri" w:hAnsi="Calibri"/>
                <w:color w:val="auto"/>
                <w:sz w:val="18"/>
                <w:szCs w:val="18"/>
              </w:rPr>
              <w:t>8199-8100</w:t>
            </w:r>
          </w:p>
        </w:tc>
        <w:tc>
          <w:tcPr>
            <w:tcW w:w="675" w:type="dxa"/>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10%*</w:t>
            </w:r>
          </w:p>
        </w:tc>
        <w:tc>
          <w:tcPr>
            <w:tcW w:w="990" w:type="dxa"/>
            <w:shd w:val="clear" w:color="auto" w:fill="FFFFFF"/>
            <w:vAlign w:val="center"/>
          </w:tcPr>
          <w:p w:rsidR="00523D42" w:rsidRPr="00523D42" w:rsidRDefault="00523D42" w:rsidP="00A35315">
            <w:pPr>
              <w:spacing w:line="24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20070726</w:t>
            </w:r>
          </w:p>
        </w:tc>
      </w:tr>
      <w:tr w:rsidR="00523D42" w:rsidRPr="00523D42" w:rsidTr="00A35315">
        <w:trPr>
          <w:trHeight w:val="296"/>
          <w:jc w:val="center"/>
        </w:trPr>
        <w:tc>
          <w:tcPr>
            <w:tcW w:w="3645" w:type="dxa"/>
            <w:gridSpan w:val="3"/>
            <w:vMerge w:val="restart"/>
            <w:tcBorders>
              <w:top w:val="single" w:sz="4" w:space="0" w:color="auto"/>
              <w:right w:val="thinThickThinSmallGap" w:sz="24" w:space="0" w:color="auto"/>
            </w:tcBorders>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highlight w:val="yellow"/>
              </w:rPr>
            </w:pPr>
            <w:r w:rsidRPr="00523D42">
              <w:rPr>
                <w:rFonts w:ascii="Calibri" w:eastAsia="Calibri" w:hAnsi="Calibri"/>
                <w:color w:val="auto"/>
                <w:sz w:val="18"/>
                <w:szCs w:val="18"/>
              </w:rPr>
              <w:t>↓No Additional MEB Entries↓</w:t>
            </w:r>
          </w:p>
        </w:tc>
        <w:tc>
          <w:tcPr>
            <w:tcW w:w="2880" w:type="dxa"/>
            <w:tcBorders>
              <w:left w:val="thinThickThinSmallGap" w:sz="24" w:space="0" w:color="auto"/>
            </w:tcBorders>
            <w:shd w:val="clear" w:color="auto" w:fill="FFFFFF"/>
            <w:vAlign w:val="center"/>
          </w:tcPr>
          <w:p w:rsidR="00523D42" w:rsidRPr="00523D42" w:rsidRDefault="00523D42" w:rsidP="00B13667">
            <w:pPr>
              <w:spacing w:line="180" w:lineRule="exact"/>
              <w:contextualSpacing/>
              <w:rPr>
                <w:rFonts w:ascii="Calibri" w:eastAsia="Calibri" w:hAnsi="Calibri"/>
                <w:color w:val="auto"/>
                <w:sz w:val="18"/>
                <w:szCs w:val="18"/>
              </w:rPr>
            </w:pPr>
            <w:r w:rsidRPr="00523D42">
              <w:rPr>
                <w:rFonts w:ascii="Calibri" w:eastAsia="Calibri" w:hAnsi="Calibri"/>
                <w:color w:val="auto"/>
                <w:sz w:val="18"/>
                <w:szCs w:val="18"/>
              </w:rPr>
              <w:t>Recurrent Lumbosacral Sprain</w:t>
            </w:r>
          </w:p>
        </w:tc>
        <w:tc>
          <w:tcPr>
            <w:tcW w:w="1080" w:type="dxa"/>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5237</w:t>
            </w:r>
          </w:p>
        </w:tc>
        <w:tc>
          <w:tcPr>
            <w:tcW w:w="675" w:type="dxa"/>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10%</w:t>
            </w:r>
          </w:p>
        </w:tc>
        <w:tc>
          <w:tcPr>
            <w:tcW w:w="990" w:type="dxa"/>
            <w:shd w:val="clear" w:color="auto" w:fill="FFFFFF"/>
            <w:vAlign w:val="center"/>
          </w:tcPr>
          <w:p w:rsidR="00523D42" w:rsidRPr="00523D42" w:rsidRDefault="00523D42" w:rsidP="00A35315">
            <w:pPr>
              <w:spacing w:line="24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20070706</w:t>
            </w:r>
          </w:p>
        </w:tc>
      </w:tr>
      <w:tr w:rsidR="00523D42" w:rsidRPr="00523D42" w:rsidTr="00A35315">
        <w:trPr>
          <w:trHeight w:val="296"/>
          <w:jc w:val="center"/>
        </w:trPr>
        <w:tc>
          <w:tcPr>
            <w:tcW w:w="3645" w:type="dxa"/>
            <w:gridSpan w:val="3"/>
            <w:vMerge/>
            <w:tcBorders>
              <w:right w:val="thinThickThinSmallGap" w:sz="24" w:space="0" w:color="auto"/>
            </w:tcBorders>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highlight w:val="yellow"/>
              </w:rPr>
            </w:pPr>
          </w:p>
        </w:tc>
        <w:tc>
          <w:tcPr>
            <w:tcW w:w="2880" w:type="dxa"/>
            <w:tcBorders>
              <w:left w:val="thinThickThinSmallGap" w:sz="24" w:space="0" w:color="auto"/>
            </w:tcBorders>
            <w:shd w:val="clear" w:color="auto" w:fill="FFFFFF"/>
            <w:vAlign w:val="center"/>
          </w:tcPr>
          <w:p w:rsidR="00523D42" w:rsidRPr="00523D42" w:rsidRDefault="00523D42" w:rsidP="00B13667">
            <w:pPr>
              <w:spacing w:line="180" w:lineRule="exact"/>
              <w:contextualSpacing/>
              <w:rPr>
                <w:rFonts w:ascii="Calibri" w:eastAsia="Calibri" w:hAnsi="Calibri"/>
                <w:color w:val="auto"/>
                <w:sz w:val="18"/>
                <w:szCs w:val="18"/>
              </w:rPr>
            </w:pPr>
            <w:r w:rsidRPr="00523D42">
              <w:rPr>
                <w:rFonts w:ascii="Calibri" w:eastAsia="Calibri" w:hAnsi="Calibri"/>
                <w:color w:val="auto"/>
                <w:sz w:val="18"/>
                <w:szCs w:val="18"/>
              </w:rPr>
              <w:t>Recurrent Right Ankle Sprain</w:t>
            </w:r>
          </w:p>
        </w:tc>
        <w:tc>
          <w:tcPr>
            <w:tcW w:w="1080" w:type="dxa"/>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5271</w:t>
            </w:r>
          </w:p>
        </w:tc>
        <w:tc>
          <w:tcPr>
            <w:tcW w:w="675" w:type="dxa"/>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10%</w:t>
            </w:r>
          </w:p>
        </w:tc>
        <w:tc>
          <w:tcPr>
            <w:tcW w:w="990" w:type="dxa"/>
            <w:shd w:val="clear" w:color="auto" w:fill="FFFFFF"/>
            <w:vAlign w:val="center"/>
          </w:tcPr>
          <w:p w:rsidR="00523D42" w:rsidRPr="00523D42" w:rsidRDefault="00523D42" w:rsidP="00A35315">
            <w:pPr>
              <w:spacing w:line="24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20070706</w:t>
            </w:r>
          </w:p>
        </w:tc>
      </w:tr>
      <w:tr w:rsidR="00523D42" w:rsidRPr="00523D42" w:rsidTr="00A35315">
        <w:trPr>
          <w:trHeight w:val="296"/>
          <w:jc w:val="center"/>
        </w:trPr>
        <w:tc>
          <w:tcPr>
            <w:tcW w:w="3645" w:type="dxa"/>
            <w:gridSpan w:val="3"/>
            <w:vMerge/>
            <w:tcBorders>
              <w:right w:val="thinThickThinSmallGap" w:sz="24" w:space="0" w:color="auto"/>
            </w:tcBorders>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highlight w:val="yellow"/>
              </w:rPr>
            </w:pPr>
          </w:p>
        </w:tc>
        <w:tc>
          <w:tcPr>
            <w:tcW w:w="2880" w:type="dxa"/>
            <w:tcBorders>
              <w:left w:val="thinThickThinSmallGap" w:sz="24" w:space="0" w:color="auto"/>
            </w:tcBorders>
            <w:shd w:val="clear" w:color="auto" w:fill="FFFFFF"/>
            <w:vAlign w:val="center"/>
          </w:tcPr>
          <w:p w:rsidR="00523D42" w:rsidRPr="00523D42" w:rsidRDefault="00523D42" w:rsidP="00B13667">
            <w:pPr>
              <w:spacing w:line="180" w:lineRule="exact"/>
              <w:contextualSpacing/>
              <w:rPr>
                <w:rFonts w:ascii="Calibri" w:eastAsia="Calibri" w:hAnsi="Calibri"/>
                <w:color w:val="auto"/>
                <w:sz w:val="18"/>
                <w:szCs w:val="18"/>
              </w:rPr>
            </w:pPr>
            <w:r w:rsidRPr="00523D42">
              <w:rPr>
                <w:rFonts w:ascii="Calibri" w:eastAsia="Calibri" w:hAnsi="Calibri"/>
                <w:color w:val="auto"/>
                <w:sz w:val="18"/>
                <w:szCs w:val="18"/>
              </w:rPr>
              <w:t>Tinnitus</w:t>
            </w:r>
          </w:p>
        </w:tc>
        <w:tc>
          <w:tcPr>
            <w:tcW w:w="1080" w:type="dxa"/>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6260</w:t>
            </w:r>
          </w:p>
        </w:tc>
        <w:tc>
          <w:tcPr>
            <w:tcW w:w="675" w:type="dxa"/>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10%</w:t>
            </w:r>
          </w:p>
        </w:tc>
        <w:tc>
          <w:tcPr>
            <w:tcW w:w="990" w:type="dxa"/>
            <w:shd w:val="clear" w:color="auto" w:fill="FFFFFF"/>
            <w:vAlign w:val="center"/>
          </w:tcPr>
          <w:p w:rsidR="00523D42" w:rsidRPr="00523D42" w:rsidRDefault="00523D42" w:rsidP="00A35315">
            <w:pPr>
              <w:spacing w:line="24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20070706</w:t>
            </w:r>
          </w:p>
        </w:tc>
      </w:tr>
      <w:tr w:rsidR="00523D42" w:rsidRPr="00523D42" w:rsidTr="00A35315">
        <w:trPr>
          <w:trHeight w:val="305"/>
          <w:jc w:val="center"/>
        </w:trPr>
        <w:tc>
          <w:tcPr>
            <w:tcW w:w="3645" w:type="dxa"/>
            <w:gridSpan w:val="3"/>
            <w:vMerge/>
            <w:tcBorders>
              <w:right w:val="thinThickThinSmallGap" w:sz="24" w:space="0" w:color="auto"/>
            </w:tcBorders>
            <w:shd w:val="clear" w:color="auto" w:fill="FFFFFF"/>
            <w:vAlign w:val="center"/>
          </w:tcPr>
          <w:p w:rsidR="00523D42" w:rsidRPr="00523D42" w:rsidRDefault="00523D42" w:rsidP="00B13667">
            <w:pPr>
              <w:spacing w:line="180" w:lineRule="exact"/>
              <w:contextualSpacing/>
              <w:jc w:val="center"/>
              <w:rPr>
                <w:rFonts w:ascii="Calibri" w:eastAsia="Calibri" w:hAnsi="Calibri"/>
                <w:color w:val="auto"/>
                <w:sz w:val="18"/>
                <w:szCs w:val="18"/>
                <w:highlight w:val="yellow"/>
              </w:rPr>
            </w:pPr>
          </w:p>
        </w:tc>
        <w:tc>
          <w:tcPr>
            <w:tcW w:w="4635" w:type="dxa"/>
            <w:gridSpan w:val="3"/>
            <w:tcBorders>
              <w:left w:val="thinThickThinSmallGap" w:sz="24" w:space="0" w:color="auto"/>
            </w:tcBorders>
            <w:shd w:val="clear" w:color="auto" w:fill="FFFFFF"/>
            <w:vAlign w:val="center"/>
          </w:tcPr>
          <w:p w:rsidR="00523D42" w:rsidRPr="00B50A69" w:rsidRDefault="004974B5" w:rsidP="00B13667">
            <w:pPr>
              <w:spacing w:line="180" w:lineRule="exact"/>
              <w:contextualSpacing/>
              <w:jc w:val="center"/>
              <w:rPr>
                <w:rFonts w:ascii="Calibri" w:eastAsia="Calibri" w:hAnsi="Calibri"/>
                <w:color w:val="auto"/>
                <w:sz w:val="18"/>
                <w:szCs w:val="18"/>
              </w:rPr>
            </w:pPr>
            <w:r>
              <w:rPr>
                <w:rFonts w:ascii="Calibri" w:eastAsia="Calibri" w:hAnsi="Calibri"/>
                <w:color w:val="auto"/>
                <w:sz w:val="18"/>
                <w:szCs w:val="18"/>
              </w:rPr>
              <w:t xml:space="preserve">0% x </w:t>
            </w:r>
            <w:r w:rsidR="00523D42" w:rsidRPr="00B50A69">
              <w:rPr>
                <w:rFonts w:ascii="Calibri" w:eastAsia="Calibri" w:hAnsi="Calibri"/>
                <w:color w:val="auto"/>
                <w:sz w:val="18"/>
                <w:szCs w:val="18"/>
              </w:rPr>
              <w:t>1/Not Service Connected</w:t>
            </w:r>
            <w:r>
              <w:rPr>
                <w:rFonts w:ascii="Calibri" w:eastAsia="Calibri" w:hAnsi="Calibri"/>
                <w:color w:val="auto"/>
                <w:sz w:val="18"/>
                <w:szCs w:val="18"/>
              </w:rPr>
              <w:t xml:space="preserve"> x 3</w:t>
            </w:r>
          </w:p>
        </w:tc>
        <w:tc>
          <w:tcPr>
            <w:tcW w:w="990" w:type="dxa"/>
            <w:shd w:val="clear" w:color="auto" w:fill="FFFFFF"/>
            <w:vAlign w:val="center"/>
          </w:tcPr>
          <w:p w:rsidR="00523D42" w:rsidRPr="00523D42" w:rsidRDefault="00523D42" w:rsidP="00A35315">
            <w:pPr>
              <w:spacing w:line="240" w:lineRule="exact"/>
              <w:contextualSpacing/>
              <w:jc w:val="center"/>
              <w:rPr>
                <w:rFonts w:ascii="Calibri" w:eastAsia="Calibri" w:hAnsi="Calibri"/>
                <w:color w:val="auto"/>
                <w:sz w:val="18"/>
                <w:szCs w:val="18"/>
              </w:rPr>
            </w:pPr>
            <w:r w:rsidRPr="00523D42">
              <w:rPr>
                <w:rFonts w:ascii="Calibri" w:eastAsia="Calibri" w:hAnsi="Calibri"/>
                <w:color w:val="auto"/>
                <w:sz w:val="18"/>
                <w:szCs w:val="18"/>
              </w:rPr>
              <w:t>20070706</w:t>
            </w:r>
          </w:p>
        </w:tc>
      </w:tr>
      <w:tr w:rsidR="00523D42" w:rsidRPr="00523D42" w:rsidTr="00A35315">
        <w:trPr>
          <w:trHeight w:val="242"/>
          <w:jc w:val="center"/>
        </w:trPr>
        <w:tc>
          <w:tcPr>
            <w:tcW w:w="3645" w:type="dxa"/>
            <w:gridSpan w:val="3"/>
            <w:tcBorders>
              <w:right w:val="thinThickThinSmallGap" w:sz="24" w:space="0" w:color="auto"/>
            </w:tcBorders>
            <w:shd w:val="clear" w:color="auto" w:fill="D9D9D9"/>
            <w:vAlign w:val="center"/>
          </w:tcPr>
          <w:p w:rsidR="00523D42" w:rsidRPr="00523D42" w:rsidRDefault="00523D42" w:rsidP="00B13667">
            <w:pPr>
              <w:spacing w:line="200" w:lineRule="exact"/>
              <w:contextualSpacing/>
              <w:jc w:val="center"/>
              <w:rPr>
                <w:rFonts w:ascii="Calibri" w:eastAsia="Calibri" w:hAnsi="Calibri"/>
                <w:b/>
                <w:color w:val="auto"/>
                <w:sz w:val="20"/>
              </w:rPr>
            </w:pPr>
            <w:r w:rsidRPr="00523D42">
              <w:rPr>
                <w:rFonts w:ascii="Calibri" w:eastAsia="Calibri" w:hAnsi="Calibri"/>
                <w:b/>
                <w:color w:val="auto"/>
                <w:sz w:val="20"/>
              </w:rPr>
              <w:t>TOTAL Combined:  10%</w:t>
            </w:r>
          </w:p>
        </w:tc>
        <w:tc>
          <w:tcPr>
            <w:tcW w:w="5625" w:type="dxa"/>
            <w:gridSpan w:val="4"/>
            <w:tcBorders>
              <w:left w:val="thinThickThinSmallGap" w:sz="24" w:space="0" w:color="auto"/>
            </w:tcBorders>
            <w:shd w:val="clear" w:color="auto" w:fill="D9D9D9"/>
            <w:vAlign w:val="center"/>
          </w:tcPr>
          <w:p w:rsidR="00523D42" w:rsidRPr="00523D42" w:rsidRDefault="00523D42" w:rsidP="00B13667">
            <w:pPr>
              <w:spacing w:line="200" w:lineRule="exact"/>
              <w:contextualSpacing/>
              <w:jc w:val="center"/>
              <w:rPr>
                <w:rFonts w:ascii="Calibri" w:eastAsia="Calibri" w:hAnsi="Calibri"/>
                <w:b/>
                <w:color w:val="auto"/>
                <w:sz w:val="20"/>
              </w:rPr>
            </w:pPr>
            <w:r w:rsidRPr="00523D42">
              <w:rPr>
                <w:rFonts w:ascii="Calibri" w:eastAsia="Calibri" w:hAnsi="Calibri"/>
                <w:b/>
                <w:color w:val="auto"/>
                <w:sz w:val="20"/>
              </w:rPr>
              <w:t>TOTAL Combined: 70%</w:t>
            </w:r>
          </w:p>
        </w:tc>
      </w:tr>
    </w:tbl>
    <w:p w:rsidR="00523D42" w:rsidRPr="00013A4A" w:rsidRDefault="00523D42" w:rsidP="00523D42">
      <w:pPr>
        <w:tabs>
          <w:tab w:val="left" w:pos="720"/>
        </w:tabs>
        <w:spacing w:line="240" w:lineRule="exact"/>
        <w:rPr>
          <w:rFonts w:ascii="Calibri" w:hAnsi="Calibri"/>
          <w:color w:val="auto"/>
          <w:sz w:val="20"/>
          <w:szCs w:val="24"/>
        </w:rPr>
      </w:pPr>
      <w:r w:rsidRPr="00013A4A">
        <w:rPr>
          <w:rFonts w:ascii="Calibri" w:hAnsi="Calibri"/>
          <w:color w:val="auto"/>
          <w:sz w:val="20"/>
          <w:szCs w:val="24"/>
        </w:rPr>
        <w:tab/>
        <w:t>*Code changed to 8045 and rated 40% effective 20081023</w:t>
      </w:r>
    </w:p>
    <w:p w:rsidR="002E289F" w:rsidRPr="00B50A69" w:rsidRDefault="002E289F" w:rsidP="002E289F">
      <w:pPr>
        <w:tabs>
          <w:tab w:val="left" w:pos="288"/>
          <w:tab w:val="left" w:pos="4752"/>
        </w:tabs>
        <w:spacing w:line="240" w:lineRule="exact"/>
        <w:jc w:val="both"/>
        <w:rPr>
          <w:rFonts w:asciiTheme="minorHAnsi" w:hAnsiTheme="minorHAnsi"/>
          <w:b/>
          <w:caps/>
          <w:color w:val="auto"/>
          <w:u w:val="single"/>
        </w:rPr>
      </w:pPr>
      <w:r w:rsidRPr="00B50A69">
        <w:rPr>
          <w:rFonts w:asciiTheme="minorHAnsi" w:hAnsiTheme="minorHAnsi"/>
          <w:b/>
          <w:color w:val="auto"/>
          <w:u w:val="single"/>
        </w:rPr>
        <w:t>__</w:t>
      </w:r>
      <w:r w:rsidRPr="00B50A69">
        <w:rPr>
          <w:rFonts w:asciiTheme="minorHAnsi" w:hAnsiTheme="minorHAnsi"/>
          <w:b/>
          <w:color w:val="auto"/>
          <w:u w:val="single"/>
        </w:rPr>
        <w:softHyphen/>
        <w:t>____________________________________________________________________________</w:t>
      </w:r>
    </w:p>
    <w:p w:rsidR="00A90D55" w:rsidRDefault="00A90D55" w:rsidP="00190E48">
      <w:pPr>
        <w:tabs>
          <w:tab w:val="left" w:pos="288"/>
          <w:tab w:val="left" w:pos="4752"/>
        </w:tabs>
        <w:spacing w:line="240" w:lineRule="exact"/>
        <w:jc w:val="both"/>
        <w:rPr>
          <w:color w:val="000080"/>
        </w:rPr>
      </w:pPr>
    </w:p>
    <w:p w:rsidR="008F389D" w:rsidRDefault="008F389D" w:rsidP="00AF1668">
      <w:pPr>
        <w:tabs>
          <w:tab w:val="left" w:pos="288"/>
          <w:tab w:val="left" w:pos="4752"/>
        </w:tabs>
        <w:spacing w:line="240" w:lineRule="exact"/>
        <w:rPr>
          <w:rFonts w:asciiTheme="minorHAnsi" w:hAnsiTheme="minorHAnsi"/>
          <w:color w:val="auto"/>
          <w:szCs w:val="24"/>
          <w:u w:val="single"/>
        </w:rPr>
      </w:pPr>
    </w:p>
    <w:p w:rsidR="008F389D" w:rsidRDefault="008F389D" w:rsidP="00AF1668">
      <w:pPr>
        <w:tabs>
          <w:tab w:val="left" w:pos="288"/>
          <w:tab w:val="left" w:pos="4752"/>
        </w:tabs>
        <w:spacing w:line="240" w:lineRule="exact"/>
        <w:rPr>
          <w:rFonts w:asciiTheme="minorHAnsi" w:hAnsiTheme="minorHAnsi"/>
          <w:color w:val="auto"/>
          <w:szCs w:val="24"/>
          <w:u w:val="single"/>
        </w:rPr>
      </w:pPr>
    </w:p>
    <w:p w:rsidR="002C6E5B" w:rsidRDefault="002C6E5B" w:rsidP="00AF1668">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p>
    <w:p w:rsidR="002C6E5B" w:rsidRPr="00542C9A" w:rsidRDefault="00D3662E" w:rsidP="00AF1668">
      <w:pPr>
        <w:tabs>
          <w:tab w:val="left" w:pos="2980"/>
        </w:tabs>
        <w:spacing w:line="240" w:lineRule="exact"/>
        <w:rPr>
          <w:rFonts w:asciiTheme="minorHAnsi" w:hAnsiTheme="minorHAnsi"/>
          <w:color w:val="auto"/>
          <w:szCs w:val="24"/>
        </w:rPr>
      </w:pPr>
      <w:r>
        <w:rPr>
          <w:rFonts w:asciiTheme="minorHAnsi" w:hAnsiTheme="minorHAnsi"/>
          <w:color w:val="auto"/>
          <w:szCs w:val="24"/>
        </w:rPr>
        <w:tab/>
      </w:r>
    </w:p>
    <w:p w:rsidR="00E72BD5" w:rsidRDefault="00E72BD5" w:rsidP="00D11F11">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PTSD</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Pr="00E72BD5">
        <w:rPr>
          <w:rFonts w:asciiTheme="minorHAnsi" w:hAnsiTheme="minorHAnsi"/>
          <w:color w:val="auto"/>
          <w:szCs w:val="24"/>
        </w:rPr>
        <w:t xml:space="preserve">The </w:t>
      </w:r>
      <w:r w:rsidR="00D11F11">
        <w:rPr>
          <w:rFonts w:asciiTheme="minorHAnsi" w:hAnsiTheme="minorHAnsi"/>
          <w:color w:val="auto"/>
          <w:szCs w:val="24"/>
        </w:rPr>
        <w:t xml:space="preserve">March 2007 </w:t>
      </w:r>
      <w:r w:rsidRPr="00E72BD5">
        <w:rPr>
          <w:rFonts w:asciiTheme="minorHAnsi" w:hAnsiTheme="minorHAnsi"/>
          <w:color w:val="auto"/>
          <w:szCs w:val="24"/>
        </w:rPr>
        <w:t>PEB rating, as described above, was derived from DoDI 1332.39 and preceded the promulgation of the National Defense Authorization Act (NDAA) 2008 mandate for Department of Defense (DoD) adherence to Veterans</w:t>
      </w:r>
      <w:r w:rsidR="005A26F7">
        <w:rPr>
          <w:rFonts w:asciiTheme="minorHAnsi" w:hAnsiTheme="minorHAnsi"/>
          <w:color w:val="auto"/>
          <w:szCs w:val="24"/>
        </w:rPr>
        <w:t>’</w:t>
      </w:r>
      <w:r w:rsidRPr="00E72BD5">
        <w:rPr>
          <w:rFonts w:asciiTheme="minorHAnsi" w:hAnsiTheme="minorHAnsi"/>
          <w:color w:val="auto"/>
          <w:szCs w:val="24"/>
        </w:rPr>
        <w:t xml:space="preserve"> Administration Schedule for Rating Disabilities (VASRD) §4.129.  IAW DoDI 6040.44 and DoD guidance (which applies current VASRD </w:t>
      </w:r>
      <w:r w:rsidR="00D11F11" w:rsidRPr="00E72BD5">
        <w:rPr>
          <w:rFonts w:asciiTheme="minorHAnsi" w:hAnsiTheme="minorHAnsi"/>
          <w:color w:val="auto"/>
          <w:szCs w:val="24"/>
        </w:rPr>
        <w:t>§4</w:t>
      </w:r>
      <w:r w:rsidR="00D11F11">
        <w:rPr>
          <w:rFonts w:asciiTheme="minorHAnsi" w:hAnsiTheme="minorHAnsi"/>
          <w:color w:val="auto"/>
          <w:szCs w:val="24"/>
        </w:rPr>
        <w:t>.</w:t>
      </w:r>
      <w:r w:rsidRPr="00E72BD5">
        <w:rPr>
          <w:rFonts w:asciiTheme="minorHAnsi" w:hAnsiTheme="minorHAnsi"/>
          <w:color w:val="auto"/>
          <w:szCs w:val="24"/>
        </w:rPr>
        <w:t xml:space="preserve">129 to all </w:t>
      </w:r>
      <w:r w:rsidR="00D11F11">
        <w:rPr>
          <w:rFonts w:asciiTheme="minorHAnsi" w:hAnsiTheme="minorHAnsi"/>
          <w:color w:val="auto"/>
          <w:szCs w:val="24"/>
        </w:rPr>
        <w:t xml:space="preserve">PTSD </w:t>
      </w:r>
      <w:r w:rsidRPr="00E72BD5">
        <w:rPr>
          <w:rFonts w:asciiTheme="minorHAnsi" w:hAnsiTheme="minorHAnsi"/>
          <w:color w:val="auto"/>
          <w:szCs w:val="24"/>
        </w:rPr>
        <w:t>cases), the Board is obligated to recommend a minimum 50% PTSD rating for a retroactive six</w:t>
      </w:r>
      <w:r w:rsidR="008F389D">
        <w:rPr>
          <w:rFonts w:asciiTheme="minorHAnsi" w:hAnsiTheme="minorHAnsi"/>
          <w:color w:val="auto"/>
          <w:szCs w:val="24"/>
        </w:rPr>
        <w:t>-</w:t>
      </w:r>
      <w:r w:rsidRPr="00E72BD5">
        <w:rPr>
          <w:rFonts w:asciiTheme="minorHAnsi" w:hAnsiTheme="minorHAnsi"/>
          <w:color w:val="auto"/>
          <w:szCs w:val="24"/>
        </w:rPr>
        <w:t>month period on the Temporary Disability Retired List (TDRL). The Boa</w:t>
      </w:r>
      <w:r w:rsidR="00D11F11">
        <w:rPr>
          <w:rFonts w:asciiTheme="minorHAnsi" w:hAnsiTheme="minorHAnsi"/>
          <w:color w:val="auto"/>
          <w:szCs w:val="24"/>
        </w:rPr>
        <w:t xml:space="preserve">rd must then determine the </w:t>
      </w:r>
      <w:r w:rsidR="00055159">
        <w:rPr>
          <w:rFonts w:asciiTheme="minorHAnsi" w:hAnsiTheme="minorHAnsi"/>
          <w:color w:val="auto"/>
          <w:szCs w:val="24"/>
        </w:rPr>
        <w:t xml:space="preserve">most </w:t>
      </w:r>
      <w:r w:rsidRPr="00E72BD5">
        <w:rPr>
          <w:rFonts w:asciiTheme="minorHAnsi" w:hAnsiTheme="minorHAnsi"/>
          <w:color w:val="auto"/>
          <w:szCs w:val="24"/>
        </w:rPr>
        <w:t>appropriate fit with VASRD</w:t>
      </w:r>
      <w:r w:rsidR="00D11F11">
        <w:rPr>
          <w:rFonts w:asciiTheme="minorHAnsi" w:hAnsiTheme="minorHAnsi"/>
          <w:color w:val="auto"/>
          <w:szCs w:val="24"/>
        </w:rPr>
        <w:t xml:space="preserve"> </w:t>
      </w:r>
      <w:r w:rsidR="00D11F11" w:rsidRPr="00E72BD5">
        <w:rPr>
          <w:rFonts w:asciiTheme="minorHAnsi" w:hAnsiTheme="minorHAnsi"/>
          <w:color w:val="auto"/>
          <w:szCs w:val="24"/>
        </w:rPr>
        <w:t>§4</w:t>
      </w:r>
      <w:r w:rsidRPr="00E72BD5">
        <w:rPr>
          <w:rFonts w:asciiTheme="minorHAnsi" w:hAnsiTheme="minorHAnsi"/>
          <w:color w:val="auto"/>
          <w:szCs w:val="24"/>
        </w:rPr>
        <w:t xml:space="preserve">.130 criteria at six months for its permanent rating recommendation.  The </w:t>
      </w:r>
      <w:r w:rsidR="00D11F11">
        <w:rPr>
          <w:rFonts w:asciiTheme="minorHAnsi" w:hAnsiTheme="minorHAnsi"/>
          <w:color w:val="auto"/>
          <w:szCs w:val="24"/>
        </w:rPr>
        <w:t xml:space="preserve">best source of </w:t>
      </w:r>
      <w:r w:rsidRPr="00E72BD5">
        <w:rPr>
          <w:rFonts w:asciiTheme="minorHAnsi" w:hAnsiTheme="minorHAnsi"/>
          <w:color w:val="auto"/>
          <w:szCs w:val="24"/>
        </w:rPr>
        <w:t xml:space="preserve">evidence on which to base the permanent rating in this case is the </w:t>
      </w:r>
      <w:r w:rsidR="005A26F7">
        <w:rPr>
          <w:rFonts w:asciiTheme="minorHAnsi" w:hAnsiTheme="minorHAnsi"/>
          <w:color w:val="auto"/>
          <w:szCs w:val="24"/>
        </w:rPr>
        <w:t>Veterans’ Affairs (</w:t>
      </w:r>
      <w:r w:rsidRPr="00E72BD5">
        <w:rPr>
          <w:rFonts w:asciiTheme="minorHAnsi" w:hAnsiTheme="minorHAnsi"/>
          <w:color w:val="auto"/>
          <w:szCs w:val="24"/>
        </w:rPr>
        <w:t>VA</w:t>
      </w:r>
      <w:r w:rsidR="005A26F7">
        <w:rPr>
          <w:rFonts w:asciiTheme="minorHAnsi" w:hAnsiTheme="minorHAnsi"/>
          <w:color w:val="auto"/>
          <w:szCs w:val="24"/>
        </w:rPr>
        <w:t>)</w:t>
      </w:r>
      <w:r w:rsidRPr="00E72BD5">
        <w:rPr>
          <w:rFonts w:asciiTheme="minorHAnsi" w:hAnsiTheme="minorHAnsi"/>
          <w:color w:val="auto"/>
          <w:szCs w:val="24"/>
        </w:rPr>
        <w:t xml:space="preserve"> </w:t>
      </w:r>
      <w:r w:rsidR="008F389D">
        <w:rPr>
          <w:rFonts w:asciiTheme="minorHAnsi" w:hAnsiTheme="minorHAnsi"/>
          <w:color w:val="auto"/>
          <w:szCs w:val="24"/>
        </w:rPr>
        <w:t>c</w:t>
      </w:r>
      <w:r w:rsidRPr="00E72BD5">
        <w:rPr>
          <w:rFonts w:asciiTheme="minorHAnsi" w:hAnsiTheme="minorHAnsi"/>
          <w:color w:val="auto"/>
          <w:szCs w:val="24"/>
        </w:rPr>
        <w:t xml:space="preserve">ompensation and </w:t>
      </w:r>
      <w:r w:rsidR="008F389D">
        <w:rPr>
          <w:rFonts w:asciiTheme="minorHAnsi" w:hAnsiTheme="minorHAnsi"/>
          <w:color w:val="auto"/>
          <w:szCs w:val="24"/>
        </w:rPr>
        <w:t>p</w:t>
      </w:r>
      <w:r w:rsidRPr="00E72BD5">
        <w:rPr>
          <w:rFonts w:asciiTheme="minorHAnsi" w:hAnsiTheme="minorHAnsi"/>
          <w:color w:val="auto"/>
          <w:szCs w:val="24"/>
        </w:rPr>
        <w:t xml:space="preserve">ension (C&amp;P) </w:t>
      </w:r>
      <w:r w:rsidR="008F389D">
        <w:rPr>
          <w:rFonts w:asciiTheme="minorHAnsi" w:hAnsiTheme="minorHAnsi"/>
          <w:color w:val="auto"/>
          <w:szCs w:val="24"/>
        </w:rPr>
        <w:t>e</w:t>
      </w:r>
      <w:r w:rsidRPr="00E72BD5">
        <w:rPr>
          <w:rFonts w:asciiTheme="minorHAnsi" w:hAnsiTheme="minorHAnsi"/>
          <w:color w:val="auto"/>
          <w:szCs w:val="24"/>
        </w:rPr>
        <w:t xml:space="preserve">xamination performed </w:t>
      </w:r>
      <w:r w:rsidR="005A26F7">
        <w:rPr>
          <w:rFonts w:asciiTheme="minorHAnsi" w:hAnsiTheme="minorHAnsi"/>
          <w:color w:val="auto"/>
          <w:szCs w:val="24"/>
        </w:rPr>
        <w:t xml:space="preserve">two </w:t>
      </w:r>
      <w:r w:rsidRPr="00E72BD5">
        <w:rPr>
          <w:rFonts w:asciiTheme="minorHAnsi" w:hAnsiTheme="minorHAnsi"/>
          <w:color w:val="auto"/>
          <w:szCs w:val="24"/>
        </w:rPr>
        <w:t xml:space="preserve">months after separation, with a more remote exam </w:t>
      </w:r>
      <w:r w:rsidR="00524C3D">
        <w:rPr>
          <w:rFonts w:asciiTheme="minorHAnsi" w:hAnsiTheme="minorHAnsi"/>
          <w:color w:val="auto"/>
          <w:szCs w:val="24"/>
        </w:rPr>
        <w:t>28 months</w:t>
      </w:r>
      <w:r w:rsidRPr="00E72BD5">
        <w:rPr>
          <w:rFonts w:asciiTheme="minorHAnsi" w:hAnsiTheme="minorHAnsi"/>
          <w:color w:val="auto"/>
          <w:szCs w:val="24"/>
        </w:rPr>
        <w:t xml:space="preserve"> after separation.  DoDI 6040.44 specifies a 12</w:t>
      </w:r>
      <w:r w:rsidR="008F389D">
        <w:rPr>
          <w:rFonts w:asciiTheme="minorHAnsi" w:hAnsiTheme="minorHAnsi"/>
          <w:color w:val="auto"/>
          <w:szCs w:val="24"/>
        </w:rPr>
        <w:t>-</w:t>
      </w:r>
      <w:r w:rsidRPr="00E72BD5">
        <w:rPr>
          <w:rFonts w:asciiTheme="minorHAnsi" w:hAnsiTheme="minorHAnsi"/>
          <w:color w:val="auto"/>
          <w:szCs w:val="24"/>
        </w:rPr>
        <w:t xml:space="preserve">month interval for special consideration to VA findings, rendering the probative value of the later VA evidence in this case somewhat diminished.  The probative value of the </w:t>
      </w:r>
      <w:r w:rsidR="005A26F7">
        <w:rPr>
          <w:rFonts w:asciiTheme="minorHAnsi" w:hAnsiTheme="minorHAnsi"/>
          <w:color w:val="auto"/>
          <w:szCs w:val="24"/>
        </w:rPr>
        <w:t>two</w:t>
      </w:r>
      <w:r w:rsidR="008F389D">
        <w:rPr>
          <w:rFonts w:asciiTheme="minorHAnsi" w:hAnsiTheme="minorHAnsi"/>
          <w:color w:val="auto"/>
          <w:szCs w:val="24"/>
        </w:rPr>
        <w:t>-</w:t>
      </w:r>
      <w:r w:rsidRPr="00E72BD5">
        <w:rPr>
          <w:rFonts w:asciiTheme="minorHAnsi" w:hAnsiTheme="minorHAnsi"/>
          <w:color w:val="auto"/>
          <w:szCs w:val="24"/>
        </w:rPr>
        <w:t>month VA psychiatric C&amp;P examination is strengthened on the principle that it reflects the stress of transition to civilian life</w:t>
      </w:r>
      <w:r w:rsidR="008F389D">
        <w:rPr>
          <w:rFonts w:asciiTheme="minorHAnsi" w:hAnsiTheme="minorHAnsi"/>
          <w:color w:val="auto"/>
          <w:szCs w:val="24"/>
        </w:rPr>
        <w:t>,</w:t>
      </w:r>
      <w:r w:rsidRPr="00E72BD5">
        <w:rPr>
          <w:rFonts w:asciiTheme="minorHAnsi" w:hAnsiTheme="minorHAnsi"/>
          <w:color w:val="auto"/>
          <w:szCs w:val="24"/>
        </w:rPr>
        <w:t xml:space="preserve"> which is intrinsic to the Board’s permanent rating recommendation.  Since this VA exam was s</w:t>
      </w:r>
      <w:r w:rsidR="00524C3D">
        <w:rPr>
          <w:rFonts w:asciiTheme="minorHAnsi" w:hAnsiTheme="minorHAnsi"/>
          <w:color w:val="auto"/>
          <w:szCs w:val="24"/>
        </w:rPr>
        <w:t>till fairly close to separation</w:t>
      </w:r>
      <w:r w:rsidRPr="00E72BD5">
        <w:rPr>
          <w:rFonts w:asciiTheme="minorHAnsi" w:hAnsiTheme="minorHAnsi"/>
          <w:color w:val="auto"/>
          <w:szCs w:val="24"/>
        </w:rPr>
        <w:t>, the MEB evaluation itself provides a useful baseline and is assigned relevant probative value in the Board’s efforts to arrive at a fair permanent rating recommendation.</w:t>
      </w:r>
    </w:p>
    <w:p w:rsidR="007E7B4E" w:rsidRDefault="007E7B4E" w:rsidP="00AF1668">
      <w:pPr>
        <w:tabs>
          <w:tab w:val="left" w:pos="288"/>
          <w:tab w:val="left" w:pos="4752"/>
        </w:tabs>
        <w:spacing w:line="240" w:lineRule="exact"/>
        <w:rPr>
          <w:rFonts w:asciiTheme="minorHAnsi" w:hAnsiTheme="minorHAnsi"/>
          <w:color w:val="auto"/>
          <w:szCs w:val="24"/>
        </w:rPr>
      </w:pPr>
    </w:p>
    <w:p w:rsidR="00E72BD5" w:rsidRDefault="00E72BD5" w:rsidP="00D11F11">
      <w:pPr>
        <w:tabs>
          <w:tab w:val="left" w:pos="2980"/>
        </w:tabs>
        <w:spacing w:line="240" w:lineRule="exact"/>
        <w:jc w:val="both"/>
        <w:rPr>
          <w:rFonts w:ascii="Calibri" w:hAnsi="Calibri"/>
          <w:color w:val="auto"/>
          <w:szCs w:val="24"/>
        </w:rPr>
      </w:pPr>
      <w:r w:rsidRPr="00030846">
        <w:rPr>
          <w:rFonts w:ascii="Calibri" w:hAnsi="Calibri"/>
          <w:color w:val="auto"/>
          <w:szCs w:val="24"/>
        </w:rPr>
        <w:t xml:space="preserve">The CI’s symptoms at the time of the MEB exam could best be described as moderate.  He endorsed symptoms such as </w:t>
      </w:r>
      <w:r w:rsidR="000307FF" w:rsidRPr="00030846">
        <w:rPr>
          <w:rFonts w:ascii="Calibri" w:hAnsi="Calibri"/>
          <w:color w:val="auto"/>
          <w:szCs w:val="24"/>
        </w:rPr>
        <w:t>frustration, anxiety, nightmares, increased startle response, increased arousal</w:t>
      </w:r>
      <w:r w:rsidR="00524C3D">
        <w:rPr>
          <w:rFonts w:ascii="Calibri" w:hAnsi="Calibri"/>
          <w:color w:val="auto"/>
          <w:szCs w:val="24"/>
        </w:rPr>
        <w:t xml:space="preserve">, </w:t>
      </w:r>
      <w:r w:rsidR="000307FF" w:rsidRPr="00030846">
        <w:rPr>
          <w:rFonts w:ascii="Calibri" w:hAnsi="Calibri"/>
          <w:color w:val="auto"/>
          <w:szCs w:val="24"/>
        </w:rPr>
        <w:t>irritability,</w:t>
      </w:r>
      <w:r w:rsidR="00030846" w:rsidRPr="00030846">
        <w:rPr>
          <w:rFonts w:ascii="Calibri" w:hAnsi="Calibri"/>
          <w:color w:val="auto"/>
          <w:szCs w:val="24"/>
        </w:rPr>
        <w:t xml:space="preserve"> </w:t>
      </w:r>
      <w:r w:rsidR="000307FF" w:rsidRPr="00030846">
        <w:rPr>
          <w:rFonts w:ascii="Calibri" w:hAnsi="Calibri"/>
          <w:color w:val="auto"/>
          <w:szCs w:val="24"/>
        </w:rPr>
        <w:t>insomnia, social withdrawal, feelings of detachment, and active</w:t>
      </w:r>
      <w:r w:rsidR="00030846" w:rsidRPr="00030846">
        <w:rPr>
          <w:rFonts w:ascii="Calibri" w:hAnsi="Calibri"/>
          <w:color w:val="auto"/>
          <w:szCs w:val="24"/>
        </w:rPr>
        <w:t xml:space="preserve"> </w:t>
      </w:r>
      <w:r w:rsidR="000307FF" w:rsidRPr="00030846">
        <w:rPr>
          <w:rFonts w:ascii="Calibri" w:hAnsi="Calibri"/>
          <w:color w:val="auto"/>
          <w:szCs w:val="24"/>
        </w:rPr>
        <w:t>avoidance of emotional triggers</w:t>
      </w:r>
      <w:r w:rsidRPr="00030846">
        <w:rPr>
          <w:rFonts w:ascii="Calibri" w:hAnsi="Calibri"/>
          <w:color w:val="auto"/>
          <w:szCs w:val="24"/>
        </w:rPr>
        <w:t xml:space="preserve">.  </w:t>
      </w:r>
      <w:r w:rsidR="00030846" w:rsidRPr="00030846">
        <w:rPr>
          <w:rFonts w:ascii="Calibri" w:hAnsi="Calibri"/>
          <w:color w:val="auto"/>
          <w:szCs w:val="24"/>
        </w:rPr>
        <w:t xml:space="preserve">The </w:t>
      </w:r>
      <w:r w:rsidR="005A26F7">
        <w:rPr>
          <w:rFonts w:ascii="Calibri" w:hAnsi="Calibri"/>
          <w:color w:val="auto"/>
          <w:szCs w:val="24"/>
        </w:rPr>
        <w:t>c</w:t>
      </w:r>
      <w:r w:rsidR="00030846" w:rsidRPr="00030846">
        <w:rPr>
          <w:rFonts w:ascii="Calibri" w:hAnsi="Calibri"/>
          <w:color w:val="auto"/>
          <w:szCs w:val="24"/>
        </w:rPr>
        <w:t>ommander</w:t>
      </w:r>
      <w:r w:rsidRPr="00030846">
        <w:rPr>
          <w:rFonts w:ascii="Calibri" w:hAnsi="Calibri"/>
          <w:color w:val="auto"/>
          <w:szCs w:val="24"/>
        </w:rPr>
        <w:t xml:space="preserve"> state</w:t>
      </w:r>
      <w:r w:rsidR="00030846" w:rsidRPr="00030846">
        <w:rPr>
          <w:rFonts w:ascii="Calibri" w:hAnsi="Calibri"/>
          <w:color w:val="auto"/>
          <w:szCs w:val="24"/>
        </w:rPr>
        <w:t xml:space="preserve">d that </w:t>
      </w:r>
      <w:r w:rsidRPr="00030846">
        <w:rPr>
          <w:rFonts w:ascii="Calibri" w:hAnsi="Calibri"/>
          <w:color w:val="auto"/>
          <w:szCs w:val="24"/>
        </w:rPr>
        <w:t>the CI</w:t>
      </w:r>
      <w:r w:rsidR="00030846" w:rsidRPr="00030846">
        <w:rPr>
          <w:rFonts w:ascii="Calibri" w:hAnsi="Calibri"/>
          <w:color w:val="auto"/>
          <w:szCs w:val="24"/>
        </w:rPr>
        <w:t>’s PTSD “precludes him from performing any duties, and his therapy has not corrected any trends</w:t>
      </w:r>
      <w:r w:rsidRPr="00030846">
        <w:rPr>
          <w:rFonts w:ascii="Calibri" w:hAnsi="Calibri"/>
          <w:color w:val="auto"/>
          <w:szCs w:val="24"/>
        </w:rPr>
        <w:t>.</w:t>
      </w:r>
      <w:r w:rsidR="00030846" w:rsidRPr="00030846">
        <w:rPr>
          <w:rFonts w:ascii="Calibri" w:hAnsi="Calibri"/>
          <w:color w:val="auto"/>
          <w:szCs w:val="24"/>
        </w:rPr>
        <w:t>”</w:t>
      </w:r>
      <w:r w:rsidRPr="00030846">
        <w:rPr>
          <w:rFonts w:ascii="Calibri" w:hAnsi="Calibri"/>
          <w:color w:val="auto"/>
          <w:szCs w:val="24"/>
        </w:rPr>
        <w:t xml:space="preserve">  The CI’s mental status examination (MSE) was remarkable for </w:t>
      </w:r>
      <w:r w:rsidR="00030846" w:rsidRPr="00030846">
        <w:rPr>
          <w:rFonts w:ascii="Calibri" w:hAnsi="Calibri"/>
          <w:color w:val="auto"/>
          <w:szCs w:val="24"/>
        </w:rPr>
        <w:t xml:space="preserve">a depressed </w:t>
      </w:r>
      <w:r w:rsidRPr="00030846">
        <w:rPr>
          <w:rFonts w:ascii="Calibri" w:hAnsi="Calibri"/>
          <w:color w:val="auto"/>
          <w:szCs w:val="24"/>
        </w:rPr>
        <w:t xml:space="preserve">mood and </w:t>
      </w:r>
      <w:r w:rsidR="00030846" w:rsidRPr="00030846">
        <w:rPr>
          <w:rFonts w:ascii="Calibri" w:hAnsi="Calibri"/>
          <w:color w:val="auto"/>
          <w:szCs w:val="24"/>
        </w:rPr>
        <w:t xml:space="preserve">anxious </w:t>
      </w:r>
      <w:r w:rsidRPr="00030846">
        <w:rPr>
          <w:rFonts w:ascii="Calibri" w:hAnsi="Calibri"/>
          <w:color w:val="auto"/>
          <w:szCs w:val="24"/>
        </w:rPr>
        <w:t xml:space="preserve">affect, </w:t>
      </w:r>
      <w:r w:rsidR="00030846" w:rsidRPr="00030846">
        <w:rPr>
          <w:rFonts w:ascii="Calibri" w:hAnsi="Calibri"/>
          <w:color w:val="auto"/>
          <w:szCs w:val="24"/>
        </w:rPr>
        <w:t>but was otherwise normal</w:t>
      </w:r>
      <w:r w:rsidR="008F389D">
        <w:rPr>
          <w:rFonts w:ascii="Calibri" w:hAnsi="Calibri"/>
          <w:color w:val="auto"/>
          <w:szCs w:val="24"/>
        </w:rPr>
        <w:t>,</w:t>
      </w:r>
      <w:r w:rsidR="00030846" w:rsidRPr="00030846">
        <w:rPr>
          <w:rFonts w:ascii="Calibri" w:hAnsi="Calibri"/>
          <w:color w:val="auto"/>
          <w:szCs w:val="24"/>
        </w:rPr>
        <w:t xml:space="preserve"> without</w:t>
      </w:r>
      <w:r w:rsidRPr="00030846">
        <w:rPr>
          <w:rFonts w:ascii="Calibri" w:hAnsi="Calibri"/>
          <w:color w:val="auto"/>
          <w:szCs w:val="24"/>
        </w:rPr>
        <w:t xml:space="preserve"> suicidal ideation, delusional or hallucinatory symptoms, cognitive impairment or other abnormalities.  The MEB psychiatrist </w:t>
      </w:r>
      <w:r w:rsidR="00030846" w:rsidRPr="00030846">
        <w:rPr>
          <w:rFonts w:ascii="Calibri" w:hAnsi="Calibri"/>
          <w:color w:val="auto"/>
          <w:szCs w:val="24"/>
        </w:rPr>
        <w:t xml:space="preserve">opined that the CI is “suffering from significant symptoms of </w:t>
      </w:r>
      <w:r w:rsidR="008F389D">
        <w:rPr>
          <w:rFonts w:ascii="Calibri" w:hAnsi="Calibri"/>
          <w:color w:val="auto"/>
          <w:szCs w:val="24"/>
        </w:rPr>
        <w:t>PTSD</w:t>
      </w:r>
      <w:r w:rsidR="00030846" w:rsidRPr="00030846">
        <w:rPr>
          <w:rFonts w:ascii="Calibri" w:hAnsi="Calibri"/>
          <w:color w:val="auto"/>
          <w:szCs w:val="24"/>
        </w:rPr>
        <w:t>,”</w:t>
      </w:r>
      <w:r w:rsidRPr="00030846">
        <w:rPr>
          <w:rFonts w:ascii="Calibri" w:hAnsi="Calibri"/>
          <w:color w:val="auto"/>
          <w:szCs w:val="24"/>
        </w:rPr>
        <w:t xml:space="preserve"> </w:t>
      </w:r>
      <w:r w:rsidR="00030846" w:rsidRPr="00030846">
        <w:rPr>
          <w:rFonts w:ascii="Calibri" w:hAnsi="Calibri"/>
          <w:color w:val="auto"/>
          <w:szCs w:val="24"/>
        </w:rPr>
        <w:t xml:space="preserve">and </w:t>
      </w:r>
      <w:r w:rsidRPr="00030846">
        <w:rPr>
          <w:rFonts w:ascii="Calibri" w:hAnsi="Calibri"/>
          <w:color w:val="auto"/>
          <w:szCs w:val="24"/>
        </w:rPr>
        <w:t xml:space="preserve">assigned a </w:t>
      </w:r>
      <w:r w:rsidR="008F389D">
        <w:rPr>
          <w:rFonts w:ascii="Calibri" w:hAnsi="Calibri"/>
          <w:color w:val="auto"/>
          <w:szCs w:val="24"/>
        </w:rPr>
        <w:t>g</w:t>
      </w:r>
      <w:r w:rsidRPr="00030846">
        <w:rPr>
          <w:rFonts w:ascii="Calibri" w:hAnsi="Calibri"/>
          <w:color w:val="auto"/>
          <w:szCs w:val="24"/>
        </w:rPr>
        <w:t xml:space="preserve">lobal </w:t>
      </w:r>
      <w:r w:rsidR="008F389D">
        <w:rPr>
          <w:rFonts w:ascii="Calibri" w:hAnsi="Calibri"/>
          <w:color w:val="auto"/>
          <w:szCs w:val="24"/>
        </w:rPr>
        <w:t>a</w:t>
      </w:r>
      <w:r w:rsidRPr="00030846">
        <w:rPr>
          <w:rFonts w:ascii="Calibri" w:hAnsi="Calibri"/>
          <w:color w:val="auto"/>
          <w:szCs w:val="24"/>
        </w:rPr>
        <w:t xml:space="preserve">ssessment of </w:t>
      </w:r>
      <w:r w:rsidR="008F389D">
        <w:rPr>
          <w:rFonts w:ascii="Calibri" w:hAnsi="Calibri"/>
          <w:color w:val="auto"/>
          <w:szCs w:val="24"/>
        </w:rPr>
        <w:t>f</w:t>
      </w:r>
      <w:r w:rsidRPr="00030846">
        <w:rPr>
          <w:rFonts w:ascii="Calibri" w:hAnsi="Calibri"/>
          <w:color w:val="auto"/>
          <w:szCs w:val="24"/>
        </w:rPr>
        <w:t xml:space="preserve">unctioning (GAF) score of </w:t>
      </w:r>
      <w:r w:rsidR="00030846" w:rsidRPr="00030846">
        <w:rPr>
          <w:rFonts w:ascii="Calibri" w:hAnsi="Calibri"/>
          <w:color w:val="auto"/>
          <w:szCs w:val="24"/>
        </w:rPr>
        <w:t>60</w:t>
      </w:r>
      <w:r w:rsidR="00524C3D">
        <w:rPr>
          <w:rFonts w:ascii="Calibri" w:hAnsi="Calibri"/>
          <w:color w:val="auto"/>
          <w:szCs w:val="24"/>
        </w:rPr>
        <w:t>-</w:t>
      </w:r>
      <w:r w:rsidR="00030846" w:rsidRPr="00030846">
        <w:rPr>
          <w:rFonts w:ascii="Calibri" w:hAnsi="Calibri"/>
          <w:color w:val="auto"/>
          <w:szCs w:val="24"/>
        </w:rPr>
        <w:t>65</w:t>
      </w:r>
      <w:r w:rsidRPr="00030846">
        <w:rPr>
          <w:rFonts w:ascii="Calibri" w:hAnsi="Calibri"/>
          <w:color w:val="auto"/>
          <w:szCs w:val="24"/>
        </w:rPr>
        <w:t xml:space="preserve"> </w:t>
      </w:r>
      <w:r w:rsidR="00524C3D">
        <w:rPr>
          <w:rFonts w:ascii="Calibri" w:hAnsi="Calibri"/>
          <w:color w:val="auto"/>
          <w:szCs w:val="24"/>
        </w:rPr>
        <w:t>(</w:t>
      </w:r>
      <w:r w:rsidRPr="00030846">
        <w:rPr>
          <w:rFonts w:ascii="Calibri" w:hAnsi="Calibri"/>
          <w:color w:val="auto"/>
          <w:szCs w:val="24"/>
        </w:rPr>
        <w:t>connot</w:t>
      </w:r>
      <w:r w:rsidR="00524C3D">
        <w:rPr>
          <w:rFonts w:ascii="Calibri" w:hAnsi="Calibri"/>
          <w:color w:val="auto"/>
          <w:szCs w:val="24"/>
        </w:rPr>
        <w:t>ing</w:t>
      </w:r>
      <w:r w:rsidRPr="00030846">
        <w:rPr>
          <w:rFonts w:ascii="Calibri" w:hAnsi="Calibri"/>
          <w:color w:val="auto"/>
          <w:szCs w:val="24"/>
        </w:rPr>
        <w:t xml:space="preserve"> </w:t>
      </w:r>
      <w:r w:rsidR="00030846" w:rsidRPr="00030846">
        <w:rPr>
          <w:rFonts w:ascii="Calibri" w:hAnsi="Calibri"/>
          <w:color w:val="auto"/>
          <w:szCs w:val="24"/>
        </w:rPr>
        <w:t>mild</w:t>
      </w:r>
      <w:r w:rsidRPr="00030846">
        <w:rPr>
          <w:rFonts w:ascii="Calibri" w:hAnsi="Calibri"/>
          <w:color w:val="auto"/>
          <w:szCs w:val="24"/>
        </w:rPr>
        <w:t xml:space="preserve"> symptoms or impairment in social</w:t>
      </w:r>
      <w:r w:rsidR="00524C3D">
        <w:rPr>
          <w:rFonts w:ascii="Calibri" w:hAnsi="Calibri"/>
          <w:color w:val="auto"/>
          <w:szCs w:val="24"/>
        </w:rPr>
        <w:t>/</w:t>
      </w:r>
      <w:r w:rsidRPr="00030846">
        <w:rPr>
          <w:rFonts w:ascii="Calibri" w:hAnsi="Calibri"/>
          <w:color w:val="auto"/>
          <w:szCs w:val="24"/>
        </w:rPr>
        <w:t>occupational functioning</w:t>
      </w:r>
      <w:r w:rsidR="00524C3D">
        <w:rPr>
          <w:rFonts w:ascii="Calibri" w:hAnsi="Calibri"/>
          <w:color w:val="auto"/>
          <w:szCs w:val="24"/>
        </w:rPr>
        <w:t>)</w:t>
      </w:r>
      <w:r w:rsidRPr="00030846">
        <w:rPr>
          <w:rFonts w:ascii="Calibri" w:hAnsi="Calibri"/>
          <w:color w:val="auto"/>
          <w:szCs w:val="24"/>
        </w:rPr>
        <w:t xml:space="preserve">.  </w:t>
      </w:r>
      <w:r w:rsidRPr="00CA7FC0">
        <w:rPr>
          <w:rFonts w:ascii="Calibri" w:hAnsi="Calibri"/>
          <w:color w:val="auto"/>
          <w:szCs w:val="24"/>
        </w:rPr>
        <w:t xml:space="preserve">At the time of the initial VA examination </w:t>
      </w:r>
      <w:r w:rsidR="00030846" w:rsidRPr="00CA7FC0">
        <w:rPr>
          <w:rFonts w:ascii="Calibri" w:hAnsi="Calibri"/>
          <w:color w:val="auto"/>
          <w:szCs w:val="24"/>
        </w:rPr>
        <w:t>two</w:t>
      </w:r>
      <w:r w:rsidRPr="00CA7FC0">
        <w:rPr>
          <w:rFonts w:ascii="Calibri" w:hAnsi="Calibri"/>
          <w:color w:val="auto"/>
          <w:szCs w:val="24"/>
        </w:rPr>
        <w:t xml:space="preserve"> months after separation</w:t>
      </w:r>
      <w:r w:rsidR="008F389D">
        <w:rPr>
          <w:rFonts w:ascii="Calibri" w:hAnsi="Calibri"/>
          <w:color w:val="auto"/>
          <w:szCs w:val="24"/>
        </w:rPr>
        <w:t>,</w:t>
      </w:r>
      <w:r w:rsidRPr="00CA7FC0">
        <w:rPr>
          <w:rFonts w:ascii="Calibri" w:hAnsi="Calibri"/>
          <w:color w:val="auto"/>
          <w:szCs w:val="24"/>
        </w:rPr>
        <w:t xml:space="preserve"> the CI’s symptoms included </w:t>
      </w:r>
      <w:r w:rsidR="00CA7FC0" w:rsidRPr="00CA7FC0">
        <w:rPr>
          <w:rFonts w:ascii="Calibri" w:hAnsi="Calibri"/>
          <w:color w:val="auto"/>
          <w:szCs w:val="24"/>
        </w:rPr>
        <w:t>poor sleep, outburst</w:t>
      </w:r>
      <w:r w:rsidR="00524C3D">
        <w:rPr>
          <w:rFonts w:ascii="Calibri" w:hAnsi="Calibri"/>
          <w:color w:val="auto"/>
          <w:szCs w:val="24"/>
        </w:rPr>
        <w:t>s</w:t>
      </w:r>
      <w:r w:rsidR="00CA7FC0" w:rsidRPr="00CA7FC0">
        <w:rPr>
          <w:rFonts w:ascii="Calibri" w:hAnsi="Calibri"/>
          <w:color w:val="auto"/>
          <w:szCs w:val="24"/>
        </w:rPr>
        <w:t xml:space="preserve"> of anger, difficulty expressing affection, concentration problems, social withdrawal, and </w:t>
      </w:r>
      <w:r w:rsidRPr="00CA7FC0">
        <w:rPr>
          <w:rFonts w:ascii="Calibri" w:hAnsi="Calibri"/>
          <w:color w:val="auto"/>
          <w:szCs w:val="24"/>
        </w:rPr>
        <w:t xml:space="preserve">avoidance of crowded places.  He was employed, </w:t>
      </w:r>
      <w:r w:rsidR="00CA7FC0" w:rsidRPr="00CA7FC0">
        <w:rPr>
          <w:rFonts w:ascii="Calibri" w:hAnsi="Calibri"/>
          <w:color w:val="auto"/>
          <w:szCs w:val="24"/>
        </w:rPr>
        <w:t>was not missing time due to PTSD symptoms, but stated he was struggling to perform well</w:t>
      </w:r>
      <w:r w:rsidR="00CA7FC0" w:rsidRPr="00653A25">
        <w:rPr>
          <w:rFonts w:ascii="Calibri" w:hAnsi="Calibri"/>
          <w:color w:val="auto"/>
          <w:szCs w:val="24"/>
        </w:rPr>
        <w:t>.</w:t>
      </w:r>
      <w:r w:rsidRPr="00653A25">
        <w:rPr>
          <w:rFonts w:ascii="Calibri" w:hAnsi="Calibri"/>
          <w:color w:val="auto"/>
          <w:szCs w:val="24"/>
        </w:rPr>
        <w:t xml:space="preserve">  He was </w:t>
      </w:r>
      <w:r w:rsidR="00CA7FC0" w:rsidRPr="00653A25">
        <w:rPr>
          <w:rFonts w:ascii="Calibri" w:hAnsi="Calibri"/>
          <w:color w:val="auto"/>
          <w:szCs w:val="24"/>
        </w:rPr>
        <w:t>living with</w:t>
      </w:r>
      <w:r w:rsidRPr="00653A25">
        <w:rPr>
          <w:rFonts w:ascii="Calibri" w:hAnsi="Calibri"/>
          <w:color w:val="auto"/>
          <w:szCs w:val="24"/>
        </w:rPr>
        <w:t xml:space="preserve"> a girlfriend</w:t>
      </w:r>
      <w:r w:rsidR="005A26F7">
        <w:rPr>
          <w:rFonts w:ascii="Calibri" w:hAnsi="Calibri"/>
          <w:color w:val="auto"/>
          <w:szCs w:val="24"/>
        </w:rPr>
        <w:t>,</w:t>
      </w:r>
      <w:r w:rsidRPr="00653A25">
        <w:rPr>
          <w:rFonts w:ascii="Calibri" w:hAnsi="Calibri"/>
          <w:color w:val="auto"/>
          <w:szCs w:val="24"/>
        </w:rPr>
        <w:t xml:space="preserve"> </w:t>
      </w:r>
      <w:r w:rsidR="00CA7FC0" w:rsidRPr="00653A25">
        <w:rPr>
          <w:rFonts w:ascii="Calibri" w:hAnsi="Calibri"/>
          <w:color w:val="auto"/>
          <w:szCs w:val="24"/>
        </w:rPr>
        <w:t>but reported that the relationship was stressed due to his symptoms</w:t>
      </w:r>
      <w:r w:rsidRPr="00653A25">
        <w:rPr>
          <w:rFonts w:ascii="Calibri" w:hAnsi="Calibri"/>
          <w:color w:val="auto"/>
          <w:szCs w:val="24"/>
        </w:rPr>
        <w:t xml:space="preserve">.  He </w:t>
      </w:r>
      <w:r w:rsidR="00CA7FC0" w:rsidRPr="00653A25">
        <w:rPr>
          <w:rFonts w:ascii="Calibri" w:hAnsi="Calibri"/>
          <w:color w:val="auto"/>
          <w:szCs w:val="24"/>
        </w:rPr>
        <w:t>had some friends that he saw several times per week, and went out to restaurants a few times per month</w:t>
      </w:r>
      <w:r w:rsidRPr="00653A25">
        <w:rPr>
          <w:rFonts w:ascii="Calibri" w:hAnsi="Calibri"/>
          <w:color w:val="auto"/>
          <w:szCs w:val="24"/>
        </w:rPr>
        <w:t xml:space="preserve">.  </w:t>
      </w:r>
      <w:r w:rsidR="0050278D" w:rsidRPr="00653A25">
        <w:rPr>
          <w:rFonts w:ascii="Calibri" w:hAnsi="Calibri"/>
          <w:color w:val="auto"/>
          <w:szCs w:val="24"/>
        </w:rPr>
        <w:t xml:space="preserve">He was not currently under treatment for his PTSD, but had a treatment appointment scheduled.  The VA examiner did not </w:t>
      </w:r>
      <w:r w:rsidR="00524C3D">
        <w:rPr>
          <w:rFonts w:ascii="Calibri" w:hAnsi="Calibri"/>
          <w:color w:val="auto"/>
          <w:szCs w:val="24"/>
        </w:rPr>
        <w:t>document</w:t>
      </w:r>
      <w:r w:rsidR="0050278D" w:rsidRPr="00653A25">
        <w:rPr>
          <w:rFonts w:ascii="Calibri" w:hAnsi="Calibri"/>
          <w:color w:val="auto"/>
          <w:szCs w:val="24"/>
        </w:rPr>
        <w:t xml:space="preserve"> a MSE, but mentioned </w:t>
      </w:r>
      <w:r w:rsidR="008F389D">
        <w:rPr>
          <w:rFonts w:ascii="Calibri" w:hAnsi="Calibri"/>
          <w:color w:val="auto"/>
          <w:szCs w:val="24"/>
        </w:rPr>
        <w:t xml:space="preserve">his </w:t>
      </w:r>
      <w:r w:rsidR="0050278D" w:rsidRPr="00653A25">
        <w:rPr>
          <w:rFonts w:ascii="Calibri" w:hAnsi="Calibri"/>
          <w:color w:val="auto"/>
          <w:szCs w:val="24"/>
        </w:rPr>
        <w:t>depressed mood.  He also stated that the CI’s “</w:t>
      </w:r>
      <w:r w:rsidR="008F389D">
        <w:rPr>
          <w:rFonts w:ascii="Calibri" w:hAnsi="Calibri"/>
          <w:color w:val="auto"/>
          <w:szCs w:val="24"/>
        </w:rPr>
        <w:t>t</w:t>
      </w:r>
      <w:r w:rsidR="0050278D" w:rsidRPr="00653A25">
        <w:rPr>
          <w:rFonts w:ascii="Calibri" w:hAnsi="Calibri"/>
          <w:color w:val="auto"/>
          <w:szCs w:val="24"/>
        </w:rPr>
        <w:t>hought processes</w:t>
      </w:r>
      <w:r w:rsidR="008F389D">
        <w:rPr>
          <w:rFonts w:ascii="Calibri" w:hAnsi="Calibri"/>
          <w:color w:val="auto"/>
          <w:szCs w:val="24"/>
        </w:rPr>
        <w:t>,</w:t>
      </w:r>
      <w:r w:rsidR="00BC4684">
        <w:rPr>
          <w:rFonts w:ascii="Calibri" w:hAnsi="Calibri"/>
          <w:color w:val="auto"/>
          <w:szCs w:val="24"/>
        </w:rPr>
        <w:t xml:space="preserve"> </w:t>
      </w:r>
      <w:r w:rsidR="0050278D" w:rsidRPr="00653A25">
        <w:rPr>
          <w:rFonts w:ascii="Calibri" w:hAnsi="Calibri"/>
          <w:color w:val="auto"/>
          <w:szCs w:val="24"/>
        </w:rPr>
        <w:t>particularly memory and concentration</w:t>
      </w:r>
      <w:r w:rsidR="008F389D">
        <w:rPr>
          <w:rFonts w:ascii="Calibri" w:hAnsi="Calibri"/>
          <w:color w:val="auto"/>
          <w:szCs w:val="24"/>
        </w:rPr>
        <w:t>,</w:t>
      </w:r>
      <w:r w:rsidR="0050278D" w:rsidRPr="00653A25">
        <w:rPr>
          <w:rFonts w:ascii="Calibri" w:hAnsi="Calibri"/>
          <w:color w:val="auto"/>
          <w:szCs w:val="24"/>
        </w:rPr>
        <w:t xml:space="preserve"> are definitely impaired</w:t>
      </w:r>
      <w:r w:rsidR="00524C3D">
        <w:rPr>
          <w:rFonts w:ascii="Calibri" w:hAnsi="Calibri"/>
          <w:color w:val="auto"/>
          <w:szCs w:val="24"/>
        </w:rPr>
        <w:t>.</w:t>
      </w:r>
      <w:r w:rsidR="0050278D" w:rsidRPr="00653A25">
        <w:rPr>
          <w:rFonts w:ascii="Calibri" w:hAnsi="Calibri"/>
          <w:color w:val="auto"/>
          <w:szCs w:val="24"/>
        </w:rPr>
        <w:t xml:space="preserve">”  </w:t>
      </w:r>
      <w:r w:rsidRPr="00653A25">
        <w:rPr>
          <w:rFonts w:ascii="Calibri" w:hAnsi="Calibri"/>
          <w:color w:val="auto"/>
          <w:szCs w:val="24"/>
        </w:rPr>
        <w:t>The VA examiner assigned a GAF of 5</w:t>
      </w:r>
      <w:r w:rsidR="00653A25" w:rsidRPr="00653A25">
        <w:rPr>
          <w:rFonts w:ascii="Calibri" w:hAnsi="Calibri"/>
          <w:color w:val="auto"/>
          <w:szCs w:val="24"/>
        </w:rPr>
        <w:t>5</w:t>
      </w:r>
      <w:r w:rsidRPr="00653A25">
        <w:rPr>
          <w:rFonts w:ascii="Calibri" w:hAnsi="Calibri"/>
          <w:color w:val="auto"/>
          <w:szCs w:val="24"/>
        </w:rPr>
        <w:t xml:space="preserve"> (connoting </w:t>
      </w:r>
      <w:r w:rsidR="0032080E">
        <w:rPr>
          <w:rFonts w:ascii="Calibri" w:hAnsi="Calibri"/>
          <w:color w:val="auto"/>
          <w:szCs w:val="24"/>
        </w:rPr>
        <w:t>moderate</w:t>
      </w:r>
      <w:r w:rsidRPr="00653A25">
        <w:rPr>
          <w:rFonts w:ascii="Calibri" w:hAnsi="Calibri"/>
          <w:color w:val="auto"/>
          <w:szCs w:val="24"/>
        </w:rPr>
        <w:t xml:space="preserve"> symptoms</w:t>
      </w:r>
      <w:r w:rsidR="0032080E">
        <w:rPr>
          <w:rFonts w:ascii="Calibri" w:hAnsi="Calibri"/>
          <w:color w:val="auto"/>
          <w:szCs w:val="24"/>
        </w:rPr>
        <w:t xml:space="preserve"> or</w:t>
      </w:r>
      <w:r w:rsidRPr="00653A25">
        <w:rPr>
          <w:rFonts w:ascii="Calibri" w:hAnsi="Calibri"/>
          <w:color w:val="auto"/>
          <w:szCs w:val="24"/>
        </w:rPr>
        <w:t xml:space="preserve"> impairment).</w:t>
      </w:r>
      <w:r w:rsidR="00653A25">
        <w:rPr>
          <w:rFonts w:ascii="Calibri" w:hAnsi="Calibri"/>
          <w:color w:val="auto"/>
          <w:szCs w:val="24"/>
        </w:rPr>
        <w:t xml:space="preserve">  </w:t>
      </w:r>
      <w:r w:rsidR="0032080E">
        <w:rPr>
          <w:rFonts w:ascii="Calibri" w:hAnsi="Calibri"/>
          <w:color w:val="auto"/>
          <w:szCs w:val="24"/>
        </w:rPr>
        <w:t>Two years later, a</w:t>
      </w:r>
      <w:r w:rsidR="00653A25">
        <w:rPr>
          <w:rFonts w:ascii="Calibri" w:hAnsi="Calibri"/>
          <w:color w:val="auto"/>
          <w:szCs w:val="24"/>
        </w:rPr>
        <w:t xml:space="preserve">t </w:t>
      </w:r>
      <w:r w:rsidR="0032080E">
        <w:rPr>
          <w:rFonts w:ascii="Calibri" w:hAnsi="Calibri"/>
          <w:color w:val="auto"/>
          <w:szCs w:val="24"/>
        </w:rPr>
        <w:t>his VA</w:t>
      </w:r>
      <w:r w:rsidR="00653A25">
        <w:rPr>
          <w:rFonts w:ascii="Calibri" w:hAnsi="Calibri"/>
          <w:color w:val="auto"/>
          <w:szCs w:val="24"/>
        </w:rPr>
        <w:t xml:space="preserve"> exams 28 months after separation</w:t>
      </w:r>
      <w:r w:rsidR="0032080E">
        <w:rPr>
          <w:rFonts w:ascii="Calibri" w:hAnsi="Calibri"/>
          <w:color w:val="auto"/>
          <w:szCs w:val="24"/>
        </w:rPr>
        <w:t>,</w:t>
      </w:r>
      <w:r w:rsidR="00653A25">
        <w:rPr>
          <w:rFonts w:ascii="Calibri" w:hAnsi="Calibri"/>
          <w:color w:val="auto"/>
          <w:szCs w:val="24"/>
        </w:rPr>
        <w:t xml:space="preserve"> the CI was unemployed, but enrolled full</w:t>
      </w:r>
      <w:r w:rsidR="008F389D">
        <w:rPr>
          <w:rFonts w:ascii="Calibri" w:hAnsi="Calibri"/>
          <w:color w:val="auto"/>
          <w:szCs w:val="24"/>
        </w:rPr>
        <w:t>-</w:t>
      </w:r>
      <w:r w:rsidR="00653A25">
        <w:rPr>
          <w:rFonts w:ascii="Calibri" w:hAnsi="Calibri"/>
          <w:color w:val="auto"/>
          <w:szCs w:val="24"/>
        </w:rPr>
        <w:t xml:space="preserve">time as a college student.  He </w:t>
      </w:r>
      <w:r w:rsidR="0032080E">
        <w:rPr>
          <w:rFonts w:ascii="Calibri" w:hAnsi="Calibri"/>
          <w:color w:val="auto"/>
          <w:szCs w:val="24"/>
        </w:rPr>
        <w:t>was living</w:t>
      </w:r>
      <w:r w:rsidR="00653A25">
        <w:rPr>
          <w:rFonts w:ascii="Calibri" w:hAnsi="Calibri"/>
          <w:color w:val="auto"/>
          <w:szCs w:val="24"/>
        </w:rPr>
        <w:t xml:space="preserve"> with the same girlfriend and continued to describe the relati</w:t>
      </w:r>
      <w:r w:rsidR="0032080E">
        <w:rPr>
          <w:rFonts w:ascii="Calibri" w:hAnsi="Calibri"/>
          <w:color w:val="auto"/>
          <w:szCs w:val="24"/>
        </w:rPr>
        <w:t>onship as strained.</w:t>
      </w:r>
    </w:p>
    <w:p w:rsidR="00E72BD5" w:rsidRDefault="00E72BD5" w:rsidP="00E72BD5">
      <w:pPr>
        <w:tabs>
          <w:tab w:val="left" w:pos="2980"/>
        </w:tabs>
        <w:spacing w:line="240" w:lineRule="exact"/>
        <w:rPr>
          <w:rFonts w:ascii="Calibri" w:hAnsi="Calibri"/>
          <w:color w:val="auto"/>
          <w:szCs w:val="24"/>
        </w:rPr>
      </w:pPr>
    </w:p>
    <w:p w:rsidR="00E72BD5" w:rsidRDefault="00E72BD5" w:rsidP="00D11F11">
      <w:pPr>
        <w:tabs>
          <w:tab w:val="left" w:pos="2980"/>
        </w:tabs>
        <w:spacing w:line="240" w:lineRule="exact"/>
        <w:jc w:val="both"/>
        <w:rPr>
          <w:rFonts w:ascii="Calibri" w:hAnsi="Calibri"/>
          <w:color w:val="auto"/>
          <w:szCs w:val="24"/>
        </w:rPr>
      </w:pPr>
      <w:r w:rsidRPr="00653A25">
        <w:rPr>
          <w:rFonts w:ascii="Calibri" w:hAnsi="Calibri"/>
          <w:color w:val="auto"/>
          <w:szCs w:val="24"/>
        </w:rPr>
        <w:t xml:space="preserve">The Board directs its attention to its rating recommendations based on the evidence just described.  All members agreed that the §4.130 criteria for a rating higher than 50% were not met at the time of separation, and therefore the minimum 50% TDRL rating (as explained above) is applicable.  The VA rated the CI’s PTSD at 50% based on §4.130 criteria without application of §4.129.  The MEB examination was most consistent with the general description for a §4.130 rating of 30% (“occupational and social impairment with occasional decrease in work efficiency and intermittent periods of inability to perform occupational tasks”), considering that the CI’s symptoms stabilized </w:t>
      </w:r>
      <w:r w:rsidR="00653A25" w:rsidRPr="00653A25">
        <w:rPr>
          <w:rFonts w:ascii="Calibri" w:hAnsi="Calibri"/>
          <w:color w:val="auto"/>
          <w:szCs w:val="24"/>
        </w:rPr>
        <w:t xml:space="preserve">and slightly improved </w:t>
      </w:r>
      <w:r w:rsidRPr="00653A25">
        <w:rPr>
          <w:rFonts w:ascii="Calibri" w:hAnsi="Calibri"/>
          <w:color w:val="auto"/>
          <w:szCs w:val="24"/>
        </w:rPr>
        <w:t xml:space="preserve">following psychiatric treatment, and his </w:t>
      </w:r>
      <w:r w:rsidR="00653A25" w:rsidRPr="00653A25">
        <w:rPr>
          <w:rFonts w:ascii="Calibri" w:hAnsi="Calibri"/>
          <w:color w:val="auto"/>
          <w:szCs w:val="24"/>
        </w:rPr>
        <w:t xml:space="preserve">generally intact social abilities as evidenced by a new relationship with a </w:t>
      </w:r>
      <w:r w:rsidR="00653A25" w:rsidRPr="00653A25">
        <w:rPr>
          <w:rFonts w:ascii="Calibri" w:hAnsi="Calibri"/>
          <w:color w:val="auto"/>
          <w:szCs w:val="24"/>
        </w:rPr>
        <w:lastRenderedPageBreak/>
        <w:t>girlfriend</w:t>
      </w:r>
      <w:r w:rsidRPr="00653A25">
        <w:rPr>
          <w:rFonts w:ascii="Calibri" w:hAnsi="Calibri"/>
          <w:color w:val="auto"/>
          <w:szCs w:val="24"/>
        </w:rPr>
        <w:t xml:space="preserve">.  The VA psychiatric examination was also consistent with the general description for a 30% rating, documenting </w:t>
      </w:r>
      <w:r w:rsidR="00653A25" w:rsidRPr="00653A25">
        <w:rPr>
          <w:rFonts w:ascii="Calibri" w:hAnsi="Calibri"/>
          <w:color w:val="auto"/>
          <w:szCs w:val="24"/>
        </w:rPr>
        <w:t>intact</w:t>
      </w:r>
      <w:r w:rsidRPr="00653A25">
        <w:rPr>
          <w:rFonts w:ascii="Calibri" w:hAnsi="Calibri"/>
          <w:color w:val="auto"/>
          <w:szCs w:val="24"/>
        </w:rPr>
        <w:t xml:space="preserve"> </w:t>
      </w:r>
      <w:r w:rsidRPr="00173778">
        <w:rPr>
          <w:rFonts w:ascii="Calibri" w:hAnsi="Calibri"/>
          <w:color w:val="auto"/>
          <w:szCs w:val="24"/>
        </w:rPr>
        <w:t>occupational function as well as proven</w:t>
      </w:r>
      <w:r w:rsidR="00653A25" w:rsidRPr="00173778">
        <w:rPr>
          <w:rFonts w:ascii="Calibri" w:hAnsi="Calibri"/>
          <w:color w:val="auto"/>
          <w:szCs w:val="24"/>
        </w:rPr>
        <w:t>, albeit strained,</w:t>
      </w:r>
      <w:r w:rsidRPr="00173778">
        <w:rPr>
          <w:rFonts w:ascii="Calibri" w:hAnsi="Calibri"/>
          <w:color w:val="auto"/>
          <w:szCs w:val="24"/>
        </w:rPr>
        <w:t xml:space="preserve"> social function with </w:t>
      </w:r>
      <w:r w:rsidR="00653A25" w:rsidRPr="00173778">
        <w:rPr>
          <w:rFonts w:ascii="Calibri" w:hAnsi="Calibri"/>
          <w:color w:val="auto"/>
          <w:szCs w:val="24"/>
        </w:rPr>
        <w:t>friends,</w:t>
      </w:r>
      <w:r w:rsidRPr="00173778">
        <w:rPr>
          <w:rFonts w:ascii="Calibri" w:hAnsi="Calibri"/>
          <w:color w:val="auto"/>
          <w:szCs w:val="24"/>
        </w:rPr>
        <w:t xml:space="preserve"> family</w:t>
      </w:r>
      <w:r w:rsidR="0032080E">
        <w:rPr>
          <w:rFonts w:ascii="Calibri" w:hAnsi="Calibri"/>
          <w:color w:val="auto"/>
          <w:szCs w:val="24"/>
        </w:rPr>
        <w:t>,</w:t>
      </w:r>
      <w:r w:rsidRPr="00173778">
        <w:rPr>
          <w:rFonts w:ascii="Calibri" w:hAnsi="Calibri"/>
          <w:color w:val="auto"/>
          <w:szCs w:val="24"/>
        </w:rPr>
        <w:t xml:space="preserve"> and girlfriend.  All members agreed that 70% threshold was not approached.  </w:t>
      </w:r>
      <w:r w:rsidR="00403447">
        <w:rPr>
          <w:rFonts w:ascii="Calibri" w:hAnsi="Calibri"/>
          <w:color w:val="auto"/>
          <w:szCs w:val="24"/>
        </w:rPr>
        <w:t>Members deliberated whether the 10% rating criteria for mild</w:t>
      </w:r>
      <w:r w:rsidR="003529D1">
        <w:rPr>
          <w:rFonts w:ascii="Calibri" w:hAnsi="Calibri"/>
          <w:color w:val="auto"/>
          <w:szCs w:val="24"/>
        </w:rPr>
        <w:t xml:space="preserve">, transient, or well controlled symptoms that decrease occupational efficiency only during periods of significant stress could be applicable in this case, but concluded that the CI’s persistent anger and inability to concentrate, among other symptoms, were consistent with his sense of struggling in the workplace, and that the 10% criteria were exceeded.  </w:t>
      </w:r>
      <w:r w:rsidRPr="00173778">
        <w:rPr>
          <w:rFonts w:ascii="Calibri" w:hAnsi="Calibri"/>
          <w:color w:val="auto"/>
          <w:szCs w:val="24"/>
        </w:rPr>
        <w:t>The Board considered that the post</w:t>
      </w:r>
      <w:r w:rsidR="008F389D">
        <w:rPr>
          <w:rFonts w:ascii="Calibri" w:hAnsi="Calibri"/>
          <w:color w:val="auto"/>
          <w:szCs w:val="24"/>
        </w:rPr>
        <w:t>-</w:t>
      </w:r>
      <w:r w:rsidRPr="00173778">
        <w:rPr>
          <w:rFonts w:ascii="Calibri" w:hAnsi="Calibri"/>
          <w:color w:val="auto"/>
          <w:szCs w:val="24"/>
        </w:rPr>
        <w:t>separation VA data could have been rated 30% under §4.130 based on t</w:t>
      </w:r>
      <w:r w:rsidR="0032080E">
        <w:rPr>
          <w:rFonts w:ascii="Calibri" w:hAnsi="Calibri"/>
          <w:color w:val="auto"/>
          <w:szCs w:val="24"/>
        </w:rPr>
        <w:t xml:space="preserve">he CI’s stable </w:t>
      </w:r>
      <w:r w:rsidRPr="00173778">
        <w:rPr>
          <w:rFonts w:ascii="Calibri" w:hAnsi="Calibri"/>
          <w:color w:val="auto"/>
          <w:szCs w:val="24"/>
        </w:rPr>
        <w:t xml:space="preserve">symptoms, and intact </w:t>
      </w:r>
      <w:r w:rsidR="00173778" w:rsidRPr="00173778">
        <w:rPr>
          <w:rFonts w:ascii="Calibri" w:hAnsi="Calibri"/>
          <w:color w:val="auto"/>
          <w:szCs w:val="24"/>
        </w:rPr>
        <w:t xml:space="preserve">occupational and </w:t>
      </w:r>
      <w:r w:rsidRPr="00173778">
        <w:rPr>
          <w:rFonts w:ascii="Calibri" w:hAnsi="Calibri"/>
          <w:color w:val="auto"/>
          <w:szCs w:val="24"/>
        </w:rPr>
        <w:t>social function in the post</w:t>
      </w:r>
      <w:r w:rsidR="008F389D">
        <w:rPr>
          <w:rFonts w:ascii="Calibri" w:hAnsi="Calibri"/>
          <w:color w:val="auto"/>
          <w:szCs w:val="24"/>
        </w:rPr>
        <w:t>-</w:t>
      </w:r>
      <w:r w:rsidRPr="00173778">
        <w:rPr>
          <w:rFonts w:ascii="Calibri" w:hAnsi="Calibri"/>
          <w:color w:val="auto"/>
          <w:szCs w:val="24"/>
        </w:rPr>
        <w:t xml:space="preserve">separation period.  This was tempered by the </w:t>
      </w:r>
      <w:r w:rsidR="00173778" w:rsidRPr="00173778">
        <w:rPr>
          <w:rFonts w:ascii="Calibri" w:hAnsi="Calibri"/>
          <w:color w:val="auto"/>
          <w:szCs w:val="24"/>
        </w:rPr>
        <w:t>recognition that his true condition at six month</w:t>
      </w:r>
      <w:r w:rsidR="0032080E">
        <w:rPr>
          <w:rFonts w:ascii="Calibri" w:hAnsi="Calibri"/>
          <w:color w:val="auto"/>
          <w:szCs w:val="24"/>
        </w:rPr>
        <w:t>s was somewhat speculative</w:t>
      </w:r>
      <w:r w:rsidRPr="00173778">
        <w:rPr>
          <w:rFonts w:ascii="Calibri" w:hAnsi="Calibri"/>
          <w:color w:val="auto"/>
          <w:szCs w:val="24"/>
        </w:rPr>
        <w:t xml:space="preserve">.  After due deliberation, and in consideration of all the evidence and VASRD §4.3 (reasonable doubt), the Board </w:t>
      </w:r>
      <w:r w:rsidRPr="00A27C51">
        <w:rPr>
          <w:rFonts w:ascii="Calibri" w:hAnsi="Calibri"/>
          <w:color w:val="auto"/>
          <w:szCs w:val="24"/>
        </w:rPr>
        <w:t xml:space="preserve">recommends </w:t>
      </w:r>
      <w:r w:rsidR="00173778" w:rsidRPr="00A27C51">
        <w:rPr>
          <w:rFonts w:ascii="Calibri" w:hAnsi="Calibri"/>
          <w:color w:val="auto"/>
          <w:szCs w:val="24"/>
        </w:rPr>
        <w:t>3</w:t>
      </w:r>
      <w:r w:rsidRPr="00A27C51">
        <w:rPr>
          <w:rFonts w:ascii="Calibri" w:hAnsi="Calibri"/>
          <w:color w:val="auto"/>
          <w:szCs w:val="24"/>
        </w:rPr>
        <w:t>0% as the</w:t>
      </w:r>
      <w:r w:rsidRPr="00173778">
        <w:rPr>
          <w:rFonts w:ascii="Calibri" w:hAnsi="Calibri"/>
          <w:color w:val="auto"/>
          <w:szCs w:val="24"/>
        </w:rPr>
        <w:t xml:space="preserve"> fair permanent separation rating for PTSD.</w:t>
      </w:r>
    </w:p>
    <w:p w:rsidR="00F07052" w:rsidRPr="004E0248" w:rsidRDefault="00F07052" w:rsidP="00AF1668">
      <w:pPr>
        <w:tabs>
          <w:tab w:val="left" w:pos="288"/>
          <w:tab w:val="left" w:pos="4752"/>
        </w:tabs>
        <w:spacing w:line="240" w:lineRule="exact"/>
        <w:rPr>
          <w:rFonts w:asciiTheme="minorHAnsi" w:eastAsiaTheme="minorHAnsi" w:hAnsiTheme="minorHAnsi"/>
          <w:color w:val="auto"/>
          <w:szCs w:val="24"/>
        </w:rPr>
      </w:pPr>
    </w:p>
    <w:p w:rsidR="0073254D" w:rsidRPr="00542C9A" w:rsidRDefault="0073254D" w:rsidP="00D11F11">
      <w:pPr>
        <w:tabs>
          <w:tab w:val="left" w:pos="288"/>
          <w:tab w:val="left" w:pos="4752"/>
        </w:tabs>
        <w:spacing w:line="240" w:lineRule="exact"/>
        <w:jc w:val="both"/>
        <w:rPr>
          <w:rFonts w:asciiTheme="minorHAnsi" w:hAnsiTheme="minorHAnsi"/>
          <w:color w:val="auto"/>
          <w:szCs w:val="24"/>
        </w:rPr>
      </w:pPr>
      <w:proofErr w:type="gramStart"/>
      <w:r w:rsidRPr="00542C9A">
        <w:rPr>
          <w:rFonts w:asciiTheme="minorHAnsi" w:hAnsiTheme="minorHAnsi"/>
          <w:color w:val="auto"/>
          <w:szCs w:val="24"/>
          <w:u w:val="single"/>
        </w:rPr>
        <w:t>Other Conditions</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FB3924" w:rsidRPr="00FB3924">
        <w:rPr>
          <w:rFonts w:asciiTheme="minorHAnsi" w:hAnsiTheme="minorHAnsi"/>
          <w:color w:val="auto"/>
          <w:szCs w:val="24"/>
        </w:rPr>
        <w:t xml:space="preserve">The other condition adjudicated as </w:t>
      </w:r>
      <w:r w:rsidR="00A27C51">
        <w:rPr>
          <w:rFonts w:asciiTheme="minorHAnsi" w:hAnsiTheme="minorHAnsi"/>
          <w:color w:val="auto"/>
          <w:szCs w:val="24"/>
        </w:rPr>
        <w:t>Category II</w:t>
      </w:r>
      <w:r w:rsidR="00FB3924" w:rsidRPr="00FB3924">
        <w:rPr>
          <w:rFonts w:asciiTheme="minorHAnsi" w:hAnsiTheme="minorHAnsi"/>
          <w:color w:val="auto"/>
          <w:szCs w:val="24"/>
        </w:rPr>
        <w:t xml:space="preserve"> by the PEB </w:t>
      </w:r>
      <w:r w:rsidR="00173778">
        <w:rPr>
          <w:rFonts w:asciiTheme="minorHAnsi" w:hAnsiTheme="minorHAnsi"/>
          <w:color w:val="auto"/>
          <w:szCs w:val="24"/>
        </w:rPr>
        <w:t>was status post IED blast</w:t>
      </w:r>
      <w:r w:rsidR="00FB3924" w:rsidRPr="00FB3924">
        <w:rPr>
          <w:rFonts w:asciiTheme="minorHAnsi" w:hAnsiTheme="minorHAnsi"/>
          <w:color w:val="auto"/>
          <w:szCs w:val="24"/>
        </w:rPr>
        <w:t xml:space="preserve">.  </w:t>
      </w:r>
      <w:r w:rsidR="00173778">
        <w:rPr>
          <w:rFonts w:asciiTheme="minorHAnsi" w:hAnsiTheme="minorHAnsi"/>
          <w:color w:val="auto"/>
          <w:szCs w:val="24"/>
        </w:rPr>
        <w:t xml:space="preserve">The Board presumes that this diagnosis is equivalent to TBI.  </w:t>
      </w:r>
      <w:r w:rsidR="00173778" w:rsidRPr="00FB3924">
        <w:rPr>
          <w:rFonts w:asciiTheme="minorHAnsi" w:hAnsiTheme="minorHAnsi"/>
          <w:color w:val="auto"/>
          <w:szCs w:val="24"/>
        </w:rPr>
        <w:t>The CI’s application asserts that</w:t>
      </w:r>
      <w:r w:rsidR="00173778">
        <w:rPr>
          <w:rFonts w:asciiTheme="minorHAnsi" w:hAnsiTheme="minorHAnsi"/>
          <w:color w:val="auto"/>
          <w:szCs w:val="24"/>
        </w:rPr>
        <w:t xml:space="preserve"> a</w:t>
      </w:r>
      <w:r w:rsidR="00173778" w:rsidRPr="00FB3924">
        <w:rPr>
          <w:rFonts w:asciiTheme="minorHAnsi" w:hAnsiTheme="minorHAnsi"/>
          <w:color w:val="auto"/>
          <w:szCs w:val="24"/>
        </w:rPr>
        <w:t xml:space="preserve"> compensable rating should be considered for </w:t>
      </w:r>
      <w:r w:rsidR="00173778">
        <w:rPr>
          <w:rFonts w:asciiTheme="minorHAnsi" w:hAnsiTheme="minorHAnsi"/>
          <w:color w:val="auto"/>
          <w:szCs w:val="24"/>
        </w:rPr>
        <w:t xml:space="preserve">TBI.  </w:t>
      </w:r>
      <w:r w:rsidR="001A58F2">
        <w:rPr>
          <w:rFonts w:asciiTheme="minorHAnsi" w:hAnsiTheme="minorHAnsi"/>
          <w:color w:val="auto"/>
          <w:szCs w:val="24"/>
        </w:rPr>
        <w:t>There is no mention of TBI related symptoms in the NARSUM.  Headaches are documented in the MEB history.  At the VA C&amp;P exam two months after separation he r</w:t>
      </w:r>
      <w:r w:rsidR="00640FBB">
        <w:rPr>
          <w:rFonts w:asciiTheme="minorHAnsi" w:hAnsiTheme="minorHAnsi"/>
          <w:color w:val="auto"/>
          <w:szCs w:val="24"/>
        </w:rPr>
        <w:t xml:space="preserve">eported </w:t>
      </w:r>
      <w:r w:rsidR="001A58F2">
        <w:rPr>
          <w:rFonts w:asciiTheme="minorHAnsi" w:hAnsiTheme="minorHAnsi"/>
          <w:color w:val="auto"/>
          <w:szCs w:val="24"/>
        </w:rPr>
        <w:t xml:space="preserve">memory </w:t>
      </w:r>
      <w:r w:rsidR="001A58F2" w:rsidRPr="001A58F2">
        <w:rPr>
          <w:rFonts w:asciiTheme="minorHAnsi" w:hAnsiTheme="minorHAnsi"/>
          <w:color w:val="auto"/>
          <w:szCs w:val="24"/>
        </w:rPr>
        <w:t>difficulty,</w:t>
      </w:r>
      <w:r w:rsidR="001A58F2">
        <w:rPr>
          <w:rFonts w:asciiTheme="minorHAnsi" w:hAnsiTheme="minorHAnsi"/>
          <w:color w:val="auto"/>
          <w:szCs w:val="24"/>
        </w:rPr>
        <w:t xml:space="preserve"> </w:t>
      </w:r>
      <w:r w:rsidR="001A58F2" w:rsidRPr="001A58F2">
        <w:rPr>
          <w:rFonts w:asciiTheme="minorHAnsi" w:hAnsiTheme="minorHAnsi"/>
          <w:color w:val="auto"/>
          <w:szCs w:val="24"/>
        </w:rPr>
        <w:t xml:space="preserve">concentration problem, headache </w:t>
      </w:r>
      <w:r w:rsidR="007C3838">
        <w:rPr>
          <w:rFonts w:asciiTheme="minorHAnsi" w:hAnsiTheme="minorHAnsi"/>
          <w:color w:val="auto"/>
          <w:szCs w:val="24"/>
        </w:rPr>
        <w:t xml:space="preserve">three to four </w:t>
      </w:r>
      <w:r w:rsidR="001A58F2" w:rsidRPr="001A58F2">
        <w:rPr>
          <w:rFonts w:asciiTheme="minorHAnsi" w:hAnsiTheme="minorHAnsi"/>
          <w:color w:val="auto"/>
          <w:szCs w:val="24"/>
        </w:rPr>
        <w:t>times per month</w:t>
      </w:r>
      <w:r w:rsidR="007C3838">
        <w:rPr>
          <w:rFonts w:asciiTheme="minorHAnsi" w:hAnsiTheme="minorHAnsi"/>
          <w:color w:val="auto"/>
          <w:szCs w:val="24"/>
        </w:rPr>
        <w:t>,</w:t>
      </w:r>
      <w:r w:rsidR="001A58F2">
        <w:rPr>
          <w:rFonts w:asciiTheme="minorHAnsi" w:hAnsiTheme="minorHAnsi"/>
          <w:color w:val="auto"/>
          <w:szCs w:val="24"/>
        </w:rPr>
        <w:t xml:space="preserve"> </w:t>
      </w:r>
      <w:r w:rsidR="007C3838">
        <w:rPr>
          <w:rFonts w:asciiTheme="minorHAnsi" w:hAnsiTheme="minorHAnsi"/>
          <w:color w:val="auto"/>
          <w:szCs w:val="24"/>
        </w:rPr>
        <w:t xml:space="preserve">lasting </w:t>
      </w:r>
      <w:r w:rsidR="001A58F2" w:rsidRPr="001A58F2">
        <w:rPr>
          <w:rFonts w:asciiTheme="minorHAnsi" w:hAnsiTheme="minorHAnsi"/>
          <w:color w:val="auto"/>
          <w:szCs w:val="24"/>
        </w:rPr>
        <w:t xml:space="preserve">between an hour </w:t>
      </w:r>
      <w:proofErr w:type="gramStart"/>
      <w:r w:rsidR="001A58F2" w:rsidRPr="001A58F2">
        <w:rPr>
          <w:rFonts w:asciiTheme="minorHAnsi" w:hAnsiTheme="minorHAnsi"/>
          <w:color w:val="auto"/>
          <w:szCs w:val="24"/>
        </w:rPr>
        <w:t>or</w:t>
      </w:r>
      <w:proofErr w:type="gramEnd"/>
      <w:r w:rsidR="001A58F2" w:rsidRPr="001A58F2">
        <w:rPr>
          <w:rFonts w:asciiTheme="minorHAnsi" w:hAnsiTheme="minorHAnsi"/>
          <w:color w:val="auto"/>
          <w:szCs w:val="24"/>
        </w:rPr>
        <w:t xml:space="preserve"> two</w:t>
      </w:r>
      <w:r w:rsidR="00640FBB">
        <w:rPr>
          <w:rFonts w:asciiTheme="minorHAnsi" w:hAnsiTheme="minorHAnsi"/>
          <w:color w:val="auto"/>
          <w:szCs w:val="24"/>
        </w:rPr>
        <w:t>.</w:t>
      </w:r>
      <w:r w:rsidR="001A58F2">
        <w:rPr>
          <w:rFonts w:asciiTheme="minorHAnsi" w:hAnsiTheme="minorHAnsi"/>
          <w:color w:val="auto"/>
          <w:szCs w:val="24"/>
        </w:rPr>
        <w:t xml:space="preserve">  </w:t>
      </w:r>
      <w:r w:rsidR="003A089B">
        <w:rPr>
          <w:rFonts w:asciiTheme="minorHAnsi" w:hAnsiTheme="minorHAnsi"/>
          <w:color w:val="auto"/>
          <w:szCs w:val="24"/>
        </w:rPr>
        <w:t>The VA rated posttraumatic headaches at 10%</w:t>
      </w:r>
      <w:r w:rsidR="007C3838">
        <w:rPr>
          <w:rFonts w:asciiTheme="minorHAnsi" w:hAnsiTheme="minorHAnsi"/>
          <w:color w:val="auto"/>
          <w:szCs w:val="24"/>
        </w:rPr>
        <w:t>,</w:t>
      </w:r>
      <w:r w:rsidR="003A089B">
        <w:rPr>
          <w:rFonts w:asciiTheme="minorHAnsi" w:hAnsiTheme="minorHAnsi"/>
          <w:color w:val="auto"/>
          <w:szCs w:val="24"/>
        </w:rPr>
        <w:t xml:space="preserve"> though no support for prostrating attacks is in evidence. </w:t>
      </w:r>
      <w:r w:rsidR="001A58F2" w:rsidRPr="001A58F2">
        <w:rPr>
          <w:rFonts w:asciiTheme="minorHAnsi" w:hAnsiTheme="minorHAnsi"/>
          <w:color w:val="auto"/>
          <w:szCs w:val="24"/>
        </w:rPr>
        <w:t xml:space="preserve"> </w:t>
      </w:r>
      <w:r w:rsidR="001A58F2">
        <w:rPr>
          <w:rFonts w:asciiTheme="minorHAnsi" w:hAnsiTheme="minorHAnsi"/>
          <w:color w:val="auto"/>
          <w:szCs w:val="24"/>
        </w:rPr>
        <w:t>Neither the headaches no</w:t>
      </w:r>
      <w:r w:rsidR="007C3838">
        <w:rPr>
          <w:rFonts w:asciiTheme="minorHAnsi" w:hAnsiTheme="minorHAnsi"/>
          <w:color w:val="auto"/>
          <w:szCs w:val="24"/>
        </w:rPr>
        <w:t>r</w:t>
      </w:r>
      <w:r w:rsidR="001A58F2">
        <w:rPr>
          <w:rFonts w:asciiTheme="minorHAnsi" w:hAnsiTheme="minorHAnsi"/>
          <w:color w:val="auto"/>
          <w:szCs w:val="24"/>
        </w:rPr>
        <w:t xml:space="preserve"> cognitive difficulties</w:t>
      </w:r>
      <w:r w:rsidR="00FB3924" w:rsidRPr="00FB3924">
        <w:rPr>
          <w:rFonts w:asciiTheme="minorHAnsi" w:hAnsiTheme="minorHAnsi"/>
          <w:color w:val="auto"/>
          <w:szCs w:val="24"/>
        </w:rPr>
        <w:t xml:space="preserve"> were profiled, implicated in the </w:t>
      </w:r>
      <w:r w:rsidR="002D1C5D">
        <w:rPr>
          <w:rFonts w:asciiTheme="minorHAnsi" w:hAnsiTheme="minorHAnsi"/>
          <w:color w:val="auto"/>
          <w:szCs w:val="24"/>
        </w:rPr>
        <w:t>c</w:t>
      </w:r>
      <w:r w:rsidR="00FB3924" w:rsidRPr="00FB3924">
        <w:rPr>
          <w:rFonts w:asciiTheme="minorHAnsi" w:hAnsiTheme="minorHAnsi"/>
          <w:color w:val="auto"/>
          <w:szCs w:val="24"/>
        </w:rPr>
        <w:t xml:space="preserve">ommander’s statement or noted as failing retention standards.  </w:t>
      </w:r>
      <w:r w:rsidR="001A58F2">
        <w:rPr>
          <w:rFonts w:asciiTheme="minorHAnsi" w:hAnsiTheme="minorHAnsi"/>
          <w:color w:val="auto"/>
          <w:szCs w:val="24"/>
        </w:rPr>
        <w:t>Moreover, the CI’s cognitive symptoms a</w:t>
      </w:r>
      <w:r w:rsidR="00542921">
        <w:rPr>
          <w:rFonts w:asciiTheme="minorHAnsi" w:hAnsiTheme="minorHAnsi"/>
          <w:color w:val="auto"/>
          <w:szCs w:val="24"/>
        </w:rPr>
        <w:t xml:space="preserve">re subsumed by, and support, the rating for the PTSD condition above.  The headache and cognitive symptoms conditions </w:t>
      </w:r>
      <w:r w:rsidR="00FB3924" w:rsidRPr="00FB3924">
        <w:rPr>
          <w:rFonts w:asciiTheme="minorHAnsi" w:hAnsiTheme="minorHAnsi"/>
          <w:color w:val="auto"/>
          <w:szCs w:val="24"/>
        </w:rPr>
        <w:t xml:space="preserve">were reviewed by the </w:t>
      </w:r>
      <w:r w:rsidR="007C3838">
        <w:rPr>
          <w:rFonts w:asciiTheme="minorHAnsi" w:hAnsiTheme="minorHAnsi"/>
          <w:color w:val="auto"/>
          <w:szCs w:val="24"/>
        </w:rPr>
        <w:t>a</w:t>
      </w:r>
      <w:r w:rsidR="00FB3924" w:rsidRPr="00FB3924">
        <w:rPr>
          <w:rFonts w:asciiTheme="minorHAnsi" w:hAnsiTheme="minorHAnsi"/>
          <w:color w:val="auto"/>
          <w:szCs w:val="24"/>
        </w:rPr>
        <w:t xml:space="preserve">ction </w:t>
      </w:r>
      <w:r w:rsidR="007C3838">
        <w:rPr>
          <w:rFonts w:asciiTheme="minorHAnsi" w:hAnsiTheme="minorHAnsi"/>
          <w:color w:val="auto"/>
          <w:szCs w:val="24"/>
        </w:rPr>
        <w:t>o</w:t>
      </w:r>
      <w:r w:rsidR="00FB3924" w:rsidRPr="00FB3924">
        <w:rPr>
          <w:rFonts w:asciiTheme="minorHAnsi" w:hAnsiTheme="minorHAnsi"/>
          <w:color w:val="auto"/>
          <w:szCs w:val="24"/>
        </w:rPr>
        <w:t xml:space="preserve">fficer and considered by the Board.  There was no indication from the record that these conditions significantly interfered with satisfactory </w:t>
      </w:r>
      <w:r w:rsidR="007C3838">
        <w:rPr>
          <w:rFonts w:asciiTheme="minorHAnsi" w:hAnsiTheme="minorHAnsi"/>
          <w:color w:val="auto"/>
          <w:szCs w:val="24"/>
        </w:rPr>
        <w:t xml:space="preserve">duty </w:t>
      </w:r>
      <w:r w:rsidR="00FB3924" w:rsidRPr="00FB3924">
        <w:rPr>
          <w:rFonts w:asciiTheme="minorHAnsi" w:hAnsiTheme="minorHAnsi"/>
          <w:color w:val="auto"/>
          <w:szCs w:val="24"/>
        </w:rPr>
        <w:t>performance</w:t>
      </w:r>
      <w:r w:rsidR="007C3838">
        <w:rPr>
          <w:rFonts w:asciiTheme="minorHAnsi" w:hAnsiTheme="minorHAnsi"/>
          <w:color w:val="auto"/>
          <w:szCs w:val="24"/>
        </w:rPr>
        <w:t>.</w:t>
      </w:r>
      <w:r w:rsidR="00FB3924" w:rsidRPr="00FB3924">
        <w:rPr>
          <w:rFonts w:asciiTheme="minorHAnsi" w:hAnsiTheme="minorHAnsi"/>
          <w:color w:val="auto"/>
          <w:szCs w:val="24"/>
        </w:rPr>
        <w:t xml:space="preserve">  </w:t>
      </w:r>
      <w:r w:rsidR="003A089B">
        <w:rPr>
          <w:rFonts w:asciiTheme="minorHAnsi" w:hAnsiTheme="minorHAnsi"/>
          <w:color w:val="auto"/>
          <w:szCs w:val="24"/>
        </w:rPr>
        <w:t>The Board acknowledges that the VA increased the CI’s rating for TBI to 40% effective October 2008 even though the C&amp;P examiner stated, “</w:t>
      </w:r>
      <w:r w:rsidR="003A089B" w:rsidRPr="003A089B">
        <w:rPr>
          <w:rFonts w:asciiTheme="minorHAnsi" w:hAnsiTheme="minorHAnsi"/>
          <w:color w:val="auto"/>
          <w:szCs w:val="24"/>
        </w:rPr>
        <w:t>at this time I believe it is less likely</w:t>
      </w:r>
      <w:r w:rsidR="003A089B">
        <w:rPr>
          <w:rFonts w:asciiTheme="minorHAnsi" w:hAnsiTheme="minorHAnsi"/>
          <w:color w:val="auto"/>
          <w:szCs w:val="24"/>
        </w:rPr>
        <w:t xml:space="preserve"> </w:t>
      </w:r>
      <w:r w:rsidR="003A089B" w:rsidRPr="003A089B">
        <w:rPr>
          <w:rFonts w:asciiTheme="minorHAnsi" w:hAnsiTheme="minorHAnsi"/>
          <w:color w:val="auto"/>
          <w:szCs w:val="24"/>
        </w:rPr>
        <w:t>than not that the patient is suffering from sequelae related to traumatic</w:t>
      </w:r>
      <w:r w:rsidR="003A089B">
        <w:rPr>
          <w:rFonts w:asciiTheme="minorHAnsi" w:hAnsiTheme="minorHAnsi"/>
          <w:color w:val="auto"/>
          <w:szCs w:val="24"/>
        </w:rPr>
        <w:t xml:space="preserve"> </w:t>
      </w:r>
      <w:r w:rsidR="003A089B" w:rsidRPr="003A089B">
        <w:rPr>
          <w:rFonts w:asciiTheme="minorHAnsi" w:hAnsiTheme="minorHAnsi"/>
          <w:color w:val="auto"/>
          <w:szCs w:val="24"/>
        </w:rPr>
        <w:t>brain injury.</w:t>
      </w:r>
      <w:r w:rsidR="003A089B">
        <w:rPr>
          <w:rFonts w:asciiTheme="minorHAnsi" w:hAnsiTheme="minorHAnsi"/>
          <w:color w:val="auto"/>
          <w:szCs w:val="24"/>
        </w:rPr>
        <w:t xml:space="preserve">”  </w:t>
      </w:r>
      <w:r w:rsidR="00FB3924" w:rsidRPr="00FB3924">
        <w:rPr>
          <w:rFonts w:asciiTheme="minorHAnsi" w:hAnsiTheme="minorHAnsi"/>
          <w:color w:val="auto"/>
          <w:szCs w:val="24"/>
        </w:rPr>
        <w:t>All evidence considered</w:t>
      </w:r>
      <w:proofErr w:type="gramStart"/>
      <w:r w:rsidR="00FB3924" w:rsidRPr="00FB3924">
        <w:rPr>
          <w:rFonts w:asciiTheme="minorHAnsi" w:hAnsiTheme="minorHAnsi"/>
          <w:color w:val="auto"/>
          <w:szCs w:val="24"/>
        </w:rPr>
        <w:t>,</w:t>
      </w:r>
      <w:proofErr w:type="gramEnd"/>
      <w:r w:rsidR="00FB3924" w:rsidRPr="00FB3924">
        <w:rPr>
          <w:rFonts w:asciiTheme="minorHAnsi" w:hAnsiTheme="minorHAnsi"/>
          <w:color w:val="auto"/>
          <w:szCs w:val="24"/>
        </w:rPr>
        <w:t xml:space="preserve"> there is not reasonable doubt in the CI’s favor supporting re</w:t>
      </w:r>
      <w:r w:rsidR="00640FBB">
        <w:rPr>
          <w:rFonts w:asciiTheme="minorHAnsi" w:hAnsiTheme="minorHAnsi"/>
          <w:color w:val="auto"/>
          <w:szCs w:val="24"/>
        </w:rPr>
        <w:t>versal</w:t>
      </w:r>
      <w:r w:rsidR="00FB3924" w:rsidRPr="00FB3924">
        <w:rPr>
          <w:rFonts w:asciiTheme="minorHAnsi" w:hAnsiTheme="minorHAnsi"/>
          <w:color w:val="auto"/>
          <w:szCs w:val="24"/>
        </w:rPr>
        <w:t xml:space="preserve"> of the PEB fitness adjudication for any of the stated conditions.</w:t>
      </w:r>
    </w:p>
    <w:p w:rsidR="0073254D" w:rsidRDefault="0073254D" w:rsidP="00D11F11">
      <w:pPr>
        <w:spacing w:line="240" w:lineRule="exact"/>
        <w:jc w:val="both"/>
        <w:rPr>
          <w:rFonts w:asciiTheme="minorHAnsi" w:hAnsiTheme="minorHAnsi"/>
          <w:color w:val="auto"/>
          <w:szCs w:val="24"/>
        </w:rPr>
      </w:pPr>
    </w:p>
    <w:p w:rsidR="00C37848" w:rsidRPr="00C37848" w:rsidRDefault="00C37848" w:rsidP="00D11F11">
      <w:pPr>
        <w:spacing w:line="240" w:lineRule="exact"/>
        <w:jc w:val="both"/>
        <w:rPr>
          <w:rFonts w:asciiTheme="minorHAnsi" w:eastAsiaTheme="minorHAnsi" w:hAnsiTheme="minorHAnsi" w:cstheme="minorBidi"/>
          <w:color w:val="auto"/>
          <w:szCs w:val="24"/>
        </w:rPr>
      </w:pPr>
      <w:proofErr w:type="gramStart"/>
      <w:r w:rsidRPr="00542921">
        <w:rPr>
          <w:rFonts w:asciiTheme="minorHAnsi" w:eastAsiaTheme="minorHAnsi" w:hAnsiTheme="minorHAnsi" w:cstheme="minorBidi"/>
          <w:color w:val="auto"/>
          <w:szCs w:val="24"/>
          <w:u w:val="single"/>
        </w:rPr>
        <w:t>Remaining Conditions</w:t>
      </w:r>
      <w:r w:rsidRPr="00542921">
        <w:rPr>
          <w:rFonts w:asciiTheme="minorHAnsi" w:eastAsiaTheme="minorHAnsi" w:hAnsiTheme="minorHAnsi" w:cstheme="minorBidi"/>
          <w:color w:val="auto"/>
          <w:szCs w:val="24"/>
        </w:rPr>
        <w:t>.</w:t>
      </w:r>
      <w:proofErr w:type="gramEnd"/>
      <w:r w:rsidRPr="00542921">
        <w:rPr>
          <w:rFonts w:asciiTheme="minorHAnsi" w:eastAsiaTheme="minorHAnsi" w:hAnsiTheme="minorHAnsi" w:cstheme="minorBidi"/>
          <w:color w:val="auto"/>
          <w:szCs w:val="24"/>
        </w:rPr>
        <w:t xml:space="preserve">  </w:t>
      </w:r>
      <w:r w:rsidR="00640FBB">
        <w:rPr>
          <w:rFonts w:asciiTheme="minorHAnsi" w:eastAsiaTheme="minorHAnsi" w:hAnsiTheme="minorHAnsi" w:cstheme="minorBidi"/>
          <w:color w:val="auto"/>
          <w:szCs w:val="24"/>
        </w:rPr>
        <w:t>Ankle</w:t>
      </w:r>
      <w:r w:rsidR="00542921" w:rsidRPr="00542921">
        <w:rPr>
          <w:rFonts w:asciiTheme="minorHAnsi" w:eastAsiaTheme="minorHAnsi" w:hAnsiTheme="minorHAnsi" w:cstheme="minorBidi"/>
          <w:color w:val="auto"/>
          <w:szCs w:val="24"/>
        </w:rPr>
        <w:t xml:space="preserve"> sprain was</w:t>
      </w:r>
      <w:r w:rsidRPr="00542921">
        <w:rPr>
          <w:rFonts w:asciiTheme="minorHAnsi" w:eastAsiaTheme="minorHAnsi" w:hAnsiTheme="minorHAnsi" w:cstheme="minorBidi"/>
          <w:color w:val="auto"/>
          <w:szCs w:val="24"/>
        </w:rPr>
        <w:t xml:space="preserve"> </w:t>
      </w:r>
      <w:r w:rsidR="00640FBB">
        <w:rPr>
          <w:rFonts w:asciiTheme="minorHAnsi" w:eastAsiaTheme="minorHAnsi" w:hAnsiTheme="minorHAnsi" w:cstheme="minorBidi"/>
          <w:color w:val="auto"/>
          <w:szCs w:val="24"/>
        </w:rPr>
        <w:t>noted</w:t>
      </w:r>
      <w:r w:rsidRPr="00542921">
        <w:rPr>
          <w:rFonts w:asciiTheme="minorHAnsi" w:eastAsiaTheme="minorHAnsi" w:hAnsiTheme="minorHAnsi" w:cstheme="minorBidi"/>
          <w:color w:val="auto"/>
          <w:szCs w:val="24"/>
        </w:rPr>
        <w:t xml:space="preserve"> in the DES file.  Several additional c</w:t>
      </w:r>
      <w:r w:rsidR="00640FBB">
        <w:rPr>
          <w:rFonts w:asciiTheme="minorHAnsi" w:eastAsiaTheme="minorHAnsi" w:hAnsiTheme="minorHAnsi" w:cstheme="minorBidi"/>
          <w:color w:val="auto"/>
          <w:szCs w:val="24"/>
        </w:rPr>
        <w:t xml:space="preserve">onditions </w:t>
      </w:r>
      <w:r w:rsidRPr="00542921">
        <w:rPr>
          <w:rFonts w:asciiTheme="minorHAnsi" w:eastAsiaTheme="minorHAnsi" w:hAnsiTheme="minorHAnsi" w:cstheme="minorBidi"/>
          <w:color w:val="auto"/>
          <w:szCs w:val="24"/>
        </w:rPr>
        <w:t xml:space="preserve">were also documented.  None of these conditions were clinically </w:t>
      </w:r>
      <w:r w:rsidR="00640FBB">
        <w:rPr>
          <w:rFonts w:asciiTheme="minorHAnsi" w:eastAsiaTheme="minorHAnsi" w:hAnsiTheme="minorHAnsi" w:cstheme="minorBidi"/>
          <w:color w:val="auto"/>
          <w:szCs w:val="24"/>
        </w:rPr>
        <w:t>significant</w:t>
      </w:r>
      <w:r w:rsidRPr="00542921">
        <w:rPr>
          <w:rFonts w:asciiTheme="minorHAnsi" w:eastAsiaTheme="minorHAnsi" w:hAnsiTheme="minorHAnsi" w:cstheme="minorBidi"/>
          <w:color w:val="auto"/>
          <w:szCs w:val="24"/>
        </w:rPr>
        <w:t xml:space="preserve"> during the MEB period</w:t>
      </w:r>
      <w:r w:rsidR="007C3838">
        <w:rPr>
          <w:rFonts w:asciiTheme="minorHAnsi" w:eastAsiaTheme="minorHAnsi" w:hAnsiTheme="minorHAnsi" w:cstheme="minorBidi"/>
          <w:color w:val="auto"/>
          <w:szCs w:val="24"/>
        </w:rPr>
        <w:t xml:space="preserve">, </w:t>
      </w:r>
      <w:r w:rsidRPr="00542921">
        <w:rPr>
          <w:rFonts w:asciiTheme="minorHAnsi" w:eastAsiaTheme="minorHAnsi" w:hAnsiTheme="minorHAnsi" w:cstheme="minorBidi"/>
          <w:color w:val="auto"/>
          <w:szCs w:val="24"/>
        </w:rPr>
        <w:t>carried attached profiles</w:t>
      </w:r>
      <w:r w:rsidR="007C3838">
        <w:rPr>
          <w:rFonts w:asciiTheme="minorHAnsi" w:eastAsiaTheme="minorHAnsi" w:hAnsiTheme="minorHAnsi" w:cstheme="minorBidi"/>
          <w:color w:val="auto"/>
          <w:szCs w:val="24"/>
        </w:rPr>
        <w:t xml:space="preserve"> or </w:t>
      </w:r>
      <w:r w:rsidRPr="00542921">
        <w:rPr>
          <w:rFonts w:asciiTheme="minorHAnsi" w:eastAsiaTheme="minorHAnsi" w:hAnsiTheme="minorHAnsi" w:cstheme="minorBidi"/>
          <w:color w:val="auto"/>
          <w:szCs w:val="24"/>
        </w:rPr>
        <w:t xml:space="preserve">were implicated in the </w:t>
      </w:r>
      <w:r w:rsidR="007C3838">
        <w:rPr>
          <w:rFonts w:asciiTheme="minorHAnsi" w:eastAsiaTheme="minorHAnsi" w:hAnsiTheme="minorHAnsi" w:cstheme="minorBidi"/>
          <w:color w:val="auto"/>
          <w:szCs w:val="24"/>
        </w:rPr>
        <w:t>c</w:t>
      </w:r>
      <w:r w:rsidRPr="00542921">
        <w:rPr>
          <w:rFonts w:asciiTheme="minorHAnsi" w:eastAsiaTheme="minorHAnsi" w:hAnsiTheme="minorHAnsi" w:cstheme="minorBidi"/>
          <w:color w:val="auto"/>
          <w:szCs w:val="24"/>
        </w:rPr>
        <w:t xml:space="preserve">ommander’s statement.  These conditions were reviewed by the </w:t>
      </w:r>
      <w:r w:rsidR="002D1C5D">
        <w:rPr>
          <w:rFonts w:asciiTheme="minorHAnsi" w:eastAsiaTheme="minorHAnsi" w:hAnsiTheme="minorHAnsi" w:cstheme="minorBidi"/>
          <w:color w:val="auto"/>
          <w:szCs w:val="24"/>
        </w:rPr>
        <w:t>a</w:t>
      </w:r>
      <w:r w:rsidRPr="00542921">
        <w:rPr>
          <w:rFonts w:asciiTheme="minorHAnsi" w:eastAsiaTheme="minorHAnsi" w:hAnsiTheme="minorHAnsi" w:cstheme="minorBidi"/>
          <w:color w:val="auto"/>
          <w:szCs w:val="24"/>
        </w:rPr>
        <w:t xml:space="preserve">ction </w:t>
      </w:r>
      <w:r w:rsidR="002D1C5D">
        <w:rPr>
          <w:rFonts w:asciiTheme="minorHAnsi" w:eastAsiaTheme="minorHAnsi" w:hAnsiTheme="minorHAnsi" w:cstheme="minorBidi"/>
          <w:color w:val="auto"/>
          <w:szCs w:val="24"/>
        </w:rPr>
        <w:t>o</w:t>
      </w:r>
      <w:r w:rsidRPr="00542921">
        <w:rPr>
          <w:rFonts w:asciiTheme="minorHAnsi" w:eastAsiaTheme="minorHAnsi" w:hAnsiTheme="minorHAnsi" w:cstheme="minorBidi"/>
          <w:color w:val="auto"/>
          <w:szCs w:val="24"/>
        </w:rPr>
        <w:t xml:space="preserve">fficer and considered by the Board.  It was determined that none could be argued as unfitting and subject to separation rating.  Additionally </w:t>
      </w:r>
      <w:r w:rsidR="00542921" w:rsidRPr="00542921">
        <w:rPr>
          <w:rFonts w:asciiTheme="minorHAnsi" w:eastAsiaTheme="minorHAnsi" w:hAnsiTheme="minorHAnsi" w:cstheme="minorBidi"/>
          <w:color w:val="auto"/>
          <w:szCs w:val="24"/>
        </w:rPr>
        <w:t>back pain</w:t>
      </w:r>
      <w:r w:rsidRPr="00542921">
        <w:rPr>
          <w:rFonts w:asciiTheme="minorHAnsi" w:eastAsiaTheme="minorHAnsi" w:hAnsiTheme="minorHAnsi" w:cstheme="minorBidi"/>
          <w:color w:val="auto"/>
          <w:szCs w:val="24"/>
        </w:rPr>
        <w:t xml:space="preserve">, </w:t>
      </w:r>
      <w:r w:rsidR="00542921" w:rsidRPr="00542921">
        <w:rPr>
          <w:rFonts w:asciiTheme="minorHAnsi" w:eastAsiaTheme="minorHAnsi" w:hAnsiTheme="minorHAnsi" w:cstheme="minorBidi"/>
          <w:color w:val="auto"/>
          <w:szCs w:val="24"/>
        </w:rPr>
        <w:t>tinnitus</w:t>
      </w:r>
      <w:r w:rsidRPr="00542921">
        <w:rPr>
          <w:rFonts w:asciiTheme="minorHAnsi" w:eastAsiaTheme="minorHAnsi" w:hAnsiTheme="minorHAnsi" w:cstheme="minorBidi"/>
          <w:color w:val="auto"/>
          <w:szCs w:val="24"/>
        </w:rPr>
        <w:t xml:space="preserve"> and several other conditions were noted in the VA rating decision proximal to separation, but were not documented in the DES file.  The Board does not have</w:t>
      </w:r>
      <w:r w:rsidRPr="00C37848">
        <w:rPr>
          <w:rFonts w:asciiTheme="minorHAnsi" w:eastAsiaTheme="minorHAnsi" w:hAnsiTheme="minorHAnsi" w:cstheme="minorBidi"/>
          <w:color w:val="auto"/>
          <w:szCs w:val="24"/>
        </w:rPr>
        <w:t xml:space="preserve"> the authority under DoDI 6040.44 to render fitness or rating recommendations for any conditions not considered by the DES. </w:t>
      </w:r>
    </w:p>
    <w:p w:rsidR="002E289F" w:rsidRPr="00D11F11" w:rsidRDefault="002E289F" w:rsidP="002E289F">
      <w:pPr>
        <w:tabs>
          <w:tab w:val="left" w:pos="288"/>
          <w:tab w:val="left" w:pos="4752"/>
        </w:tabs>
        <w:spacing w:line="240" w:lineRule="exact"/>
        <w:jc w:val="both"/>
        <w:rPr>
          <w:rFonts w:asciiTheme="minorHAnsi" w:hAnsiTheme="minorHAnsi"/>
          <w:b/>
          <w:caps/>
          <w:color w:val="auto"/>
          <w:u w:val="single"/>
        </w:rPr>
      </w:pPr>
      <w:r w:rsidRPr="00D11F11">
        <w:rPr>
          <w:rFonts w:asciiTheme="minorHAnsi" w:hAnsiTheme="minorHAnsi"/>
          <w:b/>
          <w:color w:val="auto"/>
          <w:u w:val="single"/>
        </w:rPr>
        <w:t>__</w:t>
      </w:r>
      <w:r w:rsidRPr="00D11F11">
        <w:rPr>
          <w:rFonts w:asciiTheme="minorHAnsi" w:hAnsiTheme="minorHAnsi"/>
          <w:b/>
          <w:color w:val="auto"/>
          <w:u w:val="single"/>
        </w:rPr>
        <w:softHyphen/>
        <w:t>____________________________________________________________________________</w:t>
      </w:r>
    </w:p>
    <w:p w:rsidR="00A90D55" w:rsidRPr="00A90D55" w:rsidRDefault="00A90D55" w:rsidP="00AF1668">
      <w:pPr>
        <w:tabs>
          <w:tab w:val="left" w:pos="288"/>
          <w:tab w:val="left" w:pos="4752"/>
        </w:tabs>
        <w:spacing w:line="240" w:lineRule="exact"/>
        <w:rPr>
          <w:color w:val="000080"/>
        </w:rPr>
      </w:pPr>
    </w:p>
    <w:p w:rsidR="00542921" w:rsidRPr="00416444" w:rsidRDefault="00C56FC8" w:rsidP="00D11F11">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00542921" w:rsidRPr="00542921">
        <w:rPr>
          <w:rFonts w:asciiTheme="minorHAnsi" w:eastAsiaTheme="minorHAnsi" w:hAnsiTheme="minorHAnsi"/>
          <w:color w:val="auto"/>
          <w:szCs w:val="24"/>
        </w:rPr>
        <w:t xml:space="preserve">As discussed above, PEB reliance on DoDI 1332.39 for rating </w:t>
      </w:r>
      <w:r w:rsidR="00542921">
        <w:rPr>
          <w:rFonts w:asciiTheme="minorHAnsi" w:eastAsiaTheme="minorHAnsi" w:hAnsiTheme="minorHAnsi"/>
          <w:color w:val="auto"/>
          <w:szCs w:val="24"/>
        </w:rPr>
        <w:t>PTSD</w:t>
      </w:r>
      <w:r w:rsidR="00542921" w:rsidRPr="00542921">
        <w:rPr>
          <w:rFonts w:asciiTheme="minorHAnsi" w:eastAsiaTheme="minorHAnsi" w:hAnsiTheme="minorHAnsi"/>
          <w:color w:val="auto"/>
          <w:szCs w:val="24"/>
        </w:rPr>
        <w:t xml:space="preserve"> </w:t>
      </w:r>
      <w:r w:rsidR="00640FBB">
        <w:rPr>
          <w:rFonts w:asciiTheme="minorHAnsi" w:eastAsiaTheme="minorHAnsi" w:hAnsiTheme="minorHAnsi"/>
          <w:color w:val="auto"/>
          <w:szCs w:val="24"/>
        </w:rPr>
        <w:t>may have</w:t>
      </w:r>
      <w:r w:rsidR="00542921" w:rsidRPr="00542921">
        <w:rPr>
          <w:rFonts w:asciiTheme="minorHAnsi" w:eastAsiaTheme="minorHAnsi" w:hAnsiTheme="minorHAnsi"/>
          <w:color w:val="auto"/>
          <w:szCs w:val="24"/>
        </w:rPr>
        <w:t xml:space="preserve"> </w:t>
      </w:r>
      <w:r w:rsidR="00640FBB">
        <w:rPr>
          <w:rFonts w:asciiTheme="minorHAnsi" w:eastAsiaTheme="minorHAnsi" w:hAnsiTheme="minorHAnsi"/>
          <w:color w:val="auto"/>
          <w:szCs w:val="24"/>
        </w:rPr>
        <w:t xml:space="preserve">been </w:t>
      </w:r>
      <w:r w:rsidR="00542921" w:rsidRPr="00542921">
        <w:rPr>
          <w:rFonts w:asciiTheme="minorHAnsi" w:eastAsiaTheme="minorHAnsi" w:hAnsiTheme="minorHAnsi"/>
          <w:color w:val="auto"/>
          <w:szCs w:val="24"/>
        </w:rPr>
        <w:t xml:space="preserve">operant in this case and the condition was adjudicated independently of that </w:t>
      </w:r>
      <w:r w:rsidR="00542921" w:rsidRPr="00A27C51">
        <w:rPr>
          <w:rFonts w:asciiTheme="minorHAnsi" w:eastAsiaTheme="minorHAnsi" w:hAnsiTheme="minorHAnsi"/>
          <w:color w:val="auto"/>
          <w:szCs w:val="24"/>
        </w:rPr>
        <w:t xml:space="preserve">instruction by the Board.  </w:t>
      </w:r>
      <w:r w:rsidR="00542921" w:rsidRPr="00A27C51">
        <w:rPr>
          <w:rFonts w:asciiTheme="minorHAnsi" w:hAnsiTheme="minorHAnsi"/>
          <w:color w:val="auto"/>
          <w:szCs w:val="24"/>
        </w:rPr>
        <w:t xml:space="preserve">In the matter of the </w:t>
      </w:r>
      <w:r w:rsidR="00542921" w:rsidRPr="00A27C51">
        <w:rPr>
          <w:rFonts w:ascii="Calibri" w:hAnsi="Calibri"/>
          <w:color w:val="auto"/>
          <w:szCs w:val="24"/>
        </w:rPr>
        <w:t>P</w:t>
      </w:r>
      <w:r w:rsidR="007C3838">
        <w:rPr>
          <w:rFonts w:ascii="Calibri" w:hAnsi="Calibri"/>
          <w:color w:val="auto"/>
          <w:szCs w:val="24"/>
        </w:rPr>
        <w:t>TSD,</w:t>
      </w:r>
      <w:r w:rsidR="00542921" w:rsidRPr="00A27C51">
        <w:rPr>
          <w:rFonts w:asciiTheme="minorHAnsi" w:hAnsiTheme="minorHAnsi"/>
          <w:color w:val="auto"/>
          <w:szCs w:val="24"/>
        </w:rPr>
        <w:t xml:space="preserve"> the Board </w:t>
      </w:r>
      <w:r w:rsidR="00542921" w:rsidRPr="00A27C51">
        <w:rPr>
          <w:rFonts w:asciiTheme="minorHAnsi" w:eastAsiaTheme="minorHAnsi" w:hAnsiTheme="minorHAnsi"/>
          <w:color w:val="auto"/>
          <w:szCs w:val="24"/>
        </w:rPr>
        <w:t>unanimously</w:t>
      </w:r>
      <w:r w:rsidR="00542921" w:rsidRPr="00A27C51">
        <w:rPr>
          <w:rFonts w:asciiTheme="minorHAnsi" w:hAnsiTheme="minorHAnsi"/>
          <w:color w:val="auto"/>
          <w:szCs w:val="24"/>
        </w:rPr>
        <w:t xml:space="preserve"> recommends an initial TDRL rating of 50% in retroactive compliance with VASRD §4.129 as D</w:t>
      </w:r>
      <w:r w:rsidR="00640FBB">
        <w:rPr>
          <w:rFonts w:asciiTheme="minorHAnsi" w:hAnsiTheme="minorHAnsi"/>
          <w:color w:val="auto"/>
          <w:szCs w:val="24"/>
        </w:rPr>
        <w:t>o</w:t>
      </w:r>
      <w:r w:rsidR="00542921" w:rsidRPr="00A27C51">
        <w:rPr>
          <w:rFonts w:asciiTheme="minorHAnsi" w:hAnsiTheme="minorHAnsi"/>
          <w:color w:val="auto"/>
          <w:szCs w:val="24"/>
        </w:rPr>
        <w:t>D</w:t>
      </w:r>
      <w:r w:rsidR="007C3838">
        <w:rPr>
          <w:rFonts w:asciiTheme="minorHAnsi" w:hAnsiTheme="minorHAnsi"/>
          <w:color w:val="auto"/>
          <w:szCs w:val="24"/>
        </w:rPr>
        <w:t>-</w:t>
      </w:r>
      <w:r w:rsidR="00542921" w:rsidRPr="00A27C51">
        <w:rPr>
          <w:rFonts w:asciiTheme="minorHAnsi" w:hAnsiTheme="minorHAnsi"/>
          <w:color w:val="auto"/>
          <w:szCs w:val="24"/>
        </w:rPr>
        <w:t>directed</w:t>
      </w:r>
      <w:r w:rsidR="007C3838">
        <w:rPr>
          <w:rFonts w:asciiTheme="minorHAnsi" w:hAnsiTheme="minorHAnsi"/>
          <w:color w:val="auto"/>
          <w:szCs w:val="24"/>
        </w:rPr>
        <w:t>,</w:t>
      </w:r>
      <w:r w:rsidR="00542921" w:rsidRPr="00A27C51">
        <w:rPr>
          <w:rFonts w:asciiTheme="minorHAnsi" w:hAnsiTheme="minorHAnsi"/>
          <w:color w:val="auto"/>
          <w:szCs w:val="24"/>
        </w:rPr>
        <w:t xml:space="preserve"> and a 30% permanent rating at 6 months IAW VASRD §4.130.  In the matter of the </w:t>
      </w:r>
      <w:r w:rsidR="003A089B" w:rsidRPr="00A27C51">
        <w:rPr>
          <w:rFonts w:asciiTheme="minorHAnsi" w:hAnsiTheme="minorHAnsi"/>
          <w:color w:val="auto"/>
          <w:szCs w:val="24"/>
        </w:rPr>
        <w:t>status post IED blast (TBI)</w:t>
      </w:r>
      <w:r w:rsidR="00542921" w:rsidRPr="00A27C51">
        <w:rPr>
          <w:rFonts w:asciiTheme="minorHAnsi" w:hAnsiTheme="minorHAnsi"/>
          <w:color w:val="auto"/>
          <w:szCs w:val="24"/>
        </w:rPr>
        <w:t xml:space="preserve">, </w:t>
      </w:r>
      <w:r w:rsidR="00640FBB">
        <w:rPr>
          <w:rFonts w:asciiTheme="minorHAnsi" w:hAnsiTheme="minorHAnsi"/>
          <w:color w:val="auto"/>
          <w:szCs w:val="24"/>
        </w:rPr>
        <w:t xml:space="preserve">ankle sprain, </w:t>
      </w:r>
      <w:r w:rsidR="003A089B" w:rsidRPr="00A27C51">
        <w:rPr>
          <w:rFonts w:asciiTheme="minorHAnsi" w:hAnsiTheme="minorHAnsi"/>
          <w:color w:val="auto"/>
          <w:szCs w:val="24"/>
        </w:rPr>
        <w:t>or any other medical conditions eligible for Board consideration</w:t>
      </w:r>
      <w:r w:rsidR="007C3838">
        <w:rPr>
          <w:rFonts w:asciiTheme="minorHAnsi" w:hAnsiTheme="minorHAnsi"/>
          <w:color w:val="auto"/>
          <w:szCs w:val="24"/>
        </w:rPr>
        <w:t>,</w:t>
      </w:r>
      <w:r w:rsidR="003A089B" w:rsidRPr="00A27C51">
        <w:rPr>
          <w:rFonts w:asciiTheme="minorHAnsi" w:hAnsiTheme="minorHAnsi"/>
          <w:color w:val="auto"/>
          <w:szCs w:val="24"/>
        </w:rPr>
        <w:t xml:space="preserve"> the Board </w:t>
      </w:r>
      <w:r w:rsidR="003A089B" w:rsidRPr="00416444">
        <w:rPr>
          <w:rFonts w:asciiTheme="minorHAnsi" w:hAnsiTheme="minorHAnsi"/>
          <w:color w:val="auto"/>
          <w:szCs w:val="24"/>
        </w:rPr>
        <w:t>unanimously agrees that it cannot recommend any findings of unfit for additional rating at separation.</w:t>
      </w:r>
    </w:p>
    <w:p w:rsidR="002E289F" w:rsidRPr="00D11F11" w:rsidRDefault="002E289F" w:rsidP="002E289F">
      <w:pPr>
        <w:tabs>
          <w:tab w:val="left" w:pos="288"/>
          <w:tab w:val="left" w:pos="4752"/>
        </w:tabs>
        <w:spacing w:line="240" w:lineRule="exact"/>
        <w:jc w:val="both"/>
        <w:rPr>
          <w:rFonts w:asciiTheme="minorHAnsi" w:hAnsiTheme="minorHAnsi"/>
          <w:b/>
          <w:caps/>
          <w:color w:val="auto"/>
          <w:u w:val="single"/>
        </w:rPr>
      </w:pPr>
      <w:r w:rsidRPr="00D11F11">
        <w:rPr>
          <w:rFonts w:asciiTheme="minorHAnsi" w:hAnsiTheme="minorHAnsi"/>
          <w:b/>
          <w:color w:val="auto"/>
          <w:u w:val="single"/>
        </w:rPr>
        <w:t>__</w:t>
      </w:r>
      <w:r w:rsidRPr="00D11F11">
        <w:rPr>
          <w:rFonts w:asciiTheme="minorHAnsi" w:hAnsiTheme="minorHAnsi"/>
          <w:b/>
          <w:color w:val="auto"/>
          <w:u w:val="single"/>
        </w:rPr>
        <w:softHyphen/>
        <w:t>____________________________________________________________________________</w:t>
      </w:r>
    </w:p>
    <w:p w:rsidR="00C56FC8" w:rsidRDefault="00C56FC8" w:rsidP="00D11F11">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3A089B">
        <w:rPr>
          <w:rFonts w:asciiTheme="minorHAnsi" w:hAnsiTheme="minorHAnsi"/>
          <w:color w:val="000080"/>
          <w:szCs w:val="24"/>
        </w:rPr>
        <w:t xml:space="preserve"> </w:t>
      </w:r>
      <w:r w:rsidRPr="00B95833">
        <w:rPr>
          <w:rFonts w:asciiTheme="minorHAnsi" w:hAnsiTheme="minorHAnsi"/>
          <w:color w:val="auto"/>
          <w:szCs w:val="24"/>
        </w:rPr>
        <w:t>The Board recommends that the CI’s prior determination be modified as follows</w:t>
      </w:r>
      <w:r w:rsidR="007C3838">
        <w:rPr>
          <w:rFonts w:asciiTheme="minorHAnsi" w:hAnsiTheme="minorHAnsi"/>
          <w:color w:val="auto"/>
          <w:szCs w:val="24"/>
        </w:rPr>
        <w:t>:</w:t>
      </w:r>
      <w:r w:rsidRPr="00B95833">
        <w:rPr>
          <w:rFonts w:asciiTheme="minorHAnsi" w:hAnsiTheme="minorHAnsi"/>
          <w:color w:val="auto"/>
          <w:szCs w:val="24"/>
        </w:rPr>
        <w:t xml:space="preserve"> TDRL at </w:t>
      </w:r>
      <w:r w:rsidR="003A089B">
        <w:rPr>
          <w:rFonts w:asciiTheme="minorHAnsi" w:hAnsiTheme="minorHAnsi"/>
          <w:color w:val="auto"/>
          <w:szCs w:val="24"/>
        </w:rPr>
        <w:t>50</w:t>
      </w:r>
      <w:r w:rsidRPr="00B95833">
        <w:rPr>
          <w:rFonts w:asciiTheme="minorHAnsi" w:hAnsiTheme="minorHAnsi"/>
          <w:color w:val="auto"/>
          <w:szCs w:val="24"/>
        </w:rPr>
        <w:t xml:space="preserve">% for 6 months following CI’s prior medical separation (PTSD at minimum of 50% IAW §4.129 </w:t>
      </w:r>
      <w:r w:rsidRPr="008B3AF2">
        <w:rPr>
          <w:rFonts w:asciiTheme="minorHAnsi" w:hAnsiTheme="minorHAnsi"/>
          <w:color w:val="auto"/>
          <w:szCs w:val="24"/>
        </w:rPr>
        <w:t>and DoD direction</w:t>
      </w:r>
      <w:r w:rsidRPr="00B95833">
        <w:rPr>
          <w:rFonts w:asciiTheme="minorHAnsi" w:hAnsiTheme="minorHAnsi"/>
          <w:color w:val="auto"/>
          <w:szCs w:val="24"/>
        </w:rPr>
        <w:t xml:space="preserve">) and then a </w:t>
      </w:r>
      <w:r w:rsidRPr="00A27C51">
        <w:rPr>
          <w:rFonts w:asciiTheme="minorHAnsi" w:hAnsiTheme="minorHAnsi"/>
          <w:color w:val="auto"/>
          <w:szCs w:val="24"/>
        </w:rPr>
        <w:t xml:space="preserve">permanent </w:t>
      </w:r>
      <w:r w:rsidR="003A089B" w:rsidRPr="00A27C51">
        <w:rPr>
          <w:rFonts w:asciiTheme="minorHAnsi" w:hAnsiTheme="minorHAnsi"/>
          <w:color w:val="auto"/>
          <w:szCs w:val="24"/>
        </w:rPr>
        <w:t>30</w:t>
      </w:r>
      <w:r w:rsidRPr="00A27C51">
        <w:rPr>
          <w:rFonts w:asciiTheme="minorHAnsi" w:hAnsiTheme="minorHAnsi"/>
          <w:color w:val="auto"/>
          <w:szCs w:val="24"/>
        </w:rPr>
        <w:t>% disability</w:t>
      </w:r>
      <w:r w:rsidRPr="00B95833">
        <w:rPr>
          <w:rFonts w:asciiTheme="minorHAnsi" w:hAnsiTheme="minorHAnsi"/>
          <w:color w:val="auto"/>
          <w:szCs w:val="24"/>
        </w:rPr>
        <w:t xml:space="preserve"> retirement as below.</w:t>
      </w:r>
    </w:p>
    <w:p w:rsidR="00DB0015" w:rsidRPr="00416444" w:rsidRDefault="00DB0015" w:rsidP="00190E48">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85089F" w:rsidTr="00416444">
        <w:trPr>
          <w:jc w:val="center"/>
        </w:trPr>
        <w:tc>
          <w:tcPr>
            <w:tcW w:w="4950" w:type="dxa"/>
            <w:shd w:val="clear" w:color="auto" w:fill="D9D9D9"/>
            <w:vAlign w:val="center"/>
          </w:tcPr>
          <w:p w:rsidR="00DB0015" w:rsidRPr="00AC713F" w:rsidRDefault="00DB0015" w:rsidP="00416444">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vAlign w:val="center"/>
          </w:tcPr>
          <w:p w:rsidR="00DB0015" w:rsidRPr="00AC713F" w:rsidRDefault="00DB0015" w:rsidP="00416444">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vAlign w:val="center"/>
          </w:tcPr>
          <w:p w:rsidR="00DB0015" w:rsidRPr="00AC713F" w:rsidRDefault="00DB0015" w:rsidP="00416444">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TDRL RATING</w:t>
            </w:r>
          </w:p>
        </w:tc>
        <w:tc>
          <w:tcPr>
            <w:tcW w:w="1530" w:type="dxa"/>
            <w:shd w:val="pct15" w:color="auto" w:fill="auto"/>
            <w:vAlign w:val="center"/>
          </w:tcPr>
          <w:p w:rsidR="00DB0015" w:rsidRPr="00A27C51" w:rsidRDefault="00DB0015" w:rsidP="00416444">
            <w:pPr>
              <w:tabs>
                <w:tab w:val="left" w:pos="288"/>
                <w:tab w:val="left" w:pos="4752"/>
              </w:tabs>
              <w:spacing w:line="240" w:lineRule="exact"/>
              <w:jc w:val="center"/>
              <w:rPr>
                <w:rFonts w:asciiTheme="minorHAnsi" w:hAnsiTheme="minorHAnsi"/>
                <w:b/>
                <w:color w:val="auto"/>
                <w:szCs w:val="24"/>
              </w:rPr>
            </w:pPr>
            <w:r w:rsidRPr="00A27C51">
              <w:rPr>
                <w:rFonts w:asciiTheme="minorHAnsi" w:hAnsiTheme="minorHAnsi"/>
                <w:b/>
                <w:color w:val="auto"/>
                <w:szCs w:val="24"/>
              </w:rPr>
              <w:t>PERMANENT</w:t>
            </w:r>
          </w:p>
          <w:p w:rsidR="00DB0015" w:rsidRPr="00A27C51" w:rsidRDefault="00DB0015" w:rsidP="00416444">
            <w:pPr>
              <w:tabs>
                <w:tab w:val="left" w:pos="288"/>
                <w:tab w:val="left" w:pos="4752"/>
              </w:tabs>
              <w:spacing w:line="240" w:lineRule="exact"/>
              <w:jc w:val="center"/>
              <w:rPr>
                <w:rFonts w:asciiTheme="minorHAnsi" w:hAnsiTheme="minorHAnsi"/>
                <w:b/>
                <w:color w:val="auto"/>
                <w:szCs w:val="24"/>
              </w:rPr>
            </w:pPr>
            <w:r w:rsidRPr="00A27C51">
              <w:rPr>
                <w:rFonts w:asciiTheme="minorHAnsi" w:hAnsiTheme="minorHAnsi"/>
                <w:b/>
                <w:color w:val="auto"/>
                <w:szCs w:val="24"/>
              </w:rPr>
              <w:t>RATING</w:t>
            </w:r>
          </w:p>
        </w:tc>
      </w:tr>
      <w:tr w:rsidR="00DB0015" w:rsidRPr="0085089F" w:rsidTr="00416444">
        <w:trPr>
          <w:trHeight w:val="305"/>
          <w:jc w:val="center"/>
        </w:trPr>
        <w:tc>
          <w:tcPr>
            <w:tcW w:w="4950" w:type="dxa"/>
            <w:vAlign w:val="center"/>
          </w:tcPr>
          <w:p w:rsidR="00DB0015" w:rsidRPr="00AC713F" w:rsidRDefault="008927E9" w:rsidP="00416444">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Post</w:t>
            </w:r>
            <w:r w:rsidR="003522F9">
              <w:rPr>
                <w:rFonts w:asciiTheme="minorHAnsi" w:hAnsiTheme="minorHAnsi"/>
                <w:color w:val="auto"/>
                <w:szCs w:val="24"/>
              </w:rPr>
              <w:t>t</w:t>
            </w:r>
            <w:r w:rsidR="00DB0015" w:rsidRPr="00AC713F">
              <w:rPr>
                <w:rFonts w:asciiTheme="minorHAnsi" w:hAnsiTheme="minorHAnsi"/>
                <w:color w:val="auto"/>
                <w:szCs w:val="24"/>
              </w:rPr>
              <w:t>raumatic Stress Disorder</w:t>
            </w:r>
          </w:p>
        </w:tc>
        <w:tc>
          <w:tcPr>
            <w:tcW w:w="1710" w:type="dxa"/>
            <w:tcBorders>
              <w:bottom w:val="single" w:sz="4" w:space="0" w:color="000000"/>
            </w:tcBorders>
            <w:vAlign w:val="center"/>
          </w:tcPr>
          <w:p w:rsidR="00DB0015" w:rsidRPr="00AC713F" w:rsidRDefault="00DB0015" w:rsidP="00416444">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9411</w:t>
            </w:r>
          </w:p>
        </w:tc>
        <w:tc>
          <w:tcPr>
            <w:tcW w:w="1170" w:type="dxa"/>
            <w:tcBorders>
              <w:bottom w:val="single" w:sz="4" w:space="0" w:color="000000"/>
            </w:tcBorders>
            <w:vAlign w:val="center"/>
          </w:tcPr>
          <w:p w:rsidR="00DB0015" w:rsidRPr="00AC713F" w:rsidRDefault="00DB0015" w:rsidP="00416444">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50%</w:t>
            </w:r>
          </w:p>
        </w:tc>
        <w:tc>
          <w:tcPr>
            <w:tcW w:w="1530" w:type="dxa"/>
            <w:tcBorders>
              <w:bottom w:val="single" w:sz="4" w:space="0" w:color="000000"/>
            </w:tcBorders>
            <w:vAlign w:val="center"/>
          </w:tcPr>
          <w:p w:rsidR="00DB0015" w:rsidRPr="00A27C51" w:rsidRDefault="003A089B" w:rsidP="00416444">
            <w:pPr>
              <w:tabs>
                <w:tab w:val="left" w:pos="288"/>
                <w:tab w:val="left" w:pos="4752"/>
              </w:tabs>
              <w:spacing w:line="240" w:lineRule="exact"/>
              <w:jc w:val="center"/>
              <w:rPr>
                <w:rFonts w:asciiTheme="minorHAnsi" w:hAnsiTheme="minorHAnsi"/>
                <w:color w:val="auto"/>
                <w:szCs w:val="24"/>
              </w:rPr>
            </w:pPr>
            <w:r w:rsidRPr="00A27C51">
              <w:rPr>
                <w:rFonts w:asciiTheme="minorHAnsi" w:hAnsiTheme="minorHAnsi"/>
                <w:color w:val="auto"/>
                <w:szCs w:val="24"/>
              </w:rPr>
              <w:t>3</w:t>
            </w:r>
            <w:r w:rsidR="00DB0015" w:rsidRPr="00A27C51">
              <w:rPr>
                <w:rFonts w:asciiTheme="minorHAnsi" w:hAnsiTheme="minorHAnsi"/>
                <w:color w:val="auto"/>
                <w:szCs w:val="24"/>
              </w:rPr>
              <w:t>0%</w:t>
            </w:r>
          </w:p>
        </w:tc>
      </w:tr>
      <w:tr w:rsidR="00DB0015" w:rsidRPr="0085089F" w:rsidTr="00416444">
        <w:tblPrEx>
          <w:tblLook w:val="0000"/>
        </w:tblPrEx>
        <w:trPr>
          <w:gridBefore w:val="1"/>
          <w:wBefore w:w="4950" w:type="dxa"/>
          <w:trHeight w:val="350"/>
          <w:jc w:val="center"/>
        </w:trPr>
        <w:tc>
          <w:tcPr>
            <w:tcW w:w="1710" w:type="dxa"/>
            <w:tcBorders>
              <w:left w:val="single" w:sz="4" w:space="0" w:color="auto"/>
            </w:tcBorders>
            <w:shd w:val="pct15" w:color="auto" w:fill="auto"/>
            <w:vAlign w:val="center"/>
          </w:tcPr>
          <w:p w:rsidR="00DB0015" w:rsidRPr="00AC713F" w:rsidRDefault="00DB0015" w:rsidP="00416444">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DB0015" w:rsidRPr="00AC713F" w:rsidRDefault="003A089B" w:rsidP="00416444">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5</w:t>
            </w:r>
            <w:r w:rsidR="007E71B1" w:rsidRPr="00AC713F">
              <w:rPr>
                <w:rFonts w:asciiTheme="minorHAnsi" w:hAnsiTheme="minorHAnsi"/>
                <w:b/>
                <w:color w:val="auto"/>
                <w:szCs w:val="24"/>
              </w:rPr>
              <w:t>0</w:t>
            </w:r>
            <w:r w:rsidR="00DB0015" w:rsidRPr="00AC713F">
              <w:rPr>
                <w:rFonts w:asciiTheme="minorHAnsi" w:hAnsiTheme="minorHAnsi"/>
                <w:b/>
                <w:color w:val="auto"/>
                <w:szCs w:val="24"/>
              </w:rPr>
              <w:t>%</w:t>
            </w:r>
          </w:p>
        </w:tc>
        <w:tc>
          <w:tcPr>
            <w:tcW w:w="1530" w:type="dxa"/>
            <w:shd w:val="pct15" w:color="auto" w:fill="auto"/>
            <w:vAlign w:val="center"/>
          </w:tcPr>
          <w:p w:rsidR="00DB0015" w:rsidRPr="00A27C51" w:rsidRDefault="003A089B" w:rsidP="00416444">
            <w:pPr>
              <w:tabs>
                <w:tab w:val="left" w:pos="288"/>
                <w:tab w:val="left" w:pos="4752"/>
              </w:tabs>
              <w:spacing w:line="240" w:lineRule="exact"/>
              <w:jc w:val="center"/>
              <w:rPr>
                <w:rFonts w:asciiTheme="minorHAnsi" w:hAnsiTheme="minorHAnsi"/>
                <w:b/>
                <w:color w:val="auto"/>
                <w:szCs w:val="24"/>
              </w:rPr>
            </w:pPr>
            <w:r w:rsidRPr="00A27C51">
              <w:rPr>
                <w:rFonts w:asciiTheme="minorHAnsi" w:hAnsiTheme="minorHAnsi"/>
                <w:b/>
                <w:color w:val="auto"/>
                <w:szCs w:val="24"/>
              </w:rPr>
              <w:t>3</w:t>
            </w:r>
            <w:r w:rsidR="007E71B1" w:rsidRPr="00A27C51">
              <w:rPr>
                <w:rFonts w:asciiTheme="minorHAnsi" w:hAnsiTheme="minorHAnsi"/>
                <w:b/>
                <w:color w:val="auto"/>
                <w:szCs w:val="24"/>
              </w:rPr>
              <w:t>0</w:t>
            </w:r>
            <w:r w:rsidR="00DB0015" w:rsidRPr="00A27C51">
              <w:rPr>
                <w:rFonts w:asciiTheme="minorHAnsi" w:hAnsiTheme="minorHAnsi"/>
                <w:b/>
                <w:color w:val="auto"/>
                <w:szCs w:val="24"/>
              </w:rPr>
              <w:t>%</w:t>
            </w:r>
          </w:p>
        </w:tc>
      </w:tr>
    </w:tbl>
    <w:p w:rsidR="002E289F" w:rsidRPr="00D11F11" w:rsidRDefault="002E289F" w:rsidP="002E289F">
      <w:pPr>
        <w:tabs>
          <w:tab w:val="left" w:pos="288"/>
          <w:tab w:val="left" w:pos="4752"/>
        </w:tabs>
        <w:spacing w:line="240" w:lineRule="exact"/>
        <w:jc w:val="both"/>
        <w:rPr>
          <w:rFonts w:asciiTheme="minorHAnsi" w:hAnsiTheme="minorHAnsi"/>
          <w:b/>
          <w:caps/>
          <w:color w:val="auto"/>
          <w:u w:val="single"/>
        </w:rPr>
      </w:pPr>
      <w:r w:rsidRPr="00D11F11">
        <w:rPr>
          <w:rFonts w:asciiTheme="minorHAnsi" w:hAnsiTheme="minorHAnsi"/>
          <w:b/>
          <w:color w:val="auto"/>
          <w:u w:val="single"/>
        </w:rPr>
        <w:t>__</w:t>
      </w:r>
      <w:r w:rsidRPr="00D11F11">
        <w:rPr>
          <w:rFonts w:asciiTheme="minorHAnsi" w:hAnsiTheme="minorHAnsi"/>
          <w:b/>
          <w:color w:val="auto"/>
          <w:u w:val="single"/>
        </w:rPr>
        <w:softHyphen/>
        <w:t>____________________________________________________________________________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E72BD5" w:rsidRPr="00E72BD5">
        <w:rPr>
          <w:rFonts w:asciiTheme="minorHAnsi" w:hAnsiTheme="minorHAnsi"/>
          <w:color w:val="auto"/>
        </w:rPr>
        <w:t>20100225</w:t>
      </w:r>
      <w:r w:rsidR="00114F20" w:rsidRPr="0085089F">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Pr="0085089F"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152FAE" w:rsidRDefault="00152FAE">
      <w:pPr>
        <w:rPr>
          <w:color w:val="auto"/>
        </w:rPr>
      </w:pPr>
      <w:r>
        <w:rPr>
          <w:color w:val="auto"/>
        </w:rPr>
        <w:br w:type="page"/>
      </w:r>
    </w:p>
    <w:p w:rsidR="00152FAE" w:rsidRPr="00152FAE" w:rsidRDefault="00152FAE" w:rsidP="00152FAE">
      <w:pPr>
        <w:rPr>
          <w:color w:val="auto"/>
        </w:rPr>
      </w:pPr>
      <w:r w:rsidRPr="00152FAE">
        <w:rPr>
          <w:color w:val="auto"/>
        </w:rPr>
        <w:lastRenderedPageBreak/>
        <w:t>MEMORANDUM FOR DEPUTY COMMANDANT, MANPOWER &amp; RESERVE AFFAIRS</w:t>
      </w:r>
    </w:p>
    <w:p w:rsidR="00152FAE" w:rsidRPr="00152FAE" w:rsidRDefault="00152FAE" w:rsidP="00152FAE">
      <w:pPr>
        <w:rPr>
          <w:color w:val="auto"/>
        </w:rPr>
      </w:pPr>
    </w:p>
    <w:p w:rsidR="00152FAE" w:rsidRPr="00152FAE" w:rsidRDefault="00152FAE" w:rsidP="00152FAE">
      <w:pPr>
        <w:rPr>
          <w:color w:val="auto"/>
        </w:rPr>
      </w:pPr>
      <w:proofErr w:type="spellStart"/>
      <w:r w:rsidRPr="00152FAE">
        <w:rPr>
          <w:color w:val="auto"/>
        </w:rPr>
        <w:t>Subj</w:t>
      </w:r>
      <w:proofErr w:type="spellEnd"/>
      <w:r w:rsidRPr="00152FAE">
        <w:rPr>
          <w:color w:val="auto"/>
        </w:rPr>
        <w:t>:  PHYSICAL DISABILITY BOARD OF REVIEW (PDBR) RECOMMENDATION</w:t>
      </w:r>
    </w:p>
    <w:p w:rsidR="00152FAE" w:rsidRPr="00152FAE" w:rsidRDefault="00152FAE" w:rsidP="00152FAE">
      <w:pPr>
        <w:tabs>
          <w:tab w:val="left" w:pos="630"/>
        </w:tabs>
        <w:rPr>
          <w:color w:val="auto"/>
        </w:rPr>
      </w:pPr>
      <w:r w:rsidRPr="00152FAE">
        <w:rPr>
          <w:color w:val="auto"/>
        </w:rPr>
        <w:t xml:space="preserve">          </w:t>
      </w:r>
      <w:r w:rsidRPr="00152FAE">
        <w:rPr>
          <w:color w:val="auto"/>
        </w:rPr>
        <w:tab/>
        <w:t xml:space="preserve">ICO </w:t>
      </w:r>
      <w:r>
        <w:rPr>
          <w:color w:val="auto"/>
        </w:rPr>
        <w:t>XXXXX</w:t>
      </w:r>
      <w:r w:rsidRPr="00152FAE">
        <w:rPr>
          <w:color w:val="auto"/>
        </w:rPr>
        <w:t xml:space="preserve">, FORMER USMC, XXX XX </w:t>
      </w:r>
      <w:r>
        <w:rPr>
          <w:color w:val="auto"/>
        </w:rPr>
        <w:t>XXXX</w:t>
      </w:r>
    </w:p>
    <w:p w:rsidR="00152FAE" w:rsidRPr="00152FAE" w:rsidRDefault="00152FAE" w:rsidP="00152FAE">
      <w:pPr>
        <w:rPr>
          <w:color w:val="auto"/>
        </w:rPr>
      </w:pPr>
    </w:p>
    <w:p w:rsidR="00152FAE" w:rsidRPr="00152FAE" w:rsidRDefault="00152FAE" w:rsidP="00152FAE">
      <w:pPr>
        <w:rPr>
          <w:color w:val="auto"/>
        </w:rPr>
      </w:pPr>
      <w:r w:rsidRPr="00152FAE">
        <w:rPr>
          <w:color w:val="auto"/>
        </w:rPr>
        <w:t>Ref:   (a) DoDI 6040.44</w:t>
      </w:r>
    </w:p>
    <w:p w:rsidR="00152FAE" w:rsidRPr="00152FAE" w:rsidRDefault="00152FAE" w:rsidP="00152FAE">
      <w:pPr>
        <w:rPr>
          <w:color w:val="auto"/>
        </w:rPr>
      </w:pPr>
    </w:p>
    <w:p w:rsidR="00152FAE" w:rsidRPr="00152FAE" w:rsidRDefault="00152FAE" w:rsidP="00152FAE">
      <w:pPr>
        <w:rPr>
          <w:color w:val="auto"/>
        </w:rPr>
      </w:pPr>
      <w:r w:rsidRPr="00152FAE">
        <w:rPr>
          <w:color w:val="auto"/>
        </w:rPr>
        <w:t>1.  I have reviewed the subject case pursuant to reference (a).  The subject member’s official records are to be corrected to reflect the following retroactive disposition:</w:t>
      </w:r>
    </w:p>
    <w:p w:rsidR="00152FAE" w:rsidRPr="00152FAE" w:rsidRDefault="00152FAE" w:rsidP="00152FAE">
      <w:pPr>
        <w:rPr>
          <w:color w:val="auto"/>
        </w:rPr>
      </w:pPr>
    </w:p>
    <w:p w:rsidR="00152FAE" w:rsidRPr="00152FAE" w:rsidRDefault="00152FAE" w:rsidP="00152FAE">
      <w:pPr>
        <w:rPr>
          <w:color w:val="auto"/>
        </w:rPr>
      </w:pPr>
      <w:r w:rsidRPr="00152FAE">
        <w:rPr>
          <w:color w:val="auto"/>
        </w:rPr>
        <w:tab/>
        <w:t>a. Separation from the naval service due to physical disability with placement on the Temporary Disability Retired List with a disability rating of 50 percent for the period 15 May 2007 thru 14 November 2007.</w:t>
      </w:r>
    </w:p>
    <w:p w:rsidR="00152FAE" w:rsidRPr="00152FAE" w:rsidRDefault="00152FAE" w:rsidP="00152FAE">
      <w:pPr>
        <w:rPr>
          <w:color w:val="auto"/>
        </w:rPr>
      </w:pPr>
    </w:p>
    <w:p w:rsidR="00152FAE" w:rsidRPr="00152FAE" w:rsidRDefault="00152FAE" w:rsidP="00152FAE">
      <w:pPr>
        <w:rPr>
          <w:color w:val="auto"/>
        </w:rPr>
      </w:pPr>
      <w:r w:rsidRPr="00152FAE">
        <w:rPr>
          <w:color w:val="auto"/>
        </w:rPr>
        <w:tab/>
        <w:t>b. Final separation from naval service due to physical disability effective 15 November 2007 with a disability rating of 30 percent and placement on the Permanent Disability Retired List.</w:t>
      </w:r>
    </w:p>
    <w:p w:rsidR="00152FAE" w:rsidRPr="00152FAE" w:rsidRDefault="00152FAE" w:rsidP="00152FAE">
      <w:pPr>
        <w:rPr>
          <w:color w:val="auto"/>
        </w:rPr>
      </w:pPr>
    </w:p>
    <w:p w:rsidR="00152FAE" w:rsidRPr="00152FAE" w:rsidRDefault="00152FAE" w:rsidP="00152FAE">
      <w:pPr>
        <w:rPr>
          <w:color w:val="auto"/>
        </w:rPr>
      </w:pPr>
      <w:r w:rsidRPr="00152FAE">
        <w:rPr>
          <w:color w:val="auto"/>
        </w:rPr>
        <w:t>2.  Please ensure all necessary actions are taken to implement this decision, including the recoupment of previously paid funds if appropriate, and notification to the subject member once those actions are completed.</w:t>
      </w:r>
    </w:p>
    <w:p w:rsidR="00152FAE" w:rsidRPr="00152FAE" w:rsidRDefault="00152FAE" w:rsidP="00152FAE">
      <w:pPr>
        <w:rPr>
          <w:color w:val="auto"/>
        </w:rPr>
      </w:pPr>
    </w:p>
    <w:p w:rsidR="00152FAE" w:rsidRPr="00152FAE" w:rsidRDefault="00152FAE" w:rsidP="00152FAE">
      <w:pPr>
        <w:rPr>
          <w:color w:val="auto"/>
        </w:rPr>
      </w:pPr>
    </w:p>
    <w:p w:rsidR="00152FAE" w:rsidRPr="00152FAE" w:rsidRDefault="00152FAE" w:rsidP="00152FAE">
      <w:pPr>
        <w:rPr>
          <w:color w:val="auto"/>
        </w:rPr>
      </w:pPr>
    </w:p>
    <w:p w:rsidR="00152FAE" w:rsidRPr="00152FAE" w:rsidRDefault="00152FAE" w:rsidP="00152FAE">
      <w:pPr>
        <w:tabs>
          <w:tab w:val="left" w:pos="4680"/>
        </w:tabs>
        <w:rPr>
          <w:color w:val="auto"/>
        </w:rPr>
      </w:pPr>
      <w:r w:rsidRPr="00152FAE">
        <w:rPr>
          <w:color w:val="auto"/>
        </w:rPr>
        <w:tab/>
      </w:r>
    </w:p>
    <w:p w:rsidR="00152FAE" w:rsidRPr="00152FAE" w:rsidRDefault="00152FAE" w:rsidP="00152FAE">
      <w:pPr>
        <w:rPr>
          <w:color w:val="auto"/>
        </w:rPr>
      </w:pPr>
      <w:r w:rsidRPr="00152FAE">
        <w:rPr>
          <w:color w:val="auto"/>
        </w:rPr>
        <w:tab/>
      </w:r>
      <w:r w:rsidRPr="00152FAE">
        <w:rPr>
          <w:color w:val="auto"/>
        </w:rPr>
        <w:tab/>
      </w:r>
      <w:r w:rsidRPr="00152FAE">
        <w:rPr>
          <w:color w:val="auto"/>
        </w:rPr>
        <w:tab/>
      </w:r>
      <w:r w:rsidRPr="00152FAE">
        <w:rPr>
          <w:color w:val="auto"/>
        </w:rPr>
        <w:tab/>
      </w:r>
      <w:r w:rsidRPr="00152FAE">
        <w:rPr>
          <w:color w:val="auto"/>
        </w:rPr>
        <w:tab/>
      </w:r>
      <w:r w:rsidRPr="00152FAE">
        <w:rPr>
          <w:color w:val="auto"/>
        </w:rPr>
        <w:tab/>
        <w:t xml:space="preserve">      Principal Deputy</w:t>
      </w:r>
    </w:p>
    <w:p w:rsidR="00152FAE" w:rsidRPr="00152FAE" w:rsidRDefault="00152FAE" w:rsidP="00152FAE">
      <w:pPr>
        <w:rPr>
          <w:color w:val="auto"/>
        </w:rPr>
      </w:pPr>
      <w:r w:rsidRPr="00152FAE">
        <w:rPr>
          <w:color w:val="auto"/>
        </w:rPr>
        <w:tab/>
      </w:r>
      <w:r w:rsidRPr="00152FAE">
        <w:rPr>
          <w:color w:val="auto"/>
        </w:rPr>
        <w:tab/>
      </w:r>
      <w:r w:rsidRPr="00152FAE">
        <w:rPr>
          <w:color w:val="auto"/>
        </w:rPr>
        <w:tab/>
      </w:r>
      <w:r w:rsidRPr="00152FAE">
        <w:rPr>
          <w:color w:val="auto"/>
        </w:rPr>
        <w:tab/>
      </w:r>
      <w:r w:rsidRPr="00152FAE">
        <w:rPr>
          <w:color w:val="auto"/>
        </w:rPr>
        <w:tab/>
      </w:r>
      <w:r w:rsidRPr="00152FAE">
        <w:rPr>
          <w:color w:val="auto"/>
        </w:rPr>
        <w:tab/>
        <w:t xml:space="preserve">      Assistant Secretary of the Navy</w:t>
      </w:r>
    </w:p>
    <w:p w:rsidR="00152FAE" w:rsidRPr="00152FAE" w:rsidRDefault="00152FAE" w:rsidP="00152FAE">
      <w:pPr>
        <w:rPr>
          <w:color w:val="auto"/>
        </w:rPr>
      </w:pPr>
      <w:r w:rsidRPr="00152FAE">
        <w:rPr>
          <w:color w:val="auto"/>
        </w:rPr>
        <w:tab/>
      </w:r>
      <w:r w:rsidRPr="00152FAE">
        <w:rPr>
          <w:color w:val="auto"/>
        </w:rPr>
        <w:tab/>
      </w:r>
      <w:r w:rsidRPr="00152FAE">
        <w:rPr>
          <w:color w:val="auto"/>
        </w:rPr>
        <w:tab/>
      </w:r>
      <w:r w:rsidRPr="00152FAE">
        <w:rPr>
          <w:color w:val="auto"/>
        </w:rPr>
        <w:tab/>
      </w:r>
      <w:r w:rsidRPr="00152FAE">
        <w:rPr>
          <w:color w:val="auto"/>
        </w:rPr>
        <w:tab/>
      </w:r>
      <w:r w:rsidRPr="00152FAE">
        <w:rPr>
          <w:color w:val="auto"/>
        </w:rPr>
        <w:tab/>
        <w:t xml:space="preserve">        (Manpower &amp; Reserve Affairs)</w:t>
      </w:r>
    </w:p>
    <w:p w:rsidR="00152FAE" w:rsidRDefault="00152FAE" w:rsidP="00152FAE"/>
    <w:p w:rsidR="003522F9" w:rsidRPr="006A10FA" w:rsidRDefault="003522F9"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000080"/>
        </w:rPr>
      </w:pPr>
    </w:p>
    <w:sectPr w:rsidR="003522F9" w:rsidRPr="006A10FA"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7B6" w:rsidRDefault="003957B6">
      <w:r>
        <w:separator/>
      </w:r>
    </w:p>
  </w:endnote>
  <w:endnote w:type="continuationSeparator" w:id="0">
    <w:p w:rsidR="003957B6" w:rsidRDefault="00395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42" w:rsidRDefault="00A67BB5">
    <w:pPr>
      <w:pStyle w:val="Footer"/>
      <w:framePr w:wrap="around" w:vAnchor="text" w:hAnchor="margin" w:xAlign="center" w:y="1"/>
      <w:rPr>
        <w:rStyle w:val="PageNumber"/>
      </w:rPr>
    </w:pPr>
    <w:r>
      <w:rPr>
        <w:rStyle w:val="PageNumber"/>
      </w:rPr>
      <w:fldChar w:fldCharType="begin"/>
    </w:r>
    <w:r w:rsidR="00523D42">
      <w:rPr>
        <w:rStyle w:val="PageNumber"/>
      </w:rPr>
      <w:instrText xml:space="preserve">PAGE  </w:instrText>
    </w:r>
    <w:r>
      <w:rPr>
        <w:rStyle w:val="PageNumber"/>
      </w:rPr>
      <w:fldChar w:fldCharType="separate"/>
    </w:r>
    <w:r w:rsidR="00523D42">
      <w:rPr>
        <w:rStyle w:val="PageNumber"/>
        <w:noProof/>
      </w:rPr>
      <w:t>2</w:t>
    </w:r>
    <w:r>
      <w:rPr>
        <w:rStyle w:val="PageNumber"/>
      </w:rPr>
      <w:fldChar w:fldCharType="end"/>
    </w:r>
  </w:p>
  <w:p w:rsidR="00523D42" w:rsidRDefault="00523D4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42" w:rsidRPr="00AC713F" w:rsidRDefault="00A67BB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523D4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52FAE">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523D42" w:rsidRPr="00AC713F" w:rsidRDefault="00523D42" w:rsidP="002B0749">
    <w:pPr>
      <w:pStyle w:val="Footer"/>
      <w:jc w:val="right"/>
      <w:rPr>
        <w:rFonts w:asciiTheme="minorHAnsi" w:hAnsiTheme="minorHAnsi"/>
      </w:rPr>
    </w:pPr>
    <w:r>
      <w:tab/>
    </w:r>
    <w:r>
      <w:tab/>
    </w:r>
    <w:r w:rsidR="00E72BD5" w:rsidRPr="00E72BD5">
      <w:rPr>
        <w:rFonts w:asciiTheme="minorHAnsi" w:hAnsiTheme="minorHAnsi"/>
        <w:caps/>
        <w:color w:val="000080"/>
      </w:rPr>
      <w:t>PD1000254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7B6" w:rsidRDefault="003957B6">
      <w:r>
        <w:separator/>
      </w:r>
    </w:p>
  </w:footnote>
  <w:footnote w:type="continuationSeparator" w:id="0">
    <w:p w:rsidR="003957B6" w:rsidRDefault="00395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7346"/>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07FF"/>
    <w:rsid w:val="00030846"/>
    <w:rsid w:val="0003091F"/>
    <w:rsid w:val="00032E07"/>
    <w:rsid w:val="000332CA"/>
    <w:rsid w:val="0003374E"/>
    <w:rsid w:val="000344E6"/>
    <w:rsid w:val="00035C3A"/>
    <w:rsid w:val="00036E4B"/>
    <w:rsid w:val="000379D0"/>
    <w:rsid w:val="00040FC4"/>
    <w:rsid w:val="000416F8"/>
    <w:rsid w:val="0004178A"/>
    <w:rsid w:val="00042C26"/>
    <w:rsid w:val="00043382"/>
    <w:rsid w:val="00046C46"/>
    <w:rsid w:val="00051622"/>
    <w:rsid w:val="00052234"/>
    <w:rsid w:val="00053D7C"/>
    <w:rsid w:val="00055159"/>
    <w:rsid w:val="000577C9"/>
    <w:rsid w:val="0006431E"/>
    <w:rsid w:val="000656C9"/>
    <w:rsid w:val="00072433"/>
    <w:rsid w:val="00075702"/>
    <w:rsid w:val="000775C2"/>
    <w:rsid w:val="000806AD"/>
    <w:rsid w:val="00082482"/>
    <w:rsid w:val="0008708B"/>
    <w:rsid w:val="00092619"/>
    <w:rsid w:val="00092C66"/>
    <w:rsid w:val="00094E4F"/>
    <w:rsid w:val="000A23DC"/>
    <w:rsid w:val="000A2BCE"/>
    <w:rsid w:val="000A41E3"/>
    <w:rsid w:val="000A4BBA"/>
    <w:rsid w:val="000A5071"/>
    <w:rsid w:val="000B12AE"/>
    <w:rsid w:val="000B34C3"/>
    <w:rsid w:val="000B4C99"/>
    <w:rsid w:val="000B784F"/>
    <w:rsid w:val="000C06F6"/>
    <w:rsid w:val="000C1D34"/>
    <w:rsid w:val="000C2362"/>
    <w:rsid w:val="000C3C13"/>
    <w:rsid w:val="000C4CB6"/>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15F0E"/>
    <w:rsid w:val="001211AF"/>
    <w:rsid w:val="001219DF"/>
    <w:rsid w:val="001231DC"/>
    <w:rsid w:val="001272AE"/>
    <w:rsid w:val="0013051A"/>
    <w:rsid w:val="001315DD"/>
    <w:rsid w:val="00135385"/>
    <w:rsid w:val="001364D1"/>
    <w:rsid w:val="00142EBA"/>
    <w:rsid w:val="00143B79"/>
    <w:rsid w:val="00150B8A"/>
    <w:rsid w:val="00150DCB"/>
    <w:rsid w:val="001518A6"/>
    <w:rsid w:val="00151912"/>
    <w:rsid w:val="00152FAE"/>
    <w:rsid w:val="001531E3"/>
    <w:rsid w:val="00153740"/>
    <w:rsid w:val="001541C5"/>
    <w:rsid w:val="00154744"/>
    <w:rsid w:val="0015623F"/>
    <w:rsid w:val="00156585"/>
    <w:rsid w:val="00156BA9"/>
    <w:rsid w:val="00161761"/>
    <w:rsid w:val="00166182"/>
    <w:rsid w:val="00173778"/>
    <w:rsid w:val="001745DD"/>
    <w:rsid w:val="00177659"/>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5320"/>
    <w:rsid w:val="001A58F2"/>
    <w:rsid w:val="001A5E62"/>
    <w:rsid w:val="001A7538"/>
    <w:rsid w:val="001B0B1A"/>
    <w:rsid w:val="001B227D"/>
    <w:rsid w:val="001B3F54"/>
    <w:rsid w:val="001B4EC2"/>
    <w:rsid w:val="001B5B59"/>
    <w:rsid w:val="001B60E0"/>
    <w:rsid w:val="001B66A1"/>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4507"/>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4174E"/>
    <w:rsid w:val="00241B20"/>
    <w:rsid w:val="0024227D"/>
    <w:rsid w:val="00242D14"/>
    <w:rsid w:val="00246860"/>
    <w:rsid w:val="00246DFF"/>
    <w:rsid w:val="00246E89"/>
    <w:rsid w:val="0025183C"/>
    <w:rsid w:val="002528EC"/>
    <w:rsid w:val="00255049"/>
    <w:rsid w:val="00257DE5"/>
    <w:rsid w:val="00260531"/>
    <w:rsid w:val="0026318D"/>
    <w:rsid w:val="00263304"/>
    <w:rsid w:val="00270864"/>
    <w:rsid w:val="002712F7"/>
    <w:rsid w:val="0027159C"/>
    <w:rsid w:val="00274549"/>
    <w:rsid w:val="00274E46"/>
    <w:rsid w:val="00275183"/>
    <w:rsid w:val="00276C86"/>
    <w:rsid w:val="00280FCE"/>
    <w:rsid w:val="002810A4"/>
    <w:rsid w:val="00284A26"/>
    <w:rsid w:val="00287006"/>
    <w:rsid w:val="00294437"/>
    <w:rsid w:val="002A3237"/>
    <w:rsid w:val="002A58B7"/>
    <w:rsid w:val="002A685E"/>
    <w:rsid w:val="002A72C7"/>
    <w:rsid w:val="002B03B2"/>
    <w:rsid w:val="002B0749"/>
    <w:rsid w:val="002B1FB5"/>
    <w:rsid w:val="002B2645"/>
    <w:rsid w:val="002B6FA0"/>
    <w:rsid w:val="002C5F10"/>
    <w:rsid w:val="002C6E5B"/>
    <w:rsid w:val="002D18B4"/>
    <w:rsid w:val="002D1C5D"/>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080E"/>
    <w:rsid w:val="0032136A"/>
    <w:rsid w:val="00323303"/>
    <w:rsid w:val="00323E70"/>
    <w:rsid w:val="00325BA2"/>
    <w:rsid w:val="00326F7F"/>
    <w:rsid w:val="003320E8"/>
    <w:rsid w:val="0033555E"/>
    <w:rsid w:val="00336805"/>
    <w:rsid w:val="00337351"/>
    <w:rsid w:val="00341A54"/>
    <w:rsid w:val="0034669F"/>
    <w:rsid w:val="003503AC"/>
    <w:rsid w:val="00351498"/>
    <w:rsid w:val="003522F9"/>
    <w:rsid w:val="003523EB"/>
    <w:rsid w:val="003529D1"/>
    <w:rsid w:val="00352B22"/>
    <w:rsid w:val="003543D9"/>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7B6"/>
    <w:rsid w:val="00395E12"/>
    <w:rsid w:val="00397DB7"/>
    <w:rsid w:val="003A089B"/>
    <w:rsid w:val="003A27B2"/>
    <w:rsid w:val="003A30B1"/>
    <w:rsid w:val="003A40B4"/>
    <w:rsid w:val="003A41BA"/>
    <w:rsid w:val="003A6A99"/>
    <w:rsid w:val="003A7FF8"/>
    <w:rsid w:val="003B17AC"/>
    <w:rsid w:val="003B227A"/>
    <w:rsid w:val="003B5854"/>
    <w:rsid w:val="003B6764"/>
    <w:rsid w:val="003C3833"/>
    <w:rsid w:val="003C6068"/>
    <w:rsid w:val="003C69E3"/>
    <w:rsid w:val="003D2BA3"/>
    <w:rsid w:val="003D3C22"/>
    <w:rsid w:val="003D7089"/>
    <w:rsid w:val="003D7DDB"/>
    <w:rsid w:val="003E02C7"/>
    <w:rsid w:val="003E0543"/>
    <w:rsid w:val="003E0B5A"/>
    <w:rsid w:val="003E31E3"/>
    <w:rsid w:val="003E46D1"/>
    <w:rsid w:val="003F58B0"/>
    <w:rsid w:val="004007E9"/>
    <w:rsid w:val="00401825"/>
    <w:rsid w:val="00401BBC"/>
    <w:rsid w:val="00403447"/>
    <w:rsid w:val="00403BFB"/>
    <w:rsid w:val="00404B45"/>
    <w:rsid w:val="00406CC5"/>
    <w:rsid w:val="004074A4"/>
    <w:rsid w:val="004101B2"/>
    <w:rsid w:val="004123D7"/>
    <w:rsid w:val="00412658"/>
    <w:rsid w:val="004149C4"/>
    <w:rsid w:val="00416444"/>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56EB"/>
    <w:rsid w:val="004761CC"/>
    <w:rsid w:val="00480D4A"/>
    <w:rsid w:val="00481DA1"/>
    <w:rsid w:val="0049255F"/>
    <w:rsid w:val="0049445D"/>
    <w:rsid w:val="00495350"/>
    <w:rsid w:val="00497156"/>
    <w:rsid w:val="004974B5"/>
    <w:rsid w:val="004A24D2"/>
    <w:rsid w:val="004A3214"/>
    <w:rsid w:val="004A4136"/>
    <w:rsid w:val="004A417B"/>
    <w:rsid w:val="004B03F3"/>
    <w:rsid w:val="004B2536"/>
    <w:rsid w:val="004B6AF3"/>
    <w:rsid w:val="004B715E"/>
    <w:rsid w:val="004B7169"/>
    <w:rsid w:val="004B79C9"/>
    <w:rsid w:val="004C5E33"/>
    <w:rsid w:val="004C6021"/>
    <w:rsid w:val="004C6CDA"/>
    <w:rsid w:val="004D10D4"/>
    <w:rsid w:val="004D16BD"/>
    <w:rsid w:val="004D2AAB"/>
    <w:rsid w:val="004D6F2B"/>
    <w:rsid w:val="004E00E9"/>
    <w:rsid w:val="004E0248"/>
    <w:rsid w:val="004E21A3"/>
    <w:rsid w:val="004E32EA"/>
    <w:rsid w:val="004E456C"/>
    <w:rsid w:val="004E6866"/>
    <w:rsid w:val="004F3222"/>
    <w:rsid w:val="004F3BFA"/>
    <w:rsid w:val="005000AB"/>
    <w:rsid w:val="005025EE"/>
    <w:rsid w:val="0050278D"/>
    <w:rsid w:val="005052D4"/>
    <w:rsid w:val="00510588"/>
    <w:rsid w:val="0051146C"/>
    <w:rsid w:val="00514449"/>
    <w:rsid w:val="005222E7"/>
    <w:rsid w:val="00523A5E"/>
    <w:rsid w:val="00523A8B"/>
    <w:rsid w:val="00523D42"/>
    <w:rsid w:val="00523E04"/>
    <w:rsid w:val="00524C3D"/>
    <w:rsid w:val="0052590B"/>
    <w:rsid w:val="00526308"/>
    <w:rsid w:val="00526591"/>
    <w:rsid w:val="00527178"/>
    <w:rsid w:val="005278CB"/>
    <w:rsid w:val="00534013"/>
    <w:rsid w:val="00534D42"/>
    <w:rsid w:val="005350A5"/>
    <w:rsid w:val="00536040"/>
    <w:rsid w:val="00536379"/>
    <w:rsid w:val="00537238"/>
    <w:rsid w:val="005400C5"/>
    <w:rsid w:val="00540BEF"/>
    <w:rsid w:val="00542921"/>
    <w:rsid w:val="00542C9A"/>
    <w:rsid w:val="005436C2"/>
    <w:rsid w:val="005442D4"/>
    <w:rsid w:val="005451D8"/>
    <w:rsid w:val="0054586A"/>
    <w:rsid w:val="0054631F"/>
    <w:rsid w:val="0055288D"/>
    <w:rsid w:val="00555259"/>
    <w:rsid w:val="0055573B"/>
    <w:rsid w:val="00560D57"/>
    <w:rsid w:val="00562A94"/>
    <w:rsid w:val="00564126"/>
    <w:rsid w:val="005707EE"/>
    <w:rsid w:val="005709F7"/>
    <w:rsid w:val="005710A9"/>
    <w:rsid w:val="00571D1B"/>
    <w:rsid w:val="00572D7C"/>
    <w:rsid w:val="00593043"/>
    <w:rsid w:val="005938B1"/>
    <w:rsid w:val="00595BF0"/>
    <w:rsid w:val="005A1846"/>
    <w:rsid w:val="005A258C"/>
    <w:rsid w:val="005A26F7"/>
    <w:rsid w:val="005A27B5"/>
    <w:rsid w:val="005A3560"/>
    <w:rsid w:val="005A4E82"/>
    <w:rsid w:val="005A6C99"/>
    <w:rsid w:val="005A7D5D"/>
    <w:rsid w:val="005B011A"/>
    <w:rsid w:val="005B1D8F"/>
    <w:rsid w:val="005B1E94"/>
    <w:rsid w:val="005B5B3D"/>
    <w:rsid w:val="005C16F3"/>
    <w:rsid w:val="005C3758"/>
    <w:rsid w:val="005D15A1"/>
    <w:rsid w:val="005D3EF4"/>
    <w:rsid w:val="005E3064"/>
    <w:rsid w:val="005E72B2"/>
    <w:rsid w:val="005F1115"/>
    <w:rsid w:val="005F1AB6"/>
    <w:rsid w:val="005F27F2"/>
    <w:rsid w:val="005F3AFE"/>
    <w:rsid w:val="005F424D"/>
    <w:rsid w:val="005F6B6D"/>
    <w:rsid w:val="00605AAB"/>
    <w:rsid w:val="00606BEB"/>
    <w:rsid w:val="00610095"/>
    <w:rsid w:val="0061014A"/>
    <w:rsid w:val="0061054B"/>
    <w:rsid w:val="00613E26"/>
    <w:rsid w:val="00615641"/>
    <w:rsid w:val="00616959"/>
    <w:rsid w:val="006211D0"/>
    <w:rsid w:val="00624D0C"/>
    <w:rsid w:val="006307BA"/>
    <w:rsid w:val="006315BA"/>
    <w:rsid w:val="00634C4A"/>
    <w:rsid w:val="0063532E"/>
    <w:rsid w:val="00637BDC"/>
    <w:rsid w:val="00640FBB"/>
    <w:rsid w:val="006418C9"/>
    <w:rsid w:val="00642BD6"/>
    <w:rsid w:val="00645046"/>
    <w:rsid w:val="0064527A"/>
    <w:rsid w:val="00645EA2"/>
    <w:rsid w:val="00653A25"/>
    <w:rsid w:val="006544AF"/>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40E6"/>
    <w:rsid w:val="006A4ACA"/>
    <w:rsid w:val="006A5C07"/>
    <w:rsid w:val="006A632D"/>
    <w:rsid w:val="006A75FA"/>
    <w:rsid w:val="006B07D5"/>
    <w:rsid w:val="006B1309"/>
    <w:rsid w:val="006B1A42"/>
    <w:rsid w:val="006B3923"/>
    <w:rsid w:val="006B3F3E"/>
    <w:rsid w:val="006B5923"/>
    <w:rsid w:val="006B67D9"/>
    <w:rsid w:val="006B6C14"/>
    <w:rsid w:val="006B715E"/>
    <w:rsid w:val="006C19A1"/>
    <w:rsid w:val="006C1D6E"/>
    <w:rsid w:val="006C3A68"/>
    <w:rsid w:val="006C4C78"/>
    <w:rsid w:val="006C6AB1"/>
    <w:rsid w:val="006D2D39"/>
    <w:rsid w:val="006D4E0E"/>
    <w:rsid w:val="006D5CE2"/>
    <w:rsid w:val="006D7CE5"/>
    <w:rsid w:val="006E06D1"/>
    <w:rsid w:val="006E1313"/>
    <w:rsid w:val="006E1559"/>
    <w:rsid w:val="006E2DC8"/>
    <w:rsid w:val="006E7356"/>
    <w:rsid w:val="006E77C8"/>
    <w:rsid w:val="006F149D"/>
    <w:rsid w:val="006F1A46"/>
    <w:rsid w:val="006F5A4E"/>
    <w:rsid w:val="00703B6C"/>
    <w:rsid w:val="00705C40"/>
    <w:rsid w:val="00706482"/>
    <w:rsid w:val="00706BEF"/>
    <w:rsid w:val="007116BC"/>
    <w:rsid w:val="00711ED3"/>
    <w:rsid w:val="007165CE"/>
    <w:rsid w:val="00720968"/>
    <w:rsid w:val="00721D12"/>
    <w:rsid w:val="00721F8B"/>
    <w:rsid w:val="007237CE"/>
    <w:rsid w:val="00724688"/>
    <w:rsid w:val="007301AF"/>
    <w:rsid w:val="0073062D"/>
    <w:rsid w:val="0073254D"/>
    <w:rsid w:val="00736A49"/>
    <w:rsid w:val="00743B71"/>
    <w:rsid w:val="00743C2D"/>
    <w:rsid w:val="00743E36"/>
    <w:rsid w:val="007446F7"/>
    <w:rsid w:val="00744EBB"/>
    <w:rsid w:val="007451A7"/>
    <w:rsid w:val="00745B0A"/>
    <w:rsid w:val="007468AC"/>
    <w:rsid w:val="00746AE2"/>
    <w:rsid w:val="007500EA"/>
    <w:rsid w:val="00750C82"/>
    <w:rsid w:val="007536C7"/>
    <w:rsid w:val="0076100C"/>
    <w:rsid w:val="007651ED"/>
    <w:rsid w:val="00766C87"/>
    <w:rsid w:val="0078016E"/>
    <w:rsid w:val="00781BD4"/>
    <w:rsid w:val="00784832"/>
    <w:rsid w:val="00785D77"/>
    <w:rsid w:val="00786111"/>
    <w:rsid w:val="00791F1E"/>
    <w:rsid w:val="00792C1D"/>
    <w:rsid w:val="00794F3D"/>
    <w:rsid w:val="00796045"/>
    <w:rsid w:val="007968AC"/>
    <w:rsid w:val="007969AB"/>
    <w:rsid w:val="007A0B39"/>
    <w:rsid w:val="007A14A4"/>
    <w:rsid w:val="007A168F"/>
    <w:rsid w:val="007A28E4"/>
    <w:rsid w:val="007A3BB3"/>
    <w:rsid w:val="007A5AD1"/>
    <w:rsid w:val="007A5B7B"/>
    <w:rsid w:val="007B0A06"/>
    <w:rsid w:val="007B54A3"/>
    <w:rsid w:val="007B5C5C"/>
    <w:rsid w:val="007B7B37"/>
    <w:rsid w:val="007B7C41"/>
    <w:rsid w:val="007C1801"/>
    <w:rsid w:val="007C2D91"/>
    <w:rsid w:val="007C3838"/>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0696"/>
    <w:rsid w:val="0086162B"/>
    <w:rsid w:val="00861D5C"/>
    <w:rsid w:val="00863ABD"/>
    <w:rsid w:val="00865207"/>
    <w:rsid w:val="008656A7"/>
    <w:rsid w:val="0087077B"/>
    <w:rsid w:val="00871262"/>
    <w:rsid w:val="00871D4E"/>
    <w:rsid w:val="00871E7B"/>
    <w:rsid w:val="008759CF"/>
    <w:rsid w:val="00875B51"/>
    <w:rsid w:val="00875F2D"/>
    <w:rsid w:val="008764DC"/>
    <w:rsid w:val="0087719D"/>
    <w:rsid w:val="00882CC2"/>
    <w:rsid w:val="00883930"/>
    <w:rsid w:val="008927E9"/>
    <w:rsid w:val="00894A2D"/>
    <w:rsid w:val="00896535"/>
    <w:rsid w:val="00896683"/>
    <w:rsid w:val="00897589"/>
    <w:rsid w:val="008A63A9"/>
    <w:rsid w:val="008A7F7E"/>
    <w:rsid w:val="008B04DB"/>
    <w:rsid w:val="008B27FD"/>
    <w:rsid w:val="008B3AF2"/>
    <w:rsid w:val="008B515D"/>
    <w:rsid w:val="008B5D31"/>
    <w:rsid w:val="008B65A3"/>
    <w:rsid w:val="008B6705"/>
    <w:rsid w:val="008C22F3"/>
    <w:rsid w:val="008C5FCA"/>
    <w:rsid w:val="008D795D"/>
    <w:rsid w:val="008D7B07"/>
    <w:rsid w:val="008E1E94"/>
    <w:rsid w:val="008E2D99"/>
    <w:rsid w:val="008E4A60"/>
    <w:rsid w:val="008E744D"/>
    <w:rsid w:val="008F1E08"/>
    <w:rsid w:val="008F389D"/>
    <w:rsid w:val="008F3DD2"/>
    <w:rsid w:val="00900D8F"/>
    <w:rsid w:val="009014E3"/>
    <w:rsid w:val="009021D0"/>
    <w:rsid w:val="009026E8"/>
    <w:rsid w:val="009051C8"/>
    <w:rsid w:val="00906EB7"/>
    <w:rsid w:val="009102BF"/>
    <w:rsid w:val="009115F2"/>
    <w:rsid w:val="00914ADB"/>
    <w:rsid w:val="00923B25"/>
    <w:rsid w:val="0092402E"/>
    <w:rsid w:val="009259BA"/>
    <w:rsid w:val="00926FCB"/>
    <w:rsid w:val="0093311A"/>
    <w:rsid w:val="00937F0C"/>
    <w:rsid w:val="00942645"/>
    <w:rsid w:val="009472CB"/>
    <w:rsid w:val="00950A3A"/>
    <w:rsid w:val="0095340A"/>
    <w:rsid w:val="00954581"/>
    <w:rsid w:val="0095466C"/>
    <w:rsid w:val="00954E5B"/>
    <w:rsid w:val="009576BC"/>
    <w:rsid w:val="00960357"/>
    <w:rsid w:val="0096168C"/>
    <w:rsid w:val="00961840"/>
    <w:rsid w:val="00962F2D"/>
    <w:rsid w:val="00964C6B"/>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B14D1"/>
    <w:rsid w:val="009B1534"/>
    <w:rsid w:val="009B2D10"/>
    <w:rsid w:val="009B4A3B"/>
    <w:rsid w:val="009B69D3"/>
    <w:rsid w:val="009B7BA7"/>
    <w:rsid w:val="009C0938"/>
    <w:rsid w:val="009C22C8"/>
    <w:rsid w:val="009C3F82"/>
    <w:rsid w:val="009C72DD"/>
    <w:rsid w:val="009C7DF5"/>
    <w:rsid w:val="009D056C"/>
    <w:rsid w:val="009D060F"/>
    <w:rsid w:val="009D1ADE"/>
    <w:rsid w:val="009D216A"/>
    <w:rsid w:val="009E09D0"/>
    <w:rsid w:val="009E1283"/>
    <w:rsid w:val="009E3A7F"/>
    <w:rsid w:val="009E57B1"/>
    <w:rsid w:val="009E6379"/>
    <w:rsid w:val="009F7809"/>
    <w:rsid w:val="009F7AF5"/>
    <w:rsid w:val="00A00D14"/>
    <w:rsid w:val="00A01408"/>
    <w:rsid w:val="00A02457"/>
    <w:rsid w:val="00A02E8E"/>
    <w:rsid w:val="00A03190"/>
    <w:rsid w:val="00A0404B"/>
    <w:rsid w:val="00A0798C"/>
    <w:rsid w:val="00A07BDD"/>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27C51"/>
    <w:rsid w:val="00A32743"/>
    <w:rsid w:val="00A35315"/>
    <w:rsid w:val="00A414A9"/>
    <w:rsid w:val="00A44CCA"/>
    <w:rsid w:val="00A44D75"/>
    <w:rsid w:val="00A47A75"/>
    <w:rsid w:val="00A47CF1"/>
    <w:rsid w:val="00A50418"/>
    <w:rsid w:val="00A54A47"/>
    <w:rsid w:val="00A56D26"/>
    <w:rsid w:val="00A571A7"/>
    <w:rsid w:val="00A601F3"/>
    <w:rsid w:val="00A608FB"/>
    <w:rsid w:val="00A60D83"/>
    <w:rsid w:val="00A60F68"/>
    <w:rsid w:val="00A63DF3"/>
    <w:rsid w:val="00A65616"/>
    <w:rsid w:val="00A65C78"/>
    <w:rsid w:val="00A660A8"/>
    <w:rsid w:val="00A662BE"/>
    <w:rsid w:val="00A67591"/>
    <w:rsid w:val="00A67BB5"/>
    <w:rsid w:val="00A67CA6"/>
    <w:rsid w:val="00A70E7B"/>
    <w:rsid w:val="00A737D7"/>
    <w:rsid w:val="00A73B84"/>
    <w:rsid w:val="00A7411D"/>
    <w:rsid w:val="00A74DCE"/>
    <w:rsid w:val="00A76094"/>
    <w:rsid w:val="00A768E2"/>
    <w:rsid w:val="00A82C52"/>
    <w:rsid w:val="00A84BA0"/>
    <w:rsid w:val="00A86570"/>
    <w:rsid w:val="00A86CB6"/>
    <w:rsid w:val="00A90D55"/>
    <w:rsid w:val="00A944D8"/>
    <w:rsid w:val="00A959E7"/>
    <w:rsid w:val="00A95BBA"/>
    <w:rsid w:val="00A961EE"/>
    <w:rsid w:val="00AA04B3"/>
    <w:rsid w:val="00AA1253"/>
    <w:rsid w:val="00AA28EF"/>
    <w:rsid w:val="00AA493E"/>
    <w:rsid w:val="00AA4CB6"/>
    <w:rsid w:val="00AA73AF"/>
    <w:rsid w:val="00AB1754"/>
    <w:rsid w:val="00AB27DD"/>
    <w:rsid w:val="00AC1021"/>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436B"/>
    <w:rsid w:val="00B07955"/>
    <w:rsid w:val="00B13667"/>
    <w:rsid w:val="00B14FAA"/>
    <w:rsid w:val="00B15D30"/>
    <w:rsid w:val="00B20624"/>
    <w:rsid w:val="00B23436"/>
    <w:rsid w:val="00B26354"/>
    <w:rsid w:val="00B26CA0"/>
    <w:rsid w:val="00B32179"/>
    <w:rsid w:val="00B33008"/>
    <w:rsid w:val="00B331A9"/>
    <w:rsid w:val="00B3449A"/>
    <w:rsid w:val="00B36569"/>
    <w:rsid w:val="00B40A05"/>
    <w:rsid w:val="00B40A3E"/>
    <w:rsid w:val="00B41401"/>
    <w:rsid w:val="00B427E4"/>
    <w:rsid w:val="00B50227"/>
    <w:rsid w:val="00B50510"/>
    <w:rsid w:val="00B50A69"/>
    <w:rsid w:val="00B522CD"/>
    <w:rsid w:val="00B55143"/>
    <w:rsid w:val="00B55779"/>
    <w:rsid w:val="00B55917"/>
    <w:rsid w:val="00B643A6"/>
    <w:rsid w:val="00B64DD6"/>
    <w:rsid w:val="00B6710C"/>
    <w:rsid w:val="00B72076"/>
    <w:rsid w:val="00B72303"/>
    <w:rsid w:val="00B737B4"/>
    <w:rsid w:val="00B82277"/>
    <w:rsid w:val="00B91676"/>
    <w:rsid w:val="00B95833"/>
    <w:rsid w:val="00B96312"/>
    <w:rsid w:val="00BA0D58"/>
    <w:rsid w:val="00BA1824"/>
    <w:rsid w:val="00BA2D98"/>
    <w:rsid w:val="00BA30D1"/>
    <w:rsid w:val="00BA4609"/>
    <w:rsid w:val="00BA5BE2"/>
    <w:rsid w:val="00BA7F46"/>
    <w:rsid w:val="00BB0A0A"/>
    <w:rsid w:val="00BB252F"/>
    <w:rsid w:val="00BB387C"/>
    <w:rsid w:val="00BB448A"/>
    <w:rsid w:val="00BB45B5"/>
    <w:rsid w:val="00BB6064"/>
    <w:rsid w:val="00BC09D1"/>
    <w:rsid w:val="00BC1CF3"/>
    <w:rsid w:val="00BC298E"/>
    <w:rsid w:val="00BC4684"/>
    <w:rsid w:val="00BC7F82"/>
    <w:rsid w:val="00BD40AB"/>
    <w:rsid w:val="00BD6297"/>
    <w:rsid w:val="00BD6806"/>
    <w:rsid w:val="00BD7433"/>
    <w:rsid w:val="00BD7831"/>
    <w:rsid w:val="00BD7C10"/>
    <w:rsid w:val="00BE046F"/>
    <w:rsid w:val="00BE0DEB"/>
    <w:rsid w:val="00BE2FC1"/>
    <w:rsid w:val="00BE6365"/>
    <w:rsid w:val="00BF0B7F"/>
    <w:rsid w:val="00BF4720"/>
    <w:rsid w:val="00BF5094"/>
    <w:rsid w:val="00BF7B63"/>
    <w:rsid w:val="00C0014B"/>
    <w:rsid w:val="00C038EC"/>
    <w:rsid w:val="00C05C6D"/>
    <w:rsid w:val="00C1122B"/>
    <w:rsid w:val="00C13B34"/>
    <w:rsid w:val="00C13F26"/>
    <w:rsid w:val="00C16E9F"/>
    <w:rsid w:val="00C1713D"/>
    <w:rsid w:val="00C177F1"/>
    <w:rsid w:val="00C218D9"/>
    <w:rsid w:val="00C22F3A"/>
    <w:rsid w:val="00C2513E"/>
    <w:rsid w:val="00C252E1"/>
    <w:rsid w:val="00C25978"/>
    <w:rsid w:val="00C261C6"/>
    <w:rsid w:val="00C26E7C"/>
    <w:rsid w:val="00C30A97"/>
    <w:rsid w:val="00C31DDC"/>
    <w:rsid w:val="00C34326"/>
    <w:rsid w:val="00C36201"/>
    <w:rsid w:val="00C368E8"/>
    <w:rsid w:val="00C36C3D"/>
    <w:rsid w:val="00C372C7"/>
    <w:rsid w:val="00C37848"/>
    <w:rsid w:val="00C41E47"/>
    <w:rsid w:val="00C423C3"/>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A7FC0"/>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F158D"/>
    <w:rsid w:val="00CF4394"/>
    <w:rsid w:val="00D000A9"/>
    <w:rsid w:val="00D005DB"/>
    <w:rsid w:val="00D0064E"/>
    <w:rsid w:val="00D00981"/>
    <w:rsid w:val="00D0280D"/>
    <w:rsid w:val="00D02C23"/>
    <w:rsid w:val="00D07A72"/>
    <w:rsid w:val="00D10577"/>
    <w:rsid w:val="00D11F11"/>
    <w:rsid w:val="00D1269D"/>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571C5"/>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26D"/>
    <w:rsid w:val="00DB6365"/>
    <w:rsid w:val="00DC0BF1"/>
    <w:rsid w:val="00DC41C3"/>
    <w:rsid w:val="00DD3593"/>
    <w:rsid w:val="00DE0C67"/>
    <w:rsid w:val="00DE6952"/>
    <w:rsid w:val="00DE7E74"/>
    <w:rsid w:val="00DF2144"/>
    <w:rsid w:val="00DF6EF8"/>
    <w:rsid w:val="00E00A69"/>
    <w:rsid w:val="00E017F0"/>
    <w:rsid w:val="00E01A0E"/>
    <w:rsid w:val="00E041E4"/>
    <w:rsid w:val="00E1012B"/>
    <w:rsid w:val="00E103C8"/>
    <w:rsid w:val="00E1085B"/>
    <w:rsid w:val="00E1308B"/>
    <w:rsid w:val="00E14581"/>
    <w:rsid w:val="00E14AEE"/>
    <w:rsid w:val="00E15539"/>
    <w:rsid w:val="00E16541"/>
    <w:rsid w:val="00E23C72"/>
    <w:rsid w:val="00E2536E"/>
    <w:rsid w:val="00E25B8A"/>
    <w:rsid w:val="00E2632B"/>
    <w:rsid w:val="00E322F7"/>
    <w:rsid w:val="00E3369B"/>
    <w:rsid w:val="00E35163"/>
    <w:rsid w:val="00E36D76"/>
    <w:rsid w:val="00E370A7"/>
    <w:rsid w:val="00E405EA"/>
    <w:rsid w:val="00E408B7"/>
    <w:rsid w:val="00E41637"/>
    <w:rsid w:val="00E42789"/>
    <w:rsid w:val="00E43F59"/>
    <w:rsid w:val="00E464F0"/>
    <w:rsid w:val="00E50BEB"/>
    <w:rsid w:val="00E548FA"/>
    <w:rsid w:val="00E60684"/>
    <w:rsid w:val="00E6092F"/>
    <w:rsid w:val="00E62049"/>
    <w:rsid w:val="00E629DA"/>
    <w:rsid w:val="00E6469F"/>
    <w:rsid w:val="00E67FAC"/>
    <w:rsid w:val="00E7200B"/>
    <w:rsid w:val="00E72BD5"/>
    <w:rsid w:val="00E738CB"/>
    <w:rsid w:val="00E73C8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67C5"/>
    <w:rsid w:val="00F67830"/>
    <w:rsid w:val="00F67E31"/>
    <w:rsid w:val="00F718A8"/>
    <w:rsid w:val="00F72183"/>
    <w:rsid w:val="00F76D01"/>
    <w:rsid w:val="00F77146"/>
    <w:rsid w:val="00F81C35"/>
    <w:rsid w:val="00F82981"/>
    <w:rsid w:val="00F8311F"/>
    <w:rsid w:val="00F83248"/>
    <w:rsid w:val="00F83376"/>
    <w:rsid w:val="00F853AE"/>
    <w:rsid w:val="00F93C74"/>
    <w:rsid w:val="00F93DCC"/>
    <w:rsid w:val="00F9435D"/>
    <w:rsid w:val="00F97740"/>
    <w:rsid w:val="00FA2F7B"/>
    <w:rsid w:val="00FB09FE"/>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921"/>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89038861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44F4-DDF6-443C-A947-26EAA44B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Colleen.Toussaint</cp:lastModifiedBy>
  <cp:revision>2</cp:revision>
  <cp:lastPrinted>2011-04-11T11:35:00Z</cp:lastPrinted>
  <dcterms:created xsi:type="dcterms:W3CDTF">2012-03-08T17:06:00Z</dcterms:created>
  <dcterms:modified xsi:type="dcterms:W3CDTF">2012-03-08T17:06:00Z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