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A1324" w:rsidRDefault="00540BEF" w:rsidP="00190E48">
      <w:pPr>
        <w:tabs>
          <w:tab w:val="left" w:pos="288"/>
          <w:tab w:val="left" w:pos="4752"/>
        </w:tabs>
        <w:spacing w:line="240" w:lineRule="exact"/>
        <w:jc w:val="center"/>
        <w:rPr>
          <w:rFonts w:ascii="Calibri" w:hAnsi="Calibri"/>
          <w:color w:val="auto"/>
          <w:szCs w:val="24"/>
        </w:rPr>
      </w:pPr>
      <w:r w:rsidRPr="00EA1324">
        <w:rPr>
          <w:rFonts w:ascii="Calibri" w:hAnsi="Calibri"/>
          <w:color w:val="auto"/>
          <w:szCs w:val="24"/>
        </w:rPr>
        <w:t>RECORD OF PROCEEDINGS</w:t>
      </w:r>
    </w:p>
    <w:p w:rsidR="00540BEF" w:rsidRPr="00EA1324" w:rsidRDefault="00540BEF" w:rsidP="00190E48">
      <w:pPr>
        <w:tabs>
          <w:tab w:val="left" w:pos="288"/>
          <w:tab w:val="left" w:pos="4752"/>
        </w:tabs>
        <w:spacing w:line="240" w:lineRule="exact"/>
        <w:jc w:val="center"/>
        <w:rPr>
          <w:rFonts w:ascii="Calibri" w:hAnsi="Calibri"/>
          <w:color w:val="auto"/>
          <w:szCs w:val="24"/>
        </w:rPr>
      </w:pPr>
      <w:r w:rsidRPr="00EA1324">
        <w:rPr>
          <w:rFonts w:ascii="Calibri" w:hAnsi="Calibri"/>
          <w:color w:val="auto"/>
          <w:szCs w:val="24"/>
        </w:rPr>
        <w:t>PHYSICAL DISABILITY BOARD OF REVIEW</w:t>
      </w:r>
    </w:p>
    <w:p w:rsidR="00540BEF" w:rsidRPr="00EA1324" w:rsidRDefault="00540BEF" w:rsidP="00190E48">
      <w:pPr>
        <w:tabs>
          <w:tab w:val="left" w:pos="288"/>
          <w:tab w:val="left" w:pos="4752"/>
        </w:tabs>
        <w:spacing w:line="240" w:lineRule="exact"/>
        <w:jc w:val="both"/>
        <w:rPr>
          <w:rFonts w:ascii="Calibri" w:hAnsi="Calibri"/>
          <w:caps/>
          <w:color w:val="auto"/>
          <w:szCs w:val="24"/>
        </w:rPr>
      </w:pPr>
    </w:p>
    <w:p w:rsidR="00540BEF" w:rsidRPr="00EA1324" w:rsidRDefault="00540BEF" w:rsidP="00190E48">
      <w:pPr>
        <w:tabs>
          <w:tab w:val="left" w:pos="288"/>
          <w:tab w:val="left" w:pos="4752"/>
        </w:tabs>
        <w:spacing w:line="240" w:lineRule="exact"/>
        <w:ind w:right="-1260"/>
        <w:jc w:val="both"/>
        <w:rPr>
          <w:rFonts w:ascii="Calibri" w:hAnsi="Calibri"/>
          <w:caps/>
          <w:color w:val="auto"/>
          <w:szCs w:val="24"/>
        </w:rPr>
      </w:pPr>
      <w:r w:rsidRPr="00EA1324">
        <w:rPr>
          <w:rFonts w:ascii="Calibri" w:hAnsi="Calibri"/>
          <w:caps/>
          <w:color w:val="auto"/>
          <w:szCs w:val="24"/>
        </w:rPr>
        <w:t>NAME:</w:t>
      </w:r>
      <w:r w:rsidR="002275F9" w:rsidRPr="00EA1324">
        <w:rPr>
          <w:rFonts w:ascii="Calibri" w:hAnsi="Calibri"/>
          <w:caps/>
          <w:color w:val="auto"/>
          <w:szCs w:val="24"/>
        </w:rPr>
        <w:t xml:space="preserve"> </w:t>
      </w:r>
      <w:r w:rsidR="00D01EFC">
        <w:rPr>
          <w:rFonts w:ascii="Calibri" w:hAnsi="Calibri"/>
          <w:caps/>
          <w:color w:val="auto"/>
          <w:szCs w:val="24"/>
        </w:rPr>
        <w:t>XXX</w:t>
      </w:r>
      <w:r w:rsidR="002275F9" w:rsidRPr="00EA1324">
        <w:rPr>
          <w:rFonts w:ascii="Calibri" w:hAnsi="Calibri"/>
          <w:caps/>
          <w:color w:val="auto"/>
          <w:szCs w:val="24"/>
        </w:rPr>
        <w:t xml:space="preserve"> </w:t>
      </w:r>
      <w:r w:rsidRPr="00EA1324">
        <w:rPr>
          <w:rFonts w:ascii="Calibri" w:hAnsi="Calibri"/>
          <w:caps/>
          <w:color w:val="auto"/>
          <w:szCs w:val="24"/>
        </w:rPr>
        <w:tab/>
      </w:r>
      <w:r w:rsidRPr="00EA1324">
        <w:rPr>
          <w:rFonts w:ascii="Calibri" w:hAnsi="Calibri"/>
          <w:caps/>
          <w:color w:val="auto"/>
          <w:szCs w:val="24"/>
        </w:rPr>
        <w:tab/>
      </w:r>
      <w:r w:rsidR="004A50C8">
        <w:rPr>
          <w:rFonts w:ascii="Calibri" w:hAnsi="Calibri"/>
          <w:caps/>
          <w:color w:val="auto"/>
          <w:szCs w:val="24"/>
        </w:rPr>
        <w:tab/>
      </w:r>
      <w:r w:rsidR="004A50C8">
        <w:rPr>
          <w:rFonts w:ascii="Calibri" w:hAnsi="Calibri"/>
          <w:caps/>
          <w:color w:val="auto"/>
          <w:szCs w:val="24"/>
        </w:rPr>
        <w:tab/>
      </w:r>
      <w:r w:rsidRPr="00EA1324">
        <w:rPr>
          <w:rFonts w:ascii="Calibri" w:hAnsi="Calibri"/>
          <w:caps/>
          <w:color w:val="auto"/>
          <w:szCs w:val="24"/>
        </w:rPr>
        <w:t xml:space="preserve">BRANCH OF SERVICE: </w:t>
      </w:r>
      <w:r w:rsidR="003A27B2" w:rsidRPr="00EA1324">
        <w:rPr>
          <w:rFonts w:ascii="Calibri" w:hAnsi="Calibri"/>
          <w:caps/>
          <w:color w:val="auto"/>
          <w:szCs w:val="24"/>
        </w:rPr>
        <w:t>NAVY</w:t>
      </w:r>
    </w:p>
    <w:p w:rsidR="00540BEF" w:rsidRPr="00EA1324" w:rsidRDefault="00540BEF" w:rsidP="00190E48">
      <w:pPr>
        <w:tabs>
          <w:tab w:val="left" w:pos="288"/>
          <w:tab w:val="left" w:pos="4752"/>
        </w:tabs>
        <w:spacing w:line="240" w:lineRule="exact"/>
        <w:ind w:right="-900"/>
        <w:jc w:val="both"/>
        <w:rPr>
          <w:rFonts w:ascii="Calibri" w:hAnsi="Calibri"/>
          <w:caps/>
          <w:color w:val="auto"/>
          <w:szCs w:val="24"/>
        </w:rPr>
      </w:pPr>
      <w:r w:rsidRPr="00EA1324">
        <w:rPr>
          <w:rFonts w:ascii="Calibri" w:hAnsi="Calibri"/>
          <w:caps/>
          <w:color w:val="auto"/>
          <w:szCs w:val="24"/>
        </w:rPr>
        <w:t>CASE NUMBER:  PD</w:t>
      </w:r>
      <w:r w:rsidR="00D00981" w:rsidRPr="00EA1324">
        <w:rPr>
          <w:rFonts w:ascii="Calibri" w:hAnsi="Calibri"/>
          <w:caps/>
          <w:color w:val="auto"/>
          <w:szCs w:val="24"/>
        </w:rPr>
        <w:t>10</w:t>
      </w:r>
      <w:r w:rsidRPr="00EA1324">
        <w:rPr>
          <w:rFonts w:ascii="Calibri" w:hAnsi="Calibri"/>
          <w:caps/>
          <w:color w:val="auto"/>
          <w:szCs w:val="24"/>
        </w:rPr>
        <w:t>00</w:t>
      </w:r>
      <w:r w:rsidR="002275F9" w:rsidRPr="00EA1324">
        <w:rPr>
          <w:rFonts w:ascii="Calibri" w:hAnsi="Calibri"/>
          <w:caps/>
          <w:color w:val="auto"/>
          <w:szCs w:val="24"/>
        </w:rPr>
        <w:t>228</w:t>
      </w:r>
      <w:r w:rsidRPr="00EA1324">
        <w:rPr>
          <w:rFonts w:ascii="Calibri" w:hAnsi="Calibri"/>
          <w:caps/>
          <w:color w:val="auto"/>
          <w:szCs w:val="24"/>
        </w:rPr>
        <w:tab/>
      </w:r>
      <w:r w:rsidRPr="00EA1324">
        <w:rPr>
          <w:rFonts w:ascii="Calibri" w:hAnsi="Calibri"/>
          <w:caps/>
          <w:color w:val="auto"/>
          <w:szCs w:val="24"/>
        </w:rPr>
        <w:tab/>
      </w:r>
      <w:r w:rsidR="004A50C8">
        <w:rPr>
          <w:rFonts w:ascii="Calibri" w:hAnsi="Calibri"/>
          <w:caps/>
          <w:color w:val="auto"/>
          <w:szCs w:val="24"/>
        </w:rPr>
        <w:tab/>
      </w:r>
      <w:r w:rsidR="004A50C8">
        <w:rPr>
          <w:rFonts w:ascii="Calibri" w:hAnsi="Calibri"/>
          <w:caps/>
          <w:color w:val="auto"/>
          <w:szCs w:val="24"/>
        </w:rPr>
        <w:tab/>
      </w:r>
      <w:r w:rsidR="00C22F3A" w:rsidRPr="00EA1324">
        <w:rPr>
          <w:rFonts w:ascii="Calibri" w:hAnsi="Calibri"/>
          <w:caps/>
          <w:color w:val="auto"/>
          <w:szCs w:val="24"/>
        </w:rPr>
        <w:t>SEPARATION DATE: 200</w:t>
      </w:r>
      <w:r w:rsidR="002275F9" w:rsidRPr="00EA1324">
        <w:rPr>
          <w:rFonts w:ascii="Calibri" w:hAnsi="Calibri"/>
          <w:caps/>
          <w:color w:val="auto"/>
          <w:szCs w:val="24"/>
        </w:rPr>
        <w:t>41108</w:t>
      </w:r>
    </w:p>
    <w:p w:rsidR="00540BEF" w:rsidRPr="00EA1324" w:rsidRDefault="00540BEF" w:rsidP="00190E48">
      <w:pPr>
        <w:tabs>
          <w:tab w:val="left" w:pos="288"/>
          <w:tab w:val="left" w:pos="4752"/>
        </w:tabs>
        <w:spacing w:line="240" w:lineRule="exact"/>
        <w:jc w:val="both"/>
        <w:rPr>
          <w:rFonts w:ascii="Calibri" w:hAnsi="Calibri"/>
          <w:caps/>
          <w:color w:val="auto"/>
          <w:szCs w:val="24"/>
        </w:rPr>
      </w:pPr>
      <w:r w:rsidRPr="00EA1324">
        <w:rPr>
          <w:rFonts w:ascii="Calibri" w:hAnsi="Calibri"/>
          <w:caps/>
          <w:color w:val="auto"/>
          <w:szCs w:val="24"/>
        </w:rPr>
        <w:t xml:space="preserve">BOARD DATE: </w:t>
      </w:r>
      <w:r w:rsidR="009351C1" w:rsidRPr="00EA1324">
        <w:rPr>
          <w:rFonts w:ascii="Calibri" w:hAnsi="Calibri"/>
          <w:caps/>
          <w:color w:val="auto"/>
          <w:szCs w:val="24"/>
        </w:rPr>
        <w:t>2011</w:t>
      </w:r>
      <w:r w:rsidR="00EA1324" w:rsidRPr="00EA1324">
        <w:rPr>
          <w:rFonts w:ascii="Calibri" w:hAnsi="Calibri"/>
          <w:caps/>
          <w:color w:val="auto"/>
          <w:szCs w:val="24"/>
        </w:rPr>
        <w:t>0706</w:t>
      </w:r>
      <w:r w:rsidRPr="00EA1324">
        <w:rPr>
          <w:rFonts w:ascii="Calibri" w:hAnsi="Calibri"/>
          <w:caps/>
          <w:color w:val="auto"/>
          <w:szCs w:val="24"/>
        </w:rPr>
        <w:tab/>
      </w:r>
      <w:r w:rsidRPr="00EA1324">
        <w:rPr>
          <w:rFonts w:ascii="Calibri" w:hAnsi="Calibri"/>
          <w:caps/>
          <w:color w:val="auto"/>
          <w:szCs w:val="24"/>
        </w:rPr>
        <w:tab/>
      </w:r>
    </w:p>
    <w:p w:rsidR="00540BEF" w:rsidRPr="00EA1324" w:rsidRDefault="00540BEF" w:rsidP="00190E48">
      <w:pPr>
        <w:tabs>
          <w:tab w:val="left" w:pos="288"/>
          <w:tab w:val="left" w:pos="4752"/>
        </w:tabs>
        <w:spacing w:line="240" w:lineRule="exact"/>
        <w:jc w:val="both"/>
        <w:rPr>
          <w:rFonts w:ascii="Calibri" w:hAnsi="Calibri"/>
          <w:b/>
          <w:caps/>
          <w:color w:val="auto"/>
          <w:szCs w:val="24"/>
          <w:u w:val="single"/>
        </w:rPr>
      </w:pPr>
      <w:r w:rsidRPr="00EA1324">
        <w:rPr>
          <w:rFonts w:ascii="Calibri" w:hAnsi="Calibri"/>
          <w:b/>
          <w:color w:val="auto"/>
          <w:szCs w:val="24"/>
          <w:u w:val="single"/>
        </w:rPr>
        <w:t>_________________________________________________</w:t>
      </w:r>
      <w:r w:rsidR="00EA1324">
        <w:rPr>
          <w:rFonts w:ascii="Calibri" w:hAnsi="Calibri"/>
          <w:b/>
          <w:color w:val="auto"/>
          <w:szCs w:val="24"/>
          <w:u w:val="single"/>
        </w:rPr>
        <w:t>____</w:t>
      </w:r>
      <w:r w:rsidRPr="00EA1324">
        <w:rPr>
          <w:rFonts w:ascii="Calibri" w:hAnsi="Calibri"/>
          <w:b/>
          <w:color w:val="auto"/>
          <w:szCs w:val="24"/>
          <w:u w:val="single"/>
        </w:rPr>
        <w:t>_______________</w:t>
      </w:r>
      <w:r w:rsidR="00AC713F" w:rsidRPr="00EA1324">
        <w:rPr>
          <w:rFonts w:ascii="Calibri" w:hAnsi="Calibri"/>
          <w:b/>
          <w:color w:val="auto"/>
          <w:szCs w:val="24"/>
          <w:u w:val="single"/>
        </w:rPr>
        <w:t>__________</w:t>
      </w:r>
    </w:p>
    <w:p w:rsidR="00B522CD" w:rsidRPr="00EA1324" w:rsidRDefault="00B522CD" w:rsidP="00AF1668">
      <w:pPr>
        <w:tabs>
          <w:tab w:val="left" w:pos="288"/>
          <w:tab w:val="left" w:pos="4752"/>
        </w:tabs>
        <w:spacing w:line="240" w:lineRule="exact"/>
        <w:rPr>
          <w:rFonts w:ascii="Calibri" w:hAnsi="Calibri"/>
          <w:color w:val="000080"/>
          <w:szCs w:val="24"/>
        </w:rPr>
      </w:pPr>
    </w:p>
    <w:p w:rsidR="00B20624" w:rsidRPr="00EA1324" w:rsidRDefault="002C6E5B" w:rsidP="00EA1324">
      <w:pPr>
        <w:autoSpaceDE w:val="0"/>
        <w:autoSpaceDN w:val="0"/>
        <w:adjustRightInd w:val="0"/>
        <w:spacing w:line="240" w:lineRule="exact"/>
        <w:jc w:val="both"/>
        <w:rPr>
          <w:rFonts w:ascii="Calibri" w:hAnsi="Calibri"/>
          <w:color w:val="auto"/>
          <w:szCs w:val="24"/>
        </w:rPr>
      </w:pPr>
      <w:r w:rsidRPr="00EA1324">
        <w:rPr>
          <w:rFonts w:ascii="Calibri" w:hAnsi="Calibri"/>
          <w:color w:val="auto"/>
          <w:szCs w:val="24"/>
          <w:u w:val="single"/>
        </w:rPr>
        <w:t>SUMMARY OF CASE</w:t>
      </w:r>
      <w:r w:rsidRPr="00EA1324">
        <w:rPr>
          <w:rFonts w:ascii="Calibri" w:hAnsi="Calibri"/>
          <w:color w:val="auto"/>
          <w:szCs w:val="24"/>
        </w:rPr>
        <w:t xml:space="preserve">:  </w:t>
      </w:r>
      <w:r w:rsidR="00E33917" w:rsidRPr="00A55D28">
        <w:rPr>
          <w:rFonts w:asciiTheme="minorHAnsi" w:hAnsiTheme="minorHAnsi"/>
          <w:color w:val="auto"/>
        </w:rPr>
        <w:t>Data extracted from the available evidence of record reflects that this</w:t>
      </w:r>
      <w:r w:rsidRPr="00EA1324">
        <w:rPr>
          <w:rFonts w:ascii="Calibri" w:hAnsi="Calibri"/>
          <w:color w:val="auto"/>
          <w:szCs w:val="24"/>
        </w:rPr>
        <w:t xml:space="preserve"> covered individual (CI) was </w:t>
      </w:r>
      <w:r w:rsidR="00E322F7" w:rsidRPr="00EA1324">
        <w:rPr>
          <w:rFonts w:ascii="Calibri" w:hAnsi="Calibri"/>
          <w:color w:val="auto"/>
          <w:szCs w:val="24"/>
        </w:rPr>
        <w:t>an active duty</w:t>
      </w:r>
      <w:r w:rsidR="006D4E0E" w:rsidRPr="00EA1324">
        <w:rPr>
          <w:rFonts w:ascii="Calibri" w:hAnsi="Calibri"/>
          <w:color w:val="auto"/>
          <w:szCs w:val="24"/>
        </w:rPr>
        <w:t xml:space="preserve"> </w:t>
      </w:r>
      <w:r w:rsidR="00A279BF" w:rsidRPr="00EA1324">
        <w:rPr>
          <w:rFonts w:ascii="Calibri" w:hAnsi="Calibri"/>
          <w:color w:val="auto"/>
          <w:szCs w:val="24"/>
        </w:rPr>
        <w:t>HM2</w:t>
      </w:r>
      <w:r w:rsidR="00AD0FFB">
        <w:rPr>
          <w:rFonts w:ascii="Calibri" w:hAnsi="Calibri"/>
          <w:color w:val="auto"/>
          <w:szCs w:val="24"/>
        </w:rPr>
        <w:t>/E-5</w:t>
      </w:r>
      <w:r w:rsidR="00705C40" w:rsidRPr="00EA1324">
        <w:rPr>
          <w:rFonts w:ascii="Calibri" w:hAnsi="Calibri"/>
          <w:color w:val="auto"/>
          <w:szCs w:val="24"/>
        </w:rPr>
        <w:t xml:space="preserve"> (</w:t>
      </w:r>
      <w:r w:rsidR="00453B65">
        <w:rPr>
          <w:rFonts w:ascii="Calibri" w:hAnsi="Calibri"/>
          <w:color w:val="auto"/>
          <w:szCs w:val="24"/>
        </w:rPr>
        <w:t>85</w:t>
      </w:r>
      <w:r w:rsidR="00970BE6">
        <w:rPr>
          <w:rFonts w:ascii="Calibri" w:hAnsi="Calibri"/>
          <w:color w:val="auto"/>
          <w:szCs w:val="24"/>
        </w:rPr>
        <w:t>0</w:t>
      </w:r>
      <w:r w:rsidR="00453B65">
        <w:rPr>
          <w:rFonts w:ascii="Calibri" w:hAnsi="Calibri"/>
          <w:color w:val="auto"/>
          <w:szCs w:val="24"/>
        </w:rPr>
        <w:t xml:space="preserve">6, </w:t>
      </w:r>
      <w:r w:rsidR="00C42944" w:rsidRPr="00EA1324">
        <w:rPr>
          <w:rFonts w:ascii="Calibri" w:hAnsi="Calibri"/>
          <w:color w:val="auto"/>
          <w:szCs w:val="24"/>
        </w:rPr>
        <w:t>Laboratory Technician)</w:t>
      </w:r>
      <w:r w:rsidR="00E322F7" w:rsidRPr="00EA1324">
        <w:rPr>
          <w:rFonts w:ascii="Calibri" w:hAnsi="Calibri"/>
          <w:color w:val="auto"/>
          <w:szCs w:val="24"/>
        </w:rPr>
        <w:t xml:space="preserve"> </w:t>
      </w:r>
      <w:r w:rsidR="002275F9" w:rsidRPr="00EA1324">
        <w:rPr>
          <w:rFonts w:ascii="Calibri" w:hAnsi="Calibri"/>
          <w:color w:val="auto"/>
          <w:szCs w:val="24"/>
        </w:rPr>
        <w:t xml:space="preserve">medically separated </w:t>
      </w:r>
      <w:r w:rsidR="00A35336" w:rsidRPr="00EA1324">
        <w:rPr>
          <w:rFonts w:ascii="Calibri" w:hAnsi="Calibri"/>
          <w:color w:val="auto"/>
          <w:szCs w:val="24"/>
        </w:rPr>
        <w:t>for</w:t>
      </w:r>
      <w:r w:rsidRPr="00EA1324">
        <w:rPr>
          <w:rFonts w:ascii="Calibri" w:hAnsi="Calibri"/>
          <w:color w:val="auto"/>
          <w:szCs w:val="24"/>
        </w:rPr>
        <w:t xml:space="preserve"> </w:t>
      </w:r>
      <w:r w:rsidR="00946AC3" w:rsidRPr="00EA1324">
        <w:rPr>
          <w:rFonts w:ascii="Calibri" w:hAnsi="Calibri"/>
          <w:color w:val="auto"/>
          <w:szCs w:val="24"/>
        </w:rPr>
        <w:t xml:space="preserve">anterior cruciate ligament </w:t>
      </w:r>
      <w:r w:rsidR="001618B2">
        <w:rPr>
          <w:rFonts w:ascii="Calibri" w:hAnsi="Calibri"/>
          <w:color w:val="auto"/>
          <w:szCs w:val="24"/>
        </w:rPr>
        <w:t xml:space="preserve">(ACL) </w:t>
      </w:r>
      <w:r w:rsidR="00946AC3">
        <w:rPr>
          <w:rFonts w:ascii="Calibri" w:hAnsi="Calibri"/>
          <w:color w:val="auto"/>
          <w:szCs w:val="24"/>
        </w:rPr>
        <w:t>d</w:t>
      </w:r>
      <w:r w:rsidR="001618B2">
        <w:rPr>
          <w:rFonts w:ascii="Calibri" w:hAnsi="Calibri"/>
          <w:color w:val="auto"/>
          <w:szCs w:val="24"/>
        </w:rPr>
        <w:t>eficiency</w:t>
      </w:r>
      <w:r w:rsidR="00D42642">
        <w:rPr>
          <w:rFonts w:ascii="Calibri" w:hAnsi="Calibri"/>
          <w:color w:val="auto"/>
          <w:szCs w:val="24"/>
        </w:rPr>
        <w:t xml:space="preserve"> of the right knee</w:t>
      </w:r>
      <w:r w:rsidR="007B4DCE" w:rsidRPr="00EA1324">
        <w:rPr>
          <w:rFonts w:ascii="Calibri" w:hAnsi="Calibri"/>
          <w:color w:val="auto"/>
          <w:szCs w:val="24"/>
        </w:rPr>
        <w:t xml:space="preserve">. </w:t>
      </w:r>
      <w:r w:rsidR="00A35336" w:rsidRPr="00EA1324">
        <w:rPr>
          <w:rFonts w:ascii="Calibri" w:hAnsi="Calibri"/>
          <w:color w:val="auto"/>
          <w:szCs w:val="24"/>
        </w:rPr>
        <w:t xml:space="preserve">The CI injured his </w:t>
      </w:r>
      <w:r w:rsidR="001618B2">
        <w:rPr>
          <w:rFonts w:ascii="Calibri" w:hAnsi="Calibri"/>
          <w:color w:val="auto"/>
          <w:szCs w:val="24"/>
        </w:rPr>
        <w:t xml:space="preserve">right </w:t>
      </w:r>
      <w:r w:rsidR="00A35336" w:rsidRPr="00EA1324">
        <w:rPr>
          <w:rFonts w:ascii="Calibri" w:hAnsi="Calibri"/>
          <w:color w:val="auto"/>
          <w:szCs w:val="24"/>
        </w:rPr>
        <w:t xml:space="preserve">knee </w:t>
      </w:r>
      <w:r w:rsidR="00493FCB" w:rsidRPr="00EA1324">
        <w:rPr>
          <w:rFonts w:ascii="Calibri" w:hAnsi="Calibri"/>
          <w:color w:val="auto"/>
          <w:szCs w:val="24"/>
        </w:rPr>
        <w:t>twice</w:t>
      </w:r>
      <w:r w:rsidR="00A35336" w:rsidRPr="00EA1324">
        <w:rPr>
          <w:rFonts w:ascii="Calibri" w:hAnsi="Calibri"/>
          <w:color w:val="auto"/>
          <w:szCs w:val="24"/>
        </w:rPr>
        <w:t>.</w:t>
      </w:r>
      <w:r w:rsidR="00B8731D" w:rsidRPr="00EA1324">
        <w:rPr>
          <w:rFonts w:ascii="Calibri" w:hAnsi="Calibri"/>
          <w:color w:val="auto"/>
          <w:szCs w:val="24"/>
        </w:rPr>
        <w:t xml:space="preserve">  He was treated</w:t>
      </w:r>
      <w:r w:rsidR="001618B2">
        <w:rPr>
          <w:rFonts w:ascii="Calibri" w:hAnsi="Calibri"/>
          <w:color w:val="auto"/>
          <w:szCs w:val="24"/>
        </w:rPr>
        <w:t>,</w:t>
      </w:r>
      <w:r w:rsidR="00B8731D" w:rsidRPr="00EA1324">
        <w:rPr>
          <w:rFonts w:ascii="Calibri" w:hAnsi="Calibri"/>
          <w:color w:val="auto"/>
          <w:szCs w:val="24"/>
        </w:rPr>
        <w:t xml:space="preserve"> </w:t>
      </w:r>
      <w:r w:rsidR="001618B2">
        <w:rPr>
          <w:rFonts w:ascii="Calibri" w:hAnsi="Calibri"/>
          <w:color w:val="auto"/>
          <w:szCs w:val="24"/>
        </w:rPr>
        <w:t xml:space="preserve">but did not respond adequately to fully perform his required military duties or meet physical fitness standards.  </w:t>
      </w:r>
      <w:r w:rsidR="00B8731D" w:rsidRPr="00EA1324">
        <w:rPr>
          <w:rFonts w:ascii="Calibri" w:hAnsi="Calibri"/>
          <w:color w:val="auto"/>
          <w:szCs w:val="24"/>
        </w:rPr>
        <w:t>As a result, h</w:t>
      </w:r>
      <w:r w:rsidR="000164C0" w:rsidRPr="00EA1324">
        <w:rPr>
          <w:rFonts w:ascii="Calibri" w:hAnsi="Calibri"/>
          <w:color w:val="auto"/>
          <w:szCs w:val="24"/>
        </w:rPr>
        <w:t>e u</w:t>
      </w:r>
      <w:r w:rsidR="00E322F7" w:rsidRPr="00EA1324">
        <w:rPr>
          <w:rFonts w:ascii="Calibri" w:hAnsi="Calibri"/>
          <w:color w:val="auto"/>
          <w:szCs w:val="24"/>
        </w:rPr>
        <w:t xml:space="preserve">nderwent a </w:t>
      </w:r>
      <w:r w:rsidR="00705C40" w:rsidRPr="00EA1324">
        <w:rPr>
          <w:rFonts w:ascii="Calibri" w:hAnsi="Calibri"/>
          <w:color w:val="auto"/>
          <w:szCs w:val="24"/>
        </w:rPr>
        <w:t>Medical Evaluation Board (</w:t>
      </w:r>
      <w:r w:rsidR="00E322F7" w:rsidRPr="00EA1324">
        <w:rPr>
          <w:rFonts w:ascii="Calibri" w:hAnsi="Calibri"/>
          <w:color w:val="auto"/>
          <w:szCs w:val="24"/>
        </w:rPr>
        <w:t>MEB</w:t>
      </w:r>
      <w:r w:rsidR="00705C40" w:rsidRPr="00EA1324">
        <w:rPr>
          <w:rFonts w:ascii="Calibri" w:hAnsi="Calibri"/>
          <w:color w:val="auto"/>
          <w:szCs w:val="24"/>
        </w:rPr>
        <w:t>)</w:t>
      </w:r>
      <w:r w:rsidR="00E322F7" w:rsidRPr="00EA1324">
        <w:rPr>
          <w:rFonts w:ascii="Calibri" w:hAnsi="Calibri"/>
          <w:color w:val="auto"/>
          <w:szCs w:val="24"/>
        </w:rPr>
        <w:t>.</w:t>
      </w:r>
      <w:r w:rsidR="00D42642">
        <w:rPr>
          <w:rFonts w:ascii="Calibri" w:hAnsi="Calibri"/>
          <w:color w:val="auto"/>
          <w:szCs w:val="24"/>
        </w:rPr>
        <w:t xml:space="preserve"> </w:t>
      </w:r>
      <w:r w:rsidR="007B4DCE" w:rsidRPr="00EA1324">
        <w:rPr>
          <w:rFonts w:ascii="Calibri" w:hAnsi="Calibri"/>
          <w:color w:val="auto"/>
          <w:szCs w:val="24"/>
        </w:rPr>
        <w:t xml:space="preserve"> </w:t>
      </w:r>
      <w:r w:rsidR="00D42642">
        <w:rPr>
          <w:rFonts w:ascii="Calibri" w:hAnsi="Calibri"/>
          <w:color w:val="auto"/>
          <w:szCs w:val="24"/>
        </w:rPr>
        <w:t>Three right knee deficiencies (</w:t>
      </w:r>
      <w:r w:rsidR="00946AC3">
        <w:rPr>
          <w:rFonts w:ascii="Calibri" w:hAnsi="Calibri"/>
          <w:color w:val="auto"/>
          <w:szCs w:val="24"/>
        </w:rPr>
        <w:t>ACL d</w:t>
      </w:r>
      <w:r w:rsidR="00A279BF" w:rsidRPr="00EA1324">
        <w:rPr>
          <w:rFonts w:ascii="Calibri" w:hAnsi="Calibri"/>
          <w:color w:val="auto"/>
          <w:szCs w:val="24"/>
        </w:rPr>
        <w:t>eficiency</w:t>
      </w:r>
      <w:r w:rsidR="00D42642">
        <w:rPr>
          <w:rFonts w:ascii="Calibri" w:hAnsi="Calibri"/>
          <w:color w:val="auto"/>
          <w:szCs w:val="24"/>
        </w:rPr>
        <w:t xml:space="preserve">, </w:t>
      </w:r>
      <w:proofErr w:type="spellStart"/>
      <w:r w:rsidR="00946AC3" w:rsidRPr="00EA1324">
        <w:rPr>
          <w:rFonts w:ascii="Calibri" w:hAnsi="Calibri"/>
          <w:color w:val="auto"/>
          <w:szCs w:val="24"/>
        </w:rPr>
        <w:t>posterolateral</w:t>
      </w:r>
      <w:proofErr w:type="spellEnd"/>
      <w:r w:rsidR="00946AC3" w:rsidRPr="00EA1324">
        <w:rPr>
          <w:rFonts w:ascii="Calibri" w:hAnsi="Calibri"/>
          <w:color w:val="auto"/>
          <w:szCs w:val="24"/>
        </w:rPr>
        <w:t xml:space="preserve"> corner </w:t>
      </w:r>
      <w:r w:rsidR="00946AC3">
        <w:rPr>
          <w:rFonts w:ascii="Calibri" w:hAnsi="Calibri"/>
          <w:color w:val="auto"/>
          <w:szCs w:val="24"/>
        </w:rPr>
        <w:t xml:space="preserve">(PLC) </w:t>
      </w:r>
      <w:r w:rsidR="00946AC3" w:rsidRPr="00EA1324">
        <w:rPr>
          <w:rFonts w:ascii="Calibri" w:hAnsi="Calibri"/>
          <w:color w:val="auto"/>
          <w:szCs w:val="24"/>
        </w:rPr>
        <w:t>deficiency</w:t>
      </w:r>
      <w:r w:rsidR="00946AC3">
        <w:rPr>
          <w:rFonts w:ascii="Calibri" w:hAnsi="Calibri"/>
          <w:color w:val="auto"/>
          <w:szCs w:val="24"/>
        </w:rPr>
        <w:t xml:space="preserve">, and </w:t>
      </w:r>
      <w:r w:rsidR="00946AC3" w:rsidRPr="00EA1324">
        <w:rPr>
          <w:rFonts w:ascii="Calibri" w:hAnsi="Calibri"/>
          <w:color w:val="auto"/>
          <w:szCs w:val="24"/>
        </w:rPr>
        <w:t xml:space="preserve">lateral collateral ligament </w:t>
      </w:r>
      <w:r w:rsidR="00946AC3">
        <w:rPr>
          <w:rFonts w:ascii="Calibri" w:hAnsi="Calibri"/>
          <w:color w:val="auto"/>
          <w:szCs w:val="24"/>
        </w:rPr>
        <w:t xml:space="preserve">(LCL) </w:t>
      </w:r>
      <w:r w:rsidR="00946AC3" w:rsidRPr="00EA1324">
        <w:rPr>
          <w:rFonts w:ascii="Calibri" w:hAnsi="Calibri"/>
          <w:color w:val="auto"/>
          <w:szCs w:val="24"/>
        </w:rPr>
        <w:t>deficiency</w:t>
      </w:r>
      <w:r w:rsidR="00D42642">
        <w:rPr>
          <w:rFonts w:ascii="Calibri" w:hAnsi="Calibri"/>
          <w:color w:val="auto"/>
          <w:szCs w:val="24"/>
        </w:rPr>
        <w:t>)</w:t>
      </w:r>
      <w:r w:rsidR="00A279BF" w:rsidRPr="00EA1324">
        <w:rPr>
          <w:rFonts w:ascii="Calibri" w:hAnsi="Calibri"/>
          <w:color w:val="auto"/>
          <w:szCs w:val="24"/>
        </w:rPr>
        <w:t xml:space="preserve"> </w:t>
      </w:r>
      <w:r w:rsidR="00AE5E14" w:rsidRPr="00EA1324">
        <w:rPr>
          <w:rFonts w:ascii="Calibri" w:hAnsi="Calibri"/>
          <w:color w:val="auto"/>
          <w:szCs w:val="24"/>
        </w:rPr>
        <w:t xml:space="preserve">were forwarded to the </w:t>
      </w:r>
      <w:r w:rsidR="00B20624" w:rsidRPr="00EA1324">
        <w:rPr>
          <w:rFonts w:ascii="Calibri" w:hAnsi="Calibri"/>
          <w:color w:val="auto"/>
          <w:szCs w:val="24"/>
        </w:rPr>
        <w:t>Physical Evaluation Board (</w:t>
      </w:r>
      <w:r w:rsidR="00AE5E14" w:rsidRPr="00EA1324">
        <w:rPr>
          <w:rFonts w:ascii="Calibri" w:hAnsi="Calibri"/>
          <w:color w:val="auto"/>
          <w:szCs w:val="24"/>
        </w:rPr>
        <w:t>PEB</w:t>
      </w:r>
      <w:r w:rsidR="00B20624" w:rsidRPr="00EA1324">
        <w:rPr>
          <w:rFonts w:ascii="Calibri" w:hAnsi="Calibri"/>
          <w:color w:val="auto"/>
          <w:szCs w:val="24"/>
        </w:rPr>
        <w:t>)</w:t>
      </w:r>
      <w:r w:rsidR="00D42642">
        <w:rPr>
          <w:rFonts w:ascii="Calibri" w:hAnsi="Calibri"/>
          <w:color w:val="auto"/>
          <w:szCs w:val="24"/>
        </w:rPr>
        <w:t xml:space="preserve"> as medically unacceptable.</w:t>
      </w:r>
      <w:r w:rsidR="007B4DCE" w:rsidRPr="00EA1324">
        <w:rPr>
          <w:rFonts w:ascii="Calibri" w:hAnsi="Calibri"/>
          <w:color w:val="auto"/>
          <w:szCs w:val="24"/>
        </w:rPr>
        <w:t xml:space="preserve">  </w:t>
      </w:r>
      <w:r w:rsidR="009B33BA">
        <w:rPr>
          <w:rFonts w:ascii="Calibri" w:hAnsi="Calibri"/>
          <w:color w:val="auto"/>
          <w:szCs w:val="24"/>
        </w:rPr>
        <w:t xml:space="preserve">The </w:t>
      </w:r>
      <w:r w:rsidR="00B20624" w:rsidRPr="00EA1324">
        <w:rPr>
          <w:rFonts w:ascii="Calibri" w:hAnsi="Calibri"/>
          <w:color w:val="auto"/>
          <w:szCs w:val="24"/>
        </w:rPr>
        <w:t xml:space="preserve">PEB </w:t>
      </w:r>
      <w:r w:rsidR="009B33BA">
        <w:rPr>
          <w:rFonts w:ascii="Calibri" w:hAnsi="Calibri"/>
          <w:color w:val="auto"/>
          <w:szCs w:val="24"/>
        </w:rPr>
        <w:t>found</w:t>
      </w:r>
      <w:r w:rsidR="00B20624" w:rsidRPr="00EA1324">
        <w:rPr>
          <w:rFonts w:ascii="Calibri" w:hAnsi="Calibri"/>
          <w:color w:val="auto"/>
          <w:szCs w:val="24"/>
        </w:rPr>
        <w:t xml:space="preserve"> the </w:t>
      </w:r>
      <w:r w:rsidR="007B4DCE" w:rsidRPr="00EA1324">
        <w:rPr>
          <w:rFonts w:ascii="Calibri" w:hAnsi="Calibri"/>
          <w:color w:val="auto"/>
          <w:szCs w:val="24"/>
        </w:rPr>
        <w:t>A</w:t>
      </w:r>
      <w:r w:rsidR="009B33BA">
        <w:rPr>
          <w:rFonts w:ascii="Calibri" w:hAnsi="Calibri"/>
          <w:color w:val="auto"/>
          <w:szCs w:val="24"/>
        </w:rPr>
        <w:t xml:space="preserve">CL </w:t>
      </w:r>
      <w:r w:rsidR="00946AC3">
        <w:rPr>
          <w:rFonts w:ascii="Calibri" w:hAnsi="Calibri"/>
          <w:color w:val="auto"/>
          <w:szCs w:val="24"/>
        </w:rPr>
        <w:t>d</w:t>
      </w:r>
      <w:r w:rsidR="007B4DCE" w:rsidRPr="00EA1324">
        <w:rPr>
          <w:rFonts w:ascii="Calibri" w:hAnsi="Calibri"/>
          <w:color w:val="auto"/>
          <w:szCs w:val="24"/>
        </w:rPr>
        <w:t xml:space="preserve">eficiency unfitting, </w:t>
      </w:r>
      <w:r w:rsidR="009B33BA">
        <w:rPr>
          <w:rFonts w:ascii="Calibri" w:hAnsi="Calibri"/>
          <w:color w:val="auto"/>
          <w:szCs w:val="24"/>
        </w:rPr>
        <w:t xml:space="preserve">and assigned a disability </w:t>
      </w:r>
      <w:r w:rsidR="007B4DCE" w:rsidRPr="00EA1324">
        <w:rPr>
          <w:rFonts w:ascii="Calibri" w:hAnsi="Calibri"/>
          <w:color w:val="auto"/>
          <w:szCs w:val="24"/>
        </w:rPr>
        <w:t>rat</w:t>
      </w:r>
      <w:r w:rsidR="009B33BA">
        <w:rPr>
          <w:rFonts w:ascii="Calibri" w:hAnsi="Calibri"/>
          <w:color w:val="auto"/>
          <w:szCs w:val="24"/>
        </w:rPr>
        <w:t xml:space="preserve">ing of </w:t>
      </w:r>
      <w:r w:rsidR="007B4DCE" w:rsidRPr="00EA1324">
        <w:rPr>
          <w:rFonts w:ascii="Calibri" w:hAnsi="Calibri"/>
          <w:color w:val="auto"/>
          <w:szCs w:val="24"/>
        </w:rPr>
        <w:t>20</w:t>
      </w:r>
      <w:r w:rsidR="00B20624" w:rsidRPr="00EA1324">
        <w:rPr>
          <w:rFonts w:ascii="Calibri" w:hAnsi="Calibri"/>
          <w:color w:val="auto"/>
          <w:szCs w:val="24"/>
        </w:rPr>
        <w:t>%</w:t>
      </w:r>
      <w:r w:rsidR="009B33BA">
        <w:rPr>
          <w:rFonts w:ascii="Calibri" w:hAnsi="Calibri"/>
          <w:color w:val="auto"/>
          <w:szCs w:val="24"/>
        </w:rPr>
        <w:t>.  The other two right knee conditions (</w:t>
      </w:r>
      <w:r w:rsidR="00946AC3">
        <w:rPr>
          <w:rFonts w:ascii="Calibri" w:hAnsi="Calibri"/>
          <w:color w:val="auto"/>
          <w:szCs w:val="24"/>
        </w:rPr>
        <w:t>LCL</w:t>
      </w:r>
      <w:r w:rsidR="00946AC3" w:rsidRPr="00EA1324">
        <w:rPr>
          <w:rFonts w:ascii="Calibri" w:hAnsi="Calibri"/>
          <w:color w:val="auto"/>
          <w:szCs w:val="24"/>
        </w:rPr>
        <w:t xml:space="preserve"> and </w:t>
      </w:r>
      <w:r w:rsidR="00946AC3">
        <w:rPr>
          <w:rFonts w:ascii="Calibri" w:hAnsi="Calibri"/>
          <w:color w:val="auto"/>
          <w:szCs w:val="24"/>
        </w:rPr>
        <w:t>PLC</w:t>
      </w:r>
      <w:r w:rsidR="00946AC3" w:rsidRPr="00EA1324">
        <w:rPr>
          <w:rFonts w:ascii="Calibri" w:hAnsi="Calibri"/>
          <w:color w:val="auto"/>
          <w:szCs w:val="24"/>
        </w:rPr>
        <w:t xml:space="preserve"> deficiency</w:t>
      </w:r>
      <w:r w:rsidR="009B33BA">
        <w:rPr>
          <w:rFonts w:ascii="Calibri" w:hAnsi="Calibri"/>
          <w:color w:val="auto"/>
          <w:szCs w:val="24"/>
        </w:rPr>
        <w:t xml:space="preserve">) were determined to be </w:t>
      </w:r>
      <w:r w:rsidR="00946AC3">
        <w:rPr>
          <w:rFonts w:ascii="Calibri" w:hAnsi="Calibri"/>
          <w:color w:val="auto"/>
          <w:szCs w:val="24"/>
        </w:rPr>
        <w:t>c</w:t>
      </w:r>
      <w:r w:rsidR="009B33BA">
        <w:rPr>
          <w:rFonts w:ascii="Calibri" w:hAnsi="Calibri"/>
          <w:color w:val="auto"/>
          <w:szCs w:val="24"/>
        </w:rPr>
        <w:t xml:space="preserve">ategory II (related to the unfitting </w:t>
      </w:r>
      <w:r w:rsidR="003F3550">
        <w:rPr>
          <w:rFonts w:ascii="Calibri" w:hAnsi="Calibri"/>
          <w:color w:val="auto"/>
          <w:szCs w:val="24"/>
        </w:rPr>
        <w:t xml:space="preserve">ACL </w:t>
      </w:r>
      <w:r w:rsidR="009B33BA">
        <w:rPr>
          <w:rFonts w:ascii="Calibri" w:hAnsi="Calibri"/>
          <w:color w:val="auto"/>
          <w:szCs w:val="24"/>
        </w:rPr>
        <w:t xml:space="preserve">condition).  </w:t>
      </w:r>
      <w:r w:rsidR="00B20624" w:rsidRPr="00EA1324">
        <w:rPr>
          <w:rFonts w:ascii="Calibri" w:hAnsi="Calibri"/>
          <w:color w:val="auto"/>
          <w:szCs w:val="24"/>
        </w:rPr>
        <w:t xml:space="preserve">The CI </w:t>
      </w:r>
      <w:r w:rsidR="00190E48" w:rsidRPr="00EA1324">
        <w:rPr>
          <w:rFonts w:ascii="Calibri" w:hAnsi="Calibri"/>
          <w:color w:val="auto"/>
          <w:szCs w:val="24"/>
        </w:rPr>
        <w:t>made no appeals</w:t>
      </w:r>
      <w:r w:rsidR="003F3550">
        <w:rPr>
          <w:rFonts w:ascii="Calibri" w:hAnsi="Calibri"/>
          <w:color w:val="auto"/>
          <w:szCs w:val="24"/>
        </w:rPr>
        <w:t xml:space="preserve"> and was </w:t>
      </w:r>
      <w:r w:rsidR="00B20624" w:rsidRPr="00EA1324">
        <w:rPr>
          <w:rFonts w:ascii="Calibri" w:hAnsi="Calibri"/>
          <w:color w:val="auto"/>
          <w:szCs w:val="24"/>
        </w:rPr>
        <w:t xml:space="preserve">medically separated with </w:t>
      </w:r>
      <w:r w:rsidR="00A279BF" w:rsidRPr="00EA1324">
        <w:rPr>
          <w:rFonts w:ascii="Calibri" w:hAnsi="Calibri"/>
          <w:color w:val="auto"/>
          <w:szCs w:val="24"/>
        </w:rPr>
        <w:t>20</w:t>
      </w:r>
      <w:r w:rsidR="00B20624" w:rsidRPr="00EA1324">
        <w:rPr>
          <w:rFonts w:ascii="Calibri" w:hAnsi="Calibri"/>
          <w:color w:val="auto"/>
          <w:szCs w:val="24"/>
        </w:rPr>
        <w:t>% disability</w:t>
      </w:r>
      <w:r w:rsidR="009B33BA">
        <w:rPr>
          <w:rFonts w:ascii="Calibri" w:hAnsi="Calibri"/>
          <w:color w:val="auto"/>
          <w:szCs w:val="24"/>
        </w:rPr>
        <w:t>, IAW the Veterans’ Administration Schedule for Rating Disabilities (VASRD) and applicable Navy a</w:t>
      </w:r>
      <w:r w:rsidR="00AD0FFB">
        <w:rPr>
          <w:rFonts w:ascii="Calibri" w:hAnsi="Calibri"/>
          <w:color w:val="auto"/>
          <w:szCs w:val="24"/>
        </w:rPr>
        <w:t xml:space="preserve">nd </w:t>
      </w:r>
      <w:proofErr w:type="gramStart"/>
      <w:r w:rsidR="00AD0FFB">
        <w:rPr>
          <w:rFonts w:ascii="Calibri" w:hAnsi="Calibri"/>
          <w:color w:val="auto"/>
          <w:szCs w:val="24"/>
        </w:rPr>
        <w:t>DoD</w:t>
      </w:r>
      <w:proofErr w:type="gramEnd"/>
      <w:r w:rsidR="00AD0FFB">
        <w:rPr>
          <w:rFonts w:ascii="Calibri" w:hAnsi="Calibri"/>
          <w:color w:val="auto"/>
          <w:szCs w:val="24"/>
        </w:rPr>
        <w:t xml:space="preserve"> regulations</w:t>
      </w:r>
      <w:r w:rsidR="00B20624" w:rsidRPr="00EA1324">
        <w:rPr>
          <w:rFonts w:ascii="Calibri" w:hAnsi="Calibri"/>
          <w:color w:val="auto"/>
          <w:szCs w:val="24"/>
        </w:rPr>
        <w:t xml:space="preserve">.  </w:t>
      </w:r>
    </w:p>
    <w:p w:rsidR="00923B25" w:rsidRPr="00EA1324" w:rsidRDefault="008B5D31" w:rsidP="00AF1668">
      <w:pPr>
        <w:tabs>
          <w:tab w:val="left" w:pos="288"/>
          <w:tab w:val="left" w:pos="4752"/>
        </w:tabs>
        <w:spacing w:line="240" w:lineRule="exact"/>
        <w:rPr>
          <w:rFonts w:ascii="Calibri" w:hAnsi="Calibri"/>
          <w:b/>
          <w:color w:val="auto"/>
          <w:szCs w:val="24"/>
          <w:u w:val="single"/>
        </w:rPr>
      </w:pPr>
      <w:r w:rsidRPr="00EA1324">
        <w:rPr>
          <w:rFonts w:ascii="Calibri" w:hAnsi="Calibri"/>
          <w:b/>
          <w:color w:val="auto"/>
          <w:szCs w:val="24"/>
          <w:u w:val="single"/>
        </w:rPr>
        <w:t>_________</w:t>
      </w:r>
      <w:r w:rsidR="00EA1324" w:rsidRPr="00EA1324">
        <w:rPr>
          <w:rFonts w:ascii="Calibri" w:hAnsi="Calibri"/>
          <w:b/>
          <w:color w:val="auto"/>
          <w:szCs w:val="24"/>
          <w:u w:val="single"/>
        </w:rPr>
        <w:t>___________</w:t>
      </w:r>
      <w:r w:rsidRPr="00EA1324">
        <w:rPr>
          <w:rFonts w:ascii="Calibri" w:hAnsi="Calibri"/>
          <w:b/>
          <w:color w:val="auto"/>
          <w:szCs w:val="24"/>
          <w:u w:val="single"/>
        </w:rPr>
        <w:t>_______________________________________________________</w:t>
      </w:r>
      <w:r w:rsidR="00EA1324">
        <w:rPr>
          <w:rFonts w:ascii="Calibri" w:hAnsi="Calibri"/>
          <w:b/>
          <w:color w:val="auto"/>
          <w:szCs w:val="24"/>
          <w:u w:val="single"/>
        </w:rPr>
        <w:t>___</w:t>
      </w:r>
    </w:p>
    <w:p w:rsidR="0085089F" w:rsidRPr="00EA1324" w:rsidRDefault="0085089F" w:rsidP="00190E48">
      <w:pPr>
        <w:tabs>
          <w:tab w:val="left" w:pos="288"/>
          <w:tab w:val="left" w:pos="4752"/>
        </w:tabs>
        <w:spacing w:line="240" w:lineRule="exact"/>
        <w:jc w:val="both"/>
        <w:rPr>
          <w:rFonts w:ascii="Calibri" w:hAnsi="Calibri"/>
          <w:color w:val="auto"/>
          <w:szCs w:val="24"/>
          <w:u w:val="single"/>
        </w:rPr>
      </w:pPr>
    </w:p>
    <w:p w:rsidR="00BD6297" w:rsidRPr="00EA1324" w:rsidRDefault="002C6E5B" w:rsidP="00453B65">
      <w:pPr>
        <w:tabs>
          <w:tab w:val="left" w:pos="288"/>
          <w:tab w:val="left" w:pos="4752"/>
        </w:tabs>
        <w:spacing w:line="240" w:lineRule="exact"/>
        <w:jc w:val="both"/>
        <w:rPr>
          <w:rFonts w:ascii="Calibri" w:hAnsi="Calibri"/>
          <w:color w:val="auto"/>
          <w:szCs w:val="24"/>
          <w:highlight w:val="cyan"/>
        </w:rPr>
      </w:pPr>
      <w:r w:rsidRPr="00EA1324">
        <w:rPr>
          <w:rFonts w:ascii="Calibri" w:hAnsi="Calibri"/>
          <w:color w:val="auto"/>
          <w:szCs w:val="24"/>
          <w:u w:val="single"/>
        </w:rPr>
        <w:t>CI CONTENTION</w:t>
      </w:r>
      <w:r w:rsidRPr="00EA1324">
        <w:rPr>
          <w:rFonts w:ascii="Calibri" w:hAnsi="Calibri"/>
          <w:color w:val="auto"/>
          <w:szCs w:val="24"/>
        </w:rPr>
        <w:t>:</w:t>
      </w:r>
      <w:r w:rsidRPr="00EA1324">
        <w:rPr>
          <w:rFonts w:ascii="Calibri" w:hAnsi="Calibri"/>
          <w:color w:val="000080"/>
          <w:szCs w:val="24"/>
        </w:rPr>
        <w:t xml:space="preserve">  </w:t>
      </w:r>
      <w:r w:rsidR="00453B65">
        <w:rPr>
          <w:rFonts w:ascii="Calibri" w:hAnsi="Calibri"/>
          <w:color w:val="auto"/>
          <w:szCs w:val="24"/>
        </w:rPr>
        <w:t>“</w:t>
      </w:r>
      <w:r w:rsidR="002275F9" w:rsidRPr="00EA1324">
        <w:rPr>
          <w:rFonts w:ascii="Calibri" w:hAnsi="Calibri"/>
          <w:color w:val="auto"/>
          <w:szCs w:val="24"/>
        </w:rPr>
        <w:t>When rating my right knee injury, no rating was given to the damage and replacement/reconstruction surgery need to repair/replace the LC</w:t>
      </w:r>
      <w:r w:rsidR="009B33BA">
        <w:rPr>
          <w:rFonts w:ascii="Calibri" w:hAnsi="Calibri"/>
          <w:color w:val="auto"/>
          <w:szCs w:val="24"/>
        </w:rPr>
        <w:t>L</w:t>
      </w:r>
      <w:r w:rsidR="002275F9" w:rsidRPr="00EA1324">
        <w:rPr>
          <w:rFonts w:ascii="Calibri" w:hAnsi="Calibri"/>
          <w:color w:val="auto"/>
          <w:szCs w:val="24"/>
        </w:rPr>
        <w:t xml:space="preserve">, PLC injury, and </w:t>
      </w:r>
      <w:r w:rsidR="00946AC3">
        <w:rPr>
          <w:rFonts w:ascii="Calibri" w:hAnsi="Calibri"/>
          <w:color w:val="auto"/>
          <w:szCs w:val="24"/>
        </w:rPr>
        <w:t>m</w:t>
      </w:r>
      <w:r w:rsidR="002275F9" w:rsidRPr="00EA1324">
        <w:rPr>
          <w:rFonts w:ascii="Calibri" w:hAnsi="Calibri"/>
          <w:color w:val="auto"/>
          <w:szCs w:val="24"/>
        </w:rPr>
        <w:t xml:space="preserve">eniscus tear. </w:t>
      </w:r>
      <w:r w:rsidR="00A921ED">
        <w:rPr>
          <w:rFonts w:ascii="Calibri" w:hAnsi="Calibri"/>
          <w:color w:val="auto"/>
          <w:szCs w:val="24"/>
        </w:rPr>
        <w:t xml:space="preserve"> </w:t>
      </w:r>
      <w:r w:rsidR="002275F9" w:rsidRPr="00EA1324">
        <w:rPr>
          <w:rFonts w:ascii="Calibri" w:hAnsi="Calibri"/>
          <w:color w:val="auto"/>
          <w:szCs w:val="24"/>
        </w:rPr>
        <w:t xml:space="preserve">I only received a rating for my right knee </w:t>
      </w:r>
      <w:r w:rsidR="00946AC3">
        <w:rPr>
          <w:rFonts w:ascii="Calibri" w:hAnsi="Calibri"/>
          <w:color w:val="auto"/>
          <w:szCs w:val="24"/>
        </w:rPr>
        <w:t>A</w:t>
      </w:r>
      <w:r w:rsidR="002275F9" w:rsidRPr="00EA1324">
        <w:rPr>
          <w:rFonts w:ascii="Calibri" w:hAnsi="Calibri"/>
          <w:color w:val="auto"/>
          <w:szCs w:val="24"/>
        </w:rPr>
        <w:t xml:space="preserve">CL rupture/tear and replacement/repair.” </w:t>
      </w:r>
    </w:p>
    <w:p w:rsidR="00493FCB" w:rsidRPr="00EA1324" w:rsidRDefault="00493FCB" w:rsidP="00493FCB">
      <w:pPr>
        <w:tabs>
          <w:tab w:val="left" w:pos="288"/>
          <w:tab w:val="left" w:pos="4752"/>
        </w:tabs>
        <w:spacing w:line="240" w:lineRule="exact"/>
        <w:rPr>
          <w:rFonts w:ascii="Calibri" w:hAnsi="Calibri"/>
          <w:b/>
          <w:color w:val="auto"/>
          <w:szCs w:val="24"/>
          <w:u w:val="single"/>
        </w:rPr>
      </w:pPr>
      <w:r w:rsidRPr="00EA1324">
        <w:rPr>
          <w:rFonts w:ascii="Calibri" w:hAnsi="Calibri"/>
          <w:b/>
          <w:color w:val="auto"/>
          <w:szCs w:val="24"/>
          <w:u w:val="single"/>
        </w:rPr>
        <w:t>_____________</w:t>
      </w:r>
      <w:r w:rsidR="00EA1324" w:rsidRPr="00EA1324">
        <w:rPr>
          <w:rFonts w:ascii="Calibri" w:hAnsi="Calibri"/>
          <w:b/>
          <w:color w:val="auto"/>
          <w:szCs w:val="24"/>
          <w:u w:val="single"/>
        </w:rPr>
        <w:t>___________</w:t>
      </w:r>
      <w:r w:rsidRPr="00EA1324">
        <w:rPr>
          <w:rFonts w:ascii="Calibri" w:hAnsi="Calibri"/>
          <w:b/>
          <w:color w:val="auto"/>
          <w:szCs w:val="24"/>
          <w:u w:val="single"/>
        </w:rPr>
        <w:t>__________________________________________________</w:t>
      </w:r>
      <w:r w:rsidR="00EA1324">
        <w:rPr>
          <w:rFonts w:ascii="Calibri" w:hAnsi="Calibri"/>
          <w:b/>
          <w:color w:val="auto"/>
          <w:szCs w:val="24"/>
          <w:u w:val="single"/>
        </w:rPr>
        <w:t>____</w:t>
      </w:r>
    </w:p>
    <w:p w:rsidR="00493FCB" w:rsidRPr="00EA1324" w:rsidRDefault="00493FCB" w:rsidP="00190E48">
      <w:pPr>
        <w:spacing w:line="240" w:lineRule="exact"/>
        <w:jc w:val="both"/>
        <w:rPr>
          <w:rFonts w:ascii="Calibri" w:hAnsi="Calibri"/>
          <w:color w:val="auto"/>
          <w:szCs w:val="24"/>
          <w:u w:val="single"/>
        </w:rPr>
      </w:pPr>
    </w:p>
    <w:p w:rsidR="002338CA" w:rsidRPr="00EA1324" w:rsidRDefault="002C6E5B" w:rsidP="00190E48">
      <w:pPr>
        <w:spacing w:line="240" w:lineRule="exact"/>
        <w:jc w:val="both"/>
        <w:rPr>
          <w:rFonts w:ascii="Calibri" w:hAnsi="Calibri"/>
          <w:color w:val="auto"/>
          <w:szCs w:val="24"/>
        </w:rPr>
      </w:pPr>
      <w:r w:rsidRPr="00EA1324">
        <w:rPr>
          <w:rFonts w:ascii="Calibri" w:hAnsi="Calibri"/>
          <w:color w:val="auto"/>
          <w:szCs w:val="24"/>
          <w:u w:val="single"/>
        </w:rPr>
        <w:t>RATING COMPARISON</w:t>
      </w:r>
      <w:r w:rsidRPr="00EA1324">
        <w:rPr>
          <w:rFonts w:ascii="Calibri" w:hAnsi="Calibri"/>
          <w:color w:val="auto"/>
          <w:szCs w:val="24"/>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475"/>
        <w:gridCol w:w="945"/>
        <w:gridCol w:w="810"/>
        <w:gridCol w:w="990"/>
      </w:tblGrid>
      <w:tr w:rsidR="00684E2B" w:rsidRPr="002A685E"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3725CE" w:rsidP="003725CE">
            <w:pPr>
              <w:pStyle w:val="ListParagraph"/>
              <w:spacing w:after="0" w:line="240" w:lineRule="exact"/>
              <w:ind w:left="0"/>
              <w:jc w:val="center"/>
              <w:rPr>
                <w:rFonts w:cs="Times New Roman"/>
                <w:b/>
                <w:sz w:val="20"/>
                <w:szCs w:val="20"/>
              </w:rPr>
            </w:pPr>
            <w:r>
              <w:rPr>
                <w:rFonts w:cs="Times New Roman"/>
                <w:b/>
                <w:sz w:val="20"/>
                <w:szCs w:val="20"/>
              </w:rPr>
              <w:t xml:space="preserve">Navy </w:t>
            </w:r>
            <w:r w:rsidR="00A921ED">
              <w:rPr>
                <w:rFonts w:cs="Times New Roman"/>
                <w:b/>
                <w:sz w:val="20"/>
                <w:szCs w:val="20"/>
              </w:rPr>
              <w:t>I</w:t>
            </w:r>
            <w:r w:rsidR="00684E2B" w:rsidRPr="0085089F">
              <w:rPr>
                <w:rFonts w:cs="Times New Roman"/>
                <w:b/>
                <w:sz w:val="20"/>
                <w:szCs w:val="20"/>
              </w:rPr>
              <w:t>PEB</w:t>
            </w:r>
            <w:r w:rsidR="002B2645" w:rsidRPr="0085089F">
              <w:rPr>
                <w:rFonts w:cs="Times New Roman"/>
                <w:b/>
                <w:sz w:val="20"/>
                <w:szCs w:val="20"/>
              </w:rPr>
              <w:t xml:space="preserve"> – </w:t>
            </w:r>
            <w:r>
              <w:rPr>
                <w:rFonts w:cs="Times New Roman"/>
                <w:b/>
                <w:sz w:val="20"/>
                <w:szCs w:val="20"/>
              </w:rPr>
              <w:t>d</w:t>
            </w:r>
            <w:r w:rsidR="002B2645" w:rsidRPr="0085089F">
              <w:rPr>
                <w:rFonts w:cs="Times New Roman"/>
                <w:b/>
                <w:sz w:val="20"/>
                <w:szCs w:val="20"/>
              </w:rPr>
              <w:t xml:space="preserve">ated </w:t>
            </w:r>
            <w:r w:rsidR="00A279BF">
              <w:rPr>
                <w:rFonts w:cs="Times New Roman"/>
                <w:b/>
                <w:sz w:val="20"/>
                <w:szCs w:val="20"/>
              </w:rPr>
              <w:t>20040819</w:t>
            </w:r>
          </w:p>
        </w:tc>
        <w:tc>
          <w:tcPr>
            <w:tcW w:w="5220" w:type="dxa"/>
            <w:gridSpan w:val="4"/>
            <w:tcBorders>
              <w:left w:val="thinThickThinSmallGap" w:sz="24" w:space="0" w:color="auto"/>
            </w:tcBorders>
            <w:shd w:val="clear" w:color="auto" w:fill="D9D9D9" w:themeFill="background1" w:themeFillShade="D9"/>
          </w:tcPr>
          <w:p w:rsidR="00684E2B" w:rsidRPr="0085089F" w:rsidRDefault="00684E2B" w:rsidP="00127282">
            <w:pPr>
              <w:pStyle w:val="ListParagraph"/>
              <w:spacing w:after="0" w:line="240" w:lineRule="exact"/>
              <w:ind w:left="0"/>
              <w:jc w:val="center"/>
              <w:rPr>
                <w:rFonts w:cs="Times New Roman"/>
                <w:b/>
                <w:sz w:val="20"/>
                <w:szCs w:val="20"/>
              </w:rPr>
            </w:pPr>
            <w:r w:rsidRPr="0085089F">
              <w:rPr>
                <w:rFonts w:cs="Times New Roman"/>
                <w:b/>
                <w:sz w:val="20"/>
                <w:szCs w:val="20"/>
              </w:rPr>
              <w:t xml:space="preserve">VA </w:t>
            </w:r>
            <w:r w:rsidR="00127282">
              <w:rPr>
                <w:rFonts w:cs="Times New Roman"/>
                <w:b/>
                <w:sz w:val="20"/>
                <w:szCs w:val="20"/>
              </w:rPr>
              <w:t>(</w:t>
            </w:r>
            <w:r w:rsidR="00A921ED">
              <w:rPr>
                <w:rFonts w:cs="Times New Roman"/>
                <w:b/>
                <w:sz w:val="20"/>
                <w:szCs w:val="20"/>
              </w:rPr>
              <w:t xml:space="preserve">~2 </w:t>
            </w:r>
            <w:proofErr w:type="spellStart"/>
            <w:r w:rsidR="00A921ED">
              <w:rPr>
                <w:rFonts w:cs="Times New Roman"/>
                <w:b/>
                <w:sz w:val="20"/>
                <w:szCs w:val="20"/>
              </w:rPr>
              <w:t>mos</w:t>
            </w:r>
            <w:proofErr w:type="spellEnd"/>
            <w:r w:rsidR="00A921ED">
              <w:rPr>
                <w:rFonts w:cs="Times New Roman"/>
                <w:b/>
                <w:sz w:val="20"/>
                <w:szCs w:val="20"/>
              </w:rPr>
              <w:t xml:space="preserve"> </w:t>
            </w:r>
            <w:r w:rsidR="00127282">
              <w:rPr>
                <w:rFonts w:cs="Times New Roman"/>
                <w:b/>
                <w:sz w:val="20"/>
                <w:szCs w:val="20"/>
              </w:rPr>
              <w:t>Pre-Separ</w:t>
            </w:r>
            <w:r w:rsidRPr="0085089F">
              <w:rPr>
                <w:rFonts w:cs="Times New Roman"/>
                <w:b/>
                <w:sz w:val="20"/>
                <w:szCs w:val="20"/>
              </w:rPr>
              <w:t>ation)</w:t>
            </w:r>
            <w:r w:rsidR="000C3C13" w:rsidRPr="0085089F">
              <w:rPr>
                <w:rFonts w:cs="Times New Roman"/>
                <w:b/>
                <w:sz w:val="20"/>
                <w:szCs w:val="20"/>
              </w:rPr>
              <w:t xml:space="preserve"> – All Effective </w:t>
            </w:r>
            <w:r w:rsidR="00A41D12">
              <w:rPr>
                <w:rFonts w:cs="Times New Roman"/>
                <w:b/>
                <w:sz w:val="20"/>
                <w:szCs w:val="20"/>
              </w:rPr>
              <w:t>20041109</w:t>
            </w:r>
          </w:p>
        </w:tc>
      </w:tr>
      <w:tr w:rsidR="002B2645" w:rsidRPr="002A685E" w:rsidTr="00A41D12">
        <w:trPr>
          <w:trHeight w:val="233"/>
          <w:jc w:val="center"/>
        </w:trPr>
        <w:tc>
          <w:tcPr>
            <w:tcW w:w="2520"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042C26" w:rsidRPr="002A685E" w:rsidTr="00A41D12">
        <w:trPr>
          <w:trHeight w:val="287"/>
          <w:jc w:val="center"/>
        </w:trPr>
        <w:tc>
          <w:tcPr>
            <w:tcW w:w="2520" w:type="dxa"/>
            <w:shd w:val="clear" w:color="auto" w:fill="FFFFFF" w:themeFill="background1"/>
          </w:tcPr>
          <w:p w:rsidR="00042C26" w:rsidRPr="00542C9A" w:rsidRDefault="002275F9" w:rsidP="00987929">
            <w:pPr>
              <w:pStyle w:val="ListParagraph"/>
              <w:spacing w:after="0" w:line="240" w:lineRule="exact"/>
              <w:ind w:left="0"/>
              <w:rPr>
                <w:rFonts w:cs="Times New Roman"/>
                <w:sz w:val="18"/>
                <w:szCs w:val="18"/>
              </w:rPr>
            </w:pPr>
            <w:r>
              <w:rPr>
                <w:rFonts w:cs="Times New Roman"/>
                <w:sz w:val="18"/>
                <w:szCs w:val="18"/>
              </w:rPr>
              <w:t>A</w:t>
            </w:r>
            <w:r w:rsidR="00987929">
              <w:rPr>
                <w:rFonts w:cs="Times New Roman"/>
                <w:sz w:val="18"/>
                <w:szCs w:val="18"/>
              </w:rPr>
              <w:t>CL</w:t>
            </w:r>
            <w:r>
              <w:rPr>
                <w:rFonts w:cs="Times New Roman"/>
                <w:sz w:val="18"/>
                <w:szCs w:val="18"/>
              </w:rPr>
              <w:t xml:space="preserve"> Deficiency</w:t>
            </w:r>
            <w:r w:rsidR="00987929">
              <w:rPr>
                <w:rFonts w:cs="Times New Roman"/>
                <w:sz w:val="18"/>
                <w:szCs w:val="18"/>
              </w:rPr>
              <w:t xml:space="preserve">, </w:t>
            </w:r>
            <w:r>
              <w:rPr>
                <w:rFonts w:cs="Times New Roman"/>
                <w:sz w:val="18"/>
                <w:szCs w:val="18"/>
              </w:rPr>
              <w:t>Right Knee</w:t>
            </w:r>
          </w:p>
        </w:tc>
        <w:tc>
          <w:tcPr>
            <w:tcW w:w="720" w:type="dxa"/>
            <w:shd w:val="clear" w:color="auto" w:fill="FFFFFF" w:themeFill="background1"/>
          </w:tcPr>
          <w:p w:rsidR="00042C26" w:rsidRPr="00542C9A" w:rsidRDefault="00493FCB" w:rsidP="005709F7">
            <w:pPr>
              <w:pStyle w:val="ListParagraph"/>
              <w:spacing w:after="0" w:line="240" w:lineRule="exact"/>
              <w:ind w:left="0"/>
              <w:jc w:val="center"/>
              <w:rPr>
                <w:rFonts w:cs="Times New Roman"/>
                <w:sz w:val="18"/>
                <w:szCs w:val="18"/>
              </w:rPr>
            </w:pPr>
            <w:r>
              <w:rPr>
                <w:rFonts w:cs="Times New Roman"/>
                <w:sz w:val="18"/>
                <w:szCs w:val="18"/>
              </w:rPr>
              <w:t>5259</w:t>
            </w:r>
          </w:p>
        </w:tc>
        <w:tc>
          <w:tcPr>
            <w:tcW w:w="810" w:type="dxa"/>
            <w:tcBorders>
              <w:right w:val="thinThickThinSmallGap" w:sz="24" w:space="0" w:color="auto"/>
            </w:tcBorders>
            <w:shd w:val="clear" w:color="auto" w:fill="FFFFFF" w:themeFill="background1"/>
          </w:tcPr>
          <w:p w:rsidR="00042C26" w:rsidRPr="00542C9A" w:rsidRDefault="00A279BF" w:rsidP="005709F7">
            <w:pPr>
              <w:pStyle w:val="ListParagraph"/>
              <w:spacing w:after="0" w:line="240" w:lineRule="exact"/>
              <w:ind w:left="0"/>
              <w:jc w:val="center"/>
              <w:rPr>
                <w:rFonts w:cs="Times New Roman"/>
                <w:sz w:val="18"/>
                <w:szCs w:val="18"/>
              </w:rPr>
            </w:pPr>
            <w:r>
              <w:rPr>
                <w:rFonts w:cs="Times New Roman"/>
                <w:sz w:val="18"/>
                <w:szCs w:val="18"/>
              </w:rPr>
              <w:t>20%</w:t>
            </w:r>
          </w:p>
        </w:tc>
        <w:tc>
          <w:tcPr>
            <w:tcW w:w="2475" w:type="dxa"/>
            <w:tcBorders>
              <w:left w:val="thinThickThinSmallGap" w:sz="24" w:space="0" w:color="auto"/>
            </w:tcBorders>
            <w:shd w:val="clear" w:color="auto" w:fill="FFFFFF" w:themeFill="background1"/>
          </w:tcPr>
          <w:p w:rsidR="00042C26" w:rsidRPr="00542C9A" w:rsidRDefault="00365D6A" w:rsidP="004C5C5E">
            <w:pPr>
              <w:pStyle w:val="ListParagraph"/>
              <w:spacing w:after="0" w:line="240" w:lineRule="exact"/>
              <w:ind w:left="0"/>
              <w:rPr>
                <w:rFonts w:cs="Times New Roman"/>
                <w:sz w:val="18"/>
                <w:szCs w:val="18"/>
              </w:rPr>
            </w:pPr>
            <w:r w:rsidRPr="00A41D12">
              <w:rPr>
                <w:rFonts w:cs="Times New Roman"/>
                <w:sz w:val="18"/>
                <w:szCs w:val="18"/>
              </w:rPr>
              <w:t xml:space="preserve">Status Post </w:t>
            </w:r>
            <w:r w:rsidR="004C5C5E">
              <w:rPr>
                <w:rFonts w:cs="Times New Roman"/>
                <w:sz w:val="18"/>
                <w:szCs w:val="18"/>
              </w:rPr>
              <w:t xml:space="preserve">Surgery, </w:t>
            </w:r>
            <w:r w:rsidRPr="00A41D12">
              <w:rPr>
                <w:rFonts w:cs="Times New Roman"/>
                <w:sz w:val="18"/>
                <w:szCs w:val="18"/>
              </w:rPr>
              <w:t>R</w:t>
            </w:r>
            <w:r w:rsidR="004C5C5E">
              <w:rPr>
                <w:rFonts w:cs="Times New Roman"/>
                <w:sz w:val="18"/>
                <w:szCs w:val="18"/>
              </w:rPr>
              <w:t>t.</w:t>
            </w:r>
            <w:r w:rsidRPr="00A41D12">
              <w:rPr>
                <w:rFonts w:cs="Times New Roman"/>
                <w:sz w:val="18"/>
                <w:szCs w:val="18"/>
              </w:rPr>
              <w:t xml:space="preserve"> Knee </w:t>
            </w:r>
          </w:p>
        </w:tc>
        <w:tc>
          <w:tcPr>
            <w:tcW w:w="945" w:type="dxa"/>
            <w:shd w:val="clear" w:color="auto" w:fill="FFFFFF" w:themeFill="background1"/>
          </w:tcPr>
          <w:p w:rsidR="00042C26" w:rsidRPr="00542C9A" w:rsidRDefault="00365D6A" w:rsidP="005709F7">
            <w:pPr>
              <w:pStyle w:val="ListParagraph"/>
              <w:spacing w:after="0" w:line="240" w:lineRule="exact"/>
              <w:ind w:left="0"/>
              <w:jc w:val="center"/>
              <w:rPr>
                <w:rFonts w:cs="Times New Roman"/>
                <w:sz w:val="18"/>
                <w:szCs w:val="18"/>
              </w:rPr>
            </w:pPr>
            <w:r>
              <w:rPr>
                <w:rFonts w:cs="Times New Roman"/>
                <w:sz w:val="18"/>
                <w:szCs w:val="18"/>
              </w:rPr>
              <w:t>5259</w:t>
            </w:r>
          </w:p>
        </w:tc>
        <w:tc>
          <w:tcPr>
            <w:tcW w:w="810" w:type="dxa"/>
            <w:shd w:val="clear" w:color="auto" w:fill="FFFFFF" w:themeFill="background1"/>
          </w:tcPr>
          <w:p w:rsidR="00042C26" w:rsidRPr="00542C9A" w:rsidRDefault="00365D6A"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042C26" w:rsidRPr="00542C9A" w:rsidRDefault="00365D6A" w:rsidP="005709F7">
            <w:pPr>
              <w:pStyle w:val="ListParagraph"/>
              <w:spacing w:after="0" w:line="240" w:lineRule="exact"/>
              <w:ind w:left="0"/>
              <w:jc w:val="center"/>
              <w:rPr>
                <w:rFonts w:cs="Times New Roman"/>
                <w:sz w:val="18"/>
                <w:szCs w:val="18"/>
              </w:rPr>
            </w:pPr>
            <w:r>
              <w:rPr>
                <w:rFonts w:cs="Times New Roman"/>
                <w:sz w:val="18"/>
                <w:szCs w:val="18"/>
              </w:rPr>
              <w:t>20040920</w:t>
            </w:r>
          </w:p>
        </w:tc>
      </w:tr>
      <w:tr w:rsidR="00094D15" w:rsidRPr="002A685E" w:rsidTr="00A35336">
        <w:trPr>
          <w:trHeight w:val="125"/>
          <w:jc w:val="center"/>
        </w:trPr>
        <w:tc>
          <w:tcPr>
            <w:tcW w:w="2520" w:type="dxa"/>
            <w:shd w:val="clear" w:color="auto" w:fill="FFFFFF" w:themeFill="background1"/>
          </w:tcPr>
          <w:p w:rsidR="00094D15" w:rsidRPr="00542C9A" w:rsidRDefault="00094D15" w:rsidP="004C5C5E">
            <w:pPr>
              <w:pStyle w:val="ListParagraph"/>
              <w:spacing w:after="0" w:line="240" w:lineRule="exact"/>
              <w:ind w:left="0"/>
              <w:rPr>
                <w:rFonts w:cs="Times New Roman"/>
                <w:sz w:val="18"/>
                <w:szCs w:val="18"/>
              </w:rPr>
            </w:pPr>
            <w:r>
              <w:rPr>
                <w:rFonts w:cs="Times New Roman"/>
                <w:sz w:val="18"/>
                <w:szCs w:val="18"/>
              </w:rPr>
              <w:t>L</w:t>
            </w:r>
            <w:r w:rsidR="004C5C5E">
              <w:rPr>
                <w:rFonts w:cs="Times New Roman"/>
                <w:sz w:val="18"/>
                <w:szCs w:val="18"/>
              </w:rPr>
              <w:t>CL</w:t>
            </w:r>
            <w:r>
              <w:rPr>
                <w:rFonts w:cs="Times New Roman"/>
                <w:sz w:val="18"/>
                <w:szCs w:val="18"/>
              </w:rPr>
              <w:t xml:space="preserve"> Deficiency</w:t>
            </w:r>
            <w:r w:rsidR="004C5C5E">
              <w:rPr>
                <w:rFonts w:cs="Times New Roman"/>
                <w:sz w:val="18"/>
                <w:szCs w:val="18"/>
              </w:rPr>
              <w:t xml:space="preserve">, </w:t>
            </w:r>
            <w:r>
              <w:rPr>
                <w:rFonts w:cs="Times New Roman"/>
                <w:sz w:val="18"/>
                <w:szCs w:val="18"/>
              </w:rPr>
              <w:t xml:space="preserve">Right Knee </w:t>
            </w:r>
          </w:p>
        </w:tc>
        <w:tc>
          <w:tcPr>
            <w:tcW w:w="1530" w:type="dxa"/>
            <w:gridSpan w:val="2"/>
            <w:tcBorders>
              <w:right w:val="thinThickThinSmallGap" w:sz="24" w:space="0" w:color="auto"/>
            </w:tcBorders>
            <w:shd w:val="clear" w:color="auto" w:fill="FFFFFF" w:themeFill="background1"/>
          </w:tcPr>
          <w:p w:rsidR="00094D15" w:rsidRPr="00542C9A" w:rsidRDefault="00094D15" w:rsidP="004C5C5E">
            <w:pPr>
              <w:pStyle w:val="ListParagraph"/>
              <w:spacing w:after="0" w:line="240" w:lineRule="exact"/>
              <w:ind w:left="0"/>
              <w:jc w:val="center"/>
              <w:rPr>
                <w:rFonts w:cs="Times New Roman"/>
                <w:sz w:val="18"/>
                <w:szCs w:val="18"/>
              </w:rPr>
            </w:pPr>
            <w:r>
              <w:rPr>
                <w:rFonts w:cs="Times New Roman"/>
                <w:sz w:val="18"/>
                <w:szCs w:val="18"/>
              </w:rPr>
              <w:t>(</w:t>
            </w:r>
            <w:r w:rsidR="004C5C5E">
              <w:rPr>
                <w:rFonts w:cs="Times New Roman"/>
                <w:sz w:val="18"/>
                <w:szCs w:val="18"/>
              </w:rPr>
              <w:t>Category II</w:t>
            </w:r>
            <w:r>
              <w:rPr>
                <w:rFonts w:cs="Times New Roman"/>
                <w:sz w:val="18"/>
                <w:szCs w:val="18"/>
              </w:rPr>
              <w:t>)</w:t>
            </w:r>
          </w:p>
        </w:tc>
        <w:tc>
          <w:tcPr>
            <w:tcW w:w="2475" w:type="dxa"/>
            <w:tcBorders>
              <w:left w:val="thinThickThinSmallGap" w:sz="24" w:space="0" w:color="auto"/>
            </w:tcBorders>
            <w:shd w:val="clear" w:color="auto" w:fill="FFFFFF" w:themeFill="background1"/>
          </w:tcPr>
          <w:p w:rsidR="00094D15" w:rsidRPr="00A41D12" w:rsidRDefault="00094D15" w:rsidP="004C5C5E">
            <w:pPr>
              <w:spacing w:line="240" w:lineRule="exact"/>
              <w:rPr>
                <w:rFonts w:cs="Times New Roman"/>
                <w:color w:val="auto"/>
                <w:sz w:val="18"/>
                <w:szCs w:val="18"/>
              </w:rPr>
            </w:pPr>
            <w:r w:rsidRPr="00A41D12">
              <w:rPr>
                <w:rFonts w:cs="Times New Roman"/>
                <w:color w:val="auto"/>
                <w:sz w:val="18"/>
                <w:szCs w:val="18"/>
              </w:rPr>
              <w:t>L</w:t>
            </w:r>
            <w:r w:rsidR="004C5C5E">
              <w:rPr>
                <w:rFonts w:cs="Times New Roman"/>
                <w:color w:val="auto"/>
                <w:sz w:val="18"/>
                <w:szCs w:val="18"/>
              </w:rPr>
              <w:t>CL</w:t>
            </w:r>
            <w:r w:rsidRPr="00A41D12">
              <w:rPr>
                <w:rFonts w:cs="Times New Roman"/>
                <w:color w:val="auto"/>
                <w:sz w:val="18"/>
                <w:szCs w:val="18"/>
              </w:rPr>
              <w:t xml:space="preserve"> Instability</w:t>
            </w:r>
            <w:r w:rsidR="004C5C5E">
              <w:rPr>
                <w:rFonts w:cs="Times New Roman"/>
                <w:color w:val="auto"/>
                <w:sz w:val="18"/>
                <w:szCs w:val="18"/>
              </w:rPr>
              <w:t>,</w:t>
            </w:r>
            <w:r w:rsidRPr="00A41D12">
              <w:rPr>
                <w:rFonts w:cs="Times New Roman"/>
                <w:color w:val="auto"/>
                <w:sz w:val="18"/>
                <w:szCs w:val="18"/>
              </w:rPr>
              <w:t xml:space="preserve"> Right Knee </w:t>
            </w:r>
          </w:p>
        </w:tc>
        <w:tc>
          <w:tcPr>
            <w:tcW w:w="945" w:type="dxa"/>
            <w:shd w:val="clear" w:color="auto" w:fill="FFFFFF" w:themeFill="background1"/>
          </w:tcPr>
          <w:p w:rsidR="00094D15" w:rsidRPr="00542C9A" w:rsidRDefault="00094D15" w:rsidP="005709F7">
            <w:pPr>
              <w:pStyle w:val="ListParagraph"/>
              <w:spacing w:after="0" w:line="240" w:lineRule="exact"/>
              <w:ind w:left="0"/>
              <w:jc w:val="center"/>
              <w:rPr>
                <w:rFonts w:cs="Times New Roman"/>
                <w:sz w:val="18"/>
                <w:szCs w:val="18"/>
              </w:rPr>
            </w:pPr>
            <w:r>
              <w:rPr>
                <w:rFonts w:cs="Times New Roman"/>
                <w:sz w:val="18"/>
                <w:szCs w:val="18"/>
              </w:rPr>
              <w:t>5257</w:t>
            </w:r>
          </w:p>
        </w:tc>
        <w:tc>
          <w:tcPr>
            <w:tcW w:w="810" w:type="dxa"/>
            <w:shd w:val="clear" w:color="auto" w:fill="FFFFFF" w:themeFill="background1"/>
          </w:tcPr>
          <w:p w:rsidR="00094D15" w:rsidRPr="00542C9A" w:rsidRDefault="00094D15"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094D15" w:rsidRPr="00542C9A" w:rsidRDefault="00094D15" w:rsidP="00CD1F5F">
            <w:pPr>
              <w:pStyle w:val="ListParagraph"/>
              <w:spacing w:after="0" w:line="240" w:lineRule="exact"/>
              <w:ind w:left="0"/>
              <w:jc w:val="center"/>
              <w:rPr>
                <w:rFonts w:cs="Times New Roman"/>
                <w:sz w:val="18"/>
                <w:szCs w:val="18"/>
              </w:rPr>
            </w:pPr>
            <w:r>
              <w:rPr>
                <w:rFonts w:cs="Times New Roman"/>
                <w:sz w:val="18"/>
                <w:szCs w:val="18"/>
              </w:rPr>
              <w:t>20040920</w:t>
            </w:r>
          </w:p>
        </w:tc>
      </w:tr>
      <w:tr w:rsidR="00127282" w:rsidRPr="002A685E" w:rsidTr="00A35336">
        <w:trPr>
          <w:trHeight w:val="125"/>
          <w:jc w:val="center"/>
        </w:trPr>
        <w:tc>
          <w:tcPr>
            <w:tcW w:w="2520" w:type="dxa"/>
            <w:shd w:val="clear" w:color="auto" w:fill="FFFFFF" w:themeFill="background1"/>
          </w:tcPr>
          <w:p w:rsidR="00127282" w:rsidRPr="00542C9A" w:rsidRDefault="00127282" w:rsidP="003725CE">
            <w:pPr>
              <w:pStyle w:val="ListParagraph"/>
              <w:spacing w:after="0" w:line="240" w:lineRule="exact"/>
              <w:ind w:left="0"/>
              <w:rPr>
                <w:rFonts w:cs="Times New Roman"/>
                <w:sz w:val="18"/>
                <w:szCs w:val="18"/>
              </w:rPr>
            </w:pPr>
            <w:r>
              <w:rPr>
                <w:rFonts w:cs="Times New Roman"/>
                <w:sz w:val="18"/>
                <w:szCs w:val="18"/>
              </w:rPr>
              <w:t>P</w:t>
            </w:r>
            <w:r w:rsidR="003725CE">
              <w:rPr>
                <w:rFonts w:cs="Times New Roman"/>
                <w:sz w:val="18"/>
                <w:szCs w:val="18"/>
              </w:rPr>
              <w:t>LC</w:t>
            </w:r>
            <w:r>
              <w:rPr>
                <w:rFonts w:cs="Times New Roman"/>
                <w:sz w:val="18"/>
                <w:szCs w:val="18"/>
              </w:rPr>
              <w:t xml:space="preserve"> Deficiency</w:t>
            </w:r>
            <w:r w:rsidR="003725CE">
              <w:rPr>
                <w:rFonts w:cs="Times New Roman"/>
                <w:sz w:val="18"/>
                <w:szCs w:val="18"/>
              </w:rPr>
              <w:t>, Right Knee</w:t>
            </w:r>
            <w:r>
              <w:rPr>
                <w:rFonts w:cs="Times New Roman"/>
                <w:sz w:val="18"/>
                <w:szCs w:val="18"/>
              </w:rPr>
              <w:t xml:space="preserve"> </w:t>
            </w:r>
          </w:p>
        </w:tc>
        <w:tc>
          <w:tcPr>
            <w:tcW w:w="1530" w:type="dxa"/>
            <w:gridSpan w:val="2"/>
            <w:tcBorders>
              <w:right w:val="thinThickThinSmallGap" w:sz="24" w:space="0" w:color="auto"/>
            </w:tcBorders>
            <w:shd w:val="clear" w:color="auto" w:fill="FFFFFF" w:themeFill="background1"/>
          </w:tcPr>
          <w:p w:rsidR="00127282" w:rsidRPr="00542C9A" w:rsidRDefault="00127282" w:rsidP="003725CE">
            <w:pPr>
              <w:pStyle w:val="ListParagraph"/>
              <w:spacing w:after="0" w:line="240" w:lineRule="exact"/>
              <w:ind w:left="0"/>
              <w:jc w:val="center"/>
              <w:rPr>
                <w:rFonts w:cs="Times New Roman"/>
                <w:sz w:val="18"/>
                <w:szCs w:val="18"/>
              </w:rPr>
            </w:pPr>
            <w:r>
              <w:rPr>
                <w:rFonts w:cs="Times New Roman"/>
                <w:sz w:val="18"/>
                <w:szCs w:val="18"/>
              </w:rPr>
              <w:t>(</w:t>
            </w:r>
            <w:r w:rsidR="003725CE">
              <w:rPr>
                <w:rFonts w:cs="Times New Roman"/>
                <w:sz w:val="18"/>
                <w:szCs w:val="18"/>
              </w:rPr>
              <w:t>Category II</w:t>
            </w:r>
            <w:r>
              <w:rPr>
                <w:rFonts w:cs="Times New Roman"/>
                <w:sz w:val="18"/>
                <w:szCs w:val="18"/>
              </w:rPr>
              <w:t>)</w:t>
            </w:r>
          </w:p>
        </w:tc>
        <w:tc>
          <w:tcPr>
            <w:tcW w:w="5220" w:type="dxa"/>
            <w:gridSpan w:val="4"/>
            <w:tcBorders>
              <w:left w:val="thinThickThinSmallGap" w:sz="24" w:space="0" w:color="auto"/>
            </w:tcBorders>
            <w:shd w:val="clear" w:color="auto" w:fill="FFFFFF" w:themeFill="background1"/>
          </w:tcPr>
          <w:p w:rsidR="00127282" w:rsidRPr="00542C9A" w:rsidRDefault="003725CE" w:rsidP="003725CE">
            <w:pPr>
              <w:pStyle w:val="ListParagraph"/>
              <w:spacing w:after="0" w:line="240" w:lineRule="exact"/>
              <w:ind w:left="0"/>
              <w:jc w:val="center"/>
              <w:rPr>
                <w:rFonts w:cs="Times New Roman"/>
                <w:sz w:val="18"/>
                <w:szCs w:val="18"/>
              </w:rPr>
            </w:pPr>
            <w:r>
              <w:rPr>
                <w:rFonts w:cs="Times New Roman"/>
                <w:sz w:val="18"/>
                <w:szCs w:val="18"/>
              </w:rPr>
              <w:t>(</w:t>
            </w:r>
            <w:r w:rsidR="00127282">
              <w:rPr>
                <w:rFonts w:cs="Times New Roman"/>
                <w:sz w:val="18"/>
                <w:szCs w:val="18"/>
              </w:rPr>
              <w:t xml:space="preserve">No </w:t>
            </w:r>
            <w:r>
              <w:rPr>
                <w:rFonts w:cs="Times New Roman"/>
                <w:sz w:val="18"/>
                <w:szCs w:val="18"/>
              </w:rPr>
              <w:t>VA Entry for PLC Deficiency)</w:t>
            </w:r>
          </w:p>
        </w:tc>
      </w:tr>
      <w:tr w:rsidR="00A41D12" w:rsidRPr="002A685E" w:rsidTr="00A41D12">
        <w:trPr>
          <w:trHeight w:val="125"/>
          <w:jc w:val="center"/>
        </w:trPr>
        <w:tc>
          <w:tcPr>
            <w:tcW w:w="4050" w:type="dxa"/>
            <w:gridSpan w:val="3"/>
            <w:vMerge w:val="restart"/>
            <w:tcBorders>
              <w:right w:val="thinThickThinSmallGap" w:sz="24" w:space="0" w:color="auto"/>
            </w:tcBorders>
            <w:shd w:val="clear" w:color="auto" w:fill="FFFFFF" w:themeFill="background1"/>
          </w:tcPr>
          <w:p w:rsidR="00A41D12" w:rsidRPr="00542C9A" w:rsidRDefault="00A41D12" w:rsidP="00094D15">
            <w:pPr>
              <w:pStyle w:val="ListParagraph"/>
              <w:spacing w:after="0" w:line="240" w:lineRule="exact"/>
              <w:ind w:left="0"/>
              <w:jc w:val="center"/>
              <w:rPr>
                <w:rFonts w:cs="Times New Roman"/>
                <w:sz w:val="18"/>
                <w:szCs w:val="18"/>
              </w:rPr>
            </w:pPr>
            <w:r w:rsidRPr="009D1115">
              <w:rPr>
                <w:rFonts w:cs="Times New Roman"/>
                <w:sz w:val="18"/>
                <w:szCs w:val="18"/>
              </w:rPr>
              <w:t xml:space="preserve">↓No Additional </w:t>
            </w:r>
            <w:r w:rsidR="003725CE">
              <w:rPr>
                <w:rFonts w:cs="Times New Roman"/>
                <w:sz w:val="18"/>
                <w:szCs w:val="18"/>
              </w:rPr>
              <w:t>MEB/</w:t>
            </w:r>
            <w:r w:rsidR="00094D15">
              <w:rPr>
                <w:rFonts w:cs="Times New Roman"/>
                <w:sz w:val="18"/>
                <w:szCs w:val="18"/>
              </w:rPr>
              <w:t>P</w:t>
            </w:r>
            <w:r>
              <w:rPr>
                <w:rFonts w:cs="Times New Roman"/>
                <w:sz w:val="18"/>
                <w:szCs w:val="18"/>
              </w:rPr>
              <w:t xml:space="preserve">EB </w:t>
            </w:r>
            <w:r w:rsidRPr="009D1115">
              <w:rPr>
                <w:rFonts w:cs="Times New Roman"/>
                <w:sz w:val="18"/>
                <w:szCs w:val="18"/>
              </w:rPr>
              <w:t>Entries↓</w:t>
            </w:r>
          </w:p>
        </w:tc>
        <w:tc>
          <w:tcPr>
            <w:tcW w:w="2475" w:type="dxa"/>
            <w:tcBorders>
              <w:left w:val="thinThickThinSmallGap" w:sz="24" w:space="0" w:color="auto"/>
            </w:tcBorders>
            <w:shd w:val="clear" w:color="auto" w:fill="FFFFFF" w:themeFill="background1"/>
          </w:tcPr>
          <w:p w:rsidR="00A41D12" w:rsidRPr="00094D15" w:rsidRDefault="00A41D12" w:rsidP="003725CE">
            <w:pPr>
              <w:spacing w:line="240" w:lineRule="exact"/>
              <w:rPr>
                <w:color w:val="auto"/>
                <w:sz w:val="18"/>
                <w:szCs w:val="18"/>
              </w:rPr>
            </w:pPr>
            <w:r w:rsidRPr="00094D15">
              <w:rPr>
                <w:color w:val="auto"/>
                <w:sz w:val="18"/>
                <w:szCs w:val="18"/>
              </w:rPr>
              <w:t xml:space="preserve">Left Shoulder </w:t>
            </w:r>
            <w:r w:rsidR="003725CE">
              <w:rPr>
                <w:color w:val="auto"/>
                <w:sz w:val="18"/>
                <w:szCs w:val="18"/>
              </w:rPr>
              <w:t>C</w:t>
            </w:r>
            <w:r w:rsidRPr="00094D15">
              <w:rPr>
                <w:color w:val="auto"/>
                <w:sz w:val="18"/>
                <w:szCs w:val="18"/>
              </w:rPr>
              <w:t>ondition</w:t>
            </w:r>
          </w:p>
        </w:tc>
        <w:tc>
          <w:tcPr>
            <w:tcW w:w="945" w:type="dxa"/>
            <w:shd w:val="clear" w:color="auto" w:fill="FFFFFF" w:themeFill="background1"/>
          </w:tcPr>
          <w:p w:rsidR="00A41D12" w:rsidRPr="00094D15" w:rsidRDefault="00A41D12" w:rsidP="005709F7">
            <w:pPr>
              <w:pStyle w:val="ListParagraph"/>
              <w:spacing w:after="0" w:line="240" w:lineRule="exact"/>
              <w:ind w:left="0"/>
              <w:jc w:val="center"/>
              <w:rPr>
                <w:sz w:val="18"/>
                <w:szCs w:val="18"/>
              </w:rPr>
            </w:pPr>
            <w:r w:rsidRPr="00094D15">
              <w:rPr>
                <w:sz w:val="18"/>
                <w:szCs w:val="18"/>
              </w:rPr>
              <w:t>5203</w:t>
            </w:r>
          </w:p>
        </w:tc>
        <w:tc>
          <w:tcPr>
            <w:tcW w:w="810" w:type="dxa"/>
            <w:shd w:val="clear" w:color="auto" w:fill="FFFFFF" w:themeFill="background1"/>
          </w:tcPr>
          <w:p w:rsidR="00A41D12" w:rsidRPr="00542C9A" w:rsidRDefault="00A41D12"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A41D12" w:rsidRPr="00542C9A" w:rsidRDefault="00A41D12" w:rsidP="00CD1F5F">
            <w:pPr>
              <w:pStyle w:val="ListParagraph"/>
              <w:spacing w:after="0" w:line="240" w:lineRule="exact"/>
              <w:ind w:left="0"/>
              <w:jc w:val="center"/>
              <w:rPr>
                <w:rFonts w:cs="Times New Roman"/>
                <w:sz w:val="18"/>
                <w:szCs w:val="18"/>
              </w:rPr>
            </w:pPr>
            <w:r>
              <w:rPr>
                <w:rFonts w:cs="Times New Roman"/>
                <w:sz w:val="18"/>
                <w:szCs w:val="18"/>
              </w:rPr>
              <w:t>20040920</w:t>
            </w:r>
          </w:p>
        </w:tc>
      </w:tr>
      <w:tr w:rsidR="00A41D12" w:rsidRPr="002A685E" w:rsidTr="00A41D12">
        <w:trPr>
          <w:trHeight w:val="125"/>
          <w:jc w:val="center"/>
        </w:trPr>
        <w:tc>
          <w:tcPr>
            <w:tcW w:w="4050" w:type="dxa"/>
            <w:gridSpan w:val="3"/>
            <w:vMerge/>
            <w:tcBorders>
              <w:right w:val="thinThickThinSmallGap" w:sz="24" w:space="0" w:color="auto"/>
            </w:tcBorders>
            <w:shd w:val="clear" w:color="auto" w:fill="FFFFFF" w:themeFill="background1"/>
          </w:tcPr>
          <w:p w:rsidR="00A41D12" w:rsidRPr="009D1115" w:rsidRDefault="00A41D12" w:rsidP="00CD1EF2">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A41D12" w:rsidRPr="00094D15" w:rsidRDefault="00A41D12" w:rsidP="003725CE">
            <w:pPr>
              <w:spacing w:line="240" w:lineRule="exact"/>
              <w:rPr>
                <w:color w:val="auto"/>
                <w:sz w:val="18"/>
                <w:szCs w:val="18"/>
              </w:rPr>
            </w:pPr>
            <w:r w:rsidRPr="00094D15">
              <w:rPr>
                <w:color w:val="auto"/>
                <w:sz w:val="18"/>
                <w:szCs w:val="18"/>
              </w:rPr>
              <w:t>Patellofemoral Syndrome</w:t>
            </w:r>
            <w:r w:rsidR="003725CE">
              <w:rPr>
                <w:color w:val="auto"/>
                <w:sz w:val="18"/>
                <w:szCs w:val="18"/>
              </w:rPr>
              <w:t>,</w:t>
            </w:r>
            <w:r w:rsidRPr="00094D15">
              <w:rPr>
                <w:color w:val="auto"/>
                <w:sz w:val="18"/>
                <w:szCs w:val="18"/>
              </w:rPr>
              <w:t xml:space="preserve"> Left Knee </w:t>
            </w:r>
          </w:p>
        </w:tc>
        <w:tc>
          <w:tcPr>
            <w:tcW w:w="945" w:type="dxa"/>
            <w:shd w:val="clear" w:color="auto" w:fill="FFFFFF" w:themeFill="background1"/>
          </w:tcPr>
          <w:p w:rsidR="00A41D12" w:rsidRPr="00094D15" w:rsidRDefault="00A41D12" w:rsidP="005709F7">
            <w:pPr>
              <w:pStyle w:val="ListParagraph"/>
              <w:spacing w:after="0" w:line="240" w:lineRule="exact"/>
              <w:ind w:left="0"/>
              <w:jc w:val="center"/>
              <w:rPr>
                <w:sz w:val="18"/>
                <w:szCs w:val="18"/>
              </w:rPr>
            </w:pPr>
            <w:r w:rsidRPr="00094D15">
              <w:rPr>
                <w:sz w:val="18"/>
                <w:szCs w:val="18"/>
              </w:rPr>
              <w:t>5260-5024</w:t>
            </w:r>
          </w:p>
        </w:tc>
        <w:tc>
          <w:tcPr>
            <w:tcW w:w="810" w:type="dxa"/>
            <w:shd w:val="clear" w:color="auto" w:fill="FFFFFF" w:themeFill="background1"/>
          </w:tcPr>
          <w:p w:rsidR="00A41D12" w:rsidRDefault="00A41D12"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A41D12" w:rsidRPr="00542C9A" w:rsidRDefault="00094D15" w:rsidP="005709F7">
            <w:pPr>
              <w:pStyle w:val="ListParagraph"/>
              <w:spacing w:after="0" w:line="240" w:lineRule="exact"/>
              <w:ind w:left="0"/>
              <w:jc w:val="center"/>
              <w:rPr>
                <w:rFonts w:cs="Times New Roman"/>
                <w:sz w:val="18"/>
                <w:szCs w:val="18"/>
              </w:rPr>
            </w:pPr>
            <w:r>
              <w:rPr>
                <w:rFonts w:cs="Times New Roman"/>
                <w:sz w:val="18"/>
                <w:szCs w:val="18"/>
              </w:rPr>
              <w:t>20040920</w:t>
            </w:r>
          </w:p>
        </w:tc>
      </w:tr>
      <w:tr w:rsidR="00A41D12" w:rsidRPr="002A685E" w:rsidTr="00A41D12">
        <w:trPr>
          <w:trHeight w:val="125"/>
          <w:jc w:val="center"/>
        </w:trPr>
        <w:tc>
          <w:tcPr>
            <w:tcW w:w="4050" w:type="dxa"/>
            <w:gridSpan w:val="3"/>
            <w:vMerge/>
            <w:tcBorders>
              <w:right w:val="thinThickThinSmallGap" w:sz="24" w:space="0" w:color="auto"/>
            </w:tcBorders>
            <w:shd w:val="clear" w:color="auto" w:fill="FFFFFF" w:themeFill="background1"/>
          </w:tcPr>
          <w:p w:rsidR="00A41D12" w:rsidRPr="00542C9A" w:rsidRDefault="00A41D12" w:rsidP="00CD1EF2">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A41D12" w:rsidRPr="005E72B2" w:rsidRDefault="00A41D12" w:rsidP="003725CE">
            <w:pPr>
              <w:spacing w:line="240" w:lineRule="exact"/>
              <w:rPr>
                <w:color w:val="auto"/>
                <w:sz w:val="18"/>
                <w:szCs w:val="18"/>
              </w:rPr>
            </w:pPr>
            <w:r>
              <w:rPr>
                <w:color w:val="auto"/>
                <w:sz w:val="18"/>
                <w:szCs w:val="18"/>
              </w:rPr>
              <w:t xml:space="preserve">Right </w:t>
            </w:r>
            <w:r w:rsidR="003725CE">
              <w:rPr>
                <w:color w:val="auto"/>
                <w:sz w:val="18"/>
                <w:szCs w:val="18"/>
              </w:rPr>
              <w:t>S</w:t>
            </w:r>
            <w:r>
              <w:rPr>
                <w:color w:val="auto"/>
                <w:sz w:val="18"/>
                <w:szCs w:val="18"/>
              </w:rPr>
              <w:t>houlder Condition</w:t>
            </w:r>
          </w:p>
        </w:tc>
        <w:tc>
          <w:tcPr>
            <w:tcW w:w="945" w:type="dxa"/>
            <w:shd w:val="clear" w:color="auto" w:fill="FFFFFF" w:themeFill="background1"/>
          </w:tcPr>
          <w:p w:rsidR="00A41D12" w:rsidRPr="00542C9A" w:rsidRDefault="00A41D12" w:rsidP="005709F7">
            <w:pPr>
              <w:pStyle w:val="ListParagraph"/>
              <w:spacing w:after="0" w:line="240" w:lineRule="exact"/>
              <w:ind w:left="0"/>
              <w:jc w:val="center"/>
              <w:rPr>
                <w:rFonts w:cs="Times New Roman"/>
                <w:sz w:val="18"/>
                <w:szCs w:val="18"/>
              </w:rPr>
            </w:pPr>
            <w:r>
              <w:rPr>
                <w:rFonts w:cs="Times New Roman"/>
                <w:sz w:val="18"/>
                <w:szCs w:val="18"/>
              </w:rPr>
              <w:t>5203</w:t>
            </w:r>
          </w:p>
        </w:tc>
        <w:tc>
          <w:tcPr>
            <w:tcW w:w="810" w:type="dxa"/>
            <w:shd w:val="clear" w:color="auto" w:fill="FFFFFF" w:themeFill="background1"/>
          </w:tcPr>
          <w:p w:rsidR="00A41D12" w:rsidRPr="00542C9A" w:rsidRDefault="00A41D12"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A41D12" w:rsidRPr="00542C9A" w:rsidRDefault="00A41D12" w:rsidP="00CD1F5F">
            <w:pPr>
              <w:pStyle w:val="ListParagraph"/>
              <w:spacing w:after="0" w:line="240" w:lineRule="exact"/>
              <w:ind w:left="0"/>
              <w:jc w:val="center"/>
              <w:rPr>
                <w:rFonts w:cs="Times New Roman"/>
                <w:sz w:val="18"/>
                <w:szCs w:val="18"/>
              </w:rPr>
            </w:pPr>
            <w:r>
              <w:rPr>
                <w:rFonts w:cs="Times New Roman"/>
                <w:sz w:val="18"/>
                <w:szCs w:val="18"/>
              </w:rPr>
              <w:t>20040920</w:t>
            </w:r>
          </w:p>
        </w:tc>
      </w:tr>
      <w:tr w:rsidR="00A41D12" w:rsidRPr="002A685E" w:rsidTr="00A41D12">
        <w:trPr>
          <w:trHeight w:val="125"/>
          <w:jc w:val="center"/>
        </w:trPr>
        <w:tc>
          <w:tcPr>
            <w:tcW w:w="4050" w:type="dxa"/>
            <w:gridSpan w:val="3"/>
            <w:vMerge/>
            <w:tcBorders>
              <w:right w:val="thinThickThinSmallGap" w:sz="24" w:space="0" w:color="auto"/>
            </w:tcBorders>
            <w:shd w:val="clear" w:color="auto" w:fill="FFFFFF" w:themeFill="background1"/>
          </w:tcPr>
          <w:p w:rsidR="00A41D12" w:rsidRPr="00542C9A" w:rsidRDefault="00A41D12" w:rsidP="00CD1EF2">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A41D12" w:rsidRDefault="00A41D12" w:rsidP="003725CE">
            <w:pPr>
              <w:spacing w:line="240" w:lineRule="exact"/>
              <w:rPr>
                <w:color w:val="auto"/>
                <w:sz w:val="18"/>
                <w:szCs w:val="18"/>
              </w:rPr>
            </w:pPr>
            <w:r>
              <w:rPr>
                <w:color w:val="auto"/>
                <w:sz w:val="18"/>
                <w:szCs w:val="18"/>
              </w:rPr>
              <w:t xml:space="preserve">Right Wrist </w:t>
            </w:r>
            <w:r w:rsidR="003725CE">
              <w:rPr>
                <w:color w:val="auto"/>
                <w:sz w:val="18"/>
                <w:szCs w:val="18"/>
              </w:rPr>
              <w:t>C</w:t>
            </w:r>
            <w:r>
              <w:rPr>
                <w:color w:val="auto"/>
                <w:sz w:val="18"/>
                <w:szCs w:val="18"/>
              </w:rPr>
              <w:t>ondition</w:t>
            </w:r>
          </w:p>
        </w:tc>
        <w:tc>
          <w:tcPr>
            <w:tcW w:w="945" w:type="dxa"/>
            <w:shd w:val="clear" w:color="auto" w:fill="FFFFFF" w:themeFill="background1"/>
          </w:tcPr>
          <w:p w:rsidR="00A41D12" w:rsidRPr="00542C9A" w:rsidRDefault="00A41D12" w:rsidP="005709F7">
            <w:pPr>
              <w:pStyle w:val="ListParagraph"/>
              <w:spacing w:after="0" w:line="240" w:lineRule="exact"/>
              <w:ind w:left="0"/>
              <w:jc w:val="center"/>
              <w:rPr>
                <w:rFonts w:cs="Times New Roman"/>
                <w:sz w:val="18"/>
                <w:szCs w:val="18"/>
              </w:rPr>
            </w:pPr>
            <w:r>
              <w:rPr>
                <w:rFonts w:cs="Times New Roman"/>
                <w:sz w:val="18"/>
                <w:szCs w:val="18"/>
              </w:rPr>
              <w:t>5215</w:t>
            </w:r>
          </w:p>
        </w:tc>
        <w:tc>
          <w:tcPr>
            <w:tcW w:w="810" w:type="dxa"/>
            <w:shd w:val="clear" w:color="auto" w:fill="FFFFFF" w:themeFill="background1"/>
          </w:tcPr>
          <w:p w:rsidR="00A41D12" w:rsidRPr="00542C9A" w:rsidRDefault="00A41D12"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A41D12" w:rsidRPr="00542C9A" w:rsidRDefault="00A41D12" w:rsidP="00CD1F5F">
            <w:pPr>
              <w:pStyle w:val="ListParagraph"/>
              <w:spacing w:after="0" w:line="240" w:lineRule="exact"/>
              <w:ind w:left="0"/>
              <w:jc w:val="center"/>
              <w:rPr>
                <w:rFonts w:cs="Times New Roman"/>
                <w:sz w:val="18"/>
                <w:szCs w:val="18"/>
              </w:rPr>
            </w:pPr>
            <w:r>
              <w:rPr>
                <w:rFonts w:cs="Times New Roman"/>
                <w:sz w:val="18"/>
                <w:szCs w:val="18"/>
              </w:rPr>
              <w:t>20040920</w:t>
            </w:r>
          </w:p>
        </w:tc>
      </w:tr>
      <w:tr w:rsidR="00A41D12" w:rsidRPr="002A685E" w:rsidTr="00A41D12">
        <w:trPr>
          <w:trHeight w:val="125"/>
          <w:jc w:val="center"/>
        </w:trPr>
        <w:tc>
          <w:tcPr>
            <w:tcW w:w="4050" w:type="dxa"/>
            <w:gridSpan w:val="3"/>
            <w:vMerge/>
            <w:tcBorders>
              <w:right w:val="thinThickThinSmallGap" w:sz="24" w:space="0" w:color="auto"/>
            </w:tcBorders>
            <w:shd w:val="clear" w:color="auto" w:fill="FFFFFF" w:themeFill="background1"/>
          </w:tcPr>
          <w:p w:rsidR="00A41D12" w:rsidRPr="00542C9A" w:rsidRDefault="00A41D12" w:rsidP="00190E48">
            <w:pPr>
              <w:pStyle w:val="ListParagraph"/>
              <w:spacing w:after="0" w:line="240" w:lineRule="exact"/>
              <w:ind w:left="0"/>
              <w:jc w:val="both"/>
              <w:rPr>
                <w:rFonts w:cs="Times New Roman"/>
                <w:sz w:val="18"/>
                <w:szCs w:val="18"/>
              </w:rPr>
            </w:pPr>
          </w:p>
        </w:tc>
        <w:tc>
          <w:tcPr>
            <w:tcW w:w="2475" w:type="dxa"/>
            <w:tcBorders>
              <w:left w:val="thinThickThinSmallGap" w:sz="24" w:space="0" w:color="auto"/>
            </w:tcBorders>
            <w:shd w:val="clear" w:color="auto" w:fill="FFFFFF" w:themeFill="background1"/>
          </w:tcPr>
          <w:p w:rsidR="00A41D12" w:rsidRDefault="00A41D12" w:rsidP="003725CE">
            <w:pPr>
              <w:spacing w:line="240" w:lineRule="exact"/>
              <w:rPr>
                <w:color w:val="auto"/>
                <w:sz w:val="18"/>
                <w:szCs w:val="18"/>
              </w:rPr>
            </w:pPr>
            <w:proofErr w:type="spellStart"/>
            <w:r>
              <w:rPr>
                <w:color w:val="auto"/>
                <w:sz w:val="18"/>
                <w:szCs w:val="18"/>
              </w:rPr>
              <w:t>Temporomandibular</w:t>
            </w:r>
            <w:proofErr w:type="spellEnd"/>
            <w:r>
              <w:rPr>
                <w:color w:val="auto"/>
                <w:sz w:val="18"/>
                <w:szCs w:val="18"/>
              </w:rPr>
              <w:t xml:space="preserve"> Joint </w:t>
            </w:r>
            <w:r w:rsidR="003725CE">
              <w:rPr>
                <w:color w:val="auto"/>
                <w:sz w:val="18"/>
                <w:szCs w:val="18"/>
              </w:rPr>
              <w:t xml:space="preserve">(TMJ) </w:t>
            </w:r>
            <w:r>
              <w:rPr>
                <w:color w:val="auto"/>
                <w:sz w:val="18"/>
                <w:szCs w:val="18"/>
              </w:rPr>
              <w:t>Condition</w:t>
            </w:r>
          </w:p>
        </w:tc>
        <w:tc>
          <w:tcPr>
            <w:tcW w:w="945" w:type="dxa"/>
            <w:shd w:val="clear" w:color="auto" w:fill="FFFFFF" w:themeFill="background1"/>
          </w:tcPr>
          <w:p w:rsidR="00A41D12" w:rsidRPr="00542C9A" w:rsidRDefault="00127282" w:rsidP="005709F7">
            <w:pPr>
              <w:pStyle w:val="ListParagraph"/>
              <w:spacing w:after="0" w:line="240" w:lineRule="exact"/>
              <w:ind w:left="0"/>
              <w:jc w:val="center"/>
              <w:rPr>
                <w:rFonts w:cs="Times New Roman"/>
                <w:sz w:val="18"/>
                <w:szCs w:val="18"/>
              </w:rPr>
            </w:pPr>
            <w:r>
              <w:rPr>
                <w:rFonts w:cs="Times New Roman"/>
                <w:sz w:val="18"/>
                <w:szCs w:val="18"/>
              </w:rPr>
              <w:t>9</w:t>
            </w:r>
            <w:r w:rsidR="00A41D12">
              <w:rPr>
                <w:rFonts w:cs="Times New Roman"/>
                <w:sz w:val="18"/>
                <w:szCs w:val="18"/>
              </w:rPr>
              <w:t>999-9905</w:t>
            </w:r>
          </w:p>
        </w:tc>
        <w:tc>
          <w:tcPr>
            <w:tcW w:w="810" w:type="dxa"/>
            <w:shd w:val="clear" w:color="auto" w:fill="FFFFFF" w:themeFill="background1"/>
          </w:tcPr>
          <w:p w:rsidR="00A41D12" w:rsidRPr="00542C9A" w:rsidRDefault="00A41D12" w:rsidP="005709F7">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A41D12" w:rsidRPr="00542C9A" w:rsidRDefault="00A41D12" w:rsidP="00CD1F5F">
            <w:pPr>
              <w:pStyle w:val="ListParagraph"/>
              <w:spacing w:after="0" w:line="240" w:lineRule="exact"/>
              <w:ind w:left="0"/>
              <w:jc w:val="center"/>
              <w:rPr>
                <w:rFonts w:cs="Times New Roman"/>
                <w:sz w:val="18"/>
                <w:szCs w:val="18"/>
              </w:rPr>
            </w:pPr>
            <w:r>
              <w:rPr>
                <w:rFonts w:cs="Times New Roman"/>
                <w:sz w:val="18"/>
                <w:szCs w:val="18"/>
              </w:rPr>
              <w:t>20040920</w:t>
            </w:r>
          </w:p>
        </w:tc>
      </w:tr>
      <w:tr w:rsidR="00A921ED" w:rsidRPr="002A685E" w:rsidTr="00EE4FDA">
        <w:trPr>
          <w:trHeight w:val="125"/>
          <w:jc w:val="center"/>
        </w:trPr>
        <w:tc>
          <w:tcPr>
            <w:tcW w:w="4050" w:type="dxa"/>
            <w:gridSpan w:val="3"/>
            <w:vMerge/>
            <w:tcBorders>
              <w:right w:val="thinThickThinSmallGap" w:sz="24" w:space="0" w:color="auto"/>
            </w:tcBorders>
            <w:shd w:val="clear" w:color="auto" w:fill="FFFFFF" w:themeFill="background1"/>
          </w:tcPr>
          <w:p w:rsidR="00A921ED" w:rsidRPr="00542C9A" w:rsidRDefault="00A921ED" w:rsidP="00190E48">
            <w:pPr>
              <w:pStyle w:val="ListParagraph"/>
              <w:spacing w:after="0" w:line="240" w:lineRule="exact"/>
              <w:ind w:left="0"/>
              <w:jc w:val="both"/>
              <w:rPr>
                <w:rFonts w:cs="Times New Roman"/>
                <w:sz w:val="18"/>
                <w:szCs w:val="18"/>
              </w:rPr>
            </w:pPr>
          </w:p>
        </w:tc>
        <w:tc>
          <w:tcPr>
            <w:tcW w:w="4230" w:type="dxa"/>
            <w:gridSpan w:val="3"/>
            <w:tcBorders>
              <w:left w:val="thinThickThinSmallGap" w:sz="24" w:space="0" w:color="auto"/>
            </w:tcBorders>
            <w:shd w:val="clear" w:color="auto" w:fill="FFFFFF" w:themeFill="background1"/>
          </w:tcPr>
          <w:p w:rsidR="00A921ED" w:rsidRPr="00542C9A" w:rsidRDefault="00A921ED" w:rsidP="00A921ED">
            <w:pPr>
              <w:spacing w:line="240" w:lineRule="exact"/>
              <w:jc w:val="center"/>
              <w:rPr>
                <w:rFonts w:cs="Times New Roman"/>
                <w:sz w:val="18"/>
                <w:szCs w:val="18"/>
              </w:rPr>
            </w:pPr>
            <w:r>
              <w:rPr>
                <w:color w:val="auto"/>
                <w:sz w:val="18"/>
                <w:szCs w:val="18"/>
              </w:rPr>
              <w:t>0% x 2</w:t>
            </w:r>
          </w:p>
        </w:tc>
        <w:tc>
          <w:tcPr>
            <w:tcW w:w="990" w:type="dxa"/>
            <w:shd w:val="clear" w:color="auto" w:fill="FFFFFF" w:themeFill="background1"/>
          </w:tcPr>
          <w:p w:rsidR="00A921ED" w:rsidRPr="00542C9A" w:rsidRDefault="00A921ED" w:rsidP="00CD1F5F">
            <w:pPr>
              <w:pStyle w:val="ListParagraph"/>
              <w:spacing w:after="0" w:line="240" w:lineRule="exact"/>
              <w:ind w:left="0"/>
              <w:jc w:val="center"/>
              <w:rPr>
                <w:rFonts w:cs="Times New Roman"/>
                <w:sz w:val="18"/>
                <w:szCs w:val="18"/>
              </w:rPr>
            </w:pPr>
            <w:r>
              <w:rPr>
                <w:rFonts w:cs="Times New Roman"/>
                <w:sz w:val="18"/>
                <w:szCs w:val="18"/>
              </w:rPr>
              <w:t>20040920</w:t>
            </w:r>
          </w:p>
        </w:tc>
      </w:tr>
      <w:tr w:rsidR="00A41D12" w:rsidRPr="002A685E"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A41D12" w:rsidRPr="0085089F" w:rsidRDefault="00A41D12" w:rsidP="00094D15">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094D15">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A41D12" w:rsidRPr="0085089F" w:rsidRDefault="00A41D12" w:rsidP="009E6379">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6</w:t>
            </w:r>
            <w:r w:rsidRPr="00ED6A61">
              <w:rPr>
                <w:rFonts w:cs="Times New Roman"/>
                <w:b/>
                <w:sz w:val="20"/>
                <w:szCs w:val="20"/>
              </w:rPr>
              <w:t>0%</w:t>
            </w:r>
            <w:r w:rsidR="00094D15">
              <w:rPr>
                <w:rFonts w:cs="Times New Roman"/>
                <w:b/>
                <w:sz w:val="20"/>
                <w:szCs w:val="20"/>
              </w:rPr>
              <w:t xml:space="preserve"> </w:t>
            </w:r>
          </w:p>
        </w:tc>
      </w:tr>
    </w:tbl>
    <w:p w:rsidR="00A90D55" w:rsidRPr="00453B65" w:rsidRDefault="008B5D31" w:rsidP="00190E48">
      <w:pPr>
        <w:tabs>
          <w:tab w:val="left" w:pos="288"/>
          <w:tab w:val="left" w:pos="4752"/>
        </w:tabs>
        <w:spacing w:line="240" w:lineRule="exact"/>
        <w:jc w:val="both"/>
        <w:rPr>
          <w:rFonts w:ascii="Calibri" w:hAnsi="Calibri"/>
          <w:b/>
          <w:color w:val="auto"/>
          <w:u w:val="single"/>
        </w:rPr>
      </w:pPr>
      <w:r w:rsidRPr="00453B65">
        <w:rPr>
          <w:rFonts w:ascii="Calibri" w:hAnsi="Calibri"/>
          <w:b/>
          <w:color w:val="auto"/>
          <w:u w:val="single"/>
        </w:rPr>
        <w:t>__</w:t>
      </w:r>
      <w:r w:rsidR="00453B65">
        <w:rPr>
          <w:rFonts w:ascii="Calibri" w:hAnsi="Calibri"/>
          <w:b/>
          <w:color w:val="auto"/>
          <w:u w:val="single"/>
        </w:rPr>
        <w:t>_______________</w:t>
      </w:r>
      <w:r w:rsidRPr="00453B65">
        <w:rPr>
          <w:rFonts w:ascii="Calibri" w:hAnsi="Calibri"/>
          <w:b/>
          <w:color w:val="auto"/>
          <w:u w:val="single"/>
        </w:rPr>
        <w:t>_____________________________________________________________</w:t>
      </w:r>
    </w:p>
    <w:p w:rsidR="009351C1" w:rsidRDefault="009351C1" w:rsidP="00AF1668">
      <w:pPr>
        <w:tabs>
          <w:tab w:val="left" w:pos="288"/>
          <w:tab w:val="left" w:pos="4752"/>
        </w:tabs>
        <w:spacing w:line="240" w:lineRule="exact"/>
        <w:rPr>
          <w:rFonts w:asciiTheme="minorHAnsi" w:hAnsiTheme="minorHAnsi"/>
          <w:color w:val="auto"/>
          <w:szCs w:val="24"/>
          <w:u w:val="single"/>
        </w:rPr>
      </w:pPr>
    </w:p>
    <w:p w:rsidR="002C6E5B" w:rsidRPr="00453B65" w:rsidRDefault="002C6E5B" w:rsidP="00453B65">
      <w:pPr>
        <w:tabs>
          <w:tab w:val="left" w:pos="288"/>
          <w:tab w:val="left" w:pos="4752"/>
        </w:tabs>
        <w:spacing w:line="240" w:lineRule="exact"/>
        <w:jc w:val="both"/>
        <w:rPr>
          <w:rFonts w:ascii="Calibri" w:hAnsi="Calibri"/>
          <w:color w:val="auto"/>
          <w:szCs w:val="24"/>
        </w:rPr>
      </w:pPr>
      <w:r w:rsidRPr="00453B65">
        <w:rPr>
          <w:rFonts w:ascii="Calibri" w:hAnsi="Calibri"/>
          <w:color w:val="auto"/>
          <w:szCs w:val="24"/>
          <w:u w:val="single"/>
        </w:rPr>
        <w:t>ANALYSIS SUMMARY</w:t>
      </w:r>
      <w:r w:rsidRPr="00453B65">
        <w:rPr>
          <w:rFonts w:ascii="Calibri" w:hAnsi="Calibri"/>
          <w:color w:val="auto"/>
          <w:szCs w:val="24"/>
        </w:rPr>
        <w:t>:</w:t>
      </w:r>
    </w:p>
    <w:p w:rsidR="006D3E9D" w:rsidRPr="00453B65" w:rsidRDefault="006D3E9D" w:rsidP="00453B65">
      <w:pPr>
        <w:tabs>
          <w:tab w:val="left" w:pos="288"/>
          <w:tab w:val="left" w:pos="4752"/>
        </w:tabs>
        <w:spacing w:line="240" w:lineRule="exact"/>
        <w:jc w:val="both"/>
        <w:rPr>
          <w:rFonts w:ascii="Calibri" w:hAnsi="Calibri"/>
          <w:color w:val="auto"/>
          <w:szCs w:val="24"/>
        </w:rPr>
      </w:pPr>
    </w:p>
    <w:p w:rsidR="00F130E6" w:rsidRPr="00453B65" w:rsidRDefault="006D3E9D" w:rsidP="00453B65">
      <w:pPr>
        <w:tabs>
          <w:tab w:val="left" w:pos="288"/>
          <w:tab w:val="left" w:pos="4752"/>
        </w:tabs>
        <w:spacing w:line="240" w:lineRule="exact"/>
        <w:jc w:val="both"/>
        <w:rPr>
          <w:rFonts w:ascii="Calibri" w:hAnsi="Calibri"/>
          <w:color w:val="auto"/>
          <w:szCs w:val="24"/>
        </w:rPr>
      </w:pPr>
      <w:proofErr w:type="gramStart"/>
      <w:r w:rsidRPr="00453B65">
        <w:rPr>
          <w:rFonts w:ascii="Calibri" w:hAnsi="Calibri"/>
          <w:color w:val="auto"/>
          <w:szCs w:val="24"/>
          <w:u w:val="single"/>
        </w:rPr>
        <w:t>Right Knee</w:t>
      </w:r>
      <w:r w:rsidR="00AD0FFB">
        <w:rPr>
          <w:rFonts w:ascii="Calibri" w:hAnsi="Calibri"/>
          <w:color w:val="auto"/>
          <w:szCs w:val="24"/>
          <w:u w:val="single"/>
        </w:rPr>
        <w:t xml:space="preserve"> </w:t>
      </w:r>
      <w:r w:rsidR="00AD0FFB" w:rsidRPr="00AD0FFB">
        <w:rPr>
          <w:rFonts w:ascii="Calibri" w:hAnsi="Calibri"/>
          <w:color w:val="auto"/>
          <w:szCs w:val="24"/>
          <w:u w:val="single"/>
        </w:rPr>
        <w:t>Condition</w:t>
      </w:r>
      <w:r w:rsidR="00AD0FFB">
        <w:rPr>
          <w:rFonts w:ascii="Calibri" w:hAnsi="Calibri"/>
          <w:color w:val="auto"/>
          <w:szCs w:val="24"/>
        </w:rPr>
        <w:t>.</w:t>
      </w:r>
      <w:proofErr w:type="gramEnd"/>
      <w:r w:rsidR="00AD0FFB">
        <w:rPr>
          <w:rFonts w:ascii="Calibri" w:hAnsi="Calibri"/>
          <w:color w:val="auto"/>
          <w:szCs w:val="24"/>
        </w:rPr>
        <w:t xml:space="preserve">  The CI injured his right knee in 1998 while running on a treadmill,</w:t>
      </w:r>
      <w:r w:rsidR="006B3B4A">
        <w:rPr>
          <w:rFonts w:ascii="Calibri" w:hAnsi="Calibri"/>
          <w:color w:val="auto"/>
          <w:szCs w:val="24"/>
        </w:rPr>
        <w:t xml:space="preserve"> </w:t>
      </w:r>
      <w:r w:rsidR="00AD0FFB">
        <w:rPr>
          <w:rFonts w:ascii="Calibri" w:hAnsi="Calibri"/>
          <w:color w:val="auto"/>
          <w:szCs w:val="24"/>
        </w:rPr>
        <w:t xml:space="preserve">resulting in a </w:t>
      </w:r>
      <w:r w:rsidR="006B3B4A">
        <w:rPr>
          <w:rFonts w:ascii="Calibri" w:hAnsi="Calibri"/>
          <w:color w:val="auto"/>
          <w:szCs w:val="24"/>
        </w:rPr>
        <w:t>twisting</w:t>
      </w:r>
      <w:r w:rsidR="00AD0FFB">
        <w:rPr>
          <w:rFonts w:ascii="Calibri" w:hAnsi="Calibri"/>
          <w:color w:val="auto"/>
          <w:szCs w:val="24"/>
        </w:rPr>
        <w:t xml:space="preserve"> injury which was diagnosed as right knee strain.  He re-injured the right knee in </w:t>
      </w:r>
      <w:r w:rsidR="00AD0FFB" w:rsidRPr="00453B65">
        <w:rPr>
          <w:rFonts w:ascii="Calibri" w:hAnsi="Calibri"/>
          <w:color w:val="auto"/>
          <w:szCs w:val="24"/>
        </w:rPr>
        <w:t>Nov</w:t>
      </w:r>
      <w:r w:rsidR="00946AC3">
        <w:rPr>
          <w:rFonts w:ascii="Calibri" w:hAnsi="Calibri"/>
          <w:color w:val="auto"/>
          <w:szCs w:val="24"/>
        </w:rPr>
        <w:t>ember</w:t>
      </w:r>
      <w:r w:rsidR="00AD0FFB" w:rsidRPr="00453B65">
        <w:rPr>
          <w:rFonts w:ascii="Calibri" w:hAnsi="Calibri"/>
          <w:color w:val="auto"/>
          <w:szCs w:val="24"/>
        </w:rPr>
        <w:t xml:space="preserve"> 2003 wh</w:t>
      </w:r>
      <w:r w:rsidR="006B3B4A">
        <w:rPr>
          <w:rFonts w:ascii="Calibri" w:hAnsi="Calibri"/>
          <w:color w:val="auto"/>
          <w:szCs w:val="24"/>
        </w:rPr>
        <w:t xml:space="preserve">en a </w:t>
      </w:r>
      <w:r w:rsidR="00AD0FFB" w:rsidRPr="00453B65">
        <w:rPr>
          <w:rFonts w:ascii="Calibri" w:hAnsi="Calibri"/>
          <w:color w:val="auto"/>
          <w:szCs w:val="24"/>
        </w:rPr>
        <w:t xml:space="preserve">heavy locker </w:t>
      </w:r>
      <w:r w:rsidR="006B3B4A">
        <w:rPr>
          <w:rFonts w:ascii="Calibri" w:hAnsi="Calibri"/>
          <w:color w:val="auto"/>
          <w:szCs w:val="24"/>
        </w:rPr>
        <w:t xml:space="preserve">fell and pinned his knee, </w:t>
      </w:r>
      <w:r w:rsidR="00AD0FFB" w:rsidRPr="00453B65">
        <w:rPr>
          <w:rFonts w:ascii="Calibri" w:hAnsi="Calibri"/>
          <w:color w:val="auto"/>
          <w:szCs w:val="24"/>
        </w:rPr>
        <w:t>twisting</w:t>
      </w:r>
      <w:r w:rsidR="006B3B4A">
        <w:rPr>
          <w:rFonts w:ascii="Calibri" w:hAnsi="Calibri"/>
          <w:color w:val="auto"/>
          <w:szCs w:val="24"/>
        </w:rPr>
        <w:t xml:space="preserve"> it</w:t>
      </w:r>
      <w:r w:rsidR="00AD0FFB" w:rsidRPr="00453B65">
        <w:rPr>
          <w:rFonts w:ascii="Calibri" w:hAnsi="Calibri"/>
          <w:color w:val="auto"/>
          <w:szCs w:val="24"/>
        </w:rPr>
        <w:t xml:space="preserve"> to the side</w:t>
      </w:r>
      <w:r w:rsidR="00AD0FFB">
        <w:rPr>
          <w:rFonts w:ascii="Calibri" w:hAnsi="Calibri"/>
          <w:color w:val="auto"/>
          <w:szCs w:val="24"/>
        </w:rPr>
        <w:t xml:space="preserve">.  </w:t>
      </w:r>
      <w:r w:rsidR="006B3B4A" w:rsidRPr="00453B65">
        <w:rPr>
          <w:rFonts w:ascii="Calibri" w:hAnsi="Calibri"/>
          <w:color w:val="auto"/>
          <w:szCs w:val="24"/>
        </w:rPr>
        <w:t xml:space="preserve">He was treated with medication and placed on limited duty </w:t>
      </w:r>
      <w:r w:rsidR="006B3B4A">
        <w:rPr>
          <w:rFonts w:ascii="Calibri" w:hAnsi="Calibri"/>
          <w:color w:val="auto"/>
          <w:szCs w:val="24"/>
        </w:rPr>
        <w:t xml:space="preserve">(LIMDU) </w:t>
      </w:r>
      <w:r w:rsidR="00D66936">
        <w:rPr>
          <w:rFonts w:ascii="Calibri" w:hAnsi="Calibri"/>
          <w:color w:val="auto"/>
          <w:szCs w:val="24"/>
        </w:rPr>
        <w:t>status</w:t>
      </w:r>
      <w:r w:rsidR="006B3B4A" w:rsidRPr="00453B65">
        <w:rPr>
          <w:rFonts w:ascii="Calibri" w:hAnsi="Calibri"/>
          <w:color w:val="auto"/>
          <w:szCs w:val="24"/>
        </w:rPr>
        <w:t>.</w:t>
      </w:r>
      <w:r w:rsidR="00D66936">
        <w:rPr>
          <w:rFonts w:ascii="Calibri" w:hAnsi="Calibri"/>
          <w:color w:val="auto"/>
          <w:szCs w:val="24"/>
        </w:rPr>
        <w:t xml:space="preserve">  </w:t>
      </w:r>
      <w:r w:rsidR="001A477B">
        <w:rPr>
          <w:rFonts w:ascii="Calibri" w:hAnsi="Calibri"/>
          <w:color w:val="auto"/>
          <w:szCs w:val="24"/>
        </w:rPr>
        <w:t>In February 2004, h</w:t>
      </w:r>
      <w:r w:rsidR="001618B2" w:rsidRPr="00EA1324">
        <w:rPr>
          <w:rFonts w:ascii="Calibri" w:hAnsi="Calibri"/>
          <w:color w:val="auto"/>
          <w:szCs w:val="24"/>
        </w:rPr>
        <w:t xml:space="preserve">e underwent </w:t>
      </w:r>
      <w:r w:rsidR="00D66936">
        <w:rPr>
          <w:rFonts w:ascii="Calibri" w:hAnsi="Calibri"/>
          <w:color w:val="auto"/>
          <w:szCs w:val="24"/>
        </w:rPr>
        <w:t xml:space="preserve">reconstructive </w:t>
      </w:r>
      <w:r w:rsidR="001618B2" w:rsidRPr="00EA1324">
        <w:rPr>
          <w:rFonts w:ascii="Calibri" w:hAnsi="Calibri"/>
          <w:color w:val="auto"/>
          <w:szCs w:val="24"/>
        </w:rPr>
        <w:t>surgery</w:t>
      </w:r>
      <w:r w:rsidR="00D66936">
        <w:rPr>
          <w:rFonts w:ascii="Calibri" w:hAnsi="Calibri"/>
          <w:color w:val="auto"/>
          <w:szCs w:val="24"/>
        </w:rPr>
        <w:t xml:space="preserve"> on his </w:t>
      </w:r>
      <w:r w:rsidR="001618B2" w:rsidRPr="00EA1324">
        <w:rPr>
          <w:rFonts w:ascii="Calibri" w:hAnsi="Calibri"/>
          <w:color w:val="auto"/>
          <w:szCs w:val="24"/>
        </w:rPr>
        <w:t>right knee</w:t>
      </w:r>
      <w:r w:rsidR="00D66936">
        <w:rPr>
          <w:rFonts w:ascii="Calibri" w:hAnsi="Calibri"/>
          <w:color w:val="auto"/>
          <w:szCs w:val="24"/>
        </w:rPr>
        <w:t xml:space="preserve">.  Following surgery, he was </w:t>
      </w:r>
      <w:r w:rsidR="001618B2" w:rsidRPr="00EA1324">
        <w:rPr>
          <w:rFonts w:ascii="Calibri" w:hAnsi="Calibri"/>
          <w:color w:val="auto"/>
          <w:szCs w:val="24"/>
        </w:rPr>
        <w:t>placed on a</w:t>
      </w:r>
      <w:r w:rsidR="00D66936">
        <w:rPr>
          <w:rFonts w:ascii="Calibri" w:hAnsi="Calibri"/>
          <w:color w:val="auto"/>
          <w:szCs w:val="24"/>
        </w:rPr>
        <w:t xml:space="preserve"> </w:t>
      </w:r>
      <w:r w:rsidR="00D66936">
        <w:rPr>
          <w:rFonts w:ascii="Calibri" w:hAnsi="Calibri"/>
          <w:color w:val="auto"/>
          <w:szCs w:val="24"/>
        </w:rPr>
        <w:lastRenderedPageBreak/>
        <w:t>second period</w:t>
      </w:r>
      <w:r w:rsidR="001618B2" w:rsidRPr="00EA1324">
        <w:rPr>
          <w:rFonts w:ascii="Calibri" w:hAnsi="Calibri"/>
          <w:color w:val="auto"/>
          <w:szCs w:val="24"/>
        </w:rPr>
        <w:t xml:space="preserve"> of </w:t>
      </w:r>
      <w:r w:rsidR="00D66936">
        <w:rPr>
          <w:rFonts w:ascii="Calibri" w:hAnsi="Calibri"/>
          <w:color w:val="auto"/>
          <w:szCs w:val="24"/>
        </w:rPr>
        <w:t xml:space="preserve">LIMDU.  In spite of treatment his right knee problems persisted, and it was </w:t>
      </w:r>
      <w:r w:rsidR="006432CE">
        <w:rPr>
          <w:rFonts w:ascii="Calibri" w:hAnsi="Calibri"/>
          <w:color w:val="auto"/>
          <w:szCs w:val="24"/>
        </w:rPr>
        <w:t>felt</w:t>
      </w:r>
      <w:r w:rsidR="00D66936">
        <w:rPr>
          <w:rFonts w:ascii="Calibri" w:hAnsi="Calibri"/>
          <w:color w:val="auto"/>
          <w:szCs w:val="24"/>
        </w:rPr>
        <w:t xml:space="preserve"> that he would not be able to fully perform his </w:t>
      </w:r>
      <w:r w:rsidR="00A35336" w:rsidRPr="00453B65">
        <w:rPr>
          <w:rFonts w:ascii="Calibri" w:hAnsi="Calibri"/>
          <w:color w:val="auto"/>
          <w:szCs w:val="24"/>
        </w:rPr>
        <w:t>military</w:t>
      </w:r>
      <w:r w:rsidR="00D66936">
        <w:rPr>
          <w:rFonts w:ascii="Calibri" w:hAnsi="Calibri"/>
          <w:color w:val="auto"/>
          <w:szCs w:val="24"/>
        </w:rPr>
        <w:t xml:space="preserve"> duties, or </w:t>
      </w:r>
      <w:r w:rsidR="00A35336" w:rsidRPr="00453B65">
        <w:rPr>
          <w:rFonts w:ascii="Calibri" w:hAnsi="Calibri"/>
          <w:color w:val="auto"/>
          <w:szCs w:val="24"/>
        </w:rPr>
        <w:t>participat</w:t>
      </w:r>
      <w:r w:rsidR="00D66936">
        <w:rPr>
          <w:rFonts w:ascii="Calibri" w:hAnsi="Calibri"/>
          <w:color w:val="auto"/>
          <w:szCs w:val="24"/>
        </w:rPr>
        <w:t>e</w:t>
      </w:r>
      <w:r w:rsidR="00A35336" w:rsidRPr="00453B65">
        <w:rPr>
          <w:rFonts w:ascii="Calibri" w:hAnsi="Calibri"/>
          <w:color w:val="auto"/>
          <w:szCs w:val="24"/>
        </w:rPr>
        <w:t xml:space="preserve"> </w:t>
      </w:r>
      <w:r w:rsidR="007D4914">
        <w:rPr>
          <w:rFonts w:ascii="Calibri" w:hAnsi="Calibri"/>
          <w:color w:val="auto"/>
          <w:szCs w:val="24"/>
        </w:rPr>
        <w:t xml:space="preserve">fully </w:t>
      </w:r>
      <w:r w:rsidR="00A35336" w:rsidRPr="00453B65">
        <w:rPr>
          <w:rFonts w:ascii="Calibri" w:hAnsi="Calibri"/>
          <w:color w:val="auto"/>
          <w:szCs w:val="24"/>
        </w:rPr>
        <w:t xml:space="preserve">in the physical </w:t>
      </w:r>
      <w:r w:rsidR="007D4914">
        <w:rPr>
          <w:rFonts w:ascii="Calibri" w:hAnsi="Calibri"/>
          <w:color w:val="auto"/>
          <w:szCs w:val="24"/>
        </w:rPr>
        <w:t>fitness</w:t>
      </w:r>
      <w:r w:rsidR="00A35336" w:rsidRPr="00453B65">
        <w:rPr>
          <w:rFonts w:ascii="Calibri" w:hAnsi="Calibri"/>
          <w:color w:val="auto"/>
          <w:szCs w:val="24"/>
        </w:rPr>
        <w:t xml:space="preserve"> program.</w:t>
      </w:r>
      <w:r w:rsidR="007D4914">
        <w:rPr>
          <w:rFonts w:ascii="Calibri" w:hAnsi="Calibri"/>
          <w:color w:val="auto"/>
          <w:szCs w:val="24"/>
        </w:rPr>
        <w:t xml:space="preserve">  </w:t>
      </w:r>
      <w:r w:rsidR="00663D8F" w:rsidRPr="00453B65">
        <w:rPr>
          <w:rFonts w:ascii="Calibri" w:hAnsi="Calibri"/>
          <w:color w:val="auto"/>
          <w:szCs w:val="24"/>
        </w:rPr>
        <w:t>The CI</w:t>
      </w:r>
      <w:r w:rsidR="00A35336" w:rsidRPr="00453B65">
        <w:rPr>
          <w:rFonts w:ascii="Calibri" w:hAnsi="Calibri"/>
          <w:color w:val="auto"/>
          <w:szCs w:val="24"/>
        </w:rPr>
        <w:t xml:space="preserve"> underwent a Medical Evaluation Board (MEB)</w:t>
      </w:r>
      <w:r w:rsidR="003E5484" w:rsidRPr="00453B65">
        <w:rPr>
          <w:rFonts w:ascii="Calibri" w:hAnsi="Calibri"/>
          <w:color w:val="auto"/>
          <w:szCs w:val="24"/>
        </w:rPr>
        <w:t xml:space="preserve"> </w:t>
      </w:r>
      <w:r w:rsidR="007D4914">
        <w:rPr>
          <w:rFonts w:ascii="Calibri" w:hAnsi="Calibri"/>
          <w:color w:val="auto"/>
          <w:szCs w:val="24"/>
        </w:rPr>
        <w:t>in</w:t>
      </w:r>
      <w:r w:rsidR="00F130E6" w:rsidRPr="00453B65">
        <w:rPr>
          <w:rFonts w:ascii="Calibri" w:hAnsi="Calibri"/>
          <w:color w:val="auto"/>
          <w:szCs w:val="24"/>
        </w:rPr>
        <w:t xml:space="preserve"> April 2004</w:t>
      </w:r>
      <w:r w:rsidR="007D4914">
        <w:rPr>
          <w:rFonts w:ascii="Calibri" w:hAnsi="Calibri"/>
          <w:color w:val="auto"/>
          <w:szCs w:val="24"/>
        </w:rPr>
        <w:t>.  Three right knee deficiencies were found to be medically unacceptable.  They were: ACL</w:t>
      </w:r>
      <w:r w:rsidR="00946AC3">
        <w:rPr>
          <w:rFonts w:ascii="Calibri" w:hAnsi="Calibri"/>
          <w:color w:val="auto"/>
          <w:szCs w:val="24"/>
        </w:rPr>
        <w:t xml:space="preserve"> d</w:t>
      </w:r>
      <w:r w:rsidR="00A35336" w:rsidRPr="00453B65">
        <w:rPr>
          <w:rFonts w:ascii="Calibri" w:hAnsi="Calibri"/>
          <w:color w:val="auto"/>
          <w:szCs w:val="24"/>
        </w:rPr>
        <w:t xml:space="preserve">eficiency </w:t>
      </w:r>
      <w:r w:rsidR="00946AC3" w:rsidRPr="00453B65">
        <w:rPr>
          <w:rFonts w:ascii="Calibri" w:hAnsi="Calibri"/>
          <w:color w:val="auto"/>
          <w:szCs w:val="24"/>
        </w:rPr>
        <w:t xml:space="preserve">status post allograft reconstruction, </w:t>
      </w:r>
      <w:r w:rsidR="007D4914">
        <w:rPr>
          <w:rFonts w:ascii="Calibri" w:hAnsi="Calibri"/>
          <w:color w:val="auto"/>
          <w:szCs w:val="24"/>
        </w:rPr>
        <w:t xml:space="preserve">PLC </w:t>
      </w:r>
      <w:r w:rsidR="00946AC3" w:rsidRPr="00453B65">
        <w:rPr>
          <w:rFonts w:ascii="Calibri" w:hAnsi="Calibri"/>
          <w:color w:val="auto"/>
          <w:szCs w:val="24"/>
        </w:rPr>
        <w:t>deficiency status post allograft reconstruction</w:t>
      </w:r>
      <w:r w:rsidR="00A35336" w:rsidRPr="00453B65">
        <w:rPr>
          <w:rFonts w:ascii="Calibri" w:hAnsi="Calibri"/>
          <w:color w:val="auto"/>
          <w:szCs w:val="24"/>
        </w:rPr>
        <w:t xml:space="preserve">, and </w:t>
      </w:r>
      <w:r w:rsidR="007D4914">
        <w:rPr>
          <w:rFonts w:ascii="Calibri" w:hAnsi="Calibri"/>
          <w:color w:val="auto"/>
          <w:szCs w:val="24"/>
        </w:rPr>
        <w:t xml:space="preserve">LCL </w:t>
      </w:r>
      <w:r w:rsidR="00946AC3" w:rsidRPr="00453B65">
        <w:rPr>
          <w:rFonts w:ascii="Calibri" w:hAnsi="Calibri"/>
          <w:color w:val="auto"/>
          <w:szCs w:val="24"/>
        </w:rPr>
        <w:t>deficiency status</w:t>
      </w:r>
      <w:r w:rsidR="00946AC3">
        <w:rPr>
          <w:rFonts w:ascii="Calibri" w:hAnsi="Calibri"/>
          <w:color w:val="auto"/>
          <w:szCs w:val="24"/>
        </w:rPr>
        <w:t xml:space="preserve"> post allograft reconstruction</w:t>
      </w:r>
      <w:r w:rsidR="007D4914">
        <w:rPr>
          <w:rFonts w:ascii="Calibri" w:hAnsi="Calibri"/>
          <w:color w:val="auto"/>
          <w:szCs w:val="24"/>
        </w:rPr>
        <w:t xml:space="preserve">.  As noted above, the Navy PEB found the ACL deficiency unfitting, and rated it as 20% disabling.  The other two right knee deficiencies were determined to be </w:t>
      </w:r>
      <w:r w:rsidR="00946AC3">
        <w:rPr>
          <w:rFonts w:ascii="Calibri" w:hAnsi="Calibri"/>
          <w:color w:val="auto"/>
          <w:szCs w:val="24"/>
        </w:rPr>
        <w:t>c</w:t>
      </w:r>
      <w:r w:rsidR="00A35336" w:rsidRPr="00453B65">
        <w:rPr>
          <w:rFonts w:ascii="Calibri" w:hAnsi="Calibri"/>
          <w:color w:val="auto"/>
          <w:szCs w:val="24"/>
        </w:rPr>
        <w:t xml:space="preserve">ategory </w:t>
      </w:r>
      <w:r w:rsidR="007D4914">
        <w:rPr>
          <w:rFonts w:ascii="Calibri" w:hAnsi="Calibri"/>
          <w:color w:val="auto"/>
          <w:szCs w:val="24"/>
        </w:rPr>
        <w:t>II</w:t>
      </w:r>
      <w:r w:rsidR="00A35336" w:rsidRPr="00453B65">
        <w:rPr>
          <w:rFonts w:ascii="Calibri" w:hAnsi="Calibri"/>
          <w:color w:val="auto"/>
          <w:szCs w:val="24"/>
        </w:rPr>
        <w:t xml:space="preserve"> </w:t>
      </w:r>
      <w:r w:rsidR="007D4914">
        <w:rPr>
          <w:rFonts w:ascii="Calibri" w:hAnsi="Calibri"/>
          <w:color w:val="auto"/>
          <w:szCs w:val="24"/>
        </w:rPr>
        <w:t>(related to the unfitting ACL deficiency of right knee)</w:t>
      </w:r>
      <w:r w:rsidR="00A35336" w:rsidRPr="00453B65">
        <w:rPr>
          <w:rFonts w:ascii="Calibri" w:hAnsi="Calibri"/>
          <w:color w:val="auto"/>
          <w:szCs w:val="24"/>
        </w:rPr>
        <w:t xml:space="preserve">. </w:t>
      </w:r>
    </w:p>
    <w:p w:rsidR="00F130E6" w:rsidRPr="00453B65" w:rsidRDefault="00F130E6" w:rsidP="00453B65">
      <w:pPr>
        <w:tabs>
          <w:tab w:val="left" w:pos="288"/>
          <w:tab w:val="left" w:pos="4752"/>
        </w:tabs>
        <w:spacing w:line="240" w:lineRule="exact"/>
        <w:jc w:val="both"/>
        <w:rPr>
          <w:rFonts w:ascii="Calibri" w:hAnsi="Calibri"/>
          <w:color w:val="auto"/>
          <w:szCs w:val="24"/>
        </w:rPr>
      </w:pPr>
    </w:p>
    <w:p w:rsidR="00FC2D2D" w:rsidRPr="00FC2D2D" w:rsidRDefault="00F130E6" w:rsidP="00FC2D2D">
      <w:pPr>
        <w:tabs>
          <w:tab w:val="left" w:pos="288"/>
          <w:tab w:val="left" w:pos="4752"/>
        </w:tabs>
        <w:spacing w:line="240" w:lineRule="exact"/>
        <w:jc w:val="both"/>
        <w:rPr>
          <w:rFonts w:ascii="Calibri" w:hAnsi="Calibri"/>
          <w:color w:val="auto"/>
          <w:szCs w:val="24"/>
        </w:rPr>
      </w:pPr>
      <w:r w:rsidRPr="00453B65">
        <w:rPr>
          <w:rFonts w:ascii="Calibri" w:hAnsi="Calibri"/>
          <w:color w:val="auto"/>
          <w:szCs w:val="24"/>
        </w:rPr>
        <w:t xml:space="preserve">The CI </w:t>
      </w:r>
      <w:r w:rsidR="00F12655">
        <w:rPr>
          <w:rFonts w:ascii="Calibri" w:hAnsi="Calibri"/>
          <w:color w:val="auto"/>
          <w:szCs w:val="24"/>
        </w:rPr>
        <w:t xml:space="preserve">was examined in </w:t>
      </w:r>
      <w:r w:rsidR="00946AC3">
        <w:rPr>
          <w:rFonts w:ascii="Calibri" w:hAnsi="Calibri"/>
          <w:color w:val="auto"/>
          <w:szCs w:val="24"/>
        </w:rPr>
        <w:t xml:space="preserve">the orthopedic clinic </w:t>
      </w:r>
      <w:r w:rsidR="00F12655">
        <w:rPr>
          <w:rFonts w:ascii="Calibri" w:hAnsi="Calibri"/>
          <w:color w:val="auto"/>
          <w:szCs w:val="24"/>
        </w:rPr>
        <w:t xml:space="preserve">at Camp </w:t>
      </w:r>
      <w:proofErr w:type="spellStart"/>
      <w:r w:rsidR="00F12655">
        <w:rPr>
          <w:rFonts w:ascii="Calibri" w:hAnsi="Calibri"/>
          <w:color w:val="auto"/>
          <w:szCs w:val="24"/>
        </w:rPr>
        <w:t>Le</w:t>
      </w:r>
      <w:r w:rsidR="006432CE">
        <w:rPr>
          <w:rFonts w:ascii="Calibri" w:hAnsi="Calibri"/>
          <w:color w:val="auto"/>
          <w:szCs w:val="24"/>
        </w:rPr>
        <w:t>J</w:t>
      </w:r>
      <w:r w:rsidR="00F12655">
        <w:rPr>
          <w:rFonts w:ascii="Calibri" w:hAnsi="Calibri"/>
          <w:color w:val="auto"/>
          <w:szCs w:val="24"/>
        </w:rPr>
        <w:t>eune</w:t>
      </w:r>
      <w:proofErr w:type="spellEnd"/>
      <w:r w:rsidR="00F12655">
        <w:rPr>
          <w:rFonts w:ascii="Calibri" w:hAnsi="Calibri"/>
          <w:color w:val="auto"/>
          <w:szCs w:val="24"/>
        </w:rPr>
        <w:t xml:space="preserve"> on </w:t>
      </w:r>
      <w:r w:rsidR="004730A2">
        <w:rPr>
          <w:rFonts w:ascii="Calibri" w:hAnsi="Calibri"/>
          <w:color w:val="auto"/>
          <w:szCs w:val="24"/>
        </w:rPr>
        <w:t xml:space="preserve">16 August 2004.  Five weeks later </w:t>
      </w:r>
      <w:r w:rsidR="00946AC3">
        <w:rPr>
          <w:rFonts w:ascii="Calibri" w:hAnsi="Calibri"/>
          <w:color w:val="auto"/>
          <w:szCs w:val="24"/>
        </w:rPr>
        <w:t xml:space="preserve">on </w:t>
      </w:r>
      <w:r w:rsidR="004730A2" w:rsidRPr="00453B65">
        <w:rPr>
          <w:rFonts w:ascii="Calibri" w:hAnsi="Calibri"/>
          <w:color w:val="auto"/>
          <w:szCs w:val="24"/>
        </w:rPr>
        <w:t>20 September 2004</w:t>
      </w:r>
      <w:r w:rsidR="004730A2">
        <w:rPr>
          <w:rFonts w:ascii="Calibri" w:hAnsi="Calibri"/>
          <w:color w:val="auto"/>
          <w:szCs w:val="24"/>
        </w:rPr>
        <w:t xml:space="preserve"> he </w:t>
      </w:r>
      <w:r w:rsidRPr="00453B65">
        <w:rPr>
          <w:rFonts w:ascii="Calibri" w:hAnsi="Calibri"/>
          <w:color w:val="auto"/>
          <w:szCs w:val="24"/>
        </w:rPr>
        <w:t xml:space="preserve">underwent a </w:t>
      </w:r>
      <w:r w:rsidR="00E87095" w:rsidRPr="00453B65">
        <w:rPr>
          <w:rFonts w:ascii="Calibri" w:hAnsi="Calibri"/>
          <w:color w:val="auto"/>
          <w:szCs w:val="24"/>
        </w:rPr>
        <w:t>VA compensation and pension</w:t>
      </w:r>
      <w:r w:rsidRPr="00453B65">
        <w:rPr>
          <w:rFonts w:ascii="Calibri" w:hAnsi="Calibri"/>
          <w:color w:val="auto"/>
          <w:szCs w:val="24"/>
        </w:rPr>
        <w:t xml:space="preserve"> </w:t>
      </w:r>
      <w:r w:rsidR="00E87095" w:rsidRPr="00453B65">
        <w:rPr>
          <w:rFonts w:ascii="Calibri" w:hAnsi="Calibri"/>
          <w:color w:val="auto"/>
          <w:szCs w:val="24"/>
        </w:rPr>
        <w:t>(</w:t>
      </w:r>
      <w:r w:rsidRPr="00453B65">
        <w:rPr>
          <w:rFonts w:ascii="Calibri" w:hAnsi="Calibri"/>
          <w:color w:val="auto"/>
          <w:szCs w:val="24"/>
        </w:rPr>
        <w:t>C&amp;P</w:t>
      </w:r>
      <w:r w:rsidR="00E87095" w:rsidRPr="00453B65">
        <w:rPr>
          <w:rFonts w:ascii="Calibri" w:hAnsi="Calibri"/>
          <w:color w:val="auto"/>
          <w:szCs w:val="24"/>
        </w:rPr>
        <w:t>)</w:t>
      </w:r>
      <w:r w:rsidRPr="00453B65">
        <w:rPr>
          <w:rFonts w:ascii="Calibri" w:hAnsi="Calibri"/>
          <w:color w:val="auto"/>
          <w:szCs w:val="24"/>
        </w:rPr>
        <w:t xml:space="preserve"> exam</w:t>
      </w:r>
      <w:r w:rsidR="004730A2">
        <w:rPr>
          <w:rFonts w:ascii="Calibri" w:hAnsi="Calibri"/>
          <w:color w:val="auto"/>
          <w:szCs w:val="24"/>
        </w:rPr>
        <w:t>.  At that</w:t>
      </w:r>
      <w:r w:rsidRPr="00453B65">
        <w:rPr>
          <w:rFonts w:ascii="Calibri" w:hAnsi="Calibri"/>
          <w:color w:val="auto"/>
          <w:szCs w:val="24"/>
        </w:rPr>
        <w:t xml:space="preserve"> </w:t>
      </w:r>
      <w:r w:rsidR="004730A2">
        <w:rPr>
          <w:rFonts w:ascii="Calibri" w:hAnsi="Calibri"/>
          <w:color w:val="auto"/>
          <w:szCs w:val="24"/>
        </w:rPr>
        <w:t xml:space="preserve">September exam, </w:t>
      </w:r>
      <w:r w:rsidR="000543D4">
        <w:rPr>
          <w:rFonts w:ascii="Calibri" w:hAnsi="Calibri"/>
          <w:color w:val="auto"/>
          <w:szCs w:val="24"/>
        </w:rPr>
        <w:t xml:space="preserve">he was noted to have </w:t>
      </w:r>
      <w:r w:rsidR="00592DF8" w:rsidRPr="00453B65">
        <w:rPr>
          <w:rFonts w:ascii="Calibri" w:hAnsi="Calibri"/>
          <w:color w:val="auto"/>
          <w:szCs w:val="24"/>
        </w:rPr>
        <w:t>an antalgic gait.</w:t>
      </w:r>
      <w:r w:rsidR="000543D4">
        <w:rPr>
          <w:rFonts w:ascii="Calibri" w:hAnsi="Calibri"/>
          <w:color w:val="auto"/>
          <w:szCs w:val="24"/>
        </w:rPr>
        <w:t xml:space="preserve">  </w:t>
      </w:r>
      <w:r w:rsidR="00677BB9" w:rsidRPr="00453B65">
        <w:rPr>
          <w:rFonts w:ascii="Calibri" w:hAnsi="Calibri"/>
          <w:color w:val="auto"/>
          <w:szCs w:val="24"/>
        </w:rPr>
        <w:t>X-rays were n</w:t>
      </w:r>
      <w:r w:rsidR="0032248B">
        <w:rPr>
          <w:rFonts w:ascii="Calibri" w:hAnsi="Calibri"/>
          <w:color w:val="auto"/>
          <w:szCs w:val="24"/>
        </w:rPr>
        <w:t>ormal</w:t>
      </w:r>
      <w:r w:rsidR="00677BB9" w:rsidRPr="00453B65">
        <w:rPr>
          <w:rFonts w:ascii="Calibri" w:hAnsi="Calibri"/>
          <w:color w:val="auto"/>
          <w:szCs w:val="24"/>
        </w:rPr>
        <w:t>.</w:t>
      </w:r>
      <w:r w:rsidR="0032248B">
        <w:rPr>
          <w:rFonts w:ascii="Calibri" w:hAnsi="Calibri"/>
          <w:color w:val="auto"/>
          <w:szCs w:val="24"/>
        </w:rPr>
        <w:t xml:space="preserve">  Right knee range</w:t>
      </w:r>
      <w:r w:rsidR="00946AC3">
        <w:rPr>
          <w:rFonts w:ascii="Calibri" w:hAnsi="Calibri"/>
          <w:color w:val="auto"/>
          <w:szCs w:val="24"/>
        </w:rPr>
        <w:t xml:space="preserve"> </w:t>
      </w:r>
      <w:r w:rsidR="0032248B">
        <w:rPr>
          <w:rFonts w:ascii="Calibri" w:hAnsi="Calibri"/>
          <w:color w:val="auto"/>
          <w:szCs w:val="24"/>
        </w:rPr>
        <w:t>of</w:t>
      </w:r>
      <w:r w:rsidR="00946AC3">
        <w:rPr>
          <w:rFonts w:ascii="Calibri" w:hAnsi="Calibri"/>
          <w:color w:val="auto"/>
          <w:szCs w:val="24"/>
        </w:rPr>
        <w:t xml:space="preserve"> </w:t>
      </w:r>
      <w:r w:rsidR="0032248B">
        <w:rPr>
          <w:rFonts w:ascii="Calibri" w:hAnsi="Calibri"/>
          <w:color w:val="auto"/>
          <w:szCs w:val="24"/>
        </w:rPr>
        <w:t>motion (ROM)</w:t>
      </w:r>
      <w:r w:rsidR="006432CE">
        <w:rPr>
          <w:rFonts w:ascii="Calibri" w:hAnsi="Calibri"/>
          <w:color w:val="auto"/>
          <w:szCs w:val="24"/>
        </w:rPr>
        <w:t xml:space="preserve"> from both exams</w:t>
      </w:r>
      <w:r w:rsidR="0032248B">
        <w:rPr>
          <w:rFonts w:ascii="Calibri" w:hAnsi="Calibri"/>
          <w:color w:val="auto"/>
          <w:szCs w:val="24"/>
        </w:rPr>
        <w:t xml:space="preserve"> is summarized below.</w:t>
      </w:r>
      <w:r w:rsidR="00677BB9" w:rsidRPr="00453B65">
        <w:rPr>
          <w:rFonts w:ascii="Calibri" w:hAnsi="Calibri"/>
          <w:color w:val="auto"/>
          <w:szCs w:val="24"/>
        </w:rPr>
        <w:t xml:space="preserve">  </w:t>
      </w:r>
    </w:p>
    <w:p w:rsidR="00FC2D2D" w:rsidRDefault="00FC2D2D" w:rsidP="00FC2D2D">
      <w:pPr>
        <w:autoSpaceDE w:val="0"/>
        <w:autoSpaceDN w:val="0"/>
        <w:adjustRightInd w:val="0"/>
        <w:rPr>
          <w:rFonts w:ascii="Times New Roman" w:hAnsi="Times New Roman"/>
          <w:color w:val="auto"/>
          <w:szCs w:val="24"/>
        </w:rPr>
      </w:pPr>
    </w:p>
    <w:tbl>
      <w:tblPr>
        <w:tblW w:w="9144" w:type="dxa"/>
        <w:jc w:val="center"/>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2"/>
        <w:gridCol w:w="3240"/>
        <w:gridCol w:w="3222"/>
      </w:tblGrid>
      <w:tr w:rsidR="00FC2D2D" w:rsidTr="001D1CFC">
        <w:trPr>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C2D2D" w:rsidRDefault="00FC2D2D" w:rsidP="00FC2D2D">
            <w:pPr>
              <w:spacing w:line="240" w:lineRule="exact"/>
              <w:jc w:val="center"/>
              <w:rPr>
                <w:rFonts w:ascii="Calibri" w:eastAsia="Calibri" w:hAnsi="Calibri"/>
                <w:color w:val="auto"/>
                <w:sz w:val="22"/>
                <w:szCs w:val="22"/>
              </w:rPr>
            </w:pPr>
            <w:r>
              <w:rPr>
                <w:rFonts w:ascii="Calibri" w:eastAsia="Calibri" w:hAnsi="Calibri"/>
                <w:color w:val="auto"/>
                <w:sz w:val="22"/>
                <w:szCs w:val="22"/>
              </w:rPr>
              <w:t>Right Knee</w:t>
            </w:r>
          </w:p>
        </w:tc>
        <w:tc>
          <w:tcPr>
            <w:tcW w:w="64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C2D2D" w:rsidRDefault="00FC2D2D" w:rsidP="001D1CFC">
            <w:pPr>
              <w:spacing w:line="240" w:lineRule="exact"/>
              <w:jc w:val="center"/>
              <w:rPr>
                <w:rFonts w:ascii="Calibri" w:eastAsia="Calibri" w:hAnsi="Calibri"/>
                <w:color w:val="auto"/>
                <w:sz w:val="22"/>
                <w:szCs w:val="22"/>
              </w:rPr>
            </w:pPr>
            <w:r>
              <w:rPr>
                <w:rFonts w:ascii="Calibri" w:eastAsia="Calibri" w:hAnsi="Calibri"/>
                <w:color w:val="auto"/>
                <w:sz w:val="22"/>
                <w:szCs w:val="22"/>
              </w:rPr>
              <w:t>Separation Date: 200</w:t>
            </w:r>
            <w:r w:rsidR="001D1CFC">
              <w:rPr>
                <w:rFonts w:ascii="Calibri" w:eastAsia="Calibri" w:hAnsi="Calibri"/>
                <w:color w:val="auto"/>
                <w:sz w:val="22"/>
                <w:szCs w:val="22"/>
              </w:rPr>
              <w:t>41108</w:t>
            </w:r>
          </w:p>
        </w:tc>
      </w:tr>
      <w:tr w:rsidR="00FC2D2D" w:rsidTr="00F12655">
        <w:trPr>
          <w:trHeight w:val="278"/>
          <w:jc w:val="center"/>
        </w:trPr>
        <w:tc>
          <w:tcPr>
            <w:tcW w:w="2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C2D2D" w:rsidRDefault="00FC2D2D">
            <w:pPr>
              <w:spacing w:line="240" w:lineRule="exact"/>
              <w:jc w:val="center"/>
              <w:rPr>
                <w:rFonts w:ascii="Calibri" w:eastAsia="Calibri" w:hAnsi="Calibri"/>
                <w:color w:val="auto"/>
                <w:sz w:val="22"/>
                <w:szCs w:val="22"/>
              </w:rPr>
            </w:pPr>
            <w:r>
              <w:rPr>
                <w:rFonts w:ascii="Calibri" w:eastAsia="Calibri" w:hAnsi="Calibri"/>
                <w:color w:val="auto"/>
                <w:sz w:val="22"/>
                <w:szCs w:val="22"/>
              </w:rPr>
              <w:t>Goniometric ROM</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2655" w:rsidRDefault="00F12655" w:rsidP="00F12655">
            <w:pPr>
              <w:spacing w:line="240" w:lineRule="exact"/>
              <w:jc w:val="center"/>
              <w:rPr>
                <w:rFonts w:ascii="Calibri" w:eastAsia="Calibri" w:hAnsi="Calibri"/>
                <w:color w:val="auto"/>
                <w:sz w:val="22"/>
                <w:szCs w:val="22"/>
              </w:rPr>
            </w:pPr>
            <w:r>
              <w:rPr>
                <w:rFonts w:ascii="Calibri" w:eastAsia="Calibri" w:hAnsi="Calibri"/>
                <w:color w:val="auto"/>
                <w:sz w:val="22"/>
                <w:szCs w:val="22"/>
              </w:rPr>
              <w:t>Ortho</w:t>
            </w:r>
            <w:r w:rsidR="003F3550">
              <w:rPr>
                <w:rFonts w:ascii="Calibri" w:eastAsiaTheme="minorHAnsi" w:hAnsi="Calibri" w:cstheme="minorBidi"/>
                <w:color w:val="auto"/>
                <w:sz w:val="22"/>
                <w:szCs w:val="22"/>
              </w:rPr>
              <w:t xml:space="preserve"> exam</w:t>
            </w:r>
            <w:r w:rsidR="00FC2D2D">
              <w:rPr>
                <w:rFonts w:ascii="Calibri" w:eastAsiaTheme="minorHAnsi" w:hAnsi="Calibri" w:cstheme="minorBidi"/>
                <w:color w:val="auto"/>
                <w:sz w:val="22"/>
                <w:szCs w:val="22"/>
              </w:rPr>
              <w:t xml:space="preserve"> – </w:t>
            </w:r>
            <w:r w:rsidR="00FC2D2D">
              <w:rPr>
                <w:rFonts w:ascii="Calibri" w:eastAsia="Calibri" w:hAnsi="Calibri"/>
                <w:color w:val="auto"/>
                <w:sz w:val="22"/>
                <w:szCs w:val="22"/>
              </w:rPr>
              <w:t>200</w:t>
            </w:r>
            <w:r w:rsidR="009627E9">
              <w:rPr>
                <w:rFonts w:ascii="Calibri" w:eastAsia="Calibri" w:hAnsi="Calibri"/>
                <w:color w:val="auto"/>
                <w:sz w:val="22"/>
                <w:szCs w:val="22"/>
              </w:rPr>
              <w:t>40</w:t>
            </w:r>
            <w:r>
              <w:rPr>
                <w:rFonts w:ascii="Calibri" w:eastAsia="Calibri" w:hAnsi="Calibri"/>
                <w:color w:val="auto"/>
                <w:sz w:val="22"/>
                <w:szCs w:val="22"/>
              </w:rPr>
              <w:t>816</w:t>
            </w:r>
            <w:r w:rsidR="003F3550">
              <w:rPr>
                <w:rFonts w:ascii="Calibri" w:eastAsia="Calibri" w:hAnsi="Calibri"/>
                <w:color w:val="auto"/>
                <w:sz w:val="22"/>
                <w:szCs w:val="22"/>
              </w:rPr>
              <w:t xml:space="preserve"> </w:t>
            </w:r>
          </w:p>
          <w:p w:rsidR="00FC2D2D" w:rsidRDefault="003F3550" w:rsidP="00F12655">
            <w:pPr>
              <w:spacing w:line="240" w:lineRule="exact"/>
              <w:jc w:val="center"/>
              <w:rPr>
                <w:rFonts w:ascii="Calibri" w:eastAsia="Calibri" w:hAnsi="Calibri"/>
                <w:color w:val="auto"/>
                <w:sz w:val="22"/>
                <w:szCs w:val="22"/>
              </w:rPr>
            </w:pPr>
            <w:r>
              <w:rPr>
                <w:rFonts w:ascii="Calibri" w:eastAsia="Calibri" w:hAnsi="Calibri"/>
                <w:color w:val="auto"/>
                <w:sz w:val="22"/>
                <w:szCs w:val="22"/>
              </w:rPr>
              <w:t>(</w:t>
            </w:r>
            <w:r w:rsidR="00F12655">
              <w:rPr>
                <w:rFonts w:ascii="Calibri" w:eastAsia="Calibri" w:hAnsi="Calibri"/>
                <w:color w:val="auto"/>
                <w:sz w:val="22"/>
                <w:szCs w:val="22"/>
              </w:rPr>
              <w:t>12</w:t>
            </w:r>
            <w:r w:rsidR="009627E9">
              <w:rPr>
                <w:rFonts w:ascii="Calibri" w:eastAsia="Calibri" w:hAnsi="Calibri"/>
                <w:color w:val="auto"/>
                <w:sz w:val="22"/>
                <w:szCs w:val="22"/>
              </w:rPr>
              <w:t xml:space="preserve"> weeks</w:t>
            </w:r>
            <w:r w:rsidR="00FC2D2D">
              <w:rPr>
                <w:rFonts w:ascii="Calibri" w:eastAsia="Calibri" w:hAnsi="Calibri"/>
                <w:color w:val="auto"/>
                <w:sz w:val="22"/>
                <w:szCs w:val="22"/>
              </w:rPr>
              <w:t xml:space="preserve"> Pre-Sep</w:t>
            </w:r>
            <w:r>
              <w:rPr>
                <w:rFonts w:ascii="Calibri" w:eastAsia="Calibri" w:hAnsi="Calibri"/>
                <w:color w:val="auto"/>
                <w:sz w:val="22"/>
                <w:szCs w:val="22"/>
              </w:rPr>
              <w:t>aration)</w:t>
            </w:r>
          </w:p>
        </w:tc>
        <w:tc>
          <w:tcPr>
            <w:tcW w:w="32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12655" w:rsidRDefault="00F12655" w:rsidP="00F12655">
            <w:pPr>
              <w:spacing w:line="240" w:lineRule="exact"/>
              <w:jc w:val="center"/>
              <w:rPr>
                <w:rFonts w:ascii="Calibri" w:eastAsia="Calibri" w:hAnsi="Calibri"/>
                <w:color w:val="auto"/>
                <w:sz w:val="22"/>
                <w:szCs w:val="22"/>
              </w:rPr>
            </w:pPr>
            <w:r>
              <w:rPr>
                <w:rFonts w:ascii="Calibri" w:eastAsia="Calibri" w:hAnsi="Calibri"/>
                <w:color w:val="auto"/>
                <w:sz w:val="22"/>
                <w:szCs w:val="22"/>
              </w:rPr>
              <w:t>VA</w:t>
            </w:r>
            <w:r>
              <w:rPr>
                <w:rFonts w:ascii="Calibri" w:eastAsiaTheme="minorHAnsi" w:hAnsi="Calibri" w:cstheme="minorBidi"/>
                <w:color w:val="auto"/>
                <w:sz w:val="22"/>
                <w:szCs w:val="22"/>
              </w:rPr>
              <w:t xml:space="preserve"> C&amp;P exam – </w:t>
            </w:r>
            <w:r>
              <w:rPr>
                <w:rFonts w:ascii="Calibri" w:eastAsia="Calibri" w:hAnsi="Calibri"/>
                <w:color w:val="auto"/>
                <w:sz w:val="22"/>
                <w:szCs w:val="22"/>
              </w:rPr>
              <w:t xml:space="preserve">20040920 </w:t>
            </w:r>
          </w:p>
          <w:p w:rsidR="00FC2D2D" w:rsidRDefault="00F12655" w:rsidP="00F12655">
            <w:pPr>
              <w:spacing w:line="240" w:lineRule="exact"/>
              <w:jc w:val="center"/>
              <w:rPr>
                <w:rFonts w:ascii="Calibri" w:eastAsiaTheme="minorHAnsi" w:hAnsi="Calibri" w:cstheme="minorBidi"/>
                <w:color w:val="auto"/>
                <w:sz w:val="22"/>
                <w:szCs w:val="22"/>
              </w:rPr>
            </w:pPr>
            <w:r>
              <w:rPr>
                <w:rFonts w:ascii="Calibri" w:eastAsia="Calibri" w:hAnsi="Calibri"/>
                <w:color w:val="auto"/>
                <w:sz w:val="22"/>
                <w:szCs w:val="22"/>
              </w:rPr>
              <w:t>(7 weeks Pre-Separation)</w:t>
            </w:r>
          </w:p>
        </w:tc>
      </w:tr>
      <w:tr w:rsidR="00F12655" w:rsidTr="00F12655">
        <w:trPr>
          <w:jc w:val="center"/>
        </w:trPr>
        <w:tc>
          <w:tcPr>
            <w:tcW w:w="2682" w:type="dxa"/>
            <w:tcBorders>
              <w:top w:val="single" w:sz="4" w:space="0" w:color="000000"/>
              <w:left w:val="single" w:sz="4" w:space="0" w:color="000000"/>
              <w:bottom w:val="single" w:sz="4" w:space="0" w:color="000000"/>
              <w:right w:val="single" w:sz="4" w:space="0" w:color="000000"/>
            </w:tcBorders>
            <w:hideMark/>
          </w:tcPr>
          <w:p w:rsidR="00F12655" w:rsidRDefault="00F12655" w:rsidP="00946AC3">
            <w:pPr>
              <w:spacing w:line="240" w:lineRule="exact"/>
              <w:rPr>
                <w:rFonts w:ascii="Calibri" w:eastAsia="Calibri" w:hAnsi="Calibri"/>
                <w:color w:val="auto"/>
                <w:sz w:val="22"/>
                <w:szCs w:val="22"/>
              </w:rPr>
            </w:pPr>
            <w:r>
              <w:rPr>
                <w:rFonts w:ascii="Calibri" w:eastAsia="Calibri" w:hAnsi="Calibri"/>
                <w:color w:val="auto"/>
                <w:sz w:val="22"/>
                <w:szCs w:val="22"/>
              </w:rPr>
              <w:t>Flexion  (140⁰ is normal)</w:t>
            </w:r>
          </w:p>
        </w:tc>
        <w:tc>
          <w:tcPr>
            <w:tcW w:w="3240" w:type="dxa"/>
            <w:tcBorders>
              <w:top w:val="single" w:sz="4" w:space="0" w:color="000000"/>
              <w:left w:val="single" w:sz="4" w:space="0" w:color="000000"/>
              <w:bottom w:val="single" w:sz="4" w:space="0" w:color="000000"/>
              <w:right w:val="single" w:sz="4" w:space="0" w:color="000000"/>
            </w:tcBorders>
            <w:hideMark/>
          </w:tcPr>
          <w:p w:rsidR="00F12655" w:rsidRDefault="00F12655" w:rsidP="00F12655">
            <w:pPr>
              <w:spacing w:line="240" w:lineRule="exact"/>
              <w:jc w:val="center"/>
              <w:rPr>
                <w:rFonts w:ascii="Calibri" w:eastAsia="Calibri" w:hAnsi="Calibri"/>
                <w:color w:val="auto"/>
                <w:sz w:val="22"/>
                <w:szCs w:val="22"/>
              </w:rPr>
            </w:pPr>
            <w:r>
              <w:rPr>
                <w:rFonts w:ascii="Calibri" w:eastAsia="Calibri" w:hAnsi="Calibri"/>
                <w:color w:val="auto"/>
                <w:sz w:val="22"/>
                <w:szCs w:val="22"/>
              </w:rPr>
              <w:t xml:space="preserve">125⁰ </w:t>
            </w:r>
          </w:p>
        </w:tc>
        <w:tc>
          <w:tcPr>
            <w:tcW w:w="3222" w:type="dxa"/>
            <w:tcBorders>
              <w:top w:val="single" w:sz="4" w:space="0" w:color="000000"/>
              <w:left w:val="single" w:sz="4" w:space="0" w:color="000000"/>
              <w:bottom w:val="single" w:sz="4" w:space="0" w:color="000000"/>
              <w:right w:val="single" w:sz="4" w:space="0" w:color="000000"/>
            </w:tcBorders>
            <w:hideMark/>
          </w:tcPr>
          <w:p w:rsidR="00F12655" w:rsidRDefault="00F12655" w:rsidP="00022E44">
            <w:pPr>
              <w:spacing w:line="240" w:lineRule="exact"/>
              <w:jc w:val="center"/>
              <w:rPr>
                <w:rFonts w:ascii="Calibri" w:eastAsia="Calibri" w:hAnsi="Calibri"/>
                <w:color w:val="auto"/>
                <w:sz w:val="22"/>
                <w:szCs w:val="22"/>
              </w:rPr>
            </w:pPr>
            <w:r>
              <w:rPr>
                <w:rFonts w:ascii="Calibri" w:eastAsia="Calibri" w:hAnsi="Calibri"/>
                <w:color w:val="auto"/>
                <w:sz w:val="22"/>
                <w:szCs w:val="22"/>
              </w:rPr>
              <w:t>110⁰ (pain at 90⁰)</w:t>
            </w:r>
          </w:p>
        </w:tc>
      </w:tr>
      <w:tr w:rsidR="00F12655" w:rsidTr="00F12655">
        <w:trPr>
          <w:jc w:val="center"/>
        </w:trPr>
        <w:tc>
          <w:tcPr>
            <w:tcW w:w="2682" w:type="dxa"/>
            <w:tcBorders>
              <w:top w:val="single" w:sz="4" w:space="0" w:color="000000"/>
              <w:left w:val="single" w:sz="4" w:space="0" w:color="000000"/>
              <w:bottom w:val="single" w:sz="4" w:space="0" w:color="000000"/>
              <w:right w:val="single" w:sz="4" w:space="0" w:color="000000"/>
            </w:tcBorders>
            <w:hideMark/>
          </w:tcPr>
          <w:p w:rsidR="00F12655" w:rsidRDefault="00F12655" w:rsidP="00946AC3">
            <w:pPr>
              <w:spacing w:line="240" w:lineRule="exact"/>
              <w:rPr>
                <w:rFonts w:ascii="Calibri" w:eastAsia="Calibri" w:hAnsi="Calibri"/>
                <w:color w:val="auto"/>
                <w:sz w:val="22"/>
                <w:szCs w:val="22"/>
              </w:rPr>
            </w:pPr>
            <w:r>
              <w:rPr>
                <w:rFonts w:ascii="Calibri" w:eastAsia="Calibri" w:hAnsi="Calibri"/>
                <w:color w:val="auto"/>
                <w:sz w:val="22"/>
                <w:szCs w:val="22"/>
              </w:rPr>
              <w:t>Extension  (0⁰ is normal)</w:t>
            </w:r>
          </w:p>
        </w:tc>
        <w:tc>
          <w:tcPr>
            <w:tcW w:w="3240" w:type="dxa"/>
            <w:tcBorders>
              <w:top w:val="single" w:sz="4" w:space="0" w:color="000000"/>
              <w:left w:val="single" w:sz="4" w:space="0" w:color="000000"/>
              <w:bottom w:val="single" w:sz="4" w:space="0" w:color="000000"/>
              <w:right w:val="single" w:sz="4" w:space="0" w:color="000000"/>
            </w:tcBorders>
            <w:hideMark/>
          </w:tcPr>
          <w:p w:rsidR="00F12655" w:rsidRDefault="00F12655">
            <w:pPr>
              <w:spacing w:line="240" w:lineRule="exact"/>
              <w:jc w:val="center"/>
              <w:rPr>
                <w:rFonts w:ascii="Calibri" w:eastAsia="Calibri" w:hAnsi="Calibri"/>
                <w:color w:val="auto"/>
                <w:sz w:val="22"/>
                <w:szCs w:val="22"/>
              </w:rPr>
            </w:pPr>
            <w:r>
              <w:rPr>
                <w:rFonts w:ascii="Calibri" w:eastAsia="Calibri" w:hAnsi="Calibri"/>
                <w:color w:val="auto"/>
                <w:sz w:val="22"/>
                <w:szCs w:val="22"/>
              </w:rPr>
              <w:t xml:space="preserve">0⁰ </w:t>
            </w:r>
          </w:p>
        </w:tc>
        <w:tc>
          <w:tcPr>
            <w:tcW w:w="3222" w:type="dxa"/>
            <w:tcBorders>
              <w:top w:val="single" w:sz="4" w:space="0" w:color="000000"/>
              <w:left w:val="single" w:sz="4" w:space="0" w:color="000000"/>
              <w:bottom w:val="single" w:sz="4" w:space="0" w:color="000000"/>
              <w:right w:val="single" w:sz="4" w:space="0" w:color="000000"/>
            </w:tcBorders>
            <w:hideMark/>
          </w:tcPr>
          <w:p w:rsidR="00F12655" w:rsidRDefault="00F12655" w:rsidP="00022E44">
            <w:pPr>
              <w:spacing w:line="240" w:lineRule="exact"/>
              <w:jc w:val="center"/>
              <w:rPr>
                <w:rFonts w:ascii="Calibri" w:eastAsia="Calibri" w:hAnsi="Calibri"/>
                <w:color w:val="auto"/>
                <w:sz w:val="22"/>
                <w:szCs w:val="22"/>
              </w:rPr>
            </w:pPr>
            <w:r>
              <w:rPr>
                <w:rFonts w:ascii="Calibri" w:eastAsia="Calibri" w:hAnsi="Calibri"/>
                <w:color w:val="auto"/>
                <w:sz w:val="22"/>
                <w:szCs w:val="22"/>
              </w:rPr>
              <w:t>0⁰ (pain at 0⁰)</w:t>
            </w:r>
          </w:p>
        </w:tc>
      </w:tr>
      <w:tr w:rsidR="00F12655" w:rsidTr="00F12655">
        <w:trPr>
          <w:jc w:val="center"/>
        </w:trPr>
        <w:tc>
          <w:tcPr>
            <w:tcW w:w="2682" w:type="dxa"/>
            <w:tcBorders>
              <w:top w:val="single" w:sz="4" w:space="0" w:color="000000"/>
              <w:left w:val="single" w:sz="4" w:space="0" w:color="000000"/>
              <w:bottom w:val="single" w:sz="4" w:space="0" w:color="000000"/>
              <w:right w:val="single" w:sz="4" w:space="0" w:color="000000"/>
            </w:tcBorders>
            <w:hideMark/>
          </w:tcPr>
          <w:p w:rsidR="00F12655" w:rsidRDefault="00F12655" w:rsidP="00946AC3">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§4.71a Rating</w:t>
            </w:r>
          </w:p>
        </w:tc>
        <w:tc>
          <w:tcPr>
            <w:tcW w:w="3240" w:type="dxa"/>
            <w:tcBorders>
              <w:top w:val="single" w:sz="4" w:space="0" w:color="000000"/>
              <w:left w:val="single" w:sz="4" w:space="0" w:color="000000"/>
              <w:bottom w:val="single" w:sz="4" w:space="0" w:color="000000"/>
              <w:right w:val="single" w:sz="4" w:space="0" w:color="000000"/>
            </w:tcBorders>
            <w:hideMark/>
          </w:tcPr>
          <w:p w:rsidR="00F12655" w:rsidRDefault="00F1265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p>
        </w:tc>
        <w:tc>
          <w:tcPr>
            <w:tcW w:w="3222" w:type="dxa"/>
            <w:tcBorders>
              <w:top w:val="single" w:sz="4" w:space="0" w:color="000000"/>
              <w:left w:val="single" w:sz="4" w:space="0" w:color="000000"/>
              <w:bottom w:val="single" w:sz="4" w:space="0" w:color="000000"/>
              <w:right w:val="single" w:sz="4" w:space="0" w:color="000000"/>
            </w:tcBorders>
            <w:hideMark/>
          </w:tcPr>
          <w:p w:rsidR="00F12655" w:rsidRDefault="00F12655" w:rsidP="00022E4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p>
        </w:tc>
      </w:tr>
      <w:tr w:rsidR="00F12655" w:rsidTr="00F12655">
        <w:trPr>
          <w:jc w:val="center"/>
        </w:trPr>
        <w:tc>
          <w:tcPr>
            <w:tcW w:w="2682" w:type="dxa"/>
            <w:tcBorders>
              <w:top w:val="single" w:sz="4" w:space="0" w:color="000000"/>
              <w:left w:val="single" w:sz="4" w:space="0" w:color="000000"/>
              <w:bottom w:val="single" w:sz="4" w:space="0" w:color="000000"/>
              <w:right w:val="single" w:sz="4" w:space="0" w:color="000000"/>
            </w:tcBorders>
            <w:hideMark/>
          </w:tcPr>
          <w:p w:rsidR="00F12655" w:rsidRDefault="00F12655" w:rsidP="00946AC3">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3240" w:type="dxa"/>
            <w:tcBorders>
              <w:top w:val="single" w:sz="4" w:space="0" w:color="000000"/>
              <w:left w:val="single" w:sz="4" w:space="0" w:color="000000"/>
              <w:bottom w:val="single" w:sz="4" w:space="0" w:color="000000"/>
              <w:right w:val="single" w:sz="4" w:space="0" w:color="000000"/>
            </w:tcBorders>
            <w:hideMark/>
          </w:tcPr>
          <w:p w:rsidR="00F12655" w:rsidRDefault="00F12655" w:rsidP="00F12655">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mention of painful motion</w:t>
            </w:r>
          </w:p>
        </w:tc>
        <w:tc>
          <w:tcPr>
            <w:tcW w:w="3222" w:type="dxa"/>
            <w:tcBorders>
              <w:top w:val="single" w:sz="4" w:space="0" w:color="000000"/>
              <w:left w:val="single" w:sz="4" w:space="0" w:color="000000"/>
              <w:bottom w:val="single" w:sz="4" w:space="0" w:color="000000"/>
              <w:right w:val="single" w:sz="4" w:space="0" w:color="000000"/>
            </w:tcBorders>
            <w:hideMark/>
          </w:tcPr>
          <w:p w:rsidR="00F12655" w:rsidRDefault="00F12655" w:rsidP="00022E44">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 based on painful motion</w:t>
            </w:r>
          </w:p>
        </w:tc>
      </w:tr>
    </w:tbl>
    <w:p w:rsidR="00FC2D2D" w:rsidRDefault="00FC2D2D" w:rsidP="00FC2D2D">
      <w:pPr>
        <w:autoSpaceDE w:val="0"/>
        <w:autoSpaceDN w:val="0"/>
        <w:adjustRightInd w:val="0"/>
        <w:rPr>
          <w:rFonts w:ascii="Times New Roman" w:hAnsi="Times New Roman"/>
          <w:color w:val="auto"/>
          <w:szCs w:val="24"/>
        </w:rPr>
      </w:pPr>
    </w:p>
    <w:p w:rsidR="00FC2D2D" w:rsidRDefault="00FC2D2D" w:rsidP="00FC2D2D">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Board carefully reviewed all evidentiary information available.  The </w:t>
      </w:r>
      <w:r w:rsidR="004B2AD5">
        <w:rPr>
          <w:rFonts w:asciiTheme="minorHAnsi" w:hAnsiTheme="minorHAnsi"/>
          <w:color w:val="auto"/>
          <w:szCs w:val="24"/>
        </w:rPr>
        <w:t>right</w:t>
      </w:r>
      <w:r>
        <w:rPr>
          <w:rFonts w:asciiTheme="minorHAnsi" w:hAnsiTheme="minorHAnsi"/>
          <w:color w:val="auto"/>
          <w:szCs w:val="24"/>
        </w:rPr>
        <w:t xml:space="preserve"> knee condition was essentially non-compensable</w:t>
      </w:r>
      <w:r w:rsidR="004B2AD5">
        <w:rPr>
          <w:rFonts w:asciiTheme="minorHAnsi" w:hAnsiTheme="minorHAnsi"/>
          <w:color w:val="auto"/>
          <w:szCs w:val="24"/>
        </w:rPr>
        <w:t xml:space="preserve"> based on </w:t>
      </w:r>
      <w:r>
        <w:rPr>
          <w:rFonts w:asciiTheme="minorHAnsi" w:hAnsiTheme="minorHAnsi"/>
          <w:color w:val="auto"/>
          <w:szCs w:val="24"/>
        </w:rPr>
        <w:t xml:space="preserve">VASRD </w:t>
      </w:r>
      <w:r>
        <w:rPr>
          <w:rFonts w:asciiTheme="minorHAnsi" w:eastAsiaTheme="minorHAnsi" w:hAnsiTheme="minorHAnsi"/>
          <w:color w:val="auto"/>
          <w:szCs w:val="24"/>
        </w:rPr>
        <w:t xml:space="preserve">§4.71a </w:t>
      </w:r>
      <w:r w:rsidR="004B2AD5">
        <w:rPr>
          <w:rFonts w:asciiTheme="minorHAnsi" w:eastAsiaTheme="minorHAnsi" w:hAnsiTheme="minorHAnsi"/>
          <w:color w:val="auto"/>
          <w:szCs w:val="24"/>
        </w:rPr>
        <w:t>ROM criteria (</w:t>
      </w:r>
      <w:r>
        <w:rPr>
          <w:rFonts w:asciiTheme="minorHAnsi" w:hAnsiTheme="minorHAnsi"/>
          <w:color w:val="auto"/>
          <w:szCs w:val="24"/>
        </w:rPr>
        <w:t>codes 52</w:t>
      </w:r>
      <w:r w:rsidR="004B2AD5">
        <w:rPr>
          <w:rFonts w:asciiTheme="minorHAnsi" w:hAnsiTheme="minorHAnsi"/>
          <w:color w:val="auto"/>
          <w:szCs w:val="24"/>
        </w:rPr>
        <w:t>60</w:t>
      </w:r>
      <w:r>
        <w:rPr>
          <w:rFonts w:asciiTheme="minorHAnsi" w:hAnsiTheme="minorHAnsi"/>
          <w:color w:val="auto"/>
          <w:szCs w:val="24"/>
        </w:rPr>
        <w:t>-526</w:t>
      </w:r>
      <w:r w:rsidR="004B2AD5">
        <w:rPr>
          <w:rFonts w:asciiTheme="minorHAnsi" w:hAnsiTheme="minorHAnsi"/>
          <w:color w:val="auto"/>
          <w:szCs w:val="24"/>
        </w:rPr>
        <w:t>1</w:t>
      </w:r>
      <w:r>
        <w:rPr>
          <w:rFonts w:asciiTheme="minorHAnsi" w:hAnsiTheme="minorHAnsi"/>
          <w:color w:val="auto"/>
          <w:szCs w:val="24"/>
        </w:rPr>
        <w:t xml:space="preserve">).  </w:t>
      </w:r>
      <w:r>
        <w:rPr>
          <w:rFonts w:asciiTheme="minorHAnsi" w:eastAsiaTheme="minorHAnsi" w:hAnsiTheme="minorHAnsi"/>
          <w:color w:val="auto"/>
          <w:szCs w:val="24"/>
        </w:rPr>
        <w:t>However, IAW VASRD §4.40 and §4.59</w:t>
      </w:r>
      <w:r>
        <w:rPr>
          <w:rFonts w:asciiTheme="minorHAnsi" w:hAnsiTheme="minorHAnsi"/>
          <w:color w:val="auto"/>
          <w:szCs w:val="24"/>
        </w:rPr>
        <w:t>, a 10% rating is warranted when there is satisfactory evidence of functional limitation due to pain</w:t>
      </w:r>
      <w:r w:rsidR="004B2AD5">
        <w:rPr>
          <w:rFonts w:asciiTheme="minorHAnsi" w:hAnsiTheme="minorHAnsi"/>
          <w:color w:val="auto"/>
          <w:szCs w:val="24"/>
        </w:rPr>
        <w:t>ful motion</w:t>
      </w:r>
      <w:r>
        <w:rPr>
          <w:rFonts w:asciiTheme="minorHAnsi" w:hAnsiTheme="minorHAnsi"/>
          <w:color w:val="auto"/>
          <w:szCs w:val="24"/>
        </w:rPr>
        <w:t>.</w:t>
      </w:r>
      <w:r w:rsidR="004B2AD5">
        <w:rPr>
          <w:rFonts w:asciiTheme="minorHAnsi" w:hAnsiTheme="minorHAnsi"/>
          <w:color w:val="auto"/>
          <w:szCs w:val="24"/>
        </w:rPr>
        <w:t xml:space="preserve">  Furthermore, code 5259 applies in this case, since he is symptomatic </w:t>
      </w:r>
      <w:r w:rsidR="00082B07">
        <w:rPr>
          <w:rFonts w:asciiTheme="minorHAnsi" w:hAnsiTheme="minorHAnsi"/>
          <w:color w:val="auto"/>
          <w:szCs w:val="24"/>
        </w:rPr>
        <w:t>after</w:t>
      </w:r>
      <w:r w:rsidR="004B2AD5">
        <w:rPr>
          <w:rFonts w:asciiTheme="minorHAnsi" w:hAnsiTheme="minorHAnsi"/>
          <w:color w:val="auto"/>
          <w:szCs w:val="24"/>
        </w:rPr>
        <w:t xml:space="preserve"> partial removal of his right </w:t>
      </w:r>
      <w:r w:rsidR="00082B07">
        <w:rPr>
          <w:rFonts w:asciiTheme="minorHAnsi" w:hAnsiTheme="minorHAnsi"/>
          <w:color w:val="auto"/>
          <w:szCs w:val="24"/>
        </w:rPr>
        <w:t xml:space="preserve">lateral meniscus (semilunar cartilage).  </w:t>
      </w:r>
      <w:r w:rsidR="00752C5A">
        <w:rPr>
          <w:rFonts w:asciiTheme="minorHAnsi" w:hAnsiTheme="minorHAnsi"/>
          <w:color w:val="auto"/>
          <w:szCs w:val="24"/>
        </w:rPr>
        <w:t xml:space="preserve">However, he cannot receive 10% for painful motion plus 10% for post-operative pain because that would constitute pyramiding.  </w:t>
      </w:r>
      <w:r w:rsidR="00082B07">
        <w:rPr>
          <w:rFonts w:asciiTheme="minorHAnsi" w:hAnsiTheme="minorHAnsi"/>
          <w:color w:val="auto"/>
          <w:szCs w:val="24"/>
        </w:rPr>
        <w:t xml:space="preserve">Following due deliberation, </w:t>
      </w:r>
      <w:r>
        <w:rPr>
          <w:rFonts w:asciiTheme="minorHAnsi" w:hAnsiTheme="minorHAnsi"/>
          <w:color w:val="auto"/>
          <w:szCs w:val="24"/>
        </w:rPr>
        <w:t xml:space="preserve">the Board unanimously recommends a disability rating of 10% for </w:t>
      </w:r>
      <w:r w:rsidR="00752C5A">
        <w:rPr>
          <w:rFonts w:asciiTheme="minorHAnsi" w:hAnsiTheme="minorHAnsi"/>
          <w:color w:val="auto"/>
          <w:szCs w:val="24"/>
        </w:rPr>
        <w:t xml:space="preserve">chronic </w:t>
      </w:r>
      <w:r w:rsidR="00082B07">
        <w:rPr>
          <w:rFonts w:asciiTheme="minorHAnsi" w:hAnsiTheme="minorHAnsi"/>
          <w:color w:val="auto"/>
          <w:szCs w:val="24"/>
        </w:rPr>
        <w:t xml:space="preserve">right knee </w:t>
      </w:r>
      <w:r w:rsidR="00752C5A">
        <w:rPr>
          <w:rFonts w:asciiTheme="minorHAnsi" w:hAnsiTheme="minorHAnsi"/>
          <w:color w:val="auto"/>
          <w:szCs w:val="24"/>
        </w:rPr>
        <w:t>pain</w:t>
      </w:r>
      <w:r w:rsidR="00082B07">
        <w:rPr>
          <w:rFonts w:asciiTheme="minorHAnsi" w:hAnsiTheme="minorHAnsi"/>
          <w:color w:val="auto"/>
          <w:szCs w:val="24"/>
        </w:rPr>
        <w:t xml:space="preserve">.  </w:t>
      </w:r>
    </w:p>
    <w:p w:rsidR="0032248B" w:rsidRDefault="0032248B" w:rsidP="00453B65">
      <w:pPr>
        <w:tabs>
          <w:tab w:val="left" w:pos="288"/>
          <w:tab w:val="left" w:pos="4752"/>
        </w:tabs>
        <w:spacing w:line="240" w:lineRule="exact"/>
        <w:jc w:val="both"/>
        <w:rPr>
          <w:rFonts w:ascii="Calibri" w:hAnsi="Calibri"/>
          <w:color w:val="auto"/>
          <w:szCs w:val="24"/>
        </w:rPr>
      </w:pPr>
    </w:p>
    <w:p w:rsidR="00A35336" w:rsidRPr="00453B65" w:rsidRDefault="00752C5A" w:rsidP="00453B65">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Board then directed its attention to the issue of </w:t>
      </w:r>
      <w:proofErr w:type="spellStart"/>
      <w:r>
        <w:rPr>
          <w:rFonts w:ascii="Calibri" w:hAnsi="Calibri"/>
          <w:color w:val="auto"/>
          <w:szCs w:val="24"/>
        </w:rPr>
        <w:t>ligamentous</w:t>
      </w:r>
      <w:proofErr w:type="spellEnd"/>
      <w:r>
        <w:rPr>
          <w:rFonts w:ascii="Calibri" w:hAnsi="Calibri"/>
          <w:color w:val="auto"/>
          <w:szCs w:val="24"/>
        </w:rPr>
        <w:t xml:space="preserve"> instability.</w:t>
      </w:r>
      <w:r w:rsidR="00F44317">
        <w:rPr>
          <w:rFonts w:ascii="Calibri" w:hAnsi="Calibri"/>
          <w:color w:val="auto"/>
          <w:szCs w:val="24"/>
        </w:rPr>
        <w:t xml:space="preserve">  Review of the treatment record shows that at both the August </w:t>
      </w:r>
      <w:r w:rsidR="00946AC3">
        <w:rPr>
          <w:rFonts w:ascii="Calibri" w:hAnsi="Calibri"/>
          <w:color w:val="auto"/>
          <w:szCs w:val="24"/>
        </w:rPr>
        <w:t>o</w:t>
      </w:r>
      <w:r w:rsidR="00F44317">
        <w:rPr>
          <w:rFonts w:ascii="Calibri" w:hAnsi="Calibri"/>
          <w:color w:val="auto"/>
          <w:szCs w:val="24"/>
        </w:rPr>
        <w:t>rthopedic exam and the September C&amp;P exam, the CI complained of instability.  Furthermore, both examiners demonstrated objective evidence of slight LCL instability.  T</w:t>
      </w:r>
      <w:r w:rsidR="00F44317">
        <w:rPr>
          <w:rFonts w:asciiTheme="minorHAnsi" w:hAnsiTheme="minorHAnsi"/>
          <w:color w:val="auto"/>
          <w:szCs w:val="24"/>
        </w:rPr>
        <w:t>he Board unanimously recommends a rating of 10% for slight lateral instability of the right knee.</w:t>
      </w:r>
      <w:r w:rsidR="00F44317">
        <w:rPr>
          <w:rFonts w:ascii="Calibri" w:hAnsi="Calibri"/>
          <w:color w:val="auto"/>
          <w:szCs w:val="24"/>
        </w:rPr>
        <w:t xml:space="preserve">  </w:t>
      </w:r>
      <w:r>
        <w:rPr>
          <w:rFonts w:ascii="Calibri" w:hAnsi="Calibri"/>
          <w:color w:val="auto"/>
          <w:szCs w:val="24"/>
        </w:rPr>
        <w:t xml:space="preserve">  </w:t>
      </w:r>
    </w:p>
    <w:p w:rsidR="00D3662E" w:rsidRPr="00453B65" w:rsidRDefault="00D3662E" w:rsidP="00453B65">
      <w:pPr>
        <w:tabs>
          <w:tab w:val="left" w:pos="288"/>
          <w:tab w:val="left" w:pos="4752"/>
        </w:tabs>
        <w:spacing w:line="240" w:lineRule="exact"/>
        <w:jc w:val="both"/>
        <w:rPr>
          <w:rFonts w:ascii="Calibri" w:hAnsi="Calibri"/>
          <w:color w:val="auto"/>
          <w:szCs w:val="24"/>
        </w:rPr>
      </w:pPr>
    </w:p>
    <w:p w:rsidR="005C7E12" w:rsidRPr="00E52CEF" w:rsidRDefault="00231F6F" w:rsidP="005C7E12">
      <w:pPr>
        <w:tabs>
          <w:tab w:val="left" w:pos="2980"/>
        </w:tabs>
        <w:spacing w:line="240" w:lineRule="exact"/>
        <w:jc w:val="both"/>
        <w:rPr>
          <w:rFonts w:asciiTheme="minorHAnsi" w:hAnsiTheme="minorHAnsi"/>
          <w:color w:val="auto"/>
          <w:szCs w:val="24"/>
        </w:rPr>
      </w:pPr>
      <w:proofErr w:type="gramStart"/>
      <w:r w:rsidRPr="00453B65">
        <w:rPr>
          <w:rFonts w:ascii="Calibri" w:hAnsi="Calibri"/>
          <w:color w:val="auto"/>
          <w:szCs w:val="24"/>
          <w:u w:val="single"/>
        </w:rPr>
        <w:t>Other Contended Conditions</w:t>
      </w:r>
      <w:r w:rsidR="006432CE">
        <w:rPr>
          <w:rFonts w:ascii="Calibri" w:hAnsi="Calibri"/>
          <w:color w:val="auto"/>
          <w:szCs w:val="24"/>
        </w:rPr>
        <w:t>.</w:t>
      </w:r>
      <w:proofErr w:type="gramEnd"/>
      <w:r w:rsidR="00AD0B1F">
        <w:rPr>
          <w:rFonts w:ascii="Calibri" w:hAnsi="Calibri"/>
          <w:color w:val="auto"/>
          <w:szCs w:val="24"/>
        </w:rPr>
        <w:t xml:space="preserve">  In block 3 of DD Form 294 (dated </w:t>
      </w:r>
      <w:r w:rsidR="00946AC3">
        <w:rPr>
          <w:rFonts w:ascii="Calibri" w:hAnsi="Calibri"/>
          <w:color w:val="auto"/>
          <w:szCs w:val="24"/>
        </w:rPr>
        <w:t xml:space="preserve">17 March </w:t>
      </w:r>
      <w:r w:rsidR="00AD0B1F">
        <w:rPr>
          <w:rFonts w:ascii="Calibri" w:hAnsi="Calibri"/>
          <w:color w:val="auto"/>
          <w:szCs w:val="24"/>
        </w:rPr>
        <w:t>2010), t</w:t>
      </w:r>
      <w:r w:rsidRPr="00453B65">
        <w:rPr>
          <w:rFonts w:ascii="Calibri" w:hAnsi="Calibri"/>
          <w:color w:val="auto"/>
          <w:szCs w:val="24"/>
        </w:rPr>
        <w:t xml:space="preserve">he CI </w:t>
      </w:r>
      <w:r w:rsidR="00AD0B1F">
        <w:rPr>
          <w:rFonts w:ascii="Calibri" w:hAnsi="Calibri"/>
          <w:color w:val="auto"/>
          <w:szCs w:val="24"/>
        </w:rPr>
        <w:t>contends</w:t>
      </w:r>
      <w:r w:rsidRPr="00453B65">
        <w:rPr>
          <w:rFonts w:ascii="Calibri" w:hAnsi="Calibri"/>
          <w:color w:val="auto"/>
          <w:szCs w:val="24"/>
        </w:rPr>
        <w:t xml:space="preserve"> that compensable ratings should be considered for the </w:t>
      </w:r>
      <w:r w:rsidR="00AD0B1F">
        <w:rPr>
          <w:rFonts w:ascii="Calibri" w:hAnsi="Calibri"/>
          <w:color w:val="auto"/>
          <w:szCs w:val="24"/>
        </w:rPr>
        <w:t>LCL</w:t>
      </w:r>
      <w:r w:rsidRPr="00453B65">
        <w:rPr>
          <w:rFonts w:ascii="Calibri" w:hAnsi="Calibri"/>
          <w:color w:val="auto"/>
          <w:szCs w:val="24"/>
        </w:rPr>
        <w:t>,</w:t>
      </w:r>
      <w:r w:rsidR="00AD0B1F">
        <w:rPr>
          <w:rFonts w:ascii="Calibri" w:hAnsi="Calibri"/>
          <w:color w:val="auto"/>
          <w:szCs w:val="24"/>
        </w:rPr>
        <w:t xml:space="preserve"> the PLC, and the </w:t>
      </w:r>
      <w:proofErr w:type="gramStart"/>
      <w:r w:rsidR="00946AC3">
        <w:rPr>
          <w:rFonts w:ascii="Calibri" w:hAnsi="Calibri"/>
          <w:color w:val="auto"/>
          <w:szCs w:val="24"/>
        </w:rPr>
        <w:t>m</w:t>
      </w:r>
      <w:r w:rsidRPr="00453B65">
        <w:rPr>
          <w:rFonts w:ascii="Calibri" w:hAnsi="Calibri"/>
          <w:color w:val="auto"/>
          <w:szCs w:val="24"/>
        </w:rPr>
        <w:t>eniscus tear</w:t>
      </w:r>
      <w:proofErr w:type="gramEnd"/>
      <w:r w:rsidRPr="00453B65">
        <w:rPr>
          <w:rFonts w:ascii="Calibri" w:hAnsi="Calibri"/>
          <w:color w:val="auto"/>
          <w:szCs w:val="24"/>
        </w:rPr>
        <w:t>.</w:t>
      </w:r>
      <w:r w:rsidR="00AD0B1F">
        <w:rPr>
          <w:rFonts w:ascii="Calibri" w:hAnsi="Calibri"/>
          <w:color w:val="auto"/>
          <w:szCs w:val="24"/>
        </w:rPr>
        <w:t xml:space="preserve">  It should be noted that the </w:t>
      </w:r>
      <w:r w:rsidR="00946AC3">
        <w:rPr>
          <w:rFonts w:ascii="Calibri" w:hAnsi="Calibri"/>
          <w:color w:val="auto"/>
          <w:szCs w:val="24"/>
        </w:rPr>
        <w:t>r</w:t>
      </w:r>
      <w:r w:rsidR="00AD0B1F">
        <w:rPr>
          <w:rFonts w:ascii="Calibri" w:hAnsi="Calibri"/>
          <w:color w:val="auto"/>
          <w:szCs w:val="24"/>
        </w:rPr>
        <w:t>ight knee is adjudicated as a joint.  The Board cannot break the joint down into separate</w:t>
      </w:r>
      <w:r w:rsidR="00405A23">
        <w:rPr>
          <w:rFonts w:ascii="Calibri" w:hAnsi="Calibri"/>
          <w:color w:val="auto"/>
          <w:szCs w:val="24"/>
        </w:rPr>
        <w:t xml:space="preserve"> components such as </w:t>
      </w:r>
      <w:r w:rsidR="00AD0B1F">
        <w:rPr>
          <w:rFonts w:ascii="Calibri" w:hAnsi="Calibri"/>
          <w:color w:val="auto"/>
          <w:szCs w:val="24"/>
        </w:rPr>
        <w:t xml:space="preserve">ligaments, cartilages, and other </w:t>
      </w:r>
      <w:r w:rsidR="00405A23">
        <w:rPr>
          <w:rFonts w:ascii="Calibri" w:hAnsi="Calibri"/>
          <w:color w:val="auto"/>
          <w:szCs w:val="24"/>
        </w:rPr>
        <w:t xml:space="preserve">anatomic structures.  </w:t>
      </w:r>
      <w:r w:rsidR="005C7E12">
        <w:rPr>
          <w:rFonts w:ascii="Calibri" w:hAnsi="Calibri"/>
          <w:color w:val="auto"/>
          <w:szCs w:val="24"/>
        </w:rPr>
        <w:t xml:space="preserve">Furthermore, LCL and PLC deficiency </w:t>
      </w:r>
      <w:r w:rsidR="005C7E12">
        <w:rPr>
          <w:rFonts w:asciiTheme="minorHAnsi" w:hAnsiTheme="minorHAnsi"/>
          <w:color w:val="auto"/>
          <w:szCs w:val="24"/>
        </w:rPr>
        <w:t xml:space="preserve">were found by the PEB to be </w:t>
      </w:r>
      <w:r w:rsidR="00946AC3">
        <w:rPr>
          <w:rFonts w:asciiTheme="minorHAnsi" w:hAnsiTheme="minorHAnsi"/>
          <w:color w:val="auto"/>
          <w:szCs w:val="24"/>
        </w:rPr>
        <w:t>c</w:t>
      </w:r>
      <w:r w:rsidR="005C7E12">
        <w:rPr>
          <w:rFonts w:asciiTheme="minorHAnsi" w:hAnsiTheme="minorHAnsi"/>
          <w:color w:val="auto"/>
          <w:szCs w:val="24"/>
        </w:rPr>
        <w:t xml:space="preserve">ategory II (related to the unfitting ACL deficiency).  The Board unanimously agrees that these other deficiencies are related to the </w:t>
      </w:r>
      <w:r w:rsidR="001F15C9">
        <w:rPr>
          <w:rFonts w:asciiTheme="minorHAnsi" w:hAnsiTheme="minorHAnsi"/>
          <w:color w:val="auto"/>
          <w:szCs w:val="24"/>
        </w:rPr>
        <w:t xml:space="preserve">unfitting </w:t>
      </w:r>
      <w:r w:rsidR="005C7E12">
        <w:rPr>
          <w:rFonts w:asciiTheme="minorHAnsi" w:hAnsiTheme="minorHAnsi"/>
          <w:color w:val="auto"/>
          <w:szCs w:val="24"/>
        </w:rPr>
        <w:t xml:space="preserve">ACL deficiency, and are properly adjudicated as part of the chronic </w:t>
      </w:r>
      <w:r w:rsidR="00946AC3">
        <w:rPr>
          <w:rFonts w:asciiTheme="minorHAnsi" w:hAnsiTheme="minorHAnsi"/>
          <w:color w:val="auto"/>
          <w:szCs w:val="24"/>
        </w:rPr>
        <w:t>right k</w:t>
      </w:r>
      <w:r w:rsidR="005C7E12">
        <w:rPr>
          <w:rFonts w:asciiTheme="minorHAnsi" w:hAnsiTheme="minorHAnsi"/>
          <w:color w:val="auto"/>
          <w:szCs w:val="24"/>
        </w:rPr>
        <w:t>nee pain condition.  They are not separately unfitting conditions.</w:t>
      </w:r>
      <w:r w:rsidR="005C7E12" w:rsidRPr="00611EB8">
        <w:rPr>
          <w:rFonts w:asciiTheme="minorHAnsi" w:hAnsiTheme="minorHAnsi"/>
          <w:color w:val="auto"/>
          <w:szCs w:val="24"/>
        </w:rPr>
        <w:t xml:space="preserve">  </w:t>
      </w:r>
    </w:p>
    <w:p w:rsidR="005C7E12" w:rsidRPr="00FF4FDB" w:rsidRDefault="005C7E12" w:rsidP="005C7E12">
      <w:pPr>
        <w:autoSpaceDE w:val="0"/>
        <w:autoSpaceDN w:val="0"/>
        <w:adjustRightInd w:val="0"/>
        <w:spacing w:line="240" w:lineRule="exact"/>
        <w:jc w:val="both"/>
        <w:rPr>
          <w:rFonts w:asciiTheme="minorHAnsi" w:hAnsiTheme="minorHAnsi"/>
          <w:color w:val="auto"/>
          <w:szCs w:val="24"/>
        </w:rPr>
      </w:pPr>
    </w:p>
    <w:p w:rsidR="006D03C4" w:rsidRPr="00E25B26" w:rsidRDefault="00493FCB" w:rsidP="00453B65">
      <w:pPr>
        <w:tabs>
          <w:tab w:val="left" w:pos="288"/>
          <w:tab w:val="left" w:pos="4752"/>
        </w:tabs>
        <w:spacing w:line="240" w:lineRule="exact"/>
        <w:jc w:val="both"/>
        <w:rPr>
          <w:rFonts w:ascii="Calibri" w:eastAsiaTheme="minorHAnsi" w:hAnsi="Calibri"/>
          <w:color w:val="auto"/>
          <w:szCs w:val="24"/>
        </w:rPr>
      </w:pPr>
      <w:proofErr w:type="gramStart"/>
      <w:r w:rsidRPr="00453B65">
        <w:rPr>
          <w:rFonts w:ascii="Calibri" w:hAnsi="Calibri"/>
          <w:color w:val="auto"/>
          <w:szCs w:val="24"/>
          <w:u w:val="single"/>
        </w:rPr>
        <w:t>Remaining Conditions</w:t>
      </w:r>
      <w:r w:rsidR="002C6E5B" w:rsidRPr="00453B65">
        <w:rPr>
          <w:rFonts w:ascii="Calibri" w:hAnsi="Calibri"/>
          <w:color w:val="auto"/>
          <w:szCs w:val="24"/>
        </w:rPr>
        <w:t>.</w:t>
      </w:r>
      <w:proofErr w:type="gramEnd"/>
      <w:r w:rsidR="002C6E5B" w:rsidRPr="00453B65">
        <w:rPr>
          <w:rFonts w:ascii="Calibri" w:hAnsi="Calibri"/>
          <w:color w:val="auto"/>
          <w:szCs w:val="24"/>
        </w:rPr>
        <w:t xml:space="preserve">  </w:t>
      </w:r>
      <w:r w:rsidR="001F15C9">
        <w:rPr>
          <w:rFonts w:ascii="Calibri" w:hAnsi="Calibri"/>
          <w:color w:val="auto"/>
          <w:szCs w:val="24"/>
        </w:rPr>
        <w:t>L</w:t>
      </w:r>
      <w:r w:rsidR="004E3E21" w:rsidRPr="00453B65">
        <w:rPr>
          <w:rFonts w:ascii="Calibri" w:hAnsi="Calibri"/>
          <w:color w:val="auto"/>
          <w:szCs w:val="24"/>
        </w:rPr>
        <w:t>eft shoulder</w:t>
      </w:r>
      <w:r w:rsidR="001F15C9">
        <w:rPr>
          <w:rFonts w:ascii="Calibri" w:hAnsi="Calibri"/>
          <w:color w:val="auto"/>
          <w:szCs w:val="24"/>
        </w:rPr>
        <w:t xml:space="preserve"> pain</w:t>
      </w:r>
      <w:r w:rsidR="004E3E21" w:rsidRPr="00453B65">
        <w:rPr>
          <w:rFonts w:ascii="Calibri" w:hAnsi="Calibri"/>
          <w:color w:val="auto"/>
          <w:szCs w:val="24"/>
        </w:rPr>
        <w:t>,</w:t>
      </w:r>
      <w:r w:rsidR="001F15C9">
        <w:rPr>
          <w:rFonts w:ascii="Calibri" w:hAnsi="Calibri"/>
          <w:color w:val="auto"/>
          <w:szCs w:val="24"/>
        </w:rPr>
        <w:t xml:space="preserve"> </w:t>
      </w:r>
      <w:r w:rsidR="00946AC3">
        <w:rPr>
          <w:rFonts w:ascii="Calibri" w:hAnsi="Calibri"/>
          <w:color w:val="auto"/>
          <w:szCs w:val="24"/>
        </w:rPr>
        <w:t>r</w:t>
      </w:r>
      <w:r w:rsidR="004E3E21" w:rsidRPr="00453B65">
        <w:rPr>
          <w:rFonts w:ascii="Calibri" w:hAnsi="Calibri"/>
          <w:color w:val="auto"/>
          <w:szCs w:val="24"/>
        </w:rPr>
        <w:t>ight shoulder</w:t>
      </w:r>
      <w:r w:rsidR="001F15C9">
        <w:rPr>
          <w:rFonts w:ascii="Calibri" w:hAnsi="Calibri"/>
          <w:color w:val="auto"/>
          <w:szCs w:val="24"/>
        </w:rPr>
        <w:t xml:space="preserve"> pain</w:t>
      </w:r>
      <w:r w:rsidR="004E3E21" w:rsidRPr="00453B65">
        <w:rPr>
          <w:rFonts w:ascii="Calibri" w:hAnsi="Calibri"/>
          <w:color w:val="auto"/>
          <w:szCs w:val="24"/>
        </w:rPr>
        <w:t>,</w:t>
      </w:r>
      <w:r w:rsidR="001F15C9">
        <w:rPr>
          <w:rFonts w:ascii="Calibri" w:hAnsi="Calibri"/>
          <w:color w:val="auto"/>
          <w:szCs w:val="24"/>
        </w:rPr>
        <w:t xml:space="preserve"> </w:t>
      </w:r>
      <w:proofErr w:type="spellStart"/>
      <w:r w:rsidR="00946AC3">
        <w:rPr>
          <w:rFonts w:ascii="Calibri" w:hAnsi="Calibri"/>
          <w:color w:val="auto"/>
          <w:szCs w:val="24"/>
        </w:rPr>
        <w:t>t</w:t>
      </w:r>
      <w:r w:rsidR="004E3E21" w:rsidRPr="00453B65">
        <w:rPr>
          <w:rFonts w:ascii="Calibri" w:hAnsi="Calibri"/>
          <w:color w:val="auto"/>
          <w:szCs w:val="24"/>
        </w:rPr>
        <w:t>emporomandibular</w:t>
      </w:r>
      <w:proofErr w:type="spellEnd"/>
      <w:r w:rsidR="004E3E21" w:rsidRPr="00453B65">
        <w:rPr>
          <w:rFonts w:ascii="Calibri" w:hAnsi="Calibri"/>
          <w:color w:val="auto"/>
          <w:szCs w:val="24"/>
        </w:rPr>
        <w:t xml:space="preserve"> join</w:t>
      </w:r>
      <w:r w:rsidR="001F15C9">
        <w:rPr>
          <w:rFonts w:ascii="Calibri" w:hAnsi="Calibri"/>
          <w:color w:val="auto"/>
          <w:szCs w:val="24"/>
        </w:rPr>
        <w:t>t (TMJ)</w:t>
      </w:r>
      <w:r w:rsidR="004E3E21" w:rsidRPr="00453B65">
        <w:rPr>
          <w:rFonts w:ascii="Calibri" w:hAnsi="Calibri"/>
          <w:color w:val="auto"/>
          <w:szCs w:val="24"/>
        </w:rPr>
        <w:t xml:space="preserve"> syndrome</w:t>
      </w:r>
      <w:r w:rsidR="001F15C9">
        <w:rPr>
          <w:rFonts w:ascii="Calibri" w:hAnsi="Calibri"/>
          <w:color w:val="auto"/>
          <w:szCs w:val="24"/>
        </w:rPr>
        <w:t xml:space="preserve">, </w:t>
      </w:r>
      <w:r w:rsidR="00946AC3">
        <w:rPr>
          <w:rFonts w:ascii="Calibri" w:hAnsi="Calibri"/>
          <w:color w:val="auto"/>
          <w:szCs w:val="24"/>
        </w:rPr>
        <w:t>r</w:t>
      </w:r>
      <w:r w:rsidR="001F15C9" w:rsidRPr="00453B65">
        <w:rPr>
          <w:rFonts w:ascii="Calibri" w:hAnsi="Calibri"/>
          <w:color w:val="auto"/>
          <w:szCs w:val="24"/>
        </w:rPr>
        <w:t>ight wrist</w:t>
      </w:r>
      <w:r w:rsidR="001F15C9">
        <w:rPr>
          <w:rFonts w:ascii="Calibri" w:hAnsi="Calibri"/>
          <w:color w:val="auto"/>
          <w:szCs w:val="24"/>
        </w:rPr>
        <w:t xml:space="preserve"> fracture, and several other conditions were also listed in the Disability Evaluation System (DES) file.  They were all evaluated by </w:t>
      </w:r>
      <w:r w:rsidR="00946AC3">
        <w:rPr>
          <w:rFonts w:ascii="Calibri" w:hAnsi="Calibri"/>
          <w:color w:val="auto"/>
          <w:szCs w:val="24"/>
        </w:rPr>
        <w:t xml:space="preserve">the action officer </w:t>
      </w:r>
      <w:r w:rsidR="001F15C9">
        <w:rPr>
          <w:rFonts w:ascii="Calibri" w:hAnsi="Calibri"/>
          <w:color w:val="auto"/>
          <w:szCs w:val="24"/>
        </w:rPr>
        <w:t>and considered by the Board.  There is no clearly documented evidence that any of these other conditions significantly interfered with the performance of required military duties</w:t>
      </w:r>
      <w:r w:rsidR="00E25B26">
        <w:rPr>
          <w:rFonts w:ascii="Calibri" w:hAnsi="Calibri"/>
          <w:color w:val="auto"/>
          <w:szCs w:val="24"/>
        </w:rPr>
        <w:t xml:space="preserve">, </w:t>
      </w:r>
      <w:r w:rsidR="00E25B26" w:rsidRPr="00453B65">
        <w:rPr>
          <w:rFonts w:ascii="Calibri" w:hAnsi="Calibri"/>
          <w:color w:val="auto"/>
          <w:szCs w:val="24"/>
        </w:rPr>
        <w:t>to a degree that could be argued as unfitting.</w:t>
      </w:r>
      <w:r w:rsidR="001F15C9">
        <w:rPr>
          <w:rFonts w:ascii="Calibri" w:hAnsi="Calibri"/>
          <w:color w:val="auto"/>
          <w:szCs w:val="24"/>
        </w:rPr>
        <w:t xml:space="preserve">  </w:t>
      </w:r>
      <w:r w:rsidR="00E25B26">
        <w:rPr>
          <w:rFonts w:ascii="Calibri" w:hAnsi="Calibri"/>
          <w:color w:val="auto"/>
          <w:szCs w:val="24"/>
        </w:rPr>
        <w:t xml:space="preserve">They were not </w:t>
      </w:r>
      <w:r w:rsidR="004E3E21" w:rsidRPr="00453B65">
        <w:rPr>
          <w:rFonts w:ascii="Calibri" w:hAnsi="Calibri"/>
          <w:color w:val="auto"/>
          <w:szCs w:val="24"/>
        </w:rPr>
        <w:t xml:space="preserve">noted in the </w:t>
      </w:r>
      <w:r w:rsidR="00946AC3">
        <w:rPr>
          <w:rFonts w:ascii="Calibri" w:hAnsi="Calibri"/>
          <w:color w:val="auto"/>
          <w:szCs w:val="24"/>
        </w:rPr>
        <w:t>c</w:t>
      </w:r>
      <w:r w:rsidR="004E3E21" w:rsidRPr="00453B65">
        <w:rPr>
          <w:rFonts w:ascii="Calibri" w:hAnsi="Calibri"/>
          <w:color w:val="auto"/>
          <w:szCs w:val="24"/>
        </w:rPr>
        <w:t xml:space="preserve">ommander’s statement.  The Board determined therefore that none of these conditions were subject to </w:t>
      </w:r>
      <w:r w:rsidR="00946AC3">
        <w:rPr>
          <w:rFonts w:ascii="Calibri" w:hAnsi="Calibri"/>
          <w:color w:val="auto"/>
          <w:szCs w:val="24"/>
        </w:rPr>
        <w:t>s</w:t>
      </w:r>
      <w:r w:rsidR="004E3E21" w:rsidRPr="00453B65">
        <w:rPr>
          <w:rFonts w:ascii="Calibri" w:hAnsi="Calibri"/>
          <w:color w:val="auto"/>
          <w:szCs w:val="24"/>
        </w:rPr>
        <w:t xml:space="preserve">ervice disability rating.  </w:t>
      </w:r>
      <w:r w:rsidR="00E25B26">
        <w:rPr>
          <w:rFonts w:ascii="Calibri" w:hAnsi="Calibri"/>
          <w:color w:val="auto"/>
          <w:szCs w:val="24"/>
        </w:rPr>
        <w:lastRenderedPageBreak/>
        <w:t>Some</w:t>
      </w:r>
      <w:r w:rsidR="00E25B26" w:rsidRPr="00453B65">
        <w:rPr>
          <w:rFonts w:ascii="Calibri" w:eastAsiaTheme="minorHAnsi" w:hAnsi="Calibri"/>
          <w:color w:val="auto"/>
          <w:szCs w:val="24"/>
        </w:rPr>
        <w:t xml:space="preserve"> additional conditions were noted in the VA rating decision</w:t>
      </w:r>
      <w:r w:rsidR="00E25B26">
        <w:rPr>
          <w:rFonts w:ascii="Calibri" w:eastAsiaTheme="minorHAnsi" w:hAnsi="Calibri"/>
          <w:color w:val="auto"/>
          <w:szCs w:val="24"/>
        </w:rPr>
        <w:t xml:space="preserve"> proximal to separation</w:t>
      </w:r>
      <w:r w:rsidR="00E25B26" w:rsidRPr="00453B65">
        <w:rPr>
          <w:rFonts w:ascii="Calibri" w:eastAsiaTheme="minorHAnsi" w:hAnsi="Calibri"/>
          <w:color w:val="auto"/>
          <w:szCs w:val="24"/>
        </w:rPr>
        <w:t xml:space="preserve">, but were not documented in the DES </w:t>
      </w:r>
      <w:r w:rsidR="00E25B26">
        <w:rPr>
          <w:rFonts w:ascii="Calibri" w:eastAsiaTheme="minorHAnsi" w:hAnsi="Calibri"/>
          <w:color w:val="auto"/>
          <w:szCs w:val="24"/>
        </w:rPr>
        <w:t>file</w:t>
      </w:r>
      <w:r w:rsidR="00E25B26" w:rsidRPr="00453B65">
        <w:rPr>
          <w:rFonts w:ascii="Calibri" w:eastAsiaTheme="minorHAnsi" w:hAnsi="Calibri"/>
          <w:color w:val="auto"/>
          <w:szCs w:val="24"/>
        </w:rPr>
        <w:t xml:space="preserve">.  </w:t>
      </w:r>
      <w:r w:rsidR="00107EC5" w:rsidRPr="00453B65">
        <w:rPr>
          <w:rFonts w:ascii="Calibri" w:eastAsiaTheme="minorHAnsi" w:hAnsi="Calibri"/>
          <w:color w:val="auto"/>
          <w:szCs w:val="24"/>
        </w:rPr>
        <w:t>T</w:t>
      </w:r>
      <w:r w:rsidR="00107EC5" w:rsidRPr="00453B65">
        <w:rPr>
          <w:rFonts w:ascii="Calibri" w:hAnsi="Calibri"/>
          <w:color w:val="auto"/>
          <w:szCs w:val="24"/>
        </w:rPr>
        <w:t>he Board does no</w:t>
      </w:r>
      <w:r w:rsidR="003D7305">
        <w:rPr>
          <w:rFonts w:ascii="Calibri" w:hAnsi="Calibri"/>
          <w:color w:val="auto"/>
          <w:szCs w:val="24"/>
        </w:rPr>
        <w:t xml:space="preserve">t have the authority </w:t>
      </w:r>
      <w:r w:rsidR="00107EC5" w:rsidRPr="00453B65">
        <w:rPr>
          <w:rFonts w:ascii="Calibri" w:eastAsiaTheme="minorHAnsi" w:hAnsi="Calibri"/>
          <w:color w:val="auto"/>
          <w:szCs w:val="24"/>
        </w:rPr>
        <w:t>to render fitness or rating recommendations for any conditions not considered by the DES.</w:t>
      </w:r>
    </w:p>
    <w:p w:rsidR="00592DF8" w:rsidRPr="00453B65" w:rsidRDefault="00592DF8" w:rsidP="00453B65">
      <w:pPr>
        <w:tabs>
          <w:tab w:val="left" w:pos="288"/>
          <w:tab w:val="left" w:pos="4752"/>
        </w:tabs>
        <w:spacing w:line="240" w:lineRule="exact"/>
        <w:jc w:val="both"/>
        <w:rPr>
          <w:rFonts w:ascii="Calibri" w:hAnsi="Calibri"/>
          <w:color w:val="auto"/>
          <w:szCs w:val="24"/>
        </w:rPr>
      </w:pPr>
      <w:r w:rsidRPr="00453B65">
        <w:rPr>
          <w:rFonts w:ascii="Calibri" w:hAnsi="Calibri"/>
          <w:color w:val="auto"/>
          <w:szCs w:val="24"/>
          <w:u w:val="single"/>
        </w:rPr>
        <w:t>______________________________________________________________</w:t>
      </w:r>
      <w:r w:rsidRPr="00453B65">
        <w:rPr>
          <w:rFonts w:ascii="Calibri" w:hAnsi="Calibri"/>
          <w:color w:val="auto"/>
          <w:szCs w:val="24"/>
        </w:rPr>
        <w:t>______________</w:t>
      </w:r>
    </w:p>
    <w:p w:rsidR="00592DF8" w:rsidRPr="00453B65" w:rsidRDefault="00592DF8" w:rsidP="00453B65">
      <w:pPr>
        <w:tabs>
          <w:tab w:val="left" w:pos="288"/>
          <w:tab w:val="left" w:pos="4752"/>
        </w:tabs>
        <w:spacing w:line="240" w:lineRule="exact"/>
        <w:jc w:val="both"/>
        <w:rPr>
          <w:rFonts w:ascii="Calibri" w:hAnsi="Calibri"/>
          <w:color w:val="000080"/>
          <w:szCs w:val="24"/>
        </w:rPr>
      </w:pPr>
    </w:p>
    <w:p w:rsidR="00D86EB1" w:rsidRPr="00B641BA" w:rsidRDefault="00592DF8" w:rsidP="00D86EB1">
      <w:pPr>
        <w:spacing w:line="240" w:lineRule="exact"/>
        <w:jc w:val="both"/>
        <w:rPr>
          <w:rFonts w:ascii="Calibri" w:eastAsiaTheme="minorHAnsi" w:hAnsi="Calibri"/>
          <w:color w:val="auto"/>
          <w:szCs w:val="24"/>
        </w:rPr>
      </w:pPr>
      <w:r w:rsidRPr="00453B65">
        <w:rPr>
          <w:rFonts w:ascii="Calibri" w:hAnsi="Calibri"/>
          <w:color w:val="auto"/>
          <w:szCs w:val="24"/>
          <w:u w:val="single"/>
        </w:rPr>
        <w:t>BOARD FINDINGS</w:t>
      </w:r>
      <w:r w:rsidRPr="00453B65">
        <w:rPr>
          <w:rFonts w:ascii="Calibri" w:hAnsi="Calibri"/>
          <w:color w:val="auto"/>
          <w:szCs w:val="24"/>
        </w:rPr>
        <w:t>:</w:t>
      </w:r>
      <w:r w:rsidRPr="00453B65">
        <w:rPr>
          <w:rFonts w:ascii="Calibri" w:eastAsiaTheme="minorHAnsi" w:hAnsi="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In the matter of the </w:t>
      </w:r>
      <w:r w:rsidR="003D7305">
        <w:rPr>
          <w:rFonts w:ascii="Calibri" w:eastAsiaTheme="minorHAnsi" w:hAnsi="Calibri"/>
          <w:color w:val="auto"/>
          <w:szCs w:val="24"/>
        </w:rPr>
        <w:t xml:space="preserve">chronic </w:t>
      </w:r>
      <w:r w:rsidR="00F416A9" w:rsidRPr="00453B65">
        <w:rPr>
          <w:rFonts w:ascii="Calibri" w:eastAsiaTheme="minorHAnsi" w:hAnsi="Calibri"/>
          <w:color w:val="auto"/>
          <w:szCs w:val="24"/>
        </w:rPr>
        <w:t>right knee</w:t>
      </w:r>
      <w:r w:rsidRPr="00453B65">
        <w:rPr>
          <w:rFonts w:ascii="Calibri" w:eastAsiaTheme="minorHAnsi" w:hAnsi="Calibri"/>
          <w:color w:val="auto"/>
          <w:szCs w:val="24"/>
        </w:rPr>
        <w:t xml:space="preserve"> condition</w:t>
      </w:r>
      <w:r w:rsidR="00F416A9" w:rsidRPr="00453B65">
        <w:rPr>
          <w:rFonts w:ascii="Calibri" w:eastAsiaTheme="minorHAnsi" w:hAnsi="Calibri"/>
          <w:color w:val="auto"/>
          <w:szCs w:val="24"/>
        </w:rPr>
        <w:t xml:space="preserve"> (</w:t>
      </w:r>
      <w:r w:rsidRPr="00453B65">
        <w:rPr>
          <w:rFonts w:ascii="Calibri" w:hAnsi="Calibri"/>
          <w:color w:val="auto"/>
          <w:szCs w:val="24"/>
        </w:rPr>
        <w:t>IAW VASRD §4.71a</w:t>
      </w:r>
      <w:r w:rsidR="003D7305">
        <w:rPr>
          <w:rFonts w:ascii="Calibri" w:hAnsi="Calibri"/>
          <w:color w:val="auto"/>
          <w:szCs w:val="24"/>
        </w:rPr>
        <w:t>)</w:t>
      </w:r>
      <w:r w:rsidRPr="00453B65">
        <w:rPr>
          <w:rFonts w:ascii="Calibri" w:eastAsiaTheme="minorHAnsi" w:hAnsi="Calibri"/>
          <w:color w:val="auto"/>
          <w:szCs w:val="24"/>
        </w:rPr>
        <w:t xml:space="preserve">, the Board unanimously </w:t>
      </w:r>
      <w:r w:rsidR="003D7305">
        <w:rPr>
          <w:rFonts w:ascii="Calibri" w:eastAsiaTheme="minorHAnsi" w:hAnsi="Calibri"/>
          <w:color w:val="auto"/>
          <w:szCs w:val="24"/>
        </w:rPr>
        <w:t xml:space="preserve">agrees that the right knee </w:t>
      </w:r>
      <w:r w:rsidR="001824E6">
        <w:rPr>
          <w:rFonts w:ascii="Calibri" w:eastAsiaTheme="minorHAnsi" w:hAnsi="Calibri"/>
          <w:color w:val="auto"/>
          <w:szCs w:val="24"/>
        </w:rPr>
        <w:t xml:space="preserve">clearly warrants a </w:t>
      </w:r>
      <w:r w:rsidR="00F416A9" w:rsidRPr="00453B65">
        <w:rPr>
          <w:rFonts w:ascii="Calibri" w:eastAsiaTheme="minorHAnsi" w:hAnsi="Calibri"/>
          <w:color w:val="auto"/>
          <w:szCs w:val="24"/>
        </w:rPr>
        <w:t>permanent disability rating of 20% at separation</w:t>
      </w:r>
      <w:r w:rsidRPr="00453B65">
        <w:rPr>
          <w:rFonts w:ascii="Calibri" w:hAnsi="Calibri"/>
          <w:color w:val="auto"/>
          <w:szCs w:val="24"/>
        </w:rPr>
        <w:t xml:space="preserve">.  </w:t>
      </w:r>
      <w:r w:rsidRPr="00453B65">
        <w:rPr>
          <w:rFonts w:ascii="Calibri" w:eastAsiaTheme="minorHAnsi" w:hAnsi="Calibri"/>
          <w:color w:val="auto"/>
          <w:szCs w:val="24"/>
        </w:rPr>
        <w:t xml:space="preserve">In the matter of the </w:t>
      </w:r>
      <w:r w:rsidR="00946AC3">
        <w:rPr>
          <w:rFonts w:ascii="Calibri" w:eastAsiaTheme="minorHAnsi" w:hAnsi="Calibri"/>
          <w:color w:val="auto"/>
          <w:szCs w:val="24"/>
        </w:rPr>
        <w:t>left shoulder, right shoulder</w:t>
      </w:r>
      <w:r w:rsidR="001824E6">
        <w:rPr>
          <w:rFonts w:ascii="Calibri" w:eastAsiaTheme="minorHAnsi" w:hAnsi="Calibri"/>
          <w:color w:val="auto"/>
          <w:szCs w:val="24"/>
        </w:rPr>
        <w:t>, TMJ syndrome, wrist f</w:t>
      </w:r>
      <w:r w:rsidR="00773FAD" w:rsidRPr="00453B65">
        <w:rPr>
          <w:rFonts w:ascii="Calibri" w:eastAsiaTheme="minorHAnsi" w:hAnsi="Calibri"/>
          <w:color w:val="auto"/>
          <w:szCs w:val="24"/>
        </w:rPr>
        <w:t>racture</w:t>
      </w:r>
      <w:r w:rsidR="001824E6">
        <w:rPr>
          <w:rFonts w:ascii="Calibri" w:eastAsiaTheme="minorHAnsi" w:hAnsi="Calibri"/>
          <w:color w:val="auto"/>
          <w:szCs w:val="24"/>
        </w:rPr>
        <w:t xml:space="preserve">, or any other conditions eligible for </w:t>
      </w:r>
      <w:r w:rsidR="00D86EB1" w:rsidRPr="00B641BA">
        <w:rPr>
          <w:rFonts w:ascii="Calibri" w:eastAsiaTheme="minorHAnsi" w:hAnsi="Calibri"/>
          <w:color w:val="auto"/>
          <w:szCs w:val="24"/>
        </w:rPr>
        <w:t>consideration</w:t>
      </w:r>
      <w:r w:rsidR="00946AC3">
        <w:rPr>
          <w:rFonts w:ascii="Calibri" w:eastAsiaTheme="minorHAnsi" w:hAnsi="Calibri"/>
          <w:color w:val="auto"/>
          <w:szCs w:val="24"/>
        </w:rPr>
        <w:t>,</w:t>
      </w:r>
      <w:r w:rsidR="00D86EB1" w:rsidRPr="00B641BA">
        <w:rPr>
          <w:rFonts w:ascii="Calibri" w:eastAsiaTheme="minorHAnsi" w:hAnsi="Calibri"/>
          <w:color w:val="auto"/>
          <w:szCs w:val="24"/>
        </w:rPr>
        <w:t xml:space="preserve"> the Board unanimously agrees that it cannot recommend any findings of unfit for additional rating at separation. </w:t>
      </w:r>
    </w:p>
    <w:p w:rsidR="00D86EB1" w:rsidRPr="001E5688" w:rsidRDefault="00D86EB1" w:rsidP="00D86EB1">
      <w:pPr>
        <w:pBdr>
          <w:bottom w:val="single" w:sz="12" w:space="1" w:color="auto"/>
        </w:pBdr>
        <w:spacing w:line="240" w:lineRule="exact"/>
        <w:rPr>
          <w:rFonts w:asciiTheme="minorHAnsi" w:hAnsiTheme="minorHAnsi"/>
          <w:color w:val="auto"/>
          <w:szCs w:val="24"/>
        </w:rPr>
      </w:pPr>
    </w:p>
    <w:p w:rsidR="00592DF8" w:rsidRPr="00453B65" w:rsidRDefault="00592DF8" w:rsidP="00453B65">
      <w:pPr>
        <w:tabs>
          <w:tab w:val="left" w:pos="288"/>
          <w:tab w:val="left" w:pos="4752"/>
        </w:tabs>
        <w:spacing w:line="240" w:lineRule="exact"/>
        <w:jc w:val="both"/>
        <w:rPr>
          <w:rFonts w:ascii="Calibri" w:hAnsi="Calibri"/>
          <w:color w:val="000080"/>
          <w:szCs w:val="24"/>
        </w:rPr>
      </w:pPr>
    </w:p>
    <w:p w:rsidR="00592DF8" w:rsidRDefault="00592DF8" w:rsidP="00946AC3">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w:t>
      </w:r>
      <w:r>
        <w:rPr>
          <w:rFonts w:asciiTheme="minorHAnsi" w:hAnsiTheme="minorHAnsi"/>
          <w:color w:val="auto"/>
          <w:szCs w:val="24"/>
          <w:u w:val="single"/>
        </w:rPr>
        <w:t>E</w:t>
      </w:r>
      <w:r w:rsidRPr="00542C9A">
        <w:rPr>
          <w:rFonts w:asciiTheme="minorHAnsi" w:hAnsiTheme="minorHAnsi"/>
          <w:color w:val="auto"/>
          <w:szCs w:val="24"/>
          <w:u w:val="single"/>
        </w:rPr>
        <w:t>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773FAD">
        <w:rPr>
          <w:rFonts w:asciiTheme="minorHAnsi" w:hAnsiTheme="minorHAnsi"/>
          <w:color w:val="000080"/>
          <w:szCs w:val="24"/>
        </w:rPr>
        <w:t xml:space="preserve"> </w:t>
      </w:r>
      <w:r w:rsidR="00E4194B">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0"/>
        <w:gridCol w:w="1620"/>
        <w:gridCol w:w="1170"/>
      </w:tblGrid>
      <w:tr w:rsidR="00A95BBA" w:rsidRPr="00AC713F" w:rsidTr="004C2ED3">
        <w:trPr>
          <w:trHeight w:val="287"/>
          <w:jc w:val="center"/>
        </w:trPr>
        <w:tc>
          <w:tcPr>
            <w:tcW w:w="657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62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4C2ED3">
        <w:trPr>
          <w:jc w:val="center"/>
        </w:trPr>
        <w:tc>
          <w:tcPr>
            <w:tcW w:w="6570" w:type="dxa"/>
          </w:tcPr>
          <w:p w:rsidR="00A95BBA" w:rsidRPr="00AC713F" w:rsidRDefault="00D86EB1" w:rsidP="00D86EB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w:t>
            </w:r>
            <w:r w:rsidR="00CC3394">
              <w:rPr>
                <w:rFonts w:asciiTheme="minorHAnsi" w:hAnsiTheme="minorHAnsi"/>
                <w:color w:val="auto"/>
                <w:szCs w:val="24"/>
              </w:rPr>
              <w:t xml:space="preserve"> Right Knee </w:t>
            </w:r>
            <w:r w:rsidR="004C2ED3">
              <w:rPr>
                <w:rFonts w:asciiTheme="minorHAnsi" w:hAnsiTheme="minorHAnsi"/>
                <w:color w:val="auto"/>
                <w:szCs w:val="24"/>
              </w:rPr>
              <w:t>Condition (</w:t>
            </w:r>
            <w:r>
              <w:rPr>
                <w:rFonts w:asciiTheme="minorHAnsi" w:hAnsiTheme="minorHAnsi"/>
                <w:color w:val="auto"/>
                <w:szCs w:val="24"/>
              </w:rPr>
              <w:t>Pain</w:t>
            </w:r>
            <w:r w:rsidR="004C2ED3">
              <w:rPr>
                <w:rFonts w:asciiTheme="minorHAnsi" w:hAnsiTheme="minorHAnsi"/>
                <w:color w:val="auto"/>
                <w:szCs w:val="24"/>
              </w:rPr>
              <w:t>,</w:t>
            </w:r>
            <w:r>
              <w:rPr>
                <w:rFonts w:asciiTheme="minorHAnsi" w:hAnsiTheme="minorHAnsi"/>
                <w:color w:val="auto"/>
                <w:szCs w:val="24"/>
              </w:rPr>
              <w:t xml:space="preserve"> and </w:t>
            </w:r>
            <w:r w:rsidR="004C2ED3">
              <w:rPr>
                <w:rFonts w:asciiTheme="minorHAnsi" w:hAnsiTheme="minorHAnsi"/>
                <w:color w:val="auto"/>
                <w:szCs w:val="24"/>
              </w:rPr>
              <w:t xml:space="preserve">Slight Lateral </w:t>
            </w:r>
            <w:r>
              <w:rPr>
                <w:rFonts w:asciiTheme="minorHAnsi" w:hAnsiTheme="minorHAnsi"/>
                <w:color w:val="auto"/>
                <w:szCs w:val="24"/>
              </w:rPr>
              <w:t>Instability</w:t>
            </w:r>
            <w:r w:rsidR="004C2ED3">
              <w:rPr>
                <w:rFonts w:asciiTheme="minorHAnsi" w:hAnsiTheme="minorHAnsi"/>
                <w:color w:val="auto"/>
                <w:szCs w:val="24"/>
              </w:rPr>
              <w:t>)</w:t>
            </w:r>
          </w:p>
        </w:tc>
        <w:tc>
          <w:tcPr>
            <w:tcW w:w="1620" w:type="dxa"/>
          </w:tcPr>
          <w:p w:rsidR="00A95BBA" w:rsidRPr="00AC713F" w:rsidRDefault="00773FAD"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5259</w:t>
            </w:r>
          </w:p>
        </w:tc>
        <w:tc>
          <w:tcPr>
            <w:tcW w:w="1170" w:type="dxa"/>
          </w:tcPr>
          <w:p w:rsidR="00A95BBA" w:rsidRPr="00AC713F" w:rsidRDefault="00CC3394"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C713F">
              <w:rPr>
                <w:rFonts w:asciiTheme="minorHAnsi" w:hAnsiTheme="minorHAnsi"/>
                <w:color w:val="auto"/>
                <w:szCs w:val="24"/>
              </w:rPr>
              <w:t>%</w:t>
            </w:r>
          </w:p>
        </w:tc>
      </w:tr>
      <w:tr w:rsidR="00A95BBA" w:rsidRPr="00AC713F" w:rsidTr="004C2ED3">
        <w:tblPrEx>
          <w:tblLook w:val="0000"/>
        </w:tblPrEx>
        <w:trPr>
          <w:gridBefore w:val="1"/>
          <w:wBefore w:w="6570" w:type="dxa"/>
          <w:trHeight w:val="287"/>
          <w:jc w:val="center"/>
        </w:trPr>
        <w:tc>
          <w:tcPr>
            <w:tcW w:w="162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D714A2"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DB0015" w:rsidRPr="00AE3316" w:rsidRDefault="00DB0015" w:rsidP="00190E48">
      <w:pPr>
        <w:spacing w:line="240" w:lineRule="exact"/>
        <w:jc w:val="both"/>
        <w:rPr>
          <w:rFonts w:asciiTheme="minorHAnsi" w:hAnsiTheme="minorHAnsi"/>
          <w:color w:val="FF0000"/>
          <w:szCs w:val="24"/>
        </w:rPr>
      </w:pPr>
    </w:p>
    <w:p w:rsidR="00B522CD" w:rsidRPr="0085089F" w:rsidRDefault="008B5D31"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_______________________________________________________________</w:t>
      </w:r>
      <w:r w:rsidRPr="0085089F">
        <w:rPr>
          <w:rFonts w:asciiTheme="minorHAnsi" w:hAnsiTheme="minorHAnsi"/>
          <w:color w:val="auto"/>
        </w:rPr>
        <w:t>_</w:t>
      </w:r>
      <w:r w:rsidR="00AC713F">
        <w:rPr>
          <w:rFonts w:asciiTheme="minorHAnsi" w:hAnsiTheme="minorHAnsi"/>
          <w:color w:val="auto"/>
        </w:rPr>
        <w:t>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3432A0">
        <w:rPr>
          <w:rFonts w:asciiTheme="minorHAnsi" w:hAnsiTheme="minorHAnsi"/>
          <w:color w:val="auto"/>
        </w:rPr>
        <w:t>100317</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3432A0">
        <w:rPr>
          <w:rFonts w:asciiTheme="minorHAnsi" w:hAnsiTheme="minorHAnsi"/>
          <w:color w:val="auto"/>
        </w:rPr>
        <w:t>Physical Disability Board of Review</w:t>
      </w:r>
    </w:p>
    <w:p w:rsidR="00D01EFC" w:rsidRDefault="00D01EFC"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01EFC" w:rsidRDefault="00D01EFC">
      <w:pPr>
        <w:rPr>
          <w:rFonts w:asciiTheme="minorHAnsi" w:hAnsiTheme="minorHAnsi"/>
          <w:color w:val="auto"/>
          <w:sz w:val="20"/>
        </w:rPr>
      </w:pPr>
      <w:r>
        <w:rPr>
          <w:rFonts w:asciiTheme="minorHAnsi" w:hAnsiTheme="minorHAnsi"/>
          <w:color w:val="auto"/>
          <w:sz w:val="20"/>
        </w:rPr>
        <w:br w:type="page"/>
      </w:r>
    </w:p>
    <w:p w:rsidR="00D01EFC" w:rsidRPr="00D01EFC" w:rsidRDefault="00D01EFC" w:rsidP="00D01EFC">
      <w:pPr>
        <w:ind w:left="-360"/>
        <w:jc w:val="both"/>
        <w:rPr>
          <w:color w:val="auto"/>
          <w:sz w:val="20"/>
        </w:rPr>
      </w:pPr>
      <w:r w:rsidRPr="00D01EFC">
        <w:rPr>
          <w:color w:val="auto"/>
          <w:sz w:val="20"/>
        </w:rPr>
        <w:lastRenderedPageBreak/>
        <w:t xml:space="preserve">MEMORANDUM FOR DIRECTOR, SECRETARY OF THE NAVY COUNCIL OF REVIEW    </w:t>
      </w:r>
    </w:p>
    <w:p w:rsidR="00D01EFC" w:rsidRPr="00D01EFC" w:rsidRDefault="00D01EFC" w:rsidP="00D01EFC">
      <w:pPr>
        <w:tabs>
          <w:tab w:val="left" w:pos="2070"/>
        </w:tabs>
        <w:ind w:left="-360"/>
        <w:jc w:val="both"/>
        <w:rPr>
          <w:color w:val="auto"/>
          <w:sz w:val="20"/>
        </w:rPr>
      </w:pPr>
      <w:r w:rsidRPr="00D01EFC">
        <w:rPr>
          <w:color w:val="auto"/>
          <w:sz w:val="20"/>
        </w:rPr>
        <w:t xml:space="preserve">                                        </w:t>
      </w:r>
      <w:r w:rsidRPr="00D01EFC">
        <w:rPr>
          <w:color w:val="auto"/>
          <w:sz w:val="20"/>
        </w:rPr>
        <w:tab/>
        <w:t xml:space="preserve">BOARDS </w:t>
      </w:r>
    </w:p>
    <w:p w:rsidR="00D01EFC" w:rsidRPr="00D01EFC" w:rsidRDefault="00D01EFC" w:rsidP="00D01EFC">
      <w:pPr>
        <w:jc w:val="both"/>
        <w:rPr>
          <w:color w:val="auto"/>
          <w:sz w:val="20"/>
        </w:rPr>
      </w:pPr>
    </w:p>
    <w:p w:rsidR="00D01EFC" w:rsidRPr="00D01EFC" w:rsidRDefault="00D01EFC" w:rsidP="00D01EFC">
      <w:pPr>
        <w:ind w:left="-360"/>
        <w:jc w:val="both"/>
        <w:rPr>
          <w:color w:val="auto"/>
          <w:sz w:val="20"/>
        </w:rPr>
      </w:pPr>
      <w:proofErr w:type="spellStart"/>
      <w:r w:rsidRPr="00D01EFC">
        <w:rPr>
          <w:color w:val="auto"/>
          <w:sz w:val="20"/>
        </w:rPr>
        <w:t>Subj</w:t>
      </w:r>
      <w:proofErr w:type="spellEnd"/>
      <w:r w:rsidRPr="00D01EFC">
        <w:rPr>
          <w:color w:val="auto"/>
          <w:sz w:val="20"/>
        </w:rPr>
        <w:t>:  PHYSICAL DISABILITY BOARD OF REVIEW (PDBR) RECOMMENDATION</w:t>
      </w:r>
    </w:p>
    <w:p w:rsidR="00D01EFC" w:rsidRPr="00D01EFC" w:rsidRDefault="00D01EFC" w:rsidP="00D01EFC">
      <w:pPr>
        <w:tabs>
          <w:tab w:val="left" w:pos="270"/>
        </w:tabs>
        <w:jc w:val="both"/>
        <w:rPr>
          <w:color w:val="auto"/>
          <w:sz w:val="20"/>
        </w:rPr>
      </w:pPr>
      <w:r w:rsidRPr="00D01EFC">
        <w:rPr>
          <w:color w:val="auto"/>
          <w:sz w:val="20"/>
        </w:rPr>
        <w:t xml:space="preserve">    </w:t>
      </w:r>
      <w:r w:rsidRPr="00D01EFC">
        <w:rPr>
          <w:color w:val="auto"/>
          <w:sz w:val="20"/>
        </w:rPr>
        <w:tab/>
        <w:t xml:space="preserve">ICO </w:t>
      </w:r>
      <w:r>
        <w:rPr>
          <w:color w:val="auto"/>
          <w:sz w:val="20"/>
        </w:rPr>
        <w:t>XXX</w:t>
      </w:r>
      <w:r w:rsidRPr="00D01EFC">
        <w:rPr>
          <w:color w:val="auto"/>
          <w:sz w:val="20"/>
        </w:rPr>
        <w:t>, FORMER USN</w:t>
      </w:r>
    </w:p>
    <w:p w:rsidR="00D01EFC" w:rsidRPr="00D01EFC" w:rsidRDefault="00D01EFC" w:rsidP="00D01EFC">
      <w:pPr>
        <w:jc w:val="both"/>
        <w:rPr>
          <w:color w:val="auto"/>
          <w:sz w:val="20"/>
        </w:rPr>
      </w:pPr>
    </w:p>
    <w:p w:rsidR="00D01EFC" w:rsidRPr="00D01EFC" w:rsidRDefault="00D01EFC" w:rsidP="00D01EFC">
      <w:pPr>
        <w:ind w:left="-360"/>
        <w:jc w:val="both"/>
        <w:rPr>
          <w:color w:val="auto"/>
          <w:sz w:val="20"/>
        </w:rPr>
      </w:pPr>
      <w:r w:rsidRPr="00D01EFC">
        <w:rPr>
          <w:color w:val="auto"/>
          <w:sz w:val="20"/>
        </w:rPr>
        <w:t>Ref:   (a) DoDI 6040.44</w:t>
      </w:r>
    </w:p>
    <w:p w:rsidR="00D01EFC" w:rsidRPr="00D01EFC" w:rsidRDefault="00D01EFC" w:rsidP="00D01EFC">
      <w:pPr>
        <w:ind w:left="-540"/>
        <w:jc w:val="both"/>
        <w:rPr>
          <w:color w:val="auto"/>
          <w:sz w:val="20"/>
        </w:rPr>
      </w:pPr>
      <w:r w:rsidRPr="00D01EFC">
        <w:rPr>
          <w:color w:val="auto"/>
          <w:sz w:val="20"/>
        </w:rPr>
        <w:t xml:space="preserve">             (b) PDBR </w:t>
      </w:r>
      <w:proofErr w:type="spellStart"/>
      <w:r w:rsidRPr="00D01EFC">
        <w:rPr>
          <w:color w:val="auto"/>
          <w:sz w:val="20"/>
        </w:rPr>
        <w:t>ltr</w:t>
      </w:r>
      <w:proofErr w:type="spellEnd"/>
      <w:r w:rsidRPr="00D01EFC">
        <w:rPr>
          <w:color w:val="auto"/>
          <w:sz w:val="20"/>
        </w:rPr>
        <w:t xml:space="preserve"> </w:t>
      </w:r>
      <w:proofErr w:type="spellStart"/>
      <w:r w:rsidRPr="00D01EFC">
        <w:rPr>
          <w:color w:val="auto"/>
          <w:sz w:val="20"/>
        </w:rPr>
        <w:t>dtd</w:t>
      </w:r>
      <w:proofErr w:type="spellEnd"/>
      <w:r w:rsidRPr="00D01EFC">
        <w:rPr>
          <w:color w:val="auto"/>
          <w:sz w:val="20"/>
        </w:rPr>
        <w:t xml:space="preserve"> 26 Jul 11</w:t>
      </w:r>
    </w:p>
    <w:p w:rsidR="00D01EFC" w:rsidRPr="00D01EFC" w:rsidRDefault="00D01EFC" w:rsidP="00D01EFC">
      <w:pPr>
        <w:ind w:left="-540"/>
        <w:jc w:val="both"/>
        <w:rPr>
          <w:color w:val="auto"/>
          <w:sz w:val="20"/>
        </w:rPr>
      </w:pPr>
    </w:p>
    <w:p w:rsidR="00D01EFC" w:rsidRPr="00D01EFC" w:rsidRDefault="00D01EFC" w:rsidP="00D01EFC">
      <w:pPr>
        <w:ind w:left="-360"/>
        <w:rPr>
          <w:color w:val="auto"/>
          <w:sz w:val="20"/>
        </w:rPr>
      </w:pPr>
      <w:r w:rsidRPr="00D01EFC">
        <w:rPr>
          <w:color w:val="auto"/>
          <w:sz w:val="20"/>
        </w:rPr>
        <w:t xml:space="preserve">      I have reviewed the subject case pursuant to reference (a) and, for the reasons set forth in reference (b), approve the recommendation of the Physical Disability Board of Review Mr. </w:t>
      </w:r>
      <w:r>
        <w:rPr>
          <w:color w:val="auto"/>
          <w:sz w:val="20"/>
        </w:rPr>
        <w:t>XXX</w:t>
      </w:r>
      <w:r w:rsidRPr="00D01EFC">
        <w:rPr>
          <w:color w:val="auto"/>
          <w:sz w:val="20"/>
        </w:rPr>
        <w:t>’s records not be corrected to reflect a change in either his characterization of separation or in the disability rating previously assigned by the Department of the Navy’s Physical Evaluation Board.</w:t>
      </w:r>
    </w:p>
    <w:p w:rsidR="00D01EFC" w:rsidRPr="00D01EFC" w:rsidRDefault="00D01EFC" w:rsidP="00D01EFC">
      <w:pPr>
        <w:jc w:val="both"/>
        <w:rPr>
          <w:color w:val="auto"/>
          <w:sz w:val="20"/>
        </w:rPr>
      </w:pPr>
    </w:p>
    <w:p w:rsidR="00D01EFC" w:rsidRPr="00D01EFC" w:rsidRDefault="00D01EFC" w:rsidP="00D01EFC">
      <w:pPr>
        <w:jc w:val="both"/>
        <w:rPr>
          <w:color w:val="auto"/>
          <w:sz w:val="20"/>
        </w:rPr>
      </w:pPr>
    </w:p>
    <w:p w:rsidR="00D01EFC" w:rsidRPr="00D01EFC" w:rsidRDefault="00D01EFC" w:rsidP="00D01EFC">
      <w:pPr>
        <w:jc w:val="both"/>
        <w:rPr>
          <w:color w:val="auto"/>
          <w:sz w:val="20"/>
        </w:rPr>
      </w:pPr>
    </w:p>
    <w:p w:rsidR="00D01EFC" w:rsidRPr="00D01EFC" w:rsidRDefault="00D01EFC" w:rsidP="00D01EFC">
      <w:pPr>
        <w:jc w:val="both"/>
        <w:rPr>
          <w:color w:val="auto"/>
          <w:sz w:val="20"/>
        </w:rPr>
      </w:pPr>
      <w:r w:rsidRPr="00D01EFC">
        <w:rPr>
          <w:color w:val="auto"/>
          <w:sz w:val="20"/>
        </w:rPr>
        <w:tab/>
        <w:t xml:space="preserve">     </w:t>
      </w:r>
      <w:r w:rsidRPr="00D01EFC">
        <w:rPr>
          <w:color w:val="auto"/>
          <w:sz w:val="20"/>
        </w:rPr>
        <w:tab/>
      </w:r>
      <w:r w:rsidRPr="00D01EFC">
        <w:rPr>
          <w:color w:val="auto"/>
          <w:sz w:val="20"/>
        </w:rPr>
        <w:tab/>
      </w:r>
      <w:r w:rsidRPr="00D01EFC">
        <w:rPr>
          <w:color w:val="auto"/>
          <w:sz w:val="20"/>
        </w:rPr>
        <w:tab/>
      </w:r>
      <w:r w:rsidRPr="00D01EFC">
        <w:rPr>
          <w:color w:val="auto"/>
          <w:sz w:val="20"/>
        </w:rPr>
        <w:tab/>
      </w:r>
      <w:r w:rsidRPr="00D01EFC">
        <w:rPr>
          <w:color w:val="auto"/>
          <w:sz w:val="20"/>
        </w:rPr>
        <w:tab/>
        <w:t xml:space="preserve">      Assistant General Counsel</w:t>
      </w:r>
    </w:p>
    <w:p w:rsidR="00D01EFC" w:rsidRPr="00D01EFC" w:rsidRDefault="00D01EFC" w:rsidP="00D01EFC">
      <w:pPr>
        <w:jc w:val="both"/>
        <w:rPr>
          <w:color w:val="auto"/>
          <w:sz w:val="20"/>
        </w:rPr>
      </w:pPr>
      <w:r w:rsidRPr="00D01EFC">
        <w:rPr>
          <w:color w:val="auto"/>
          <w:sz w:val="20"/>
        </w:rPr>
        <w:tab/>
      </w:r>
      <w:r w:rsidRPr="00D01EFC">
        <w:rPr>
          <w:color w:val="auto"/>
          <w:sz w:val="20"/>
        </w:rPr>
        <w:tab/>
      </w:r>
      <w:r w:rsidRPr="00D01EFC">
        <w:rPr>
          <w:color w:val="auto"/>
          <w:sz w:val="20"/>
        </w:rPr>
        <w:tab/>
      </w:r>
      <w:r w:rsidRPr="00D01EFC">
        <w:rPr>
          <w:color w:val="auto"/>
          <w:sz w:val="20"/>
        </w:rPr>
        <w:tab/>
      </w:r>
      <w:r w:rsidRPr="00D01EFC">
        <w:rPr>
          <w:color w:val="auto"/>
          <w:sz w:val="20"/>
        </w:rPr>
        <w:tab/>
      </w:r>
      <w:r w:rsidRPr="00D01EFC">
        <w:rPr>
          <w:color w:val="auto"/>
          <w:sz w:val="20"/>
        </w:rPr>
        <w:tab/>
        <w:t xml:space="preserve">        (Manpower &amp; Reserve Affairs)</w:t>
      </w:r>
    </w:p>
    <w:p w:rsidR="00D01EFC" w:rsidRDefault="00D01EFC" w:rsidP="00D01EFC">
      <w:pPr>
        <w:jc w:val="both"/>
      </w:pPr>
      <w:r w:rsidRPr="00D01EFC">
        <w:rPr>
          <w:color w:val="auto"/>
          <w:sz w:val="20"/>
        </w:rPr>
        <w:tab/>
      </w:r>
      <w:r w:rsidRPr="00D01EFC">
        <w:rPr>
          <w:color w:val="auto"/>
          <w:sz w:val="20"/>
        </w:rPr>
        <w:tab/>
      </w:r>
      <w:r>
        <w:tab/>
      </w:r>
      <w:r>
        <w:tab/>
      </w:r>
      <w:r>
        <w:tab/>
      </w:r>
      <w:r>
        <w:tab/>
        <w:t xml:space="preserve">  </w:t>
      </w:r>
    </w:p>
    <w:p w:rsidR="00D01EFC" w:rsidRDefault="00D01EFC" w:rsidP="00D01EFC">
      <w:pPr>
        <w:jc w:val="both"/>
      </w:pPr>
    </w:p>
    <w:p w:rsidR="00F416A9" w:rsidRDefault="00F416A9" w:rsidP="00190E48">
      <w:pPr>
        <w:tabs>
          <w:tab w:val="left" w:pos="288"/>
          <w:tab w:val="left" w:pos="4752"/>
        </w:tabs>
        <w:spacing w:line="240" w:lineRule="exact"/>
        <w:jc w:val="both"/>
        <w:rPr>
          <w:rFonts w:asciiTheme="minorHAnsi" w:hAnsiTheme="minorHAnsi"/>
          <w:color w:val="002060"/>
          <w:sz w:val="18"/>
          <w:szCs w:val="18"/>
          <w:u w:val="single"/>
        </w:rPr>
      </w:pPr>
    </w:p>
    <w:sectPr w:rsidR="00F416A9"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A21" w:rsidRDefault="00C20A21">
      <w:r>
        <w:separator/>
      </w:r>
    </w:p>
  </w:endnote>
  <w:endnote w:type="continuationSeparator" w:id="0">
    <w:p w:rsidR="00C20A21" w:rsidRDefault="00C20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42" w:rsidRDefault="00C23C35">
    <w:pPr>
      <w:pStyle w:val="Footer"/>
      <w:framePr w:wrap="around" w:vAnchor="text" w:hAnchor="margin" w:xAlign="center" w:y="1"/>
      <w:rPr>
        <w:rStyle w:val="PageNumber"/>
      </w:rPr>
    </w:pPr>
    <w:r>
      <w:rPr>
        <w:rStyle w:val="PageNumber"/>
      </w:rPr>
      <w:fldChar w:fldCharType="begin"/>
    </w:r>
    <w:r w:rsidR="00D42642">
      <w:rPr>
        <w:rStyle w:val="PageNumber"/>
      </w:rPr>
      <w:instrText xml:space="preserve">PAGE  </w:instrText>
    </w:r>
    <w:r>
      <w:rPr>
        <w:rStyle w:val="PageNumber"/>
      </w:rPr>
      <w:fldChar w:fldCharType="separate"/>
    </w:r>
    <w:r w:rsidR="00D42642">
      <w:rPr>
        <w:rStyle w:val="PageNumber"/>
        <w:noProof/>
      </w:rPr>
      <w:t>2</w:t>
    </w:r>
    <w:r>
      <w:rPr>
        <w:rStyle w:val="PageNumber"/>
      </w:rPr>
      <w:fldChar w:fldCharType="end"/>
    </w:r>
  </w:p>
  <w:p w:rsidR="00D42642" w:rsidRDefault="00D42642"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42" w:rsidRPr="00AC713F" w:rsidRDefault="00C23C35">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42642"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01EFC">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D42642" w:rsidRPr="00E4194B" w:rsidRDefault="00D42642" w:rsidP="002B0749">
    <w:pPr>
      <w:pStyle w:val="Footer"/>
      <w:jc w:val="right"/>
      <w:rPr>
        <w:rFonts w:asciiTheme="minorHAnsi" w:hAnsiTheme="minorHAnsi"/>
        <w:color w:val="auto"/>
      </w:rPr>
    </w:pPr>
    <w:r>
      <w:tab/>
    </w:r>
    <w:r>
      <w:tab/>
    </w:r>
    <w:r w:rsidR="006D03C4" w:rsidRPr="00E4194B">
      <w:rPr>
        <w:rFonts w:asciiTheme="minorHAnsi" w:hAnsiTheme="minorHAnsi"/>
        <w:caps/>
        <w:color w:val="auto"/>
      </w:rPr>
      <w:t>PD10</w:t>
    </w:r>
    <w:r w:rsidRPr="00E4194B">
      <w:rPr>
        <w:rFonts w:asciiTheme="minorHAnsi" w:hAnsiTheme="minorHAnsi"/>
        <w:caps/>
        <w:color w:val="auto"/>
      </w:rPr>
      <w:t>00228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A21" w:rsidRDefault="00C20A21">
      <w:r>
        <w:separator/>
      </w:r>
    </w:p>
  </w:footnote>
  <w:footnote w:type="continuationSeparator" w:id="0">
    <w:p w:rsidR="00C20A21" w:rsidRDefault="00C20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67A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313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4C0"/>
    <w:rsid w:val="00021361"/>
    <w:rsid w:val="00023913"/>
    <w:rsid w:val="00023D43"/>
    <w:rsid w:val="00032E07"/>
    <w:rsid w:val="000332CA"/>
    <w:rsid w:val="0003374E"/>
    <w:rsid w:val="000344E6"/>
    <w:rsid w:val="00035C3A"/>
    <w:rsid w:val="0003601A"/>
    <w:rsid w:val="00036E4B"/>
    <w:rsid w:val="000379D0"/>
    <w:rsid w:val="00040FC4"/>
    <w:rsid w:val="000416F8"/>
    <w:rsid w:val="00042C26"/>
    <w:rsid w:val="00043382"/>
    <w:rsid w:val="00051622"/>
    <w:rsid w:val="00052234"/>
    <w:rsid w:val="00053D7C"/>
    <w:rsid w:val="000543D4"/>
    <w:rsid w:val="000577C9"/>
    <w:rsid w:val="0006431E"/>
    <w:rsid w:val="00072433"/>
    <w:rsid w:val="00075702"/>
    <w:rsid w:val="000775C2"/>
    <w:rsid w:val="000806AD"/>
    <w:rsid w:val="00082482"/>
    <w:rsid w:val="00082B07"/>
    <w:rsid w:val="0008708B"/>
    <w:rsid w:val="00092619"/>
    <w:rsid w:val="00092C66"/>
    <w:rsid w:val="00094D15"/>
    <w:rsid w:val="00094E4F"/>
    <w:rsid w:val="000A2BCE"/>
    <w:rsid w:val="000A40D6"/>
    <w:rsid w:val="000A41E3"/>
    <w:rsid w:val="000A4BBA"/>
    <w:rsid w:val="000A5071"/>
    <w:rsid w:val="000A6D4D"/>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C79"/>
    <w:rsid w:val="00107EC5"/>
    <w:rsid w:val="001103CD"/>
    <w:rsid w:val="001146DE"/>
    <w:rsid w:val="00114F20"/>
    <w:rsid w:val="001211AF"/>
    <w:rsid w:val="00121820"/>
    <w:rsid w:val="001219DF"/>
    <w:rsid w:val="001231DC"/>
    <w:rsid w:val="0012320A"/>
    <w:rsid w:val="00127282"/>
    <w:rsid w:val="001272AE"/>
    <w:rsid w:val="001315DD"/>
    <w:rsid w:val="001348D3"/>
    <w:rsid w:val="00135385"/>
    <w:rsid w:val="001364D1"/>
    <w:rsid w:val="00142EBA"/>
    <w:rsid w:val="00143B79"/>
    <w:rsid w:val="00150B8A"/>
    <w:rsid w:val="00150DCB"/>
    <w:rsid w:val="00151912"/>
    <w:rsid w:val="00153740"/>
    <w:rsid w:val="001541C5"/>
    <w:rsid w:val="00154DD1"/>
    <w:rsid w:val="0015623F"/>
    <w:rsid w:val="00156585"/>
    <w:rsid w:val="00156BA9"/>
    <w:rsid w:val="00161761"/>
    <w:rsid w:val="001618B2"/>
    <w:rsid w:val="0016300C"/>
    <w:rsid w:val="00166182"/>
    <w:rsid w:val="00173917"/>
    <w:rsid w:val="001745DD"/>
    <w:rsid w:val="00177659"/>
    <w:rsid w:val="001779E5"/>
    <w:rsid w:val="001824E6"/>
    <w:rsid w:val="00182855"/>
    <w:rsid w:val="00182A4C"/>
    <w:rsid w:val="00183F77"/>
    <w:rsid w:val="00185DA8"/>
    <w:rsid w:val="00185ECB"/>
    <w:rsid w:val="001865E0"/>
    <w:rsid w:val="001870F0"/>
    <w:rsid w:val="00190E48"/>
    <w:rsid w:val="00192403"/>
    <w:rsid w:val="0019273F"/>
    <w:rsid w:val="00193814"/>
    <w:rsid w:val="00193AD5"/>
    <w:rsid w:val="00194930"/>
    <w:rsid w:val="001A08CD"/>
    <w:rsid w:val="001A477B"/>
    <w:rsid w:val="001A5320"/>
    <w:rsid w:val="001A5E62"/>
    <w:rsid w:val="001A7538"/>
    <w:rsid w:val="001B0B1A"/>
    <w:rsid w:val="001B4EC2"/>
    <w:rsid w:val="001B53FB"/>
    <w:rsid w:val="001B5B59"/>
    <w:rsid w:val="001B60E0"/>
    <w:rsid w:val="001B7C8C"/>
    <w:rsid w:val="001C181A"/>
    <w:rsid w:val="001C1877"/>
    <w:rsid w:val="001C2053"/>
    <w:rsid w:val="001C252F"/>
    <w:rsid w:val="001C28D1"/>
    <w:rsid w:val="001C4417"/>
    <w:rsid w:val="001C5CFC"/>
    <w:rsid w:val="001C7418"/>
    <w:rsid w:val="001D0051"/>
    <w:rsid w:val="001D1CFC"/>
    <w:rsid w:val="001D2224"/>
    <w:rsid w:val="001D4F88"/>
    <w:rsid w:val="001D68CF"/>
    <w:rsid w:val="001D6A8C"/>
    <w:rsid w:val="001D7A56"/>
    <w:rsid w:val="001E15C0"/>
    <w:rsid w:val="001E18E0"/>
    <w:rsid w:val="001E18E2"/>
    <w:rsid w:val="001E19D0"/>
    <w:rsid w:val="001E2A30"/>
    <w:rsid w:val="001F15C9"/>
    <w:rsid w:val="00200AA0"/>
    <w:rsid w:val="00202325"/>
    <w:rsid w:val="00202736"/>
    <w:rsid w:val="00203652"/>
    <w:rsid w:val="002060B6"/>
    <w:rsid w:val="002066B5"/>
    <w:rsid w:val="00215ED6"/>
    <w:rsid w:val="00216049"/>
    <w:rsid w:val="00217606"/>
    <w:rsid w:val="00217C09"/>
    <w:rsid w:val="00220F5C"/>
    <w:rsid w:val="00222C34"/>
    <w:rsid w:val="00225196"/>
    <w:rsid w:val="00225CB4"/>
    <w:rsid w:val="002275F9"/>
    <w:rsid w:val="0023049F"/>
    <w:rsid w:val="002316F6"/>
    <w:rsid w:val="00231F6F"/>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165D"/>
    <w:rsid w:val="00294437"/>
    <w:rsid w:val="002A3237"/>
    <w:rsid w:val="002A58B7"/>
    <w:rsid w:val="002A685E"/>
    <w:rsid w:val="002A72C7"/>
    <w:rsid w:val="002B03B2"/>
    <w:rsid w:val="002B0749"/>
    <w:rsid w:val="002B2645"/>
    <w:rsid w:val="002B6FA0"/>
    <w:rsid w:val="002C4F5E"/>
    <w:rsid w:val="002C5F10"/>
    <w:rsid w:val="002C6E5B"/>
    <w:rsid w:val="002D18B4"/>
    <w:rsid w:val="002D231A"/>
    <w:rsid w:val="002D6826"/>
    <w:rsid w:val="002E1877"/>
    <w:rsid w:val="002E1C31"/>
    <w:rsid w:val="002E333A"/>
    <w:rsid w:val="002E3474"/>
    <w:rsid w:val="002E400C"/>
    <w:rsid w:val="002E49C3"/>
    <w:rsid w:val="002E5114"/>
    <w:rsid w:val="002E7570"/>
    <w:rsid w:val="002E764B"/>
    <w:rsid w:val="002F0E28"/>
    <w:rsid w:val="002F287E"/>
    <w:rsid w:val="002F2D63"/>
    <w:rsid w:val="002F5DF2"/>
    <w:rsid w:val="002F7F81"/>
    <w:rsid w:val="00300A36"/>
    <w:rsid w:val="0030678B"/>
    <w:rsid w:val="00310CD7"/>
    <w:rsid w:val="0032136A"/>
    <w:rsid w:val="0032248B"/>
    <w:rsid w:val="00323E70"/>
    <w:rsid w:val="00325BA2"/>
    <w:rsid w:val="00326F7F"/>
    <w:rsid w:val="003320E8"/>
    <w:rsid w:val="0033555E"/>
    <w:rsid w:val="00336805"/>
    <w:rsid w:val="00337351"/>
    <w:rsid w:val="00341A54"/>
    <w:rsid w:val="003432A0"/>
    <w:rsid w:val="0034669F"/>
    <w:rsid w:val="00351498"/>
    <w:rsid w:val="00352B22"/>
    <w:rsid w:val="00354547"/>
    <w:rsid w:val="003567DE"/>
    <w:rsid w:val="003574F3"/>
    <w:rsid w:val="0036319E"/>
    <w:rsid w:val="003632A4"/>
    <w:rsid w:val="00363362"/>
    <w:rsid w:val="00365D6A"/>
    <w:rsid w:val="00367D4F"/>
    <w:rsid w:val="00370743"/>
    <w:rsid w:val="00370EF5"/>
    <w:rsid w:val="0037135B"/>
    <w:rsid w:val="00372251"/>
    <w:rsid w:val="003725CE"/>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026"/>
    <w:rsid w:val="003B227A"/>
    <w:rsid w:val="003B4BB1"/>
    <w:rsid w:val="003B5854"/>
    <w:rsid w:val="003B6764"/>
    <w:rsid w:val="003C6068"/>
    <w:rsid w:val="003D2BA3"/>
    <w:rsid w:val="003D3C22"/>
    <w:rsid w:val="003D7089"/>
    <w:rsid w:val="003D7305"/>
    <w:rsid w:val="003D7DDB"/>
    <w:rsid w:val="003E02C7"/>
    <w:rsid w:val="003E0543"/>
    <w:rsid w:val="003E0B5A"/>
    <w:rsid w:val="003E31E3"/>
    <w:rsid w:val="003E46D1"/>
    <w:rsid w:val="003E5484"/>
    <w:rsid w:val="003F3550"/>
    <w:rsid w:val="003F58B0"/>
    <w:rsid w:val="004007E9"/>
    <w:rsid w:val="00401825"/>
    <w:rsid w:val="00401BBC"/>
    <w:rsid w:val="00403BFB"/>
    <w:rsid w:val="00404B45"/>
    <w:rsid w:val="00405A23"/>
    <w:rsid w:val="00406CC5"/>
    <w:rsid w:val="004074A4"/>
    <w:rsid w:val="004101B2"/>
    <w:rsid w:val="004123D7"/>
    <w:rsid w:val="00412658"/>
    <w:rsid w:val="004172DB"/>
    <w:rsid w:val="0041783D"/>
    <w:rsid w:val="00421485"/>
    <w:rsid w:val="00422B75"/>
    <w:rsid w:val="00433F36"/>
    <w:rsid w:val="0043503A"/>
    <w:rsid w:val="0044384F"/>
    <w:rsid w:val="00444F80"/>
    <w:rsid w:val="00446018"/>
    <w:rsid w:val="00453B65"/>
    <w:rsid w:val="004543BC"/>
    <w:rsid w:val="0045645D"/>
    <w:rsid w:val="004574C6"/>
    <w:rsid w:val="00457BCF"/>
    <w:rsid w:val="00457DCE"/>
    <w:rsid w:val="00460E3F"/>
    <w:rsid w:val="00466CED"/>
    <w:rsid w:val="00467592"/>
    <w:rsid w:val="00467690"/>
    <w:rsid w:val="004718C4"/>
    <w:rsid w:val="004718E7"/>
    <w:rsid w:val="00472535"/>
    <w:rsid w:val="00472A71"/>
    <w:rsid w:val="004730A2"/>
    <w:rsid w:val="004761CC"/>
    <w:rsid w:val="00480D4A"/>
    <w:rsid w:val="00481DA1"/>
    <w:rsid w:val="0049255F"/>
    <w:rsid w:val="00493E48"/>
    <w:rsid w:val="00493FCB"/>
    <w:rsid w:val="0049445D"/>
    <w:rsid w:val="00495350"/>
    <w:rsid w:val="00497156"/>
    <w:rsid w:val="004A24D2"/>
    <w:rsid w:val="004A3214"/>
    <w:rsid w:val="004A4136"/>
    <w:rsid w:val="004A417B"/>
    <w:rsid w:val="004A50C8"/>
    <w:rsid w:val="004B03F3"/>
    <w:rsid w:val="004B2536"/>
    <w:rsid w:val="004B2AD5"/>
    <w:rsid w:val="004B6AF3"/>
    <w:rsid w:val="004B715E"/>
    <w:rsid w:val="004B7169"/>
    <w:rsid w:val="004B79C9"/>
    <w:rsid w:val="004C2ED3"/>
    <w:rsid w:val="004C507D"/>
    <w:rsid w:val="004C5C5E"/>
    <w:rsid w:val="004C5E33"/>
    <w:rsid w:val="004C6CDA"/>
    <w:rsid w:val="004D10D4"/>
    <w:rsid w:val="004D16BD"/>
    <w:rsid w:val="004D2AAB"/>
    <w:rsid w:val="004D2FAE"/>
    <w:rsid w:val="004D4BBB"/>
    <w:rsid w:val="004D6F2B"/>
    <w:rsid w:val="004E0248"/>
    <w:rsid w:val="004E21A3"/>
    <w:rsid w:val="004E32EA"/>
    <w:rsid w:val="004E3E21"/>
    <w:rsid w:val="004E6866"/>
    <w:rsid w:val="004F3222"/>
    <w:rsid w:val="004F3BFA"/>
    <w:rsid w:val="005000AB"/>
    <w:rsid w:val="005025EE"/>
    <w:rsid w:val="00510588"/>
    <w:rsid w:val="0051146C"/>
    <w:rsid w:val="0051444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0755"/>
    <w:rsid w:val="0055288D"/>
    <w:rsid w:val="00555259"/>
    <w:rsid w:val="00560D57"/>
    <w:rsid w:val="00562A94"/>
    <w:rsid w:val="005709F7"/>
    <w:rsid w:val="005710A9"/>
    <w:rsid w:val="00571D1B"/>
    <w:rsid w:val="00592DF8"/>
    <w:rsid w:val="00593043"/>
    <w:rsid w:val="00595BF0"/>
    <w:rsid w:val="005A1846"/>
    <w:rsid w:val="005A258C"/>
    <w:rsid w:val="005A3560"/>
    <w:rsid w:val="005A6C99"/>
    <w:rsid w:val="005A7D5D"/>
    <w:rsid w:val="005B011A"/>
    <w:rsid w:val="005B1D8F"/>
    <w:rsid w:val="005B1E94"/>
    <w:rsid w:val="005B3EEC"/>
    <w:rsid w:val="005B5B3D"/>
    <w:rsid w:val="005C16F3"/>
    <w:rsid w:val="005C3758"/>
    <w:rsid w:val="005C7E12"/>
    <w:rsid w:val="005E3064"/>
    <w:rsid w:val="005E68AA"/>
    <w:rsid w:val="005E72B2"/>
    <w:rsid w:val="005F0536"/>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686"/>
    <w:rsid w:val="006418C9"/>
    <w:rsid w:val="00641C55"/>
    <w:rsid w:val="00642BD6"/>
    <w:rsid w:val="006432CE"/>
    <w:rsid w:val="00645046"/>
    <w:rsid w:val="0064527A"/>
    <w:rsid w:val="00645EA2"/>
    <w:rsid w:val="006573F2"/>
    <w:rsid w:val="00662F08"/>
    <w:rsid w:val="00663589"/>
    <w:rsid w:val="00663D8F"/>
    <w:rsid w:val="00665400"/>
    <w:rsid w:val="006708E3"/>
    <w:rsid w:val="00670DDC"/>
    <w:rsid w:val="00671EB4"/>
    <w:rsid w:val="0067443B"/>
    <w:rsid w:val="00677A31"/>
    <w:rsid w:val="00677BB9"/>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B4A"/>
    <w:rsid w:val="006B3F3E"/>
    <w:rsid w:val="006B5923"/>
    <w:rsid w:val="006B67D9"/>
    <w:rsid w:val="006B6C14"/>
    <w:rsid w:val="006B715E"/>
    <w:rsid w:val="006C1D6E"/>
    <w:rsid w:val="006C3A68"/>
    <w:rsid w:val="006C6AB1"/>
    <w:rsid w:val="006D03C4"/>
    <w:rsid w:val="006D2D39"/>
    <w:rsid w:val="006D3E9D"/>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4745"/>
    <w:rsid w:val="00736A49"/>
    <w:rsid w:val="00743B71"/>
    <w:rsid w:val="00743C2D"/>
    <w:rsid w:val="00743E36"/>
    <w:rsid w:val="007446F7"/>
    <w:rsid w:val="00744EBB"/>
    <w:rsid w:val="00745B0A"/>
    <w:rsid w:val="007468AC"/>
    <w:rsid w:val="00746AE2"/>
    <w:rsid w:val="00750C82"/>
    <w:rsid w:val="00752C5A"/>
    <w:rsid w:val="0076100C"/>
    <w:rsid w:val="007651ED"/>
    <w:rsid w:val="00766C87"/>
    <w:rsid w:val="00772136"/>
    <w:rsid w:val="00773FAD"/>
    <w:rsid w:val="00781BD4"/>
    <w:rsid w:val="00784832"/>
    <w:rsid w:val="00785D77"/>
    <w:rsid w:val="00786111"/>
    <w:rsid w:val="00791F1E"/>
    <w:rsid w:val="00794F3D"/>
    <w:rsid w:val="00796045"/>
    <w:rsid w:val="007968AC"/>
    <w:rsid w:val="007969AB"/>
    <w:rsid w:val="007A0B39"/>
    <w:rsid w:val="007A14A4"/>
    <w:rsid w:val="007A168F"/>
    <w:rsid w:val="007A175E"/>
    <w:rsid w:val="007A22D0"/>
    <w:rsid w:val="007A28E4"/>
    <w:rsid w:val="007A3BB3"/>
    <w:rsid w:val="007A5AD1"/>
    <w:rsid w:val="007A5B7B"/>
    <w:rsid w:val="007B0A06"/>
    <w:rsid w:val="007B1A0B"/>
    <w:rsid w:val="007B468A"/>
    <w:rsid w:val="007B4DCE"/>
    <w:rsid w:val="007B5C5C"/>
    <w:rsid w:val="007B7B37"/>
    <w:rsid w:val="007B7C41"/>
    <w:rsid w:val="007B7FE0"/>
    <w:rsid w:val="007C433E"/>
    <w:rsid w:val="007C4452"/>
    <w:rsid w:val="007C4B3C"/>
    <w:rsid w:val="007C4DB1"/>
    <w:rsid w:val="007C6046"/>
    <w:rsid w:val="007D0292"/>
    <w:rsid w:val="007D21AC"/>
    <w:rsid w:val="007D3882"/>
    <w:rsid w:val="007D4914"/>
    <w:rsid w:val="007D568A"/>
    <w:rsid w:val="007D574E"/>
    <w:rsid w:val="007D5B50"/>
    <w:rsid w:val="007D5C7E"/>
    <w:rsid w:val="007D6BFE"/>
    <w:rsid w:val="007E2046"/>
    <w:rsid w:val="007E3883"/>
    <w:rsid w:val="007E4FBB"/>
    <w:rsid w:val="007E55BF"/>
    <w:rsid w:val="007E71B1"/>
    <w:rsid w:val="007E7B4E"/>
    <w:rsid w:val="007F0CE2"/>
    <w:rsid w:val="007F0EFF"/>
    <w:rsid w:val="007F1375"/>
    <w:rsid w:val="007F179F"/>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744D"/>
    <w:rsid w:val="008F1E08"/>
    <w:rsid w:val="00900D8F"/>
    <w:rsid w:val="009014E3"/>
    <w:rsid w:val="009026E8"/>
    <w:rsid w:val="00906EB7"/>
    <w:rsid w:val="009102BF"/>
    <w:rsid w:val="009115F2"/>
    <w:rsid w:val="00914ADB"/>
    <w:rsid w:val="00923B25"/>
    <w:rsid w:val="0092402E"/>
    <w:rsid w:val="009259BA"/>
    <w:rsid w:val="00926FCB"/>
    <w:rsid w:val="00927742"/>
    <w:rsid w:val="0093311A"/>
    <w:rsid w:val="009351C1"/>
    <w:rsid w:val="00942645"/>
    <w:rsid w:val="00946AC3"/>
    <w:rsid w:val="00950A3A"/>
    <w:rsid w:val="0095340A"/>
    <w:rsid w:val="00954581"/>
    <w:rsid w:val="0095466C"/>
    <w:rsid w:val="00954E5B"/>
    <w:rsid w:val="009576BC"/>
    <w:rsid w:val="009577F6"/>
    <w:rsid w:val="00957F89"/>
    <w:rsid w:val="00960357"/>
    <w:rsid w:val="0096168C"/>
    <w:rsid w:val="00961840"/>
    <w:rsid w:val="009627E9"/>
    <w:rsid w:val="00962F2D"/>
    <w:rsid w:val="009672CD"/>
    <w:rsid w:val="00970BE6"/>
    <w:rsid w:val="00972996"/>
    <w:rsid w:val="009732B8"/>
    <w:rsid w:val="00975C72"/>
    <w:rsid w:val="00976869"/>
    <w:rsid w:val="00977740"/>
    <w:rsid w:val="00977CB4"/>
    <w:rsid w:val="009809B8"/>
    <w:rsid w:val="0098222D"/>
    <w:rsid w:val="00985099"/>
    <w:rsid w:val="00987929"/>
    <w:rsid w:val="0099421F"/>
    <w:rsid w:val="009A0DE3"/>
    <w:rsid w:val="009A1643"/>
    <w:rsid w:val="009A215A"/>
    <w:rsid w:val="009A4F1B"/>
    <w:rsid w:val="009A66C5"/>
    <w:rsid w:val="009A79BA"/>
    <w:rsid w:val="009B14D1"/>
    <w:rsid w:val="009B1534"/>
    <w:rsid w:val="009B33BA"/>
    <w:rsid w:val="009B4A3B"/>
    <w:rsid w:val="009B69D3"/>
    <w:rsid w:val="009B7BA7"/>
    <w:rsid w:val="009C0938"/>
    <w:rsid w:val="009C0C6E"/>
    <w:rsid w:val="009C22C8"/>
    <w:rsid w:val="009C3F82"/>
    <w:rsid w:val="009C5A14"/>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3DAC"/>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279BF"/>
    <w:rsid w:val="00A32743"/>
    <w:rsid w:val="00A35336"/>
    <w:rsid w:val="00A414A9"/>
    <w:rsid w:val="00A41D12"/>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21ED"/>
    <w:rsid w:val="00A944D8"/>
    <w:rsid w:val="00A959E7"/>
    <w:rsid w:val="00A95BBA"/>
    <w:rsid w:val="00A961EE"/>
    <w:rsid w:val="00AA04B3"/>
    <w:rsid w:val="00AA1253"/>
    <w:rsid w:val="00AA28EF"/>
    <w:rsid w:val="00AA493E"/>
    <w:rsid w:val="00AA73AF"/>
    <w:rsid w:val="00AB1754"/>
    <w:rsid w:val="00AB27DD"/>
    <w:rsid w:val="00AC439D"/>
    <w:rsid w:val="00AC713F"/>
    <w:rsid w:val="00AD067E"/>
    <w:rsid w:val="00AD0B1F"/>
    <w:rsid w:val="00AD0FFB"/>
    <w:rsid w:val="00AD2801"/>
    <w:rsid w:val="00AD2A89"/>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271DB"/>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82277"/>
    <w:rsid w:val="00B8731D"/>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06057"/>
    <w:rsid w:val="00C1122B"/>
    <w:rsid w:val="00C13B34"/>
    <w:rsid w:val="00C13F26"/>
    <w:rsid w:val="00C144B6"/>
    <w:rsid w:val="00C16E9F"/>
    <w:rsid w:val="00C1713D"/>
    <w:rsid w:val="00C177F1"/>
    <w:rsid w:val="00C20A21"/>
    <w:rsid w:val="00C22F3A"/>
    <w:rsid w:val="00C23C35"/>
    <w:rsid w:val="00C25978"/>
    <w:rsid w:val="00C261C6"/>
    <w:rsid w:val="00C26E7C"/>
    <w:rsid w:val="00C30A97"/>
    <w:rsid w:val="00C31DDC"/>
    <w:rsid w:val="00C34326"/>
    <w:rsid w:val="00C36201"/>
    <w:rsid w:val="00C368E8"/>
    <w:rsid w:val="00C36C3D"/>
    <w:rsid w:val="00C372C7"/>
    <w:rsid w:val="00C42443"/>
    <w:rsid w:val="00C42944"/>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394"/>
    <w:rsid w:val="00CC39D2"/>
    <w:rsid w:val="00CC69EC"/>
    <w:rsid w:val="00CD15BE"/>
    <w:rsid w:val="00CD1EF2"/>
    <w:rsid w:val="00CD1F5F"/>
    <w:rsid w:val="00CD3294"/>
    <w:rsid w:val="00CD32BD"/>
    <w:rsid w:val="00CD34C7"/>
    <w:rsid w:val="00CD5653"/>
    <w:rsid w:val="00CD5E6D"/>
    <w:rsid w:val="00CD63C8"/>
    <w:rsid w:val="00CD66E5"/>
    <w:rsid w:val="00CF158D"/>
    <w:rsid w:val="00CF4394"/>
    <w:rsid w:val="00CF7110"/>
    <w:rsid w:val="00D000A9"/>
    <w:rsid w:val="00D005DB"/>
    <w:rsid w:val="00D0064E"/>
    <w:rsid w:val="00D00981"/>
    <w:rsid w:val="00D01EFC"/>
    <w:rsid w:val="00D0280D"/>
    <w:rsid w:val="00D07A72"/>
    <w:rsid w:val="00D1051A"/>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2642"/>
    <w:rsid w:val="00D43FDE"/>
    <w:rsid w:val="00D449F0"/>
    <w:rsid w:val="00D50C8C"/>
    <w:rsid w:val="00D52393"/>
    <w:rsid w:val="00D523E4"/>
    <w:rsid w:val="00D5279D"/>
    <w:rsid w:val="00D52A1B"/>
    <w:rsid w:val="00D53F14"/>
    <w:rsid w:val="00D54BE4"/>
    <w:rsid w:val="00D60483"/>
    <w:rsid w:val="00D61ABB"/>
    <w:rsid w:val="00D63577"/>
    <w:rsid w:val="00D66936"/>
    <w:rsid w:val="00D67FD7"/>
    <w:rsid w:val="00D714A2"/>
    <w:rsid w:val="00D74261"/>
    <w:rsid w:val="00D7441B"/>
    <w:rsid w:val="00D76AB2"/>
    <w:rsid w:val="00D80490"/>
    <w:rsid w:val="00D829AD"/>
    <w:rsid w:val="00D82EE2"/>
    <w:rsid w:val="00D8545C"/>
    <w:rsid w:val="00D86EB1"/>
    <w:rsid w:val="00D87788"/>
    <w:rsid w:val="00D877C8"/>
    <w:rsid w:val="00D90A7B"/>
    <w:rsid w:val="00D910C2"/>
    <w:rsid w:val="00D9168C"/>
    <w:rsid w:val="00D9189B"/>
    <w:rsid w:val="00D91DA6"/>
    <w:rsid w:val="00D93FCA"/>
    <w:rsid w:val="00D9706F"/>
    <w:rsid w:val="00D972D4"/>
    <w:rsid w:val="00DA195B"/>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41E4"/>
    <w:rsid w:val="00E063C1"/>
    <w:rsid w:val="00E1012B"/>
    <w:rsid w:val="00E103C8"/>
    <w:rsid w:val="00E1085B"/>
    <w:rsid w:val="00E1308B"/>
    <w:rsid w:val="00E14581"/>
    <w:rsid w:val="00E15539"/>
    <w:rsid w:val="00E16541"/>
    <w:rsid w:val="00E2536E"/>
    <w:rsid w:val="00E25B26"/>
    <w:rsid w:val="00E25B8A"/>
    <w:rsid w:val="00E2632B"/>
    <w:rsid w:val="00E322F7"/>
    <w:rsid w:val="00E33026"/>
    <w:rsid w:val="00E3369B"/>
    <w:rsid w:val="00E33917"/>
    <w:rsid w:val="00E36D76"/>
    <w:rsid w:val="00E405EA"/>
    <w:rsid w:val="00E408B7"/>
    <w:rsid w:val="00E41637"/>
    <w:rsid w:val="00E4194B"/>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85803"/>
    <w:rsid w:val="00E85C6D"/>
    <w:rsid w:val="00E87095"/>
    <w:rsid w:val="00EA1177"/>
    <w:rsid w:val="00EA118B"/>
    <w:rsid w:val="00EA11B6"/>
    <w:rsid w:val="00EA1324"/>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14ED"/>
    <w:rsid w:val="00ED4773"/>
    <w:rsid w:val="00ED4BEA"/>
    <w:rsid w:val="00ED664B"/>
    <w:rsid w:val="00ED6A61"/>
    <w:rsid w:val="00EE03BB"/>
    <w:rsid w:val="00EE0B44"/>
    <w:rsid w:val="00EE6FE0"/>
    <w:rsid w:val="00EE704A"/>
    <w:rsid w:val="00EE7840"/>
    <w:rsid w:val="00EF4C74"/>
    <w:rsid w:val="00EF5268"/>
    <w:rsid w:val="00EF608E"/>
    <w:rsid w:val="00F0044B"/>
    <w:rsid w:val="00F02B13"/>
    <w:rsid w:val="00F04957"/>
    <w:rsid w:val="00F05807"/>
    <w:rsid w:val="00F07052"/>
    <w:rsid w:val="00F0706C"/>
    <w:rsid w:val="00F11EBE"/>
    <w:rsid w:val="00F12655"/>
    <w:rsid w:val="00F12BA8"/>
    <w:rsid w:val="00F130D0"/>
    <w:rsid w:val="00F130E6"/>
    <w:rsid w:val="00F14933"/>
    <w:rsid w:val="00F1516A"/>
    <w:rsid w:val="00F22A26"/>
    <w:rsid w:val="00F24072"/>
    <w:rsid w:val="00F26432"/>
    <w:rsid w:val="00F3197A"/>
    <w:rsid w:val="00F32139"/>
    <w:rsid w:val="00F33D56"/>
    <w:rsid w:val="00F34E08"/>
    <w:rsid w:val="00F416A9"/>
    <w:rsid w:val="00F41D91"/>
    <w:rsid w:val="00F42363"/>
    <w:rsid w:val="00F44317"/>
    <w:rsid w:val="00F46964"/>
    <w:rsid w:val="00F46F9A"/>
    <w:rsid w:val="00F5126A"/>
    <w:rsid w:val="00F6636A"/>
    <w:rsid w:val="00F667C5"/>
    <w:rsid w:val="00F67E31"/>
    <w:rsid w:val="00F718A8"/>
    <w:rsid w:val="00F72183"/>
    <w:rsid w:val="00F76D01"/>
    <w:rsid w:val="00F81C35"/>
    <w:rsid w:val="00F82981"/>
    <w:rsid w:val="00F8311F"/>
    <w:rsid w:val="00F83248"/>
    <w:rsid w:val="00F83376"/>
    <w:rsid w:val="00F834EE"/>
    <w:rsid w:val="00F853AE"/>
    <w:rsid w:val="00F93C74"/>
    <w:rsid w:val="00F93DCC"/>
    <w:rsid w:val="00F9435D"/>
    <w:rsid w:val="00F97740"/>
    <w:rsid w:val="00FA2F7B"/>
    <w:rsid w:val="00FB09FE"/>
    <w:rsid w:val="00FB593A"/>
    <w:rsid w:val="00FB6410"/>
    <w:rsid w:val="00FB6E82"/>
    <w:rsid w:val="00FC0042"/>
    <w:rsid w:val="00FC2A13"/>
    <w:rsid w:val="00FC2D2D"/>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26315431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5851755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300213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73377198">
      <w:bodyDiv w:val="1"/>
      <w:marLeft w:val="0"/>
      <w:marRight w:val="0"/>
      <w:marTop w:val="0"/>
      <w:marBottom w:val="0"/>
      <w:divBdr>
        <w:top w:val="none" w:sz="0" w:space="0" w:color="auto"/>
        <w:left w:val="none" w:sz="0" w:space="0" w:color="auto"/>
        <w:bottom w:val="none" w:sz="0" w:space="0" w:color="auto"/>
        <w:right w:val="none" w:sz="0" w:space="0" w:color="auto"/>
      </w:divBdr>
    </w:div>
    <w:div w:id="20977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5438-E666-46E1-BA55-83B08308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2000-06-02T14:59:00Z</cp:lastPrinted>
  <dcterms:created xsi:type="dcterms:W3CDTF">2012-02-29T16:58:00Z</dcterms:created>
  <dcterms:modified xsi:type="dcterms:W3CDTF">2012-02-29T16:59:00Z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