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0D6D15" w:rsidRDefault="00540BEF" w:rsidP="00190E48">
      <w:pPr>
        <w:tabs>
          <w:tab w:val="left" w:pos="288"/>
          <w:tab w:val="left" w:pos="4752"/>
        </w:tabs>
        <w:spacing w:line="240" w:lineRule="exact"/>
        <w:jc w:val="center"/>
        <w:rPr>
          <w:rFonts w:asciiTheme="minorHAnsi" w:hAnsiTheme="minorHAnsi"/>
          <w:color w:val="auto"/>
        </w:rPr>
      </w:pPr>
      <w:r w:rsidRPr="000D6D15">
        <w:rPr>
          <w:rFonts w:asciiTheme="minorHAnsi" w:hAnsiTheme="minorHAnsi"/>
          <w:color w:val="auto"/>
        </w:rPr>
        <w:t>RECORD OF PROCEEDINGS</w:t>
      </w:r>
    </w:p>
    <w:p w:rsidR="00540BEF" w:rsidRPr="000D6D15" w:rsidRDefault="00540BEF" w:rsidP="00190E48">
      <w:pPr>
        <w:tabs>
          <w:tab w:val="left" w:pos="288"/>
          <w:tab w:val="left" w:pos="4752"/>
        </w:tabs>
        <w:spacing w:line="240" w:lineRule="exact"/>
        <w:jc w:val="center"/>
        <w:rPr>
          <w:rFonts w:asciiTheme="minorHAnsi" w:hAnsiTheme="minorHAnsi"/>
          <w:color w:val="auto"/>
        </w:rPr>
      </w:pPr>
      <w:r w:rsidRPr="000D6D15">
        <w:rPr>
          <w:rFonts w:asciiTheme="minorHAnsi" w:hAnsiTheme="minorHAnsi"/>
          <w:color w:val="auto"/>
        </w:rPr>
        <w:t>PHYSICAL DISABILITY BOARD OF REVIEW</w:t>
      </w:r>
    </w:p>
    <w:p w:rsidR="00540BEF" w:rsidRPr="000D6D15" w:rsidRDefault="00540BEF" w:rsidP="00190E48">
      <w:pPr>
        <w:tabs>
          <w:tab w:val="left" w:pos="288"/>
          <w:tab w:val="left" w:pos="4752"/>
        </w:tabs>
        <w:spacing w:line="240" w:lineRule="exact"/>
        <w:jc w:val="both"/>
        <w:rPr>
          <w:rFonts w:asciiTheme="minorHAnsi" w:hAnsiTheme="minorHAnsi"/>
          <w:caps/>
          <w:color w:val="auto"/>
        </w:rPr>
      </w:pPr>
    </w:p>
    <w:p w:rsidR="00540BEF" w:rsidRPr="000D6D15" w:rsidRDefault="00540BEF" w:rsidP="00190E48">
      <w:pPr>
        <w:tabs>
          <w:tab w:val="left" w:pos="288"/>
          <w:tab w:val="left" w:pos="4752"/>
        </w:tabs>
        <w:spacing w:line="240" w:lineRule="exact"/>
        <w:ind w:right="-1260"/>
        <w:jc w:val="both"/>
        <w:rPr>
          <w:rFonts w:asciiTheme="minorHAnsi" w:hAnsiTheme="minorHAnsi"/>
          <w:caps/>
          <w:color w:val="auto"/>
        </w:rPr>
      </w:pPr>
      <w:r w:rsidRPr="000D6D15">
        <w:rPr>
          <w:rFonts w:asciiTheme="minorHAnsi" w:hAnsiTheme="minorHAnsi"/>
          <w:caps/>
          <w:color w:val="auto"/>
        </w:rPr>
        <w:t>NAME:</w:t>
      </w:r>
      <w:r w:rsidR="00AA7A95" w:rsidRPr="000D6D15">
        <w:rPr>
          <w:rFonts w:asciiTheme="minorHAnsi" w:hAnsiTheme="minorHAnsi"/>
          <w:caps/>
          <w:color w:val="auto"/>
        </w:rPr>
        <w:t xml:space="preserve"> </w:t>
      </w:r>
      <w:r w:rsidR="00610C68">
        <w:rPr>
          <w:rFonts w:asciiTheme="minorHAnsi" w:hAnsiTheme="minorHAnsi"/>
          <w:caps/>
          <w:color w:val="auto"/>
        </w:rPr>
        <w:t xml:space="preserve"> </w:t>
      </w:r>
      <w:r w:rsidR="00E34728">
        <w:rPr>
          <w:rFonts w:asciiTheme="minorHAnsi" w:hAnsiTheme="minorHAnsi"/>
          <w:caps/>
          <w:color w:val="auto"/>
        </w:rPr>
        <w:t>XXXXXX</w:t>
      </w:r>
      <w:r w:rsidRPr="000D6D15">
        <w:rPr>
          <w:rFonts w:asciiTheme="minorHAnsi" w:hAnsiTheme="minorHAnsi"/>
          <w:caps/>
          <w:color w:val="auto"/>
        </w:rPr>
        <w:tab/>
      </w:r>
      <w:r w:rsidRPr="000D6D15">
        <w:rPr>
          <w:rFonts w:asciiTheme="minorHAnsi" w:hAnsiTheme="minorHAnsi"/>
          <w:caps/>
          <w:color w:val="auto"/>
        </w:rPr>
        <w:tab/>
      </w:r>
      <w:r w:rsidR="00D479E9" w:rsidRPr="000D6D15">
        <w:rPr>
          <w:rFonts w:asciiTheme="minorHAnsi" w:hAnsiTheme="minorHAnsi"/>
          <w:caps/>
          <w:color w:val="auto"/>
        </w:rPr>
        <w:t xml:space="preserve">  </w:t>
      </w:r>
      <w:r w:rsidRPr="000D6D15">
        <w:rPr>
          <w:rFonts w:asciiTheme="minorHAnsi" w:hAnsiTheme="minorHAnsi"/>
          <w:caps/>
          <w:color w:val="auto"/>
        </w:rPr>
        <w:t xml:space="preserve">BRANCH OF SERVICE: </w:t>
      </w:r>
      <w:r w:rsidR="00AA7A95" w:rsidRPr="000D6D15">
        <w:rPr>
          <w:rFonts w:asciiTheme="minorHAnsi" w:hAnsiTheme="minorHAnsi"/>
          <w:caps/>
          <w:color w:val="auto"/>
        </w:rPr>
        <w:t xml:space="preserve"> </w:t>
      </w:r>
      <w:r w:rsidR="00D00981" w:rsidRPr="000D6D15">
        <w:rPr>
          <w:rFonts w:asciiTheme="minorHAnsi" w:hAnsiTheme="minorHAnsi"/>
          <w:caps/>
          <w:color w:val="auto"/>
        </w:rPr>
        <w:t>marine corps</w:t>
      </w:r>
      <w:r w:rsidR="003A27B2" w:rsidRPr="000D6D15">
        <w:rPr>
          <w:rFonts w:asciiTheme="minorHAnsi" w:hAnsiTheme="minorHAnsi"/>
          <w:caps/>
          <w:color w:val="auto"/>
        </w:rPr>
        <w:t xml:space="preserve"> </w:t>
      </w:r>
    </w:p>
    <w:p w:rsidR="00540BEF" w:rsidRPr="000D6D15" w:rsidRDefault="00540BEF" w:rsidP="008F753B">
      <w:pPr>
        <w:tabs>
          <w:tab w:val="left" w:pos="288"/>
          <w:tab w:val="left" w:pos="4752"/>
        </w:tabs>
        <w:spacing w:line="240" w:lineRule="exact"/>
        <w:ind w:right="-900"/>
        <w:jc w:val="both"/>
        <w:rPr>
          <w:rFonts w:asciiTheme="minorHAnsi" w:hAnsiTheme="minorHAnsi"/>
          <w:caps/>
          <w:color w:val="auto"/>
        </w:rPr>
      </w:pPr>
      <w:r w:rsidRPr="000D6D15">
        <w:rPr>
          <w:rFonts w:asciiTheme="minorHAnsi" w:hAnsiTheme="minorHAnsi"/>
          <w:caps/>
          <w:color w:val="auto"/>
        </w:rPr>
        <w:t>CASE NUMBER:  PD</w:t>
      </w:r>
      <w:r w:rsidR="00AA7A95" w:rsidRPr="000D6D15">
        <w:rPr>
          <w:rFonts w:asciiTheme="minorHAnsi" w:hAnsiTheme="minorHAnsi"/>
          <w:caps/>
          <w:color w:val="auto"/>
        </w:rPr>
        <w:t>2010-00196</w:t>
      </w:r>
      <w:r w:rsidRPr="000D6D15">
        <w:rPr>
          <w:rFonts w:asciiTheme="minorHAnsi" w:hAnsiTheme="minorHAnsi"/>
          <w:caps/>
          <w:color w:val="auto"/>
        </w:rPr>
        <w:tab/>
      </w:r>
      <w:r w:rsidRPr="000D6D15">
        <w:rPr>
          <w:rFonts w:asciiTheme="minorHAnsi" w:hAnsiTheme="minorHAnsi"/>
          <w:caps/>
          <w:color w:val="auto"/>
        </w:rPr>
        <w:tab/>
      </w:r>
      <w:r w:rsidR="00D479E9" w:rsidRPr="000D6D15">
        <w:rPr>
          <w:rFonts w:asciiTheme="minorHAnsi" w:hAnsiTheme="minorHAnsi"/>
          <w:caps/>
          <w:color w:val="auto"/>
        </w:rPr>
        <w:t xml:space="preserve">  </w:t>
      </w:r>
      <w:r w:rsidR="00841752" w:rsidRPr="000D6D15">
        <w:rPr>
          <w:rFonts w:asciiTheme="minorHAnsi" w:hAnsiTheme="minorHAnsi"/>
          <w:caps/>
          <w:color w:val="auto"/>
        </w:rPr>
        <w:t xml:space="preserve">SEPARATION DATE: </w:t>
      </w:r>
      <w:r w:rsidR="00610C68">
        <w:rPr>
          <w:rFonts w:asciiTheme="minorHAnsi" w:hAnsiTheme="minorHAnsi"/>
          <w:caps/>
          <w:color w:val="auto"/>
        </w:rPr>
        <w:t xml:space="preserve"> </w:t>
      </w:r>
      <w:r w:rsidR="00841752" w:rsidRPr="000D6D15">
        <w:rPr>
          <w:rFonts w:asciiTheme="minorHAnsi" w:hAnsiTheme="minorHAnsi"/>
          <w:caps/>
          <w:color w:val="auto"/>
        </w:rPr>
        <w:t>20070228</w:t>
      </w:r>
    </w:p>
    <w:p w:rsidR="008F753B" w:rsidRPr="000D6D15" w:rsidRDefault="008F753B" w:rsidP="008F753B">
      <w:pPr>
        <w:tabs>
          <w:tab w:val="left" w:pos="288"/>
          <w:tab w:val="left" w:pos="4752"/>
        </w:tabs>
        <w:spacing w:line="240" w:lineRule="exact"/>
        <w:ind w:right="-900"/>
        <w:jc w:val="both"/>
        <w:rPr>
          <w:rFonts w:asciiTheme="minorHAnsi" w:hAnsiTheme="minorHAnsi"/>
          <w:caps/>
          <w:color w:val="auto"/>
        </w:rPr>
      </w:pPr>
      <w:r w:rsidRPr="000D6D15">
        <w:rPr>
          <w:rFonts w:asciiTheme="minorHAnsi" w:hAnsiTheme="minorHAnsi"/>
          <w:caps/>
          <w:color w:val="auto"/>
        </w:rPr>
        <w:t xml:space="preserve">BOARD DATE: </w:t>
      </w:r>
      <w:r w:rsidR="00610C68">
        <w:rPr>
          <w:rFonts w:asciiTheme="minorHAnsi" w:hAnsiTheme="minorHAnsi"/>
          <w:caps/>
          <w:color w:val="auto"/>
        </w:rPr>
        <w:t xml:space="preserve"> </w:t>
      </w:r>
      <w:r w:rsidRPr="000D6D15">
        <w:rPr>
          <w:rFonts w:asciiTheme="minorHAnsi" w:hAnsiTheme="minorHAnsi"/>
          <w:caps/>
          <w:color w:val="auto"/>
        </w:rPr>
        <w:t>20101222</w:t>
      </w:r>
    </w:p>
    <w:p w:rsidR="00B522CD" w:rsidRPr="000D6D15" w:rsidRDefault="00B522CD" w:rsidP="00237F7A">
      <w:pPr>
        <w:pBdr>
          <w:bottom w:val="single" w:sz="12" w:space="1" w:color="auto"/>
        </w:pBdr>
        <w:tabs>
          <w:tab w:val="left" w:pos="288"/>
          <w:tab w:val="left" w:pos="4752"/>
        </w:tabs>
        <w:spacing w:line="240" w:lineRule="exact"/>
        <w:rPr>
          <w:rFonts w:asciiTheme="minorHAnsi" w:hAnsiTheme="minorHAnsi"/>
          <w:color w:val="000080"/>
        </w:rPr>
      </w:pPr>
    </w:p>
    <w:p w:rsidR="00237F7A" w:rsidRDefault="00237F7A" w:rsidP="0003076E">
      <w:pPr>
        <w:tabs>
          <w:tab w:val="left" w:pos="288"/>
          <w:tab w:val="left" w:pos="4752"/>
        </w:tabs>
        <w:spacing w:line="240" w:lineRule="exact"/>
        <w:jc w:val="both"/>
        <w:rPr>
          <w:rFonts w:asciiTheme="minorHAnsi" w:hAnsiTheme="minorHAnsi"/>
          <w:color w:val="auto"/>
          <w:u w:val="single"/>
        </w:rPr>
      </w:pPr>
    </w:p>
    <w:p w:rsidR="0003076E" w:rsidRPr="000D6D15" w:rsidRDefault="002C6E5B" w:rsidP="0003076E">
      <w:pPr>
        <w:tabs>
          <w:tab w:val="left" w:pos="288"/>
          <w:tab w:val="left" w:pos="4752"/>
        </w:tabs>
        <w:spacing w:line="240" w:lineRule="exact"/>
        <w:jc w:val="both"/>
        <w:rPr>
          <w:rFonts w:asciiTheme="minorHAnsi" w:hAnsiTheme="minorHAnsi"/>
          <w:color w:val="auto"/>
          <w:szCs w:val="24"/>
        </w:rPr>
      </w:pPr>
      <w:r w:rsidRPr="000D6D15">
        <w:rPr>
          <w:rFonts w:asciiTheme="minorHAnsi" w:hAnsiTheme="minorHAnsi"/>
          <w:color w:val="auto"/>
          <w:u w:val="single"/>
        </w:rPr>
        <w:t>SUMMARY OF CASE</w:t>
      </w:r>
      <w:r w:rsidRPr="000D6D15">
        <w:rPr>
          <w:rFonts w:asciiTheme="minorHAnsi" w:hAnsiTheme="minorHAnsi"/>
          <w:color w:val="auto"/>
        </w:rPr>
        <w:t xml:space="preserve">:  </w:t>
      </w:r>
      <w:r w:rsidR="00257FC0">
        <w:rPr>
          <w:rFonts w:ascii="Calibri" w:hAnsi="Calibri"/>
          <w:color w:val="000000"/>
        </w:rPr>
        <w:t>Data extracted from the available records reflects that t</w:t>
      </w:r>
      <w:r w:rsidR="00257FC0">
        <w:rPr>
          <w:rFonts w:ascii="Calibri" w:hAnsi="Calibri"/>
          <w:color w:val="000000"/>
          <w:szCs w:val="24"/>
        </w:rPr>
        <w:t xml:space="preserve">his </w:t>
      </w:r>
      <w:r w:rsidR="00C80631" w:rsidRPr="000D6D15">
        <w:rPr>
          <w:rFonts w:asciiTheme="minorHAnsi" w:hAnsiTheme="minorHAnsi"/>
          <w:color w:val="auto"/>
        </w:rPr>
        <w:t>Covered Individual (CI</w:t>
      </w:r>
      <w:r w:rsidR="00E35ABF" w:rsidRPr="000D6D15">
        <w:rPr>
          <w:rFonts w:asciiTheme="minorHAnsi" w:hAnsiTheme="minorHAnsi"/>
          <w:color w:val="auto"/>
        </w:rPr>
        <w:t>) was</w:t>
      </w:r>
      <w:r w:rsidR="00C80631" w:rsidRPr="000D6D15">
        <w:rPr>
          <w:rFonts w:asciiTheme="minorHAnsi" w:hAnsiTheme="minorHAnsi"/>
          <w:color w:val="auto"/>
        </w:rPr>
        <w:t xml:space="preserve"> a 22 year</w:t>
      </w:r>
      <w:r w:rsidR="00CB4675" w:rsidRPr="000D6D15">
        <w:rPr>
          <w:rFonts w:asciiTheme="minorHAnsi" w:hAnsiTheme="minorHAnsi"/>
          <w:color w:val="auto"/>
        </w:rPr>
        <w:t>s</w:t>
      </w:r>
      <w:r w:rsidR="00C80631" w:rsidRPr="000D6D15">
        <w:rPr>
          <w:rFonts w:asciiTheme="minorHAnsi" w:hAnsiTheme="minorHAnsi"/>
          <w:color w:val="auto"/>
        </w:rPr>
        <w:t xml:space="preserve"> old, active duty United States Marine Corps (USMC) Lance Corporal (</w:t>
      </w:r>
      <w:proofErr w:type="spellStart"/>
      <w:r w:rsidR="00C80631" w:rsidRPr="000D6D15">
        <w:rPr>
          <w:rFonts w:asciiTheme="minorHAnsi" w:hAnsiTheme="minorHAnsi"/>
          <w:color w:val="auto"/>
        </w:rPr>
        <w:t>LC</w:t>
      </w:r>
      <w:r w:rsidR="008F753B" w:rsidRPr="000D6D15">
        <w:rPr>
          <w:rFonts w:asciiTheme="minorHAnsi" w:hAnsiTheme="minorHAnsi"/>
          <w:color w:val="auto"/>
        </w:rPr>
        <w:t>pl</w:t>
      </w:r>
      <w:proofErr w:type="spellEnd"/>
      <w:r w:rsidR="00CB1D14" w:rsidRPr="000D6D15">
        <w:rPr>
          <w:rFonts w:asciiTheme="minorHAnsi" w:hAnsiTheme="minorHAnsi"/>
          <w:color w:val="auto"/>
        </w:rPr>
        <w:t>) who</w:t>
      </w:r>
      <w:r w:rsidR="00E35ABF" w:rsidRPr="000D6D15">
        <w:rPr>
          <w:rFonts w:asciiTheme="minorHAnsi" w:hAnsiTheme="minorHAnsi"/>
          <w:color w:val="auto"/>
        </w:rPr>
        <w:t xml:space="preserve"> was medical separated from the Marine Corp</w:t>
      </w:r>
      <w:r w:rsidR="00E533FB" w:rsidRPr="000D6D15">
        <w:rPr>
          <w:rFonts w:asciiTheme="minorHAnsi" w:hAnsiTheme="minorHAnsi"/>
          <w:color w:val="auto"/>
        </w:rPr>
        <w:t>s</w:t>
      </w:r>
      <w:r w:rsidR="00E35ABF" w:rsidRPr="000D6D15">
        <w:rPr>
          <w:rFonts w:asciiTheme="minorHAnsi" w:hAnsiTheme="minorHAnsi"/>
          <w:color w:val="auto"/>
        </w:rPr>
        <w:t xml:space="preserve"> </w:t>
      </w:r>
      <w:r w:rsidR="00860B7D" w:rsidRPr="000D6D15">
        <w:rPr>
          <w:rFonts w:asciiTheme="minorHAnsi" w:hAnsiTheme="minorHAnsi"/>
          <w:color w:val="auto"/>
        </w:rPr>
        <w:t>after</w:t>
      </w:r>
      <w:r w:rsidR="00C80631" w:rsidRPr="000D6D15">
        <w:rPr>
          <w:rFonts w:asciiTheme="minorHAnsi" w:hAnsiTheme="minorHAnsi"/>
          <w:color w:val="auto"/>
        </w:rPr>
        <w:t xml:space="preserve"> 4 years 2 months continuous servic</w:t>
      </w:r>
      <w:r w:rsidR="00CB1D14" w:rsidRPr="000D6D15">
        <w:rPr>
          <w:rFonts w:asciiTheme="minorHAnsi" w:hAnsiTheme="minorHAnsi"/>
          <w:color w:val="auto"/>
        </w:rPr>
        <w:t xml:space="preserve">e as a 2131/Artillery Mechanic.  </w:t>
      </w:r>
      <w:r w:rsidR="00860B7D" w:rsidRPr="000D6D15">
        <w:rPr>
          <w:rFonts w:asciiTheme="minorHAnsi" w:hAnsiTheme="minorHAnsi"/>
          <w:color w:val="auto"/>
        </w:rPr>
        <w:t>The medical basis for the separation was Post Tr</w:t>
      </w:r>
      <w:r w:rsidR="00CB1D14" w:rsidRPr="000D6D15">
        <w:rPr>
          <w:rFonts w:asciiTheme="minorHAnsi" w:hAnsiTheme="minorHAnsi"/>
          <w:color w:val="auto"/>
        </w:rPr>
        <w:t>a</w:t>
      </w:r>
      <w:r w:rsidR="00506F31" w:rsidRPr="000D6D15">
        <w:rPr>
          <w:rFonts w:asciiTheme="minorHAnsi" w:hAnsiTheme="minorHAnsi"/>
          <w:color w:val="auto"/>
        </w:rPr>
        <w:t xml:space="preserve">umatic Stress Disorder (PTSD).  </w:t>
      </w:r>
      <w:r w:rsidR="00860B7D" w:rsidRPr="000D6D15">
        <w:rPr>
          <w:rFonts w:asciiTheme="minorHAnsi" w:hAnsiTheme="minorHAnsi"/>
          <w:color w:val="auto"/>
        </w:rPr>
        <w:t>This first became symptomati</w:t>
      </w:r>
      <w:r w:rsidR="00CB1D14" w:rsidRPr="000D6D15">
        <w:rPr>
          <w:rFonts w:asciiTheme="minorHAnsi" w:hAnsiTheme="minorHAnsi"/>
          <w:color w:val="auto"/>
        </w:rPr>
        <w:t>c when he</w:t>
      </w:r>
      <w:r w:rsidR="00C80631" w:rsidRPr="000D6D15">
        <w:rPr>
          <w:rFonts w:asciiTheme="minorHAnsi" w:hAnsiTheme="minorHAnsi"/>
          <w:color w:val="auto"/>
        </w:rPr>
        <w:t xml:space="preserve"> was deployed to Iraq from Au</w:t>
      </w:r>
      <w:r w:rsidR="00CB1D14" w:rsidRPr="000D6D15">
        <w:rPr>
          <w:rFonts w:asciiTheme="minorHAnsi" w:hAnsiTheme="minorHAnsi"/>
          <w:color w:val="auto"/>
        </w:rPr>
        <w:t xml:space="preserve">gust 2004 to July 2005.  </w:t>
      </w:r>
      <w:r w:rsidR="00C80631" w:rsidRPr="000D6D15">
        <w:rPr>
          <w:rFonts w:asciiTheme="minorHAnsi" w:hAnsiTheme="minorHAnsi"/>
          <w:color w:val="auto"/>
        </w:rPr>
        <w:t xml:space="preserve">While in Iraq the CI was repeatedly exposed to death of comrades, civilian personnel and destruction as well as received and </w:t>
      </w:r>
      <w:r w:rsidR="00CB1D14" w:rsidRPr="000D6D15">
        <w:rPr>
          <w:rFonts w:asciiTheme="minorHAnsi" w:hAnsiTheme="minorHAnsi"/>
          <w:color w:val="auto"/>
        </w:rPr>
        <w:t xml:space="preserve">returned direct fire in combat.  </w:t>
      </w:r>
      <w:r w:rsidR="00C80631" w:rsidRPr="000D6D15">
        <w:rPr>
          <w:rFonts w:asciiTheme="minorHAnsi" w:hAnsiTheme="minorHAnsi"/>
          <w:color w:val="auto"/>
        </w:rPr>
        <w:t xml:space="preserve">The CI deployed to Okinawa </w:t>
      </w:r>
      <w:r w:rsidR="00CB1D14" w:rsidRPr="000D6D15">
        <w:rPr>
          <w:rFonts w:asciiTheme="minorHAnsi" w:hAnsiTheme="minorHAnsi"/>
          <w:color w:val="auto"/>
        </w:rPr>
        <w:t>in July 2005 where he</w:t>
      </w:r>
      <w:r w:rsidR="00C80631" w:rsidRPr="000D6D15">
        <w:rPr>
          <w:rFonts w:asciiTheme="minorHAnsi" w:hAnsiTheme="minorHAnsi"/>
          <w:color w:val="auto"/>
        </w:rPr>
        <w:t xml:space="preserve"> was seen by psychiatry </w:t>
      </w:r>
      <w:r w:rsidR="001E2F24" w:rsidRPr="000D6D15">
        <w:rPr>
          <w:rFonts w:asciiTheme="minorHAnsi" w:hAnsiTheme="minorHAnsi"/>
          <w:color w:val="auto"/>
        </w:rPr>
        <w:t>with diagnoses</w:t>
      </w:r>
      <w:r w:rsidR="00CB1D14" w:rsidRPr="000D6D15">
        <w:rPr>
          <w:rFonts w:asciiTheme="minorHAnsi" w:hAnsiTheme="minorHAnsi"/>
          <w:color w:val="auto"/>
        </w:rPr>
        <w:t xml:space="preserve"> of</w:t>
      </w:r>
      <w:r w:rsidR="00C80631" w:rsidRPr="000D6D15">
        <w:rPr>
          <w:rFonts w:asciiTheme="minorHAnsi" w:hAnsiTheme="minorHAnsi"/>
          <w:color w:val="auto"/>
        </w:rPr>
        <w:t xml:space="preserve"> Post-Traumatic Stress Disorder</w:t>
      </w:r>
      <w:r w:rsidR="00CB1D14" w:rsidRPr="000D6D15">
        <w:rPr>
          <w:rFonts w:asciiTheme="minorHAnsi" w:hAnsiTheme="minorHAnsi"/>
          <w:color w:val="auto"/>
        </w:rPr>
        <w:t xml:space="preserve"> (PTSD) and Alcohol Abuse</w:t>
      </w:r>
      <w:r w:rsidR="00C80631" w:rsidRPr="000D6D15">
        <w:rPr>
          <w:rFonts w:asciiTheme="minorHAnsi" w:hAnsiTheme="minorHAnsi"/>
          <w:color w:val="auto"/>
        </w:rPr>
        <w:t xml:space="preserve">. </w:t>
      </w:r>
      <w:r w:rsidR="00CB1D14" w:rsidRPr="000D6D15">
        <w:rPr>
          <w:rFonts w:asciiTheme="minorHAnsi" w:hAnsiTheme="minorHAnsi"/>
          <w:color w:val="auto"/>
        </w:rPr>
        <w:t xml:space="preserve"> Although he did receive treatment for alcohol abuse and was able to maintain sobriety, he</w:t>
      </w:r>
      <w:r w:rsidR="00C80631" w:rsidRPr="000D6D15">
        <w:rPr>
          <w:rFonts w:asciiTheme="minorHAnsi" w:hAnsiTheme="minorHAnsi"/>
          <w:color w:val="auto"/>
        </w:rPr>
        <w:t xml:space="preserve"> did not respond adequately to conventional medical treatment </w:t>
      </w:r>
      <w:r w:rsidR="00CB1D14" w:rsidRPr="000D6D15">
        <w:rPr>
          <w:rFonts w:asciiTheme="minorHAnsi" w:hAnsiTheme="minorHAnsi"/>
          <w:color w:val="auto"/>
        </w:rPr>
        <w:t>for PTSD</w:t>
      </w:r>
      <w:r w:rsidR="001E2F24" w:rsidRPr="000D6D15">
        <w:rPr>
          <w:rFonts w:asciiTheme="minorHAnsi" w:hAnsiTheme="minorHAnsi"/>
          <w:color w:val="auto"/>
        </w:rPr>
        <w:t>.  His Commanding O</w:t>
      </w:r>
      <w:r w:rsidR="00C80631" w:rsidRPr="000D6D15">
        <w:rPr>
          <w:rFonts w:asciiTheme="minorHAnsi" w:hAnsiTheme="minorHAnsi"/>
          <w:color w:val="auto"/>
        </w:rPr>
        <w:t xml:space="preserve">fficer recommended </w:t>
      </w:r>
      <w:r w:rsidR="001E2F24" w:rsidRPr="000D6D15">
        <w:rPr>
          <w:rFonts w:asciiTheme="minorHAnsi" w:hAnsiTheme="minorHAnsi"/>
          <w:color w:val="auto"/>
        </w:rPr>
        <w:t xml:space="preserve">separation as unfit for military duty.  </w:t>
      </w:r>
      <w:r w:rsidR="001E2F24" w:rsidRPr="000D6D15">
        <w:rPr>
          <w:rFonts w:asciiTheme="minorHAnsi" w:hAnsiTheme="minorHAnsi"/>
          <w:color w:val="auto"/>
          <w:szCs w:val="24"/>
        </w:rPr>
        <w:t xml:space="preserve">The </w:t>
      </w:r>
      <w:r w:rsidR="00D6509A" w:rsidRPr="000D6D15">
        <w:rPr>
          <w:rFonts w:asciiTheme="minorHAnsi" w:hAnsiTheme="minorHAnsi"/>
          <w:color w:val="auto"/>
          <w:szCs w:val="24"/>
        </w:rPr>
        <w:t>Narrative Summary (</w:t>
      </w:r>
      <w:r w:rsidR="001E2F24" w:rsidRPr="000D6D15">
        <w:rPr>
          <w:rFonts w:asciiTheme="minorHAnsi" w:hAnsiTheme="minorHAnsi"/>
          <w:color w:val="auto"/>
          <w:szCs w:val="24"/>
        </w:rPr>
        <w:t>NARSUM</w:t>
      </w:r>
      <w:r w:rsidR="00D6509A" w:rsidRPr="000D6D15">
        <w:rPr>
          <w:rFonts w:asciiTheme="minorHAnsi" w:hAnsiTheme="minorHAnsi"/>
          <w:color w:val="auto"/>
          <w:szCs w:val="24"/>
        </w:rPr>
        <w:t>)</w:t>
      </w:r>
      <w:r w:rsidR="001E2F24" w:rsidRPr="000D6D15">
        <w:rPr>
          <w:rFonts w:asciiTheme="minorHAnsi" w:hAnsiTheme="minorHAnsi"/>
          <w:color w:val="auto"/>
          <w:szCs w:val="24"/>
        </w:rPr>
        <w:t xml:space="preserve"> </w:t>
      </w:r>
      <w:r w:rsidR="001E2F24" w:rsidRPr="000D6D15">
        <w:rPr>
          <w:rFonts w:asciiTheme="minorHAnsi" w:hAnsiTheme="minorHAnsi"/>
          <w:color w:val="auto"/>
        </w:rPr>
        <w:t>recommended that his case be referred to the Physical Evaluation Board (PEB) for disposition.  The PEB adjudicated the PTSD as unfitting (code 9411) at 10%.</w:t>
      </w:r>
      <w:r w:rsidR="001E2F24" w:rsidRPr="000D6D15">
        <w:rPr>
          <w:rFonts w:asciiTheme="minorHAnsi" w:hAnsiTheme="minorHAnsi"/>
          <w:color w:val="auto"/>
          <w:szCs w:val="24"/>
        </w:rPr>
        <w:t xml:space="preserve">  </w:t>
      </w:r>
      <w:r w:rsidR="00C80631" w:rsidRPr="000D6D15">
        <w:rPr>
          <w:rFonts w:asciiTheme="minorHAnsi" w:hAnsiTheme="minorHAnsi"/>
          <w:color w:val="auto"/>
        </w:rPr>
        <w:t xml:space="preserve">Alcohol dependence </w:t>
      </w:r>
      <w:r w:rsidR="00DD20DF" w:rsidRPr="000D6D15">
        <w:rPr>
          <w:rFonts w:asciiTheme="minorHAnsi" w:hAnsiTheme="minorHAnsi"/>
          <w:color w:val="auto"/>
        </w:rPr>
        <w:t>was</w:t>
      </w:r>
      <w:r w:rsidR="00C80631" w:rsidRPr="000D6D15">
        <w:rPr>
          <w:rFonts w:asciiTheme="minorHAnsi" w:hAnsiTheme="minorHAnsi"/>
          <w:color w:val="auto"/>
        </w:rPr>
        <w:t xml:space="preserve"> </w:t>
      </w:r>
      <w:r w:rsidR="001E2F24" w:rsidRPr="000D6D15">
        <w:rPr>
          <w:rFonts w:asciiTheme="minorHAnsi" w:hAnsiTheme="minorHAnsi"/>
          <w:color w:val="auto"/>
        </w:rPr>
        <w:t xml:space="preserve">adjudicated as a category IV condition </w:t>
      </w:r>
      <w:r w:rsidR="001E2F24" w:rsidRPr="000D6D15">
        <w:rPr>
          <w:rFonts w:asciiTheme="minorHAnsi" w:hAnsiTheme="minorHAnsi"/>
          <w:color w:val="auto"/>
          <w:szCs w:val="24"/>
        </w:rPr>
        <w:t>which did not constitute a physical disability</w:t>
      </w:r>
    </w:p>
    <w:p w:rsidR="00237F7A" w:rsidRPr="000D6D15" w:rsidRDefault="00237F7A" w:rsidP="00237F7A">
      <w:pPr>
        <w:pBdr>
          <w:bottom w:val="single" w:sz="12" w:space="1" w:color="auto"/>
        </w:pBdr>
        <w:tabs>
          <w:tab w:val="left" w:pos="288"/>
          <w:tab w:val="left" w:pos="4752"/>
        </w:tabs>
        <w:spacing w:line="240" w:lineRule="exact"/>
        <w:rPr>
          <w:rFonts w:asciiTheme="minorHAnsi" w:hAnsiTheme="minorHAnsi"/>
          <w:color w:val="000080"/>
        </w:rPr>
      </w:pPr>
    </w:p>
    <w:p w:rsidR="00237F7A" w:rsidRDefault="00237F7A" w:rsidP="00237F7A">
      <w:pPr>
        <w:tabs>
          <w:tab w:val="left" w:pos="288"/>
          <w:tab w:val="left" w:pos="4752"/>
        </w:tabs>
        <w:spacing w:line="240" w:lineRule="exact"/>
        <w:jc w:val="both"/>
        <w:rPr>
          <w:rFonts w:asciiTheme="minorHAnsi" w:hAnsiTheme="minorHAnsi"/>
          <w:color w:val="auto"/>
          <w:u w:val="single"/>
        </w:rPr>
      </w:pPr>
    </w:p>
    <w:p w:rsidR="00691E61" w:rsidRPr="000D6D15" w:rsidRDefault="002C6E5B" w:rsidP="008517BB">
      <w:pPr>
        <w:tabs>
          <w:tab w:val="left" w:pos="288"/>
          <w:tab w:val="left" w:pos="4752"/>
        </w:tabs>
        <w:spacing w:line="240" w:lineRule="exact"/>
        <w:jc w:val="both"/>
        <w:rPr>
          <w:rFonts w:asciiTheme="minorHAnsi" w:hAnsiTheme="minorHAnsi"/>
          <w:color w:val="auto"/>
          <w:szCs w:val="24"/>
        </w:rPr>
      </w:pPr>
      <w:r w:rsidRPr="000D6D15">
        <w:rPr>
          <w:rFonts w:asciiTheme="minorHAnsi" w:hAnsiTheme="minorHAnsi"/>
          <w:color w:val="auto"/>
          <w:u w:val="single"/>
        </w:rPr>
        <w:t>CI CONTENTION</w:t>
      </w:r>
      <w:r w:rsidRPr="000D6D15">
        <w:rPr>
          <w:rFonts w:asciiTheme="minorHAnsi" w:hAnsiTheme="minorHAnsi"/>
          <w:color w:val="auto"/>
        </w:rPr>
        <w:t>:</w:t>
      </w:r>
      <w:r w:rsidRPr="000D6D15">
        <w:rPr>
          <w:rFonts w:asciiTheme="minorHAnsi" w:hAnsiTheme="minorHAnsi"/>
          <w:color w:val="000080"/>
        </w:rPr>
        <w:t xml:space="preserve">  </w:t>
      </w:r>
      <w:r w:rsidRPr="000D6D15">
        <w:rPr>
          <w:rFonts w:asciiTheme="minorHAnsi" w:hAnsiTheme="minorHAnsi"/>
          <w:color w:val="auto"/>
        </w:rPr>
        <w:t>The CI states</w:t>
      </w:r>
      <w:r w:rsidR="008517BB" w:rsidRPr="000D6D15">
        <w:rPr>
          <w:rFonts w:asciiTheme="minorHAnsi" w:hAnsiTheme="minorHAnsi"/>
          <w:color w:val="auto"/>
        </w:rPr>
        <w:t>: “I was assigned less than 50% disability rating by the military for my unfitting PTSD upon discharge from active duty. The PDBR should assign the highest final disability rating applicable consistent with 38 CFR4.I29 and DOD policy</w:t>
      </w:r>
      <w:r w:rsidR="00E533FB" w:rsidRPr="000D6D15">
        <w:rPr>
          <w:rFonts w:asciiTheme="minorHAnsi" w:hAnsiTheme="minorHAnsi"/>
          <w:color w:val="auto"/>
        </w:rPr>
        <w:t>.</w:t>
      </w:r>
      <w:r w:rsidR="008517BB" w:rsidRPr="000D6D15">
        <w:rPr>
          <w:rFonts w:asciiTheme="minorHAnsi" w:hAnsiTheme="minorHAnsi"/>
          <w:color w:val="auto"/>
        </w:rPr>
        <w:t xml:space="preserve"> Please see attached list of contentions regarding why the PDBR should make the changes request in Item 3.”</w:t>
      </w:r>
    </w:p>
    <w:p w:rsidR="0085089F" w:rsidRPr="000D6D15" w:rsidRDefault="0085089F" w:rsidP="00AF1668">
      <w:pPr>
        <w:tabs>
          <w:tab w:val="left" w:pos="288"/>
          <w:tab w:val="left" w:pos="4752"/>
        </w:tabs>
        <w:spacing w:line="240" w:lineRule="exact"/>
        <w:rPr>
          <w:rFonts w:asciiTheme="minorHAnsi" w:hAnsiTheme="minorHAnsi"/>
          <w:color w:val="auto"/>
          <w:szCs w:val="24"/>
        </w:rPr>
      </w:pPr>
    </w:p>
    <w:p w:rsidR="00237F7A" w:rsidRDefault="0085089F" w:rsidP="00237F7A">
      <w:pPr>
        <w:pBdr>
          <w:bottom w:val="single" w:sz="12" w:space="1" w:color="auto"/>
        </w:pBdr>
        <w:tabs>
          <w:tab w:val="left" w:pos="288"/>
          <w:tab w:val="left" w:pos="4752"/>
        </w:tabs>
        <w:spacing w:line="240" w:lineRule="exact"/>
        <w:rPr>
          <w:rFonts w:asciiTheme="minorHAnsi" w:hAnsiTheme="minorHAnsi"/>
          <w:color w:val="auto"/>
          <w:szCs w:val="24"/>
        </w:rPr>
      </w:pPr>
      <w:r w:rsidRPr="000D6D15">
        <w:rPr>
          <w:rFonts w:asciiTheme="minorHAnsi" w:hAnsiTheme="minorHAnsi"/>
          <w:color w:val="auto"/>
        </w:rPr>
        <w:t>This case is court remanded under the Sabo et al v. United States class action suit.</w:t>
      </w:r>
      <w:r w:rsidRPr="000D6D15">
        <w:rPr>
          <w:rFonts w:asciiTheme="minorHAnsi" w:hAnsiTheme="minorHAnsi"/>
          <w:color w:val="auto"/>
          <w:szCs w:val="24"/>
        </w:rPr>
        <w:t xml:space="preserve">  </w:t>
      </w:r>
    </w:p>
    <w:p w:rsidR="00237F7A" w:rsidRPr="000D6D15" w:rsidRDefault="00237F7A" w:rsidP="00237F7A">
      <w:pPr>
        <w:pBdr>
          <w:bottom w:val="single" w:sz="12" w:space="1" w:color="auto"/>
        </w:pBdr>
        <w:tabs>
          <w:tab w:val="left" w:pos="288"/>
          <w:tab w:val="left" w:pos="4752"/>
        </w:tabs>
        <w:spacing w:line="240" w:lineRule="exact"/>
        <w:rPr>
          <w:rFonts w:asciiTheme="minorHAnsi" w:hAnsiTheme="minorHAnsi"/>
          <w:color w:val="000080"/>
        </w:rPr>
      </w:pPr>
    </w:p>
    <w:p w:rsidR="00237F7A" w:rsidRDefault="00237F7A" w:rsidP="00237F7A">
      <w:pPr>
        <w:tabs>
          <w:tab w:val="left" w:pos="288"/>
          <w:tab w:val="left" w:pos="4752"/>
        </w:tabs>
        <w:spacing w:line="240" w:lineRule="exact"/>
        <w:jc w:val="both"/>
        <w:rPr>
          <w:rFonts w:asciiTheme="minorHAnsi" w:hAnsiTheme="minorHAnsi"/>
          <w:color w:val="auto"/>
          <w:u w:val="single"/>
        </w:rPr>
      </w:pPr>
    </w:p>
    <w:p w:rsidR="002338CA" w:rsidRPr="000D6D15" w:rsidRDefault="002C6E5B" w:rsidP="00237F7A">
      <w:pPr>
        <w:tabs>
          <w:tab w:val="left" w:pos="288"/>
          <w:tab w:val="left" w:pos="4752"/>
        </w:tabs>
        <w:spacing w:line="240" w:lineRule="exact"/>
        <w:rPr>
          <w:rFonts w:asciiTheme="minorHAnsi" w:hAnsiTheme="minorHAnsi"/>
          <w:color w:val="auto"/>
        </w:rPr>
      </w:pPr>
      <w:r w:rsidRPr="000D6D15">
        <w:rPr>
          <w:rFonts w:asciiTheme="minorHAnsi" w:hAnsiTheme="minorHAnsi"/>
          <w:color w:val="auto"/>
          <w:u w:val="single"/>
        </w:rPr>
        <w:t>RATING COMPARISON</w:t>
      </w:r>
      <w:r w:rsidRPr="000D6D15">
        <w:rPr>
          <w:rFonts w:asciiTheme="minorHAnsi" w:hAnsiTheme="minorHAnsi"/>
          <w:color w:val="auto"/>
        </w:rPr>
        <w:t>:</w:t>
      </w:r>
    </w:p>
    <w:p w:rsidR="00F82981" w:rsidRPr="000D6D15" w:rsidRDefault="00F82981" w:rsidP="00190E48">
      <w:pPr>
        <w:tabs>
          <w:tab w:val="left" w:pos="288"/>
          <w:tab w:val="left" w:pos="4752"/>
        </w:tabs>
        <w:spacing w:line="240" w:lineRule="exact"/>
        <w:jc w:val="both"/>
        <w:rPr>
          <w:rFonts w:asciiTheme="minorHAnsi" w:hAnsiTheme="minorHAnsi"/>
          <w:color w:val="000080"/>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5"/>
        <w:gridCol w:w="360"/>
        <w:gridCol w:w="765"/>
        <w:gridCol w:w="810"/>
        <w:gridCol w:w="2295"/>
        <w:gridCol w:w="180"/>
        <w:gridCol w:w="900"/>
        <w:gridCol w:w="810"/>
        <w:gridCol w:w="1035"/>
      </w:tblGrid>
      <w:tr w:rsidR="00684E2B" w:rsidRPr="000D6D15" w:rsidTr="00A219F1">
        <w:trPr>
          <w:trHeight w:val="233"/>
          <w:jc w:val="center"/>
        </w:trPr>
        <w:tc>
          <w:tcPr>
            <w:tcW w:w="4050" w:type="dxa"/>
            <w:gridSpan w:val="4"/>
            <w:tcBorders>
              <w:right w:val="thinThickThinSmallGap" w:sz="24" w:space="0" w:color="auto"/>
            </w:tcBorders>
            <w:shd w:val="clear" w:color="auto" w:fill="D9D9D9"/>
          </w:tcPr>
          <w:p w:rsidR="00684E2B" w:rsidRPr="000D6D15" w:rsidRDefault="00684E2B" w:rsidP="008A3671">
            <w:pPr>
              <w:pStyle w:val="ListParagraph"/>
              <w:spacing w:after="0" w:line="240" w:lineRule="exact"/>
              <w:ind w:left="0"/>
              <w:jc w:val="center"/>
              <w:rPr>
                <w:rFonts w:asciiTheme="minorHAnsi" w:hAnsiTheme="minorHAnsi"/>
                <w:b/>
              </w:rPr>
            </w:pPr>
            <w:r w:rsidRPr="000D6D15">
              <w:rPr>
                <w:rFonts w:asciiTheme="minorHAnsi" w:hAnsiTheme="minorHAnsi"/>
                <w:b/>
              </w:rPr>
              <w:t xml:space="preserve">Service </w:t>
            </w:r>
            <w:r w:rsidR="009619FD" w:rsidRPr="000D6D15">
              <w:rPr>
                <w:rFonts w:asciiTheme="minorHAnsi" w:hAnsiTheme="minorHAnsi"/>
                <w:b/>
              </w:rPr>
              <w:t>I</w:t>
            </w:r>
            <w:r w:rsidRPr="000D6D15">
              <w:rPr>
                <w:rFonts w:asciiTheme="minorHAnsi" w:hAnsiTheme="minorHAnsi"/>
                <w:b/>
              </w:rPr>
              <w:t>PEB</w:t>
            </w:r>
            <w:r w:rsidR="002B2645" w:rsidRPr="000D6D15">
              <w:rPr>
                <w:rFonts w:asciiTheme="minorHAnsi" w:hAnsiTheme="minorHAnsi"/>
                <w:b/>
              </w:rPr>
              <w:t xml:space="preserve"> – </w:t>
            </w:r>
            <w:r w:rsidR="009619FD" w:rsidRPr="000D6D15">
              <w:rPr>
                <w:rFonts w:asciiTheme="minorHAnsi" w:hAnsiTheme="minorHAnsi"/>
                <w:b/>
              </w:rPr>
              <w:t>20070225</w:t>
            </w:r>
          </w:p>
        </w:tc>
        <w:tc>
          <w:tcPr>
            <w:tcW w:w="5220" w:type="dxa"/>
            <w:gridSpan w:val="5"/>
            <w:tcBorders>
              <w:left w:val="thinThickThinSmallGap" w:sz="24" w:space="0" w:color="auto"/>
            </w:tcBorders>
            <w:shd w:val="clear" w:color="auto" w:fill="D9D9D9"/>
          </w:tcPr>
          <w:p w:rsidR="008A3671" w:rsidRPr="000D6D15" w:rsidRDefault="00684E2B" w:rsidP="008A3671">
            <w:pPr>
              <w:pStyle w:val="ListParagraph"/>
              <w:spacing w:after="0" w:line="240" w:lineRule="exact"/>
              <w:ind w:left="0"/>
              <w:jc w:val="center"/>
              <w:rPr>
                <w:rFonts w:asciiTheme="minorHAnsi" w:hAnsiTheme="minorHAnsi"/>
                <w:b/>
              </w:rPr>
            </w:pPr>
            <w:r w:rsidRPr="000D6D15">
              <w:rPr>
                <w:rFonts w:asciiTheme="minorHAnsi" w:hAnsiTheme="minorHAnsi"/>
                <w:b/>
              </w:rPr>
              <w:t>VA (</w:t>
            </w:r>
            <w:r w:rsidR="008A3671" w:rsidRPr="000D6D15">
              <w:rPr>
                <w:rFonts w:asciiTheme="minorHAnsi" w:hAnsiTheme="minorHAnsi"/>
                <w:b/>
              </w:rPr>
              <w:t>3 Months</w:t>
            </w:r>
            <w:r w:rsidRPr="000D6D15">
              <w:rPr>
                <w:rFonts w:asciiTheme="minorHAnsi" w:hAnsiTheme="minorHAnsi"/>
                <w:b/>
              </w:rPr>
              <w:t xml:space="preserve"> after Separation)</w:t>
            </w:r>
          </w:p>
          <w:p w:rsidR="00684E2B" w:rsidRPr="000D6D15" w:rsidRDefault="000C3C13" w:rsidP="00E533FB">
            <w:pPr>
              <w:pStyle w:val="ListParagraph"/>
              <w:spacing w:after="0" w:line="240" w:lineRule="exact"/>
              <w:ind w:left="0"/>
              <w:jc w:val="center"/>
              <w:rPr>
                <w:rFonts w:asciiTheme="minorHAnsi" w:hAnsiTheme="minorHAnsi"/>
                <w:b/>
              </w:rPr>
            </w:pPr>
            <w:r w:rsidRPr="000D6D15">
              <w:rPr>
                <w:rFonts w:asciiTheme="minorHAnsi" w:hAnsiTheme="minorHAnsi"/>
                <w:b/>
              </w:rPr>
              <w:t xml:space="preserve">All Effective </w:t>
            </w:r>
            <w:r w:rsidR="00E625CA" w:rsidRPr="000D6D15">
              <w:rPr>
                <w:rFonts w:asciiTheme="minorHAnsi" w:hAnsiTheme="minorHAnsi"/>
                <w:b/>
              </w:rPr>
              <w:t>200703</w:t>
            </w:r>
            <w:r w:rsidR="008A3671" w:rsidRPr="000D6D15">
              <w:rPr>
                <w:rFonts w:asciiTheme="minorHAnsi" w:hAnsiTheme="minorHAnsi"/>
                <w:b/>
              </w:rPr>
              <w:t>01</w:t>
            </w:r>
          </w:p>
        </w:tc>
      </w:tr>
      <w:tr w:rsidR="002B2645" w:rsidRPr="000D6D15" w:rsidTr="008F753B">
        <w:trPr>
          <w:trHeight w:val="233"/>
          <w:jc w:val="center"/>
        </w:trPr>
        <w:tc>
          <w:tcPr>
            <w:tcW w:w="2475" w:type="dxa"/>
            <w:gridSpan w:val="2"/>
            <w:tcBorders>
              <w:bottom w:val="single" w:sz="4" w:space="0" w:color="000000"/>
            </w:tcBorders>
            <w:shd w:val="clear" w:color="auto" w:fill="D9D9D9"/>
          </w:tcPr>
          <w:p w:rsidR="002B2645" w:rsidRPr="000D6D15" w:rsidRDefault="002B2645" w:rsidP="00D50A1E">
            <w:pPr>
              <w:pStyle w:val="ListParagraph"/>
              <w:spacing w:after="0" w:line="240" w:lineRule="exact"/>
              <w:ind w:left="0"/>
              <w:jc w:val="both"/>
              <w:rPr>
                <w:rFonts w:asciiTheme="minorHAnsi" w:hAnsiTheme="minorHAnsi"/>
                <w:b/>
              </w:rPr>
            </w:pPr>
            <w:r w:rsidRPr="000D6D15">
              <w:rPr>
                <w:rFonts w:asciiTheme="minorHAnsi" w:hAnsiTheme="minorHAnsi"/>
                <w:b/>
              </w:rPr>
              <w:t>Condition</w:t>
            </w:r>
          </w:p>
        </w:tc>
        <w:tc>
          <w:tcPr>
            <w:tcW w:w="765" w:type="dxa"/>
            <w:tcBorders>
              <w:bottom w:val="single" w:sz="4" w:space="0" w:color="000000"/>
            </w:tcBorders>
            <w:shd w:val="clear" w:color="auto" w:fill="D9D9D9"/>
          </w:tcPr>
          <w:p w:rsidR="002B2645" w:rsidRPr="000D6D15" w:rsidRDefault="002B2645" w:rsidP="00D50A1E">
            <w:pPr>
              <w:pStyle w:val="ListParagraph"/>
              <w:spacing w:after="0" w:line="240" w:lineRule="exact"/>
              <w:ind w:left="0"/>
              <w:jc w:val="center"/>
              <w:rPr>
                <w:rFonts w:asciiTheme="minorHAnsi" w:hAnsiTheme="minorHAnsi"/>
                <w:b/>
              </w:rPr>
            </w:pPr>
            <w:r w:rsidRPr="000D6D15">
              <w:rPr>
                <w:rFonts w:asciiTheme="minorHAnsi" w:hAnsiTheme="minorHAnsi"/>
                <w:b/>
              </w:rPr>
              <w:t>Code</w:t>
            </w:r>
          </w:p>
        </w:tc>
        <w:tc>
          <w:tcPr>
            <w:tcW w:w="810" w:type="dxa"/>
            <w:tcBorders>
              <w:bottom w:val="single" w:sz="4" w:space="0" w:color="000000"/>
              <w:right w:val="thinThickThinSmallGap" w:sz="24" w:space="0" w:color="auto"/>
            </w:tcBorders>
            <w:shd w:val="clear" w:color="auto" w:fill="D9D9D9"/>
          </w:tcPr>
          <w:p w:rsidR="002B2645" w:rsidRPr="000D6D15" w:rsidRDefault="002B2645" w:rsidP="00D50A1E">
            <w:pPr>
              <w:pStyle w:val="ListParagraph"/>
              <w:spacing w:after="0" w:line="240" w:lineRule="exact"/>
              <w:ind w:left="0"/>
              <w:jc w:val="center"/>
              <w:rPr>
                <w:rFonts w:asciiTheme="minorHAnsi" w:hAnsiTheme="minorHAnsi"/>
                <w:b/>
              </w:rPr>
            </w:pPr>
            <w:r w:rsidRPr="000D6D15">
              <w:rPr>
                <w:rFonts w:asciiTheme="minorHAnsi" w:hAnsiTheme="minorHAnsi"/>
                <w:b/>
              </w:rPr>
              <w:t>Rating</w:t>
            </w:r>
          </w:p>
        </w:tc>
        <w:tc>
          <w:tcPr>
            <w:tcW w:w="2475" w:type="dxa"/>
            <w:gridSpan w:val="2"/>
            <w:tcBorders>
              <w:left w:val="thinThickThinSmallGap" w:sz="24" w:space="0" w:color="auto"/>
              <w:bottom w:val="single" w:sz="4" w:space="0" w:color="000000"/>
            </w:tcBorders>
            <w:shd w:val="clear" w:color="auto" w:fill="D9D9D9"/>
          </w:tcPr>
          <w:p w:rsidR="002B2645" w:rsidRPr="000D6D15" w:rsidRDefault="002B2645" w:rsidP="00D50A1E">
            <w:pPr>
              <w:pStyle w:val="ListParagraph"/>
              <w:spacing w:after="0" w:line="240" w:lineRule="exact"/>
              <w:ind w:left="0"/>
              <w:jc w:val="both"/>
              <w:rPr>
                <w:rFonts w:asciiTheme="minorHAnsi" w:hAnsiTheme="minorHAnsi"/>
                <w:b/>
              </w:rPr>
            </w:pPr>
            <w:r w:rsidRPr="000D6D15">
              <w:rPr>
                <w:rFonts w:asciiTheme="minorHAnsi" w:hAnsiTheme="minorHAnsi"/>
                <w:b/>
              </w:rPr>
              <w:t>Condition</w:t>
            </w:r>
          </w:p>
        </w:tc>
        <w:tc>
          <w:tcPr>
            <w:tcW w:w="900" w:type="dxa"/>
            <w:tcBorders>
              <w:bottom w:val="single" w:sz="4" w:space="0" w:color="000000"/>
            </w:tcBorders>
            <w:shd w:val="clear" w:color="auto" w:fill="D9D9D9"/>
          </w:tcPr>
          <w:p w:rsidR="002B2645" w:rsidRPr="000D6D15" w:rsidRDefault="002B2645" w:rsidP="00D50A1E">
            <w:pPr>
              <w:pStyle w:val="ListParagraph"/>
              <w:spacing w:after="0" w:line="240" w:lineRule="exact"/>
              <w:ind w:left="0"/>
              <w:jc w:val="center"/>
              <w:rPr>
                <w:rFonts w:asciiTheme="minorHAnsi" w:hAnsiTheme="minorHAnsi"/>
                <w:b/>
              </w:rPr>
            </w:pPr>
            <w:r w:rsidRPr="000D6D15">
              <w:rPr>
                <w:rFonts w:asciiTheme="minorHAnsi" w:hAnsiTheme="minorHAnsi"/>
                <w:b/>
              </w:rPr>
              <w:t>Code</w:t>
            </w:r>
          </w:p>
        </w:tc>
        <w:tc>
          <w:tcPr>
            <w:tcW w:w="810" w:type="dxa"/>
            <w:tcBorders>
              <w:bottom w:val="single" w:sz="4" w:space="0" w:color="000000"/>
            </w:tcBorders>
            <w:shd w:val="clear" w:color="auto" w:fill="D9D9D9"/>
          </w:tcPr>
          <w:p w:rsidR="002B2645" w:rsidRPr="000D6D15" w:rsidRDefault="002B2645" w:rsidP="00D50A1E">
            <w:pPr>
              <w:pStyle w:val="ListParagraph"/>
              <w:spacing w:after="0" w:line="240" w:lineRule="exact"/>
              <w:ind w:left="0"/>
              <w:jc w:val="center"/>
              <w:rPr>
                <w:rFonts w:asciiTheme="minorHAnsi" w:hAnsiTheme="minorHAnsi"/>
                <w:b/>
              </w:rPr>
            </w:pPr>
            <w:r w:rsidRPr="000D6D15">
              <w:rPr>
                <w:rFonts w:asciiTheme="minorHAnsi" w:hAnsiTheme="minorHAnsi"/>
                <w:b/>
              </w:rPr>
              <w:t>Rating</w:t>
            </w:r>
          </w:p>
        </w:tc>
        <w:tc>
          <w:tcPr>
            <w:tcW w:w="1035" w:type="dxa"/>
            <w:tcBorders>
              <w:bottom w:val="single" w:sz="4" w:space="0" w:color="000000"/>
            </w:tcBorders>
            <w:shd w:val="clear" w:color="auto" w:fill="D9D9D9"/>
          </w:tcPr>
          <w:p w:rsidR="002B2645" w:rsidRPr="000D6D15" w:rsidRDefault="002B2645" w:rsidP="00D50A1E">
            <w:pPr>
              <w:pStyle w:val="ListParagraph"/>
              <w:spacing w:after="0" w:line="240" w:lineRule="exact"/>
              <w:ind w:left="0"/>
              <w:jc w:val="center"/>
              <w:rPr>
                <w:rFonts w:asciiTheme="minorHAnsi" w:hAnsiTheme="minorHAnsi"/>
                <w:b/>
              </w:rPr>
            </w:pPr>
            <w:r w:rsidRPr="000D6D15">
              <w:rPr>
                <w:rFonts w:asciiTheme="minorHAnsi" w:hAnsiTheme="minorHAnsi"/>
                <w:b/>
              </w:rPr>
              <w:t>Exam</w:t>
            </w:r>
          </w:p>
        </w:tc>
      </w:tr>
      <w:tr w:rsidR="00042C26" w:rsidRPr="000D6D15" w:rsidTr="008F753B">
        <w:trPr>
          <w:trHeight w:val="287"/>
          <w:jc w:val="center"/>
        </w:trPr>
        <w:tc>
          <w:tcPr>
            <w:tcW w:w="2475" w:type="dxa"/>
            <w:gridSpan w:val="2"/>
            <w:tcBorders>
              <w:bottom w:val="single" w:sz="4" w:space="0" w:color="000000"/>
            </w:tcBorders>
            <w:shd w:val="clear" w:color="auto" w:fill="FFFFFF"/>
          </w:tcPr>
          <w:p w:rsidR="00042C26" w:rsidRPr="000D6D15" w:rsidRDefault="009619FD" w:rsidP="00D50A1E">
            <w:pPr>
              <w:pStyle w:val="ListParagraph"/>
              <w:spacing w:after="0" w:line="240" w:lineRule="exact"/>
              <w:ind w:left="0"/>
              <w:jc w:val="both"/>
              <w:rPr>
                <w:rFonts w:asciiTheme="minorHAnsi" w:hAnsiTheme="minorHAnsi"/>
                <w:sz w:val="18"/>
                <w:szCs w:val="18"/>
              </w:rPr>
            </w:pPr>
            <w:r w:rsidRPr="000D6D15">
              <w:rPr>
                <w:rFonts w:asciiTheme="minorHAnsi" w:hAnsiTheme="minorHAnsi"/>
                <w:sz w:val="18"/>
                <w:szCs w:val="18"/>
              </w:rPr>
              <w:t>PTSD</w:t>
            </w:r>
          </w:p>
        </w:tc>
        <w:tc>
          <w:tcPr>
            <w:tcW w:w="765" w:type="dxa"/>
            <w:tcBorders>
              <w:bottom w:val="single" w:sz="4" w:space="0" w:color="000000"/>
            </w:tcBorders>
            <w:shd w:val="clear" w:color="auto" w:fill="FFFFFF"/>
          </w:tcPr>
          <w:p w:rsidR="00042C26" w:rsidRPr="000D6D15" w:rsidRDefault="009619FD" w:rsidP="00D50A1E">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9411</w:t>
            </w:r>
          </w:p>
        </w:tc>
        <w:tc>
          <w:tcPr>
            <w:tcW w:w="810" w:type="dxa"/>
            <w:tcBorders>
              <w:bottom w:val="single" w:sz="4" w:space="0" w:color="000000"/>
              <w:right w:val="thinThickThinSmallGap" w:sz="24" w:space="0" w:color="auto"/>
            </w:tcBorders>
            <w:shd w:val="clear" w:color="auto" w:fill="FFFFFF"/>
          </w:tcPr>
          <w:p w:rsidR="00042C26" w:rsidRPr="000D6D15" w:rsidRDefault="009619FD" w:rsidP="00D50A1E">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10%</w:t>
            </w:r>
          </w:p>
        </w:tc>
        <w:tc>
          <w:tcPr>
            <w:tcW w:w="2475" w:type="dxa"/>
            <w:gridSpan w:val="2"/>
            <w:tcBorders>
              <w:left w:val="thinThickThinSmallGap" w:sz="24" w:space="0" w:color="auto"/>
            </w:tcBorders>
            <w:shd w:val="clear" w:color="auto" w:fill="FFFFFF"/>
          </w:tcPr>
          <w:p w:rsidR="00042C26" w:rsidRPr="000D6D15" w:rsidRDefault="00E625CA" w:rsidP="00D50A1E">
            <w:pPr>
              <w:pStyle w:val="ListParagraph"/>
              <w:spacing w:after="0" w:line="240" w:lineRule="exact"/>
              <w:ind w:left="0"/>
              <w:jc w:val="both"/>
              <w:rPr>
                <w:rFonts w:asciiTheme="minorHAnsi" w:hAnsiTheme="minorHAnsi"/>
                <w:sz w:val="18"/>
                <w:szCs w:val="18"/>
              </w:rPr>
            </w:pPr>
            <w:r w:rsidRPr="000D6D15">
              <w:rPr>
                <w:rFonts w:asciiTheme="minorHAnsi" w:hAnsiTheme="minorHAnsi"/>
                <w:sz w:val="18"/>
                <w:szCs w:val="18"/>
              </w:rPr>
              <w:t>PTSD</w:t>
            </w:r>
          </w:p>
        </w:tc>
        <w:tc>
          <w:tcPr>
            <w:tcW w:w="900" w:type="dxa"/>
            <w:shd w:val="clear" w:color="auto" w:fill="FFFFFF"/>
          </w:tcPr>
          <w:p w:rsidR="00042C26" w:rsidRPr="000D6D15" w:rsidRDefault="00E625CA" w:rsidP="008A3671">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9411</w:t>
            </w:r>
          </w:p>
        </w:tc>
        <w:tc>
          <w:tcPr>
            <w:tcW w:w="810" w:type="dxa"/>
            <w:shd w:val="clear" w:color="auto" w:fill="FFFFFF"/>
            <w:vAlign w:val="center"/>
          </w:tcPr>
          <w:p w:rsidR="00042C26" w:rsidRPr="000D6D15" w:rsidRDefault="00E625CA" w:rsidP="008A3671">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50%</w:t>
            </w:r>
          </w:p>
        </w:tc>
        <w:tc>
          <w:tcPr>
            <w:tcW w:w="1035" w:type="dxa"/>
            <w:shd w:val="clear" w:color="auto" w:fill="FFFFFF"/>
            <w:vAlign w:val="center"/>
          </w:tcPr>
          <w:p w:rsidR="00042C26" w:rsidRPr="000D6D15" w:rsidRDefault="00E625CA" w:rsidP="008A3671">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20070605</w:t>
            </w:r>
          </w:p>
        </w:tc>
      </w:tr>
      <w:tr w:rsidR="008F753B" w:rsidRPr="000D6D15" w:rsidTr="008F753B">
        <w:trPr>
          <w:trHeight w:val="188"/>
          <w:jc w:val="center"/>
        </w:trPr>
        <w:tc>
          <w:tcPr>
            <w:tcW w:w="2115" w:type="dxa"/>
            <w:tcBorders>
              <w:right w:val="single" w:sz="4" w:space="0" w:color="auto"/>
            </w:tcBorders>
            <w:shd w:val="clear" w:color="auto" w:fill="FFFFFF"/>
          </w:tcPr>
          <w:p w:rsidR="008F753B" w:rsidRPr="000D6D15" w:rsidRDefault="008F753B" w:rsidP="00E35ABF">
            <w:pPr>
              <w:pStyle w:val="ListParagraph"/>
              <w:spacing w:after="0" w:line="240" w:lineRule="exact"/>
              <w:ind w:left="0"/>
              <w:rPr>
                <w:rFonts w:asciiTheme="minorHAnsi" w:hAnsiTheme="minorHAnsi"/>
                <w:sz w:val="18"/>
                <w:szCs w:val="18"/>
              </w:rPr>
            </w:pPr>
            <w:r w:rsidRPr="000D6D15">
              <w:rPr>
                <w:rFonts w:asciiTheme="minorHAnsi" w:hAnsiTheme="minorHAnsi"/>
                <w:sz w:val="18"/>
                <w:szCs w:val="18"/>
              </w:rPr>
              <w:t xml:space="preserve">Alcohol Dependence </w:t>
            </w:r>
          </w:p>
        </w:tc>
        <w:tc>
          <w:tcPr>
            <w:tcW w:w="1935" w:type="dxa"/>
            <w:gridSpan w:val="3"/>
            <w:tcBorders>
              <w:right w:val="thinThickThinSmallGap" w:sz="24" w:space="0" w:color="auto"/>
            </w:tcBorders>
            <w:shd w:val="clear" w:color="auto" w:fill="FFFFFF"/>
          </w:tcPr>
          <w:p w:rsidR="008F753B" w:rsidRPr="000D6D15" w:rsidRDefault="008F753B" w:rsidP="008F753B">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Cat IV  Not Unfitting</w:t>
            </w:r>
          </w:p>
        </w:tc>
        <w:tc>
          <w:tcPr>
            <w:tcW w:w="2475" w:type="dxa"/>
            <w:gridSpan w:val="2"/>
            <w:tcBorders>
              <w:left w:val="thinThickThinSmallGap" w:sz="24" w:space="0" w:color="auto"/>
            </w:tcBorders>
            <w:shd w:val="clear" w:color="auto" w:fill="FFFFFF"/>
          </w:tcPr>
          <w:p w:rsidR="008F753B" w:rsidRPr="000D6D15" w:rsidRDefault="008F753B" w:rsidP="00D50A1E">
            <w:pPr>
              <w:pStyle w:val="ListParagraph"/>
              <w:spacing w:after="0" w:line="240" w:lineRule="exact"/>
              <w:ind w:left="0"/>
              <w:jc w:val="both"/>
              <w:rPr>
                <w:rFonts w:asciiTheme="minorHAnsi" w:hAnsiTheme="minorHAnsi"/>
                <w:sz w:val="18"/>
                <w:szCs w:val="18"/>
              </w:rPr>
            </w:pPr>
            <w:r w:rsidRPr="000D6D15">
              <w:rPr>
                <w:rFonts w:asciiTheme="minorHAnsi" w:hAnsiTheme="minorHAnsi"/>
                <w:sz w:val="18"/>
                <w:szCs w:val="18"/>
              </w:rPr>
              <w:t>-</w:t>
            </w:r>
          </w:p>
        </w:tc>
        <w:tc>
          <w:tcPr>
            <w:tcW w:w="900" w:type="dxa"/>
            <w:shd w:val="clear" w:color="auto" w:fill="FFFFFF"/>
          </w:tcPr>
          <w:p w:rsidR="008F753B" w:rsidRPr="000D6D15" w:rsidRDefault="008F753B" w:rsidP="008A3671">
            <w:pPr>
              <w:pStyle w:val="ListParagraph"/>
              <w:spacing w:after="0" w:line="240" w:lineRule="exact"/>
              <w:ind w:left="0"/>
              <w:jc w:val="center"/>
              <w:rPr>
                <w:rFonts w:asciiTheme="minorHAnsi" w:hAnsiTheme="minorHAnsi"/>
                <w:sz w:val="18"/>
                <w:szCs w:val="18"/>
              </w:rPr>
            </w:pPr>
          </w:p>
        </w:tc>
        <w:tc>
          <w:tcPr>
            <w:tcW w:w="810" w:type="dxa"/>
            <w:shd w:val="clear" w:color="auto" w:fill="FFFFFF"/>
            <w:vAlign w:val="center"/>
          </w:tcPr>
          <w:p w:rsidR="008F753B" w:rsidRPr="000D6D15" w:rsidRDefault="008F753B" w:rsidP="008A3671">
            <w:pPr>
              <w:pStyle w:val="ListParagraph"/>
              <w:spacing w:after="0" w:line="240" w:lineRule="exact"/>
              <w:ind w:left="0"/>
              <w:jc w:val="center"/>
              <w:rPr>
                <w:rFonts w:asciiTheme="minorHAnsi" w:hAnsiTheme="minorHAnsi"/>
                <w:sz w:val="18"/>
                <w:szCs w:val="18"/>
              </w:rPr>
            </w:pPr>
          </w:p>
        </w:tc>
        <w:tc>
          <w:tcPr>
            <w:tcW w:w="1035" w:type="dxa"/>
            <w:shd w:val="clear" w:color="auto" w:fill="FFFFFF"/>
            <w:vAlign w:val="center"/>
          </w:tcPr>
          <w:p w:rsidR="008F753B" w:rsidRPr="000D6D15" w:rsidRDefault="008F753B" w:rsidP="008A3671">
            <w:pPr>
              <w:pStyle w:val="ListParagraph"/>
              <w:spacing w:after="0" w:line="240" w:lineRule="exact"/>
              <w:ind w:left="0"/>
              <w:jc w:val="center"/>
              <w:rPr>
                <w:rFonts w:asciiTheme="minorHAnsi" w:hAnsiTheme="minorHAnsi"/>
                <w:sz w:val="18"/>
                <w:szCs w:val="18"/>
              </w:rPr>
            </w:pPr>
          </w:p>
        </w:tc>
      </w:tr>
      <w:tr w:rsidR="008F753B" w:rsidRPr="000D6D15" w:rsidTr="008F753B">
        <w:trPr>
          <w:trHeight w:val="287"/>
          <w:jc w:val="center"/>
        </w:trPr>
        <w:tc>
          <w:tcPr>
            <w:tcW w:w="2475" w:type="dxa"/>
            <w:gridSpan w:val="2"/>
            <w:tcBorders>
              <w:bottom w:val="nil"/>
              <w:right w:val="single" w:sz="4" w:space="0" w:color="auto"/>
            </w:tcBorders>
            <w:shd w:val="clear" w:color="auto" w:fill="FFFFFF"/>
          </w:tcPr>
          <w:p w:rsidR="008F753B" w:rsidRPr="000D6D15" w:rsidRDefault="008F753B" w:rsidP="001A6123">
            <w:pPr>
              <w:pStyle w:val="ListParagraph"/>
              <w:spacing w:after="0" w:line="240" w:lineRule="exact"/>
              <w:ind w:left="0"/>
              <w:jc w:val="center"/>
              <w:rPr>
                <w:rFonts w:asciiTheme="minorHAnsi" w:hAnsiTheme="minorHAnsi"/>
                <w:sz w:val="18"/>
                <w:szCs w:val="18"/>
              </w:rPr>
            </w:pPr>
          </w:p>
        </w:tc>
        <w:tc>
          <w:tcPr>
            <w:tcW w:w="1575" w:type="dxa"/>
            <w:gridSpan w:val="2"/>
            <w:tcBorders>
              <w:left w:val="single" w:sz="4" w:space="0" w:color="auto"/>
              <w:bottom w:val="nil"/>
              <w:right w:val="thinThickThinSmallGap" w:sz="24" w:space="0" w:color="auto"/>
            </w:tcBorders>
            <w:shd w:val="clear" w:color="auto" w:fill="FFFFFF"/>
          </w:tcPr>
          <w:p w:rsidR="008F753B" w:rsidRPr="000D6D15" w:rsidRDefault="008F753B" w:rsidP="001A6123">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MEB H&amp;P</w:t>
            </w:r>
          </w:p>
        </w:tc>
        <w:tc>
          <w:tcPr>
            <w:tcW w:w="2295" w:type="dxa"/>
            <w:tcBorders>
              <w:left w:val="thinThickThinSmallGap" w:sz="24" w:space="0" w:color="auto"/>
              <w:right w:val="single" w:sz="4" w:space="0" w:color="auto"/>
            </w:tcBorders>
            <w:shd w:val="clear" w:color="auto" w:fill="FFFFFF"/>
          </w:tcPr>
          <w:p w:rsidR="008F753B" w:rsidRPr="000D6D15" w:rsidRDefault="008F753B" w:rsidP="008A3671">
            <w:pPr>
              <w:pStyle w:val="ListParagraph"/>
              <w:spacing w:after="0" w:line="240" w:lineRule="exact"/>
              <w:ind w:left="0"/>
              <w:rPr>
                <w:rFonts w:asciiTheme="minorHAnsi" w:hAnsiTheme="minorHAnsi"/>
                <w:sz w:val="18"/>
                <w:szCs w:val="18"/>
              </w:rPr>
            </w:pPr>
            <w:r w:rsidRPr="000D6D15">
              <w:rPr>
                <w:rFonts w:asciiTheme="minorHAnsi" w:hAnsiTheme="minorHAnsi"/>
                <w:sz w:val="18"/>
                <w:szCs w:val="18"/>
              </w:rPr>
              <w:t>Chondromalacia  Right Knee</w:t>
            </w:r>
          </w:p>
        </w:tc>
        <w:tc>
          <w:tcPr>
            <w:tcW w:w="1080" w:type="dxa"/>
            <w:gridSpan w:val="2"/>
            <w:tcBorders>
              <w:left w:val="single" w:sz="4" w:space="0" w:color="auto"/>
            </w:tcBorders>
            <w:shd w:val="clear" w:color="auto" w:fill="FFFFFF"/>
          </w:tcPr>
          <w:p w:rsidR="008F753B" w:rsidRPr="000D6D15" w:rsidRDefault="008F753B" w:rsidP="008F753B">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5260-5024</w:t>
            </w:r>
          </w:p>
        </w:tc>
        <w:tc>
          <w:tcPr>
            <w:tcW w:w="810" w:type="dxa"/>
            <w:shd w:val="clear" w:color="auto" w:fill="FFFFFF"/>
          </w:tcPr>
          <w:p w:rsidR="008F753B" w:rsidRPr="000D6D15" w:rsidRDefault="008F753B" w:rsidP="008F753B">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10%</w:t>
            </w:r>
          </w:p>
        </w:tc>
        <w:tc>
          <w:tcPr>
            <w:tcW w:w="1035" w:type="dxa"/>
            <w:shd w:val="clear" w:color="auto" w:fill="FFFFFF"/>
          </w:tcPr>
          <w:p w:rsidR="008F753B" w:rsidRPr="000D6D15" w:rsidRDefault="008F753B" w:rsidP="008F753B">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20070604</w:t>
            </w:r>
          </w:p>
        </w:tc>
      </w:tr>
      <w:tr w:rsidR="00A219F1" w:rsidRPr="000D6D15" w:rsidTr="008F753B">
        <w:trPr>
          <w:trHeight w:val="287"/>
          <w:jc w:val="center"/>
        </w:trPr>
        <w:tc>
          <w:tcPr>
            <w:tcW w:w="2475" w:type="dxa"/>
            <w:gridSpan w:val="2"/>
            <w:tcBorders>
              <w:bottom w:val="nil"/>
              <w:right w:val="single" w:sz="4" w:space="0" w:color="auto"/>
            </w:tcBorders>
            <w:shd w:val="clear" w:color="auto" w:fill="FFFFFF"/>
          </w:tcPr>
          <w:p w:rsidR="00A219F1" w:rsidRPr="000D6D15" w:rsidRDefault="00A219F1" w:rsidP="001A6123">
            <w:pPr>
              <w:pStyle w:val="ListParagraph"/>
              <w:spacing w:after="0" w:line="240" w:lineRule="exact"/>
              <w:ind w:left="0"/>
              <w:jc w:val="center"/>
              <w:rPr>
                <w:rFonts w:asciiTheme="minorHAnsi" w:hAnsiTheme="minorHAnsi"/>
                <w:sz w:val="18"/>
                <w:szCs w:val="18"/>
              </w:rPr>
            </w:pPr>
          </w:p>
        </w:tc>
        <w:tc>
          <w:tcPr>
            <w:tcW w:w="1575" w:type="dxa"/>
            <w:gridSpan w:val="2"/>
            <w:tcBorders>
              <w:left w:val="single" w:sz="4" w:space="0" w:color="auto"/>
              <w:bottom w:val="nil"/>
              <w:right w:val="thinThickThinSmallGap" w:sz="24" w:space="0" w:color="auto"/>
            </w:tcBorders>
            <w:shd w:val="clear" w:color="auto" w:fill="FFFFFF"/>
          </w:tcPr>
          <w:p w:rsidR="00A219F1" w:rsidRPr="000D6D15" w:rsidRDefault="008A3671" w:rsidP="001A6123">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MEB H&amp;P</w:t>
            </w:r>
          </w:p>
        </w:tc>
        <w:tc>
          <w:tcPr>
            <w:tcW w:w="2475" w:type="dxa"/>
            <w:gridSpan w:val="2"/>
            <w:tcBorders>
              <w:left w:val="thinThickThinSmallGap" w:sz="24" w:space="0" w:color="auto"/>
            </w:tcBorders>
            <w:shd w:val="clear" w:color="auto" w:fill="FFFFFF"/>
          </w:tcPr>
          <w:p w:rsidR="00A219F1" w:rsidRPr="000D6D15" w:rsidRDefault="00A219F1" w:rsidP="008F753B">
            <w:pPr>
              <w:pStyle w:val="ListParagraph"/>
              <w:spacing w:after="0" w:line="240" w:lineRule="exact"/>
              <w:ind w:left="0"/>
              <w:rPr>
                <w:rFonts w:asciiTheme="minorHAnsi" w:hAnsiTheme="minorHAnsi"/>
                <w:sz w:val="18"/>
                <w:szCs w:val="18"/>
              </w:rPr>
            </w:pPr>
            <w:r w:rsidRPr="000D6D15">
              <w:rPr>
                <w:rFonts w:asciiTheme="minorHAnsi" w:hAnsiTheme="minorHAnsi"/>
                <w:sz w:val="18"/>
                <w:szCs w:val="18"/>
              </w:rPr>
              <w:t>Fracture Right Proximal 5</w:t>
            </w:r>
            <w:r w:rsidR="008F753B" w:rsidRPr="000D6D15">
              <w:rPr>
                <w:rFonts w:asciiTheme="minorHAnsi" w:hAnsiTheme="minorHAnsi"/>
                <w:sz w:val="18"/>
                <w:szCs w:val="18"/>
              </w:rPr>
              <w:t>th</w:t>
            </w:r>
            <w:r w:rsidRPr="000D6D15">
              <w:rPr>
                <w:rFonts w:asciiTheme="minorHAnsi" w:hAnsiTheme="minorHAnsi"/>
                <w:sz w:val="18"/>
                <w:szCs w:val="18"/>
              </w:rPr>
              <w:t xml:space="preserve"> Metatarsal</w:t>
            </w:r>
          </w:p>
        </w:tc>
        <w:tc>
          <w:tcPr>
            <w:tcW w:w="900" w:type="dxa"/>
            <w:shd w:val="clear" w:color="auto" w:fill="FFFFFF"/>
          </w:tcPr>
          <w:p w:rsidR="00A219F1" w:rsidRPr="000D6D15" w:rsidRDefault="00A219F1" w:rsidP="008F753B">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5284</w:t>
            </w:r>
          </w:p>
        </w:tc>
        <w:tc>
          <w:tcPr>
            <w:tcW w:w="810" w:type="dxa"/>
            <w:shd w:val="clear" w:color="auto" w:fill="FFFFFF"/>
          </w:tcPr>
          <w:p w:rsidR="00A219F1" w:rsidRPr="000D6D15" w:rsidRDefault="00A219F1" w:rsidP="008F753B">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0%</w:t>
            </w:r>
          </w:p>
        </w:tc>
        <w:tc>
          <w:tcPr>
            <w:tcW w:w="1035" w:type="dxa"/>
            <w:shd w:val="clear" w:color="auto" w:fill="FFFFFF"/>
          </w:tcPr>
          <w:p w:rsidR="00A219F1" w:rsidRPr="000D6D15" w:rsidRDefault="00A219F1" w:rsidP="008F753B">
            <w:pPr>
              <w:pStyle w:val="ListParagraph"/>
              <w:spacing w:after="0" w:line="240" w:lineRule="exact"/>
              <w:ind w:left="0"/>
              <w:jc w:val="center"/>
              <w:rPr>
                <w:rFonts w:asciiTheme="minorHAnsi" w:hAnsiTheme="minorHAnsi"/>
                <w:sz w:val="18"/>
                <w:szCs w:val="18"/>
              </w:rPr>
            </w:pPr>
            <w:r w:rsidRPr="000D6D15">
              <w:rPr>
                <w:rFonts w:asciiTheme="minorHAnsi" w:hAnsiTheme="minorHAnsi"/>
                <w:sz w:val="18"/>
                <w:szCs w:val="18"/>
              </w:rPr>
              <w:t>20070604</w:t>
            </w:r>
          </w:p>
        </w:tc>
      </w:tr>
      <w:tr w:rsidR="00A219F1" w:rsidRPr="000D6D15" w:rsidTr="00A219F1">
        <w:trPr>
          <w:trHeight w:val="242"/>
          <w:jc w:val="center"/>
        </w:trPr>
        <w:tc>
          <w:tcPr>
            <w:tcW w:w="4050" w:type="dxa"/>
            <w:gridSpan w:val="4"/>
            <w:tcBorders>
              <w:right w:val="thinThickThinSmallGap" w:sz="24" w:space="0" w:color="auto"/>
            </w:tcBorders>
            <w:shd w:val="clear" w:color="auto" w:fill="D9D9D9"/>
          </w:tcPr>
          <w:p w:rsidR="00A219F1" w:rsidRPr="000D6D15" w:rsidRDefault="00A219F1" w:rsidP="00D50A1E">
            <w:pPr>
              <w:pStyle w:val="ListParagraph"/>
              <w:spacing w:after="0" w:line="240" w:lineRule="exact"/>
              <w:ind w:left="0"/>
              <w:jc w:val="center"/>
              <w:rPr>
                <w:rFonts w:asciiTheme="minorHAnsi" w:hAnsiTheme="minorHAnsi"/>
                <w:b/>
              </w:rPr>
            </w:pPr>
            <w:r w:rsidRPr="000D6D15">
              <w:rPr>
                <w:rFonts w:asciiTheme="minorHAnsi" w:hAnsiTheme="minorHAnsi"/>
                <w:b/>
              </w:rPr>
              <w:t>TOTAL Combined:  10%</w:t>
            </w:r>
          </w:p>
        </w:tc>
        <w:tc>
          <w:tcPr>
            <w:tcW w:w="5220" w:type="dxa"/>
            <w:gridSpan w:val="5"/>
            <w:tcBorders>
              <w:left w:val="thinThickThinSmallGap" w:sz="24" w:space="0" w:color="auto"/>
            </w:tcBorders>
            <w:shd w:val="clear" w:color="auto" w:fill="D9D9D9"/>
          </w:tcPr>
          <w:p w:rsidR="00A219F1" w:rsidRPr="000D6D15" w:rsidRDefault="00A219F1" w:rsidP="00D50A1E">
            <w:pPr>
              <w:pStyle w:val="ListParagraph"/>
              <w:spacing w:after="0" w:line="240" w:lineRule="exact"/>
              <w:ind w:left="0"/>
              <w:jc w:val="center"/>
              <w:rPr>
                <w:rFonts w:asciiTheme="minorHAnsi" w:hAnsiTheme="minorHAnsi"/>
                <w:b/>
              </w:rPr>
            </w:pPr>
            <w:r w:rsidRPr="000D6D15">
              <w:rPr>
                <w:rFonts w:asciiTheme="minorHAnsi" w:hAnsiTheme="minorHAnsi"/>
                <w:b/>
              </w:rPr>
              <w:t>TOTAL Combined: 60%</w:t>
            </w:r>
          </w:p>
        </w:tc>
      </w:tr>
    </w:tbl>
    <w:p w:rsidR="00156BA9" w:rsidRPr="000D6D15" w:rsidRDefault="00156BA9" w:rsidP="009E6379">
      <w:pPr>
        <w:tabs>
          <w:tab w:val="left" w:pos="288"/>
          <w:tab w:val="left" w:pos="4752"/>
        </w:tabs>
        <w:spacing w:line="240" w:lineRule="exact"/>
        <w:jc w:val="center"/>
        <w:rPr>
          <w:rFonts w:asciiTheme="minorHAnsi" w:hAnsiTheme="minorHAnsi"/>
          <w:color w:val="000080"/>
          <w:sz w:val="18"/>
          <w:szCs w:val="18"/>
          <w:u w:val="single"/>
        </w:rPr>
      </w:pPr>
    </w:p>
    <w:p w:rsidR="00237F7A" w:rsidRPr="000D6D15" w:rsidRDefault="00237F7A" w:rsidP="00237F7A">
      <w:pPr>
        <w:pBdr>
          <w:bottom w:val="single" w:sz="12" w:space="1" w:color="auto"/>
        </w:pBdr>
        <w:tabs>
          <w:tab w:val="left" w:pos="288"/>
          <w:tab w:val="left" w:pos="4752"/>
        </w:tabs>
        <w:spacing w:line="240" w:lineRule="exact"/>
        <w:rPr>
          <w:rFonts w:asciiTheme="minorHAnsi" w:hAnsiTheme="minorHAnsi"/>
          <w:color w:val="000080"/>
        </w:rPr>
      </w:pPr>
    </w:p>
    <w:p w:rsidR="00237F7A" w:rsidRDefault="00237F7A" w:rsidP="00237F7A">
      <w:pPr>
        <w:tabs>
          <w:tab w:val="left" w:pos="288"/>
          <w:tab w:val="left" w:pos="4752"/>
        </w:tabs>
        <w:spacing w:line="240" w:lineRule="exact"/>
        <w:jc w:val="both"/>
        <w:rPr>
          <w:rFonts w:asciiTheme="minorHAnsi" w:hAnsiTheme="minorHAnsi"/>
          <w:color w:val="auto"/>
          <w:u w:val="single"/>
        </w:rPr>
      </w:pPr>
    </w:p>
    <w:p w:rsidR="00C04FF0" w:rsidRPr="000D6D15" w:rsidRDefault="00BF162A" w:rsidP="00860B7D">
      <w:pPr>
        <w:tabs>
          <w:tab w:val="left" w:pos="288"/>
          <w:tab w:val="left" w:pos="4752"/>
        </w:tabs>
        <w:spacing w:line="240" w:lineRule="exact"/>
        <w:jc w:val="both"/>
        <w:rPr>
          <w:rFonts w:asciiTheme="minorHAnsi" w:hAnsiTheme="minorHAnsi"/>
          <w:color w:val="auto"/>
          <w:szCs w:val="24"/>
          <w:u w:val="single"/>
        </w:rPr>
      </w:pPr>
      <w:r w:rsidRPr="000D6D15">
        <w:rPr>
          <w:rFonts w:asciiTheme="minorHAnsi" w:hAnsiTheme="minorHAnsi"/>
          <w:color w:val="auto"/>
          <w:szCs w:val="24"/>
          <w:u w:val="single"/>
        </w:rPr>
        <w:t>ANALYSIS SUMMARY:</w:t>
      </w:r>
    </w:p>
    <w:p w:rsidR="00610C68" w:rsidRDefault="00610C68" w:rsidP="00C04FF0">
      <w:pPr>
        <w:tabs>
          <w:tab w:val="left" w:pos="288"/>
          <w:tab w:val="left" w:pos="4752"/>
        </w:tabs>
        <w:spacing w:line="240" w:lineRule="exact"/>
        <w:jc w:val="both"/>
        <w:rPr>
          <w:rFonts w:asciiTheme="minorHAnsi" w:hAnsiTheme="minorHAnsi"/>
          <w:color w:val="auto"/>
          <w:szCs w:val="24"/>
          <w:u w:val="single"/>
        </w:rPr>
      </w:pPr>
    </w:p>
    <w:p w:rsidR="00914D1B" w:rsidRPr="000D6D15" w:rsidRDefault="00C04FF0" w:rsidP="00610C68">
      <w:pPr>
        <w:tabs>
          <w:tab w:val="left" w:pos="288"/>
          <w:tab w:val="left" w:pos="4752"/>
        </w:tabs>
        <w:spacing w:line="240" w:lineRule="exact"/>
        <w:jc w:val="both"/>
        <w:rPr>
          <w:rFonts w:asciiTheme="minorHAnsi" w:hAnsiTheme="minorHAnsi"/>
          <w:color w:val="auto"/>
        </w:rPr>
      </w:pPr>
      <w:r w:rsidRPr="000D6D15">
        <w:rPr>
          <w:rFonts w:asciiTheme="minorHAnsi" w:hAnsiTheme="minorHAnsi"/>
          <w:color w:val="auto"/>
          <w:szCs w:val="24"/>
          <w:u w:val="single"/>
        </w:rPr>
        <w:t>Post Traumatic Stress Disorder (PTSD)</w:t>
      </w:r>
      <w:r w:rsidR="00610C68">
        <w:rPr>
          <w:rFonts w:asciiTheme="minorHAnsi" w:hAnsiTheme="minorHAnsi"/>
          <w:color w:val="auto"/>
          <w:szCs w:val="24"/>
        </w:rPr>
        <w:t xml:space="preserve">.  </w:t>
      </w:r>
      <w:r w:rsidR="00B72B5F" w:rsidRPr="000D6D15">
        <w:rPr>
          <w:rFonts w:asciiTheme="minorHAnsi" w:hAnsiTheme="minorHAnsi"/>
          <w:color w:val="auto"/>
        </w:rPr>
        <w:t xml:space="preserve">The CI was deployed to Iraq from August 2004 to July 2005 in Fallujah. </w:t>
      </w:r>
      <w:r w:rsidR="00610C68">
        <w:rPr>
          <w:rFonts w:asciiTheme="minorHAnsi" w:hAnsiTheme="minorHAnsi"/>
          <w:color w:val="auto"/>
        </w:rPr>
        <w:t xml:space="preserve"> </w:t>
      </w:r>
      <w:r w:rsidR="00B72B5F" w:rsidRPr="000D6D15">
        <w:rPr>
          <w:rFonts w:asciiTheme="minorHAnsi" w:hAnsiTheme="minorHAnsi"/>
          <w:color w:val="auto"/>
        </w:rPr>
        <w:t xml:space="preserve">While in Iraq the CI was repeatedly exposed to death of comrades, civilian personnel and destruction as well as received and returned direct fire in combat.  Criterion A </w:t>
      </w:r>
      <w:r w:rsidR="00B72B5F" w:rsidRPr="000D6D15">
        <w:rPr>
          <w:rFonts w:asciiTheme="minorHAnsi" w:hAnsiTheme="minorHAnsi"/>
          <w:color w:val="auto"/>
        </w:rPr>
        <w:lastRenderedPageBreak/>
        <w:t xml:space="preserve">combat stressors were documented and the Diagnostic and Statistical Manual of Mental Disorders (DSM IV) criteria for an Axis I diagnosis of PTSD were met.  His PTSD first became symptomatic during </w:t>
      </w:r>
      <w:r w:rsidR="0068424B" w:rsidRPr="000D6D15">
        <w:rPr>
          <w:rFonts w:asciiTheme="minorHAnsi" w:hAnsiTheme="minorHAnsi"/>
          <w:color w:val="auto"/>
        </w:rPr>
        <w:t>his 2004 OIF d</w:t>
      </w:r>
      <w:r w:rsidR="00B72B5F" w:rsidRPr="000D6D15">
        <w:rPr>
          <w:rFonts w:asciiTheme="minorHAnsi" w:hAnsiTheme="minorHAnsi"/>
          <w:color w:val="auto"/>
        </w:rPr>
        <w:t>eployment</w:t>
      </w:r>
      <w:r w:rsidR="0068424B" w:rsidRPr="000D6D15">
        <w:rPr>
          <w:rFonts w:asciiTheme="minorHAnsi" w:hAnsiTheme="minorHAnsi"/>
          <w:color w:val="auto"/>
        </w:rPr>
        <w:t xml:space="preserve">.  The CI deployed to Okinawa from July 2005 to January 2006, where </w:t>
      </w:r>
      <w:r w:rsidR="00257FC0">
        <w:rPr>
          <w:rFonts w:asciiTheme="minorHAnsi" w:hAnsiTheme="minorHAnsi"/>
          <w:color w:val="auto"/>
        </w:rPr>
        <w:t xml:space="preserve">he </w:t>
      </w:r>
      <w:r w:rsidR="0068424B" w:rsidRPr="000D6D15">
        <w:rPr>
          <w:rFonts w:asciiTheme="minorHAnsi" w:hAnsiTheme="minorHAnsi"/>
          <w:color w:val="auto"/>
        </w:rPr>
        <w:t>was seen by psychiatry and diagnosed with PTSD and Alcohol Abuse.</w:t>
      </w:r>
      <w:r w:rsidR="00F348A9" w:rsidRPr="000D6D15">
        <w:rPr>
          <w:rFonts w:asciiTheme="minorHAnsi" w:hAnsiTheme="minorHAnsi"/>
          <w:color w:val="auto"/>
        </w:rPr>
        <w:t xml:space="preserve">  </w:t>
      </w:r>
      <w:r w:rsidR="006B32F3" w:rsidRPr="000D6D15">
        <w:rPr>
          <w:rFonts w:asciiTheme="minorHAnsi" w:hAnsiTheme="minorHAnsi"/>
          <w:color w:val="auto"/>
          <w:szCs w:val="24"/>
        </w:rPr>
        <w:t>The CI entered Substance abuse treatment program for alcohol abuse on 20060627.  He completed</w:t>
      </w:r>
      <w:r w:rsidR="00F348A9" w:rsidRPr="000D6D15">
        <w:rPr>
          <w:rFonts w:asciiTheme="minorHAnsi" w:hAnsiTheme="minorHAnsi"/>
          <w:color w:val="auto"/>
          <w:szCs w:val="24"/>
        </w:rPr>
        <w:t xml:space="preserve"> the program successfully, and wa</w:t>
      </w:r>
      <w:r w:rsidR="006B32F3" w:rsidRPr="000D6D15">
        <w:rPr>
          <w:rFonts w:asciiTheme="minorHAnsi" w:hAnsiTheme="minorHAnsi"/>
          <w:color w:val="auto"/>
          <w:szCs w:val="24"/>
        </w:rPr>
        <w:t>s actively working a 12-step program.  The recor</w:t>
      </w:r>
      <w:r w:rsidR="00F348A9" w:rsidRPr="000D6D15">
        <w:rPr>
          <w:rFonts w:asciiTheme="minorHAnsi" w:hAnsiTheme="minorHAnsi"/>
          <w:color w:val="auto"/>
          <w:szCs w:val="24"/>
        </w:rPr>
        <w:t>ds provided document that he had</w:t>
      </w:r>
      <w:r w:rsidR="006B32F3" w:rsidRPr="000D6D15">
        <w:rPr>
          <w:rFonts w:asciiTheme="minorHAnsi" w:hAnsiTheme="minorHAnsi"/>
          <w:color w:val="auto"/>
          <w:szCs w:val="24"/>
        </w:rPr>
        <w:t xml:space="preserve"> continued to maintain sobriety since that time.</w:t>
      </w:r>
      <w:r w:rsidR="00610C68">
        <w:rPr>
          <w:rFonts w:asciiTheme="minorHAnsi" w:hAnsiTheme="minorHAnsi"/>
          <w:color w:val="auto"/>
          <w:szCs w:val="24"/>
        </w:rPr>
        <w:t xml:space="preserve">  </w:t>
      </w:r>
      <w:r w:rsidR="00914D1B" w:rsidRPr="000D6D15">
        <w:rPr>
          <w:rFonts w:asciiTheme="minorHAnsi" w:hAnsiTheme="minorHAnsi"/>
          <w:color w:val="auto"/>
          <w:szCs w:val="24"/>
        </w:rPr>
        <w:t xml:space="preserve">His Commander’s Statement noted that </w:t>
      </w:r>
      <w:r w:rsidR="00914D1B" w:rsidRPr="000D6D15">
        <w:rPr>
          <w:rFonts w:asciiTheme="minorHAnsi" w:hAnsiTheme="minorHAnsi"/>
          <w:color w:val="auto"/>
        </w:rPr>
        <w:t xml:space="preserve">the CI had expressed thoughts of hurting others as well as having suicidal ideations, making him a liability to himself and to others.  </w:t>
      </w:r>
      <w:r w:rsidR="00914D1B" w:rsidRPr="000D6D15">
        <w:rPr>
          <w:rFonts w:asciiTheme="minorHAnsi" w:hAnsiTheme="minorHAnsi"/>
          <w:color w:val="auto"/>
          <w:szCs w:val="24"/>
        </w:rPr>
        <w:t xml:space="preserve">His problems would continue to require a considerable amount of medical treatment to deal with his current mental state and would detract from his obligations in the Marine Corps. </w:t>
      </w:r>
      <w:r w:rsidR="00914D1B" w:rsidRPr="000D6D15">
        <w:rPr>
          <w:rFonts w:asciiTheme="minorHAnsi" w:hAnsiTheme="minorHAnsi"/>
          <w:color w:val="auto"/>
        </w:rPr>
        <w:t>For these reasons it was felt that the CI was incapable of continuing within his MOS and it was recommended that he be deemed unfit for military duty.</w:t>
      </w:r>
    </w:p>
    <w:p w:rsidR="0068424B" w:rsidRPr="000D6D15" w:rsidRDefault="0068424B" w:rsidP="00860B7D">
      <w:pPr>
        <w:tabs>
          <w:tab w:val="left" w:pos="288"/>
          <w:tab w:val="left" w:pos="4752"/>
        </w:tabs>
        <w:spacing w:line="240" w:lineRule="exact"/>
        <w:jc w:val="both"/>
        <w:rPr>
          <w:rFonts w:asciiTheme="minorHAnsi" w:hAnsiTheme="minorHAnsi"/>
          <w:color w:val="auto"/>
        </w:rPr>
      </w:pPr>
    </w:p>
    <w:p w:rsidR="00DD1C0D" w:rsidRPr="000D6D15" w:rsidRDefault="0068424B" w:rsidP="00860B7D">
      <w:pPr>
        <w:tabs>
          <w:tab w:val="left" w:pos="288"/>
          <w:tab w:val="left" w:pos="4752"/>
        </w:tabs>
        <w:spacing w:line="240" w:lineRule="exact"/>
        <w:jc w:val="both"/>
        <w:rPr>
          <w:rFonts w:asciiTheme="minorHAnsi" w:hAnsiTheme="minorHAnsi"/>
          <w:color w:val="auto"/>
          <w:szCs w:val="24"/>
        </w:rPr>
      </w:pPr>
      <w:r w:rsidRPr="000D6D15">
        <w:rPr>
          <w:rFonts w:asciiTheme="minorHAnsi" w:hAnsiTheme="minorHAnsi"/>
          <w:color w:val="auto"/>
          <w:szCs w:val="24"/>
        </w:rPr>
        <w:t xml:space="preserve">The MEB NARSUM of 20061129 </w:t>
      </w:r>
      <w:r w:rsidR="00AC7945" w:rsidRPr="000D6D15">
        <w:rPr>
          <w:rFonts w:asciiTheme="minorHAnsi" w:hAnsiTheme="minorHAnsi"/>
          <w:color w:val="auto"/>
          <w:szCs w:val="24"/>
        </w:rPr>
        <w:t xml:space="preserve">documented a </w:t>
      </w:r>
      <w:r w:rsidR="00AC7945" w:rsidRPr="000D6D15">
        <w:rPr>
          <w:rFonts w:asciiTheme="minorHAnsi" w:hAnsiTheme="minorHAnsi"/>
          <w:color w:val="auto"/>
        </w:rPr>
        <w:t>history of irritability, impaired sleep, flashbacks twice daily, nightmares every nig</w:t>
      </w:r>
      <w:r w:rsidR="00426D67" w:rsidRPr="000D6D15">
        <w:rPr>
          <w:rFonts w:asciiTheme="minorHAnsi" w:hAnsiTheme="minorHAnsi"/>
          <w:color w:val="auto"/>
        </w:rPr>
        <w:t xml:space="preserve">ht (one recurring every 3 </w:t>
      </w:r>
      <w:r w:rsidR="00AC7945" w:rsidRPr="000D6D15">
        <w:rPr>
          <w:rFonts w:asciiTheme="minorHAnsi" w:hAnsiTheme="minorHAnsi"/>
          <w:color w:val="auto"/>
        </w:rPr>
        <w:t>days directly related to his experiences, and others that vary in direct relation to combat), trouble with crowds, hyper vigilance with increased startle response, conflicts with peers, and a long-standing</w:t>
      </w:r>
      <w:r w:rsidR="005F3C3A" w:rsidRPr="000D6D15">
        <w:rPr>
          <w:rFonts w:asciiTheme="minorHAnsi" w:hAnsiTheme="minorHAnsi"/>
          <w:color w:val="auto"/>
        </w:rPr>
        <w:t xml:space="preserve"> difficulty with anger control.  </w:t>
      </w:r>
      <w:r w:rsidR="00AC7945" w:rsidRPr="000D6D15">
        <w:rPr>
          <w:rFonts w:asciiTheme="minorHAnsi" w:hAnsiTheme="minorHAnsi"/>
          <w:color w:val="auto"/>
        </w:rPr>
        <w:t xml:space="preserve">He is able to identify triggers, specifically gunfire from 50 cal and Howitzer, the smell of barbeque, and media coverage of the war. </w:t>
      </w:r>
      <w:r w:rsidR="00257FC0">
        <w:rPr>
          <w:rFonts w:asciiTheme="minorHAnsi" w:hAnsiTheme="minorHAnsi"/>
          <w:color w:val="auto"/>
        </w:rPr>
        <w:t xml:space="preserve"> </w:t>
      </w:r>
      <w:r w:rsidR="00AC7945" w:rsidRPr="000D6D15">
        <w:rPr>
          <w:rFonts w:asciiTheme="minorHAnsi" w:hAnsiTheme="minorHAnsi"/>
          <w:color w:val="auto"/>
        </w:rPr>
        <w:t>He works to av</w:t>
      </w:r>
      <w:r w:rsidR="005F3C3A" w:rsidRPr="000D6D15">
        <w:rPr>
          <w:rFonts w:asciiTheme="minorHAnsi" w:hAnsiTheme="minorHAnsi"/>
          <w:color w:val="auto"/>
        </w:rPr>
        <w:t xml:space="preserve">oid triggers and war reminders.  </w:t>
      </w:r>
      <w:r w:rsidR="00AC7945" w:rsidRPr="000D6D15">
        <w:rPr>
          <w:rFonts w:asciiTheme="minorHAnsi" w:hAnsiTheme="minorHAnsi"/>
          <w:color w:val="auto"/>
        </w:rPr>
        <w:t>He also reported increased alcohol consumption in a pattern consistent with alcohol dependence.</w:t>
      </w:r>
      <w:r w:rsidR="006413CC" w:rsidRPr="000D6D15">
        <w:rPr>
          <w:rFonts w:asciiTheme="minorHAnsi" w:hAnsiTheme="minorHAnsi"/>
          <w:color w:val="auto"/>
        </w:rPr>
        <w:t xml:space="preserve">  The CI was engaged to be married, but his symptoms (anger, mood, detachment, irritability) contributed to relat</w:t>
      </w:r>
      <w:r w:rsidR="00426D67" w:rsidRPr="000D6D15">
        <w:rPr>
          <w:rFonts w:asciiTheme="minorHAnsi" w:hAnsiTheme="minorHAnsi"/>
          <w:color w:val="auto"/>
        </w:rPr>
        <w:t>ionship difficulties and the relationship ended</w:t>
      </w:r>
      <w:r w:rsidR="006413CC" w:rsidRPr="000D6D15">
        <w:rPr>
          <w:rFonts w:asciiTheme="minorHAnsi" w:hAnsiTheme="minorHAnsi"/>
          <w:color w:val="auto"/>
        </w:rPr>
        <w:t>.</w:t>
      </w:r>
      <w:r w:rsidR="00DD1C0D" w:rsidRPr="000D6D15">
        <w:rPr>
          <w:rFonts w:asciiTheme="minorHAnsi" w:hAnsiTheme="minorHAnsi"/>
          <w:color w:val="auto"/>
        </w:rPr>
        <w:t xml:space="preserve"> Other symptoms included </w:t>
      </w:r>
      <w:proofErr w:type="spellStart"/>
      <w:r w:rsidR="00DD1C0D" w:rsidRPr="000D6D15">
        <w:rPr>
          <w:rFonts w:asciiTheme="minorHAnsi" w:hAnsiTheme="minorHAnsi"/>
          <w:color w:val="auto"/>
        </w:rPr>
        <w:t>anhedonia</w:t>
      </w:r>
      <w:proofErr w:type="spellEnd"/>
      <w:r w:rsidR="00DD1C0D" w:rsidRPr="000D6D15">
        <w:rPr>
          <w:rFonts w:asciiTheme="minorHAnsi" w:hAnsiTheme="minorHAnsi"/>
          <w:color w:val="auto"/>
        </w:rPr>
        <w:t xml:space="preserve">, difficulty concentrating, social detachment, low frustration tolerance, and weight loss (from </w:t>
      </w:r>
      <w:r w:rsidR="002F27E4" w:rsidRPr="000D6D15">
        <w:rPr>
          <w:rFonts w:asciiTheme="minorHAnsi" w:hAnsiTheme="minorHAnsi"/>
          <w:color w:val="auto"/>
        </w:rPr>
        <w:t xml:space="preserve">both decreased appetite and </w:t>
      </w:r>
      <w:r w:rsidR="00DD1C0D" w:rsidRPr="000D6D15">
        <w:rPr>
          <w:rFonts w:asciiTheme="minorHAnsi" w:hAnsiTheme="minorHAnsi"/>
          <w:color w:val="auto"/>
        </w:rPr>
        <w:t xml:space="preserve">discontinued alcohol consumption). He was maintained on two medications, Paxil and </w:t>
      </w:r>
      <w:proofErr w:type="spellStart"/>
      <w:r w:rsidR="00DD1C0D" w:rsidRPr="000D6D15">
        <w:rPr>
          <w:rFonts w:asciiTheme="minorHAnsi" w:hAnsiTheme="minorHAnsi"/>
          <w:color w:val="auto"/>
        </w:rPr>
        <w:t>Minipress</w:t>
      </w:r>
      <w:proofErr w:type="spellEnd"/>
      <w:r w:rsidR="00DD1C0D" w:rsidRPr="000D6D15">
        <w:rPr>
          <w:rFonts w:asciiTheme="minorHAnsi" w:hAnsiTheme="minorHAnsi"/>
          <w:color w:val="auto"/>
        </w:rPr>
        <w:t>.</w:t>
      </w:r>
      <w:r w:rsidR="002F27E4" w:rsidRPr="000D6D15">
        <w:rPr>
          <w:rFonts w:asciiTheme="minorHAnsi" w:hAnsiTheme="minorHAnsi"/>
          <w:color w:val="auto"/>
        </w:rPr>
        <w:t xml:space="preserve">  Family history included an alcoholic father who was violently abusive to his mother and all the children.</w:t>
      </w:r>
      <w:r w:rsidR="00113BDD" w:rsidRPr="000D6D15">
        <w:rPr>
          <w:rFonts w:asciiTheme="minorHAnsi" w:hAnsiTheme="minorHAnsi"/>
          <w:color w:val="auto"/>
        </w:rPr>
        <w:t xml:space="preserve">  There is an extensive family history of alcohol and drug use, including his father, paternal grandfather, paternal gran</w:t>
      </w:r>
      <w:r w:rsidR="005F3C3A" w:rsidRPr="000D6D15">
        <w:rPr>
          <w:rFonts w:asciiTheme="minorHAnsi" w:hAnsiTheme="minorHAnsi"/>
          <w:color w:val="auto"/>
        </w:rPr>
        <w:t>dmother, and uncles.</w:t>
      </w:r>
      <w:r w:rsidR="00914D1B" w:rsidRPr="000D6D15">
        <w:rPr>
          <w:rFonts w:asciiTheme="minorHAnsi" w:hAnsiTheme="minorHAnsi"/>
          <w:color w:val="auto"/>
        </w:rPr>
        <w:t xml:space="preserve">  </w:t>
      </w:r>
      <w:r w:rsidR="003D2CC5" w:rsidRPr="000D6D15">
        <w:rPr>
          <w:rFonts w:asciiTheme="minorHAnsi" w:hAnsiTheme="minorHAnsi"/>
          <w:color w:val="auto"/>
          <w:szCs w:val="24"/>
        </w:rPr>
        <w:t>On Mental Status E</w:t>
      </w:r>
      <w:r w:rsidR="006B32F3" w:rsidRPr="000D6D15">
        <w:rPr>
          <w:rFonts w:asciiTheme="minorHAnsi" w:hAnsiTheme="minorHAnsi"/>
          <w:color w:val="auto"/>
          <w:szCs w:val="24"/>
        </w:rPr>
        <w:t xml:space="preserve">xamination (MSE) his mood was described as “angry” and the affect was mood congruent.  </w:t>
      </w:r>
      <w:r w:rsidR="006413CC" w:rsidRPr="000D6D15">
        <w:rPr>
          <w:rFonts w:asciiTheme="minorHAnsi" w:hAnsiTheme="minorHAnsi"/>
          <w:color w:val="auto"/>
          <w:szCs w:val="24"/>
        </w:rPr>
        <w:t xml:space="preserve">He </w:t>
      </w:r>
      <w:r w:rsidR="006413CC" w:rsidRPr="000D6D15">
        <w:rPr>
          <w:rFonts w:asciiTheme="minorHAnsi" w:hAnsiTheme="minorHAnsi"/>
          <w:color w:val="auto"/>
        </w:rPr>
        <w:t>was alert and oriented to person, place, time and circumstance</w:t>
      </w:r>
      <w:r w:rsidR="007740E4" w:rsidRPr="000D6D15">
        <w:rPr>
          <w:rFonts w:asciiTheme="minorHAnsi" w:hAnsiTheme="minorHAnsi"/>
          <w:color w:val="auto"/>
        </w:rPr>
        <w:t xml:space="preserve">. </w:t>
      </w:r>
      <w:r w:rsidR="006413CC" w:rsidRPr="000D6D15">
        <w:rPr>
          <w:rFonts w:asciiTheme="minorHAnsi" w:hAnsiTheme="minorHAnsi"/>
          <w:color w:val="auto"/>
          <w:szCs w:val="24"/>
        </w:rPr>
        <w:t xml:space="preserve"> </w:t>
      </w:r>
      <w:r w:rsidR="007740E4" w:rsidRPr="000D6D15">
        <w:rPr>
          <w:rFonts w:asciiTheme="minorHAnsi" w:hAnsiTheme="minorHAnsi"/>
          <w:color w:val="auto"/>
          <w:szCs w:val="24"/>
        </w:rPr>
        <w:t>He displayed</w:t>
      </w:r>
      <w:r w:rsidR="006B32F3" w:rsidRPr="000D6D15">
        <w:rPr>
          <w:rFonts w:asciiTheme="minorHAnsi" w:hAnsiTheme="minorHAnsi"/>
          <w:color w:val="auto"/>
          <w:szCs w:val="24"/>
        </w:rPr>
        <w:t xml:space="preserve"> no homicidal or suicidal ideation, delusional or hallucinatory symptoms, speech disturbance, </w:t>
      </w:r>
      <w:r w:rsidR="006413CC" w:rsidRPr="000D6D15">
        <w:rPr>
          <w:rFonts w:asciiTheme="minorHAnsi" w:hAnsiTheme="minorHAnsi"/>
          <w:color w:val="auto"/>
          <w:szCs w:val="24"/>
        </w:rPr>
        <w:t xml:space="preserve">or </w:t>
      </w:r>
      <w:r w:rsidR="006B32F3" w:rsidRPr="000D6D15">
        <w:rPr>
          <w:rFonts w:asciiTheme="minorHAnsi" w:hAnsiTheme="minorHAnsi"/>
          <w:color w:val="auto"/>
          <w:szCs w:val="24"/>
        </w:rPr>
        <w:t>cognitive impa</w:t>
      </w:r>
      <w:r w:rsidR="006413CC" w:rsidRPr="000D6D15">
        <w:rPr>
          <w:rFonts w:asciiTheme="minorHAnsi" w:hAnsiTheme="minorHAnsi"/>
          <w:color w:val="auto"/>
          <w:szCs w:val="24"/>
        </w:rPr>
        <w:t>irment.  Intellectual functioning was average and memory was intact.  Insight, judgment, and impulse control were felt to be adequate.</w:t>
      </w:r>
      <w:r w:rsidR="00914D1B" w:rsidRPr="000D6D15">
        <w:rPr>
          <w:rFonts w:asciiTheme="minorHAnsi" w:hAnsiTheme="minorHAnsi"/>
          <w:color w:val="auto"/>
          <w:szCs w:val="24"/>
        </w:rPr>
        <w:t xml:space="preserve">  </w:t>
      </w:r>
      <w:r w:rsidR="00175E6D" w:rsidRPr="000D6D15">
        <w:rPr>
          <w:rFonts w:asciiTheme="minorHAnsi" w:hAnsiTheme="minorHAnsi"/>
          <w:color w:val="auto"/>
          <w:szCs w:val="24"/>
        </w:rPr>
        <w:t xml:space="preserve">The Axis I diagnoses included PTSD and Alcohol Dependence (in remission).  </w:t>
      </w:r>
      <w:r w:rsidR="002F27E4" w:rsidRPr="000D6D15">
        <w:rPr>
          <w:rFonts w:asciiTheme="minorHAnsi" w:hAnsiTheme="minorHAnsi"/>
          <w:color w:val="auto"/>
          <w:szCs w:val="24"/>
        </w:rPr>
        <w:t xml:space="preserve">The Global Assessment of Functioning (GAF) score was 51-60 indicating moderate symptoms.  </w:t>
      </w:r>
      <w:r w:rsidR="00DD1C0D" w:rsidRPr="000D6D15">
        <w:rPr>
          <w:rFonts w:asciiTheme="minorHAnsi" w:hAnsiTheme="minorHAnsi"/>
          <w:color w:val="auto"/>
          <w:szCs w:val="24"/>
        </w:rPr>
        <w:t xml:space="preserve">The NARSUM </w:t>
      </w:r>
      <w:r w:rsidR="00DD1C0D" w:rsidRPr="000D6D15">
        <w:rPr>
          <w:rFonts w:asciiTheme="minorHAnsi" w:hAnsiTheme="minorHAnsi"/>
          <w:color w:val="auto"/>
        </w:rPr>
        <w:t>recommended that this case be referred to the Physical Evaluation Board for disposition.</w:t>
      </w:r>
      <w:r w:rsidR="00033A37" w:rsidRPr="000D6D15">
        <w:rPr>
          <w:rFonts w:asciiTheme="minorHAnsi" w:hAnsiTheme="minorHAnsi"/>
          <w:color w:val="auto"/>
        </w:rPr>
        <w:t xml:space="preserve">  </w:t>
      </w:r>
    </w:p>
    <w:p w:rsidR="007740E4" w:rsidRPr="000D6D15" w:rsidRDefault="007740E4" w:rsidP="00860B7D">
      <w:pPr>
        <w:tabs>
          <w:tab w:val="left" w:pos="288"/>
          <w:tab w:val="left" w:pos="4752"/>
        </w:tabs>
        <w:spacing w:line="240" w:lineRule="exact"/>
        <w:jc w:val="both"/>
        <w:rPr>
          <w:rFonts w:asciiTheme="minorHAnsi" w:hAnsiTheme="minorHAnsi"/>
          <w:color w:val="auto"/>
          <w:szCs w:val="24"/>
        </w:rPr>
      </w:pPr>
    </w:p>
    <w:p w:rsidR="002F27E4" w:rsidRPr="000D6D15" w:rsidRDefault="00E76E01" w:rsidP="00E76E01">
      <w:pPr>
        <w:autoSpaceDE w:val="0"/>
        <w:autoSpaceDN w:val="0"/>
        <w:adjustRightInd w:val="0"/>
        <w:spacing w:line="240" w:lineRule="exact"/>
        <w:jc w:val="both"/>
        <w:rPr>
          <w:rFonts w:asciiTheme="minorHAnsi" w:hAnsiTheme="minorHAnsi"/>
          <w:b/>
          <w:color w:val="auto"/>
          <w:sz w:val="28"/>
          <w:szCs w:val="24"/>
          <w:u w:val="single"/>
        </w:rPr>
      </w:pPr>
      <w:r>
        <w:rPr>
          <w:rFonts w:ascii="Calibri" w:eastAsia="Calibri" w:hAnsi="Calibri"/>
          <w:color w:val="000000" w:themeColor="text1"/>
          <w:szCs w:val="24"/>
        </w:rPr>
        <w:t xml:space="preserve">The Board directs its attention to its rating recommendations based on the evidence just described.  </w:t>
      </w:r>
      <w:r w:rsidR="00175E6D" w:rsidRPr="00E76E01">
        <w:rPr>
          <w:rFonts w:asciiTheme="minorHAnsi" w:hAnsiTheme="minorHAnsi"/>
          <w:color w:val="auto"/>
          <w:szCs w:val="24"/>
        </w:rPr>
        <w:t>The Board must</w:t>
      </w:r>
      <w:r w:rsidR="00175E6D" w:rsidRPr="000D6D15">
        <w:rPr>
          <w:rFonts w:asciiTheme="minorHAnsi" w:hAnsiTheme="minorHAnsi"/>
          <w:color w:val="auto"/>
          <w:szCs w:val="24"/>
        </w:rPr>
        <w:t xml:space="preserve"> determine the most appropriate fit with VASRD 4.130 criteria at six months for its pe</w:t>
      </w:r>
      <w:r w:rsidR="002F27E4" w:rsidRPr="000D6D15">
        <w:rPr>
          <w:rFonts w:asciiTheme="minorHAnsi" w:hAnsiTheme="minorHAnsi"/>
          <w:color w:val="auto"/>
          <w:szCs w:val="24"/>
        </w:rPr>
        <w:t xml:space="preserve">rmanent rating recommendation.  </w:t>
      </w:r>
      <w:r w:rsidR="00175E6D" w:rsidRPr="000D6D15">
        <w:rPr>
          <w:rFonts w:asciiTheme="minorHAnsi" w:hAnsiTheme="minorHAnsi"/>
          <w:color w:val="auto"/>
          <w:szCs w:val="24"/>
        </w:rPr>
        <w:t xml:space="preserve">The most proximate source of comprehensive evidence on which to base the permanent rating recommendation in this case is the VA Compensation and Pension (C&amp;P) PTSD Examination performed on 20070605, </w:t>
      </w:r>
      <w:r>
        <w:rPr>
          <w:rFonts w:asciiTheme="minorHAnsi" w:hAnsiTheme="minorHAnsi"/>
          <w:color w:val="auto"/>
          <w:szCs w:val="24"/>
        </w:rPr>
        <w:t xml:space="preserve">three </w:t>
      </w:r>
      <w:r w:rsidR="00175E6D" w:rsidRPr="000D6D15">
        <w:rPr>
          <w:rFonts w:asciiTheme="minorHAnsi" w:hAnsiTheme="minorHAnsi"/>
          <w:color w:val="auto"/>
          <w:szCs w:val="24"/>
        </w:rPr>
        <w:t>months after separation.</w:t>
      </w:r>
      <w:r w:rsidR="002F27E4" w:rsidRPr="000D6D15">
        <w:rPr>
          <w:rFonts w:asciiTheme="minorHAnsi" w:hAnsiTheme="minorHAnsi"/>
          <w:color w:val="auto"/>
          <w:szCs w:val="24"/>
        </w:rPr>
        <w:t xml:space="preserve">  </w:t>
      </w:r>
      <w:r w:rsidR="00D32499" w:rsidRPr="000D6D15">
        <w:rPr>
          <w:rFonts w:asciiTheme="minorHAnsi" w:hAnsiTheme="minorHAnsi"/>
          <w:color w:val="auto"/>
          <w:szCs w:val="24"/>
        </w:rPr>
        <w:t xml:space="preserve">At that time the CI </w:t>
      </w:r>
      <w:r w:rsidR="00D32499" w:rsidRPr="000D6D15">
        <w:rPr>
          <w:rFonts w:asciiTheme="minorHAnsi" w:hAnsiTheme="minorHAnsi"/>
          <w:color w:val="auto"/>
        </w:rPr>
        <w:t>was not in any current mental health treatment. He</w:t>
      </w:r>
      <w:r w:rsidR="00C04FF0" w:rsidRPr="000D6D15">
        <w:rPr>
          <w:rFonts w:asciiTheme="minorHAnsi" w:hAnsiTheme="minorHAnsi"/>
          <w:color w:val="auto"/>
        </w:rPr>
        <w:t xml:space="preserve"> indicated</w:t>
      </w:r>
      <w:r w:rsidR="00D32499" w:rsidRPr="000D6D15">
        <w:rPr>
          <w:rFonts w:asciiTheme="minorHAnsi" w:hAnsiTheme="minorHAnsi"/>
          <w:color w:val="auto"/>
        </w:rPr>
        <w:t xml:space="preserve"> that he was last on Paxil, but ran out of his prescription a</w:t>
      </w:r>
      <w:r w:rsidR="00C04FF0" w:rsidRPr="000D6D15">
        <w:rPr>
          <w:rFonts w:asciiTheme="minorHAnsi" w:hAnsiTheme="minorHAnsi"/>
          <w:color w:val="auto"/>
        </w:rPr>
        <w:t>nd had</w:t>
      </w:r>
      <w:r w:rsidR="002F27E4" w:rsidRPr="000D6D15">
        <w:rPr>
          <w:rFonts w:asciiTheme="minorHAnsi" w:hAnsiTheme="minorHAnsi"/>
          <w:color w:val="auto"/>
        </w:rPr>
        <w:t xml:space="preserve"> not taken it in 45 days.  </w:t>
      </w:r>
      <w:r w:rsidR="00C04FF0" w:rsidRPr="000D6D15">
        <w:rPr>
          <w:rFonts w:asciiTheme="minorHAnsi" w:hAnsiTheme="minorHAnsi"/>
          <w:color w:val="auto"/>
        </w:rPr>
        <w:t>He felt</w:t>
      </w:r>
      <w:r w:rsidR="00D32499" w:rsidRPr="000D6D15">
        <w:rPr>
          <w:rFonts w:asciiTheme="minorHAnsi" w:hAnsiTheme="minorHAnsi"/>
          <w:color w:val="auto"/>
        </w:rPr>
        <w:t xml:space="preserve"> that this </w:t>
      </w:r>
      <w:r w:rsidR="00C04FF0" w:rsidRPr="000D6D15">
        <w:rPr>
          <w:rFonts w:asciiTheme="minorHAnsi" w:hAnsiTheme="minorHAnsi"/>
          <w:color w:val="auto"/>
        </w:rPr>
        <w:t xml:space="preserve">medication </w:t>
      </w:r>
      <w:r w:rsidR="00D32499" w:rsidRPr="000D6D15">
        <w:rPr>
          <w:rFonts w:asciiTheme="minorHAnsi" w:hAnsiTheme="minorHAnsi"/>
          <w:color w:val="auto"/>
        </w:rPr>
        <w:t>did not work anyway.  The CI indicated that he received some treatment in the military on an outpatient basis prior to being boarded out, noting that the group and individual therapy seemed to help a little bit.</w:t>
      </w:r>
      <w:r w:rsidR="003323D4" w:rsidRPr="000D6D15">
        <w:rPr>
          <w:rFonts w:asciiTheme="minorHAnsi" w:hAnsiTheme="minorHAnsi"/>
          <w:color w:val="auto"/>
        </w:rPr>
        <w:t xml:space="preserve">  He</w:t>
      </w:r>
      <w:r w:rsidR="00947BA5" w:rsidRPr="000D6D15">
        <w:rPr>
          <w:rFonts w:asciiTheme="minorHAnsi" w:hAnsiTheme="minorHAnsi"/>
          <w:color w:val="auto"/>
        </w:rPr>
        <w:t xml:space="preserve"> was an artillery mechanic in the Marines, but he functioned as a grunt when he deployed to Iraq.  He had considerable combat experience as </w:t>
      </w:r>
      <w:r w:rsidR="003323D4" w:rsidRPr="000D6D15">
        <w:rPr>
          <w:rFonts w:asciiTheme="minorHAnsi" w:hAnsiTheme="minorHAnsi"/>
          <w:color w:val="auto"/>
        </w:rPr>
        <w:t>a machine gunner and</w:t>
      </w:r>
      <w:r w:rsidR="00947BA5" w:rsidRPr="000D6D15">
        <w:rPr>
          <w:rFonts w:asciiTheme="minorHAnsi" w:hAnsiTheme="minorHAnsi"/>
          <w:color w:val="auto"/>
        </w:rPr>
        <w:t xml:space="preserve"> was involved in clearing houses and picking up dead bodies.  He was awarded the Combat Action Ribbon and indicated that he was still in the process of getting </w:t>
      </w:r>
      <w:r w:rsidR="00570412" w:rsidRPr="000D6D15">
        <w:rPr>
          <w:rFonts w:asciiTheme="minorHAnsi" w:hAnsiTheme="minorHAnsi"/>
          <w:color w:val="auto"/>
        </w:rPr>
        <w:t>a Bronze Star and Combat V</w:t>
      </w:r>
      <w:r w:rsidR="00947BA5" w:rsidRPr="000D6D15">
        <w:rPr>
          <w:rFonts w:asciiTheme="minorHAnsi" w:hAnsiTheme="minorHAnsi"/>
          <w:color w:val="auto"/>
        </w:rPr>
        <w:t xml:space="preserve"> verified.  He says that the worst thing that happened in Iraq was when he "killed a kid" in battle.  He says the second worse thing was watching his buddy die, but these were both very disturbing situations.  He also indicated other </w:t>
      </w:r>
      <w:r w:rsidR="00947BA5" w:rsidRPr="000D6D15">
        <w:rPr>
          <w:rFonts w:asciiTheme="minorHAnsi" w:hAnsiTheme="minorHAnsi"/>
          <w:color w:val="auto"/>
        </w:rPr>
        <w:lastRenderedPageBreak/>
        <w:t>traumatic events, including his buddies dying in a helicopter crash.  The CI was hesitant to talk about all his stressors, but he did indicate that there were other traumatic events, not related, during his service.</w:t>
      </w:r>
      <w:r>
        <w:rPr>
          <w:rFonts w:asciiTheme="minorHAnsi" w:hAnsiTheme="minorHAnsi"/>
          <w:color w:val="auto"/>
        </w:rPr>
        <w:t xml:space="preserve">  </w:t>
      </w:r>
      <w:r w:rsidR="002F27E4" w:rsidRPr="000D6D15">
        <w:rPr>
          <w:rFonts w:asciiTheme="minorHAnsi" w:hAnsiTheme="minorHAnsi"/>
          <w:color w:val="auto"/>
        </w:rPr>
        <w:t>The CI reported some depressive symptoms, including depressed mood,</w:t>
      </w:r>
      <w:r w:rsidR="00C04FF0" w:rsidRPr="000D6D15">
        <w:rPr>
          <w:rFonts w:asciiTheme="minorHAnsi" w:hAnsiTheme="minorHAnsi"/>
          <w:color w:val="auto"/>
        </w:rPr>
        <w:t xml:space="preserve"> </w:t>
      </w:r>
      <w:proofErr w:type="spellStart"/>
      <w:r w:rsidR="00C04FF0" w:rsidRPr="000D6D15">
        <w:rPr>
          <w:rFonts w:asciiTheme="minorHAnsi" w:hAnsiTheme="minorHAnsi"/>
          <w:color w:val="auto"/>
        </w:rPr>
        <w:t>a</w:t>
      </w:r>
      <w:r w:rsidR="002F27E4" w:rsidRPr="000D6D15">
        <w:rPr>
          <w:rFonts w:asciiTheme="minorHAnsi" w:hAnsiTheme="minorHAnsi"/>
          <w:color w:val="auto"/>
        </w:rPr>
        <w:t>nhedonia</w:t>
      </w:r>
      <w:proofErr w:type="spellEnd"/>
      <w:r w:rsidR="002F27E4" w:rsidRPr="000D6D15">
        <w:rPr>
          <w:rFonts w:asciiTheme="minorHAnsi" w:hAnsiTheme="minorHAnsi"/>
          <w:color w:val="auto"/>
        </w:rPr>
        <w:t xml:space="preserve"> and significant loss of weight over the last week or two with reduced appetite, insomnia, fatigue, and excessive feelings of guilt and worthlessness.  He met criteria for a depressive disorder, largely related to his combat trauma experiences</w:t>
      </w:r>
      <w:r w:rsidR="0014589A" w:rsidRPr="000D6D15">
        <w:rPr>
          <w:rFonts w:asciiTheme="minorHAnsi" w:hAnsiTheme="minorHAnsi"/>
          <w:color w:val="auto"/>
        </w:rPr>
        <w:t xml:space="preserve"> in Iraq, although</w:t>
      </w:r>
      <w:r w:rsidR="002F27E4" w:rsidRPr="000D6D15">
        <w:rPr>
          <w:rFonts w:asciiTheme="minorHAnsi" w:hAnsiTheme="minorHAnsi"/>
          <w:color w:val="auto"/>
        </w:rPr>
        <w:t xml:space="preserve"> there is likely some previous depression, which was exacerbated by his experiences in Iraq. </w:t>
      </w:r>
      <w:r w:rsidR="0014589A" w:rsidRPr="000D6D15">
        <w:rPr>
          <w:rFonts w:asciiTheme="minorHAnsi" w:hAnsiTheme="minorHAnsi"/>
          <w:color w:val="auto"/>
        </w:rPr>
        <w:t xml:space="preserve"> </w:t>
      </w:r>
      <w:r w:rsidR="002F27E4" w:rsidRPr="000D6D15">
        <w:rPr>
          <w:rFonts w:asciiTheme="minorHAnsi" w:hAnsiTheme="minorHAnsi"/>
          <w:color w:val="auto"/>
        </w:rPr>
        <w:t xml:space="preserve">He has a strong history of anger outbursts and </w:t>
      </w:r>
      <w:r w:rsidR="0014589A" w:rsidRPr="000D6D15">
        <w:rPr>
          <w:rFonts w:asciiTheme="minorHAnsi" w:hAnsiTheme="minorHAnsi"/>
          <w:color w:val="auto"/>
        </w:rPr>
        <w:t xml:space="preserve">was in </w:t>
      </w:r>
      <w:r w:rsidR="002F27E4" w:rsidRPr="000D6D15">
        <w:rPr>
          <w:rFonts w:asciiTheme="minorHAnsi" w:hAnsiTheme="minorHAnsi"/>
          <w:color w:val="auto"/>
        </w:rPr>
        <w:t xml:space="preserve">a number </w:t>
      </w:r>
      <w:r w:rsidR="0014589A" w:rsidRPr="000D6D15">
        <w:rPr>
          <w:rFonts w:asciiTheme="minorHAnsi" w:hAnsiTheme="minorHAnsi"/>
          <w:color w:val="auto"/>
        </w:rPr>
        <w:t>of alcohol related fights</w:t>
      </w:r>
      <w:r w:rsidR="002F27E4" w:rsidRPr="000D6D15">
        <w:rPr>
          <w:rFonts w:asciiTheme="minorHAnsi" w:hAnsiTheme="minorHAnsi"/>
          <w:color w:val="auto"/>
        </w:rPr>
        <w:t xml:space="preserve">. </w:t>
      </w:r>
      <w:r w:rsidR="0014589A" w:rsidRPr="000D6D15">
        <w:rPr>
          <w:rFonts w:asciiTheme="minorHAnsi" w:hAnsiTheme="minorHAnsi"/>
          <w:color w:val="auto"/>
        </w:rPr>
        <w:t xml:space="preserve"> He indicated</w:t>
      </w:r>
      <w:r w:rsidR="002F27E4" w:rsidRPr="000D6D15">
        <w:rPr>
          <w:rFonts w:asciiTheme="minorHAnsi" w:hAnsiTheme="minorHAnsi"/>
          <w:color w:val="auto"/>
        </w:rPr>
        <w:t xml:space="preserve"> some visual and auditory hallucinations</w:t>
      </w:r>
      <w:r w:rsidR="0014589A" w:rsidRPr="000D6D15">
        <w:rPr>
          <w:rFonts w:asciiTheme="minorHAnsi" w:hAnsiTheme="minorHAnsi"/>
          <w:color w:val="auto"/>
        </w:rPr>
        <w:t>,</w:t>
      </w:r>
      <w:r w:rsidR="002F27E4" w:rsidRPr="000D6D15">
        <w:rPr>
          <w:rFonts w:asciiTheme="minorHAnsi" w:hAnsiTheme="minorHAnsi"/>
          <w:color w:val="auto"/>
        </w:rPr>
        <w:t xml:space="preserve"> normally involv</w:t>
      </w:r>
      <w:r w:rsidR="00C04FF0" w:rsidRPr="000D6D15">
        <w:rPr>
          <w:rFonts w:asciiTheme="minorHAnsi" w:hAnsiTheme="minorHAnsi"/>
          <w:color w:val="auto"/>
        </w:rPr>
        <w:t xml:space="preserve">ing flashback type experiences.  </w:t>
      </w:r>
      <w:r w:rsidR="002F27E4" w:rsidRPr="000D6D15">
        <w:rPr>
          <w:rFonts w:asciiTheme="minorHAnsi" w:hAnsiTheme="minorHAnsi"/>
          <w:color w:val="auto"/>
        </w:rPr>
        <w:t>For example</w:t>
      </w:r>
      <w:r w:rsidR="00426D67" w:rsidRPr="000D6D15">
        <w:rPr>
          <w:rFonts w:asciiTheme="minorHAnsi" w:hAnsiTheme="minorHAnsi"/>
          <w:color w:val="auto"/>
        </w:rPr>
        <w:t>,</w:t>
      </w:r>
      <w:r w:rsidR="002F27E4" w:rsidRPr="000D6D15">
        <w:rPr>
          <w:rFonts w:asciiTheme="minorHAnsi" w:hAnsiTheme="minorHAnsi"/>
          <w:color w:val="auto"/>
        </w:rPr>
        <w:t xml:space="preserve"> he says that he saw an Iraqi run in front of his truck once </w:t>
      </w:r>
      <w:r w:rsidR="0014589A" w:rsidRPr="000D6D15">
        <w:rPr>
          <w:rFonts w:asciiTheme="minorHAnsi" w:hAnsiTheme="minorHAnsi"/>
          <w:color w:val="auto"/>
        </w:rPr>
        <w:t>and sometimes</w:t>
      </w:r>
      <w:r w:rsidR="002F27E4" w:rsidRPr="000D6D15">
        <w:rPr>
          <w:rFonts w:asciiTheme="minorHAnsi" w:hAnsiTheme="minorHAnsi"/>
          <w:color w:val="auto"/>
        </w:rPr>
        <w:t xml:space="preserve"> hears gunshot</w:t>
      </w:r>
      <w:r w:rsidR="0014589A" w:rsidRPr="000D6D15">
        <w:rPr>
          <w:rFonts w:asciiTheme="minorHAnsi" w:hAnsiTheme="minorHAnsi"/>
          <w:color w:val="auto"/>
        </w:rPr>
        <w:t>s when they are not there or</w:t>
      </w:r>
      <w:r w:rsidR="002F27E4" w:rsidRPr="000D6D15">
        <w:rPr>
          <w:rFonts w:asciiTheme="minorHAnsi" w:hAnsiTheme="minorHAnsi"/>
          <w:color w:val="auto"/>
        </w:rPr>
        <w:t xml:space="preserve"> will hear screaming when th</w:t>
      </w:r>
      <w:r w:rsidR="0014589A" w:rsidRPr="000D6D15">
        <w:rPr>
          <w:rFonts w:asciiTheme="minorHAnsi" w:hAnsiTheme="minorHAnsi"/>
          <w:color w:val="auto"/>
        </w:rPr>
        <w:t>ings become too quiet. He denied any non-</w:t>
      </w:r>
      <w:r w:rsidR="002F27E4" w:rsidRPr="000D6D15">
        <w:rPr>
          <w:rFonts w:asciiTheme="minorHAnsi" w:hAnsiTheme="minorHAnsi"/>
          <w:color w:val="auto"/>
        </w:rPr>
        <w:t>trauma</w:t>
      </w:r>
      <w:r w:rsidR="0014589A" w:rsidRPr="000D6D15">
        <w:rPr>
          <w:rFonts w:asciiTheme="minorHAnsi" w:hAnsiTheme="minorHAnsi"/>
          <w:color w:val="auto"/>
        </w:rPr>
        <w:t xml:space="preserve"> related hallucinat</w:t>
      </w:r>
      <w:r w:rsidR="00C04FF0" w:rsidRPr="000D6D15">
        <w:rPr>
          <w:rFonts w:asciiTheme="minorHAnsi" w:hAnsiTheme="minorHAnsi"/>
          <w:color w:val="auto"/>
        </w:rPr>
        <w:t xml:space="preserve">ions.  </w:t>
      </w:r>
      <w:r w:rsidR="0014589A" w:rsidRPr="000D6D15">
        <w:rPr>
          <w:rFonts w:asciiTheme="minorHAnsi" w:hAnsiTheme="minorHAnsi"/>
          <w:color w:val="auto"/>
        </w:rPr>
        <w:t>He</w:t>
      </w:r>
      <w:r w:rsidR="00C04FF0" w:rsidRPr="000D6D15">
        <w:rPr>
          <w:rFonts w:asciiTheme="minorHAnsi" w:hAnsiTheme="minorHAnsi"/>
          <w:color w:val="auto"/>
        </w:rPr>
        <w:t xml:space="preserve"> </w:t>
      </w:r>
      <w:r w:rsidR="0014589A" w:rsidRPr="000D6D15">
        <w:rPr>
          <w:rFonts w:asciiTheme="minorHAnsi" w:hAnsiTheme="minorHAnsi"/>
          <w:color w:val="auto"/>
        </w:rPr>
        <w:t>did</w:t>
      </w:r>
      <w:r w:rsidR="002F27E4" w:rsidRPr="000D6D15">
        <w:rPr>
          <w:rFonts w:asciiTheme="minorHAnsi" w:hAnsiTheme="minorHAnsi"/>
          <w:color w:val="auto"/>
        </w:rPr>
        <w:t xml:space="preserve"> not show signs of delusional thinking other than some mild paranoia secondary to hi</w:t>
      </w:r>
      <w:r w:rsidR="0014589A" w:rsidRPr="000D6D15">
        <w:rPr>
          <w:rFonts w:asciiTheme="minorHAnsi" w:hAnsiTheme="minorHAnsi"/>
          <w:color w:val="auto"/>
        </w:rPr>
        <w:t xml:space="preserve">s PTSD. </w:t>
      </w:r>
      <w:r>
        <w:rPr>
          <w:rFonts w:asciiTheme="minorHAnsi" w:hAnsiTheme="minorHAnsi"/>
          <w:color w:val="auto"/>
        </w:rPr>
        <w:t xml:space="preserve"> </w:t>
      </w:r>
      <w:r w:rsidR="0014589A" w:rsidRPr="000D6D15">
        <w:rPr>
          <w:rFonts w:asciiTheme="minorHAnsi" w:hAnsiTheme="minorHAnsi"/>
          <w:color w:val="auto"/>
        </w:rPr>
        <w:t>The CI indicated</w:t>
      </w:r>
      <w:r w:rsidR="002F27E4" w:rsidRPr="000D6D15">
        <w:rPr>
          <w:rFonts w:asciiTheme="minorHAnsi" w:hAnsiTheme="minorHAnsi"/>
          <w:color w:val="auto"/>
        </w:rPr>
        <w:t xml:space="preserve"> that he has been suicidal before but he has a religious belief that would prevent him from acting on this, and he says he would ne</w:t>
      </w:r>
      <w:r w:rsidR="0014589A" w:rsidRPr="000D6D15">
        <w:rPr>
          <w:rFonts w:asciiTheme="minorHAnsi" w:hAnsiTheme="minorHAnsi"/>
          <w:color w:val="auto"/>
        </w:rPr>
        <w:t>ver a</w:t>
      </w:r>
      <w:r w:rsidR="00C04FF0" w:rsidRPr="000D6D15">
        <w:rPr>
          <w:rFonts w:asciiTheme="minorHAnsi" w:hAnsiTheme="minorHAnsi"/>
          <w:color w:val="auto"/>
        </w:rPr>
        <w:t xml:space="preserve">ct on his thoughts.  </w:t>
      </w:r>
      <w:r w:rsidR="0014589A" w:rsidRPr="000D6D15">
        <w:rPr>
          <w:rFonts w:asciiTheme="minorHAnsi" w:hAnsiTheme="minorHAnsi"/>
          <w:color w:val="auto"/>
        </w:rPr>
        <w:t>He did</w:t>
      </w:r>
      <w:r w:rsidR="002F27E4" w:rsidRPr="000D6D15">
        <w:rPr>
          <w:rFonts w:asciiTheme="minorHAnsi" w:hAnsiTheme="minorHAnsi"/>
          <w:color w:val="auto"/>
        </w:rPr>
        <w:t xml:space="preserve"> indicate some homic</w:t>
      </w:r>
      <w:r w:rsidR="0014589A" w:rsidRPr="000D6D15">
        <w:rPr>
          <w:rFonts w:asciiTheme="minorHAnsi" w:hAnsiTheme="minorHAnsi"/>
          <w:color w:val="auto"/>
        </w:rPr>
        <w:t>idal ideation but only when he wa</w:t>
      </w:r>
      <w:r w:rsidR="002F27E4" w:rsidRPr="000D6D15">
        <w:rPr>
          <w:rFonts w:asciiTheme="minorHAnsi" w:hAnsiTheme="minorHAnsi"/>
          <w:color w:val="auto"/>
        </w:rPr>
        <w:t>s in "the he</w:t>
      </w:r>
      <w:r w:rsidR="00113BDD" w:rsidRPr="000D6D15">
        <w:rPr>
          <w:rFonts w:asciiTheme="minorHAnsi" w:hAnsiTheme="minorHAnsi"/>
          <w:color w:val="auto"/>
        </w:rPr>
        <w:t xml:space="preserve">at of the moment."  </w:t>
      </w:r>
      <w:r w:rsidR="0014589A" w:rsidRPr="000D6D15">
        <w:rPr>
          <w:rFonts w:asciiTheme="minorHAnsi" w:hAnsiTheme="minorHAnsi"/>
          <w:color w:val="auto"/>
        </w:rPr>
        <w:t>He indicated that he wa</w:t>
      </w:r>
      <w:r w:rsidR="002F27E4" w:rsidRPr="000D6D15">
        <w:rPr>
          <w:rFonts w:asciiTheme="minorHAnsi" w:hAnsiTheme="minorHAnsi"/>
          <w:color w:val="auto"/>
        </w:rPr>
        <w:t>s able to brush these thoughts to th</w:t>
      </w:r>
      <w:r w:rsidR="0014589A" w:rsidRPr="000D6D15">
        <w:rPr>
          <w:rFonts w:asciiTheme="minorHAnsi" w:hAnsiTheme="minorHAnsi"/>
          <w:color w:val="auto"/>
        </w:rPr>
        <w:t>e side and he typically isolated himself when he became angry</w:t>
      </w:r>
      <w:r w:rsidR="002F27E4" w:rsidRPr="000D6D15">
        <w:rPr>
          <w:rFonts w:asciiTheme="minorHAnsi" w:hAnsiTheme="minorHAnsi"/>
          <w:color w:val="auto"/>
        </w:rPr>
        <w:t>.</w:t>
      </w:r>
      <w:r w:rsidR="00914D1B" w:rsidRPr="000D6D15">
        <w:rPr>
          <w:rFonts w:asciiTheme="minorHAnsi" w:hAnsiTheme="minorHAnsi"/>
          <w:color w:val="auto"/>
        </w:rPr>
        <w:t xml:space="preserve">  </w:t>
      </w:r>
      <w:r w:rsidR="0014589A" w:rsidRPr="000D6D15">
        <w:rPr>
          <w:rFonts w:asciiTheme="minorHAnsi" w:hAnsiTheme="minorHAnsi"/>
          <w:color w:val="auto"/>
        </w:rPr>
        <w:t>On MSE the CI presented as being</w:t>
      </w:r>
      <w:r w:rsidR="002F27E4" w:rsidRPr="000D6D15">
        <w:rPr>
          <w:rFonts w:asciiTheme="minorHAnsi" w:hAnsiTheme="minorHAnsi"/>
          <w:color w:val="auto"/>
        </w:rPr>
        <w:t xml:space="preserve"> angry and he was irritated about having to take th</w:t>
      </w:r>
      <w:r w:rsidR="0014589A" w:rsidRPr="000D6D15">
        <w:rPr>
          <w:rFonts w:asciiTheme="minorHAnsi" w:hAnsiTheme="minorHAnsi"/>
          <w:color w:val="auto"/>
        </w:rPr>
        <w:t xml:space="preserve">e </w:t>
      </w:r>
      <w:r w:rsidRPr="00E76E01">
        <w:rPr>
          <w:rFonts w:asciiTheme="minorHAnsi" w:hAnsiTheme="minorHAnsi"/>
          <w:color w:val="auto"/>
        </w:rPr>
        <w:t xml:space="preserve">Minnesota </w:t>
      </w:r>
      <w:proofErr w:type="spellStart"/>
      <w:r w:rsidRPr="00E76E01">
        <w:rPr>
          <w:rFonts w:asciiTheme="minorHAnsi" w:hAnsiTheme="minorHAnsi"/>
          <w:color w:val="auto"/>
        </w:rPr>
        <w:t>Multiphasic</w:t>
      </w:r>
      <w:proofErr w:type="spellEnd"/>
      <w:r w:rsidRPr="00E76E01">
        <w:rPr>
          <w:rFonts w:asciiTheme="minorHAnsi" w:hAnsiTheme="minorHAnsi"/>
          <w:color w:val="auto"/>
        </w:rPr>
        <w:t xml:space="preserve"> Personality Inventory</w:t>
      </w:r>
      <w:r>
        <w:rPr>
          <w:rFonts w:asciiTheme="minorHAnsi" w:hAnsiTheme="minorHAnsi"/>
          <w:color w:val="auto"/>
        </w:rPr>
        <w:t xml:space="preserve"> (</w:t>
      </w:r>
      <w:r w:rsidR="0014589A" w:rsidRPr="00E76E01">
        <w:rPr>
          <w:rFonts w:asciiTheme="minorHAnsi" w:hAnsiTheme="minorHAnsi"/>
          <w:color w:val="auto"/>
        </w:rPr>
        <w:t>MMPI</w:t>
      </w:r>
      <w:r>
        <w:rPr>
          <w:rFonts w:asciiTheme="minorHAnsi" w:hAnsiTheme="minorHAnsi"/>
          <w:color w:val="auto"/>
        </w:rPr>
        <w:t>)</w:t>
      </w:r>
      <w:r w:rsidR="0014589A" w:rsidRPr="00E76E01">
        <w:rPr>
          <w:rFonts w:asciiTheme="minorHAnsi" w:hAnsiTheme="minorHAnsi"/>
          <w:color w:val="auto"/>
        </w:rPr>
        <w:t>.</w:t>
      </w:r>
      <w:r w:rsidR="002F27E4" w:rsidRPr="000D6D15">
        <w:rPr>
          <w:rFonts w:asciiTheme="minorHAnsi" w:hAnsiTheme="minorHAnsi"/>
          <w:color w:val="auto"/>
        </w:rPr>
        <w:t xml:space="preserve"> </w:t>
      </w:r>
      <w:r w:rsidR="00113BDD" w:rsidRPr="000D6D15">
        <w:rPr>
          <w:rFonts w:asciiTheme="minorHAnsi" w:hAnsiTheme="minorHAnsi"/>
          <w:color w:val="auto"/>
        </w:rPr>
        <w:t xml:space="preserve"> </w:t>
      </w:r>
      <w:r w:rsidR="002F27E4" w:rsidRPr="000D6D15">
        <w:rPr>
          <w:rFonts w:asciiTheme="minorHAnsi" w:hAnsiTheme="minorHAnsi"/>
          <w:color w:val="auto"/>
        </w:rPr>
        <w:t xml:space="preserve">He was somber and rapport was very </w:t>
      </w:r>
      <w:r w:rsidR="00113BDD" w:rsidRPr="000D6D15">
        <w:rPr>
          <w:rFonts w:asciiTheme="minorHAnsi" w:hAnsiTheme="minorHAnsi"/>
          <w:color w:val="auto"/>
        </w:rPr>
        <w:t>difficult</w:t>
      </w:r>
      <w:r w:rsidR="00257FC0">
        <w:rPr>
          <w:rFonts w:asciiTheme="minorHAnsi" w:hAnsiTheme="minorHAnsi"/>
          <w:color w:val="auto"/>
        </w:rPr>
        <w:t>.</w:t>
      </w:r>
      <w:r w:rsidR="00113BDD" w:rsidRPr="000D6D15">
        <w:rPr>
          <w:rFonts w:asciiTheme="minorHAnsi" w:hAnsiTheme="minorHAnsi"/>
          <w:color w:val="auto"/>
        </w:rPr>
        <w:t xml:space="preserve">  </w:t>
      </w:r>
      <w:r w:rsidR="002F27E4" w:rsidRPr="000D6D15">
        <w:rPr>
          <w:rFonts w:asciiTheme="minorHAnsi" w:hAnsiTheme="minorHAnsi"/>
          <w:color w:val="auto"/>
        </w:rPr>
        <w:t>He spoke very softly and he had poor e</w:t>
      </w:r>
      <w:r w:rsidR="00113BDD" w:rsidRPr="000D6D15">
        <w:rPr>
          <w:rFonts w:asciiTheme="minorHAnsi" w:hAnsiTheme="minorHAnsi"/>
          <w:color w:val="auto"/>
        </w:rPr>
        <w:t xml:space="preserve">ye contact.  </w:t>
      </w:r>
      <w:r w:rsidR="00257FC0">
        <w:rPr>
          <w:rFonts w:asciiTheme="minorHAnsi" w:hAnsiTheme="minorHAnsi"/>
          <w:color w:val="auto"/>
        </w:rPr>
        <w:t>He</w:t>
      </w:r>
      <w:r w:rsidR="0014589A" w:rsidRPr="000D6D15">
        <w:rPr>
          <w:rFonts w:asciiTheme="minorHAnsi" w:hAnsiTheme="minorHAnsi"/>
          <w:color w:val="auto"/>
        </w:rPr>
        <w:t xml:space="preserve"> presented as</w:t>
      </w:r>
      <w:r w:rsidR="002F27E4" w:rsidRPr="000D6D15">
        <w:rPr>
          <w:rFonts w:asciiTheme="minorHAnsi" w:hAnsiTheme="minorHAnsi"/>
          <w:color w:val="auto"/>
        </w:rPr>
        <w:t xml:space="preserve"> an attractive, trim and fit, we</w:t>
      </w:r>
      <w:r w:rsidR="0014589A" w:rsidRPr="000D6D15">
        <w:rPr>
          <w:rFonts w:asciiTheme="minorHAnsi" w:hAnsiTheme="minorHAnsi"/>
          <w:color w:val="auto"/>
        </w:rPr>
        <w:t xml:space="preserve">ll-dressed and groomed male. </w:t>
      </w:r>
      <w:r w:rsidR="00257FC0">
        <w:rPr>
          <w:rFonts w:asciiTheme="minorHAnsi" w:hAnsiTheme="minorHAnsi"/>
          <w:color w:val="auto"/>
        </w:rPr>
        <w:t xml:space="preserve"> </w:t>
      </w:r>
      <w:r w:rsidR="0014589A" w:rsidRPr="000D6D15">
        <w:rPr>
          <w:rFonts w:asciiTheme="minorHAnsi" w:hAnsiTheme="minorHAnsi"/>
          <w:color w:val="auto"/>
        </w:rPr>
        <w:t>He was verbal and wa</w:t>
      </w:r>
      <w:r w:rsidR="002F27E4" w:rsidRPr="000D6D15">
        <w:rPr>
          <w:rFonts w:asciiTheme="minorHAnsi" w:hAnsiTheme="minorHAnsi"/>
          <w:color w:val="auto"/>
        </w:rPr>
        <w:t>s estimated to h</w:t>
      </w:r>
      <w:r w:rsidR="00113BDD" w:rsidRPr="000D6D15">
        <w:rPr>
          <w:rFonts w:asciiTheme="minorHAnsi" w:hAnsiTheme="minorHAnsi"/>
          <w:color w:val="auto"/>
        </w:rPr>
        <w:t xml:space="preserve">ave above average intelligence.  </w:t>
      </w:r>
      <w:r w:rsidR="002F27E4" w:rsidRPr="000D6D15">
        <w:rPr>
          <w:rFonts w:asciiTheme="minorHAnsi" w:hAnsiTheme="minorHAnsi"/>
          <w:color w:val="auto"/>
        </w:rPr>
        <w:t>His thought process was l</w:t>
      </w:r>
      <w:r w:rsidR="00113BDD" w:rsidRPr="000D6D15">
        <w:rPr>
          <w:rFonts w:asciiTheme="minorHAnsi" w:hAnsiTheme="minorHAnsi"/>
          <w:color w:val="auto"/>
        </w:rPr>
        <w:t xml:space="preserve">ogical, coherent, and relevant.  </w:t>
      </w:r>
      <w:r w:rsidR="002F27E4" w:rsidRPr="000D6D15">
        <w:rPr>
          <w:rFonts w:asciiTheme="minorHAnsi" w:hAnsiTheme="minorHAnsi"/>
          <w:color w:val="auto"/>
        </w:rPr>
        <w:t>Mental status was generally normal with no significant</w:t>
      </w:r>
      <w:r w:rsidR="0014589A" w:rsidRPr="000D6D15">
        <w:rPr>
          <w:rFonts w:asciiTheme="minorHAnsi" w:hAnsiTheme="minorHAnsi"/>
          <w:color w:val="auto"/>
        </w:rPr>
        <w:t xml:space="preserve"> cognitive impairment. </w:t>
      </w:r>
      <w:r w:rsidR="00113BDD" w:rsidRPr="000D6D15">
        <w:rPr>
          <w:rFonts w:asciiTheme="minorHAnsi" w:hAnsiTheme="minorHAnsi"/>
          <w:color w:val="auto"/>
        </w:rPr>
        <w:t xml:space="preserve"> </w:t>
      </w:r>
      <w:r w:rsidR="0014589A" w:rsidRPr="000D6D15">
        <w:rPr>
          <w:rFonts w:asciiTheme="minorHAnsi" w:hAnsiTheme="minorHAnsi"/>
          <w:color w:val="auto"/>
        </w:rPr>
        <w:t>He denied</w:t>
      </w:r>
      <w:r w:rsidR="002F27E4" w:rsidRPr="000D6D15">
        <w:rPr>
          <w:rFonts w:asciiTheme="minorHAnsi" w:hAnsiTheme="minorHAnsi"/>
          <w:color w:val="auto"/>
        </w:rPr>
        <w:t xml:space="preserve"> any problems with concentration, short-term memory</w:t>
      </w:r>
      <w:r w:rsidR="00113BDD" w:rsidRPr="000D6D15">
        <w:rPr>
          <w:rFonts w:asciiTheme="minorHAnsi" w:hAnsiTheme="minorHAnsi"/>
          <w:color w:val="auto"/>
        </w:rPr>
        <w:t xml:space="preserve">, or long term memory.  </w:t>
      </w:r>
      <w:r w:rsidR="0014589A" w:rsidRPr="000D6D15">
        <w:rPr>
          <w:rFonts w:asciiTheme="minorHAnsi" w:hAnsiTheme="minorHAnsi"/>
          <w:color w:val="auto"/>
        </w:rPr>
        <w:t>He denied</w:t>
      </w:r>
      <w:r w:rsidR="002F27E4" w:rsidRPr="000D6D15">
        <w:rPr>
          <w:rFonts w:asciiTheme="minorHAnsi" w:hAnsiTheme="minorHAnsi"/>
          <w:color w:val="auto"/>
        </w:rPr>
        <w:t xml:space="preserve"> any history of neurological accidents or incidents. Affect was irri</w:t>
      </w:r>
      <w:r w:rsidR="0014589A" w:rsidRPr="000D6D15">
        <w:rPr>
          <w:rFonts w:asciiTheme="minorHAnsi" w:hAnsiTheme="minorHAnsi"/>
          <w:color w:val="auto"/>
        </w:rPr>
        <w:t>table and somewhat depressed, appearing</w:t>
      </w:r>
      <w:r w:rsidR="002F27E4" w:rsidRPr="000D6D15">
        <w:rPr>
          <w:rFonts w:asciiTheme="minorHAnsi" w:hAnsiTheme="minorHAnsi"/>
          <w:color w:val="auto"/>
        </w:rPr>
        <w:t xml:space="preserve"> ten</w:t>
      </w:r>
      <w:r w:rsidR="005F3C3A" w:rsidRPr="000D6D15">
        <w:rPr>
          <w:rFonts w:asciiTheme="minorHAnsi" w:hAnsiTheme="minorHAnsi"/>
          <w:color w:val="auto"/>
        </w:rPr>
        <w:t xml:space="preserve">se during the interview.  </w:t>
      </w:r>
      <w:r w:rsidR="002F27E4" w:rsidRPr="000D6D15">
        <w:rPr>
          <w:rFonts w:asciiTheme="minorHAnsi" w:hAnsiTheme="minorHAnsi"/>
          <w:color w:val="auto"/>
        </w:rPr>
        <w:t>He was well oriented to tim</w:t>
      </w:r>
      <w:r w:rsidR="005F3C3A" w:rsidRPr="000D6D15">
        <w:rPr>
          <w:rFonts w:asciiTheme="minorHAnsi" w:hAnsiTheme="minorHAnsi"/>
          <w:color w:val="auto"/>
        </w:rPr>
        <w:t xml:space="preserve">e, place, person and situation.  </w:t>
      </w:r>
      <w:r w:rsidR="002F27E4" w:rsidRPr="000D6D15">
        <w:rPr>
          <w:rFonts w:asciiTheme="minorHAnsi" w:hAnsiTheme="minorHAnsi"/>
          <w:color w:val="auto"/>
        </w:rPr>
        <w:t xml:space="preserve">Reasoning was fair and judgment was poor, </w:t>
      </w:r>
      <w:r w:rsidR="0014589A" w:rsidRPr="000D6D15">
        <w:rPr>
          <w:rFonts w:asciiTheme="minorHAnsi" w:hAnsiTheme="minorHAnsi"/>
          <w:color w:val="auto"/>
        </w:rPr>
        <w:t>though this appeared</w:t>
      </w:r>
      <w:r w:rsidR="002F27E4" w:rsidRPr="000D6D15">
        <w:rPr>
          <w:rFonts w:asciiTheme="minorHAnsi" w:hAnsiTheme="minorHAnsi"/>
          <w:color w:val="auto"/>
        </w:rPr>
        <w:t xml:space="preserve"> to be </w:t>
      </w:r>
      <w:r w:rsidR="0014589A" w:rsidRPr="000D6D15">
        <w:rPr>
          <w:rFonts w:asciiTheme="minorHAnsi" w:hAnsiTheme="minorHAnsi"/>
          <w:color w:val="auto"/>
        </w:rPr>
        <w:t>improving somewha</w:t>
      </w:r>
      <w:r w:rsidR="00113BDD" w:rsidRPr="000D6D15">
        <w:rPr>
          <w:rFonts w:asciiTheme="minorHAnsi" w:hAnsiTheme="minorHAnsi"/>
          <w:color w:val="auto"/>
        </w:rPr>
        <w:t xml:space="preserve">t, since he had remained sober.  </w:t>
      </w:r>
      <w:r w:rsidR="002F27E4" w:rsidRPr="000D6D15">
        <w:rPr>
          <w:rFonts w:asciiTheme="minorHAnsi" w:hAnsiTheme="minorHAnsi"/>
          <w:color w:val="auto"/>
        </w:rPr>
        <w:t>Fund of general information and verbal comprehension were average.</w:t>
      </w:r>
      <w:r w:rsidR="00113BDD" w:rsidRPr="000D6D15">
        <w:rPr>
          <w:rFonts w:asciiTheme="minorHAnsi" w:hAnsiTheme="minorHAnsi"/>
          <w:color w:val="auto"/>
        </w:rPr>
        <w:t xml:space="preserve">  </w:t>
      </w:r>
    </w:p>
    <w:p w:rsidR="005E5C7F" w:rsidRPr="000D6D15" w:rsidRDefault="005E5C7F" w:rsidP="002F27E4">
      <w:pPr>
        <w:autoSpaceDE w:val="0"/>
        <w:autoSpaceDN w:val="0"/>
        <w:adjustRightInd w:val="0"/>
        <w:spacing w:line="240" w:lineRule="exact"/>
        <w:jc w:val="both"/>
        <w:rPr>
          <w:rFonts w:asciiTheme="minorHAnsi" w:hAnsiTheme="minorHAnsi"/>
          <w:color w:val="auto"/>
        </w:rPr>
      </w:pPr>
    </w:p>
    <w:p w:rsidR="00BC653C" w:rsidRPr="000D6D15" w:rsidRDefault="005E5C7F" w:rsidP="002F27E4">
      <w:pPr>
        <w:autoSpaceDE w:val="0"/>
        <w:autoSpaceDN w:val="0"/>
        <w:adjustRightInd w:val="0"/>
        <w:spacing w:line="240" w:lineRule="exact"/>
        <w:jc w:val="both"/>
        <w:rPr>
          <w:rFonts w:asciiTheme="minorHAnsi" w:hAnsiTheme="minorHAnsi"/>
          <w:color w:val="auto"/>
        </w:rPr>
      </w:pPr>
      <w:r w:rsidRPr="000D6D15">
        <w:rPr>
          <w:rFonts w:asciiTheme="minorHAnsi" w:hAnsiTheme="minorHAnsi"/>
          <w:color w:val="auto"/>
        </w:rPr>
        <w:t>With his PTSD treated with medications he clearly meets the 10% criteria for occupational and social impairment.  He manifests three of six descriptors for occupational and social impairment at the 30% level, these being depressed mood, suspiciousness, and chronic sleep impairment.  At the 50% level the CI manifests two descriptors with mood disturbance and difficulty establishing and maintaining effective work and social relationships.  The second descriptor is only partiall</w:t>
      </w:r>
      <w:r w:rsidR="007D5BFC" w:rsidRPr="000D6D15">
        <w:rPr>
          <w:rFonts w:asciiTheme="minorHAnsi" w:hAnsiTheme="minorHAnsi"/>
          <w:color w:val="auto"/>
        </w:rPr>
        <w:t>y met as his PTSD symptoms had a</w:t>
      </w:r>
      <w:r w:rsidRPr="000D6D15">
        <w:rPr>
          <w:rFonts w:asciiTheme="minorHAnsi" w:hAnsiTheme="minorHAnsi"/>
          <w:color w:val="auto"/>
        </w:rPr>
        <w:t>ffected social relationshi</w:t>
      </w:r>
      <w:r w:rsidR="007D5BFC" w:rsidRPr="000D6D15">
        <w:rPr>
          <w:rFonts w:asciiTheme="minorHAnsi" w:hAnsiTheme="minorHAnsi"/>
          <w:color w:val="auto"/>
        </w:rPr>
        <w:t>ps but he was working and work wa</w:t>
      </w:r>
      <w:r w:rsidRPr="000D6D15">
        <w:rPr>
          <w:rFonts w:asciiTheme="minorHAnsi" w:hAnsiTheme="minorHAnsi"/>
          <w:color w:val="auto"/>
        </w:rPr>
        <w:t>s noted to be “therapeutic.”</w:t>
      </w:r>
      <w:r w:rsidR="007D5BFC" w:rsidRPr="000D6D15">
        <w:rPr>
          <w:rFonts w:asciiTheme="minorHAnsi" w:hAnsiTheme="minorHAnsi"/>
          <w:color w:val="auto"/>
        </w:rPr>
        <w:t xml:space="preserve">  At the 70% level he did manifest two descriptors, expressing suicidal thoughts but stated that he would never act on those thoughts.  He also indicated some homicidal ideation but only “in the heat of the moment” and was able to brush these thoughts aside and isolate himself when he became angry.  These descriptors are noted only in the VA records.  </w:t>
      </w:r>
      <w:r w:rsidR="00BF41D4" w:rsidRPr="000D6D15">
        <w:rPr>
          <w:rFonts w:asciiTheme="minorHAnsi" w:hAnsiTheme="minorHAnsi"/>
          <w:color w:val="auto"/>
        </w:rPr>
        <w:t>The NARSUM stated that suicidal and homicidal ideation was “convincingly denied.</w:t>
      </w:r>
      <w:r w:rsidR="005F3C3A" w:rsidRPr="000D6D15">
        <w:rPr>
          <w:rFonts w:asciiTheme="minorHAnsi" w:hAnsiTheme="minorHAnsi"/>
          <w:color w:val="auto"/>
        </w:rPr>
        <w:t xml:space="preserve">”  </w:t>
      </w:r>
      <w:r w:rsidR="00BC653C" w:rsidRPr="000D6D15">
        <w:rPr>
          <w:rFonts w:asciiTheme="minorHAnsi" w:hAnsiTheme="minorHAnsi"/>
          <w:color w:val="auto"/>
        </w:rPr>
        <w:t xml:space="preserve">The VA examination for PTSD on 20070605 (3 months after separation) noted some visual and auditory hallucinations including hearing gunshots and screaming and seeing an Iraqi run in front of his truck.  </w:t>
      </w:r>
      <w:r w:rsidR="00747B0D" w:rsidRPr="000D6D15">
        <w:rPr>
          <w:rFonts w:asciiTheme="minorHAnsi" w:hAnsiTheme="minorHAnsi"/>
          <w:color w:val="auto"/>
        </w:rPr>
        <w:t xml:space="preserve">These hallucinations, if persistent, are actually a descriptor at the 100% impairment level.  </w:t>
      </w:r>
      <w:r w:rsidR="00BC653C" w:rsidRPr="000D6D15">
        <w:rPr>
          <w:rFonts w:asciiTheme="minorHAnsi" w:hAnsiTheme="minorHAnsi"/>
          <w:color w:val="auto"/>
        </w:rPr>
        <w:t>The NARSUM does not relate any history</w:t>
      </w:r>
      <w:r w:rsidR="00F3732C" w:rsidRPr="000D6D15">
        <w:rPr>
          <w:rFonts w:asciiTheme="minorHAnsi" w:hAnsiTheme="minorHAnsi"/>
          <w:color w:val="auto"/>
        </w:rPr>
        <w:t xml:space="preserve"> of hallucinations.  </w:t>
      </w:r>
      <w:r w:rsidR="009D68ED" w:rsidRPr="000D6D15">
        <w:rPr>
          <w:rFonts w:asciiTheme="minorHAnsi" w:hAnsiTheme="minorHAnsi"/>
          <w:color w:val="auto"/>
        </w:rPr>
        <w:t xml:space="preserve">These symptoms may not have been considered to be hallucinations, but only part of his flashbacks where these experiences were relived.  </w:t>
      </w:r>
      <w:r w:rsidR="002345A4" w:rsidRPr="000D6D15">
        <w:rPr>
          <w:rFonts w:asciiTheme="minorHAnsi" w:hAnsiTheme="minorHAnsi"/>
          <w:color w:val="auto"/>
        </w:rPr>
        <w:t>The Global Assessment of Functioning (GAF) for the NARSUM was 51-60 and for the VA PTSD examination was 57, both consistent with moderate symptoms.</w:t>
      </w:r>
      <w:r w:rsidR="00E76E01">
        <w:rPr>
          <w:rFonts w:asciiTheme="minorHAnsi" w:hAnsiTheme="minorHAnsi"/>
          <w:color w:val="auto"/>
        </w:rPr>
        <w:t xml:space="preserve">  </w:t>
      </w:r>
      <w:r w:rsidR="00AB21B5" w:rsidRPr="000D6D15">
        <w:rPr>
          <w:rFonts w:asciiTheme="minorHAnsi" w:hAnsiTheme="minorHAnsi"/>
          <w:color w:val="auto"/>
        </w:rPr>
        <w:t>The PEB adjudicated the PTSD condition a</w:t>
      </w:r>
      <w:r w:rsidR="00447E26" w:rsidRPr="000D6D15">
        <w:rPr>
          <w:rFonts w:asciiTheme="minorHAnsi" w:hAnsiTheme="minorHAnsi"/>
          <w:color w:val="auto"/>
        </w:rPr>
        <w:t xml:space="preserve">s unfitting (code 9411) with a </w:t>
      </w:r>
      <w:r w:rsidR="00570412" w:rsidRPr="000D6D15">
        <w:rPr>
          <w:rFonts w:asciiTheme="minorHAnsi" w:hAnsiTheme="minorHAnsi"/>
          <w:color w:val="auto"/>
        </w:rPr>
        <w:t>1</w:t>
      </w:r>
      <w:r w:rsidR="00AB21B5" w:rsidRPr="000D6D15">
        <w:rPr>
          <w:rFonts w:asciiTheme="minorHAnsi" w:hAnsiTheme="minorHAnsi"/>
          <w:color w:val="auto"/>
        </w:rPr>
        <w:t xml:space="preserve">0% rating.  </w:t>
      </w:r>
      <w:r w:rsidR="00BC653C" w:rsidRPr="000D6D15">
        <w:rPr>
          <w:rFonts w:asciiTheme="minorHAnsi" w:hAnsiTheme="minorHAnsi"/>
          <w:color w:val="auto"/>
        </w:rPr>
        <w:t xml:space="preserve">The VA assigned a rating of 50% based on symptoms of sleep disturbance, anger issues, flashbacks, audio/visual hallucinations, increased </w:t>
      </w:r>
      <w:proofErr w:type="spellStart"/>
      <w:r w:rsidR="00BC653C" w:rsidRPr="000D6D15">
        <w:rPr>
          <w:rFonts w:asciiTheme="minorHAnsi" w:hAnsiTheme="minorHAnsi"/>
          <w:color w:val="auto"/>
        </w:rPr>
        <w:t>hypervigilance</w:t>
      </w:r>
      <w:proofErr w:type="spellEnd"/>
      <w:r w:rsidR="00BC653C" w:rsidRPr="000D6D15">
        <w:rPr>
          <w:rFonts w:asciiTheme="minorHAnsi" w:hAnsiTheme="minorHAnsi"/>
          <w:color w:val="auto"/>
        </w:rPr>
        <w:t xml:space="preserve"> and exaggerated startled response which cause difficulty in establishing and maintaining effective social relationships.</w:t>
      </w:r>
      <w:r w:rsidR="00747B0D" w:rsidRPr="000D6D15">
        <w:rPr>
          <w:rFonts w:asciiTheme="minorHAnsi" w:hAnsiTheme="minorHAnsi"/>
          <w:color w:val="auto"/>
        </w:rPr>
        <w:t xml:space="preserve">  </w:t>
      </w:r>
      <w:r w:rsidR="00BC653C" w:rsidRPr="000D6D15">
        <w:rPr>
          <w:rFonts w:asciiTheme="minorHAnsi" w:hAnsiTheme="minorHAnsi"/>
          <w:color w:val="auto"/>
        </w:rPr>
        <w:t>S</w:t>
      </w:r>
      <w:r w:rsidR="00747B0D" w:rsidRPr="000D6D15">
        <w:rPr>
          <w:rFonts w:asciiTheme="minorHAnsi" w:hAnsiTheme="minorHAnsi"/>
          <w:color w:val="auto"/>
        </w:rPr>
        <w:t>ince the VA rating was 50% the hallucination</w:t>
      </w:r>
      <w:r w:rsidR="00BC653C" w:rsidRPr="000D6D15">
        <w:rPr>
          <w:rFonts w:asciiTheme="minorHAnsi" w:hAnsiTheme="minorHAnsi"/>
          <w:color w:val="auto"/>
        </w:rPr>
        <w:t xml:space="preserve"> symptoms were </w:t>
      </w:r>
      <w:r w:rsidR="00AB21B5" w:rsidRPr="000D6D15">
        <w:rPr>
          <w:rFonts w:asciiTheme="minorHAnsi" w:hAnsiTheme="minorHAnsi"/>
          <w:color w:val="auto"/>
        </w:rPr>
        <w:t xml:space="preserve">apparently </w:t>
      </w:r>
      <w:r w:rsidR="00BC653C" w:rsidRPr="000D6D15">
        <w:rPr>
          <w:rFonts w:asciiTheme="minorHAnsi" w:hAnsiTheme="minorHAnsi"/>
          <w:color w:val="auto"/>
        </w:rPr>
        <w:t xml:space="preserve">not persistent </w:t>
      </w:r>
      <w:r w:rsidR="00AB21B5" w:rsidRPr="000D6D15">
        <w:rPr>
          <w:rFonts w:asciiTheme="minorHAnsi" w:hAnsiTheme="minorHAnsi"/>
          <w:color w:val="auto"/>
        </w:rPr>
        <w:t>or severe enough to result in total occupational and social impairment.</w:t>
      </w:r>
    </w:p>
    <w:p w:rsidR="00033A37" w:rsidRPr="000D6D15" w:rsidRDefault="00033A37" w:rsidP="002F27E4">
      <w:pPr>
        <w:autoSpaceDE w:val="0"/>
        <w:autoSpaceDN w:val="0"/>
        <w:adjustRightInd w:val="0"/>
        <w:spacing w:line="240" w:lineRule="exact"/>
        <w:jc w:val="both"/>
        <w:rPr>
          <w:rFonts w:asciiTheme="minorHAnsi" w:hAnsiTheme="minorHAnsi"/>
          <w:color w:val="auto"/>
        </w:rPr>
      </w:pPr>
    </w:p>
    <w:p w:rsidR="00033A37" w:rsidRPr="000D6D15" w:rsidRDefault="00033A37" w:rsidP="00033A37">
      <w:pPr>
        <w:tabs>
          <w:tab w:val="left" w:pos="288"/>
          <w:tab w:val="left" w:pos="4752"/>
        </w:tabs>
        <w:spacing w:line="240" w:lineRule="exact"/>
        <w:jc w:val="both"/>
        <w:rPr>
          <w:rFonts w:asciiTheme="minorHAnsi" w:hAnsiTheme="minorHAnsi"/>
          <w:szCs w:val="24"/>
        </w:rPr>
      </w:pPr>
      <w:r w:rsidRPr="000D6D15">
        <w:rPr>
          <w:rFonts w:asciiTheme="minorHAnsi" w:hAnsiTheme="minorHAnsi"/>
          <w:color w:val="auto"/>
          <w:szCs w:val="24"/>
        </w:rPr>
        <w:lastRenderedPageBreak/>
        <w:t xml:space="preserve">The Board carefully reconsidered the PEB adjudication of the PTSD condition. The PEB rating, as described above, was derived from DoDI 1332.39 and preceded the promulgation of the </w:t>
      </w:r>
      <w:r w:rsidRPr="000D6D15">
        <w:rPr>
          <w:rFonts w:asciiTheme="minorHAnsi" w:hAnsiTheme="minorHAnsi"/>
          <w:bCs/>
          <w:color w:val="auto"/>
          <w:szCs w:val="24"/>
        </w:rPr>
        <w:t>National Defense Authorization Act</w:t>
      </w:r>
      <w:r w:rsidRPr="000D6D15">
        <w:rPr>
          <w:rFonts w:asciiTheme="minorHAnsi" w:hAnsiTheme="minorHAnsi"/>
          <w:color w:val="auto"/>
          <w:szCs w:val="24"/>
        </w:rPr>
        <w:t xml:space="preserve"> (NDAA) 2008 mandate for Department of Defense (DoD) adherence to Veterans Administration Schedule for Rating Disabilities (VASRD) §4.129.  IAW DoDI 6040.44 and DoD guidance (which applies current VASRD 4.129 to all Board cases), the Board is obligated to recommend a minimum 50% PTSD rating for a retroactive six month period on the Temporary Disability Retired List (TDRL).  </w:t>
      </w:r>
      <w:r w:rsidR="007E1B9A" w:rsidRPr="000D6D15">
        <w:rPr>
          <w:rFonts w:asciiTheme="minorHAnsi" w:hAnsiTheme="minorHAnsi"/>
          <w:color w:val="auto"/>
          <w:szCs w:val="24"/>
        </w:rPr>
        <w:t xml:space="preserve">The Board considered whether the minimum 50% threshold for the TDRL rating period was exceeded.  It was agreed that §4.130 criteria for a higher rating could not be justified and that 50% was the appropriate TDRL rating, as mandated in its recommendation.  </w:t>
      </w:r>
      <w:r w:rsidRPr="000D6D15">
        <w:rPr>
          <w:rFonts w:asciiTheme="minorHAnsi" w:hAnsiTheme="minorHAnsi"/>
          <w:color w:val="auto"/>
          <w:szCs w:val="24"/>
        </w:rPr>
        <w:t>The Board then determined the most appropriate fit with VASRD 4.130 criteria at six months for its permanent rating recommendation.  As noted above, the best evidence on which to base the permanent rating recommendation in this case was the VA Compensation and Pension (C&amp;P) PTSD Examination performed on 20070605, 3 months after separation.</w:t>
      </w:r>
      <w:r w:rsidR="0098111E" w:rsidRPr="000D6D15">
        <w:rPr>
          <w:rFonts w:asciiTheme="minorHAnsi" w:hAnsiTheme="minorHAnsi"/>
          <w:color w:val="auto"/>
          <w:szCs w:val="24"/>
        </w:rPr>
        <w:t xml:space="preserve">  </w:t>
      </w:r>
      <w:r w:rsidR="007E1B9A" w:rsidRPr="000D6D15">
        <w:rPr>
          <w:rFonts w:asciiTheme="minorHAnsi" w:hAnsiTheme="minorHAnsi"/>
          <w:color w:val="auto"/>
          <w:szCs w:val="24"/>
        </w:rPr>
        <w:t xml:space="preserve">There </w:t>
      </w:r>
      <w:r w:rsidR="00447E26" w:rsidRPr="000D6D15">
        <w:rPr>
          <w:rFonts w:asciiTheme="minorHAnsi" w:hAnsiTheme="minorHAnsi"/>
          <w:color w:val="auto"/>
          <w:szCs w:val="24"/>
        </w:rPr>
        <w:t>wa</w:t>
      </w:r>
      <w:r w:rsidR="007E1B9A" w:rsidRPr="000D6D15">
        <w:rPr>
          <w:rFonts w:asciiTheme="minorHAnsi" w:hAnsiTheme="minorHAnsi"/>
          <w:color w:val="auto"/>
          <w:szCs w:val="24"/>
        </w:rPr>
        <w:t>s no VA or civilian provider evidence covering the six month interval.  The probative value of the VA rating examination is strengthened on the principle that it reflects the stress of transition to civilian life which is intrinsic to the Board’s permanent rating recommendation.  Since the VA exam was still fairly close to separation and removed from the six month rating interval, the MEB evaluation itself provides a useful baseline and is assigned relevant probative value in the Board’s efforts to arrive at a fair permanent rating recom</w:t>
      </w:r>
      <w:r w:rsidR="00447E26" w:rsidRPr="000D6D15">
        <w:rPr>
          <w:rFonts w:asciiTheme="minorHAnsi" w:hAnsiTheme="minorHAnsi"/>
          <w:color w:val="auto"/>
          <w:szCs w:val="24"/>
        </w:rPr>
        <w:t xml:space="preserve">mendation.  </w:t>
      </w:r>
      <w:r w:rsidR="0098111E" w:rsidRPr="000D6D15">
        <w:rPr>
          <w:rFonts w:asciiTheme="minorHAnsi" w:hAnsiTheme="minorHAnsi"/>
          <w:color w:val="auto"/>
          <w:szCs w:val="24"/>
        </w:rPr>
        <w:t xml:space="preserve">After due deliberation, considering the totality of the evidence and mindful of VASRD §4.3 (reasonable doubt), the Board recommends a permanent PTSD disability rating of </w:t>
      </w:r>
      <w:r w:rsidR="001B110B" w:rsidRPr="000D6D15">
        <w:rPr>
          <w:rFonts w:asciiTheme="minorHAnsi" w:hAnsiTheme="minorHAnsi"/>
          <w:color w:val="auto"/>
          <w:szCs w:val="24"/>
        </w:rPr>
        <w:t xml:space="preserve">30% </w:t>
      </w:r>
      <w:r w:rsidR="0098111E" w:rsidRPr="000D6D15">
        <w:rPr>
          <w:rFonts w:asciiTheme="minorHAnsi" w:hAnsiTheme="minorHAnsi"/>
          <w:color w:val="auto"/>
          <w:szCs w:val="24"/>
        </w:rPr>
        <w:t xml:space="preserve">in this case.  </w:t>
      </w:r>
    </w:p>
    <w:p w:rsidR="00C04FF0" w:rsidRPr="000D6D15" w:rsidRDefault="00033A37" w:rsidP="002F27E4">
      <w:pPr>
        <w:autoSpaceDE w:val="0"/>
        <w:autoSpaceDN w:val="0"/>
        <w:adjustRightInd w:val="0"/>
        <w:spacing w:line="240" w:lineRule="exact"/>
        <w:jc w:val="both"/>
        <w:rPr>
          <w:rFonts w:asciiTheme="minorHAnsi" w:hAnsiTheme="minorHAnsi"/>
          <w:color w:val="auto"/>
        </w:rPr>
      </w:pPr>
      <w:r w:rsidRPr="000D6D15">
        <w:rPr>
          <w:rFonts w:asciiTheme="minorHAnsi" w:hAnsiTheme="minorHAnsi"/>
          <w:color w:val="auto"/>
          <w:sz w:val="22"/>
          <w:szCs w:val="24"/>
        </w:rPr>
        <w:t xml:space="preserve">  </w:t>
      </w:r>
    </w:p>
    <w:p w:rsidR="00B03350" w:rsidRPr="000D6D15" w:rsidRDefault="00C04FF0" w:rsidP="00B03350">
      <w:pPr>
        <w:autoSpaceDE w:val="0"/>
        <w:autoSpaceDN w:val="0"/>
        <w:adjustRightInd w:val="0"/>
        <w:spacing w:line="240" w:lineRule="exact"/>
        <w:jc w:val="both"/>
        <w:rPr>
          <w:rFonts w:asciiTheme="minorHAnsi" w:hAnsiTheme="minorHAnsi"/>
          <w:color w:val="auto"/>
        </w:rPr>
      </w:pPr>
      <w:r w:rsidRPr="000D6D15">
        <w:rPr>
          <w:rFonts w:asciiTheme="minorHAnsi" w:hAnsiTheme="minorHAnsi"/>
          <w:color w:val="auto"/>
          <w:u w:val="single"/>
        </w:rPr>
        <w:t>Other Conditions</w:t>
      </w:r>
      <w:r w:rsidR="009B6C36" w:rsidRPr="000D6D15">
        <w:rPr>
          <w:rFonts w:asciiTheme="minorHAnsi" w:hAnsiTheme="minorHAnsi"/>
          <w:color w:val="auto"/>
          <w:u w:val="single"/>
        </w:rPr>
        <w:t xml:space="preserve"> in the Disability Evaluation System (DES) File</w:t>
      </w:r>
      <w:r w:rsidR="00E76E01">
        <w:rPr>
          <w:rFonts w:asciiTheme="minorHAnsi" w:hAnsiTheme="minorHAnsi"/>
          <w:color w:val="auto"/>
        </w:rPr>
        <w:t xml:space="preserve">.  </w:t>
      </w:r>
      <w:r w:rsidR="00EA0BDC" w:rsidRPr="000D6D15">
        <w:rPr>
          <w:rFonts w:asciiTheme="minorHAnsi" w:hAnsiTheme="minorHAnsi"/>
          <w:color w:val="auto"/>
          <w:szCs w:val="24"/>
        </w:rPr>
        <w:t>Chondromalacia (R) Knee Injury</w:t>
      </w:r>
      <w:r w:rsidR="009F50C3" w:rsidRPr="000D6D15">
        <w:rPr>
          <w:rFonts w:asciiTheme="minorHAnsi" w:hAnsiTheme="minorHAnsi"/>
          <w:color w:val="auto"/>
          <w:szCs w:val="24"/>
        </w:rPr>
        <w:t xml:space="preserve"> and Fracture Right Proximal 5</w:t>
      </w:r>
      <w:r w:rsidR="009F50C3" w:rsidRPr="000D6D15">
        <w:rPr>
          <w:rFonts w:asciiTheme="minorHAnsi" w:hAnsiTheme="minorHAnsi"/>
          <w:color w:val="auto"/>
          <w:szCs w:val="24"/>
          <w:vertAlign w:val="superscript"/>
        </w:rPr>
        <w:t>th</w:t>
      </w:r>
      <w:r w:rsidR="00EA0BDC" w:rsidRPr="000D6D15">
        <w:rPr>
          <w:rFonts w:asciiTheme="minorHAnsi" w:hAnsiTheme="minorHAnsi"/>
          <w:color w:val="auto"/>
          <w:szCs w:val="24"/>
        </w:rPr>
        <w:t xml:space="preserve"> Metatarsal are both noted in the DES File.  The MEB Examination noted right knee tenderness in the joint line and MRI was ordered for evaluation of possible </w:t>
      </w:r>
      <w:proofErr w:type="spellStart"/>
      <w:r w:rsidR="00EA0BDC" w:rsidRPr="000D6D15">
        <w:rPr>
          <w:rFonts w:asciiTheme="minorHAnsi" w:hAnsiTheme="minorHAnsi"/>
          <w:color w:val="auto"/>
          <w:szCs w:val="24"/>
        </w:rPr>
        <w:t>meniscal</w:t>
      </w:r>
      <w:proofErr w:type="spellEnd"/>
      <w:r w:rsidR="00EA0BDC" w:rsidRPr="000D6D15">
        <w:rPr>
          <w:rFonts w:asciiTheme="minorHAnsi" w:hAnsiTheme="minorHAnsi"/>
          <w:color w:val="auto"/>
          <w:szCs w:val="24"/>
        </w:rPr>
        <w:t xml:space="preserve"> injury.  </w:t>
      </w:r>
      <w:r w:rsidR="00433F61" w:rsidRPr="000D6D15">
        <w:rPr>
          <w:rFonts w:asciiTheme="minorHAnsi" w:hAnsiTheme="minorHAnsi"/>
          <w:color w:val="auto"/>
          <w:szCs w:val="24"/>
        </w:rPr>
        <w:t xml:space="preserve">There is no report of this study in the file.  </w:t>
      </w:r>
      <w:r w:rsidR="00A94F87" w:rsidRPr="000D6D15">
        <w:rPr>
          <w:rFonts w:asciiTheme="minorHAnsi" w:hAnsiTheme="minorHAnsi"/>
          <w:color w:val="auto"/>
          <w:szCs w:val="24"/>
        </w:rPr>
        <w:t>The VA</w:t>
      </w:r>
      <w:r w:rsidR="00EA0BDC" w:rsidRPr="000D6D15">
        <w:rPr>
          <w:rFonts w:asciiTheme="minorHAnsi" w:hAnsiTheme="minorHAnsi"/>
          <w:color w:val="auto"/>
          <w:szCs w:val="24"/>
        </w:rPr>
        <w:t xml:space="preserve"> rate</w:t>
      </w:r>
      <w:r w:rsidR="00A94F87" w:rsidRPr="000D6D15">
        <w:rPr>
          <w:rFonts w:asciiTheme="minorHAnsi" w:hAnsiTheme="minorHAnsi"/>
          <w:color w:val="auto"/>
          <w:szCs w:val="24"/>
        </w:rPr>
        <w:t>d</w:t>
      </w:r>
      <w:r w:rsidR="00EA0BDC" w:rsidRPr="000D6D15">
        <w:rPr>
          <w:rFonts w:asciiTheme="minorHAnsi" w:hAnsiTheme="minorHAnsi"/>
          <w:color w:val="auto"/>
          <w:szCs w:val="24"/>
        </w:rPr>
        <w:t xml:space="preserve"> this condition as Chondromalacia at 10%.</w:t>
      </w:r>
      <w:r w:rsidR="00433F61" w:rsidRPr="000D6D15">
        <w:rPr>
          <w:rFonts w:asciiTheme="minorHAnsi" w:hAnsiTheme="minorHAnsi"/>
          <w:color w:val="auto"/>
          <w:szCs w:val="24"/>
        </w:rPr>
        <w:t xml:space="preserve">  The MEB Examination noted that the right foot 5</w:t>
      </w:r>
      <w:r w:rsidR="009F50C3" w:rsidRPr="000D6D15">
        <w:rPr>
          <w:rFonts w:asciiTheme="minorHAnsi" w:hAnsiTheme="minorHAnsi"/>
          <w:color w:val="auto"/>
          <w:szCs w:val="24"/>
          <w:vertAlign w:val="superscript"/>
        </w:rPr>
        <w:t>th</w:t>
      </w:r>
      <w:r w:rsidR="00433F61" w:rsidRPr="000D6D15">
        <w:rPr>
          <w:rFonts w:asciiTheme="minorHAnsi" w:hAnsiTheme="minorHAnsi"/>
          <w:color w:val="auto"/>
          <w:szCs w:val="24"/>
        </w:rPr>
        <w:t xml:space="preserve"> metatarsal fracture was well healed with no problems.  The VA rated this condition at 0%.  </w:t>
      </w:r>
      <w:r w:rsidR="00433F61" w:rsidRPr="000D6D15">
        <w:rPr>
          <w:rFonts w:asciiTheme="minorHAnsi" w:hAnsiTheme="minorHAnsi"/>
          <w:color w:val="auto"/>
        </w:rPr>
        <w:t>These conditions were not noted in the Commander’s Statement.  No link to fitness is in evidence for the above listed conditions, therefore they were not considered by the PEB for disability rating.</w:t>
      </w:r>
      <w:r w:rsidR="00B03350" w:rsidRPr="000D6D15">
        <w:rPr>
          <w:rFonts w:asciiTheme="minorHAnsi" w:hAnsiTheme="minorHAnsi"/>
          <w:color w:val="auto"/>
        </w:rPr>
        <w:t xml:space="preserve">  The Board unanimously agrees that it cannot recommend any findings of unfit for additional rating at separation.</w:t>
      </w:r>
      <w:r w:rsidR="00E76E01">
        <w:rPr>
          <w:rFonts w:asciiTheme="minorHAnsi" w:hAnsiTheme="minorHAnsi"/>
          <w:color w:val="auto"/>
        </w:rPr>
        <w:t xml:space="preserve">  </w:t>
      </w:r>
    </w:p>
    <w:p w:rsidR="00EA0BDC" w:rsidRPr="000D6D15" w:rsidRDefault="00EA0BDC" w:rsidP="00EA0BDC">
      <w:pPr>
        <w:autoSpaceDE w:val="0"/>
        <w:autoSpaceDN w:val="0"/>
        <w:adjustRightInd w:val="0"/>
        <w:spacing w:line="240" w:lineRule="exact"/>
        <w:jc w:val="both"/>
        <w:rPr>
          <w:rFonts w:asciiTheme="minorHAnsi" w:hAnsiTheme="minorHAnsi"/>
          <w:color w:val="auto"/>
          <w:szCs w:val="24"/>
        </w:rPr>
      </w:pPr>
    </w:p>
    <w:p w:rsidR="00C04FF0" w:rsidRPr="000D6D15" w:rsidRDefault="00E84758" w:rsidP="00C04FF0">
      <w:pPr>
        <w:autoSpaceDE w:val="0"/>
        <w:autoSpaceDN w:val="0"/>
        <w:adjustRightInd w:val="0"/>
        <w:spacing w:line="240" w:lineRule="exact"/>
        <w:jc w:val="both"/>
        <w:rPr>
          <w:rFonts w:asciiTheme="minorHAnsi" w:hAnsiTheme="minorHAnsi"/>
          <w:color w:val="auto"/>
        </w:rPr>
      </w:pPr>
      <w:r w:rsidRPr="000D6D15">
        <w:rPr>
          <w:rFonts w:asciiTheme="minorHAnsi" w:hAnsiTheme="minorHAnsi"/>
          <w:color w:val="auto"/>
        </w:rPr>
        <w:t>Alcohol Dependence was considered by the PEB and determined to be a Category IV condition which did not constitute a physical disability.  The records noted that he entered treatment for alcoho</w:t>
      </w:r>
      <w:r w:rsidR="001B110B" w:rsidRPr="000D6D15">
        <w:rPr>
          <w:rFonts w:asciiTheme="minorHAnsi" w:hAnsiTheme="minorHAnsi"/>
          <w:color w:val="auto"/>
        </w:rPr>
        <w:t>l dependence on 20060627 and had</w:t>
      </w:r>
      <w:r w:rsidRPr="000D6D15">
        <w:rPr>
          <w:rFonts w:asciiTheme="minorHAnsi" w:hAnsiTheme="minorHAnsi"/>
          <w:color w:val="auto"/>
        </w:rPr>
        <w:t xml:space="preserve"> maintained sobriety with tot</w:t>
      </w:r>
      <w:r w:rsidR="00A94F87" w:rsidRPr="000D6D15">
        <w:rPr>
          <w:rFonts w:asciiTheme="minorHAnsi" w:hAnsiTheme="minorHAnsi"/>
          <w:color w:val="auto"/>
        </w:rPr>
        <w:t xml:space="preserve">al abstinence since that date.  </w:t>
      </w:r>
      <w:r w:rsidRPr="000D6D15">
        <w:rPr>
          <w:rFonts w:asciiTheme="minorHAnsi" w:hAnsiTheme="minorHAnsi"/>
          <w:color w:val="auto"/>
        </w:rPr>
        <w:t>The Board unanimously agrees that it</w:t>
      </w:r>
      <w:r w:rsidR="001B110B" w:rsidRPr="000D6D15">
        <w:rPr>
          <w:rFonts w:asciiTheme="minorHAnsi" w:hAnsiTheme="minorHAnsi"/>
          <w:color w:val="auto"/>
        </w:rPr>
        <w:t xml:space="preserve"> cannot recommend a finding of Alcohol D</w:t>
      </w:r>
      <w:r w:rsidRPr="000D6D15">
        <w:rPr>
          <w:rFonts w:asciiTheme="minorHAnsi" w:hAnsiTheme="minorHAnsi"/>
          <w:color w:val="auto"/>
        </w:rPr>
        <w:t>ependence as unfit for additional rating at separation.</w:t>
      </w:r>
    </w:p>
    <w:p w:rsidR="005475F1" w:rsidRPr="000D6D15" w:rsidRDefault="005475F1" w:rsidP="00C04FF0">
      <w:pPr>
        <w:autoSpaceDE w:val="0"/>
        <w:autoSpaceDN w:val="0"/>
        <w:adjustRightInd w:val="0"/>
        <w:spacing w:line="240" w:lineRule="exact"/>
        <w:jc w:val="both"/>
        <w:rPr>
          <w:rFonts w:asciiTheme="minorHAnsi" w:hAnsiTheme="minorHAnsi"/>
          <w:color w:val="auto"/>
        </w:rPr>
      </w:pPr>
    </w:p>
    <w:p w:rsidR="005475F1" w:rsidRPr="000D6D15" w:rsidRDefault="005475F1" w:rsidP="005475F1">
      <w:pPr>
        <w:autoSpaceDE w:val="0"/>
        <w:autoSpaceDN w:val="0"/>
        <w:adjustRightInd w:val="0"/>
        <w:spacing w:line="240" w:lineRule="exact"/>
        <w:jc w:val="both"/>
        <w:rPr>
          <w:rFonts w:asciiTheme="minorHAnsi" w:hAnsiTheme="minorHAnsi"/>
          <w:color w:val="auto"/>
        </w:rPr>
      </w:pPr>
      <w:proofErr w:type="gramStart"/>
      <w:r w:rsidRPr="000D6D15">
        <w:rPr>
          <w:rFonts w:asciiTheme="minorHAnsi" w:hAnsiTheme="minorHAnsi"/>
          <w:color w:val="auto"/>
          <w:u w:val="single"/>
        </w:rPr>
        <w:t xml:space="preserve">Other Conditions Not in the </w:t>
      </w:r>
      <w:r w:rsidR="00E76E01">
        <w:rPr>
          <w:rFonts w:asciiTheme="minorHAnsi" w:hAnsiTheme="minorHAnsi"/>
          <w:color w:val="auto"/>
          <w:u w:val="single"/>
        </w:rPr>
        <w:t>DES</w:t>
      </w:r>
      <w:r w:rsidR="00E76E01">
        <w:rPr>
          <w:rFonts w:asciiTheme="minorHAnsi" w:hAnsiTheme="minorHAnsi"/>
          <w:color w:val="auto"/>
        </w:rPr>
        <w:t>.</w:t>
      </w:r>
      <w:proofErr w:type="gramEnd"/>
      <w:r w:rsidR="00E76E01">
        <w:rPr>
          <w:rFonts w:asciiTheme="minorHAnsi" w:hAnsiTheme="minorHAnsi"/>
          <w:color w:val="auto"/>
        </w:rPr>
        <w:t xml:space="preserve">  </w:t>
      </w:r>
      <w:r w:rsidRPr="000D6D15">
        <w:rPr>
          <w:rFonts w:asciiTheme="minorHAnsi" w:hAnsiTheme="minorHAnsi"/>
          <w:color w:val="auto"/>
        </w:rPr>
        <w:t xml:space="preserve">Right Shoulder </w:t>
      </w:r>
      <w:proofErr w:type="spellStart"/>
      <w:r w:rsidRPr="000D6D15">
        <w:rPr>
          <w:rFonts w:asciiTheme="minorHAnsi" w:hAnsiTheme="minorHAnsi"/>
          <w:color w:val="auto"/>
        </w:rPr>
        <w:t>Subacromial</w:t>
      </w:r>
      <w:proofErr w:type="spellEnd"/>
      <w:r w:rsidRPr="000D6D15">
        <w:rPr>
          <w:rFonts w:asciiTheme="minorHAnsi" w:hAnsiTheme="minorHAnsi"/>
          <w:color w:val="auto"/>
        </w:rPr>
        <w:t xml:space="preserve"> Impingement is not mentioned in the DES File and was not service connected by the VA.  There is no evidence that this condition was unfitting at separation.  The CI retains the right to request his service Board for Correction </w:t>
      </w:r>
      <w:r w:rsidR="000D6D15" w:rsidRPr="000D6D15">
        <w:rPr>
          <w:rFonts w:asciiTheme="minorHAnsi" w:hAnsiTheme="minorHAnsi"/>
          <w:color w:val="auto"/>
        </w:rPr>
        <w:t>of</w:t>
      </w:r>
      <w:r w:rsidRPr="000D6D15">
        <w:rPr>
          <w:rFonts w:asciiTheme="minorHAnsi" w:hAnsiTheme="minorHAnsi"/>
          <w:color w:val="auto"/>
        </w:rPr>
        <w:t xml:space="preserve"> Naval Records (BCNR) to consider adding this condition as unfitting.</w:t>
      </w:r>
    </w:p>
    <w:p w:rsidR="00237F7A" w:rsidRPr="000D6D15" w:rsidRDefault="00237F7A" w:rsidP="00237F7A">
      <w:pPr>
        <w:pBdr>
          <w:bottom w:val="single" w:sz="12" w:space="1" w:color="auto"/>
        </w:pBdr>
        <w:tabs>
          <w:tab w:val="left" w:pos="288"/>
          <w:tab w:val="left" w:pos="4752"/>
        </w:tabs>
        <w:spacing w:line="240" w:lineRule="exact"/>
        <w:rPr>
          <w:rFonts w:asciiTheme="minorHAnsi" w:hAnsiTheme="minorHAnsi"/>
          <w:color w:val="000080"/>
        </w:rPr>
      </w:pPr>
    </w:p>
    <w:p w:rsidR="00237F7A" w:rsidRDefault="00237F7A" w:rsidP="00237F7A">
      <w:pPr>
        <w:tabs>
          <w:tab w:val="left" w:pos="288"/>
          <w:tab w:val="left" w:pos="4752"/>
        </w:tabs>
        <w:spacing w:line="240" w:lineRule="exact"/>
        <w:jc w:val="both"/>
        <w:rPr>
          <w:rFonts w:asciiTheme="minorHAnsi" w:hAnsiTheme="minorHAnsi"/>
          <w:color w:val="auto"/>
          <w:u w:val="single"/>
        </w:rPr>
      </w:pPr>
    </w:p>
    <w:p w:rsidR="008F488E" w:rsidRPr="000D6D15" w:rsidRDefault="008F488E" w:rsidP="002F27E4">
      <w:pPr>
        <w:autoSpaceDE w:val="0"/>
        <w:autoSpaceDN w:val="0"/>
        <w:adjustRightInd w:val="0"/>
        <w:spacing w:line="240" w:lineRule="exact"/>
        <w:jc w:val="both"/>
        <w:rPr>
          <w:rFonts w:asciiTheme="minorHAnsi" w:hAnsiTheme="minorHAnsi"/>
          <w:color w:val="auto"/>
          <w:szCs w:val="24"/>
          <w:u w:val="single"/>
        </w:rPr>
      </w:pPr>
      <w:r w:rsidRPr="000D6D15">
        <w:rPr>
          <w:rFonts w:asciiTheme="minorHAnsi" w:hAnsiTheme="minorHAnsi"/>
          <w:color w:val="auto"/>
          <w:szCs w:val="24"/>
          <w:u w:val="single"/>
        </w:rPr>
        <w:t>BOARD FINDINGS:</w:t>
      </w:r>
    </w:p>
    <w:p w:rsidR="00130031" w:rsidRPr="000D6D15" w:rsidRDefault="00EF7EE4" w:rsidP="00130031">
      <w:pPr>
        <w:autoSpaceDE w:val="0"/>
        <w:autoSpaceDN w:val="0"/>
        <w:adjustRightInd w:val="0"/>
        <w:spacing w:line="240" w:lineRule="exact"/>
        <w:jc w:val="both"/>
        <w:rPr>
          <w:rFonts w:asciiTheme="minorHAnsi" w:hAnsiTheme="minorHAnsi"/>
          <w:color w:val="auto"/>
        </w:rPr>
      </w:pPr>
      <w:r w:rsidRPr="000D6D15">
        <w:rPr>
          <w:rFonts w:asciiTheme="minorHAnsi" w:hAnsiTheme="minorHAnsi"/>
          <w:color w:val="auto"/>
          <w:szCs w:val="24"/>
        </w:rPr>
        <w:t xml:space="preserve">IAW DoDI 6040.44, provisions of </w:t>
      </w:r>
      <w:proofErr w:type="gramStart"/>
      <w:r w:rsidRPr="000D6D15">
        <w:rPr>
          <w:rFonts w:asciiTheme="minorHAnsi" w:hAnsiTheme="minorHAnsi"/>
          <w:color w:val="auto"/>
          <w:szCs w:val="24"/>
        </w:rPr>
        <w:t>DoD</w:t>
      </w:r>
      <w:proofErr w:type="gramEnd"/>
      <w:r w:rsidRPr="000D6D15">
        <w:rPr>
          <w:rFonts w:ascii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E76E01">
        <w:rPr>
          <w:rFonts w:asciiTheme="minorHAnsi" w:hAnsiTheme="minorHAnsi"/>
          <w:color w:val="auto"/>
          <w:szCs w:val="24"/>
        </w:rPr>
        <w:t xml:space="preserve">  </w:t>
      </w:r>
      <w:r w:rsidRPr="000D6D15">
        <w:rPr>
          <w:rFonts w:asciiTheme="minorHAnsi" w:hAnsiTheme="minorHAnsi"/>
          <w:color w:val="auto"/>
          <w:szCs w:val="24"/>
        </w:rPr>
        <w:t>In the matter of the PTSD condition (coded 9411), the Board unanimously recommends an initial Temporary Disability Retired List (TDRL) rating of 50%, in retroactive compliance with VAS</w:t>
      </w:r>
      <w:r w:rsidR="00EE1218" w:rsidRPr="000D6D15">
        <w:rPr>
          <w:rFonts w:asciiTheme="minorHAnsi" w:hAnsiTheme="minorHAnsi"/>
          <w:color w:val="auto"/>
          <w:szCs w:val="24"/>
        </w:rPr>
        <w:t xml:space="preserve">RD §4.129, as directed by </w:t>
      </w:r>
      <w:proofErr w:type="gramStart"/>
      <w:r w:rsidR="00EE1218" w:rsidRPr="000D6D15">
        <w:rPr>
          <w:rFonts w:asciiTheme="minorHAnsi" w:hAnsiTheme="minorHAnsi"/>
          <w:color w:val="auto"/>
          <w:szCs w:val="24"/>
        </w:rPr>
        <w:t>DoD</w:t>
      </w:r>
      <w:proofErr w:type="gramEnd"/>
      <w:r w:rsidR="00EE1218" w:rsidRPr="000D6D15">
        <w:rPr>
          <w:rFonts w:asciiTheme="minorHAnsi" w:hAnsiTheme="minorHAnsi"/>
          <w:color w:val="auto"/>
          <w:szCs w:val="24"/>
        </w:rPr>
        <w:t xml:space="preserve">.  </w:t>
      </w:r>
      <w:r w:rsidRPr="000D6D15">
        <w:rPr>
          <w:rFonts w:asciiTheme="minorHAnsi" w:hAnsiTheme="minorHAnsi"/>
          <w:color w:val="auto"/>
          <w:szCs w:val="24"/>
        </w:rPr>
        <w:t>The Board unanimously recommends a permanent rating of</w:t>
      </w:r>
      <w:r w:rsidR="001A083D" w:rsidRPr="000D6D15">
        <w:rPr>
          <w:rFonts w:asciiTheme="minorHAnsi" w:hAnsiTheme="minorHAnsi"/>
          <w:color w:val="auto"/>
          <w:szCs w:val="24"/>
        </w:rPr>
        <w:t xml:space="preserve"> 30%</w:t>
      </w:r>
      <w:r w:rsidRPr="000D6D15">
        <w:rPr>
          <w:rFonts w:asciiTheme="minorHAnsi" w:hAnsiTheme="minorHAnsi"/>
          <w:color w:val="auto"/>
          <w:szCs w:val="24"/>
        </w:rPr>
        <w:t xml:space="preserve"> at six months following separation, IAW </w:t>
      </w:r>
      <w:r w:rsidRPr="000D6D15">
        <w:rPr>
          <w:rFonts w:asciiTheme="minorHAnsi" w:hAnsiTheme="minorHAnsi"/>
          <w:color w:val="auto"/>
          <w:szCs w:val="24"/>
        </w:rPr>
        <w:lastRenderedPageBreak/>
        <w:t xml:space="preserve">VASRD §4.130.  </w:t>
      </w:r>
      <w:r w:rsidR="00393890" w:rsidRPr="000D6D15">
        <w:rPr>
          <w:rFonts w:asciiTheme="minorHAnsi" w:hAnsiTheme="minorHAnsi"/>
          <w:color w:val="auto"/>
          <w:szCs w:val="24"/>
        </w:rPr>
        <w:t>In the matter of the</w:t>
      </w:r>
      <w:r w:rsidR="00130031" w:rsidRPr="000D6D15">
        <w:rPr>
          <w:rFonts w:asciiTheme="minorHAnsi" w:hAnsiTheme="minorHAnsi"/>
          <w:color w:val="auto"/>
          <w:szCs w:val="24"/>
        </w:rPr>
        <w:t xml:space="preserve"> Chondromalacia (R) Knee Injury and Fracture Right Proximal 5</w:t>
      </w:r>
      <w:r w:rsidR="00130031" w:rsidRPr="000D6D15">
        <w:rPr>
          <w:rFonts w:asciiTheme="minorHAnsi" w:hAnsiTheme="minorHAnsi"/>
          <w:color w:val="auto"/>
          <w:szCs w:val="24"/>
          <w:vertAlign w:val="superscript"/>
        </w:rPr>
        <w:t>th</w:t>
      </w:r>
      <w:r w:rsidR="00130031" w:rsidRPr="000D6D15">
        <w:rPr>
          <w:rFonts w:asciiTheme="minorHAnsi" w:hAnsiTheme="minorHAnsi"/>
          <w:color w:val="auto"/>
          <w:szCs w:val="24"/>
        </w:rPr>
        <w:t xml:space="preserve"> Metatarsal conditions </w:t>
      </w:r>
      <w:r w:rsidR="00130031" w:rsidRPr="000D6D15">
        <w:rPr>
          <w:rFonts w:asciiTheme="minorHAnsi" w:hAnsiTheme="minorHAnsi"/>
          <w:color w:val="auto"/>
        </w:rPr>
        <w:t>the Board unanimously agrees that it cannot recommend any findings of unfit for additional rating at separation.</w:t>
      </w:r>
      <w:r w:rsidR="00E76E01">
        <w:rPr>
          <w:rFonts w:asciiTheme="minorHAnsi" w:hAnsiTheme="minorHAnsi"/>
          <w:color w:val="auto"/>
        </w:rPr>
        <w:t xml:space="preserve">  </w:t>
      </w:r>
      <w:r w:rsidR="00A23AE2" w:rsidRPr="000D6D15">
        <w:rPr>
          <w:rFonts w:asciiTheme="minorHAnsi" w:hAnsiTheme="minorHAnsi"/>
          <w:color w:val="auto"/>
          <w:szCs w:val="24"/>
        </w:rPr>
        <w:t xml:space="preserve">In the matter of the </w:t>
      </w:r>
      <w:r w:rsidR="00A23AE2" w:rsidRPr="000D6D15">
        <w:rPr>
          <w:rFonts w:asciiTheme="minorHAnsi" w:hAnsiTheme="minorHAnsi"/>
          <w:color w:val="auto"/>
        </w:rPr>
        <w:t xml:space="preserve">Alcohol Dependence condition </w:t>
      </w:r>
      <w:r w:rsidR="00130031" w:rsidRPr="000D6D15">
        <w:rPr>
          <w:rFonts w:asciiTheme="minorHAnsi" w:hAnsiTheme="minorHAnsi"/>
          <w:color w:val="auto"/>
        </w:rPr>
        <w:t>the Board does not find the condition unfitting</w:t>
      </w:r>
      <w:r w:rsidR="005F3C3A" w:rsidRPr="000D6D15">
        <w:rPr>
          <w:rFonts w:asciiTheme="minorHAnsi" w:hAnsiTheme="minorHAnsi"/>
          <w:color w:val="auto"/>
        </w:rPr>
        <w:t>.  It wa</w:t>
      </w:r>
      <w:r w:rsidR="00130031" w:rsidRPr="000D6D15">
        <w:rPr>
          <w:rFonts w:asciiTheme="minorHAnsi" w:hAnsiTheme="minorHAnsi"/>
          <w:color w:val="auto"/>
        </w:rPr>
        <w:t xml:space="preserve">s appropriately determined by the PEB to be a Category IV condition which did not constitute a physical disability, thus no recharacterization is recommended. </w:t>
      </w:r>
    </w:p>
    <w:p w:rsidR="00237F7A" w:rsidRPr="000D6D15" w:rsidRDefault="00237F7A" w:rsidP="00237F7A">
      <w:pPr>
        <w:pBdr>
          <w:bottom w:val="single" w:sz="12" w:space="1" w:color="auto"/>
        </w:pBdr>
        <w:tabs>
          <w:tab w:val="left" w:pos="288"/>
          <w:tab w:val="left" w:pos="4752"/>
        </w:tabs>
        <w:spacing w:line="240" w:lineRule="exact"/>
        <w:rPr>
          <w:rFonts w:asciiTheme="minorHAnsi" w:hAnsiTheme="minorHAnsi"/>
          <w:color w:val="000080"/>
        </w:rPr>
      </w:pPr>
    </w:p>
    <w:p w:rsidR="00237F7A" w:rsidRDefault="00237F7A" w:rsidP="00237F7A">
      <w:pPr>
        <w:tabs>
          <w:tab w:val="left" w:pos="288"/>
          <w:tab w:val="left" w:pos="4752"/>
        </w:tabs>
        <w:spacing w:line="240" w:lineRule="exact"/>
        <w:jc w:val="both"/>
        <w:rPr>
          <w:rFonts w:asciiTheme="minorHAnsi" w:hAnsiTheme="minorHAnsi"/>
          <w:color w:val="auto"/>
          <w:u w:val="single"/>
        </w:rPr>
      </w:pPr>
    </w:p>
    <w:p w:rsidR="008F488E" w:rsidRPr="000D6D15" w:rsidRDefault="00860B7D" w:rsidP="00860B7D">
      <w:pPr>
        <w:tabs>
          <w:tab w:val="left" w:pos="288"/>
          <w:tab w:val="left" w:pos="4752"/>
        </w:tabs>
        <w:spacing w:line="240" w:lineRule="exact"/>
        <w:jc w:val="both"/>
        <w:rPr>
          <w:rFonts w:asciiTheme="minorHAnsi" w:hAnsiTheme="minorHAnsi"/>
          <w:color w:val="auto"/>
          <w:szCs w:val="24"/>
        </w:rPr>
      </w:pPr>
      <w:r w:rsidRPr="000D6D15">
        <w:rPr>
          <w:rFonts w:asciiTheme="minorHAnsi" w:hAnsiTheme="minorHAnsi"/>
          <w:color w:val="auto"/>
          <w:szCs w:val="24"/>
          <w:u w:val="single"/>
        </w:rPr>
        <w:t>RECOMMENDATION:</w:t>
      </w:r>
      <w:r w:rsidR="008F488E" w:rsidRPr="000D6D15">
        <w:rPr>
          <w:rFonts w:asciiTheme="minorHAnsi" w:hAnsiTheme="minorHAnsi"/>
          <w:color w:val="auto"/>
          <w:szCs w:val="24"/>
        </w:rPr>
        <w:t xml:space="preserve"> </w:t>
      </w:r>
    </w:p>
    <w:p w:rsidR="00687C34" w:rsidRPr="000D6D15" w:rsidRDefault="00EF7EE4" w:rsidP="00860B7D">
      <w:pPr>
        <w:tabs>
          <w:tab w:val="left" w:pos="288"/>
          <w:tab w:val="left" w:pos="4752"/>
        </w:tabs>
        <w:spacing w:line="240" w:lineRule="exact"/>
        <w:jc w:val="both"/>
        <w:rPr>
          <w:rFonts w:asciiTheme="minorHAnsi" w:hAnsiTheme="minorHAnsi"/>
          <w:color w:val="auto"/>
          <w:szCs w:val="24"/>
        </w:rPr>
      </w:pPr>
      <w:r w:rsidRPr="000D6D15">
        <w:rPr>
          <w:rFonts w:asciiTheme="minorHAnsi" w:hAnsiTheme="minorHAnsi"/>
          <w:color w:val="auto"/>
          <w:szCs w:val="24"/>
        </w:rPr>
        <w:t xml:space="preserve">The Board recommends that the CI’s prior separation be </w:t>
      </w:r>
      <w:proofErr w:type="spellStart"/>
      <w:r w:rsidRPr="000D6D15">
        <w:rPr>
          <w:rFonts w:asciiTheme="minorHAnsi" w:hAnsiTheme="minorHAnsi"/>
          <w:color w:val="auto"/>
          <w:szCs w:val="24"/>
        </w:rPr>
        <w:t>recharacterized</w:t>
      </w:r>
      <w:proofErr w:type="spellEnd"/>
      <w:r w:rsidRPr="000D6D15">
        <w:rPr>
          <w:rFonts w:asciiTheme="minorHAnsi" w:hAnsiTheme="minorHAnsi"/>
          <w:color w:val="auto"/>
          <w:szCs w:val="24"/>
        </w:rPr>
        <w:t xml:space="preserve"> to reflect that, rather than discharge with severance pay, the CI was placed on the TDRL at 50% for a period of </w:t>
      </w:r>
      <w:r w:rsidR="00E76E01">
        <w:rPr>
          <w:rFonts w:asciiTheme="minorHAnsi" w:hAnsiTheme="minorHAnsi"/>
          <w:color w:val="auto"/>
          <w:szCs w:val="24"/>
        </w:rPr>
        <w:t>six</w:t>
      </w:r>
      <w:r w:rsidRPr="000D6D15">
        <w:rPr>
          <w:rFonts w:asciiTheme="minorHAnsi" w:hAnsiTheme="minorHAnsi"/>
          <w:color w:val="auto"/>
          <w:szCs w:val="24"/>
        </w:rPr>
        <w:t xml:space="preserve"> months (PTSD at 50% IAW §4.129 and DoD direction) </w:t>
      </w:r>
      <w:r w:rsidR="00B255F3" w:rsidRPr="000D6D15">
        <w:rPr>
          <w:rFonts w:asciiTheme="minorHAnsi" w:hAnsiTheme="minorHAnsi"/>
          <w:color w:val="auto"/>
          <w:szCs w:val="24"/>
        </w:rPr>
        <w:t xml:space="preserve">following his prior medical separation, </w:t>
      </w:r>
      <w:r w:rsidRPr="000D6D15">
        <w:rPr>
          <w:rFonts w:asciiTheme="minorHAnsi" w:hAnsiTheme="minorHAnsi"/>
          <w:color w:val="auto"/>
          <w:szCs w:val="24"/>
        </w:rPr>
        <w:t xml:space="preserve">and then permanently retired by reason of physical disability with a final </w:t>
      </w:r>
      <w:r w:rsidR="009E249F" w:rsidRPr="000D6D15">
        <w:rPr>
          <w:rFonts w:asciiTheme="minorHAnsi" w:hAnsiTheme="minorHAnsi"/>
          <w:color w:val="auto"/>
          <w:szCs w:val="24"/>
        </w:rPr>
        <w:t xml:space="preserve">30% </w:t>
      </w:r>
      <w:r w:rsidRPr="000D6D15">
        <w:rPr>
          <w:rFonts w:asciiTheme="minorHAnsi" w:hAnsiTheme="minorHAnsi"/>
          <w:color w:val="auto"/>
          <w:szCs w:val="24"/>
        </w:rPr>
        <w:t xml:space="preserve">rating as indicated below. </w:t>
      </w:r>
    </w:p>
    <w:p w:rsidR="00860B7D" w:rsidRPr="000D6D15" w:rsidRDefault="00860B7D" w:rsidP="00860B7D">
      <w:pPr>
        <w:tabs>
          <w:tab w:val="left" w:pos="288"/>
          <w:tab w:val="left" w:pos="4752"/>
        </w:tabs>
        <w:spacing w:line="240" w:lineRule="exact"/>
        <w:jc w:val="both"/>
        <w:rPr>
          <w:rFonts w:asciiTheme="minorHAnsi" w:hAnsiTheme="minorHAnsi"/>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E25FCC" w:rsidRPr="000D6D15" w:rsidTr="000242F4">
        <w:tc>
          <w:tcPr>
            <w:tcW w:w="4950" w:type="dxa"/>
            <w:shd w:val="clear" w:color="auto" w:fill="D9D9D9"/>
            <w:vAlign w:val="center"/>
          </w:tcPr>
          <w:p w:rsidR="00E25FCC" w:rsidRPr="000D6D15" w:rsidRDefault="00E25FCC" w:rsidP="000242F4">
            <w:pPr>
              <w:tabs>
                <w:tab w:val="left" w:pos="288"/>
                <w:tab w:val="left" w:pos="4752"/>
              </w:tabs>
              <w:spacing w:line="240" w:lineRule="exact"/>
              <w:rPr>
                <w:rFonts w:asciiTheme="minorHAnsi" w:hAnsiTheme="minorHAnsi"/>
                <w:b/>
                <w:color w:val="auto"/>
                <w:szCs w:val="24"/>
              </w:rPr>
            </w:pPr>
            <w:r w:rsidRPr="000D6D15">
              <w:rPr>
                <w:rFonts w:asciiTheme="minorHAnsi" w:hAnsiTheme="minorHAnsi"/>
                <w:b/>
                <w:color w:val="auto"/>
                <w:szCs w:val="24"/>
              </w:rPr>
              <w:t>UNFITTING CONDITION</w:t>
            </w:r>
          </w:p>
        </w:tc>
        <w:tc>
          <w:tcPr>
            <w:tcW w:w="1710" w:type="dxa"/>
            <w:shd w:val="clear" w:color="auto" w:fill="D9D9D9"/>
            <w:vAlign w:val="center"/>
          </w:tcPr>
          <w:p w:rsidR="00E25FCC" w:rsidRPr="000D6D15" w:rsidRDefault="00E25FCC" w:rsidP="000242F4">
            <w:pPr>
              <w:tabs>
                <w:tab w:val="left" w:pos="288"/>
                <w:tab w:val="left" w:pos="4752"/>
              </w:tabs>
              <w:spacing w:line="240" w:lineRule="exact"/>
              <w:jc w:val="center"/>
              <w:rPr>
                <w:rFonts w:asciiTheme="minorHAnsi" w:hAnsiTheme="minorHAnsi"/>
                <w:b/>
                <w:color w:val="auto"/>
                <w:szCs w:val="24"/>
              </w:rPr>
            </w:pPr>
            <w:r w:rsidRPr="000D6D15">
              <w:rPr>
                <w:rFonts w:asciiTheme="minorHAnsi" w:hAnsiTheme="minorHAnsi"/>
                <w:b/>
                <w:color w:val="auto"/>
                <w:szCs w:val="24"/>
              </w:rPr>
              <w:t>VASRD CODE</w:t>
            </w:r>
          </w:p>
        </w:tc>
        <w:tc>
          <w:tcPr>
            <w:tcW w:w="1170" w:type="dxa"/>
            <w:shd w:val="clear" w:color="auto" w:fill="D9D9D9"/>
            <w:vAlign w:val="center"/>
          </w:tcPr>
          <w:p w:rsidR="00E25FCC" w:rsidRPr="000D6D15" w:rsidRDefault="00E25FCC" w:rsidP="000242F4">
            <w:pPr>
              <w:tabs>
                <w:tab w:val="left" w:pos="288"/>
                <w:tab w:val="left" w:pos="4752"/>
              </w:tabs>
              <w:spacing w:line="240" w:lineRule="exact"/>
              <w:jc w:val="center"/>
              <w:rPr>
                <w:rFonts w:asciiTheme="minorHAnsi" w:hAnsiTheme="minorHAnsi"/>
                <w:b/>
                <w:color w:val="auto"/>
                <w:szCs w:val="24"/>
              </w:rPr>
            </w:pPr>
            <w:r w:rsidRPr="000D6D15">
              <w:rPr>
                <w:rFonts w:asciiTheme="minorHAnsi" w:hAnsiTheme="minorHAnsi"/>
                <w:b/>
                <w:color w:val="auto"/>
                <w:szCs w:val="24"/>
              </w:rPr>
              <w:t>TDRL RATING</w:t>
            </w:r>
          </w:p>
        </w:tc>
        <w:tc>
          <w:tcPr>
            <w:tcW w:w="1530" w:type="dxa"/>
            <w:shd w:val="pct15" w:color="auto" w:fill="auto"/>
            <w:vAlign w:val="center"/>
          </w:tcPr>
          <w:p w:rsidR="00E25FCC" w:rsidRPr="000D6D15" w:rsidRDefault="00E25FCC" w:rsidP="000242F4">
            <w:pPr>
              <w:tabs>
                <w:tab w:val="left" w:pos="288"/>
                <w:tab w:val="left" w:pos="4752"/>
              </w:tabs>
              <w:spacing w:line="240" w:lineRule="exact"/>
              <w:jc w:val="center"/>
              <w:rPr>
                <w:rFonts w:asciiTheme="minorHAnsi" w:hAnsiTheme="minorHAnsi"/>
                <w:b/>
                <w:color w:val="auto"/>
                <w:szCs w:val="24"/>
              </w:rPr>
            </w:pPr>
            <w:r w:rsidRPr="000D6D15">
              <w:rPr>
                <w:rFonts w:asciiTheme="minorHAnsi" w:hAnsiTheme="minorHAnsi"/>
                <w:b/>
                <w:color w:val="auto"/>
                <w:szCs w:val="24"/>
              </w:rPr>
              <w:t>PERMANENT</w:t>
            </w:r>
          </w:p>
          <w:p w:rsidR="00E25FCC" w:rsidRPr="000D6D15" w:rsidRDefault="00E25FCC" w:rsidP="000242F4">
            <w:pPr>
              <w:tabs>
                <w:tab w:val="left" w:pos="288"/>
                <w:tab w:val="left" w:pos="4752"/>
              </w:tabs>
              <w:spacing w:line="240" w:lineRule="exact"/>
              <w:jc w:val="center"/>
              <w:rPr>
                <w:rFonts w:asciiTheme="minorHAnsi" w:hAnsiTheme="minorHAnsi"/>
                <w:b/>
                <w:color w:val="auto"/>
                <w:szCs w:val="24"/>
              </w:rPr>
            </w:pPr>
            <w:r w:rsidRPr="000D6D15">
              <w:rPr>
                <w:rFonts w:asciiTheme="minorHAnsi" w:hAnsiTheme="minorHAnsi"/>
                <w:b/>
                <w:color w:val="auto"/>
                <w:szCs w:val="24"/>
              </w:rPr>
              <w:t>RATING</w:t>
            </w:r>
          </w:p>
        </w:tc>
      </w:tr>
      <w:tr w:rsidR="00E25FCC" w:rsidRPr="000D6D15" w:rsidTr="000242F4">
        <w:trPr>
          <w:trHeight w:val="305"/>
        </w:trPr>
        <w:tc>
          <w:tcPr>
            <w:tcW w:w="4950" w:type="dxa"/>
            <w:vAlign w:val="center"/>
          </w:tcPr>
          <w:p w:rsidR="00E25FCC" w:rsidRPr="000D6D15" w:rsidRDefault="00E25FCC" w:rsidP="000242F4">
            <w:pPr>
              <w:tabs>
                <w:tab w:val="left" w:pos="288"/>
                <w:tab w:val="left" w:pos="4752"/>
              </w:tabs>
              <w:spacing w:line="240" w:lineRule="exact"/>
              <w:rPr>
                <w:rFonts w:asciiTheme="minorHAnsi" w:hAnsiTheme="minorHAnsi"/>
                <w:color w:val="auto"/>
                <w:szCs w:val="24"/>
              </w:rPr>
            </w:pPr>
            <w:r w:rsidRPr="000D6D15">
              <w:rPr>
                <w:rFonts w:asciiTheme="minorHAnsi" w:hAnsiTheme="minorHAnsi"/>
                <w:color w:val="auto"/>
                <w:szCs w:val="24"/>
              </w:rPr>
              <w:t>Post-traumatic Stress Disorder (PTSD)</w:t>
            </w:r>
          </w:p>
        </w:tc>
        <w:tc>
          <w:tcPr>
            <w:tcW w:w="1710" w:type="dxa"/>
            <w:tcBorders>
              <w:bottom w:val="single" w:sz="4" w:space="0" w:color="000000"/>
            </w:tcBorders>
            <w:vAlign w:val="center"/>
          </w:tcPr>
          <w:p w:rsidR="00E25FCC" w:rsidRPr="000D6D15" w:rsidRDefault="00E25FCC" w:rsidP="000242F4">
            <w:pPr>
              <w:tabs>
                <w:tab w:val="left" w:pos="288"/>
                <w:tab w:val="left" w:pos="4752"/>
              </w:tabs>
              <w:spacing w:line="240" w:lineRule="exact"/>
              <w:jc w:val="center"/>
              <w:rPr>
                <w:rFonts w:asciiTheme="minorHAnsi" w:hAnsiTheme="minorHAnsi"/>
                <w:color w:val="auto"/>
                <w:szCs w:val="24"/>
              </w:rPr>
            </w:pPr>
            <w:r w:rsidRPr="000D6D15">
              <w:rPr>
                <w:rFonts w:asciiTheme="minorHAnsi" w:hAnsiTheme="minorHAnsi"/>
                <w:color w:val="auto"/>
                <w:szCs w:val="24"/>
              </w:rPr>
              <w:t>9411</w:t>
            </w:r>
          </w:p>
        </w:tc>
        <w:tc>
          <w:tcPr>
            <w:tcW w:w="1170" w:type="dxa"/>
            <w:tcBorders>
              <w:bottom w:val="single" w:sz="4" w:space="0" w:color="000000"/>
            </w:tcBorders>
            <w:vAlign w:val="center"/>
          </w:tcPr>
          <w:p w:rsidR="00E25FCC" w:rsidRPr="000D6D15" w:rsidRDefault="00E25FCC" w:rsidP="000242F4">
            <w:pPr>
              <w:tabs>
                <w:tab w:val="left" w:pos="288"/>
                <w:tab w:val="left" w:pos="4752"/>
              </w:tabs>
              <w:spacing w:line="240" w:lineRule="exact"/>
              <w:jc w:val="center"/>
              <w:rPr>
                <w:rFonts w:asciiTheme="minorHAnsi" w:hAnsiTheme="minorHAnsi"/>
                <w:color w:val="auto"/>
                <w:szCs w:val="24"/>
              </w:rPr>
            </w:pPr>
            <w:r w:rsidRPr="000D6D15">
              <w:rPr>
                <w:rFonts w:asciiTheme="minorHAnsi" w:hAnsiTheme="minorHAnsi"/>
                <w:color w:val="auto"/>
                <w:szCs w:val="24"/>
              </w:rPr>
              <w:t>50%</w:t>
            </w:r>
          </w:p>
        </w:tc>
        <w:tc>
          <w:tcPr>
            <w:tcW w:w="1530" w:type="dxa"/>
            <w:tcBorders>
              <w:bottom w:val="single" w:sz="4" w:space="0" w:color="000000"/>
            </w:tcBorders>
            <w:vAlign w:val="center"/>
          </w:tcPr>
          <w:p w:rsidR="00E25FCC" w:rsidRPr="000D6D15" w:rsidRDefault="009E249F" w:rsidP="000242F4">
            <w:pPr>
              <w:tabs>
                <w:tab w:val="left" w:pos="288"/>
                <w:tab w:val="left" w:pos="4752"/>
              </w:tabs>
              <w:spacing w:line="240" w:lineRule="exact"/>
              <w:jc w:val="center"/>
              <w:rPr>
                <w:rFonts w:asciiTheme="minorHAnsi" w:hAnsiTheme="minorHAnsi"/>
                <w:color w:val="auto"/>
                <w:szCs w:val="24"/>
              </w:rPr>
            </w:pPr>
            <w:r w:rsidRPr="000D6D15">
              <w:rPr>
                <w:rFonts w:asciiTheme="minorHAnsi" w:hAnsiTheme="minorHAnsi"/>
                <w:color w:val="auto"/>
                <w:szCs w:val="24"/>
              </w:rPr>
              <w:t>30%</w:t>
            </w:r>
          </w:p>
        </w:tc>
      </w:tr>
      <w:tr w:rsidR="00E25FCC" w:rsidRPr="000D6D15" w:rsidTr="000242F4">
        <w:tblPrEx>
          <w:tblLook w:val="0000"/>
        </w:tblPrEx>
        <w:trPr>
          <w:gridBefore w:val="1"/>
          <w:wBefore w:w="4950" w:type="dxa"/>
          <w:trHeight w:val="350"/>
        </w:trPr>
        <w:tc>
          <w:tcPr>
            <w:tcW w:w="1710" w:type="dxa"/>
            <w:tcBorders>
              <w:left w:val="single" w:sz="4" w:space="0" w:color="auto"/>
            </w:tcBorders>
            <w:shd w:val="pct15" w:color="auto" w:fill="auto"/>
            <w:vAlign w:val="center"/>
          </w:tcPr>
          <w:p w:rsidR="00E25FCC" w:rsidRPr="000D6D15" w:rsidRDefault="00E25FCC" w:rsidP="000242F4">
            <w:pPr>
              <w:tabs>
                <w:tab w:val="left" w:pos="288"/>
                <w:tab w:val="left" w:pos="4752"/>
              </w:tabs>
              <w:spacing w:line="240" w:lineRule="exact"/>
              <w:jc w:val="center"/>
              <w:rPr>
                <w:rFonts w:asciiTheme="minorHAnsi" w:hAnsiTheme="minorHAnsi"/>
                <w:b/>
                <w:color w:val="auto"/>
                <w:szCs w:val="24"/>
              </w:rPr>
            </w:pPr>
            <w:r w:rsidRPr="000D6D15">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E25FCC" w:rsidRPr="000D6D15" w:rsidRDefault="00E25FCC" w:rsidP="000242F4">
            <w:pPr>
              <w:tabs>
                <w:tab w:val="left" w:pos="288"/>
                <w:tab w:val="left" w:pos="4752"/>
              </w:tabs>
              <w:spacing w:line="240" w:lineRule="exact"/>
              <w:jc w:val="center"/>
              <w:rPr>
                <w:rFonts w:asciiTheme="minorHAnsi" w:hAnsiTheme="minorHAnsi"/>
                <w:b/>
                <w:color w:val="auto"/>
                <w:szCs w:val="24"/>
              </w:rPr>
            </w:pPr>
            <w:r w:rsidRPr="000D6D15">
              <w:rPr>
                <w:rFonts w:asciiTheme="minorHAnsi" w:hAnsiTheme="minorHAnsi"/>
                <w:b/>
                <w:color w:val="auto"/>
                <w:szCs w:val="24"/>
              </w:rPr>
              <w:t>50%</w:t>
            </w:r>
          </w:p>
        </w:tc>
        <w:tc>
          <w:tcPr>
            <w:tcW w:w="1530" w:type="dxa"/>
            <w:shd w:val="pct15" w:color="auto" w:fill="auto"/>
            <w:vAlign w:val="center"/>
          </w:tcPr>
          <w:p w:rsidR="00E25FCC" w:rsidRPr="000D6D15" w:rsidRDefault="009E249F" w:rsidP="000242F4">
            <w:pPr>
              <w:tabs>
                <w:tab w:val="left" w:pos="288"/>
                <w:tab w:val="left" w:pos="4752"/>
              </w:tabs>
              <w:spacing w:line="240" w:lineRule="exact"/>
              <w:jc w:val="center"/>
              <w:rPr>
                <w:rFonts w:asciiTheme="minorHAnsi" w:hAnsiTheme="minorHAnsi"/>
                <w:b/>
                <w:color w:val="auto"/>
                <w:szCs w:val="24"/>
              </w:rPr>
            </w:pPr>
            <w:r w:rsidRPr="000D6D15">
              <w:rPr>
                <w:rFonts w:asciiTheme="minorHAnsi" w:hAnsiTheme="minorHAnsi"/>
                <w:b/>
                <w:color w:val="auto"/>
                <w:szCs w:val="24"/>
              </w:rPr>
              <w:t>30%</w:t>
            </w:r>
          </w:p>
        </w:tc>
      </w:tr>
    </w:tbl>
    <w:p w:rsidR="00237F7A" w:rsidRPr="000D6D15" w:rsidRDefault="00237F7A" w:rsidP="00237F7A">
      <w:pPr>
        <w:pBdr>
          <w:bottom w:val="single" w:sz="12" w:space="1" w:color="auto"/>
        </w:pBdr>
        <w:tabs>
          <w:tab w:val="left" w:pos="288"/>
          <w:tab w:val="left" w:pos="4752"/>
        </w:tabs>
        <w:spacing w:line="240" w:lineRule="exact"/>
        <w:rPr>
          <w:rFonts w:asciiTheme="minorHAnsi" w:hAnsiTheme="minorHAnsi"/>
          <w:color w:val="000080"/>
        </w:rPr>
      </w:pPr>
    </w:p>
    <w:p w:rsidR="00237F7A" w:rsidRDefault="00237F7A" w:rsidP="00237F7A">
      <w:pPr>
        <w:tabs>
          <w:tab w:val="left" w:pos="288"/>
          <w:tab w:val="left" w:pos="4752"/>
        </w:tabs>
        <w:spacing w:line="240" w:lineRule="exact"/>
        <w:jc w:val="both"/>
        <w:rPr>
          <w:rFonts w:asciiTheme="minorHAnsi" w:hAnsiTheme="minorHAnsi"/>
          <w:color w:val="auto"/>
          <w:u w:val="single"/>
        </w:rPr>
      </w:pPr>
    </w:p>
    <w:p w:rsidR="00D91DA6" w:rsidRPr="000D6D15" w:rsidRDefault="00114F20" w:rsidP="00190E48">
      <w:pPr>
        <w:tabs>
          <w:tab w:val="left" w:pos="288"/>
          <w:tab w:val="left" w:pos="4752"/>
        </w:tabs>
        <w:spacing w:line="240" w:lineRule="exact"/>
        <w:jc w:val="both"/>
        <w:rPr>
          <w:rFonts w:asciiTheme="minorHAnsi" w:hAnsiTheme="minorHAnsi"/>
          <w:color w:val="auto"/>
        </w:rPr>
      </w:pPr>
      <w:r w:rsidRPr="000D6D15">
        <w:rPr>
          <w:rFonts w:asciiTheme="minorHAnsi" w:hAnsiTheme="minorHAnsi"/>
          <w:color w:val="auto"/>
        </w:rPr>
        <w:t>The following documentary evidence was considered:</w:t>
      </w:r>
    </w:p>
    <w:p w:rsidR="00EB5EFD" w:rsidRPr="000D6D15" w:rsidRDefault="00EB5EFD" w:rsidP="00190E48">
      <w:pPr>
        <w:tabs>
          <w:tab w:val="left" w:pos="288"/>
          <w:tab w:val="left" w:pos="4752"/>
        </w:tabs>
        <w:spacing w:line="240" w:lineRule="exact"/>
        <w:jc w:val="both"/>
        <w:rPr>
          <w:rFonts w:asciiTheme="minorHAnsi" w:hAnsiTheme="minorHAnsi"/>
          <w:color w:val="auto"/>
        </w:rPr>
      </w:pPr>
    </w:p>
    <w:p w:rsidR="00114F20" w:rsidRPr="000D6D15" w:rsidRDefault="0051146C" w:rsidP="00190E48">
      <w:pPr>
        <w:tabs>
          <w:tab w:val="left" w:pos="288"/>
          <w:tab w:val="left" w:pos="4752"/>
        </w:tabs>
        <w:spacing w:line="240" w:lineRule="exact"/>
        <w:jc w:val="both"/>
        <w:rPr>
          <w:rFonts w:asciiTheme="minorHAnsi" w:hAnsiTheme="minorHAnsi"/>
          <w:color w:val="auto"/>
        </w:rPr>
      </w:pPr>
      <w:r w:rsidRPr="000D6D15">
        <w:rPr>
          <w:rFonts w:asciiTheme="minorHAnsi" w:hAnsiTheme="minorHAnsi"/>
          <w:color w:val="auto"/>
        </w:rPr>
        <w:t xml:space="preserve">Exhibit A.  DD Form 294, dated </w:t>
      </w:r>
      <w:r w:rsidR="0019273F" w:rsidRPr="000D6D15">
        <w:rPr>
          <w:rFonts w:asciiTheme="minorHAnsi" w:hAnsiTheme="minorHAnsi"/>
          <w:color w:val="auto"/>
        </w:rPr>
        <w:t>20</w:t>
      </w:r>
      <w:r w:rsidR="009619FD" w:rsidRPr="000D6D15">
        <w:rPr>
          <w:rFonts w:asciiTheme="minorHAnsi" w:hAnsiTheme="minorHAnsi"/>
          <w:color w:val="auto"/>
        </w:rPr>
        <w:t>100225</w:t>
      </w:r>
      <w:r w:rsidR="00114F20" w:rsidRPr="000D6D15">
        <w:rPr>
          <w:rFonts w:asciiTheme="minorHAnsi" w:hAnsiTheme="minorHAnsi"/>
          <w:color w:val="auto"/>
        </w:rPr>
        <w:t>, w/at</w:t>
      </w:r>
      <w:r w:rsidR="009619FD" w:rsidRPr="000D6D15">
        <w:rPr>
          <w:rFonts w:asciiTheme="minorHAnsi" w:hAnsiTheme="minorHAnsi"/>
          <w:color w:val="auto"/>
        </w:rPr>
        <w:t>ta</w:t>
      </w:r>
      <w:r w:rsidR="00114F20" w:rsidRPr="000D6D15">
        <w:rPr>
          <w:rFonts w:asciiTheme="minorHAnsi" w:hAnsiTheme="minorHAnsi"/>
          <w:color w:val="auto"/>
        </w:rPr>
        <w:t>ch</w:t>
      </w:r>
      <w:r w:rsidR="009619FD" w:rsidRPr="000D6D15">
        <w:rPr>
          <w:rFonts w:asciiTheme="minorHAnsi" w:hAnsiTheme="minorHAnsi"/>
          <w:color w:val="auto"/>
        </w:rPr>
        <w:t>ments</w:t>
      </w:r>
    </w:p>
    <w:p w:rsidR="00114F20" w:rsidRPr="000D6D15" w:rsidRDefault="00114F20" w:rsidP="00190E48">
      <w:pPr>
        <w:tabs>
          <w:tab w:val="left" w:pos="288"/>
          <w:tab w:val="left" w:pos="4752"/>
        </w:tabs>
        <w:spacing w:line="240" w:lineRule="exact"/>
        <w:jc w:val="both"/>
        <w:rPr>
          <w:rFonts w:asciiTheme="minorHAnsi" w:hAnsiTheme="minorHAnsi"/>
          <w:color w:val="auto"/>
        </w:rPr>
      </w:pPr>
      <w:r w:rsidRPr="000D6D15">
        <w:rPr>
          <w:rFonts w:asciiTheme="minorHAnsi" w:hAnsiTheme="minorHAnsi"/>
          <w:color w:val="auto"/>
        </w:rPr>
        <w:t>Exhib</w:t>
      </w:r>
      <w:r w:rsidR="009619FD" w:rsidRPr="000D6D15">
        <w:rPr>
          <w:rFonts w:asciiTheme="minorHAnsi" w:hAnsiTheme="minorHAnsi"/>
          <w:color w:val="auto"/>
        </w:rPr>
        <w:t>it B.  Service Treatment Record</w:t>
      </w:r>
    </w:p>
    <w:p w:rsidR="00114F20" w:rsidRPr="000D6D15" w:rsidRDefault="00114F20" w:rsidP="00190E48">
      <w:pPr>
        <w:tabs>
          <w:tab w:val="left" w:pos="288"/>
          <w:tab w:val="left" w:pos="4752"/>
        </w:tabs>
        <w:spacing w:line="240" w:lineRule="exact"/>
        <w:jc w:val="both"/>
        <w:rPr>
          <w:rFonts w:asciiTheme="minorHAnsi" w:hAnsiTheme="minorHAnsi"/>
          <w:color w:val="auto"/>
        </w:rPr>
      </w:pPr>
      <w:r w:rsidRPr="000D6D15">
        <w:rPr>
          <w:rFonts w:asciiTheme="minorHAnsi" w:hAnsiTheme="minorHAnsi"/>
          <w:color w:val="auto"/>
        </w:rPr>
        <w:t>Exhibit C.  Department of Veterans</w:t>
      </w:r>
      <w:r w:rsidR="00385D6F" w:rsidRPr="000D6D15">
        <w:rPr>
          <w:rFonts w:asciiTheme="minorHAnsi" w:hAnsiTheme="minorHAnsi"/>
          <w:color w:val="auto"/>
        </w:rPr>
        <w:t>'</w:t>
      </w:r>
      <w:r w:rsidRPr="000D6D15">
        <w:rPr>
          <w:rFonts w:asciiTheme="minorHAnsi" w:hAnsiTheme="minorHAnsi"/>
          <w:color w:val="auto"/>
        </w:rPr>
        <w:t xml:space="preserve"> Affairs T</w:t>
      </w:r>
      <w:r w:rsidR="009619FD" w:rsidRPr="000D6D15">
        <w:rPr>
          <w:rFonts w:asciiTheme="minorHAnsi" w:hAnsiTheme="minorHAnsi"/>
          <w:color w:val="auto"/>
        </w:rPr>
        <w:t>reatment Record</w:t>
      </w:r>
    </w:p>
    <w:p w:rsidR="00D91DA6" w:rsidRPr="000D6D15" w:rsidRDefault="00D91DA6" w:rsidP="00190E48">
      <w:pPr>
        <w:tabs>
          <w:tab w:val="left" w:pos="288"/>
          <w:tab w:val="left" w:pos="4752"/>
        </w:tabs>
        <w:spacing w:line="240" w:lineRule="exact"/>
        <w:jc w:val="both"/>
        <w:rPr>
          <w:rFonts w:asciiTheme="minorHAnsi" w:hAnsiTheme="minorHAnsi"/>
          <w:color w:val="auto"/>
        </w:rPr>
      </w:pPr>
    </w:p>
    <w:p w:rsidR="00114F20" w:rsidRPr="000D6D15" w:rsidRDefault="00114F20" w:rsidP="00190E48">
      <w:pPr>
        <w:tabs>
          <w:tab w:val="left" w:pos="288"/>
          <w:tab w:val="left" w:pos="4752"/>
        </w:tabs>
        <w:spacing w:line="240" w:lineRule="exact"/>
        <w:jc w:val="both"/>
        <w:rPr>
          <w:rFonts w:asciiTheme="minorHAnsi" w:hAnsiTheme="minorHAnsi"/>
          <w:color w:val="auto"/>
        </w:rPr>
      </w:pPr>
    </w:p>
    <w:p w:rsidR="00114F20" w:rsidRPr="000D6D15" w:rsidRDefault="00114F20" w:rsidP="00190E48">
      <w:pPr>
        <w:tabs>
          <w:tab w:val="left" w:pos="288"/>
          <w:tab w:val="left" w:pos="4752"/>
        </w:tabs>
        <w:spacing w:line="240" w:lineRule="exact"/>
        <w:jc w:val="both"/>
        <w:rPr>
          <w:rFonts w:asciiTheme="minorHAnsi" w:hAnsiTheme="minorHAnsi"/>
          <w:color w:val="auto"/>
        </w:rPr>
      </w:pPr>
    </w:p>
    <w:p w:rsidR="00D91DA6" w:rsidRPr="000D6D15" w:rsidRDefault="00C30A97" w:rsidP="00190E48">
      <w:pPr>
        <w:tabs>
          <w:tab w:val="left" w:pos="0"/>
          <w:tab w:val="left" w:pos="4320"/>
        </w:tabs>
        <w:spacing w:line="240" w:lineRule="exact"/>
        <w:jc w:val="both"/>
        <w:rPr>
          <w:rFonts w:asciiTheme="minorHAnsi" w:hAnsiTheme="minorHAnsi"/>
          <w:color w:val="auto"/>
        </w:rPr>
      </w:pPr>
      <w:r w:rsidRPr="000D6D15">
        <w:rPr>
          <w:rFonts w:asciiTheme="minorHAnsi" w:hAnsiTheme="minorHAnsi"/>
          <w:color w:val="auto"/>
        </w:rPr>
        <w:t xml:space="preserve">                             </w:t>
      </w:r>
      <w:r w:rsidR="0085089F" w:rsidRPr="000D6D15">
        <w:rPr>
          <w:rFonts w:asciiTheme="minorHAnsi" w:hAnsiTheme="minorHAnsi"/>
          <w:color w:val="auto"/>
        </w:rPr>
        <w:tab/>
      </w:r>
      <w:r w:rsidR="0085089F" w:rsidRPr="000D6D15">
        <w:rPr>
          <w:rFonts w:asciiTheme="minorHAnsi" w:hAnsiTheme="minorHAnsi"/>
          <w:color w:val="auto"/>
        </w:rPr>
        <w:tab/>
      </w:r>
      <w:r w:rsidR="00D52A1B" w:rsidRPr="000D6D15">
        <w:rPr>
          <w:rFonts w:asciiTheme="minorHAnsi" w:hAnsiTheme="minorHAnsi"/>
          <w:color w:val="auto"/>
        </w:rPr>
        <w:t>Deputy Director</w:t>
      </w:r>
    </w:p>
    <w:p w:rsidR="00B522CD" w:rsidRPr="000D6D15"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D6D15">
        <w:rPr>
          <w:rFonts w:asciiTheme="minorHAnsi" w:hAnsiTheme="minorHAnsi"/>
          <w:color w:val="auto"/>
        </w:rPr>
        <w:tab/>
        <w:t xml:space="preserve">                           </w:t>
      </w:r>
      <w:r w:rsidR="0085089F" w:rsidRPr="000D6D15">
        <w:rPr>
          <w:rFonts w:asciiTheme="minorHAnsi" w:hAnsiTheme="minorHAnsi"/>
          <w:color w:val="auto"/>
        </w:rPr>
        <w:tab/>
      </w:r>
      <w:r w:rsidR="0085089F" w:rsidRPr="000D6D15">
        <w:rPr>
          <w:rFonts w:asciiTheme="minorHAnsi" w:hAnsiTheme="minorHAnsi"/>
          <w:color w:val="auto"/>
        </w:rPr>
        <w:tab/>
      </w:r>
      <w:r w:rsidR="0085089F" w:rsidRPr="000D6D15">
        <w:rPr>
          <w:rFonts w:asciiTheme="minorHAnsi" w:hAnsiTheme="minorHAnsi"/>
          <w:color w:val="auto"/>
        </w:rPr>
        <w:tab/>
      </w:r>
      <w:r w:rsidR="0085089F" w:rsidRPr="000D6D15">
        <w:rPr>
          <w:rFonts w:asciiTheme="minorHAnsi" w:hAnsiTheme="minorHAnsi"/>
          <w:color w:val="auto"/>
        </w:rPr>
        <w:tab/>
      </w:r>
      <w:r w:rsidR="0085089F" w:rsidRPr="000D6D15">
        <w:rPr>
          <w:rFonts w:asciiTheme="minorHAnsi" w:hAnsiTheme="minorHAnsi"/>
          <w:color w:val="auto"/>
        </w:rPr>
        <w:tab/>
      </w:r>
      <w:r w:rsidR="00D91DA6" w:rsidRPr="000D6D15">
        <w:rPr>
          <w:rFonts w:asciiTheme="minorHAnsi" w:hAnsiTheme="minorHAnsi"/>
          <w:color w:val="auto"/>
        </w:rPr>
        <w:t>Physical Disability Board of Review</w:t>
      </w: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E52562" w:rsidRPr="00E34728" w:rsidRDefault="00E34728" w:rsidP="00190E48">
      <w:pPr>
        <w:tabs>
          <w:tab w:val="left" w:pos="288"/>
          <w:tab w:val="left" w:pos="4320"/>
          <w:tab w:val="left" w:pos="4410"/>
          <w:tab w:val="left" w:pos="4770"/>
          <w:tab w:val="left" w:pos="4860"/>
          <w:tab w:val="left" w:pos="5040"/>
        </w:tabs>
        <w:spacing w:line="240" w:lineRule="exact"/>
        <w:jc w:val="both"/>
        <w:rPr>
          <w:rFonts w:ascii="Calibri" w:hAnsi="Calibri"/>
          <w:color w:val="auto"/>
          <w:highlight w:val="yellow"/>
        </w:rPr>
      </w:pPr>
      <w:r>
        <w:rPr>
          <w:rFonts w:ascii="Calibri" w:hAnsi="Calibri"/>
          <w:color w:val="auto"/>
          <w:highlight w:val="yellow"/>
        </w:rPr>
        <w:br w:type="page"/>
      </w:r>
    </w:p>
    <w:p w:rsidR="00E34728" w:rsidRPr="00E34728" w:rsidRDefault="00E34728" w:rsidP="00E34728">
      <w:pPr>
        <w:rPr>
          <w:color w:val="auto"/>
        </w:rPr>
      </w:pPr>
      <w:r w:rsidRPr="00E34728">
        <w:rPr>
          <w:color w:val="auto"/>
        </w:rPr>
        <w:t>MEMORANDUM FOR DEPUTY COMMANDANT, MANPOWER &amp; RESERVE AFFAIRS</w:t>
      </w:r>
    </w:p>
    <w:p w:rsidR="00E34728" w:rsidRPr="00E34728" w:rsidRDefault="00E34728" w:rsidP="00E34728">
      <w:pPr>
        <w:rPr>
          <w:color w:val="auto"/>
        </w:rPr>
      </w:pPr>
    </w:p>
    <w:p w:rsidR="00E34728" w:rsidRPr="00E34728" w:rsidRDefault="00E34728" w:rsidP="00E34728">
      <w:pPr>
        <w:rPr>
          <w:color w:val="auto"/>
        </w:rPr>
      </w:pPr>
      <w:proofErr w:type="spellStart"/>
      <w:r w:rsidRPr="00E34728">
        <w:rPr>
          <w:color w:val="auto"/>
        </w:rPr>
        <w:t>Subj</w:t>
      </w:r>
      <w:proofErr w:type="spellEnd"/>
      <w:r w:rsidRPr="00E34728">
        <w:rPr>
          <w:color w:val="auto"/>
        </w:rPr>
        <w:t>:  PHYSICAL DISABILITY BOARD OF REVIEW (PDBR) RECOMMENDATION</w:t>
      </w:r>
    </w:p>
    <w:p w:rsidR="00E34728" w:rsidRPr="00E34728" w:rsidRDefault="00E34728" w:rsidP="00E34728">
      <w:pPr>
        <w:tabs>
          <w:tab w:val="left" w:pos="630"/>
        </w:tabs>
        <w:rPr>
          <w:color w:val="auto"/>
        </w:rPr>
      </w:pPr>
      <w:r w:rsidRPr="00E34728">
        <w:rPr>
          <w:color w:val="auto"/>
        </w:rPr>
        <w:t xml:space="preserve">          </w:t>
      </w:r>
      <w:r w:rsidRPr="00E34728">
        <w:rPr>
          <w:color w:val="auto"/>
        </w:rPr>
        <w:tab/>
        <w:t xml:space="preserve">ICO </w:t>
      </w:r>
      <w:r>
        <w:rPr>
          <w:color w:val="auto"/>
        </w:rPr>
        <w:t>XXXXXX</w:t>
      </w:r>
      <w:r w:rsidRPr="00E34728">
        <w:rPr>
          <w:color w:val="auto"/>
        </w:rPr>
        <w:t xml:space="preserve">, FORMER USMC, XXX XX </w:t>
      </w:r>
      <w:r>
        <w:rPr>
          <w:color w:val="auto"/>
        </w:rPr>
        <w:t>XXXX</w:t>
      </w:r>
    </w:p>
    <w:p w:rsidR="00E34728" w:rsidRPr="00E34728" w:rsidRDefault="00E34728" w:rsidP="00E34728">
      <w:pPr>
        <w:rPr>
          <w:color w:val="auto"/>
        </w:rPr>
      </w:pPr>
    </w:p>
    <w:p w:rsidR="00E34728" w:rsidRPr="00E34728" w:rsidRDefault="00E34728" w:rsidP="00E34728">
      <w:pPr>
        <w:rPr>
          <w:color w:val="auto"/>
        </w:rPr>
      </w:pPr>
      <w:r w:rsidRPr="00E34728">
        <w:rPr>
          <w:color w:val="auto"/>
        </w:rPr>
        <w:t>Ref:   (a) DoDI 6040.44</w:t>
      </w:r>
    </w:p>
    <w:p w:rsidR="00E34728" w:rsidRPr="00E34728" w:rsidRDefault="00E34728" w:rsidP="00E34728">
      <w:pPr>
        <w:rPr>
          <w:color w:val="auto"/>
        </w:rPr>
      </w:pPr>
    </w:p>
    <w:p w:rsidR="00E34728" w:rsidRPr="00E34728" w:rsidRDefault="00E34728" w:rsidP="00E34728">
      <w:pPr>
        <w:rPr>
          <w:color w:val="auto"/>
        </w:rPr>
      </w:pPr>
      <w:r w:rsidRPr="00E34728">
        <w:rPr>
          <w:color w:val="auto"/>
        </w:rPr>
        <w:t>1.  I have reviewed the subject case pursuant to reference (a).  The subject member’s official records are to be corrected to reflect the following retroactive disposition:</w:t>
      </w:r>
    </w:p>
    <w:p w:rsidR="00E34728" w:rsidRPr="00E34728" w:rsidRDefault="00E34728" w:rsidP="00E34728">
      <w:pPr>
        <w:rPr>
          <w:color w:val="auto"/>
        </w:rPr>
      </w:pPr>
    </w:p>
    <w:p w:rsidR="00E34728" w:rsidRPr="00E34728" w:rsidRDefault="00E34728" w:rsidP="00E34728">
      <w:pPr>
        <w:rPr>
          <w:color w:val="auto"/>
        </w:rPr>
      </w:pPr>
      <w:r w:rsidRPr="00E34728">
        <w:rPr>
          <w:color w:val="auto"/>
        </w:rPr>
        <w:tab/>
        <w:t>a. Separation from the naval service due to physical disability with placement on the Temporary Disability Retired List with a disability rating of 50 percent for the period February 12, 2007 thru  August 11, 2007.</w:t>
      </w:r>
    </w:p>
    <w:p w:rsidR="00E34728" w:rsidRPr="00E34728" w:rsidRDefault="00E34728" w:rsidP="00E34728">
      <w:pPr>
        <w:rPr>
          <w:color w:val="auto"/>
        </w:rPr>
      </w:pPr>
    </w:p>
    <w:p w:rsidR="00E34728" w:rsidRPr="00E34728" w:rsidRDefault="00E34728" w:rsidP="00E34728">
      <w:pPr>
        <w:rPr>
          <w:color w:val="auto"/>
        </w:rPr>
      </w:pPr>
      <w:r w:rsidRPr="00E34728">
        <w:rPr>
          <w:color w:val="auto"/>
        </w:rPr>
        <w:tab/>
        <w:t>b. Final separation from naval service due to physical disability effective August 12, 2007 with a disability rating of 30 percent and placement on the Permanent Disability Retired List.</w:t>
      </w:r>
    </w:p>
    <w:p w:rsidR="00E34728" w:rsidRPr="00E34728" w:rsidRDefault="00E34728" w:rsidP="00E34728">
      <w:pPr>
        <w:rPr>
          <w:color w:val="auto"/>
        </w:rPr>
      </w:pPr>
    </w:p>
    <w:p w:rsidR="00E34728" w:rsidRPr="00E34728" w:rsidRDefault="00E34728" w:rsidP="00E34728">
      <w:pPr>
        <w:rPr>
          <w:color w:val="auto"/>
        </w:rPr>
      </w:pPr>
      <w:r w:rsidRPr="00E34728">
        <w:rPr>
          <w:color w:val="auto"/>
        </w:rPr>
        <w:t>2.  Please ensure all necessary actions are taken to implement this decision, including the recoupment of previously paid funds if appropriate, and notification to the subject member once those actions are completed.</w:t>
      </w:r>
    </w:p>
    <w:p w:rsidR="00E34728" w:rsidRPr="00E34728" w:rsidRDefault="00E34728" w:rsidP="00E34728">
      <w:pPr>
        <w:rPr>
          <w:color w:val="auto"/>
        </w:rPr>
      </w:pPr>
    </w:p>
    <w:p w:rsidR="00E34728" w:rsidRPr="00E34728" w:rsidRDefault="00E34728" w:rsidP="00E34728">
      <w:pPr>
        <w:rPr>
          <w:color w:val="auto"/>
        </w:rPr>
      </w:pPr>
    </w:p>
    <w:p w:rsidR="00E34728" w:rsidRPr="00E34728" w:rsidRDefault="00E34728" w:rsidP="00E34728">
      <w:pPr>
        <w:rPr>
          <w:color w:val="auto"/>
        </w:rPr>
      </w:pPr>
    </w:p>
    <w:p w:rsidR="00E34728" w:rsidRPr="00E34728" w:rsidRDefault="00E34728" w:rsidP="00E34728">
      <w:pPr>
        <w:tabs>
          <w:tab w:val="left" w:pos="4680"/>
        </w:tabs>
        <w:rPr>
          <w:color w:val="auto"/>
        </w:rPr>
      </w:pPr>
    </w:p>
    <w:p w:rsidR="00E34728" w:rsidRPr="00E34728" w:rsidRDefault="00E34728" w:rsidP="00E34728">
      <w:pPr>
        <w:rPr>
          <w:color w:val="auto"/>
        </w:rPr>
      </w:pPr>
      <w:r w:rsidRPr="00E34728">
        <w:rPr>
          <w:color w:val="auto"/>
        </w:rPr>
        <w:tab/>
      </w:r>
      <w:r w:rsidRPr="00E34728">
        <w:rPr>
          <w:color w:val="auto"/>
        </w:rPr>
        <w:tab/>
      </w:r>
      <w:r w:rsidRPr="00E34728">
        <w:rPr>
          <w:color w:val="auto"/>
        </w:rPr>
        <w:tab/>
      </w:r>
      <w:r w:rsidRPr="00E34728">
        <w:rPr>
          <w:color w:val="auto"/>
        </w:rPr>
        <w:tab/>
      </w:r>
      <w:r w:rsidRPr="00E34728">
        <w:rPr>
          <w:color w:val="auto"/>
        </w:rPr>
        <w:tab/>
      </w:r>
      <w:r w:rsidRPr="00E34728">
        <w:rPr>
          <w:color w:val="auto"/>
        </w:rPr>
        <w:tab/>
        <w:t xml:space="preserve">      Principal Deputy</w:t>
      </w:r>
    </w:p>
    <w:p w:rsidR="00E34728" w:rsidRPr="00E34728" w:rsidRDefault="00E34728" w:rsidP="00E34728">
      <w:pPr>
        <w:rPr>
          <w:color w:val="auto"/>
        </w:rPr>
      </w:pPr>
      <w:r w:rsidRPr="00E34728">
        <w:rPr>
          <w:color w:val="auto"/>
        </w:rPr>
        <w:tab/>
      </w:r>
      <w:r w:rsidRPr="00E34728">
        <w:rPr>
          <w:color w:val="auto"/>
        </w:rPr>
        <w:tab/>
      </w:r>
      <w:r w:rsidRPr="00E34728">
        <w:rPr>
          <w:color w:val="auto"/>
        </w:rPr>
        <w:tab/>
      </w:r>
      <w:r w:rsidRPr="00E34728">
        <w:rPr>
          <w:color w:val="auto"/>
        </w:rPr>
        <w:tab/>
      </w:r>
      <w:r w:rsidRPr="00E34728">
        <w:rPr>
          <w:color w:val="auto"/>
        </w:rPr>
        <w:tab/>
      </w:r>
      <w:r w:rsidRPr="00E34728">
        <w:rPr>
          <w:color w:val="auto"/>
        </w:rPr>
        <w:tab/>
        <w:t xml:space="preserve">      Assistant Secretary of the Navy</w:t>
      </w:r>
    </w:p>
    <w:p w:rsidR="00E34728" w:rsidRPr="00E34728" w:rsidRDefault="00E34728" w:rsidP="00E34728">
      <w:pPr>
        <w:rPr>
          <w:color w:val="auto"/>
        </w:rPr>
      </w:pPr>
      <w:r w:rsidRPr="00E34728">
        <w:rPr>
          <w:color w:val="auto"/>
        </w:rPr>
        <w:tab/>
      </w:r>
      <w:r w:rsidRPr="00E34728">
        <w:rPr>
          <w:color w:val="auto"/>
        </w:rPr>
        <w:tab/>
      </w:r>
      <w:r w:rsidRPr="00E34728">
        <w:rPr>
          <w:color w:val="auto"/>
        </w:rPr>
        <w:tab/>
      </w:r>
      <w:r w:rsidRPr="00E34728">
        <w:rPr>
          <w:color w:val="auto"/>
        </w:rPr>
        <w:tab/>
      </w:r>
      <w:r w:rsidRPr="00E34728">
        <w:rPr>
          <w:color w:val="auto"/>
        </w:rPr>
        <w:tab/>
      </w:r>
      <w:r w:rsidRPr="00E34728">
        <w:rPr>
          <w:color w:val="auto"/>
        </w:rPr>
        <w:tab/>
        <w:t xml:space="preserve">        (Manpower &amp; Reserve Affairs)</w:t>
      </w:r>
    </w:p>
    <w:p w:rsidR="00E34728" w:rsidRDefault="00E34728" w:rsidP="00E34728"/>
    <w:p w:rsidR="00E52562" w:rsidRDefault="00E52562" w:rsidP="00190E48">
      <w:pPr>
        <w:tabs>
          <w:tab w:val="left" w:pos="288"/>
          <w:tab w:val="left" w:pos="4320"/>
          <w:tab w:val="left" w:pos="4410"/>
          <w:tab w:val="left" w:pos="4770"/>
          <w:tab w:val="left" w:pos="4860"/>
          <w:tab w:val="left" w:pos="5040"/>
        </w:tabs>
        <w:spacing w:line="240" w:lineRule="exact"/>
        <w:jc w:val="both"/>
        <w:rPr>
          <w:rFonts w:ascii="Calibri" w:hAnsi="Calibri"/>
          <w:color w:val="auto"/>
          <w:highlight w:val="yellow"/>
        </w:rPr>
      </w:pPr>
    </w:p>
    <w:p w:rsidR="00E52562" w:rsidRDefault="00E52562" w:rsidP="00190E48">
      <w:pPr>
        <w:tabs>
          <w:tab w:val="left" w:pos="288"/>
          <w:tab w:val="left" w:pos="4320"/>
          <w:tab w:val="left" w:pos="4410"/>
          <w:tab w:val="left" w:pos="4770"/>
          <w:tab w:val="left" w:pos="4860"/>
          <w:tab w:val="left" w:pos="5040"/>
        </w:tabs>
        <w:spacing w:line="240" w:lineRule="exact"/>
        <w:jc w:val="both"/>
        <w:rPr>
          <w:rFonts w:ascii="Calibri" w:hAnsi="Calibri"/>
          <w:color w:val="auto"/>
          <w:highlight w:val="yellow"/>
        </w:rPr>
      </w:pPr>
    </w:p>
    <w:p w:rsidR="008A64FF" w:rsidRPr="00E35ABF" w:rsidRDefault="008A64FF" w:rsidP="008A64FF">
      <w:pPr>
        <w:autoSpaceDE w:val="0"/>
        <w:autoSpaceDN w:val="0"/>
        <w:adjustRightInd w:val="0"/>
        <w:spacing w:line="240" w:lineRule="exact"/>
        <w:jc w:val="both"/>
        <w:rPr>
          <w:rFonts w:ascii="Calibri" w:hAnsi="Calibri"/>
          <w:color w:val="auto"/>
        </w:rPr>
      </w:pPr>
    </w:p>
    <w:sectPr w:rsidR="008A64FF" w:rsidRPr="00E35ABF" w:rsidSect="002213CC">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8A8" w:rsidRDefault="002838A8">
      <w:r>
        <w:separator/>
      </w:r>
    </w:p>
  </w:endnote>
  <w:endnote w:type="continuationSeparator" w:id="0">
    <w:p w:rsidR="002838A8" w:rsidRDefault="002838A8">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2C" w:rsidRDefault="00EC76B5">
    <w:pPr>
      <w:pStyle w:val="Footer"/>
      <w:framePr w:wrap="around" w:vAnchor="text" w:hAnchor="margin" w:xAlign="center" w:y="1"/>
      <w:rPr>
        <w:rStyle w:val="PageNumber"/>
      </w:rPr>
    </w:pPr>
    <w:r>
      <w:rPr>
        <w:rStyle w:val="PageNumber"/>
      </w:rPr>
      <w:fldChar w:fldCharType="begin"/>
    </w:r>
    <w:r w:rsidR="000D1B2C">
      <w:rPr>
        <w:rStyle w:val="PageNumber"/>
      </w:rPr>
      <w:instrText xml:space="preserve">PAGE  </w:instrText>
    </w:r>
    <w:r>
      <w:rPr>
        <w:rStyle w:val="PageNumber"/>
      </w:rPr>
      <w:fldChar w:fldCharType="separate"/>
    </w:r>
    <w:r w:rsidR="000D1B2C">
      <w:rPr>
        <w:rStyle w:val="PageNumber"/>
        <w:noProof/>
      </w:rPr>
      <w:t>2</w:t>
    </w:r>
    <w:r>
      <w:rPr>
        <w:rStyle w:val="PageNumber"/>
      </w:rPr>
      <w:fldChar w:fldCharType="end"/>
    </w:r>
  </w:p>
  <w:p w:rsidR="000D1B2C" w:rsidRDefault="000D1B2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2C" w:rsidRPr="008A3671" w:rsidRDefault="00EC76B5">
    <w:pPr>
      <w:pStyle w:val="Footer"/>
      <w:framePr w:wrap="around" w:vAnchor="text" w:hAnchor="margin" w:xAlign="center" w:y="1"/>
      <w:rPr>
        <w:rStyle w:val="PageNumber"/>
        <w:rFonts w:ascii="Calibri" w:hAnsi="Calibri"/>
        <w:color w:val="auto"/>
      </w:rPr>
    </w:pPr>
    <w:r w:rsidRPr="008A3671">
      <w:rPr>
        <w:rStyle w:val="PageNumber"/>
        <w:rFonts w:ascii="Calibri" w:hAnsi="Calibri"/>
        <w:color w:val="auto"/>
      </w:rPr>
      <w:fldChar w:fldCharType="begin"/>
    </w:r>
    <w:r w:rsidR="000D1B2C" w:rsidRPr="008A3671">
      <w:rPr>
        <w:rStyle w:val="PageNumber"/>
        <w:rFonts w:ascii="Calibri" w:hAnsi="Calibri"/>
        <w:color w:val="auto"/>
      </w:rPr>
      <w:instrText xml:space="preserve">PAGE  </w:instrText>
    </w:r>
    <w:r w:rsidRPr="008A3671">
      <w:rPr>
        <w:rStyle w:val="PageNumber"/>
        <w:rFonts w:ascii="Calibri" w:hAnsi="Calibri"/>
        <w:color w:val="auto"/>
      </w:rPr>
      <w:fldChar w:fldCharType="separate"/>
    </w:r>
    <w:r w:rsidR="00E34728">
      <w:rPr>
        <w:rStyle w:val="PageNumber"/>
        <w:rFonts w:ascii="Calibri" w:hAnsi="Calibri"/>
        <w:noProof/>
        <w:color w:val="auto"/>
      </w:rPr>
      <w:t>2</w:t>
    </w:r>
    <w:r w:rsidRPr="008A3671">
      <w:rPr>
        <w:rStyle w:val="PageNumber"/>
        <w:rFonts w:ascii="Calibri" w:hAnsi="Calibri"/>
        <w:color w:val="auto"/>
      </w:rPr>
      <w:fldChar w:fldCharType="end"/>
    </w:r>
  </w:p>
  <w:p w:rsidR="000D1B2C" w:rsidRPr="008A3671" w:rsidRDefault="000D1B2C" w:rsidP="002B0749">
    <w:pPr>
      <w:pStyle w:val="Footer"/>
      <w:jc w:val="right"/>
      <w:rPr>
        <w:rFonts w:ascii="Calibri" w:hAnsi="Calibri"/>
        <w:color w:val="auto"/>
      </w:rPr>
    </w:pPr>
    <w:r>
      <w:tab/>
    </w:r>
    <w:r>
      <w:tab/>
    </w:r>
    <w:r w:rsidRPr="008A3671">
      <w:rPr>
        <w:rFonts w:ascii="Calibri" w:hAnsi="Calibri"/>
        <w:caps/>
        <w:color w:val="auto"/>
      </w:rPr>
      <w:t>PD2010-00196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8A8" w:rsidRDefault="002838A8">
      <w:r>
        <w:separator/>
      </w:r>
    </w:p>
  </w:footnote>
  <w:footnote w:type="continuationSeparator" w:id="0">
    <w:p w:rsidR="002838A8" w:rsidRDefault="00283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displayBackgroundShape/>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76514"/>
  </w:hdrShapeDefaults>
  <w:footnotePr>
    <w:numRestart w:val="eachSect"/>
    <w:footnote w:id="-1"/>
    <w:footnote w:id="0"/>
  </w:footnotePr>
  <w:endnotePr>
    <w:endnote w:id="-1"/>
    <w:endnote w:id="0"/>
  </w:endnotePr>
  <w:compat/>
  <w:rsids>
    <w:rsidRoot w:val="001C28D1"/>
    <w:rsid w:val="00000116"/>
    <w:rsid w:val="000059FA"/>
    <w:rsid w:val="00006F87"/>
    <w:rsid w:val="00010ABA"/>
    <w:rsid w:val="00012428"/>
    <w:rsid w:val="00013417"/>
    <w:rsid w:val="000145C2"/>
    <w:rsid w:val="0001473F"/>
    <w:rsid w:val="00014A9E"/>
    <w:rsid w:val="00021361"/>
    <w:rsid w:val="00023913"/>
    <w:rsid w:val="00023D43"/>
    <w:rsid w:val="000242F4"/>
    <w:rsid w:val="0003076E"/>
    <w:rsid w:val="00032E07"/>
    <w:rsid w:val="000332CA"/>
    <w:rsid w:val="0003374E"/>
    <w:rsid w:val="00033A37"/>
    <w:rsid w:val="000344E6"/>
    <w:rsid w:val="00035C3A"/>
    <w:rsid w:val="00036E4B"/>
    <w:rsid w:val="000379D0"/>
    <w:rsid w:val="00040FC4"/>
    <w:rsid w:val="000416F8"/>
    <w:rsid w:val="00042C26"/>
    <w:rsid w:val="00043382"/>
    <w:rsid w:val="00051622"/>
    <w:rsid w:val="00052234"/>
    <w:rsid w:val="00053D7C"/>
    <w:rsid w:val="000577C9"/>
    <w:rsid w:val="0006431E"/>
    <w:rsid w:val="00072433"/>
    <w:rsid w:val="00075702"/>
    <w:rsid w:val="000775C2"/>
    <w:rsid w:val="000806AD"/>
    <w:rsid w:val="00082482"/>
    <w:rsid w:val="0008708B"/>
    <w:rsid w:val="00092619"/>
    <w:rsid w:val="00092C66"/>
    <w:rsid w:val="00094E4F"/>
    <w:rsid w:val="000A20EC"/>
    <w:rsid w:val="000A2BCE"/>
    <w:rsid w:val="000A41E3"/>
    <w:rsid w:val="000A4BBA"/>
    <w:rsid w:val="000A5071"/>
    <w:rsid w:val="000A5D28"/>
    <w:rsid w:val="000B4C99"/>
    <w:rsid w:val="000B6D8C"/>
    <w:rsid w:val="000C06F6"/>
    <w:rsid w:val="000C1D34"/>
    <w:rsid w:val="000C2362"/>
    <w:rsid w:val="000C3C13"/>
    <w:rsid w:val="000C53F9"/>
    <w:rsid w:val="000C5813"/>
    <w:rsid w:val="000C75CF"/>
    <w:rsid w:val="000C7DE4"/>
    <w:rsid w:val="000D15E7"/>
    <w:rsid w:val="000D1A24"/>
    <w:rsid w:val="000D1B2C"/>
    <w:rsid w:val="000D21C7"/>
    <w:rsid w:val="000D248A"/>
    <w:rsid w:val="000D35D8"/>
    <w:rsid w:val="000D43F9"/>
    <w:rsid w:val="000D4717"/>
    <w:rsid w:val="000D6457"/>
    <w:rsid w:val="000D6D15"/>
    <w:rsid w:val="000D7D55"/>
    <w:rsid w:val="000E0993"/>
    <w:rsid w:val="000E37E0"/>
    <w:rsid w:val="000E4E7E"/>
    <w:rsid w:val="000F02BE"/>
    <w:rsid w:val="000F1979"/>
    <w:rsid w:val="000F427B"/>
    <w:rsid w:val="000F7181"/>
    <w:rsid w:val="001008C1"/>
    <w:rsid w:val="00101C8D"/>
    <w:rsid w:val="001023DB"/>
    <w:rsid w:val="00103CCF"/>
    <w:rsid w:val="0010406C"/>
    <w:rsid w:val="0010417F"/>
    <w:rsid w:val="001042D2"/>
    <w:rsid w:val="0010472B"/>
    <w:rsid w:val="0010530E"/>
    <w:rsid w:val="00105C07"/>
    <w:rsid w:val="00107EC5"/>
    <w:rsid w:val="001103CD"/>
    <w:rsid w:val="00113BDD"/>
    <w:rsid w:val="00114F20"/>
    <w:rsid w:val="001211AF"/>
    <w:rsid w:val="001219DF"/>
    <w:rsid w:val="001231DC"/>
    <w:rsid w:val="001272AE"/>
    <w:rsid w:val="00130031"/>
    <w:rsid w:val="001315DD"/>
    <w:rsid w:val="0013256E"/>
    <w:rsid w:val="00135385"/>
    <w:rsid w:val="001364D1"/>
    <w:rsid w:val="00137178"/>
    <w:rsid w:val="00142EBA"/>
    <w:rsid w:val="00143B79"/>
    <w:rsid w:val="00144340"/>
    <w:rsid w:val="0014589A"/>
    <w:rsid w:val="00150B8A"/>
    <w:rsid w:val="00150DCB"/>
    <w:rsid w:val="00151912"/>
    <w:rsid w:val="001523CD"/>
    <w:rsid w:val="00152AB7"/>
    <w:rsid w:val="00153740"/>
    <w:rsid w:val="001541C5"/>
    <w:rsid w:val="0015623F"/>
    <w:rsid w:val="00156585"/>
    <w:rsid w:val="00156BA9"/>
    <w:rsid w:val="00161761"/>
    <w:rsid w:val="00166182"/>
    <w:rsid w:val="001745DD"/>
    <w:rsid w:val="00175E6D"/>
    <w:rsid w:val="00177659"/>
    <w:rsid w:val="001779E5"/>
    <w:rsid w:val="00181AC9"/>
    <w:rsid w:val="00182A4C"/>
    <w:rsid w:val="00183F77"/>
    <w:rsid w:val="00185DA8"/>
    <w:rsid w:val="00185ECB"/>
    <w:rsid w:val="001865E0"/>
    <w:rsid w:val="001870F0"/>
    <w:rsid w:val="00190E48"/>
    <w:rsid w:val="001925D8"/>
    <w:rsid w:val="0019273F"/>
    <w:rsid w:val="00193814"/>
    <w:rsid w:val="00193AD5"/>
    <w:rsid w:val="00194930"/>
    <w:rsid w:val="001A083D"/>
    <w:rsid w:val="001A08CD"/>
    <w:rsid w:val="001A5320"/>
    <w:rsid w:val="001A5E62"/>
    <w:rsid w:val="001A6123"/>
    <w:rsid w:val="001A7538"/>
    <w:rsid w:val="001B0B1A"/>
    <w:rsid w:val="001B110B"/>
    <w:rsid w:val="001B4EC2"/>
    <w:rsid w:val="001B5B59"/>
    <w:rsid w:val="001B60E0"/>
    <w:rsid w:val="001B7C8C"/>
    <w:rsid w:val="001C181A"/>
    <w:rsid w:val="001C1877"/>
    <w:rsid w:val="001C2053"/>
    <w:rsid w:val="001C252F"/>
    <w:rsid w:val="001C28D1"/>
    <w:rsid w:val="001C5CFC"/>
    <w:rsid w:val="001C7418"/>
    <w:rsid w:val="001D0051"/>
    <w:rsid w:val="001D2224"/>
    <w:rsid w:val="001D4F88"/>
    <w:rsid w:val="001D68CF"/>
    <w:rsid w:val="001D6A8C"/>
    <w:rsid w:val="001D7A56"/>
    <w:rsid w:val="001E15C0"/>
    <w:rsid w:val="001E18E0"/>
    <w:rsid w:val="001E18E2"/>
    <w:rsid w:val="001E19D0"/>
    <w:rsid w:val="001E2A30"/>
    <w:rsid w:val="001E2F24"/>
    <w:rsid w:val="001F0CDF"/>
    <w:rsid w:val="00200AA0"/>
    <w:rsid w:val="00202325"/>
    <w:rsid w:val="00202736"/>
    <w:rsid w:val="00203652"/>
    <w:rsid w:val="002060B6"/>
    <w:rsid w:val="002066B5"/>
    <w:rsid w:val="00215ED6"/>
    <w:rsid w:val="00216049"/>
    <w:rsid w:val="00217606"/>
    <w:rsid w:val="00217C09"/>
    <w:rsid w:val="00220F5C"/>
    <w:rsid w:val="002213CC"/>
    <w:rsid w:val="002213D2"/>
    <w:rsid w:val="00225196"/>
    <w:rsid w:val="00225CB4"/>
    <w:rsid w:val="0023049F"/>
    <w:rsid w:val="002316F6"/>
    <w:rsid w:val="00232C9B"/>
    <w:rsid w:val="00232F09"/>
    <w:rsid w:val="002335D5"/>
    <w:rsid w:val="002338CA"/>
    <w:rsid w:val="00233FE5"/>
    <w:rsid w:val="002345A4"/>
    <w:rsid w:val="00234B3B"/>
    <w:rsid w:val="00237F7A"/>
    <w:rsid w:val="0024174E"/>
    <w:rsid w:val="0024227D"/>
    <w:rsid w:val="00242D14"/>
    <w:rsid w:val="00246860"/>
    <w:rsid w:val="00246DFF"/>
    <w:rsid w:val="00246E89"/>
    <w:rsid w:val="002476AB"/>
    <w:rsid w:val="0025183C"/>
    <w:rsid w:val="002528EC"/>
    <w:rsid w:val="00255049"/>
    <w:rsid w:val="00257DE5"/>
    <w:rsid w:val="00257FC0"/>
    <w:rsid w:val="00260531"/>
    <w:rsid w:val="00262759"/>
    <w:rsid w:val="0026318D"/>
    <w:rsid w:val="00270864"/>
    <w:rsid w:val="002712F7"/>
    <w:rsid w:val="0027159C"/>
    <w:rsid w:val="00274549"/>
    <w:rsid w:val="00274E46"/>
    <w:rsid w:val="00276C86"/>
    <w:rsid w:val="00280044"/>
    <w:rsid w:val="002810A4"/>
    <w:rsid w:val="002838A8"/>
    <w:rsid w:val="00284A26"/>
    <w:rsid w:val="00287006"/>
    <w:rsid w:val="00294437"/>
    <w:rsid w:val="002A0BF9"/>
    <w:rsid w:val="002A3237"/>
    <w:rsid w:val="002A58B7"/>
    <w:rsid w:val="002A685E"/>
    <w:rsid w:val="002A72C7"/>
    <w:rsid w:val="002B03B2"/>
    <w:rsid w:val="002B0749"/>
    <w:rsid w:val="002B2645"/>
    <w:rsid w:val="002B421D"/>
    <w:rsid w:val="002B6FA0"/>
    <w:rsid w:val="002C5F10"/>
    <w:rsid w:val="002C6E5B"/>
    <w:rsid w:val="002D18B4"/>
    <w:rsid w:val="002D231A"/>
    <w:rsid w:val="002D47D6"/>
    <w:rsid w:val="002E1877"/>
    <w:rsid w:val="002E1C31"/>
    <w:rsid w:val="002E333A"/>
    <w:rsid w:val="002E3474"/>
    <w:rsid w:val="002E400C"/>
    <w:rsid w:val="002E49C3"/>
    <w:rsid w:val="002E5114"/>
    <w:rsid w:val="002E7570"/>
    <w:rsid w:val="002E764B"/>
    <w:rsid w:val="002F0E28"/>
    <w:rsid w:val="002F27E4"/>
    <w:rsid w:val="002F287E"/>
    <w:rsid w:val="002F2D63"/>
    <w:rsid w:val="002F7F81"/>
    <w:rsid w:val="00300A36"/>
    <w:rsid w:val="0030678B"/>
    <w:rsid w:val="00310CD7"/>
    <w:rsid w:val="0032136A"/>
    <w:rsid w:val="00321BFD"/>
    <w:rsid w:val="00323E70"/>
    <w:rsid w:val="00325BA2"/>
    <w:rsid w:val="00326F7F"/>
    <w:rsid w:val="003320E8"/>
    <w:rsid w:val="003323D4"/>
    <w:rsid w:val="0033555E"/>
    <w:rsid w:val="00336805"/>
    <w:rsid w:val="00337351"/>
    <w:rsid w:val="00340A53"/>
    <w:rsid w:val="00341A54"/>
    <w:rsid w:val="0034669F"/>
    <w:rsid w:val="003478A9"/>
    <w:rsid w:val="00350CF3"/>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4A8A"/>
    <w:rsid w:val="003857D4"/>
    <w:rsid w:val="00385D6F"/>
    <w:rsid w:val="00387095"/>
    <w:rsid w:val="00390092"/>
    <w:rsid w:val="00393323"/>
    <w:rsid w:val="00393651"/>
    <w:rsid w:val="00393890"/>
    <w:rsid w:val="00393F34"/>
    <w:rsid w:val="00394CB4"/>
    <w:rsid w:val="00395E12"/>
    <w:rsid w:val="00397DB7"/>
    <w:rsid w:val="003A27B2"/>
    <w:rsid w:val="003A40B4"/>
    <w:rsid w:val="003A41BA"/>
    <w:rsid w:val="003A516E"/>
    <w:rsid w:val="003A6A99"/>
    <w:rsid w:val="003A7FF8"/>
    <w:rsid w:val="003B17AC"/>
    <w:rsid w:val="003B227A"/>
    <w:rsid w:val="003B5854"/>
    <w:rsid w:val="003B6764"/>
    <w:rsid w:val="003B7327"/>
    <w:rsid w:val="003C6068"/>
    <w:rsid w:val="003D2BA3"/>
    <w:rsid w:val="003D2CC5"/>
    <w:rsid w:val="003D3C22"/>
    <w:rsid w:val="003D7089"/>
    <w:rsid w:val="003D7DDB"/>
    <w:rsid w:val="003E02C7"/>
    <w:rsid w:val="003E0543"/>
    <w:rsid w:val="003E0B5A"/>
    <w:rsid w:val="003E0D65"/>
    <w:rsid w:val="003E31E3"/>
    <w:rsid w:val="003E46D1"/>
    <w:rsid w:val="003F58B0"/>
    <w:rsid w:val="004007E9"/>
    <w:rsid w:val="00401825"/>
    <w:rsid w:val="00401BBC"/>
    <w:rsid w:val="00402A80"/>
    <w:rsid w:val="00403BFB"/>
    <w:rsid w:val="00404B45"/>
    <w:rsid w:val="00406380"/>
    <w:rsid w:val="00406CC5"/>
    <w:rsid w:val="004074A4"/>
    <w:rsid w:val="004101B2"/>
    <w:rsid w:val="004123D7"/>
    <w:rsid w:val="00412658"/>
    <w:rsid w:val="004172DB"/>
    <w:rsid w:val="00421485"/>
    <w:rsid w:val="00422B75"/>
    <w:rsid w:val="00424EDD"/>
    <w:rsid w:val="00426D67"/>
    <w:rsid w:val="00433F36"/>
    <w:rsid w:val="00433F61"/>
    <w:rsid w:val="00434BA0"/>
    <w:rsid w:val="0043503A"/>
    <w:rsid w:val="0044384F"/>
    <w:rsid w:val="00444F80"/>
    <w:rsid w:val="00446018"/>
    <w:rsid w:val="00447E26"/>
    <w:rsid w:val="004543BC"/>
    <w:rsid w:val="0045645D"/>
    <w:rsid w:val="004574C6"/>
    <w:rsid w:val="00457BCF"/>
    <w:rsid w:val="00457DCE"/>
    <w:rsid w:val="00460D45"/>
    <w:rsid w:val="00460E3F"/>
    <w:rsid w:val="00466CED"/>
    <w:rsid w:val="00467592"/>
    <w:rsid w:val="00467690"/>
    <w:rsid w:val="004718E7"/>
    <w:rsid w:val="00472535"/>
    <w:rsid w:val="00472F2C"/>
    <w:rsid w:val="004761CC"/>
    <w:rsid w:val="004773AC"/>
    <w:rsid w:val="00480D4A"/>
    <w:rsid w:val="00481DA1"/>
    <w:rsid w:val="00482C76"/>
    <w:rsid w:val="004832AB"/>
    <w:rsid w:val="00485CE6"/>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06F31"/>
    <w:rsid w:val="00510588"/>
    <w:rsid w:val="0051146C"/>
    <w:rsid w:val="00513CED"/>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475F1"/>
    <w:rsid w:val="0055288D"/>
    <w:rsid w:val="00555259"/>
    <w:rsid w:val="00557D64"/>
    <w:rsid w:val="00560D57"/>
    <w:rsid w:val="00562A94"/>
    <w:rsid w:val="00570412"/>
    <w:rsid w:val="005709F7"/>
    <w:rsid w:val="005710A9"/>
    <w:rsid w:val="00571D1B"/>
    <w:rsid w:val="00585926"/>
    <w:rsid w:val="00593043"/>
    <w:rsid w:val="00595266"/>
    <w:rsid w:val="00595BF0"/>
    <w:rsid w:val="005A0C35"/>
    <w:rsid w:val="005A1846"/>
    <w:rsid w:val="005A258C"/>
    <w:rsid w:val="005A3560"/>
    <w:rsid w:val="005A6C99"/>
    <w:rsid w:val="005A7D2F"/>
    <w:rsid w:val="005A7D5D"/>
    <w:rsid w:val="005B011A"/>
    <w:rsid w:val="005B1D8F"/>
    <w:rsid w:val="005B1E94"/>
    <w:rsid w:val="005B5B3D"/>
    <w:rsid w:val="005C16F3"/>
    <w:rsid w:val="005C3758"/>
    <w:rsid w:val="005D4FB4"/>
    <w:rsid w:val="005D5E8C"/>
    <w:rsid w:val="005E3064"/>
    <w:rsid w:val="005E5C7F"/>
    <w:rsid w:val="005E72B2"/>
    <w:rsid w:val="005F1115"/>
    <w:rsid w:val="005F1AB6"/>
    <w:rsid w:val="005F27F2"/>
    <w:rsid w:val="005F3AFE"/>
    <w:rsid w:val="005F3C3A"/>
    <w:rsid w:val="005F424D"/>
    <w:rsid w:val="005F6B6D"/>
    <w:rsid w:val="005F7A15"/>
    <w:rsid w:val="00605AAB"/>
    <w:rsid w:val="00606BEB"/>
    <w:rsid w:val="0061014A"/>
    <w:rsid w:val="0061054B"/>
    <w:rsid w:val="00610C68"/>
    <w:rsid w:val="00613E26"/>
    <w:rsid w:val="00615641"/>
    <w:rsid w:val="00616959"/>
    <w:rsid w:val="006211D0"/>
    <w:rsid w:val="00624D0C"/>
    <w:rsid w:val="006307BA"/>
    <w:rsid w:val="006315BA"/>
    <w:rsid w:val="00634C4A"/>
    <w:rsid w:val="00634C96"/>
    <w:rsid w:val="0063532E"/>
    <w:rsid w:val="006377C0"/>
    <w:rsid w:val="00637BDC"/>
    <w:rsid w:val="006413CC"/>
    <w:rsid w:val="006418C9"/>
    <w:rsid w:val="00642BD6"/>
    <w:rsid w:val="00645046"/>
    <w:rsid w:val="0064527A"/>
    <w:rsid w:val="00645EA2"/>
    <w:rsid w:val="006573F2"/>
    <w:rsid w:val="00662F08"/>
    <w:rsid w:val="00663589"/>
    <w:rsid w:val="006708E3"/>
    <w:rsid w:val="00670DDC"/>
    <w:rsid w:val="00671EB4"/>
    <w:rsid w:val="0067443B"/>
    <w:rsid w:val="0068424B"/>
    <w:rsid w:val="00684E2B"/>
    <w:rsid w:val="00687C34"/>
    <w:rsid w:val="00687D4C"/>
    <w:rsid w:val="00690FDA"/>
    <w:rsid w:val="00691E61"/>
    <w:rsid w:val="00693C5E"/>
    <w:rsid w:val="006947A7"/>
    <w:rsid w:val="00694EEA"/>
    <w:rsid w:val="006955B4"/>
    <w:rsid w:val="00696476"/>
    <w:rsid w:val="006A10FA"/>
    <w:rsid w:val="006A40E6"/>
    <w:rsid w:val="006A5C07"/>
    <w:rsid w:val="006A75FA"/>
    <w:rsid w:val="006B07D5"/>
    <w:rsid w:val="006B1309"/>
    <w:rsid w:val="006B32F3"/>
    <w:rsid w:val="006B3923"/>
    <w:rsid w:val="006B3F3E"/>
    <w:rsid w:val="006B5923"/>
    <w:rsid w:val="006B67D9"/>
    <w:rsid w:val="006B6C14"/>
    <w:rsid w:val="006B715E"/>
    <w:rsid w:val="006B7CF9"/>
    <w:rsid w:val="006C1D6E"/>
    <w:rsid w:val="006C3A68"/>
    <w:rsid w:val="006C6AB1"/>
    <w:rsid w:val="006D2D39"/>
    <w:rsid w:val="006D4E0E"/>
    <w:rsid w:val="006D5CE2"/>
    <w:rsid w:val="006E06D1"/>
    <w:rsid w:val="006E1313"/>
    <w:rsid w:val="006E2DC8"/>
    <w:rsid w:val="006E7356"/>
    <w:rsid w:val="006E77C8"/>
    <w:rsid w:val="006F149D"/>
    <w:rsid w:val="006F1A46"/>
    <w:rsid w:val="006F5A4E"/>
    <w:rsid w:val="006F60AC"/>
    <w:rsid w:val="0070143B"/>
    <w:rsid w:val="00703B6C"/>
    <w:rsid w:val="00705C40"/>
    <w:rsid w:val="00706482"/>
    <w:rsid w:val="00706BEF"/>
    <w:rsid w:val="007116BC"/>
    <w:rsid w:val="00713792"/>
    <w:rsid w:val="007165CE"/>
    <w:rsid w:val="00720968"/>
    <w:rsid w:val="00721550"/>
    <w:rsid w:val="00721D12"/>
    <w:rsid w:val="00721F8B"/>
    <w:rsid w:val="007237CE"/>
    <w:rsid w:val="00724688"/>
    <w:rsid w:val="0073062D"/>
    <w:rsid w:val="00731AAF"/>
    <w:rsid w:val="0073254D"/>
    <w:rsid w:val="00736A49"/>
    <w:rsid w:val="007374F4"/>
    <w:rsid w:val="00743B71"/>
    <w:rsid w:val="00743C2D"/>
    <w:rsid w:val="00743E36"/>
    <w:rsid w:val="007446F7"/>
    <w:rsid w:val="00744EBB"/>
    <w:rsid w:val="00745B0A"/>
    <w:rsid w:val="007468AC"/>
    <w:rsid w:val="00746AE2"/>
    <w:rsid w:val="00747B0D"/>
    <w:rsid w:val="00750C82"/>
    <w:rsid w:val="0076100C"/>
    <w:rsid w:val="007651ED"/>
    <w:rsid w:val="00766564"/>
    <w:rsid w:val="00766C87"/>
    <w:rsid w:val="007740E4"/>
    <w:rsid w:val="00780601"/>
    <w:rsid w:val="00781BD4"/>
    <w:rsid w:val="00784832"/>
    <w:rsid w:val="00785D77"/>
    <w:rsid w:val="00786111"/>
    <w:rsid w:val="00791F1E"/>
    <w:rsid w:val="00794F3D"/>
    <w:rsid w:val="00796045"/>
    <w:rsid w:val="007968AC"/>
    <w:rsid w:val="007969AB"/>
    <w:rsid w:val="007A0B39"/>
    <w:rsid w:val="007A14A4"/>
    <w:rsid w:val="007A168F"/>
    <w:rsid w:val="007A2031"/>
    <w:rsid w:val="007A28E4"/>
    <w:rsid w:val="007A3BB3"/>
    <w:rsid w:val="007A5AD1"/>
    <w:rsid w:val="007A5B7B"/>
    <w:rsid w:val="007B0A06"/>
    <w:rsid w:val="007B44B1"/>
    <w:rsid w:val="007B5C5C"/>
    <w:rsid w:val="007B7B37"/>
    <w:rsid w:val="007B7C41"/>
    <w:rsid w:val="007C433E"/>
    <w:rsid w:val="007C4452"/>
    <w:rsid w:val="007C4B3C"/>
    <w:rsid w:val="007C4DB1"/>
    <w:rsid w:val="007C6046"/>
    <w:rsid w:val="007D0292"/>
    <w:rsid w:val="007D0F11"/>
    <w:rsid w:val="007D21AC"/>
    <w:rsid w:val="007D3882"/>
    <w:rsid w:val="007D568A"/>
    <w:rsid w:val="007D574E"/>
    <w:rsid w:val="007D5BFC"/>
    <w:rsid w:val="007D6BFE"/>
    <w:rsid w:val="007E1B9A"/>
    <w:rsid w:val="007E2046"/>
    <w:rsid w:val="007E3883"/>
    <w:rsid w:val="007E4FBB"/>
    <w:rsid w:val="007E55BF"/>
    <w:rsid w:val="007E5ED1"/>
    <w:rsid w:val="007E71B1"/>
    <w:rsid w:val="007E7B4E"/>
    <w:rsid w:val="007F0CE2"/>
    <w:rsid w:val="007F0EFF"/>
    <w:rsid w:val="007F1375"/>
    <w:rsid w:val="007F352E"/>
    <w:rsid w:val="00803850"/>
    <w:rsid w:val="00804385"/>
    <w:rsid w:val="00805AFD"/>
    <w:rsid w:val="008078D8"/>
    <w:rsid w:val="00811D5B"/>
    <w:rsid w:val="00817713"/>
    <w:rsid w:val="00820306"/>
    <w:rsid w:val="008220F1"/>
    <w:rsid w:val="0082340B"/>
    <w:rsid w:val="00824351"/>
    <w:rsid w:val="00827DB6"/>
    <w:rsid w:val="008304B2"/>
    <w:rsid w:val="00830999"/>
    <w:rsid w:val="00830D5E"/>
    <w:rsid w:val="00830EFB"/>
    <w:rsid w:val="00830F69"/>
    <w:rsid w:val="00833418"/>
    <w:rsid w:val="00834458"/>
    <w:rsid w:val="00835841"/>
    <w:rsid w:val="00837465"/>
    <w:rsid w:val="00841243"/>
    <w:rsid w:val="00841457"/>
    <w:rsid w:val="00841752"/>
    <w:rsid w:val="0084374E"/>
    <w:rsid w:val="00844842"/>
    <w:rsid w:val="00844DD0"/>
    <w:rsid w:val="0085089F"/>
    <w:rsid w:val="008517BB"/>
    <w:rsid w:val="0085206E"/>
    <w:rsid w:val="00852AD4"/>
    <w:rsid w:val="00852BA8"/>
    <w:rsid w:val="00853718"/>
    <w:rsid w:val="008541EF"/>
    <w:rsid w:val="00856AC7"/>
    <w:rsid w:val="00856FA4"/>
    <w:rsid w:val="00860B7D"/>
    <w:rsid w:val="0086162B"/>
    <w:rsid w:val="00861D5C"/>
    <w:rsid w:val="00865207"/>
    <w:rsid w:val="008656A7"/>
    <w:rsid w:val="00871262"/>
    <w:rsid w:val="00871D4E"/>
    <w:rsid w:val="00871E7B"/>
    <w:rsid w:val="00875B51"/>
    <w:rsid w:val="00875F2D"/>
    <w:rsid w:val="008764DC"/>
    <w:rsid w:val="00882CC2"/>
    <w:rsid w:val="00883930"/>
    <w:rsid w:val="008846C7"/>
    <w:rsid w:val="0088533A"/>
    <w:rsid w:val="0089126B"/>
    <w:rsid w:val="00896535"/>
    <w:rsid w:val="00896683"/>
    <w:rsid w:val="00897589"/>
    <w:rsid w:val="008A1750"/>
    <w:rsid w:val="008A3671"/>
    <w:rsid w:val="008A516E"/>
    <w:rsid w:val="008A63A9"/>
    <w:rsid w:val="008A64FF"/>
    <w:rsid w:val="008A7F7E"/>
    <w:rsid w:val="008B04DB"/>
    <w:rsid w:val="008B27FD"/>
    <w:rsid w:val="008B3AF2"/>
    <w:rsid w:val="008B515D"/>
    <w:rsid w:val="008B5D31"/>
    <w:rsid w:val="008B6705"/>
    <w:rsid w:val="008C22F3"/>
    <w:rsid w:val="008D62F6"/>
    <w:rsid w:val="008D795D"/>
    <w:rsid w:val="008D7B07"/>
    <w:rsid w:val="008E1E94"/>
    <w:rsid w:val="008E2D99"/>
    <w:rsid w:val="008E4A60"/>
    <w:rsid w:val="008E744D"/>
    <w:rsid w:val="008F1E08"/>
    <w:rsid w:val="008F42C7"/>
    <w:rsid w:val="008F488E"/>
    <w:rsid w:val="008F753B"/>
    <w:rsid w:val="00900D8F"/>
    <w:rsid w:val="009014E3"/>
    <w:rsid w:val="009026E8"/>
    <w:rsid w:val="009035A0"/>
    <w:rsid w:val="00905581"/>
    <w:rsid w:val="00906EB7"/>
    <w:rsid w:val="009102BF"/>
    <w:rsid w:val="00910E9B"/>
    <w:rsid w:val="009115F2"/>
    <w:rsid w:val="00914ADB"/>
    <w:rsid w:val="00914D1B"/>
    <w:rsid w:val="00923B25"/>
    <w:rsid w:val="0092402E"/>
    <w:rsid w:val="009259BA"/>
    <w:rsid w:val="00926FCB"/>
    <w:rsid w:val="0093311A"/>
    <w:rsid w:val="00942645"/>
    <w:rsid w:val="00947BA5"/>
    <w:rsid w:val="00950A3A"/>
    <w:rsid w:val="0095340A"/>
    <w:rsid w:val="00954581"/>
    <w:rsid w:val="0095466C"/>
    <w:rsid w:val="00954E5B"/>
    <w:rsid w:val="009576BC"/>
    <w:rsid w:val="00960357"/>
    <w:rsid w:val="0096168C"/>
    <w:rsid w:val="00961840"/>
    <w:rsid w:val="009619FD"/>
    <w:rsid w:val="00962F2D"/>
    <w:rsid w:val="009672CD"/>
    <w:rsid w:val="00972996"/>
    <w:rsid w:val="009732B8"/>
    <w:rsid w:val="00975C72"/>
    <w:rsid w:val="00976869"/>
    <w:rsid w:val="00977740"/>
    <w:rsid w:val="00977CB4"/>
    <w:rsid w:val="009809B8"/>
    <w:rsid w:val="0098111E"/>
    <w:rsid w:val="0098222D"/>
    <w:rsid w:val="0098439A"/>
    <w:rsid w:val="00985099"/>
    <w:rsid w:val="0099421F"/>
    <w:rsid w:val="009A0DE3"/>
    <w:rsid w:val="009A1643"/>
    <w:rsid w:val="009A215A"/>
    <w:rsid w:val="009A4F1B"/>
    <w:rsid w:val="009A66C5"/>
    <w:rsid w:val="009A79BA"/>
    <w:rsid w:val="009B14D1"/>
    <w:rsid w:val="009B1534"/>
    <w:rsid w:val="009B4A3B"/>
    <w:rsid w:val="009B69D3"/>
    <w:rsid w:val="009B6C36"/>
    <w:rsid w:val="009B7BA7"/>
    <w:rsid w:val="009C0938"/>
    <w:rsid w:val="009C22C8"/>
    <w:rsid w:val="009C3F82"/>
    <w:rsid w:val="009C54EA"/>
    <w:rsid w:val="009C5CE1"/>
    <w:rsid w:val="009C72DD"/>
    <w:rsid w:val="009C7DF5"/>
    <w:rsid w:val="009D056C"/>
    <w:rsid w:val="009D060F"/>
    <w:rsid w:val="009D1ADE"/>
    <w:rsid w:val="009D68ED"/>
    <w:rsid w:val="009E09D0"/>
    <w:rsid w:val="009E1283"/>
    <w:rsid w:val="009E249F"/>
    <w:rsid w:val="009E3A7F"/>
    <w:rsid w:val="009E57B1"/>
    <w:rsid w:val="009E6379"/>
    <w:rsid w:val="009F50C3"/>
    <w:rsid w:val="009F7809"/>
    <w:rsid w:val="009F7AF5"/>
    <w:rsid w:val="00A00D14"/>
    <w:rsid w:val="00A01408"/>
    <w:rsid w:val="00A02457"/>
    <w:rsid w:val="00A03190"/>
    <w:rsid w:val="00A0404B"/>
    <w:rsid w:val="00A04F79"/>
    <w:rsid w:val="00A0677A"/>
    <w:rsid w:val="00A0798C"/>
    <w:rsid w:val="00A07BDD"/>
    <w:rsid w:val="00A07CB9"/>
    <w:rsid w:val="00A1105B"/>
    <w:rsid w:val="00A15B6B"/>
    <w:rsid w:val="00A15EB4"/>
    <w:rsid w:val="00A16876"/>
    <w:rsid w:val="00A200AA"/>
    <w:rsid w:val="00A20558"/>
    <w:rsid w:val="00A2186F"/>
    <w:rsid w:val="00A219F1"/>
    <w:rsid w:val="00A2270B"/>
    <w:rsid w:val="00A23AE2"/>
    <w:rsid w:val="00A23B89"/>
    <w:rsid w:val="00A23FE3"/>
    <w:rsid w:val="00A248C3"/>
    <w:rsid w:val="00A2496E"/>
    <w:rsid w:val="00A258B7"/>
    <w:rsid w:val="00A2719C"/>
    <w:rsid w:val="00A32743"/>
    <w:rsid w:val="00A36145"/>
    <w:rsid w:val="00A41267"/>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252E"/>
    <w:rsid w:val="00A944D8"/>
    <w:rsid w:val="00A94F87"/>
    <w:rsid w:val="00A959E7"/>
    <w:rsid w:val="00A95BBA"/>
    <w:rsid w:val="00A961EE"/>
    <w:rsid w:val="00AA04B3"/>
    <w:rsid w:val="00AA1253"/>
    <w:rsid w:val="00AA28EF"/>
    <w:rsid w:val="00AA493E"/>
    <w:rsid w:val="00AA73AF"/>
    <w:rsid w:val="00AA7A95"/>
    <w:rsid w:val="00AB1754"/>
    <w:rsid w:val="00AB21B5"/>
    <w:rsid w:val="00AB27DD"/>
    <w:rsid w:val="00AC1142"/>
    <w:rsid w:val="00AC2331"/>
    <w:rsid w:val="00AC439D"/>
    <w:rsid w:val="00AC713F"/>
    <w:rsid w:val="00AC7945"/>
    <w:rsid w:val="00AD067E"/>
    <w:rsid w:val="00AD2801"/>
    <w:rsid w:val="00AD3780"/>
    <w:rsid w:val="00AD6870"/>
    <w:rsid w:val="00AD68C5"/>
    <w:rsid w:val="00AE1273"/>
    <w:rsid w:val="00AE2D29"/>
    <w:rsid w:val="00AE4624"/>
    <w:rsid w:val="00AE5E14"/>
    <w:rsid w:val="00AE6115"/>
    <w:rsid w:val="00AE625B"/>
    <w:rsid w:val="00AF1668"/>
    <w:rsid w:val="00AF4FA5"/>
    <w:rsid w:val="00B03350"/>
    <w:rsid w:val="00B07955"/>
    <w:rsid w:val="00B14FAA"/>
    <w:rsid w:val="00B15D30"/>
    <w:rsid w:val="00B17C75"/>
    <w:rsid w:val="00B20624"/>
    <w:rsid w:val="00B23436"/>
    <w:rsid w:val="00B255F3"/>
    <w:rsid w:val="00B26354"/>
    <w:rsid w:val="00B26CA0"/>
    <w:rsid w:val="00B32179"/>
    <w:rsid w:val="00B331A9"/>
    <w:rsid w:val="00B36569"/>
    <w:rsid w:val="00B40A05"/>
    <w:rsid w:val="00B40A3E"/>
    <w:rsid w:val="00B446E0"/>
    <w:rsid w:val="00B50227"/>
    <w:rsid w:val="00B50510"/>
    <w:rsid w:val="00B522CD"/>
    <w:rsid w:val="00B55143"/>
    <w:rsid w:val="00B55917"/>
    <w:rsid w:val="00B62716"/>
    <w:rsid w:val="00B643A6"/>
    <w:rsid w:val="00B64DD6"/>
    <w:rsid w:val="00B6710C"/>
    <w:rsid w:val="00B72076"/>
    <w:rsid w:val="00B72303"/>
    <w:rsid w:val="00B72B5F"/>
    <w:rsid w:val="00B82277"/>
    <w:rsid w:val="00B91676"/>
    <w:rsid w:val="00B95833"/>
    <w:rsid w:val="00BA1824"/>
    <w:rsid w:val="00BA2D98"/>
    <w:rsid w:val="00BA30D1"/>
    <w:rsid w:val="00BA4609"/>
    <w:rsid w:val="00BA5BE2"/>
    <w:rsid w:val="00BA7F46"/>
    <w:rsid w:val="00BB0A0A"/>
    <w:rsid w:val="00BB45B5"/>
    <w:rsid w:val="00BB6064"/>
    <w:rsid w:val="00BC0751"/>
    <w:rsid w:val="00BC09D1"/>
    <w:rsid w:val="00BC1CF3"/>
    <w:rsid w:val="00BC5CE8"/>
    <w:rsid w:val="00BC653C"/>
    <w:rsid w:val="00BC7F82"/>
    <w:rsid w:val="00BD36C7"/>
    <w:rsid w:val="00BD40AB"/>
    <w:rsid w:val="00BD6297"/>
    <w:rsid w:val="00BD6806"/>
    <w:rsid w:val="00BD7433"/>
    <w:rsid w:val="00BD7831"/>
    <w:rsid w:val="00BD7C10"/>
    <w:rsid w:val="00BE046F"/>
    <w:rsid w:val="00BE0DEB"/>
    <w:rsid w:val="00BE2FC1"/>
    <w:rsid w:val="00BE6365"/>
    <w:rsid w:val="00BF0B7F"/>
    <w:rsid w:val="00BF162A"/>
    <w:rsid w:val="00BF324E"/>
    <w:rsid w:val="00BF41D4"/>
    <w:rsid w:val="00BF4720"/>
    <w:rsid w:val="00BF7B63"/>
    <w:rsid w:val="00C01209"/>
    <w:rsid w:val="00C038EC"/>
    <w:rsid w:val="00C04FF0"/>
    <w:rsid w:val="00C05C6D"/>
    <w:rsid w:val="00C1122B"/>
    <w:rsid w:val="00C13B34"/>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0A64"/>
    <w:rsid w:val="00C41F5D"/>
    <w:rsid w:val="00C42443"/>
    <w:rsid w:val="00C42CBA"/>
    <w:rsid w:val="00C5019E"/>
    <w:rsid w:val="00C5377C"/>
    <w:rsid w:val="00C53E8A"/>
    <w:rsid w:val="00C54DF3"/>
    <w:rsid w:val="00C560A7"/>
    <w:rsid w:val="00C56FC8"/>
    <w:rsid w:val="00C60F23"/>
    <w:rsid w:val="00C62EB2"/>
    <w:rsid w:val="00C70887"/>
    <w:rsid w:val="00C71BEC"/>
    <w:rsid w:val="00C74D3A"/>
    <w:rsid w:val="00C80511"/>
    <w:rsid w:val="00C80631"/>
    <w:rsid w:val="00C809B7"/>
    <w:rsid w:val="00C819BA"/>
    <w:rsid w:val="00C826F5"/>
    <w:rsid w:val="00C83740"/>
    <w:rsid w:val="00C84AD1"/>
    <w:rsid w:val="00C85579"/>
    <w:rsid w:val="00C863E5"/>
    <w:rsid w:val="00C931FC"/>
    <w:rsid w:val="00C932C5"/>
    <w:rsid w:val="00C9502C"/>
    <w:rsid w:val="00C9650E"/>
    <w:rsid w:val="00CA068D"/>
    <w:rsid w:val="00CA1228"/>
    <w:rsid w:val="00CA282D"/>
    <w:rsid w:val="00CA4670"/>
    <w:rsid w:val="00CA6B1A"/>
    <w:rsid w:val="00CB1D14"/>
    <w:rsid w:val="00CB20DC"/>
    <w:rsid w:val="00CB23DC"/>
    <w:rsid w:val="00CB2487"/>
    <w:rsid w:val="00CB28E2"/>
    <w:rsid w:val="00CB4675"/>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139A"/>
    <w:rsid w:val="00CF158D"/>
    <w:rsid w:val="00CF4394"/>
    <w:rsid w:val="00CF7D7D"/>
    <w:rsid w:val="00D000A9"/>
    <w:rsid w:val="00D005DB"/>
    <w:rsid w:val="00D0064E"/>
    <w:rsid w:val="00D00981"/>
    <w:rsid w:val="00D0280D"/>
    <w:rsid w:val="00D07A72"/>
    <w:rsid w:val="00D10577"/>
    <w:rsid w:val="00D1323B"/>
    <w:rsid w:val="00D14BAE"/>
    <w:rsid w:val="00D1648B"/>
    <w:rsid w:val="00D16819"/>
    <w:rsid w:val="00D20187"/>
    <w:rsid w:val="00D20750"/>
    <w:rsid w:val="00D20AC0"/>
    <w:rsid w:val="00D2321B"/>
    <w:rsid w:val="00D23DE4"/>
    <w:rsid w:val="00D26873"/>
    <w:rsid w:val="00D31683"/>
    <w:rsid w:val="00D32499"/>
    <w:rsid w:val="00D336C8"/>
    <w:rsid w:val="00D339E8"/>
    <w:rsid w:val="00D3662E"/>
    <w:rsid w:val="00D40B1F"/>
    <w:rsid w:val="00D40D75"/>
    <w:rsid w:val="00D41109"/>
    <w:rsid w:val="00D449F0"/>
    <w:rsid w:val="00D479E9"/>
    <w:rsid w:val="00D50A1E"/>
    <w:rsid w:val="00D50C8C"/>
    <w:rsid w:val="00D52393"/>
    <w:rsid w:val="00D523E4"/>
    <w:rsid w:val="00D5279D"/>
    <w:rsid w:val="00D52A1B"/>
    <w:rsid w:val="00D53F14"/>
    <w:rsid w:val="00D54BE4"/>
    <w:rsid w:val="00D57FB1"/>
    <w:rsid w:val="00D60483"/>
    <w:rsid w:val="00D61ABB"/>
    <w:rsid w:val="00D63577"/>
    <w:rsid w:val="00D6509A"/>
    <w:rsid w:val="00D67FD7"/>
    <w:rsid w:val="00D74261"/>
    <w:rsid w:val="00D7441B"/>
    <w:rsid w:val="00D76AB2"/>
    <w:rsid w:val="00D80490"/>
    <w:rsid w:val="00D829AD"/>
    <w:rsid w:val="00D82EE2"/>
    <w:rsid w:val="00D8545C"/>
    <w:rsid w:val="00D86601"/>
    <w:rsid w:val="00D87788"/>
    <w:rsid w:val="00D877C8"/>
    <w:rsid w:val="00D910C2"/>
    <w:rsid w:val="00D9168C"/>
    <w:rsid w:val="00D9189B"/>
    <w:rsid w:val="00D91DA6"/>
    <w:rsid w:val="00D9706F"/>
    <w:rsid w:val="00D972D4"/>
    <w:rsid w:val="00DA195B"/>
    <w:rsid w:val="00DA6B55"/>
    <w:rsid w:val="00DB0015"/>
    <w:rsid w:val="00DB2AAD"/>
    <w:rsid w:val="00DB55A8"/>
    <w:rsid w:val="00DB618E"/>
    <w:rsid w:val="00DB626D"/>
    <w:rsid w:val="00DB6365"/>
    <w:rsid w:val="00DC0BF1"/>
    <w:rsid w:val="00DC41C3"/>
    <w:rsid w:val="00DD1C0D"/>
    <w:rsid w:val="00DD20DF"/>
    <w:rsid w:val="00DD27F5"/>
    <w:rsid w:val="00DD3593"/>
    <w:rsid w:val="00DE0C67"/>
    <w:rsid w:val="00DE37AA"/>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2C9D"/>
    <w:rsid w:val="00E251C7"/>
    <w:rsid w:val="00E2536E"/>
    <w:rsid w:val="00E25B8A"/>
    <w:rsid w:val="00E25FCC"/>
    <w:rsid w:val="00E2632B"/>
    <w:rsid w:val="00E322F7"/>
    <w:rsid w:val="00E3369B"/>
    <w:rsid w:val="00E34728"/>
    <w:rsid w:val="00E35ABF"/>
    <w:rsid w:val="00E36D76"/>
    <w:rsid w:val="00E405EA"/>
    <w:rsid w:val="00E408B7"/>
    <w:rsid w:val="00E41637"/>
    <w:rsid w:val="00E42789"/>
    <w:rsid w:val="00E43F59"/>
    <w:rsid w:val="00E464F0"/>
    <w:rsid w:val="00E50BEB"/>
    <w:rsid w:val="00E52562"/>
    <w:rsid w:val="00E533FB"/>
    <w:rsid w:val="00E548FA"/>
    <w:rsid w:val="00E6092F"/>
    <w:rsid w:val="00E62049"/>
    <w:rsid w:val="00E625CA"/>
    <w:rsid w:val="00E629DA"/>
    <w:rsid w:val="00E6469F"/>
    <w:rsid w:val="00E67FAC"/>
    <w:rsid w:val="00E7200B"/>
    <w:rsid w:val="00E738CB"/>
    <w:rsid w:val="00E73C88"/>
    <w:rsid w:val="00E74437"/>
    <w:rsid w:val="00E7443D"/>
    <w:rsid w:val="00E76E01"/>
    <w:rsid w:val="00E81C3E"/>
    <w:rsid w:val="00E82353"/>
    <w:rsid w:val="00E82B6D"/>
    <w:rsid w:val="00E84058"/>
    <w:rsid w:val="00E84758"/>
    <w:rsid w:val="00EA0BDC"/>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C5BCF"/>
    <w:rsid w:val="00EC76B5"/>
    <w:rsid w:val="00ED0445"/>
    <w:rsid w:val="00ED12F0"/>
    <w:rsid w:val="00ED4773"/>
    <w:rsid w:val="00ED664B"/>
    <w:rsid w:val="00ED6A61"/>
    <w:rsid w:val="00EE03BB"/>
    <w:rsid w:val="00EE0B44"/>
    <w:rsid w:val="00EE1218"/>
    <w:rsid w:val="00EE6FE0"/>
    <w:rsid w:val="00EE704A"/>
    <w:rsid w:val="00EE7840"/>
    <w:rsid w:val="00EF4C74"/>
    <w:rsid w:val="00EF5268"/>
    <w:rsid w:val="00EF608E"/>
    <w:rsid w:val="00EF7EE4"/>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8A9"/>
    <w:rsid w:val="00F34E08"/>
    <w:rsid w:val="00F3732C"/>
    <w:rsid w:val="00F41D91"/>
    <w:rsid w:val="00F42363"/>
    <w:rsid w:val="00F46964"/>
    <w:rsid w:val="00F46F9A"/>
    <w:rsid w:val="00F5126A"/>
    <w:rsid w:val="00F6636A"/>
    <w:rsid w:val="00F667C5"/>
    <w:rsid w:val="00F67914"/>
    <w:rsid w:val="00F67E31"/>
    <w:rsid w:val="00F718A8"/>
    <w:rsid w:val="00F72183"/>
    <w:rsid w:val="00F72C70"/>
    <w:rsid w:val="00F76D01"/>
    <w:rsid w:val="00F81C35"/>
    <w:rsid w:val="00F82981"/>
    <w:rsid w:val="00F8311F"/>
    <w:rsid w:val="00F83248"/>
    <w:rsid w:val="00F83376"/>
    <w:rsid w:val="00F853AE"/>
    <w:rsid w:val="00F92CD3"/>
    <w:rsid w:val="00F93C74"/>
    <w:rsid w:val="00F93DCC"/>
    <w:rsid w:val="00F9435D"/>
    <w:rsid w:val="00F96831"/>
    <w:rsid w:val="00F97740"/>
    <w:rsid w:val="00FA2F7B"/>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E597A"/>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6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84948818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89257520">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5058-177B-4F13-B349-99F7FEFD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2011-01-14T16:19:00Z</cp:lastPrinted>
  <dcterms:created xsi:type="dcterms:W3CDTF">2012-03-06T20:40:00Z</dcterms:created>
  <dcterms:modified xsi:type="dcterms:W3CDTF">2012-03-06T20:40:00Z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