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E57583">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NAME: </w:t>
      </w:r>
      <w:r w:rsidR="00E57583">
        <w:rPr>
          <w:rFonts w:asciiTheme="minorHAnsi" w:hAnsiTheme="minorHAnsi"/>
          <w:caps/>
          <w:color w:val="auto"/>
        </w:rPr>
        <w:t xml:space="preserve"> </w:t>
      </w:r>
      <w:r w:rsidR="00F82B3C">
        <w:rPr>
          <w:rFonts w:asciiTheme="minorHAnsi" w:hAnsiTheme="minorHAnsi"/>
          <w:caps/>
          <w:color w:val="auto"/>
        </w:rPr>
        <w:t>XXXXXXXXXXXXXXX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E57583">
        <w:rPr>
          <w:rFonts w:asciiTheme="minorHAnsi" w:hAnsiTheme="minorHAnsi"/>
          <w:caps/>
          <w:color w:val="auto"/>
        </w:rPr>
        <w:t xml:space="preserve">          </w:t>
      </w:r>
      <w:r>
        <w:rPr>
          <w:rFonts w:asciiTheme="minorHAnsi" w:hAnsiTheme="minorHAnsi"/>
          <w:caps/>
          <w:color w:val="auto"/>
        </w:rPr>
        <w:t xml:space="preserve">BRANCH OF SERVICE: </w:t>
      </w:r>
      <w:r w:rsidR="00E57583">
        <w:rPr>
          <w:rFonts w:asciiTheme="minorHAnsi" w:hAnsiTheme="minorHAnsi"/>
          <w:caps/>
          <w:color w:val="auto"/>
        </w:rPr>
        <w:t xml:space="preserve"> </w:t>
      </w:r>
      <w:r w:rsidRPr="00D7763E">
        <w:rPr>
          <w:rFonts w:asciiTheme="minorHAnsi" w:hAnsiTheme="minorHAnsi"/>
          <w:caps/>
          <w:color w:val="auto"/>
        </w:rPr>
        <w:t>ARMY</w:t>
      </w:r>
      <w:r>
        <w:rPr>
          <w:rFonts w:asciiTheme="minorHAnsi" w:hAnsiTheme="minorHAnsi"/>
          <w:caps/>
          <w:color w:val="auto"/>
        </w:rPr>
        <w:t xml:space="preserve"> </w:t>
      </w:r>
    </w:p>
    <w:p w:rsidR="008B446D" w:rsidRDefault="008B446D" w:rsidP="00E57583">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CASE NUMBER: </w:t>
      </w:r>
      <w:r w:rsidR="00E57583">
        <w:rPr>
          <w:rFonts w:asciiTheme="minorHAnsi" w:hAnsiTheme="minorHAnsi"/>
          <w:caps/>
          <w:color w:val="auto"/>
        </w:rPr>
        <w:t xml:space="preserve"> </w:t>
      </w:r>
      <w:r>
        <w:rPr>
          <w:rFonts w:asciiTheme="minorHAnsi" w:hAnsiTheme="minorHAnsi"/>
          <w:caps/>
          <w:color w:val="auto"/>
        </w:rPr>
        <w:t>PD</w:t>
      </w:r>
      <w:r w:rsidR="00D7763E">
        <w:rPr>
          <w:rFonts w:asciiTheme="minorHAnsi" w:hAnsiTheme="minorHAnsi"/>
          <w:caps/>
          <w:color w:val="auto"/>
        </w:rPr>
        <w:t>201000132</w:t>
      </w:r>
      <w:r w:rsidR="003507D7">
        <w:rPr>
          <w:rFonts w:asciiTheme="minorHAnsi" w:hAnsiTheme="minorHAnsi"/>
          <w:caps/>
          <w:color w:val="auto"/>
        </w:rPr>
        <w:tab/>
      </w:r>
      <w:r w:rsidR="003507D7">
        <w:rPr>
          <w:rFonts w:asciiTheme="minorHAnsi" w:hAnsiTheme="minorHAnsi"/>
          <w:caps/>
          <w:color w:val="auto"/>
        </w:rPr>
        <w:tab/>
      </w:r>
      <w:r w:rsidR="003507D7">
        <w:rPr>
          <w:rFonts w:asciiTheme="minorHAnsi" w:hAnsiTheme="minorHAnsi"/>
          <w:caps/>
          <w:color w:val="auto"/>
        </w:rPr>
        <w:tab/>
      </w:r>
      <w:r w:rsidR="00E57583">
        <w:rPr>
          <w:rFonts w:asciiTheme="minorHAnsi" w:hAnsiTheme="minorHAnsi"/>
          <w:caps/>
          <w:color w:val="auto"/>
        </w:rPr>
        <w:t xml:space="preserve">           </w:t>
      </w:r>
      <w:r w:rsidR="003507D7">
        <w:rPr>
          <w:rFonts w:asciiTheme="minorHAnsi" w:hAnsiTheme="minorHAnsi"/>
          <w:caps/>
          <w:color w:val="auto"/>
        </w:rPr>
        <w:t xml:space="preserve">SEPARATION DATE: </w:t>
      </w:r>
      <w:r w:rsidR="00E57583">
        <w:rPr>
          <w:rFonts w:asciiTheme="minorHAnsi" w:hAnsiTheme="minorHAnsi"/>
          <w:caps/>
          <w:color w:val="auto"/>
        </w:rPr>
        <w:t xml:space="preserve"> </w:t>
      </w:r>
      <w:r w:rsidR="00796384" w:rsidRPr="003507D7">
        <w:rPr>
          <w:rFonts w:asciiTheme="minorHAnsi" w:hAnsiTheme="minorHAnsi"/>
          <w:caps/>
          <w:color w:val="auto"/>
        </w:rPr>
        <w:t>20041020</w:t>
      </w:r>
    </w:p>
    <w:p w:rsidR="00104F6B" w:rsidRPr="00E57583" w:rsidRDefault="00203B01" w:rsidP="00104F6B">
      <w:pPr>
        <w:tabs>
          <w:tab w:val="left" w:pos="288"/>
          <w:tab w:val="left" w:pos="5130"/>
        </w:tabs>
        <w:spacing w:line="240" w:lineRule="exact"/>
        <w:jc w:val="both"/>
        <w:rPr>
          <w:rFonts w:asciiTheme="minorHAnsi" w:hAnsiTheme="minorHAnsi"/>
          <w:color w:val="auto"/>
        </w:rPr>
      </w:pPr>
      <w:r>
        <w:rPr>
          <w:rFonts w:asciiTheme="minorHAnsi" w:hAnsiTheme="minorHAnsi"/>
          <w:caps/>
          <w:color w:val="auto"/>
        </w:rPr>
        <w:t xml:space="preserve">BOARD DATE: </w:t>
      </w:r>
      <w:r w:rsidR="00E57583">
        <w:rPr>
          <w:rFonts w:asciiTheme="minorHAnsi" w:hAnsiTheme="minorHAnsi"/>
          <w:caps/>
          <w:color w:val="auto"/>
        </w:rPr>
        <w:t xml:space="preserve"> </w:t>
      </w:r>
      <w:r>
        <w:rPr>
          <w:rFonts w:asciiTheme="minorHAnsi" w:hAnsiTheme="minorHAnsi"/>
          <w:caps/>
          <w:color w:val="auto"/>
        </w:rPr>
        <w:t>2011</w:t>
      </w:r>
      <w:r w:rsidR="00B57842">
        <w:rPr>
          <w:rFonts w:asciiTheme="minorHAnsi" w:hAnsiTheme="minorHAnsi"/>
          <w:caps/>
          <w:color w:val="auto"/>
        </w:rPr>
        <w:t>051</w:t>
      </w:r>
      <w:r w:rsidR="002013F9">
        <w:rPr>
          <w:rFonts w:asciiTheme="minorHAnsi" w:hAnsiTheme="minorHAnsi"/>
          <w:caps/>
          <w:color w:val="auto"/>
        </w:rPr>
        <w:t>0</w:t>
      </w:r>
      <w:r w:rsidR="00104F6B" w:rsidRPr="00104F6B">
        <w:rPr>
          <w:rFonts w:asciiTheme="minorHAnsi" w:hAnsiTheme="minorHAnsi"/>
          <w:caps/>
          <w:color w:val="auto"/>
        </w:rPr>
        <w:t xml:space="preserve"> </w:t>
      </w:r>
      <w:r w:rsidR="00412549">
        <w:rPr>
          <w:rFonts w:asciiTheme="minorHAnsi" w:hAnsiTheme="minorHAnsi"/>
          <w:caps/>
          <w:color w:val="auto"/>
        </w:rPr>
        <w:t xml:space="preserve"> </w:t>
      </w:r>
      <w:r w:rsidR="00104F6B">
        <w:rPr>
          <w:rFonts w:asciiTheme="minorHAnsi" w:hAnsiTheme="minorHAnsi"/>
          <w:caps/>
          <w:color w:val="auto"/>
        </w:rPr>
        <w:t xml:space="preserve">  </w:t>
      </w:r>
    </w:p>
    <w:p w:rsidR="00E57583" w:rsidRPr="00E57583" w:rsidRDefault="00E57583" w:rsidP="00E57583">
      <w:pPr>
        <w:pBdr>
          <w:bottom w:val="single" w:sz="12" w:space="1" w:color="auto"/>
        </w:pBdr>
        <w:tabs>
          <w:tab w:val="left" w:pos="288"/>
          <w:tab w:val="left" w:pos="4752"/>
        </w:tabs>
        <w:spacing w:line="240" w:lineRule="exact"/>
        <w:jc w:val="both"/>
        <w:rPr>
          <w:rFonts w:asciiTheme="minorHAnsi" w:hAnsiTheme="minorHAnsi"/>
          <w:color w:val="auto"/>
          <w:u w:val="single"/>
        </w:rPr>
      </w:pPr>
    </w:p>
    <w:p w:rsidR="00E57583" w:rsidRPr="00E57583" w:rsidRDefault="00E57583" w:rsidP="00E57583">
      <w:pPr>
        <w:tabs>
          <w:tab w:val="left" w:pos="288"/>
          <w:tab w:val="left" w:pos="4752"/>
        </w:tabs>
        <w:spacing w:line="240" w:lineRule="exact"/>
        <w:jc w:val="both"/>
        <w:rPr>
          <w:rFonts w:asciiTheme="minorHAnsi" w:hAnsiTheme="minorHAnsi"/>
          <w:color w:val="auto"/>
        </w:rPr>
      </w:pPr>
    </w:p>
    <w:p w:rsidR="00416C8E" w:rsidRPr="00416C8E" w:rsidRDefault="002C6E5B" w:rsidP="00416C8E">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203B01" w:rsidRPr="00EC337D">
        <w:rPr>
          <w:rFonts w:asciiTheme="minorHAnsi" w:hAnsiTheme="minorHAnsi"/>
          <w:color w:val="auto"/>
        </w:rPr>
        <w:t>Data extracted from the available evidence of record reflects that this</w:t>
      </w:r>
      <w:r w:rsidRPr="00396779">
        <w:rPr>
          <w:rFonts w:asciiTheme="minorHAnsi" w:hAnsiTheme="minorHAnsi"/>
          <w:color w:val="auto"/>
          <w:szCs w:val="24"/>
        </w:rPr>
        <w:t xml:space="preserve"> covered individual (CI) was </w:t>
      </w:r>
      <w:r w:rsidR="00E322F7" w:rsidRPr="00396779">
        <w:rPr>
          <w:rFonts w:asciiTheme="minorHAnsi" w:hAnsiTheme="minorHAnsi"/>
          <w:color w:val="auto"/>
          <w:szCs w:val="24"/>
        </w:rPr>
        <w:t xml:space="preserve">an </w:t>
      </w:r>
      <w:r w:rsidR="001C0E73">
        <w:rPr>
          <w:rFonts w:asciiTheme="minorHAnsi" w:hAnsiTheme="minorHAnsi"/>
          <w:color w:val="auto"/>
          <w:szCs w:val="24"/>
        </w:rPr>
        <w:t xml:space="preserve">Army </w:t>
      </w:r>
      <w:r w:rsidR="006D4E0E" w:rsidRPr="001C0E73">
        <w:rPr>
          <w:rFonts w:asciiTheme="minorHAnsi" w:hAnsiTheme="minorHAnsi"/>
          <w:color w:val="auto"/>
          <w:szCs w:val="24"/>
        </w:rPr>
        <w:t xml:space="preserve">National Guard </w:t>
      </w:r>
      <w:r w:rsidR="000027C2" w:rsidRPr="001C0E73">
        <w:rPr>
          <w:rFonts w:asciiTheme="minorHAnsi" w:hAnsiTheme="minorHAnsi"/>
          <w:color w:val="auto"/>
          <w:szCs w:val="24"/>
        </w:rPr>
        <w:t>SGT</w:t>
      </w:r>
      <w:r w:rsidR="00FD3A65">
        <w:rPr>
          <w:rFonts w:asciiTheme="minorHAnsi" w:hAnsiTheme="minorHAnsi"/>
          <w:color w:val="auto"/>
          <w:szCs w:val="24"/>
        </w:rPr>
        <w:t>/E-5</w:t>
      </w:r>
      <w:r w:rsidR="00705C40" w:rsidRPr="001C0E73">
        <w:rPr>
          <w:rFonts w:asciiTheme="minorHAnsi" w:hAnsiTheme="minorHAnsi"/>
          <w:color w:val="auto"/>
          <w:szCs w:val="24"/>
        </w:rPr>
        <w:t xml:space="preserve"> (</w:t>
      </w:r>
      <w:r w:rsidR="000027C2" w:rsidRPr="001C0E73">
        <w:rPr>
          <w:rFonts w:asciiTheme="minorHAnsi" w:hAnsiTheme="minorHAnsi"/>
          <w:color w:val="auto"/>
          <w:szCs w:val="24"/>
        </w:rPr>
        <w:t>31U</w:t>
      </w:r>
      <w:r w:rsidR="00E322F7" w:rsidRPr="001C0E73">
        <w:rPr>
          <w:rFonts w:asciiTheme="minorHAnsi" w:hAnsiTheme="minorHAnsi"/>
          <w:color w:val="auto"/>
          <w:szCs w:val="24"/>
        </w:rPr>
        <w:t xml:space="preserve">, </w:t>
      </w:r>
      <w:r w:rsidR="001C0E73" w:rsidRPr="001C0E73">
        <w:rPr>
          <w:rFonts w:asciiTheme="minorHAnsi" w:hAnsiTheme="minorHAnsi"/>
          <w:color w:val="auto"/>
          <w:szCs w:val="24"/>
        </w:rPr>
        <w:t>Signal Support Systems</w:t>
      </w:r>
      <w:r w:rsidR="00E322F7" w:rsidRPr="001C0E73">
        <w:rPr>
          <w:rFonts w:asciiTheme="minorHAnsi" w:hAnsiTheme="minorHAnsi"/>
          <w:color w:val="auto"/>
          <w:szCs w:val="24"/>
        </w:rPr>
        <w:t xml:space="preserve">) </w:t>
      </w:r>
      <w:r w:rsidRPr="001C0E73">
        <w:rPr>
          <w:rFonts w:asciiTheme="minorHAnsi" w:hAnsiTheme="minorHAnsi"/>
          <w:color w:val="auto"/>
          <w:szCs w:val="24"/>
        </w:rPr>
        <w:t xml:space="preserve">medically </w:t>
      </w:r>
      <w:r w:rsidRPr="008F67F9">
        <w:rPr>
          <w:rFonts w:asciiTheme="minorHAnsi" w:hAnsiTheme="minorHAnsi"/>
          <w:color w:val="auto"/>
          <w:szCs w:val="24"/>
        </w:rPr>
        <w:t xml:space="preserve">separated from the </w:t>
      </w:r>
      <w:r w:rsidR="001C0E73" w:rsidRPr="008F67F9">
        <w:rPr>
          <w:rFonts w:asciiTheme="minorHAnsi" w:hAnsiTheme="minorHAnsi"/>
          <w:color w:val="auto"/>
          <w:szCs w:val="24"/>
        </w:rPr>
        <w:t>Army</w:t>
      </w:r>
      <w:r w:rsidRPr="008F67F9">
        <w:rPr>
          <w:rFonts w:asciiTheme="minorHAnsi" w:hAnsiTheme="minorHAnsi"/>
          <w:color w:val="auto"/>
          <w:szCs w:val="24"/>
        </w:rPr>
        <w:t xml:space="preserve"> in 200</w:t>
      </w:r>
      <w:r w:rsidR="001C0E73" w:rsidRPr="008F67F9">
        <w:rPr>
          <w:rFonts w:asciiTheme="minorHAnsi" w:hAnsiTheme="minorHAnsi"/>
          <w:color w:val="auto"/>
          <w:szCs w:val="24"/>
        </w:rPr>
        <w:t>4</w:t>
      </w:r>
      <w:r w:rsidR="00421337" w:rsidRPr="008F67F9">
        <w:rPr>
          <w:rFonts w:asciiTheme="minorHAnsi" w:hAnsiTheme="minorHAnsi"/>
          <w:color w:val="auto"/>
          <w:szCs w:val="24"/>
        </w:rPr>
        <w:t>.</w:t>
      </w:r>
      <w:r w:rsidRPr="008F67F9">
        <w:rPr>
          <w:rFonts w:asciiTheme="minorHAnsi" w:hAnsiTheme="minorHAnsi"/>
          <w:color w:val="auto"/>
          <w:szCs w:val="24"/>
        </w:rPr>
        <w:t xml:space="preserve">  The medical basis for the </w:t>
      </w:r>
      <w:r w:rsidR="001C0E73" w:rsidRPr="008F67F9">
        <w:rPr>
          <w:rFonts w:asciiTheme="minorHAnsi" w:hAnsiTheme="minorHAnsi"/>
          <w:color w:val="auto"/>
          <w:szCs w:val="24"/>
        </w:rPr>
        <w:t>s</w:t>
      </w:r>
      <w:r w:rsidRPr="008F67F9">
        <w:rPr>
          <w:rFonts w:asciiTheme="minorHAnsi" w:hAnsiTheme="minorHAnsi"/>
          <w:color w:val="auto"/>
          <w:szCs w:val="24"/>
        </w:rPr>
        <w:t xml:space="preserve">eparation was </w:t>
      </w:r>
      <w:r w:rsidR="00D63F3F" w:rsidRPr="008F67F9">
        <w:rPr>
          <w:rFonts w:asciiTheme="minorHAnsi" w:hAnsiTheme="minorHAnsi"/>
          <w:color w:val="auto"/>
          <w:szCs w:val="24"/>
        </w:rPr>
        <w:t>chronic right groin pain</w:t>
      </w:r>
      <w:r w:rsidR="003936B6" w:rsidRPr="008F67F9">
        <w:rPr>
          <w:rFonts w:asciiTheme="minorHAnsi" w:hAnsiTheme="minorHAnsi"/>
          <w:color w:val="auto"/>
          <w:szCs w:val="24"/>
        </w:rPr>
        <w:t xml:space="preserve">.  The pain was a persistent complaint after a right inguinal repair </w:t>
      </w:r>
      <w:r w:rsidR="0093540C" w:rsidRPr="008F67F9">
        <w:rPr>
          <w:rFonts w:asciiTheme="minorHAnsi" w:hAnsiTheme="minorHAnsi"/>
          <w:color w:val="auto"/>
          <w:szCs w:val="24"/>
        </w:rPr>
        <w:t>(by Service) in 2002.  The CI underwent a subsequent surgical exploration and revision, as well as an ilioinguinal neurectomy, in attempts to provide surgical remedy</w:t>
      </w:r>
      <w:r w:rsidR="00D63F3F" w:rsidRPr="008F67F9">
        <w:rPr>
          <w:rFonts w:asciiTheme="minorHAnsi" w:hAnsiTheme="minorHAnsi"/>
          <w:color w:val="auto"/>
          <w:szCs w:val="24"/>
        </w:rPr>
        <w:t>.</w:t>
      </w:r>
      <w:r w:rsidR="001C0E73" w:rsidRPr="00412549">
        <w:rPr>
          <w:rFonts w:asciiTheme="minorHAnsi" w:hAnsiTheme="minorHAnsi"/>
          <w:color w:val="auto"/>
          <w:szCs w:val="24"/>
        </w:rPr>
        <w:t xml:space="preserve">  </w:t>
      </w:r>
      <w:r w:rsidR="00203B01" w:rsidRPr="00412549">
        <w:rPr>
          <w:rFonts w:asciiTheme="minorHAnsi" w:hAnsiTheme="minorHAnsi"/>
          <w:color w:val="auto"/>
          <w:szCs w:val="24"/>
        </w:rPr>
        <w:t xml:space="preserve">Despite </w:t>
      </w:r>
      <w:r w:rsidR="0093540C">
        <w:rPr>
          <w:rFonts w:asciiTheme="minorHAnsi" w:hAnsiTheme="minorHAnsi"/>
          <w:color w:val="auto"/>
          <w:szCs w:val="24"/>
        </w:rPr>
        <w:t>these interventions</w:t>
      </w:r>
      <w:r w:rsidR="00203B01" w:rsidRPr="00412549">
        <w:rPr>
          <w:rFonts w:asciiTheme="minorHAnsi" w:hAnsiTheme="minorHAnsi"/>
          <w:color w:val="auto"/>
          <w:szCs w:val="24"/>
        </w:rPr>
        <w:t>, rehabilitation and medications, h</w:t>
      </w:r>
      <w:r w:rsidR="00E322F7" w:rsidRPr="00412549">
        <w:rPr>
          <w:rFonts w:asciiTheme="minorHAnsi" w:hAnsiTheme="minorHAnsi"/>
          <w:color w:val="auto"/>
          <w:szCs w:val="24"/>
        </w:rPr>
        <w:t xml:space="preserve">e did not respond adequately to perform within his </w:t>
      </w:r>
      <w:r w:rsidR="00D63F3F" w:rsidRPr="00412549">
        <w:rPr>
          <w:rFonts w:asciiTheme="minorHAnsi" w:hAnsiTheme="minorHAnsi"/>
          <w:color w:val="auto"/>
          <w:szCs w:val="24"/>
        </w:rPr>
        <w:t xml:space="preserve">Military Occupational Specialty </w:t>
      </w:r>
      <w:r w:rsidR="009F4366" w:rsidRPr="00412549">
        <w:rPr>
          <w:rFonts w:asciiTheme="minorHAnsi" w:hAnsiTheme="minorHAnsi"/>
          <w:color w:val="auto"/>
          <w:szCs w:val="24"/>
        </w:rPr>
        <w:t xml:space="preserve">(MOS) </w:t>
      </w:r>
      <w:r w:rsidR="00E322F7" w:rsidRPr="00412549">
        <w:rPr>
          <w:rFonts w:asciiTheme="minorHAnsi" w:hAnsiTheme="minorHAnsi"/>
          <w:color w:val="auto"/>
          <w:szCs w:val="24"/>
        </w:rPr>
        <w:t xml:space="preserve">or </w:t>
      </w:r>
      <w:r w:rsidR="000023A2" w:rsidRPr="00412549">
        <w:rPr>
          <w:rFonts w:asciiTheme="minorHAnsi" w:hAnsiTheme="minorHAnsi"/>
          <w:color w:val="auto"/>
          <w:szCs w:val="24"/>
        </w:rPr>
        <w:t xml:space="preserve">meet </w:t>
      </w:r>
      <w:r w:rsidR="003A40B4" w:rsidRPr="00412549">
        <w:rPr>
          <w:rFonts w:asciiTheme="minorHAnsi" w:hAnsiTheme="minorHAnsi"/>
          <w:color w:val="auto"/>
          <w:szCs w:val="24"/>
        </w:rPr>
        <w:t xml:space="preserve">physical fitness </w:t>
      </w:r>
      <w:r w:rsidR="000023A2" w:rsidRPr="00412549">
        <w:rPr>
          <w:rFonts w:asciiTheme="minorHAnsi" w:hAnsiTheme="minorHAnsi"/>
          <w:color w:val="auto"/>
          <w:szCs w:val="24"/>
        </w:rPr>
        <w:t>standards</w:t>
      </w:r>
      <w:r w:rsidR="00203B01" w:rsidRPr="00412549">
        <w:rPr>
          <w:rFonts w:asciiTheme="minorHAnsi" w:hAnsiTheme="minorHAnsi"/>
          <w:color w:val="auto"/>
          <w:szCs w:val="24"/>
        </w:rPr>
        <w:t xml:space="preserve">.  He </w:t>
      </w:r>
      <w:r w:rsidR="00E322F7" w:rsidRPr="00412549">
        <w:rPr>
          <w:rFonts w:asciiTheme="minorHAnsi" w:hAnsiTheme="minorHAnsi"/>
          <w:color w:val="auto"/>
          <w:szCs w:val="24"/>
        </w:rPr>
        <w:t xml:space="preserve">was </w:t>
      </w:r>
      <w:r w:rsidR="0093540C">
        <w:rPr>
          <w:rFonts w:asciiTheme="minorHAnsi" w:hAnsiTheme="minorHAnsi"/>
          <w:color w:val="auto"/>
          <w:szCs w:val="24"/>
        </w:rPr>
        <w:t xml:space="preserve">consequently </w:t>
      </w:r>
      <w:r w:rsidR="00E322F7" w:rsidRPr="00412549">
        <w:rPr>
          <w:rFonts w:asciiTheme="minorHAnsi" w:hAnsiTheme="minorHAnsi"/>
          <w:color w:val="auto"/>
          <w:szCs w:val="24"/>
        </w:rPr>
        <w:t xml:space="preserve">issued a </w:t>
      </w:r>
      <w:r w:rsidR="008166E9" w:rsidRPr="00412549">
        <w:rPr>
          <w:rFonts w:asciiTheme="minorHAnsi" w:hAnsiTheme="minorHAnsi"/>
          <w:color w:val="auto"/>
          <w:szCs w:val="24"/>
        </w:rPr>
        <w:t>p</w:t>
      </w:r>
      <w:r w:rsidR="00E322F7" w:rsidRPr="00412549">
        <w:rPr>
          <w:rFonts w:asciiTheme="minorHAnsi" w:hAnsiTheme="minorHAnsi"/>
          <w:color w:val="auto"/>
          <w:szCs w:val="24"/>
        </w:rPr>
        <w:t xml:space="preserve">ermanent </w:t>
      </w:r>
      <w:r w:rsidR="008166E9" w:rsidRPr="00412549">
        <w:rPr>
          <w:rFonts w:asciiTheme="minorHAnsi" w:hAnsiTheme="minorHAnsi"/>
          <w:color w:val="auto"/>
          <w:szCs w:val="24"/>
        </w:rPr>
        <w:t>P</w:t>
      </w:r>
      <w:r w:rsidR="00E322F7" w:rsidRPr="00412549">
        <w:rPr>
          <w:rFonts w:asciiTheme="minorHAnsi" w:hAnsiTheme="minorHAnsi"/>
          <w:color w:val="auto"/>
          <w:szCs w:val="24"/>
        </w:rPr>
        <w:t xml:space="preserve">3 profile and </w:t>
      </w:r>
      <w:r w:rsidR="0093540C">
        <w:rPr>
          <w:rFonts w:asciiTheme="minorHAnsi" w:hAnsiTheme="minorHAnsi"/>
          <w:color w:val="auto"/>
          <w:szCs w:val="24"/>
        </w:rPr>
        <w:t>referred for</w:t>
      </w:r>
      <w:r w:rsidR="00E322F7" w:rsidRPr="00412549">
        <w:rPr>
          <w:rFonts w:asciiTheme="minorHAnsi" w:hAnsiTheme="minorHAnsi"/>
          <w:color w:val="auto"/>
          <w:szCs w:val="24"/>
        </w:rPr>
        <w:t xml:space="preserve"> a </w:t>
      </w:r>
      <w:r w:rsidR="00705C40" w:rsidRPr="00412549">
        <w:rPr>
          <w:rFonts w:asciiTheme="minorHAnsi" w:hAnsiTheme="minorHAnsi"/>
          <w:color w:val="auto"/>
          <w:szCs w:val="24"/>
        </w:rPr>
        <w:t>Medical Evaluation Board (</w:t>
      </w:r>
      <w:r w:rsidR="00E322F7" w:rsidRPr="00412549">
        <w:rPr>
          <w:rFonts w:asciiTheme="minorHAnsi" w:hAnsiTheme="minorHAnsi"/>
          <w:color w:val="auto"/>
          <w:szCs w:val="24"/>
        </w:rPr>
        <w:t>MEB</w:t>
      </w:r>
      <w:r w:rsidR="00705C40" w:rsidRPr="00412549">
        <w:rPr>
          <w:rFonts w:asciiTheme="minorHAnsi" w:hAnsiTheme="minorHAnsi"/>
          <w:color w:val="auto"/>
          <w:szCs w:val="24"/>
        </w:rPr>
        <w:t>)</w:t>
      </w:r>
      <w:r w:rsidR="00E322F7" w:rsidRPr="00412549">
        <w:rPr>
          <w:rFonts w:asciiTheme="minorHAnsi" w:hAnsiTheme="minorHAnsi"/>
          <w:color w:val="auto"/>
          <w:szCs w:val="24"/>
        </w:rPr>
        <w:t>.</w:t>
      </w:r>
      <w:r w:rsidR="001E059D" w:rsidRPr="00412549">
        <w:rPr>
          <w:rFonts w:asciiTheme="minorHAnsi" w:hAnsiTheme="minorHAnsi"/>
          <w:color w:val="auto"/>
          <w:szCs w:val="24"/>
        </w:rPr>
        <w:t xml:space="preserve">  </w:t>
      </w:r>
      <w:r w:rsidR="00201D24" w:rsidRPr="00412549">
        <w:rPr>
          <w:rFonts w:asciiTheme="minorHAnsi" w:hAnsiTheme="minorHAnsi"/>
          <w:color w:val="auto"/>
          <w:szCs w:val="24"/>
        </w:rPr>
        <w:t>Post operative neuropathic pain in the r</w:t>
      </w:r>
      <w:r w:rsidR="001E059D" w:rsidRPr="00412549">
        <w:rPr>
          <w:rFonts w:asciiTheme="minorHAnsi" w:hAnsiTheme="minorHAnsi"/>
          <w:color w:val="auto"/>
          <w:szCs w:val="24"/>
        </w:rPr>
        <w:t xml:space="preserve">ight </w:t>
      </w:r>
      <w:r w:rsidR="00201D24" w:rsidRPr="00412549">
        <w:rPr>
          <w:rFonts w:asciiTheme="minorHAnsi" w:hAnsiTheme="minorHAnsi"/>
          <w:color w:val="auto"/>
          <w:szCs w:val="24"/>
        </w:rPr>
        <w:t>g</w:t>
      </w:r>
      <w:r w:rsidR="001E059D" w:rsidRPr="00412549">
        <w:rPr>
          <w:rFonts w:asciiTheme="minorHAnsi" w:hAnsiTheme="minorHAnsi"/>
          <w:color w:val="auto"/>
          <w:szCs w:val="24"/>
        </w:rPr>
        <w:t xml:space="preserve">roin </w:t>
      </w:r>
      <w:r w:rsidR="000023A2" w:rsidRPr="00412549">
        <w:rPr>
          <w:rFonts w:asciiTheme="minorHAnsi" w:hAnsiTheme="minorHAnsi"/>
          <w:color w:val="auto"/>
          <w:szCs w:val="24"/>
        </w:rPr>
        <w:t xml:space="preserve">was </w:t>
      </w:r>
      <w:r w:rsidR="00AE5E14" w:rsidRPr="00412549">
        <w:rPr>
          <w:rFonts w:asciiTheme="minorHAnsi" w:hAnsiTheme="minorHAnsi"/>
          <w:color w:val="auto"/>
          <w:szCs w:val="24"/>
        </w:rPr>
        <w:t xml:space="preserve">forwarded to the </w:t>
      </w:r>
      <w:r w:rsidR="00B20624" w:rsidRPr="00412549">
        <w:rPr>
          <w:rFonts w:asciiTheme="minorHAnsi" w:hAnsiTheme="minorHAnsi"/>
          <w:color w:val="auto"/>
          <w:szCs w:val="24"/>
        </w:rPr>
        <w:t>Physical Evaluation Board (</w:t>
      </w:r>
      <w:r w:rsidR="00AE5E14" w:rsidRPr="00412549">
        <w:rPr>
          <w:rFonts w:asciiTheme="minorHAnsi" w:hAnsiTheme="minorHAnsi"/>
          <w:color w:val="auto"/>
          <w:szCs w:val="24"/>
        </w:rPr>
        <w:t>PEB</w:t>
      </w:r>
      <w:r w:rsidR="00B20624" w:rsidRPr="00412549">
        <w:rPr>
          <w:rFonts w:asciiTheme="minorHAnsi" w:hAnsiTheme="minorHAnsi"/>
          <w:color w:val="auto"/>
          <w:szCs w:val="24"/>
        </w:rPr>
        <w:t>)</w:t>
      </w:r>
      <w:r w:rsidR="00AE5E14" w:rsidRPr="00412549">
        <w:rPr>
          <w:rFonts w:asciiTheme="minorHAnsi" w:hAnsiTheme="minorHAnsi"/>
          <w:color w:val="auto"/>
          <w:szCs w:val="24"/>
        </w:rPr>
        <w:t xml:space="preserve"> </w:t>
      </w:r>
      <w:r w:rsidR="009F7809" w:rsidRPr="00412549">
        <w:rPr>
          <w:rFonts w:asciiTheme="minorHAnsi" w:hAnsiTheme="minorHAnsi"/>
          <w:color w:val="auto"/>
          <w:szCs w:val="24"/>
        </w:rPr>
        <w:t xml:space="preserve">as medically </w:t>
      </w:r>
      <w:r w:rsidR="000E37E0" w:rsidRPr="00412549">
        <w:rPr>
          <w:rFonts w:asciiTheme="minorHAnsi" w:hAnsiTheme="minorHAnsi"/>
          <w:color w:val="auto"/>
          <w:szCs w:val="24"/>
        </w:rPr>
        <w:t>un</w:t>
      </w:r>
      <w:r w:rsidR="009F7809" w:rsidRPr="00412549">
        <w:rPr>
          <w:rFonts w:asciiTheme="minorHAnsi" w:hAnsiTheme="minorHAnsi"/>
          <w:color w:val="auto"/>
          <w:szCs w:val="24"/>
        </w:rPr>
        <w:t xml:space="preserve">acceptable IAW AR </w:t>
      </w:r>
      <w:r w:rsidR="00AE5E14" w:rsidRPr="00412549">
        <w:rPr>
          <w:rFonts w:asciiTheme="minorHAnsi" w:hAnsiTheme="minorHAnsi"/>
          <w:color w:val="auto"/>
          <w:szCs w:val="24"/>
        </w:rPr>
        <w:t>40-501</w:t>
      </w:r>
      <w:r w:rsidR="001E059D" w:rsidRPr="00412549">
        <w:rPr>
          <w:rFonts w:asciiTheme="minorHAnsi" w:hAnsiTheme="minorHAnsi"/>
          <w:color w:val="auto"/>
          <w:szCs w:val="24"/>
        </w:rPr>
        <w:t xml:space="preserve">.  No other conditions </w:t>
      </w:r>
      <w:r w:rsidR="00203B01" w:rsidRPr="00412549">
        <w:rPr>
          <w:rFonts w:asciiTheme="minorHAnsi" w:hAnsiTheme="minorHAnsi"/>
          <w:color w:val="auto"/>
          <w:szCs w:val="24"/>
        </w:rPr>
        <w:t>were</w:t>
      </w:r>
      <w:r w:rsidR="001E059D" w:rsidRPr="00412549">
        <w:rPr>
          <w:rFonts w:asciiTheme="minorHAnsi" w:hAnsiTheme="minorHAnsi"/>
          <w:color w:val="auto"/>
          <w:szCs w:val="24"/>
        </w:rPr>
        <w:t xml:space="preserve"> </w:t>
      </w:r>
      <w:r w:rsidR="0093540C">
        <w:rPr>
          <w:rFonts w:asciiTheme="minorHAnsi" w:hAnsiTheme="minorHAnsi"/>
          <w:color w:val="auto"/>
          <w:szCs w:val="24"/>
        </w:rPr>
        <w:t xml:space="preserve">listed </w:t>
      </w:r>
      <w:r w:rsidR="001E059D" w:rsidRPr="00412549">
        <w:rPr>
          <w:rFonts w:asciiTheme="minorHAnsi" w:hAnsiTheme="minorHAnsi"/>
          <w:color w:val="auto"/>
          <w:szCs w:val="24"/>
        </w:rPr>
        <w:t xml:space="preserve">on the MEB’s </w:t>
      </w:r>
      <w:r w:rsidR="0093540C">
        <w:rPr>
          <w:rFonts w:asciiTheme="minorHAnsi" w:hAnsiTheme="minorHAnsi"/>
          <w:color w:val="auto"/>
          <w:szCs w:val="24"/>
        </w:rPr>
        <w:t xml:space="preserve">DA Form 3947 </w:t>
      </w:r>
      <w:r w:rsidR="001E059D" w:rsidRPr="00412549">
        <w:rPr>
          <w:rFonts w:asciiTheme="minorHAnsi" w:hAnsiTheme="minorHAnsi"/>
          <w:color w:val="auto"/>
          <w:szCs w:val="24"/>
        </w:rPr>
        <w:t xml:space="preserve">submission.  </w:t>
      </w:r>
      <w:r w:rsidR="00203B01" w:rsidRPr="00412549">
        <w:rPr>
          <w:rFonts w:asciiTheme="minorHAnsi" w:hAnsiTheme="minorHAnsi"/>
          <w:color w:val="auto"/>
          <w:szCs w:val="24"/>
        </w:rPr>
        <w:t>Other</w:t>
      </w:r>
      <w:r w:rsidR="00694EEA" w:rsidRPr="00412549">
        <w:rPr>
          <w:rFonts w:asciiTheme="minorHAnsi" w:hAnsiTheme="minorHAnsi"/>
          <w:color w:val="auto"/>
          <w:szCs w:val="24"/>
        </w:rPr>
        <w:t xml:space="preserve"> conditions </w:t>
      </w:r>
      <w:r w:rsidR="00203B01" w:rsidRPr="00412549">
        <w:rPr>
          <w:rFonts w:asciiTheme="minorHAnsi" w:hAnsiTheme="minorHAnsi"/>
          <w:color w:val="auto"/>
          <w:szCs w:val="24"/>
        </w:rPr>
        <w:t>included</w:t>
      </w:r>
      <w:r w:rsidR="00694EEA" w:rsidRPr="00412549">
        <w:rPr>
          <w:rFonts w:asciiTheme="minorHAnsi" w:hAnsiTheme="minorHAnsi"/>
          <w:color w:val="auto"/>
          <w:szCs w:val="24"/>
        </w:rPr>
        <w:t xml:space="preserve"> in the </w:t>
      </w:r>
      <w:r w:rsidR="00AC2177">
        <w:rPr>
          <w:rFonts w:asciiTheme="minorHAnsi" w:hAnsiTheme="minorHAnsi"/>
          <w:color w:val="auto"/>
          <w:szCs w:val="24"/>
        </w:rPr>
        <w:t xml:space="preserve">narrative summary (NARSUM) and </w:t>
      </w:r>
      <w:r w:rsidR="00705C40" w:rsidRPr="00412549">
        <w:rPr>
          <w:rFonts w:asciiTheme="minorHAnsi" w:hAnsiTheme="minorHAnsi"/>
          <w:color w:val="auto"/>
          <w:szCs w:val="24"/>
        </w:rPr>
        <w:t>Disability Evaluation System (</w:t>
      </w:r>
      <w:r w:rsidR="00694EEA" w:rsidRPr="00412549">
        <w:rPr>
          <w:rFonts w:asciiTheme="minorHAnsi" w:hAnsiTheme="minorHAnsi"/>
          <w:color w:val="auto"/>
          <w:szCs w:val="24"/>
        </w:rPr>
        <w:t>DES</w:t>
      </w:r>
      <w:r w:rsidR="00705C40" w:rsidRPr="00412549">
        <w:rPr>
          <w:rFonts w:asciiTheme="minorHAnsi" w:hAnsiTheme="minorHAnsi"/>
          <w:color w:val="auto"/>
          <w:szCs w:val="24"/>
        </w:rPr>
        <w:t xml:space="preserve">) </w:t>
      </w:r>
      <w:r w:rsidR="0093540C">
        <w:rPr>
          <w:rFonts w:asciiTheme="minorHAnsi" w:hAnsiTheme="minorHAnsi"/>
          <w:color w:val="auto"/>
          <w:szCs w:val="24"/>
        </w:rPr>
        <w:t>file</w:t>
      </w:r>
      <w:r w:rsidR="00694EEA" w:rsidRPr="00412549">
        <w:rPr>
          <w:rFonts w:asciiTheme="minorHAnsi" w:hAnsiTheme="minorHAnsi"/>
          <w:color w:val="auto"/>
          <w:szCs w:val="24"/>
        </w:rPr>
        <w:t xml:space="preserve"> are </w:t>
      </w:r>
      <w:r w:rsidR="0093540C">
        <w:rPr>
          <w:rFonts w:asciiTheme="minorHAnsi" w:hAnsiTheme="minorHAnsi"/>
          <w:color w:val="auto"/>
          <w:szCs w:val="24"/>
        </w:rPr>
        <w:t>addressed</w:t>
      </w:r>
      <w:r w:rsidR="00694EEA" w:rsidRPr="00412549">
        <w:rPr>
          <w:rFonts w:asciiTheme="minorHAnsi" w:hAnsiTheme="minorHAnsi"/>
          <w:color w:val="auto"/>
          <w:szCs w:val="24"/>
        </w:rPr>
        <w:t xml:space="preserve"> below</w:t>
      </w:r>
      <w:r w:rsidR="008435F7" w:rsidRPr="00412549">
        <w:rPr>
          <w:rFonts w:asciiTheme="minorHAnsi" w:hAnsiTheme="minorHAnsi"/>
          <w:color w:val="auto"/>
          <w:szCs w:val="24"/>
        </w:rPr>
        <w:t xml:space="preserve">.  </w:t>
      </w:r>
      <w:r w:rsidR="00B20624" w:rsidRPr="00412549">
        <w:rPr>
          <w:rFonts w:asciiTheme="minorHAnsi" w:hAnsiTheme="minorHAnsi"/>
          <w:color w:val="auto"/>
          <w:szCs w:val="24"/>
        </w:rPr>
        <w:t xml:space="preserve">The </w:t>
      </w:r>
      <w:r w:rsidR="000023A2" w:rsidRPr="00412549">
        <w:rPr>
          <w:rFonts w:asciiTheme="minorHAnsi" w:hAnsiTheme="minorHAnsi"/>
          <w:color w:val="auto"/>
          <w:szCs w:val="24"/>
        </w:rPr>
        <w:t>I</w:t>
      </w:r>
      <w:r w:rsidR="00B20624" w:rsidRPr="00412549">
        <w:rPr>
          <w:rFonts w:asciiTheme="minorHAnsi" w:hAnsiTheme="minorHAnsi"/>
          <w:color w:val="auto"/>
          <w:szCs w:val="24"/>
        </w:rPr>
        <w:t xml:space="preserve">nformal PEB adjudicated the </w:t>
      </w:r>
      <w:r w:rsidR="000023A2" w:rsidRPr="00412549">
        <w:rPr>
          <w:rFonts w:asciiTheme="minorHAnsi" w:hAnsiTheme="minorHAnsi"/>
          <w:color w:val="auto"/>
          <w:szCs w:val="24"/>
        </w:rPr>
        <w:t>r</w:t>
      </w:r>
      <w:r w:rsidR="001E059D" w:rsidRPr="00412549">
        <w:rPr>
          <w:rFonts w:asciiTheme="minorHAnsi" w:hAnsiTheme="minorHAnsi"/>
          <w:color w:val="auto"/>
          <w:szCs w:val="24"/>
        </w:rPr>
        <w:t>ight</w:t>
      </w:r>
      <w:r w:rsidR="001E059D" w:rsidRPr="001E059D">
        <w:rPr>
          <w:rFonts w:asciiTheme="minorHAnsi" w:hAnsiTheme="minorHAnsi"/>
          <w:color w:val="auto"/>
          <w:szCs w:val="24"/>
        </w:rPr>
        <w:t xml:space="preserve"> </w:t>
      </w:r>
      <w:r w:rsidR="000023A2">
        <w:rPr>
          <w:rFonts w:asciiTheme="minorHAnsi" w:hAnsiTheme="minorHAnsi"/>
          <w:color w:val="auto"/>
          <w:szCs w:val="24"/>
        </w:rPr>
        <w:t>g</w:t>
      </w:r>
      <w:r w:rsidR="001E059D" w:rsidRPr="001E059D">
        <w:rPr>
          <w:rFonts w:asciiTheme="minorHAnsi" w:hAnsiTheme="minorHAnsi"/>
          <w:color w:val="auto"/>
          <w:szCs w:val="24"/>
        </w:rPr>
        <w:t xml:space="preserve">roin </w:t>
      </w:r>
      <w:r w:rsidR="0093540C">
        <w:rPr>
          <w:rFonts w:asciiTheme="minorHAnsi" w:hAnsiTheme="minorHAnsi"/>
          <w:color w:val="auto"/>
          <w:szCs w:val="24"/>
        </w:rPr>
        <w:t>condition</w:t>
      </w:r>
      <w:r w:rsidR="001E059D">
        <w:rPr>
          <w:rFonts w:asciiTheme="minorHAnsi" w:hAnsiTheme="minorHAnsi"/>
          <w:color w:val="auto"/>
          <w:szCs w:val="24"/>
        </w:rPr>
        <w:t xml:space="preserve"> as </w:t>
      </w:r>
      <w:r w:rsidR="00203B01">
        <w:rPr>
          <w:rFonts w:asciiTheme="minorHAnsi" w:hAnsiTheme="minorHAnsi"/>
          <w:color w:val="auto"/>
          <w:szCs w:val="24"/>
        </w:rPr>
        <w:t>unfitting, rated</w:t>
      </w:r>
      <w:r w:rsidR="001E059D">
        <w:rPr>
          <w:rFonts w:asciiTheme="minorHAnsi" w:hAnsiTheme="minorHAnsi"/>
          <w:color w:val="auto"/>
          <w:szCs w:val="24"/>
        </w:rPr>
        <w:t xml:space="preserve"> at 0% </w:t>
      </w:r>
      <w:r w:rsidR="0093540C">
        <w:rPr>
          <w:rFonts w:asciiTheme="minorHAnsi" w:hAnsiTheme="minorHAnsi"/>
          <w:color w:val="auto"/>
          <w:szCs w:val="24"/>
        </w:rPr>
        <w:t>citing</w:t>
      </w:r>
      <w:r w:rsidR="00B20624" w:rsidRPr="00396779">
        <w:rPr>
          <w:rFonts w:asciiTheme="minorHAnsi" w:hAnsiTheme="minorHAnsi"/>
          <w:color w:val="auto"/>
          <w:szCs w:val="24"/>
        </w:rPr>
        <w:t xml:space="preserve"> </w:t>
      </w:r>
      <w:r w:rsidR="000D39AD">
        <w:rPr>
          <w:rFonts w:asciiTheme="minorHAnsi" w:hAnsiTheme="minorHAnsi"/>
          <w:color w:val="auto"/>
          <w:szCs w:val="24"/>
        </w:rPr>
        <w:t xml:space="preserve">criteria from </w:t>
      </w:r>
      <w:r w:rsidR="00B20624" w:rsidRPr="00396779">
        <w:rPr>
          <w:rFonts w:asciiTheme="minorHAnsi" w:hAnsiTheme="minorHAnsi"/>
          <w:color w:val="auto"/>
          <w:szCs w:val="24"/>
        </w:rPr>
        <w:t xml:space="preserve">the </w:t>
      </w:r>
      <w:r w:rsidR="003507D7">
        <w:rPr>
          <w:rFonts w:asciiTheme="minorHAnsi" w:hAnsiTheme="minorHAnsi"/>
          <w:color w:val="auto"/>
          <w:szCs w:val="24"/>
        </w:rPr>
        <w:t>V</w:t>
      </w:r>
      <w:r w:rsidR="005B6C83">
        <w:rPr>
          <w:rFonts w:asciiTheme="minorHAnsi" w:hAnsiTheme="minorHAnsi"/>
          <w:color w:val="auto"/>
          <w:szCs w:val="24"/>
        </w:rPr>
        <w:t xml:space="preserve">eterans’ Administration </w:t>
      </w:r>
      <w:r w:rsidR="003507D7">
        <w:rPr>
          <w:rFonts w:asciiTheme="minorHAnsi" w:hAnsiTheme="minorHAnsi"/>
          <w:color w:val="auto"/>
          <w:szCs w:val="24"/>
        </w:rPr>
        <w:t>Schedule for Rating Disabilities (VASRD</w:t>
      </w:r>
      <w:r w:rsidR="003507D7" w:rsidRPr="00AA1A9E">
        <w:rPr>
          <w:rFonts w:asciiTheme="minorHAnsi" w:hAnsiTheme="minorHAnsi"/>
          <w:color w:val="auto"/>
          <w:szCs w:val="24"/>
        </w:rPr>
        <w:t>)</w:t>
      </w:r>
      <w:r w:rsidR="00B20624" w:rsidRPr="00AA1A9E">
        <w:rPr>
          <w:rFonts w:asciiTheme="minorHAnsi" w:hAnsiTheme="minorHAnsi"/>
          <w:color w:val="auto"/>
          <w:szCs w:val="24"/>
        </w:rPr>
        <w:t xml:space="preserve">. </w:t>
      </w:r>
      <w:r w:rsidR="001E059D" w:rsidRPr="00AA1A9E">
        <w:rPr>
          <w:rFonts w:asciiTheme="minorHAnsi" w:hAnsiTheme="minorHAnsi"/>
          <w:color w:val="auto"/>
          <w:szCs w:val="24"/>
        </w:rPr>
        <w:t xml:space="preserve"> </w:t>
      </w:r>
      <w:r w:rsidR="00C67940">
        <w:rPr>
          <w:rFonts w:asciiTheme="minorHAnsi" w:hAnsiTheme="minorHAnsi"/>
          <w:color w:val="auto"/>
        </w:rPr>
        <w:t>A F</w:t>
      </w:r>
      <w:r w:rsidR="00416C8E" w:rsidRPr="00416C8E">
        <w:rPr>
          <w:rFonts w:asciiTheme="minorHAnsi" w:hAnsiTheme="minorHAnsi"/>
          <w:color w:val="auto"/>
        </w:rPr>
        <w:t xml:space="preserve">ormal PEB </w:t>
      </w:r>
      <w:r w:rsidR="00C67940">
        <w:rPr>
          <w:rFonts w:asciiTheme="minorHAnsi" w:hAnsiTheme="minorHAnsi"/>
          <w:color w:val="auto"/>
        </w:rPr>
        <w:t xml:space="preserve">(FPEB) </w:t>
      </w:r>
      <w:r w:rsidR="00416C8E">
        <w:rPr>
          <w:rFonts w:asciiTheme="minorHAnsi" w:hAnsiTheme="minorHAnsi"/>
          <w:color w:val="auto"/>
        </w:rPr>
        <w:t>upheld the informal decision</w:t>
      </w:r>
      <w:r w:rsidR="00416C8E" w:rsidRPr="00416C8E">
        <w:rPr>
          <w:rFonts w:asciiTheme="minorHAnsi" w:hAnsiTheme="minorHAnsi"/>
          <w:color w:val="auto"/>
        </w:rPr>
        <w:t xml:space="preserve"> and forwarded the case to the US Army Ph</w:t>
      </w:r>
      <w:r w:rsidR="00416C8E">
        <w:rPr>
          <w:rFonts w:asciiTheme="minorHAnsi" w:hAnsiTheme="minorHAnsi"/>
          <w:color w:val="auto"/>
        </w:rPr>
        <w:t>ysical Disability Agency (USAPDA).  The USAPDA</w:t>
      </w:r>
      <w:r w:rsidR="00416C8E" w:rsidRPr="00416C8E">
        <w:rPr>
          <w:rFonts w:asciiTheme="minorHAnsi" w:hAnsiTheme="minorHAnsi"/>
          <w:color w:val="auto"/>
        </w:rPr>
        <w:t xml:space="preserve"> concluded that the case </w:t>
      </w:r>
      <w:r w:rsidR="00416C8E">
        <w:rPr>
          <w:rFonts w:asciiTheme="minorHAnsi" w:hAnsiTheme="minorHAnsi"/>
          <w:color w:val="auto"/>
        </w:rPr>
        <w:t xml:space="preserve">had been </w:t>
      </w:r>
      <w:r w:rsidR="00416C8E" w:rsidRPr="00416C8E">
        <w:rPr>
          <w:rFonts w:asciiTheme="minorHAnsi" w:hAnsiTheme="minorHAnsi"/>
          <w:color w:val="auto"/>
        </w:rPr>
        <w:t xml:space="preserve">properly adjudicated and the CI was </w:t>
      </w:r>
      <w:r w:rsidR="00416C8E">
        <w:rPr>
          <w:rFonts w:asciiTheme="minorHAnsi" w:hAnsiTheme="minorHAnsi"/>
          <w:color w:val="auto"/>
        </w:rPr>
        <w:t>thus</w:t>
      </w:r>
      <w:r w:rsidR="00416C8E" w:rsidRPr="00416C8E">
        <w:rPr>
          <w:rFonts w:asciiTheme="minorHAnsi" w:hAnsiTheme="minorHAnsi"/>
          <w:color w:val="auto"/>
        </w:rPr>
        <w:t xml:space="preserve"> medically separated with a 0% disability rating.  </w:t>
      </w:r>
    </w:p>
    <w:p w:rsidR="007F5B54" w:rsidRPr="00CD5BD7" w:rsidRDefault="007F5B54" w:rsidP="007F5B54">
      <w:pPr>
        <w:pBdr>
          <w:bottom w:val="single" w:sz="12" w:space="1" w:color="auto"/>
        </w:pBdr>
        <w:tabs>
          <w:tab w:val="left" w:pos="288"/>
          <w:tab w:val="left" w:pos="4752"/>
        </w:tabs>
        <w:spacing w:line="240" w:lineRule="exact"/>
        <w:jc w:val="both"/>
        <w:rPr>
          <w:rFonts w:ascii="Calibri" w:hAnsi="Calibri"/>
          <w:color w:val="auto"/>
          <w:szCs w:val="24"/>
        </w:rPr>
      </w:pPr>
    </w:p>
    <w:p w:rsidR="00106AD8" w:rsidRPr="001C2527" w:rsidRDefault="00106AD8" w:rsidP="00106AD8">
      <w:pPr>
        <w:tabs>
          <w:tab w:val="left" w:pos="288"/>
          <w:tab w:val="left" w:pos="4752"/>
        </w:tabs>
        <w:spacing w:line="240" w:lineRule="exact"/>
        <w:rPr>
          <w:rFonts w:ascii="Calibri" w:hAnsi="Calibri"/>
          <w:color w:val="auto"/>
          <w:szCs w:val="24"/>
        </w:rPr>
      </w:pPr>
    </w:p>
    <w:p w:rsidR="00D7763E" w:rsidRPr="00326C08" w:rsidRDefault="002C6E5B" w:rsidP="00D7763E">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1D0F2B">
        <w:rPr>
          <w:rFonts w:asciiTheme="minorHAnsi" w:hAnsiTheme="minorHAnsi"/>
          <w:color w:val="auto"/>
        </w:rPr>
        <w:t xml:space="preserve">The CI states, </w:t>
      </w:r>
      <w:r w:rsidR="00D7763E">
        <w:rPr>
          <w:rFonts w:asciiTheme="minorHAnsi" w:hAnsiTheme="minorHAnsi"/>
          <w:color w:val="auto"/>
        </w:rPr>
        <w:t>“Based on the conclusion of the (PEB):  Postoperative Neuropathic Pain in the Right Groin result in interference with satisfactory performance of duty AR 40-501, paragraph 3-41, E1 and 2.  It states (2) the individual’s health or well being would be compromised if he or she remain</w:t>
      </w:r>
      <w:r w:rsidR="00423AE6">
        <w:rPr>
          <w:rFonts w:asciiTheme="minorHAnsi" w:hAnsiTheme="minorHAnsi"/>
          <w:color w:val="auto"/>
        </w:rPr>
        <w:t>s</w:t>
      </w:r>
      <w:r w:rsidR="00D7763E">
        <w:rPr>
          <w:rFonts w:asciiTheme="minorHAnsi" w:hAnsiTheme="minorHAnsi"/>
          <w:color w:val="auto"/>
        </w:rPr>
        <w:t xml:space="preserve"> in the military service. </w:t>
      </w:r>
      <w:r w:rsidR="00D40558">
        <w:rPr>
          <w:rFonts w:asciiTheme="minorHAnsi" w:hAnsiTheme="minorHAnsi"/>
          <w:color w:val="auto"/>
        </w:rPr>
        <w:t xml:space="preserve"> </w:t>
      </w:r>
      <w:r w:rsidR="00D7763E">
        <w:rPr>
          <w:rFonts w:asciiTheme="minorHAnsi" w:hAnsiTheme="minorHAnsi"/>
          <w:color w:val="auto"/>
        </w:rPr>
        <w:t>Due to recent events with the Department of Veterans Affairs (service connected disability determination) my records provided enough evidence to grant a 10% disability rating for neuropathic pain, right groin</w:t>
      </w:r>
      <w:r w:rsidR="00D7763E" w:rsidRPr="002B1EE0">
        <w:rPr>
          <w:rFonts w:asciiTheme="minorHAnsi" w:hAnsiTheme="minorHAnsi"/>
          <w:color w:val="auto"/>
        </w:rPr>
        <w:t xml:space="preserve">”.  </w:t>
      </w:r>
      <w:r w:rsidR="002B1EE0" w:rsidRPr="002B1EE0">
        <w:rPr>
          <w:rFonts w:asciiTheme="minorHAnsi" w:eastAsiaTheme="minorHAnsi" w:hAnsiTheme="minorHAnsi" w:cstheme="minorBidi"/>
          <w:color w:val="auto"/>
          <w:szCs w:val="24"/>
        </w:rPr>
        <w:t>He mentions no additionally contended conditions</w:t>
      </w:r>
      <w:r w:rsidR="00D7763E" w:rsidRPr="00326C08">
        <w:rPr>
          <w:rFonts w:asciiTheme="minorHAnsi" w:hAnsiTheme="minorHAnsi"/>
          <w:color w:val="auto"/>
          <w:szCs w:val="24"/>
        </w:rPr>
        <w:t>.</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419" w:type="dxa"/>
        <w:jc w:val="center"/>
        <w:tblInd w:w="-91" w:type="dxa"/>
        <w:tblLayout w:type="fixed"/>
        <w:tblLook w:val="04A0"/>
      </w:tblPr>
      <w:tblGrid>
        <w:gridCol w:w="2277"/>
        <w:gridCol w:w="1080"/>
        <w:gridCol w:w="784"/>
        <w:gridCol w:w="2366"/>
        <w:gridCol w:w="1080"/>
        <w:gridCol w:w="837"/>
        <w:gridCol w:w="995"/>
      </w:tblGrid>
      <w:tr w:rsidR="00684E2B" w:rsidRPr="00396779" w:rsidTr="004B3225">
        <w:trPr>
          <w:trHeight w:val="233"/>
          <w:jc w:val="center"/>
        </w:trPr>
        <w:tc>
          <w:tcPr>
            <w:tcW w:w="4141" w:type="dxa"/>
            <w:gridSpan w:val="3"/>
            <w:tcBorders>
              <w:right w:val="thinThickThinSmallGap" w:sz="24" w:space="0" w:color="auto"/>
            </w:tcBorders>
            <w:shd w:val="clear" w:color="auto" w:fill="D9D9D9" w:themeFill="background1" w:themeFillShade="D9"/>
            <w:vAlign w:val="center"/>
          </w:tcPr>
          <w:p w:rsidR="00684E2B" w:rsidRPr="00EC4F81" w:rsidRDefault="00684E2B" w:rsidP="00EC4F81">
            <w:pPr>
              <w:pStyle w:val="ListParagraph"/>
              <w:spacing w:after="0" w:line="200" w:lineRule="exact"/>
              <w:ind w:left="0"/>
              <w:jc w:val="center"/>
              <w:rPr>
                <w:rFonts w:cs="Times New Roman"/>
                <w:b/>
                <w:sz w:val="20"/>
                <w:szCs w:val="20"/>
              </w:rPr>
            </w:pPr>
            <w:r w:rsidRPr="00EC4F81">
              <w:rPr>
                <w:rFonts w:cs="Times New Roman"/>
                <w:b/>
                <w:sz w:val="20"/>
                <w:szCs w:val="20"/>
              </w:rPr>
              <w:t xml:space="preserve">Service </w:t>
            </w:r>
            <w:r w:rsidR="009821CD" w:rsidRPr="00EC4F81">
              <w:rPr>
                <w:rFonts w:cs="Times New Roman"/>
                <w:b/>
                <w:sz w:val="20"/>
                <w:szCs w:val="20"/>
              </w:rPr>
              <w:t>F</w:t>
            </w:r>
            <w:r w:rsidRPr="00EC4F81">
              <w:rPr>
                <w:rFonts w:cs="Times New Roman"/>
                <w:b/>
                <w:sz w:val="20"/>
                <w:szCs w:val="20"/>
              </w:rPr>
              <w:t>PEB</w:t>
            </w:r>
            <w:r w:rsidR="002B2645" w:rsidRPr="00EC4F81">
              <w:rPr>
                <w:rFonts w:cs="Times New Roman"/>
                <w:b/>
                <w:sz w:val="20"/>
                <w:szCs w:val="20"/>
              </w:rPr>
              <w:t xml:space="preserve"> – Dated </w:t>
            </w:r>
            <w:r w:rsidR="009821CD" w:rsidRPr="00EC4F81">
              <w:rPr>
                <w:rFonts w:cs="Times New Roman"/>
                <w:b/>
                <w:sz w:val="20"/>
                <w:szCs w:val="20"/>
              </w:rPr>
              <w:t>20040624</w:t>
            </w:r>
          </w:p>
        </w:tc>
        <w:tc>
          <w:tcPr>
            <w:tcW w:w="5278" w:type="dxa"/>
            <w:gridSpan w:val="4"/>
            <w:tcBorders>
              <w:left w:val="thinThickThinSmallGap" w:sz="24" w:space="0" w:color="auto"/>
            </w:tcBorders>
            <w:shd w:val="clear" w:color="auto" w:fill="D9D9D9" w:themeFill="background1" w:themeFillShade="D9"/>
            <w:vAlign w:val="center"/>
          </w:tcPr>
          <w:p w:rsidR="00684E2B" w:rsidRPr="00EC4F81" w:rsidRDefault="00684E2B" w:rsidP="002959FF">
            <w:pPr>
              <w:pStyle w:val="ListParagraph"/>
              <w:spacing w:after="0" w:line="200" w:lineRule="exact"/>
              <w:ind w:left="0"/>
              <w:jc w:val="center"/>
              <w:rPr>
                <w:rFonts w:cs="Times New Roman"/>
                <w:b/>
                <w:sz w:val="20"/>
                <w:szCs w:val="20"/>
              </w:rPr>
            </w:pPr>
            <w:r w:rsidRPr="00EC4F81">
              <w:rPr>
                <w:rFonts w:cs="Times New Roman"/>
                <w:b/>
                <w:sz w:val="20"/>
                <w:szCs w:val="20"/>
              </w:rPr>
              <w:t xml:space="preserve">VA </w:t>
            </w:r>
            <w:r w:rsidR="002959FF">
              <w:rPr>
                <w:rFonts w:cs="Times New Roman"/>
                <w:b/>
                <w:sz w:val="20"/>
                <w:szCs w:val="20"/>
              </w:rPr>
              <w:t>(6 Wk</w:t>
            </w:r>
            <w:r w:rsidRPr="00EC4F81">
              <w:rPr>
                <w:rFonts w:cs="Times New Roman"/>
                <w:b/>
                <w:sz w:val="20"/>
                <w:szCs w:val="20"/>
              </w:rPr>
              <w:t>. after Separation)</w:t>
            </w:r>
            <w:r w:rsidR="000C3C13" w:rsidRPr="00EC4F81">
              <w:rPr>
                <w:rFonts w:cs="Times New Roman"/>
                <w:b/>
                <w:sz w:val="20"/>
                <w:szCs w:val="20"/>
              </w:rPr>
              <w:t xml:space="preserve"> – All Effective </w:t>
            </w:r>
            <w:r w:rsidR="008F68B2" w:rsidRPr="00EC4F81">
              <w:rPr>
                <w:b/>
                <w:caps/>
                <w:sz w:val="20"/>
                <w:szCs w:val="20"/>
              </w:rPr>
              <w:t>20041</w:t>
            </w:r>
            <w:r w:rsidR="00CB162F">
              <w:rPr>
                <w:b/>
                <w:caps/>
                <w:sz w:val="20"/>
                <w:szCs w:val="20"/>
              </w:rPr>
              <w:t>021</w:t>
            </w:r>
          </w:p>
        </w:tc>
      </w:tr>
      <w:tr w:rsidR="002B2645" w:rsidRPr="00396779" w:rsidTr="004B3225">
        <w:trPr>
          <w:trHeight w:val="179"/>
          <w:jc w:val="center"/>
        </w:trPr>
        <w:tc>
          <w:tcPr>
            <w:tcW w:w="2277" w:type="dxa"/>
            <w:tcBorders>
              <w:bottom w:val="single" w:sz="4" w:space="0" w:color="000000" w:themeColor="text1"/>
            </w:tcBorders>
            <w:shd w:val="clear" w:color="auto" w:fill="D9D9D9" w:themeFill="background1" w:themeFillShade="D9"/>
            <w:vAlign w:val="center"/>
          </w:tcPr>
          <w:p w:rsidR="002B2645" w:rsidRPr="00EC4F81" w:rsidRDefault="002B2645" w:rsidP="00412549">
            <w:pPr>
              <w:pStyle w:val="ListParagraph"/>
              <w:spacing w:after="0" w:line="200" w:lineRule="exact"/>
              <w:ind w:left="0"/>
              <w:rPr>
                <w:rFonts w:cs="Times New Roman"/>
                <w:b/>
                <w:sz w:val="20"/>
                <w:szCs w:val="20"/>
              </w:rPr>
            </w:pPr>
            <w:r w:rsidRPr="00EC4F81">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2645" w:rsidRPr="00EC4F81" w:rsidRDefault="002B2645" w:rsidP="00412549">
            <w:pPr>
              <w:pStyle w:val="ListParagraph"/>
              <w:spacing w:after="0" w:line="200" w:lineRule="exact"/>
              <w:ind w:left="0"/>
              <w:jc w:val="center"/>
              <w:rPr>
                <w:rFonts w:cs="Times New Roman"/>
                <w:b/>
                <w:sz w:val="20"/>
                <w:szCs w:val="20"/>
              </w:rPr>
            </w:pPr>
            <w:r w:rsidRPr="00EC4F81">
              <w:rPr>
                <w:rFonts w:cs="Times New Roman"/>
                <w:b/>
                <w:sz w:val="20"/>
                <w:szCs w:val="20"/>
              </w:rPr>
              <w:t>Code</w:t>
            </w:r>
          </w:p>
        </w:tc>
        <w:tc>
          <w:tcPr>
            <w:tcW w:w="784" w:type="dxa"/>
            <w:tcBorders>
              <w:bottom w:val="single" w:sz="4" w:space="0" w:color="000000" w:themeColor="text1"/>
              <w:right w:val="thinThickThinSmallGap" w:sz="24" w:space="0" w:color="auto"/>
            </w:tcBorders>
            <w:shd w:val="clear" w:color="auto" w:fill="D9D9D9" w:themeFill="background1" w:themeFillShade="D9"/>
            <w:vAlign w:val="center"/>
          </w:tcPr>
          <w:p w:rsidR="002B2645" w:rsidRPr="00EC4F81" w:rsidRDefault="002B2645" w:rsidP="00412549">
            <w:pPr>
              <w:pStyle w:val="ListParagraph"/>
              <w:spacing w:after="0" w:line="200" w:lineRule="exact"/>
              <w:ind w:left="0"/>
              <w:jc w:val="center"/>
              <w:rPr>
                <w:rFonts w:cs="Times New Roman"/>
                <w:b/>
                <w:sz w:val="20"/>
                <w:szCs w:val="20"/>
              </w:rPr>
            </w:pPr>
            <w:r w:rsidRPr="00EC4F81">
              <w:rPr>
                <w:rFonts w:cs="Times New Roman"/>
                <w:b/>
                <w:sz w:val="20"/>
                <w:szCs w:val="20"/>
              </w:rPr>
              <w:t>Rating</w:t>
            </w:r>
          </w:p>
        </w:tc>
        <w:tc>
          <w:tcPr>
            <w:tcW w:w="2366" w:type="dxa"/>
            <w:tcBorders>
              <w:left w:val="thinThickThinSmallGap" w:sz="24" w:space="0" w:color="auto"/>
              <w:bottom w:val="single" w:sz="4" w:space="0" w:color="000000" w:themeColor="text1"/>
            </w:tcBorders>
            <w:shd w:val="clear" w:color="auto" w:fill="D9D9D9" w:themeFill="background1" w:themeFillShade="D9"/>
            <w:vAlign w:val="center"/>
          </w:tcPr>
          <w:p w:rsidR="002B2645" w:rsidRPr="00EC4F81" w:rsidRDefault="002B2645" w:rsidP="00412549">
            <w:pPr>
              <w:pStyle w:val="ListParagraph"/>
              <w:spacing w:after="0" w:line="200" w:lineRule="exact"/>
              <w:ind w:left="0"/>
              <w:rPr>
                <w:rFonts w:cs="Times New Roman"/>
                <w:b/>
                <w:sz w:val="20"/>
                <w:szCs w:val="20"/>
              </w:rPr>
            </w:pPr>
            <w:r w:rsidRPr="00EC4F81">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2645" w:rsidRPr="00EC4F81" w:rsidRDefault="002B2645" w:rsidP="00412549">
            <w:pPr>
              <w:pStyle w:val="ListParagraph"/>
              <w:spacing w:after="0" w:line="200" w:lineRule="exact"/>
              <w:ind w:left="0"/>
              <w:jc w:val="center"/>
              <w:rPr>
                <w:rFonts w:cs="Times New Roman"/>
                <w:b/>
                <w:sz w:val="20"/>
                <w:szCs w:val="20"/>
              </w:rPr>
            </w:pPr>
            <w:r w:rsidRPr="00EC4F81">
              <w:rPr>
                <w:rFonts w:cs="Times New Roman"/>
                <w:b/>
                <w:sz w:val="20"/>
                <w:szCs w:val="20"/>
              </w:rPr>
              <w:t>Code</w:t>
            </w:r>
          </w:p>
        </w:tc>
        <w:tc>
          <w:tcPr>
            <w:tcW w:w="837" w:type="dxa"/>
            <w:tcBorders>
              <w:bottom w:val="single" w:sz="4" w:space="0" w:color="000000" w:themeColor="text1"/>
            </w:tcBorders>
            <w:shd w:val="clear" w:color="auto" w:fill="D9D9D9" w:themeFill="background1" w:themeFillShade="D9"/>
            <w:vAlign w:val="center"/>
          </w:tcPr>
          <w:p w:rsidR="002B2645" w:rsidRPr="00EC4F81" w:rsidRDefault="002B2645" w:rsidP="00412549">
            <w:pPr>
              <w:pStyle w:val="ListParagraph"/>
              <w:spacing w:after="0" w:line="200" w:lineRule="exact"/>
              <w:ind w:left="0"/>
              <w:jc w:val="center"/>
              <w:rPr>
                <w:rFonts w:cs="Times New Roman"/>
                <w:b/>
                <w:sz w:val="20"/>
                <w:szCs w:val="20"/>
              </w:rPr>
            </w:pPr>
            <w:r w:rsidRPr="00EC4F81">
              <w:rPr>
                <w:rFonts w:cs="Times New Roman"/>
                <w:b/>
                <w:sz w:val="20"/>
                <w:szCs w:val="20"/>
              </w:rPr>
              <w:t>Rating</w:t>
            </w:r>
          </w:p>
        </w:tc>
        <w:tc>
          <w:tcPr>
            <w:tcW w:w="995" w:type="dxa"/>
            <w:tcBorders>
              <w:bottom w:val="single" w:sz="4" w:space="0" w:color="000000" w:themeColor="text1"/>
            </w:tcBorders>
            <w:shd w:val="clear" w:color="auto" w:fill="D9D9D9" w:themeFill="background1" w:themeFillShade="D9"/>
            <w:vAlign w:val="center"/>
          </w:tcPr>
          <w:p w:rsidR="002B2645" w:rsidRPr="00EC4F81" w:rsidRDefault="002B2645" w:rsidP="00412549">
            <w:pPr>
              <w:pStyle w:val="ListParagraph"/>
              <w:spacing w:after="0" w:line="200" w:lineRule="exact"/>
              <w:ind w:left="0"/>
              <w:jc w:val="center"/>
              <w:rPr>
                <w:rFonts w:cs="Times New Roman"/>
                <w:b/>
                <w:sz w:val="20"/>
                <w:szCs w:val="20"/>
              </w:rPr>
            </w:pPr>
            <w:r w:rsidRPr="00EC4F81">
              <w:rPr>
                <w:rFonts w:cs="Times New Roman"/>
                <w:b/>
                <w:sz w:val="20"/>
                <w:szCs w:val="20"/>
              </w:rPr>
              <w:t>Exam</w:t>
            </w:r>
          </w:p>
        </w:tc>
      </w:tr>
      <w:tr w:rsidR="009A1C89" w:rsidRPr="00396779" w:rsidTr="004B3225">
        <w:trPr>
          <w:trHeight w:val="206"/>
          <w:jc w:val="center"/>
        </w:trPr>
        <w:tc>
          <w:tcPr>
            <w:tcW w:w="2277" w:type="dxa"/>
            <w:shd w:val="clear" w:color="auto" w:fill="FFFFFF" w:themeFill="background1"/>
            <w:vAlign w:val="center"/>
          </w:tcPr>
          <w:p w:rsidR="009A1C89" w:rsidRPr="00396779" w:rsidRDefault="009A1C89" w:rsidP="00412549">
            <w:pPr>
              <w:pStyle w:val="ListParagraph"/>
              <w:spacing w:after="0" w:line="180" w:lineRule="exact"/>
              <w:ind w:left="0"/>
              <w:rPr>
                <w:rFonts w:cs="Times New Roman"/>
                <w:sz w:val="18"/>
                <w:szCs w:val="18"/>
              </w:rPr>
            </w:pPr>
            <w:r>
              <w:rPr>
                <w:rFonts w:cs="Times New Roman"/>
                <w:sz w:val="18"/>
                <w:szCs w:val="18"/>
              </w:rPr>
              <w:t>Chronic Right Groin Pain</w:t>
            </w:r>
          </w:p>
        </w:tc>
        <w:tc>
          <w:tcPr>
            <w:tcW w:w="1080" w:type="dxa"/>
            <w:shd w:val="clear" w:color="auto" w:fill="FFFFFF" w:themeFill="background1"/>
            <w:vAlign w:val="center"/>
          </w:tcPr>
          <w:p w:rsidR="009A1C89" w:rsidRPr="00396779" w:rsidRDefault="009A1C89" w:rsidP="00412549">
            <w:pPr>
              <w:pStyle w:val="ListParagraph"/>
              <w:spacing w:after="0" w:line="180" w:lineRule="exact"/>
              <w:ind w:left="0"/>
              <w:jc w:val="center"/>
              <w:rPr>
                <w:rFonts w:cs="Times New Roman"/>
                <w:sz w:val="18"/>
                <w:szCs w:val="18"/>
              </w:rPr>
            </w:pPr>
            <w:r>
              <w:rPr>
                <w:rFonts w:cs="Times New Roman"/>
                <w:sz w:val="18"/>
                <w:szCs w:val="18"/>
              </w:rPr>
              <w:t>8799-873</w:t>
            </w:r>
            <w:r w:rsidR="00A95716">
              <w:rPr>
                <w:rFonts w:cs="Times New Roman"/>
                <w:sz w:val="18"/>
                <w:szCs w:val="18"/>
              </w:rPr>
              <w:t>0</w:t>
            </w:r>
          </w:p>
        </w:tc>
        <w:tc>
          <w:tcPr>
            <w:tcW w:w="784" w:type="dxa"/>
            <w:tcBorders>
              <w:right w:val="thinThickThinSmallGap" w:sz="24" w:space="0" w:color="auto"/>
            </w:tcBorders>
            <w:shd w:val="clear" w:color="auto" w:fill="FFFFFF" w:themeFill="background1"/>
            <w:vAlign w:val="center"/>
          </w:tcPr>
          <w:p w:rsidR="009A1C89" w:rsidRPr="00396779" w:rsidRDefault="009A1C89" w:rsidP="00412549">
            <w:pPr>
              <w:pStyle w:val="ListParagraph"/>
              <w:spacing w:after="0" w:line="180" w:lineRule="exact"/>
              <w:ind w:left="0"/>
              <w:jc w:val="center"/>
              <w:rPr>
                <w:rFonts w:cs="Times New Roman"/>
                <w:sz w:val="18"/>
                <w:szCs w:val="18"/>
              </w:rPr>
            </w:pPr>
            <w:r>
              <w:rPr>
                <w:rFonts w:cs="Times New Roman"/>
                <w:sz w:val="18"/>
                <w:szCs w:val="18"/>
              </w:rPr>
              <w:t>0%</w:t>
            </w:r>
          </w:p>
        </w:tc>
        <w:tc>
          <w:tcPr>
            <w:tcW w:w="2366" w:type="dxa"/>
            <w:tcBorders>
              <w:left w:val="thinThickThinSmallGap" w:sz="24" w:space="0" w:color="auto"/>
            </w:tcBorders>
            <w:shd w:val="clear" w:color="auto" w:fill="FFFFFF" w:themeFill="background1"/>
            <w:vAlign w:val="center"/>
          </w:tcPr>
          <w:p w:rsidR="009A1C89" w:rsidRPr="00396779" w:rsidRDefault="00421337" w:rsidP="00412549">
            <w:pPr>
              <w:pStyle w:val="ListParagraph"/>
              <w:spacing w:after="0" w:line="180" w:lineRule="exact"/>
              <w:ind w:left="0"/>
              <w:rPr>
                <w:rFonts w:cs="Times New Roman"/>
                <w:sz w:val="18"/>
                <w:szCs w:val="18"/>
              </w:rPr>
            </w:pPr>
            <w:r>
              <w:rPr>
                <w:rFonts w:cs="Times New Roman"/>
                <w:sz w:val="18"/>
                <w:szCs w:val="18"/>
              </w:rPr>
              <w:t>R G</w:t>
            </w:r>
            <w:r w:rsidR="003507D7">
              <w:rPr>
                <w:rFonts w:cs="Times New Roman"/>
                <w:sz w:val="18"/>
                <w:szCs w:val="18"/>
              </w:rPr>
              <w:t xml:space="preserve">roin </w:t>
            </w:r>
            <w:r w:rsidR="009A1C89">
              <w:rPr>
                <w:rFonts w:cs="Times New Roman"/>
                <w:sz w:val="18"/>
                <w:szCs w:val="18"/>
              </w:rPr>
              <w:t>Neuro</w:t>
            </w:r>
            <w:r w:rsidR="00F76221">
              <w:rPr>
                <w:rFonts w:cs="Times New Roman"/>
                <w:sz w:val="18"/>
                <w:szCs w:val="18"/>
              </w:rPr>
              <w:t xml:space="preserve">pathic </w:t>
            </w:r>
            <w:r w:rsidR="009A1C89">
              <w:rPr>
                <w:rFonts w:cs="Times New Roman"/>
                <w:sz w:val="18"/>
                <w:szCs w:val="18"/>
              </w:rPr>
              <w:t xml:space="preserve"> Pain</w:t>
            </w:r>
          </w:p>
        </w:tc>
        <w:tc>
          <w:tcPr>
            <w:tcW w:w="1080" w:type="dxa"/>
            <w:shd w:val="clear" w:color="auto" w:fill="FFFFFF" w:themeFill="background1"/>
            <w:vAlign w:val="center"/>
          </w:tcPr>
          <w:p w:rsidR="009A1C89" w:rsidRPr="00396779" w:rsidRDefault="009A1C89" w:rsidP="00412549">
            <w:pPr>
              <w:pStyle w:val="ListParagraph"/>
              <w:spacing w:after="0" w:line="180" w:lineRule="exact"/>
              <w:ind w:left="0"/>
              <w:jc w:val="center"/>
              <w:rPr>
                <w:rFonts w:cs="Times New Roman"/>
                <w:sz w:val="18"/>
                <w:szCs w:val="18"/>
              </w:rPr>
            </w:pPr>
            <w:r>
              <w:rPr>
                <w:rFonts w:cs="Times New Roman"/>
                <w:sz w:val="18"/>
                <w:szCs w:val="18"/>
              </w:rPr>
              <w:t>7338-8730</w:t>
            </w:r>
          </w:p>
        </w:tc>
        <w:tc>
          <w:tcPr>
            <w:tcW w:w="837" w:type="dxa"/>
            <w:shd w:val="clear" w:color="auto" w:fill="FFFFFF" w:themeFill="background1"/>
            <w:vAlign w:val="center"/>
          </w:tcPr>
          <w:p w:rsidR="009A1C89" w:rsidRPr="00721705" w:rsidRDefault="009A1C89" w:rsidP="00412549">
            <w:pPr>
              <w:pStyle w:val="ListParagraph"/>
              <w:spacing w:after="0" w:line="180" w:lineRule="exact"/>
              <w:ind w:left="0"/>
              <w:jc w:val="center"/>
              <w:rPr>
                <w:rFonts w:cs="Times New Roman"/>
                <w:sz w:val="18"/>
                <w:szCs w:val="18"/>
                <w:highlight w:val="yellow"/>
              </w:rPr>
            </w:pPr>
            <w:r w:rsidRPr="00374A92">
              <w:rPr>
                <w:rFonts w:cs="Times New Roman"/>
                <w:sz w:val="18"/>
                <w:szCs w:val="18"/>
              </w:rPr>
              <w:t>0%</w:t>
            </w:r>
            <w:r w:rsidR="00F76221">
              <w:rPr>
                <w:rFonts w:cs="Times New Roman"/>
                <w:sz w:val="18"/>
                <w:szCs w:val="18"/>
              </w:rPr>
              <w:t>*</w:t>
            </w:r>
          </w:p>
        </w:tc>
        <w:tc>
          <w:tcPr>
            <w:tcW w:w="995" w:type="dxa"/>
            <w:shd w:val="clear" w:color="auto" w:fill="FFFFFF" w:themeFill="background1"/>
            <w:vAlign w:val="center"/>
          </w:tcPr>
          <w:p w:rsidR="009A1C89" w:rsidRPr="008F68B2" w:rsidRDefault="008F68B2" w:rsidP="002959FF">
            <w:pPr>
              <w:pStyle w:val="ListParagraph"/>
              <w:spacing w:after="0" w:line="180" w:lineRule="exact"/>
              <w:ind w:left="0"/>
              <w:jc w:val="center"/>
              <w:rPr>
                <w:rFonts w:cs="Times New Roman"/>
                <w:sz w:val="18"/>
                <w:szCs w:val="18"/>
              </w:rPr>
            </w:pPr>
            <w:r w:rsidRPr="008F68B2">
              <w:rPr>
                <w:rFonts w:cs="Times New Roman"/>
                <w:sz w:val="18"/>
                <w:szCs w:val="18"/>
              </w:rPr>
              <w:t>2004</w:t>
            </w:r>
            <w:r w:rsidR="002959FF">
              <w:rPr>
                <w:rFonts w:cs="Times New Roman"/>
                <w:sz w:val="18"/>
                <w:szCs w:val="18"/>
              </w:rPr>
              <w:t>1213</w:t>
            </w:r>
          </w:p>
        </w:tc>
      </w:tr>
      <w:tr w:rsidR="008E5C9B" w:rsidRPr="00396779" w:rsidTr="004B3225">
        <w:trPr>
          <w:trHeight w:val="125"/>
          <w:jc w:val="center"/>
        </w:trPr>
        <w:tc>
          <w:tcPr>
            <w:tcW w:w="4141" w:type="dxa"/>
            <w:gridSpan w:val="3"/>
            <w:vMerge w:val="restart"/>
            <w:tcBorders>
              <w:right w:val="thinThickThinSmallGap" w:sz="24" w:space="0" w:color="auto"/>
            </w:tcBorders>
            <w:shd w:val="clear" w:color="auto" w:fill="FFFFFF" w:themeFill="background1"/>
          </w:tcPr>
          <w:p w:rsidR="008E5C9B" w:rsidRPr="00396779" w:rsidRDefault="008E5C9B" w:rsidP="00A95716">
            <w:pPr>
              <w:pStyle w:val="ListParagraph"/>
              <w:spacing w:line="180" w:lineRule="exact"/>
              <w:ind w:left="0"/>
              <w:jc w:val="center"/>
              <w:rPr>
                <w:rFonts w:cs="Times New Roman"/>
                <w:sz w:val="18"/>
                <w:szCs w:val="18"/>
              </w:rPr>
            </w:pPr>
            <w:r w:rsidRPr="00396779">
              <w:rPr>
                <w:rFonts w:cs="Times New Roman"/>
                <w:sz w:val="18"/>
                <w:szCs w:val="18"/>
              </w:rPr>
              <w:t>↓No Additional MEB</w:t>
            </w:r>
            <w:r>
              <w:rPr>
                <w:rFonts w:cs="Times New Roman"/>
                <w:sz w:val="18"/>
                <w:szCs w:val="18"/>
              </w:rPr>
              <w:t>/PEB</w:t>
            </w:r>
            <w:r w:rsidRPr="00396779">
              <w:rPr>
                <w:rFonts w:cs="Times New Roman"/>
                <w:sz w:val="18"/>
                <w:szCs w:val="18"/>
              </w:rPr>
              <w:t xml:space="preserve"> Entries↓</w:t>
            </w:r>
          </w:p>
        </w:tc>
        <w:tc>
          <w:tcPr>
            <w:tcW w:w="2366" w:type="dxa"/>
            <w:tcBorders>
              <w:left w:val="thinThickThinSmallGap" w:sz="24" w:space="0" w:color="auto"/>
            </w:tcBorders>
            <w:shd w:val="clear" w:color="auto" w:fill="FFFFFF" w:themeFill="background1"/>
            <w:vAlign w:val="center"/>
          </w:tcPr>
          <w:p w:rsidR="008E5C9B" w:rsidRDefault="008E5C9B" w:rsidP="00412549">
            <w:pPr>
              <w:pStyle w:val="ListParagraph"/>
              <w:spacing w:after="0" w:line="180" w:lineRule="exact"/>
              <w:ind w:left="0"/>
              <w:rPr>
                <w:rFonts w:cs="Times New Roman"/>
                <w:sz w:val="18"/>
                <w:szCs w:val="18"/>
              </w:rPr>
            </w:pPr>
            <w:r>
              <w:rPr>
                <w:rFonts w:cs="Times New Roman"/>
                <w:sz w:val="18"/>
                <w:szCs w:val="18"/>
              </w:rPr>
              <w:t>R Shoulder Impingement</w:t>
            </w:r>
          </w:p>
        </w:tc>
        <w:tc>
          <w:tcPr>
            <w:tcW w:w="1080" w:type="dxa"/>
            <w:shd w:val="clear" w:color="auto" w:fill="FFFFFF" w:themeFill="background1"/>
            <w:vAlign w:val="center"/>
          </w:tcPr>
          <w:p w:rsidR="008E5C9B" w:rsidRDefault="008E5C9B" w:rsidP="00412549">
            <w:pPr>
              <w:pStyle w:val="ListParagraph"/>
              <w:spacing w:after="0" w:line="180" w:lineRule="exact"/>
              <w:ind w:left="0"/>
              <w:jc w:val="center"/>
              <w:rPr>
                <w:rFonts w:cs="Times New Roman"/>
                <w:sz w:val="18"/>
                <w:szCs w:val="18"/>
              </w:rPr>
            </w:pPr>
            <w:r>
              <w:rPr>
                <w:rFonts w:cs="Times New Roman"/>
                <w:sz w:val="18"/>
                <w:szCs w:val="18"/>
              </w:rPr>
              <w:t>5019-5201</w:t>
            </w:r>
          </w:p>
        </w:tc>
        <w:tc>
          <w:tcPr>
            <w:tcW w:w="837" w:type="dxa"/>
            <w:shd w:val="clear" w:color="auto" w:fill="FFFFFF" w:themeFill="background1"/>
            <w:vAlign w:val="center"/>
          </w:tcPr>
          <w:p w:rsidR="008E5C9B" w:rsidRDefault="008E5C9B" w:rsidP="00412549">
            <w:pPr>
              <w:pStyle w:val="ListParagraph"/>
              <w:spacing w:after="0" w:line="180" w:lineRule="exact"/>
              <w:ind w:left="0"/>
              <w:jc w:val="center"/>
              <w:rPr>
                <w:rFonts w:cs="Times New Roman"/>
                <w:sz w:val="18"/>
                <w:szCs w:val="18"/>
              </w:rPr>
            </w:pPr>
            <w:r>
              <w:rPr>
                <w:rFonts w:cs="Times New Roman"/>
                <w:sz w:val="18"/>
                <w:szCs w:val="18"/>
              </w:rPr>
              <w:t>30%</w:t>
            </w:r>
          </w:p>
        </w:tc>
        <w:tc>
          <w:tcPr>
            <w:tcW w:w="995" w:type="dxa"/>
            <w:shd w:val="clear" w:color="auto" w:fill="FFFFFF" w:themeFill="background1"/>
            <w:vAlign w:val="center"/>
          </w:tcPr>
          <w:p w:rsidR="008E5C9B" w:rsidRDefault="008E5C9B" w:rsidP="00412549">
            <w:pPr>
              <w:pStyle w:val="ListParagraph"/>
              <w:spacing w:after="0" w:line="180" w:lineRule="exact"/>
              <w:ind w:left="0"/>
              <w:jc w:val="center"/>
              <w:rPr>
                <w:rFonts w:cs="Times New Roman"/>
                <w:sz w:val="18"/>
                <w:szCs w:val="18"/>
              </w:rPr>
            </w:pPr>
            <w:r>
              <w:rPr>
                <w:rFonts w:cs="Times New Roman"/>
                <w:sz w:val="18"/>
                <w:szCs w:val="18"/>
              </w:rPr>
              <w:t>2004</w:t>
            </w:r>
            <w:r w:rsidR="002959FF">
              <w:rPr>
                <w:rFonts w:cs="Times New Roman"/>
                <w:sz w:val="18"/>
                <w:szCs w:val="18"/>
              </w:rPr>
              <w:t>1213</w:t>
            </w:r>
          </w:p>
        </w:tc>
      </w:tr>
      <w:tr w:rsidR="008E5C9B" w:rsidRPr="00396779" w:rsidTr="004B3225">
        <w:trPr>
          <w:trHeight w:val="125"/>
          <w:jc w:val="center"/>
        </w:trPr>
        <w:tc>
          <w:tcPr>
            <w:tcW w:w="4141" w:type="dxa"/>
            <w:gridSpan w:val="3"/>
            <w:vMerge/>
            <w:tcBorders>
              <w:right w:val="thinThickThinSmallGap" w:sz="24" w:space="0" w:color="auto"/>
            </w:tcBorders>
            <w:shd w:val="clear" w:color="auto" w:fill="FFFFFF" w:themeFill="background1"/>
            <w:vAlign w:val="center"/>
          </w:tcPr>
          <w:p w:rsidR="008E5C9B" w:rsidRPr="00396779" w:rsidRDefault="008E5C9B" w:rsidP="00412549">
            <w:pPr>
              <w:pStyle w:val="ListParagraph"/>
              <w:spacing w:line="180" w:lineRule="exact"/>
              <w:ind w:left="0"/>
              <w:jc w:val="center"/>
              <w:rPr>
                <w:rFonts w:cs="Times New Roman"/>
                <w:sz w:val="18"/>
                <w:szCs w:val="18"/>
              </w:rPr>
            </w:pPr>
          </w:p>
        </w:tc>
        <w:tc>
          <w:tcPr>
            <w:tcW w:w="2366" w:type="dxa"/>
            <w:tcBorders>
              <w:left w:val="thinThickThinSmallGap" w:sz="24" w:space="0" w:color="auto"/>
            </w:tcBorders>
            <w:shd w:val="clear" w:color="auto" w:fill="FFFFFF" w:themeFill="background1"/>
            <w:vAlign w:val="center"/>
          </w:tcPr>
          <w:p w:rsidR="008E5C9B" w:rsidRPr="00396779" w:rsidRDefault="008E5C9B" w:rsidP="00412549">
            <w:pPr>
              <w:pStyle w:val="ListParagraph"/>
              <w:spacing w:after="0" w:line="180" w:lineRule="exact"/>
              <w:ind w:left="0"/>
              <w:rPr>
                <w:rFonts w:cs="Times New Roman"/>
                <w:sz w:val="18"/>
                <w:szCs w:val="18"/>
              </w:rPr>
            </w:pPr>
            <w:r>
              <w:rPr>
                <w:rFonts w:cs="Times New Roman"/>
                <w:sz w:val="18"/>
                <w:szCs w:val="18"/>
              </w:rPr>
              <w:t>R Great Toe Bunionectomy</w:t>
            </w:r>
          </w:p>
        </w:tc>
        <w:tc>
          <w:tcPr>
            <w:tcW w:w="1080" w:type="dxa"/>
            <w:shd w:val="clear" w:color="auto" w:fill="FFFFFF" w:themeFill="background1"/>
            <w:vAlign w:val="center"/>
          </w:tcPr>
          <w:p w:rsidR="008E5C9B" w:rsidRPr="00396779" w:rsidRDefault="008E5C9B" w:rsidP="00412549">
            <w:pPr>
              <w:pStyle w:val="ListParagraph"/>
              <w:spacing w:after="0" w:line="180" w:lineRule="exact"/>
              <w:ind w:left="0"/>
              <w:jc w:val="center"/>
              <w:rPr>
                <w:rFonts w:cs="Times New Roman"/>
                <w:sz w:val="18"/>
                <w:szCs w:val="18"/>
              </w:rPr>
            </w:pPr>
            <w:r>
              <w:rPr>
                <w:rFonts w:cs="Times New Roman"/>
                <w:sz w:val="18"/>
                <w:szCs w:val="18"/>
              </w:rPr>
              <w:t>5280</w:t>
            </w:r>
          </w:p>
        </w:tc>
        <w:tc>
          <w:tcPr>
            <w:tcW w:w="837" w:type="dxa"/>
            <w:shd w:val="clear" w:color="auto" w:fill="FFFFFF" w:themeFill="background1"/>
            <w:vAlign w:val="center"/>
          </w:tcPr>
          <w:p w:rsidR="008E5C9B" w:rsidRPr="00396779" w:rsidRDefault="008E5C9B" w:rsidP="00412549">
            <w:pPr>
              <w:pStyle w:val="ListParagraph"/>
              <w:spacing w:after="0" w:line="180" w:lineRule="exact"/>
              <w:ind w:left="0"/>
              <w:jc w:val="center"/>
              <w:rPr>
                <w:rFonts w:cs="Times New Roman"/>
                <w:sz w:val="18"/>
                <w:szCs w:val="18"/>
              </w:rPr>
            </w:pPr>
            <w:r>
              <w:rPr>
                <w:rFonts w:cs="Times New Roman"/>
                <w:sz w:val="18"/>
                <w:szCs w:val="18"/>
              </w:rPr>
              <w:t>10%</w:t>
            </w:r>
          </w:p>
        </w:tc>
        <w:tc>
          <w:tcPr>
            <w:tcW w:w="995" w:type="dxa"/>
            <w:shd w:val="clear" w:color="auto" w:fill="FFFFFF" w:themeFill="background1"/>
            <w:vAlign w:val="center"/>
          </w:tcPr>
          <w:p w:rsidR="008E5C9B" w:rsidRPr="008F68B2" w:rsidRDefault="008E5C9B" w:rsidP="00412549">
            <w:pPr>
              <w:pStyle w:val="ListParagraph"/>
              <w:spacing w:after="0" w:line="180" w:lineRule="exact"/>
              <w:ind w:left="0"/>
              <w:jc w:val="center"/>
              <w:rPr>
                <w:rFonts w:cs="Times New Roman"/>
                <w:sz w:val="18"/>
                <w:szCs w:val="18"/>
              </w:rPr>
            </w:pPr>
            <w:r w:rsidRPr="008F68B2">
              <w:rPr>
                <w:rFonts w:cs="Times New Roman"/>
                <w:sz w:val="18"/>
                <w:szCs w:val="18"/>
              </w:rPr>
              <w:t>2004</w:t>
            </w:r>
            <w:r w:rsidR="002959FF">
              <w:rPr>
                <w:rFonts w:cs="Times New Roman"/>
                <w:sz w:val="18"/>
                <w:szCs w:val="18"/>
              </w:rPr>
              <w:t>1213</w:t>
            </w:r>
          </w:p>
        </w:tc>
      </w:tr>
      <w:tr w:rsidR="00C87F76" w:rsidRPr="00396779" w:rsidTr="004B3225">
        <w:trPr>
          <w:trHeight w:val="179"/>
          <w:jc w:val="center"/>
        </w:trPr>
        <w:tc>
          <w:tcPr>
            <w:tcW w:w="4141" w:type="dxa"/>
            <w:gridSpan w:val="3"/>
            <w:tcBorders>
              <w:right w:val="thinThickThinSmallGap" w:sz="24" w:space="0" w:color="auto"/>
            </w:tcBorders>
            <w:shd w:val="clear" w:color="auto" w:fill="D9D9D9" w:themeFill="background1" w:themeFillShade="D9"/>
            <w:vAlign w:val="center"/>
          </w:tcPr>
          <w:p w:rsidR="00C87F76" w:rsidRPr="00396779" w:rsidRDefault="00C87F76" w:rsidP="00412549">
            <w:pPr>
              <w:pStyle w:val="ListParagraph"/>
              <w:spacing w:after="0" w:line="200" w:lineRule="exact"/>
              <w:ind w:left="0"/>
              <w:jc w:val="center"/>
              <w:rPr>
                <w:rFonts w:cs="Times New Roman"/>
                <w:b/>
                <w:sz w:val="20"/>
                <w:szCs w:val="20"/>
              </w:rPr>
            </w:pPr>
            <w:r w:rsidRPr="00396779">
              <w:rPr>
                <w:rFonts w:cs="Times New Roman"/>
                <w:b/>
                <w:sz w:val="20"/>
                <w:szCs w:val="20"/>
              </w:rPr>
              <w:t xml:space="preserve">Combined: </w:t>
            </w:r>
            <w:r w:rsidR="00CF2D1E">
              <w:rPr>
                <w:rFonts w:cs="Times New Roman"/>
                <w:b/>
                <w:sz w:val="20"/>
                <w:szCs w:val="20"/>
              </w:rPr>
              <w:t xml:space="preserve"> </w:t>
            </w:r>
            <w:r w:rsidRPr="00396779">
              <w:rPr>
                <w:rFonts w:cs="Times New Roman"/>
                <w:b/>
                <w:sz w:val="20"/>
                <w:szCs w:val="20"/>
              </w:rPr>
              <w:t>0%</w:t>
            </w:r>
          </w:p>
        </w:tc>
        <w:tc>
          <w:tcPr>
            <w:tcW w:w="5278" w:type="dxa"/>
            <w:gridSpan w:val="4"/>
            <w:tcBorders>
              <w:left w:val="thinThickThinSmallGap" w:sz="24" w:space="0" w:color="auto"/>
            </w:tcBorders>
            <w:shd w:val="clear" w:color="auto" w:fill="D9D9D9" w:themeFill="background1" w:themeFillShade="D9"/>
            <w:vAlign w:val="center"/>
          </w:tcPr>
          <w:p w:rsidR="00C87F76" w:rsidRPr="00396779" w:rsidRDefault="00C87F76" w:rsidP="00412549">
            <w:pPr>
              <w:pStyle w:val="ListParagraph"/>
              <w:spacing w:after="0" w:line="200" w:lineRule="exact"/>
              <w:ind w:left="0"/>
              <w:jc w:val="center"/>
              <w:rPr>
                <w:rFonts w:cs="Times New Roman"/>
                <w:b/>
                <w:sz w:val="20"/>
                <w:szCs w:val="20"/>
              </w:rPr>
            </w:pPr>
            <w:r w:rsidRPr="00396779">
              <w:rPr>
                <w:rFonts w:cs="Times New Roman"/>
                <w:b/>
                <w:sz w:val="20"/>
                <w:szCs w:val="20"/>
              </w:rPr>
              <w:t>Combined</w:t>
            </w:r>
            <w:r w:rsidR="00EB3307" w:rsidRPr="00FB1725">
              <w:rPr>
                <w:rFonts w:cs="Times New Roman"/>
                <w:b/>
                <w:sz w:val="20"/>
                <w:szCs w:val="20"/>
              </w:rPr>
              <w:t>:</w:t>
            </w:r>
            <w:r w:rsidR="00CF2D1E">
              <w:rPr>
                <w:rFonts w:cs="Times New Roman"/>
                <w:b/>
                <w:sz w:val="20"/>
                <w:szCs w:val="20"/>
              </w:rPr>
              <w:t xml:space="preserve"> </w:t>
            </w:r>
            <w:r w:rsidRPr="00396779">
              <w:rPr>
                <w:rFonts w:cs="Times New Roman"/>
                <w:b/>
                <w:sz w:val="20"/>
                <w:szCs w:val="20"/>
              </w:rPr>
              <w:t xml:space="preserve"> </w:t>
            </w:r>
            <w:r w:rsidR="00374A92">
              <w:rPr>
                <w:rFonts w:cs="Times New Roman"/>
                <w:b/>
                <w:sz w:val="20"/>
                <w:szCs w:val="20"/>
              </w:rPr>
              <w:t>4</w:t>
            </w:r>
            <w:r w:rsidRPr="00396779">
              <w:rPr>
                <w:rFonts w:cs="Times New Roman"/>
                <w:b/>
                <w:sz w:val="20"/>
                <w:szCs w:val="20"/>
              </w:rPr>
              <w:t>0%</w:t>
            </w:r>
          </w:p>
        </w:tc>
      </w:tr>
    </w:tbl>
    <w:p w:rsidR="007F5B54" w:rsidRDefault="004B3225" w:rsidP="007F5B54">
      <w:pPr>
        <w:pBdr>
          <w:bottom w:val="single" w:sz="12" w:space="1" w:color="auto"/>
        </w:pBdr>
        <w:tabs>
          <w:tab w:val="left" w:pos="288"/>
        </w:tabs>
        <w:spacing w:line="240" w:lineRule="exact"/>
        <w:jc w:val="right"/>
        <w:rPr>
          <w:rFonts w:ascii="Calibri" w:hAnsi="Calibri"/>
          <w:color w:val="auto"/>
          <w:sz w:val="18"/>
          <w:szCs w:val="18"/>
        </w:rPr>
      </w:pP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sidR="00F76221">
        <w:rPr>
          <w:rFonts w:ascii="Calibri" w:hAnsi="Calibri"/>
          <w:color w:val="auto"/>
          <w:sz w:val="18"/>
          <w:szCs w:val="18"/>
        </w:rPr>
        <w:t xml:space="preserve">* Increased to 10% </w:t>
      </w:r>
      <w:r>
        <w:rPr>
          <w:rFonts w:ascii="Calibri" w:hAnsi="Calibri"/>
          <w:color w:val="auto"/>
          <w:sz w:val="18"/>
          <w:szCs w:val="18"/>
        </w:rPr>
        <w:t>(same code), effective 20061020 and</w:t>
      </w:r>
      <w:r w:rsidR="00F76221">
        <w:rPr>
          <w:rFonts w:ascii="Calibri" w:hAnsi="Calibri"/>
          <w:color w:val="auto"/>
          <w:sz w:val="18"/>
          <w:szCs w:val="18"/>
        </w:rPr>
        <w:t xml:space="preserve"> citing evidence from 2006.</w:t>
      </w:r>
    </w:p>
    <w:p w:rsidR="007F5B54" w:rsidRPr="007F5B54" w:rsidRDefault="007F5B54" w:rsidP="007F5B54">
      <w:pPr>
        <w:pBdr>
          <w:bottom w:val="single" w:sz="12" w:space="1" w:color="auto"/>
        </w:pBdr>
        <w:tabs>
          <w:tab w:val="left" w:pos="288"/>
        </w:tabs>
        <w:spacing w:line="240" w:lineRule="exact"/>
        <w:jc w:val="right"/>
        <w:rPr>
          <w:rFonts w:ascii="Calibri" w:hAnsi="Calibri"/>
          <w:color w:val="auto"/>
          <w:sz w:val="18"/>
          <w:szCs w:val="18"/>
        </w:rPr>
      </w:pPr>
    </w:p>
    <w:p w:rsidR="00106AD8" w:rsidRPr="00EC4F81" w:rsidRDefault="00106AD8" w:rsidP="00106AD8">
      <w:pPr>
        <w:tabs>
          <w:tab w:val="left" w:pos="288"/>
          <w:tab w:val="left" w:pos="4752"/>
        </w:tabs>
        <w:spacing w:line="240" w:lineRule="exact"/>
        <w:rPr>
          <w:rFonts w:ascii="Calibri" w:hAnsi="Calibri"/>
          <w:color w:val="auto"/>
          <w:szCs w:val="24"/>
        </w:rPr>
      </w:pPr>
    </w:p>
    <w:p w:rsidR="004B3225" w:rsidRPr="004B3225" w:rsidRDefault="002C6E5B" w:rsidP="004B3225">
      <w:pPr>
        <w:tabs>
          <w:tab w:val="left" w:pos="288"/>
          <w:tab w:val="left" w:pos="4752"/>
        </w:tabs>
        <w:spacing w:line="240" w:lineRule="exact"/>
        <w:jc w:val="both"/>
        <w:rPr>
          <w:rFonts w:ascii="Calibri" w:eastAsiaTheme="minorHAnsi" w:hAnsi="Calibri" w:cstheme="minorBid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4B3225" w:rsidRPr="004B3225">
        <w:rPr>
          <w:rFonts w:ascii="Calibri" w:eastAsiaTheme="minorHAnsi" w:hAnsi="Calibri" w:cstheme="minorBidi"/>
          <w:color w:val="auto"/>
          <w:szCs w:val="24"/>
        </w:rPr>
        <w:t>The Board note</w:t>
      </w:r>
      <w:r w:rsidR="004B3225">
        <w:rPr>
          <w:rFonts w:ascii="Calibri" w:eastAsiaTheme="minorHAnsi" w:hAnsi="Calibri" w:cstheme="minorBidi"/>
          <w:color w:val="auto"/>
          <w:szCs w:val="24"/>
        </w:rPr>
        <w:t>s</w:t>
      </w:r>
      <w:r w:rsidR="004B3225" w:rsidRPr="004B3225">
        <w:rPr>
          <w:rFonts w:ascii="Calibri" w:eastAsiaTheme="minorHAnsi" w:hAnsi="Calibri" w:cstheme="minorBidi"/>
          <w:color w:val="auto"/>
          <w:szCs w:val="24"/>
        </w:rPr>
        <w:t xml:space="preserve"> that the CI’s contended </w:t>
      </w:r>
      <w:r w:rsidR="004B3225">
        <w:rPr>
          <w:rFonts w:ascii="Calibri" w:eastAsiaTheme="minorHAnsi" w:hAnsi="Calibri" w:cstheme="minorBidi"/>
          <w:color w:val="auto"/>
          <w:szCs w:val="24"/>
        </w:rPr>
        <w:t xml:space="preserve">rating for his right </w:t>
      </w:r>
      <w:r w:rsidR="00917B50">
        <w:rPr>
          <w:rFonts w:ascii="Calibri" w:eastAsiaTheme="minorHAnsi" w:hAnsi="Calibri" w:cstheme="minorBidi"/>
          <w:color w:val="auto"/>
          <w:szCs w:val="24"/>
        </w:rPr>
        <w:t xml:space="preserve">groin </w:t>
      </w:r>
      <w:r w:rsidR="004B3225">
        <w:rPr>
          <w:rFonts w:ascii="Calibri" w:eastAsiaTheme="minorHAnsi" w:hAnsi="Calibri" w:cstheme="minorBidi"/>
          <w:color w:val="auto"/>
          <w:szCs w:val="24"/>
        </w:rPr>
        <w:t>condition</w:t>
      </w:r>
      <w:r w:rsidR="004B3225" w:rsidRPr="004B3225">
        <w:rPr>
          <w:rFonts w:ascii="Calibri" w:eastAsiaTheme="minorHAnsi" w:hAnsi="Calibri" w:cstheme="minorBidi"/>
          <w:color w:val="auto"/>
          <w:szCs w:val="24"/>
        </w:rPr>
        <w:t xml:space="preserve"> </w:t>
      </w:r>
      <w:r w:rsidR="004B3225">
        <w:rPr>
          <w:rFonts w:ascii="Calibri" w:eastAsiaTheme="minorHAnsi" w:hAnsi="Calibri" w:cstheme="minorBidi"/>
          <w:color w:val="auto"/>
          <w:szCs w:val="24"/>
        </w:rPr>
        <w:t xml:space="preserve">references </w:t>
      </w:r>
      <w:r w:rsidR="00917B50">
        <w:rPr>
          <w:rFonts w:ascii="Calibri" w:eastAsiaTheme="minorHAnsi" w:hAnsi="Calibri" w:cstheme="minorBidi"/>
          <w:color w:val="auto"/>
          <w:szCs w:val="24"/>
        </w:rPr>
        <w:t xml:space="preserve">a </w:t>
      </w:r>
      <w:r w:rsidR="004B3225" w:rsidRPr="004B3225">
        <w:rPr>
          <w:rFonts w:ascii="Calibri" w:eastAsiaTheme="minorHAnsi" w:hAnsi="Calibri" w:cstheme="minorBidi"/>
          <w:color w:val="auto"/>
          <w:szCs w:val="24"/>
        </w:rPr>
        <w:t xml:space="preserve">VA </w:t>
      </w:r>
      <w:r w:rsidR="00917B50">
        <w:rPr>
          <w:rFonts w:ascii="Calibri" w:eastAsiaTheme="minorHAnsi" w:hAnsi="Calibri" w:cstheme="minorBidi"/>
          <w:color w:val="auto"/>
          <w:szCs w:val="24"/>
        </w:rPr>
        <w:t xml:space="preserve">rating </w:t>
      </w:r>
      <w:r w:rsidR="001D0F2B">
        <w:rPr>
          <w:rFonts w:ascii="Calibri" w:eastAsiaTheme="minorHAnsi" w:hAnsi="Calibri" w:cstheme="minorBidi"/>
          <w:color w:val="auto"/>
          <w:szCs w:val="24"/>
        </w:rPr>
        <w:t>decision based on</w:t>
      </w:r>
      <w:r w:rsidR="00917B50">
        <w:rPr>
          <w:rFonts w:ascii="Calibri" w:eastAsiaTheme="minorHAnsi" w:hAnsi="Calibri" w:cstheme="minorBidi"/>
          <w:color w:val="auto"/>
          <w:szCs w:val="24"/>
        </w:rPr>
        <w:t xml:space="preserve"> </w:t>
      </w:r>
      <w:r w:rsidR="004B3225" w:rsidRPr="004B3225">
        <w:rPr>
          <w:rFonts w:ascii="Calibri" w:eastAsiaTheme="minorHAnsi" w:hAnsi="Calibri" w:cstheme="minorBidi"/>
          <w:color w:val="auto"/>
          <w:szCs w:val="24"/>
        </w:rPr>
        <w:t xml:space="preserve">evaluations performed </w:t>
      </w:r>
      <w:r w:rsidR="00917B50">
        <w:rPr>
          <w:rFonts w:ascii="Calibri" w:eastAsiaTheme="minorHAnsi" w:hAnsi="Calibri" w:cstheme="minorBidi"/>
          <w:color w:val="auto"/>
          <w:szCs w:val="24"/>
        </w:rPr>
        <w:t>over a year</w:t>
      </w:r>
      <w:r w:rsidR="004B3225" w:rsidRPr="004B3225">
        <w:rPr>
          <w:rFonts w:ascii="Calibri" w:eastAsiaTheme="minorHAnsi" w:hAnsi="Calibri" w:cstheme="minorBidi"/>
          <w:color w:val="auto"/>
          <w:szCs w:val="24"/>
        </w:rPr>
        <w:t xml:space="preserve"> after separation.  The Board’s operative instruction, DoDI 6040.44, specifies a 12 month interval for special consideration to VA findings.  This does not mean that later VA evidence </w:t>
      </w:r>
      <w:r w:rsidR="00917B50">
        <w:rPr>
          <w:rFonts w:ascii="Calibri" w:eastAsiaTheme="minorHAnsi" w:hAnsi="Calibri" w:cstheme="minorBidi"/>
          <w:color w:val="auto"/>
          <w:szCs w:val="24"/>
        </w:rPr>
        <w:t>is</w:t>
      </w:r>
      <w:r w:rsidR="004B3225" w:rsidRPr="004B3225">
        <w:rPr>
          <w:rFonts w:ascii="Calibri" w:eastAsiaTheme="minorHAnsi" w:hAnsi="Calibri" w:cstheme="minorBidi"/>
          <w:color w:val="auto"/>
          <w:szCs w:val="24"/>
        </w:rPr>
        <w:t xml:space="preserve"> disregarded, but the Board’s recommendations are directed to the severity and fitness implications of </w:t>
      </w:r>
      <w:r w:rsidR="004B3225" w:rsidRPr="004B3225">
        <w:rPr>
          <w:rFonts w:ascii="Calibri" w:eastAsiaTheme="minorHAnsi" w:hAnsi="Calibri" w:cstheme="minorBidi"/>
          <w:color w:val="auto"/>
          <w:szCs w:val="24"/>
        </w:rPr>
        <w:lastRenderedPageBreak/>
        <w:t xml:space="preserve">conditions at the time of separation.  In this circumstance, therefore, the evidence from the service record </w:t>
      </w:r>
      <w:r w:rsidR="00917B50">
        <w:rPr>
          <w:rFonts w:ascii="Calibri" w:eastAsiaTheme="minorHAnsi" w:hAnsi="Calibri" w:cstheme="minorBidi"/>
          <w:color w:val="auto"/>
          <w:szCs w:val="24"/>
        </w:rPr>
        <w:t>and the immediate post-separation VA evaluation are</w:t>
      </w:r>
      <w:r w:rsidR="004B3225" w:rsidRPr="004B3225">
        <w:rPr>
          <w:rFonts w:ascii="Calibri" w:eastAsiaTheme="minorHAnsi" w:hAnsi="Calibri" w:cstheme="minorBidi"/>
          <w:color w:val="auto"/>
          <w:szCs w:val="24"/>
        </w:rPr>
        <w:t xml:space="preserve"> assigned significantly more probative value as a basis for the Board’s recommendations.</w:t>
      </w:r>
    </w:p>
    <w:p w:rsidR="00203B01" w:rsidRDefault="00203B01" w:rsidP="00AF1668">
      <w:pPr>
        <w:tabs>
          <w:tab w:val="left" w:pos="288"/>
          <w:tab w:val="left" w:pos="4752"/>
        </w:tabs>
        <w:spacing w:line="240" w:lineRule="exact"/>
        <w:rPr>
          <w:rFonts w:asciiTheme="minorHAnsi" w:hAnsiTheme="minorHAnsi"/>
          <w:color w:val="auto"/>
          <w:szCs w:val="24"/>
        </w:rPr>
      </w:pPr>
    </w:p>
    <w:p w:rsidR="00383492" w:rsidRDefault="00AC2177" w:rsidP="00A95716">
      <w:pPr>
        <w:spacing w:line="240" w:lineRule="exact"/>
        <w:jc w:val="both"/>
        <w:rPr>
          <w:rFonts w:asciiTheme="minorHAnsi" w:hAnsiTheme="minorHAnsi"/>
          <w:color w:val="auto"/>
          <w:szCs w:val="24"/>
        </w:rPr>
      </w:pPr>
      <w:r w:rsidRPr="00A95716">
        <w:rPr>
          <w:rFonts w:asciiTheme="minorHAnsi" w:hAnsiTheme="minorHAnsi"/>
          <w:color w:val="auto"/>
          <w:szCs w:val="24"/>
          <w:u w:val="single"/>
        </w:rPr>
        <w:t xml:space="preserve">Right Groin </w:t>
      </w:r>
      <w:r>
        <w:rPr>
          <w:rFonts w:asciiTheme="minorHAnsi" w:hAnsiTheme="minorHAnsi"/>
          <w:color w:val="auto"/>
          <w:szCs w:val="24"/>
          <w:u w:val="single"/>
        </w:rPr>
        <w:t>Condition</w:t>
      </w:r>
      <w:r w:rsidR="002B1EE0" w:rsidRPr="00A95716">
        <w:rPr>
          <w:rFonts w:asciiTheme="minorHAnsi" w:hAnsiTheme="minorHAnsi"/>
          <w:color w:val="auto"/>
          <w:szCs w:val="24"/>
        </w:rPr>
        <w:t>.</w:t>
      </w:r>
      <w:r w:rsidR="00201D24" w:rsidRPr="00A95716">
        <w:rPr>
          <w:rFonts w:asciiTheme="minorHAnsi" w:hAnsiTheme="minorHAnsi"/>
          <w:color w:val="auto"/>
          <w:szCs w:val="24"/>
        </w:rPr>
        <w:t xml:space="preserve">  </w:t>
      </w:r>
      <w:r w:rsidR="00162C32" w:rsidRPr="00A95716">
        <w:rPr>
          <w:rFonts w:asciiTheme="minorHAnsi" w:hAnsiTheme="minorHAnsi"/>
          <w:color w:val="auto"/>
          <w:szCs w:val="24"/>
        </w:rPr>
        <w:t xml:space="preserve">The </w:t>
      </w:r>
      <w:r w:rsidR="000D39AD">
        <w:rPr>
          <w:rFonts w:asciiTheme="minorHAnsi" w:hAnsiTheme="minorHAnsi"/>
          <w:color w:val="auto"/>
          <w:szCs w:val="24"/>
        </w:rPr>
        <w:t>NARSUM</w:t>
      </w:r>
      <w:r w:rsidR="00162C32" w:rsidRPr="00A95716">
        <w:rPr>
          <w:rFonts w:asciiTheme="minorHAnsi" w:hAnsiTheme="minorHAnsi"/>
          <w:color w:val="auto"/>
          <w:szCs w:val="24"/>
        </w:rPr>
        <w:t xml:space="preserve"> </w:t>
      </w:r>
      <w:r w:rsidR="00DA4B89">
        <w:rPr>
          <w:rFonts w:asciiTheme="minorHAnsi" w:hAnsiTheme="minorHAnsi"/>
          <w:color w:val="auto"/>
          <w:szCs w:val="24"/>
        </w:rPr>
        <w:t xml:space="preserve">examiner </w:t>
      </w:r>
      <w:r w:rsidR="00162C32" w:rsidRPr="00A95716">
        <w:rPr>
          <w:rFonts w:asciiTheme="minorHAnsi" w:hAnsiTheme="minorHAnsi"/>
          <w:color w:val="auto"/>
          <w:szCs w:val="24"/>
        </w:rPr>
        <w:t>noted constant pain in the right groin</w:t>
      </w:r>
      <w:r w:rsidR="00DA4B89">
        <w:rPr>
          <w:rFonts w:asciiTheme="minorHAnsi" w:hAnsiTheme="minorHAnsi"/>
          <w:color w:val="auto"/>
          <w:szCs w:val="24"/>
        </w:rPr>
        <w:t>, exacerbated by various activities and associated with</w:t>
      </w:r>
      <w:r w:rsidR="000D39AD">
        <w:rPr>
          <w:rFonts w:asciiTheme="minorHAnsi" w:hAnsiTheme="minorHAnsi"/>
          <w:color w:val="auto"/>
          <w:szCs w:val="24"/>
        </w:rPr>
        <w:t xml:space="preserve"> painful erections.  The p</w:t>
      </w:r>
      <w:r w:rsidR="00162C32" w:rsidRPr="00A95716">
        <w:rPr>
          <w:rFonts w:asciiTheme="minorHAnsi" w:hAnsiTheme="minorHAnsi"/>
          <w:color w:val="auto"/>
          <w:szCs w:val="24"/>
        </w:rPr>
        <w:t xml:space="preserve">hysical exam </w:t>
      </w:r>
      <w:r w:rsidR="000D39AD">
        <w:rPr>
          <w:rFonts w:asciiTheme="minorHAnsi" w:hAnsiTheme="minorHAnsi"/>
          <w:color w:val="auto"/>
          <w:szCs w:val="24"/>
        </w:rPr>
        <w:t xml:space="preserve">documented </w:t>
      </w:r>
      <w:r w:rsidR="00162C32" w:rsidRPr="00A95716">
        <w:rPr>
          <w:rFonts w:asciiTheme="minorHAnsi" w:hAnsiTheme="minorHAnsi"/>
          <w:color w:val="auto"/>
          <w:szCs w:val="24"/>
        </w:rPr>
        <w:t>tenderness over the incision site</w:t>
      </w:r>
      <w:r w:rsidR="00DA4B89">
        <w:rPr>
          <w:rFonts w:asciiTheme="minorHAnsi" w:hAnsiTheme="minorHAnsi"/>
          <w:color w:val="auto"/>
          <w:szCs w:val="24"/>
        </w:rPr>
        <w:t xml:space="preserve">, but no other abnormalities or positive neurologic findings.  The examiner concluded, </w:t>
      </w:r>
      <w:r w:rsidR="00DA4B89" w:rsidRPr="00DA4B89">
        <w:rPr>
          <w:rFonts w:asciiTheme="minorHAnsi" w:hAnsiTheme="minorHAnsi"/>
          <w:color w:val="auto"/>
          <w:szCs w:val="24"/>
        </w:rPr>
        <w:t xml:space="preserve">"[CI] is suffering from neuropathic pain most probably of the </w:t>
      </w:r>
      <w:proofErr w:type="spellStart"/>
      <w:r w:rsidR="00DA4B89" w:rsidRPr="00DA4B89">
        <w:rPr>
          <w:rFonts w:asciiTheme="minorHAnsi" w:hAnsiTheme="minorHAnsi"/>
          <w:color w:val="auto"/>
          <w:szCs w:val="24"/>
        </w:rPr>
        <w:t>genitofemoral</w:t>
      </w:r>
      <w:proofErr w:type="spellEnd"/>
      <w:r w:rsidR="00DA4B89" w:rsidRPr="00DA4B89">
        <w:rPr>
          <w:rFonts w:asciiTheme="minorHAnsi" w:hAnsiTheme="minorHAnsi"/>
          <w:color w:val="auto"/>
          <w:szCs w:val="24"/>
        </w:rPr>
        <w:t xml:space="preserve"> nerve, although the </w:t>
      </w:r>
      <w:proofErr w:type="spellStart"/>
      <w:r w:rsidR="00DA4B89" w:rsidRPr="00DA4B89">
        <w:rPr>
          <w:rFonts w:asciiTheme="minorHAnsi" w:hAnsiTheme="minorHAnsi"/>
          <w:color w:val="auto"/>
          <w:szCs w:val="24"/>
        </w:rPr>
        <w:t>ilioinguinal</w:t>
      </w:r>
      <w:proofErr w:type="spellEnd"/>
      <w:r w:rsidR="00DA4B89" w:rsidRPr="00DA4B89">
        <w:rPr>
          <w:rFonts w:asciiTheme="minorHAnsi" w:hAnsiTheme="minorHAnsi"/>
          <w:color w:val="auto"/>
          <w:szCs w:val="24"/>
        </w:rPr>
        <w:t xml:space="preserve"> nerve and </w:t>
      </w:r>
      <w:proofErr w:type="spellStart"/>
      <w:r w:rsidR="00DA4B89" w:rsidRPr="00DA4B89">
        <w:rPr>
          <w:rFonts w:asciiTheme="minorHAnsi" w:hAnsiTheme="minorHAnsi"/>
          <w:color w:val="auto"/>
          <w:szCs w:val="24"/>
        </w:rPr>
        <w:t>iliohypogastric</w:t>
      </w:r>
      <w:proofErr w:type="spellEnd"/>
      <w:r w:rsidR="00DA4B89" w:rsidRPr="00DA4B89">
        <w:rPr>
          <w:rFonts w:asciiTheme="minorHAnsi" w:hAnsiTheme="minorHAnsi"/>
          <w:color w:val="auto"/>
          <w:szCs w:val="24"/>
        </w:rPr>
        <w:t xml:space="preserve"> nerve may be involved as well."</w:t>
      </w:r>
      <w:r w:rsidR="00DA4B89">
        <w:rPr>
          <w:rFonts w:asciiTheme="minorHAnsi" w:hAnsiTheme="minorHAnsi"/>
          <w:color w:val="auto"/>
          <w:szCs w:val="24"/>
        </w:rPr>
        <w:t xml:space="preserve">  </w:t>
      </w:r>
      <w:r w:rsidR="001B3A1C" w:rsidRPr="00A95716">
        <w:rPr>
          <w:rFonts w:asciiTheme="minorHAnsi" w:hAnsiTheme="minorHAnsi"/>
          <w:color w:val="auto"/>
          <w:szCs w:val="24"/>
        </w:rPr>
        <w:t>At the VA C</w:t>
      </w:r>
      <w:r w:rsidR="009F4366" w:rsidRPr="00A95716">
        <w:rPr>
          <w:rFonts w:asciiTheme="minorHAnsi" w:hAnsiTheme="minorHAnsi"/>
          <w:color w:val="auto"/>
          <w:szCs w:val="24"/>
        </w:rPr>
        <w:t xml:space="preserve">ompensation and </w:t>
      </w:r>
      <w:r w:rsidR="001B3A1C" w:rsidRPr="00A95716">
        <w:rPr>
          <w:rFonts w:asciiTheme="minorHAnsi" w:hAnsiTheme="minorHAnsi"/>
          <w:color w:val="auto"/>
          <w:szCs w:val="24"/>
        </w:rPr>
        <w:t>P</w:t>
      </w:r>
      <w:r w:rsidR="007F5B54">
        <w:rPr>
          <w:rFonts w:asciiTheme="minorHAnsi" w:hAnsiTheme="minorHAnsi"/>
          <w:color w:val="auto"/>
          <w:szCs w:val="24"/>
        </w:rPr>
        <w:t xml:space="preserve">ension (C&amp;P) exam </w:t>
      </w:r>
      <w:r w:rsidR="002959FF">
        <w:rPr>
          <w:rFonts w:asciiTheme="minorHAnsi" w:hAnsiTheme="minorHAnsi"/>
          <w:color w:val="auto"/>
          <w:szCs w:val="24"/>
        </w:rPr>
        <w:t xml:space="preserve">soon </w:t>
      </w:r>
      <w:r w:rsidR="009F4366" w:rsidRPr="00A95716">
        <w:rPr>
          <w:rFonts w:asciiTheme="minorHAnsi" w:hAnsiTheme="minorHAnsi"/>
          <w:color w:val="auto"/>
          <w:szCs w:val="24"/>
        </w:rPr>
        <w:t xml:space="preserve">after separation, </w:t>
      </w:r>
      <w:r w:rsidR="007F5B54">
        <w:rPr>
          <w:rFonts w:asciiTheme="minorHAnsi" w:hAnsiTheme="minorHAnsi"/>
          <w:color w:val="auto"/>
          <w:szCs w:val="24"/>
        </w:rPr>
        <w:t>the examiner recorded</w:t>
      </w:r>
      <w:r w:rsidR="009F4366" w:rsidRPr="00A95716">
        <w:rPr>
          <w:rFonts w:asciiTheme="minorHAnsi" w:hAnsiTheme="minorHAnsi"/>
          <w:color w:val="auto"/>
          <w:szCs w:val="24"/>
        </w:rPr>
        <w:t xml:space="preserve"> daily pain with flares </w:t>
      </w:r>
      <w:r w:rsidR="001B3A1C" w:rsidRPr="00A95716">
        <w:rPr>
          <w:rFonts w:asciiTheme="minorHAnsi" w:hAnsiTheme="minorHAnsi"/>
          <w:color w:val="auto"/>
          <w:szCs w:val="24"/>
        </w:rPr>
        <w:t>five</w:t>
      </w:r>
      <w:r w:rsidR="008D2C2C" w:rsidRPr="00A95716">
        <w:rPr>
          <w:rFonts w:asciiTheme="minorHAnsi" w:hAnsiTheme="minorHAnsi"/>
          <w:color w:val="auto"/>
          <w:szCs w:val="24"/>
        </w:rPr>
        <w:t xml:space="preserve"> to </w:t>
      </w:r>
      <w:r w:rsidR="001B3A1C" w:rsidRPr="00A95716">
        <w:rPr>
          <w:rFonts w:asciiTheme="minorHAnsi" w:hAnsiTheme="minorHAnsi"/>
          <w:color w:val="auto"/>
          <w:szCs w:val="24"/>
        </w:rPr>
        <w:t>six</w:t>
      </w:r>
      <w:r w:rsidR="009F4366" w:rsidRPr="00A95716">
        <w:rPr>
          <w:rFonts w:asciiTheme="minorHAnsi" w:hAnsiTheme="minorHAnsi"/>
          <w:color w:val="auto"/>
          <w:szCs w:val="24"/>
        </w:rPr>
        <w:t xml:space="preserve"> times per day</w:t>
      </w:r>
      <w:r w:rsidR="002959FF">
        <w:rPr>
          <w:rFonts w:asciiTheme="minorHAnsi" w:hAnsiTheme="minorHAnsi"/>
          <w:color w:val="auto"/>
          <w:szCs w:val="24"/>
        </w:rPr>
        <w:t xml:space="preserve"> and painful ambulation limited to one mile</w:t>
      </w:r>
      <w:r w:rsidR="008D2C2C" w:rsidRPr="00A95716">
        <w:rPr>
          <w:rFonts w:asciiTheme="minorHAnsi" w:hAnsiTheme="minorHAnsi"/>
          <w:color w:val="auto"/>
          <w:szCs w:val="24"/>
        </w:rPr>
        <w:t xml:space="preserve">.  </w:t>
      </w:r>
      <w:r w:rsidR="002959FF">
        <w:rPr>
          <w:rFonts w:asciiTheme="minorHAnsi" w:hAnsiTheme="minorHAnsi"/>
          <w:color w:val="auto"/>
          <w:szCs w:val="24"/>
        </w:rPr>
        <w:t xml:space="preserve">The exam documented </w:t>
      </w:r>
      <w:r w:rsidR="002959FF" w:rsidRPr="00A95716">
        <w:rPr>
          <w:rFonts w:asciiTheme="minorHAnsi" w:hAnsiTheme="minorHAnsi"/>
          <w:color w:val="auto"/>
          <w:szCs w:val="24"/>
        </w:rPr>
        <w:t>normal gait and posture</w:t>
      </w:r>
      <w:r w:rsidR="002959FF">
        <w:rPr>
          <w:rFonts w:asciiTheme="minorHAnsi" w:hAnsiTheme="minorHAnsi"/>
          <w:color w:val="auto"/>
          <w:szCs w:val="24"/>
        </w:rPr>
        <w:t>,</w:t>
      </w:r>
      <w:r w:rsidR="002959FF" w:rsidRPr="00A95716">
        <w:rPr>
          <w:rFonts w:asciiTheme="minorHAnsi" w:hAnsiTheme="minorHAnsi"/>
          <w:color w:val="auto"/>
          <w:szCs w:val="24"/>
        </w:rPr>
        <w:t xml:space="preserve"> although toe and tandem walking were painful.  </w:t>
      </w:r>
      <w:r w:rsidR="008D2C2C" w:rsidRPr="00A95716">
        <w:rPr>
          <w:rFonts w:asciiTheme="minorHAnsi" w:hAnsiTheme="minorHAnsi"/>
          <w:color w:val="auto"/>
          <w:szCs w:val="24"/>
        </w:rPr>
        <w:t xml:space="preserve">Tenderness was noted at the </w:t>
      </w:r>
      <w:r w:rsidR="00383492">
        <w:rPr>
          <w:rFonts w:asciiTheme="minorHAnsi" w:hAnsiTheme="minorHAnsi"/>
          <w:color w:val="auto"/>
          <w:szCs w:val="24"/>
        </w:rPr>
        <w:t>hernia</w:t>
      </w:r>
      <w:r w:rsidR="008D2C2C" w:rsidRPr="00A95716">
        <w:rPr>
          <w:rFonts w:asciiTheme="minorHAnsi" w:hAnsiTheme="minorHAnsi"/>
          <w:color w:val="auto"/>
          <w:szCs w:val="24"/>
        </w:rPr>
        <w:t xml:space="preserve"> </w:t>
      </w:r>
      <w:r w:rsidR="00383492">
        <w:rPr>
          <w:rFonts w:asciiTheme="minorHAnsi" w:hAnsiTheme="minorHAnsi"/>
          <w:color w:val="auto"/>
          <w:szCs w:val="24"/>
        </w:rPr>
        <w:t>scar</w:t>
      </w:r>
      <w:r w:rsidR="008D2C2C" w:rsidRPr="00A95716">
        <w:rPr>
          <w:rFonts w:asciiTheme="minorHAnsi" w:hAnsiTheme="minorHAnsi"/>
          <w:color w:val="auto"/>
          <w:szCs w:val="24"/>
        </w:rPr>
        <w:t xml:space="preserve"> and in the inguinal canal.  No hernia was detected.  The remainder of the exam</w:t>
      </w:r>
      <w:r w:rsidR="00F760D1" w:rsidRPr="00A95716">
        <w:rPr>
          <w:rFonts w:asciiTheme="minorHAnsi" w:hAnsiTheme="minorHAnsi"/>
          <w:color w:val="auto"/>
          <w:szCs w:val="24"/>
        </w:rPr>
        <w:t xml:space="preserve"> was unremarkable</w:t>
      </w:r>
      <w:r w:rsidR="00B4731A" w:rsidRPr="00A95716">
        <w:rPr>
          <w:rFonts w:asciiTheme="minorHAnsi" w:hAnsiTheme="minorHAnsi"/>
          <w:color w:val="auto"/>
          <w:szCs w:val="24"/>
        </w:rPr>
        <w:t xml:space="preserve"> other than </w:t>
      </w:r>
      <w:r w:rsidR="00383492">
        <w:rPr>
          <w:rFonts w:asciiTheme="minorHAnsi" w:hAnsiTheme="minorHAnsi"/>
          <w:color w:val="auto"/>
          <w:szCs w:val="24"/>
        </w:rPr>
        <w:t xml:space="preserve">some distal </w:t>
      </w:r>
      <w:r w:rsidR="001D0F2B">
        <w:rPr>
          <w:rFonts w:asciiTheme="minorHAnsi" w:hAnsiTheme="minorHAnsi"/>
          <w:color w:val="auto"/>
          <w:szCs w:val="24"/>
        </w:rPr>
        <w:t xml:space="preserve">mild </w:t>
      </w:r>
      <w:r w:rsidR="00383492">
        <w:rPr>
          <w:rFonts w:asciiTheme="minorHAnsi" w:hAnsiTheme="minorHAnsi"/>
          <w:color w:val="auto"/>
          <w:szCs w:val="24"/>
        </w:rPr>
        <w:t>sensory findings</w:t>
      </w:r>
      <w:r w:rsidR="005333E9" w:rsidRPr="00A95716">
        <w:rPr>
          <w:rFonts w:asciiTheme="minorHAnsi" w:hAnsiTheme="minorHAnsi"/>
          <w:color w:val="auto"/>
          <w:szCs w:val="24"/>
        </w:rPr>
        <w:t xml:space="preserve">.  </w:t>
      </w:r>
      <w:r w:rsidR="00383492">
        <w:rPr>
          <w:rFonts w:asciiTheme="minorHAnsi" w:hAnsiTheme="minorHAnsi"/>
          <w:color w:val="auto"/>
          <w:szCs w:val="24"/>
        </w:rPr>
        <w:t xml:space="preserve">The only new features quoted in the </w:t>
      </w:r>
      <w:r w:rsidR="001C3587">
        <w:rPr>
          <w:rFonts w:asciiTheme="minorHAnsi" w:hAnsiTheme="minorHAnsi"/>
          <w:color w:val="auto"/>
          <w:szCs w:val="24"/>
        </w:rPr>
        <w:t xml:space="preserve">2006 </w:t>
      </w:r>
      <w:r w:rsidR="00383492">
        <w:rPr>
          <w:rFonts w:asciiTheme="minorHAnsi" w:hAnsiTheme="minorHAnsi"/>
          <w:color w:val="auto"/>
          <w:szCs w:val="24"/>
        </w:rPr>
        <w:t xml:space="preserve">VA rating decision </w:t>
      </w:r>
      <w:r w:rsidR="005F2744">
        <w:rPr>
          <w:rFonts w:asciiTheme="minorHAnsi" w:hAnsiTheme="minorHAnsi"/>
          <w:color w:val="auto"/>
          <w:szCs w:val="24"/>
        </w:rPr>
        <w:t xml:space="preserve"> </w:t>
      </w:r>
      <w:r w:rsidR="00383492">
        <w:rPr>
          <w:rFonts w:asciiTheme="minorHAnsi" w:hAnsiTheme="minorHAnsi"/>
          <w:color w:val="auto"/>
          <w:szCs w:val="24"/>
        </w:rPr>
        <w:t xml:space="preserve">which raised the rating to 10% under the new code were: “you are awakened several times nightly due to right groin pain </w:t>
      </w:r>
      <w:r w:rsidR="001C3587">
        <w:rPr>
          <w:rFonts w:asciiTheme="minorHAnsi" w:hAnsiTheme="minorHAnsi"/>
          <w:color w:val="auto"/>
          <w:szCs w:val="24"/>
        </w:rPr>
        <w:t>…</w:t>
      </w:r>
      <w:r w:rsidR="001D0F2B">
        <w:rPr>
          <w:rFonts w:asciiTheme="minorHAnsi" w:hAnsiTheme="minorHAnsi"/>
          <w:color w:val="auto"/>
          <w:szCs w:val="24"/>
        </w:rPr>
        <w:t xml:space="preserve"> </w:t>
      </w:r>
      <w:r w:rsidR="00383492">
        <w:rPr>
          <w:rFonts w:asciiTheme="minorHAnsi" w:hAnsiTheme="minorHAnsi"/>
          <w:color w:val="auto"/>
          <w:szCs w:val="24"/>
        </w:rPr>
        <w:t>marked tenderness to palpation deep in the inguinal ring</w:t>
      </w:r>
      <w:r w:rsidR="001D0F2B">
        <w:rPr>
          <w:rFonts w:asciiTheme="minorHAnsi" w:hAnsiTheme="minorHAnsi"/>
          <w:color w:val="auto"/>
          <w:szCs w:val="24"/>
        </w:rPr>
        <w:t xml:space="preserve"> … </w:t>
      </w:r>
      <w:r w:rsidR="001C3587">
        <w:rPr>
          <w:rFonts w:asciiTheme="minorHAnsi" w:hAnsiTheme="minorHAnsi"/>
          <w:color w:val="auto"/>
          <w:szCs w:val="24"/>
        </w:rPr>
        <w:t>recurrence of the hernia was not described</w:t>
      </w:r>
      <w:r w:rsidR="00C67940">
        <w:rPr>
          <w:rFonts w:asciiTheme="minorHAnsi" w:hAnsiTheme="minorHAnsi"/>
          <w:color w:val="auto"/>
          <w:szCs w:val="24"/>
        </w:rPr>
        <w:t>.</w:t>
      </w:r>
      <w:r w:rsidR="001C3587">
        <w:rPr>
          <w:rFonts w:asciiTheme="minorHAnsi" w:hAnsiTheme="minorHAnsi"/>
          <w:color w:val="auto"/>
          <w:szCs w:val="24"/>
        </w:rPr>
        <w:t>”</w:t>
      </w:r>
    </w:p>
    <w:p w:rsidR="00383492" w:rsidRDefault="00383492" w:rsidP="00A95716">
      <w:pPr>
        <w:spacing w:line="240" w:lineRule="exact"/>
        <w:jc w:val="both"/>
        <w:rPr>
          <w:rFonts w:asciiTheme="minorHAnsi" w:hAnsiTheme="minorHAnsi"/>
          <w:color w:val="auto"/>
          <w:szCs w:val="24"/>
        </w:rPr>
      </w:pPr>
    </w:p>
    <w:p w:rsidR="00A83D36" w:rsidRDefault="00383492" w:rsidP="00A95716">
      <w:pPr>
        <w:spacing w:line="240" w:lineRule="exact"/>
        <w:jc w:val="both"/>
        <w:rPr>
          <w:rFonts w:asciiTheme="minorHAnsi" w:hAnsiTheme="minorHAnsi"/>
          <w:color w:val="auto"/>
          <w:szCs w:val="24"/>
        </w:rPr>
      </w:pPr>
      <w:r w:rsidRPr="001C3587">
        <w:rPr>
          <w:rFonts w:asciiTheme="minorHAnsi" w:hAnsiTheme="minorHAnsi"/>
          <w:color w:val="auto"/>
          <w:szCs w:val="24"/>
        </w:rPr>
        <w:t xml:space="preserve">The Board directs its attention to </w:t>
      </w:r>
      <w:r w:rsidR="00A83D36" w:rsidRPr="001C3587">
        <w:rPr>
          <w:rFonts w:asciiTheme="minorHAnsi" w:hAnsiTheme="minorHAnsi"/>
          <w:color w:val="auto"/>
          <w:szCs w:val="24"/>
        </w:rPr>
        <w:t>its</w:t>
      </w:r>
      <w:r w:rsidRPr="001C3587">
        <w:rPr>
          <w:rFonts w:asciiTheme="minorHAnsi" w:hAnsiTheme="minorHAnsi"/>
          <w:color w:val="auto"/>
          <w:szCs w:val="24"/>
        </w:rPr>
        <w:t xml:space="preserve"> rating recommendation </w:t>
      </w:r>
      <w:r w:rsidR="00A83D36" w:rsidRPr="001C3587">
        <w:rPr>
          <w:rFonts w:asciiTheme="minorHAnsi" w:hAnsiTheme="minorHAnsi"/>
          <w:color w:val="auto"/>
          <w:szCs w:val="24"/>
        </w:rPr>
        <w:t xml:space="preserve">based on the above evidence.  </w:t>
      </w:r>
      <w:r w:rsidR="00F760D1" w:rsidRPr="001C3587">
        <w:rPr>
          <w:rFonts w:asciiTheme="minorHAnsi" w:hAnsiTheme="minorHAnsi"/>
          <w:color w:val="auto"/>
          <w:szCs w:val="24"/>
        </w:rPr>
        <w:t xml:space="preserve">The PEB and VA coding </w:t>
      </w:r>
      <w:r w:rsidR="00A83D36" w:rsidRPr="001C3587">
        <w:rPr>
          <w:rFonts w:asciiTheme="minorHAnsi" w:hAnsiTheme="minorHAnsi"/>
          <w:color w:val="auto"/>
          <w:szCs w:val="24"/>
        </w:rPr>
        <w:t>variations both defaulted to rating under 8730 for ilioinguinal neuralgia</w:t>
      </w:r>
      <w:r w:rsidR="001C3587">
        <w:rPr>
          <w:rFonts w:asciiTheme="minorHAnsi" w:hAnsiTheme="minorHAnsi"/>
          <w:color w:val="auto"/>
          <w:szCs w:val="24"/>
        </w:rPr>
        <w:t xml:space="preserve">, </w:t>
      </w:r>
      <w:r w:rsidR="001C3587" w:rsidRPr="001C3587">
        <w:rPr>
          <w:rFonts w:asciiTheme="minorHAnsi" w:hAnsiTheme="minorHAnsi"/>
          <w:color w:val="auto"/>
          <w:szCs w:val="24"/>
        </w:rPr>
        <w:t>although the</w:t>
      </w:r>
      <w:r w:rsidR="005F2744" w:rsidRPr="001C3587">
        <w:rPr>
          <w:rFonts w:asciiTheme="minorHAnsi" w:hAnsiTheme="minorHAnsi"/>
          <w:color w:val="auto"/>
          <w:szCs w:val="24"/>
        </w:rPr>
        <w:t xml:space="preserve"> VA also </w:t>
      </w:r>
      <w:r w:rsidR="001C3587">
        <w:rPr>
          <w:rFonts w:asciiTheme="minorHAnsi" w:hAnsiTheme="minorHAnsi"/>
          <w:color w:val="auto"/>
          <w:szCs w:val="24"/>
        </w:rPr>
        <w:t>added</w:t>
      </w:r>
      <w:r w:rsidR="001D0F2B">
        <w:rPr>
          <w:rFonts w:asciiTheme="minorHAnsi" w:hAnsiTheme="minorHAnsi"/>
          <w:color w:val="auto"/>
          <w:szCs w:val="24"/>
        </w:rPr>
        <w:t xml:space="preserve"> a </w:t>
      </w:r>
      <w:r w:rsidR="005F2744" w:rsidRPr="001C3587">
        <w:rPr>
          <w:rFonts w:asciiTheme="minorHAnsi" w:hAnsiTheme="minorHAnsi"/>
          <w:color w:val="auto"/>
          <w:szCs w:val="24"/>
        </w:rPr>
        <w:t>7338</w:t>
      </w:r>
      <w:r w:rsidR="001D0F2B">
        <w:rPr>
          <w:rFonts w:asciiTheme="minorHAnsi" w:hAnsiTheme="minorHAnsi"/>
          <w:color w:val="auto"/>
          <w:szCs w:val="24"/>
        </w:rPr>
        <w:t xml:space="preserve"> (inguinal hernia) prefix</w:t>
      </w:r>
      <w:r w:rsidR="005F2744" w:rsidRPr="001C3587">
        <w:rPr>
          <w:rFonts w:asciiTheme="minorHAnsi" w:hAnsiTheme="minorHAnsi"/>
          <w:color w:val="auto"/>
          <w:szCs w:val="24"/>
        </w:rPr>
        <w:t xml:space="preserve">. </w:t>
      </w:r>
      <w:r w:rsidR="00A83D36" w:rsidRPr="001C3587">
        <w:rPr>
          <w:rFonts w:asciiTheme="minorHAnsi" w:hAnsiTheme="minorHAnsi"/>
          <w:color w:val="auto"/>
          <w:szCs w:val="24"/>
        </w:rPr>
        <w:t xml:space="preserve"> Rating under the peripheral nerve code is the optim</w:t>
      </w:r>
      <w:r w:rsidR="001D0F2B">
        <w:rPr>
          <w:rFonts w:asciiTheme="minorHAnsi" w:hAnsiTheme="minorHAnsi"/>
          <w:color w:val="auto"/>
          <w:szCs w:val="24"/>
        </w:rPr>
        <w:t>al VASRD approach for this case and accurately captures the rated disability; and, 7338 criteria yield a non-compensable rating in this instance.</w:t>
      </w:r>
      <w:r w:rsidR="00A83D36" w:rsidRPr="001C3587">
        <w:rPr>
          <w:rFonts w:asciiTheme="minorHAnsi" w:hAnsiTheme="minorHAnsi"/>
          <w:color w:val="auto"/>
          <w:szCs w:val="24"/>
        </w:rPr>
        <w:t xml:space="preserve">  </w:t>
      </w:r>
      <w:r w:rsidR="00F72E41">
        <w:rPr>
          <w:rFonts w:asciiTheme="minorHAnsi" w:hAnsiTheme="minorHAnsi"/>
          <w:color w:val="auto"/>
          <w:szCs w:val="24"/>
        </w:rPr>
        <w:t>The applicable peripheral nerve code for this case and relevant VASRD directions are excerpted below.</w:t>
      </w:r>
    </w:p>
    <w:p w:rsidR="00F72E41" w:rsidRDefault="00F72E41" w:rsidP="00A95716">
      <w:pPr>
        <w:spacing w:line="240" w:lineRule="exact"/>
        <w:jc w:val="both"/>
        <w:rPr>
          <w:rFonts w:asciiTheme="minorHAnsi" w:hAnsiTheme="minorHAnsi"/>
          <w:color w:val="auto"/>
          <w:szCs w:val="24"/>
        </w:rPr>
      </w:pPr>
    </w:p>
    <w:p w:rsidR="00F72E41" w:rsidRPr="00F72E41" w:rsidRDefault="00F72E41" w:rsidP="00F72E41">
      <w:pPr>
        <w:tabs>
          <w:tab w:val="left" w:pos="360"/>
          <w:tab w:val="left" w:pos="720"/>
          <w:tab w:val="left" w:pos="1080"/>
          <w:tab w:val="left" w:pos="1440"/>
          <w:tab w:val="left" w:pos="1800"/>
          <w:tab w:val="left" w:pos="2160"/>
          <w:tab w:val="left" w:leader="dot" w:pos="3168"/>
          <w:tab w:val="left" w:leader="dot" w:pos="4464"/>
          <w:tab w:val="left" w:leader="dot" w:pos="4896"/>
          <w:tab w:val="left" w:leader="dot" w:pos="5328"/>
          <w:tab w:val="right" w:leader="dot" w:pos="9180"/>
        </w:tabs>
        <w:spacing w:after="20" w:line="180" w:lineRule="exact"/>
        <w:ind w:left="720" w:right="720"/>
        <w:rPr>
          <w:rFonts w:ascii="Times New Roman" w:hAnsi="Times New Roman"/>
          <w:b/>
          <w:color w:val="auto"/>
          <w:sz w:val="18"/>
          <w:szCs w:val="18"/>
        </w:rPr>
      </w:pPr>
      <w:proofErr w:type="spellStart"/>
      <w:proofErr w:type="gramStart"/>
      <w:r w:rsidRPr="00F72E41">
        <w:rPr>
          <w:rFonts w:ascii="Times New Roman" w:hAnsi="Times New Roman"/>
          <w:b/>
          <w:color w:val="auto"/>
          <w:sz w:val="18"/>
          <w:szCs w:val="18"/>
        </w:rPr>
        <w:t>Ilio</w:t>
      </w:r>
      <w:proofErr w:type="spellEnd"/>
      <w:r w:rsidRPr="00F72E41">
        <w:rPr>
          <w:rFonts w:ascii="Times New Roman" w:hAnsi="Times New Roman"/>
          <w:b/>
          <w:color w:val="auto"/>
          <w:sz w:val="18"/>
          <w:szCs w:val="18"/>
        </w:rPr>
        <w:t>-inguinal nerve.</w:t>
      </w:r>
      <w:proofErr w:type="gramEnd"/>
      <w:r w:rsidRPr="00F72E41">
        <w:rPr>
          <w:rFonts w:ascii="Times New Roman" w:hAnsi="Times New Roman"/>
          <w:color w:val="auto"/>
          <w:sz w:val="18"/>
          <w:szCs w:val="18"/>
        </w:rPr>
        <w:t xml:space="preserve"> </w:t>
      </w:r>
      <w:r>
        <w:rPr>
          <w:rFonts w:ascii="Times New Roman" w:hAnsi="Times New Roman"/>
          <w:b/>
          <w:color w:val="auto"/>
          <w:sz w:val="18"/>
          <w:szCs w:val="18"/>
        </w:rPr>
        <w:t xml:space="preserve">          </w:t>
      </w:r>
      <w:r w:rsidRPr="00F72E41">
        <w:rPr>
          <w:rFonts w:ascii="Times New Roman" w:hAnsi="Times New Roman"/>
          <w:b/>
          <w:color w:val="auto"/>
          <w:sz w:val="18"/>
          <w:szCs w:val="18"/>
        </w:rPr>
        <w:t>8530</w:t>
      </w:r>
      <w:r>
        <w:rPr>
          <w:rFonts w:ascii="Times New Roman" w:hAnsi="Times New Roman"/>
          <w:color w:val="auto"/>
          <w:sz w:val="18"/>
          <w:szCs w:val="18"/>
        </w:rPr>
        <w:t xml:space="preserve"> </w:t>
      </w:r>
      <w:r w:rsidRPr="00F72E41">
        <w:rPr>
          <w:rFonts w:ascii="Times New Roman" w:hAnsi="Times New Roman"/>
          <w:color w:val="auto"/>
          <w:sz w:val="18"/>
          <w:szCs w:val="18"/>
          <w:u w:val="single"/>
        </w:rPr>
        <w:t>Paralysis</w:t>
      </w:r>
      <w:r w:rsidRPr="00F72E41">
        <w:rPr>
          <w:rFonts w:ascii="Times New Roman" w:hAnsi="Times New Roman"/>
          <w:color w:val="auto"/>
          <w:sz w:val="18"/>
          <w:szCs w:val="18"/>
        </w:rPr>
        <w:t xml:space="preserve"> of:   </w:t>
      </w:r>
      <w:r>
        <w:rPr>
          <w:rFonts w:ascii="Times New Roman" w:hAnsi="Times New Roman"/>
          <w:color w:val="auto"/>
          <w:sz w:val="18"/>
          <w:szCs w:val="18"/>
        </w:rPr>
        <w:t xml:space="preserve">                         </w:t>
      </w:r>
      <w:r w:rsidRPr="00A83D36">
        <w:rPr>
          <w:rFonts w:ascii="Times New Roman" w:hAnsi="Times New Roman"/>
          <w:b/>
          <w:color w:val="auto"/>
          <w:sz w:val="18"/>
          <w:szCs w:val="18"/>
        </w:rPr>
        <w:t>8630</w:t>
      </w:r>
      <w:r>
        <w:rPr>
          <w:rFonts w:ascii="Times New Roman" w:hAnsi="Times New Roman"/>
          <w:color w:val="auto"/>
          <w:sz w:val="18"/>
          <w:szCs w:val="18"/>
        </w:rPr>
        <w:t xml:space="preserve"> </w:t>
      </w:r>
      <w:r w:rsidRPr="00A83D36">
        <w:rPr>
          <w:rFonts w:ascii="Times New Roman" w:hAnsi="Times New Roman"/>
          <w:color w:val="auto"/>
          <w:sz w:val="18"/>
          <w:szCs w:val="18"/>
          <w:u w:val="single"/>
        </w:rPr>
        <w:t>Neuritis</w:t>
      </w:r>
      <w:r>
        <w:rPr>
          <w:rFonts w:ascii="Times New Roman" w:hAnsi="Times New Roman"/>
          <w:color w:val="auto"/>
          <w:sz w:val="18"/>
          <w:szCs w:val="18"/>
        </w:rPr>
        <w:t xml:space="preserve">                            </w:t>
      </w:r>
      <w:r w:rsidRPr="00A83D36">
        <w:rPr>
          <w:rFonts w:ascii="Times New Roman" w:hAnsi="Times New Roman"/>
          <w:b/>
          <w:color w:val="auto"/>
          <w:sz w:val="18"/>
          <w:szCs w:val="18"/>
        </w:rPr>
        <w:t>8730</w:t>
      </w:r>
      <w:r>
        <w:rPr>
          <w:rFonts w:ascii="Times New Roman" w:hAnsi="Times New Roman"/>
          <w:color w:val="auto"/>
          <w:sz w:val="18"/>
          <w:szCs w:val="18"/>
        </w:rPr>
        <w:t xml:space="preserve"> </w:t>
      </w:r>
      <w:r w:rsidRPr="00A83D36">
        <w:rPr>
          <w:rFonts w:ascii="Times New Roman" w:hAnsi="Times New Roman"/>
          <w:color w:val="auto"/>
          <w:sz w:val="18"/>
          <w:szCs w:val="18"/>
          <w:u w:val="single"/>
        </w:rPr>
        <w:t>Neuralgia</w:t>
      </w:r>
    </w:p>
    <w:p w:rsidR="00F72E41" w:rsidRPr="00F72E41" w:rsidRDefault="00F72E41" w:rsidP="00F72E41">
      <w:pPr>
        <w:tabs>
          <w:tab w:val="left" w:pos="720"/>
          <w:tab w:val="left" w:pos="1080"/>
          <w:tab w:val="left" w:pos="1440"/>
          <w:tab w:val="left" w:pos="1800"/>
          <w:tab w:val="left" w:pos="2160"/>
          <w:tab w:val="left" w:leader="dot" w:pos="3168"/>
          <w:tab w:val="right" w:leader="dot" w:pos="9180"/>
        </w:tabs>
        <w:overflowPunct w:val="0"/>
        <w:autoSpaceDE w:val="0"/>
        <w:autoSpaceDN w:val="0"/>
        <w:adjustRightInd w:val="0"/>
        <w:spacing w:after="20" w:line="180" w:lineRule="exact"/>
        <w:ind w:left="720" w:right="720"/>
        <w:jc w:val="both"/>
        <w:textAlignment w:val="baseline"/>
        <w:rPr>
          <w:rFonts w:ascii="Times New Roman" w:hAnsi="Times New Roman"/>
          <w:color w:val="auto"/>
          <w:sz w:val="18"/>
          <w:szCs w:val="18"/>
        </w:rPr>
      </w:pPr>
      <w:r>
        <w:rPr>
          <w:rFonts w:ascii="Times New Roman" w:hAnsi="Times New Roman"/>
          <w:color w:val="auto"/>
          <w:sz w:val="18"/>
          <w:szCs w:val="18"/>
        </w:rPr>
        <w:tab/>
      </w:r>
      <w:r>
        <w:rPr>
          <w:rFonts w:ascii="Times New Roman" w:hAnsi="Times New Roman"/>
          <w:color w:val="auto"/>
          <w:sz w:val="18"/>
          <w:szCs w:val="18"/>
        </w:rPr>
        <w:tab/>
        <w:t xml:space="preserve">                          Severe to complete----</w:t>
      </w:r>
      <w:r w:rsidRPr="00F72E41">
        <w:rPr>
          <w:rFonts w:ascii="Times New Roman" w:hAnsi="Times New Roman"/>
          <w:color w:val="auto"/>
          <w:sz w:val="18"/>
          <w:szCs w:val="18"/>
        </w:rPr>
        <w:t>10</w:t>
      </w:r>
    </w:p>
    <w:p w:rsidR="00F72E41" w:rsidRPr="00F72E41" w:rsidRDefault="00F72E41" w:rsidP="00F72E41">
      <w:pPr>
        <w:tabs>
          <w:tab w:val="left" w:pos="720"/>
          <w:tab w:val="left" w:pos="1080"/>
          <w:tab w:val="left" w:pos="1440"/>
          <w:tab w:val="left" w:pos="1800"/>
          <w:tab w:val="left" w:pos="2160"/>
          <w:tab w:val="right" w:leader="dot" w:pos="9180"/>
        </w:tabs>
        <w:overflowPunct w:val="0"/>
        <w:autoSpaceDE w:val="0"/>
        <w:autoSpaceDN w:val="0"/>
        <w:adjustRightInd w:val="0"/>
        <w:spacing w:after="120" w:line="180" w:lineRule="exact"/>
        <w:ind w:left="720" w:right="720"/>
        <w:jc w:val="both"/>
        <w:textAlignment w:val="baseline"/>
        <w:rPr>
          <w:rFonts w:ascii="Times New Roman" w:hAnsi="Times New Roman"/>
          <w:color w:val="auto"/>
          <w:sz w:val="18"/>
          <w:szCs w:val="18"/>
        </w:rPr>
      </w:pPr>
      <w:r>
        <w:rPr>
          <w:rFonts w:ascii="Times New Roman" w:hAnsi="Times New Roman"/>
          <w:color w:val="auto"/>
          <w:sz w:val="18"/>
          <w:szCs w:val="18"/>
        </w:rPr>
        <w:tab/>
      </w:r>
      <w:r>
        <w:rPr>
          <w:rFonts w:ascii="Times New Roman" w:hAnsi="Times New Roman"/>
          <w:color w:val="auto"/>
          <w:sz w:val="18"/>
          <w:szCs w:val="18"/>
        </w:rPr>
        <w:tab/>
        <w:t xml:space="preserve">                          Mild or moderate--------</w:t>
      </w:r>
      <w:r w:rsidRPr="00F72E41">
        <w:rPr>
          <w:rFonts w:ascii="Times New Roman" w:hAnsi="Times New Roman"/>
          <w:color w:val="auto"/>
          <w:sz w:val="18"/>
          <w:szCs w:val="18"/>
        </w:rPr>
        <w:t>0</w:t>
      </w:r>
    </w:p>
    <w:p w:rsidR="00F72E41" w:rsidRPr="00F72E41" w:rsidRDefault="00F72E41" w:rsidP="00F72E41">
      <w:pPr>
        <w:tabs>
          <w:tab w:val="left" w:pos="720"/>
          <w:tab w:val="left" w:pos="1080"/>
          <w:tab w:val="left" w:pos="1440"/>
          <w:tab w:val="left" w:pos="1800"/>
          <w:tab w:val="left" w:pos="2160"/>
          <w:tab w:val="right" w:leader="dot" w:pos="9180"/>
        </w:tabs>
        <w:overflowPunct w:val="0"/>
        <w:autoSpaceDE w:val="0"/>
        <w:autoSpaceDN w:val="0"/>
        <w:adjustRightInd w:val="0"/>
        <w:ind w:left="720" w:right="720"/>
        <w:jc w:val="both"/>
        <w:textAlignment w:val="baseline"/>
        <w:rPr>
          <w:rFonts w:ascii="CG Times" w:hAnsi="CG Times"/>
          <w:color w:val="auto"/>
          <w:sz w:val="18"/>
          <w:szCs w:val="18"/>
        </w:rPr>
      </w:pPr>
      <w:r w:rsidRPr="00A83D36">
        <w:rPr>
          <w:rFonts w:ascii="CG Times" w:hAnsi="CG Times"/>
          <w:b/>
          <w:color w:val="auto"/>
          <w:sz w:val="18"/>
          <w:szCs w:val="18"/>
        </w:rPr>
        <w:t>§</w:t>
      </w:r>
      <w:proofErr w:type="gramStart"/>
      <w:r w:rsidRPr="00A83D36">
        <w:rPr>
          <w:rFonts w:ascii="CG Times" w:hAnsi="CG Times"/>
          <w:b/>
          <w:color w:val="auto"/>
          <w:sz w:val="18"/>
          <w:szCs w:val="18"/>
        </w:rPr>
        <w:t>4.123  Neuritis</w:t>
      </w:r>
      <w:proofErr w:type="gramEnd"/>
      <w:r w:rsidRPr="00A83D36">
        <w:rPr>
          <w:rFonts w:ascii="CG Times" w:hAnsi="CG Times"/>
          <w:b/>
          <w:color w:val="auto"/>
          <w:sz w:val="18"/>
          <w:szCs w:val="18"/>
        </w:rPr>
        <w:t>, cranial or peripheral.</w:t>
      </w:r>
      <w:r>
        <w:rPr>
          <w:rFonts w:ascii="CG Times" w:hAnsi="CG Times"/>
          <w:b/>
          <w:color w:val="auto"/>
          <w:sz w:val="18"/>
          <w:szCs w:val="18"/>
        </w:rPr>
        <w:t xml:space="preserve"> </w:t>
      </w:r>
      <w:r>
        <w:rPr>
          <w:rFonts w:ascii="CG Times" w:hAnsi="CG Times"/>
          <w:color w:val="auto"/>
          <w:sz w:val="18"/>
          <w:szCs w:val="18"/>
        </w:rPr>
        <w:t>Neuritis</w:t>
      </w:r>
      <w:r w:rsidRPr="00F72E41">
        <w:rPr>
          <w:rFonts w:ascii="CG Times" w:hAnsi="CG Times"/>
          <w:color w:val="auto"/>
          <w:sz w:val="18"/>
          <w:szCs w:val="18"/>
        </w:rPr>
        <w:t xml:space="preserve"> </w:t>
      </w:r>
      <w:r>
        <w:rPr>
          <w:rFonts w:ascii="CG Times" w:hAnsi="CG Times"/>
          <w:color w:val="auto"/>
          <w:sz w:val="18"/>
          <w:szCs w:val="18"/>
        </w:rPr>
        <w:t>…</w:t>
      </w:r>
      <w:r w:rsidRPr="00F72E41">
        <w:rPr>
          <w:rFonts w:ascii="CG Times" w:hAnsi="CG Times"/>
          <w:color w:val="auto"/>
          <w:sz w:val="18"/>
          <w:szCs w:val="18"/>
        </w:rPr>
        <w:t xml:space="preserve"> is to be rated on the scale provided for injury of the nerve involved, with a </w:t>
      </w:r>
      <w:r w:rsidRPr="00BE7975">
        <w:rPr>
          <w:rFonts w:ascii="CG Times" w:hAnsi="CG Times"/>
          <w:b/>
          <w:color w:val="auto"/>
          <w:sz w:val="18"/>
          <w:szCs w:val="18"/>
        </w:rPr>
        <w:t>maximum equal to severe</w:t>
      </w:r>
      <w:r w:rsidRPr="00F72E41">
        <w:rPr>
          <w:rFonts w:ascii="CG Times" w:hAnsi="CG Times"/>
          <w:color w:val="auto"/>
          <w:sz w:val="18"/>
          <w:szCs w:val="18"/>
        </w:rPr>
        <w:t>, incomplete, paralysis.</w:t>
      </w:r>
    </w:p>
    <w:p w:rsidR="00F72E41" w:rsidRPr="00A83D36" w:rsidRDefault="00F72E41" w:rsidP="00F72E41">
      <w:pPr>
        <w:tabs>
          <w:tab w:val="left" w:pos="720"/>
          <w:tab w:val="left" w:pos="1080"/>
          <w:tab w:val="left" w:pos="1440"/>
          <w:tab w:val="left" w:pos="1800"/>
          <w:tab w:val="left" w:pos="2160"/>
          <w:tab w:val="right" w:leader="dot" w:pos="9180"/>
        </w:tabs>
        <w:overflowPunct w:val="0"/>
        <w:autoSpaceDE w:val="0"/>
        <w:autoSpaceDN w:val="0"/>
        <w:adjustRightInd w:val="0"/>
        <w:ind w:left="720" w:right="720"/>
        <w:jc w:val="both"/>
        <w:textAlignment w:val="baseline"/>
        <w:rPr>
          <w:rFonts w:ascii="CG Times" w:hAnsi="CG Times"/>
          <w:b/>
          <w:color w:val="auto"/>
          <w:sz w:val="8"/>
          <w:szCs w:val="8"/>
        </w:rPr>
      </w:pPr>
    </w:p>
    <w:p w:rsidR="00F72E41" w:rsidRPr="00A83D36" w:rsidRDefault="00F72E41" w:rsidP="00F72E41">
      <w:pPr>
        <w:tabs>
          <w:tab w:val="left" w:pos="720"/>
          <w:tab w:val="left" w:pos="1080"/>
          <w:tab w:val="left" w:pos="1440"/>
          <w:tab w:val="left" w:pos="1800"/>
          <w:tab w:val="left" w:pos="2160"/>
          <w:tab w:val="right" w:leader="dot" w:pos="9180"/>
        </w:tabs>
        <w:overflowPunct w:val="0"/>
        <w:autoSpaceDE w:val="0"/>
        <w:autoSpaceDN w:val="0"/>
        <w:adjustRightInd w:val="0"/>
        <w:ind w:left="720" w:right="720"/>
        <w:jc w:val="both"/>
        <w:textAlignment w:val="baseline"/>
        <w:rPr>
          <w:rFonts w:ascii="CG Times" w:hAnsi="CG Times"/>
          <w:color w:val="auto"/>
          <w:sz w:val="18"/>
          <w:szCs w:val="18"/>
        </w:rPr>
      </w:pPr>
      <w:r w:rsidRPr="00A83D36">
        <w:rPr>
          <w:rFonts w:ascii="CG Times" w:hAnsi="CG Times"/>
          <w:b/>
          <w:color w:val="auto"/>
          <w:sz w:val="18"/>
          <w:szCs w:val="18"/>
        </w:rPr>
        <w:t>§</w:t>
      </w:r>
      <w:proofErr w:type="gramStart"/>
      <w:r w:rsidRPr="00A83D36">
        <w:rPr>
          <w:rFonts w:ascii="CG Times" w:hAnsi="CG Times"/>
          <w:b/>
          <w:color w:val="auto"/>
          <w:sz w:val="18"/>
          <w:szCs w:val="18"/>
        </w:rPr>
        <w:t>4.124  Neuralgia</w:t>
      </w:r>
      <w:proofErr w:type="gramEnd"/>
      <w:r w:rsidRPr="00A83D36">
        <w:rPr>
          <w:rFonts w:ascii="CG Times" w:hAnsi="CG Times"/>
          <w:b/>
          <w:color w:val="auto"/>
          <w:sz w:val="18"/>
          <w:szCs w:val="18"/>
        </w:rPr>
        <w:t>, cranial or peripheral.</w:t>
      </w:r>
      <w:r>
        <w:rPr>
          <w:rFonts w:ascii="CG Times" w:hAnsi="CG Times"/>
          <w:b/>
          <w:color w:val="auto"/>
          <w:sz w:val="18"/>
          <w:szCs w:val="18"/>
        </w:rPr>
        <w:t xml:space="preserve">  </w:t>
      </w:r>
      <w:r>
        <w:rPr>
          <w:rFonts w:ascii="CG Times" w:hAnsi="CG Times"/>
          <w:color w:val="auto"/>
          <w:sz w:val="18"/>
          <w:szCs w:val="18"/>
        </w:rPr>
        <w:t>Neuralgia</w:t>
      </w:r>
      <w:r w:rsidRPr="00A83D36">
        <w:rPr>
          <w:rFonts w:ascii="CG Times" w:hAnsi="CG Times"/>
          <w:color w:val="auto"/>
          <w:sz w:val="18"/>
          <w:szCs w:val="18"/>
        </w:rPr>
        <w:t xml:space="preserve"> </w:t>
      </w:r>
      <w:r>
        <w:rPr>
          <w:rFonts w:ascii="CG Times" w:hAnsi="CG Times"/>
          <w:color w:val="auto"/>
          <w:sz w:val="18"/>
          <w:szCs w:val="18"/>
        </w:rPr>
        <w:t>…</w:t>
      </w:r>
      <w:r w:rsidRPr="00A83D36">
        <w:rPr>
          <w:rFonts w:ascii="CG Times" w:hAnsi="CG Times"/>
          <w:color w:val="auto"/>
          <w:sz w:val="18"/>
          <w:szCs w:val="18"/>
        </w:rPr>
        <w:t xml:space="preserve"> is to be rated on the same scale, with a </w:t>
      </w:r>
      <w:r w:rsidRPr="00A83D36">
        <w:rPr>
          <w:rFonts w:ascii="CG Times" w:hAnsi="CG Times"/>
          <w:b/>
          <w:color w:val="auto"/>
          <w:sz w:val="18"/>
          <w:szCs w:val="18"/>
        </w:rPr>
        <w:t>maximum equal to moderate</w:t>
      </w:r>
      <w:r w:rsidRPr="00A83D36">
        <w:rPr>
          <w:rFonts w:ascii="CG Times" w:hAnsi="CG Times"/>
          <w:color w:val="auto"/>
          <w:sz w:val="18"/>
          <w:szCs w:val="18"/>
        </w:rPr>
        <w:t xml:space="preserve"> incomplete paralysis. </w:t>
      </w:r>
    </w:p>
    <w:p w:rsidR="00F72E41" w:rsidRDefault="00F72E41" w:rsidP="00A95716">
      <w:pPr>
        <w:spacing w:line="240" w:lineRule="exact"/>
        <w:jc w:val="both"/>
        <w:rPr>
          <w:rFonts w:asciiTheme="minorHAnsi" w:hAnsiTheme="minorHAnsi"/>
          <w:color w:val="auto"/>
          <w:szCs w:val="24"/>
        </w:rPr>
      </w:pPr>
    </w:p>
    <w:p w:rsidR="000B5E6F" w:rsidRPr="000B5E6F" w:rsidRDefault="000B5E6F" w:rsidP="000B5E6F">
      <w:pPr>
        <w:spacing w:line="240" w:lineRule="exact"/>
        <w:jc w:val="both"/>
        <w:rPr>
          <w:rFonts w:ascii="Calibri" w:eastAsiaTheme="minorHAnsi" w:hAnsi="Calibri" w:cstheme="minorBidi"/>
          <w:color w:val="auto"/>
          <w:szCs w:val="24"/>
        </w:rPr>
      </w:pPr>
      <w:r>
        <w:rPr>
          <w:rFonts w:asciiTheme="minorHAnsi" w:hAnsiTheme="minorHAnsi"/>
          <w:color w:val="auto"/>
          <w:szCs w:val="24"/>
        </w:rPr>
        <w:t xml:space="preserve">It is easily ascertained from the excerpt that for </w:t>
      </w:r>
      <w:r w:rsidR="00E66D0C">
        <w:rPr>
          <w:rFonts w:asciiTheme="minorHAnsi" w:hAnsiTheme="minorHAnsi"/>
          <w:color w:val="auto"/>
          <w:szCs w:val="24"/>
        </w:rPr>
        <w:t xml:space="preserve">rating </w:t>
      </w:r>
      <w:r>
        <w:rPr>
          <w:rFonts w:asciiTheme="minorHAnsi" w:hAnsiTheme="minorHAnsi"/>
          <w:color w:val="auto"/>
          <w:szCs w:val="24"/>
        </w:rPr>
        <w:t xml:space="preserve">8730 </w:t>
      </w:r>
      <w:r w:rsidR="00E66D0C">
        <w:rPr>
          <w:rFonts w:asciiTheme="minorHAnsi" w:hAnsiTheme="minorHAnsi"/>
          <w:color w:val="auto"/>
          <w:szCs w:val="24"/>
        </w:rPr>
        <w:t>(</w:t>
      </w:r>
      <w:r>
        <w:rPr>
          <w:rFonts w:asciiTheme="minorHAnsi" w:hAnsiTheme="minorHAnsi"/>
          <w:color w:val="auto"/>
          <w:szCs w:val="24"/>
        </w:rPr>
        <w:t>neuralgia</w:t>
      </w:r>
      <w:r w:rsidR="00E66D0C">
        <w:rPr>
          <w:rFonts w:asciiTheme="minorHAnsi" w:hAnsiTheme="minorHAnsi"/>
          <w:color w:val="auto"/>
          <w:szCs w:val="24"/>
        </w:rPr>
        <w:t>)</w:t>
      </w:r>
      <w:r>
        <w:rPr>
          <w:rFonts w:asciiTheme="minorHAnsi" w:hAnsiTheme="minorHAnsi"/>
          <w:color w:val="auto"/>
          <w:szCs w:val="24"/>
        </w:rPr>
        <w:t xml:space="preserve"> as </w:t>
      </w:r>
      <w:r w:rsidR="00E66D0C">
        <w:rPr>
          <w:rFonts w:asciiTheme="minorHAnsi" w:hAnsiTheme="minorHAnsi"/>
          <w:color w:val="auto"/>
          <w:szCs w:val="24"/>
        </w:rPr>
        <w:t>per</w:t>
      </w:r>
      <w:r>
        <w:rPr>
          <w:rFonts w:asciiTheme="minorHAnsi" w:hAnsiTheme="minorHAnsi"/>
          <w:color w:val="auto"/>
          <w:szCs w:val="24"/>
        </w:rPr>
        <w:t xml:space="preserve"> the PEB and VA, §4.124 applies and mandates the 0% rating achieved.  </w:t>
      </w:r>
      <w:r w:rsidRPr="001C3587">
        <w:rPr>
          <w:rFonts w:asciiTheme="minorHAnsi" w:hAnsiTheme="minorHAnsi"/>
          <w:color w:val="auto"/>
          <w:szCs w:val="24"/>
        </w:rPr>
        <w:t xml:space="preserve">The Board considered, given the actual severity and associated disability in evidence, </w:t>
      </w:r>
      <w:r w:rsidR="00E66D0C">
        <w:rPr>
          <w:rFonts w:asciiTheme="minorHAnsi" w:hAnsiTheme="minorHAnsi"/>
          <w:color w:val="auto"/>
          <w:szCs w:val="24"/>
        </w:rPr>
        <w:t xml:space="preserve">the applicability of </w:t>
      </w:r>
      <w:r w:rsidRPr="001C3587">
        <w:rPr>
          <w:rFonts w:ascii="Calibri" w:eastAsiaTheme="minorHAnsi" w:hAnsi="Calibri" w:cstheme="minorBidi"/>
          <w:color w:val="auto"/>
          <w:szCs w:val="24"/>
        </w:rPr>
        <w:t xml:space="preserve">VASRD §4.7 (higher of two evaluations) </w:t>
      </w:r>
      <w:r w:rsidR="00E66D0C">
        <w:rPr>
          <w:rFonts w:ascii="Calibri" w:eastAsiaTheme="minorHAnsi" w:hAnsi="Calibri" w:cstheme="minorBidi"/>
          <w:color w:val="auto"/>
          <w:szCs w:val="24"/>
        </w:rPr>
        <w:t>which would favor</w:t>
      </w:r>
      <w:r w:rsidR="00D375C7" w:rsidRPr="001C3587">
        <w:rPr>
          <w:rFonts w:ascii="Calibri" w:eastAsiaTheme="minorHAnsi" w:hAnsi="Calibri" w:cstheme="minorBidi"/>
          <w:color w:val="auto"/>
          <w:szCs w:val="24"/>
        </w:rPr>
        <w:t xml:space="preserve"> a rating</w:t>
      </w:r>
      <w:r w:rsidRPr="001C3587">
        <w:rPr>
          <w:rFonts w:ascii="Calibri" w:eastAsiaTheme="minorHAnsi" w:hAnsi="Calibri" w:cstheme="minorBidi"/>
          <w:color w:val="auto"/>
          <w:szCs w:val="24"/>
        </w:rPr>
        <w:t xml:space="preserve"> under the 8630 neuritis code</w:t>
      </w:r>
      <w:r w:rsidR="00A54C44">
        <w:rPr>
          <w:rFonts w:ascii="Calibri" w:eastAsiaTheme="minorHAnsi" w:hAnsi="Calibri" w:cstheme="minorBidi"/>
          <w:color w:val="auto"/>
          <w:szCs w:val="24"/>
        </w:rPr>
        <w:t>.</w:t>
      </w:r>
      <w:r w:rsidR="00D375C7" w:rsidRPr="001C3587">
        <w:rPr>
          <w:rFonts w:ascii="Calibri" w:eastAsiaTheme="minorHAnsi" w:hAnsi="Calibri" w:cstheme="minorBidi"/>
          <w:color w:val="auto"/>
          <w:szCs w:val="24"/>
        </w:rPr>
        <w:t xml:space="preserve"> </w:t>
      </w:r>
      <w:r w:rsidR="00A54C44">
        <w:rPr>
          <w:rFonts w:ascii="Calibri" w:eastAsiaTheme="minorHAnsi" w:hAnsi="Calibri" w:cstheme="minorBidi"/>
          <w:color w:val="auto"/>
          <w:szCs w:val="24"/>
        </w:rPr>
        <w:t xml:space="preserve"> T</w:t>
      </w:r>
      <w:r w:rsidR="00D375C7" w:rsidRPr="001C3587">
        <w:rPr>
          <w:rFonts w:ascii="Calibri" w:eastAsiaTheme="minorHAnsi" w:hAnsi="Calibri" w:cstheme="minorBidi"/>
          <w:color w:val="auto"/>
          <w:szCs w:val="24"/>
        </w:rPr>
        <w:t xml:space="preserve">his would </w:t>
      </w:r>
      <w:r w:rsidR="00A54C44">
        <w:rPr>
          <w:rFonts w:ascii="Calibri" w:eastAsiaTheme="minorHAnsi" w:hAnsi="Calibri" w:cstheme="minorBidi"/>
          <w:color w:val="auto"/>
          <w:szCs w:val="24"/>
        </w:rPr>
        <w:t>attach</w:t>
      </w:r>
      <w:r w:rsidR="00D375C7" w:rsidRPr="001C3587">
        <w:rPr>
          <w:rFonts w:ascii="Calibri" w:eastAsiaTheme="minorHAnsi" w:hAnsi="Calibri" w:cstheme="minorBidi"/>
          <w:color w:val="auto"/>
          <w:szCs w:val="24"/>
        </w:rPr>
        <w:t xml:space="preserve"> </w:t>
      </w:r>
      <w:r w:rsidR="00D375C7" w:rsidRPr="001C3587">
        <w:rPr>
          <w:rFonts w:asciiTheme="minorHAnsi" w:hAnsiTheme="minorHAnsi"/>
          <w:color w:val="auto"/>
          <w:szCs w:val="24"/>
        </w:rPr>
        <w:t xml:space="preserve">§4.124 and </w:t>
      </w:r>
      <w:r w:rsidR="00A54C44">
        <w:rPr>
          <w:rFonts w:asciiTheme="minorHAnsi" w:hAnsiTheme="minorHAnsi"/>
          <w:color w:val="auto"/>
          <w:szCs w:val="24"/>
        </w:rPr>
        <w:t>promote</w:t>
      </w:r>
      <w:r w:rsidR="00D375C7" w:rsidRPr="001C3587">
        <w:rPr>
          <w:rFonts w:asciiTheme="minorHAnsi" w:hAnsiTheme="minorHAnsi"/>
          <w:color w:val="auto"/>
          <w:szCs w:val="24"/>
        </w:rPr>
        <w:t xml:space="preserve"> a </w:t>
      </w:r>
      <w:r w:rsidR="00D375C7" w:rsidRPr="001C3587">
        <w:rPr>
          <w:rFonts w:ascii="Calibri" w:eastAsiaTheme="minorHAnsi" w:hAnsi="Calibri" w:cstheme="minorBidi"/>
          <w:color w:val="auto"/>
          <w:szCs w:val="24"/>
        </w:rPr>
        <w:t>10% rating (assuming ‘severe’ fairly characterizes the symptoms in evidence)</w:t>
      </w:r>
      <w:r w:rsidRPr="001C3587">
        <w:rPr>
          <w:rFonts w:ascii="Calibri" w:eastAsiaTheme="minorHAnsi" w:hAnsi="Calibri" w:cstheme="minorBidi"/>
          <w:color w:val="auto"/>
          <w:szCs w:val="24"/>
        </w:rPr>
        <w:t>.</w:t>
      </w:r>
      <w:r w:rsidR="00D375C7" w:rsidRPr="001C3587">
        <w:rPr>
          <w:rFonts w:ascii="Calibri" w:eastAsiaTheme="minorHAnsi" w:hAnsi="Calibri" w:cstheme="minorBidi"/>
          <w:color w:val="auto"/>
          <w:szCs w:val="24"/>
        </w:rPr>
        <w:t xml:space="preserve">  The </w:t>
      </w:r>
      <w:r w:rsidR="00C67940">
        <w:rPr>
          <w:rFonts w:ascii="Calibri" w:eastAsiaTheme="minorHAnsi" w:hAnsi="Calibri" w:cstheme="minorBidi"/>
          <w:color w:val="auto"/>
          <w:szCs w:val="24"/>
        </w:rPr>
        <w:t>a</w:t>
      </w:r>
      <w:r w:rsidR="00D375C7" w:rsidRPr="001C3587">
        <w:rPr>
          <w:rFonts w:ascii="Calibri" w:eastAsiaTheme="minorHAnsi" w:hAnsi="Calibri" w:cstheme="minorBidi"/>
          <w:color w:val="auto"/>
          <w:szCs w:val="24"/>
        </w:rPr>
        <w:t xml:space="preserve">ction </w:t>
      </w:r>
      <w:r w:rsidR="00C67940">
        <w:rPr>
          <w:rFonts w:ascii="Calibri" w:eastAsiaTheme="minorHAnsi" w:hAnsi="Calibri" w:cstheme="minorBidi"/>
          <w:color w:val="auto"/>
          <w:szCs w:val="24"/>
        </w:rPr>
        <w:t>o</w:t>
      </w:r>
      <w:r w:rsidR="00D375C7" w:rsidRPr="001C3587">
        <w:rPr>
          <w:rFonts w:ascii="Calibri" w:eastAsiaTheme="minorHAnsi" w:hAnsi="Calibri" w:cstheme="minorBidi"/>
          <w:color w:val="auto"/>
          <w:szCs w:val="24"/>
        </w:rPr>
        <w:t xml:space="preserve">fficer opined that there was no clinical distinction favoring neuralgia over neuritis as a reasonable description of the pathology in this case.  </w:t>
      </w:r>
      <w:r w:rsidR="00A54C44">
        <w:rPr>
          <w:rFonts w:ascii="Calibri" w:eastAsiaTheme="minorHAnsi" w:hAnsi="Calibri" w:cstheme="minorBidi"/>
          <w:color w:val="auto"/>
          <w:szCs w:val="24"/>
        </w:rPr>
        <w:t xml:space="preserve">The sensory findings suggested neuritis as opposed to neuralgia which should be confined to pain in the nerve distribution.  </w:t>
      </w:r>
      <w:r w:rsidR="00D375C7" w:rsidRPr="001C3587">
        <w:rPr>
          <w:rFonts w:asciiTheme="minorHAnsi" w:hAnsiTheme="minorHAnsi"/>
          <w:color w:val="auto"/>
          <w:szCs w:val="24"/>
        </w:rPr>
        <w:t>After due deliberation, considering all of the evidence and mindful of VASRD §4.3 (reasonable doubt)</w:t>
      </w:r>
      <w:r w:rsidR="001B3B19">
        <w:rPr>
          <w:rFonts w:asciiTheme="minorHAnsi" w:hAnsiTheme="minorHAnsi"/>
          <w:color w:val="auto"/>
          <w:szCs w:val="24"/>
        </w:rPr>
        <w:t xml:space="preserve"> and </w:t>
      </w:r>
      <w:r w:rsidR="001B3B19" w:rsidRPr="001B3B19">
        <w:rPr>
          <w:rFonts w:asciiTheme="minorHAnsi" w:hAnsiTheme="minorHAnsi"/>
          <w:color w:val="auto"/>
          <w:szCs w:val="24"/>
        </w:rPr>
        <w:t xml:space="preserve">IAW </w:t>
      </w:r>
      <w:r w:rsidR="001B3B19" w:rsidRPr="001B3B19">
        <w:rPr>
          <w:rFonts w:asciiTheme="minorHAnsi" w:hAnsiTheme="minorHAnsi"/>
          <w:iCs/>
          <w:color w:val="auto"/>
          <w:szCs w:val="24"/>
        </w:rPr>
        <w:t>DoDI 6040.44</w:t>
      </w:r>
      <w:r w:rsidR="001B3B19">
        <w:rPr>
          <w:rFonts w:asciiTheme="minorHAnsi" w:hAnsiTheme="minorHAnsi"/>
          <w:iCs/>
          <w:color w:val="auto"/>
          <w:szCs w:val="24"/>
        </w:rPr>
        <w:t xml:space="preserve"> 4.b (fair and equitable)</w:t>
      </w:r>
      <w:r w:rsidR="001B3B19" w:rsidRPr="001B3B19">
        <w:rPr>
          <w:rFonts w:asciiTheme="minorHAnsi" w:hAnsiTheme="minorHAnsi"/>
          <w:iCs/>
          <w:color w:val="auto"/>
          <w:szCs w:val="24"/>
        </w:rPr>
        <w:t>,</w:t>
      </w:r>
      <w:r w:rsidR="00D375C7" w:rsidRPr="001B3B19">
        <w:rPr>
          <w:rFonts w:asciiTheme="minorHAnsi" w:hAnsiTheme="minorHAnsi"/>
          <w:color w:val="auto"/>
          <w:szCs w:val="24"/>
        </w:rPr>
        <w:t xml:space="preserve"> the Board recommends a separation rating of 10% for the right groin pain cond</w:t>
      </w:r>
      <w:r w:rsidR="00D375C7" w:rsidRPr="001C3587">
        <w:rPr>
          <w:rFonts w:asciiTheme="minorHAnsi" w:hAnsiTheme="minorHAnsi"/>
          <w:color w:val="auto"/>
          <w:szCs w:val="24"/>
        </w:rPr>
        <w:t>ition, coded 8630.</w:t>
      </w:r>
      <w:r w:rsidR="005F2744">
        <w:rPr>
          <w:rFonts w:asciiTheme="minorHAnsi" w:hAnsiTheme="minorHAnsi"/>
          <w:color w:val="auto"/>
          <w:szCs w:val="24"/>
        </w:rPr>
        <w:t xml:space="preserve">  </w:t>
      </w:r>
    </w:p>
    <w:p w:rsidR="00D375C7" w:rsidRDefault="00D375C7" w:rsidP="00A95716">
      <w:pPr>
        <w:spacing w:line="240" w:lineRule="exact"/>
        <w:jc w:val="both"/>
        <w:rPr>
          <w:rFonts w:asciiTheme="minorHAnsi" w:hAnsiTheme="minorHAnsi"/>
          <w:color w:val="auto"/>
          <w:szCs w:val="24"/>
        </w:rPr>
      </w:pPr>
    </w:p>
    <w:p w:rsidR="00203B01" w:rsidRDefault="002B1EE0" w:rsidP="00A95716">
      <w:pPr>
        <w:spacing w:line="240" w:lineRule="exact"/>
        <w:jc w:val="both"/>
        <w:rPr>
          <w:rFonts w:asciiTheme="minorHAnsi" w:hAnsiTheme="minorHAnsi"/>
          <w:color w:val="auto"/>
          <w:szCs w:val="24"/>
        </w:rPr>
      </w:pPr>
      <w:proofErr w:type="gramStart"/>
      <w:r w:rsidRPr="001B3B19">
        <w:rPr>
          <w:rFonts w:asciiTheme="minorHAnsi" w:hAnsiTheme="minorHAnsi"/>
          <w:color w:val="auto"/>
          <w:szCs w:val="24"/>
          <w:u w:val="single"/>
        </w:rPr>
        <w:t>Remaining Conditions</w:t>
      </w:r>
      <w:r w:rsidR="008D1A21" w:rsidRPr="001B3B19">
        <w:rPr>
          <w:rFonts w:asciiTheme="minorHAnsi" w:hAnsiTheme="minorHAnsi"/>
          <w:color w:val="auto"/>
          <w:szCs w:val="24"/>
        </w:rPr>
        <w:t>.</w:t>
      </w:r>
      <w:proofErr w:type="gramEnd"/>
      <w:r w:rsidR="008D1A21" w:rsidRPr="001B3B19">
        <w:rPr>
          <w:rFonts w:asciiTheme="minorHAnsi" w:hAnsiTheme="minorHAnsi"/>
          <w:color w:val="auto"/>
          <w:szCs w:val="24"/>
        </w:rPr>
        <w:t xml:space="preserve">  </w:t>
      </w:r>
      <w:r w:rsidRPr="001B3B19">
        <w:rPr>
          <w:rFonts w:asciiTheme="minorHAnsi" w:hAnsiTheme="minorHAnsi"/>
          <w:color w:val="auto"/>
          <w:szCs w:val="24"/>
        </w:rPr>
        <w:t xml:space="preserve">Other conditions identified in the DES file were </w:t>
      </w:r>
      <w:r w:rsidR="000913FF" w:rsidRPr="001B3B19">
        <w:rPr>
          <w:rFonts w:asciiTheme="minorHAnsi" w:hAnsiTheme="minorHAnsi"/>
          <w:color w:val="auto"/>
          <w:szCs w:val="24"/>
        </w:rPr>
        <w:t xml:space="preserve">right shoulder impingement and </w:t>
      </w:r>
      <w:r w:rsidR="00A54C44">
        <w:rPr>
          <w:rFonts w:asciiTheme="minorHAnsi" w:hAnsiTheme="minorHAnsi"/>
          <w:color w:val="auto"/>
          <w:szCs w:val="24"/>
        </w:rPr>
        <w:t>a prior</w:t>
      </w:r>
      <w:r w:rsidR="000913FF" w:rsidRPr="001B3B19">
        <w:rPr>
          <w:rFonts w:asciiTheme="minorHAnsi" w:hAnsiTheme="minorHAnsi"/>
          <w:color w:val="auto"/>
          <w:szCs w:val="24"/>
        </w:rPr>
        <w:t xml:space="preserve"> </w:t>
      </w:r>
      <w:r w:rsidR="008D1A21" w:rsidRPr="001B3B19">
        <w:rPr>
          <w:rFonts w:asciiTheme="minorHAnsi" w:hAnsiTheme="minorHAnsi"/>
          <w:color w:val="auto"/>
          <w:szCs w:val="24"/>
        </w:rPr>
        <w:t>right great toe bunionectomy</w:t>
      </w:r>
      <w:r w:rsidRPr="001B3B19">
        <w:rPr>
          <w:rFonts w:asciiTheme="minorHAnsi" w:hAnsiTheme="minorHAnsi"/>
          <w:color w:val="auto"/>
          <w:szCs w:val="24"/>
        </w:rPr>
        <w:t>.  Several additional non-acute conditions or medical compla</w:t>
      </w:r>
      <w:r w:rsidR="004B5864" w:rsidRPr="001B3B19">
        <w:rPr>
          <w:rFonts w:asciiTheme="minorHAnsi" w:hAnsiTheme="minorHAnsi"/>
          <w:color w:val="auto"/>
          <w:szCs w:val="24"/>
        </w:rPr>
        <w:t xml:space="preserve">ints were also documented.  </w:t>
      </w:r>
      <w:r w:rsidR="00A54C44">
        <w:rPr>
          <w:rFonts w:asciiTheme="minorHAnsi" w:hAnsiTheme="minorHAnsi"/>
          <w:color w:val="auto"/>
          <w:szCs w:val="24"/>
        </w:rPr>
        <w:t>None</w:t>
      </w:r>
      <w:r w:rsidRPr="001B3B19">
        <w:rPr>
          <w:rFonts w:asciiTheme="minorHAnsi" w:hAnsiTheme="minorHAnsi"/>
          <w:color w:val="auto"/>
          <w:szCs w:val="24"/>
        </w:rPr>
        <w:t xml:space="preserve"> of these conditions</w:t>
      </w:r>
      <w:r w:rsidRPr="00A95716">
        <w:rPr>
          <w:rFonts w:asciiTheme="minorHAnsi" w:hAnsiTheme="minorHAnsi"/>
          <w:color w:val="auto"/>
          <w:szCs w:val="24"/>
        </w:rPr>
        <w:t xml:space="preserve"> were clinically </w:t>
      </w:r>
      <w:r w:rsidR="008D1A21" w:rsidRPr="00A95716">
        <w:rPr>
          <w:rFonts w:asciiTheme="minorHAnsi" w:hAnsiTheme="minorHAnsi"/>
          <w:color w:val="auto"/>
          <w:szCs w:val="24"/>
        </w:rPr>
        <w:t xml:space="preserve">significant </w:t>
      </w:r>
      <w:r w:rsidRPr="00A95716">
        <w:rPr>
          <w:rFonts w:asciiTheme="minorHAnsi" w:hAnsiTheme="minorHAnsi"/>
          <w:color w:val="auto"/>
          <w:szCs w:val="24"/>
        </w:rPr>
        <w:t>during the MEB period</w:t>
      </w:r>
      <w:r w:rsidR="008D1A21" w:rsidRPr="00A95716">
        <w:rPr>
          <w:rFonts w:asciiTheme="minorHAnsi" w:hAnsiTheme="minorHAnsi"/>
          <w:color w:val="auto"/>
          <w:szCs w:val="24"/>
        </w:rPr>
        <w:t xml:space="preserve">, </w:t>
      </w:r>
      <w:r w:rsidRPr="00A95716">
        <w:rPr>
          <w:rFonts w:asciiTheme="minorHAnsi" w:hAnsiTheme="minorHAnsi"/>
          <w:color w:val="auto"/>
          <w:szCs w:val="24"/>
        </w:rPr>
        <w:t>carried attached profiles</w:t>
      </w:r>
      <w:r w:rsidR="00A54C44">
        <w:rPr>
          <w:rFonts w:asciiTheme="minorHAnsi" w:hAnsiTheme="minorHAnsi"/>
          <w:color w:val="auto"/>
          <w:szCs w:val="24"/>
        </w:rPr>
        <w:t>,</w:t>
      </w:r>
      <w:r w:rsidRPr="00A95716">
        <w:rPr>
          <w:rFonts w:asciiTheme="minorHAnsi" w:hAnsiTheme="minorHAnsi"/>
          <w:color w:val="auto"/>
          <w:szCs w:val="24"/>
        </w:rPr>
        <w:t xml:space="preserve"> </w:t>
      </w:r>
      <w:r w:rsidR="00A54C44">
        <w:rPr>
          <w:rFonts w:asciiTheme="minorHAnsi" w:hAnsiTheme="minorHAnsi"/>
          <w:color w:val="auto"/>
          <w:szCs w:val="24"/>
        </w:rPr>
        <w:t xml:space="preserve">or were </w:t>
      </w:r>
      <w:r w:rsidRPr="00A95716">
        <w:rPr>
          <w:rFonts w:asciiTheme="minorHAnsi" w:hAnsiTheme="minorHAnsi"/>
          <w:color w:val="auto"/>
          <w:szCs w:val="24"/>
        </w:rPr>
        <w:t xml:space="preserve">implicated in the </w:t>
      </w:r>
      <w:r w:rsidR="00C67940">
        <w:rPr>
          <w:rFonts w:asciiTheme="minorHAnsi" w:hAnsiTheme="minorHAnsi"/>
          <w:color w:val="auto"/>
          <w:szCs w:val="24"/>
        </w:rPr>
        <w:t>c</w:t>
      </w:r>
      <w:r w:rsidRPr="00A95716">
        <w:rPr>
          <w:rFonts w:asciiTheme="minorHAnsi" w:hAnsiTheme="minorHAnsi"/>
          <w:color w:val="auto"/>
          <w:szCs w:val="24"/>
        </w:rPr>
        <w:t xml:space="preserve">ommander’s statement.  These conditions were reviewed by the </w:t>
      </w:r>
      <w:r w:rsidR="00C67940">
        <w:rPr>
          <w:rFonts w:asciiTheme="minorHAnsi" w:hAnsiTheme="minorHAnsi"/>
          <w:color w:val="auto"/>
          <w:szCs w:val="24"/>
        </w:rPr>
        <w:t>a</w:t>
      </w:r>
      <w:r w:rsidRPr="00A95716">
        <w:rPr>
          <w:rFonts w:asciiTheme="minorHAnsi" w:hAnsiTheme="minorHAnsi"/>
          <w:color w:val="auto"/>
          <w:szCs w:val="24"/>
        </w:rPr>
        <w:t xml:space="preserve">ction </w:t>
      </w:r>
      <w:r w:rsidR="00C67940">
        <w:rPr>
          <w:rFonts w:asciiTheme="minorHAnsi" w:hAnsiTheme="minorHAnsi"/>
          <w:color w:val="auto"/>
          <w:szCs w:val="24"/>
        </w:rPr>
        <w:t>o</w:t>
      </w:r>
      <w:r w:rsidRPr="00A95716">
        <w:rPr>
          <w:rFonts w:asciiTheme="minorHAnsi" w:hAnsiTheme="minorHAnsi"/>
          <w:color w:val="auto"/>
          <w:szCs w:val="24"/>
        </w:rPr>
        <w:t>fficer and considered by the Bo</w:t>
      </w:r>
      <w:r w:rsidR="004B5864" w:rsidRPr="00A95716">
        <w:rPr>
          <w:rFonts w:asciiTheme="minorHAnsi" w:hAnsiTheme="minorHAnsi"/>
          <w:color w:val="auto"/>
          <w:szCs w:val="24"/>
        </w:rPr>
        <w:t>ard.  It was determined that n</w:t>
      </w:r>
      <w:r w:rsidR="000913FF" w:rsidRPr="00A95716">
        <w:rPr>
          <w:rFonts w:asciiTheme="minorHAnsi" w:hAnsiTheme="minorHAnsi"/>
          <w:color w:val="auto"/>
          <w:szCs w:val="24"/>
        </w:rPr>
        <w:t>one</w:t>
      </w:r>
      <w:r w:rsidRPr="00A95716">
        <w:rPr>
          <w:rFonts w:asciiTheme="minorHAnsi" w:hAnsiTheme="minorHAnsi"/>
          <w:color w:val="auto"/>
          <w:szCs w:val="24"/>
        </w:rPr>
        <w:t xml:space="preserve"> could be argued as unfitting and subject to separation rating.  No other conditions were service connected with a compensable rating by </w:t>
      </w:r>
      <w:r w:rsidRPr="00A95716">
        <w:rPr>
          <w:rFonts w:asciiTheme="minorHAnsi" w:hAnsiTheme="minorHAnsi"/>
          <w:color w:val="auto"/>
          <w:szCs w:val="24"/>
        </w:rPr>
        <w:lastRenderedPageBreak/>
        <w:t>the VA within twelve months of separation or contended by the CI.  The Board, therefore, has no reasonable basis for recommending any additional unfitting conditions for separation rating.</w:t>
      </w:r>
    </w:p>
    <w:p w:rsidR="00C67940" w:rsidRDefault="00C67940" w:rsidP="00A95716">
      <w:pPr>
        <w:spacing w:line="240" w:lineRule="exact"/>
        <w:jc w:val="both"/>
        <w:rPr>
          <w:rFonts w:asciiTheme="minorHAnsi" w:hAnsiTheme="minorHAnsi"/>
          <w:color w:val="auto"/>
          <w:szCs w:val="24"/>
        </w:rPr>
      </w:pPr>
    </w:p>
    <w:p w:rsidR="00412658" w:rsidRPr="0055132C" w:rsidRDefault="00C56FC8" w:rsidP="00A95716">
      <w:pPr>
        <w:spacing w:line="240" w:lineRule="exact"/>
        <w:jc w:val="both"/>
        <w:rPr>
          <w:rFonts w:ascii="Calibri" w:eastAsiaTheme="minorHAnsi" w:hAnsi="Calibri" w:cstheme="minorBidi"/>
          <w:color w:val="auto"/>
          <w:szCs w:val="24"/>
        </w:rPr>
      </w:pPr>
      <w:r w:rsidRPr="001B3B19">
        <w:rPr>
          <w:rFonts w:asciiTheme="minorHAnsi" w:hAnsiTheme="minorHAnsi"/>
          <w:color w:val="auto"/>
          <w:szCs w:val="24"/>
          <w:u w:val="single"/>
        </w:rPr>
        <w:t>BOARD FINDINGS</w:t>
      </w:r>
      <w:r w:rsidRPr="001B3B19">
        <w:rPr>
          <w:rFonts w:asciiTheme="minorHAnsi" w:hAnsiTheme="minorHAnsi"/>
          <w:color w:val="auto"/>
          <w:szCs w:val="24"/>
        </w:rPr>
        <w:t>:</w:t>
      </w:r>
      <w:r w:rsidRPr="001B3B1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1B3B19">
        <w:rPr>
          <w:rFonts w:asciiTheme="minorHAnsi" w:eastAsiaTheme="minorHAnsi" w:hAnsiTheme="minorHAnsi"/>
          <w:color w:val="auto"/>
          <w:szCs w:val="24"/>
        </w:rPr>
        <w:t xml:space="preserve"> </w:t>
      </w:r>
      <w:r w:rsidR="0055132C" w:rsidRPr="001B3B19">
        <w:rPr>
          <w:rFonts w:ascii="Calibri" w:eastAsiaTheme="minorHAnsi" w:hAnsi="Calibri" w:cstheme="minorBidi"/>
          <w:color w:val="auto"/>
          <w:szCs w:val="24"/>
        </w:rPr>
        <w:t xml:space="preserve">The Board did not surmise from the record or PEB ruling in this case that any prerogatives outside the VASRD were exercised.  </w:t>
      </w:r>
      <w:r w:rsidR="007C7396" w:rsidRPr="001B3B19">
        <w:rPr>
          <w:rFonts w:asciiTheme="minorHAnsi" w:eastAsiaTheme="minorHAnsi" w:hAnsiTheme="minorHAnsi"/>
          <w:color w:val="auto"/>
          <w:szCs w:val="24"/>
        </w:rPr>
        <w:t xml:space="preserve">In the matter of the right groin condition, the Board unanimously recommends a rating of 10% coded 8630 </w:t>
      </w:r>
      <w:r w:rsidR="007C7396" w:rsidRPr="001B3B19">
        <w:rPr>
          <w:rFonts w:asciiTheme="minorHAnsi" w:hAnsiTheme="minorHAnsi"/>
          <w:color w:val="auto"/>
          <w:szCs w:val="24"/>
        </w:rPr>
        <w:t xml:space="preserve">IAW VASRD §4.123.  </w:t>
      </w:r>
      <w:r w:rsidR="00412658" w:rsidRPr="001B3B19">
        <w:rPr>
          <w:rFonts w:asciiTheme="minorHAnsi" w:hAnsiTheme="minorHAnsi"/>
          <w:color w:val="auto"/>
          <w:szCs w:val="24"/>
        </w:rPr>
        <w:t xml:space="preserve">In the matter of the </w:t>
      </w:r>
      <w:r w:rsidR="004B5864" w:rsidRPr="001B3B19">
        <w:rPr>
          <w:rFonts w:asciiTheme="minorHAnsi" w:eastAsiaTheme="minorHAnsi" w:hAnsiTheme="minorHAnsi"/>
          <w:color w:val="auto"/>
          <w:szCs w:val="24"/>
        </w:rPr>
        <w:t>right shoulder and right great toe</w:t>
      </w:r>
      <w:r w:rsidR="00412658" w:rsidRPr="001B3B19">
        <w:rPr>
          <w:rFonts w:asciiTheme="minorHAnsi" w:eastAsiaTheme="minorHAnsi" w:hAnsiTheme="minorHAnsi"/>
          <w:color w:val="auto"/>
          <w:szCs w:val="24"/>
        </w:rPr>
        <w:t xml:space="preserve"> conditions</w:t>
      </w:r>
      <w:r w:rsidR="004B5864" w:rsidRPr="001B3B19">
        <w:rPr>
          <w:rFonts w:asciiTheme="minorHAnsi" w:hAnsiTheme="minorHAnsi"/>
          <w:color w:val="auto"/>
          <w:szCs w:val="24"/>
        </w:rPr>
        <w:t xml:space="preserve">, </w:t>
      </w:r>
      <w:r w:rsidR="00412658" w:rsidRPr="001B3B19">
        <w:rPr>
          <w:rFonts w:asciiTheme="minorHAnsi" w:hAnsiTheme="minorHAnsi"/>
          <w:color w:val="auto"/>
          <w:szCs w:val="24"/>
        </w:rPr>
        <w:t>the Board unanimously agrees that it cannot</w:t>
      </w:r>
      <w:r w:rsidR="00412658" w:rsidRPr="001B3B19">
        <w:rPr>
          <w:rFonts w:asciiTheme="minorHAnsi" w:hAnsiTheme="minorHAnsi"/>
          <w:color w:val="000080"/>
          <w:szCs w:val="24"/>
        </w:rPr>
        <w:t xml:space="preserve"> </w:t>
      </w:r>
      <w:r w:rsidR="00412658" w:rsidRPr="001B3B19">
        <w:rPr>
          <w:rFonts w:asciiTheme="minorHAnsi" w:hAnsiTheme="minorHAnsi"/>
          <w:color w:val="auto"/>
          <w:szCs w:val="24"/>
        </w:rPr>
        <w:t>recommend any findings of unfit for additional rating at separation.</w:t>
      </w:r>
      <w:r w:rsidR="007C7396" w:rsidRPr="001B3B19">
        <w:rPr>
          <w:rFonts w:asciiTheme="minorHAnsi" w:hAnsiTheme="minorHAnsi"/>
          <w:color w:val="auto"/>
          <w:szCs w:val="24"/>
        </w:rPr>
        <w:t xml:space="preserve">  The Board unanimously agrees that there were no other conditions eligible for Board consideration which could be recommended</w:t>
      </w:r>
      <w:r w:rsidR="007C7396" w:rsidRPr="00CD15BE">
        <w:rPr>
          <w:rFonts w:asciiTheme="minorHAnsi" w:hAnsiTheme="minorHAnsi"/>
          <w:color w:val="auto"/>
          <w:szCs w:val="24"/>
        </w:rPr>
        <w:t xml:space="preserve"> as additionally unfitting</w:t>
      </w:r>
      <w:r w:rsidR="007C7396">
        <w:rPr>
          <w:rFonts w:asciiTheme="minorHAnsi" w:hAnsiTheme="minorHAnsi"/>
          <w:color w:val="auto"/>
          <w:szCs w:val="24"/>
        </w:rPr>
        <w:t xml:space="preserve"> for rating at separation</w:t>
      </w:r>
      <w:r w:rsidR="007C7396" w:rsidRPr="00CD15BE">
        <w:rPr>
          <w:rFonts w:asciiTheme="minorHAnsi" w:hAnsiTheme="minorHAnsi"/>
          <w:color w:val="auto"/>
          <w:szCs w:val="24"/>
        </w:rPr>
        <w:t>.</w:t>
      </w:r>
    </w:p>
    <w:p w:rsidR="00106AD8" w:rsidRPr="00EC4F81" w:rsidRDefault="00106AD8" w:rsidP="00A95716">
      <w:pPr>
        <w:pBdr>
          <w:bottom w:val="single" w:sz="12" w:space="1" w:color="auto"/>
        </w:pBdr>
        <w:tabs>
          <w:tab w:val="left" w:pos="288"/>
          <w:tab w:val="left" w:pos="4752"/>
        </w:tabs>
        <w:spacing w:line="240" w:lineRule="exact"/>
        <w:jc w:val="both"/>
        <w:rPr>
          <w:rFonts w:ascii="Calibri" w:hAnsi="Calibri"/>
          <w:color w:val="auto"/>
          <w:szCs w:val="24"/>
        </w:rPr>
      </w:pPr>
    </w:p>
    <w:p w:rsidR="00106AD8" w:rsidRPr="00EC4F81" w:rsidRDefault="00106AD8" w:rsidP="00A95716">
      <w:pPr>
        <w:tabs>
          <w:tab w:val="left" w:pos="288"/>
          <w:tab w:val="left" w:pos="4752"/>
        </w:tabs>
        <w:spacing w:line="240" w:lineRule="exact"/>
        <w:jc w:val="both"/>
        <w:rPr>
          <w:rFonts w:ascii="Calibri" w:hAnsi="Calibri"/>
          <w:color w:val="auto"/>
          <w:szCs w:val="24"/>
        </w:rPr>
      </w:pPr>
    </w:p>
    <w:p w:rsidR="004101B2" w:rsidRDefault="00C56FC8" w:rsidP="00A95716">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D40558">
        <w:rPr>
          <w:rFonts w:asciiTheme="minorHAnsi" w:hAnsiTheme="minorHAnsi"/>
          <w:color w:val="auto"/>
          <w:szCs w:val="24"/>
        </w:rPr>
        <w:t xml:space="preserve"> </w:t>
      </w:r>
      <w:r w:rsidRPr="00396779">
        <w:rPr>
          <w:rFonts w:asciiTheme="minorHAnsi" w:hAnsiTheme="minorHAnsi"/>
          <w:color w:val="000080"/>
          <w:szCs w:val="24"/>
        </w:rPr>
        <w:t xml:space="preserve"> </w:t>
      </w:r>
      <w:r w:rsidR="007C7396" w:rsidRPr="00B95833">
        <w:rPr>
          <w:rFonts w:asciiTheme="minorHAnsi" w:hAnsiTheme="minorHAnsi"/>
          <w:color w:val="auto"/>
          <w:szCs w:val="24"/>
        </w:rPr>
        <w:t>The Board recommends that the CI’s prior determination be modified as follows, effective as of the date of his prior medical separation.</w:t>
      </w:r>
    </w:p>
    <w:p w:rsidR="007C7396" w:rsidRPr="00396779" w:rsidRDefault="007C7396"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EC4F81">
        <w:trPr>
          <w:trHeight w:val="233"/>
          <w:jc w:val="center"/>
        </w:trPr>
        <w:tc>
          <w:tcPr>
            <w:tcW w:w="6480" w:type="dxa"/>
            <w:shd w:val="clear" w:color="auto" w:fill="D9D9D9"/>
            <w:vAlign w:val="center"/>
          </w:tcPr>
          <w:p w:rsidR="00A95BBA" w:rsidRPr="00396779" w:rsidRDefault="00A95BBA" w:rsidP="00A54C44">
            <w:pPr>
              <w:tabs>
                <w:tab w:val="left" w:pos="288"/>
                <w:tab w:val="left" w:pos="4752"/>
              </w:tabs>
              <w:spacing w:before="20" w:line="240" w:lineRule="exact"/>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vAlign w:val="center"/>
          </w:tcPr>
          <w:p w:rsidR="00A95BBA" w:rsidRPr="00396779" w:rsidRDefault="00A95BBA" w:rsidP="00EC4F81">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vAlign w:val="center"/>
          </w:tcPr>
          <w:p w:rsidR="00A95BBA" w:rsidRPr="00396779" w:rsidRDefault="00A95BBA" w:rsidP="00EC4F81">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EC4F81">
        <w:trPr>
          <w:jc w:val="center"/>
        </w:trPr>
        <w:tc>
          <w:tcPr>
            <w:tcW w:w="6480" w:type="dxa"/>
            <w:vAlign w:val="center"/>
          </w:tcPr>
          <w:p w:rsidR="00A95BBA" w:rsidRPr="00396779" w:rsidRDefault="0055132C" w:rsidP="00A54C44">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Ilioinguinal Neuritis</w:t>
            </w:r>
          </w:p>
        </w:tc>
        <w:tc>
          <w:tcPr>
            <w:tcW w:w="1710" w:type="dxa"/>
            <w:vAlign w:val="center"/>
          </w:tcPr>
          <w:p w:rsidR="00A95BBA" w:rsidRPr="0055132C" w:rsidRDefault="00D506E1" w:rsidP="00EC4F81">
            <w:pPr>
              <w:tabs>
                <w:tab w:val="left" w:pos="288"/>
                <w:tab w:val="left" w:pos="4752"/>
              </w:tabs>
              <w:spacing w:line="240" w:lineRule="exact"/>
              <w:jc w:val="center"/>
              <w:rPr>
                <w:rFonts w:asciiTheme="minorHAnsi" w:hAnsiTheme="minorHAnsi"/>
                <w:color w:val="auto"/>
                <w:szCs w:val="24"/>
              </w:rPr>
            </w:pPr>
            <w:r w:rsidRPr="008F67F9">
              <w:rPr>
                <w:rFonts w:asciiTheme="minorHAnsi" w:hAnsiTheme="minorHAnsi"/>
                <w:color w:val="auto"/>
                <w:szCs w:val="24"/>
              </w:rPr>
              <w:t>86</w:t>
            </w:r>
            <w:r w:rsidR="004B5864" w:rsidRPr="008F67F9">
              <w:rPr>
                <w:rFonts w:asciiTheme="minorHAnsi" w:hAnsiTheme="minorHAnsi"/>
                <w:color w:val="auto"/>
                <w:szCs w:val="24"/>
              </w:rPr>
              <w:t>30</w:t>
            </w:r>
          </w:p>
        </w:tc>
        <w:tc>
          <w:tcPr>
            <w:tcW w:w="1170" w:type="dxa"/>
            <w:vAlign w:val="center"/>
          </w:tcPr>
          <w:p w:rsidR="00A95BBA" w:rsidRPr="0055132C" w:rsidRDefault="00D506E1" w:rsidP="00EC4F81">
            <w:pPr>
              <w:tabs>
                <w:tab w:val="left" w:pos="288"/>
                <w:tab w:val="left" w:pos="4752"/>
              </w:tabs>
              <w:spacing w:line="240" w:lineRule="exact"/>
              <w:jc w:val="center"/>
              <w:rPr>
                <w:rFonts w:asciiTheme="minorHAnsi" w:hAnsiTheme="minorHAnsi"/>
                <w:color w:val="auto"/>
                <w:szCs w:val="24"/>
              </w:rPr>
            </w:pPr>
            <w:r w:rsidRPr="0055132C">
              <w:rPr>
                <w:rFonts w:asciiTheme="minorHAnsi" w:hAnsiTheme="minorHAnsi"/>
                <w:color w:val="auto"/>
                <w:szCs w:val="24"/>
              </w:rPr>
              <w:t>1</w:t>
            </w:r>
            <w:r w:rsidR="00A95BBA" w:rsidRPr="0055132C">
              <w:rPr>
                <w:rFonts w:asciiTheme="minorHAnsi" w:hAnsiTheme="minorHAnsi"/>
                <w:color w:val="auto"/>
                <w:szCs w:val="24"/>
              </w:rPr>
              <w:t>0%</w:t>
            </w:r>
          </w:p>
        </w:tc>
      </w:tr>
      <w:tr w:rsidR="00A95BBA" w:rsidRPr="00396779" w:rsidTr="00EC4F8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5132C" w:rsidRDefault="00A95BBA" w:rsidP="00EC4F81">
            <w:pPr>
              <w:tabs>
                <w:tab w:val="left" w:pos="288"/>
                <w:tab w:val="left" w:pos="4752"/>
              </w:tabs>
              <w:spacing w:before="20" w:line="240" w:lineRule="exact"/>
              <w:jc w:val="center"/>
              <w:rPr>
                <w:rFonts w:asciiTheme="minorHAnsi" w:hAnsiTheme="minorHAnsi"/>
                <w:b/>
                <w:color w:val="auto"/>
                <w:szCs w:val="24"/>
              </w:rPr>
            </w:pPr>
            <w:r w:rsidRPr="0055132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55132C" w:rsidRDefault="00D506E1" w:rsidP="00EC4F81">
            <w:pPr>
              <w:tabs>
                <w:tab w:val="left" w:pos="288"/>
                <w:tab w:val="left" w:pos="4752"/>
              </w:tabs>
              <w:spacing w:before="20" w:line="240" w:lineRule="exact"/>
              <w:jc w:val="center"/>
              <w:rPr>
                <w:rFonts w:asciiTheme="minorHAnsi" w:hAnsiTheme="minorHAnsi"/>
                <w:b/>
                <w:color w:val="auto"/>
                <w:szCs w:val="24"/>
              </w:rPr>
            </w:pPr>
            <w:r w:rsidRPr="0055132C">
              <w:rPr>
                <w:rFonts w:asciiTheme="minorHAnsi" w:hAnsiTheme="minorHAnsi"/>
                <w:b/>
                <w:color w:val="auto"/>
                <w:szCs w:val="24"/>
              </w:rPr>
              <w:t>1</w:t>
            </w:r>
            <w:r w:rsidR="00A95BBA" w:rsidRPr="0055132C">
              <w:rPr>
                <w:rFonts w:asciiTheme="minorHAnsi" w:hAnsiTheme="minorHAnsi"/>
                <w:b/>
                <w:color w:val="auto"/>
                <w:szCs w:val="24"/>
              </w:rPr>
              <w:t>0%</w:t>
            </w:r>
          </w:p>
        </w:tc>
      </w:tr>
    </w:tbl>
    <w:p w:rsidR="0055132C" w:rsidRPr="00EC4F81" w:rsidRDefault="0055132C"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EC4F81" w:rsidRDefault="00106AD8" w:rsidP="00106AD8">
      <w:pPr>
        <w:tabs>
          <w:tab w:val="left" w:pos="288"/>
          <w:tab w:val="left" w:pos="4752"/>
        </w:tabs>
        <w:spacing w:line="240" w:lineRule="exact"/>
        <w:rPr>
          <w:rFonts w:ascii="Calibri" w:hAnsi="Calibri"/>
          <w:color w:val="auto"/>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D7763E">
        <w:rPr>
          <w:rFonts w:asciiTheme="minorHAnsi" w:hAnsiTheme="minorHAnsi"/>
          <w:color w:val="auto"/>
        </w:rPr>
        <w:t>100302</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F82B3C">
        <w:rPr>
          <w:rFonts w:asciiTheme="minorHAnsi" w:hAnsiTheme="minorHAnsi"/>
          <w:color w:val="auto"/>
        </w:rPr>
        <w:t xml:space="preserve"> </w:t>
      </w:r>
      <w:bookmarkStart w:id="0" w:name="_GoBack"/>
      <w:bookmarkEnd w:id="0"/>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C21DA3" w:rsidRDefault="00FB1725" w:rsidP="001B3B1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C21DA3" w:rsidRDefault="00C21DA3">
      <w:pPr>
        <w:rPr>
          <w:rFonts w:asciiTheme="minorHAnsi" w:hAnsiTheme="minorHAnsi"/>
          <w:color w:val="auto"/>
        </w:rPr>
      </w:pPr>
      <w:r>
        <w:rPr>
          <w:rFonts w:asciiTheme="minorHAnsi" w:hAnsiTheme="minorHAnsi"/>
          <w:color w:val="auto"/>
        </w:rPr>
        <w:br w:type="page"/>
      </w:r>
    </w:p>
    <w:p w:rsidR="00C21DA3" w:rsidRDefault="00C21DA3" w:rsidP="00C21DA3">
      <w:pPr>
        <w:pStyle w:val="Default"/>
        <w:framePr w:w="15493" w:wrap="auto" w:vAnchor="page" w:hAnchor="page" w:x="1" w:y="1"/>
      </w:pPr>
      <w:r>
        <w:rPr>
          <w:noProof/>
        </w:rPr>
        <w:lastRenderedPageBreak/>
        <w:drawing>
          <wp:inline distT="0" distB="0" distL="0" distR="0">
            <wp:extent cx="7696200" cy="1003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96200" cy="10033000"/>
                    </a:xfrm>
                    <a:prstGeom prst="rect">
                      <a:avLst/>
                    </a:prstGeom>
                    <a:noFill/>
                    <a:ln w="9525">
                      <a:noFill/>
                      <a:miter lim="800000"/>
                      <a:headEnd/>
                      <a:tailEnd/>
                    </a:ln>
                  </pic:spPr>
                </pic:pic>
              </a:graphicData>
            </a:graphic>
          </wp:inline>
        </w:drawing>
      </w:r>
    </w:p>
    <w:p w:rsidR="00A95716" w:rsidRDefault="00A95716" w:rsidP="001B3B19">
      <w:pPr>
        <w:tabs>
          <w:tab w:val="left" w:pos="288"/>
          <w:tab w:val="left" w:pos="4320"/>
          <w:tab w:val="left" w:pos="4410"/>
          <w:tab w:val="left" w:pos="4770"/>
          <w:tab w:val="left" w:pos="4860"/>
          <w:tab w:val="left" w:pos="5040"/>
        </w:tabs>
        <w:spacing w:line="240" w:lineRule="exact"/>
        <w:jc w:val="both"/>
        <w:rPr>
          <w:b/>
        </w:rPr>
      </w:pPr>
    </w:p>
    <w:sectPr w:rsidR="00A95716" w:rsidSect="002A5C3C">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6F" w:rsidRDefault="00065C6F">
      <w:r>
        <w:separator/>
      </w:r>
    </w:p>
  </w:endnote>
  <w:endnote w:type="continuationSeparator" w:id="0">
    <w:p w:rsidR="00065C6F" w:rsidRDefault="00065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4C" w:rsidRDefault="007355FF">
    <w:pPr>
      <w:pStyle w:val="Footer"/>
      <w:framePr w:wrap="around" w:vAnchor="text" w:hAnchor="margin" w:xAlign="center" w:y="1"/>
      <w:rPr>
        <w:rStyle w:val="PageNumber"/>
      </w:rPr>
    </w:pPr>
    <w:r>
      <w:rPr>
        <w:rStyle w:val="PageNumber"/>
      </w:rPr>
      <w:fldChar w:fldCharType="begin"/>
    </w:r>
    <w:r w:rsidR="007F6A4C">
      <w:rPr>
        <w:rStyle w:val="PageNumber"/>
      </w:rPr>
      <w:instrText xml:space="preserve">PAGE  </w:instrText>
    </w:r>
    <w:r>
      <w:rPr>
        <w:rStyle w:val="PageNumber"/>
      </w:rPr>
      <w:fldChar w:fldCharType="separate"/>
    </w:r>
    <w:r w:rsidR="007F6A4C">
      <w:rPr>
        <w:rStyle w:val="PageNumber"/>
        <w:noProof/>
      </w:rPr>
      <w:t>2</w:t>
    </w:r>
    <w:r>
      <w:rPr>
        <w:rStyle w:val="PageNumber"/>
      </w:rPr>
      <w:fldChar w:fldCharType="end"/>
    </w:r>
  </w:p>
  <w:p w:rsidR="007F6A4C" w:rsidRDefault="007F6A4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4C" w:rsidRPr="00AC713F" w:rsidRDefault="007355F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F6A4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21DA3">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7F6A4C" w:rsidRPr="00396779" w:rsidRDefault="007F6A4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201000132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6F" w:rsidRDefault="00065C6F">
      <w:r>
        <w:separator/>
      </w:r>
    </w:p>
  </w:footnote>
  <w:footnote w:type="continuationSeparator" w:id="0">
    <w:p w:rsidR="00065C6F" w:rsidRDefault="00065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3A2"/>
    <w:rsid w:val="000027C2"/>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45B33"/>
    <w:rsid w:val="00051622"/>
    <w:rsid w:val="00052234"/>
    <w:rsid w:val="00053D7C"/>
    <w:rsid w:val="00054A0E"/>
    <w:rsid w:val="000577C9"/>
    <w:rsid w:val="0006431E"/>
    <w:rsid w:val="00065C6F"/>
    <w:rsid w:val="00065E21"/>
    <w:rsid w:val="00072433"/>
    <w:rsid w:val="00075702"/>
    <w:rsid w:val="000775C2"/>
    <w:rsid w:val="000806AD"/>
    <w:rsid w:val="00082482"/>
    <w:rsid w:val="0008708B"/>
    <w:rsid w:val="000913FF"/>
    <w:rsid w:val="00092619"/>
    <w:rsid w:val="00092C66"/>
    <w:rsid w:val="00094E4F"/>
    <w:rsid w:val="000A2BCE"/>
    <w:rsid w:val="000A41E3"/>
    <w:rsid w:val="000A4BBA"/>
    <w:rsid w:val="000A5071"/>
    <w:rsid w:val="000B4C99"/>
    <w:rsid w:val="000B5E6F"/>
    <w:rsid w:val="000C06F6"/>
    <w:rsid w:val="000C1D34"/>
    <w:rsid w:val="000C2362"/>
    <w:rsid w:val="000C3C13"/>
    <w:rsid w:val="000C53F9"/>
    <w:rsid w:val="000C5813"/>
    <w:rsid w:val="000C75CF"/>
    <w:rsid w:val="000C7B83"/>
    <w:rsid w:val="000C7DE4"/>
    <w:rsid w:val="000D0C58"/>
    <w:rsid w:val="000D15E7"/>
    <w:rsid w:val="000D1A24"/>
    <w:rsid w:val="000D21C7"/>
    <w:rsid w:val="000D248A"/>
    <w:rsid w:val="000D35D8"/>
    <w:rsid w:val="000D39AD"/>
    <w:rsid w:val="000D43F9"/>
    <w:rsid w:val="000D4717"/>
    <w:rsid w:val="000D5BD5"/>
    <w:rsid w:val="000D6457"/>
    <w:rsid w:val="000D7D55"/>
    <w:rsid w:val="000E0993"/>
    <w:rsid w:val="000E37E0"/>
    <w:rsid w:val="000E7034"/>
    <w:rsid w:val="000F02BE"/>
    <w:rsid w:val="000F427B"/>
    <w:rsid w:val="000F7181"/>
    <w:rsid w:val="001008C1"/>
    <w:rsid w:val="001023DB"/>
    <w:rsid w:val="00103CCF"/>
    <w:rsid w:val="0010417F"/>
    <w:rsid w:val="001042D2"/>
    <w:rsid w:val="00104F6B"/>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7EE"/>
    <w:rsid w:val="00156BA9"/>
    <w:rsid w:val="00161761"/>
    <w:rsid w:val="00162C32"/>
    <w:rsid w:val="00166182"/>
    <w:rsid w:val="001745DD"/>
    <w:rsid w:val="00177659"/>
    <w:rsid w:val="001779E5"/>
    <w:rsid w:val="001814D8"/>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4919"/>
    <w:rsid w:val="001A5320"/>
    <w:rsid w:val="001A5B0B"/>
    <w:rsid w:val="001A5E62"/>
    <w:rsid w:val="001A6848"/>
    <w:rsid w:val="001A7538"/>
    <w:rsid w:val="001B0B1A"/>
    <w:rsid w:val="001B3A1C"/>
    <w:rsid w:val="001B3B19"/>
    <w:rsid w:val="001B4EC2"/>
    <w:rsid w:val="001B5B59"/>
    <w:rsid w:val="001B60E0"/>
    <w:rsid w:val="001B7C8C"/>
    <w:rsid w:val="001C0DF8"/>
    <w:rsid w:val="001C0E73"/>
    <w:rsid w:val="001C181A"/>
    <w:rsid w:val="001C1877"/>
    <w:rsid w:val="001C2053"/>
    <w:rsid w:val="001C2527"/>
    <w:rsid w:val="001C252F"/>
    <w:rsid w:val="001C28D1"/>
    <w:rsid w:val="001C3587"/>
    <w:rsid w:val="001C5CFC"/>
    <w:rsid w:val="001C6F1F"/>
    <w:rsid w:val="001C7418"/>
    <w:rsid w:val="001C7EBE"/>
    <w:rsid w:val="001D0051"/>
    <w:rsid w:val="001D0F2B"/>
    <w:rsid w:val="001D2224"/>
    <w:rsid w:val="001D31AA"/>
    <w:rsid w:val="001D4F88"/>
    <w:rsid w:val="001D68CF"/>
    <w:rsid w:val="001D6A8C"/>
    <w:rsid w:val="001D7A56"/>
    <w:rsid w:val="001E059D"/>
    <w:rsid w:val="001E15C0"/>
    <w:rsid w:val="001E18E0"/>
    <w:rsid w:val="001E18E2"/>
    <w:rsid w:val="001E19D0"/>
    <w:rsid w:val="001E1D47"/>
    <w:rsid w:val="001E2A30"/>
    <w:rsid w:val="00200AA0"/>
    <w:rsid w:val="002013F9"/>
    <w:rsid w:val="00201D24"/>
    <w:rsid w:val="00202325"/>
    <w:rsid w:val="00202736"/>
    <w:rsid w:val="00203652"/>
    <w:rsid w:val="00203B01"/>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E34"/>
    <w:rsid w:val="00233FE5"/>
    <w:rsid w:val="00234B3B"/>
    <w:rsid w:val="0024174E"/>
    <w:rsid w:val="0024227D"/>
    <w:rsid w:val="00242D14"/>
    <w:rsid w:val="00243279"/>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2AB2"/>
    <w:rsid w:val="00294437"/>
    <w:rsid w:val="002959FF"/>
    <w:rsid w:val="002A3237"/>
    <w:rsid w:val="002A58B7"/>
    <w:rsid w:val="002A5943"/>
    <w:rsid w:val="002A5C3C"/>
    <w:rsid w:val="002A685E"/>
    <w:rsid w:val="002A72C7"/>
    <w:rsid w:val="002B03B2"/>
    <w:rsid w:val="002B0749"/>
    <w:rsid w:val="002B1EE0"/>
    <w:rsid w:val="002B2645"/>
    <w:rsid w:val="002B2CE1"/>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2B13"/>
    <w:rsid w:val="00323E70"/>
    <w:rsid w:val="00325BA2"/>
    <w:rsid w:val="00326C08"/>
    <w:rsid w:val="00326F7F"/>
    <w:rsid w:val="003320E8"/>
    <w:rsid w:val="0033334F"/>
    <w:rsid w:val="0033555E"/>
    <w:rsid w:val="00336805"/>
    <w:rsid w:val="00337351"/>
    <w:rsid w:val="00341A54"/>
    <w:rsid w:val="0034669F"/>
    <w:rsid w:val="003507D7"/>
    <w:rsid w:val="00351498"/>
    <w:rsid w:val="00352B22"/>
    <w:rsid w:val="00354547"/>
    <w:rsid w:val="003567DE"/>
    <w:rsid w:val="003574F3"/>
    <w:rsid w:val="0036319E"/>
    <w:rsid w:val="003632A4"/>
    <w:rsid w:val="00363362"/>
    <w:rsid w:val="00367D4F"/>
    <w:rsid w:val="00370743"/>
    <w:rsid w:val="00370EF5"/>
    <w:rsid w:val="0037135B"/>
    <w:rsid w:val="00372251"/>
    <w:rsid w:val="00374A92"/>
    <w:rsid w:val="0037520D"/>
    <w:rsid w:val="00375724"/>
    <w:rsid w:val="00375809"/>
    <w:rsid w:val="0037628C"/>
    <w:rsid w:val="00376935"/>
    <w:rsid w:val="00376B81"/>
    <w:rsid w:val="00377BD2"/>
    <w:rsid w:val="003821E1"/>
    <w:rsid w:val="00383492"/>
    <w:rsid w:val="00384866"/>
    <w:rsid w:val="003857D4"/>
    <w:rsid w:val="00385D6F"/>
    <w:rsid w:val="00387095"/>
    <w:rsid w:val="00390092"/>
    <w:rsid w:val="00393651"/>
    <w:rsid w:val="003936B6"/>
    <w:rsid w:val="00395E12"/>
    <w:rsid w:val="00396779"/>
    <w:rsid w:val="00397DB7"/>
    <w:rsid w:val="003A27B2"/>
    <w:rsid w:val="003A40B4"/>
    <w:rsid w:val="003A41BA"/>
    <w:rsid w:val="003A6A99"/>
    <w:rsid w:val="003A7FF8"/>
    <w:rsid w:val="003B17AC"/>
    <w:rsid w:val="003B227A"/>
    <w:rsid w:val="003B5854"/>
    <w:rsid w:val="003B6764"/>
    <w:rsid w:val="003C3B6A"/>
    <w:rsid w:val="003C3CA9"/>
    <w:rsid w:val="003C6068"/>
    <w:rsid w:val="003D2BA3"/>
    <w:rsid w:val="003D3C22"/>
    <w:rsid w:val="003D7089"/>
    <w:rsid w:val="003D7DDB"/>
    <w:rsid w:val="003E02C7"/>
    <w:rsid w:val="003E0543"/>
    <w:rsid w:val="003E0B5A"/>
    <w:rsid w:val="003E31E3"/>
    <w:rsid w:val="003E40A9"/>
    <w:rsid w:val="003E46D1"/>
    <w:rsid w:val="003E6214"/>
    <w:rsid w:val="003F070E"/>
    <w:rsid w:val="003F58B0"/>
    <w:rsid w:val="004007E9"/>
    <w:rsid w:val="00401825"/>
    <w:rsid w:val="00401BBC"/>
    <w:rsid w:val="00403BFB"/>
    <w:rsid w:val="00404B45"/>
    <w:rsid w:val="00406CC5"/>
    <w:rsid w:val="004074A4"/>
    <w:rsid w:val="004101B2"/>
    <w:rsid w:val="004123D7"/>
    <w:rsid w:val="00412549"/>
    <w:rsid w:val="00412658"/>
    <w:rsid w:val="00413FC2"/>
    <w:rsid w:val="00416C8E"/>
    <w:rsid w:val="004172DB"/>
    <w:rsid w:val="00421337"/>
    <w:rsid w:val="00421485"/>
    <w:rsid w:val="00422B75"/>
    <w:rsid w:val="00423AE6"/>
    <w:rsid w:val="00433F36"/>
    <w:rsid w:val="0043503A"/>
    <w:rsid w:val="00436272"/>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A0C79"/>
    <w:rsid w:val="004A24D2"/>
    <w:rsid w:val="004A3214"/>
    <w:rsid w:val="004A4136"/>
    <w:rsid w:val="004A417B"/>
    <w:rsid w:val="004B03F3"/>
    <w:rsid w:val="004B0CC9"/>
    <w:rsid w:val="004B2536"/>
    <w:rsid w:val="004B3225"/>
    <w:rsid w:val="004B5864"/>
    <w:rsid w:val="004B6AF3"/>
    <w:rsid w:val="004B715E"/>
    <w:rsid w:val="004B7169"/>
    <w:rsid w:val="004B79C9"/>
    <w:rsid w:val="004B7C3C"/>
    <w:rsid w:val="004C5E33"/>
    <w:rsid w:val="004C6CDA"/>
    <w:rsid w:val="004D10D4"/>
    <w:rsid w:val="004D16BD"/>
    <w:rsid w:val="004D2AAB"/>
    <w:rsid w:val="004D2C53"/>
    <w:rsid w:val="004D67CA"/>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33E9"/>
    <w:rsid w:val="00534D42"/>
    <w:rsid w:val="005350A5"/>
    <w:rsid w:val="00536379"/>
    <w:rsid w:val="00537238"/>
    <w:rsid w:val="005400C5"/>
    <w:rsid w:val="00540BEF"/>
    <w:rsid w:val="00542C9A"/>
    <w:rsid w:val="005436C2"/>
    <w:rsid w:val="005442D4"/>
    <w:rsid w:val="0054586A"/>
    <w:rsid w:val="0054631F"/>
    <w:rsid w:val="0055132C"/>
    <w:rsid w:val="0055288D"/>
    <w:rsid w:val="00555259"/>
    <w:rsid w:val="00560D57"/>
    <w:rsid w:val="00562A94"/>
    <w:rsid w:val="005654F4"/>
    <w:rsid w:val="005709F7"/>
    <w:rsid w:val="005710A9"/>
    <w:rsid w:val="00571D1B"/>
    <w:rsid w:val="005738F5"/>
    <w:rsid w:val="0058039C"/>
    <w:rsid w:val="005916B1"/>
    <w:rsid w:val="00593043"/>
    <w:rsid w:val="00595BF0"/>
    <w:rsid w:val="005A1846"/>
    <w:rsid w:val="005A258C"/>
    <w:rsid w:val="005A3560"/>
    <w:rsid w:val="005A464E"/>
    <w:rsid w:val="005A6C99"/>
    <w:rsid w:val="005A7D5D"/>
    <w:rsid w:val="005B011A"/>
    <w:rsid w:val="005B1D8F"/>
    <w:rsid w:val="005B1E94"/>
    <w:rsid w:val="005B5B3D"/>
    <w:rsid w:val="005B64CF"/>
    <w:rsid w:val="005B6C83"/>
    <w:rsid w:val="005C16F3"/>
    <w:rsid w:val="005C3758"/>
    <w:rsid w:val="005D5D03"/>
    <w:rsid w:val="005E3064"/>
    <w:rsid w:val="005E72B2"/>
    <w:rsid w:val="005F1115"/>
    <w:rsid w:val="005F1AB6"/>
    <w:rsid w:val="005F2744"/>
    <w:rsid w:val="005F27F2"/>
    <w:rsid w:val="005F3AFE"/>
    <w:rsid w:val="005F424D"/>
    <w:rsid w:val="005F6B6D"/>
    <w:rsid w:val="00605AAB"/>
    <w:rsid w:val="00606BEB"/>
    <w:rsid w:val="0061014A"/>
    <w:rsid w:val="0061054B"/>
    <w:rsid w:val="00613E26"/>
    <w:rsid w:val="00615641"/>
    <w:rsid w:val="00616959"/>
    <w:rsid w:val="006211D0"/>
    <w:rsid w:val="00623A13"/>
    <w:rsid w:val="00624D0C"/>
    <w:rsid w:val="006274B4"/>
    <w:rsid w:val="006307BA"/>
    <w:rsid w:val="006315BA"/>
    <w:rsid w:val="00633804"/>
    <w:rsid w:val="00634C4A"/>
    <w:rsid w:val="0063532E"/>
    <w:rsid w:val="00637719"/>
    <w:rsid w:val="00637BDC"/>
    <w:rsid w:val="006418C9"/>
    <w:rsid w:val="00642BD6"/>
    <w:rsid w:val="00645046"/>
    <w:rsid w:val="0064527A"/>
    <w:rsid w:val="00645EA2"/>
    <w:rsid w:val="00653D2D"/>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2FF1"/>
    <w:rsid w:val="006B3923"/>
    <w:rsid w:val="006B3F3E"/>
    <w:rsid w:val="006B5923"/>
    <w:rsid w:val="006B67D9"/>
    <w:rsid w:val="006B6C14"/>
    <w:rsid w:val="006B715E"/>
    <w:rsid w:val="006C1D6E"/>
    <w:rsid w:val="006C1E2B"/>
    <w:rsid w:val="006C2EF6"/>
    <w:rsid w:val="006C3A68"/>
    <w:rsid w:val="006C6AB1"/>
    <w:rsid w:val="006C7020"/>
    <w:rsid w:val="006D2D39"/>
    <w:rsid w:val="006D4E0E"/>
    <w:rsid w:val="006D5CE2"/>
    <w:rsid w:val="006E06D1"/>
    <w:rsid w:val="006E1313"/>
    <w:rsid w:val="006E2DC8"/>
    <w:rsid w:val="006E31CD"/>
    <w:rsid w:val="006E7356"/>
    <w:rsid w:val="006E755D"/>
    <w:rsid w:val="006E77C8"/>
    <w:rsid w:val="006F149D"/>
    <w:rsid w:val="006F1A46"/>
    <w:rsid w:val="006F4F06"/>
    <w:rsid w:val="006F5A4E"/>
    <w:rsid w:val="006F6005"/>
    <w:rsid w:val="00703B6C"/>
    <w:rsid w:val="0070542D"/>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55FF"/>
    <w:rsid w:val="00736A49"/>
    <w:rsid w:val="007419A1"/>
    <w:rsid w:val="00743B71"/>
    <w:rsid w:val="00743C2D"/>
    <w:rsid w:val="00743E36"/>
    <w:rsid w:val="007446F7"/>
    <w:rsid w:val="00744EBB"/>
    <w:rsid w:val="00745B0A"/>
    <w:rsid w:val="007468AC"/>
    <w:rsid w:val="00746A51"/>
    <w:rsid w:val="00746AE2"/>
    <w:rsid w:val="00750C82"/>
    <w:rsid w:val="00753193"/>
    <w:rsid w:val="00754099"/>
    <w:rsid w:val="0076100C"/>
    <w:rsid w:val="007612A5"/>
    <w:rsid w:val="00763F95"/>
    <w:rsid w:val="007651ED"/>
    <w:rsid w:val="00766C87"/>
    <w:rsid w:val="00780378"/>
    <w:rsid w:val="00781BD4"/>
    <w:rsid w:val="00784832"/>
    <w:rsid w:val="00785D77"/>
    <w:rsid w:val="00786111"/>
    <w:rsid w:val="00791F1E"/>
    <w:rsid w:val="00794F3D"/>
    <w:rsid w:val="00796045"/>
    <w:rsid w:val="00796384"/>
    <w:rsid w:val="007968AC"/>
    <w:rsid w:val="007969AB"/>
    <w:rsid w:val="007A0B39"/>
    <w:rsid w:val="007A14A4"/>
    <w:rsid w:val="007A168F"/>
    <w:rsid w:val="007A28E4"/>
    <w:rsid w:val="007A3BB3"/>
    <w:rsid w:val="007A5AD1"/>
    <w:rsid w:val="007A5B7B"/>
    <w:rsid w:val="007B0A06"/>
    <w:rsid w:val="007B116D"/>
    <w:rsid w:val="007B4E45"/>
    <w:rsid w:val="007B5C5C"/>
    <w:rsid w:val="007B7B37"/>
    <w:rsid w:val="007B7C41"/>
    <w:rsid w:val="007C11E9"/>
    <w:rsid w:val="007C433E"/>
    <w:rsid w:val="007C4452"/>
    <w:rsid w:val="007C4B3C"/>
    <w:rsid w:val="007C4DB1"/>
    <w:rsid w:val="007C6046"/>
    <w:rsid w:val="007C739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3766"/>
    <w:rsid w:val="007F5B54"/>
    <w:rsid w:val="007F6A4C"/>
    <w:rsid w:val="00803850"/>
    <w:rsid w:val="00804385"/>
    <w:rsid w:val="00805AFD"/>
    <w:rsid w:val="008078D8"/>
    <w:rsid w:val="00811D5B"/>
    <w:rsid w:val="008166E9"/>
    <w:rsid w:val="00817713"/>
    <w:rsid w:val="008220F1"/>
    <w:rsid w:val="0082340B"/>
    <w:rsid w:val="00827DB6"/>
    <w:rsid w:val="008304B2"/>
    <w:rsid w:val="00830999"/>
    <w:rsid w:val="00830D5E"/>
    <w:rsid w:val="00830F69"/>
    <w:rsid w:val="00833418"/>
    <w:rsid w:val="00834458"/>
    <w:rsid w:val="00835841"/>
    <w:rsid w:val="008362C9"/>
    <w:rsid w:val="00837465"/>
    <w:rsid w:val="00841243"/>
    <w:rsid w:val="00841457"/>
    <w:rsid w:val="008435F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2F38"/>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1A21"/>
    <w:rsid w:val="008D2C2C"/>
    <w:rsid w:val="008D795D"/>
    <w:rsid w:val="008D7B07"/>
    <w:rsid w:val="008E1E94"/>
    <w:rsid w:val="008E2D99"/>
    <w:rsid w:val="008E4A60"/>
    <w:rsid w:val="008E5C9B"/>
    <w:rsid w:val="008E744D"/>
    <w:rsid w:val="008F1E08"/>
    <w:rsid w:val="008F67F9"/>
    <w:rsid w:val="008F68B2"/>
    <w:rsid w:val="009001C2"/>
    <w:rsid w:val="00900D8F"/>
    <w:rsid w:val="009014E3"/>
    <w:rsid w:val="009026E8"/>
    <w:rsid w:val="00906EB7"/>
    <w:rsid w:val="009102BF"/>
    <w:rsid w:val="00911490"/>
    <w:rsid w:val="009115F2"/>
    <w:rsid w:val="00914ADB"/>
    <w:rsid w:val="00917B50"/>
    <w:rsid w:val="00923B25"/>
    <w:rsid w:val="0092402E"/>
    <w:rsid w:val="0092481F"/>
    <w:rsid w:val="009259BA"/>
    <w:rsid w:val="00926FCB"/>
    <w:rsid w:val="0093311A"/>
    <w:rsid w:val="0093540C"/>
    <w:rsid w:val="00940DA9"/>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1CD"/>
    <w:rsid w:val="0098222D"/>
    <w:rsid w:val="00985099"/>
    <w:rsid w:val="00991036"/>
    <w:rsid w:val="0099421F"/>
    <w:rsid w:val="009A0DE3"/>
    <w:rsid w:val="009A1643"/>
    <w:rsid w:val="009A1C89"/>
    <w:rsid w:val="009A215A"/>
    <w:rsid w:val="009A49D3"/>
    <w:rsid w:val="009A4F1B"/>
    <w:rsid w:val="009A66C5"/>
    <w:rsid w:val="009A79BA"/>
    <w:rsid w:val="009A7D88"/>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28FB"/>
    <w:rsid w:val="009D37CA"/>
    <w:rsid w:val="009D634F"/>
    <w:rsid w:val="009E09D0"/>
    <w:rsid w:val="009E1283"/>
    <w:rsid w:val="009E3A7F"/>
    <w:rsid w:val="009E57B1"/>
    <w:rsid w:val="009E6379"/>
    <w:rsid w:val="009F4366"/>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61B2"/>
    <w:rsid w:val="00A32743"/>
    <w:rsid w:val="00A414A9"/>
    <w:rsid w:val="00A44CCA"/>
    <w:rsid w:val="00A44D75"/>
    <w:rsid w:val="00A46C34"/>
    <w:rsid w:val="00A47CF1"/>
    <w:rsid w:val="00A50418"/>
    <w:rsid w:val="00A54A47"/>
    <w:rsid w:val="00A54C44"/>
    <w:rsid w:val="00A56D26"/>
    <w:rsid w:val="00A571A7"/>
    <w:rsid w:val="00A608FB"/>
    <w:rsid w:val="00A60D83"/>
    <w:rsid w:val="00A60F68"/>
    <w:rsid w:val="00A62421"/>
    <w:rsid w:val="00A63DF3"/>
    <w:rsid w:val="00A65C78"/>
    <w:rsid w:val="00A660A8"/>
    <w:rsid w:val="00A67591"/>
    <w:rsid w:val="00A67CA6"/>
    <w:rsid w:val="00A70E7B"/>
    <w:rsid w:val="00A73B84"/>
    <w:rsid w:val="00A7411D"/>
    <w:rsid w:val="00A76094"/>
    <w:rsid w:val="00A768E2"/>
    <w:rsid w:val="00A82C52"/>
    <w:rsid w:val="00A83D36"/>
    <w:rsid w:val="00A86CB6"/>
    <w:rsid w:val="00A90D55"/>
    <w:rsid w:val="00A944D8"/>
    <w:rsid w:val="00A95716"/>
    <w:rsid w:val="00A959E7"/>
    <w:rsid w:val="00A95BBA"/>
    <w:rsid w:val="00A961EE"/>
    <w:rsid w:val="00AA04B3"/>
    <w:rsid w:val="00AA1253"/>
    <w:rsid w:val="00AA1A9E"/>
    <w:rsid w:val="00AA1ED0"/>
    <w:rsid w:val="00AA28EF"/>
    <w:rsid w:val="00AA3593"/>
    <w:rsid w:val="00AA38CA"/>
    <w:rsid w:val="00AA493E"/>
    <w:rsid w:val="00AA53F9"/>
    <w:rsid w:val="00AA73AF"/>
    <w:rsid w:val="00AB0A8A"/>
    <w:rsid w:val="00AB1754"/>
    <w:rsid w:val="00AB27DD"/>
    <w:rsid w:val="00AC2177"/>
    <w:rsid w:val="00AC439D"/>
    <w:rsid w:val="00AC713F"/>
    <w:rsid w:val="00AD067E"/>
    <w:rsid w:val="00AD23DC"/>
    <w:rsid w:val="00AD2801"/>
    <w:rsid w:val="00AD661D"/>
    <w:rsid w:val="00AD6870"/>
    <w:rsid w:val="00AD68C5"/>
    <w:rsid w:val="00AE1273"/>
    <w:rsid w:val="00AE2D29"/>
    <w:rsid w:val="00AE4624"/>
    <w:rsid w:val="00AE5E14"/>
    <w:rsid w:val="00AE6115"/>
    <w:rsid w:val="00AE625B"/>
    <w:rsid w:val="00AF1668"/>
    <w:rsid w:val="00AF4FA5"/>
    <w:rsid w:val="00AF6C4E"/>
    <w:rsid w:val="00B07955"/>
    <w:rsid w:val="00B11221"/>
    <w:rsid w:val="00B140B8"/>
    <w:rsid w:val="00B14FAA"/>
    <w:rsid w:val="00B15D30"/>
    <w:rsid w:val="00B20624"/>
    <w:rsid w:val="00B23436"/>
    <w:rsid w:val="00B236E5"/>
    <w:rsid w:val="00B237F1"/>
    <w:rsid w:val="00B24F33"/>
    <w:rsid w:val="00B25D78"/>
    <w:rsid w:val="00B26354"/>
    <w:rsid w:val="00B26CA0"/>
    <w:rsid w:val="00B32179"/>
    <w:rsid w:val="00B33007"/>
    <w:rsid w:val="00B331A9"/>
    <w:rsid w:val="00B36569"/>
    <w:rsid w:val="00B40A05"/>
    <w:rsid w:val="00B40A3E"/>
    <w:rsid w:val="00B427BB"/>
    <w:rsid w:val="00B449EE"/>
    <w:rsid w:val="00B4731A"/>
    <w:rsid w:val="00B50227"/>
    <w:rsid w:val="00B50510"/>
    <w:rsid w:val="00B522CD"/>
    <w:rsid w:val="00B55143"/>
    <w:rsid w:val="00B555C8"/>
    <w:rsid w:val="00B55917"/>
    <w:rsid w:val="00B57842"/>
    <w:rsid w:val="00B61742"/>
    <w:rsid w:val="00B643A6"/>
    <w:rsid w:val="00B643BB"/>
    <w:rsid w:val="00B64DD6"/>
    <w:rsid w:val="00B6710C"/>
    <w:rsid w:val="00B67E84"/>
    <w:rsid w:val="00B72076"/>
    <w:rsid w:val="00B72303"/>
    <w:rsid w:val="00B72C72"/>
    <w:rsid w:val="00B82277"/>
    <w:rsid w:val="00B91676"/>
    <w:rsid w:val="00B93A79"/>
    <w:rsid w:val="00B95833"/>
    <w:rsid w:val="00BA1824"/>
    <w:rsid w:val="00BA208A"/>
    <w:rsid w:val="00BA2D98"/>
    <w:rsid w:val="00BA30D1"/>
    <w:rsid w:val="00BA30E1"/>
    <w:rsid w:val="00BA4609"/>
    <w:rsid w:val="00BA5BE2"/>
    <w:rsid w:val="00BA7F46"/>
    <w:rsid w:val="00BB0A0A"/>
    <w:rsid w:val="00BB133C"/>
    <w:rsid w:val="00BB45B5"/>
    <w:rsid w:val="00BB4A4C"/>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E7975"/>
    <w:rsid w:val="00BF0B7F"/>
    <w:rsid w:val="00BF4720"/>
    <w:rsid w:val="00BF4F49"/>
    <w:rsid w:val="00BF7B4F"/>
    <w:rsid w:val="00BF7B63"/>
    <w:rsid w:val="00C03181"/>
    <w:rsid w:val="00C038EC"/>
    <w:rsid w:val="00C05C6D"/>
    <w:rsid w:val="00C06059"/>
    <w:rsid w:val="00C1122B"/>
    <w:rsid w:val="00C13B34"/>
    <w:rsid w:val="00C13F26"/>
    <w:rsid w:val="00C1474E"/>
    <w:rsid w:val="00C16E9F"/>
    <w:rsid w:val="00C1713D"/>
    <w:rsid w:val="00C177F1"/>
    <w:rsid w:val="00C17EE6"/>
    <w:rsid w:val="00C21DA3"/>
    <w:rsid w:val="00C220A8"/>
    <w:rsid w:val="00C22F3A"/>
    <w:rsid w:val="00C23311"/>
    <w:rsid w:val="00C2590F"/>
    <w:rsid w:val="00C25978"/>
    <w:rsid w:val="00C261C6"/>
    <w:rsid w:val="00C26E7C"/>
    <w:rsid w:val="00C276CD"/>
    <w:rsid w:val="00C30A97"/>
    <w:rsid w:val="00C31469"/>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7940"/>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162F"/>
    <w:rsid w:val="00CB20DC"/>
    <w:rsid w:val="00CB23DC"/>
    <w:rsid w:val="00CB2487"/>
    <w:rsid w:val="00CB28E2"/>
    <w:rsid w:val="00CB7A3E"/>
    <w:rsid w:val="00CB7FF7"/>
    <w:rsid w:val="00CC0D0E"/>
    <w:rsid w:val="00CC19B3"/>
    <w:rsid w:val="00CC2044"/>
    <w:rsid w:val="00CC3521"/>
    <w:rsid w:val="00CC39D2"/>
    <w:rsid w:val="00CC69EC"/>
    <w:rsid w:val="00CD15BE"/>
    <w:rsid w:val="00CD1EF2"/>
    <w:rsid w:val="00CD32BD"/>
    <w:rsid w:val="00CD34C7"/>
    <w:rsid w:val="00CD5653"/>
    <w:rsid w:val="00CD5E6D"/>
    <w:rsid w:val="00CD63C8"/>
    <w:rsid w:val="00CF158D"/>
    <w:rsid w:val="00CF2C79"/>
    <w:rsid w:val="00CF2D1E"/>
    <w:rsid w:val="00CF4394"/>
    <w:rsid w:val="00D000A9"/>
    <w:rsid w:val="00D005DB"/>
    <w:rsid w:val="00D0064E"/>
    <w:rsid w:val="00D00981"/>
    <w:rsid w:val="00D02596"/>
    <w:rsid w:val="00D0280D"/>
    <w:rsid w:val="00D07A72"/>
    <w:rsid w:val="00D10577"/>
    <w:rsid w:val="00D1323B"/>
    <w:rsid w:val="00D14BAE"/>
    <w:rsid w:val="00D1645B"/>
    <w:rsid w:val="00D1648B"/>
    <w:rsid w:val="00D16819"/>
    <w:rsid w:val="00D17DD9"/>
    <w:rsid w:val="00D20AC0"/>
    <w:rsid w:val="00D20EAA"/>
    <w:rsid w:val="00D2321B"/>
    <w:rsid w:val="00D23DE4"/>
    <w:rsid w:val="00D26873"/>
    <w:rsid w:val="00D31683"/>
    <w:rsid w:val="00D3318F"/>
    <w:rsid w:val="00D336C8"/>
    <w:rsid w:val="00D339E8"/>
    <w:rsid w:val="00D3662E"/>
    <w:rsid w:val="00D375C7"/>
    <w:rsid w:val="00D40558"/>
    <w:rsid w:val="00D40B1F"/>
    <w:rsid w:val="00D40D75"/>
    <w:rsid w:val="00D449F0"/>
    <w:rsid w:val="00D45BAE"/>
    <w:rsid w:val="00D506E1"/>
    <w:rsid w:val="00D50C8C"/>
    <w:rsid w:val="00D52393"/>
    <w:rsid w:val="00D523E4"/>
    <w:rsid w:val="00D5279D"/>
    <w:rsid w:val="00D52A1B"/>
    <w:rsid w:val="00D52FCC"/>
    <w:rsid w:val="00D53F14"/>
    <w:rsid w:val="00D54BE4"/>
    <w:rsid w:val="00D560DC"/>
    <w:rsid w:val="00D60483"/>
    <w:rsid w:val="00D61ABB"/>
    <w:rsid w:val="00D63577"/>
    <w:rsid w:val="00D63F3F"/>
    <w:rsid w:val="00D67FD7"/>
    <w:rsid w:val="00D74261"/>
    <w:rsid w:val="00D7441B"/>
    <w:rsid w:val="00D76AB2"/>
    <w:rsid w:val="00D7763E"/>
    <w:rsid w:val="00D80490"/>
    <w:rsid w:val="00D829AD"/>
    <w:rsid w:val="00D82EE2"/>
    <w:rsid w:val="00D8545C"/>
    <w:rsid w:val="00D87788"/>
    <w:rsid w:val="00D877C8"/>
    <w:rsid w:val="00D910C2"/>
    <w:rsid w:val="00D9168C"/>
    <w:rsid w:val="00D9189B"/>
    <w:rsid w:val="00D91DA6"/>
    <w:rsid w:val="00D92888"/>
    <w:rsid w:val="00D9706F"/>
    <w:rsid w:val="00D972D4"/>
    <w:rsid w:val="00DA195B"/>
    <w:rsid w:val="00DA38D5"/>
    <w:rsid w:val="00DA4B89"/>
    <w:rsid w:val="00DA6B55"/>
    <w:rsid w:val="00DA6B97"/>
    <w:rsid w:val="00DB0015"/>
    <w:rsid w:val="00DB2AAD"/>
    <w:rsid w:val="00DB626D"/>
    <w:rsid w:val="00DB6365"/>
    <w:rsid w:val="00DC0BF1"/>
    <w:rsid w:val="00DC41C3"/>
    <w:rsid w:val="00DD286D"/>
    <w:rsid w:val="00DD2CAF"/>
    <w:rsid w:val="00DD3593"/>
    <w:rsid w:val="00DD64E0"/>
    <w:rsid w:val="00DE0C67"/>
    <w:rsid w:val="00DE6952"/>
    <w:rsid w:val="00DE7E74"/>
    <w:rsid w:val="00DF071B"/>
    <w:rsid w:val="00DF45EB"/>
    <w:rsid w:val="00DF6EF8"/>
    <w:rsid w:val="00E00A69"/>
    <w:rsid w:val="00E017F0"/>
    <w:rsid w:val="00E01A0E"/>
    <w:rsid w:val="00E041E4"/>
    <w:rsid w:val="00E0590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583"/>
    <w:rsid w:val="00E57ED4"/>
    <w:rsid w:val="00E6092F"/>
    <w:rsid w:val="00E62049"/>
    <w:rsid w:val="00E629DA"/>
    <w:rsid w:val="00E6469F"/>
    <w:rsid w:val="00E66D0C"/>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4F81"/>
    <w:rsid w:val="00EC50C9"/>
    <w:rsid w:val="00EC58B4"/>
    <w:rsid w:val="00EC5BB2"/>
    <w:rsid w:val="00ED12F0"/>
    <w:rsid w:val="00ED213B"/>
    <w:rsid w:val="00ED4773"/>
    <w:rsid w:val="00ED664B"/>
    <w:rsid w:val="00ED6A61"/>
    <w:rsid w:val="00EE03BB"/>
    <w:rsid w:val="00EE0B44"/>
    <w:rsid w:val="00EE6FE0"/>
    <w:rsid w:val="00EE704A"/>
    <w:rsid w:val="00EE7840"/>
    <w:rsid w:val="00EF4C74"/>
    <w:rsid w:val="00EF5268"/>
    <w:rsid w:val="00EF608E"/>
    <w:rsid w:val="00F0044B"/>
    <w:rsid w:val="00F045AA"/>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718A8"/>
    <w:rsid w:val="00F72183"/>
    <w:rsid w:val="00F72E41"/>
    <w:rsid w:val="00F760D1"/>
    <w:rsid w:val="00F76221"/>
    <w:rsid w:val="00F76D01"/>
    <w:rsid w:val="00F81C35"/>
    <w:rsid w:val="00F82981"/>
    <w:rsid w:val="00F82B3C"/>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3A65"/>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F81"/>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236E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060426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98922729">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5702301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3870090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844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EBF9-1E7F-4307-BDC2-8EFE187C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1352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9</cp:revision>
  <cp:lastPrinted>2011-05-13T12:59:00Z</cp:lastPrinted>
  <dcterms:created xsi:type="dcterms:W3CDTF">2011-05-10T16:41:00Z</dcterms:created>
  <dcterms:modified xsi:type="dcterms:W3CDTF">2012-09-18T18:10:00Z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