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A71CA" w:rsidRDefault="00540BEF" w:rsidP="00537949">
      <w:pPr>
        <w:tabs>
          <w:tab w:val="left" w:pos="288"/>
          <w:tab w:val="left" w:pos="4752"/>
        </w:tabs>
        <w:contextualSpacing/>
        <w:jc w:val="center"/>
        <w:rPr>
          <w:rFonts w:asciiTheme="minorHAnsi" w:hAnsiTheme="minorHAnsi"/>
          <w:color w:val="auto"/>
        </w:rPr>
      </w:pPr>
      <w:r w:rsidRPr="005A71CA">
        <w:rPr>
          <w:rFonts w:asciiTheme="minorHAnsi" w:hAnsiTheme="minorHAnsi"/>
          <w:color w:val="auto"/>
        </w:rPr>
        <w:t>RECORD OF PROCEEDINGS</w:t>
      </w:r>
    </w:p>
    <w:p w:rsidR="00540BEF" w:rsidRPr="005A71CA" w:rsidRDefault="00540BEF" w:rsidP="00537949">
      <w:pPr>
        <w:tabs>
          <w:tab w:val="left" w:pos="288"/>
          <w:tab w:val="left" w:pos="4752"/>
        </w:tabs>
        <w:contextualSpacing/>
        <w:jc w:val="center"/>
        <w:rPr>
          <w:rFonts w:asciiTheme="minorHAnsi" w:hAnsiTheme="minorHAnsi"/>
          <w:color w:val="auto"/>
        </w:rPr>
      </w:pPr>
      <w:r w:rsidRPr="005A71CA">
        <w:rPr>
          <w:rFonts w:asciiTheme="minorHAnsi" w:hAnsiTheme="minorHAnsi"/>
          <w:color w:val="auto"/>
        </w:rPr>
        <w:t>PHYSICAL DISABILITY BOARD OF REVIEW</w:t>
      </w:r>
    </w:p>
    <w:p w:rsidR="00540BEF" w:rsidRPr="005A71CA" w:rsidRDefault="00540BEF" w:rsidP="00537949">
      <w:pPr>
        <w:tabs>
          <w:tab w:val="left" w:pos="288"/>
          <w:tab w:val="left" w:pos="4752"/>
        </w:tabs>
        <w:contextualSpacing/>
        <w:jc w:val="both"/>
        <w:rPr>
          <w:rFonts w:asciiTheme="minorHAnsi" w:hAnsiTheme="minorHAnsi"/>
          <w:color w:val="auto"/>
        </w:rPr>
      </w:pPr>
    </w:p>
    <w:p w:rsidR="00540BEF" w:rsidRPr="005A71CA" w:rsidRDefault="00540BEF" w:rsidP="00537949">
      <w:pPr>
        <w:tabs>
          <w:tab w:val="left" w:pos="288"/>
          <w:tab w:val="left" w:pos="4752"/>
        </w:tabs>
        <w:contextualSpacing/>
        <w:jc w:val="both"/>
        <w:rPr>
          <w:rFonts w:asciiTheme="minorHAnsi" w:hAnsiTheme="minorHAnsi"/>
          <w:color w:val="auto"/>
        </w:rPr>
      </w:pPr>
      <w:r w:rsidRPr="005A71CA">
        <w:rPr>
          <w:rFonts w:asciiTheme="minorHAnsi" w:hAnsiTheme="minorHAnsi"/>
          <w:color w:val="auto"/>
        </w:rPr>
        <w:t>NAME</w:t>
      </w:r>
      <w:proofErr w:type="gramStart"/>
      <w:r w:rsidRPr="005A71CA">
        <w:rPr>
          <w:rFonts w:asciiTheme="minorHAnsi" w:hAnsiTheme="minorHAnsi"/>
          <w:color w:val="auto"/>
        </w:rPr>
        <w:t>:</w:t>
      </w:r>
      <w:r w:rsidR="00A438FB" w:rsidRPr="005A71CA">
        <w:rPr>
          <w:rFonts w:asciiTheme="minorHAnsi" w:hAnsiTheme="minorHAnsi"/>
          <w:color w:val="auto"/>
        </w:rPr>
        <w:t xml:space="preserve"> </w:t>
      </w:r>
      <w:r w:rsidR="00D43ADD">
        <w:rPr>
          <w:rFonts w:asciiTheme="minorHAnsi" w:hAnsiTheme="minorHAnsi"/>
          <w:color w:val="auto"/>
        </w:rPr>
        <w:t xml:space="preserve"> </w:t>
      </w:r>
      <w:r w:rsidR="00AA7DF9">
        <w:rPr>
          <w:rFonts w:asciiTheme="minorHAnsi" w:hAnsiTheme="minorHAnsi"/>
          <w:color w:val="auto"/>
        </w:rPr>
        <w:t xml:space="preserve"> </w:t>
      </w:r>
      <w:r w:rsidR="00395279" w:rsidRPr="005A71CA">
        <w:rPr>
          <w:rFonts w:asciiTheme="minorHAnsi" w:hAnsiTheme="minorHAnsi"/>
          <w:color w:val="auto"/>
        </w:rPr>
        <w:t>.</w:t>
      </w:r>
      <w:proofErr w:type="gramEnd"/>
      <w:r w:rsidR="00395279" w:rsidRPr="005A71CA">
        <w:rPr>
          <w:rFonts w:asciiTheme="minorHAnsi" w:hAnsiTheme="minorHAnsi"/>
          <w:color w:val="auto"/>
          <w:sz w:val="20"/>
        </w:rPr>
        <w:t xml:space="preserve">  </w:t>
      </w:r>
      <w:r w:rsidR="00C630C4" w:rsidRPr="005A71CA">
        <w:rPr>
          <w:rFonts w:asciiTheme="minorHAnsi" w:hAnsiTheme="minorHAnsi"/>
          <w:color w:val="auto"/>
        </w:rPr>
        <w:tab/>
      </w:r>
      <w:r w:rsidR="005A71CA">
        <w:rPr>
          <w:rFonts w:asciiTheme="minorHAnsi" w:hAnsiTheme="minorHAnsi"/>
          <w:color w:val="auto"/>
        </w:rPr>
        <w:t xml:space="preserve">               </w:t>
      </w:r>
      <w:r w:rsidR="00A438FB" w:rsidRPr="005A71CA">
        <w:rPr>
          <w:rFonts w:asciiTheme="minorHAnsi" w:hAnsiTheme="minorHAnsi"/>
          <w:color w:val="auto"/>
        </w:rPr>
        <w:t>BRANCH OF SERVICE:</w:t>
      </w:r>
      <w:r w:rsidR="00D43ADD">
        <w:rPr>
          <w:rFonts w:asciiTheme="minorHAnsi" w:hAnsiTheme="minorHAnsi"/>
          <w:color w:val="auto"/>
        </w:rPr>
        <w:t xml:space="preserve"> </w:t>
      </w:r>
      <w:r w:rsidR="00A438FB" w:rsidRPr="005A71CA">
        <w:rPr>
          <w:rFonts w:asciiTheme="minorHAnsi" w:hAnsiTheme="minorHAnsi"/>
          <w:color w:val="auto"/>
        </w:rPr>
        <w:t xml:space="preserve"> </w:t>
      </w:r>
      <w:r w:rsidR="00C630C4" w:rsidRPr="005A71CA">
        <w:rPr>
          <w:rFonts w:asciiTheme="minorHAnsi" w:hAnsiTheme="minorHAnsi"/>
          <w:color w:val="auto"/>
        </w:rPr>
        <w:t>MARINE CORPS</w:t>
      </w:r>
      <w:r w:rsidR="00A438FB" w:rsidRPr="005A71CA">
        <w:rPr>
          <w:rFonts w:asciiTheme="minorHAnsi" w:hAnsiTheme="minorHAnsi"/>
          <w:color w:val="auto"/>
        </w:rPr>
        <w:t xml:space="preserve"> </w:t>
      </w:r>
    </w:p>
    <w:p w:rsidR="00540BEF" w:rsidRPr="005A71CA" w:rsidRDefault="00D978FB" w:rsidP="00537949">
      <w:pPr>
        <w:tabs>
          <w:tab w:val="left" w:pos="288"/>
          <w:tab w:val="left" w:pos="4752"/>
        </w:tabs>
        <w:contextualSpacing/>
        <w:jc w:val="both"/>
        <w:rPr>
          <w:rFonts w:asciiTheme="minorHAnsi" w:hAnsiTheme="minorHAnsi"/>
          <w:color w:val="auto"/>
        </w:rPr>
      </w:pPr>
      <w:r>
        <w:rPr>
          <w:rFonts w:asciiTheme="minorHAnsi" w:hAnsiTheme="minorHAnsi"/>
          <w:color w:val="auto"/>
        </w:rPr>
        <w:t>CASE NUMBER:  PD1000131</w:t>
      </w:r>
      <w:r w:rsidR="00C630C4" w:rsidRPr="005A71CA">
        <w:rPr>
          <w:rFonts w:asciiTheme="minorHAnsi" w:hAnsiTheme="minorHAnsi"/>
          <w:color w:val="auto"/>
        </w:rPr>
        <w:tab/>
      </w:r>
      <w:r w:rsidR="00E941A2">
        <w:rPr>
          <w:rFonts w:asciiTheme="minorHAnsi" w:hAnsiTheme="minorHAnsi"/>
          <w:color w:val="auto"/>
        </w:rPr>
        <w:t xml:space="preserve">             </w:t>
      </w:r>
      <w:r w:rsidR="0017455A" w:rsidRPr="005A71CA">
        <w:rPr>
          <w:rFonts w:asciiTheme="minorHAnsi" w:hAnsiTheme="minorHAnsi"/>
          <w:color w:val="auto"/>
        </w:rPr>
        <w:t xml:space="preserve"> </w:t>
      </w:r>
      <w:r w:rsidR="00E941A2">
        <w:rPr>
          <w:rFonts w:asciiTheme="minorHAnsi" w:hAnsiTheme="minorHAnsi"/>
          <w:color w:val="auto"/>
        </w:rPr>
        <w:t xml:space="preserve"> SEPARATION DATE: </w:t>
      </w:r>
      <w:r w:rsidR="00D43ADD">
        <w:rPr>
          <w:rFonts w:asciiTheme="minorHAnsi" w:hAnsiTheme="minorHAnsi"/>
          <w:color w:val="auto"/>
        </w:rPr>
        <w:t xml:space="preserve"> </w:t>
      </w:r>
      <w:r w:rsidR="00E941A2">
        <w:rPr>
          <w:rFonts w:asciiTheme="minorHAnsi" w:hAnsiTheme="minorHAnsi"/>
          <w:color w:val="auto"/>
        </w:rPr>
        <w:t>200601</w:t>
      </w:r>
      <w:r w:rsidR="00E941A2" w:rsidRPr="005A71CA">
        <w:rPr>
          <w:rFonts w:asciiTheme="minorHAnsi" w:hAnsiTheme="minorHAnsi"/>
          <w:color w:val="auto"/>
        </w:rPr>
        <w:t>15</w:t>
      </w:r>
    </w:p>
    <w:p w:rsidR="00764A90" w:rsidRPr="005A71CA" w:rsidRDefault="00540BEF" w:rsidP="00537949">
      <w:pPr>
        <w:tabs>
          <w:tab w:val="left" w:pos="288"/>
          <w:tab w:val="left" w:pos="4752"/>
        </w:tabs>
        <w:contextualSpacing/>
        <w:jc w:val="both"/>
        <w:rPr>
          <w:rFonts w:asciiTheme="minorHAnsi" w:hAnsiTheme="minorHAnsi"/>
          <w:color w:val="auto"/>
        </w:rPr>
      </w:pPr>
      <w:r w:rsidRPr="005A71CA">
        <w:rPr>
          <w:rFonts w:asciiTheme="minorHAnsi" w:hAnsiTheme="minorHAnsi"/>
          <w:color w:val="auto"/>
        </w:rPr>
        <w:t xml:space="preserve">BOARD DATE: </w:t>
      </w:r>
      <w:r w:rsidR="00D43ADD">
        <w:rPr>
          <w:rFonts w:asciiTheme="minorHAnsi" w:hAnsiTheme="minorHAnsi"/>
          <w:color w:val="auto"/>
        </w:rPr>
        <w:t xml:space="preserve"> </w:t>
      </w:r>
      <w:r w:rsidR="00276C86" w:rsidRPr="005A71CA">
        <w:rPr>
          <w:rFonts w:asciiTheme="minorHAnsi" w:hAnsiTheme="minorHAnsi"/>
          <w:color w:val="auto"/>
        </w:rPr>
        <w:t>20</w:t>
      </w:r>
      <w:r w:rsidR="00116FEA" w:rsidRPr="005A71CA">
        <w:rPr>
          <w:rFonts w:asciiTheme="minorHAnsi" w:hAnsiTheme="minorHAnsi"/>
          <w:color w:val="auto"/>
        </w:rPr>
        <w:t>10</w:t>
      </w:r>
      <w:r w:rsidR="00D20086">
        <w:rPr>
          <w:rFonts w:asciiTheme="minorHAnsi" w:hAnsiTheme="minorHAnsi"/>
          <w:color w:val="auto"/>
        </w:rPr>
        <w:t>1005</w:t>
      </w:r>
      <w:r w:rsidR="00C630C4" w:rsidRPr="005A71CA">
        <w:rPr>
          <w:rFonts w:asciiTheme="minorHAnsi" w:hAnsiTheme="minorHAnsi"/>
          <w:color w:val="auto"/>
        </w:rPr>
        <w:tab/>
      </w:r>
      <w:r w:rsidR="0017455A" w:rsidRPr="005A71CA">
        <w:rPr>
          <w:rFonts w:asciiTheme="minorHAnsi" w:hAnsiTheme="minorHAnsi"/>
          <w:color w:val="auto"/>
        </w:rPr>
        <w:t xml:space="preserve"> </w:t>
      </w:r>
    </w:p>
    <w:p w:rsidR="00AA7F2D" w:rsidRDefault="00AA7F2D" w:rsidP="00AA7F2D">
      <w:pPr>
        <w:pBdr>
          <w:bottom w:val="single" w:sz="12" w:space="1" w:color="auto"/>
        </w:pBdr>
        <w:tabs>
          <w:tab w:val="left" w:pos="288"/>
          <w:tab w:val="left" w:pos="4752"/>
        </w:tabs>
        <w:jc w:val="both"/>
        <w:rPr>
          <w:rFonts w:ascii="Calibri" w:hAnsi="Calibri"/>
          <w:color w:val="auto"/>
          <w:szCs w:val="24"/>
        </w:rPr>
      </w:pPr>
    </w:p>
    <w:p w:rsidR="00EE015D" w:rsidRPr="00EE015D" w:rsidRDefault="00EE015D" w:rsidP="00EE015D">
      <w:pPr>
        <w:tabs>
          <w:tab w:val="left" w:pos="288"/>
          <w:tab w:val="left" w:pos="4752"/>
        </w:tabs>
        <w:contextualSpacing/>
        <w:jc w:val="both"/>
        <w:rPr>
          <w:rFonts w:ascii="Calibri" w:hAnsi="Calibri"/>
          <w:color w:val="auto"/>
        </w:rPr>
      </w:pPr>
    </w:p>
    <w:p w:rsidR="00EE015D" w:rsidRPr="00FB04CD" w:rsidRDefault="00EE015D" w:rsidP="00EE015D">
      <w:pPr>
        <w:tabs>
          <w:tab w:val="left" w:pos="288"/>
          <w:tab w:val="left" w:pos="4752"/>
        </w:tabs>
        <w:contextualSpacing/>
        <w:jc w:val="both"/>
        <w:rPr>
          <w:rFonts w:ascii="Calibri" w:hAnsi="Calibri"/>
          <w:color w:val="auto"/>
        </w:rPr>
      </w:pPr>
      <w:r w:rsidRPr="00542C9A">
        <w:rPr>
          <w:rFonts w:ascii="Calibri" w:hAnsi="Calibri"/>
          <w:color w:val="auto"/>
          <w:u w:val="single"/>
        </w:rPr>
        <w:t>SUMMARY OF CASE</w:t>
      </w:r>
      <w:r w:rsidR="00716545">
        <w:rPr>
          <w:rFonts w:ascii="Calibri" w:hAnsi="Calibri"/>
          <w:color w:val="auto"/>
        </w:rPr>
        <w:t>:</w:t>
      </w:r>
      <w:r w:rsidR="00716545" w:rsidRPr="00EC337D">
        <w:rPr>
          <w:rFonts w:asciiTheme="minorHAnsi" w:hAnsiTheme="minorHAnsi"/>
          <w:color w:val="auto"/>
        </w:rPr>
        <w:t xml:space="preserve">  Data extracted from the available evidence of record reflects that this covered individual (CI) </w:t>
      </w:r>
      <w:r w:rsidR="00716545" w:rsidRPr="00AD7F8F">
        <w:rPr>
          <w:rFonts w:asciiTheme="minorHAnsi" w:hAnsiTheme="minorHAnsi"/>
          <w:color w:val="auto"/>
          <w:szCs w:val="24"/>
        </w:rPr>
        <w:t xml:space="preserve">was an </w:t>
      </w:r>
      <w:r w:rsidR="00D43ADD">
        <w:rPr>
          <w:rFonts w:asciiTheme="minorHAnsi" w:hAnsiTheme="minorHAnsi"/>
          <w:color w:val="auto"/>
          <w:szCs w:val="24"/>
        </w:rPr>
        <w:t>a</w:t>
      </w:r>
      <w:r w:rsidR="00D43ADD" w:rsidRPr="00AD7F8F">
        <w:rPr>
          <w:rFonts w:asciiTheme="minorHAnsi" w:hAnsiTheme="minorHAnsi"/>
          <w:color w:val="auto"/>
          <w:szCs w:val="24"/>
        </w:rPr>
        <w:t xml:space="preserve">ctive </w:t>
      </w:r>
      <w:r w:rsidR="00D43ADD">
        <w:rPr>
          <w:rFonts w:asciiTheme="minorHAnsi" w:hAnsiTheme="minorHAnsi"/>
          <w:color w:val="auto"/>
          <w:szCs w:val="24"/>
        </w:rPr>
        <w:t xml:space="preserve">duty </w:t>
      </w:r>
      <w:proofErr w:type="spellStart"/>
      <w:r w:rsidR="00716545">
        <w:rPr>
          <w:rFonts w:asciiTheme="minorHAnsi" w:hAnsiTheme="minorHAnsi"/>
          <w:color w:val="auto"/>
          <w:szCs w:val="24"/>
        </w:rPr>
        <w:t>LCpl</w:t>
      </w:r>
      <w:proofErr w:type="spellEnd"/>
      <w:r w:rsidR="00716545">
        <w:rPr>
          <w:rFonts w:asciiTheme="minorHAnsi" w:hAnsiTheme="minorHAnsi"/>
          <w:color w:val="auto"/>
          <w:szCs w:val="24"/>
        </w:rPr>
        <w:t xml:space="preserve">/E-3 (5811, Military Police) </w:t>
      </w:r>
      <w:r w:rsidR="00716545" w:rsidRPr="00AD7F8F">
        <w:rPr>
          <w:rFonts w:asciiTheme="minorHAnsi" w:hAnsiTheme="minorHAnsi"/>
          <w:color w:val="auto"/>
          <w:szCs w:val="24"/>
        </w:rPr>
        <w:t>medically separated for</w:t>
      </w:r>
      <w:r w:rsidR="00716545">
        <w:rPr>
          <w:rFonts w:asciiTheme="minorHAnsi" w:hAnsiTheme="minorHAnsi"/>
          <w:color w:val="auto"/>
          <w:szCs w:val="24"/>
        </w:rPr>
        <w:t xml:space="preserve"> left saphenous nerve neuropathy secondary to shrapnel wound</w:t>
      </w:r>
      <w:r w:rsidR="00315D74">
        <w:rPr>
          <w:rFonts w:asciiTheme="minorHAnsi" w:hAnsiTheme="minorHAnsi"/>
          <w:color w:val="auto"/>
          <w:szCs w:val="24"/>
        </w:rPr>
        <w:t xml:space="preserve">.  </w:t>
      </w:r>
      <w:r w:rsidR="004E6090" w:rsidRPr="00C472C7">
        <w:rPr>
          <w:rFonts w:asciiTheme="minorHAnsi" w:hAnsiTheme="minorHAnsi"/>
          <w:color w:val="auto"/>
          <w:szCs w:val="24"/>
        </w:rPr>
        <w:t xml:space="preserve">He did not respond adequately to treatment and was unable to perform within his </w:t>
      </w:r>
      <w:r w:rsidR="00D43ADD" w:rsidRPr="004E6090">
        <w:rPr>
          <w:rFonts w:asciiTheme="minorHAnsi" w:hAnsiTheme="minorHAnsi"/>
          <w:color w:val="auto"/>
          <w:szCs w:val="24"/>
        </w:rPr>
        <w:t xml:space="preserve">military occupational specialty </w:t>
      </w:r>
      <w:r w:rsidR="004E6090" w:rsidRPr="004E6090">
        <w:rPr>
          <w:rFonts w:asciiTheme="minorHAnsi" w:hAnsiTheme="minorHAnsi"/>
          <w:color w:val="auto"/>
          <w:szCs w:val="24"/>
        </w:rPr>
        <w:t>(MOS</w:t>
      </w:r>
      <w:r w:rsidR="004E6090">
        <w:rPr>
          <w:rFonts w:asciiTheme="minorHAnsi" w:hAnsiTheme="minorHAnsi"/>
          <w:color w:val="auto"/>
          <w:szCs w:val="24"/>
        </w:rPr>
        <w:t xml:space="preserve">) or </w:t>
      </w:r>
      <w:r w:rsidR="00101B29">
        <w:rPr>
          <w:rFonts w:asciiTheme="minorHAnsi" w:hAnsiTheme="minorHAnsi"/>
          <w:color w:val="auto"/>
          <w:szCs w:val="24"/>
        </w:rPr>
        <w:t xml:space="preserve">to </w:t>
      </w:r>
      <w:r w:rsidR="004E6090">
        <w:rPr>
          <w:rFonts w:asciiTheme="minorHAnsi" w:hAnsiTheme="minorHAnsi"/>
          <w:color w:val="auto"/>
          <w:szCs w:val="24"/>
        </w:rPr>
        <w:t xml:space="preserve">meet </w:t>
      </w:r>
      <w:r w:rsidR="004E6090" w:rsidRPr="00C472C7">
        <w:rPr>
          <w:rFonts w:asciiTheme="minorHAnsi" w:hAnsiTheme="minorHAnsi"/>
          <w:color w:val="auto"/>
          <w:szCs w:val="24"/>
        </w:rPr>
        <w:t xml:space="preserve">physical fitness </w:t>
      </w:r>
      <w:r w:rsidR="004E6090">
        <w:rPr>
          <w:rFonts w:asciiTheme="minorHAnsi" w:hAnsiTheme="minorHAnsi"/>
          <w:color w:val="auto"/>
          <w:szCs w:val="24"/>
        </w:rPr>
        <w:t xml:space="preserve">standards.  </w:t>
      </w:r>
      <w:r w:rsidR="004E6090" w:rsidRPr="00555C66">
        <w:rPr>
          <w:rFonts w:asciiTheme="minorHAnsi" w:hAnsiTheme="minorHAnsi"/>
          <w:color w:val="auto"/>
          <w:szCs w:val="24"/>
        </w:rPr>
        <w:t>He</w:t>
      </w:r>
      <w:r w:rsidR="004E6090">
        <w:rPr>
          <w:rFonts w:asciiTheme="minorHAnsi" w:hAnsiTheme="minorHAnsi"/>
          <w:color w:val="auto"/>
          <w:szCs w:val="24"/>
        </w:rPr>
        <w:t xml:space="preserve"> was</w:t>
      </w:r>
      <w:r w:rsidR="004E6090" w:rsidRPr="004E6090">
        <w:rPr>
          <w:rFonts w:asciiTheme="minorHAnsi" w:hAnsiTheme="minorHAnsi"/>
          <w:color w:val="auto"/>
          <w:szCs w:val="24"/>
        </w:rPr>
        <w:t xml:space="preserve"> placed on </w:t>
      </w:r>
      <w:r w:rsidR="00D43ADD">
        <w:rPr>
          <w:rFonts w:asciiTheme="minorHAnsi" w:hAnsiTheme="minorHAnsi"/>
          <w:color w:val="auto"/>
          <w:szCs w:val="24"/>
        </w:rPr>
        <w:t>l</w:t>
      </w:r>
      <w:r w:rsidR="00D43ADD" w:rsidRPr="004E6090">
        <w:rPr>
          <w:rFonts w:asciiTheme="minorHAnsi" w:hAnsiTheme="minorHAnsi"/>
          <w:color w:val="auto"/>
          <w:szCs w:val="24"/>
        </w:rPr>
        <w:t xml:space="preserve">imited </w:t>
      </w:r>
      <w:r w:rsidR="00D43ADD">
        <w:rPr>
          <w:rFonts w:asciiTheme="minorHAnsi" w:hAnsiTheme="minorHAnsi"/>
          <w:color w:val="auto"/>
          <w:szCs w:val="24"/>
        </w:rPr>
        <w:t>d</w:t>
      </w:r>
      <w:r w:rsidR="00D43ADD" w:rsidRPr="004E6090">
        <w:rPr>
          <w:rFonts w:asciiTheme="minorHAnsi" w:hAnsiTheme="minorHAnsi"/>
          <w:color w:val="auto"/>
          <w:szCs w:val="24"/>
        </w:rPr>
        <w:t>uty</w:t>
      </w:r>
      <w:r w:rsidR="00D43ADD">
        <w:rPr>
          <w:rFonts w:asciiTheme="minorHAnsi" w:hAnsiTheme="minorHAnsi"/>
          <w:color w:val="auto"/>
          <w:szCs w:val="24"/>
        </w:rPr>
        <w:t xml:space="preserve"> </w:t>
      </w:r>
      <w:r w:rsidR="004E6090" w:rsidRPr="004E6090">
        <w:rPr>
          <w:rFonts w:asciiTheme="minorHAnsi" w:hAnsiTheme="minorHAnsi"/>
          <w:color w:val="auto"/>
          <w:szCs w:val="24"/>
        </w:rPr>
        <w:t>and underwent a Medical Evaluation Board (MEB)</w:t>
      </w:r>
      <w:r w:rsidR="004E6090">
        <w:rPr>
          <w:rFonts w:asciiTheme="minorHAnsi" w:hAnsiTheme="minorHAnsi"/>
          <w:color w:val="auto"/>
          <w:szCs w:val="24"/>
        </w:rPr>
        <w:t xml:space="preserve">.   </w:t>
      </w:r>
      <w:r w:rsidR="004E6090">
        <w:rPr>
          <w:rFonts w:ascii="Calibri" w:hAnsi="Calibri"/>
          <w:color w:val="auto"/>
          <w:szCs w:val="24"/>
        </w:rPr>
        <w:t>Left lower extremity saphenous nerve neuropathy was</w:t>
      </w:r>
      <w:r w:rsidR="004E6090" w:rsidRPr="0073657F">
        <w:rPr>
          <w:rFonts w:ascii="Calibri" w:hAnsi="Calibri"/>
          <w:color w:val="auto"/>
          <w:szCs w:val="24"/>
        </w:rPr>
        <w:t xml:space="preserve"> forwarded to the Physical Evaluation Board (PEB) as medically unacceptable</w:t>
      </w:r>
      <w:r w:rsidR="004E6090">
        <w:rPr>
          <w:rFonts w:ascii="Calibri" w:hAnsi="Calibri"/>
          <w:color w:val="auto"/>
          <w:szCs w:val="24"/>
        </w:rPr>
        <w:t>.</w:t>
      </w:r>
      <w:r w:rsidR="00FB04CD">
        <w:rPr>
          <w:rFonts w:ascii="Calibri" w:hAnsi="Calibri"/>
          <w:color w:val="auto"/>
        </w:rPr>
        <w:t xml:space="preserve">  </w:t>
      </w:r>
      <w:r w:rsidR="004E6090" w:rsidRPr="00C472C7">
        <w:rPr>
          <w:rFonts w:asciiTheme="minorHAnsi" w:hAnsiTheme="minorHAnsi"/>
          <w:color w:val="auto"/>
          <w:szCs w:val="24"/>
        </w:rPr>
        <w:t>Other conditions included in the</w:t>
      </w:r>
      <w:r w:rsidR="004E6090">
        <w:rPr>
          <w:rFonts w:asciiTheme="minorHAnsi" w:hAnsiTheme="minorHAnsi"/>
          <w:color w:val="auto"/>
          <w:szCs w:val="24"/>
        </w:rPr>
        <w:t xml:space="preserve"> </w:t>
      </w:r>
      <w:r w:rsidR="004E6090" w:rsidRPr="00D93A41">
        <w:rPr>
          <w:rFonts w:asciiTheme="minorHAnsi" w:hAnsiTheme="minorHAnsi"/>
          <w:color w:val="auto"/>
          <w:szCs w:val="24"/>
        </w:rPr>
        <w:t>Disability Evaluation System (DES)</w:t>
      </w:r>
      <w:r w:rsidR="004E6090" w:rsidRPr="00555C66">
        <w:rPr>
          <w:rFonts w:asciiTheme="minorHAnsi" w:hAnsiTheme="minorHAnsi"/>
          <w:color w:val="auto"/>
          <w:szCs w:val="24"/>
        </w:rPr>
        <w:t xml:space="preserve"> </w:t>
      </w:r>
      <w:r w:rsidR="004E6090" w:rsidRPr="00C472C7">
        <w:rPr>
          <w:rFonts w:asciiTheme="minorHAnsi" w:hAnsiTheme="minorHAnsi"/>
          <w:color w:val="auto"/>
          <w:szCs w:val="24"/>
        </w:rPr>
        <w:t>packet will be discussed below.</w:t>
      </w:r>
      <w:r w:rsidR="004E6090">
        <w:rPr>
          <w:rFonts w:asciiTheme="minorHAnsi" w:hAnsiTheme="minorHAnsi"/>
          <w:color w:val="auto"/>
          <w:szCs w:val="24"/>
        </w:rPr>
        <w:t xml:space="preserve">   </w:t>
      </w:r>
      <w:r w:rsidRPr="00861D5C">
        <w:rPr>
          <w:rFonts w:ascii="Calibri" w:hAnsi="Calibri"/>
          <w:color w:val="auto"/>
          <w:szCs w:val="24"/>
        </w:rPr>
        <w:t xml:space="preserve">The PEB adjudicated the </w:t>
      </w:r>
      <w:r w:rsidR="004E6090">
        <w:rPr>
          <w:rFonts w:ascii="Calibri" w:hAnsi="Calibri"/>
          <w:color w:val="auto"/>
          <w:szCs w:val="24"/>
        </w:rPr>
        <w:t xml:space="preserve">left </w:t>
      </w:r>
      <w:r w:rsidR="00101B29">
        <w:rPr>
          <w:rFonts w:ascii="Calibri" w:hAnsi="Calibri"/>
          <w:color w:val="auto"/>
          <w:szCs w:val="24"/>
        </w:rPr>
        <w:t>saphenous nerve neuropathy</w:t>
      </w:r>
      <w:r w:rsidR="004E6090">
        <w:rPr>
          <w:rFonts w:ascii="Calibri" w:hAnsi="Calibri"/>
          <w:color w:val="auto"/>
          <w:szCs w:val="24"/>
        </w:rPr>
        <w:t xml:space="preserve"> </w:t>
      </w:r>
      <w:r w:rsidR="00D813F5">
        <w:rPr>
          <w:rFonts w:ascii="Calibri" w:hAnsi="Calibri"/>
          <w:color w:val="auto"/>
          <w:szCs w:val="24"/>
        </w:rPr>
        <w:t>a</w:t>
      </w:r>
      <w:r w:rsidR="00FB04CD">
        <w:rPr>
          <w:rFonts w:ascii="Calibri" w:hAnsi="Calibri"/>
          <w:color w:val="auto"/>
          <w:szCs w:val="24"/>
        </w:rPr>
        <w:t>s unfitting</w:t>
      </w:r>
      <w:r w:rsidR="00736EB6">
        <w:rPr>
          <w:rFonts w:ascii="Calibri" w:hAnsi="Calibri"/>
          <w:color w:val="auto"/>
          <w:szCs w:val="24"/>
        </w:rPr>
        <w:t>,</w:t>
      </w:r>
      <w:r w:rsidR="004E6090">
        <w:rPr>
          <w:rFonts w:ascii="Calibri" w:hAnsi="Calibri"/>
          <w:color w:val="auto"/>
          <w:szCs w:val="24"/>
        </w:rPr>
        <w:t xml:space="preserve"> </w:t>
      </w:r>
      <w:r>
        <w:rPr>
          <w:rFonts w:ascii="Calibri" w:hAnsi="Calibri"/>
          <w:color w:val="auto"/>
          <w:szCs w:val="24"/>
        </w:rPr>
        <w:t xml:space="preserve">rated 10% IAW with the </w:t>
      </w:r>
      <w:r w:rsidRPr="00CD5BD7">
        <w:rPr>
          <w:rFonts w:ascii="Calibri" w:hAnsi="Calibri"/>
          <w:color w:val="auto"/>
          <w:szCs w:val="24"/>
        </w:rPr>
        <w:t>Veterans Administration Schedule for Rating Disabilities (VASRD)</w:t>
      </w:r>
      <w:r w:rsidRPr="00861D5C">
        <w:rPr>
          <w:rFonts w:ascii="Calibri" w:hAnsi="Calibri"/>
          <w:color w:val="auto"/>
          <w:szCs w:val="24"/>
        </w:rPr>
        <w:t>.</w:t>
      </w:r>
      <w:r w:rsidRPr="00B20624">
        <w:rPr>
          <w:rFonts w:ascii="Calibri" w:hAnsi="Calibri"/>
          <w:color w:val="auto"/>
          <w:szCs w:val="24"/>
        </w:rPr>
        <w:t xml:space="preserve">  </w:t>
      </w:r>
      <w:r w:rsidRPr="00861D5C">
        <w:rPr>
          <w:rFonts w:ascii="Calibri" w:hAnsi="Calibri"/>
          <w:color w:val="auto"/>
        </w:rPr>
        <w:t xml:space="preserve">The CI made </w:t>
      </w:r>
      <w:r w:rsidRPr="0073657F">
        <w:rPr>
          <w:rFonts w:ascii="Calibri" w:hAnsi="Calibri"/>
          <w:color w:val="auto"/>
        </w:rPr>
        <w:t>no appeals</w:t>
      </w:r>
      <w:r w:rsidRPr="00861D5C">
        <w:rPr>
          <w:rFonts w:ascii="Calibri" w:hAnsi="Calibri"/>
          <w:color w:val="auto"/>
        </w:rPr>
        <w:t xml:space="preserve"> and was thus medically separated with </w:t>
      </w:r>
      <w:r w:rsidR="004E6090">
        <w:rPr>
          <w:rFonts w:ascii="Calibri" w:hAnsi="Calibri"/>
          <w:color w:val="auto"/>
        </w:rPr>
        <w:t>the 10% disability r</w:t>
      </w:r>
      <w:r w:rsidRPr="00861D5C">
        <w:rPr>
          <w:rFonts w:ascii="Calibri" w:hAnsi="Calibri"/>
          <w:color w:val="auto"/>
        </w:rPr>
        <w:t xml:space="preserve">ating.  </w:t>
      </w:r>
    </w:p>
    <w:p w:rsidR="00AA7F2D" w:rsidRDefault="00AA7F2D" w:rsidP="00AA7F2D">
      <w:pPr>
        <w:pBdr>
          <w:bottom w:val="single" w:sz="12" w:space="1" w:color="auto"/>
        </w:pBdr>
        <w:tabs>
          <w:tab w:val="left" w:pos="288"/>
          <w:tab w:val="left" w:pos="4752"/>
        </w:tabs>
        <w:jc w:val="both"/>
        <w:rPr>
          <w:rFonts w:ascii="Calibri" w:hAnsi="Calibri"/>
          <w:color w:val="auto"/>
          <w:szCs w:val="24"/>
        </w:rPr>
      </w:pPr>
    </w:p>
    <w:p w:rsidR="00E941A2" w:rsidRDefault="00E941A2" w:rsidP="006668B8">
      <w:pPr>
        <w:tabs>
          <w:tab w:val="left" w:pos="288"/>
          <w:tab w:val="left" w:pos="4752"/>
        </w:tabs>
        <w:contextualSpacing/>
        <w:rPr>
          <w:rFonts w:asciiTheme="minorHAnsi" w:hAnsiTheme="minorHAnsi"/>
          <w:color w:val="auto"/>
          <w:u w:val="single"/>
        </w:rPr>
      </w:pPr>
    </w:p>
    <w:p w:rsidR="00AA7F2D" w:rsidRDefault="00553340" w:rsidP="00AA7F2D">
      <w:pPr>
        <w:pBdr>
          <w:bottom w:val="single" w:sz="12" w:space="1" w:color="auto"/>
        </w:pBdr>
        <w:tabs>
          <w:tab w:val="left" w:pos="288"/>
          <w:tab w:val="left" w:pos="4752"/>
        </w:tabs>
        <w:jc w:val="both"/>
        <w:rPr>
          <w:rFonts w:asciiTheme="minorHAnsi" w:hAnsiTheme="minorHAnsi"/>
          <w:color w:val="auto"/>
          <w:szCs w:val="24"/>
        </w:rPr>
      </w:pPr>
      <w:r w:rsidRPr="005A71CA">
        <w:rPr>
          <w:rFonts w:asciiTheme="minorHAnsi" w:hAnsiTheme="minorHAnsi"/>
          <w:color w:val="auto"/>
          <w:u w:val="single"/>
        </w:rPr>
        <w:t>CI CONTENTION</w:t>
      </w:r>
      <w:r w:rsidRPr="005A71CA">
        <w:rPr>
          <w:rFonts w:asciiTheme="minorHAnsi" w:hAnsiTheme="minorHAnsi"/>
          <w:color w:val="auto"/>
        </w:rPr>
        <w:t xml:space="preserve">:  </w:t>
      </w:r>
      <w:r w:rsidR="00D43ADD">
        <w:rPr>
          <w:rFonts w:asciiTheme="minorHAnsi" w:hAnsiTheme="minorHAnsi"/>
          <w:color w:val="auto"/>
        </w:rPr>
        <w:t>“</w:t>
      </w:r>
      <w:r w:rsidRPr="0066632F">
        <w:rPr>
          <w:rFonts w:asciiTheme="minorHAnsi" w:hAnsiTheme="minorHAnsi"/>
          <w:color w:val="auto"/>
          <w:szCs w:val="24"/>
        </w:rPr>
        <w:t>There have been changes to the rating system, and I feel I should have been rated higher than I was.</w:t>
      </w:r>
      <w:r w:rsidR="00D43ADD">
        <w:rPr>
          <w:rFonts w:asciiTheme="minorHAnsi" w:hAnsiTheme="minorHAnsi"/>
          <w:color w:val="auto"/>
          <w:szCs w:val="24"/>
        </w:rPr>
        <w:t>”</w:t>
      </w:r>
    </w:p>
    <w:p w:rsidR="00AA7F2D" w:rsidRDefault="00AA7F2D" w:rsidP="00AA7F2D">
      <w:pPr>
        <w:pBdr>
          <w:bottom w:val="single" w:sz="12" w:space="1" w:color="auto"/>
        </w:pBdr>
        <w:tabs>
          <w:tab w:val="left" w:pos="288"/>
          <w:tab w:val="left" w:pos="4752"/>
        </w:tabs>
        <w:jc w:val="both"/>
        <w:rPr>
          <w:rFonts w:ascii="Calibri" w:hAnsi="Calibri"/>
          <w:color w:val="auto"/>
          <w:szCs w:val="24"/>
        </w:rPr>
      </w:pPr>
    </w:p>
    <w:p w:rsidR="00E941A2" w:rsidRDefault="00E941A2" w:rsidP="00CF7851">
      <w:pPr>
        <w:jc w:val="both"/>
        <w:rPr>
          <w:rFonts w:ascii="Calibri" w:hAnsi="Calibri"/>
          <w:color w:val="auto"/>
          <w:u w:val="single"/>
        </w:rPr>
      </w:pPr>
    </w:p>
    <w:p w:rsidR="00CF7851" w:rsidRDefault="00CF7851" w:rsidP="00CF7851">
      <w:pPr>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465B8E" w:rsidRPr="00F0490E" w:rsidRDefault="00465B8E" w:rsidP="00CF7851">
      <w:pPr>
        <w:jc w:val="both"/>
        <w:rPr>
          <w:rFonts w:ascii="Calibri" w:hAnsi="Calibri"/>
          <w:color w:val="auto"/>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5"/>
        <w:gridCol w:w="900"/>
        <w:gridCol w:w="990"/>
        <w:gridCol w:w="2183"/>
        <w:gridCol w:w="1080"/>
        <w:gridCol w:w="810"/>
        <w:gridCol w:w="1057"/>
      </w:tblGrid>
      <w:tr w:rsidR="00CF7851" w:rsidRPr="002A685E" w:rsidTr="00371124">
        <w:trPr>
          <w:trHeight w:val="233"/>
          <w:jc w:val="center"/>
        </w:trPr>
        <w:tc>
          <w:tcPr>
            <w:tcW w:w="4365" w:type="dxa"/>
            <w:gridSpan w:val="3"/>
            <w:tcBorders>
              <w:right w:val="thinThickThinSmallGap" w:sz="24" w:space="0" w:color="auto"/>
            </w:tcBorders>
            <w:shd w:val="clear" w:color="auto" w:fill="D9D9D9"/>
          </w:tcPr>
          <w:p w:rsidR="00CF7851" w:rsidRPr="00507025" w:rsidRDefault="00CF7851" w:rsidP="00402BBE">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 xml:space="preserve">Service IPEB – Dated </w:t>
            </w:r>
            <w:r w:rsidR="00402BBE" w:rsidRPr="00C630C4">
              <w:rPr>
                <w:rFonts w:cs="Arial"/>
                <w:b/>
                <w:color w:val="000000"/>
              </w:rPr>
              <w:t>200</w:t>
            </w:r>
            <w:r w:rsidR="00402BBE">
              <w:rPr>
                <w:rFonts w:cs="Arial"/>
                <w:b/>
                <w:color w:val="000000"/>
              </w:rPr>
              <w:t>51109</w:t>
            </w:r>
          </w:p>
        </w:tc>
        <w:tc>
          <w:tcPr>
            <w:tcW w:w="5130" w:type="dxa"/>
            <w:gridSpan w:val="4"/>
            <w:tcBorders>
              <w:left w:val="thinThickThinSmallGap" w:sz="24" w:space="0" w:color="auto"/>
            </w:tcBorders>
            <w:shd w:val="clear" w:color="auto" w:fill="D9D9D9"/>
          </w:tcPr>
          <w:p w:rsidR="00CF7851" w:rsidRPr="00507025" w:rsidRDefault="00CF7851"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 xml:space="preserve">VA </w:t>
            </w:r>
            <w:r w:rsidR="00C309A2">
              <w:rPr>
                <w:b/>
                <w:sz w:val="20"/>
                <w:szCs w:val="20"/>
              </w:rPr>
              <w:t>20050921</w:t>
            </w:r>
            <w:r w:rsidRPr="00507025">
              <w:rPr>
                <w:rFonts w:ascii="Calibri" w:eastAsia="Calibri" w:hAnsi="Calibri" w:cs="Times New Roman"/>
                <w:b/>
                <w:sz w:val="20"/>
                <w:szCs w:val="20"/>
              </w:rPr>
              <w:t>(</w:t>
            </w:r>
            <w:r w:rsidR="00C6301E">
              <w:rPr>
                <w:b/>
                <w:sz w:val="20"/>
                <w:szCs w:val="20"/>
              </w:rPr>
              <w:t>4</w:t>
            </w:r>
            <w:r w:rsidRPr="00507025">
              <w:rPr>
                <w:rFonts w:ascii="Calibri" w:eastAsia="Calibri" w:hAnsi="Calibri" w:cs="Times New Roman"/>
                <w:b/>
                <w:sz w:val="20"/>
                <w:szCs w:val="20"/>
              </w:rPr>
              <w:t xml:space="preserve">Mo. </w:t>
            </w:r>
            <w:r w:rsidR="00C6301E">
              <w:rPr>
                <w:b/>
                <w:sz w:val="20"/>
                <w:szCs w:val="20"/>
              </w:rPr>
              <w:t>Pre</w:t>
            </w:r>
            <w:r w:rsidRPr="00507025">
              <w:rPr>
                <w:rFonts w:ascii="Calibri" w:eastAsia="Calibri" w:hAnsi="Calibri" w:cs="Times New Roman"/>
                <w:b/>
                <w:sz w:val="20"/>
                <w:szCs w:val="20"/>
              </w:rPr>
              <w:t>-Separation)</w:t>
            </w:r>
            <w:r>
              <w:rPr>
                <w:rFonts w:ascii="Calibri" w:eastAsia="Calibri" w:hAnsi="Calibri" w:cs="Times New Roman"/>
                <w:b/>
                <w:sz w:val="20"/>
                <w:szCs w:val="20"/>
              </w:rPr>
              <w:t xml:space="preserve"> –</w:t>
            </w:r>
            <w:r w:rsidRPr="00507025">
              <w:rPr>
                <w:rFonts w:ascii="Calibri" w:eastAsia="Calibri" w:hAnsi="Calibri" w:cs="Times New Roman"/>
                <w:b/>
                <w:sz w:val="20"/>
                <w:szCs w:val="20"/>
              </w:rPr>
              <w:t xml:space="preserve"> Effective </w:t>
            </w:r>
            <w:r w:rsidR="00C6301E">
              <w:rPr>
                <w:b/>
                <w:sz w:val="20"/>
                <w:szCs w:val="20"/>
              </w:rPr>
              <w:t>200601</w:t>
            </w:r>
            <w:r>
              <w:rPr>
                <w:rFonts w:ascii="Calibri" w:eastAsia="Calibri" w:hAnsi="Calibri" w:cs="Times New Roman"/>
                <w:b/>
                <w:sz w:val="20"/>
                <w:szCs w:val="20"/>
              </w:rPr>
              <w:t>16</w:t>
            </w:r>
          </w:p>
        </w:tc>
      </w:tr>
      <w:tr w:rsidR="00CF7851" w:rsidRPr="002A685E" w:rsidTr="00371124">
        <w:trPr>
          <w:trHeight w:val="233"/>
          <w:jc w:val="center"/>
        </w:trPr>
        <w:tc>
          <w:tcPr>
            <w:tcW w:w="2475" w:type="dxa"/>
            <w:tcBorders>
              <w:bottom w:val="single" w:sz="4" w:space="0" w:color="000000"/>
            </w:tcBorders>
            <w:shd w:val="clear" w:color="auto" w:fill="D9D9D9"/>
          </w:tcPr>
          <w:p w:rsidR="00CF7851" w:rsidRPr="00507025" w:rsidRDefault="00CF7851" w:rsidP="00500AF5">
            <w:pPr>
              <w:pStyle w:val="ListParagraph"/>
              <w:spacing w:after="0" w:line="240" w:lineRule="exact"/>
              <w:ind w:left="0"/>
              <w:jc w:val="both"/>
              <w:rPr>
                <w:rFonts w:ascii="Calibri" w:eastAsia="Calibri" w:hAnsi="Calibri" w:cs="Times New Roman"/>
                <w:b/>
                <w:sz w:val="20"/>
                <w:szCs w:val="20"/>
              </w:rPr>
            </w:pPr>
            <w:r w:rsidRPr="00507025">
              <w:rPr>
                <w:rFonts w:ascii="Calibri" w:eastAsia="Calibri" w:hAnsi="Calibri" w:cs="Times New Roman"/>
                <w:b/>
                <w:sz w:val="20"/>
                <w:szCs w:val="20"/>
              </w:rPr>
              <w:t>Condition</w:t>
            </w:r>
          </w:p>
        </w:tc>
        <w:tc>
          <w:tcPr>
            <w:tcW w:w="900" w:type="dxa"/>
            <w:tcBorders>
              <w:bottom w:val="single" w:sz="4" w:space="0" w:color="000000"/>
            </w:tcBorders>
            <w:shd w:val="clear" w:color="auto" w:fill="D9D9D9"/>
          </w:tcPr>
          <w:p w:rsidR="00CF7851" w:rsidRPr="00507025" w:rsidRDefault="00CF7851"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Code</w:t>
            </w:r>
          </w:p>
        </w:tc>
        <w:tc>
          <w:tcPr>
            <w:tcW w:w="990" w:type="dxa"/>
            <w:tcBorders>
              <w:bottom w:val="single" w:sz="4" w:space="0" w:color="000000"/>
              <w:right w:val="thinThickThinSmallGap" w:sz="24" w:space="0" w:color="auto"/>
            </w:tcBorders>
            <w:shd w:val="clear" w:color="auto" w:fill="D9D9D9"/>
          </w:tcPr>
          <w:p w:rsidR="00CF7851" w:rsidRPr="00507025" w:rsidRDefault="00CF7851"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Rating</w:t>
            </w:r>
          </w:p>
        </w:tc>
        <w:tc>
          <w:tcPr>
            <w:tcW w:w="2183" w:type="dxa"/>
            <w:tcBorders>
              <w:left w:val="thinThickThinSmallGap" w:sz="24" w:space="0" w:color="auto"/>
              <w:bottom w:val="single" w:sz="4" w:space="0" w:color="000000"/>
            </w:tcBorders>
            <w:shd w:val="clear" w:color="auto" w:fill="D9D9D9"/>
          </w:tcPr>
          <w:p w:rsidR="00CF7851" w:rsidRPr="00507025" w:rsidRDefault="00CF7851" w:rsidP="00500AF5">
            <w:pPr>
              <w:pStyle w:val="ListParagraph"/>
              <w:spacing w:after="0" w:line="240" w:lineRule="exact"/>
              <w:ind w:left="0"/>
              <w:jc w:val="both"/>
              <w:rPr>
                <w:rFonts w:ascii="Calibri" w:eastAsia="Calibri" w:hAnsi="Calibri" w:cs="Times New Roman"/>
                <w:b/>
                <w:sz w:val="20"/>
                <w:szCs w:val="20"/>
              </w:rPr>
            </w:pPr>
            <w:r w:rsidRPr="00507025">
              <w:rPr>
                <w:rFonts w:ascii="Calibri" w:eastAsia="Calibri" w:hAnsi="Calibri" w:cs="Times New Roman"/>
                <w:b/>
                <w:sz w:val="20"/>
                <w:szCs w:val="20"/>
              </w:rPr>
              <w:t>Condition</w:t>
            </w:r>
          </w:p>
        </w:tc>
        <w:tc>
          <w:tcPr>
            <w:tcW w:w="1080" w:type="dxa"/>
            <w:tcBorders>
              <w:bottom w:val="single" w:sz="4" w:space="0" w:color="000000"/>
            </w:tcBorders>
            <w:shd w:val="clear" w:color="auto" w:fill="D9D9D9"/>
          </w:tcPr>
          <w:p w:rsidR="00CF7851" w:rsidRPr="00507025" w:rsidRDefault="00CF7851"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Code</w:t>
            </w:r>
          </w:p>
        </w:tc>
        <w:tc>
          <w:tcPr>
            <w:tcW w:w="810" w:type="dxa"/>
            <w:tcBorders>
              <w:bottom w:val="single" w:sz="4" w:space="0" w:color="000000"/>
            </w:tcBorders>
            <w:shd w:val="clear" w:color="auto" w:fill="D9D9D9"/>
          </w:tcPr>
          <w:p w:rsidR="00CF7851" w:rsidRPr="00507025" w:rsidRDefault="00CF7851"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Rating</w:t>
            </w:r>
          </w:p>
        </w:tc>
        <w:tc>
          <w:tcPr>
            <w:tcW w:w="1057" w:type="dxa"/>
            <w:tcBorders>
              <w:bottom w:val="single" w:sz="4" w:space="0" w:color="000000"/>
            </w:tcBorders>
            <w:shd w:val="clear" w:color="auto" w:fill="D9D9D9"/>
          </w:tcPr>
          <w:p w:rsidR="00CF7851" w:rsidRPr="00507025" w:rsidRDefault="00CF7851"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Exam</w:t>
            </w:r>
          </w:p>
        </w:tc>
      </w:tr>
      <w:tr w:rsidR="00CA208F" w:rsidRPr="002A685E" w:rsidTr="00371124">
        <w:trPr>
          <w:trHeight w:val="125"/>
          <w:jc w:val="center"/>
        </w:trPr>
        <w:tc>
          <w:tcPr>
            <w:tcW w:w="2475" w:type="dxa"/>
            <w:shd w:val="clear" w:color="auto" w:fill="FFFFFF"/>
          </w:tcPr>
          <w:p w:rsidR="00CA208F" w:rsidRPr="000D4537" w:rsidRDefault="00AA7F2D" w:rsidP="000626E4">
            <w:pPr>
              <w:pStyle w:val="ListParagraph"/>
              <w:spacing w:after="0" w:line="240" w:lineRule="exact"/>
              <w:ind w:left="0"/>
              <w:rPr>
                <w:rFonts w:cs="Times New Roman"/>
                <w:sz w:val="18"/>
                <w:szCs w:val="18"/>
              </w:rPr>
            </w:pPr>
            <w:r>
              <w:rPr>
                <w:sz w:val="18"/>
                <w:szCs w:val="18"/>
              </w:rPr>
              <w:t xml:space="preserve">Left </w:t>
            </w:r>
            <w:r w:rsidR="00D43ADD">
              <w:rPr>
                <w:sz w:val="18"/>
                <w:szCs w:val="18"/>
              </w:rPr>
              <w:t>Saphenous Nerve N</w:t>
            </w:r>
            <w:r w:rsidR="00D43ADD" w:rsidRPr="000D4537">
              <w:rPr>
                <w:sz w:val="18"/>
                <w:szCs w:val="18"/>
              </w:rPr>
              <w:t>europathy</w:t>
            </w:r>
          </w:p>
        </w:tc>
        <w:tc>
          <w:tcPr>
            <w:tcW w:w="900" w:type="dxa"/>
            <w:shd w:val="clear" w:color="auto" w:fill="FFFFFF"/>
          </w:tcPr>
          <w:p w:rsidR="00CA208F" w:rsidRPr="000D4537" w:rsidRDefault="00CA208F" w:rsidP="00E941A2">
            <w:pPr>
              <w:pStyle w:val="ListParagraph"/>
              <w:spacing w:after="0" w:line="240" w:lineRule="exact"/>
              <w:ind w:left="0"/>
              <w:jc w:val="center"/>
              <w:rPr>
                <w:rFonts w:cs="Times New Roman"/>
                <w:sz w:val="18"/>
                <w:szCs w:val="18"/>
              </w:rPr>
            </w:pPr>
            <w:r w:rsidRPr="000D4537">
              <w:rPr>
                <w:rFonts w:cs="Times New Roman"/>
                <w:sz w:val="18"/>
                <w:szCs w:val="18"/>
              </w:rPr>
              <w:t>8527</w:t>
            </w:r>
          </w:p>
        </w:tc>
        <w:tc>
          <w:tcPr>
            <w:tcW w:w="990" w:type="dxa"/>
            <w:tcBorders>
              <w:right w:val="thinThickThinSmallGap" w:sz="24" w:space="0" w:color="auto"/>
            </w:tcBorders>
            <w:shd w:val="clear" w:color="auto" w:fill="FFFFFF"/>
          </w:tcPr>
          <w:p w:rsidR="00CA208F" w:rsidRPr="000D4537" w:rsidRDefault="00CA208F" w:rsidP="00500AF5">
            <w:pPr>
              <w:pStyle w:val="ListParagraph"/>
              <w:spacing w:after="0" w:line="240" w:lineRule="exact"/>
              <w:ind w:left="0"/>
              <w:jc w:val="center"/>
              <w:rPr>
                <w:rFonts w:cs="Times New Roman"/>
                <w:sz w:val="18"/>
                <w:szCs w:val="18"/>
              </w:rPr>
            </w:pPr>
            <w:r w:rsidRPr="000D4537">
              <w:rPr>
                <w:rFonts w:cs="Times New Roman"/>
                <w:sz w:val="18"/>
                <w:szCs w:val="18"/>
              </w:rPr>
              <w:t>10%</w:t>
            </w:r>
          </w:p>
        </w:tc>
        <w:tc>
          <w:tcPr>
            <w:tcW w:w="2183" w:type="dxa"/>
            <w:tcBorders>
              <w:left w:val="thinThickThinSmallGap" w:sz="24" w:space="0" w:color="auto"/>
            </w:tcBorders>
            <w:shd w:val="clear" w:color="auto" w:fill="FFFFFF"/>
          </w:tcPr>
          <w:p w:rsidR="00CA208F" w:rsidRPr="000D4537" w:rsidRDefault="00736EB6" w:rsidP="00500AF5">
            <w:pPr>
              <w:pStyle w:val="ListParagraph"/>
              <w:spacing w:after="0" w:line="240" w:lineRule="exact"/>
              <w:ind w:left="0"/>
              <w:rPr>
                <w:rFonts w:cs="Times New Roman"/>
                <w:sz w:val="18"/>
                <w:szCs w:val="18"/>
              </w:rPr>
            </w:pPr>
            <w:r>
              <w:rPr>
                <w:rFonts w:cs="Times New Roman"/>
                <w:sz w:val="18"/>
                <w:szCs w:val="18"/>
              </w:rPr>
              <w:t xml:space="preserve">Residual </w:t>
            </w:r>
            <w:r w:rsidR="00D43ADD">
              <w:rPr>
                <w:rFonts w:cs="Times New Roman"/>
                <w:sz w:val="18"/>
                <w:szCs w:val="18"/>
              </w:rPr>
              <w:t>Shell Fragment Wound Left Lower E</w:t>
            </w:r>
            <w:r w:rsidR="00D43ADD" w:rsidRPr="000D4537">
              <w:rPr>
                <w:rFonts w:cs="Times New Roman"/>
                <w:sz w:val="18"/>
                <w:szCs w:val="18"/>
              </w:rPr>
              <w:t>xtremity</w:t>
            </w:r>
          </w:p>
        </w:tc>
        <w:tc>
          <w:tcPr>
            <w:tcW w:w="1080" w:type="dxa"/>
            <w:shd w:val="clear" w:color="auto" w:fill="FFFFFF"/>
          </w:tcPr>
          <w:p w:rsidR="00CA208F" w:rsidRPr="000D4537" w:rsidRDefault="00CA208F" w:rsidP="00500AF5">
            <w:pPr>
              <w:pStyle w:val="ListParagraph"/>
              <w:spacing w:after="0" w:line="240" w:lineRule="exact"/>
              <w:ind w:left="0"/>
              <w:jc w:val="center"/>
              <w:rPr>
                <w:rFonts w:cs="Times New Roman"/>
                <w:sz w:val="18"/>
                <w:szCs w:val="18"/>
              </w:rPr>
            </w:pPr>
            <w:r w:rsidRPr="000D4537">
              <w:rPr>
                <w:rFonts w:cs="Times New Roman"/>
                <w:sz w:val="18"/>
                <w:szCs w:val="18"/>
              </w:rPr>
              <w:t>8527-5312</w:t>
            </w:r>
          </w:p>
        </w:tc>
        <w:tc>
          <w:tcPr>
            <w:tcW w:w="810" w:type="dxa"/>
            <w:shd w:val="clear" w:color="auto" w:fill="FFFFFF"/>
          </w:tcPr>
          <w:p w:rsidR="00CA208F" w:rsidRPr="000D4537" w:rsidRDefault="00CA208F" w:rsidP="00500AF5">
            <w:pPr>
              <w:pStyle w:val="ListParagraph"/>
              <w:spacing w:after="0" w:line="240" w:lineRule="exact"/>
              <w:ind w:left="0"/>
              <w:jc w:val="center"/>
              <w:rPr>
                <w:rFonts w:cs="Times New Roman"/>
                <w:sz w:val="18"/>
                <w:szCs w:val="18"/>
              </w:rPr>
            </w:pPr>
            <w:r w:rsidRPr="000D4537">
              <w:rPr>
                <w:rFonts w:cs="Times New Roman"/>
                <w:sz w:val="18"/>
                <w:szCs w:val="18"/>
              </w:rPr>
              <w:t>30%</w:t>
            </w:r>
          </w:p>
        </w:tc>
        <w:tc>
          <w:tcPr>
            <w:tcW w:w="1057" w:type="dxa"/>
            <w:shd w:val="clear" w:color="auto" w:fill="FFFFFF"/>
          </w:tcPr>
          <w:p w:rsidR="00CA208F" w:rsidRPr="000D4537" w:rsidRDefault="00E877D4" w:rsidP="00500AF5">
            <w:pPr>
              <w:pStyle w:val="ListParagraph"/>
              <w:spacing w:after="0" w:line="240" w:lineRule="auto"/>
              <w:ind w:left="0"/>
              <w:jc w:val="center"/>
              <w:rPr>
                <w:rFonts w:eastAsia="Calibri" w:cs="Times New Roman"/>
                <w:sz w:val="18"/>
                <w:szCs w:val="18"/>
              </w:rPr>
            </w:pPr>
            <w:r w:rsidRPr="000D4537">
              <w:rPr>
                <w:rFonts w:eastAsia="Calibri" w:cs="Times New Roman"/>
                <w:sz w:val="18"/>
                <w:szCs w:val="18"/>
              </w:rPr>
              <w:t>20050921</w:t>
            </w:r>
          </w:p>
        </w:tc>
      </w:tr>
      <w:tr w:rsidR="00964DAB" w:rsidRPr="002A685E" w:rsidTr="00371124">
        <w:trPr>
          <w:trHeight w:val="125"/>
          <w:jc w:val="center"/>
        </w:trPr>
        <w:tc>
          <w:tcPr>
            <w:tcW w:w="2475" w:type="dxa"/>
            <w:shd w:val="clear" w:color="auto" w:fill="FFFFFF"/>
          </w:tcPr>
          <w:p w:rsidR="00964DAB" w:rsidRPr="000D4537" w:rsidRDefault="00964DAB" w:rsidP="00BD28B1">
            <w:pPr>
              <w:pStyle w:val="ListParagraph"/>
              <w:spacing w:after="0" w:line="240" w:lineRule="exact"/>
              <w:ind w:left="0"/>
              <w:rPr>
                <w:rFonts w:cs="Times New Roman"/>
                <w:sz w:val="18"/>
                <w:szCs w:val="18"/>
              </w:rPr>
            </w:pPr>
            <w:r w:rsidRPr="000D4537">
              <w:rPr>
                <w:rFonts w:cs="Times New Roman"/>
                <w:sz w:val="18"/>
                <w:szCs w:val="18"/>
              </w:rPr>
              <w:t xml:space="preserve">PTSD </w:t>
            </w:r>
          </w:p>
        </w:tc>
        <w:tc>
          <w:tcPr>
            <w:tcW w:w="900" w:type="dxa"/>
            <w:shd w:val="clear" w:color="auto" w:fill="FFFFFF"/>
          </w:tcPr>
          <w:p w:rsidR="00964DAB" w:rsidRPr="000D4537" w:rsidRDefault="00964DAB" w:rsidP="00BD28B1">
            <w:pPr>
              <w:pStyle w:val="ListParagraph"/>
              <w:spacing w:after="0" w:line="240" w:lineRule="auto"/>
              <w:ind w:left="0"/>
              <w:rPr>
                <w:rFonts w:eastAsia="Calibri" w:cs="Times New Roman"/>
                <w:sz w:val="18"/>
                <w:szCs w:val="18"/>
              </w:rPr>
            </w:pPr>
            <w:r w:rsidRPr="000D4537">
              <w:rPr>
                <w:rFonts w:eastAsia="Calibri" w:cs="Times New Roman"/>
                <w:sz w:val="18"/>
                <w:szCs w:val="18"/>
              </w:rPr>
              <w:t>MEB H&amp;P</w:t>
            </w:r>
          </w:p>
        </w:tc>
        <w:tc>
          <w:tcPr>
            <w:tcW w:w="990" w:type="dxa"/>
            <w:tcBorders>
              <w:right w:val="thinThickThinSmallGap" w:sz="24" w:space="0" w:color="auto"/>
            </w:tcBorders>
            <w:shd w:val="clear" w:color="auto" w:fill="FFFFFF"/>
          </w:tcPr>
          <w:p w:rsidR="00964DAB" w:rsidRPr="000D4537" w:rsidRDefault="00964DAB" w:rsidP="00500AF5">
            <w:pPr>
              <w:pStyle w:val="ListParagraph"/>
              <w:spacing w:after="0" w:line="240" w:lineRule="auto"/>
              <w:ind w:left="0"/>
              <w:jc w:val="center"/>
              <w:rPr>
                <w:rFonts w:eastAsia="Calibri" w:cs="Times New Roman"/>
                <w:sz w:val="18"/>
                <w:szCs w:val="18"/>
              </w:rPr>
            </w:pPr>
          </w:p>
        </w:tc>
        <w:tc>
          <w:tcPr>
            <w:tcW w:w="2183" w:type="dxa"/>
            <w:tcBorders>
              <w:left w:val="thinThickThinSmallGap" w:sz="24" w:space="0" w:color="auto"/>
            </w:tcBorders>
            <w:shd w:val="clear" w:color="auto" w:fill="FFFFFF"/>
          </w:tcPr>
          <w:p w:rsidR="00964DAB" w:rsidRPr="000D4537" w:rsidRDefault="00964DAB" w:rsidP="00500AF5">
            <w:pPr>
              <w:pStyle w:val="ListParagraph"/>
              <w:spacing w:after="0" w:line="240" w:lineRule="exact"/>
              <w:ind w:left="0"/>
              <w:rPr>
                <w:rFonts w:cs="Times New Roman"/>
                <w:sz w:val="18"/>
                <w:szCs w:val="18"/>
              </w:rPr>
            </w:pPr>
            <w:r w:rsidRPr="000D4537">
              <w:rPr>
                <w:rFonts w:cs="Times New Roman"/>
                <w:sz w:val="18"/>
                <w:szCs w:val="18"/>
              </w:rPr>
              <w:t xml:space="preserve">PTSD </w:t>
            </w:r>
          </w:p>
        </w:tc>
        <w:tc>
          <w:tcPr>
            <w:tcW w:w="1080" w:type="dxa"/>
            <w:shd w:val="clear" w:color="auto" w:fill="FFFFFF"/>
          </w:tcPr>
          <w:p w:rsidR="00964DAB" w:rsidRPr="000D4537" w:rsidRDefault="00964DAB" w:rsidP="00500AF5">
            <w:pPr>
              <w:pStyle w:val="ListParagraph"/>
              <w:spacing w:after="0" w:line="240" w:lineRule="exact"/>
              <w:ind w:left="0"/>
              <w:jc w:val="center"/>
              <w:rPr>
                <w:rFonts w:cs="Times New Roman"/>
                <w:sz w:val="18"/>
                <w:szCs w:val="18"/>
              </w:rPr>
            </w:pPr>
            <w:r w:rsidRPr="000D4537">
              <w:rPr>
                <w:rFonts w:cs="Times New Roman"/>
                <w:sz w:val="18"/>
                <w:szCs w:val="18"/>
              </w:rPr>
              <w:t>9411</w:t>
            </w:r>
          </w:p>
        </w:tc>
        <w:tc>
          <w:tcPr>
            <w:tcW w:w="810" w:type="dxa"/>
            <w:shd w:val="clear" w:color="auto" w:fill="FFFFFF"/>
          </w:tcPr>
          <w:p w:rsidR="00964DAB" w:rsidRPr="000D4537" w:rsidRDefault="00964DAB" w:rsidP="00500AF5">
            <w:pPr>
              <w:pStyle w:val="ListParagraph"/>
              <w:spacing w:after="0" w:line="240" w:lineRule="exact"/>
              <w:ind w:left="0"/>
              <w:jc w:val="center"/>
              <w:rPr>
                <w:rFonts w:cs="Times New Roman"/>
                <w:sz w:val="18"/>
                <w:szCs w:val="18"/>
              </w:rPr>
            </w:pPr>
            <w:r w:rsidRPr="000D4537">
              <w:rPr>
                <w:rFonts w:cs="Times New Roman"/>
                <w:sz w:val="18"/>
                <w:szCs w:val="18"/>
              </w:rPr>
              <w:t>10%</w:t>
            </w:r>
          </w:p>
        </w:tc>
        <w:tc>
          <w:tcPr>
            <w:tcW w:w="1057" w:type="dxa"/>
            <w:shd w:val="clear" w:color="auto" w:fill="FFFFFF"/>
          </w:tcPr>
          <w:p w:rsidR="00964DAB" w:rsidRPr="000D4537" w:rsidRDefault="00964DAB" w:rsidP="00500AF5">
            <w:pPr>
              <w:pStyle w:val="ListParagraph"/>
              <w:spacing w:after="0" w:line="240" w:lineRule="auto"/>
              <w:ind w:left="0"/>
              <w:jc w:val="center"/>
              <w:rPr>
                <w:rFonts w:eastAsia="Calibri" w:cs="Times New Roman"/>
                <w:sz w:val="18"/>
                <w:szCs w:val="18"/>
              </w:rPr>
            </w:pPr>
            <w:r w:rsidRPr="000D4537">
              <w:rPr>
                <w:rFonts w:eastAsia="Calibri" w:cs="Times New Roman"/>
                <w:sz w:val="18"/>
                <w:szCs w:val="18"/>
              </w:rPr>
              <w:t>20050926</w:t>
            </w:r>
          </w:p>
        </w:tc>
      </w:tr>
      <w:tr w:rsidR="00964DAB" w:rsidRPr="002A685E" w:rsidTr="00371124">
        <w:trPr>
          <w:trHeight w:val="125"/>
          <w:jc w:val="center"/>
        </w:trPr>
        <w:tc>
          <w:tcPr>
            <w:tcW w:w="2475" w:type="dxa"/>
            <w:shd w:val="clear" w:color="auto" w:fill="FFFFFF"/>
          </w:tcPr>
          <w:p w:rsidR="00964DAB" w:rsidRPr="000D4537" w:rsidRDefault="00964DAB" w:rsidP="00BD28B1">
            <w:pPr>
              <w:autoSpaceDE w:val="0"/>
              <w:autoSpaceDN w:val="0"/>
              <w:adjustRightInd w:val="0"/>
              <w:contextualSpacing/>
              <w:rPr>
                <w:rFonts w:asciiTheme="minorHAnsi" w:hAnsiTheme="minorHAnsi"/>
                <w:color w:val="auto"/>
                <w:sz w:val="18"/>
                <w:szCs w:val="18"/>
              </w:rPr>
            </w:pPr>
            <w:r w:rsidRPr="000D4537">
              <w:rPr>
                <w:rFonts w:asciiTheme="minorHAnsi" w:hAnsiTheme="minorHAnsi"/>
                <w:color w:val="auto"/>
                <w:sz w:val="18"/>
                <w:szCs w:val="18"/>
              </w:rPr>
              <w:t>Tinnitus</w:t>
            </w:r>
          </w:p>
        </w:tc>
        <w:tc>
          <w:tcPr>
            <w:tcW w:w="900" w:type="dxa"/>
            <w:shd w:val="clear" w:color="auto" w:fill="FFFFFF"/>
          </w:tcPr>
          <w:p w:rsidR="00964DAB" w:rsidRPr="000D4537" w:rsidRDefault="00964DAB" w:rsidP="00BD28B1">
            <w:pPr>
              <w:pStyle w:val="ListParagraph"/>
              <w:spacing w:after="0" w:line="240" w:lineRule="auto"/>
              <w:ind w:left="0"/>
              <w:rPr>
                <w:rFonts w:eastAsia="Calibri" w:cs="Times New Roman"/>
                <w:sz w:val="18"/>
                <w:szCs w:val="18"/>
              </w:rPr>
            </w:pPr>
            <w:r w:rsidRPr="000D4537">
              <w:rPr>
                <w:rFonts w:eastAsia="Calibri" w:cs="Times New Roman"/>
                <w:sz w:val="18"/>
                <w:szCs w:val="18"/>
              </w:rPr>
              <w:t>MEB H&amp;P</w:t>
            </w:r>
          </w:p>
        </w:tc>
        <w:tc>
          <w:tcPr>
            <w:tcW w:w="990" w:type="dxa"/>
            <w:tcBorders>
              <w:right w:val="thinThickThinSmallGap" w:sz="24" w:space="0" w:color="auto"/>
            </w:tcBorders>
            <w:shd w:val="clear" w:color="auto" w:fill="FFFFFF"/>
          </w:tcPr>
          <w:p w:rsidR="00964DAB" w:rsidRPr="000D4537" w:rsidRDefault="00964DAB" w:rsidP="00500AF5">
            <w:pPr>
              <w:pStyle w:val="ListParagraph"/>
              <w:spacing w:after="0" w:line="240" w:lineRule="auto"/>
              <w:ind w:left="0"/>
              <w:jc w:val="center"/>
              <w:rPr>
                <w:rFonts w:eastAsia="Calibri" w:cs="Times New Roman"/>
                <w:sz w:val="18"/>
                <w:szCs w:val="18"/>
              </w:rPr>
            </w:pPr>
          </w:p>
        </w:tc>
        <w:tc>
          <w:tcPr>
            <w:tcW w:w="2183" w:type="dxa"/>
            <w:tcBorders>
              <w:left w:val="thinThickThinSmallGap" w:sz="24" w:space="0" w:color="auto"/>
            </w:tcBorders>
            <w:shd w:val="clear" w:color="auto" w:fill="FFFFFF"/>
          </w:tcPr>
          <w:p w:rsidR="00964DAB" w:rsidRPr="000D4537" w:rsidRDefault="00964DAB" w:rsidP="00500AF5">
            <w:pPr>
              <w:autoSpaceDE w:val="0"/>
              <w:autoSpaceDN w:val="0"/>
              <w:adjustRightInd w:val="0"/>
              <w:contextualSpacing/>
              <w:rPr>
                <w:rFonts w:asciiTheme="minorHAnsi" w:hAnsiTheme="minorHAnsi"/>
                <w:color w:val="auto"/>
                <w:sz w:val="18"/>
                <w:szCs w:val="18"/>
              </w:rPr>
            </w:pPr>
            <w:r w:rsidRPr="000D4537">
              <w:rPr>
                <w:rFonts w:asciiTheme="minorHAnsi" w:hAnsiTheme="minorHAnsi"/>
                <w:color w:val="auto"/>
                <w:sz w:val="18"/>
                <w:szCs w:val="18"/>
              </w:rPr>
              <w:t>Tinnitus</w:t>
            </w:r>
          </w:p>
        </w:tc>
        <w:tc>
          <w:tcPr>
            <w:tcW w:w="1080" w:type="dxa"/>
            <w:shd w:val="clear" w:color="auto" w:fill="FFFFFF"/>
          </w:tcPr>
          <w:p w:rsidR="00964DAB" w:rsidRPr="000D4537" w:rsidRDefault="00964DAB" w:rsidP="00500AF5">
            <w:pPr>
              <w:pStyle w:val="ListParagraph"/>
              <w:spacing w:after="0" w:line="240" w:lineRule="exact"/>
              <w:ind w:left="0"/>
              <w:jc w:val="center"/>
              <w:rPr>
                <w:rFonts w:cs="Times New Roman"/>
                <w:sz w:val="18"/>
                <w:szCs w:val="18"/>
              </w:rPr>
            </w:pPr>
            <w:r w:rsidRPr="000D4537">
              <w:rPr>
                <w:rFonts w:cs="Times New Roman"/>
                <w:sz w:val="18"/>
                <w:szCs w:val="18"/>
              </w:rPr>
              <w:t>6260</w:t>
            </w:r>
          </w:p>
        </w:tc>
        <w:tc>
          <w:tcPr>
            <w:tcW w:w="810" w:type="dxa"/>
            <w:shd w:val="clear" w:color="auto" w:fill="FFFFFF"/>
          </w:tcPr>
          <w:p w:rsidR="00964DAB" w:rsidRPr="000D4537" w:rsidRDefault="00964DAB" w:rsidP="00500AF5">
            <w:pPr>
              <w:pStyle w:val="ListParagraph"/>
              <w:spacing w:after="0" w:line="240" w:lineRule="exact"/>
              <w:ind w:left="0"/>
              <w:jc w:val="center"/>
              <w:rPr>
                <w:rFonts w:cs="Times New Roman"/>
                <w:sz w:val="18"/>
                <w:szCs w:val="18"/>
              </w:rPr>
            </w:pPr>
            <w:r w:rsidRPr="000D4537">
              <w:rPr>
                <w:rFonts w:cs="Times New Roman"/>
                <w:sz w:val="18"/>
                <w:szCs w:val="18"/>
              </w:rPr>
              <w:t>10%</w:t>
            </w:r>
          </w:p>
        </w:tc>
        <w:tc>
          <w:tcPr>
            <w:tcW w:w="1057" w:type="dxa"/>
            <w:shd w:val="clear" w:color="auto" w:fill="FFFFFF"/>
          </w:tcPr>
          <w:p w:rsidR="00964DAB" w:rsidRPr="000D4537" w:rsidRDefault="00964DAB" w:rsidP="00500AF5">
            <w:pPr>
              <w:pStyle w:val="ListParagraph"/>
              <w:spacing w:after="0" w:line="240" w:lineRule="auto"/>
              <w:ind w:left="0"/>
              <w:jc w:val="center"/>
              <w:rPr>
                <w:rFonts w:eastAsia="Calibri" w:cs="Times New Roman"/>
                <w:sz w:val="18"/>
                <w:szCs w:val="18"/>
              </w:rPr>
            </w:pPr>
            <w:r w:rsidRPr="000D4537">
              <w:rPr>
                <w:rFonts w:eastAsia="Calibri" w:cs="Times New Roman"/>
                <w:sz w:val="18"/>
                <w:szCs w:val="18"/>
              </w:rPr>
              <w:t>20050929</w:t>
            </w:r>
          </w:p>
        </w:tc>
      </w:tr>
      <w:tr w:rsidR="006B3513" w:rsidRPr="002A685E" w:rsidTr="00371124">
        <w:trPr>
          <w:trHeight w:val="359"/>
          <w:jc w:val="center"/>
        </w:trPr>
        <w:tc>
          <w:tcPr>
            <w:tcW w:w="4365" w:type="dxa"/>
            <w:gridSpan w:val="3"/>
            <w:tcBorders>
              <w:right w:val="thinThickThinSmallGap" w:sz="24" w:space="0" w:color="auto"/>
            </w:tcBorders>
            <w:shd w:val="clear" w:color="auto" w:fill="FFFFFF"/>
          </w:tcPr>
          <w:p w:rsidR="006B3513" w:rsidRPr="000D4537" w:rsidRDefault="006B3513" w:rsidP="00500AF5">
            <w:pPr>
              <w:pStyle w:val="ListParagraph"/>
              <w:ind w:left="0"/>
              <w:jc w:val="center"/>
              <w:rPr>
                <w:sz w:val="18"/>
                <w:szCs w:val="18"/>
                <w:highlight w:val="cyan"/>
              </w:rPr>
            </w:pPr>
            <w:r w:rsidRPr="000D4537">
              <w:rPr>
                <w:rFonts w:ascii="Calibri" w:eastAsia="Calibri" w:hAnsi="Calibri" w:cs="Times New Roman"/>
                <w:sz w:val="18"/>
                <w:szCs w:val="18"/>
              </w:rPr>
              <w:t>↓No Additional MEB Entries↓</w:t>
            </w:r>
          </w:p>
        </w:tc>
        <w:tc>
          <w:tcPr>
            <w:tcW w:w="4073" w:type="dxa"/>
            <w:gridSpan w:val="3"/>
            <w:tcBorders>
              <w:left w:val="thinThickThinSmallGap" w:sz="24" w:space="0" w:color="auto"/>
            </w:tcBorders>
            <w:shd w:val="clear" w:color="auto" w:fill="FFFFFF"/>
            <w:vAlign w:val="center"/>
          </w:tcPr>
          <w:p w:rsidR="006B3513" w:rsidRPr="000D4537" w:rsidRDefault="006B3513" w:rsidP="006B3513">
            <w:pPr>
              <w:pStyle w:val="ListParagraph"/>
              <w:ind w:left="0"/>
              <w:jc w:val="center"/>
              <w:rPr>
                <w:rFonts w:cs="Times New Roman"/>
                <w:sz w:val="18"/>
                <w:szCs w:val="18"/>
              </w:rPr>
            </w:pPr>
            <w:r>
              <w:rPr>
                <w:rFonts w:cs="Times New Roman"/>
                <w:sz w:val="18"/>
                <w:szCs w:val="18"/>
              </w:rPr>
              <w:t>0% x 3 / Not Service Connected x 4</w:t>
            </w:r>
          </w:p>
        </w:tc>
        <w:tc>
          <w:tcPr>
            <w:tcW w:w="1057" w:type="dxa"/>
            <w:shd w:val="clear" w:color="auto" w:fill="FFFFFF"/>
          </w:tcPr>
          <w:p w:rsidR="006B3513" w:rsidRPr="000D4537" w:rsidRDefault="006B3513" w:rsidP="00500AF5">
            <w:pPr>
              <w:pStyle w:val="ListParagraph"/>
              <w:spacing w:after="0" w:line="240" w:lineRule="auto"/>
              <w:ind w:left="0"/>
              <w:jc w:val="center"/>
              <w:rPr>
                <w:sz w:val="18"/>
                <w:szCs w:val="18"/>
              </w:rPr>
            </w:pPr>
            <w:r w:rsidRPr="000D4537">
              <w:rPr>
                <w:rFonts w:eastAsia="Calibri" w:cs="Times New Roman"/>
                <w:sz w:val="18"/>
                <w:szCs w:val="18"/>
              </w:rPr>
              <w:t>20050921</w:t>
            </w:r>
          </w:p>
        </w:tc>
      </w:tr>
      <w:tr w:rsidR="000626E4" w:rsidRPr="002A685E" w:rsidTr="00371124">
        <w:trPr>
          <w:trHeight w:val="350"/>
          <w:jc w:val="center"/>
        </w:trPr>
        <w:tc>
          <w:tcPr>
            <w:tcW w:w="4365" w:type="dxa"/>
            <w:gridSpan w:val="3"/>
            <w:tcBorders>
              <w:right w:val="thinThickThinSmallGap" w:sz="24" w:space="0" w:color="auto"/>
            </w:tcBorders>
            <w:shd w:val="clear" w:color="auto" w:fill="D9D9D9"/>
          </w:tcPr>
          <w:p w:rsidR="000626E4" w:rsidRPr="00507025" w:rsidRDefault="000626E4" w:rsidP="00500AF5">
            <w:pPr>
              <w:pStyle w:val="ListParagraph"/>
              <w:spacing w:after="0" w:line="240" w:lineRule="exact"/>
              <w:ind w:left="0"/>
              <w:jc w:val="center"/>
              <w:rPr>
                <w:rFonts w:ascii="Calibri" w:eastAsia="Calibri" w:hAnsi="Calibri" w:cs="Times New Roman"/>
                <w:b/>
                <w:sz w:val="20"/>
                <w:szCs w:val="20"/>
              </w:rPr>
            </w:pPr>
            <w:r w:rsidRPr="00507025">
              <w:rPr>
                <w:rFonts w:ascii="Calibri" w:eastAsia="Calibri" w:hAnsi="Calibri" w:cs="Times New Roman"/>
                <w:b/>
                <w:sz w:val="20"/>
                <w:szCs w:val="20"/>
              </w:rPr>
              <w:t>TOTAL Combined:  10%</w:t>
            </w:r>
          </w:p>
        </w:tc>
        <w:tc>
          <w:tcPr>
            <w:tcW w:w="5130" w:type="dxa"/>
            <w:gridSpan w:val="4"/>
            <w:tcBorders>
              <w:left w:val="thinThickThinSmallGap" w:sz="24" w:space="0" w:color="auto"/>
            </w:tcBorders>
            <w:shd w:val="clear" w:color="auto" w:fill="D9D9D9"/>
          </w:tcPr>
          <w:p w:rsidR="000626E4" w:rsidRPr="00716545" w:rsidRDefault="000626E4" w:rsidP="00716545">
            <w:pPr>
              <w:pStyle w:val="ListParagraph"/>
              <w:spacing w:after="0" w:line="240" w:lineRule="exact"/>
              <w:ind w:left="0"/>
              <w:jc w:val="center"/>
              <w:rPr>
                <w:b/>
                <w:sz w:val="20"/>
                <w:szCs w:val="20"/>
              </w:rPr>
            </w:pPr>
            <w:r w:rsidRPr="00507025">
              <w:rPr>
                <w:rFonts w:ascii="Calibri" w:eastAsia="Calibri" w:hAnsi="Calibri" w:cs="Times New Roman"/>
                <w:b/>
                <w:sz w:val="20"/>
                <w:szCs w:val="20"/>
              </w:rPr>
              <w:t xml:space="preserve">TOTAL Combined: </w:t>
            </w:r>
            <w:r>
              <w:rPr>
                <w:b/>
                <w:sz w:val="20"/>
                <w:szCs w:val="20"/>
              </w:rPr>
              <w:t>4</w:t>
            </w:r>
            <w:r w:rsidRPr="00507025">
              <w:rPr>
                <w:rFonts w:ascii="Calibri" w:eastAsia="Calibri" w:hAnsi="Calibri" w:cs="Times New Roman"/>
                <w:b/>
                <w:sz w:val="20"/>
                <w:szCs w:val="20"/>
              </w:rPr>
              <w:t>0%</w:t>
            </w:r>
          </w:p>
        </w:tc>
      </w:tr>
    </w:tbl>
    <w:p w:rsidR="00EE015D" w:rsidRDefault="00EE015D" w:rsidP="00EE015D">
      <w:pPr>
        <w:pBdr>
          <w:bottom w:val="single" w:sz="12" w:space="1" w:color="auto"/>
        </w:pBdr>
        <w:tabs>
          <w:tab w:val="left" w:pos="288"/>
          <w:tab w:val="left" w:pos="4752"/>
        </w:tabs>
        <w:jc w:val="both"/>
        <w:rPr>
          <w:rFonts w:ascii="Calibri" w:hAnsi="Calibri"/>
          <w:color w:val="auto"/>
          <w:szCs w:val="24"/>
        </w:rPr>
      </w:pPr>
    </w:p>
    <w:p w:rsidR="00EE015D" w:rsidRDefault="00EE015D" w:rsidP="00EE015D">
      <w:pPr>
        <w:tabs>
          <w:tab w:val="left" w:pos="288"/>
          <w:tab w:val="left" w:pos="4752"/>
        </w:tabs>
        <w:jc w:val="both"/>
        <w:rPr>
          <w:color w:val="000080"/>
        </w:rPr>
      </w:pPr>
    </w:p>
    <w:p w:rsidR="00EE015D" w:rsidRDefault="00EE015D" w:rsidP="0017124B">
      <w:pPr>
        <w:tabs>
          <w:tab w:val="left" w:pos="288"/>
          <w:tab w:val="left" w:pos="4752"/>
        </w:tabs>
        <w:jc w:val="both"/>
        <w:rPr>
          <w:rFonts w:ascii="Calibri" w:hAnsi="Calibri"/>
          <w:color w:val="auto"/>
          <w:szCs w:val="24"/>
        </w:rPr>
      </w:pPr>
      <w:r w:rsidRPr="00542C9A">
        <w:rPr>
          <w:rFonts w:ascii="Calibri" w:hAnsi="Calibri"/>
          <w:color w:val="auto"/>
          <w:szCs w:val="24"/>
          <w:u w:val="single"/>
        </w:rPr>
        <w:t>ANALYSIS SUMMARY</w:t>
      </w:r>
      <w:r w:rsidRPr="00542C9A">
        <w:rPr>
          <w:rFonts w:ascii="Calibri" w:hAnsi="Calibri"/>
          <w:color w:val="auto"/>
          <w:szCs w:val="24"/>
        </w:rPr>
        <w:t>:</w:t>
      </w:r>
      <w:r>
        <w:rPr>
          <w:rFonts w:ascii="Calibri" w:hAnsi="Calibri"/>
          <w:color w:val="auto"/>
          <w:szCs w:val="24"/>
        </w:rPr>
        <w:t xml:space="preserve">  </w:t>
      </w:r>
    </w:p>
    <w:p w:rsidR="00736EB6" w:rsidRDefault="00736EB6" w:rsidP="0017124B">
      <w:pPr>
        <w:tabs>
          <w:tab w:val="left" w:pos="2980"/>
        </w:tabs>
        <w:jc w:val="both"/>
        <w:rPr>
          <w:rFonts w:ascii="Calibri" w:hAnsi="Calibri"/>
          <w:color w:val="auto"/>
          <w:szCs w:val="24"/>
        </w:rPr>
      </w:pPr>
    </w:p>
    <w:p w:rsidR="00320918" w:rsidRPr="00651170" w:rsidRDefault="00BE386E" w:rsidP="00651170">
      <w:pPr>
        <w:autoSpaceDE w:val="0"/>
        <w:autoSpaceDN w:val="0"/>
        <w:adjustRightInd w:val="0"/>
        <w:jc w:val="both"/>
        <w:rPr>
          <w:rFonts w:asciiTheme="minorHAnsi" w:hAnsiTheme="minorHAnsi" w:cstheme="minorHAnsi"/>
          <w:color w:val="auto"/>
          <w:szCs w:val="24"/>
        </w:rPr>
      </w:pPr>
      <w:r w:rsidRPr="00651170">
        <w:rPr>
          <w:rFonts w:asciiTheme="minorHAnsi" w:hAnsiTheme="minorHAnsi" w:cstheme="minorHAnsi"/>
          <w:color w:val="auto"/>
          <w:szCs w:val="24"/>
          <w:u w:val="single"/>
        </w:rPr>
        <w:t>Left Saphenous Nerve Neuropathy</w:t>
      </w:r>
      <w:r w:rsidR="00D43ADD">
        <w:rPr>
          <w:rFonts w:asciiTheme="minorHAnsi" w:hAnsiTheme="minorHAnsi" w:cstheme="minorHAnsi"/>
          <w:color w:val="auto"/>
          <w:szCs w:val="24"/>
          <w:u w:val="single"/>
        </w:rPr>
        <w:t>.</w:t>
      </w:r>
      <w:r w:rsidR="00BC648B" w:rsidRPr="00651170">
        <w:rPr>
          <w:rFonts w:asciiTheme="minorHAnsi" w:hAnsiTheme="minorHAnsi" w:cstheme="minorHAnsi"/>
          <w:color w:val="auto"/>
          <w:szCs w:val="24"/>
        </w:rPr>
        <w:t xml:space="preserve">  The CI was injured in an </w:t>
      </w:r>
      <w:r w:rsidR="00D43ADD">
        <w:rPr>
          <w:rFonts w:asciiTheme="minorHAnsi" w:hAnsiTheme="minorHAnsi" w:cstheme="minorHAnsi"/>
          <w:color w:val="auto"/>
          <w:szCs w:val="24"/>
        </w:rPr>
        <w:t xml:space="preserve">improvised explosive device </w:t>
      </w:r>
      <w:r w:rsidR="00BC648B" w:rsidRPr="00651170">
        <w:rPr>
          <w:rFonts w:asciiTheme="minorHAnsi" w:hAnsiTheme="minorHAnsi" w:cstheme="minorHAnsi"/>
          <w:color w:val="auto"/>
          <w:szCs w:val="24"/>
        </w:rPr>
        <w:t xml:space="preserve">blast on </w:t>
      </w:r>
      <w:r w:rsidR="00315D74">
        <w:rPr>
          <w:rFonts w:asciiTheme="minorHAnsi" w:hAnsiTheme="minorHAnsi" w:cstheme="minorHAnsi"/>
          <w:color w:val="auto"/>
          <w:szCs w:val="24"/>
        </w:rPr>
        <w:t>26 March 2005</w:t>
      </w:r>
      <w:r w:rsidR="00D43ADD">
        <w:rPr>
          <w:rFonts w:asciiTheme="minorHAnsi" w:hAnsiTheme="minorHAnsi" w:cstheme="minorHAnsi"/>
          <w:color w:val="auto"/>
          <w:szCs w:val="24"/>
        </w:rPr>
        <w:t>,</w:t>
      </w:r>
      <w:r w:rsidR="00BC648B" w:rsidRPr="00651170">
        <w:rPr>
          <w:rFonts w:asciiTheme="minorHAnsi" w:hAnsiTheme="minorHAnsi" w:cstheme="minorHAnsi"/>
          <w:color w:val="auto"/>
          <w:szCs w:val="24"/>
        </w:rPr>
        <w:t xml:space="preserve"> with shrapnel wounds to the left lower leg, left upper arm</w:t>
      </w:r>
      <w:r w:rsidR="00101B29">
        <w:rPr>
          <w:rFonts w:asciiTheme="minorHAnsi" w:hAnsiTheme="minorHAnsi" w:cstheme="minorHAnsi"/>
          <w:color w:val="auto"/>
          <w:szCs w:val="24"/>
        </w:rPr>
        <w:t>,</w:t>
      </w:r>
      <w:r w:rsidR="00BC648B" w:rsidRPr="00651170">
        <w:rPr>
          <w:rFonts w:asciiTheme="minorHAnsi" w:hAnsiTheme="minorHAnsi" w:cstheme="minorHAnsi"/>
          <w:color w:val="auto"/>
          <w:szCs w:val="24"/>
        </w:rPr>
        <w:t xml:space="preserve"> and abrasions on the buttocks.</w:t>
      </w:r>
      <w:r w:rsidR="00320918" w:rsidRPr="00651170">
        <w:rPr>
          <w:rFonts w:asciiTheme="minorHAnsi" w:hAnsiTheme="minorHAnsi" w:cstheme="minorHAnsi"/>
          <w:color w:val="auto"/>
          <w:szCs w:val="24"/>
        </w:rPr>
        <w:t xml:space="preserve">  The </w:t>
      </w:r>
      <w:r w:rsidR="004E6090" w:rsidRPr="00651170">
        <w:rPr>
          <w:rFonts w:asciiTheme="minorHAnsi" w:hAnsiTheme="minorHAnsi" w:cstheme="minorHAnsi"/>
          <w:color w:val="auto"/>
          <w:szCs w:val="24"/>
        </w:rPr>
        <w:t xml:space="preserve">penetrating wound to his left medial calf </w:t>
      </w:r>
      <w:r w:rsidR="00320918" w:rsidRPr="00651170">
        <w:rPr>
          <w:rFonts w:asciiTheme="minorHAnsi" w:hAnsiTheme="minorHAnsi" w:cstheme="minorHAnsi"/>
          <w:color w:val="auto"/>
          <w:szCs w:val="24"/>
        </w:rPr>
        <w:t>resulted in</w:t>
      </w:r>
      <w:r w:rsidR="004E6090" w:rsidRPr="00651170">
        <w:rPr>
          <w:rFonts w:asciiTheme="minorHAnsi" w:hAnsiTheme="minorHAnsi" w:cstheme="minorHAnsi"/>
          <w:color w:val="auto"/>
          <w:szCs w:val="24"/>
        </w:rPr>
        <w:t xml:space="preserve"> extensive soft tissue damage </w:t>
      </w:r>
      <w:r w:rsidR="00320918" w:rsidRPr="00651170">
        <w:rPr>
          <w:rFonts w:asciiTheme="minorHAnsi" w:hAnsiTheme="minorHAnsi" w:cstheme="minorHAnsi"/>
          <w:color w:val="auto"/>
          <w:szCs w:val="24"/>
        </w:rPr>
        <w:t>requiring extensive debridement, a deep medial fa</w:t>
      </w:r>
      <w:r w:rsidR="00315D74">
        <w:rPr>
          <w:rFonts w:asciiTheme="minorHAnsi" w:hAnsiTheme="minorHAnsi" w:cstheme="minorHAnsi"/>
          <w:color w:val="auto"/>
          <w:szCs w:val="24"/>
        </w:rPr>
        <w:t>sciotomy and repair of the soleus</w:t>
      </w:r>
      <w:r w:rsidR="00101B29">
        <w:rPr>
          <w:rFonts w:asciiTheme="minorHAnsi" w:hAnsiTheme="minorHAnsi" w:cstheme="minorHAnsi"/>
          <w:color w:val="auto"/>
          <w:szCs w:val="24"/>
        </w:rPr>
        <w:t xml:space="preserve"> muscle.  I</w:t>
      </w:r>
      <w:r w:rsidR="00AF7889" w:rsidRPr="00651170">
        <w:rPr>
          <w:rFonts w:asciiTheme="minorHAnsi" w:hAnsiTheme="minorHAnsi" w:cstheme="minorHAnsi"/>
          <w:color w:val="auto"/>
          <w:szCs w:val="24"/>
        </w:rPr>
        <w:t>rrigation and debridement procedure and eventual secondary closu</w:t>
      </w:r>
      <w:r w:rsidR="00487D4C" w:rsidRPr="00651170">
        <w:rPr>
          <w:rFonts w:asciiTheme="minorHAnsi" w:hAnsiTheme="minorHAnsi" w:cstheme="minorHAnsi"/>
          <w:color w:val="auto"/>
          <w:szCs w:val="24"/>
        </w:rPr>
        <w:t>r</w:t>
      </w:r>
      <w:r w:rsidR="00AF7889" w:rsidRPr="00651170">
        <w:rPr>
          <w:rFonts w:asciiTheme="minorHAnsi" w:hAnsiTheme="minorHAnsi" w:cstheme="minorHAnsi"/>
          <w:color w:val="auto"/>
          <w:szCs w:val="24"/>
        </w:rPr>
        <w:t>e of the left leg wound</w:t>
      </w:r>
      <w:r w:rsidR="00003213" w:rsidRPr="00651170">
        <w:rPr>
          <w:rFonts w:asciiTheme="minorHAnsi" w:hAnsiTheme="minorHAnsi" w:cstheme="minorHAnsi"/>
          <w:color w:val="auto"/>
          <w:szCs w:val="24"/>
        </w:rPr>
        <w:t xml:space="preserve"> were performed</w:t>
      </w:r>
      <w:r w:rsidR="00AF7889" w:rsidRPr="00651170">
        <w:rPr>
          <w:rFonts w:asciiTheme="minorHAnsi" w:hAnsiTheme="minorHAnsi" w:cstheme="minorHAnsi"/>
          <w:color w:val="auto"/>
          <w:szCs w:val="24"/>
        </w:rPr>
        <w:t>.</w:t>
      </w:r>
      <w:r w:rsidR="00003213" w:rsidRPr="00651170">
        <w:rPr>
          <w:rFonts w:asciiTheme="minorHAnsi" w:hAnsiTheme="minorHAnsi" w:cstheme="minorHAnsi"/>
          <w:color w:val="auto"/>
          <w:szCs w:val="24"/>
        </w:rPr>
        <w:t xml:space="preserve"> </w:t>
      </w:r>
      <w:r w:rsidR="00860ECA">
        <w:rPr>
          <w:rFonts w:asciiTheme="minorHAnsi" w:hAnsiTheme="minorHAnsi" w:cstheme="minorHAnsi"/>
          <w:color w:val="auto"/>
          <w:szCs w:val="24"/>
        </w:rPr>
        <w:t xml:space="preserve"> He </w:t>
      </w:r>
      <w:r w:rsidR="00101B29">
        <w:rPr>
          <w:rFonts w:asciiTheme="minorHAnsi" w:hAnsiTheme="minorHAnsi" w:cstheme="minorHAnsi"/>
          <w:color w:val="auto"/>
          <w:szCs w:val="24"/>
        </w:rPr>
        <w:t>had</w:t>
      </w:r>
      <w:r w:rsidR="00860ECA">
        <w:rPr>
          <w:rFonts w:asciiTheme="minorHAnsi" w:hAnsiTheme="minorHAnsi" w:cstheme="minorHAnsi"/>
          <w:color w:val="auto"/>
          <w:szCs w:val="24"/>
        </w:rPr>
        <w:t xml:space="preserve"> a foot drop initially after the injury. </w:t>
      </w:r>
      <w:r w:rsidR="00003213" w:rsidRPr="00651170">
        <w:rPr>
          <w:rFonts w:asciiTheme="minorHAnsi" w:hAnsiTheme="minorHAnsi" w:cstheme="minorHAnsi"/>
          <w:color w:val="auto"/>
          <w:szCs w:val="24"/>
        </w:rPr>
        <w:t xml:space="preserve"> The </w:t>
      </w:r>
      <w:r w:rsidR="00D43ADD">
        <w:rPr>
          <w:rFonts w:asciiTheme="minorHAnsi" w:hAnsiTheme="minorHAnsi" w:cstheme="minorHAnsi"/>
          <w:color w:val="auto"/>
          <w:szCs w:val="24"/>
        </w:rPr>
        <w:t>narrative summary (</w:t>
      </w:r>
      <w:r w:rsidR="00003213" w:rsidRPr="00651170">
        <w:rPr>
          <w:rFonts w:asciiTheme="minorHAnsi" w:hAnsiTheme="minorHAnsi" w:cstheme="minorHAnsi"/>
          <w:color w:val="auto"/>
          <w:szCs w:val="24"/>
        </w:rPr>
        <w:t>NARSUM</w:t>
      </w:r>
      <w:r w:rsidR="00D43ADD">
        <w:rPr>
          <w:rFonts w:asciiTheme="minorHAnsi" w:hAnsiTheme="minorHAnsi" w:cstheme="minorHAnsi"/>
          <w:color w:val="auto"/>
          <w:szCs w:val="24"/>
        </w:rPr>
        <w:t>)</w:t>
      </w:r>
      <w:r w:rsidR="00003213" w:rsidRPr="00651170">
        <w:rPr>
          <w:rFonts w:asciiTheme="minorHAnsi" w:hAnsiTheme="minorHAnsi" w:cstheme="minorHAnsi"/>
          <w:color w:val="auto"/>
          <w:szCs w:val="24"/>
        </w:rPr>
        <w:t xml:space="preserve"> on 7 October 2005 noted that he underwent rehabilitation</w:t>
      </w:r>
      <w:r w:rsidR="00101B29">
        <w:rPr>
          <w:rFonts w:asciiTheme="minorHAnsi" w:hAnsiTheme="minorHAnsi" w:cstheme="minorHAnsi"/>
          <w:color w:val="auto"/>
          <w:szCs w:val="24"/>
        </w:rPr>
        <w:t>,</w:t>
      </w:r>
      <w:r w:rsidR="00003213" w:rsidRPr="00651170">
        <w:rPr>
          <w:rFonts w:asciiTheme="minorHAnsi" w:hAnsiTheme="minorHAnsi" w:cstheme="minorHAnsi"/>
          <w:color w:val="auto"/>
          <w:szCs w:val="24"/>
        </w:rPr>
        <w:t xml:space="preserve"> but continued to have pers</w:t>
      </w:r>
      <w:r w:rsidR="00101B29">
        <w:rPr>
          <w:rFonts w:asciiTheme="minorHAnsi" w:hAnsiTheme="minorHAnsi" w:cstheme="minorHAnsi"/>
          <w:color w:val="auto"/>
          <w:szCs w:val="24"/>
        </w:rPr>
        <w:t>istent and unremitting pain</w:t>
      </w:r>
      <w:r w:rsidR="00003213" w:rsidRPr="00651170">
        <w:rPr>
          <w:rFonts w:asciiTheme="minorHAnsi" w:hAnsiTheme="minorHAnsi" w:cstheme="minorHAnsi"/>
          <w:color w:val="auto"/>
          <w:szCs w:val="24"/>
        </w:rPr>
        <w:t xml:space="preserve"> with attempts to wear a boot or </w:t>
      </w:r>
      <w:r w:rsidR="00101B29">
        <w:rPr>
          <w:rFonts w:asciiTheme="minorHAnsi" w:hAnsiTheme="minorHAnsi" w:cstheme="minorHAnsi"/>
          <w:color w:val="auto"/>
          <w:szCs w:val="24"/>
        </w:rPr>
        <w:t xml:space="preserve">to </w:t>
      </w:r>
      <w:r w:rsidR="00003213" w:rsidRPr="00651170">
        <w:rPr>
          <w:rFonts w:asciiTheme="minorHAnsi" w:hAnsiTheme="minorHAnsi" w:cstheme="minorHAnsi"/>
          <w:color w:val="auto"/>
          <w:szCs w:val="24"/>
        </w:rPr>
        <w:t xml:space="preserve">engage in </w:t>
      </w:r>
      <w:r w:rsidR="00101B29">
        <w:rPr>
          <w:rFonts w:asciiTheme="minorHAnsi" w:hAnsiTheme="minorHAnsi" w:cstheme="minorHAnsi"/>
          <w:color w:val="auto"/>
          <w:szCs w:val="24"/>
        </w:rPr>
        <w:t>exercise</w:t>
      </w:r>
      <w:r w:rsidR="006172A9">
        <w:rPr>
          <w:rFonts w:asciiTheme="minorHAnsi" w:hAnsiTheme="minorHAnsi" w:cstheme="minorHAnsi"/>
          <w:color w:val="auto"/>
          <w:szCs w:val="24"/>
        </w:rPr>
        <w:t xml:space="preserve">.  </w:t>
      </w:r>
      <w:r w:rsidR="00003213" w:rsidRPr="00651170">
        <w:rPr>
          <w:rFonts w:asciiTheme="minorHAnsi" w:hAnsiTheme="minorHAnsi" w:cstheme="minorHAnsi"/>
          <w:color w:val="auto"/>
          <w:szCs w:val="24"/>
        </w:rPr>
        <w:t xml:space="preserve">Examination documented numbness involving the medial aspect of the lower leg </w:t>
      </w:r>
      <w:r w:rsidR="00101B29">
        <w:rPr>
          <w:rFonts w:asciiTheme="minorHAnsi" w:hAnsiTheme="minorHAnsi" w:cstheme="minorHAnsi"/>
          <w:color w:val="auto"/>
          <w:szCs w:val="24"/>
        </w:rPr>
        <w:t>and</w:t>
      </w:r>
      <w:r w:rsidR="00003213" w:rsidRPr="00651170">
        <w:rPr>
          <w:rFonts w:asciiTheme="minorHAnsi" w:hAnsiTheme="minorHAnsi" w:cstheme="minorHAnsi"/>
          <w:color w:val="auto"/>
          <w:szCs w:val="24"/>
        </w:rPr>
        <w:t xml:space="preserve"> foot.  </w:t>
      </w:r>
      <w:r w:rsidR="005534BB">
        <w:rPr>
          <w:rFonts w:asciiTheme="minorHAnsi" w:hAnsiTheme="minorHAnsi" w:cstheme="minorHAnsi"/>
          <w:color w:val="auto"/>
          <w:szCs w:val="24"/>
        </w:rPr>
        <w:t xml:space="preserve">Abnormal range of motion was not documented in the NARSUM or on the MEB separation </w:t>
      </w:r>
      <w:r w:rsidR="005534BB">
        <w:rPr>
          <w:rFonts w:asciiTheme="minorHAnsi" w:hAnsiTheme="minorHAnsi" w:cstheme="minorHAnsi"/>
          <w:color w:val="auto"/>
          <w:szCs w:val="24"/>
        </w:rPr>
        <w:lastRenderedPageBreak/>
        <w:t xml:space="preserve">examination.  </w:t>
      </w:r>
      <w:r w:rsidR="00824FFC">
        <w:rPr>
          <w:rFonts w:asciiTheme="minorHAnsi" w:hAnsiTheme="minorHAnsi" w:cstheme="minorHAnsi"/>
          <w:color w:val="auto"/>
          <w:szCs w:val="24"/>
        </w:rPr>
        <w:t xml:space="preserve">Left lower extremity strength was normal on the MEB examination.  </w:t>
      </w:r>
      <w:r w:rsidR="00003213" w:rsidRPr="00651170">
        <w:rPr>
          <w:rFonts w:asciiTheme="minorHAnsi" w:hAnsiTheme="minorHAnsi" w:cstheme="minorHAnsi"/>
          <w:color w:val="auto"/>
          <w:szCs w:val="24"/>
        </w:rPr>
        <w:t>Nerve conduction study on 15 August 2005 showed profound axonal injury as evidenced by marked decrease amplitude</w:t>
      </w:r>
      <w:r w:rsidR="00101B29">
        <w:rPr>
          <w:rFonts w:asciiTheme="minorHAnsi" w:hAnsiTheme="minorHAnsi" w:cstheme="minorHAnsi"/>
          <w:color w:val="auto"/>
          <w:szCs w:val="24"/>
        </w:rPr>
        <w:t>,</w:t>
      </w:r>
      <w:r w:rsidR="00003213" w:rsidRPr="00651170">
        <w:rPr>
          <w:rFonts w:asciiTheme="minorHAnsi" w:hAnsiTheme="minorHAnsi" w:cstheme="minorHAnsi"/>
          <w:color w:val="auto"/>
          <w:szCs w:val="24"/>
        </w:rPr>
        <w:t xml:space="preserve"> but a relative preservation of latency involving the left saphenous nerve.</w:t>
      </w:r>
      <w:r w:rsidR="003252E5">
        <w:rPr>
          <w:rFonts w:asciiTheme="minorHAnsi" w:hAnsiTheme="minorHAnsi" w:cstheme="minorHAnsi"/>
          <w:color w:val="auto"/>
          <w:szCs w:val="24"/>
        </w:rPr>
        <w:t xml:space="preserve">  </w:t>
      </w:r>
      <w:r w:rsidR="004E175A">
        <w:rPr>
          <w:rFonts w:asciiTheme="minorHAnsi" w:hAnsiTheme="minorHAnsi" w:cstheme="minorHAnsi"/>
          <w:color w:val="auto"/>
          <w:szCs w:val="24"/>
        </w:rPr>
        <w:t xml:space="preserve">The saphenous nerve is a sensory nerve with no motor function.  </w:t>
      </w:r>
      <w:r w:rsidR="003252E5">
        <w:rPr>
          <w:rFonts w:asciiTheme="minorHAnsi" w:hAnsiTheme="minorHAnsi" w:cstheme="minorHAnsi"/>
          <w:color w:val="auto"/>
          <w:szCs w:val="24"/>
        </w:rPr>
        <w:t>T</w:t>
      </w:r>
      <w:r w:rsidR="00651170" w:rsidRPr="00651170">
        <w:rPr>
          <w:rFonts w:asciiTheme="minorHAnsi" w:hAnsiTheme="minorHAnsi" w:cstheme="minorHAnsi"/>
          <w:color w:val="auto"/>
          <w:szCs w:val="24"/>
        </w:rPr>
        <w:t xml:space="preserve">he MEB </w:t>
      </w:r>
      <w:r w:rsidR="003252E5">
        <w:rPr>
          <w:rFonts w:asciiTheme="minorHAnsi" w:hAnsiTheme="minorHAnsi" w:cstheme="minorHAnsi"/>
          <w:color w:val="auto"/>
          <w:szCs w:val="24"/>
        </w:rPr>
        <w:t xml:space="preserve">determined </w:t>
      </w:r>
      <w:r w:rsidR="00651170" w:rsidRPr="00651170">
        <w:rPr>
          <w:rFonts w:asciiTheme="minorHAnsi" w:hAnsiTheme="minorHAnsi" w:cstheme="minorHAnsi"/>
          <w:color w:val="auto"/>
          <w:szCs w:val="24"/>
        </w:rPr>
        <w:t>that the CI's medical co</w:t>
      </w:r>
      <w:r w:rsidR="00101B29">
        <w:rPr>
          <w:rFonts w:asciiTheme="minorHAnsi" w:hAnsiTheme="minorHAnsi" w:cstheme="minorHAnsi"/>
          <w:color w:val="auto"/>
          <w:szCs w:val="24"/>
        </w:rPr>
        <w:t>ndition precluded his return to</w:t>
      </w:r>
      <w:r w:rsidR="00651170">
        <w:rPr>
          <w:rFonts w:asciiTheme="minorHAnsi" w:hAnsiTheme="minorHAnsi" w:cstheme="minorHAnsi"/>
          <w:color w:val="auto"/>
          <w:szCs w:val="24"/>
        </w:rPr>
        <w:t xml:space="preserve"> active duty</w:t>
      </w:r>
      <w:r w:rsidR="00651170" w:rsidRPr="00651170">
        <w:rPr>
          <w:rFonts w:asciiTheme="minorHAnsi" w:hAnsiTheme="minorHAnsi" w:cstheme="minorHAnsi"/>
          <w:color w:val="auto"/>
          <w:szCs w:val="24"/>
        </w:rPr>
        <w:t xml:space="preserve"> and </w:t>
      </w:r>
      <w:r w:rsidR="00651170">
        <w:rPr>
          <w:rFonts w:asciiTheme="minorHAnsi" w:hAnsiTheme="minorHAnsi" w:cstheme="minorHAnsi"/>
          <w:color w:val="auto"/>
          <w:szCs w:val="24"/>
        </w:rPr>
        <w:t>t</w:t>
      </w:r>
      <w:r w:rsidR="00651170" w:rsidRPr="00651170">
        <w:rPr>
          <w:rFonts w:asciiTheme="minorHAnsi" w:hAnsiTheme="minorHAnsi" w:cstheme="minorHAnsi"/>
          <w:color w:val="auto"/>
          <w:szCs w:val="24"/>
        </w:rPr>
        <w:t xml:space="preserve">he </w:t>
      </w:r>
      <w:r w:rsidR="00651170">
        <w:rPr>
          <w:rFonts w:asciiTheme="minorHAnsi" w:hAnsiTheme="minorHAnsi" w:cstheme="minorHAnsi"/>
          <w:color w:val="auto"/>
          <w:szCs w:val="24"/>
        </w:rPr>
        <w:t>l</w:t>
      </w:r>
      <w:r w:rsidR="00651170" w:rsidRPr="00651170">
        <w:rPr>
          <w:rFonts w:asciiTheme="minorHAnsi" w:hAnsiTheme="minorHAnsi" w:cstheme="minorHAnsi"/>
          <w:color w:val="auto"/>
          <w:szCs w:val="24"/>
        </w:rPr>
        <w:t xml:space="preserve">eft saphenous nerve neuropathy </w:t>
      </w:r>
      <w:r w:rsidR="00651170">
        <w:rPr>
          <w:rFonts w:asciiTheme="minorHAnsi" w:hAnsiTheme="minorHAnsi" w:cstheme="minorHAnsi"/>
          <w:color w:val="auto"/>
          <w:szCs w:val="24"/>
        </w:rPr>
        <w:t xml:space="preserve">condition </w:t>
      </w:r>
      <w:r w:rsidR="00651170" w:rsidRPr="00651170">
        <w:rPr>
          <w:rFonts w:asciiTheme="minorHAnsi" w:hAnsiTheme="minorHAnsi" w:cstheme="minorHAnsi"/>
          <w:color w:val="auto"/>
          <w:szCs w:val="24"/>
        </w:rPr>
        <w:t xml:space="preserve">was referred to the PEB.  </w:t>
      </w:r>
    </w:p>
    <w:p w:rsidR="00651170" w:rsidRDefault="00651170" w:rsidP="00651170">
      <w:pPr>
        <w:autoSpaceDE w:val="0"/>
        <w:autoSpaceDN w:val="0"/>
        <w:adjustRightInd w:val="0"/>
        <w:jc w:val="both"/>
        <w:rPr>
          <w:rFonts w:asciiTheme="minorHAnsi" w:hAnsiTheme="minorHAnsi" w:cstheme="minorHAnsi"/>
          <w:color w:val="auto"/>
          <w:szCs w:val="24"/>
        </w:rPr>
      </w:pPr>
    </w:p>
    <w:p w:rsidR="00651170" w:rsidRPr="00651170" w:rsidRDefault="00651170" w:rsidP="007B1C5E">
      <w:pPr>
        <w:autoSpaceDE w:val="0"/>
        <w:autoSpaceDN w:val="0"/>
        <w:adjustRightInd w:val="0"/>
        <w:jc w:val="both"/>
        <w:rPr>
          <w:rFonts w:asciiTheme="minorHAnsi" w:hAnsiTheme="minorHAnsi" w:cstheme="minorHAnsi"/>
          <w:color w:val="auto"/>
          <w:szCs w:val="24"/>
        </w:rPr>
      </w:pPr>
      <w:r>
        <w:rPr>
          <w:rFonts w:asciiTheme="minorHAnsi" w:hAnsiTheme="minorHAnsi" w:cstheme="minorHAnsi"/>
          <w:color w:val="auto"/>
          <w:szCs w:val="24"/>
        </w:rPr>
        <w:t>The V</w:t>
      </w:r>
      <w:r w:rsidR="00D43ADD">
        <w:rPr>
          <w:rFonts w:asciiTheme="minorHAnsi" w:hAnsiTheme="minorHAnsi" w:cstheme="minorHAnsi"/>
          <w:color w:val="auto"/>
          <w:szCs w:val="24"/>
        </w:rPr>
        <w:t>A compensation and pension (</w:t>
      </w:r>
      <w:r>
        <w:rPr>
          <w:rFonts w:asciiTheme="minorHAnsi" w:hAnsiTheme="minorHAnsi" w:cstheme="minorHAnsi"/>
          <w:color w:val="auto"/>
          <w:szCs w:val="24"/>
        </w:rPr>
        <w:t>C&amp;P</w:t>
      </w:r>
      <w:r w:rsidR="00D43ADD">
        <w:rPr>
          <w:rFonts w:asciiTheme="minorHAnsi" w:hAnsiTheme="minorHAnsi" w:cstheme="minorHAnsi"/>
          <w:color w:val="auto"/>
          <w:szCs w:val="24"/>
        </w:rPr>
        <w:t>)</w:t>
      </w:r>
      <w:r>
        <w:rPr>
          <w:rFonts w:asciiTheme="minorHAnsi" w:hAnsiTheme="minorHAnsi" w:cstheme="minorHAnsi"/>
          <w:color w:val="auto"/>
          <w:szCs w:val="24"/>
        </w:rPr>
        <w:t xml:space="preserve"> examination on 21 September 2005, four months before separation, noted that he continued to have numbness and weakness with inability to wear boots or do his job.</w:t>
      </w:r>
      <w:r w:rsidR="00101B29">
        <w:rPr>
          <w:rFonts w:asciiTheme="minorHAnsi" w:hAnsiTheme="minorHAnsi" w:cstheme="minorHAnsi"/>
          <w:color w:val="auto"/>
          <w:szCs w:val="24"/>
        </w:rPr>
        <w:t xml:space="preserve">  On examination</w:t>
      </w:r>
      <w:r w:rsidR="00D43ADD">
        <w:rPr>
          <w:rFonts w:asciiTheme="minorHAnsi" w:hAnsiTheme="minorHAnsi" w:cstheme="minorHAnsi"/>
          <w:color w:val="auto"/>
          <w:szCs w:val="24"/>
        </w:rPr>
        <w:t>,</w:t>
      </w:r>
      <w:r w:rsidR="00101B29">
        <w:rPr>
          <w:rFonts w:asciiTheme="minorHAnsi" w:hAnsiTheme="minorHAnsi" w:cstheme="minorHAnsi"/>
          <w:color w:val="auto"/>
          <w:szCs w:val="24"/>
        </w:rPr>
        <w:t xml:space="preserve"> he had</w:t>
      </w:r>
      <w:r w:rsidR="006172A9">
        <w:rPr>
          <w:rFonts w:asciiTheme="minorHAnsi" w:hAnsiTheme="minorHAnsi" w:cstheme="minorHAnsi"/>
          <w:color w:val="auto"/>
          <w:szCs w:val="24"/>
        </w:rPr>
        <w:t xml:space="preserve"> tissue loss in the left calf with numbness </w:t>
      </w:r>
      <w:r w:rsidR="007B1C5E">
        <w:rPr>
          <w:rFonts w:asciiTheme="minorHAnsi" w:hAnsiTheme="minorHAnsi" w:cstheme="minorHAnsi"/>
          <w:color w:val="auto"/>
          <w:szCs w:val="24"/>
        </w:rPr>
        <w:t xml:space="preserve">medially </w:t>
      </w:r>
      <w:r w:rsidR="006172A9">
        <w:rPr>
          <w:rFonts w:asciiTheme="minorHAnsi" w:hAnsiTheme="minorHAnsi" w:cstheme="minorHAnsi"/>
          <w:color w:val="auto"/>
          <w:szCs w:val="24"/>
        </w:rPr>
        <w:t xml:space="preserve">in the saphenous nerve distribution.  </w:t>
      </w:r>
      <w:r w:rsidR="00D43ADD">
        <w:rPr>
          <w:rFonts w:asciiTheme="minorHAnsi" w:hAnsiTheme="minorHAnsi" w:cstheme="minorHAnsi"/>
          <w:color w:val="auto"/>
          <w:szCs w:val="24"/>
        </w:rPr>
        <w:t xml:space="preserve">His </w:t>
      </w:r>
      <w:r w:rsidR="00824FFC">
        <w:rPr>
          <w:rFonts w:asciiTheme="minorHAnsi" w:hAnsiTheme="minorHAnsi" w:cstheme="minorHAnsi"/>
          <w:color w:val="auto"/>
          <w:szCs w:val="24"/>
        </w:rPr>
        <w:t>ROM was normal for left ankle plantarflexion</w:t>
      </w:r>
      <w:r w:rsidR="00101B29">
        <w:rPr>
          <w:rFonts w:asciiTheme="minorHAnsi" w:hAnsiTheme="minorHAnsi" w:cstheme="minorHAnsi"/>
          <w:color w:val="auto"/>
          <w:szCs w:val="24"/>
        </w:rPr>
        <w:t>,</w:t>
      </w:r>
      <w:r w:rsidR="00824FFC">
        <w:rPr>
          <w:rFonts w:asciiTheme="minorHAnsi" w:hAnsiTheme="minorHAnsi" w:cstheme="minorHAnsi"/>
          <w:color w:val="auto"/>
          <w:szCs w:val="24"/>
        </w:rPr>
        <w:t xml:space="preserve"> but dorsiflexion was absent beyond neutral, reflecting muscle group XII dysfunction.</w:t>
      </w:r>
    </w:p>
    <w:p w:rsidR="00983C66" w:rsidRDefault="00983C66" w:rsidP="007B1C5E">
      <w:pPr>
        <w:tabs>
          <w:tab w:val="left" w:pos="288"/>
          <w:tab w:val="left" w:pos="4752"/>
        </w:tabs>
        <w:jc w:val="both"/>
        <w:rPr>
          <w:rFonts w:ascii="Calibri" w:hAnsi="Calibri"/>
          <w:color w:val="auto"/>
          <w:szCs w:val="24"/>
        </w:rPr>
      </w:pPr>
    </w:p>
    <w:p w:rsidR="007B1C5E" w:rsidRPr="0006770F" w:rsidRDefault="007345D5" w:rsidP="0006770F">
      <w:pPr>
        <w:tabs>
          <w:tab w:val="left" w:pos="288"/>
          <w:tab w:val="left" w:pos="4752"/>
        </w:tabs>
        <w:jc w:val="both"/>
        <w:rPr>
          <w:rFonts w:ascii="Calibri" w:hAnsi="Calibri"/>
          <w:color w:val="auto"/>
          <w:szCs w:val="24"/>
        </w:rPr>
      </w:pPr>
      <w:r>
        <w:rPr>
          <w:rFonts w:ascii="Calibri" w:hAnsi="Calibri"/>
          <w:color w:val="auto"/>
          <w:szCs w:val="24"/>
        </w:rPr>
        <w:t>The PEB found the left saph</w:t>
      </w:r>
      <w:r w:rsidR="00757CD3">
        <w:rPr>
          <w:rFonts w:ascii="Calibri" w:hAnsi="Calibri"/>
          <w:color w:val="auto"/>
          <w:szCs w:val="24"/>
        </w:rPr>
        <w:t>enous nerve neuropathy</w:t>
      </w:r>
      <w:r>
        <w:rPr>
          <w:rFonts w:ascii="Calibri" w:hAnsi="Calibri"/>
          <w:color w:val="auto"/>
          <w:szCs w:val="24"/>
        </w:rPr>
        <w:t xml:space="preserve"> to be unfitting with a 10% rating utilizing code 8527 (internal saphenous nerve, paralysis of).  Code 8527 assigns a maximum 10% rating for severe to complete paralysis.</w:t>
      </w:r>
      <w:r w:rsidR="0006770F">
        <w:rPr>
          <w:rFonts w:ascii="Calibri" w:hAnsi="Calibri"/>
          <w:color w:val="auto"/>
          <w:szCs w:val="24"/>
        </w:rPr>
        <w:t xml:space="preserve">  </w:t>
      </w:r>
      <w:r w:rsidR="007B1C5E" w:rsidRPr="007B1C5E">
        <w:rPr>
          <w:rFonts w:asciiTheme="minorHAnsi" w:hAnsiTheme="minorHAnsi" w:cstheme="minorHAnsi"/>
          <w:color w:val="auto"/>
        </w:rPr>
        <w:t xml:space="preserve">The VA </w:t>
      </w:r>
      <w:r w:rsidR="00D43ADD" w:rsidRPr="007B1C5E">
        <w:rPr>
          <w:rFonts w:asciiTheme="minorHAnsi" w:hAnsiTheme="minorHAnsi" w:cstheme="minorHAnsi"/>
          <w:color w:val="auto"/>
        </w:rPr>
        <w:t xml:space="preserve">rating decision </w:t>
      </w:r>
      <w:r w:rsidR="007B1C5E" w:rsidRPr="007B1C5E">
        <w:rPr>
          <w:rFonts w:asciiTheme="minorHAnsi" w:hAnsiTheme="minorHAnsi" w:cstheme="minorHAnsi"/>
          <w:color w:val="auto"/>
        </w:rPr>
        <w:t>on 15 February 2006, one month after separation</w:t>
      </w:r>
      <w:r w:rsidR="007B1C5E">
        <w:rPr>
          <w:rFonts w:asciiTheme="minorHAnsi" w:hAnsiTheme="minorHAnsi" w:cstheme="minorHAnsi"/>
          <w:color w:val="auto"/>
        </w:rPr>
        <w:t>,</w:t>
      </w:r>
      <w:r w:rsidR="007B1C5E" w:rsidRPr="007B1C5E">
        <w:rPr>
          <w:rFonts w:asciiTheme="minorHAnsi" w:hAnsiTheme="minorHAnsi" w:cstheme="minorHAnsi"/>
          <w:color w:val="auto"/>
        </w:rPr>
        <w:t xml:space="preserve"> rated the residual shell fragment wound left lower extremity</w:t>
      </w:r>
      <w:r w:rsidR="007B1C5E">
        <w:rPr>
          <w:rFonts w:asciiTheme="minorHAnsi" w:hAnsiTheme="minorHAnsi" w:cstheme="minorHAnsi"/>
          <w:color w:val="auto"/>
        </w:rPr>
        <w:t xml:space="preserve"> condition at 30%, coded 8527-</w:t>
      </w:r>
      <w:r w:rsidR="007B1C5E" w:rsidRPr="00514B6B">
        <w:rPr>
          <w:rFonts w:asciiTheme="minorHAnsi" w:hAnsiTheme="minorHAnsi" w:cstheme="minorHAnsi"/>
          <w:color w:val="auto"/>
        </w:rPr>
        <w:t xml:space="preserve">5312 </w:t>
      </w:r>
      <w:r w:rsidR="000F786D" w:rsidRPr="00514B6B">
        <w:rPr>
          <w:rFonts w:asciiTheme="minorHAnsi" w:hAnsiTheme="minorHAnsi" w:cstheme="minorHAnsi"/>
          <w:color w:val="auto"/>
        </w:rPr>
        <w:t>(</w:t>
      </w:r>
      <w:r w:rsidR="000F786D" w:rsidRPr="00514B6B">
        <w:rPr>
          <w:rFonts w:asciiTheme="minorHAnsi" w:hAnsiTheme="minorHAnsi" w:cstheme="minorHAnsi"/>
          <w:bCs/>
          <w:color w:val="auto"/>
        </w:rPr>
        <w:t>i</w:t>
      </w:r>
      <w:r w:rsidR="007B1C5E" w:rsidRPr="00514B6B">
        <w:rPr>
          <w:rFonts w:asciiTheme="minorHAnsi" w:hAnsiTheme="minorHAnsi" w:cstheme="minorHAnsi"/>
          <w:bCs/>
          <w:color w:val="auto"/>
        </w:rPr>
        <w:t xml:space="preserve">nternal saphenous nerve, </w:t>
      </w:r>
      <w:r w:rsidR="007B1C5E" w:rsidRPr="00514B6B">
        <w:rPr>
          <w:rFonts w:asciiTheme="minorHAnsi" w:hAnsiTheme="minorHAnsi" w:cstheme="minorHAnsi"/>
          <w:color w:val="auto"/>
        </w:rPr>
        <w:t>paralysis of -</w:t>
      </w:r>
      <w:r w:rsidR="007B1C5E" w:rsidRPr="00371124">
        <w:rPr>
          <w:rFonts w:asciiTheme="minorHAnsi" w:hAnsiTheme="minorHAnsi" w:cstheme="minorHAnsi"/>
          <w:color w:val="auto"/>
        </w:rPr>
        <w:t xml:space="preserve"> </w:t>
      </w:r>
      <w:r w:rsidR="00371124" w:rsidRPr="00371124">
        <w:rPr>
          <w:rFonts w:asciiTheme="minorHAnsi" w:hAnsiTheme="minorHAnsi" w:cstheme="minorHAnsi"/>
          <w:color w:val="auto"/>
        </w:rPr>
        <w:t>g</w:t>
      </w:r>
      <w:r w:rsidR="007B1C5E" w:rsidRPr="007B1C5E">
        <w:rPr>
          <w:rFonts w:asciiTheme="minorHAnsi" w:hAnsiTheme="minorHAnsi" w:cstheme="minorHAnsi"/>
          <w:color w:val="auto"/>
        </w:rPr>
        <w:t>roup XII</w:t>
      </w:r>
      <w:r w:rsidR="007B1C5E">
        <w:rPr>
          <w:rFonts w:asciiTheme="minorHAnsi" w:hAnsiTheme="minorHAnsi" w:cstheme="minorHAnsi"/>
          <w:color w:val="auto"/>
        </w:rPr>
        <w:t xml:space="preserve"> muscle injury).</w:t>
      </w:r>
      <w:r w:rsidR="003252E5">
        <w:rPr>
          <w:rFonts w:asciiTheme="minorHAnsi" w:hAnsiTheme="minorHAnsi" w:cstheme="minorHAnsi"/>
          <w:color w:val="auto"/>
        </w:rPr>
        <w:t xml:space="preserve"> The 30% rating under code 5312 requires severe impairment which was assigned due to the loss of dors</w:t>
      </w:r>
      <w:r>
        <w:rPr>
          <w:rFonts w:asciiTheme="minorHAnsi" w:hAnsiTheme="minorHAnsi" w:cstheme="minorHAnsi"/>
          <w:color w:val="auto"/>
        </w:rPr>
        <w:t>iflexion.  A 20% rating would be</w:t>
      </w:r>
      <w:r w:rsidR="003252E5">
        <w:rPr>
          <w:rFonts w:asciiTheme="minorHAnsi" w:hAnsiTheme="minorHAnsi" w:cstheme="minorHAnsi"/>
          <w:color w:val="auto"/>
        </w:rPr>
        <w:t xml:space="preserve"> assigned for </w:t>
      </w:r>
      <w:r>
        <w:rPr>
          <w:rFonts w:asciiTheme="minorHAnsi" w:hAnsiTheme="minorHAnsi" w:cstheme="minorHAnsi"/>
          <w:color w:val="auto"/>
        </w:rPr>
        <w:t>moderately severe and 10% for moderate impairment.</w:t>
      </w:r>
      <w:r w:rsidR="00860ECA">
        <w:rPr>
          <w:rFonts w:asciiTheme="minorHAnsi" w:hAnsiTheme="minorHAnsi" w:cstheme="minorHAnsi"/>
          <w:color w:val="auto"/>
        </w:rPr>
        <w:t xml:space="preserve">  </w:t>
      </w:r>
    </w:p>
    <w:p w:rsidR="007B1C5E" w:rsidRDefault="007B1C5E" w:rsidP="00B40E2B">
      <w:pPr>
        <w:pStyle w:val="Default"/>
        <w:spacing w:line="240" w:lineRule="exact"/>
        <w:rPr>
          <w:rFonts w:asciiTheme="minorHAnsi" w:hAnsiTheme="minorHAnsi" w:cstheme="minorHAnsi"/>
          <w:color w:val="auto"/>
        </w:rPr>
      </w:pPr>
    </w:p>
    <w:p w:rsidR="00415FC9" w:rsidRPr="006C1FED" w:rsidRDefault="007B1C5E" w:rsidP="00415FC9">
      <w:pPr>
        <w:pStyle w:val="Default"/>
        <w:spacing w:line="240" w:lineRule="exact"/>
        <w:jc w:val="both"/>
        <w:rPr>
          <w:rFonts w:asciiTheme="minorHAnsi" w:hAnsiTheme="minorHAnsi" w:cstheme="minorHAnsi"/>
        </w:rPr>
      </w:pPr>
      <w:r>
        <w:rPr>
          <w:rFonts w:asciiTheme="minorHAnsi" w:hAnsiTheme="minorHAnsi" w:cstheme="minorHAnsi"/>
        </w:rPr>
        <w:t xml:space="preserve">The Board considered the PEB rating which </w:t>
      </w:r>
      <w:r w:rsidR="00B40E2B">
        <w:rPr>
          <w:rFonts w:asciiTheme="minorHAnsi" w:hAnsiTheme="minorHAnsi" w:cstheme="minorHAnsi"/>
        </w:rPr>
        <w:t xml:space="preserve">reflects the </w:t>
      </w:r>
      <w:r w:rsidR="00B40E2B" w:rsidRPr="00651170">
        <w:rPr>
          <w:rFonts w:asciiTheme="minorHAnsi" w:hAnsiTheme="minorHAnsi" w:cstheme="minorHAnsi"/>
          <w:color w:val="auto"/>
        </w:rPr>
        <w:t xml:space="preserve">left saphenous </w:t>
      </w:r>
      <w:r w:rsidR="00B40E2B">
        <w:rPr>
          <w:rFonts w:asciiTheme="minorHAnsi" w:hAnsiTheme="minorHAnsi" w:cstheme="minorHAnsi"/>
        </w:rPr>
        <w:t>nerve injury.  The VA rating also included the group XII muscle dysfunction related to the inability to dorsiflex the foot.</w:t>
      </w:r>
      <w:r w:rsidR="00514B6B">
        <w:rPr>
          <w:rFonts w:asciiTheme="minorHAnsi" w:hAnsiTheme="minorHAnsi" w:cstheme="minorHAnsi"/>
        </w:rPr>
        <w:t xml:space="preserve">  This code is utilized for muscle injury to the anterior compartment muscles that provide dorsiflexion of the foot.  The clinic</w:t>
      </w:r>
      <w:r w:rsidR="008518E1">
        <w:rPr>
          <w:rFonts w:asciiTheme="minorHAnsi" w:hAnsiTheme="minorHAnsi" w:cstheme="minorHAnsi"/>
        </w:rPr>
        <w:t xml:space="preserve">al records document </w:t>
      </w:r>
      <w:r w:rsidR="003450F4">
        <w:rPr>
          <w:rFonts w:asciiTheme="minorHAnsi" w:hAnsiTheme="minorHAnsi" w:cstheme="minorHAnsi"/>
        </w:rPr>
        <w:t>soleus</w:t>
      </w:r>
      <w:r w:rsidR="008518E1">
        <w:rPr>
          <w:rFonts w:asciiTheme="minorHAnsi" w:hAnsiTheme="minorHAnsi" w:cstheme="minorHAnsi"/>
        </w:rPr>
        <w:t xml:space="preserve"> muscle injury with some tissue loss requiring surgical repair.  This muscle provides for plantar</w:t>
      </w:r>
      <w:r w:rsidR="00D43ADD">
        <w:rPr>
          <w:rFonts w:asciiTheme="minorHAnsi" w:hAnsiTheme="minorHAnsi" w:cstheme="minorHAnsi"/>
        </w:rPr>
        <w:t xml:space="preserve"> </w:t>
      </w:r>
      <w:r w:rsidR="008518E1">
        <w:rPr>
          <w:rFonts w:asciiTheme="minorHAnsi" w:hAnsiTheme="minorHAnsi" w:cstheme="minorHAnsi"/>
        </w:rPr>
        <w:t>flexion of the foot</w:t>
      </w:r>
      <w:r w:rsidR="00D43ADD">
        <w:rPr>
          <w:rFonts w:asciiTheme="minorHAnsi" w:hAnsiTheme="minorHAnsi" w:cstheme="minorHAnsi"/>
        </w:rPr>
        <w:t>,</w:t>
      </w:r>
      <w:r w:rsidR="008518E1">
        <w:rPr>
          <w:rFonts w:asciiTheme="minorHAnsi" w:hAnsiTheme="minorHAnsi" w:cstheme="minorHAnsi"/>
        </w:rPr>
        <w:t xml:space="preserve"> which is normal.  </w:t>
      </w:r>
      <w:r w:rsidR="004E175A">
        <w:rPr>
          <w:rFonts w:asciiTheme="minorHAnsi" w:hAnsiTheme="minorHAnsi" w:cstheme="minorHAnsi"/>
        </w:rPr>
        <w:t>Although the CI did have a foot drop initially</w:t>
      </w:r>
      <w:r w:rsidR="00E03C0A">
        <w:rPr>
          <w:rFonts w:asciiTheme="minorHAnsi" w:hAnsiTheme="minorHAnsi" w:cstheme="minorHAnsi"/>
        </w:rPr>
        <w:t>,</w:t>
      </w:r>
      <w:r w:rsidR="004E175A">
        <w:rPr>
          <w:rFonts w:asciiTheme="minorHAnsi" w:hAnsiTheme="minorHAnsi" w:cstheme="minorHAnsi"/>
        </w:rPr>
        <w:t xml:space="preserve"> the primary complaint noted in the DES file was numbness and pain.  </w:t>
      </w:r>
      <w:r w:rsidR="004A3EC4">
        <w:rPr>
          <w:rFonts w:asciiTheme="minorHAnsi" w:hAnsiTheme="minorHAnsi" w:cstheme="minorHAnsi"/>
        </w:rPr>
        <w:t>The VA exam</w:t>
      </w:r>
      <w:r w:rsidR="00E03C0A">
        <w:rPr>
          <w:rFonts w:asciiTheme="minorHAnsi" w:hAnsiTheme="minorHAnsi" w:cstheme="minorHAnsi"/>
        </w:rPr>
        <w:t>ination</w:t>
      </w:r>
      <w:r w:rsidR="00D20086">
        <w:rPr>
          <w:rFonts w:asciiTheme="minorHAnsi" w:hAnsiTheme="minorHAnsi" w:cstheme="minorHAnsi"/>
        </w:rPr>
        <w:t xml:space="preserve"> prior to separation</w:t>
      </w:r>
      <w:r w:rsidR="00E03C0A">
        <w:rPr>
          <w:rFonts w:asciiTheme="minorHAnsi" w:hAnsiTheme="minorHAnsi" w:cstheme="minorHAnsi"/>
        </w:rPr>
        <w:t xml:space="preserve"> demonstrated evidence of</w:t>
      </w:r>
      <w:r w:rsidR="004A3EC4">
        <w:rPr>
          <w:rFonts w:asciiTheme="minorHAnsi" w:hAnsiTheme="minorHAnsi" w:cstheme="minorHAnsi"/>
        </w:rPr>
        <w:t xml:space="preserve"> anterior</w:t>
      </w:r>
      <w:r w:rsidR="00D20086">
        <w:rPr>
          <w:rFonts w:asciiTheme="minorHAnsi" w:hAnsiTheme="minorHAnsi" w:cstheme="minorHAnsi"/>
        </w:rPr>
        <w:t xml:space="preserve"> compartment muscle dysfunction</w:t>
      </w:r>
      <w:r w:rsidR="004A3EC4">
        <w:rPr>
          <w:rFonts w:asciiTheme="minorHAnsi" w:hAnsiTheme="minorHAnsi" w:cstheme="minorHAnsi"/>
        </w:rPr>
        <w:t xml:space="preserve"> with loss of dorsiflexion</w:t>
      </w:r>
      <w:r w:rsidR="00D20086">
        <w:rPr>
          <w:rFonts w:asciiTheme="minorHAnsi" w:hAnsiTheme="minorHAnsi" w:cstheme="minorHAnsi"/>
        </w:rPr>
        <w:t>.</w:t>
      </w:r>
      <w:r w:rsidR="00AD54C4">
        <w:rPr>
          <w:rFonts w:asciiTheme="minorHAnsi" w:hAnsiTheme="minorHAnsi" w:cstheme="minorHAnsi"/>
        </w:rPr>
        <w:t xml:space="preserve">  </w:t>
      </w:r>
      <w:r w:rsidR="00473490">
        <w:rPr>
          <w:rFonts w:asciiTheme="minorHAnsi" w:hAnsiTheme="minorHAnsi" w:cstheme="minorHAnsi"/>
        </w:rPr>
        <w:t xml:space="preserve">The PEB exam did not record any ROM for the ankle, and thus did not have a full exam for rating purposes.  </w:t>
      </w:r>
      <w:r w:rsidR="00D20086">
        <w:rPr>
          <w:rFonts w:asciiTheme="minorHAnsi" w:hAnsiTheme="minorHAnsi" w:cstheme="minorHAnsi"/>
        </w:rPr>
        <w:t>The Board considered the</w:t>
      </w:r>
      <w:r w:rsidR="001B4588">
        <w:rPr>
          <w:rFonts w:asciiTheme="minorHAnsi" w:hAnsiTheme="minorHAnsi" w:cstheme="minorHAnsi"/>
        </w:rPr>
        <w:t xml:space="preserve"> coding options including 5271 (ankle, limited motion of</w:t>
      </w:r>
      <w:r w:rsidR="001B4588" w:rsidRPr="00D20086">
        <w:rPr>
          <w:rFonts w:asciiTheme="minorHAnsi" w:hAnsiTheme="minorHAnsi" w:cstheme="minorHAnsi"/>
        </w:rPr>
        <w:t>)</w:t>
      </w:r>
      <w:r w:rsidR="00D20086">
        <w:rPr>
          <w:rFonts w:asciiTheme="minorHAnsi" w:hAnsiTheme="minorHAnsi" w:cstheme="minorHAnsi"/>
        </w:rPr>
        <w:t xml:space="preserve"> and the VA coding that reflects both the neuropathy and the loss of dorsiflexion of the ankle</w:t>
      </w:r>
      <w:r w:rsidR="00AD54C4">
        <w:rPr>
          <w:rFonts w:asciiTheme="minorHAnsi" w:hAnsiTheme="minorHAnsi" w:cstheme="minorHAnsi"/>
        </w:rPr>
        <w:t xml:space="preserve"> associated with the </w:t>
      </w:r>
      <w:r w:rsidR="00AD54C4" w:rsidRPr="00473490">
        <w:rPr>
          <w:rFonts w:asciiTheme="minorHAnsi" w:hAnsiTheme="minorHAnsi" w:cstheme="minorHAnsi"/>
        </w:rPr>
        <w:t>residual shell fragment wound left lower extremity</w:t>
      </w:r>
      <w:r w:rsidR="001B4588" w:rsidRPr="00D20086">
        <w:rPr>
          <w:rFonts w:asciiTheme="minorHAnsi" w:hAnsiTheme="minorHAnsi" w:cstheme="minorHAnsi"/>
        </w:rPr>
        <w:t xml:space="preserve">.  </w:t>
      </w:r>
      <w:r w:rsidR="00415FC9" w:rsidRPr="00473490">
        <w:rPr>
          <w:rFonts w:asciiTheme="minorHAnsi" w:hAnsiTheme="minorHAnsi" w:cstheme="minorHAnsi"/>
        </w:rPr>
        <w:t>After due deliberation, considering the totality of the evidence and mindful of VASRD</w:t>
      </w:r>
      <w:r w:rsidR="00415FC9" w:rsidRPr="00D20086">
        <w:rPr>
          <w:rFonts w:asciiTheme="minorHAnsi" w:eastAsia="Calibri" w:hAnsiTheme="minorHAnsi" w:cstheme="minorHAnsi"/>
        </w:rPr>
        <w:t xml:space="preserve"> §4.3 (reasonable doubt)</w:t>
      </w:r>
      <w:r w:rsidR="00415FC9" w:rsidRPr="00D20086">
        <w:rPr>
          <w:rFonts w:asciiTheme="minorHAnsi" w:eastAsia="HiddenHorzOCR" w:hAnsiTheme="minorHAnsi" w:cstheme="minorHAnsi"/>
          <w:color w:val="auto"/>
        </w:rPr>
        <w:t>, the Board, un</w:t>
      </w:r>
      <w:r w:rsidR="00D20086">
        <w:rPr>
          <w:rFonts w:asciiTheme="minorHAnsi" w:eastAsia="HiddenHorzOCR" w:hAnsiTheme="minorHAnsi" w:cstheme="minorHAnsi"/>
          <w:color w:val="auto"/>
        </w:rPr>
        <w:t>animously</w:t>
      </w:r>
      <w:r w:rsidR="00415FC9" w:rsidRPr="00D20086">
        <w:rPr>
          <w:rFonts w:asciiTheme="minorHAnsi" w:eastAsia="HiddenHorzOCR" w:hAnsiTheme="minorHAnsi" w:cstheme="minorHAnsi"/>
          <w:color w:val="auto"/>
        </w:rPr>
        <w:t xml:space="preserve"> </w:t>
      </w:r>
      <w:r w:rsidR="00415FC9" w:rsidRPr="00D20086">
        <w:rPr>
          <w:rFonts w:asciiTheme="minorHAnsi" w:eastAsia="Calibri" w:hAnsiTheme="minorHAnsi" w:cstheme="minorHAnsi"/>
        </w:rPr>
        <w:t xml:space="preserve">recommends </w:t>
      </w:r>
      <w:r w:rsidR="00D20086">
        <w:rPr>
          <w:rFonts w:ascii="Calibri" w:eastAsia="Calibri" w:hAnsi="Calibri"/>
          <w:color w:val="auto"/>
        </w:rPr>
        <w:t xml:space="preserve">a rating of </w:t>
      </w:r>
      <w:r w:rsidR="00415FC9" w:rsidRPr="00D20086">
        <w:rPr>
          <w:rFonts w:ascii="Calibri" w:eastAsia="Calibri" w:hAnsi="Calibri"/>
          <w:color w:val="auto"/>
        </w:rPr>
        <w:t xml:space="preserve">30%, coded 8527-5312 </w:t>
      </w:r>
      <w:r w:rsidR="00415FC9" w:rsidRPr="00D20086">
        <w:rPr>
          <w:rFonts w:ascii="Calibri" w:hAnsi="Calibri"/>
          <w:color w:val="auto"/>
        </w:rPr>
        <w:t>IAW VASRD §4.124a and §4.73.</w:t>
      </w:r>
      <w:r w:rsidR="00415FC9">
        <w:rPr>
          <w:rFonts w:ascii="Calibri" w:hAnsi="Calibri"/>
          <w:color w:val="auto"/>
        </w:rPr>
        <w:t xml:space="preserve">  </w:t>
      </w:r>
    </w:p>
    <w:p w:rsidR="00FE2986" w:rsidRPr="00F04E42" w:rsidRDefault="00FE2986" w:rsidP="00B40E2B">
      <w:pPr>
        <w:tabs>
          <w:tab w:val="left" w:pos="288"/>
          <w:tab w:val="left" w:pos="4752"/>
        </w:tabs>
        <w:jc w:val="both"/>
        <w:rPr>
          <w:rFonts w:ascii="Calibri" w:hAnsi="Calibri"/>
          <w:color w:val="auto"/>
          <w:szCs w:val="24"/>
        </w:rPr>
      </w:pPr>
    </w:p>
    <w:p w:rsidR="00717E7A" w:rsidRPr="00717E7A" w:rsidRDefault="00934017" w:rsidP="00717E7A">
      <w:pPr>
        <w:jc w:val="both"/>
        <w:rPr>
          <w:rFonts w:asciiTheme="minorHAnsi" w:hAnsiTheme="minorHAnsi" w:cstheme="minorHAnsi"/>
          <w:color w:val="auto"/>
          <w:szCs w:val="24"/>
        </w:rPr>
      </w:pPr>
      <w:proofErr w:type="gramStart"/>
      <w:r w:rsidRPr="00717E7A">
        <w:rPr>
          <w:rFonts w:asciiTheme="minorHAnsi" w:eastAsia="Calibri" w:hAnsiTheme="minorHAnsi" w:cstheme="minorHAnsi"/>
          <w:color w:val="auto"/>
          <w:szCs w:val="24"/>
          <w:u w:val="single"/>
        </w:rPr>
        <w:t>Remaining</w:t>
      </w:r>
      <w:r w:rsidR="00634790" w:rsidRPr="00717E7A">
        <w:rPr>
          <w:rFonts w:asciiTheme="minorHAnsi" w:eastAsia="Calibri" w:hAnsiTheme="minorHAnsi" w:cstheme="minorHAnsi"/>
          <w:color w:val="auto"/>
          <w:szCs w:val="24"/>
          <w:u w:val="single"/>
        </w:rPr>
        <w:t xml:space="preserve"> Conditions</w:t>
      </w:r>
      <w:r w:rsidR="00D43ADD">
        <w:rPr>
          <w:rFonts w:asciiTheme="minorHAnsi" w:eastAsia="Calibri" w:hAnsiTheme="minorHAnsi" w:cstheme="minorHAnsi"/>
          <w:color w:val="auto"/>
          <w:szCs w:val="24"/>
          <w:u w:val="single"/>
        </w:rPr>
        <w:t>.</w:t>
      </w:r>
      <w:proofErr w:type="gramEnd"/>
      <w:r w:rsidRPr="00717E7A">
        <w:rPr>
          <w:rFonts w:asciiTheme="minorHAnsi" w:hAnsiTheme="minorHAnsi" w:cstheme="minorHAnsi"/>
          <w:color w:val="auto"/>
          <w:szCs w:val="24"/>
        </w:rPr>
        <w:t xml:space="preserve">  Other conditions identified in the DES file were </w:t>
      </w:r>
      <w:r w:rsidR="00D43ADD">
        <w:rPr>
          <w:rFonts w:asciiTheme="minorHAnsi" w:hAnsiTheme="minorHAnsi" w:cstheme="minorHAnsi"/>
          <w:color w:val="auto"/>
          <w:szCs w:val="24"/>
        </w:rPr>
        <w:t>posttraumatic stress disorder (</w:t>
      </w:r>
      <w:r w:rsidRPr="00717E7A">
        <w:rPr>
          <w:rFonts w:asciiTheme="minorHAnsi" w:hAnsiTheme="minorHAnsi" w:cstheme="minorHAnsi"/>
          <w:color w:val="auto"/>
          <w:szCs w:val="24"/>
        </w:rPr>
        <w:t>PTSD</w:t>
      </w:r>
      <w:r w:rsidR="00D43ADD">
        <w:rPr>
          <w:rFonts w:asciiTheme="minorHAnsi" w:hAnsiTheme="minorHAnsi" w:cstheme="minorHAnsi"/>
          <w:color w:val="auto"/>
          <w:szCs w:val="24"/>
        </w:rPr>
        <w:t>)</w:t>
      </w:r>
      <w:r w:rsidRPr="00717E7A">
        <w:rPr>
          <w:rFonts w:asciiTheme="minorHAnsi" w:hAnsiTheme="minorHAnsi" w:cstheme="minorHAnsi"/>
          <w:color w:val="auto"/>
          <w:szCs w:val="24"/>
        </w:rPr>
        <w:t>, tinnitus, decreased hearing, left upper arm pain secondary to shrapnel injury, left knee pain secondary to antalgic gait</w:t>
      </w:r>
      <w:r w:rsidR="00614364">
        <w:rPr>
          <w:rFonts w:asciiTheme="minorHAnsi" w:hAnsiTheme="minorHAnsi" w:cstheme="minorHAnsi"/>
          <w:color w:val="auto"/>
          <w:szCs w:val="24"/>
        </w:rPr>
        <w:t>,</w:t>
      </w:r>
      <w:r w:rsidRPr="00717E7A">
        <w:rPr>
          <w:rFonts w:asciiTheme="minorHAnsi" w:hAnsiTheme="minorHAnsi" w:cstheme="minorHAnsi"/>
          <w:color w:val="auto"/>
          <w:szCs w:val="24"/>
        </w:rPr>
        <w:t xml:space="preserve"> and headaches.</w:t>
      </w:r>
      <w:r w:rsidR="007B24E8">
        <w:rPr>
          <w:rFonts w:asciiTheme="minorHAnsi" w:hAnsiTheme="minorHAnsi" w:cstheme="minorHAnsi"/>
          <w:color w:val="auto"/>
          <w:szCs w:val="24"/>
        </w:rPr>
        <w:t xml:space="preserve">  PTSD was noted on the MEB examination</w:t>
      </w:r>
      <w:r w:rsidR="00614364">
        <w:rPr>
          <w:rFonts w:asciiTheme="minorHAnsi" w:hAnsiTheme="minorHAnsi" w:cstheme="minorHAnsi"/>
          <w:color w:val="auto"/>
          <w:szCs w:val="24"/>
        </w:rPr>
        <w:t>,</w:t>
      </w:r>
      <w:r w:rsidR="007B24E8">
        <w:rPr>
          <w:rFonts w:asciiTheme="minorHAnsi" w:hAnsiTheme="minorHAnsi" w:cstheme="minorHAnsi"/>
          <w:color w:val="auto"/>
          <w:szCs w:val="24"/>
        </w:rPr>
        <w:t xml:space="preserve"> but was not forwarded to the PEB as unfitting.</w:t>
      </w:r>
      <w:r w:rsidR="0042755C">
        <w:rPr>
          <w:rFonts w:asciiTheme="minorHAnsi" w:hAnsiTheme="minorHAnsi" w:cstheme="minorHAnsi"/>
          <w:color w:val="auto"/>
          <w:szCs w:val="24"/>
        </w:rPr>
        <w:t xml:space="preserve">  </w:t>
      </w:r>
      <w:r w:rsidR="007B24E8" w:rsidRPr="00F04E42">
        <w:rPr>
          <w:rFonts w:ascii="Calibri" w:hAnsi="Calibri"/>
          <w:color w:val="auto"/>
          <w:szCs w:val="24"/>
        </w:rPr>
        <w:t xml:space="preserve">The CI stated in his C&amp;P </w:t>
      </w:r>
      <w:r w:rsidR="00D43ADD" w:rsidRPr="00F04E42">
        <w:rPr>
          <w:rFonts w:ascii="Calibri" w:hAnsi="Calibri"/>
          <w:color w:val="auto"/>
          <w:szCs w:val="24"/>
        </w:rPr>
        <w:t>mental</w:t>
      </w:r>
      <w:r w:rsidR="00371124">
        <w:rPr>
          <w:rFonts w:ascii="Calibri" w:hAnsi="Calibri"/>
          <w:color w:val="auto"/>
          <w:szCs w:val="24"/>
        </w:rPr>
        <w:t xml:space="preserve"> status</w:t>
      </w:r>
      <w:r w:rsidR="00D43ADD" w:rsidRPr="00F04E42">
        <w:rPr>
          <w:rFonts w:ascii="Calibri" w:hAnsi="Calibri"/>
          <w:color w:val="auto"/>
          <w:szCs w:val="24"/>
        </w:rPr>
        <w:t xml:space="preserve"> exam</w:t>
      </w:r>
      <w:r w:rsidR="007B24E8" w:rsidRPr="00F04E42">
        <w:rPr>
          <w:rFonts w:ascii="Calibri" w:hAnsi="Calibri"/>
          <w:color w:val="auto"/>
          <w:szCs w:val="24"/>
        </w:rPr>
        <w:t>, four months prior to separation, t</w:t>
      </w:r>
      <w:r w:rsidR="007B24E8">
        <w:rPr>
          <w:rFonts w:ascii="Calibri" w:hAnsi="Calibri"/>
          <w:color w:val="auto"/>
          <w:szCs w:val="24"/>
        </w:rPr>
        <w:t>hat he was</w:t>
      </w:r>
      <w:r w:rsidR="007B24E8" w:rsidRPr="00F04E42">
        <w:rPr>
          <w:rFonts w:ascii="Calibri" w:hAnsi="Calibri"/>
          <w:color w:val="auto"/>
          <w:szCs w:val="24"/>
        </w:rPr>
        <w:t xml:space="preserve"> seen by a </w:t>
      </w:r>
      <w:r w:rsidR="00D43ADD">
        <w:rPr>
          <w:rFonts w:ascii="Calibri" w:hAnsi="Calibri"/>
          <w:color w:val="auto"/>
          <w:szCs w:val="24"/>
        </w:rPr>
        <w:t>p</w:t>
      </w:r>
      <w:r w:rsidR="007B24E8" w:rsidRPr="00F04E42">
        <w:rPr>
          <w:rFonts w:ascii="Calibri" w:hAnsi="Calibri"/>
          <w:color w:val="auto"/>
          <w:szCs w:val="24"/>
        </w:rPr>
        <w:t>sychiatrist once who suggested medications and referred to him group therapy</w:t>
      </w:r>
      <w:r w:rsidR="00614364">
        <w:rPr>
          <w:rFonts w:ascii="Calibri" w:hAnsi="Calibri"/>
          <w:color w:val="auto"/>
          <w:szCs w:val="24"/>
        </w:rPr>
        <w:t>;</w:t>
      </w:r>
      <w:r w:rsidR="007B24E8" w:rsidRPr="00F04E42">
        <w:rPr>
          <w:rFonts w:ascii="Calibri" w:hAnsi="Calibri"/>
          <w:color w:val="auto"/>
          <w:szCs w:val="24"/>
        </w:rPr>
        <w:t xml:space="preserve"> however</w:t>
      </w:r>
      <w:r w:rsidR="00614364">
        <w:rPr>
          <w:rFonts w:ascii="Calibri" w:hAnsi="Calibri"/>
          <w:color w:val="auto"/>
          <w:szCs w:val="24"/>
        </w:rPr>
        <w:t>,</w:t>
      </w:r>
      <w:r w:rsidR="007B24E8" w:rsidRPr="00F04E42">
        <w:rPr>
          <w:rFonts w:ascii="Calibri" w:hAnsi="Calibri"/>
          <w:color w:val="auto"/>
          <w:szCs w:val="24"/>
        </w:rPr>
        <w:t xml:space="preserve"> he elected not to take meds or undergo therapy. </w:t>
      </w:r>
      <w:r w:rsidR="00614364">
        <w:rPr>
          <w:rFonts w:ascii="Calibri" w:hAnsi="Calibri"/>
          <w:color w:val="auto"/>
          <w:szCs w:val="24"/>
        </w:rPr>
        <w:t xml:space="preserve"> </w:t>
      </w:r>
      <w:r w:rsidR="007B24E8" w:rsidRPr="00F04E42">
        <w:rPr>
          <w:rFonts w:ascii="Calibri" w:hAnsi="Calibri"/>
          <w:color w:val="auto"/>
          <w:szCs w:val="24"/>
        </w:rPr>
        <w:t xml:space="preserve">His </w:t>
      </w:r>
      <w:r w:rsidR="00D43ADD">
        <w:rPr>
          <w:rFonts w:ascii="Calibri" w:hAnsi="Calibri"/>
          <w:color w:val="auto"/>
          <w:szCs w:val="24"/>
        </w:rPr>
        <w:t>global assessment of functioning (</w:t>
      </w:r>
      <w:r w:rsidR="007B24E8" w:rsidRPr="00F04E42">
        <w:rPr>
          <w:rFonts w:ascii="Calibri" w:hAnsi="Calibri"/>
          <w:color w:val="auto"/>
          <w:szCs w:val="24"/>
        </w:rPr>
        <w:t>GAF</w:t>
      </w:r>
      <w:r w:rsidR="00D43ADD">
        <w:rPr>
          <w:rFonts w:ascii="Calibri" w:hAnsi="Calibri"/>
          <w:color w:val="auto"/>
          <w:szCs w:val="24"/>
        </w:rPr>
        <w:t>)</w:t>
      </w:r>
      <w:r w:rsidR="007B24E8" w:rsidRPr="00F04E42">
        <w:rPr>
          <w:rFonts w:ascii="Calibri" w:hAnsi="Calibri"/>
          <w:color w:val="auto"/>
          <w:szCs w:val="24"/>
        </w:rPr>
        <w:t xml:space="preserve"> at the time of his C&amp;P was 60.</w:t>
      </w:r>
      <w:r w:rsidR="007B24E8">
        <w:rPr>
          <w:rFonts w:ascii="Calibri" w:hAnsi="Calibri"/>
          <w:color w:val="auto"/>
          <w:szCs w:val="24"/>
        </w:rPr>
        <w:t xml:space="preserve">  No duty limitations were required due to PTSD</w:t>
      </w:r>
      <w:r w:rsidR="00614364">
        <w:rPr>
          <w:rFonts w:ascii="Calibri" w:hAnsi="Calibri"/>
          <w:color w:val="auto"/>
          <w:szCs w:val="24"/>
        </w:rPr>
        <w:t>, and there was no evidence that the PTSD caused unfitness for duty</w:t>
      </w:r>
      <w:r w:rsidR="007B24E8">
        <w:rPr>
          <w:rFonts w:ascii="Calibri" w:hAnsi="Calibri"/>
          <w:color w:val="auto"/>
          <w:szCs w:val="24"/>
        </w:rPr>
        <w:t>.  Tinnitus and hearing loss were not linked to fitness</w:t>
      </w:r>
      <w:r w:rsidR="00614364">
        <w:rPr>
          <w:rFonts w:ascii="Calibri" w:hAnsi="Calibri"/>
          <w:color w:val="auto"/>
          <w:szCs w:val="24"/>
        </w:rPr>
        <w:t>,</w:t>
      </w:r>
      <w:r w:rsidR="007B24E8">
        <w:rPr>
          <w:rFonts w:ascii="Calibri" w:hAnsi="Calibri"/>
          <w:color w:val="auto"/>
          <w:szCs w:val="24"/>
        </w:rPr>
        <w:t xml:space="preserve"> and hearing loss was not ratable</w:t>
      </w:r>
      <w:r w:rsidR="003C7A52">
        <w:rPr>
          <w:rFonts w:ascii="Calibri" w:hAnsi="Calibri"/>
          <w:color w:val="auto"/>
          <w:szCs w:val="24"/>
        </w:rPr>
        <w:t>.  Headaches were not linked to fitness, were not specifically treated</w:t>
      </w:r>
      <w:r w:rsidR="000725DE">
        <w:rPr>
          <w:rFonts w:ascii="Calibri" w:hAnsi="Calibri"/>
          <w:color w:val="auto"/>
          <w:szCs w:val="24"/>
        </w:rPr>
        <w:t>, and no prostrating attacks were documented.</w:t>
      </w:r>
      <w:r w:rsidR="003C7A52">
        <w:rPr>
          <w:rFonts w:asciiTheme="minorHAnsi" w:hAnsiTheme="minorHAnsi" w:cstheme="minorHAnsi"/>
          <w:color w:val="auto"/>
          <w:szCs w:val="24"/>
        </w:rPr>
        <w:t xml:space="preserve"> The other</w:t>
      </w:r>
      <w:r w:rsidR="00717E7A" w:rsidRPr="00717E7A">
        <w:rPr>
          <w:rFonts w:asciiTheme="minorHAnsi" w:hAnsiTheme="minorHAnsi" w:cstheme="minorHAnsi"/>
          <w:color w:val="auto"/>
          <w:szCs w:val="24"/>
        </w:rPr>
        <w:t xml:space="preserve"> conditions were</w:t>
      </w:r>
      <w:r w:rsidR="003C7A52">
        <w:rPr>
          <w:rFonts w:asciiTheme="minorHAnsi" w:hAnsiTheme="minorHAnsi" w:cstheme="minorHAnsi"/>
          <w:color w:val="auto"/>
          <w:szCs w:val="24"/>
        </w:rPr>
        <w:t xml:space="preserve"> not </w:t>
      </w:r>
      <w:r w:rsidR="00717E7A" w:rsidRPr="00717E7A">
        <w:rPr>
          <w:rFonts w:asciiTheme="minorHAnsi" w:hAnsiTheme="minorHAnsi" w:cstheme="minorHAnsi"/>
          <w:color w:val="auto"/>
          <w:szCs w:val="24"/>
        </w:rPr>
        <w:t>clinically significant during the ME</w:t>
      </w:r>
      <w:r w:rsidR="007E53F3">
        <w:rPr>
          <w:rFonts w:asciiTheme="minorHAnsi" w:hAnsiTheme="minorHAnsi" w:cstheme="minorHAnsi"/>
          <w:color w:val="auto"/>
          <w:szCs w:val="24"/>
        </w:rPr>
        <w:t>B/PEB period, none were the bas</w:t>
      </w:r>
      <w:r w:rsidR="00D43ADD">
        <w:rPr>
          <w:rFonts w:asciiTheme="minorHAnsi" w:hAnsiTheme="minorHAnsi" w:cstheme="minorHAnsi"/>
          <w:color w:val="auto"/>
          <w:szCs w:val="24"/>
        </w:rPr>
        <w:t>i</w:t>
      </w:r>
      <w:r w:rsidR="00717E7A" w:rsidRPr="00717E7A">
        <w:rPr>
          <w:rFonts w:asciiTheme="minorHAnsi" w:hAnsiTheme="minorHAnsi" w:cstheme="minorHAnsi"/>
          <w:color w:val="auto"/>
          <w:szCs w:val="24"/>
        </w:rPr>
        <w:t xml:space="preserve">s for </w:t>
      </w:r>
      <w:r w:rsidR="00D43ADD">
        <w:rPr>
          <w:rFonts w:asciiTheme="minorHAnsi" w:hAnsiTheme="minorHAnsi" w:cstheme="minorHAnsi"/>
          <w:color w:val="auto"/>
          <w:szCs w:val="24"/>
        </w:rPr>
        <w:t>l</w:t>
      </w:r>
      <w:r w:rsidR="00D43ADD" w:rsidRPr="00717E7A">
        <w:rPr>
          <w:rFonts w:asciiTheme="minorHAnsi" w:hAnsiTheme="minorHAnsi" w:cstheme="minorHAnsi"/>
          <w:color w:val="auto"/>
          <w:szCs w:val="24"/>
        </w:rPr>
        <w:t xml:space="preserve">imited </w:t>
      </w:r>
      <w:r w:rsidR="00D43ADD">
        <w:rPr>
          <w:rFonts w:asciiTheme="minorHAnsi" w:hAnsiTheme="minorHAnsi" w:cstheme="minorHAnsi"/>
          <w:color w:val="auto"/>
          <w:szCs w:val="24"/>
        </w:rPr>
        <w:t>d</w:t>
      </w:r>
      <w:r w:rsidR="00D43ADD" w:rsidRPr="00717E7A">
        <w:rPr>
          <w:rFonts w:asciiTheme="minorHAnsi" w:hAnsiTheme="minorHAnsi" w:cstheme="minorHAnsi"/>
          <w:color w:val="auto"/>
          <w:szCs w:val="24"/>
        </w:rPr>
        <w:t>uty</w:t>
      </w:r>
      <w:r w:rsidR="00717E7A" w:rsidRPr="00717E7A">
        <w:rPr>
          <w:rFonts w:asciiTheme="minorHAnsi" w:hAnsiTheme="minorHAnsi" w:cstheme="minorHAnsi"/>
          <w:color w:val="auto"/>
          <w:szCs w:val="24"/>
        </w:rPr>
        <w:t xml:space="preserve">, and none were implicated in the </w:t>
      </w:r>
      <w:r w:rsidR="00D43ADD">
        <w:rPr>
          <w:rFonts w:asciiTheme="minorHAnsi" w:hAnsiTheme="minorHAnsi" w:cstheme="minorHAnsi"/>
          <w:color w:val="auto"/>
          <w:szCs w:val="24"/>
        </w:rPr>
        <w:t>non-medical assessment</w:t>
      </w:r>
      <w:r w:rsidR="00717E7A" w:rsidRPr="00717E7A">
        <w:rPr>
          <w:rFonts w:asciiTheme="minorHAnsi" w:hAnsiTheme="minorHAnsi" w:cstheme="minorHAnsi"/>
          <w:color w:val="auto"/>
          <w:szCs w:val="24"/>
        </w:rPr>
        <w:t xml:space="preserve">.  These conditions were all reviewed by the </w:t>
      </w:r>
      <w:r w:rsidR="00D43ADD" w:rsidRPr="00717E7A">
        <w:rPr>
          <w:rFonts w:asciiTheme="minorHAnsi" w:hAnsiTheme="minorHAnsi" w:cstheme="minorHAnsi"/>
          <w:color w:val="auto"/>
          <w:szCs w:val="24"/>
        </w:rPr>
        <w:t xml:space="preserve">action officer </w:t>
      </w:r>
      <w:r w:rsidR="00717E7A" w:rsidRPr="00717E7A">
        <w:rPr>
          <w:rFonts w:asciiTheme="minorHAnsi" w:hAnsiTheme="minorHAnsi" w:cstheme="minorHAnsi"/>
          <w:color w:val="auto"/>
          <w:szCs w:val="24"/>
        </w:rPr>
        <w:t>and considered by the Board.  It was determined that none could be argued as unfitting and subject to separation rating.  Additionally, re</w:t>
      </w:r>
      <w:r w:rsidR="003C7A52">
        <w:rPr>
          <w:rFonts w:asciiTheme="minorHAnsi" w:hAnsiTheme="minorHAnsi" w:cstheme="minorHAnsi"/>
          <w:color w:val="auto"/>
          <w:szCs w:val="24"/>
        </w:rPr>
        <w:t>siduals</w:t>
      </w:r>
      <w:r w:rsidR="00717E7A">
        <w:rPr>
          <w:rFonts w:asciiTheme="minorHAnsi" w:hAnsiTheme="minorHAnsi" w:cstheme="minorHAnsi"/>
          <w:color w:val="auto"/>
          <w:szCs w:val="24"/>
        </w:rPr>
        <w:t xml:space="preserve"> patellofemoral syndrome</w:t>
      </w:r>
      <w:r w:rsidR="00717E7A" w:rsidRPr="00717E7A">
        <w:rPr>
          <w:rFonts w:asciiTheme="minorHAnsi" w:hAnsiTheme="minorHAnsi" w:cstheme="minorHAnsi"/>
          <w:color w:val="auto"/>
          <w:szCs w:val="24"/>
        </w:rPr>
        <w:t xml:space="preserve"> left knee, right knee condition, right ankle condit</w:t>
      </w:r>
      <w:r w:rsidR="00614364">
        <w:rPr>
          <w:rFonts w:asciiTheme="minorHAnsi" w:hAnsiTheme="minorHAnsi" w:cstheme="minorHAnsi"/>
          <w:color w:val="auto"/>
          <w:szCs w:val="24"/>
        </w:rPr>
        <w:t>ion and status post burns on</w:t>
      </w:r>
      <w:r w:rsidR="00717E7A" w:rsidRPr="00717E7A">
        <w:rPr>
          <w:rFonts w:asciiTheme="minorHAnsi" w:hAnsiTheme="minorHAnsi" w:cstheme="minorHAnsi"/>
          <w:color w:val="auto"/>
          <w:szCs w:val="24"/>
        </w:rPr>
        <w:t xml:space="preserve"> back were noted in the VA rating decision proximal to separation, but were not documented in the DES file.  The Board </w:t>
      </w:r>
      <w:r w:rsidR="00717E7A" w:rsidRPr="00717E7A">
        <w:rPr>
          <w:rFonts w:asciiTheme="minorHAnsi" w:hAnsiTheme="minorHAnsi" w:cstheme="minorHAnsi"/>
          <w:color w:val="auto"/>
          <w:szCs w:val="24"/>
        </w:rPr>
        <w:lastRenderedPageBreak/>
        <w:t>does not have the authority under DoDI 6040.44 to render fitness or rating recommendations for any conditions not considered by the DES.  The Board therefore has no reasonable basis for recommending any additional unfitting conditions for separation rating.</w:t>
      </w:r>
    </w:p>
    <w:p w:rsidR="00EE015D" w:rsidRPr="00F04E42" w:rsidRDefault="00EE015D" w:rsidP="00EE015D">
      <w:pPr>
        <w:pBdr>
          <w:bottom w:val="single" w:sz="12" w:space="1" w:color="auto"/>
        </w:pBdr>
        <w:tabs>
          <w:tab w:val="left" w:pos="288"/>
          <w:tab w:val="left" w:pos="4752"/>
        </w:tabs>
        <w:jc w:val="both"/>
        <w:rPr>
          <w:rFonts w:ascii="Calibri" w:hAnsi="Calibri"/>
          <w:color w:val="auto"/>
          <w:szCs w:val="24"/>
        </w:rPr>
      </w:pPr>
    </w:p>
    <w:p w:rsidR="00EE015D" w:rsidRPr="00F04E42" w:rsidRDefault="00EE015D" w:rsidP="00EE015D">
      <w:pPr>
        <w:tabs>
          <w:tab w:val="left" w:pos="288"/>
          <w:tab w:val="left" w:pos="4752"/>
        </w:tabs>
        <w:jc w:val="both"/>
        <w:rPr>
          <w:color w:val="000080"/>
          <w:szCs w:val="24"/>
        </w:rPr>
      </w:pPr>
    </w:p>
    <w:p w:rsidR="00B17E85" w:rsidRDefault="00EE015D" w:rsidP="00721B2B">
      <w:pPr>
        <w:jc w:val="both"/>
        <w:rPr>
          <w:rFonts w:ascii="Calibri" w:hAnsi="Calibri"/>
          <w:color w:val="auto"/>
          <w:szCs w:val="24"/>
        </w:rPr>
      </w:pPr>
      <w:r w:rsidRPr="00F04E42">
        <w:rPr>
          <w:rFonts w:ascii="Calibri" w:hAnsi="Calibri"/>
          <w:color w:val="auto"/>
          <w:szCs w:val="24"/>
          <w:u w:val="single"/>
        </w:rPr>
        <w:t>BOARD FINDINGS</w:t>
      </w:r>
      <w:r w:rsidRPr="00F04E42">
        <w:rPr>
          <w:rFonts w:ascii="Calibri" w:hAnsi="Calibri"/>
          <w:color w:val="auto"/>
          <w:szCs w:val="24"/>
        </w:rPr>
        <w:t>:</w:t>
      </w:r>
      <w:r w:rsidRPr="00F04E42">
        <w:rPr>
          <w:rFonts w:ascii="Calibri" w:eastAsia="Calibri" w:hAnsi="Calibr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The Board did not surmise from the record or PEB ruling in this case that any prerogatives outside the VASRD were exercised</w:t>
      </w:r>
      <w:r w:rsidR="00D20086">
        <w:rPr>
          <w:rFonts w:ascii="Calibri" w:eastAsia="Calibri" w:hAnsi="Calibri"/>
          <w:color w:val="auto"/>
          <w:szCs w:val="24"/>
        </w:rPr>
        <w:t xml:space="preserve">.  </w:t>
      </w:r>
      <w:r w:rsidR="00B17E85" w:rsidRPr="00D20086">
        <w:rPr>
          <w:rFonts w:ascii="Calibri" w:eastAsia="Calibri" w:hAnsi="Calibri"/>
          <w:color w:val="auto"/>
          <w:szCs w:val="24"/>
        </w:rPr>
        <w:t>In the matter of the</w:t>
      </w:r>
      <w:r w:rsidR="00B17E85" w:rsidRPr="00D20086">
        <w:rPr>
          <w:rFonts w:asciiTheme="minorHAnsi" w:hAnsiTheme="minorHAnsi" w:cstheme="minorHAnsi"/>
          <w:color w:val="auto"/>
          <w:szCs w:val="24"/>
        </w:rPr>
        <w:t xml:space="preserve"> residual shell fragment wound left lower extremity</w:t>
      </w:r>
      <w:r w:rsidR="00B17E85" w:rsidRPr="00D20086">
        <w:rPr>
          <w:rFonts w:ascii="Calibri" w:eastAsia="Calibri" w:hAnsi="Calibri"/>
          <w:color w:val="auto"/>
          <w:szCs w:val="24"/>
        </w:rPr>
        <w:t xml:space="preserve"> condition condition, the Board unanimo</w:t>
      </w:r>
      <w:r w:rsidR="00D20086">
        <w:rPr>
          <w:rFonts w:ascii="Calibri" w:eastAsia="Calibri" w:hAnsi="Calibri"/>
          <w:color w:val="auto"/>
          <w:szCs w:val="24"/>
        </w:rPr>
        <w:t xml:space="preserve">usly recommends a rating of </w:t>
      </w:r>
      <w:r w:rsidR="00B17E85" w:rsidRPr="00D20086">
        <w:rPr>
          <w:rFonts w:ascii="Calibri" w:eastAsia="Calibri" w:hAnsi="Calibri"/>
          <w:color w:val="auto"/>
          <w:szCs w:val="24"/>
        </w:rPr>
        <w:t xml:space="preserve">30% coded 8527-5312, </w:t>
      </w:r>
      <w:r w:rsidR="00B17E85" w:rsidRPr="00D20086">
        <w:rPr>
          <w:rFonts w:ascii="Calibri" w:hAnsi="Calibri"/>
          <w:color w:val="auto"/>
          <w:szCs w:val="24"/>
        </w:rPr>
        <w:t>IAW VASRD §4.124a and §4.73.</w:t>
      </w:r>
      <w:r w:rsidR="00B17E85">
        <w:rPr>
          <w:rFonts w:ascii="Calibri" w:hAnsi="Calibri"/>
          <w:color w:val="auto"/>
          <w:szCs w:val="24"/>
        </w:rPr>
        <w:t xml:space="preserve">  </w:t>
      </w:r>
    </w:p>
    <w:p w:rsidR="00EE015D" w:rsidRPr="00B17E85" w:rsidRDefault="00EE015D" w:rsidP="00EE015D">
      <w:pPr>
        <w:pBdr>
          <w:bottom w:val="single" w:sz="12" w:space="1" w:color="auto"/>
        </w:pBdr>
        <w:tabs>
          <w:tab w:val="left" w:pos="288"/>
          <w:tab w:val="left" w:pos="4752"/>
        </w:tabs>
        <w:jc w:val="both"/>
        <w:rPr>
          <w:rFonts w:ascii="Calibri" w:hAnsi="Calibri"/>
          <w:color w:val="auto"/>
          <w:szCs w:val="24"/>
        </w:rPr>
      </w:pPr>
    </w:p>
    <w:p w:rsidR="00EE015D" w:rsidRPr="00F04E42" w:rsidRDefault="00EE015D" w:rsidP="00EE015D">
      <w:pPr>
        <w:tabs>
          <w:tab w:val="left" w:pos="288"/>
          <w:tab w:val="left" w:pos="4752"/>
        </w:tabs>
        <w:jc w:val="both"/>
        <w:rPr>
          <w:i/>
          <w:color w:val="000080"/>
          <w:szCs w:val="24"/>
        </w:rPr>
      </w:pPr>
    </w:p>
    <w:p w:rsidR="00B17E85" w:rsidRPr="00D20086" w:rsidRDefault="00EE015D" w:rsidP="00D20086">
      <w:pPr>
        <w:tabs>
          <w:tab w:val="left" w:pos="288"/>
          <w:tab w:val="left" w:pos="4752"/>
        </w:tabs>
        <w:jc w:val="both"/>
        <w:rPr>
          <w:rFonts w:ascii="Calibri" w:hAnsi="Calibri"/>
          <w:color w:val="auto"/>
        </w:rPr>
      </w:pPr>
      <w:r w:rsidRPr="00F04E42">
        <w:rPr>
          <w:rFonts w:ascii="Calibri" w:hAnsi="Calibri"/>
          <w:color w:val="auto"/>
          <w:szCs w:val="24"/>
          <w:u w:val="single"/>
        </w:rPr>
        <w:t>RECOMMENDATION</w:t>
      </w:r>
      <w:r w:rsidRPr="00F04E42">
        <w:rPr>
          <w:rFonts w:ascii="Calibri" w:hAnsi="Calibri"/>
          <w:color w:val="auto"/>
          <w:szCs w:val="24"/>
        </w:rPr>
        <w:t>:</w:t>
      </w:r>
      <w:r w:rsidRPr="00F04E42">
        <w:rPr>
          <w:rFonts w:ascii="Calibri" w:hAnsi="Calibri"/>
          <w:color w:val="000080"/>
          <w:szCs w:val="24"/>
        </w:rPr>
        <w:t xml:space="preserve"> </w:t>
      </w:r>
      <w:r w:rsidR="00D20086">
        <w:rPr>
          <w:rFonts w:ascii="Calibri" w:hAnsi="Calibri"/>
          <w:color w:val="auto"/>
        </w:rPr>
        <w:t xml:space="preserve"> </w:t>
      </w:r>
      <w:r w:rsidR="00B17E85" w:rsidRPr="00396779">
        <w:rPr>
          <w:rFonts w:asciiTheme="minorHAnsi" w:hAnsiTheme="minorHAnsi"/>
          <w:color w:val="auto"/>
          <w:szCs w:val="24"/>
        </w:rPr>
        <w:t xml:space="preserve">The Board recommends that the CI’s prior determination be modified as follows and that the discharge with severance pay be recharacterized to reflect </w:t>
      </w:r>
      <w:r w:rsidR="00B17E85" w:rsidRPr="00B427BB">
        <w:rPr>
          <w:rFonts w:asciiTheme="minorHAnsi" w:hAnsiTheme="minorHAnsi"/>
          <w:color w:val="auto"/>
          <w:szCs w:val="24"/>
        </w:rPr>
        <w:t>permanent disability retirement, effective as of the date of his</w:t>
      </w:r>
      <w:r w:rsidR="004E175A">
        <w:rPr>
          <w:rFonts w:asciiTheme="minorHAnsi" w:hAnsiTheme="minorHAnsi"/>
          <w:color w:val="auto"/>
          <w:szCs w:val="24"/>
        </w:rPr>
        <w:t xml:space="preserve"> prior medical separation.</w:t>
      </w:r>
    </w:p>
    <w:p w:rsidR="00E80C91" w:rsidRDefault="00E80C91" w:rsidP="00721B2B">
      <w:pPr>
        <w:tabs>
          <w:tab w:val="left" w:pos="288"/>
          <w:tab w:val="left" w:pos="4752"/>
        </w:tabs>
        <w:jc w:val="both"/>
        <w:rPr>
          <w:rFonts w:ascii="Calibri" w:hAnsi="Calibri"/>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0"/>
        <w:gridCol w:w="1980"/>
        <w:gridCol w:w="1890"/>
      </w:tblGrid>
      <w:tr w:rsidR="00E80C91" w:rsidRPr="005A71CA" w:rsidTr="00371124">
        <w:tc>
          <w:tcPr>
            <w:tcW w:w="5580" w:type="dxa"/>
            <w:shd w:val="clear" w:color="auto" w:fill="D9D9D9"/>
            <w:vAlign w:val="center"/>
          </w:tcPr>
          <w:p w:rsidR="00E80C91" w:rsidRPr="00996183" w:rsidRDefault="00E80C91" w:rsidP="00315D74">
            <w:pPr>
              <w:tabs>
                <w:tab w:val="left" w:pos="288"/>
                <w:tab w:val="left" w:pos="4752"/>
              </w:tabs>
              <w:contextualSpacing/>
              <w:rPr>
                <w:rFonts w:asciiTheme="minorHAnsi" w:hAnsiTheme="minorHAnsi"/>
                <w:b/>
                <w:color w:val="auto"/>
                <w:szCs w:val="24"/>
              </w:rPr>
            </w:pPr>
            <w:r w:rsidRPr="00996183">
              <w:rPr>
                <w:rFonts w:asciiTheme="minorHAnsi" w:hAnsiTheme="minorHAnsi"/>
                <w:b/>
                <w:color w:val="auto"/>
                <w:szCs w:val="24"/>
              </w:rPr>
              <w:t>UNFITTING CONDITION</w:t>
            </w:r>
          </w:p>
        </w:tc>
        <w:tc>
          <w:tcPr>
            <w:tcW w:w="1980" w:type="dxa"/>
            <w:shd w:val="clear" w:color="auto" w:fill="D9D9D9"/>
            <w:vAlign w:val="center"/>
          </w:tcPr>
          <w:p w:rsidR="00E80C91" w:rsidRPr="00996183" w:rsidRDefault="00E80C91" w:rsidP="00315D74">
            <w:pPr>
              <w:tabs>
                <w:tab w:val="left" w:pos="288"/>
                <w:tab w:val="left" w:pos="4752"/>
              </w:tabs>
              <w:contextualSpacing/>
              <w:jc w:val="center"/>
              <w:rPr>
                <w:rFonts w:asciiTheme="minorHAnsi" w:hAnsiTheme="minorHAnsi"/>
                <w:b/>
                <w:color w:val="auto"/>
                <w:szCs w:val="24"/>
              </w:rPr>
            </w:pPr>
            <w:r w:rsidRPr="00996183">
              <w:rPr>
                <w:rFonts w:asciiTheme="minorHAnsi" w:hAnsiTheme="minorHAnsi"/>
                <w:b/>
                <w:color w:val="auto"/>
                <w:szCs w:val="24"/>
              </w:rPr>
              <w:t>VASRD CODE</w:t>
            </w:r>
          </w:p>
        </w:tc>
        <w:tc>
          <w:tcPr>
            <w:tcW w:w="1890" w:type="dxa"/>
            <w:shd w:val="pct15" w:color="auto" w:fill="auto"/>
            <w:vAlign w:val="center"/>
          </w:tcPr>
          <w:p w:rsidR="00E80C91" w:rsidRPr="00996183" w:rsidRDefault="00E80C91" w:rsidP="00315D74">
            <w:pPr>
              <w:tabs>
                <w:tab w:val="left" w:pos="288"/>
                <w:tab w:val="left" w:pos="4752"/>
              </w:tabs>
              <w:contextualSpacing/>
              <w:jc w:val="center"/>
              <w:rPr>
                <w:rFonts w:asciiTheme="minorHAnsi" w:hAnsiTheme="minorHAnsi"/>
                <w:b/>
                <w:color w:val="auto"/>
                <w:szCs w:val="24"/>
              </w:rPr>
            </w:pPr>
            <w:r w:rsidRPr="00996183">
              <w:rPr>
                <w:rFonts w:asciiTheme="minorHAnsi" w:hAnsiTheme="minorHAnsi"/>
                <w:b/>
                <w:color w:val="auto"/>
                <w:szCs w:val="24"/>
              </w:rPr>
              <w:t>PERMANENT</w:t>
            </w:r>
          </w:p>
          <w:p w:rsidR="00E80C91" w:rsidRPr="00996183" w:rsidRDefault="00E80C91" w:rsidP="00315D74">
            <w:pPr>
              <w:tabs>
                <w:tab w:val="left" w:pos="288"/>
                <w:tab w:val="left" w:pos="4752"/>
              </w:tabs>
              <w:contextualSpacing/>
              <w:jc w:val="center"/>
              <w:rPr>
                <w:rFonts w:asciiTheme="minorHAnsi" w:hAnsiTheme="minorHAnsi"/>
                <w:b/>
                <w:color w:val="auto"/>
                <w:szCs w:val="24"/>
              </w:rPr>
            </w:pPr>
            <w:r w:rsidRPr="00996183">
              <w:rPr>
                <w:rFonts w:asciiTheme="minorHAnsi" w:hAnsiTheme="minorHAnsi"/>
                <w:b/>
                <w:color w:val="auto"/>
                <w:szCs w:val="24"/>
              </w:rPr>
              <w:t>RATING</w:t>
            </w:r>
          </w:p>
        </w:tc>
      </w:tr>
      <w:tr w:rsidR="00E80C91" w:rsidRPr="005A71CA" w:rsidTr="00371124">
        <w:trPr>
          <w:trHeight w:val="305"/>
        </w:trPr>
        <w:tc>
          <w:tcPr>
            <w:tcW w:w="5580" w:type="dxa"/>
            <w:vAlign w:val="center"/>
          </w:tcPr>
          <w:p w:rsidR="00E80C91" w:rsidRPr="00E80C91" w:rsidRDefault="00E80C91" w:rsidP="00315D74">
            <w:pPr>
              <w:pStyle w:val="ListParagraph"/>
              <w:spacing w:after="0" w:line="240" w:lineRule="exact"/>
              <w:ind w:left="0"/>
              <w:rPr>
                <w:rFonts w:cs="Times New Roman"/>
                <w:sz w:val="24"/>
                <w:szCs w:val="24"/>
              </w:rPr>
            </w:pPr>
            <w:r w:rsidRPr="00E80C91">
              <w:rPr>
                <w:rFonts w:cs="Times New Roman"/>
                <w:sz w:val="24"/>
                <w:szCs w:val="24"/>
              </w:rPr>
              <w:t xml:space="preserve">Residual </w:t>
            </w:r>
            <w:r w:rsidR="00371124" w:rsidRPr="00E80C91">
              <w:rPr>
                <w:rFonts w:cs="Times New Roman"/>
                <w:sz w:val="24"/>
                <w:szCs w:val="24"/>
              </w:rPr>
              <w:t>Shell Fragment Wound Left Lower Extremity</w:t>
            </w:r>
          </w:p>
        </w:tc>
        <w:tc>
          <w:tcPr>
            <w:tcW w:w="1980" w:type="dxa"/>
            <w:tcBorders>
              <w:bottom w:val="single" w:sz="4" w:space="0" w:color="000000"/>
            </w:tcBorders>
            <w:vAlign w:val="center"/>
          </w:tcPr>
          <w:p w:rsidR="00E80C91" w:rsidRPr="00996183" w:rsidRDefault="00E80C91" w:rsidP="00315D74">
            <w:pPr>
              <w:pStyle w:val="ListParagraph"/>
              <w:spacing w:after="0" w:line="240" w:lineRule="exact"/>
              <w:ind w:left="0"/>
              <w:jc w:val="center"/>
              <w:rPr>
                <w:rFonts w:cs="Times New Roman"/>
                <w:sz w:val="24"/>
                <w:szCs w:val="24"/>
              </w:rPr>
            </w:pPr>
            <w:r w:rsidRPr="00996183">
              <w:rPr>
                <w:rFonts w:cs="Times New Roman"/>
                <w:sz w:val="24"/>
                <w:szCs w:val="24"/>
              </w:rPr>
              <w:t>8527</w:t>
            </w:r>
            <w:r>
              <w:rPr>
                <w:rFonts w:cs="Times New Roman"/>
                <w:sz w:val="24"/>
                <w:szCs w:val="24"/>
              </w:rPr>
              <w:t>-5312</w:t>
            </w:r>
          </w:p>
        </w:tc>
        <w:tc>
          <w:tcPr>
            <w:tcW w:w="1890" w:type="dxa"/>
            <w:tcBorders>
              <w:bottom w:val="single" w:sz="4" w:space="0" w:color="000000"/>
            </w:tcBorders>
            <w:vAlign w:val="center"/>
          </w:tcPr>
          <w:p w:rsidR="00E80C91" w:rsidRPr="00996183" w:rsidRDefault="00B17E85" w:rsidP="00315D74">
            <w:pPr>
              <w:pStyle w:val="ListParagraph"/>
              <w:spacing w:after="0" w:line="240" w:lineRule="exact"/>
              <w:ind w:left="0"/>
              <w:jc w:val="center"/>
              <w:rPr>
                <w:rFonts w:cs="Times New Roman"/>
                <w:sz w:val="24"/>
                <w:szCs w:val="24"/>
              </w:rPr>
            </w:pPr>
            <w:r>
              <w:rPr>
                <w:rFonts w:cs="Times New Roman"/>
                <w:sz w:val="24"/>
                <w:szCs w:val="24"/>
              </w:rPr>
              <w:t>30%</w:t>
            </w:r>
          </w:p>
        </w:tc>
      </w:tr>
      <w:tr w:rsidR="00E80C91" w:rsidRPr="005A71CA" w:rsidTr="00371124">
        <w:tblPrEx>
          <w:tblLook w:val="0000"/>
        </w:tblPrEx>
        <w:trPr>
          <w:gridBefore w:val="1"/>
          <w:wBefore w:w="5580" w:type="dxa"/>
          <w:trHeight w:val="350"/>
        </w:trPr>
        <w:tc>
          <w:tcPr>
            <w:tcW w:w="1980" w:type="dxa"/>
            <w:tcBorders>
              <w:left w:val="single" w:sz="4" w:space="0" w:color="auto"/>
            </w:tcBorders>
            <w:shd w:val="pct15" w:color="auto" w:fill="auto"/>
            <w:vAlign w:val="center"/>
          </w:tcPr>
          <w:p w:rsidR="00E80C91" w:rsidRPr="00996183" w:rsidRDefault="00E80C91" w:rsidP="00315D74">
            <w:pPr>
              <w:tabs>
                <w:tab w:val="left" w:pos="288"/>
                <w:tab w:val="left" w:pos="4752"/>
              </w:tabs>
              <w:contextualSpacing/>
              <w:jc w:val="center"/>
              <w:rPr>
                <w:rFonts w:asciiTheme="minorHAnsi" w:hAnsiTheme="minorHAnsi"/>
                <w:b/>
                <w:color w:val="auto"/>
                <w:szCs w:val="24"/>
              </w:rPr>
            </w:pPr>
            <w:r w:rsidRPr="00996183">
              <w:rPr>
                <w:rFonts w:asciiTheme="minorHAnsi" w:hAnsiTheme="minorHAnsi"/>
                <w:b/>
                <w:color w:val="auto"/>
                <w:szCs w:val="24"/>
              </w:rPr>
              <w:t>COMBINED</w:t>
            </w:r>
          </w:p>
        </w:tc>
        <w:tc>
          <w:tcPr>
            <w:tcW w:w="1890" w:type="dxa"/>
            <w:shd w:val="pct15" w:color="auto" w:fill="auto"/>
            <w:vAlign w:val="center"/>
          </w:tcPr>
          <w:p w:rsidR="00E80C91" w:rsidRPr="00996183" w:rsidRDefault="00B17E85" w:rsidP="00D20086">
            <w:pPr>
              <w:tabs>
                <w:tab w:val="left" w:pos="288"/>
                <w:tab w:val="left" w:pos="4752"/>
              </w:tabs>
              <w:contextualSpacing/>
              <w:jc w:val="center"/>
              <w:rPr>
                <w:rFonts w:asciiTheme="minorHAnsi" w:hAnsiTheme="minorHAnsi"/>
                <w:b/>
                <w:color w:val="auto"/>
                <w:szCs w:val="24"/>
              </w:rPr>
            </w:pPr>
            <w:r>
              <w:rPr>
                <w:rFonts w:asciiTheme="minorHAnsi" w:hAnsiTheme="minorHAnsi"/>
                <w:b/>
                <w:color w:val="auto"/>
                <w:szCs w:val="24"/>
              </w:rPr>
              <w:t>30%</w:t>
            </w:r>
          </w:p>
        </w:tc>
      </w:tr>
    </w:tbl>
    <w:p w:rsidR="00F223BE" w:rsidRPr="00F223BE" w:rsidRDefault="00F223BE" w:rsidP="00EE015D">
      <w:pPr>
        <w:pBdr>
          <w:bottom w:val="single" w:sz="12" w:space="1" w:color="auto"/>
        </w:pBdr>
        <w:tabs>
          <w:tab w:val="left" w:pos="288"/>
          <w:tab w:val="left" w:pos="4752"/>
        </w:tabs>
        <w:jc w:val="both"/>
        <w:rPr>
          <w:rFonts w:ascii="Calibri" w:hAnsi="Calibri"/>
          <w:color w:val="auto"/>
          <w:szCs w:val="24"/>
        </w:rPr>
      </w:pPr>
    </w:p>
    <w:p w:rsidR="00EE015D" w:rsidRPr="0064150C" w:rsidRDefault="00EE015D" w:rsidP="00EE015D">
      <w:pPr>
        <w:tabs>
          <w:tab w:val="left" w:pos="288"/>
          <w:tab w:val="left" w:pos="4752"/>
        </w:tabs>
        <w:jc w:val="both"/>
        <w:rPr>
          <w:i/>
          <w:color w:val="000080"/>
        </w:rPr>
      </w:pPr>
    </w:p>
    <w:p w:rsidR="00EE015D" w:rsidRPr="00B03B2F" w:rsidRDefault="00EE015D" w:rsidP="00EE015D">
      <w:pPr>
        <w:tabs>
          <w:tab w:val="left" w:pos="288"/>
          <w:tab w:val="left" w:pos="4752"/>
        </w:tabs>
        <w:jc w:val="both"/>
        <w:rPr>
          <w:rFonts w:ascii="Calibri" w:hAnsi="Calibri"/>
          <w:color w:val="auto"/>
        </w:rPr>
      </w:pPr>
      <w:r w:rsidRPr="00B03B2F">
        <w:rPr>
          <w:rFonts w:ascii="Calibri" w:hAnsi="Calibri"/>
          <w:color w:val="auto"/>
        </w:rPr>
        <w:t>The following documentary evidence was considered:</w:t>
      </w:r>
    </w:p>
    <w:p w:rsidR="00EE015D" w:rsidRPr="00B03B2F" w:rsidRDefault="00EE015D" w:rsidP="00EE015D">
      <w:pPr>
        <w:tabs>
          <w:tab w:val="left" w:pos="288"/>
          <w:tab w:val="left" w:pos="4752"/>
        </w:tabs>
        <w:jc w:val="both"/>
        <w:rPr>
          <w:rFonts w:ascii="Calibri" w:hAnsi="Calibri"/>
          <w:color w:val="auto"/>
        </w:rPr>
      </w:pPr>
    </w:p>
    <w:p w:rsidR="00EE015D" w:rsidRPr="00B03B2F" w:rsidRDefault="00EE015D" w:rsidP="00EE015D">
      <w:pPr>
        <w:tabs>
          <w:tab w:val="left" w:pos="288"/>
          <w:tab w:val="left" w:pos="4752"/>
        </w:tabs>
        <w:jc w:val="both"/>
        <w:rPr>
          <w:rFonts w:ascii="Calibri" w:hAnsi="Calibri"/>
          <w:color w:val="auto"/>
        </w:rPr>
      </w:pPr>
      <w:r w:rsidRPr="00B03B2F">
        <w:rPr>
          <w:rFonts w:ascii="Calibri" w:hAnsi="Calibri"/>
          <w:color w:val="auto"/>
        </w:rPr>
        <w:t>Exhib</w:t>
      </w:r>
      <w:r w:rsidR="00B03B2F" w:rsidRPr="00B03B2F">
        <w:rPr>
          <w:rFonts w:ascii="Calibri" w:hAnsi="Calibri"/>
          <w:color w:val="auto"/>
        </w:rPr>
        <w:t xml:space="preserve">it A.  DD Form </w:t>
      </w:r>
      <w:proofErr w:type="gramStart"/>
      <w:r w:rsidR="00B03B2F" w:rsidRPr="00B03B2F">
        <w:rPr>
          <w:rFonts w:ascii="Calibri" w:hAnsi="Calibri"/>
          <w:color w:val="auto"/>
        </w:rPr>
        <w:t>294,</w:t>
      </w:r>
      <w:proofErr w:type="gramEnd"/>
      <w:r w:rsidR="00B03B2F" w:rsidRPr="00B03B2F">
        <w:rPr>
          <w:rFonts w:ascii="Calibri" w:hAnsi="Calibri"/>
          <w:color w:val="auto"/>
        </w:rPr>
        <w:t xml:space="preserve"> dated 20091216</w:t>
      </w:r>
      <w:r w:rsidRPr="00B03B2F">
        <w:rPr>
          <w:rFonts w:ascii="Calibri" w:hAnsi="Calibri"/>
          <w:color w:val="auto"/>
        </w:rPr>
        <w:t>, w/</w:t>
      </w:r>
      <w:proofErr w:type="spellStart"/>
      <w:r w:rsidRPr="00B03B2F">
        <w:rPr>
          <w:rFonts w:ascii="Calibri" w:hAnsi="Calibri"/>
          <w:color w:val="auto"/>
        </w:rPr>
        <w:t>atchs</w:t>
      </w:r>
      <w:proofErr w:type="spellEnd"/>
      <w:r w:rsidRPr="00B03B2F">
        <w:rPr>
          <w:rFonts w:ascii="Calibri" w:hAnsi="Calibri"/>
          <w:color w:val="auto"/>
        </w:rPr>
        <w:t>.</w:t>
      </w:r>
    </w:p>
    <w:p w:rsidR="00EE015D" w:rsidRPr="00B03B2F" w:rsidRDefault="00EE015D" w:rsidP="00EE015D">
      <w:pPr>
        <w:tabs>
          <w:tab w:val="left" w:pos="288"/>
          <w:tab w:val="left" w:pos="4752"/>
        </w:tabs>
        <w:jc w:val="both"/>
        <w:rPr>
          <w:rFonts w:ascii="Calibri" w:hAnsi="Calibri"/>
          <w:color w:val="auto"/>
        </w:rPr>
      </w:pPr>
      <w:r w:rsidRPr="00B03B2F">
        <w:rPr>
          <w:rFonts w:ascii="Calibri" w:hAnsi="Calibri"/>
          <w:color w:val="auto"/>
        </w:rPr>
        <w:t xml:space="preserve">Exhibit B.  </w:t>
      </w:r>
      <w:proofErr w:type="gramStart"/>
      <w:r w:rsidRPr="00B03B2F">
        <w:rPr>
          <w:rFonts w:ascii="Calibri" w:hAnsi="Calibri"/>
          <w:color w:val="auto"/>
        </w:rPr>
        <w:t>Service Treatment Record.</w:t>
      </w:r>
      <w:proofErr w:type="gramEnd"/>
    </w:p>
    <w:p w:rsidR="00EE015D" w:rsidRPr="00B03B2F" w:rsidRDefault="00EE015D" w:rsidP="00EE015D">
      <w:pPr>
        <w:tabs>
          <w:tab w:val="left" w:pos="288"/>
          <w:tab w:val="left" w:pos="4752"/>
        </w:tabs>
        <w:jc w:val="both"/>
        <w:rPr>
          <w:rFonts w:ascii="Calibri" w:hAnsi="Calibri"/>
          <w:color w:val="auto"/>
        </w:rPr>
      </w:pPr>
      <w:r w:rsidRPr="00B03B2F">
        <w:rPr>
          <w:rFonts w:ascii="Calibri" w:hAnsi="Calibri"/>
          <w:color w:val="auto"/>
        </w:rPr>
        <w:t xml:space="preserve">Exhibit C.  </w:t>
      </w:r>
      <w:proofErr w:type="gramStart"/>
      <w:r w:rsidRPr="00B03B2F">
        <w:rPr>
          <w:rFonts w:ascii="Calibri" w:hAnsi="Calibri"/>
          <w:color w:val="auto"/>
        </w:rPr>
        <w:t>Department of Veterans' Affairs Treatment Record.</w:t>
      </w:r>
      <w:proofErr w:type="gramEnd"/>
    </w:p>
    <w:p w:rsidR="00EE015D" w:rsidRPr="00B03B2F" w:rsidRDefault="00EE015D" w:rsidP="00EE015D">
      <w:pPr>
        <w:tabs>
          <w:tab w:val="left" w:pos="288"/>
          <w:tab w:val="left" w:pos="4752"/>
        </w:tabs>
        <w:jc w:val="both"/>
        <w:rPr>
          <w:rFonts w:ascii="Calibri" w:hAnsi="Calibri"/>
          <w:color w:val="auto"/>
        </w:rPr>
      </w:pPr>
    </w:p>
    <w:p w:rsidR="00DB3DAA" w:rsidRDefault="00DB3DAA" w:rsidP="00EE015D">
      <w:pPr>
        <w:tabs>
          <w:tab w:val="left" w:pos="288"/>
          <w:tab w:val="left" w:pos="4752"/>
        </w:tabs>
        <w:jc w:val="both"/>
        <w:rPr>
          <w:rFonts w:ascii="Calibri" w:hAnsi="Calibri"/>
          <w:color w:val="auto"/>
        </w:rPr>
      </w:pPr>
    </w:p>
    <w:p w:rsidR="00DB3DAA" w:rsidRPr="00B03B2F" w:rsidRDefault="00DB3DAA" w:rsidP="00EE015D">
      <w:pPr>
        <w:tabs>
          <w:tab w:val="left" w:pos="288"/>
          <w:tab w:val="left" w:pos="4752"/>
        </w:tabs>
        <w:jc w:val="both"/>
        <w:rPr>
          <w:rFonts w:ascii="Calibri" w:hAnsi="Calibri"/>
          <w:color w:val="auto"/>
        </w:rPr>
      </w:pPr>
    </w:p>
    <w:p w:rsidR="00AA7F2D" w:rsidRPr="00006186" w:rsidRDefault="00AA7F2D" w:rsidP="00AA7F2D">
      <w:pPr>
        <w:tabs>
          <w:tab w:val="left" w:pos="0"/>
          <w:tab w:val="left" w:pos="4320"/>
        </w:tabs>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AA7DF9">
        <w:rPr>
          <w:rFonts w:asciiTheme="minorHAnsi" w:hAnsiTheme="minorHAnsi"/>
          <w:color w:val="auto"/>
        </w:rPr>
        <w:t xml:space="preserve"> </w:t>
      </w:r>
    </w:p>
    <w:p w:rsidR="00AA7F2D" w:rsidRPr="00006186" w:rsidRDefault="00AA7F2D" w:rsidP="00AA7F2D">
      <w:pPr>
        <w:tabs>
          <w:tab w:val="left" w:pos="0"/>
          <w:tab w:val="left" w:pos="4320"/>
        </w:tabs>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AA7DF9" w:rsidRDefault="00AA7F2D" w:rsidP="00AA7F2D">
      <w:pPr>
        <w:tabs>
          <w:tab w:val="left" w:pos="288"/>
          <w:tab w:val="left" w:pos="4320"/>
          <w:tab w:val="left" w:pos="4410"/>
          <w:tab w:val="left" w:pos="4770"/>
          <w:tab w:val="left" w:pos="4860"/>
          <w:tab w:val="left" w:pos="5040"/>
        </w:tabs>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AA7DF9" w:rsidRDefault="00AA7DF9">
      <w:pPr>
        <w:rPr>
          <w:rFonts w:asciiTheme="minorHAnsi" w:hAnsiTheme="minorHAnsi"/>
          <w:color w:val="auto"/>
        </w:rPr>
      </w:pPr>
      <w:r>
        <w:rPr>
          <w:rFonts w:asciiTheme="minorHAnsi" w:hAnsiTheme="minorHAnsi"/>
          <w:color w:val="auto"/>
        </w:rPr>
        <w:br w:type="page"/>
      </w: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lastRenderedPageBreak/>
        <w:t>MEMORANDUM FOR DEPUTY COMMANDANT, MANPOWER &amp; RESERVE AFFAIRS</w:t>
      </w: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ab/>
        <w:t xml:space="preserve">         COMMANDER, NAVY PERSONNEL COMMAND</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proofErr w:type="spellStart"/>
      <w:r w:rsidRPr="00306EBD">
        <w:rPr>
          <w:rFonts w:ascii="Courier New" w:hAnsi="Courier New" w:cs="Courier New"/>
          <w:color w:val="auto"/>
          <w:sz w:val="20"/>
        </w:rPr>
        <w:t>Subj</w:t>
      </w:r>
      <w:proofErr w:type="spellEnd"/>
      <w:r w:rsidRPr="00306EBD">
        <w:rPr>
          <w:rFonts w:ascii="Courier New" w:hAnsi="Courier New" w:cs="Courier New"/>
          <w:color w:val="auto"/>
          <w:sz w:val="20"/>
        </w:rPr>
        <w:t xml:space="preserve">:  PHYSICAL DISABILITY BOARD OF REVIEW (PDBR) RECOMMENDATIONS          </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Ref:   (a) </w:t>
      </w:r>
      <w:proofErr w:type="spellStart"/>
      <w:r w:rsidRPr="00306EBD">
        <w:rPr>
          <w:rFonts w:ascii="Courier New" w:hAnsi="Courier New" w:cs="Courier New"/>
          <w:color w:val="auto"/>
          <w:sz w:val="20"/>
        </w:rPr>
        <w:t>DoDI</w:t>
      </w:r>
      <w:proofErr w:type="spellEnd"/>
      <w:r w:rsidRPr="00306EBD">
        <w:rPr>
          <w:rFonts w:ascii="Courier New" w:hAnsi="Courier New" w:cs="Courier New"/>
          <w:color w:val="auto"/>
          <w:sz w:val="20"/>
        </w:rPr>
        <w:t xml:space="preserve"> 6040.44</w:t>
      </w: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(b)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17 Oct 11 ICO </w:t>
      </w:r>
      <w:proofErr w:type="spellStart"/>
      <w:r>
        <w:rPr>
          <w:rFonts w:ascii="Courier New" w:hAnsi="Courier New" w:cs="Courier New"/>
          <w:color w:val="auto"/>
          <w:sz w:val="20"/>
        </w:rPr>
        <w:t>xxxxxxxxxxxxxxxx</w:t>
      </w:r>
      <w:proofErr w:type="spellEnd"/>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(c)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25 Oct 11 ICO </w:t>
      </w:r>
      <w:proofErr w:type="spellStart"/>
      <w:r>
        <w:rPr>
          <w:rFonts w:ascii="Courier New" w:hAnsi="Courier New" w:cs="Courier New"/>
          <w:color w:val="auto"/>
          <w:sz w:val="20"/>
        </w:rPr>
        <w:t>xxxxxxxxxxxxxxxx</w:t>
      </w:r>
      <w:proofErr w:type="spellEnd"/>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(d)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(e)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27 Oct 11 ICO </w:t>
      </w:r>
      <w:proofErr w:type="spellStart"/>
      <w:r>
        <w:rPr>
          <w:rFonts w:ascii="Courier New" w:hAnsi="Courier New" w:cs="Courier New"/>
          <w:color w:val="auto"/>
          <w:sz w:val="20"/>
        </w:rPr>
        <w:t>xxxxxxxxxxxxxxxx</w:t>
      </w:r>
      <w:proofErr w:type="spellEnd"/>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(f) PDBR </w:t>
      </w:r>
      <w:proofErr w:type="spellStart"/>
      <w:r w:rsidRPr="00306EBD">
        <w:rPr>
          <w:rFonts w:ascii="Courier New" w:hAnsi="Courier New" w:cs="Courier New"/>
          <w:color w:val="auto"/>
          <w:sz w:val="20"/>
        </w:rPr>
        <w:t>ltr</w:t>
      </w:r>
      <w:proofErr w:type="spellEnd"/>
      <w:r w:rsidRPr="00306EBD">
        <w:rPr>
          <w:rFonts w:ascii="Courier New" w:hAnsi="Courier New" w:cs="Courier New"/>
          <w:color w:val="auto"/>
          <w:sz w:val="20"/>
        </w:rPr>
        <w:t xml:space="preserve"> </w:t>
      </w:r>
      <w:proofErr w:type="spellStart"/>
      <w:r w:rsidRPr="00306EBD">
        <w:rPr>
          <w:rFonts w:ascii="Courier New" w:hAnsi="Courier New" w:cs="Courier New"/>
          <w:color w:val="auto"/>
          <w:sz w:val="20"/>
        </w:rPr>
        <w:t>dtd</w:t>
      </w:r>
      <w:proofErr w:type="spellEnd"/>
      <w:r w:rsidRPr="00306EBD">
        <w:rPr>
          <w:rFonts w:ascii="Courier New" w:hAnsi="Courier New" w:cs="Courier New"/>
          <w:color w:val="auto"/>
          <w:sz w:val="20"/>
        </w:rPr>
        <w:t xml:space="preserve"> 20 Oct 11 ICO </w:t>
      </w:r>
      <w:proofErr w:type="spellStart"/>
      <w:r>
        <w:rPr>
          <w:rFonts w:ascii="Courier New" w:hAnsi="Courier New" w:cs="Courier New"/>
          <w:color w:val="auto"/>
          <w:sz w:val="20"/>
        </w:rPr>
        <w:t>xxxxxxxxxxxxxxxx</w:t>
      </w:r>
      <w:proofErr w:type="spellEnd"/>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1.  Pursuant to reference (a) I approve the recommendations of the Physical Disability Board of Review set forth in references (b) through (f).</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2.  The official records of the following individuals are to be corrected to reflect the stated disposition:</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a.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1149</w:t>
      </w:r>
      <w:r w:rsidRPr="00306EBD">
        <w:rPr>
          <w:rFonts w:ascii="Courier New" w:hAnsi="Courier New" w:cs="Courier New"/>
          <w:color w:val="auto"/>
          <w:sz w:val="20"/>
        </w:rPr>
        <w:t>:  Placement on the Permanent Disability Retired List with a 30 percent disability rating (increased from 10 percent) effective 15 January 2006.</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b.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5703</w:t>
      </w:r>
      <w:r w:rsidRPr="00306EBD">
        <w:rPr>
          <w:rFonts w:ascii="Courier New" w:hAnsi="Courier New" w:cs="Courier New"/>
          <w:color w:val="auto"/>
          <w:sz w:val="20"/>
        </w:rPr>
        <w:t>:  Separation from the Naval Service due to physical disability rated at 20 percent (increased from 10 percent) effective 1 December 2002.</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c.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-XX-5371</w:t>
      </w:r>
      <w:r w:rsidRPr="00306EBD">
        <w:rPr>
          <w:rFonts w:ascii="Courier New" w:hAnsi="Courier New" w:cs="Courier New"/>
          <w:color w:val="auto"/>
          <w:sz w:val="20"/>
        </w:rPr>
        <w:t>:  Separation from the Naval Service due to physical disability rated at 10 percent (increased from 0 percent) effective 15 November 2004.</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d.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9959</w:t>
      </w:r>
      <w:r w:rsidRPr="00306EBD">
        <w:rPr>
          <w:rFonts w:ascii="Courier New" w:hAnsi="Courier New" w:cs="Courier New"/>
          <w:color w:val="auto"/>
          <w:sz w:val="20"/>
        </w:rPr>
        <w:t>:  Placement on the Temporary Disability Retired List at 50 percent from 15 February 2008 through 14 August 2008 with final disability separation on 15 August 2008 with a 10 percent disability rating.</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 xml:space="preserve">      </w:t>
      </w:r>
      <w:proofErr w:type="gramStart"/>
      <w:r w:rsidRPr="00306EBD">
        <w:rPr>
          <w:rFonts w:ascii="Courier New" w:hAnsi="Courier New" w:cs="Courier New"/>
          <w:color w:val="auto"/>
          <w:sz w:val="20"/>
        </w:rPr>
        <w:t xml:space="preserve">e.  </w:t>
      </w:r>
      <w:r w:rsidRPr="00306EBD">
        <w:rPr>
          <w:rFonts w:ascii="Courier New" w:hAnsi="Courier New" w:cs="Courier New"/>
          <w:color w:val="auto"/>
          <w:sz w:val="20"/>
          <w:u w:val="single"/>
        </w:rPr>
        <w:t>XXX</w:t>
      </w:r>
      <w:proofErr w:type="gramEnd"/>
      <w:r w:rsidRPr="00306EBD">
        <w:rPr>
          <w:rFonts w:ascii="Courier New" w:hAnsi="Courier New" w:cs="Courier New"/>
          <w:color w:val="auto"/>
          <w:sz w:val="20"/>
          <w:u w:val="single"/>
        </w:rPr>
        <w:t xml:space="preserve"> XX 6809</w:t>
      </w:r>
      <w:r w:rsidRPr="00306EBD">
        <w:rPr>
          <w:rFonts w:ascii="Courier New" w:hAnsi="Courier New" w:cs="Courier New"/>
          <w:color w:val="auto"/>
          <w:sz w:val="20"/>
        </w:rPr>
        <w:t>:  Separation from the Naval Service due to physical disability rated at 20 percent (increased from 10 percent) effective 30 March 2009.</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r w:rsidRPr="00306EBD">
        <w:rPr>
          <w:rFonts w:ascii="Courier New" w:hAnsi="Courier New" w:cs="Courier New"/>
          <w:color w:val="auto"/>
          <w:sz w:val="20"/>
        </w:rPr>
        <w:t>3.  Please ensure all necessary actions are taken to implement these decisions and the subject members are notified once those actions are completed.</w:t>
      </w: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p>
    <w:p w:rsidR="00AA7DF9" w:rsidRPr="00306EBD" w:rsidRDefault="00AA7DF9" w:rsidP="00AA7DF9">
      <w:pPr>
        <w:rPr>
          <w:rFonts w:ascii="Courier New" w:hAnsi="Courier New" w:cs="Courier New"/>
          <w:color w:val="auto"/>
          <w:sz w:val="20"/>
        </w:rPr>
      </w:pPr>
    </w:p>
    <w:p w:rsidR="00AA7DF9" w:rsidRPr="00306EBD" w:rsidRDefault="00AA7DF9" w:rsidP="00AA7DF9">
      <w:pPr>
        <w:tabs>
          <w:tab w:val="left" w:pos="4680"/>
        </w:tabs>
        <w:rPr>
          <w:rFonts w:ascii="Courier New" w:hAnsi="Courier New" w:cs="Courier New"/>
          <w:color w:val="auto"/>
          <w:sz w:val="20"/>
        </w:rPr>
      </w:pPr>
      <w:r w:rsidRPr="00306EBD">
        <w:rPr>
          <w:rFonts w:ascii="Courier New" w:hAnsi="Courier New" w:cs="Courier New"/>
          <w:color w:val="auto"/>
          <w:sz w:val="20"/>
        </w:rPr>
        <w:tab/>
      </w:r>
      <w:r>
        <w:rPr>
          <w:rFonts w:ascii="Courier New" w:hAnsi="Courier New" w:cs="Courier New"/>
          <w:color w:val="auto"/>
          <w:sz w:val="20"/>
        </w:rPr>
        <w:t xml:space="preserve"> </w:t>
      </w:r>
    </w:p>
    <w:p w:rsidR="00AA7DF9" w:rsidRPr="00306EBD" w:rsidRDefault="00AA7DF9" w:rsidP="00AA7DF9">
      <w:pPr>
        <w:tabs>
          <w:tab w:val="left" w:pos="4680"/>
        </w:tabs>
        <w:rPr>
          <w:rFonts w:ascii="Courier New" w:hAnsi="Courier New" w:cs="Courier New"/>
          <w:color w:val="auto"/>
          <w:sz w:val="20"/>
        </w:rPr>
      </w:pPr>
      <w:r w:rsidRPr="00306EBD">
        <w:rPr>
          <w:rFonts w:ascii="Courier New" w:hAnsi="Courier New" w:cs="Courier New"/>
          <w:color w:val="auto"/>
          <w:sz w:val="20"/>
        </w:rPr>
        <w:tab/>
        <w:t>Assistant General Counsel</w:t>
      </w:r>
    </w:p>
    <w:p w:rsidR="00AA7DF9" w:rsidRPr="00306EBD" w:rsidRDefault="00AA7DF9" w:rsidP="00AA7DF9">
      <w:pPr>
        <w:tabs>
          <w:tab w:val="left" w:pos="4680"/>
        </w:tabs>
        <w:rPr>
          <w:rFonts w:ascii="Courier New" w:hAnsi="Courier New" w:cs="Courier New"/>
          <w:color w:val="auto"/>
          <w:sz w:val="20"/>
        </w:rPr>
      </w:pPr>
      <w:r w:rsidRPr="00306EBD">
        <w:rPr>
          <w:rFonts w:ascii="Courier New" w:hAnsi="Courier New" w:cs="Courier New"/>
          <w:color w:val="auto"/>
          <w:sz w:val="20"/>
        </w:rPr>
        <w:tab/>
        <w:t xml:space="preserve">  (Manpower &amp; Reserve Affairs)</w:t>
      </w:r>
    </w:p>
    <w:p w:rsidR="00AA7DF9" w:rsidRPr="00C25746" w:rsidRDefault="00AA7DF9" w:rsidP="00AA7DF9">
      <w:pPr>
        <w:tabs>
          <w:tab w:val="left" w:pos="0"/>
          <w:tab w:val="left" w:pos="4320"/>
        </w:tabs>
        <w:rPr>
          <w:rFonts w:asciiTheme="minorHAnsi" w:hAnsiTheme="minorHAnsi"/>
          <w:color w:val="auto"/>
        </w:rPr>
      </w:pPr>
    </w:p>
    <w:p w:rsidR="00EE015D" w:rsidRPr="00B03B2F" w:rsidRDefault="00EE015D" w:rsidP="00EE015D">
      <w:pPr>
        <w:tabs>
          <w:tab w:val="left" w:pos="288"/>
          <w:tab w:val="left" w:pos="4320"/>
          <w:tab w:val="left" w:pos="4410"/>
          <w:tab w:val="left" w:pos="4770"/>
          <w:tab w:val="left" w:pos="4860"/>
          <w:tab w:val="left" w:pos="5040"/>
        </w:tabs>
        <w:jc w:val="both"/>
        <w:rPr>
          <w:rFonts w:ascii="Calibri" w:hAnsi="Calibri"/>
          <w:color w:val="auto"/>
        </w:rPr>
      </w:pPr>
    </w:p>
    <w:p w:rsidR="00EE015D" w:rsidRDefault="00EE015D" w:rsidP="00EE015D">
      <w:pPr>
        <w:rPr>
          <w:rFonts w:ascii="Calibri" w:hAnsi="Calibri"/>
          <w:color w:val="auto"/>
        </w:rPr>
      </w:pPr>
    </w:p>
    <w:p w:rsidR="00B03B2F" w:rsidRDefault="00B03B2F" w:rsidP="00EE015D">
      <w:pPr>
        <w:rPr>
          <w:rFonts w:ascii="Calibri" w:hAnsi="Calibri"/>
          <w:color w:val="auto"/>
        </w:rPr>
      </w:pPr>
    </w:p>
    <w:p w:rsidR="00B03B2F" w:rsidRDefault="00B03B2F" w:rsidP="00EE015D">
      <w:pPr>
        <w:rPr>
          <w:rFonts w:ascii="Calibri" w:hAnsi="Calibri"/>
          <w:color w:val="auto"/>
        </w:rPr>
      </w:pPr>
    </w:p>
    <w:sectPr w:rsidR="00B03B2F"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9F3" w:rsidRDefault="004219F3">
      <w:r>
        <w:separator/>
      </w:r>
    </w:p>
  </w:endnote>
  <w:endnote w:type="continuationSeparator" w:id="0">
    <w:p w:rsidR="004219F3" w:rsidRDefault="004219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A" w:rsidRDefault="00FE0178">
    <w:pPr>
      <w:pStyle w:val="Footer"/>
      <w:framePr w:wrap="around" w:vAnchor="text" w:hAnchor="margin" w:xAlign="center" w:y="1"/>
      <w:rPr>
        <w:rStyle w:val="PageNumber"/>
      </w:rPr>
    </w:pPr>
    <w:r>
      <w:rPr>
        <w:rStyle w:val="PageNumber"/>
      </w:rPr>
      <w:fldChar w:fldCharType="begin"/>
    </w:r>
    <w:r w:rsidR="00E03C0A">
      <w:rPr>
        <w:rStyle w:val="PageNumber"/>
      </w:rPr>
      <w:instrText xml:space="preserve">PAGE  </w:instrText>
    </w:r>
    <w:r>
      <w:rPr>
        <w:rStyle w:val="PageNumber"/>
      </w:rPr>
      <w:fldChar w:fldCharType="separate"/>
    </w:r>
    <w:r w:rsidR="00E03C0A">
      <w:rPr>
        <w:rStyle w:val="PageNumber"/>
        <w:noProof/>
      </w:rPr>
      <w:t>2</w:t>
    </w:r>
    <w:r>
      <w:rPr>
        <w:rStyle w:val="PageNumber"/>
      </w:rPr>
      <w:fldChar w:fldCharType="end"/>
    </w:r>
  </w:p>
  <w:p w:rsidR="00E03C0A" w:rsidRDefault="00E03C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C0A" w:rsidRPr="00BB05CC" w:rsidRDefault="00FE0178">
    <w:pPr>
      <w:pStyle w:val="Footer"/>
      <w:framePr w:wrap="around" w:vAnchor="text" w:hAnchor="margin" w:xAlign="center" w:y="1"/>
      <w:rPr>
        <w:rStyle w:val="PageNumber"/>
        <w:rFonts w:asciiTheme="minorHAnsi" w:hAnsiTheme="minorHAnsi"/>
        <w:color w:val="auto"/>
      </w:rPr>
    </w:pPr>
    <w:r w:rsidRPr="00BB05CC">
      <w:rPr>
        <w:rStyle w:val="PageNumber"/>
        <w:rFonts w:asciiTheme="minorHAnsi" w:hAnsiTheme="minorHAnsi"/>
        <w:color w:val="auto"/>
      </w:rPr>
      <w:fldChar w:fldCharType="begin"/>
    </w:r>
    <w:r w:rsidR="00E03C0A" w:rsidRPr="00BB05CC">
      <w:rPr>
        <w:rStyle w:val="PageNumber"/>
        <w:rFonts w:asciiTheme="minorHAnsi" w:hAnsiTheme="minorHAnsi"/>
        <w:color w:val="auto"/>
      </w:rPr>
      <w:instrText xml:space="preserve">PAGE  </w:instrText>
    </w:r>
    <w:r w:rsidRPr="00BB05CC">
      <w:rPr>
        <w:rStyle w:val="PageNumber"/>
        <w:rFonts w:asciiTheme="minorHAnsi" w:hAnsiTheme="minorHAnsi"/>
        <w:color w:val="auto"/>
      </w:rPr>
      <w:fldChar w:fldCharType="separate"/>
    </w:r>
    <w:r w:rsidR="00AA7DF9">
      <w:rPr>
        <w:rStyle w:val="PageNumber"/>
        <w:rFonts w:asciiTheme="minorHAnsi" w:hAnsiTheme="minorHAnsi"/>
        <w:noProof/>
        <w:color w:val="auto"/>
      </w:rPr>
      <w:t>4</w:t>
    </w:r>
    <w:r w:rsidRPr="00BB05CC">
      <w:rPr>
        <w:rStyle w:val="PageNumber"/>
        <w:rFonts w:asciiTheme="minorHAnsi" w:hAnsiTheme="minorHAnsi"/>
        <w:color w:val="auto"/>
      </w:rPr>
      <w:fldChar w:fldCharType="end"/>
    </w:r>
  </w:p>
  <w:p w:rsidR="00E03C0A" w:rsidRPr="00BB05CC" w:rsidRDefault="00E03C0A" w:rsidP="002B0749">
    <w:pPr>
      <w:pStyle w:val="Footer"/>
      <w:jc w:val="right"/>
      <w:rPr>
        <w:rFonts w:asciiTheme="minorHAnsi" w:hAnsiTheme="minorHAnsi"/>
        <w:color w:val="auto"/>
      </w:rPr>
    </w:pPr>
    <w:r>
      <w:tab/>
    </w:r>
    <w:r>
      <w:tab/>
    </w:r>
    <w:r>
      <w:rPr>
        <w:rFonts w:asciiTheme="minorHAnsi" w:hAnsiTheme="minorHAnsi"/>
        <w:caps/>
        <w:color w:val="auto"/>
      </w:rPr>
      <w:t>PD10-00131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9F3" w:rsidRDefault="004219F3">
      <w:r>
        <w:separator/>
      </w:r>
    </w:p>
  </w:footnote>
  <w:footnote w:type="continuationSeparator" w:id="0">
    <w:p w:rsidR="004219F3" w:rsidRDefault="00421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07CC4"/>
    <w:multiLevelType w:val="hybridMultilevel"/>
    <w:tmpl w:val="3AA4F1DA"/>
    <w:lvl w:ilvl="0" w:tplc="8506AED8">
      <w:start w:val="1"/>
      <w:numFmt w:val="lowerRoman"/>
      <w:lvlText w:val="%1."/>
      <w:lvlJc w:val="left"/>
      <w:pPr>
        <w:ind w:left="1080" w:hanging="720"/>
      </w:pPr>
      <w:rPr>
        <w:rFonts w:ascii="Calibri" w:hAnsi="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0C0B"/>
    <w:rsid w:val="0000144F"/>
    <w:rsid w:val="00003213"/>
    <w:rsid w:val="00003D3D"/>
    <w:rsid w:val="00003E27"/>
    <w:rsid w:val="000059FA"/>
    <w:rsid w:val="00010ABA"/>
    <w:rsid w:val="0001228A"/>
    <w:rsid w:val="00012969"/>
    <w:rsid w:val="00013443"/>
    <w:rsid w:val="000145C2"/>
    <w:rsid w:val="00014973"/>
    <w:rsid w:val="00015ABA"/>
    <w:rsid w:val="00016FF7"/>
    <w:rsid w:val="00023C1F"/>
    <w:rsid w:val="00023D43"/>
    <w:rsid w:val="00023FB8"/>
    <w:rsid w:val="000272F4"/>
    <w:rsid w:val="000276C4"/>
    <w:rsid w:val="00033787"/>
    <w:rsid w:val="00035C3A"/>
    <w:rsid w:val="000379D0"/>
    <w:rsid w:val="000416F8"/>
    <w:rsid w:val="000437A4"/>
    <w:rsid w:val="00045184"/>
    <w:rsid w:val="00051622"/>
    <w:rsid w:val="00053193"/>
    <w:rsid w:val="00057870"/>
    <w:rsid w:val="00060515"/>
    <w:rsid w:val="00060E58"/>
    <w:rsid w:val="000626E4"/>
    <w:rsid w:val="00063FD1"/>
    <w:rsid w:val="0006764A"/>
    <w:rsid w:val="0006770F"/>
    <w:rsid w:val="00072433"/>
    <w:rsid w:val="000725DE"/>
    <w:rsid w:val="00073E8C"/>
    <w:rsid w:val="00085ED8"/>
    <w:rsid w:val="00085F9C"/>
    <w:rsid w:val="00086141"/>
    <w:rsid w:val="00086F21"/>
    <w:rsid w:val="00086FEE"/>
    <w:rsid w:val="000913EB"/>
    <w:rsid w:val="000976FF"/>
    <w:rsid w:val="000A1A49"/>
    <w:rsid w:val="000A2166"/>
    <w:rsid w:val="000A2BCE"/>
    <w:rsid w:val="000A3654"/>
    <w:rsid w:val="000A3DD0"/>
    <w:rsid w:val="000A3E5F"/>
    <w:rsid w:val="000A4BBA"/>
    <w:rsid w:val="000A5697"/>
    <w:rsid w:val="000A58C7"/>
    <w:rsid w:val="000A5A66"/>
    <w:rsid w:val="000A6985"/>
    <w:rsid w:val="000B02A7"/>
    <w:rsid w:val="000B2CD4"/>
    <w:rsid w:val="000B3445"/>
    <w:rsid w:val="000B5CB5"/>
    <w:rsid w:val="000B608A"/>
    <w:rsid w:val="000B651B"/>
    <w:rsid w:val="000C504D"/>
    <w:rsid w:val="000C7DE4"/>
    <w:rsid w:val="000D15E7"/>
    <w:rsid w:val="000D43F9"/>
    <w:rsid w:val="000D4537"/>
    <w:rsid w:val="000D4717"/>
    <w:rsid w:val="000D61D2"/>
    <w:rsid w:val="000D7D55"/>
    <w:rsid w:val="000E18E8"/>
    <w:rsid w:val="000E20CD"/>
    <w:rsid w:val="000F2754"/>
    <w:rsid w:val="000F374D"/>
    <w:rsid w:val="000F427B"/>
    <w:rsid w:val="000F786D"/>
    <w:rsid w:val="00100368"/>
    <w:rsid w:val="00101B29"/>
    <w:rsid w:val="0010417F"/>
    <w:rsid w:val="001049C1"/>
    <w:rsid w:val="00104A67"/>
    <w:rsid w:val="0010530E"/>
    <w:rsid w:val="00107822"/>
    <w:rsid w:val="00110DA2"/>
    <w:rsid w:val="001132D7"/>
    <w:rsid w:val="00114F20"/>
    <w:rsid w:val="00115E0E"/>
    <w:rsid w:val="001161E0"/>
    <w:rsid w:val="00116FEA"/>
    <w:rsid w:val="001231DC"/>
    <w:rsid w:val="00126712"/>
    <w:rsid w:val="00126D3A"/>
    <w:rsid w:val="00127464"/>
    <w:rsid w:val="00130E77"/>
    <w:rsid w:val="001315DD"/>
    <w:rsid w:val="001323FA"/>
    <w:rsid w:val="00135385"/>
    <w:rsid w:val="00136219"/>
    <w:rsid w:val="0013629E"/>
    <w:rsid w:val="001364D1"/>
    <w:rsid w:val="00140EE1"/>
    <w:rsid w:val="001410AA"/>
    <w:rsid w:val="0014181A"/>
    <w:rsid w:val="0014192E"/>
    <w:rsid w:val="00144F6B"/>
    <w:rsid w:val="00145248"/>
    <w:rsid w:val="00146CE6"/>
    <w:rsid w:val="00151BCE"/>
    <w:rsid w:val="00152523"/>
    <w:rsid w:val="001541C5"/>
    <w:rsid w:val="0016292E"/>
    <w:rsid w:val="00162BEC"/>
    <w:rsid w:val="00164C3C"/>
    <w:rsid w:val="00170527"/>
    <w:rsid w:val="0017124B"/>
    <w:rsid w:val="00173AE2"/>
    <w:rsid w:val="0017455A"/>
    <w:rsid w:val="00174877"/>
    <w:rsid w:val="00177659"/>
    <w:rsid w:val="00182690"/>
    <w:rsid w:val="001838CC"/>
    <w:rsid w:val="001852E8"/>
    <w:rsid w:val="00185ECB"/>
    <w:rsid w:val="0018776A"/>
    <w:rsid w:val="001918E6"/>
    <w:rsid w:val="0019273F"/>
    <w:rsid w:val="00194E88"/>
    <w:rsid w:val="0019773F"/>
    <w:rsid w:val="00197E3B"/>
    <w:rsid w:val="001A01FE"/>
    <w:rsid w:val="001A1290"/>
    <w:rsid w:val="001A3B45"/>
    <w:rsid w:val="001A3BE4"/>
    <w:rsid w:val="001A493F"/>
    <w:rsid w:val="001A7538"/>
    <w:rsid w:val="001B4588"/>
    <w:rsid w:val="001B5B59"/>
    <w:rsid w:val="001B64D9"/>
    <w:rsid w:val="001C181A"/>
    <w:rsid w:val="001C2053"/>
    <w:rsid w:val="001C28D1"/>
    <w:rsid w:val="001C54DB"/>
    <w:rsid w:val="001C7418"/>
    <w:rsid w:val="001D0051"/>
    <w:rsid w:val="001D1F8C"/>
    <w:rsid w:val="001D2224"/>
    <w:rsid w:val="001D4748"/>
    <w:rsid w:val="001D6A8C"/>
    <w:rsid w:val="001D7A56"/>
    <w:rsid w:val="001E32E4"/>
    <w:rsid w:val="001E5815"/>
    <w:rsid w:val="001E7343"/>
    <w:rsid w:val="001F2C9C"/>
    <w:rsid w:val="001F2E3A"/>
    <w:rsid w:val="001F68DF"/>
    <w:rsid w:val="002032F9"/>
    <w:rsid w:val="00217C09"/>
    <w:rsid w:val="002210E0"/>
    <w:rsid w:val="00225196"/>
    <w:rsid w:val="00225CB4"/>
    <w:rsid w:val="002276EA"/>
    <w:rsid w:val="002338CA"/>
    <w:rsid w:val="0024227D"/>
    <w:rsid w:val="00243D13"/>
    <w:rsid w:val="00244B6B"/>
    <w:rsid w:val="00246860"/>
    <w:rsid w:val="0025183C"/>
    <w:rsid w:val="002569AE"/>
    <w:rsid w:val="00256E8B"/>
    <w:rsid w:val="0026318D"/>
    <w:rsid w:val="00263ACA"/>
    <w:rsid w:val="00265E0C"/>
    <w:rsid w:val="0026677F"/>
    <w:rsid w:val="0027159C"/>
    <w:rsid w:val="00274549"/>
    <w:rsid w:val="00274E46"/>
    <w:rsid w:val="00276C86"/>
    <w:rsid w:val="0028211C"/>
    <w:rsid w:val="0028413A"/>
    <w:rsid w:val="0028421B"/>
    <w:rsid w:val="00292F8A"/>
    <w:rsid w:val="002A6875"/>
    <w:rsid w:val="002A6A3C"/>
    <w:rsid w:val="002A7BA6"/>
    <w:rsid w:val="002B03B2"/>
    <w:rsid w:val="002B0749"/>
    <w:rsid w:val="002B4A01"/>
    <w:rsid w:val="002B6282"/>
    <w:rsid w:val="002B7DB8"/>
    <w:rsid w:val="002C09F4"/>
    <w:rsid w:val="002C4270"/>
    <w:rsid w:val="002C4B81"/>
    <w:rsid w:val="002D0117"/>
    <w:rsid w:val="002D18B4"/>
    <w:rsid w:val="002D562C"/>
    <w:rsid w:val="002D6690"/>
    <w:rsid w:val="002E04D9"/>
    <w:rsid w:val="002E1C31"/>
    <w:rsid w:val="002E2203"/>
    <w:rsid w:val="002E2D8E"/>
    <w:rsid w:val="002E3474"/>
    <w:rsid w:val="002E3BBD"/>
    <w:rsid w:val="002E764B"/>
    <w:rsid w:val="002F32DB"/>
    <w:rsid w:val="002F4BDA"/>
    <w:rsid w:val="002F596E"/>
    <w:rsid w:val="002F7F81"/>
    <w:rsid w:val="00300414"/>
    <w:rsid w:val="00307940"/>
    <w:rsid w:val="0030799B"/>
    <w:rsid w:val="00307BA7"/>
    <w:rsid w:val="00310777"/>
    <w:rsid w:val="003122DB"/>
    <w:rsid w:val="00313B80"/>
    <w:rsid w:val="00314E9B"/>
    <w:rsid w:val="00315A0D"/>
    <w:rsid w:val="00315D74"/>
    <w:rsid w:val="00320918"/>
    <w:rsid w:val="00320B5A"/>
    <w:rsid w:val="00323E70"/>
    <w:rsid w:val="003252E5"/>
    <w:rsid w:val="003255C3"/>
    <w:rsid w:val="00334F27"/>
    <w:rsid w:val="0034014B"/>
    <w:rsid w:val="003414AC"/>
    <w:rsid w:val="0034153A"/>
    <w:rsid w:val="00343BF6"/>
    <w:rsid w:val="003450F4"/>
    <w:rsid w:val="0034705C"/>
    <w:rsid w:val="003532A9"/>
    <w:rsid w:val="00355E41"/>
    <w:rsid w:val="00356CFF"/>
    <w:rsid w:val="00356F6A"/>
    <w:rsid w:val="00361331"/>
    <w:rsid w:val="00363362"/>
    <w:rsid w:val="00365467"/>
    <w:rsid w:val="00371124"/>
    <w:rsid w:val="00371B29"/>
    <w:rsid w:val="003724B7"/>
    <w:rsid w:val="00372BE5"/>
    <w:rsid w:val="0037520D"/>
    <w:rsid w:val="00375A1D"/>
    <w:rsid w:val="00375D12"/>
    <w:rsid w:val="00377BD2"/>
    <w:rsid w:val="00381868"/>
    <w:rsid w:val="00385D6F"/>
    <w:rsid w:val="00385F82"/>
    <w:rsid w:val="0039038E"/>
    <w:rsid w:val="00391B5E"/>
    <w:rsid w:val="00392179"/>
    <w:rsid w:val="00393651"/>
    <w:rsid w:val="003943EC"/>
    <w:rsid w:val="00395083"/>
    <w:rsid w:val="00395279"/>
    <w:rsid w:val="003965DE"/>
    <w:rsid w:val="003A0694"/>
    <w:rsid w:val="003A0798"/>
    <w:rsid w:val="003A41BA"/>
    <w:rsid w:val="003A6A99"/>
    <w:rsid w:val="003A6C24"/>
    <w:rsid w:val="003B149A"/>
    <w:rsid w:val="003B227A"/>
    <w:rsid w:val="003B28EF"/>
    <w:rsid w:val="003B42F9"/>
    <w:rsid w:val="003C078F"/>
    <w:rsid w:val="003C2B93"/>
    <w:rsid w:val="003C30DF"/>
    <w:rsid w:val="003C7A52"/>
    <w:rsid w:val="003D2BA3"/>
    <w:rsid w:val="003D3D4A"/>
    <w:rsid w:val="003D7DDB"/>
    <w:rsid w:val="003E0543"/>
    <w:rsid w:val="003E66EE"/>
    <w:rsid w:val="003E7329"/>
    <w:rsid w:val="003F07F5"/>
    <w:rsid w:val="003F098A"/>
    <w:rsid w:val="003F0C8F"/>
    <w:rsid w:val="003F1F9B"/>
    <w:rsid w:val="003F342E"/>
    <w:rsid w:val="003F4E36"/>
    <w:rsid w:val="003F5377"/>
    <w:rsid w:val="003F58B0"/>
    <w:rsid w:val="003F5ADD"/>
    <w:rsid w:val="004007B1"/>
    <w:rsid w:val="004007E9"/>
    <w:rsid w:val="00401BBC"/>
    <w:rsid w:val="00402203"/>
    <w:rsid w:val="00402BBE"/>
    <w:rsid w:val="00403441"/>
    <w:rsid w:val="00403BB5"/>
    <w:rsid w:val="00403BD9"/>
    <w:rsid w:val="0040435D"/>
    <w:rsid w:val="00404B45"/>
    <w:rsid w:val="00406CC5"/>
    <w:rsid w:val="00407201"/>
    <w:rsid w:val="004074A4"/>
    <w:rsid w:val="004119A7"/>
    <w:rsid w:val="004124F4"/>
    <w:rsid w:val="004157AA"/>
    <w:rsid w:val="00415FC9"/>
    <w:rsid w:val="004172DB"/>
    <w:rsid w:val="0042164B"/>
    <w:rsid w:val="004219F3"/>
    <w:rsid w:val="00421E57"/>
    <w:rsid w:val="00422B75"/>
    <w:rsid w:val="004240BA"/>
    <w:rsid w:val="00424E80"/>
    <w:rsid w:val="0042607D"/>
    <w:rsid w:val="0042612E"/>
    <w:rsid w:val="00426623"/>
    <w:rsid w:val="0042755C"/>
    <w:rsid w:val="004300B0"/>
    <w:rsid w:val="00431193"/>
    <w:rsid w:val="00433B33"/>
    <w:rsid w:val="0043503A"/>
    <w:rsid w:val="0044139F"/>
    <w:rsid w:val="0044384F"/>
    <w:rsid w:val="00447251"/>
    <w:rsid w:val="0045078D"/>
    <w:rsid w:val="004528C0"/>
    <w:rsid w:val="004543BC"/>
    <w:rsid w:val="00456FF6"/>
    <w:rsid w:val="004574C6"/>
    <w:rsid w:val="00457BCF"/>
    <w:rsid w:val="0046204E"/>
    <w:rsid w:val="00463DA2"/>
    <w:rsid w:val="004646D7"/>
    <w:rsid w:val="00465B8E"/>
    <w:rsid w:val="00466F82"/>
    <w:rsid w:val="0047048E"/>
    <w:rsid w:val="004718E7"/>
    <w:rsid w:val="004725BE"/>
    <w:rsid w:val="00473490"/>
    <w:rsid w:val="00473D5C"/>
    <w:rsid w:val="0047429E"/>
    <w:rsid w:val="004761CC"/>
    <w:rsid w:val="004823AB"/>
    <w:rsid w:val="00486987"/>
    <w:rsid w:val="00487D4C"/>
    <w:rsid w:val="004906DC"/>
    <w:rsid w:val="0049265A"/>
    <w:rsid w:val="004932C9"/>
    <w:rsid w:val="00493DD0"/>
    <w:rsid w:val="00495C06"/>
    <w:rsid w:val="00496A66"/>
    <w:rsid w:val="0049714A"/>
    <w:rsid w:val="004A24D2"/>
    <w:rsid w:val="004A3EC4"/>
    <w:rsid w:val="004A4136"/>
    <w:rsid w:val="004A68B7"/>
    <w:rsid w:val="004B03F3"/>
    <w:rsid w:val="004B3095"/>
    <w:rsid w:val="004B500D"/>
    <w:rsid w:val="004B6310"/>
    <w:rsid w:val="004B646A"/>
    <w:rsid w:val="004B7169"/>
    <w:rsid w:val="004C0D9B"/>
    <w:rsid w:val="004C37DB"/>
    <w:rsid w:val="004D2678"/>
    <w:rsid w:val="004D3133"/>
    <w:rsid w:val="004D46CA"/>
    <w:rsid w:val="004D4D58"/>
    <w:rsid w:val="004E1290"/>
    <w:rsid w:val="004E175A"/>
    <w:rsid w:val="004E32EA"/>
    <w:rsid w:val="004E5018"/>
    <w:rsid w:val="004E6090"/>
    <w:rsid w:val="004F118E"/>
    <w:rsid w:val="004F2457"/>
    <w:rsid w:val="004F365F"/>
    <w:rsid w:val="004F78F9"/>
    <w:rsid w:val="00500AF5"/>
    <w:rsid w:val="005021E8"/>
    <w:rsid w:val="00507E1B"/>
    <w:rsid w:val="00510588"/>
    <w:rsid w:val="0051146C"/>
    <w:rsid w:val="005125FF"/>
    <w:rsid w:val="00513282"/>
    <w:rsid w:val="00514A1D"/>
    <w:rsid w:val="00514B6B"/>
    <w:rsid w:val="00517A7F"/>
    <w:rsid w:val="00520B58"/>
    <w:rsid w:val="00520C03"/>
    <w:rsid w:val="00522347"/>
    <w:rsid w:val="005232C3"/>
    <w:rsid w:val="005234BE"/>
    <w:rsid w:val="0052590B"/>
    <w:rsid w:val="00526591"/>
    <w:rsid w:val="0052675D"/>
    <w:rsid w:val="00533551"/>
    <w:rsid w:val="005350A5"/>
    <w:rsid w:val="005351A4"/>
    <w:rsid w:val="00535D3D"/>
    <w:rsid w:val="00536379"/>
    <w:rsid w:val="00537949"/>
    <w:rsid w:val="00540904"/>
    <w:rsid w:val="00540BEF"/>
    <w:rsid w:val="005415D9"/>
    <w:rsid w:val="00542683"/>
    <w:rsid w:val="005436C2"/>
    <w:rsid w:val="005514F3"/>
    <w:rsid w:val="00553340"/>
    <w:rsid w:val="005534BB"/>
    <w:rsid w:val="00553CA3"/>
    <w:rsid w:val="00556A89"/>
    <w:rsid w:val="005577A7"/>
    <w:rsid w:val="005606FD"/>
    <w:rsid w:val="00562FC9"/>
    <w:rsid w:val="00564CB3"/>
    <w:rsid w:val="005803A0"/>
    <w:rsid w:val="00580B51"/>
    <w:rsid w:val="005856F9"/>
    <w:rsid w:val="00585A59"/>
    <w:rsid w:val="005871E8"/>
    <w:rsid w:val="00593148"/>
    <w:rsid w:val="00594284"/>
    <w:rsid w:val="005943F4"/>
    <w:rsid w:val="005A258C"/>
    <w:rsid w:val="005A3560"/>
    <w:rsid w:val="005A568A"/>
    <w:rsid w:val="005A5A0F"/>
    <w:rsid w:val="005A71CA"/>
    <w:rsid w:val="005A7B34"/>
    <w:rsid w:val="005A7D81"/>
    <w:rsid w:val="005B011A"/>
    <w:rsid w:val="005B0259"/>
    <w:rsid w:val="005B1FF3"/>
    <w:rsid w:val="005B4B65"/>
    <w:rsid w:val="005B5F0A"/>
    <w:rsid w:val="005B6289"/>
    <w:rsid w:val="005B6845"/>
    <w:rsid w:val="005C5E9B"/>
    <w:rsid w:val="005C6EBE"/>
    <w:rsid w:val="005C7994"/>
    <w:rsid w:val="005D034C"/>
    <w:rsid w:val="005D1BA8"/>
    <w:rsid w:val="005D3959"/>
    <w:rsid w:val="005D4311"/>
    <w:rsid w:val="005D4F77"/>
    <w:rsid w:val="005D6A75"/>
    <w:rsid w:val="005E19A1"/>
    <w:rsid w:val="005F1115"/>
    <w:rsid w:val="005F25C1"/>
    <w:rsid w:val="005F27F2"/>
    <w:rsid w:val="005F3F3A"/>
    <w:rsid w:val="005F424D"/>
    <w:rsid w:val="006015CA"/>
    <w:rsid w:val="00601A4D"/>
    <w:rsid w:val="00601D18"/>
    <w:rsid w:val="00602516"/>
    <w:rsid w:val="00606687"/>
    <w:rsid w:val="006076C6"/>
    <w:rsid w:val="00613A45"/>
    <w:rsid w:val="00614364"/>
    <w:rsid w:val="00615641"/>
    <w:rsid w:val="00615C09"/>
    <w:rsid w:val="006172A9"/>
    <w:rsid w:val="00620D25"/>
    <w:rsid w:val="00622562"/>
    <w:rsid w:val="0062420A"/>
    <w:rsid w:val="0062778D"/>
    <w:rsid w:val="00631695"/>
    <w:rsid w:val="00634488"/>
    <w:rsid w:val="00634790"/>
    <w:rsid w:val="00634C4A"/>
    <w:rsid w:val="00635F4D"/>
    <w:rsid w:val="00641191"/>
    <w:rsid w:val="0064150C"/>
    <w:rsid w:val="006418C9"/>
    <w:rsid w:val="00641C7A"/>
    <w:rsid w:val="00642CD0"/>
    <w:rsid w:val="00645046"/>
    <w:rsid w:val="00650342"/>
    <w:rsid w:val="00650F77"/>
    <w:rsid w:val="00651170"/>
    <w:rsid w:val="00660853"/>
    <w:rsid w:val="00662F08"/>
    <w:rsid w:val="00663589"/>
    <w:rsid w:val="0066632F"/>
    <w:rsid w:val="006668B8"/>
    <w:rsid w:val="0067443B"/>
    <w:rsid w:val="00677092"/>
    <w:rsid w:val="00677EA2"/>
    <w:rsid w:val="00683818"/>
    <w:rsid w:val="00683BED"/>
    <w:rsid w:val="00684C12"/>
    <w:rsid w:val="00684E2B"/>
    <w:rsid w:val="00686249"/>
    <w:rsid w:val="00690FDA"/>
    <w:rsid w:val="006957E5"/>
    <w:rsid w:val="00696476"/>
    <w:rsid w:val="006A0D90"/>
    <w:rsid w:val="006A31E4"/>
    <w:rsid w:val="006A376D"/>
    <w:rsid w:val="006A40E6"/>
    <w:rsid w:val="006A54F1"/>
    <w:rsid w:val="006A60E8"/>
    <w:rsid w:val="006A75FA"/>
    <w:rsid w:val="006B3513"/>
    <w:rsid w:val="006B5923"/>
    <w:rsid w:val="006B5B5C"/>
    <w:rsid w:val="006C1FED"/>
    <w:rsid w:val="006C20C1"/>
    <w:rsid w:val="006C58DB"/>
    <w:rsid w:val="006D0BDB"/>
    <w:rsid w:val="006D2D39"/>
    <w:rsid w:val="006D73DB"/>
    <w:rsid w:val="006E06D1"/>
    <w:rsid w:val="006E285E"/>
    <w:rsid w:val="006E7356"/>
    <w:rsid w:val="006F1A46"/>
    <w:rsid w:val="006F3AFB"/>
    <w:rsid w:val="007008DF"/>
    <w:rsid w:val="007009B7"/>
    <w:rsid w:val="0070635C"/>
    <w:rsid w:val="0070759A"/>
    <w:rsid w:val="0071471A"/>
    <w:rsid w:val="007153C6"/>
    <w:rsid w:val="00716056"/>
    <w:rsid w:val="00716545"/>
    <w:rsid w:val="007165CE"/>
    <w:rsid w:val="007178C6"/>
    <w:rsid w:val="00717E7A"/>
    <w:rsid w:val="00721B2B"/>
    <w:rsid w:val="00721D12"/>
    <w:rsid w:val="00721F8B"/>
    <w:rsid w:val="007345D5"/>
    <w:rsid w:val="00736172"/>
    <w:rsid w:val="00736A49"/>
    <w:rsid w:val="00736EB6"/>
    <w:rsid w:val="007377C7"/>
    <w:rsid w:val="00741580"/>
    <w:rsid w:val="007416E8"/>
    <w:rsid w:val="007426D1"/>
    <w:rsid w:val="00743C77"/>
    <w:rsid w:val="00744EBB"/>
    <w:rsid w:val="00746AE2"/>
    <w:rsid w:val="00751873"/>
    <w:rsid w:val="00755814"/>
    <w:rsid w:val="00757CD3"/>
    <w:rsid w:val="0076100C"/>
    <w:rsid w:val="00761D0D"/>
    <w:rsid w:val="007649E3"/>
    <w:rsid w:val="00764A90"/>
    <w:rsid w:val="0077306E"/>
    <w:rsid w:val="00774089"/>
    <w:rsid w:val="0077569F"/>
    <w:rsid w:val="00777E0E"/>
    <w:rsid w:val="00781BD4"/>
    <w:rsid w:val="00782C6E"/>
    <w:rsid w:val="00782D58"/>
    <w:rsid w:val="00784832"/>
    <w:rsid w:val="00785338"/>
    <w:rsid w:val="00791F1E"/>
    <w:rsid w:val="0079383B"/>
    <w:rsid w:val="007958D1"/>
    <w:rsid w:val="00797BC7"/>
    <w:rsid w:val="007A0708"/>
    <w:rsid w:val="007A0B39"/>
    <w:rsid w:val="007A0D03"/>
    <w:rsid w:val="007A168F"/>
    <w:rsid w:val="007A23F5"/>
    <w:rsid w:val="007A2699"/>
    <w:rsid w:val="007A28E4"/>
    <w:rsid w:val="007A507D"/>
    <w:rsid w:val="007A53A0"/>
    <w:rsid w:val="007A5AD1"/>
    <w:rsid w:val="007A6AA8"/>
    <w:rsid w:val="007A7300"/>
    <w:rsid w:val="007B0A06"/>
    <w:rsid w:val="007B1C5E"/>
    <w:rsid w:val="007B24E8"/>
    <w:rsid w:val="007B6357"/>
    <w:rsid w:val="007B7C41"/>
    <w:rsid w:val="007C433E"/>
    <w:rsid w:val="007C4782"/>
    <w:rsid w:val="007C54D5"/>
    <w:rsid w:val="007D0292"/>
    <w:rsid w:val="007D5495"/>
    <w:rsid w:val="007D6363"/>
    <w:rsid w:val="007E0760"/>
    <w:rsid w:val="007E19AE"/>
    <w:rsid w:val="007E2046"/>
    <w:rsid w:val="007E4FBB"/>
    <w:rsid w:val="007E53F3"/>
    <w:rsid w:val="007E5F8F"/>
    <w:rsid w:val="007E614A"/>
    <w:rsid w:val="007F257F"/>
    <w:rsid w:val="007F3CA5"/>
    <w:rsid w:val="00800116"/>
    <w:rsid w:val="00804888"/>
    <w:rsid w:val="00806447"/>
    <w:rsid w:val="00811D5B"/>
    <w:rsid w:val="00812EFD"/>
    <w:rsid w:val="00814469"/>
    <w:rsid w:val="00817713"/>
    <w:rsid w:val="00822B51"/>
    <w:rsid w:val="00823811"/>
    <w:rsid w:val="00823E3E"/>
    <w:rsid w:val="00824FFC"/>
    <w:rsid w:val="00830999"/>
    <w:rsid w:val="00830D5E"/>
    <w:rsid w:val="00830F69"/>
    <w:rsid w:val="00832536"/>
    <w:rsid w:val="0083380E"/>
    <w:rsid w:val="00834458"/>
    <w:rsid w:val="008349FA"/>
    <w:rsid w:val="00834B1B"/>
    <w:rsid w:val="00837150"/>
    <w:rsid w:val="00837465"/>
    <w:rsid w:val="00841457"/>
    <w:rsid w:val="008422B7"/>
    <w:rsid w:val="0084374E"/>
    <w:rsid w:val="008448CA"/>
    <w:rsid w:val="00844E35"/>
    <w:rsid w:val="008518E1"/>
    <w:rsid w:val="0085206E"/>
    <w:rsid w:val="00853718"/>
    <w:rsid w:val="008541EF"/>
    <w:rsid w:val="008547CA"/>
    <w:rsid w:val="00854CBF"/>
    <w:rsid w:val="00855696"/>
    <w:rsid w:val="00857248"/>
    <w:rsid w:val="00860ECA"/>
    <w:rsid w:val="0086162B"/>
    <w:rsid w:val="00861F94"/>
    <w:rsid w:val="00862F66"/>
    <w:rsid w:val="00865207"/>
    <w:rsid w:val="00871262"/>
    <w:rsid w:val="00871631"/>
    <w:rsid w:val="00874269"/>
    <w:rsid w:val="00875B51"/>
    <w:rsid w:val="00875F2D"/>
    <w:rsid w:val="008763FF"/>
    <w:rsid w:val="00880C1E"/>
    <w:rsid w:val="008837B3"/>
    <w:rsid w:val="00884BB5"/>
    <w:rsid w:val="008858D0"/>
    <w:rsid w:val="00885D4F"/>
    <w:rsid w:val="00886A7C"/>
    <w:rsid w:val="008970C5"/>
    <w:rsid w:val="008A2622"/>
    <w:rsid w:val="008A3B2E"/>
    <w:rsid w:val="008A63A9"/>
    <w:rsid w:val="008B0ABD"/>
    <w:rsid w:val="008B5D31"/>
    <w:rsid w:val="008B7FEC"/>
    <w:rsid w:val="008C046B"/>
    <w:rsid w:val="008C09C7"/>
    <w:rsid w:val="008C0B83"/>
    <w:rsid w:val="008C1017"/>
    <w:rsid w:val="008C1F5F"/>
    <w:rsid w:val="008C5636"/>
    <w:rsid w:val="008D1F33"/>
    <w:rsid w:val="008D3A3D"/>
    <w:rsid w:val="008D6B94"/>
    <w:rsid w:val="008E18C8"/>
    <w:rsid w:val="008E2D99"/>
    <w:rsid w:val="008E35F6"/>
    <w:rsid w:val="008E4767"/>
    <w:rsid w:val="008E4A60"/>
    <w:rsid w:val="008E62BF"/>
    <w:rsid w:val="008F12EB"/>
    <w:rsid w:val="008F24D6"/>
    <w:rsid w:val="008F50D3"/>
    <w:rsid w:val="008F777D"/>
    <w:rsid w:val="0090065E"/>
    <w:rsid w:val="009016CD"/>
    <w:rsid w:val="009026E8"/>
    <w:rsid w:val="00910630"/>
    <w:rsid w:val="00914ADB"/>
    <w:rsid w:val="00915928"/>
    <w:rsid w:val="009203FE"/>
    <w:rsid w:val="0092144C"/>
    <w:rsid w:val="00922638"/>
    <w:rsid w:val="00923B25"/>
    <w:rsid w:val="009241AF"/>
    <w:rsid w:val="00930278"/>
    <w:rsid w:val="0093091E"/>
    <w:rsid w:val="00931B97"/>
    <w:rsid w:val="00932446"/>
    <w:rsid w:val="00934017"/>
    <w:rsid w:val="0093653C"/>
    <w:rsid w:val="0093667F"/>
    <w:rsid w:val="00937622"/>
    <w:rsid w:val="00940161"/>
    <w:rsid w:val="009401BC"/>
    <w:rsid w:val="00941D8C"/>
    <w:rsid w:val="00942645"/>
    <w:rsid w:val="00943F1D"/>
    <w:rsid w:val="00945741"/>
    <w:rsid w:val="0094688C"/>
    <w:rsid w:val="009502D9"/>
    <w:rsid w:val="00951C8A"/>
    <w:rsid w:val="00952532"/>
    <w:rsid w:val="0095340A"/>
    <w:rsid w:val="00953CA7"/>
    <w:rsid w:val="00954581"/>
    <w:rsid w:val="0095466C"/>
    <w:rsid w:val="00954E57"/>
    <w:rsid w:val="00955B58"/>
    <w:rsid w:val="00956567"/>
    <w:rsid w:val="009569D6"/>
    <w:rsid w:val="00960E09"/>
    <w:rsid w:val="0096168C"/>
    <w:rsid w:val="00961A14"/>
    <w:rsid w:val="00964DAB"/>
    <w:rsid w:val="009706DE"/>
    <w:rsid w:val="00970C35"/>
    <w:rsid w:val="009732B8"/>
    <w:rsid w:val="00974AEA"/>
    <w:rsid w:val="00977CB4"/>
    <w:rsid w:val="00982635"/>
    <w:rsid w:val="00983C66"/>
    <w:rsid w:val="00985099"/>
    <w:rsid w:val="009865A0"/>
    <w:rsid w:val="00986EC7"/>
    <w:rsid w:val="00992892"/>
    <w:rsid w:val="009930B5"/>
    <w:rsid w:val="00994F82"/>
    <w:rsid w:val="00996183"/>
    <w:rsid w:val="009A0379"/>
    <w:rsid w:val="009A0922"/>
    <w:rsid w:val="009A0DE3"/>
    <w:rsid w:val="009A17DB"/>
    <w:rsid w:val="009A73FD"/>
    <w:rsid w:val="009B1534"/>
    <w:rsid w:val="009B17A6"/>
    <w:rsid w:val="009B2BE4"/>
    <w:rsid w:val="009B31D6"/>
    <w:rsid w:val="009B67D0"/>
    <w:rsid w:val="009B69D3"/>
    <w:rsid w:val="009B7962"/>
    <w:rsid w:val="009B7BA7"/>
    <w:rsid w:val="009C0938"/>
    <w:rsid w:val="009C2430"/>
    <w:rsid w:val="009C3D79"/>
    <w:rsid w:val="009C3F82"/>
    <w:rsid w:val="009C4888"/>
    <w:rsid w:val="009C7DF5"/>
    <w:rsid w:val="009D1586"/>
    <w:rsid w:val="009D1ADE"/>
    <w:rsid w:val="009D3227"/>
    <w:rsid w:val="009D445B"/>
    <w:rsid w:val="009D4EDA"/>
    <w:rsid w:val="009E1283"/>
    <w:rsid w:val="009E324E"/>
    <w:rsid w:val="009E33FE"/>
    <w:rsid w:val="009E7CED"/>
    <w:rsid w:val="009F5F84"/>
    <w:rsid w:val="009F6AB6"/>
    <w:rsid w:val="009F74E7"/>
    <w:rsid w:val="009F7A6B"/>
    <w:rsid w:val="00A00E4B"/>
    <w:rsid w:val="00A01AE6"/>
    <w:rsid w:val="00A0610C"/>
    <w:rsid w:val="00A07686"/>
    <w:rsid w:val="00A1105B"/>
    <w:rsid w:val="00A1485A"/>
    <w:rsid w:val="00A15CAD"/>
    <w:rsid w:val="00A16876"/>
    <w:rsid w:val="00A2004E"/>
    <w:rsid w:val="00A200AA"/>
    <w:rsid w:val="00A216C6"/>
    <w:rsid w:val="00A2186F"/>
    <w:rsid w:val="00A2270B"/>
    <w:rsid w:val="00A2496E"/>
    <w:rsid w:val="00A258B7"/>
    <w:rsid w:val="00A274D2"/>
    <w:rsid w:val="00A30804"/>
    <w:rsid w:val="00A34213"/>
    <w:rsid w:val="00A3716F"/>
    <w:rsid w:val="00A37FF1"/>
    <w:rsid w:val="00A40237"/>
    <w:rsid w:val="00A43846"/>
    <w:rsid w:val="00A438FB"/>
    <w:rsid w:val="00A44355"/>
    <w:rsid w:val="00A47CF1"/>
    <w:rsid w:val="00A50418"/>
    <w:rsid w:val="00A506A6"/>
    <w:rsid w:val="00A50CC7"/>
    <w:rsid w:val="00A52F75"/>
    <w:rsid w:val="00A57FBA"/>
    <w:rsid w:val="00A608FB"/>
    <w:rsid w:val="00A62079"/>
    <w:rsid w:val="00A66A3A"/>
    <w:rsid w:val="00A67BE8"/>
    <w:rsid w:val="00A70E7B"/>
    <w:rsid w:val="00A751C2"/>
    <w:rsid w:val="00A758E7"/>
    <w:rsid w:val="00A75B74"/>
    <w:rsid w:val="00A76094"/>
    <w:rsid w:val="00A845DD"/>
    <w:rsid w:val="00A84734"/>
    <w:rsid w:val="00A84E39"/>
    <w:rsid w:val="00A855FE"/>
    <w:rsid w:val="00A86CB6"/>
    <w:rsid w:val="00A87B1F"/>
    <w:rsid w:val="00A90D55"/>
    <w:rsid w:val="00A91511"/>
    <w:rsid w:val="00A920B4"/>
    <w:rsid w:val="00A93ED8"/>
    <w:rsid w:val="00AA0257"/>
    <w:rsid w:val="00AA04B3"/>
    <w:rsid w:val="00AA5F3A"/>
    <w:rsid w:val="00AA63C3"/>
    <w:rsid w:val="00AA6B40"/>
    <w:rsid w:val="00AA7DF9"/>
    <w:rsid w:val="00AA7F2D"/>
    <w:rsid w:val="00AB1271"/>
    <w:rsid w:val="00AB4E90"/>
    <w:rsid w:val="00AB62F1"/>
    <w:rsid w:val="00AB6447"/>
    <w:rsid w:val="00AB6A56"/>
    <w:rsid w:val="00AC1A89"/>
    <w:rsid w:val="00AC41A5"/>
    <w:rsid w:val="00AC439D"/>
    <w:rsid w:val="00AC4C54"/>
    <w:rsid w:val="00AD37EC"/>
    <w:rsid w:val="00AD54C4"/>
    <w:rsid w:val="00AD6233"/>
    <w:rsid w:val="00AD7628"/>
    <w:rsid w:val="00AE2D29"/>
    <w:rsid w:val="00AE3316"/>
    <w:rsid w:val="00AE36B1"/>
    <w:rsid w:val="00AF04C8"/>
    <w:rsid w:val="00AF699F"/>
    <w:rsid w:val="00AF7889"/>
    <w:rsid w:val="00B0089E"/>
    <w:rsid w:val="00B02D62"/>
    <w:rsid w:val="00B03877"/>
    <w:rsid w:val="00B03A90"/>
    <w:rsid w:val="00B03B2F"/>
    <w:rsid w:val="00B07781"/>
    <w:rsid w:val="00B077C2"/>
    <w:rsid w:val="00B07A39"/>
    <w:rsid w:val="00B12CB2"/>
    <w:rsid w:val="00B14606"/>
    <w:rsid w:val="00B15557"/>
    <w:rsid w:val="00B15BAD"/>
    <w:rsid w:val="00B163F2"/>
    <w:rsid w:val="00B16487"/>
    <w:rsid w:val="00B17E85"/>
    <w:rsid w:val="00B20DC8"/>
    <w:rsid w:val="00B21FF2"/>
    <w:rsid w:val="00B2251E"/>
    <w:rsid w:val="00B2344F"/>
    <w:rsid w:val="00B24DD3"/>
    <w:rsid w:val="00B26027"/>
    <w:rsid w:val="00B2701A"/>
    <w:rsid w:val="00B27569"/>
    <w:rsid w:val="00B276B2"/>
    <w:rsid w:val="00B27EF9"/>
    <w:rsid w:val="00B30829"/>
    <w:rsid w:val="00B30E7E"/>
    <w:rsid w:val="00B32179"/>
    <w:rsid w:val="00B33101"/>
    <w:rsid w:val="00B342DE"/>
    <w:rsid w:val="00B35353"/>
    <w:rsid w:val="00B40A3E"/>
    <w:rsid w:val="00B40E2B"/>
    <w:rsid w:val="00B4158F"/>
    <w:rsid w:val="00B41D61"/>
    <w:rsid w:val="00B522CD"/>
    <w:rsid w:val="00B55917"/>
    <w:rsid w:val="00B64779"/>
    <w:rsid w:val="00B65DE5"/>
    <w:rsid w:val="00B705BF"/>
    <w:rsid w:val="00B71B36"/>
    <w:rsid w:val="00B72303"/>
    <w:rsid w:val="00B80224"/>
    <w:rsid w:val="00B81D3D"/>
    <w:rsid w:val="00B82277"/>
    <w:rsid w:val="00B86DAA"/>
    <w:rsid w:val="00B93EDE"/>
    <w:rsid w:val="00BA0E0C"/>
    <w:rsid w:val="00BA1C7D"/>
    <w:rsid w:val="00BA2037"/>
    <w:rsid w:val="00BA2D98"/>
    <w:rsid w:val="00BA30D1"/>
    <w:rsid w:val="00BA408D"/>
    <w:rsid w:val="00BA453F"/>
    <w:rsid w:val="00BA5BE2"/>
    <w:rsid w:val="00BA6121"/>
    <w:rsid w:val="00BA7F46"/>
    <w:rsid w:val="00BB05CC"/>
    <w:rsid w:val="00BB0A0A"/>
    <w:rsid w:val="00BB315B"/>
    <w:rsid w:val="00BB3689"/>
    <w:rsid w:val="00BB7747"/>
    <w:rsid w:val="00BC0701"/>
    <w:rsid w:val="00BC2C3C"/>
    <w:rsid w:val="00BC3CEE"/>
    <w:rsid w:val="00BC42BA"/>
    <w:rsid w:val="00BC648B"/>
    <w:rsid w:val="00BC6692"/>
    <w:rsid w:val="00BD28B1"/>
    <w:rsid w:val="00BD6806"/>
    <w:rsid w:val="00BD760D"/>
    <w:rsid w:val="00BD7831"/>
    <w:rsid w:val="00BD7C10"/>
    <w:rsid w:val="00BE0A4C"/>
    <w:rsid w:val="00BE0DEB"/>
    <w:rsid w:val="00BE105E"/>
    <w:rsid w:val="00BE2699"/>
    <w:rsid w:val="00BE386E"/>
    <w:rsid w:val="00BE445F"/>
    <w:rsid w:val="00BE4E47"/>
    <w:rsid w:val="00BE6FEB"/>
    <w:rsid w:val="00BF6DFC"/>
    <w:rsid w:val="00C04424"/>
    <w:rsid w:val="00C124B5"/>
    <w:rsid w:val="00C13B34"/>
    <w:rsid w:val="00C171A8"/>
    <w:rsid w:val="00C234B2"/>
    <w:rsid w:val="00C261C6"/>
    <w:rsid w:val="00C309A2"/>
    <w:rsid w:val="00C30A97"/>
    <w:rsid w:val="00C31DDC"/>
    <w:rsid w:val="00C322C7"/>
    <w:rsid w:val="00C34326"/>
    <w:rsid w:val="00C41306"/>
    <w:rsid w:val="00C421AF"/>
    <w:rsid w:val="00C4279E"/>
    <w:rsid w:val="00C478A5"/>
    <w:rsid w:val="00C53A33"/>
    <w:rsid w:val="00C54DF3"/>
    <w:rsid w:val="00C570C4"/>
    <w:rsid w:val="00C611B2"/>
    <w:rsid w:val="00C6301E"/>
    <w:rsid w:val="00C630C4"/>
    <w:rsid w:val="00C65602"/>
    <w:rsid w:val="00C71BEC"/>
    <w:rsid w:val="00C76A48"/>
    <w:rsid w:val="00C846EA"/>
    <w:rsid w:val="00C84AD1"/>
    <w:rsid w:val="00C853E2"/>
    <w:rsid w:val="00C85579"/>
    <w:rsid w:val="00C857E2"/>
    <w:rsid w:val="00C87FFA"/>
    <w:rsid w:val="00C907FE"/>
    <w:rsid w:val="00C90E52"/>
    <w:rsid w:val="00C963AB"/>
    <w:rsid w:val="00CA068D"/>
    <w:rsid w:val="00CA208F"/>
    <w:rsid w:val="00CA27F4"/>
    <w:rsid w:val="00CA282D"/>
    <w:rsid w:val="00CA52F7"/>
    <w:rsid w:val="00CA5AE6"/>
    <w:rsid w:val="00CB23DC"/>
    <w:rsid w:val="00CB28E2"/>
    <w:rsid w:val="00CB325A"/>
    <w:rsid w:val="00CB45C7"/>
    <w:rsid w:val="00CB66A0"/>
    <w:rsid w:val="00CB7FF7"/>
    <w:rsid w:val="00CC2044"/>
    <w:rsid w:val="00CC69EC"/>
    <w:rsid w:val="00CC7114"/>
    <w:rsid w:val="00CD1067"/>
    <w:rsid w:val="00CD34C7"/>
    <w:rsid w:val="00CD3F1E"/>
    <w:rsid w:val="00CE1271"/>
    <w:rsid w:val="00CE2640"/>
    <w:rsid w:val="00CE5321"/>
    <w:rsid w:val="00CE73A9"/>
    <w:rsid w:val="00CF4344"/>
    <w:rsid w:val="00CF4394"/>
    <w:rsid w:val="00CF771D"/>
    <w:rsid w:val="00CF7851"/>
    <w:rsid w:val="00D01886"/>
    <w:rsid w:val="00D01E06"/>
    <w:rsid w:val="00D0526F"/>
    <w:rsid w:val="00D0537B"/>
    <w:rsid w:val="00D06816"/>
    <w:rsid w:val="00D10CF8"/>
    <w:rsid w:val="00D1648B"/>
    <w:rsid w:val="00D20086"/>
    <w:rsid w:val="00D20AC0"/>
    <w:rsid w:val="00D259E9"/>
    <w:rsid w:val="00D30190"/>
    <w:rsid w:val="00D30E60"/>
    <w:rsid w:val="00D31403"/>
    <w:rsid w:val="00D336C8"/>
    <w:rsid w:val="00D339E8"/>
    <w:rsid w:val="00D35AEB"/>
    <w:rsid w:val="00D40B1F"/>
    <w:rsid w:val="00D41F11"/>
    <w:rsid w:val="00D428C5"/>
    <w:rsid w:val="00D43ADD"/>
    <w:rsid w:val="00D4504E"/>
    <w:rsid w:val="00D45178"/>
    <w:rsid w:val="00D47A50"/>
    <w:rsid w:val="00D50C8C"/>
    <w:rsid w:val="00D519C6"/>
    <w:rsid w:val="00D52393"/>
    <w:rsid w:val="00D52DD1"/>
    <w:rsid w:val="00D5345B"/>
    <w:rsid w:val="00D53A5A"/>
    <w:rsid w:val="00D678EB"/>
    <w:rsid w:val="00D71918"/>
    <w:rsid w:val="00D76AB2"/>
    <w:rsid w:val="00D77C60"/>
    <w:rsid w:val="00D8021A"/>
    <w:rsid w:val="00D813F5"/>
    <w:rsid w:val="00D829AD"/>
    <w:rsid w:val="00D85581"/>
    <w:rsid w:val="00D87788"/>
    <w:rsid w:val="00D910C2"/>
    <w:rsid w:val="00D9189B"/>
    <w:rsid w:val="00D91DA6"/>
    <w:rsid w:val="00D96B66"/>
    <w:rsid w:val="00D972D4"/>
    <w:rsid w:val="00D978FB"/>
    <w:rsid w:val="00DA0A79"/>
    <w:rsid w:val="00DA195B"/>
    <w:rsid w:val="00DA30E5"/>
    <w:rsid w:val="00DA3ED0"/>
    <w:rsid w:val="00DA5A6B"/>
    <w:rsid w:val="00DA6F58"/>
    <w:rsid w:val="00DA7619"/>
    <w:rsid w:val="00DB3580"/>
    <w:rsid w:val="00DB3D9D"/>
    <w:rsid w:val="00DB3DAA"/>
    <w:rsid w:val="00DB4502"/>
    <w:rsid w:val="00DB4944"/>
    <w:rsid w:val="00DB61D1"/>
    <w:rsid w:val="00DB66CD"/>
    <w:rsid w:val="00DB6FBE"/>
    <w:rsid w:val="00DB791C"/>
    <w:rsid w:val="00DC0310"/>
    <w:rsid w:val="00DC233D"/>
    <w:rsid w:val="00DC3061"/>
    <w:rsid w:val="00DC6F7B"/>
    <w:rsid w:val="00DD2A43"/>
    <w:rsid w:val="00DD3593"/>
    <w:rsid w:val="00DD5A8C"/>
    <w:rsid w:val="00DD5E73"/>
    <w:rsid w:val="00DE0780"/>
    <w:rsid w:val="00DE3320"/>
    <w:rsid w:val="00DE5BE5"/>
    <w:rsid w:val="00DE70B1"/>
    <w:rsid w:val="00DE7E74"/>
    <w:rsid w:val="00DF0B86"/>
    <w:rsid w:val="00DF6334"/>
    <w:rsid w:val="00E014AE"/>
    <w:rsid w:val="00E017F0"/>
    <w:rsid w:val="00E03C0A"/>
    <w:rsid w:val="00E041E4"/>
    <w:rsid w:val="00E05C63"/>
    <w:rsid w:val="00E104B1"/>
    <w:rsid w:val="00E10572"/>
    <w:rsid w:val="00E10BFD"/>
    <w:rsid w:val="00E1185C"/>
    <w:rsid w:val="00E122ED"/>
    <w:rsid w:val="00E14581"/>
    <w:rsid w:val="00E14FAE"/>
    <w:rsid w:val="00E15539"/>
    <w:rsid w:val="00E15DB4"/>
    <w:rsid w:val="00E16498"/>
    <w:rsid w:val="00E16541"/>
    <w:rsid w:val="00E16F4B"/>
    <w:rsid w:val="00E20DE8"/>
    <w:rsid w:val="00E25E5D"/>
    <w:rsid w:val="00E2632B"/>
    <w:rsid w:val="00E26A9C"/>
    <w:rsid w:val="00E27614"/>
    <w:rsid w:val="00E32D94"/>
    <w:rsid w:val="00E3313C"/>
    <w:rsid w:val="00E360D5"/>
    <w:rsid w:val="00E405EA"/>
    <w:rsid w:val="00E40F19"/>
    <w:rsid w:val="00E41554"/>
    <w:rsid w:val="00E42789"/>
    <w:rsid w:val="00E47508"/>
    <w:rsid w:val="00E50BEB"/>
    <w:rsid w:val="00E51C72"/>
    <w:rsid w:val="00E530CF"/>
    <w:rsid w:val="00E5344B"/>
    <w:rsid w:val="00E556C2"/>
    <w:rsid w:val="00E55F25"/>
    <w:rsid w:val="00E633F5"/>
    <w:rsid w:val="00E667CC"/>
    <w:rsid w:val="00E67296"/>
    <w:rsid w:val="00E702E0"/>
    <w:rsid w:val="00E7111F"/>
    <w:rsid w:val="00E719A6"/>
    <w:rsid w:val="00E727EE"/>
    <w:rsid w:val="00E728BE"/>
    <w:rsid w:val="00E72FC7"/>
    <w:rsid w:val="00E7734B"/>
    <w:rsid w:val="00E80C91"/>
    <w:rsid w:val="00E82B6D"/>
    <w:rsid w:val="00E83F78"/>
    <w:rsid w:val="00E866F8"/>
    <w:rsid w:val="00E86B29"/>
    <w:rsid w:val="00E877D4"/>
    <w:rsid w:val="00E941A2"/>
    <w:rsid w:val="00EA11B6"/>
    <w:rsid w:val="00EA2889"/>
    <w:rsid w:val="00EA29C5"/>
    <w:rsid w:val="00EA2DD8"/>
    <w:rsid w:val="00EA4E86"/>
    <w:rsid w:val="00EA5419"/>
    <w:rsid w:val="00EA681F"/>
    <w:rsid w:val="00EB436F"/>
    <w:rsid w:val="00EB53C1"/>
    <w:rsid w:val="00EB76E4"/>
    <w:rsid w:val="00EC0E65"/>
    <w:rsid w:val="00EC45A8"/>
    <w:rsid w:val="00EC6781"/>
    <w:rsid w:val="00ED0393"/>
    <w:rsid w:val="00ED189B"/>
    <w:rsid w:val="00ED19F1"/>
    <w:rsid w:val="00ED1B00"/>
    <w:rsid w:val="00ED1D62"/>
    <w:rsid w:val="00ED30DF"/>
    <w:rsid w:val="00ED53B6"/>
    <w:rsid w:val="00ED640B"/>
    <w:rsid w:val="00ED6EC7"/>
    <w:rsid w:val="00ED7A26"/>
    <w:rsid w:val="00EE015D"/>
    <w:rsid w:val="00EE0B44"/>
    <w:rsid w:val="00EE1C1C"/>
    <w:rsid w:val="00EF1B6A"/>
    <w:rsid w:val="00EF608E"/>
    <w:rsid w:val="00F04E42"/>
    <w:rsid w:val="00F0706C"/>
    <w:rsid w:val="00F1516A"/>
    <w:rsid w:val="00F15BF6"/>
    <w:rsid w:val="00F20D0C"/>
    <w:rsid w:val="00F20DCF"/>
    <w:rsid w:val="00F21AE8"/>
    <w:rsid w:val="00F223BE"/>
    <w:rsid w:val="00F22A26"/>
    <w:rsid w:val="00F23831"/>
    <w:rsid w:val="00F2602F"/>
    <w:rsid w:val="00F30C36"/>
    <w:rsid w:val="00F31C45"/>
    <w:rsid w:val="00F32139"/>
    <w:rsid w:val="00F34E08"/>
    <w:rsid w:val="00F35494"/>
    <w:rsid w:val="00F37594"/>
    <w:rsid w:val="00F40C7C"/>
    <w:rsid w:val="00F41D91"/>
    <w:rsid w:val="00F44FFE"/>
    <w:rsid w:val="00F4596E"/>
    <w:rsid w:val="00F46964"/>
    <w:rsid w:val="00F46B03"/>
    <w:rsid w:val="00F47FD0"/>
    <w:rsid w:val="00F5126A"/>
    <w:rsid w:val="00F52B7A"/>
    <w:rsid w:val="00F52E9A"/>
    <w:rsid w:val="00F551A5"/>
    <w:rsid w:val="00F55828"/>
    <w:rsid w:val="00F60331"/>
    <w:rsid w:val="00F614F4"/>
    <w:rsid w:val="00F64DB1"/>
    <w:rsid w:val="00F718A8"/>
    <w:rsid w:val="00F71BDE"/>
    <w:rsid w:val="00F71C7A"/>
    <w:rsid w:val="00F72183"/>
    <w:rsid w:val="00F73E6E"/>
    <w:rsid w:val="00F74971"/>
    <w:rsid w:val="00F74EC3"/>
    <w:rsid w:val="00F82981"/>
    <w:rsid w:val="00F8311F"/>
    <w:rsid w:val="00F83248"/>
    <w:rsid w:val="00F85203"/>
    <w:rsid w:val="00F853AE"/>
    <w:rsid w:val="00F867CC"/>
    <w:rsid w:val="00F913D2"/>
    <w:rsid w:val="00F93DCC"/>
    <w:rsid w:val="00F9435D"/>
    <w:rsid w:val="00F94D11"/>
    <w:rsid w:val="00F954A5"/>
    <w:rsid w:val="00F95557"/>
    <w:rsid w:val="00F96CDA"/>
    <w:rsid w:val="00F97511"/>
    <w:rsid w:val="00FA1368"/>
    <w:rsid w:val="00FA721D"/>
    <w:rsid w:val="00FB04CD"/>
    <w:rsid w:val="00FB4BD9"/>
    <w:rsid w:val="00FB593A"/>
    <w:rsid w:val="00FB6E82"/>
    <w:rsid w:val="00FB70C4"/>
    <w:rsid w:val="00FC4576"/>
    <w:rsid w:val="00FC6AB1"/>
    <w:rsid w:val="00FC7DBC"/>
    <w:rsid w:val="00FD1D5A"/>
    <w:rsid w:val="00FD2A5F"/>
    <w:rsid w:val="00FD73BE"/>
    <w:rsid w:val="00FE0178"/>
    <w:rsid w:val="00FE227B"/>
    <w:rsid w:val="00FE2986"/>
    <w:rsid w:val="00FF3C25"/>
    <w:rsid w:val="00FF3E6A"/>
    <w:rsid w:val="00FF4354"/>
    <w:rsid w:val="00FF67AF"/>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pPr>
        <w:spacing w:line="240" w:lineRule="exac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table" w:styleId="MediumList2-Accent1">
    <w:name w:val="Medium List 2 Accent 1"/>
    <w:basedOn w:val="TableNormal"/>
    <w:uiPriority w:val="66"/>
    <w:rsid w:val="00AA5F3A"/>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4646D7"/>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9CC6-3664-4967-A336-055249ED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5</cp:revision>
  <cp:lastPrinted>2010-04-06T15:57:00Z</cp:lastPrinted>
  <dcterms:created xsi:type="dcterms:W3CDTF">2011-10-06T00:14:00Z</dcterms:created>
  <dcterms:modified xsi:type="dcterms:W3CDTF">2012-05-23T17:15:00Z</dcterms:modified>
</cp:coreProperties>
</file>