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21B64" w:rsidRDefault="00540BEF" w:rsidP="00190E48">
      <w:pPr>
        <w:tabs>
          <w:tab w:val="left" w:pos="288"/>
          <w:tab w:val="left" w:pos="4752"/>
        </w:tabs>
        <w:spacing w:line="240" w:lineRule="exact"/>
        <w:jc w:val="center"/>
        <w:rPr>
          <w:rFonts w:asciiTheme="minorHAnsi" w:hAnsiTheme="minorHAnsi"/>
          <w:color w:val="auto"/>
        </w:rPr>
      </w:pPr>
      <w:r w:rsidRPr="00721B64">
        <w:rPr>
          <w:rFonts w:asciiTheme="minorHAnsi" w:hAnsiTheme="minorHAnsi"/>
          <w:color w:val="auto"/>
        </w:rPr>
        <w:t>RECORD OF PROCEEDINGS</w:t>
      </w:r>
    </w:p>
    <w:p w:rsidR="00540BEF" w:rsidRPr="00721B64" w:rsidRDefault="00540BEF" w:rsidP="00190E48">
      <w:pPr>
        <w:tabs>
          <w:tab w:val="left" w:pos="288"/>
          <w:tab w:val="left" w:pos="4752"/>
        </w:tabs>
        <w:spacing w:line="240" w:lineRule="exact"/>
        <w:jc w:val="center"/>
        <w:rPr>
          <w:rFonts w:asciiTheme="minorHAnsi" w:hAnsiTheme="minorHAnsi"/>
          <w:color w:val="auto"/>
        </w:rPr>
      </w:pPr>
      <w:r w:rsidRPr="00721B64">
        <w:rPr>
          <w:rFonts w:asciiTheme="minorHAnsi" w:hAnsiTheme="minorHAnsi"/>
          <w:color w:val="auto"/>
        </w:rPr>
        <w:t>PHYSICAL DISABILITY BOARD OF REVIEW</w:t>
      </w:r>
    </w:p>
    <w:p w:rsidR="00DA196A" w:rsidRPr="00721B64" w:rsidRDefault="00DA196A" w:rsidP="00190E48">
      <w:pPr>
        <w:tabs>
          <w:tab w:val="left" w:pos="288"/>
          <w:tab w:val="left" w:pos="4752"/>
        </w:tabs>
        <w:spacing w:line="240" w:lineRule="exact"/>
        <w:jc w:val="center"/>
        <w:rPr>
          <w:rFonts w:asciiTheme="minorHAnsi" w:hAnsiTheme="minorHAnsi"/>
          <w:color w:val="auto"/>
        </w:rPr>
      </w:pPr>
    </w:p>
    <w:p w:rsidR="00DA196A" w:rsidRPr="00721B64" w:rsidRDefault="00DA196A" w:rsidP="00F43A64">
      <w:pPr>
        <w:tabs>
          <w:tab w:val="left" w:pos="288"/>
          <w:tab w:val="left" w:pos="4752"/>
          <w:tab w:val="left" w:pos="5130"/>
          <w:tab w:val="left" w:pos="6480"/>
          <w:tab w:val="left" w:pos="9270"/>
        </w:tabs>
        <w:spacing w:line="240" w:lineRule="exact"/>
        <w:jc w:val="both"/>
        <w:rPr>
          <w:rFonts w:asciiTheme="minorHAnsi" w:hAnsiTheme="minorHAnsi"/>
          <w:caps/>
          <w:color w:val="auto"/>
        </w:rPr>
      </w:pPr>
      <w:r w:rsidRPr="00721B64">
        <w:rPr>
          <w:rFonts w:asciiTheme="minorHAnsi" w:hAnsiTheme="minorHAnsi"/>
          <w:caps/>
          <w:color w:val="auto"/>
        </w:rPr>
        <w:t xml:space="preserve">NAME:  </w:t>
      </w:r>
      <w:r w:rsidR="00040237">
        <w:rPr>
          <w:rFonts w:asciiTheme="minorHAnsi" w:hAnsiTheme="minorHAnsi"/>
          <w:caps/>
          <w:color w:val="auto"/>
        </w:rPr>
        <w:t>XXXXXXXXXXXXXXX</w:t>
      </w:r>
      <w:r w:rsidRPr="00721B64">
        <w:rPr>
          <w:rFonts w:asciiTheme="minorHAnsi" w:hAnsiTheme="minorHAnsi"/>
          <w:caps/>
          <w:color w:val="auto"/>
        </w:rPr>
        <w:tab/>
        <w:t xml:space="preserve">       </w:t>
      </w:r>
      <w:r w:rsidR="00F43A64" w:rsidRPr="00721B64">
        <w:rPr>
          <w:rFonts w:asciiTheme="minorHAnsi" w:hAnsiTheme="minorHAnsi"/>
          <w:caps/>
          <w:color w:val="auto"/>
        </w:rPr>
        <w:tab/>
      </w:r>
      <w:r w:rsidR="00902B3C" w:rsidRPr="00721B64">
        <w:rPr>
          <w:rFonts w:asciiTheme="minorHAnsi" w:hAnsiTheme="minorHAnsi"/>
          <w:caps/>
          <w:color w:val="auto"/>
        </w:rPr>
        <w:t xml:space="preserve"> </w:t>
      </w:r>
      <w:r w:rsidRPr="00721B64">
        <w:rPr>
          <w:rFonts w:asciiTheme="minorHAnsi" w:hAnsiTheme="minorHAnsi"/>
          <w:caps/>
          <w:color w:val="auto"/>
        </w:rPr>
        <w:t>BRANCH OF SERVICE:  army</w:t>
      </w:r>
    </w:p>
    <w:p w:rsidR="00DA196A" w:rsidRPr="00721B64" w:rsidRDefault="00DA196A" w:rsidP="00F43A64">
      <w:pPr>
        <w:tabs>
          <w:tab w:val="left" w:pos="288"/>
          <w:tab w:val="left" w:pos="4752"/>
          <w:tab w:val="left" w:pos="5130"/>
          <w:tab w:val="left" w:pos="6480"/>
        </w:tabs>
        <w:spacing w:line="240" w:lineRule="exact"/>
        <w:ind w:right="-900"/>
        <w:jc w:val="both"/>
        <w:rPr>
          <w:rFonts w:asciiTheme="minorHAnsi" w:hAnsiTheme="minorHAnsi"/>
          <w:caps/>
          <w:color w:val="auto"/>
        </w:rPr>
      </w:pPr>
      <w:r w:rsidRPr="00721B64">
        <w:rPr>
          <w:rFonts w:asciiTheme="minorHAnsi" w:hAnsiTheme="minorHAnsi"/>
          <w:caps/>
          <w:color w:val="auto"/>
        </w:rPr>
        <w:t>CASE NUMBER:  PD1000128</w:t>
      </w:r>
      <w:r w:rsidRPr="00721B64">
        <w:rPr>
          <w:rFonts w:asciiTheme="minorHAnsi" w:hAnsiTheme="minorHAnsi"/>
          <w:caps/>
          <w:color w:val="auto"/>
        </w:rPr>
        <w:tab/>
      </w:r>
      <w:r w:rsidRPr="00721B64">
        <w:rPr>
          <w:rFonts w:asciiTheme="minorHAnsi" w:hAnsiTheme="minorHAnsi"/>
          <w:caps/>
          <w:color w:val="auto"/>
        </w:rPr>
        <w:tab/>
      </w:r>
      <w:r w:rsidR="00902B3C" w:rsidRPr="00721B64">
        <w:rPr>
          <w:rFonts w:asciiTheme="minorHAnsi" w:hAnsiTheme="minorHAnsi"/>
          <w:caps/>
          <w:color w:val="auto"/>
        </w:rPr>
        <w:t xml:space="preserve">                    </w:t>
      </w:r>
      <w:r w:rsidR="00D94549">
        <w:rPr>
          <w:rFonts w:asciiTheme="minorHAnsi" w:hAnsiTheme="minorHAnsi"/>
          <w:caps/>
          <w:color w:val="auto"/>
        </w:rPr>
        <w:t xml:space="preserve">  </w:t>
      </w:r>
      <w:r w:rsidR="00902B3C" w:rsidRPr="00721B64">
        <w:rPr>
          <w:rFonts w:asciiTheme="minorHAnsi" w:hAnsiTheme="minorHAnsi"/>
          <w:caps/>
          <w:color w:val="auto"/>
        </w:rPr>
        <w:t xml:space="preserve"> </w:t>
      </w:r>
      <w:r w:rsidRPr="00721B64">
        <w:rPr>
          <w:rFonts w:asciiTheme="minorHAnsi" w:hAnsiTheme="minorHAnsi"/>
          <w:caps/>
          <w:color w:val="auto"/>
        </w:rPr>
        <w:t>SEPARATION DATE:  20040923</w:t>
      </w:r>
    </w:p>
    <w:p w:rsidR="00CB6CD4" w:rsidRPr="00721B64" w:rsidRDefault="00DA196A" w:rsidP="00F43A64">
      <w:pPr>
        <w:tabs>
          <w:tab w:val="left" w:pos="288"/>
          <w:tab w:val="left" w:pos="5130"/>
        </w:tabs>
        <w:spacing w:line="240" w:lineRule="exact"/>
        <w:jc w:val="both"/>
        <w:rPr>
          <w:rFonts w:asciiTheme="minorHAnsi" w:hAnsiTheme="minorHAnsi"/>
          <w:caps/>
          <w:color w:val="auto"/>
        </w:rPr>
      </w:pPr>
      <w:r w:rsidRPr="00721B64">
        <w:rPr>
          <w:rFonts w:asciiTheme="minorHAnsi" w:hAnsiTheme="minorHAnsi"/>
          <w:caps/>
          <w:color w:val="auto"/>
        </w:rPr>
        <w:t>BOARD DATE:  2011</w:t>
      </w:r>
      <w:r w:rsidR="000569E0" w:rsidRPr="00721B64">
        <w:rPr>
          <w:rFonts w:asciiTheme="minorHAnsi" w:hAnsiTheme="minorHAnsi"/>
          <w:caps/>
          <w:color w:val="auto"/>
        </w:rPr>
        <w:t>0524</w:t>
      </w:r>
    </w:p>
    <w:p w:rsidR="00902B3C" w:rsidRPr="00721B64" w:rsidRDefault="00902B3C" w:rsidP="00902B3C">
      <w:pPr>
        <w:pBdr>
          <w:bottom w:val="single" w:sz="12" w:space="1" w:color="auto"/>
        </w:pBdr>
        <w:tabs>
          <w:tab w:val="left" w:pos="288"/>
          <w:tab w:val="left" w:pos="4752"/>
        </w:tabs>
        <w:spacing w:line="240" w:lineRule="exact"/>
        <w:jc w:val="both"/>
        <w:rPr>
          <w:rFonts w:asciiTheme="minorHAnsi" w:hAnsiTheme="minorHAnsi"/>
          <w:color w:val="auto"/>
          <w:szCs w:val="24"/>
        </w:rPr>
      </w:pPr>
    </w:p>
    <w:p w:rsidR="00902B3C" w:rsidRPr="00721B64" w:rsidRDefault="00902B3C" w:rsidP="00902B3C">
      <w:pPr>
        <w:tabs>
          <w:tab w:val="left" w:pos="288"/>
          <w:tab w:val="left" w:pos="4752"/>
        </w:tabs>
        <w:spacing w:line="240" w:lineRule="exact"/>
        <w:jc w:val="both"/>
        <w:rPr>
          <w:rFonts w:asciiTheme="minorHAnsi" w:hAnsiTheme="minorHAnsi"/>
          <w:color w:val="auto"/>
          <w:u w:val="single"/>
        </w:rPr>
      </w:pPr>
    </w:p>
    <w:p w:rsidR="00DD0756" w:rsidRPr="00721B64" w:rsidRDefault="005052D4" w:rsidP="00DD0756">
      <w:pPr>
        <w:tabs>
          <w:tab w:val="left" w:pos="288"/>
          <w:tab w:val="left" w:pos="4752"/>
        </w:tabs>
        <w:spacing w:line="240" w:lineRule="exact"/>
        <w:jc w:val="both"/>
        <w:rPr>
          <w:rFonts w:asciiTheme="minorHAnsi" w:hAnsiTheme="minorHAnsi"/>
          <w:color w:val="auto"/>
          <w:szCs w:val="24"/>
        </w:rPr>
      </w:pPr>
      <w:r w:rsidRPr="00721B64">
        <w:rPr>
          <w:rFonts w:ascii="Calibri" w:hAnsi="Calibri"/>
          <w:color w:val="auto"/>
          <w:u w:val="single"/>
        </w:rPr>
        <w:t>SUMMARY OF CASE</w:t>
      </w:r>
      <w:r w:rsidRPr="00721B64">
        <w:rPr>
          <w:rFonts w:ascii="Calibri" w:hAnsi="Calibri"/>
          <w:color w:val="auto"/>
        </w:rPr>
        <w:t xml:space="preserve">:  </w:t>
      </w:r>
      <w:r w:rsidR="00DD0756" w:rsidRPr="00721B64">
        <w:rPr>
          <w:rFonts w:asciiTheme="minorHAnsi" w:hAnsiTheme="minorHAnsi"/>
          <w:color w:val="auto"/>
        </w:rPr>
        <w:t xml:space="preserve">Data extracted from the available evidence of record reflects that this covered individual (CI) </w:t>
      </w:r>
      <w:r w:rsidR="00DD0756" w:rsidRPr="00721B64">
        <w:rPr>
          <w:rFonts w:asciiTheme="minorHAnsi" w:hAnsiTheme="minorHAnsi"/>
          <w:color w:val="auto"/>
          <w:szCs w:val="24"/>
        </w:rPr>
        <w:t>was a Reserve SPC (</w:t>
      </w:r>
      <w:r w:rsidR="00F43A64" w:rsidRPr="00721B64">
        <w:rPr>
          <w:rFonts w:asciiTheme="minorHAnsi" w:hAnsiTheme="minorHAnsi"/>
          <w:color w:val="auto"/>
          <w:szCs w:val="24"/>
        </w:rPr>
        <w:t xml:space="preserve">95B, </w:t>
      </w:r>
      <w:r w:rsidR="00DD0756" w:rsidRPr="00721B64">
        <w:rPr>
          <w:rFonts w:asciiTheme="minorHAnsi" w:hAnsiTheme="minorHAnsi"/>
          <w:color w:val="auto"/>
          <w:szCs w:val="24"/>
        </w:rPr>
        <w:t>Military Policeman), medically separated from the Army in 2004 for</w:t>
      </w:r>
      <w:r w:rsidR="00F43A64" w:rsidRPr="00721B64">
        <w:rPr>
          <w:rFonts w:asciiTheme="minorHAnsi" w:hAnsiTheme="minorHAnsi"/>
          <w:color w:val="auto"/>
          <w:szCs w:val="24"/>
        </w:rPr>
        <w:t xml:space="preserve"> a</w:t>
      </w:r>
      <w:r w:rsidR="00DD0756" w:rsidRPr="00721B64">
        <w:rPr>
          <w:rFonts w:asciiTheme="minorHAnsi" w:hAnsiTheme="minorHAnsi"/>
          <w:color w:val="auto"/>
          <w:szCs w:val="24"/>
        </w:rPr>
        <w:t xml:space="preserve"> </w:t>
      </w:r>
      <w:r w:rsidR="00F43A64" w:rsidRPr="00721B64">
        <w:rPr>
          <w:rFonts w:asciiTheme="minorHAnsi" w:hAnsiTheme="minorHAnsi"/>
          <w:color w:val="auto"/>
          <w:szCs w:val="24"/>
        </w:rPr>
        <w:t xml:space="preserve">right tibia and fibula </w:t>
      </w:r>
      <w:r w:rsidR="00E85DDB">
        <w:rPr>
          <w:rFonts w:asciiTheme="minorHAnsi" w:hAnsiTheme="minorHAnsi"/>
          <w:color w:val="auto"/>
          <w:szCs w:val="24"/>
        </w:rPr>
        <w:t>(</w:t>
      </w:r>
      <w:proofErr w:type="spellStart"/>
      <w:r w:rsidR="00522823">
        <w:rPr>
          <w:rFonts w:asciiTheme="minorHAnsi" w:hAnsiTheme="minorHAnsi"/>
          <w:color w:val="auto"/>
          <w:szCs w:val="24"/>
        </w:rPr>
        <w:t>t</w:t>
      </w:r>
      <w:r w:rsidR="00E85DDB">
        <w:rPr>
          <w:rFonts w:asciiTheme="minorHAnsi" w:hAnsiTheme="minorHAnsi"/>
          <w:color w:val="auto"/>
          <w:szCs w:val="24"/>
        </w:rPr>
        <w:t>ib</w:t>
      </w:r>
      <w:proofErr w:type="spellEnd"/>
      <w:r w:rsidR="00E85DDB">
        <w:rPr>
          <w:rFonts w:asciiTheme="minorHAnsi" w:hAnsiTheme="minorHAnsi"/>
          <w:color w:val="auto"/>
          <w:szCs w:val="24"/>
        </w:rPr>
        <w:t>/</w:t>
      </w:r>
      <w:r w:rsidR="00522823">
        <w:rPr>
          <w:rFonts w:asciiTheme="minorHAnsi" w:hAnsiTheme="minorHAnsi"/>
          <w:color w:val="auto"/>
          <w:szCs w:val="24"/>
        </w:rPr>
        <w:t>f</w:t>
      </w:r>
      <w:r w:rsidR="00DD0756" w:rsidRPr="00721B64">
        <w:rPr>
          <w:rFonts w:asciiTheme="minorHAnsi" w:hAnsiTheme="minorHAnsi"/>
          <w:color w:val="auto"/>
          <w:szCs w:val="24"/>
        </w:rPr>
        <w:t xml:space="preserve">ib) </w:t>
      </w:r>
      <w:r w:rsidR="00F43A64" w:rsidRPr="00721B64">
        <w:rPr>
          <w:rFonts w:asciiTheme="minorHAnsi" w:hAnsiTheme="minorHAnsi"/>
          <w:color w:val="auto"/>
          <w:szCs w:val="24"/>
        </w:rPr>
        <w:t>fracture</w:t>
      </w:r>
      <w:r w:rsidR="00DD0756" w:rsidRPr="00721B64">
        <w:rPr>
          <w:rFonts w:asciiTheme="minorHAnsi" w:hAnsiTheme="minorHAnsi"/>
          <w:i/>
          <w:color w:val="auto"/>
          <w:szCs w:val="24"/>
        </w:rPr>
        <w:t>.</w:t>
      </w:r>
      <w:r w:rsidR="00F43A64" w:rsidRPr="00721B64">
        <w:rPr>
          <w:rFonts w:asciiTheme="minorHAnsi" w:hAnsiTheme="minorHAnsi"/>
          <w:color w:val="auto"/>
          <w:szCs w:val="24"/>
        </w:rPr>
        <w:t xml:space="preserve">  </w:t>
      </w:r>
      <w:r w:rsidR="00DD0756" w:rsidRPr="00721B64">
        <w:rPr>
          <w:rFonts w:asciiTheme="minorHAnsi" w:hAnsiTheme="minorHAnsi"/>
          <w:color w:val="auto"/>
          <w:szCs w:val="24"/>
        </w:rPr>
        <w:t xml:space="preserve">After injuring his right </w:t>
      </w:r>
      <w:r w:rsidR="00CB6CD4" w:rsidRPr="00721B64">
        <w:rPr>
          <w:rFonts w:asciiTheme="minorHAnsi" w:hAnsiTheme="minorHAnsi"/>
          <w:color w:val="auto"/>
          <w:szCs w:val="24"/>
        </w:rPr>
        <w:t xml:space="preserve">lower </w:t>
      </w:r>
      <w:r w:rsidR="00DD0756" w:rsidRPr="00721B64">
        <w:rPr>
          <w:rFonts w:asciiTheme="minorHAnsi" w:hAnsiTheme="minorHAnsi"/>
          <w:color w:val="auto"/>
          <w:szCs w:val="24"/>
        </w:rPr>
        <w:t>leg in a motorcycle accident</w:t>
      </w:r>
      <w:r w:rsidR="00CB6CD4" w:rsidRPr="00721B64">
        <w:rPr>
          <w:rFonts w:asciiTheme="minorHAnsi" w:hAnsiTheme="minorHAnsi"/>
          <w:color w:val="auto"/>
          <w:szCs w:val="24"/>
        </w:rPr>
        <w:t>,</w:t>
      </w:r>
      <w:r w:rsidR="00DD0756" w:rsidRPr="00721B64">
        <w:rPr>
          <w:rFonts w:asciiTheme="minorHAnsi" w:hAnsiTheme="minorHAnsi"/>
          <w:color w:val="auto"/>
          <w:szCs w:val="24"/>
        </w:rPr>
        <w:t xml:space="preserve"> the CI underwent a number of surgeries, did not respond adequately to treatment and was unable to perform within his </w:t>
      </w:r>
      <w:r w:rsidR="00522823">
        <w:rPr>
          <w:rFonts w:asciiTheme="minorHAnsi" w:hAnsiTheme="minorHAnsi"/>
          <w:color w:val="auto"/>
          <w:szCs w:val="24"/>
        </w:rPr>
        <w:t>m</w:t>
      </w:r>
      <w:r w:rsidR="00F43A64" w:rsidRPr="00721B64">
        <w:rPr>
          <w:rFonts w:asciiTheme="minorHAnsi" w:hAnsiTheme="minorHAnsi"/>
          <w:color w:val="auto"/>
          <w:szCs w:val="24"/>
        </w:rPr>
        <w:t xml:space="preserve">ilitary </w:t>
      </w:r>
      <w:r w:rsidR="00522823">
        <w:rPr>
          <w:rFonts w:asciiTheme="minorHAnsi" w:hAnsiTheme="minorHAnsi"/>
          <w:color w:val="auto"/>
          <w:szCs w:val="24"/>
        </w:rPr>
        <w:t>o</w:t>
      </w:r>
      <w:r w:rsidR="00F43A64" w:rsidRPr="00721B64">
        <w:rPr>
          <w:rFonts w:asciiTheme="minorHAnsi" w:hAnsiTheme="minorHAnsi"/>
          <w:color w:val="auto"/>
          <w:szCs w:val="24"/>
        </w:rPr>
        <w:t xml:space="preserve">ccupational </w:t>
      </w:r>
      <w:r w:rsidR="00522823">
        <w:rPr>
          <w:rFonts w:asciiTheme="minorHAnsi" w:hAnsiTheme="minorHAnsi"/>
          <w:color w:val="auto"/>
          <w:szCs w:val="24"/>
        </w:rPr>
        <w:t>s</w:t>
      </w:r>
      <w:r w:rsidR="00F43A64" w:rsidRPr="00721B64">
        <w:rPr>
          <w:rFonts w:asciiTheme="minorHAnsi" w:hAnsiTheme="minorHAnsi"/>
          <w:color w:val="auto"/>
          <w:szCs w:val="24"/>
        </w:rPr>
        <w:t>pecialty (MOS) or</w:t>
      </w:r>
      <w:r w:rsidR="00DD0756" w:rsidRPr="00721B64">
        <w:rPr>
          <w:rFonts w:asciiTheme="minorHAnsi" w:hAnsiTheme="minorHAnsi"/>
          <w:color w:val="auto"/>
          <w:szCs w:val="24"/>
        </w:rPr>
        <w:t xml:space="preserve"> </w:t>
      </w:r>
      <w:r w:rsidR="00F43A64" w:rsidRPr="00721B64">
        <w:rPr>
          <w:rFonts w:asciiTheme="minorHAnsi" w:hAnsiTheme="minorHAnsi"/>
          <w:color w:val="auto"/>
          <w:szCs w:val="24"/>
        </w:rPr>
        <w:t xml:space="preserve">meet physical fitness standards.  He </w:t>
      </w:r>
      <w:r w:rsidR="00DD0756" w:rsidRPr="00721B64">
        <w:rPr>
          <w:rFonts w:asciiTheme="minorHAnsi" w:hAnsiTheme="minorHAnsi"/>
          <w:color w:val="auto"/>
          <w:szCs w:val="24"/>
        </w:rPr>
        <w:t xml:space="preserve">was issued a permanent L3 profile and underwent a Medical Evaluation Board (MEB). </w:t>
      </w:r>
      <w:r w:rsidR="00F43A64" w:rsidRPr="00721B64">
        <w:rPr>
          <w:rFonts w:asciiTheme="minorHAnsi" w:hAnsiTheme="minorHAnsi"/>
          <w:color w:val="auto"/>
          <w:szCs w:val="24"/>
        </w:rPr>
        <w:t xml:space="preserve"> </w:t>
      </w:r>
      <w:r w:rsidR="00E85DDB">
        <w:rPr>
          <w:rFonts w:asciiTheme="minorHAnsi" w:hAnsiTheme="minorHAnsi"/>
          <w:color w:val="auto"/>
          <w:szCs w:val="24"/>
        </w:rPr>
        <w:t xml:space="preserve">Right </w:t>
      </w:r>
      <w:proofErr w:type="spellStart"/>
      <w:r w:rsidR="00E85DDB">
        <w:rPr>
          <w:rFonts w:asciiTheme="minorHAnsi" w:hAnsiTheme="minorHAnsi"/>
          <w:color w:val="auto"/>
          <w:szCs w:val="24"/>
        </w:rPr>
        <w:t>tib</w:t>
      </w:r>
      <w:proofErr w:type="spellEnd"/>
      <w:r w:rsidR="00522823">
        <w:rPr>
          <w:rFonts w:asciiTheme="minorHAnsi" w:hAnsiTheme="minorHAnsi"/>
          <w:color w:val="auto"/>
          <w:szCs w:val="24"/>
        </w:rPr>
        <w:t>/</w:t>
      </w:r>
      <w:r w:rsidR="00E85DDB">
        <w:rPr>
          <w:rFonts w:asciiTheme="minorHAnsi" w:hAnsiTheme="minorHAnsi"/>
          <w:color w:val="auto"/>
          <w:szCs w:val="24"/>
        </w:rPr>
        <w:t>fib f</w:t>
      </w:r>
      <w:r w:rsidR="00DD0756" w:rsidRPr="00721B64">
        <w:rPr>
          <w:rFonts w:asciiTheme="minorHAnsi" w:hAnsiTheme="minorHAnsi"/>
          <w:color w:val="auto"/>
          <w:szCs w:val="24"/>
        </w:rPr>
        <w:t xml:space="preserve">racture was forwarded to the Physical Evaluation Board (PEB) as medically unacceptable IAW AR 40-501. </w:t>
      </w:r>
      <w:r w:rsidR="00CB6CD4" w:rsidRPr="00721B64">
        <w:rPr>
          <w:rFonts w:asciiTheme="minorHAnsi" w:hAnsiTheme="minorHAnsi"/>
          <w:color w:val="auto"/>
          <w:szCs w:val="24"/>
        </w:rPr>
        <w:t xml:space="preserve"> </w:t>
      </w:r>
      <w:r w:rsidR="00DD0756" w:rsidRPr="00721B64">
        <w:rPr>
          <w:rFonts w:asciiTheme="minorHAnsi" w:hAnsiTheme="minorHAnsi"/>
          <w:color w:val="auto"/>
          <w:szCs w:val="24"/>
        </w:rPr>
        <w:t xml:space="preserve">One other condition, </w:t>
      </w:r>
      <w:r w:rsidR="00522823" w:rsidRPr="00721B64">
        <w:rPr>
          <w:rFonts w:asciiTheme="minorHAnsi" w:hAnsiTheme="minorHAnsi"/>
          <w:color w:val="auto"/>
          <w:szCs w:val="24"/>
        </w:rPr>
        <w:t>anxiety disorder</w:t>
      </w:r>
      <w:r w:rsidR="00DD0756" w:rsidRPr="00721B64">
        <w:rPr>
          <w:rFonts w:asciiTheme="minorHAnsi" w:hAnsiTheme="minorHAnsi"/>
          <w:color w:val="auto"/>
          <w:szCs w:val="24"/>
        </w:rPr>
        <w:t xml:space="preserve">, was forwarded on the MEB submission as </w:t>
      </w:r>
      <w:r w:rsidR="00F43A64" w:rsidRPr="00721B64">
        <w:rPr>
          <w:rFonts w:asciiTheme="minorHAnsi" w:hAnsiTheme="minorHAnsi"/>
          <w:color w:val="auto"/>
          <w:szCs w:val="24"/>
        </w:rPr>
        <w:t xml:space="preserve">a </w:t>
      </w:r>
      <w:r w:rsidR="00DD0756" w:rsidRPr="00721B64">
        <w:rPr>
          <w:rFonts w:asciiTheme="minorHAnsi" w:hAnsiTheme="minorHAnsi"/>
          <w:color w:val="auto"/>
          <w:szCs w:val="24"/>
        </w:rPr>
        <w:t xml:space="preserve">medically acceptable condition. </w:t>
      </w:r>
      <w:r w:rsidR="00CB6CD4" w:rsidRPr="00721B64">
        <w:rPr>
          <w:rFonts w:asciiTheme="minorHAnsi" w:hAnsiTheme="minorHAnsi"/>
          <w:color w:val="auto"/>
          <w:szCs w:val="24"/>
        </w:rPr>
        <w:t xml:space="preserve"> </w:t>
      </w:r>
      <w:r w:rsidR="00DD0756" w:rsidRPr="00721B64">
        <w:rPr>
          <w:rFonts w:asciiTheme="minorHAnsi" w:hAnsiTheme="minorHAnsi"/>
          <w:color w:val="auto"/>
          <w:szCs w:val="24"/>
        </w:rPr>
        <w:t>The infor</w:t>
      </w:r>
      <w:r w:rsidR="00E85DDB">
        <w:rPr>
          <w:rFonts w:asciiTheme="minorHAnsi" w:hAnsiTheme="minorHAnsi"/>
          <w:color w:val="auto"/>
          <w:szCs w:val="24"/>
        </w:rPr>
        <w:t xml:space="preserve">mal PEB (IPEB) adjudicated the right </w:t>
      </w:r>
      <w:proofErr w:type="spellStart"/>
      <w:r w:rsidR="00522823">
        <w:rPr>
          <w:rFonts w:asciiTheme="minorHAnsi" w:hAnsiTheme="minorHAnsi"/>
          <w:color w:val="auto"/>
          <w:szCs w:val="24"/>
        </w:rPr>
        <w:t>t</w:t>
      </w:r>
      <w:r w:rsidR="00E85DDB">
        <w:rPr>
          <w:rFonts w:asciiTheme="minorHAnsi" w:hAnsiTheme="minorHAnsi"/>
          <w:color w:val="auto"/>
          <w:szCs w:val="24"/>
        </w:rPr>
        <w:t>ib</w:t>
      </w:r>
      <w:proofErr w:type="spellEnd"/>
      <w:r w:rsidR="00E85DDB">
        <w:rPr>
          <w:rFonts w:asciiTheme="minorHAnsi" w:hAnsiTheme="minorHAnsi"/>
          <w:color w:val="auto"/>
          <w:szCs w:val="24"/>
        </w:rPr>
        <w:t>/</w:t>
      </w:r>
      <w:r w:rsidR="00522823">
        <w:rPr>
          <w:rFonts w:asciiTheme="minorHAnsi" w:hAnsiTheme="minorHAnsi"/>
          <w:color w:val="auto"/>
          <w:szCs w:val="24"/>
        </w:rPr>
        <w:t>f</w:t>
      </w:r>
      <w:r w:rsidR="00DD0756" w:rsidRPr="00721B64">
        <w:rPr>
          <w:rFonts w:asciiTheme="minorHAnsi" w:hAnsiTheme="minorHAnsi"/>
          <w:color w:val="auto"/>
          <w:szCs w:val="24"/>
        </w:rPr>
        <w:t xml:space="preserve">ib </w:t>
      </w:r>
      <w:r w:rsidR="00522823">
        <w:rPr>
          <w:rFonts w:asciiTheme="minorHAnsi" w:hAnsiTheme="minorHAnsi"/>
          <w:color w:val="auto"/>
          <w:szCs w:val="24"/>
        </w:rPr>
        <w:t>f</w:t>
      </w:r>
      <w:r w:rsidR="00DD0756" w:rsidRPr="00721B64">
        <w:rPr>
          <w:rFonts w:asciiTheme="minorHAnsi" w:hAnsiTheme="minorHAnsi"/>
          <w:color w:val="auto"/>
          <w:szCs w:val="24"/>
        </w:rPr>
        <w:t>racture condition as unfitting, rated 20</w:t>
      </w:r>
      <w:r w:rsidR="000C237E" w:rsidRPr="00721B64">
        <w:rPr>
          <w:rFonts w:asciiTheme="minorHAnsi" w:hAnsiTheme="minorHAnsi"/>
          <w:color w:val="auto"/>
          <w:szCs w:val="24"/>
        </w:rPr>
        <w:t>%</w:t>
      </w:r>
      <w:r w:rsidR="00DD0756" w:rsidRPr="00721B64">
        <w:rPr>
          <w:rFonts w:asciiTheme="minorHAnsi" w:hAnsiTheme="minorHAnsi"/>
          <w:color w:val="auto"/>
          <w:szCs w:val="24"/>
        </w:rPr>
        <w:t xml:space="preserve"> with application of the US Army Physical Disability Agency pain policy. </w:t>
      </w:r>
      <w:r w:rsidR="000C237E" w:rsidRPr="00721B64">
        <w:rPr>
          <w:rFonts w:asciiTheme="minorHAnsi" w:hAnsiTheme="minorHAnsi"/>
          <w:color w:val="auto"/>
          <w:szCs w:val="24"/>
        </w:rPr>
        <w:t xml:space="preserve"> </w:t>
      </w:r>
      <w:r w:rsidR="00DD0756" w:rsidRPr="00721B64">
        <w:rPr>
          <w:rFonts w:asciiTheme="minorHAnsi" w:hAnsiTheme="minorHAnsi"/>
          <w:color w:val="auto"/>
        </w:rPr>
        <w:t xml:space="preserve">The CI appealed to </w:t>
      </w:r>
      <w:r w:rsidR="00CB6CD4" w:rsidRPr="00721B64">
        <w:rPr>
          <w:rFonts w:asciiTheme="minorHAnsi" w:hAnsiTheme="minorHAnsi"/>
          <w:color w:val="auto"/>
        </w:rPr>
        <w:t xml:space="preserve">the formal </w:t>
      </w:r>
      <w:r w:rsidR="00DD0756" w:rsidRPr="00721B64">
        <w:rPr>
          <w:rFonts w:asciiTheme="minorHAnsi" w:hAnsiTheme="minorHAnsi"/>
          <w:color w:val="auto"/>
        </w:rPr>
        <w:t>PEB</w:t>
      </w:r>
      <w:r w:rsidR="00F81327">
        <w:rPr>
          <w:rFonts w:asciiTheme="minorHAnsi" w:hAnsiTheme="minorHAnsi"/>
          <w:color w:val="auto"/>
        </w:rPr>
        <w:t xml:space="preserve"> (FPEB)</w:t>
      </w:r>
      <w:r w:rsidR="00CB6CD4" w:rsidRPr="00721B64">
        <w:rPr>
          <w:rFonts w:asciiTheme="minorHAnsi" w:hAnsiTheme="minorHAnsi"/>
          <w:color w:val="auto"/>
        </w:rPr>
        <w:t>, which made no rating changes</w:t>
      </w:r>
      <w:r w:rsidR="00DD0756" w:rsidRPr="00721B64">
        <w:rPr>
          <w:rFonts w:asciiTheme="minorHAnsi" w:hAnsiTheme="minorHAnsi"/>
          <w:color w:val="auto"/>
        </w:rPr>
        <w:t xml:space="preserve"> and </w:t>
      </w:r>
      <w:r w:rsidR="00CB6CD4" w:rsidRPr="00721B64">
        <w:rPr>
          <w:rFonts w:asciiTheme="minorHAnsi" w:hAnsiTheme="minorHAnsi"/>
          <w:color w:val="auto"/>
        </w:rPr>
        <w:t xml:space="preserve">the CI </w:t>
      </w:r>
      <w:r w:rsidR="00DD0756" w:rsidRPr="00721B64">
        <w:rPr>
          <w:rFonts w:asciiTheme="minorHAnsi" w:hAnsiTheme="minorHAnsi"/>
          <w:color w:val="auto"/>
        </w:rPr>
        <w:t>was medically separated with a 20% disability rating.</w:t>
      </w:r>
    </w:p>
    <w:p w:rsidR="005052D4" w:rsidRPr="00721B6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721B64" w:rsidRDefault="0085089F" w:rsidP="00CB6CD4">
      <w:pPr>
        <w:tabs>
          <w:tab w:val="left" w:pos="288"/>
          <w:tab w:val="left" w:pos="4752"/>
        </w:tabs>
        <w:spacing w:line="240" w:lineRule="exact"/>
        <w:jc w:val="both"/>
        <w:rPr>
          <w:rFonts w:asciiTheme="minorHAnsi" w:hAnsiTheme="minorHAnsi"/>
          <w:color w:val="auto"/>
          <w:u w:val="single"/>
        </w:rPr>
      </w:pPr>
    </w:p>
    <w:p w:rsidR="00F55252" w:rsidRPr="00721B64" w:rsidRDefault="002C6E5B" w:rsidP="00CB6CD4">
      <w:pPr>
        <w:tabs>
          <w:tab w:val="left" w:pos="288"/>
          <w:tab w:val="left" w:pos="4752"/>
        </w:tabs>
        <w:spacing w:line="240" w:lineRule="exact"/>
        <w:jc w:val="both"/>
        <w:rPr>
          <w:rFonts w:asciiTheme="minorHAnsi" w:hAnsiTheme="minorHAnsi"/>
          <w:color w:val="auto"/>
        </w:rPr>
      </w:pPr>
      <w:r w:rsidRPr="00721B64">
        <w:rPr>
          <w:rFonts w:ascii="Calibri" w:hAnsi="Calibri"/>
          <w:color w:val="auto"/>
          <w:u w:val="single"/>
        </w:rPr>
        <w:t>CI CONTENTION</w:t>
      </w:r>
      <w:r w:rsidRPr="00721B64">
        <w:rPr>
          <w:rFonts w:ascii="Calibri" w:hAnsi="Calibri"/>
          <w:color w:val="auto"/>
        </w:rPr>
        <w:t xml:space="preserve">:  </w:t>
      </w:r>
      <w:r w:rsidR="00996E27" w:rsidRPr="00721B64">
        <w:rPr>
          <w:rFonts w:asciiTheme="minorHAnsi" w:hAnsiTheme="minorHAnsi"/>
          <w:color w:val="auto"/>
        </w:rPr>
        <w:t xml:space="preserve">“I am writing you this letter in response to the decisions of my medical board. </w:t>
      </w:r>
      <w:r w:rsidR="00CB6CD4" w:rsidRPr="00721B64">
        <w:rPr>
          <w:rFonts w:asciiTheme="minorHAnsi" w:hAnsiTheme="minorHAnsi"/>
          <w:color w:val="auto"/>
        </w:rPr>
        <w:t xml:space="preserve"> </w:t>
      </w:r>
      <w:r w:rsidR="00996E27" w:rsidRPr="00721B64">
        <w:rPr>
          <w:rFonts w:asciiTheme="minorHAnsi" w:hAnsiTheme="minorHAnsi"/>
          <w:color w:val="auto"/>
        </w:rPr>
        <w:t xml:space="preserve">I believe there has been </w:t>
      </w:r>
      <w:proofErr w:type="gramStart"/>
      <w:r w:rsidR="00996E27" w:rsidRPr="00721B64">
        <w:rPr>
          <w:rFonts w:asciiTheme="minorHAnsi" w:hAnsiTheme="minorHAnsi"/>
          <w:color w:val="auto"/>
        </w:rPr>
        <w:t>a</w:t>
      </w:r>
      <w:proofErr w:type="gramEnd"/>
      <w:r w:rsidR="00996E27" w:rsidRPr="00721B64">
        <w:rPr>
          <w:rFonts w:asciiTheme="minorHAnsi" w:hAnsiTheme="minorHAnsi"/>
          <w:color w:val="auto"/>
        </w:rPr>
        <w:t xml:space="preserve"> era </w:t>
      </w:r>
      <w:r w:rsidR="00F55252" w:rsidRPr="00721B64">
        <w:rPr>
          <w:rFonts w:asciiTheme="minorHAnsi" w:hAnsiTheme="minorHAnsi"/>
          <w:color w:val="auto"/>
        </w:rPr>
        <w:t xml:space="preserve">[sic] </w:t>
      </w:r>
      <w:r w:rsidR="00996E27" w:rsidRPr="00721B64">
        <w:rPr>
          <w:rFonts w:asciiTheme="minorHAnsi" w:hAnsiTheme="minorHAnsi"/>
          <w:color w:val="auto"/>
        </w:rPr>
        <w:t xml:space="preserve">when I was rated. </w:t>
      </w:r>
      <w:r w:rsidR="00F43A64" w:rsidRPr="00721B64">
        <w:rPr>
          <w:rFonts w:asciiTheme="minorHAnsi" w:hAnsiTheme="minorHAnsi"/>
          <w:color w:val="auto"/>
        </w:rPr>
        <w:t xml:space="preserve"> </w:t>
      </w:r>
      <w:r w:rsidR="00996E27" w:rsidRPr="00721B64">
        <w:rPr>
          <w:rFonts w:asciiTheme="minorHAnsi" w:hAnsiTheme="minorHAnsi"/>
          <w:color w:val="auto"/>
        </w:rPr>
        <w:t xml:space="preserve">I was not rated on PTSD, or the </w:t>
      </w:r>
      <w:r w:rsidR="00522823">
        <w:rPr>
          <w:rFonts w:asciiTheme="minorHAnsi" w:hAnsiTheme="minorHAnsi"/>
          <w:color w:val="auto"/>
        </w:rPr>
        <w:t>m</w:t>
      </w:r>
      <w:r w:rsidR="00996E27" w:rsidRPr="00721B64">
        <w:rPr>
          <w:rFonts w:asciiTheme="minorHAnsi" w:hAnsiTheme="minorHAnsi"/>
          <w:color w:val="auto"/>
        </w:rPr>
        <w:t>igraine headache that I have been having that still persist</w:t>
      </w:r>
      <w:r w:rsidR="00D94549">
        <w:rPr>
          <w:rFonts w:asciiTheme="minorHAnsi" w:hAnsiTheme="minorHAnsi"/>
          <w:color w:val="auto"/>
        </w:rPr>
        <w:t>s</w:t>
      </w:r>
      <w:r w:rsidR="00996E27" w:rsidRPr="00721B64">
        <w:rPr>
          <w:rFonts w:asciiTheme="minorHAnsi" w:hAnsiTheme="minorHAnsi"/>
          <w:color w:val="auto"/>
        </w:rPr>
        <w:t xml:space="preserve"> today.</w:t>
      </w:r>
      <w:r w:rsidR="00F55252" w:rsidRPr="00721B64">
        <w:rPr>
          <w:rFonts w:asciiTheme="minorHAnsi" w:hAnsiTheme="minorHAnsi"/>
          <w:color w:val="auto"/>
        </w:rPr>
        <w:t>”</w:t>
      </w:r>
      <w:r w:rsidR="00996E27" w:rsidRPr="00721B64">
        <w:rPr>
          <w:rFonts w:asciiTheme="minorHAnsi" w:hAnsiTheme="minorHAnsi"/>
          <w:color w:val="auto"/>
        </w:rPr>
        <w:t xml:space="preserve"> </w:t>
      </w:r>
      <w:r w:rsidR="00F43A64" w:rsidRPr="00721B64">
        <w:rPr>
          <w:rFonts w:asciiTheme="minorHAnsi" w:hAnsiTheme="minorHAnsi"/>
          <w:color w:val="auto"/>
        </w:rPr>
        <w:t xml:space="preserve"> </w:t>
      </w:r>
      <w:r w:rsidR="00F55252" w:rsidRPr="00721B64">
        <w:rPr>
          <w:rFonts w:asciiTheme="minorHAnsi" w:hAnsiTheme="minorHAnsi"/>
          <w:color w:val="auto"/>
        </w:rPr>
        <w:t xml:space="preserve">He goes on to explain that he believes that his headache condition is linked to a hyperthermic event he experienced during a blood transfusion and </w:t>
      </w:r>
      <w:r w:rsidR="006743E5" w:rsidRPr="00721B64">
        <w:rPr>
          <w:rFonts w:asciiTheme="minorHAnsi" w:hAnsiTheme="minorHAnsi"/>
          <w:color w:val="auto"/>
        </w:rPr>
        <w:t xml:space="preserve">claims </w:t>
      </w:r>
      <w:r w:rsidR="00F55252" w:rsidRPr="00721B64">
        <w:rPr>
          <w:rFonts w:asciiTheme="minorHAnsi" w:hAnsiTheme="minorHAnsi"/>
          <w:color w:val="auto"/>
        </w:rPr>
        <w:t>that he is now diagnosed with PTSD.</w:t>
      </w:r>
    </w:p>
    <w:p w:rsidR="002E289F" w:rsidRPr="00721B64" w:rsidRDefault="00CB6CD4" w:rsidP="002E289F">
      <w:pPr>
        <w:tabs>
          <w:tab w:val="left" w:pos="288"/>
          <w:tab w:val="left" w:pos="4752"/>
        </w:tabs>
        <w:spacing w:line="240" w:lineRule="exact"/>
        <w:jc w:val="both"/>
        <w:rPr>
          <w:rFonts w:asciiTheme="minorHAnsi" w:hAnsiTheme="minorHAnsi"/>
          <w:b/>
          <w:caps/>
          <w:color w:val="auto"/>
          <w:u w:val="single"/>
        </w:rPr>
      </w:pPr>
      <w:r w:rsidRPr="00721B64">
        <w:rPr>
          <w:rFonts w:asciiTheme="minorHAnsi" w:hAnsiTheme="minorHAnsi"/>
          <w:b/>
          <w:color w:val="auto"/>
          <w:u w:val="single"/>
        </w:rPr>
        <w:t>__</w:t>
      </w:r>
      <w:r w:rsidR="002E289F" w:rsidRPr="00721B64">
        <w:rPr>
          <w:rFonts w:asciiTheme="minorHAnsi" w:hAnsiTheme="minorHAnsi"/>
          <w:b/>
          <w:color w:val="auto"/>
          <w:u w:val="single"/>
        </w:rPr>
        <w:t>__</w:t>
      </w:r>
      <w:r w:rsidRPr="00721B64">
        <w:rPr>
          <w:rFonts w:asciiTheme="minorHAnsi" w:hAnsiTheme="minorHAnsi"/>
          <w:b/>
          <w:color w:val="auto"/>
          <w:u w:val="single"/>
        </w:rPr>
        <w:t>_</w:t>
      </w:r>
      <w:r w:rsidR="002E289F" w:rsidRPr="00721B64">
        <w:rPr>
          <w:rFonts w:asciiTheme="minorHAnsi" w:hAnsiTheme="minorHAnsi"/>
          <w:b/>
          <w:color w:val="auto"/>
          <w:u w:val="single"/>
        </w:rPr>
        <w:t>_________________________________________________________________________</w:t>
      </w:r>
    </w:p>
    <w:p w:rsidR="006544AF" w:rsidRPr="00721B64" w:rsidRDefault="006544AF" w:rsidP="00190E48">
      <w:pPr>
        <w:spacing w:line="240" w:lineRule="exact"/>
        <w:jc w:val="both"/>
        <w:rPr>
          <w:rFonts w:ascii="Calibri" w:hAnsi="Calibri"/>
          <w:color w:val="auto"/>
          <w:u w:val="single"/>
        </w:rPr>
      </w:pPr>
    </w:p>
    <w:p w:rsidR="002338CA" w:rsidRPr="00721B64" w:rsidRDefault="002C6E5B" w:rsidP="00190E48">
      <w:pPr>
        <w:spacing w:line="240" w:lineRule="exact"/>
        <w:jc w:val="both"/>
        <w:rPr>
          <w:rFonts w:ascii="Calibri" w:hAnsi="Calibri"/>
          <w:color w:val="auto"/>
        </w:rPr>
      </w:pPr>
      <w:r w:rsidRPr="00721B64">
        <w:rPr>
          <w:rFonts w:ascii="Calibri" w:hAnsi="Calibri"/>
          <w:color w:val="auto"/>
          <w:u w:val="single"/>
        </w:rPr>
        <w:t>RATING COMPARISON</w:t>
      </w:r>
      <w:r w:rsidRPr="00721B64">
        <w:rPr>
          <w:rFonts w:ascii="Calibri" w:hAnsi="Calibri"/>
          <w:color w:val="auto"/>
        </w:rPr>
        <w:t>:</w:t>
      </w:r>
    </w:p>
    <w:p w:rsidR="00F43A64" w:rsidRPr="00721B64" w:rsidRDefault="00F43A64" w:rsidP="00190E48">
      <w:pPr>
        <w:spacing w:line="240" w:lineRule="exact"/>
        <w:jc w:val="both"/>
        <w:rPr>
          <w:rFonts w:ascii="Calibri" w:hAnsi="Calibri"/>
          <w:color w:val="auto"/>
        </w:rPr>
      </w:pPr>
    </w:p>
    <w:tbl>
      <w:tblPr>
        <w:tblStyle w:val="TableGrid"/>
        <w:tblW w:w="9288" w:type="dxa"/>
        <w:jc w:val="center"/>
        <w:tblInd w:w="288" w:type="dxa"/>
        <w:tblLayout w:type="fixed"/>
        <w:tblLook w:val="04A0"/>
      </w:tblPr>
      <w:tblGrid>
        <w:gridCol w:w="2070"/>
        <w:gridCol w:w="900"/>
        <w:gridCol w:w="900"/>
        <w:gridCol w:w="2538"/>
        <w:gridCol w:w="972"/>
        <w:gridCol w:w="810"/>
        <w:gridCol w:w="1098"/>
      </w:tblGrid>
      <w:tr w:rsidR="00F43A64" w:rsidRPr="00721B64" w:rsidTr="00F55252">
        <w:trPr>
          <w:trHeight w:val="233"/>
          <w:jc w:val="center"/>
        </w:trPr>
        <w:tc>
          <w:tcPr>
            <w:tcW w:w="3870" w:type="dxa"/>
            <w:gridSpan w:val="3"/>
            <w:tcBorders>
              <w:right w:val="thinThickThinSmallGap" w:sz="24" w:space="0" w:color="auto"/>
            </w:tcBorders>
            <w:shd w:val="clear" w:color="auto" w:fill="D9D9D9" w:themeFill="background1" w:themeFillShade="D9"/>
            <w:vAlign w:val="center"/>
          </w:tcPr>
          <w:p w:rsidR="00F43A64" w:rsidRPr="00721B64" w:rsidRDefault="00F43A64" w:rsidP="006743E5">
            <w:pPr>
              <w:spacing w:line="200" w:lineRule="exact"/>
              <w:contextualSpacing/>
              <w:jc w:val="center"/>
              <w:rPr>
                <w:b/>
                <w:color w:val="auto"/>
                <w:sz w:val="20"/>
                <w:szCs w:val="20"/>
              </w:rPr>
            </w:pPr>
            <w:r w:rsidRPr="00721B64">
              <w:rPr>
                <w:b/>
                <w:color w:val="auto"/>
                <w:sz w:val="20"/>
                <w:szCs w:val="20"/>
              </w:rPr>
              <w:t>Service FPEB – Dated 200</w:t>
            </w:r>
            <w:r w:rsidR="006743E5" w:rsidRPr="00721B64">
              <w:rPr>
                <w:b/>
                <w:color w:val="auto"/>
                <w:sz w:val="20"/>
                <w:szCs w:val="20"/>
              </w:rPr>
              <w:t>40419</w:t>
            </w:r>
          </w:p>
        </w:tc>
        <w:tc>
          <w:tcPr>
            <w:tcW w:w="5418" w:type="dxa"/>
            <w:gridSpan w:val="4"/>
            <w:tcBorders>
              <w:left w:val="thinThickThinSmallGap" w:sz="24" w:space="0" w:color="auto"/>
            </w:tcBorders>
            <w:shd w:val="clear" w:color="auto" w:fill="D9D9D9" w:themeFill="background1" w:themeFillShade="D9"/>
            <w:vAlign w:val="center"/>
          </w:tcPr>
          <w:p w:rsidR="00F43A64" w:rsidRPr="00721B64" w:rsidRDefault="00F43A64" w:rsidP="00F55252">
            <w:pPr>
              <w:spacing w:line="200" w:lineRule="exact"/>
              <w:contextualSpacing/>
              <w:jc w:val="center"/>
              <w:rPr>
                <w:b/>
                <w:color w:val="auto"/>
                <w:sz w:val="20"/>
                <w:szCs w:val="20"/>
              </w:rPr>
            </w:pPr>
            <w:r w:rsidRPr="00721B64">
              <w:rPr>
                <w:b/>
                <w:color w:val="auto"/>
                <w:sz w:val="20"/>
                <w:szCs w:val="20"/>
              </w:rPr>
              <w:t>VA (</w:t>
            </w:r>
            <w:r w:rsidR="00F55252" w:rsidRPr="00721B64">
              <w:rPr>
                <w:b/>
                <w:color w:val="auto"/>
                <w:sz w:val="20"/>
                <w:szCs w:val="20"/>
              </w:rPr>
              <w:t>1</w:t>
            </w:r>
            <w:r w:rsidRPr="00721B64">
              <w:rPr>
                <w:b/>
                <w:color w:val="auto"/>
                <w:sz w:val="20"/>
                <w:szCs w:val="20"/>
              </w:rPr>
              <w:t xml:space="preserve"> Mo. After Separation) – All Effective Date </w:t>
            </w:r>
            <w:r w:rsidR="00F55252" w:rsidRPr="00721B64">
              <w:rPr>
                <w:b/>
                <w:color w:val="auto"/>
                <w:sz w:val="20"/>
                <w:szCs w:val="20"/>
              </w:rPr>
              <w:t>20040924</w:t>
            </w:r>
          </w:p>
        </w:tc>
      </w:tr>
      <w:tr w:rsidR="00F43A64" w:rsidRPr="00721B64" w:rsidTr="00F55252">
        <w:trPr>
          <w:trHeight w:val="278"/>
          <w:jc w:val="center"/>
        </w:trPr>
        <w:tc>
          <w:tcPr>
            <w:tcW w:w="2070" w:type="dxa"/>
            <w:tcBorders>
              <w:bottom w:val="single" w:sz="4" w:space="0" w:color="000000" w:themeColor="text1"/>
              <w:right w:val="single" w:sz="4" w:space="0" w:color="auto"/>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Condition</w:t>
            </w:r>
          </w:p>
        </w:tc>
        <w:tc>
          <w:tcPr>
            <w:tcW w:w="972" w:type="dxa"/>
            <w:tcBorders>
              <w:bottom w:val="single" w:sz="4" w:space="0" w:color="000000" w:themeColor="text1"/>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Rating</w:t>
            </w:r>
          </w:p>
        </w:tc>
        <w:tc>
          <w:tcPr>
            <w:tcW w:w="1098" w:type="dxa"/>
            <w:tcBorders>
              <w:bottom w:val="single" w:sz="4" w:space="0" w:color="000000" w:themeColor="text1"/>
            </w:tcBorders>
            <w:shd w:val="clear" w:color="auto" w:fill="D9D9D9" w:themeFill="background1" w:themeFillShade="D9"/>
            <w:vAlign w:val="center"/>
          </w:tcPr>
          <w:p w:rsidR="00F43A64" w:rsidRPr="00721B64" w:rsidRDefault="00F43A64" w:rsidP="00F43A64">
            <w:pPr>
              <w:spacing w:line="200" w:lineRule="exact"/>
              <w:contextualSpacing/>
              <w:jc w:val="center"/>
              <w:rPr>
                <w:b/>
                <w:color w:val="auto"/>
                <w:sz w:val="20"/>
                <w:szCs w:val="20"/>
              </w:rPr>
            </w:pPr>
            <w:r w:rsidRPr="00721B64">
              <w:rPr>
                <w:b/>
                <w:color w:val="auto"/>
                <w:sz w:val="20"/>
                <w:szCs w:val="20"/>
              </w:rPr>
              <w:t>Exam</w:t>
            </w:r>
          </w:p>
        </w:tc>
      </w:tr>
      <w:tr w:rsidR="00F43A64" w:rsidRPr="00721B64" w:rsidTr="00F55252">
        <w:trPr>
          <w:trHeight w:val="287"/>
          <w:jc w:val="center"/>
        </w:trPr>
        <w:tc>
          <w:tcPr>
            <w:tcW w:w="2070" w:type="dxa"/>
            <w:tcBorders>
              <w:right w:val="single" w:sz="4" w:space="0" w:color="auto"/>
            </w:tcBorders>
            <w:shd w:val="clear" w:color="auto" w:fill="FFFFFF" w:themeFill="background1"/>
            <w:vAlign w:val="center"/>
          </w:tcPr>
          <w:p w:rsidR="00F43A64" w:rsidRPr="00721B64" w:rsidRDefault="00F43A64" w:rsidP="00F43A64">
            <w:pPr>
              <w:spacing w:line="180" w:lineRule="exact"/>
              <w:contextualSpacing/>
              <w:rPr>
                <w:color w:val="auto"/>
                <w:sz w:val="18"/>
                <w:szCs w:val="18"/>
              </w:rPr>
            </w:pPr>
            <w:r w:rsidRPr="00721B64">
              <w:rPr>
                <w:color w:val="auto"/>
                <w:sz w:val="20"/>
                <w:szCs w:val="20"/>
              </w:rPr>
              <w:t xml:space="preserve">Right </w:t>
            </w:r>
            <w:proofErr w:type="spellStart"/>
            <w:r w:rsidRPr="00721B64">
              <w:rPr>
                <w:color w:val="auto"/>
                <w:sz w:val="20"/>
                <w:szCs w:val="20"/>
              </w:rPr>
              <w:t>Tib</w:t>
            </w:r>
            <w:proofErr w:type="spellEnd"/>
            <w:r w:rsidRPr="00721B64">
              <w:rPr>
                <w:color w:val="auto"/>
                <w:sz w:val="20"/>
                <w:szCs w:val="20"/>
              </w:rPr>
              <w:t>/Fib Fracture</w:t>
            </w:r>
          </w:p>
        </w:tc>
        <w:tc>
          <w:tcPr>
            <w:tcW w:w="900" w:type="dxa"/>
            <w:tcBorders>
              <w:left w:val="single" w:sz="4" w:space="0" w:color="auto"/>
            </w:tcBorders>
            <w:shd w:val="clear" w:color="auto" w:fill="FFFFFF" w:themeFill="background1"/>
            <w:vAlign w:val="center"/>
          </w:tcPr>
          <w:p w:rsidR="00F43A64" w:rsidRPr="00721B64" w:rsidRDefault="00F43A64" w:rsidP="00F43A64">
            <w:pPr>
              <w:spacing w:line="240" w:lineRule="exact"/>
              <w:contextualSpacing/>
              <w:jc w:val="center"/>
              <w:rPr>
                <w:color w:val="auto"/>
                <w:sz w:val="20"/>
                <w:szCs w:val="20"/>
              </w:rPr>
            </w:pPr>
            <w:r w:rsidRPr="00721B64">
              <w:rPr>
                <w:color w:val="auto"/>
                <w:sz w:val="20"/>
                <w:szCs w:val="20"/>
              </w:rPr>
              <w:t>5261</w:t>
            </w:r>
          </w:p>
        </w:tc>
        <w:tc>
          <w:tcPr>
            <w:tcW w:w="900" w:type="dxa"/>
            <w:tcBorders>
              <w:right w:val="thinThickThinSmallGap" w:sz="24" w:space="0" w:color="auto"/>
            </w:tcBorders>
            <w:shd w:val="clear" w:color="auto" w:fill="FFFFFF" w:themeFill="background1"/>
            <w:vAlign w:val="center"/>
          </w:tcPr>
          <w:p w:rsidR="00F43A64" w:rsidRPr="00721B64" w:rsidRDefault="00F43A64" w:rsidP="00F43A64">
            <w:pPr>
              <w:spacing w:line="240" w:lineRule="exact"/>
              <w:contextualSpacing/>
              <w:jc w:val="center"/>
              <w:rPr>
                <w:color w:val="auto"/>
                <w:sz w:val="20"/>
                <w:szCs w:val="20"/>
              </w:rPr>
            </w:pPr>
            <w:r w:rsidRPr="00721B64">
              <w:rPr>
                <w:color w:val="auto"/>
                <w:sz w:val="20"/>
                <w:szCs w:val="20"/>
              </w:rPr>
              <w:t>20%</w:t>
            </w:r>
          </w:p>
        </w:tc>
        <w:tc>
          <w:tcPr>
            <w:tcW w:w="2538" w:type="dxa"/>
            <w:tcBorders>
              <w:left w:val="thinThickThinSmallGap" w:sz="24" w:space="0" w:color="auto"/>
            </w:tcBorders>
            <w:shd w:val="clear" w:color="auto" w:fill="FFFFFF" w:themeFill="background1"/>
            <w:vAlign w:val="center"/>
          </w:tcPr>
          <w:p w:rsidR="00F43A64" w:rsidRPr="00721B64" w:rsidRDefault="00F43A64" w:rsidP="00F43A64">
            <w:pPr>
              <w:spacing w:line="180" w:lineRule="exact"/>
              <w:contextualSpacing/>
              <w:rPr>
                <w:color w:val="auto"/>
                <w:sz w:val="18"/>
                <w:szCs w:val="18"/>
              </w:rPr>
            </w:pPr>
            <w:r w:rsidRPr="00721B64">
              <w:rPr>
                <w:color w:val="auto"/>
                <w:sz w:val="20"/>
                <w:szCs w:val="20"/>
              </w:rPr>
              <w:t>Tibial Plateau Fracture</w:t>
            </w:r>
          </w:p>
        </w:tc>
        <w:tc>
          <w:tcPr>
            <w:tcW w:w="972" w:type="dxa"/>
            <w:shd w:val="clear" w:color="auto" w:fill="FFFFFF" w:themeFill="background1"/>
          </w:tcPr>
          <w:p w:rsidR="00F43A64" w:rsidRPr="00721B64" w:rsidRDefault="00F43A64" w:rsidP="00F43A64">
            <w:pPr>
              <w:spacing w:line="240" w:lineRule="exact"/>
              <w:contextualSpacing/>
              <w:jc w:val="center"/>
              <w:rPr>
                <w:color w:val="auto"/>
                <w:sz w:val="20"/>
                <w:szCs w:val="20"/>
              </w:rPr>
            </w:pPr>
            <w:r w:rsidRPr="00721B64">
              <w:rPr>
                <w:color w:val="auto"/>
                <w:sz w:val="20"/>
                <w:szCs w:val="20"/>
              </w:rPr>
              <w:t>5262</w:t>
            </w:r>
          </w:p>
        </w:tc>
        <w:tc>
          <w:tcPr>
            <w:tcW w:w="810" w:type="dxa"/>
            <w:shd w:val="clear" w:color="auto" w:fill="FFFFFF" w:themeFill="background1"/>
            <w:vAlign w:val="center"/>
          </w:tcPr>
          <w:p w:rsidR="00F43A64" w:rsidRPr="00721B64" w:rsidRDefault="00F43A64" w:rsidP="00F55252">
            <w:pPr>
              <w:spacing w:line="240" w:lineRule="exact"/>
              <w:contextualSpacing/>
              <w:jc w:val="center"/>
              <w:rPr>
                <w:color w:val="auto"/>
                <w:sz w:val="20"/>
                <w:szCs w:val="20"/>
              </w:rPr>
            </w:pPr>
            <w:r w:rsidRPr="00721B64">
              <w:rPr>
                <w:color w:val="auto"/>
                <w:sz w:val="20"/>
                <w:szCs w:val="20"/>
              </w:rPr>
              <w:t>30%</w:t>
            </w:r>
          </w:p>
        </w:tc>
        <w:tc>
          <w:tcPr>
            <w:tcW w:w="1098" w:type="dxa"/>
            <w:shd w:val="clear" w:color="auto" w:fill="FFFFFF" w:themeFill="background1"/>
            <w:vAlign w:val="center"/>
          </w:tcPr>
          <w:p w:rsidR="00F43A64" w:rsidRPr="00721B64" w:rsidRDefault="00F55252" w:rsidP="00F55252">
            <w:pPr>
              <w:spacing w:line="180" w:lineRule="exact"/>
              <w:contextualSpacing/>
              <w:jc w:val="center"/>
              <w:rPr>
                <w:color w:val="auto"/>
                <w:sz w:val="18"/>
                <w:szCs w:val="18"/>
              </w:rPr>
            </w:pPr>
            <w:r w:rsidRPr="00721B64">
              <w:rPr>
                <w:color w:val="auto"/>
                <w:sz w:val="20"/>
                <w:szCs w:val="20"/>
              </w:rPr>
              <w:t>20041019</w:t>
            </w:r>
          </w:p>
        </w:tc>
      </w:tr>
      <w:tr w:rsidR="007043CA" w:rsidRPr="00721B64" w:rsidTr="001C2752">
        <w:trPr>
          <w:trHeight w:val="287"/>
          <w:jc w:val="center"/>
        </w:trPr>
        <w:tc>
          <w:tcPr>
            <w:tcW w:w="2070" w:type="dxa"/>
            <w:tcBorders>
              <w:right w:val="single" w:sz="4" w:space="0" w:color="auto"/>
            </w:tcBorders>
            <w:shd w:val="clear" w:color="auto" w:fill="FFFFFF" w:themeFill="background1"/>
            <w:vAlign w:val="center"/>
          </w:tcPr>
          <w:p w:rsidR="007043CA" w:rsidRPr="00721B64" w:rsidRDefault="007043CA" w:rsidP="00F43A64">
            <w:pPr>
              <w:spacing w:line="180" w:lineRule="exact"/>
              <w:contextualSpacing/>
              <w:rPr>
                <w:color w:val="auto"/>
                <w:sz w:val="18"/>
                <w:szCs w:val="18"/>
              </w:rPr>
            </w:pPr>
            <w:r w:rsidRPr="00721B64">
              <w:rPr>
                <w:color w:val="auto"/>
                <w:sz w:val="20"/>
                <w:szCs w:val="20"/>
              </w:rPr>
              <w:t>Anxiety Disorder</w:t>
            </w:r>
          </w:p>
        </w:tc>
        <w:tc>
          <w:tcPr>
            <w:tcW w:w="1800" w:type="dxa"/>
            <w:gridSpan w:val="2"/>
            <w:tcBorders>
              <w:left w:val="single" w:sz="4" w:space="0" w:color="auto"/>
              <w:right w:val="thinThickThinSmallGap" w:sz="24" w:space="0" w:color="auto"/>
            </w:tcBorders>
            <w:shd w:val="clear" w:color="auto" w:fill="FFFFFF" w:themeFill="background1"/>
            <w:vAlign w:val="center"/>
          </w:tcPr>
          <w:p w:rsidR="007043CA" w:rsidRPr="00721B64" w:rsidRDefault="007043CA" w:rsidP="00F43A64">
            <w:pPr>
              <w:spacing w:line="180" w:lineRule="exact"/>
              <w:contextualSpacing/>
              <w:jc w:val="center"/>
              <w:rPr>
                <w:color w:val="auto"/>
                <w:sz w:val="18"/>
                <w:szCs w:val="18"/>
              </w:rPr>
            </w:pPr>
            <w:r w:rsidRPr="00721B64">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7043CA" w:rsidRPr="00721B64" w:rsidRDefault="007043CA" w:rsidP="00F43A64">
            <w:pPr>
              <w:spacing w:line="180" w:lineRule="exact"/>
              <w:contextualSpacing/>
              <w:rPr>
                <w:color w:val="auto"/>
                <w:sz w:val="18"/>
                <w:szCs w:val="18"/>
              </w:rPr>
            </w:pPr>
            <w:r w:rsidRPr="00721B64">
              <w:rPr>
                <w:color w:val="auto"/>
                <w:sz w:val="20"/>
              </w:rPr>
              <w:t>Psychiatric Disorder</w:t>
            </w:r>
          </w:p>
        </w:tc>
        <w:tc>
          <w:tcPr>
            <w:tcW w:w="1782" w:type="dxa"/>
            <w:gridSpan w:val="2"/>
            <w:tcBorders>
              <w:left w:val="single" w:sz="4" w:space="0" w:color="auto"/>
            </w:tcBorders>
            <w:shd w:val="clear" w:color="auto" w:fill="FFFFFF" w:themeFill="background1"/>
            <w:vAlign w:val="center"/>
          </w:tcPr>
          <w:p w:rsidR="007043CA" w:rsidRPr="00721B64" w:rsidRDefault="007043CA" w:rsidP="00F55252">
            <w:pPr>
              <w:spacing w:line="240" w:lineRule="exact"/>
              <w:contextualSpacing/>
              <w:jc w:val="center"/>
              <w:rPr>
                <w:color w:val="auto"/>
                <w:sz w:val="20"/>
                <w:szCs w:val="20"/>
              </w:rPr>
            </w:pPr>
            <w:r w:rsidRPr="00721B64">
              <w:rPr>
                <w:color w:val="auto"/>
                <w:sz w:val="20"/>
              </w:rPr>
              <w:t>NSC</w:t>
            </w:r>
          </w:p>
        </w:tc>
        <w:tc>
          <w:tcPr>
            <w:tcW w:w="1098" w:type="dxa"/>
            <w:shd w:val="clear" w:color="auto" w:fill="FFFFFF" w:themeFill="background1"/>
            <w:vAlign w:val="center"/>
          </w:tcPr>
          <w:p w:rsidR="007043CA" w:rsidRPr="00721B64" w:rsidRDefault="007043CA" w:rsidP="00F55252">
            <w:pPr>
              <w:spacing w:line="180" w:lineRule="exact"/>
              <w:contextualSpacing/>
              <w:jc w:val="center"/>
              <w:rPr>
                <w:color w:val="auto"/>
                <w:sz w:val="20"/>
                <w:szCs w:val="20"/>
              </w:rPr>
            </w:pPr>
            <w:r w:rsidRPr="00721B64">
              <w:rPr>
                <w:color w:val="auto"/>
                <w:sz w:val="20"/>
                <w:szCs w:val="20"/>
              </w:rPr>
              <w:t>20070628</w:t>
            </w:r>
          </w:p>
        </w:tc>
      </w:tr>
      <w:tr w:rsidR="00F55252" w:rsidRPr="00721B64" w:rsidTr="00F55252">
        <w:trPr>
          <w:trHeight w:val="287"/>
          <w:jc w:val="center"/>
        </w:trPr>
        <w:tc>
          <w:tcPr>
            <w:tcW w:w="2070" w:type="dxa"/>
            <w:tcBorders>
              <w:right w:val="single" w:sz="4" w:space="0" w:color="auto"/>
            </w:tcBorders>
            <w:shd w:val="clear" w:color="auto" w:fill="FFFFFF" w:themeFill="background1"/>
            <w:vAlign w:val="center"/>
          </w:tcPr>
          <w:p w:rsidR="00F55252" w:rsidRPr="00721B64" w:rsidRDefault="00F55252" w:rsidP="00F55252">
            <w:pPr>
              <w:spacing w:line="180" w:lineRule="exact"/>
              <w:contextualSpacing/>
              <w:rPr>
                <w:color w:val="auto"/>
                <w:sz w:val="20"/>
              </w:rPr>
            </w:pPr>
          </w:p>
        </w:tc>
        <w:tc>
          <w:tcPr>
            <w:tcW w:w="1800" w:type="dxa"/>
            <w:gridSpan w:val="2"/>
            <w:tcBorders>
              <w:left w:val="single" w:sz="4" w:space="0" w:color="auto"/>
              <w:right w:val="thinThickThinSmallGap" w:sz="24" w:space="0" w:color="auto"/>
            </w:tcBorders>
            <w:shd w:val="clear" w:color="auto" w:fill="FFFFFF" w:themeFill="background1"/>
            <w:vAlign w:val="center"/>
          </w:tcPr>
          <w:p w:rsidR="00F55252" w:rsidRPr="00721B64" w:rsidRDefault="00F55252" w:rsidP="00F55252">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55252" w:rsidRPr="00721B64" w:rsidRDefault="00F55252" w:rsidP="001C2752">
            <w:pPr>
              <w:spacing w:line="180" w:lineRule="exact"/>
              <w:contextualSpacing/>
              <w:rPr>
                <w:color w:val="auto"/>
                <w:sz w:val="18"/>
                <w:szCs w:val="18"/>
              </w:rPr>
            </w:pPr>
            <w:r w:rsidRPr="00721B64">
              <w:rPr>
                <w:color w:val="auto"/>
                <w:sz w:val="20"/>
                <w:szCs w:val="20"/>
              </w:rPr>
              <w:t>Low Back Pain</w:t>
            </w:r>
          </w:p>
        </w:tc>
        <w:tc>
          <w:tcPr>
            <w:tcW w:w="972" w:type="dxa"/>
            <w:tcBorders>
              <w:left w:val="single" w:sz="4" w:space="0" w:color="auto"/>
              <w:right w:val="single" w:sz="4" w:space="0" w:color="auto"/>
            </w:tcBorders>
            <w:shd w:val="clear" w:color="auto" w:fill="FFFFFF" w:themeFill="background1"/>
            <w:vAlign w:val="center"/>
          </w:tcPr>
          <w:p w:rsidR="00F55252" w:rsidRPr="00721B64" w:rsidRDefault="00F55252" w:rsidP="001C2752">
            <w:pPr>
              <w:spacing w:line="240" w:lineRule="exact"/>
              <w:contextualSpacing/>
              <w:jc w:val="center"/>
              <w:rPr>
                <w:color w:val="auto"/>
                <w:sz w:val="20"/>
                <w:szCs w:val="20"/>
              </w:rPr>
            </w:pPr>
            <w:r w:rsidRPr="00721B64">
              <w:rPr>
                <w:color w:val="auto"/>
                <w:sz w:val="20"/>
                <w:szCs w:val="20"/>
              </w:rPr>
              <w:t>5243</w:t>
            </w:r>
          </w:p>
        </w:tc>
        <w:tc>
          <w:tcPr>
            <w:tcW w:w="810" w:type="dxa"/>
            <w:tcBorders>
              <w:left w:val="single" w:sz="4" w:space="0" w:color="auto"/>
            </w:tcBorders>
            <w:shd w:val="clear" w:color="auto" w:fill="FFFFFF" w:themeFill="background1"/>
            <w:vAlign w:val="center"/>
          </w:tcPr>
          <w:p w:rsidR="00F55252" w:rsidRPr="00721B64" w:rsidRDefault="00F55252" w:rsidP="001C2752">
            <w:pPr>
              <w:spacing w:line="240" w:lineRule="exact"/>
              <w:contextualSpacing/>
              <w:jc w:val="center"/>
              <w:rPr>
                <w:color w:val="auto"/>
                <w:sz w:val="20"/>
                <w:szCs w:val="20"/>
              </w:rPr>
            </w:pPr>
            <w:r w:rsidRPr="00721B64">
              <w:rPr>
                <w:color w:val="auto"/>
                <w:sz w:val="20"/>
                <w:szCs w:val="20"/>
              </w:rPr>
              <w:t>40%</w:t>
            </w:r>
            <w:r w:rsidR="007A6064" w:rsidRPr="00721B64">
              <w:rPr>
                <w:color w:val="auto"/>
                <w:sz w:val="20"/>
                <w:szCs w:val="20"/>
              </w:rPr>
              <w:t>*</w:t>
            </w:r>
          </w:p>
        </w:tc>
        <w:tc>
          <w:tcPr>
            <w:tcW w:w="1098" w:type="dxa"/>
            <w:shd w:val="clear" w:color="auto" w:fill="FFFFFF" w:themeFill="background1"/>
            <w:vAlign w:val="center"/>
          </w:tcPr>
          <w:p w:rsidR="00F55252" w:rsidRPr="00721B64" w:rsidRDefault="00F55252" w:rsidP="004379E3">
            <w:pPr>
              <w:spacing w:line="180" w:lineRule="exact"/>
              <w:contextualSpacing/>
              <w:jc w:val="center"/>
              <w:rPr>
                <w:color w:val="auto"/>
                <w:sz w:val="18"/>
                <w:szCs w:val="18"/>
              </w:rPr>
            </w:pPr>
            <w:r w:rsidRPr="00721B64">
              <w:rPr>
                <w:color w:val="auto"/>
                <w:sz w:val="20"/>
                <w:szCs w:val="20"/>
              </w:rPr>
              <w:t>200</w:t>
            </w:r>
            <w:r w:rsidR="004379E3" w:rsidRPr="00721B64">
              <w:rPr>
                <w:color w:val="auto"/>
                <w:sz w:val="20"/>
                <w:szCs w:val="20"/>
              </w:rPr>
              <w:t>50307</w:t>
            </w:r>
          </w:p>
        </w:tc>
      </w:tr>
      <w:tr w:rsidR="00F55252" w:rsidRPr="00721B64" w:rsidTr="00F55252">
        <w:trPr>
          <w:trHeight w:val="260"/>
          <w:jc w:val="center"/>
        </w:trPr>
        <w:tc>
          <w:tcPr>
            <w:tcW w:w="3870" w:type="dxa"/>
            <w:gridSpan w:val="3"/>
            <w:vMerge w:val="restart"/>
            <w:tcBorders>
              <w:right w:val="thinThickThinSmallGap" w:sz="24" w:space="0" w:color="auto"/>
            </w:tcBorders>
            <w:shd w:val="clear" w:color="auto" w:fill="FFFFFF" w:themeFill="background1"/>
            <w:vAlign w:val="center"/>
          </w:tcPr>
          <w:p w:rsidR="00F55252" w:rsidRPr="00721B64" w:rsidRDefault="00F55252" w:rsidP="00F55252">
            <w:pPr>
              <w:spacing w:line="180" w:lineRule="exact"/>
              <w:contextualSpacing/>
              <w:jc w:val="center"/>
              <w:rPr>
                <w:color w:val="auto"/>
                <w:sz w:val="18"/>
                <w:szCs w:val="18"/>
              </w:rPr>
            </w:pPr>
            <w:r w:rsidRPr="00721B64">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F55252" w:rsidRPr="00721B64" w:rsidRDefault="00F55252" w:rsidP="001C2752">
            <w:pPr>
              <w:spacing w:line="240" w:lineRule="exact"/>
              <w:contextualSpacing/>
              <w:rPr>
                <w:color w:val="auto"/>
                <w:sz w:val="20"/>
              </w:rPr>
            </w:pPr>
            <w:r w:rsidRPr="00721B64">
              <w:rPr>
                <w:color w:val="auto"/>
                <w:sz w:val="20"/>
              </w:rPr>
              <w:t>Bilateral Plantar Fasciitis</w:t>
            </w:r>
          </w:p>
        </w:tc>
        <w:tc>
          <w:tcPr>
            <w:tcW w:w="972" w:type="dxa"/>
            <w:tcBorders>
              <w:left w:val="single" w:sz="4" w:space="0" w:color="auto"/>
            </w:tcBorders>
            <w:shd w:val="clear" w:color="auto" w:fill="FFFFFF" w:themeFill="background1"/>
            <w:vAlign w:val="center"/>
          </w:tcPr>
          <w:p w:rsidR="00F55252" w:rsidRPr="00721B64" w:rsidRDefault="00F55252" w:rsidP="001C2752">
            <w:pPr>
              <w:spacing w:line="240" w:lineRule="exact"/>
              <w:contextualSpacing/>
              <w:jc w:val="center"/>
              <w:rPr>
                <w:color w:val="auto"/>
                <w:sz w:val="20"/>
              </w:rPr>
            </w:pPr>
            <w:r w:rsidRPr="00721B64">
              <w:rPr>
                <w:color w:val="auto"/>
                <w:sz w:val="20"/>
              </w:rPr>
              <w:t>5276</w:t>
            </w:r>
          </w:p>
        </w:tc>
        <w:tc>
          <w:tcPr>
            <w:tcW w:w="810" w:type="dxa"/>
            <w:shd w:val="clear" w:color="auto" w:fill="FFFFFF" w:themeFill="background1"/>
            <w:vAlign w:val="center"/>
          </w:tcPr>
          <w:p w:rsidR="00F55252" w:rsidRPr="00721B64" w:rsidRDefault="00F55252" w:rsidP="001C2752">
            <w:pPr>
              <w:spacing w:line="240" w:lineRule="exact"/>
              <w:contextualSpacing/>
              <w:jc w:val="center"/>
              <w:rPr>
                <w:color w:val="auto"/>
                <w:sz w:val="20"/>
              </w:rPr>
            </w:pPr>
            <w:r w:rsidRPr="00721B64">
              <w:rPr>
                <w:color w:val="auto"/>
                <w:sz w:val="20"/>
                <w:szCs w:val="20"/>
              </w:rPr>
              <w:t>30%</w:t>
            </w:r>
            <w:r w:rsidR="007A6064" w:rsidRPr="00721B64">
              <w:rPr>
                <w:color w:val="auto"/>
                <w:sz w:val="20"/>
                <w:szCs w:val="20"/>
              </w:rPr>
              <w:t>*</w:t>
            </w:r>
          </w:p>
        </w:tc>
        <w:tc>
          <w:tcPr>
            <w:tcW w:w="1098" w:type="dxa"/>
            <w:shd w:val="clear" w:color="auto" w:fill="FFFFFF" w:themeFill="background1"/>
            <w:vAlign w:val="center"/>
          </w:tcPr>
          <w:p w:rsidR="00F55252" w:rsidRPr="00721B64" w:rsidRDefault="006743E5" w:rsidP="00F55252">
            <w:pPr>
              <w:spacing w:line="180" w:lineRule="exact"/>
              <w:contextualSpacing/>
              <w:jc w:val="center"/>
              <w:rPr>
                <w:color w:val="auto"/>
                <w:sz w:val="18"/>
                <w:szCs w:val="18"/>
              </w:rPr>
            </w:pPr>
            <w:r w:rsidRPr="00721B64">
              <w:rPr>
                <w:color w:val="auto"/>
                <w:sz w:val="20"/>
                <w:szCs w:val="20"/>
              </w:rPr>
              <w:t>20041019</w:t>
            </w:r>
          </w:p>
        </w:tc>
      </w:tr>
      <w:tr w:rsidR="00F55252" w:rsidRPr="00721B64" w:rsidTr="00F55252">
        <w:trPr>
          <w:trHeight w:val="260"/>
          <w:jc w:val="center"/>
        </w:trPr>
        <w:tc>
          <w:tcPr>
            <w:tcW w:w="3870" w:type="dxa"/>
            <w:gridSpan w:val="3"/>
            <w:vMerge/>
            <w:tcBorders>
              <w:right w:val="thinThickThinSmallGap" w:sz="24" w:space="0" w:color="auto"/>
            </w:tcBorders>
            <w:shd w:val="clear" w:color="auto" w:fill="FFFFFF" w:themeFill="background1"/>
          </w:tcPr>
          <w:p w:rsidR="00F55252" w:rsidRPr="00721B64" w:rsidRDefault="00F55252" w:rsidP="00F55252">
            <w:pPr>
              <w:spacing w:line="180" w:lineRule="exact"/>
              <w:contextualSpacing/>
              <w:jc w:val="center"/>
              <w:rPr>
                <w:color w:val="auto"/>
                <w:sz w:val="18"/>
                <w:szCs w:val="18"/>
              </w:rPr>
            </w:pPr>
          </w:p>
        </w:tc>
        <w:tc>
          <w:tcPr>
            <w:tcW w:w="4320" w:type="dxa"/>
            <w:gridSpan w:val="3"/>
            <w:tcBorders>
              <w:left w:val="thinThickThinSmallGap" w:sz="24" w:space="0" w:color="auto"/>
            </w:tcBorders>
            <w:shd w:val="clear" w:color="auto" w:fill="FFFFFF" w:themeFill="background1"/>
            <w:vAlign w:val="center"/>
          </w:tcPr>
          <w:p w:rsidR="00F55252" w:rsidRPr="00721B64" w:rsidRDefault="00F55252" w:rsidP="00F55252">
            <w:pPr>
              <w:spacing w:line="180" w:lineRule="exact"/>
              <w:contextualSpacing/>
              <w:jc w:val="center"/>
              <w:rPr>
                <w:color w:val="auto"/>
                <w:sz w:val="18"/>
                <w:szCs w:val="18"/>
              </w:rPr>
            </w:pPr>
            <w:r w:rsidRPr="00721B64">
              <w:rPr>
                <w:rFonts w:cs="Times New Roman"/>
                <w:color w:val="auto"/>
                <w:sz w:val="18"/>
                <w:szCs w:val="18"/>
              </w:rPr>
              <w:t>Not Service Connected x 3</w:t>
            </w:r>
          </w:p>
        </w:tc>
        <w:tc>
          <w:tcPr>
            <w:tcW w:w="1098" w:type="dxa"/>
            <w:shd w:val="clear" w:color="auto" w:fill="FFFFFF" w:themeFill="background1"/>
            <w:vAlign w:val="center"/>
          </w:tcPr>
          <w:p w:rsidR="00F55252" w:rsidRPr="00721B64" w:rsidRDefault="00F55252" w:rsidP="00F55252">
            <w:pPr>
              <w:spacing w:line="180" w:lineRule="exact"/>
              <w:contextualSpacing/>
              <w:jc w:val="center"/>
              <w:rPr>
                <w:color w:val="auto"/>
                <w:sz w:val="18"/>
                <w:szCs w:val="18"/>
              </w:rPr>
            </w:pPr>
            <w:r w:rsidRPr="00721B64">
              <w:rPr>
                <w:color w:val="auto"/>
                <w:sz w:val="20"/>
                <w:szCs w:val="20"/>
              </w:rPr>
              <w:t>20041019</w:t>
            </w:r>
          </w:p>
        </w:tc>
      </w:tr>
      <w:tr w:rsidR="00F55252" w:rsidRPr="00721B64" w:rsidTr="00F55252">
        <w:trPr>
          <w:trHeight w:val="242"/>
          <w:jc w:val="center"/>
        </w:trPr>
        <w:tc>
          <w:tcPr>
            <w:tcW w:w="3870" w:type="dxa"/>
            <w:gridSpan w:val="3"/>
            <w:tcBorders>
              <w:right w:val="thinThickThinSmallGap" w:sz="24" w:space="0" w:color="auto"/>
            </w:tcBorders>
            <w:shd w:val="clear" w:color="auto" w:fill="D9D9D9" w:themeFill="background1" w:themeFillShade="D9"/>
            <w:vAlign w:val="center"/>
          </w:tcPr>
          <w:p w:rsidR="00F55252" w:rsidRPr="00721B64" w:rsidRDefault="00F55252" w:rsidP="00F55252">
            <w:pPr>
              <w:spacing w:line="200" w:lineRule="exact"/>
              <w:contextualSpacing/>
              <w:jc w:val="center"/>
              <w:rPr>
                <w:b/>
                <w:color w:val="auto"/>
                <w:sz w:val="20"/>
                <w:szCs w:val="20"/>
              </w:rPr>
            </w:pPr>
            <w:r w:rsidRPr="00721B64">
              <w:rPr>
                <w:b/>
                <w:color w:val="auto"/>
                <w:sz w:val="20"/>
                <w:szCs w:val="20"/>
              </w:rPr>
              <w:t>Combined:  20%</w:t>
            </w:r>
          </w:p>
        </w:tc>
        <w:tc>
          <w:tcPr>
            <w:tcW w:w="5418" w:type="dxa"/>
            <w:gridSpan w:val="4"/>
            <w:tcBorders>
              <w:left w:val="thinThickThinSmallGap" w:sz="24" w:space="0" w:color="auto"/>
            </w:tcBorders>
            <w:shd w:val="clear" w:color="auto" w:fill="D9D9D9" w:themeFill="background1" w:themeFillShade="D9"/>
            <w:vAlign w:val="center"/>
          </w:tcPr>
          <w:p w:rsidR="00F55252" w:rsidRPr="00721B64" w:rsidRDefault="00F55252" w:rsidP="006743E5">
            <w:pPr>
              <w:spacing w:line="200" w:lineRule="exact"/>
              <w:contextualSpacing/>
              <w:jc w:val="center"/>
              <w:rPr>
                <w:b/>
                <w:color w:val="auto"/>
                <w:sz w:val="20"/>
                <w:szCs w:val="20"/>
              </w:rPr>
            </w:pPr>
            <w:r w:rsidRPr="00721B64">
              <w:rPr>
                <w:b/>
                <w:color w:val="auto"/>
                <w:sz w:val="20"/>
                <w:szCs w:val="20"/>
              </w:rPr>
              <w:t xml:space="preserve">Combined:  </w:t>
            </w:r>
            <w:r w:rsidR="006743E5" w:rsidRPr="00721B64">
              <w:rPr>
                <w:b/>
                <w:color w:val="auto"/>
                <w:sz w:val="20"/>
                <w:szCs w:val="20"/>
              </w:rPr>
              <w:t>7</w:t>
            </w:r>
            <w:r w:rsidRPr="00721B64">
              <w:rPr>
                <w:b/>
                <w:color w:val="auto"/>
                <w:sz w:val="20"/>
                <w:szCs w:val="20"/>
              </w:rPr>
              <w:t>0%</w:t>
            </w:r>
          </w:p>
        </w:tc>
      </w:tr>
    </w:tbl>
    <w:p w:rsidR="007A6064" w:rsidRPr="00E85DDB" w:rsidRDefault="007A6064" w:rsidP="002E289F">
      <w:pPr>
        <w:tabs>
          <w:tab w:val="left" w:pos="288"/>
          <w:tab w:val="left" w:pos="4752"/>
        </w:tabs>
        <w:spacing w:line="240" w:lineRule="exact"/>
        <w:jc w:val="both"/>
        <w:rPr>
          <w:rFonts w:asciiTheme="minorHAnsi" w:hAnsiTheme="minorHAnsi"/>
          <w:color w:val="auto"/>
          <w:sz w:val="18"/>
          <w:szCs w:val="18"/>
        </w:rPr>
      </w:pPr>
      <w:r w:rsidRPr="00E85DDB">
        <w:rPr>
          <w:rFonts w:asciiTheme="minorHAnsi" w:hAnsiTheme="minorHAnsi"/>
          <w:color w:val="auto"/>
          <w:sz w:val="18"/>
          <w:szCs w:val="18"/>
        </w:rPr>
        <w:t xml:space="preserve">* VA 40% rating </w:t>
      </w:r>
      <w:r w:rsidR="00606C96" w:rsidRPr="00E85DDB">
        <w:rPr>
          <w:rFonts w:asciiTheme="minorHAnsi" w:hAnsiTheme="minorHAnsi"/>
          <w:color w:val="auto"/>
          <w:sz w:val="18"/>
          <w:szCs w:val="18"/>
        </w:rPr>
        <w:t xml:space="preserve">[Back (10%) and feet (30%)] </w:t>
      </w:r>
      <w:r w:rsidRPr="00E85DDB">
        <w:rPr>
          <w:rFonts w:asciiTheme="minorHAnsi" w:hAnsiTheme="minorHAnsi"/>
          <w:color w:val="auto"/>
          <w:sz w:val="18"/>
          <w:szCs w:val="18"/>
        </w:rPr>
        <w:t>from 20000523</w:t>
      </w:r>
      <w:r w:rsidR="00606C96" w:rsidRPr="00E85DDB">
        <w:rPr>
          <w:rFonts w:asciiTheme="minorHAnsi" w:hAnsiTheme="minorHAnsi"/>
          <w:color w:val="auto"/>
          <w:sz w:val="18"/>
          <w:szCs w:val="18"/>
        </w:rPr>
        <w:t xml:space="preserve"> discontinued on AD 20001019</w:t>
      </w:r>
    </w:p>
    <w:p w:rsidR="002E289F" w:rsidRPr="00721B64" w:rsidRDefault="002E289F" w:rsidP="002E289F">
      <w:pPr>
        <w:tabs>
          <w:tab w:val="left" w:pos="288"/>
          <w:tab w:val="left" w:pos="4752"/>
        </w:tabs>
        <w:spacing w:line="240" w:lineRule="exact"/>
        <w:jc w:val="both"/>
        <w:rPr>
          <w:rFonts w:asciiTheme="minorHAnsi" w:hAnsiTheme="minorHAnsi"/>
          <w:b/>
          <w:caps/>
          <w:color w:val="auto"/>
          <w:u w:val="single"/>
        </w:rPr>
      </w:pPr>
      <w:r w:rsidRPr="00721B64">
        <w:rPr>
          <w:rFonts w:asciiTheme="minorHAnsi" w:hAnsiTheme="minorHAnsi"/>
          <w:b/>
          <w:color w:val="auto"/>
          <w:u w:val="single"/>
        </w:rPr>
        <w:t>________</w:t>
      </w:r>
      <w:r w:rsidR="00CB6CD4" w:rsidRPr="00721B64">
        <w:rPr>
          <w:rFonts w:asciiTheme="minorHAnsi" w:hAnsiTheme="minorHAnsi"/>
          <w:b/>
          <w:color w:val="auto"/>
          <w:u w:val="single"/>
        </w:rPr>
        <w:t>_</w:t>
      </w:r>
      <w:r w:rsidRPr="00721B64">
        <w:rPr>
          <w:rFonts w:asciiTheme="minorHAnsi" w:hAnsiTheme="minorHAnsi"/>
          <w:b/>
          <w:color w:val="auto"/>
          <w:u w:val="single"/>
        </w:rPr>
        <w:t>_____________________________________________________________________</w:t>
      </w:r>
    </w:p>
    <w:p w:rsidR="00A90D55" w:rsidRPr="00721B64" w:rsidRDefault="00A90D55" w:rsidP="00190E48">
      <w:pPr>
        <w:tabs>
          <w:tab w:val="left" w:pos="288"/>
          <w:tab w:val="left" w:pos="4752"/>
        </w:tabs>
        <w:spacing w:line="240" w:lineRule="exact"/>
        <w:jc w:val="both"/>
        <w:rPr>
          <w:color w:val="auto"/>
        </w:rPr>
      </w:pPr>
    </w:p>
    <w:p w:rsidR="002C6E5B" w:rsidRPr="00721B64" w:rsidRDefault="002C6E5B" w:rsidP="00AF1668">
      <w:pPr>
        <w:tabs>
          <w:tab w:val="left" w:pos="288"/>
          <w:tab w:val="left" w:pos="4752"/>
        </w:tabs>
        <w:spacing w:line="240" w:lineRule="exact"/>
        <w:rPr>
          <w:rFonts w:asciiTheme="minorHAnsi" w:hAnsiTheme="minorHAnsi"/>
          <w:color w:val="auto"/>
          <w:szCs w:val="24"/>
        </w:rPr>
      </w:pPr>
      <w:r w:rsidRPr="00721B64">
        <w:rPr>
          <w:rFonts w:asciiTheme="minorHAnsi" w:hAnsiTheme="minorHAnsi"/>
          <w:color w:val="auto"/>
          <w:szCs w:val="24"/>
          <w:u w:val="single"/>
        </w:rPr>
        <w:t>ANALYSIS SUMMARY</w:t>
      </w:r>
      <w:r w:rsidRPr="00721B64">
        <w:rPr>
          <w:rFonts w:asciiTheme="minorHAnsi" w:hAnsiTheme="minorHAnsi"/>
          <w:color w:val="auto"/>
          <w:szCs w:val="24"/>
        </w:rPr>
        <w:t>:</w:t>
      </w:r>
    </w:p>
    <w:p w:rsidR="00072498" w:rsidRPr="00721B64" w:rsidRDefault="00072498" w:rsidP="00AF1668">
      <w:pPr>
        <w:tabs>
          <w:tab w:val="left" w:pos="288"/>
          <w:tab w:val="left" w:pos="4752"/>
        </w:tabs>
        <w:spacing w:line="240" w:lineRule="exact"/>
        <w:rPr>
          <w:rFonts w:asciiTheme="minorHAnsi" w:hAnsiTheme="minorHAnsi"/>
          <w:color w:val="auto"/>
          <w:szCs w:val="24"/>
        </w:rPr>
      </w:pPr>
    </w:p>
    <w:p w:rsidR="0036584B" w:rsidRPr="00721B64" w:rsidRDefault="00072498" w:rsidP="00CB6CD4">
      <w:pPr>
        <w:tabs>
          <w:tab w:val="left" w:pos="288"/>
          <w:tab w:val="left" w:pos="4752"/>
        </w:tabs>
        <w:spacing w:line="240" w:lineRule="exact"/>
        <w:jc w:val="both"/>
        <w:rPr>
          <w:rFonts w:asciiTheme="minorHAnsi" w:hAnsiTheme="minorHAnsi"/>
          <w:color w:val="auto"/>
          <w:szCs w:val="24"/>
        </w:rPr>
      </w:pPr>
      <w:proofErr w:type="gramStart"/>
      <w:r w:rsidRPr="00721B64">
        <w:rPr>
          <w:rFonts w:asciiTheme="minorHAnsi" w:hAnsiTheme="minorHAnsi"/>
          <w:color w:val="auto"/>
          <w:szCs w:val="24"/>
          <w:u w:val="single"/>
        </w:rPr>
        <w:t>Knee Conditions</w:t>
      </w:r>
      <w:r w:rsidR="006743E5" w:rsidRPr="00721B64">
        <w:rPr>
          <w:rFonts w:asciiTheme="minorHAnsi" w:hAnsiTheme="minorHAnsi"/>
          <w:color w:val="auto"/>
          <w:szCs w:val="24"/>
        </w:rPr>
        <w:t>.</w:t>
      </w:r>
      <w:proofErr w:type="gramEnd"/>
      <w:r w:rsidRPr="00721B64">
        <w:rPr>
          <w:rFonts w:asciiTheme="minorHAnsi" w:hAnsiTheme="minorHAnsi"/>
          <w:b/>
          <w:color w:val="auto"/>
          <w:szCs w:val="24"/>
        </w:rPr>
        <w:t xml:space="preserve">  </w:t>
      </w:r>
      <w:r w:rsidR="0036584B" w:rsidRPr="00721B64">
        <w:rPr>
          <w:rFonts w:asciiTheme="minorHAnsi" w:hAnsiTheme="minorHAnsi"/>
          <w:color w:val="auto"/>
          <w:szCs w:val="24"/>
        </w:rPr>
        <w:t xml:space="preserve">The CI had a motorcycle accident where he hit a deer and sustained a comminuted fracture of his tibial plateau and proximal fibula (knee joint) with compartment syndrome.  Over the next two years the CI had numerous surgeries on the right tibia for relief of compartment pressure and fracture stabilization as well as treatment of infection and manipulation under anesthesia to regain range of motion of the knee.  There were two goniometric </w:t>
      </w:r>
      <w:proofErr w:type="gramStart"/>
      <w:r w:rsidR="0036584B" w:rsidRPr="00721B64">
        <w:rPr>
          <w:rFonts w:asciiTheme="minorHAnsi" w:hAnsiTheme="minorHAnsi"/>
          <w:color w:val="auto"/>
          <w:szCs w:val="24"/>
        </w:rPr>
        <w:t>range</w:t>
      </w:r>
      <w:proofErr w:type="gramEnd"/>
      <w:r w:rsidR="00522823">
        <w:rPr>
          <w:rFonts w:asciiTheme="minorHAnsi" w:hAnsiTheme="minorHAnsi"/>
          <w:color w:val="auto"/>
          <w:szCs w:val="24"/>
        </w:rPr>
        <w:t xml:space="preserve"> </w:t>
      </w:r>
      <w:r w:rsidR="0036584B" w:rsidRPr="00721B64">
        <w:rPr>
          <w:rFonts w:asciiTheme="minorHAnsi" w:hAnsiTheme="minorHAnsi"/>
          <w:color w:val="auto"/>
          <w:szCs w:val="24"/>
        </w:rPr>
        <w:t>of</w:t>
      </w:r>
      <w:r w:rsidR="00522823">
        <w:rPr>
          <w:rFonts w:asciiTheme="minorHAnsi" w:hAnsiTheme="minorHAnsi"/>
          <w:color w:val="auto"/>
          <w:szCs w:val="24"/>
        </w:rPr>
        <w:t xml:space="preserve"> </w:t>
      </w:r>
      <w:r w:rsidR="0036584B" w:rsidRPr="00721B64">
        <w:rPr>
          <w:rFonts w:asciiTheme="minorHAnsi" w:hAnsiTheme="minorHAnsi"/>
          <w:color w:val="auto"/>
          <w:szCs w:val="24"/>
        </w:rPr>
        <w:t xml:space="preserve">motion (ROM) evaluations in evidence which the Board weighed in arriving at its rating recommendation.  Both of these exams are summarized in the </w:t>
      </w:r>
      <w:r w:rsidR="00522823">
        <w:rPr>
          <w:rFonts w:asciiTheme="minorHAnsi" w:hAnsiTheme="minorHAnsi"/>
          <w:color w:val="auto"/>
          <w:szCs w:val="24"/>
        </w:rPr>
        <w:t xml:space="preserve">following </w:t>
      </w:r>
      <w:r w:rsidR="0036584B" w:rsidRPr="00721B64">
        <w:rPr>
          <w:rFonts w:asciiTheme="minorHAnsi" w:hAnsiTheme="minorHAnsi"/>
          <w:color w:val="auto"/>
          <w:szCs w:val="24"/>
        </w:rPr>
        <w:t>chart.</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430"/>
        <w:gridCol w:w="2250"/>
        <w:gridCol w:w="2520"/>
      </w:tblGrid>
      <w:tr w:rsidR="000C237E" w:rsidRPr="00721B64" w:rsidTr="00721B64">
        <w:trPr>
          <w:jc w:val="center"/>
        </w:trPr>
        <w:tc>
          <w:tcPr>
            <w:tcW w:w="1908" w:type="dxa"/>
            <w:shd w:val="clear" w:color="auto" w:fill="D9D9D9" w:themeFill="background1" w:themeFillShade="D9"/>
            <w:vAlign w:val="center"/>
          </w:tcPr>
          <w:p w:rsidR="000C237E" w:rsidRPr="00721B64" w:rsidRDefault="00CB6CD4" w:rsidP="00721B64">
            <w:pPr>
              <w:tabs>
                <w:tab w:val="left" w:pos="2980"/>
              </w:tabs>
              <w:spacing w:line="240" w:lineRule="exact"/>
              <w:jc w:val="center"/>
              <w:rPr>
                <w:rFonts w:asciiTheme="minorHAnsi" w:hAnsiTheme="minorHAnsi"/>
                <w:color w:val="auto"/>
                <w:sz w:val="22"/>
                <w:szCs w:val="24"/>
              </w:rPr>
            </w:pPr>
            <w:r w:rsidRPr="00721B64">
              <w:rPr>
                <w:rFonts w:asciiTheme="minorHAnsi" w:hAnsiTheme="minorHAnsi"/>
                <w:color w:val="auto"/>
                <w:sz w:val="22"/>
                <w:szCs w:val="24"/>
              </w:rPr>
              <w:lastRenderedPageBreak/>
              <w:t xml:space="preserve">R. </w:t>
            </w:r>
            <w:r w:rsidR="000C237E" w:rsidRPr="00721B64">
              <w:rPr>
                <w:rFonts w:asciiTheme="minorHAnsi" w:hAnsiTheme="minorHAnsi"/>
                <w:color w:val="auto"/>
                <w:sz w:val="22"/>
                <w:szCs w:val="24"/>
              </w:rPr>
              <w:t>Knee ROM (Normal)</w:t>
            </w:r>
          </w:p>
        </w:tc>
        <w:tc>
          <w:tcPr>
            <w:tcW w:w="2430" w:type="dxa"/>
            <w:tcBorders>
              <w:right w:val="single" w:sz="4" w:space="0" w:color="auto"/>
            </w:tcBorders>
            <w:shd w:val="clear" w:color="auto" w:fill="D9D9D9" w:themeFill="background1" w:themeFillShade="D9"/>
            <w:vAlign w:val="center"/>
          </w:tcPr>
          <w:p w:rsidR="000C237E" w:rsidRPr="00721B64" w:rsidRDefault="000C237E" w:rsidP="00721B64">
            <w:pPr>
              <w:tabs>
                <w:tab w:val="left" w:pos="2980"/>
              </w:tabs>
              <w:spacing w:line="240" w:lineRule="exact"/>
              <w:jc w:val="center"/>
              <w:rPr>
                <w:rFonts w:asciiTheme="minorHAnsi" w:hAnsiTheme="minorHAnsi"/>
                <w:color w:val="auto"/>
                <w:sz w:val="22"/>
                <w:szCs w:val="24"/>
              </w:rPr>
            </w:pPr>
            <w:r w:rsidRPr="00721B64">
              <w:rPr>
                <w:rFonts w:asciiTheme="minorHAnsi" w:hAnsiTheme="minorHAnsi"/>
                <w:color w:val="auto"/>
                <w:sz w:val="22"/>
                <w:szCs w:val="24"/>
              </w:rPr>
              <w:t xml:space="preserve">MEB </w:t>
            </w:r>
            <w:r w:rsidR="007043CA" w:rsidRPr="00721B64">
              <w:rPr>
                <w:rFonts w:asciiTheme="minorHAnsi" w:hAnsiTheme="minorHAnsi"/>
                <w:color w:val="auto"/>
                <w:sz w:val="22"/>
                <w:szCs w:val="24"/>
              </w:rPr>
              <w:t>~</w:t>
            </w:r>
            <w:r w:rsidRPr="00721B64">
              <w:rPr>
                <w:rFonts w:asciiTheme="minorHAnsi" w:hAnsiTheme="minorHAnsi"/>
                <w:color w:val="auto"/>
                <w:sz w:val="22"/>
                <w:szCs w:val="24"/>
              </w:rPr>
              <w:t xml:space="preserve"> 10 Mo. Pre-Sep</w:t>
            </w:r>
          </w:p>
        </w:tc>
        <w:tc>
          <w:tcPr>
            <w:tcW w:w="2250" w:type="dxa"/>
            <w:tcBorders>
              <w:left w:val="single" w:sz="4" w:space="0" w:color="auto"/>
            </w:tcBorders>
            <w:shd w:val="clear" w:color="auto" w:fill="D9D9D9" w:themeFill="background1" w:themeFillShade="D9"/>
            <w:vAlign w:val="center"/>
          </w:tcPr>
          <w:p w:rsidR="000C237E" w:rsidRPr="00721B64" w:rsidRDefault="007043CA" w:rsidP="00721B64">
            <w:pPr>
              <w:tabs>
                <w:tab w:val="left" w:pos="2980"/>
              </w:tabs>
              <w:spacing w:line="240" w:lineRule="exact"/>
              <w:jc w:val="center"/>
              <w:rPr>
                <w:rFonts w:asciiTheme="minorHAnsi" w:hAnsiTheme="minorHAnsi"/>
                <w:color w:val="auto"/>
                <w:sz w:val="22"/>
                <w:szCs w:val="24"/>
              </w:rPr>
            </w:pPr>
            <w:r w:rsidRPr="00721B64">
              <w:rPr>
                <w:rFonts w:asciiTheme="minorHAnsi" w:hAnsiTheme="minorHAnsi"/>
                <w:color w:val="auto"/>
                <w:sz w:val="22"/>
                <w:szCs w:val="24"/>
              </w:rPr>
              <w:t>Addendum</w:t>
            </w:r>
            <w:r w:rsidR="000C237E" w:rsidRPr="00721B64">
              <w:rPr>
                <w:rFonts w:asciiTheme="minorHAnsi" w:hAnsiTheme="minorHAnsi"/>
                <w:color w:val="auto"/>
                <w:sz w:val="22"/>
                <w:szCs w:val="24"/>
              </w:rPr>
              <w:t xml:space="preserve"> </w:t>
            </w:r>
            <w:r w:rsidRPr="00721B64">
              <w:rPr>
                <w:rFonts w:asciiTheme="minorHAnsi" w:hAnsiTheme="minorHAnsi"/>
                <w:color w:val="auto"/>
                <w:sz w:val="22"/>
                <w:szCs w:val="24"/>
              </w:rPr>
              <w:t>~</w:t>
            </w:r>
            <w:r w:rsidR="000C237E" w:rsidRPr="00721B64">
              <w:rPr>
                <w:rFonts w:asciiTheme="minorHAnsi" w:hAnsiTheme="minorHAnsi"/>
                <w:color w:val="auto"/>
                <w:sz w:val="22"/>
                <w:szCs w:val="24"/>
              </w:rPr>
              <w:t xml:space="preserve"> 5 Mo. Pre-Sep</w:t>
            </w:r>
          </w:p>
        </w:tc>
        <w:tc>
          <w:tcPr>
            <w:tcW w:w="2520" w:type="dxa"/>
            <w:shd w:val="clear" w:color="auto" w:fill="D9D9D9" w:themeFill="background1" w:themeFillShade="D9"/>
            <w:vAlign w:val="center"/>
          </w:tcPr>
          <w:p w:rsidR="000C237E" w:rsidRPr="00721B64" w:rsidRDefault="000C237E" w:rsidP="00721B64">
            <w:pPr>
              <w:tabs>
                <w:tab w:val="left" w:pos="2980"/>
              </w:tabs>
              <w:spacing w:line="240" w:lineRule="exact"/>
              <w:jc w:val="center"/>
              <w:rPr>
                <w:rFonts w:asciiTheme="minorHAnsi" w:hAnsiTheme="minorHAnsi"/>
                <w:color w:val="auto"/>
                <w:sz w:val="22"/>
                <w:szCs w:val="24"/>
              </w:rPr>
            </w:pPr>
            <w:r w:rsidRPr="00721B64">
              <w:rPr>
                <w:rFonts w:asciiTheme="minorHAnsi" w:hAnsiTheme="minorHAnsi"/>
                <w:color w:val="auto"/>
                <w:sz w:val="22"/>
                <w:szCs w:val="24"/>
              </w:rPr>
              <w:t xml:space="preserve">VA C&amp;P </w:t>
            </w:r>
            <w:r w:rsidR="007043CA" w:rsidRPr="00721B64">
              <w:rPr>
                <w:rFonts w:asciiTheme="minorHAnsi" w:hAnsiTheme="minorHAnsi"/>
                <w:color w:val="auto"/>
                <w:sz w:val="22"/>
                <w:szCs w:val="24"/>
              </w:rPr>
              <w:t>~</w:t>
            </w:r>
            <w:r w:rsidRPr="00721B64">
              <w:rPr>
                <w:rFonts w:asciiTheme="minorHAnsi" w:hAnsiTheme="minorHAnsi"/>
                <w:color w:val="auto"/>
                <w:sz w:val="22"/>
                <w:szCs w:val="24"/>
              </w:rPr>
              <w:t xml:space="preserve"> 1 Mo. Post-Sep</w:t>
            </w:r>
          </w:p>
        </w:tc>
      </w:tr>
      <w:tr w:rsidR="000C237E" w:rsidRPr="00721B64" w:rsidTr="00721B64">
        <w:trPr>
          <w:jc w:val="center"/>
        </w:trPr>
        <w:tc>
          <w:tcPr>
            <w:tcW w:w="1908" w:type="dxa"/>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 xml:space="preserve">Flexion (0-140⁰) </w:t>
            </w:r>
          </w:p>
        </w:tc>
        <w:tc>
          <w:tcPr>
            <w:tcW w:w="2430" w:type="dxa"/>
            <w:tcBorders>
              <w:right w:val="single" w:sz="4" w:space="0" w:color="auto"/>
            </w:tcBorders>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15⁰-80⁰</w:t>
            </w:r>
          </w:p>
        </w:tc>
        <w:tc>
          <w:tcPr>
            <w:tcW w:w="2250" w:type="dxa"/>
            <w:tcBorders>
              <w:left w:val="single" w:sz="4" w:space="0" w:color="auto"/>
            </w:tcBorders>
            <w:vAlign w:val="center"/>
          </w:tcPr>
          <w:p w:rsidR="000C237E" w:rsidRPr="00721B64" w:rsidRDefault="00CF0FAB"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18</w:t>
            </w:r>
            <w:r w:rsidR="000C237E" w:rsidRPr="00721B64">
              <w:rPr>
                <w:rFonts w:asciiTheme="minorHAnsi" w:hAnsiTheme="minorHAnsi"/>
                <w:color w:val="auto"/>
                <w:sz w:val="20"/>
                <w:szCs w:val="24"/>
              </w:rPr>
              <w:t>⁰-90⁰</w:t>
            </w:r>
          </w:p>
        </w:tc>
        <w:tc>
          <w:tcPr>
            <w:tcW w:w="2520" w:type="dxa"/>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20⁰-85⁰</w:t>
            </w:r>
          </w:p>
        </w:tc>
      </w:tr>
      <w:tr w:rsidR="000C237E" w:rsidRPr="00721B64" w:rsidTr="00721B64">
        <w:trPr>
          <w:jc w:val="center"/>
        </w:trPr>
        <w:tc>
          <w:tcPr>
            <w:tcW w:w="1908" w:type="dxa"/>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 xml:space="preserve">Extension (0⁰) </w:t>
            </w:r>
          </w:p>
        </w:tc>
        <w:tc>
          <w:tcPr>
            <w:tcW w:w="2430" w:type="dxa"/>
            <w:tcBorders>
              <w:right w:val="single" w:sz="4" w:space="0" w:color="auto"/>
            </w:tcBorders>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15⁰</w:t>
            </w:r>
          </w:p>
        </w:tc>
        <w:tc>
          <w:tcPr>
            <w:tcW w:w="2250" w:type="dxa"/>
            <w:tcBorders>
              <w:left w:val="single" w:sz="4" w:space="0" w:color="auto"/>
            </w:tcBorders>
            <w:vAlign w:val="center"/>
          </w:tcPr>
          <w:p w:rsidR="000C237E" w:rsidRPr="00721B64" w:rsidRDefault="00CF0FAB"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18</w:t>
            </w:r>
            <w:r w:rsidR="000C237E" w:rsidRPr="00721B64">
              <w:rPr>
                <w:rFonts w:asciiTheme="minorHAnsi" w:hAnsiTheme="minorHAnsi"/>
                <w:color w:val="auto"/>
                <w:sz w:val="20"/>
                <w:szCs w:val="24"/>
              </w:rPr>
              <w:t>⁰</w:t>
            </w:r>
          </w:p>
        </w:tc>
        <w:tc>
          <w:tcPr>
            <w:tcW w:w="2520" w:type="dxa"/>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20⁰</w:t>
            </w:r>
          </w:p>
        </w:tc>
      </w:tr>
      <w:tr w:rsidR="00CB6CD4" w:rsidRPr="00721B64" w:rsidTr="00721B64">
        <w:trPr>
          <w:jc w:val="center"/>
        </w:trPr>
        <w:tc>
          <w:tcPr>
            <w:tcW w:w="1908" w:type="dxa"/>
            <w:vAlign w:val="center"/>
          </w:tcPr>
          <w:p w:rsidR="00CB6CD4" w:rsidRPr="00721B64" w:rsidRDefault="00CB6CD4"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Comments</w:t>
            </w:r>
          </w:p>
        </w:tc>
        <w:tc>
          <w:tcPr>
            <w:tcW w:w="2430" w:type="dxa"/>
            <w:tcBorders>
              <w:right w:val="single" w:sz="4" w:space="0" w:color="auto"/>
            </w:tcBorders>
            <w:vAlign w:val="center"/>
          </w:tcPr>
          <w:p w:rsidR="00CB6CD4" w:rsidRPr="00721B64" w:rsidRDefault="008A690F" w:rsidP="00522823">
            <w:pPr>
              <w:tabs>
                <w:tab w:val="left" w:pos="2980"/>
              </w:tabs>
              <w:spacing w:line="240" w:lineRule="exact"/>
              <w:rPr>
                <w:rFonts w:asciiTheme="minorHAnsi" w:hAnsiTheme="minorHAnsi"/>
                <w:color w:val="auto"/>
                <w:sz w:val="20"/>
                <w:szCs w:val="24"/>
              </w:rPr>
            </w:pPr>
            <w:r w:rsidRPr="00721B64">
              <w:rPr>
                <w:rFonts w:asciiTheme="minorHAnsi" w:hAnsiTheme="minorHAnsi"/>
                <w:color w:val="auto"/>
                <w:sz w:val="20"/>
                <w:szCs w:val="24"/>
              </w:rPr>
              <w:t>Well</w:t>
            </w:r>
            <w:r w:rsidR="00522823">
              <w:rPr>
                <w:rFonts w:asciiTheme="minorHAnsi" w:hAnsiTheme="minorHAnsi"/>
                <w:color w:val="auto"/>
                <w:sz w:val="20"/>
                <w:szCs w:val="24"/>
              </w:rPr>
              <w:t>-</w:t>
            </w:r>
            <w:r w:rsidRPr="00721B64">
              <w:rPr>
                <w:rFonts w:asciiTheme="minorHAnsi" w:hAnsiTheme="minorHAnsi"/>
                <w:color w:val="auto"/>
                <w:sz w:val="20"/>
                <w:szCs w:val="24"/>
              </w:rPr>
              <w:t>healed scars; mild</w:t>
            </w:r>
            <w:r w:rsidR="00522823">
              <w:rPr>
                <w:rFonts w:asciiTheme="minorHAnsi" w:hAnsiTheme="minorHAnsi"/>
                <w:color w:val="auto"/>
                <w:sz w:val="20"/>
                <w:szCs w:val="24"/>
              </w:rPr>
              <w:t>-</w:t>
            </w:r>
            <w:r w:rsidRPr="00721B64">
              <w:rPr>
                <w:rFonts w:asciiTheme="minorHAnsi" w:hAnsiTheme="minorHAnsi"/>
                <w:color w:val="auto"/>
                <w:sz w:val="20"/>
                <w:szCs w:val="24"/>
              </w:rPr>
              <w:t>to</w:t>
            </w:r>
            <w:r w:rsidR="00522823">
              <w:rPr>
                <w:rFonts w:asciiTheme="minorHAnsi" w:hAnsiTheme="minorHAnsi"/>
                <w:color w:val="auto"/>
                <w:sz w:val="20"/>
                <w:szCs w:val="24"/>
              </w:rPr>
              <w:t>-</w:t>
            </w:r>
            <w:r w:rsidRPr="00721B64">
              <w:rPr>
                <w:rFonts w:asciiTheme="minorHAnsi" w:hAnsiTheme="minorHAnsi"/>
                <w:color w:val="auto"/>
                <w:sz w:val="20"/>
                <w:szCs w:val="24"/>
              </w:rPr>
              <w:t>mod edema and paresthesias RLE (</w:t>
            </w:r>
            <w:r w:rsidRPr="00721B64">
              <w:rPr>
                <w:rFonts w:asciiTheme="minorHAnsi" w:hAnsiTheme="minorHAnsi"/>
                <w:i/>
                <w:color w:val="auto"/>
                <w:sz w:val="20"/>
                <w:szCs w:val="24"/>
              </w:rPr>
              <w:t>intact to major nerves</w:t>
            </w:r>
            <w:r w:rsidRPr="00721B64">
              <w:rPr>
                <w:rFonts w:asciiTheme="minorHAnsi" w:hAnsiTheme="minorHAnsi"/>
                <w:color w:val="auto"/>
                <w:sz w:val="20"/>
                <w:szCs w:val="24"/>
              </w:rPr>
              <w:t>).  DeLuca not documented.</w:t>
            </w:r>
          </w:p>
        </w:tc>
        <w:tc>
          <w:tcPr>
            <w:tcW w:w="2250" w:type="dxa"/>
            <w:tcBorders>
              <w:left w:val="single" w:sz="4" w:space="0" w:color="auto"/>
            </w:tcBorders>
            <w:vAlign w:val="center"/>
          </w:tcPr>
          <w:p w:rsidR="00CB6CD4" w:rsidRPr="00721B64" w:rsidRDefault="007043CA" w:rsidP="00721B64">
            <w:pPr>
              <w:tabs>
                <w:tab w:val="left" w:pos="2980"/>
              </w:tabs>
              <w:spacing w:line="240" w:lineRule="exact"/>
              <w:rPr>
                <w:rFonts w:asciiTheme="minorHAnsi" w:hAnsiTheme="minorHAnsi"/>
                <w:color w:val="auto"/>
                <w:sz w:val="20"/>
                <w:szCs w:val="24"/>
              </w:rPr>
            </w:pPr>
            <w:r w:rsidRPr="00721B64">
              <w:rPr>
                <w:rFonts w:asciiTheme="minorHAnsi" w:hAnsiTheme="minorHAnsi"/>
                <w:color w:val="auto"/>
                <w:sz w:val="20"/>
                <w:szCs w:val="24"/>
              </w:rPr>
              <w:t xml:space="preserve">Painful motion; edema; </w:t>
            </w:r>
            <w:proofErr w:type="spellStart"/>
            <w:r w:rsidRPr="00721B64">
              <w:rPr>
                <w:rFonts w:asciiTheme="minorHAnsi" w:hAnsiTheme="minorHAnsi"/>
                <w:color w:val="auto"/>
                <w:sz w:val="20"/>
                <w:szCs w:val="24"/>
              </w:rPr>
              <w:t>decr</w:t>
            </w:r>
            <w:proofErr w:type="spellEnd"/>
            <w:r w:rsidRPr="00721B64">
              <w:rPr>
                <w:rFonts w:asciiTheme="minorHAnsi" w:hAnsiTheme="minorHAnsi"/>
                <w:color w:val="auto"/>
                <w:sz w:val="20"/>
                <w:szCs w:val="24"/>
              </w:rPr>
              <w:t xml:space="preserve">. Muscle </w:t>
            </w:r>
            <w:proofErr w:type="spellStart"/>
            <w:r w:rsidRPr="00721B64">
              <w:rPr>
                <w:rFonts w:asciiTheme="minorHAnsi" w:hAnsiTheme="minorHAnsi"/>
                <w:color w:val="auto"/>
                <w:sz w:val="20"/>
                <w:szCs w:val="24"/>
              </w:rPr>
              <w:t>Tib</w:t>
            </w:r>
            <w:proofErr w:type="spellEnd"/>
            <w:r w:rsidRPr="00721B64">
              <w:rPr>
                <w:rFonts w:asciiTheme="minorHAnsi" w:hAnsiTheme="minorHAnsi"/>
                <w:color w:val="auto"/>
                <w:sz w:val="20"/>
                <w:szCs w:val="24"/>
              </w:rPr>
              <w:t xml:space="preserve"> Ant/</w:t>
            </w:r>
            <w:proofErr w:type="spellStart"/>
            <w:r w:rsidRPr="00721B64">
              <w:rPr>
                <w:rFonts w:asciiTheme="minorHAnsi" w:hAnsiTheme="minorHAnsi"/>
                <w:color w:val="auto"/>
                <w:sz w:val="20"/>
                <w:szCs w:val="24"/>
              </w:rPr>
              <w:t>Peroneals</w:t>
            </w:r>
            <w:proofErr w:type="spellEnd"/>
            <w:r w:rsidRPr="00721B64">
              <w:rPr>
                <w:rFonts w:asciiTheme="minorHAnsi" w:hAnsiTheme="minorHAnsi"/>
                <w:color w:val="auto"/>
                <w:sz w:val="20"/>
                <w:szCs w:val="24"/>
              </w:rPr>
              <w:t xml:space="preserve"> 3+/5; </w:t>
            </w:r>
            <w:proofErr w:type="spellStart"/>
            <w:r w:rsidRPr="00721B64">
              <w:rPr>
                <w:rFonts w:asciiTheme="minorHAnsi" w:hAnsiTheme="minorHAnsi"/>
                <w:color w:val="auto"/>
                <w:sz w:val="20"/>
                <w:szCs w:val="24"/>
              </w:rPr>
              <w:t>decr</w:t>
            </w:r>
            <w:proofErr w:type="spellEnd"/>
            <w:r w:rsidRPr="00721B64">
              <w:rPr>
                <w:rFonts w:asciiTheme="minorHAnsi" w:hAnsiTheme="minorHAnsi"/>
                <w:color w:val="auto"/>
                <w:sz w:val="20"/>
                <w:szCs w:val="24"/>
              </w:rPr>
              <w:t xml:space="preserve"> PP &amp; SD at heel; </w:t>
            </w:r>
            <w:proofErr w:type="spellStart"/>
            <w:r w:rsidRPr="00721B64">
              <w:rPr>
                <w:rFonts w:asciiTheme="minorHAnsi" w:hAnsiTheme="minorHAnsi"/>
                <w:color w:val="auto"/>
                <w:sz w:val="20"/>
                <w:szCs w:val="24"/>
              </w:rPr>
              <w:t>Hx</w:t>
            </w:r>
            <w:proofErr w:type="spellEnd"/>
            <w:r w:rsidRPr="00721B64">
              <w:rPr>
                <w:rFonts w:asciiTheme="minorHAnsi" w:hAnsiTheme="minorHAnsi"/>
                <w:color w:val="auto"/>
                <w:sz w:val="20"/>
                <w:szCs w:val="24"/>
              </w:rPr>
              <w:t xml:space="preserve"> locking/give-way</w:t>
            </w:r>
          </w:p>
        </w:tc>
        <w:tc>
          <w:tcPr>
            <w:tcW w:w="2520" w:type="dxa"/>
            <w:vAlign w:val="center"/>
          </w:tcPr>
          <w:p w:rsidR="00CB6CD4" w:rsidRPr="00721B64" w:rsidRDefault="00CB6CD4" w:rsidP="00721B64">
            <w:pPr>
              <w:tabs>
                <w:tab w:val="left" w:pos="2980"/>
              </w:tabs>
              <w:spacing w:line="240" w:lineRule="exact"/>
              <w:rPr>
                <w:rFonts w:asciiTheme="minorHAnsi" w:hAnsiTheme="minorHAnsi"/>
                <w:color w:val="auto"/>
                <w:sz w:val="20"/>
                <w:szCs w:val="24"/>
              </w:rPr>
            </w:pPr>
            <w:r w:rsidRPr="00721B64">
              <w:rPr>
                <w:rFonts w:asciiTheme="minorHAnsi" w:hAnsiTheme="minorHAnsi"/>
                <w:color w:val="auto"/>
                <w:sz w:val="20"/>
                <w:szCs w:val="24"/>
              </w:rPr>
              <w:t>Swelling; + DeLuca</w:t>
            </w:r>
            <w:r w:rsidR="00E9215A" w:rsidRPr="00721B64">
              <w:rPr>
                <w:rFonts w:asciiTheme="minorHAnsi" w:hAnsiTheme="minorHAnsi"/>
                <w:color w:val="auto"/>
                <w:sz w:val="20"/>
                <w:szCs w:val="24"/>
              </w:rPr>
              <w:t xml:space="preserve"> (pain, fatigue, weakness, but not incoordination).  Leg length R 99cm/L 100cm</w:t>
            </w:r>
            <w:r w:rsidR="00375C95" w:rsidRPr="00721B64">
              <w:rPr>
                <w:rFonts w:asciiTheme="minorHAnsi" w:hAnsiTheme="minorHAnsi"/>
                <w:color w:val="auto"/>
                <w:sz w:val="20"/>
                <w:szCs w:val="24"/>
              </w:rPr>
              <w:t xml:space="preserve">; </w:t>
            </w:r>
            <w:proofErr w:type="spellStart"/>
            <w:r w:rsidR="00375C95" w:rsidRPr="00721B64">
              <w:rPr>
                <w:rFonts w:asciiTheme="minorHAnsi" w:hAnsiTheme="minorHAnsi"/>
                <w:color w:val="auto"/>
                <w:sz w:val="20"/>
                <w:szCs w:val="24"/>
              </w:rPr>
              <w:t>decr</w:t>
            </w:r>
            <w:proofErr w:type="spellEnd"/>
            <w:r w:rsidR="00375C95" w:rsidRPr="00721B64">
              <w:rPr>
                <w:rFonts w:asciiTheme="minorHAnsi" w:hAnsiTheme="minorHAnsi"/>
                <w:color w:val="auto"/>
                <w:sz w:val="20"/>
                <w:szCs w:val="24"/>
              </w:rPr>
              <w:t>.  LLE sensory laterally</w:t>
            </w:r>
          </w:p>
        </w:tc>
      </w:tr>
      <w:tr w:rsidR="000C237E" w:rsidRPr="00721B64" w:rsidTr="00721B64">
        <w:trPr>
          <w:jc w:val="center"/>
        </w:trPr>
        <w:tc>
          <w:tcPr>
            <w:tcW w:w="1908" w:type="dxa"/>
            <w:vAlign w:val="center"/>
          </w:tcPr>
          <w:p w:rsidR="000C237E" w:rsidRPr="00721B64" w:rsidRDefault="000C237E"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§4.71a Rating</w:t>
            </w:r>
          </w:p>
        </w:tc>
        <w:tc>
          <w:tcPr>
            <w:tcW w:w="2430" w:type="dxa"/>
            <w:tcBorders>
              <w:right w:val="single" w:sz="4" w:space="0" w:color="auto"/>
            </w:tcBorders>
            <w:vAlign w:val="center"/>
          </w:tcPr>
          <w:p w:rsidR="000C237E" w:rsidRPr="00721B64" w:rsidRDefault="008A690F"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20</w:t>
            </w:r>
            <w:r w:rsidR="000C237E" w:rsidRPr="00721B64">
              <w:rPr>
                <w:rFonts w:asciiTheme="minorHAnsi" w:hAnsiTheme="minorHAnsi"/>
                <w:color w:val="auto"/>
                <w:sz w:val="20"/>
                <w:szCs w:val="24"/>
              </w:rPr>
              <w:t>%</w:t>
            </w:r>
          </w:p>
        </w:tc>
        <w:tc>
          <w:tcPr>
            <w:tcW w:w="2250" w:type="dxa"/>
            <w:tcBorders>
              <w:left w:val="single" w:sz="4" w:space="0" w:color="auto"/>
            </w:tcBorders>
            <w:vAlign w:val="center"/>
          </w:tcPr>
          <w:p w:rsidR="000C237E" w:rsidRPr="00721B64" w:rsidRDefault="007043CA"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30</w:t>
            </w:r>
            <w:r w:rsidR="000C237E" w:rsidRPr="00721B64">
              <w:rPr>
                <w:rFonts w:asciiTheme="minorHAnsi" w:hAnsiTheme="minorHAnsi"/>
                <w:color w:val="auto"/>
                <w:sz w:val="20"/>
                <w:szCs w:val="24"/>
              </w:rPr>
              <w:t>%</w:t>
            </w:r>
            <w:r w:rsidRPr="00721B64">
              <w:rPr>
                <w:rFonts w:asciiTheme="minorHAnsi" w:hAnsiTheme="minorHAnsi"/>
                <w:color w:val="auto"/>
                <w:sz w:val="20"/>
                <w:szCs w:val="24"/>
              </w:rPr>
              <w:t xml:space="preserve"> </w:t>
            </w:r>
            <w:r w:rsidR="008A690F" w:rsidRPr="00721B64">
              <w:rPr>
                <w:rFonts w:asciiTheme="minorHAnsi" w:hAnsiTheme="minorHAnsi"/>
                <w:color w:val="auto"/>
                <w:sz w:val="20"/>
                <w:szCs w:val="24"/>
              </w:rPr>
              <w:t xml:space="preserve">to 40% </w:t>
            </w:r>
            <w:r w:rsidRPr="00721B64">
              <w:rPr>
                <w:rFonts w:asciiTheme="minorHAnsi" w:hAnsiTheme="minorHAnsi"/>
                <w:color w:val="auto"/>
                <w:sz w:val="20"/>
                <w:szCs w:val="24"/>
              </w:rPr>
              <w:t>(FPEB 20%)</w:t>
            </w:r>
          </w:p>
        </w:tc>
        <w:tc>
          <w:tcPr>
            <w:tcW w:w="2520" w:type="dxa"/>
            <w:vAlign w:val="center"/>
          </w:tcPr>
          <w:p w:rsidR="000C237E" w:rsidRPr="00721B64" w:rsidRDefault="007043CA" w:rsidP="00721B64">
            <w:pPr>
              <w:tabs>
                <w:tab w:val="left" w:pos="2980"/>
              </w:tabs>
              <w:spacing w:line="240" w:lineRule="exact"/>
              <w:jc w:val="center"/>
              <w:rPr>
                <w:rFonts w:asciiTheme="minorHAnsi" w:hAnsiTheme="minorHAnsi"/>
                <w:color w:val="auto"/>
                <w:sz w:val="20"/>
                <w:szCs w:val="24"/>
              </w:rPr>
            </w:pPr>
            <w:r w:rsidRPr="00721B64">
              <w:rPr>
                <w:rFonts w:asciiTheme="minorHAnsi" w:hAnsiTheme="minorHAnsi"/>
                <w:color w:val="auto"/>
                <w:sz w:val="20"/>
                <w:szCs w:val="24"/>
              </w:rPr>
              <w:t>30</w:t>
            </w:r>
            <w:r w:rsidR="000C237E" w:rsidRPr="00721B64">
              <w:rPr>
                <w:rFonts w:asciiTheme="minorHAnsi" w:hAnsiTheme="minorHAnsi"/>
                <w:color w:val="auto"/>
                <w:sz w:val="20"/>
                <w:szCs w:val="24"/>
              </w:rPr>
              <w:t>%</w:t>
            </w:r>
            <w:r w:rsidRPr="00721B64">
              <w:rPr>
                <w:rFonts w:asciiTheme="minorHAnsi" w:hAnsiTheme="minorHAnsi"/>
                <w:color w:val="auto"/>
                <w:sz w:val="20"/>
                <w:szCs w:val="24"/>
              </w:rPr>
              <w:t xml:space="preserve"> (VA 30%)</w:t>
            </w:r>
          </w:p>
        </w:tc>
      </w:tr>
    </w:tbl>
    <w:p w:rsidR="0036584B" w:rsidRPr="00721B64" w:rsidRDefault="0036584B" w:rsidP="0036584B">
      <w:pPr>
        <w:tabs>
          <w:tab w:val="left" w:pos="288"/>
          <w:tab w:val="left" w:pos="4752"/>
        </w:tabs>
        <w:spacing w:line="240" w:lineRule="exact"/>
        <w:rPr>
          <w:rFonts w:asciiTheme="minorHAnsi" w:hAnsiTheme="minorHAnsi"/>
          <w:color w:val="auto"/>
          <w:szCs w:val="24"/>
        </w:rPr>
      </w:pPr>
    </w:p>
    <w:p w:rsidR="00FA7A55" w:rsidRPr="00721B64" w:rsidRDefault="0064673D" w:rsidP="009E29A6">
      <w:pPr>
        <w:tabs>
          <w:tab w:val="left" w:pos="2980"/>
        </w:tabs>
        <w:spacing w:line="240" w:lineRule="exact"/>
        <w:jc w:val="both"/>
        <w:rPr>
          <w:rFonts w:asciiTheme="minorHAnsi" w:hAnsiTheme="minorHAnsi"/>
          <w:color w:val="auto"/>
          <w:szCs w:val="24"/>
        </w:rPr>
      </w:pPr>
      <w:r w:rsidRPr="00721B64">
        <w:rPr>
          <w:rFonts w:asciiTheme="minorHAnsi" w:hAnsiTheme="minorHAnsi"/>
          <w:color w:val="auto"/>
          <w:szCs w:val="24"/>
        </w:rPr>
        <w:t>The MEB</w:t>
      </w:r>
      <w:r w:rsidR="00A203F5" w:rsidRPr="00721B64">
        <w:rPr>
          <w:rFonts w:asciiTheme="minorHAnsi" w:hAnsiTheme="minorHAnsi"/>
          <w:color w:val="auto"/>
          <w:szCs w:val="24"/>
        </w:rPr>
        <w:t xml:space="preserve"> examin</w:t>
      </w:r>
      <w:r w:rsidR="00902817" w:rsidRPr="00721B64">
        <w:rPr>
          <w:rFonts w:asciiTheme="minorHAnsi" w:hAnsiTheme="minorHAnsi"/>
          <w:color w:val="auto"/>
          <w:szCs w:val="24"/>
        </w:rPr>
        <w:t>er</w:t>
      </w:r>
      <w:r w:rsidR="00072498" w:rsidRPr="00721B64">
        <w:rPr>
          <w:rFonts w:asciiTheme="minorHAnsi" w:hAnsiTheme="minorHAnsi"/>
          <w:color w:val="auto"/>
          <w:szCs w:val="24"/>
        </w:rPr>
        <w:t xml:space="preserve"> documented </w:t>
      </w:r>
      <w:r w:rsidR="00902817" w:rsidRPr="00721B64">
        <w:rPr>
          <w:rFonts w:asciiTheme="minorHAnsi" w:hAnsiTheme="minorHAnsi"/>
          <w:color w:val="auto"/>
          <w:szCs w:val="24"/>
        </w:rPr>
        <w:t>normal strength of the muscles of the lower leg, but decreased sensation and patchy numbness in the distribution</w:t>
      </w:r>
      <w:r w:rsidR="000C237E" w:rsidRPr="00721B64">
        <w:rPr>
          <w:rFonts w:asciiTheme="minorHAnsi" w:hAnsiTheme="minorHAnsi"/>
          <w:color w:val="auto"/>
          <w:szCs w:val="24"/>
        </w:rPr>
        <w:t>s</w:t>
      </w:r>
      <w:r w:rsidR="00902817" w:rsidRPr="00721B64">
        <w:rPr>
          <w:rFonts w:asciiTheme="minorHAnsi" w:hAnsiTheme="minorHAnsi"/>
          <w:color w:val="auto"/>
          <w:szCs w:val="24"/>
        </w:rPr>
        <w:t xml:space="preserve"> of the major nerves of the lower leg.  He noted that there was joint contracture, loss of function, and early signs of arthritis.  He opined that the CI was “unable to stand, walk, run or jump normally.</w:t>
      </w:r>
      <w:r w:rsidR="00CB6CD4" w:rsidRPr="00721B64">
        <w:rPr>
          <w:rFonts w:asciiTheme="minorHAnsi" w:hAnsiTheme="minorHAnsi"/>
          <w:color w:val="auto"/>
          <w:szCs w:val="24"/>
        </w:rPr>
        <w:t xml:space="preserve">”  </w:t>
      </w:r>
      <w:r w:rsidR="000C237E" w:rsidRPr="00721B64">
        <w:rPr>
          <w:rFonts w:asciiTheme="minorHAnsi" w:hAnsiTheme="minorHAnsi"/>
          <w:color w:val="auto"/>
          <w:szCs w:val="24"/>
        </w:rPr>
        <w:t xml:space="preserve">An addendum to the MEB submitted with the CI’s appeal of the IPEB adjudication included ROM measurement </w:t>
      </w:r>
      <w:r w:rsidR="00277BB4" w:rsidRPr="00721B64">
        <w:rPr>
          <w:rFonts w:asciiTheme="minorHAnsi" w:hAnsiTheme="minorHAnsi"/>
          <w:color w:val="auto"/>
          <w:szCs w:val="24"/>
        </w:rPr>
        <w:t xml:space="preserve">as above with findings of edema, muscular weakness of </w:t>
      </w:r>
      <w:r w:rsidR="00E9215A" w:rsidRPr="00721B64">
        <w:rPr>
          <w:rFonts w:asciiTheme="minorHAnsi" w:hAnsiTheme="minorHAnsi"/>
          <w:color w:val="auto"/>
          <w:szCs w:val="24"/>
        </w:rPr>
        <w:t xml:space="preserve">the </w:t>
      </w:r>
      <w:r w:rsidR="00522823" w:rsidRPr="00721B64">
        <w:rPr>
          <w:rFonts w:asciiTheme="minorHAnsi" w:hAnsiTheme="minorHAnsi"/>
          <w:color w:val="auto"/>
          <w:szCs w:val="24"/>
        </w:rPr>
        <w:t>tibialis anterior and the peroneals</w:t>
      </w:r>
      <w:r w:rsidR="00E9215A" w:rsidRPr="00721B64">
        <w:rPr>
          <w:rFonts w:asciiTheme="minorHAnsi" w:hAnsiTheme="minorHAnsi"/>
          <w:color w:val="auto"/>
          <w:szCs w:val="24"/>
        </w:rPr>
        <w:t xml:space="preserve">, minimal sensory loss at the heel, and a history of locking and give-way three times in the last seven months attributable to either the meniscal tear noted or heterotopic calcification noted on </w:t>
      </w:r>
      <w:r w:rsidR="00522823">
        <w:rPr>
          <w:rFonts w:asciiTheme="minorHAnsi" w:hAnsiTheme="minorHAnsi"/>
          <w:color w:val="auto"/>
          <w:szCs w:val="24"/>
        </w:rPr>
        <w:t xml:space="preserve">magnetic resonance imaging. </w:t>
      </w:r>
      <w:r w:rsidR="000C237E" w:rsidRPr="00721B64">
        <w:rPr>
          <w:rFonts w:asciiTheme="minorHAnsi" w:hAnsiTheme="minorHAnsi"/>
          <w:color w:val="auto"/>
          <w:szCs w:val="24"/>
        </w:rPr>
        <w:t xml:space="preserve"> </w:t>
      </w:r>
      <w:r w:rsidR="004661B4" w:rsidRPr="00721B64">
        <w:rPr>
          <w:rFonts w:asciiTheme="minorHAnsi" w:hAnsiTheme="minorHAnsi"/>
          <w:color w:val="auto"/>
          <w:szCs w:val="24"/>
        </w:rPr>
        <w:t xml:space="preserve">Radiographs showed that </w:t>
      </w:r>
      <w:r w:rsidR="00A619AD" w:rsidRPr="00721B64">
        <w:rPr>
          <w:rFonts w:asciiTheme="minorHAnsi" w:hAnsiTheme="minorHAnsi"/>
          <w:color w:val="auto"/>
          <w:szCs w:val="24"/>
        </w:rPr>
        <w:t>the fracture had entered the joint space</w:t>
      </w:r>
      <w:r w:rsidR="00530858" w:rsidRPr="00721B64">
        <w:rPr>
          <w:rFonts w:asciiTheme="minorHAnsi" w:hAnsiTheme="minorHAnsi"/>
          <w:color w:val="auto"/>
          <w:szCs w:val="24"/>
        </w:rPr>
        <w:t xml:space="preserve">, that healing was suboptimal, and that </w:t>
      </w:r>
      <w:r w:rsidR="004661B4" w:rsidRPr="00721B64">
        <w:rPr>
          <w:rFonts w:asciiTheme="minorHAnsi" w:hAnsiTheme="minorHAnsi"/>
          <w:color w:val="auto"/>
          <w:szCs w:val="24"/>
        </w:rPr>
        <w:t xml:space="preserve">“alignment is near anatomic. </w:t>
      </w:r>
      <w:r w:rsidR="00CB6CD4" w:rsidRPr="00721B64">
        <w:rPr>
          <w:rFonts w:asciiTheme="minorHAnsi" w:hAnsiTheme="minorHAnsi"/>
          <w:color w:val="auto"/>
          <w:szCs w:val="24"/>
        </w:rPr>
        <w:t xml:space="preserve"> </w:t>
      </w:r>
      <w:r w:rsidR="004661B4" w:rsidRPr="00721B64">
        <w:rPr>
          <w:rFonts w:asciiTheme="minorHAnsi" w:hAnsiTheme="minorHAnsi"/>
          <w:color w:val="auto"/>
          <w:szCs w:val="24"/>
        </w:rPr>
        <w:t>There is heterotopic calcification seen adjacent to the lateral and medial femoral condyles and tibia</w:t>
      </w:r>
      <w:r w:rsidR="008A690F" w:rsidRPr="00721B64">
        <w:rPr>
          <w:rFonts w:asciiTheme="minorHAnsi" w:hAnsiTheme="minorHAnsi"/>
          <w:color w:val="auto"/>
          <w:szCs w:val="24"/>
        </w:rPr>
        <w:t>..</w:t>
      </w:r>
      <w:r w:rsidR="004661B4" w:rsidRPr="00721B64">
        <w:rPr>
          <w:rFonts w:asciiTheme="minorHAnsi" w:hAnsiTheme="minorHAnsi"/>
          <w:color w:val="auto"/>
          <w:szCs w:val="24"/>
        </w:rPr>
        <w:t>.</w:t>
      </w:r>
      <w:r w:rsidR="008A690F" w:rsidRPr="00721B64">
        <w:rPr>
          <w:rFonts w:asciiTheme="minorHAnsi" w:hAnsiTheme="minorHAnsi"/>
          <w:color w:val="auto"/>
          <w:szCs w:val="24"/>
        </w:rPr>
        <w:t>as well as lateral meniscus degeneration and tear.</w:t>
      </w:r>
      <w:r w:rsidR="004661B4" w:rsidRPr="00721B64">
        <w:rPr>
          <w:rFonts w:asciiTheme="minorHAnsi" w:hAnsiTheme="minorHAnsi"/>
          <w:color w:val="auto"/>
          <w:szCs w:val="24"/>
        </w:rPr>
        <w:t xml:space="preserve">”  </w:t>
      </w:r>
      <w:r w:rsidR="00DB1D0E" w:rsidRPr="00721B64">
        <w:rPr>
          <w:rFonts w:asciiTheme="minorHAnsi" w:hAnsiTheme="minorHAnsi"/>
          <w:color w:val="auto"/>
          <w:szCs w:val="24"/>
        </w:rPr>
        <w:t>Findings on the VA examination were very similar to those of the MEB</w:t>
      </w:r>
      <w:r w:rsidR="00E9215A" w:rsidRPr="00721B64">
        <w:rPr>
          <w:rFonts w:asciiTheme="minorHAnsi" w:hAnsiTheme="minorHAnsi"/>
          <w:color w:val="auto"/>
          <w:szCs w:val="24"/>
        </w:rPr>
        <w:t>, without a subjective complaint of locking or giving-way</w:t>
      </w:r>
      <w:r w:rsidR="00DB1D0E" w:rsidRPr="00721B64">
        <w:rPr>
          <w:rFonts w:asciiTheme="minorHAnsi" w:hAnsiTheme="minorHAnsi"/>
          <w:color w:val="auto"/>
          <w:szCs w:val="24"/>
        </w:rPr>
        <w:t xml:space="preserve">.  The VA examiner </w:t>
      </w:r>
      <w:r w:rsidR="00CF0FAB" w:rsidRPr="00721B64">
        <w:rPr>
          <w:rFonts w:asciiTheme="minorHAnsi" w:hAnsiTheme="minorHAnsi"/>
          <w:color w:val="auto"/>
          <w:szCs w:val="24"/>
        </w:rPr>
        <w:t xml:space="preserve">measured extension lacking 20⁰ and </w:t>
      </w:r>
      <w:r w:rsidR="00DB1D0E" w:rsidRPr="00721B64">
        <w:rPr>
          <w:rFonts w:asciiTheme="minorHAnsi" w:hAnsiTheme="minorHAnsi"/>
          <w:color w:val="auto"/>
          <w:szCs w:val="24"/>
        </w:rPr>
        <w:t>additionally noted swelling of the right knee</w:t>
      </w:r>
      <w:r w:rsidR="000C237E" w:rsidRPr="00721B64">
        <w:rPr>
          <w:rFonts w:asciiTheme="minorHAnsi" w:hAnsiTheme="minorHAnsi"/>
          <w:color w:val="auto"/>
          <w:szCs w:val="24"/>
        </w:rPr>
        <w:t xml:space="preserve"> and ROM impairment due to DeLuca factors</w:t>
      </w:r>
      <w:r w:rsidR="00236777" w:rsidRPr="00721B64">
        <w:rPr>
          <w:rFonts w:asciiTheme="minorHAnsi" w:hAnsiTheme="minorHAnsi"/>
          <w:color w:val="auto"/>
          <w:szCs w:val="24"/>
        </w:rPr>
        <w:t xml:space="preserve">.  </w:t>
      </w:r>
      <w:r w:rsidR="00375C95" w:rsidRPr="00721B64">
        <w:rPr>
          <w:rFonts w:asciiTheme="minorHAnsi" w:hAnsiTheme="minorHAnsi"/>
          <w:color w:val="auto"/>
          <w:szCs w:val="24"/>
        </w:rPr>
        <w:t xml:space="preserve">There was decreased sensory exam and unequal leg lengths by 1cm.  </w:t>
      </w:r>
      <w:r w:rsidR="00E9215A" w:rsidRPr="00721B64">
        <w:rPr>
          <w:rFonts w:asciiTheme="minorHAnsi" w:hAnsiTheme="minorHAnsi"/>
          <w:color w:val="auto"/>
          <w:szCs w:val="24"/>
        </w:rPr>
        <w:t xml:space="preserve">No motor deficit was annotated.  </w:t>
      </w:r>
      <w:r w:rsidR="00E85DDB">
        <w:rPr>
          <w:rFonts w:asciiTheme="minorHAnsi" w:hAnsiTheme="minorHAnsi"/>
          <w:color w:val="auto"/>
          <w:szCs w:val="24"/>
        </w:rPr>
        <w:t>By the 7 March 2005</w:t>
      </w:r>
      <w:r w:rsidR="007A6064" w:rsidRPr="00721B64">
        <w:rPr>
          <w:rFonts w:asciiTheme="minorHAnsi" w:hAnsiTheme="minorHAnsi"/>
          <w:color w:val="auto"/>
          <w:szCs w:val="24"/>
        </w:rPr>
        <w:t xml:space="preserve"> VA back C&amp;P exam the CI was ambulating with a cane due to his back and right knee.  </w:t>
      </w:r>
      <w:r w:rsidR="000C237E" w:rsidRPr="00721B64">
        <w:rPr>
          <w:rFonts w:asciiTheme="minorHAnsi" w:hAnsiTheme="minorHAnsi"/>
          <w:color w:val="auto"/>
          <w:szCs w:val="24"/>
        </w:rPr>
        <w:t>None of the</w:t>
      </w:r>
      <w:r w:rsidR="00236777" w:rsidRPr="00721B64">
        <w:rPr>
          <w:rFonts w:asciiTheme="minorHAnsi" w:hAnsiTheme="minorHAnsi"/>
          <w:color w:val="auto"/>
          <w:szCs w:val="24"/>
        </w:rPr>
        <w:t xml:space="preserve"> examiner</w:t>
      </w:r>
      <w:r w:rsidR="000C237E" w:rsidRPr="00721B64">
        <w:rPr>
          <w:rFonts w:asciiTheme="minorHAnsi" w:hAnsiTheme="minorHAnsi"/>
          <w:color w:val="auto"/>
          <w:szCs w:val="24"/>
        </w:rPr>
        <w:t>s</w:t>
      </w:r>
      <w:r w:rsidR="00236777" w:rsidRPr="00721B64">
        <w:rPr>
          <w:rFonts w:asciiTheme="minorHAnsi" w:hAnsiTheme="minorHAnsi"/>
          <w:color w:val="auto"/>
          <w:szCs w:val="24"/>
        </w:rPr>
        <w:t xml:space="preserve"> noted instability of the knee</w:t>
      </w:r>
      <w:r w:rsidR="00FA7A55" w:rsidRPr="00721B64">
        <w:rPr>
          <w:rFonts w:asciiTheme="minorHAnsi" w:hAnsiTheme="minorHAnsi"/>
          <w:color w:val="auto"/>
          <w:szCs w:val="24"/>
        </w:rPr>
        <w:t>, and despite in-service complaints of locking/give-way, no similar complaint was noted on the VA history.</w:t>
      </w:r>
    </w:p>
    <w:p w:rsidR="00FA7A55" w:rsidRPr="00721B64" w:rsidRDefault="00FA7A55" w:rsidP="009E29A6">
      <w:pPr>
        <w:tabs>
          <w:tab w:val="left" w:pos="2980"/>
        </w:tabs>
        <w:spacing w:line="240" w:lineRule="exact"/>
        <w:jc w:val="both"/>
        <w:rPr>
          <w:rFonts w:asciiTheme="minorHAnsi" w:hAnsiTheme="minorHAnsi"/>
          <w:color w:val="auto"/>
          <w:szCs w:val="24"/>
        </w:rPr>
      </w:pPr>
    </w:p>
    <w:p w:rsidR="009E29A6" w:rsidRPr="00721B64" w:rsidRDefault="00265B94" w:rsidP="009E29A6">
      <w:pPr>
        <w:tabs>
          <w:tab w:val="left" w:pos="2980"/>
        </w:tabs>
        <w:spacing w:line="240" w:lineRule="exact"/>
        <w:jc w:val="both"/>
        <w:rPr>
          <w:rFonts w:asciiTheme="minorHAnsi" w:hAnsiTheme="minorHAnsi"/>
          <w:color w:val="auto"/>
          <w:szCs w:val="24"/>
        </w:rPr>
      </w:pPr>
      <w:r w:rsidRPr="00721B64">
        <w:rPr>
          <w:rFonts w:asciiTheme="minorHAnsi" w:hAnsiTheme="minorHAnsi"/>
          <w:color w:val="auto"/>
          <w:szCs w:val="24"/>
        </w:rPr>
        <w:t>In response to the CI’s appeal</w:t>
      </w:r>
      <w:r w:rsidR="008A690F" w:rsidRPr="00721B64">
        <w:rPr>
          <w:rFonts w:asciiTheme="minorHAnsi" w:hAnsiTheme="minorHAnsi"/>
          <w:color w:val="auto"/>
          <w:szCs w:val="24"/>
        </w:rPr>
        <w:t>,</w:t>
      </w:r>
      <w:r w:rsidRPr="00721B64">
        <w:rPr>
          <w:rFonts w:asciiTheme="minorHAnsi" w:hAnsiTheme="minorHAnsi"/>
          <w:color w:val="auto"/>
          <w:szCs w:val="24"/>
        </w:rPr>
        <w:t xml:space="preserve"> the PEB further noted that the 18⁰ deficit of extension still fell below the 20⁰ deficit of extension required for a 30% rating.  </w:t>
      </w:r>
      <w:r w:rsidR="00522823">
        <w:rPr>
          <w:rFonts w:asciiTheme="minorHAnsi" w:hAnsiTheme="minorHAnsi"/>
          <w:color w:val="auto"/>
          <w:szCs w:val="24"/>
        </w:rPr>
        <w:t>(</w:t>
      </w:r>
      <w:r w:rsidR="008A690F" w:rsidRPr="00721B64">
        <w:rPr>
          <w:rFonts w:asciiTheme="minorHAnsi" w:hAnsiTheme="minorHAnsi"/>
          <w:color w:val="auto"/>
          <w:szCs w:val="24"/>
        </w:rPr>
        <w:t xml:space="preserve">The Board notes that rounding of ROMs IAW the </w:t>
      </w:r>
      <w:r w:rsidR="00F81327">
        <w:rPr>
          <w:rFonts w:asciiTheme="minorHAnsi" w:hAnsiTheme="minorHAnsi"/>
          <w:color w:val="auto"/>
          <w:szCs w:val="24"/>
        </w:rPr>
        <w:t>VA Schedule for Rating Disabilities [</w:t>
      </w:r>
      <w:r w:rsidR="008A690F" w:rsidRPr="00721B64">
        <w:rPr>
          <w:rFonts w:asciiTheme="minorHAnsi" w:hAnsiTheme="minorHAnsi"/>
          <w:color w:val="auto"/>
          <w:szCs w:val="24"/>
        </w:rPr>
        <w:t>VASRD</w:t>
      </w:r>
      <w:r w:rsidR="00F81327">
        <w:rPr>
          <w:rFonts w:asciiTheme="minorHAnsi" w:hAnsiTheme="minorHAnsi"/>
          <w:color w:val="auto"/>
          <w:szCs w:val="24"/>
        </w:rPr>
        <w:t>]</w:t>
      </w:r>
      <w:r w:rsidR="008A690F" w:rsidRPr="00721B64">
        <w:rPr>
          <w:rFonts w:asciiTheme="minorHAnsi" w:hAnsiTheme="minorHAnsi"/>
          <w:color w:val="auto"/>
          <w:szCs w:val="24"/>
        </w:rPr>
        <w:t xml:space="preserve"> §4.71a</w:t>
      </w:r>
      <w:r w:rsidR="00522823">
        <w:rPr>
          <w:rFonts w:asciiTheme="minorHAnsi" w:hAnsiTheme="minorHAnsi"/>
          <w:color w:val="auto"/>
          <w:szCs w:val="24"/>
        </w:rPr>
        <w:t>,</w:t>
      </w:r>
      <w:r w:rsidR="008A690F" w:rsidRPr="00721B64">
        <w:rPr>
          <w:rFonts w:asciiTheme="minorHAnsi" w:hAnsiTheme="minorHAnsi"/>
          <w:color w:val="auto"/>
          <w:szCs w:val="24"/>
        </w:rPr>
        <w:t xml:space="preserve"> </w:t>
      </w:r>
      <w:r w:rsidR="00522823" w:rsidRPr="00721B64">
        <w:rPr>
          <w:rFonts w:asciiTheme="minorHAnsi" w:hAnsiTheme="minorHAnsi"/>
          <w:color w:val="auto"/>
          <w:szCs w:val="24"/>
        </w:rPr>
        <w:t xml:space="preserve">general rating formula for diseases and injuries of the spine note </w:t>
      </w:r>
      <w:r w:rsidR="008A690F" w:rsidRPr="00721B64">
        <w:rPr>
          <w:rFonts w:asciiTheme="minorHAnsi" w:hAnsiTheme="minorHAnsi"/>
          <w:color w:val="auto"/>
          <w:szCs w:val="24"/>
        </w:rPr>
        <w:t>4 is not applicable for other joints.</w:t>
      </w:r>
      <w:r w:rsidR="00522823">
        <w:rPr>
          <w:rFonts w:asciiTheme="minorHAnsi" w:hAnsiTheme="minorHAnsi"/>
          <w:color w:val="auto"/>
          <w:szCs w:val="24"/>
        </w:rPr>
        <w:t>)</w:t>
      </w:r>
      <w:r w:rsidR="008A690F" w:rsidRPr="00721B64">
        <w:rPr>
          <w:rFonts w:asciiTheme="minorHAnsi" w:hAnsiTheme="minorHAnsi"/>
          <w:color w:val="auto"/>
          <w:szCs w:val="24"/>
        </w:rPr>
        <w:t xml:space="preserve">  </w:t>
      </w:r>
      <w:r w:rsidR="00721B64" w:rsidRPr="00721B64">
        <w:rPr>
          <w:rFonts w:asciiTheme="minorHAnsi" w:hAnsiTheme="minorHAnsi"/>
          <w:color w:val="auto"/>
          <w:szCs w:val="24"/>
        </w:rPr>
        <w:t xml:space="preserve">The PEB and VA chose different coding options for the condition which significantly impacted the ratings.  </w:t>
      </w:r>
      <w:r w:rsidR="00363F7E" w:rsidRPr="00721B64">
        <w:rPr>
          <w:rFonts w:asciiTheme="minorHAnsi" w:hAnsiTheme="minorHAnsi"/>
          <w:color w:val="auto"/>
          <w:szCs w:val="24"/>
        </w:rPr>
        <w:t>The VA code</w:t>
      </w:r>
      <w:r w:rsidR="008A690F" w:rsidRPr="00721B64">
        <w:rPr>
          <w:rFonts w:asciiTheme="minorHAnsi" w:hAnsiTheme="minorHAnsi"/>
          <w:color w:val="auto"/>
          <w:szCs w:val="24"/>
        </w:rPr>
        <w:t>d</w:t>
      </w:r>
      <w:r w:rsidR="00363F7E" w:rsidRPr="00721B64">
        <w:rPr>
          <w:rFonts w:asciiTheme="minorHAnsi" w:hAnsiTheme="minorHAnsi"/>
          <w:color w:val="auto"/>
          <w:szCs w:val="24"/>
        </w:rPr>
        <w:t xml:space="preserve"> </w:t>
      </w:r>
      <w:r w:rsidR="008A690F" w:rsidRPr="00721B64">
        <w:rPr>
          <w:rFonts w:asciiTheme="minorHAnsi" w:hAnsiTheme="minorHAnsi"/>
          <w:color w:val="auto"/>
          <w:szCs w:val="24"/>
        </w:rPr>
        <w:t>using</w:t>
      </w:r>
      <w:r w:rsidR="00363F7E" w:rsidRPr="00721B64">
        <w:rPr>
          <w:rFonts w:asciiTheme="minorHAnsi" w:hAnsiTheme="minorHAnsi"/>
          <w:color w:val="auto"/>
          <w:szCs w:val="24"/>
        </w:rPr>
        <w:t xml:space="preserve"> 5262 (impairment of tibia and fibula) and rated the condition as </w:t>
      </w:r>
      <w:proofErr w:type="spellStart"/>
      <w:r w:rsidR="00363F7E" w:rsidRPr="00721B64">
        <w:rPr>
          <w:rFonts w:asciiTheme="minorHAnsi" w:hAnsiTheme="minorHAnsi"/>
          <w:color w:val="auto"/>
          <w:szCs w:val="24"/>
        </w:rPr>
        <w:t>malunion</w:t>
      </w:r>
      <w:proofErr w:type="spellEnd"/>
      <w:r w:rsidR="00363F7E" w:rsidRPr="00721B64">
        <w:rPr>
          <w:rFonts w:asciiTheme="minorHAnsi" w:hAnsiTheme="minorHAnsi"/>
          <w:color w:val="auto"/>
          <w:szCs w:val="24"/>
        </w:rPr>
        <w:t xml:space="preserve"> with marked knee disability.  </w:t>
      </w:r>
      <w:r w:rsidR="009E29A6" w:rsidRPr="00721B64">
        <w:rPr>
          <w:rFonts w:asciiTheme="minorHAnsi" w:hAnsiTheme="minorHAnsi"/>
          <w:color w:val="auto"/>
          <w:szCs w:val="24"/>
        </w:rPr>
        <w:t xml:space="preserve">The CI’s underlying pathology was also </w:t>
      </w:r>
      <w:r w:rsidR="009C7E40" w:rsidRPr="00721B64">
        <w:rPr>
          <w:rFonts w:asciiTheme="minorHAnsi" w:hAnsiTheme="minorHAnsi"/>
          <w:color w:val="auto"/>
          <w:szCs w:val="24"/>
        </w:rPr>
        <w:t xml:space="preserve">most </w:t>
      </w:r>
      <w:r w:rsidR="009E29A6" w:rsidRPr="00721B64">
        <w:rPr>
          <w:rFonts w:asciiTheme="minorHAnsi" w:hAnsiTheme="minorHAnsi"/>
          <w:color w:val="auto"/>
          <w:szCs w:val="24"/>
        </w:rPr>
        <w:t xml:space="preserve">consistent with this code and rating.  </w:t>
      </w:r>
      <w:r w:rsidR="00F874C3" w:rsidRPr="00721B64">
        <w:rPr>
          <w:rFonts w:asciiTheme="minorHAnsi" w:hAnsiTheme="minorHAnsi"/>
          <w:color w:val="auto"/>
          <w:szCs w:val="24"/>
        </w:rPr>
        <w:t xml:space="preserve">The Board considered that the knee is a unique joint </w:t>
      </w:r>
      <w:r w:rsidR="00FA7A55" w:rsidRPr="00721B64">
        <w:rPr>
          <w:rFonts w:asciiTheme="minorHAnsi" w:hAnsiTheme="minorHAnsi"/>
          <w:color w:val="auto"/>
          <w:szCs w:val="24"/>
        </w:rPr>
        <w:t xml:space="preserve">IAW VASRD guidance </w:t>
      </w:r>
      <w:r w:rsidR="00F874C3" w:rsidRPr="00721B64">
        <w:rPr>
          <w:rFonts w:asciiTheme="minorHAnsi" w:hAnsiTheme="minorHAnsi"/>
          <w:color w:val="auto"/>
          <w:szCs w:val="24"/>
        </w:rPr>
        <w:t xml:space="preserve">and may have multiple </w:t>
      </w:r>
      <w:r w:rsidR="00FA7A55" w:rsidRPr="00721B64">
        <w:rPr>
          <w:rFonts w:asciiTheme="minorHAnsi" w:hAnsiTheme="minorHAnsi"/>
          <w:color w:val="auto"/>
          <w:szCs w:val="24"/>
        </w:rPr>
        <w:t xml:space="preserve">(up to three) </w:t>
      </w:r>
      <w:r w:rsidR="00F874C3" w:rsidRPr="00721B64">
        <w:rPr>
          <w:rFonts w:asciiTheme="minorHAnsi" w:hAnsiTheme="minorHAnsi"/>
          <w:color w:val="auto"/>
          <w:szCs w:val="24"/>
        </w:rPr>
        <w:t>ratings</w:t>
      </w:r>
      <w:r w:rsidR="00FA7A55" w:rsidRPr="00721B64">
        <w:rPr>
          <w:rFonts w:asciiTheme="minorHAnsi" w:hAnsiTheme="minorHAnsi"/>
          <w:color w:val="auto"/>
          <w:szCs w:val="24"/>
        </w:rPr>
        <w:t xml:space="preserve"> for a single knee</w:t>
      </w:r>
      <w:r w:rsidR="00F874C3" w:rsidRPr="00721B64">
        <w:rPr>
          <w:rFonts w:asciiTheme="minorHAnsi" w:hAnsiTheme="minorHAnsi"/>
          <w:color w:val="auto"/>
          <w:szCs w:val="24"/>
        </w:rPr>
        <w:t xml:space="preserve">.  </w:t>
      </w:r>
      <w:r w:rsidR="00FA7A55" w:rsidRPr="00721B64">
        <w:rPr>
          <w:rFonts w:asciiTheme="minorHAnsi" w:hAnsiTheme="minorHAnsi"/>
          <w:color w:val="auto"/>
          <w:szCs w:val="24"/>
        </w:rPr>
        <w:t>The Board d</w:t>
      </w:r>
      <w:r w:rsidR="00F874C3" w:rsidRPr="00721B64">
        <w:rPr>
          <w:rFonts w:asciiTheme="minorHAnsi" w:hAnsiTheme="minorHAnsi"/>
          <w:color w:val="auto"/>
          <w:szCs w:val="24"/>
        </w:rPr>
        <w:t xml:space="preserve">eliberated </w:t>
      </w:r>
      <w:r w:rsidR="000569E0" w:rsidRPr="00721B64">
        <w:rPr>
          <w:rFonts w:asciiTheme="minorHAnsi" w:hAnsiTheme="minorHAnsi"/>
          <w:color w:val="auto"/>
          <w:szCs w:val="24"/>
        </w:rPr>
        <w:t xml:space="preserve">that </w:t>
      </w:r>
      <w:r w:rsidR="00F874C3" w:rsidRPr="00721B64">
        <w:rPr>
          <w:rFonts w:asciiTheme="minorHAnsi" w:hAnsiTheme="minorHAnsi"/>
          <w:color w:val="auto"/>
          <w:szCs w:val="24"/>
        </w:rPr>
        <w:t>alternate or additional coding options beyond 5261 at 20% for mechanically limited extension to 15°, were for 5260 at 10% for pain-limited flexion IAW VASRD §4.59 (pai</w:t>
      </w:r>
      <w:r w:rsidR="00E85DDB">
        <w:rPr>
          <w:rFonts w:asciiTheme="minorHAnsi" w:hAnsiTheme="minorHAnsi"/>
          <w:color w:val="auto"/>
          <w:szCs w:val="24"/>
        </w:rPr>
        <w:t>nful motion), and/or 5299-5259 c</w:t>
      </w:r>
      <w:r w:rsidR="00F874C3" w:rsidRPr="00721B64">
        <w:rPr>
          <w:rFonts w:asciiTheme="minorHAnsi" w:hAnsiTheme="minorHAnsi"/>
          <w:color w:val="auto"/>
          <w:szCs w:val="24"/>
        </w:rPr>
        <w:t xml:space="preserve">artilage, semilunar, removal of, symptomatic at 10% for meniscal tear and symptoms of </w:t>
      </w:r>
      <w:r w:rsidR="00FA7A55" w:rsidRPr="00721B64">
        <w:rPr>
          <w:rFonts w:asciiTheme="minorHAnsi" w:hAnsiTheme="minorHAnsi"/>
          <w:color w:val="auto"/>
          <w:szCs w:val="24"/>
        </w:rPr>
        <w:t xml:space="preserve">effusion, </w:t>
      </w:r>
      <w:r w:rsidR="00F874C3" w:rsidRPr="00721B64">
        <w:rPr>
          <w:rFonts w:asciiTheme="minorHAnsi" w:hAnsiTheme="minorHAnsi"/>
          <w:color w:val="auto"/>
          <w:szCs w:val="24"/>
        </w:rPr>
        <w:t>locking</w:t>
      </w:r>
      <w:r w:rsidR="00FA7A55" w:rsidRPr="00721B64">
        <w:rPr>
          <w:rFonts w:asciiTheme="minorHAnsi" w:hAnsiTheme="minorHAnsi"/>
          <w:color w:val="auto"/>
          <w:szCs w:val="24"/>
        </w:rPr>
        <w:t xml:space="preserve">, </w:t>
      </w:r>
      <w:r w:rsidR="00F874C3" w:rsidRPr="00721B64">
        <w:rPr>
          <w:rFonts w:asciiTheme="minorHAnsi" w:hAnsiTheme="minorHAnsi"/>
          <w:color w:val="auto"/>
          <w:szCs w:val="24"/>
        </w:rPr>
        <w:t xml:space="preserve">and give-way.  </w:t>
      </w:r>
      <w:r w:rsidR="00375C95" w:rsidRPr="00721B64">
        <w:rPr>
          <w:rFonts w:asciiTheme="minorHAnsi" w:hAnsiTheme="minorHAnsi"/>
          <w:color w:val="auto"/>
          <w:szCs w:val="24"/>
        </w:rPr>
        <w:t xml:space="preserve">The Board adjudged that the documented minimal sensory impairment did not interfere with duty or rise to the level of an unfitting or ratable condition.  </w:t>
      </w:r>
      <w:r w:rsidR="009E29A6" w:rsidRPr="00721B64">
        <w:rPr>
          <w:rFonts w:asciiTheme="minorHAnsi" w:hAnsiTheme="minorHAnsi"/>
          <w:color w:val="auto"/>
          <w:szCs w:val="24"/>
        </w:rPr>
        <w:t>After due deliberation, considering all of the evidence and mindful of VASRD §4.3 (reasonable doubt), the Board recommends a separation rating of 30% for the right knee condition</w:t>
      </w:r>
      <w:r w:rsidR="00A619AD" w:rsidRPr="00721B64">
        <w:rPr>
          <w:rFonts w:asciiTheme="minorHAnsi" w:hAnsiTheme="minorHAnsi"/>
          <w:color w:val="auto"/>
          <w:szCs w:val="24"/>
        </w:rPr>
        <w:t xml:space="preserve"> coded 5262</w:t>
      </w:r>
      <w:r w:rsidR="00375C95" w:rsidRPr="00721B64">
        <w:rPr>
          <w:rFonts w:asciiTheme="minorHAnsi" w:hAnsiTheme="minorHAnsi"/>
          <w:color w:val="auto"/>
          <w:szCs w:val="24"/>
        </w:rPr>
        <w:t>, with no additional knee or lower extremity neurologic ratings</w:t>
      </w:r>
      <w:r w:rsidR="009E29A6" w:rsidRPr="00721B64">
        <w:rPr>
          <w:rFonts w:asciiTheme="minorHAnsi" w:hAnsiTheme="minorHAnsi"/>
          <w:color w:val="auto"/>
          <w:szCs w:val="24"/>
        </w:rPr>
        <w:t>.</w:t>
      </w:r>
    </w:p>
    <w:p w:rsidR="00CF0FAB" w:rsidRPr="00721B64" w:rsidRDefault="00CF0FAB" w:rsidP="00CF0FAB">
      <w:pPr>
        <w:tabs>
          <w:tab w:val="left" w:pos="2980"/>
        </w:tabs>
        <w:spacing w:line="240" w:lineRule="exact"/>
        <w:jc w:val="both"/>
        <w:rPr>
          <w:rFonts w:asciiTheme="minorHAnsi" w:hAnsiTheme="minorHAnsi"/>
          <w:color w:val="auto"/>
          <w:szCs w:val="24"/>
        </w:rPr>
      </w:pPr>
    </w:p>
    <w:p w:rsidR="009E29A6" w:rsidRPr="00721B64" w:rsidRDefault="00E85DDB" w:rsidP="009E29A6">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Other </w:t>
      </w:r>
      <w:r w:rsidR="00DF6538" w:rsidRPr="00721B64">
        <w:rPr>
          <w:rFonts w:asciiTheme="minorHAnsi" w:hAnsiTheme="minorHAnsi"/>
          <w:color w:val="auto"/>
          <w:szCs w:val="24"/>
          <w:u w:val="single"/>
        </w:rPr>
        <w:t>PEB Conditions</w:t>
      </w:r>
      <w:r w:rsidR="006743E5" w:rsidRPr="00721B64">
        <w:rPr>
          <w:rFonts w:asciiTheme="minorHAnsi" w:hAnsiTheme="minorHAnsi"/>
          <w:color w:val="auto"/>
          <w:szCs w:val="24"/>
        </w:rPr>
        <w:t>.</w:t>
      </w:r>
      <w:proofErr w:type="gramEnd"/>
      <w:r>
        <w:rPr>
          <w:rFonts w:asciiTheme="minorHAnsi" w:hAnsiTheme="minorHAnsi"/>
          <w:color w:val="auto"/>
          <w:szCs w:val="24"/>
        </w:rPr>
        <w:t xml:space="preserve"> </w:t>
      </w:r>
      <w:r w:rsidR="009E29A6" w:rsidRPr="00721B64">
        <w:rPr>
          <w:rFonts w:asciiTheme="minorHAnsi" w:hAnsiTheme="minorHAnsi"/>
          <w:color w:val="auto"/>
          <w:szCs w:val="24"/>
        </w:rPr>
        <w:t>One other condition, anxiety disorder</w:t>
      </w:r>
      <w:r w:rsidR="00442DA4" w:rsidRPr="00721B64">
        <w:rPr>
          <w:rFonts w:asciiTheme="minorHAnsi" w:hAnsiTheme="minorHAnsi"/>
          <w:color w:val="auto"/>
          <w:szCs w:val="24"/>
        </w:rPr>
        <w:t xml:space="preserve"> (later claimed as PTSD and determined to be </w:t>
      </w:r>
      <w:r w:rsidR="000E7D24" w:rsidRPr="00721B64">
        <w:rPr>
          <w:rFonts w:asciiTheme="minorHAnsi" w:hAnsiTheme="minorHAnsi"/>
          <w:color w:val="auto"/>
          <w:szCs w:val="24"/>
        </w:rPr>
        <w:t xml:space="preserve">psychosis </w:t>
      </w:r>
      <w:r w:rsidR="00442DA4" w:rsidRPr="00721B64">
        <w:rPr>
          <w:rFonts w:asciiTheme="minorHAnsi" w:hAnsiTheme="minorHAnsi"/>
          <w:color w:val="auto"/>
          <w:szCs w:val="24"/>
        </w:rPr>
        <w:t>not service connected by the VA)</w:t>
      </w:r>
      <w:r w:rsidR="009E29A6" w:rsidRPr="00721B64">
        <w:rPr>
          <w:rFonts w:asciiTheme="minorHAnsi" w:hAnsiTheme="minorHAnsi"/>
          <w:color w:val="auto"/>
          <w:szCs w:val="24"/>
        </w:rPr>
        <w:t xml:space="preserve">, was forwarded by the MEB and adjudicated as not unfitting by the </w:t>
      </w:r>
      <w:r w:rsidR="00F81327">
        <w:rPr>
          <w:rFonts w:asciiTheme="minorHAnsi" w:hAnsiTheme="minorHAnsi"/>
          <w:color w:val="auto"/>
          <w:szCs w:val="24"/>
        </w:rPr>
        <w:t>I</w:t>
      </w:r>
      <w:r w:rsidR="009E29A6" w:rsidRPr="00721B64">
        <w:rPr>
          <w:rFonts w:asciiTheme="minorHAnsi" w:hAnsiTheme="minorHAnsi"/>
          <w:color w:val="auto"/>
          <w:szCs w:val="24"/>
        </w:rPr>
        <w:t>PEB</w:t>
      </w:r>
      <w:r w:rsidR="00981CC8" w:rsidRPr="00721B64">
        <w:rPr>
          <w:rFonts w:asciiTheme="minorHAnsi" w:hAnsiTheme="minorHAnsi"/>
          <w:color w:val="auto"/>
          <w:szCs w:val="24"/>
        </w:rPr>
        <w:t xml:space="preserve"> and FPEB</w:t>
      </w:r>
      <w:r w:rsidR="009E29A6" w:rsidRPr="00721B64">
        <w:rPr>
          <w:rFonts w:asciiTheme="minorHAnsi" w:hAnsiTheme="minorHAnsi"/>
          <w:color w:val="auto"/>
          <w:szCs w:val="24"/>
        </w:rPr>
        <w:t xml:space="preserve">.  </w:t>
      </w:r>
      <w:r w:rsidR="00442DA4" w:rsidRPr="00721B64">
        <w:rPr>
          <w:rFonts w:asciiTheme="minorHAnsi" w:hAnsiTheme="minorHAnsi"/>
          <w:color w:val="auto"/>
          <w:szCs w:val="24"/>
        </w:rPr>
        <w:t>This</w:t>
      </w:r>
      <w:r w:rsidR="009E29A6" w:rsidRPr="00721B64">
        <w:rPr>
          <w:rFonts w:asciiTheme="minorHAnsi" w:hAnsiTheme="minorHAnsi"/>
          <w:color w:val="auto"/>
          <w:szCs w:val="24"/>
        </w:rPr>
        <w:t xml:space="preserve"> condition</w:t>
      </w:r>
      <w:r w:rsidR="00442DA4" w:rsidRPr="00721B64">
        <w:rPr>
          <w:rFonts w:asciiTheme="minorHAnsi" w:hAnsiTheme="minorHAnsi"/>
          <w:color w:val="auto"/>
          <w:szCs w:val="24"/>
        </w:rPr>
        <w:t xml:space="preserve"> was not</w:t>
      </w:r>
      <w:r w:rsidR="009E29A6" w:rsidRPr="00721B64">
        <w:rPr>
          <w:rFonts w:asciiTheme="minorHAnsi" w:hAnsiTheme="minorHAnsi"/>
          <w:color w:val="auto"/>
          <w:szCs w:val="24"/>
        </w:rPr>
        <w:t xml:space="preserve"> profiled, implicated in the commander’s statement</w:t>
      </w:r>
      <w:r w:rsidR="00442DA4" w:rsidRPr="00721B64">
        <w:rPr>
          <w:rFonts w:asciiTheme="minorHAnsi" w:hAnsiTheme="minorHAnsi"/>
          <w:color w:val="auto"/>
          <w:szCs w:val="24"/>
        </w:rPr>
        <w:t xml:space="preserve"> </w:t>
      </w:r>
      <w:r w:rsidR="009E29A6" w:rsidRPr="00721B64">
        <w:rPr>
          <w:rFonts w:asciiTheme="minorHAnsi" w:hAnsiTheme="minorHAnsi"/>
          <w:color w:val="auto"/>
          <w:szCs w:val="24"/>
        </w:rPr>
        <w:t xml:space="preserve">or noted as failing retention standards.  </w:t>
      </w:r>
      <w:r w:rsidR="00442DA4" w:rsidRPr="00721B64">
        <w:rPr>
          <w:rFonts w:asciiTheme="minorHAnsi" w:hAnsiTheme="minorHAnsi"/>
          <w:color w:val="auto"/>
          <w:szCs w:val="24"/>
        </w:rPr>
        <w:t>The condition was</w:t>
      </w:r>
      <w:r w:rsidR="009E29A6" w:rsidRPr="00721B64">
        <w:rPr>
          <w:rFonts w:asciiTheme="minorHAnsi" w:hAnsiTheme="minorHAnsi"/>
          <w:color w:val="auto"/>
          <w:szCs w:val="24"/>
        </w:rPr>
        <w:t xml:space="preserve"> </w:t>
      </w:r>
      <w:r w:rsidR="009E29A6" w:rsidRPr="00721B64">
        <w:rPr>
          <w:rFonts w:asciiTheme="minorHAnsi" w:hAnsiTheme="minorHAnsi"/>
          <w:color w:val="auto"/>
          <w:szCs w:val="24"/>
        </w:rPr>
        <w:lastRenderedPageBreak/>
        <w:t xml:space="preserve">reviewed by the action officer and considered by the Board.  There was no indication from the record that </w:t>
      </w:r>
      <w:r w:rsidR="000E7D24" w:rsidRPr="00721B64">
        <w:rPr>
          <w:rFonts w:asciiTheme="minorHAnsi" w:hAnsiTheme="minorHAnsi"/>
          <w:color w:val="auto"/>
          <w:szCs w:val="24"/>
        </w:rPr>
        <w:t>any mental health</w:t>
      </w:r>
      <w:r w:rsidR="00442DA4" w:rsidRPr="00721B64">
        <w:rPr>
          <w:rFonts w:asciiTheme="minorHAnsi" w:hAnsiTheme="minorHAnsi"/>
          <w:color w:val="auto"/>
          <w:szCs w:val="24"/>
        </w:rPr>
        <w:t xml:space="preserve"> condition</w:t>
      </w:r>
      <w:r w:rsidR="009E29A6" w:rsidRPr="00721B64">
        <w:rPr>
          <w:rFonts w:asciiTheme="minorHAnsi" w:hAnsiTheme="minorHAnsi"/>
          <w:color w:val="auto"/>
          <w:szCs w:val="24"/>
        </w:rPr>
        <w:t xml:space="preserve"> significantly interfered with satisfactory performance of MOS</w:t>
      </w:r>
      <w:r w:rsidR="00442DA4" w:rsidRPr="00721B64">
        <w:rPr>
          <w:rFonts w:asciiTheme="minorHAnsi" w:hAnsiTheme="minorHAnsi"/>
          <w:color w:val="auto"/>
          <w:szCs w:val="24"/>
        </w:rPr>
        <w:t xml:space="preserve"> </w:t>
      </w:r>
      <w:r w:rsidR="009E29A6" w:rsidRPr="00721B64">
        <w:rPr>
          <w:rFonts w:asciiTheme="minorHAnsi" w:hAnsiTheme="minorHAnsi"/>
          <w:color w:val="auto"/>
          <w:szCs w:val="24"/>
        </w:rPr>
        <w:t>duty requirements.  All evidence considered</w:t>
      </w:r>
      <w:proofErr w:type="gramStart"/>
      <w:r w:rsidR="009E29A6" w:rsidRPr="00721B64">
        <w:rPr>
          <w:rFonts w:asciiTheme="minorHAnsi" w:hAnsiTheme="minorHAnsi"/>
          <w:color w:val="auto"/>
          <w:szCs w:val="24"/>
        </w:rPr>
        <w:t>,</w:t>
      </w:r>
      <w:proofErr w:type="gramEnd"/>
      <w:r w:rsidR="009E29A6" w:rsidRPr="00721B64">
        <w:rPr>
          <w:rFonts w:asciiTheme="minorHAnsi" w:hAnsiTheme="minorHAnsi"/>
          <w:color w:val="auto"/>
          <w:szCs w:val="24"/>
        </w:rPr>
        <w:t xml:space="preserve"> there is not reasonable doubt in the CI’s favor supporting recharacterization of the PEB fitness adjudication for </w:t>
      </w:r>
      <w:r w:rsidR="00442DA4" w:rsidRPr="00721B64">
        <w:rPr>
          <w:rFonts w:asciiTheme="minorHAnsi" w:hAnsiTheme="minorHAnsi"/>
          <w:color w:val="auto"/>
          <w:szCs w:val="24"/>
        </w:rPr>
        <w:t>the anxiety disorder condition</w:t>
      </w:r>
      <w:r w:rsidR="009E29A6" w:rsidRPr="00721B64">
        <w:rPr>
          <w:rFonts w:asciiTheme="minorHAnsi" w:hAnsiTheme="minorHAnsi"/>
          <w:color w:val="auto"/>
          <w:szCs w:val="24"/>
        </w:rPr>
        <w:t>.</w:t>
      </w:r>
    </w:p>
    <w:p w:rsidR="00DF6538" w:rsidRPr="00721B64" w:rsidRDefault="00DF6538" w:rsidP="00072498">
      <w:pPr>
        <w:tabs>
          <w:tab w:val="left" w:pos="2980"/>
        </w:tabs>
        <w:spacing w:line="240" w:lineRule="exact"/>
        <w:jc w:val="both"/>
        <w:rPr>
          <w:rFonts w:asciiTheme="minorHAnsi" w:hAnsiTheme="minorHAnsi"/>
          <w:color w:val="auto"/>
          <w:szCs w:val="24"/>
        </w:rPr>
      </w:pPr>
    </w:p>
    <w:p w:rsidR="006743E5" w:rsidRPr="00721B64" w:rsidRDefault="00072498" w:rsidP="00981CC8">
      <w:pPr>
        <w:spacing w:line="240" w:lineRule="exact"/>
        <w:jc w:val="both"/>
        <w:rPr>
          <w:rFonts w:asciiTheme="minorHAnsi" w:eastAsia="HiddenHorzOCR" w:hAnsiTheme="minorHAnsi"/>
          <w:color w:val="auto"/>
          <w:szCs w:val="24"/>
        </w:rPr>
      </w:pPr>
      <w:proofErr w:type="gramStart"/>
      <w:r w:rsidRPr="00721B64">
        <w:rPr>
          <w:rFonts w:asciiTheme="minorHAnsi" w:eastAsia="HiddenHorzOCR" w:hAnsiTheme="minorHAnsi"/>
          <w:color w:val="auto"/>
          <w:szCs w:val="24"/>
          <w:u w:val="single"/>
        </w:rPr>
        <w:t>Other Contended Conditions</w:t>
      </w:r>
      <w:r w:rsidR="006743E5" w:rsidRPr="00721B64">
        <w:rPr>
          <w:rFonts w:asciiTheme="minorHAnsi" w:eastAsia="HiddenHorzOCR" w:hAnsiTheme="minorHAnsi"/>
          <w:color w:val="auto"/>
          <w:szCs w:val="24"/>
        </w:rPr>
        <w:t>.</w:t>
      </w:r>
      <w:proofErr w:type="gramEnd"/>
      <w:r w:rsidRPr="00721B64">
        <w:rPr>
          <w:rFonts w:asciiTheme="minorHAnsi" w:eastAsia="HiddenHorzOCR" w:hAnsiTheme="minorHAnsi"/>
          <w:color w:val="auto"/>
          <w:szCs w:val="24"/>
        </w:rPr>
        <w:t xml:space="preserve">  </w:t>
      </w:r>
      <w:r w:rsidR="00442DA4" w:rsidRPr="00721B64">
        <w:rPr>
          <w:rFonts w:asciiTheme="minorHAnsi" w:eastAsia="HiddenHorzOCR" w:hAnsiTheme="minorHAnsi"/>
          <w:color w:val="auto"/>
          <w:szCs w:val="24"/>
        </w:rPr>
        <w:t xml:space="preserve">The CI’s application asserts that compensable ratings should be considered for migraine headaches.  This condition was reviewed by the action officer and considered by the Board.  There was no evidence for concluding that the headache condition interfered with duty performance to a degree that could be argued as unfitting.  More importantly, the condition was not mentioned in the narrative summary, MEB history and physical, PEB appeal documents, or elsewhere in the </w:t>
      </w:r>
      <w:r w:rsidR="006743E5" w:rsidRPr="00721B64">
        <w:rPr>
          <w:rFonts w:asciiTheme="minorHAnsi" w:eastAsia="HiddenHorzOCR" w:hAnsiTheme="minorHAnsi"/>
          <w:color w:val="auto"/>
          <w:szCs w:val="24"/>
        </w:rPr>
        <w:t>Disability Evaluation System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072498" w:rsidRPr="00721B64" w:rsidRDefault="00072498" w:rsidP="00981CC8">
      <w:pPr>
        <w:spacing w:line="240" w:lineRule="exact"/>
        <w:jc w:val="both"/>
        <w:rPr>
          <w:rFonts w:asciiTheme="minorHAnsi" w:eastAsia="HiddenHorzOCR" w:hAnsiTheme="minorHAnsi"/>
          <w:color w:val="auto"/>
          <w:szCs w:val="24"/>
        </w:rPr>
      </w:pPr>
    </w:p>
    <w:p w:rsidR="00A619AD" w:rsidRPr="00721B64" w:rsidRDefault="006743E5" w:rsidP="00981CC8">
      <w:pPr>
        <w:tabs>
          <w:tab w:val="left" w:pos="288"/>
          <w:tab w:val="left" w:pos="4752"/>
        </w:tabs>
        <w:spacing w:line="240" w:lineRule="exact"/>
        <w:jc w:val="both"/>
        <w:rPr>
          <w:rFonts w:asciiTheme="minorHAnsi" w:hAnsiTheme="minorHAnsi"/>
          <w:color w:val="auto"/>
          <w:szCs w:val="24"/>
        </w:rPr>
      </w:pPr>
      <w:proofErr w:type="gramStart"/>
      <w:r w:rsidRPr="00721B64">
        <w:rPr>
          <w:rFonts w:asciiTheme="minorHAnsi" w:hAnsiTheme="minorHAnsi"/>
          <w:color w:val="auto"/>
          <w:szCs w:val="24"/>
          <w:u w:val="single"/>
        </w:rPr>
        <w:t>Remaining Conditions</w:t>
      </w:r>
      <w:r w:rsidRPr="00721B64">
        <w:rPr>
          <w:rFonts w:asciiTheme="minorHAnsi" w:hAnsiTheme="minorHAnsi"/>
          <w:color w:val="auto"/>
          <w:szCs w:val="24"/>
        </w:rPr>
        <w:t>.</w:t>
      </w:r>
      <w:proofErr w:type="gramEnd"/>
      <w:r w:rsidRPr="00721B64">
        <w:rPr>
          <w:rFonts w:asciiTheme="minorHAnsi" w:hAnsiTheme="minorHAnsi"/>
          <w:color w:val="auto"/>
          <w:szCs w:val="24"/>
        </w:rPr>
        <w:t xml:space="preserve">  Other conditions identified in the DES file were </w:t>
      </w:r>
      <w:r w:rsidR="00A619AD" w:rsidRPr="00721B64">
        <w:rPr>
          <w:rFonts w:asciiTheme="minorHAnsi" w:hAnsiTheme="minorHAnsi"/>
          <w:color w:val="auto"/>
          <w:szCs w:val="24"/>
        </w:rPr>
        <w:t>plantar fasciitis</w:t>
      </w:r>
      <w:r w:rsidRPr="00721B64">
        <w:rPr>
          <w:rFonts w:asciiTheme="minorHAnsi" w:hAnsiTheme="minorHAnsi"/>
          <w:color w:val="auto"/>
          <w:szCs w:val="24"/>
        </w:rPr>
        <w:t xml:space="preserve">, </w:t>
      </w:r>
      <w:r w:rsidR="00A619AD" w:rsidRPr="00721B64">
        <w:rPr>
          <w:rFonts w:asciiTheme="minorHAnsi" w:hAnsiTheme="minorHAnsi"/>
          <w:color w:val="auto"/>
          <w:szCs w:val="24"/>
        </w:rPr>
        <w:t>breathing problems</w:t>
      </w:r>
      <w:r w:rsidRPr="00721B64">
        <w:rPr>
          <w:rFonts w:asciiTheme="minorHAnsi" w:hAnsiTheme="minorHAnsi"/>
          <w:color w:val="auto"/>
          <w:szCs w:val="24"/>
        </w:rPr>
        <w:t xml:space="preserve"> and </w:t>
      </w:r>
      <w:r w:rsidR="00A619AD" w:rsidRPr="00721B64">
        <w:rPr>
          <w:rFonts w:asciiTheme="minorHAnsi" w:hAnsiTheme="minorHAnsi"/>
          <w:color w:val="auto"/>
          <w:szCs w:val="24"/>
        </w:rPr>
        <w:t>back pain</w:t>
      </w:r>
      <w:r w:rsidRPr="00721B64">
        <w:rPr>
          <w:rFonts w:asciiTheme="minorHAnsi" w:hAnsiTheme="minorHAnsi"/>
          <w:color w:val="auto"/>
          <w:szCs w:val="24"/>
        </w:rPr>
        <w:t xml:space="preserve">.  Several additional non-acute conditions or medical complaints were also documented.  </w:t>
      </w:r>
      <w:r w:rsidR="000E7D24" w:rsidRPr="00721B64">
        <w:rPr>
          <w:rFonts w:asciiTheme="minorHAnsi" w:hAnsiTheme="minorHAnsi"/>
          <w:color w:val="auto"/>
          <w:szCs w:val="24"/>
        </w:rPr>
        <w:t xml:space="preserve">Both conditions pre-dated the CI’s latest period of active service with VA ratings of 30% for the feet and 10% for the back condition.  Per history, the back condition was exacerbated by the same motorcycle crash as the CI’s unfitting knee condition.  </w:t>
      </w:r>
      <w:r w:rsidRPr="00721B64">
        <w:rPr>
          <w:rFonts w:asciiTheme="minorHAnsi" w:hAnsiTheme="minorHAnsi"/>
          <w:color w:val="auto"/>
          <w:szCs w:val="24"/>
        </w:rPr>
        <w:t>N</w:t>
      </w:r>
      <w:r w:rsidR="000E7D24" w:rsidRPr="00721B64">
        <w:rPr>
          <w:rFonts w:asciiTheme="minorHAnsi" w:hAnsiTheme="minorHAnsi"/>
          <w:color w:val="auto"/>
          <w:szCs w:val="24"/>
        </w:rPr>
        <w:t xml:space="preserve">either </w:t>
      </w:r>
      <w:r w:rsidRPr="00721B64">
        <w:rPr>
          <w:rFonts w:asciiTheme="minorHAnsi" w:hAnsiTheme="minorHAnsi"/>
          <w:color w:val="auto"/>
          <w:szCs w:val="24"/>
        </w:rPr>
        <w:t xml:space="preserve">of these conditions </w:t>
      </w:r>
      <w:r w:rsidR="00F81327" w:rsidRPr="00721B64">
        <w:rPr>
          <w:rFonts w:asciiTheme="minorHAnsi" w:hAnsiTheme="minorHAnsi"/>
          <w:color w:val="auto"/>
          <w:szCs w:val="24"/>
        </w:rPr>
        <w:t>was</w:t>
      </w:r>
      <w:r w:rsidRPr="00721B64">
        <w:rPr>
          <w:rFonts w:asciiTheme="minorHAnsi" w:hAnsiTheme="minorHAnsi"/>
          <w:color w:val="auto"/>
          <w:szCs w:val="24"/>
        </w:rPr>
        <w:t xml:space="preserve"> clinically </w:t>
      </w:r>
      <w:r w:rsidR="00981CC8" w:rsidRPr="00721B64">
        <w:rPr>
          <w:rFonts w:asciiTheme="minorHAnsi" w:hAnsiTheme="minorHAnsi"/>
          <w:color w:val="auto"/>
          <w:szCs w:val="24"/>
        </w:rPr>
        <w:t>or occupationally significant</w:t>
      </w:r>
      <w:r w:rsidRPr="00721B64">
        <w:rPr>
          <w:rFonts w:asciiTheme="minorHAnsi" w:hAnsiTheme="minorHAnsi"/>
          <w:color w:val="auto"/>
          <w:szCs w:val="24"/>
        </w:rPr>
        <w:t xml:space="preserve"> during the MEB period, carried attached profiles </w:t>
      </w:r>
      <w:r w:rsidR="00F81327">
        <w:rPr>
          <w:rFonts w:asciiTheme="minorHAnsi" w:hAnsiTheme="minorHAnsi"/>
          <w:color w:val="auto"/>
          <w:szCs w:val="24"/>
        </w:rPr>
        <w:t xml:space="preserve">or </w:t>
      </w:r>
      <w:proofErr w:type="gramStart"/>
      <w:r w:rsidRPr="00721B64">
        <w:rPr>
          <w:rFonts w:asciiTheme="minorHAnsi" w:hAnsiTheme="minorHAnsi"/>
          <w:color w:val="auto"/>
          <w:szCs w:val="24"/>
        </w:rPr>
        <w:t>were</w:t>
      </w:r>
      <w:proofErr w:type="gramEnd"/>
      <w:r w:rsidRPr="00721B64">
        <w:rPr>
          <w:rFonts w:asciiTheme="minorHAnsi" w:hAnsiTheme="minorHAnsi"/>
          <w:color w:val="auto"/>
          <w:szCs w:val="24"/>
        </w:rPr>
        <w:t xml:space="preserve"> implicated in the commander’s statement.  These conditions were reviewed by the action officer and considered by the Board.  It was determined that none could be argued as unfitting and subject to separation rating.  </w:t>
      </w:r>
      <w:r w:rsidR="00A619AD" w:rsidRPr="00721B64">
        <w:rPr>
          <w:rFonts w:asciiTheme="minorHAnsi" w:hAnsiTheme="minorHAns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A619AD" w:rsidRPr="00721B64" w:rsidRDefault="00981CC8" w:rsidP="00A619AD">
      <w:pPr>
        <w:tabs>
          <w:tab w:val="left" w:pos="288"/>
          <w:tab w:val="left" w:pos="4752"/>
        </w:tabs>
        <w:spacing w:line="240" w:lineRule="exact"/>
        <w:rPr>
          <w:rFonts w:asciiTheme="minorHAnsi" w:hAnsiTheme="minorHAnsi"/>
          <w:b/>
          <w:color w:val="auto"/>
          <w:szCs w:val="24"/>
          <w:u w:val="single"/>
        </w:rPr>
      </w:pPr>
      <w:r w:rsidRPr="00721B64">
        <w:rPr>
          <w:rFonts w:asciiTheme="minorHAnsi" w:hAnsiTheme="minorHAnsi"/>
          <w:b/>
          <w:color w:val="auto"/>
          <w:szCs w:val="24"/>
          <w:u w:val="single"/>
        </w:rPr>
        <w:t>__</w:t>
      </w:r>
      <w:r w:rsidR="00A619AD" w:rsidRPr="00721B64">
        <w:rPr>
          <w:rFonts w:asciiTheme="minorHAnsi" w:hAnsiTheme="minorHAnsi"/>
          <w:b/>
          <w:color w:val="auto"/>
          <w:szCs w:val="24"/>
          <w:u w:val="single"/>
        </w:rPr>
        <w:t>_</w:t>
      </w:r>
      <w:r w:rsidRPr="00721B64">
        <w:rPr>
          <w:rFonts w:asciiTheme="minorHAnsi" w:hAnsiTheme="minorHAnsi"/>
          <w:b/>
          <w:color w:val="auto"/>
          <w:szCs w:val="24"/>
          <w:u w:val="single"/>
        </w:rPr>
        <w:t>_</w:t>
      </w:r>
      <w:r w:rsidR="00A619AD" w:rsidRPr="00721B64">
        <w:rPr>
          <w:rFonts w:asciiTheme="minorHAnsi" w:hAnsiTheme="minorHAnsi"/>
          <w:b/>
          <w:color w:val="auto"/>
          <w:szCs w:val="24"/>
          <w:u w:val="single"/>
        </w:rPr>
        <w:t>___________________________________________</w:t>
      </w:r>
      <w:r w:rsidRPr="00721B64">
        <w:rPr>
          <w:rFonts w:asciiTheme="minorHAnsi" w:hAnsiTheme="minorHAnsi"/>
          <w:b/>
          <w:color w:val="auto"/>
          <w:szCs w:val="24"/>
          <w:u w:val="single"/>
        </w:rPr>
        <w:t>_______________________________</w:t>
      </w:r>
    </w:p>
    <w:p w:rsidR="00A619AD" w:rsidRPr="00721B64" w:rsidRDefault="00A619AD" w:rsidP="00A619AD">
      <w:pPr>
        <w:tabs>
          <w:tab w:val="left" w:pos="288"/>
          <w:tab w:val="left" w:pos="4752"/>
        </w:tabs>
        <w:spacing w:line="240" w:lineRule="exact"/>
        <w:rPr>
          <w:rFonts w:asciiTheme="minorHAnsi" w:hAnsiTheme="minorHAnsi"/>
          <w:color w:val="auto"/>
          <w:szCs w:val="24"/>
        </w:rPr>
      </w:pPr>
    </w:p>
    <w:p w:rsidR="00A619AD" w:rsidRPr="00721B64" w:rsidRDefault="00C56FC8" w:rsidP="00981CC8">
      <w:pPr>
        <w:spacing w:line="240" w:lineRule="exact"/>
        <w:jc w:val="both"/>
        <w:rPr>
          <w:rFonts w:asciiTheme="minorHAnsi" w:eastAsiaTheme="minorHAnsi" w:hAnsiTheme="minorHAnsi"/>
          <w:color w:val="auto"/>
          <w:szCs w:val="24"/>
        </w:rPr>
      </w:pPr>
      <w:r w:rsidRPr="00721B64">
        <w:rPr>
          <w:rFonts w:asciiTheme="minorHAnsi" w:hAnsiTheme="minorHAnsi"/>
          <w:color w:val="auto"/>
          <w:szCs w:val="24"/>
          <w:u w:val="single"/>
        </w:rPr>
        <w:t>BOARD FINDINGS</w:t>
      </w:r>
      <w:r w:rsidRPr="00721B64">
        <w:rPr>
          <w:rFonts w:asciiTheme="minorHAnsi" w:hAnsiTheme="minorHAnsi"/>
          <w:color w:val="auto"/>
          <w:szCs w:val="24"/>
        </w:rPr>
        <w:t>:</w:t>
      </w:r>
      <w:r w:rsidRPr="00721B6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721B64">
        <w:rPr>
          <w:rFonts w:asciiTheme="minorHAnsi" w:eastAsiaTheme="minorHAnsi" w:hAnsiTheme="minorHAnsi"/>
          <w:color w:val="auto"/>
          <w:szCs w:val="24"/>
        </w:rPr>
        <w:t xml:space="preserve"> </w:t>
      </w:r>
      <w:r w:rsidR="00A619AD" w:rsidRPr="00721B64">
        <w:rPr>
          <w:rFonts w:asciiTheme="minorHAnsi" w:eastAsiaTheme="minorHAnsi" w:hAnsiTheme="minorHAnsi"/>
          <w:color w:val="auto"/>
          <w:szCs w:val="24"/>
        </w:rPr>
        <w:t xml:space="preserve">As discussed above, PEB reliance on the USAPDA pain policy for rating </w:t>
      </w:r>
      <w:r w:rsidR="00981CC8" w:rsidRPr="00721B64">
        <w:rPr>
          <w:rFonts w:asciiTheme="minorHAnsi" w:eastAsiaTheme="minorHAnsi" w:hAnsiTheme="minorHAnsi"/>
          <w:color w:val="auto"/>
          <w:szCs w:val="24"/>
        </w:rPr>
        <w:t>the right knee condition</w:t>
      </w:r>
      <w:r w:rsidR="00A619AD" w:rsidRPr="00721B64">
        <w:rPr>
          <w:rFonts w:asciiTheme="minorHAnsi" w:eastAsiaTheme="minorHAnsi" w:hAnsiTheme="minorHAnsi"/>
          <w:color w:val="auto"/>
          <w:szCs w:val="24"/>
        </w:rPr>
        <w:t xml:space="preserve"> was operant in this case and the condition was adjudicated independently of that policy by the Board.  In the matter of the right knee condition, the Board unanimously recommends a rating of 30% coded 5262 IAW VASRD §4.71a.  In the matter of the anxiety disorder condition, the Board unanimously agrees that it cannot recommend a finding of unfit for additional rating at separation.  In the matter of the </w:t>
      </w:r>
      <w:r w:rsidR="00A619AD" w:rsidRPr="00721B64">
        <w:rPr>
          <w:rFonts w:asciiTheme="minorHAnsi" w:hAnsiTheme="minorHAnsi"/>
          <w:color w:val="auto"/>
          <w:szCs w:val="24"/>
        </w:rPr>
        <w:t>plantar fasciitis, breathing problems and back pain</w:t>
      </w:r>
      <w:r w:rsidR="00A619AD" w:rsidRPr="00721B64">
        <w:rPr>
          <w:rFonts w:asciiTheme="minorHAnsi" w:eastAsiaTheme="minorHAnsi" w:hAnsiTheme="minorHAnsi"/>
          <w:color w:val="auto"/>
          <w:szCs w:val="24"/>
        </w:rPr>
        <w:t xml:space="preserve"> conditions or any other medical conditions eligible for Board consideration</w:t>
      </w:r>
      <w:r w:rsidR="00F81327">
        <w:rPr>
          <w:rFonts w:asciiTheme="minorHAnsi" w:eastAsiaTheme="minorHAnsi" w:hAnsiTheme="minorHAnsi"/>
          <w:color w:val="auto"/>
          <w:szCs w:val="24"/>
        </w:rPr>
        <w:t>,</w:t>
      </w:r>
      <w:r w:rsidR="00A619AD" w:rsidRPr="00721B64">
        <w:rPr>
          <w:rFonts w:asciiTheme="minorHAnsi" w:eastAsiaTheme="minorHAnsi" w:hAnsiTheme="minorHAnsi"/>
          <w:color w:val="auto"/>
          <w:szCs w:val="24"/>
        </w:rPr>
        <w:t xml:space="preserve"> the Board unanimously agrees that it cannot recommend any findings of unfit for additional rating at separation.</w:t>
      </w:r>
    </w:p>
    <w:p w:rsidR="002E289F" w:rsidRPr="00721B64" w:rsidRDefault="002E289F" w:rsidP="002E289F">
      <w:pPr>
        <w:tabs>
          <w:tab w:val="left" w:pos="288"/>
          <w:tab w:val="left" w:pos="4752"/>
        </w:tabs>
        <w:spacing w:line="240" w:lineRule="exact"/>
        <w:jc w:val="both"/>
        <w:rPr>
          <w:rFonts w:asciiTheme="minorHAnsi" w:hAnsiTheme="minorHAnsi"/>
          <w:b/>
          <w:caps/>
          <w:color w:val="auto"/>
          <w:u w:val="single"/>
        </w:rPr>
      </w:pPr>
      <w:r w:rsidRPr="00721B64">
        <w:rPr>
          <w:rFonts w:asciiTheme="minorHAnsi" w:hAnsiTheme="minorHAnsi"/>
          <w:b/>
          <w:color w:val="auto"/>
          <w:u w:val="single"/>
        </w:rPr>
        <w:t>______</w:t>
      </w:r>
      <w:r w:rsidR="00981CC8" w:rsidRPr="00721B64">
        <w:rPr>
          <w:rFonts w:asciiTheme="minorHAnsi" w:hAnsiTheme="minorHAnsi"/>
          <w:b/>
          <w:color w:val="auto"/>
          <w:u w:val="single"/>
        </w:rPr>
        <w:t>_</w:t>
      </w:r>
      <w:r w:rsidRPr="00721B64">
        <w:rPr>
          <w:rFonts w:asciiTheme="minorHAnsi" w:hAnsiTheme="minorHAnsi"/>
          <w:b/>
          <w:color w:val="auto"/>
          <w:u w:val="single"/>
        </w:rPr>
        <w:t>_______________________________________________________________________</w:t>
      </w:r>
    </w:p>
    <w:p w:rsidR="00FB593A" w:rsidRPr="00721B64" w:rsidRDefault="00FB593A" w:rsidP="00AF1668">
      <w:pPr>
        <w:tabs>
          <w:tab w:val="left" w:pos="288"/>
          <w:tab w:val="left" w:pos="4752"/>
        </w:tabs>
        <w:spacing w:line="240" w:lineRule="exact"/>
        <w:rPr>
          <w:color w:val="auto"/>
        </w:rPr>
      </w:pPr>
    </w:p>
    <w:p w:rsidR="00FB593A" w:rsidRPr="00721B64" w:rsidRDefault="00C56FC8" w:rsidP="00AF1668">
      <w:pPr>
        <w:tabs>
          <w:tab w:val="left" w:pos="288"/>
          <w:tab w:val="left" w:pos="4752"/>
        </w:tabs>
        <w:spacing w:line="240" w:lineRule="exact"/>
        <w:rPr>
          <w:color w:val="auto"/>
        </w:rPr>
      </w:pPr>
      <w:r w:rsidRPr="00721B64">
        <w:rPr>
          <w:rFonts w:asciiTheme="minorHAnsi" w:hAnsiTheme="minorHAnsi"/>
          <w:color w:val="auto"/>
          <w:szCs w:val="24"/>
          <w:u w:val="single"/>
        </w:rPr>
        <w:t>RECOMMENDATION</w:t>
      </w:r>
      <w:r w:rsidRPr="00721B64">
        <w:rPr>
          <w:rFonts w:asciiTheme="minorHAnsi" w:hAnsiTheme="minorHAnsi"/>
          <w:color w:val="auto"/>
          <w:szCs w:val="24"/>
        </w:rPr>
        <w:t xml:space="preserve">: </w:t>
      </w:r>
      <w:r w:rsidR="00A619AD" w:rsidRPr="00721B64">
        <w:rPr>
          <w:rFonts w:asciiTheme="minorHAnsi" w:hAnsiTheme="minorHAnsi"/>
          <w:color w:val="auto"/>
          <w:szCs w:val="24"/>
        </w:rPr>
        <w:t xml:space="preserve"> </w:t>
      </w:r>
      <w:r w:rsidRPr="00721B64">
        <w:rPr>
          <w:rFonts w:asciiTheme="minorHAnsi" w:hAnsiTheme="minorHAnsi"/>
          <w:color w:val="auto"/>
          <w:szCs w:val="24"/>
        </w:rPr>
        <w:t xml:space="preserve">The Board recommends that the CI’s prior determination be modified as follows and that the discharge with severance pay be </w:t>
      </w:r>
      <w:proofErr w:type="spellStart"/>
      <w:r w:rsidRPr="00721B64">
        <w:rPr>
          <w:rFonts w:asciiTheme="minorHAnsi" w:hAnsiTheme="minorHAnsi"/>
          <w:color w:val="auto"/>
          <w:szCs w:val="24"/>
        </w:rPr>
        <w:t>recharacterized</w:t>
      </w:r>
      <w:proofErr w:type="spellEnd"/>
      <w:r w:rsidRPr="00721B64">
        <w:rPr>
          <w:rFonts w:asciiTheme="minorHAnsi" w:hAnsiTheme="minorHAnsi"/>
          <w:color w:val="auto"/>
          <w:szCs w:val="24"/>
        </w:rPr>
        <w:t xml:space="preserve"> to reflect permanent disability retirement,</w:t>
      </w:r>
      <w:r w:rsidR="00DE676B" w:rsidRPr="00721B64">
        <w:rPr>
          <w:rFonts w:asciiTheme="minorHAnsi" w:hAnsiTheme="minorHAnsi"/>
          <w:color w:val="auto"/>
          <w:szCs w:val="24"/>
        </w:rPr>
        <w:t xml:space="preserve"> effective as of the date of his</w:t>
      </w:r>
      <w:r w:rsidRPr="00721B64">
        <w:rPr>
          <w:rFonts w:asciiTheme="minorHAnsi" w:hAnsiTheme="minorHAnsi"/>
          <w:color w:val="auto"/>
          <w:szCs w:val="24"/>
        </w:rPr>
        <w:t xml:space="preserve"> prior medical separation.</w:t>
      </w:r>
    </w:p>
    <w:p w:rsidR="004101B2" w:rsidRPr="00721B64"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721B64" w:rsidTr="0085089F">
        <w:trPr>
          <w:trHeight w:val="287"/>
          <w:jc w:val="center"/>
        </w:trPr>
        <w:tc>
          <w:tcPr>
            <w:tcW w:w="6480" w:type="dxa"/>
            <w:shd w:val="clear" w:color="auto" w:fill="D9D9D9"/>
          </w:tcPr>
          <w:p w:rsidR="00A95BBA" w:rsidRPr="00721B64" w:rsidRDefault="00A95BBA" w:rsidP="00190E48">
            <w:pPr>
              <w:tabs>
                <w:tab w:val="left" w:pos="288"/>
                <w:tab w:val="left" w:pos="4752"/>
              </w:tabs>
              <w:spacing w:line="240" w:lineRule="exact"/>
              <w:jc w:val="both"/>
              <w:rPr>
                <w:rFonts w:asciiTheme="minorHAnsi" w:hAnsiTheme="minorHAnsi"/>
                <w:b/>
                <w:color w:val="auto"/>
                <w:szCs w:val="24"/>
              </w:rPr>
            </w:pPr>
            <w:r w:rsidRPr="00721B64">
              <w:rPr>
                <w:rFonts w:asciiTheme="minorHAnsi" w:hAnsiTheme="minorHAnsi"/>
                <w:b/>
                <w:color w:val="auto"/>
                <w:szCs w:val="24"/>
              </w:rPr>
              <w:t>UNFITTING CONDITION</w:t>
            </w:r>
          </w:p>
        </w:tc>
        <w:tc>
          <w:tcPr>
            <w:tcW w:w="1710" w:type="dxa"/>
            <w:shd w:val="clear" w:color="auto" w:fill="D9D9D9"/>
          </w:tcPr>
          <w:p w:rsidR="00A95BBA" w:rsidRPr="00721B64" w:rsidRDefault="00A95BBA" w:rsidP="007D6BFE">
            <w:pPr>
              <w:tabs>
                <w:tab w:val="left" w:pos="288"/>
                <w:tab w:val="left" w:pos="4752"/>
              </w:tabs>
              <w:spacing w:line="240" w:lineRule="exact"/>
              <w:jc w:val="center"/>
              <w:rPr>
                <w:rFonts w:asciiTheme="minorHAnsi" w:hAnsiTheme="minorHAnsi"/>
                <w:b/>
                <w:color w:val="auto"/>
                <w:szCs w:val="24"/>
              </w:rPr>
            </w:pPr>
            <w:r w:rsidRPr="00721B64">
              <w:rPr>
                <w:rFonts w:asciiTheme="minorHAnsi" w:hAnsiTheme="minorHAnsi"/>
                <w:b/>
                <w:color w:val="auto"/>
                <w:szCs w:val="24"/>
              </w:rPr>
              <w:t>VASRD CODE</w:t>
            </w:r>
          </w:p>
        </w:tc>
        <w:tc>
          <w:tcPr>
            <w:tcW w:w="1170" w:type="dxa"/>
            <w:shd w:val="clear" w:color="auto" w:fill="D9D9D9"/>
          </w:tcPr>
          <w:p w:rsidR="00A95BBA" w:rsidRPr="00721B64" w:rsidRDefault="00A95BBA" w:rsidP="007D6BFE">
            <w:pPr>
              <w:tabs>
                <w:tab w:val="left" w:pos="288"/>
                <w:tab w:val="left" w:pos="4752"/>
              </w:tabs>
              <w:spacing w:line="240" w:lineRule="exact"/>
              <w:jc w:val="center"/>
              <w:rPr>
                <w:rFonts w:asciiTheme="minorHAnsi" w:hAnsiTheme="minorHAnsi"/>
                <w:b/>
                <w:color w:val="auto"/>
                <w:szCs w:val="24"/>
              </w:rPr>
            </w:pPr>
            <w:r w:rsidRPr="00721B64">
              <w:rPr>
                <w:rFonts w:asciiTheme="minorHAnsi" w:hAnsiTheme="minorHAnsi"/>
                <w:b/>
                <w:color w:val="auto"/>
                <w:szCs w:val="24"/>
              </w:rPr>
              <w:t>RATING</w:t>
            </w:r>
          </w:p>
        </w:tc>
      </w:tr>
      <w:tr w:rsidR="00A95BBA" w:rsidRPr="00721B64" w:rsidTr="0085089F">
        <w:trPr>
          <w:jc w:val="center"/>
        </w:trPr>
        <w:tc>
          <w:tcPr>
            <w:tcW w:w="6480" w:type="dxa"/>
          </w:tcPr>
          <w:p w:rsidR="00A95BBA" w:rsidRPr="00721B64" w:rsidRDefault="00375C95" w:rsidP="00F81327">
            <w:pPr>
              <w:tabs>
                <w:tab w:val="left" w:pos="288"/>
                <w:tab w:val="left" w:pos="4752"/>
              </w:tabs>
              <w:spacing w:line="240" w:lineRule="exact"/>
              <w:jc w:val="both"/>
              <w:rPr>
                <w:rFonts w:asciiTheme="minorHAnsi" w:hAnsiTheme="minorHAnsi"/>
                <w:color w:val="auto"/>
                <w:szCs w:val="24"/>
              </w:rPr>
            </w:pPr>
            <w:r w:rsidRPr="00721B64">
              <w:rPr>
                <w:rFonts w:asciiTheme="minorHAnsi" w:hAnsiTheme="minorHAnsi"/>
                <w:color w:val="auto"/>
                <w:szCs w:val="24"/>
              </w:rPr>
              <w:t xml:space="preserve">Comminuted </w:t>
            </w:r>
            <w:r w:rsidR="00F81327">
              <w:rPr>
                <w:rFonts w:asciiTheme="minorHAnsi" w:hAnsiTheme="minorHAnsi"/>
                <w:color w:val="auto"/>
                <w:szCs w:val="24"/>
              </w:rPr>
              <w:t>F</w:t>
            </w:r>
            <w:r w:rsidRPr="00721B64">
              <w:rPr>
                <w:rFonts w:asciiTheme="minorHAnsi" w:hAnsiTheme="minorHAnsi"/>
                <w:color w:val="auto"/>
                <w:szCs w:val="24"/>
              </w:rPr>
              <w:t xml:space="preserve">racture of </w:t>
            </w:r>
            <w:r w:rsidR="00F81327">
              <w:rPr>
                <w:rFonts w:asciiTheme="minorHAnsi" w:hAnsiTheme="minorHAnsi"/>
                <w:color w:val="auto"/>
                <w:szCs w:val="24"/>
              </w:rPr>
              <w:t>P</w:t>
            </w:r>
            <w:r w:rsidRPr="00721B64">
              <w:rPr>
                <w:rFonts w:asciiTheme="minorHAnsi" w:hAnsiTheme="minorHAnsi"/>
                <w:color w:val="auto"/>
                <w:szCs w:val="24"/>
              </w:rPr>
              <w:t xml:space="preserve">roximal </w:t>
            </w:r>
            <w:r w:rsidR="00F81327">
              <w:rPr>
                <w:rFonts w:asciiTheme="minorHAnsi" w:hAnsiTheme="minorHAnsi"/>
                <w:color w:val="auto"/>
                <w:szCs w:val="24"/>
              </w:rPr>
              <w:t>R</w:t>
            </w:r>
            <w:r w:rsidRPr="00721B64">
              <w:rPr>
                <w:rFonts w:asciiTheme="minorHAnsi" w:hAnsiTheme="minorHAnsi"/>
                <w:color w:val="auto"/>
                <w:szCs w:val="24"/>
              </w:rPr>
              <w:t xml:space="preserve">ight </w:t>
            </w:r>
            <w:r w:rsidR="00F81327">
              <w:rPr>
                <w:rFonts w:asciiTheme="minorHAnsi" w:hAnsiTheme="minorHAnsi"/>
                <w:color w:val="auto"/>
                <w:szCs w:val="24"/>
              </w:rPr>
              <w:t>T</w:t>
            </w:r>
            <w:r w:rsidR="00F66970" w:rsidRPr="00721B64">
              <w:rPr>
                <w:rFonts w:asciiTheme="minorHAnsi" w:hAnsiTheme="minorHAnsi"/>
                <w:color w:val="auto"/>
                <w:szCs w:val="24"/>
              </w:rPr>
              <w:t xml:space="preserve">ibia and </w:t>
            </w:r>
            <w:r w:rsidR="00F81327">
              <w:rPr>
                <w:rFonts w:asciiTheme="minorHAnsi" w:hAnsiTheme="minorHAnsi"/>
                <w:color w:val="auto"/>
                <w:szCs w:val="24"/>
              </w:rPr>
              <w:t>F</w:t>
            </w:r>
            <w:r w:rsidR="00F66970" w:rsidRPr="00721B64">
              <w:rPr>
                <w:rFonts w:asciiTheme="minorHAnsi" w:hAnsiTheme="minorHAnsi"/>
                <w:color w:val="auto"/>
                <w:szCs w:val="24"/>
              </w:rPr>
              <w:t xml:space="preserve">ibula </w:t>
            </w:r>
          </w:p>
        </w:tc>
        <w:tc>
          <w:tcPr>
            <w:tcW w:w="1710" w:type="dxa"/>
          </w:tcPr>
          <w:p w:rsidR="00A95BBA" w:rsidRPr="00721B64" w:rsidRDefault="00F66970" w:rsidP="00A619AD">
            <w:pPr>
              <w:tabs>
                <w:tab w:val="left" w:pos="288"/>
                <w:tab w:val="left" w:pos="526"/>
                <w:tab w:val="center" w:pos="747"/>
                <w:tab w:val="left" w:pos="4752"/>
              </w:tabs>
              <w:spacing w:line="240" w:lineRule="exact"/>
              <w:jc w:val="center"/>
              <w:rPr>
                <w:rFonts w:asciiTheme="minorHAnsi" w:hAnsiTheme="minorHAnsi"/>
                <w:color w:val="auto"/>
                <w:szCs w:val="24"/>
              </w:rPr>
            </w:pPr>
            <w:r w:rsidRPr="00721B64">
              <w:rPr>
                <w:rFonts w:asciiTheme="minorHAnsi" w:hAnsiTheme="minorHAnsi"/>
                <w:color w:val="auto"/>
                <w:szCs w:val="24"/>
              </w:rPr>
              <w:t>526</w:t>
            </w:r>
            <w:r w:rsidR="00A619AD" w:rsidRPr="00721B64">
              <w:rPr>
                <w:rFonts w:asciiTheme="minorHAnsi" w:hAnsiTheme="minorHAnsi"/>
                <w:color w:val="auto"/>
                <w:szCs w:val="24"/>
              </w:rPr>
              <w:t>2</w:t>
            </w:r>
          </w:p>
        </w:tc>
        <w:tc>
          <w:tcPr>
            <w:tcW w:w="1170" w:type="dxa"/>
          </w:tcPr>
          <w:p w:rsidR="00A95BBA" w:rsidRPr="00721B64" w:rsidRDefault="00F66970" w:rsidP="00A619AD">
            <w:pPr>
              <w:tabs>
                <w:tab w:val="left" w:pos="288"/>
                <w:tab w:val="left" w:pos="4752"/>
              </w:tabs>
              <w:spacing w:line="240" w:lineRule="exact"/>
              <w:jc w:val="center"/>
              <w:rPr>
                <w:rFonts w:asciiTheme="minorHAnsi" w:hAnsiTheme="minorHAnsi"/>
                <w:color w:val="auto"/>
                <w:szCs w:val="24"/>
              </w:rPr>
            </w:pPr>
            <w:r w:rsidRPr="00721B64">
              <w:rPr>
                <w:rFonts w:asciiTheme="minorHAnsi" w:hAnsiTheme="minorHAnsi"/>
                <w:color w:val="auto"/>
                <w:szCs w:val="24"/>
              </w:rPr>
              <w:t>30%</w:t>
            </w:r>
          </w:p>
        </w:tc>
      </w:tr>
      <w:tr w:rsidR="00A95BBA" w:rsidRPr="00721B64"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721B64" w:rsidRDefault="00A95BBA" w:rsidP="007D6BFE">
            <w:pPr>
              <w:tabs>
                <w:tab w:val="left" w:pos="288"/>
                <w:tab w:val="left" w:pos="4752"/>
              </w:tabs>
              <w:spacing w:line="240" w:lineRule="exact"/>
              <w:jc w:val="center"/>
              <w:rPr>
                <w:rFonts w:asciiTheme="minorHAnsi" w:hAnsiTheme="minorHAnsi"/>
                <w:b/>
                <w:color w:val="auto"/>
                <w:szCs w:val="24"/>
              </w:rPr>
            </w:pPr>
            <w:r w:rsidRPr="00721B6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721B64" w:rsidRDefault="00A619AD" w:rsidP="00A619AD">
            <w:pPr>
              <w:tabs>
                <w:tab w:val="left" w:pos="288"/>
                <w:tab w:val="left" w:pos="4752"/>
              </w:tabs>
              <w:spacing w:line="240" w:lineRule="exact"/>
              <w:jc w:val="center"/>
              <w:rPr>
                <w:rFonts w:asciiTheme="minorHAnsi" w:hAnsiTheme="minorHAnsi"/>
                <w:b/>
                <w:color w:val="auto"/>
                <w:szCs w:val="24"/>
              </w:rPr>
            </w:pPr>
            <w:r w:rsidRPr="00721B64">
              <w:rPr>
                <w:rFonts w:asciiTheme="minorHAnsi" w:hAnsiTheme="minorHAnsi"/>
                <w:b/>
                <w:color w:val="auto"/>
                <w:szCs w:val="24"/>
              </w:rPr>
              <w:t>3</w:t>
            </w:r>
            <w:r w:rsidR="00A95BBA" w:rsidRPr="00721B64">
              <w:rPr>
                <w:rFonts w:asciiTheme="minorHAnsi" w:hAnsiTheme="minorHAnsi"/>
                <w:b/>
                <w:color w:val="auto"/>
                <w:szCs w:val="24"/>
              </w:rPr>
              <w:t>0%</w:t>
            </w:r>
          </w:p>
        </w:tc>
      </w:tr>
    </w:tbl>
    <w:p w:rsidR="00277BB4" w:rsidRPr="00721B64" w:rsidRDefault="00277BB4" w:rsidP="00277BB4">
      <w:pPr>
        <w:tabs>
          <w:tab w:val="left" w:pos="288"/>
          <w:tab w:val="left" w:pos="4752"/>
        </w:tabs>
        <w:spacing w:line="240" w:lineRule="exact"/>
        <w:jc w:val="both"/>
        <w:rPr>
          <w:rFonts w:asciiTheme="minorHAnsi" w:hAnsiTheme="minorHAnsi"/>
          <w:b/>
          <w:caps/>
          <w:color w:val="auto"/>
          <w:u w:val="single"/>
        </w:rPr>
      </w:pPr>
      <w:r w:rsidRPr="00721B64">
        <w:rPr>
          <w:rFonts w:asciiTheme="minorHAnsi" w:hAnsiTheme="minorHAnsi"/>
          <w:b/>
          <w:color w:val="auto"/>
          <w:u w:val="single"/>
        </w:rPr>
        <w:t>______________________________________________________________________________</w:t>
      </w:r>
    </w:p>
    <w:p w:rsidR="00D91DA6" w:rsidRDefault="00D91DA6" w:rsidP="00190E48">
      <w:pPr>
        <w:tabs>
          <w:tab w:val="left" w:pos="288"/>
          <w:tab w:val="left" w:pos="4752"/>
        </w:tabs>
        <w:spacing w:line="240" w:lineRule="exact"/>
        <w:jc w:val="both"/>
        <w:rPr>
          <w:rFonts w:asciiTheme="minorHAnsi" w:hAnsiTheme="minorHAnsi"/>
          <w:color w:val="auto"/>
        </w:rPr>
      </w:pPr>
    </w:p>
    <w:p w:rsidR="00D94549" w:rsidRDefault="00D94549" w:rsidP="00190E48">
      <w:pPr>
        <w:tabs>
          <w:tab w:val="left" w:pos="288"/>
          <w:tab w:val="left" w:pos="4752"/>
        </w:tabs>
        <w:spacing w:line="240" w:lineRule="exact"/>
        <w:jc w:val="both"/>
        <w:rPr>
          <w:rFonts w:asciiTheme="minorHAnsi" w:hAnsiTheme="minorHAnsi"/>
          <w:color w:val="auto"/>
        </w:rPr>
      </w:pPr>
    </w:p>
    <w:p w:rsidR="00D91DA6" w:rsidRPr="00721B64" w:rsidRDefault="00114F20" w:rsidP="00190E48">
      <w:pPr>
        <w:tabs>
          <w:tab w:val="left" w:pos="288"/>
          <w:tab w:val="left" w:pos="4752"/>
        </w:tabs>
        <w:spacing w:line="240" w:lineRule="exact"/>
        <w:jc w:val="both"/>
        <w:rPr>
          <w:rFonts w:asciiTheme="minorHAnsi" w:hAnsiTheme="minorHAnsi"/>
          <w:color w:val="auto"/>
        </w:rPr>
      </w:pPr>
      <w:r w:rsidRPr="00721B64">
        <w:rPr>
          <w:rFonts w:asciiTheme="minorHAnsi" w:hAnsiTheme="minorHAnsi"/>
          <w:color w:val="auto"/>
        </w:rPr>
        <w:lastRenderedPageBreak/>
        <w:t>The following documentary evidence was considered:</w:t>
      </w:r>
    </w:p>
    <w:p w:rsidR="00EB5EFD" w:rsidRPr="00721B64" w:rsidRDefault="00EB5EFD" w:rsidP="00190E48">
      <w:pPr>
        <w:tabs>
          <w:tab w:val="left" w:pos="288"/>
          <w:tab w:val="left" w:pos="4752"/>
        </w:tabs>
        <w:spacing w:line="240" w:lineRule="exact"/>
        <w:jc w:val="both"/>
        <w:rPr>
          <w:rFonts w:asciiTheme="minorHAnsi" w:hAnsiTheme="minorHAnsi"/>
          <w:color w:val="auto"/>
        </w:rPr>
      </w:pPr>
    </w:p>
    <w:p w:rsidR="00114F20" w:rsidRPr="00721B64" w:rsidRDefault="0051146C" w:rsidP="00190E48">
      <w:pPr>
        <w:tabs>
          <w:tab w:val="left" w:pos="288"/>
          <w:tab w:val="left" w:pos="4752"/>
        </w:tabs>
        <w:spacing w:line="240" w:lineRule="exact"/>
        <w:jc w:val="both"/>
        <w:rPr>
          <w:rFonts w:asciiTheme="minorHAnsi" w:hAnsiTheme="minorHAnsi"/>
          <w:color w:val="auto"/>
        </w:rPr>
      </w:pPr>
      <w:r w:rsidRPr="00721B64">
        <w:rPr>
          <w:rFonts w:asciiTheme="minorHAnsi" w:hAnsiTheme="minorHAnsi"/>
          <w:color w:val="auto"/>
        </w:rPr>
        <w:t xml:space="preserve">Exhibit A.  DD Form </w:t>
      </w:r>
      <w:proofErr w:type="gramStart"/>
      <w:r w:rsidRPr="00721B64">
        <w:rPr>
          <w:rFonts w:asciiTheme="minorHAnsi" w:hAnsiTheme="minorHAnsi"/>
          <w:color w:val="auto"/>
        </w:rPr>
        <w:t>294,</w:t>
      </w:r>
      <w:proofErr w:type="gramEnd"/>
      <w:r w:rsidRPr="00721B64">
        <w:rPr>
          <w:rFonts w:asciiTheme="minorHAnsi" w:hAnsiTheme="minorHAnsi"/>
          <w:color w:val="auto"/>
        </w:rPr>
        <w:t xml:space="preserve"> dated </w:t>
      </w:r>
      <w:r w:rsidR="0019273F" w:rsidRPr="00721B64">
        <w:rPr>
          <w:rFonts w:asciiTheme="minorHAnsi" w:hAnsiTheme="minorHAnsi"/>
          <w:color w:val="auto"/>
        </w:rPr>
        <w:t>20</w:t>
      </w:r>
      <w:r w:rsidR="00F66970" w:rsidRPr="00721B64">
        <w:rPr>
          <w:rFonts w:asciiTheme="minorHAnsi" w:hAnsiTheme="minorHAnsi"/>
          <w:color w:val="auto"/>
        </w:rPr>
        <w:t>100219</w:t>
      </w:r>
      <w:r w:rsidR="00114F20" w:rsidRPr="00721B64">
        <w:rPr>
          <w:rFonts w:asciiTheme="minorHAnsi" w:hAnsiTheme="minorHAnsi"/>
          <w:color w:val="auto"/>
        </w:rPr>
        <w:t xml:space="preserve"> w/</w:t>
      </w:r>
      <w:proofErr w:type="spellStart"/>
      <w:r w:rsidR="00114F20" w:rsidRPr="00721B64">
        <w:rPr>
          <w:rFonts w:asciiTheme="minorHAnsi" w:hAnsiTheme="minorHAnsi"/>
          <w:color w:val="auto"/>
        </w:rPr>
        <w:t>atchs</w:t>
      </w:r>
      <w:proofErr w:type="spellEnd"/>
      <w:r w:rsidR="00114F20" w:rsidRPr="00721B64">
        <w:rPr>
          <w:rFonts w:asciiTheme="minorHAnsi" w:hAnsiTheme="minorHAnsi"/>
          <w:color w:val="auto"/>
        </w:rPr>
        <w:t>.</w:t>
      </w:r>
    </w:p>
    <w:p w:rsidR="00114F20" w:rsidRPr="00721B64" w:rsidRDefault="00114F20" w:rsidP="00190E48">
      <w:pPr>
        <w:tabs>
          <w:tab w:val="left" w:pos="288"/>
          <w:tab w:val="left" w:pos="4752"/>
        </w:tabs>
        <w:spacing w:line="240" w:lineRule="exact"/>
        <w:jc w:val="both"/>
        <w:rPr>
          <w:rFonts w:asciiTheme="minorHAnsi" w:hAnsiTheme="minorHAnsi"/>
          <w:color w:val="auto"/>
        </w:rPr>
      </w:pPr>
      <w:r w:rsidRPr="00721B64">
        <w:rPr>
          <w:rFonts w:asciiTheme="minorHAnsi" w:hAnsiTheme="minorHAnsi"/>
          <w:color w:val="auto"/>
        </w:rPr>
        <w:t xml:space="preserve">Exhibit B.  </w:t>
      </w:r>
      <w:proofErr w:type="gramStart"/>
      <w:r w:rsidRPr="00721B64">
        <w:rPr>
          <w:rFonts w:asciiTheme="minorHAnsi" w:hAnsiTheme="minorHAnsi"/>
          <w:color w:val="auto"/>
        </w:rPr>
        <w:t>Service Treatment Record.</w:t>
      </w:r>
      <w:proofErr w:type="gramEnd"/>
    </w:p>
    <w:p w:rsidR="00114F20" w:rsidRPr="00721B64" w:rsidRDefault="00114F20" w:rsidP="00190E48">
      <w:pPr>
        <w:tabs>
          <w:tab w:val="left" w:pos="288"/>
          <w:tab w:val="left" w:pos="4752"/>
        </w:tabs>
        <w:spacing w:line="240" w:lineRule="exact"/>
        <w:jc w:val="both"/>
        <w:rPr>
          <w:rFonts w:asciiTheme="minorHAnsi" w:hAnsiTheme="minorHAnsi"/>
          <w:color w:val="auto"/>
        </w:rPr>
      </w:pPr>
      <w:r w:rsidRPr="00721B64">
        <w:rPr>
          <w:rFonts w:asciiTheme="minorHAnsi" w:hAnsiTheme="minorHAnsi"/>
          <w:color w:val="auto"/>
        </w:rPr>
        <w:t xml:space="preserve">Exhibit C.  </w:t>
      </w:r>
      <w:proofErr w:type="gramStart"/>
      <w:r w:rsidRPr="00721B64">
        <w:rPr>
          <w:rFonts w:asciiTheme="minorHAnsi" w:hAnsiTheme="minorHAnsi"/>
          <w:color w:val="auto"/>
        </w:rPr>
        <w:t>Department of Veterans</w:t>
      </w:r>
      <w:r w:rsidR="00385D6F" w:rsidRPr="00721B64">
        <w:rPr>
          <w:rFonts w:asciiTheme="minorHAnsi" w:hAnsiTheme="minorHAnsi"/>
          <w:color w:val="auto"/>
        </w:rPr>
        <w:t>'</w:t>
      </w:r>
      <w:r w:rsidRPr="00721B64">
        <w:rPr>
          <w:rFonts w:asciiTheme="minorHAnsi" w:hAnsiTheme="minorHAnsi"/>
          <w:color w:val="auto"/>
        </w:rPr>
        <w:t xml:space="preserve"> Affairs Treatment Record.</w:t>
      </w:r>
      <w:proofErr w:type="gramEnd"/>
    </w:p>
    <w:p w:rsidR="00D91DA6" w:rsidRPr="00721B64" w:rsidRDefault="00D91DA6" w:rsidP="00190E48">
      <w:pPr>
        <w:tabs>
          <w:tab w:val="left" w:pos="288"/>
          <w:tab w:val="left" w:pos="4752"/>
        </w:tabs>
        <w:spacing w:line="240" w:lineRule="exact"/>
        <w:jc w:val="both"/>
        <w:rPr>
          <w:rFonts w:asciiTheme="minorHAnsi" w:hAnsiTheme="minorHAnsi"/>
          <w:color w:val="auto"/>
        </w:rPr>
      </w:pPr>
    </w:p>
    <w:p w:rsidR="00114F20" w:rsidRPr="00721B64" w:rsidRDefault="00114F20" w:rsidP="00190E48">
      <w:pPr>
        <w:tabs>
          <w:tab w:val="left" w:pos="288"/>
          <w:tab w:val="left" w:pos="4752"/>
        </w:tabs>
        <w:spacing w:line="240" w:lineRule="exact"/>
        <w:jc w:val="both"/>
        <w:rPr>
          <w:rFonts w:asciiTheme="minorHAnsi" w:hAnsiTheme="minorHAnsi"/>
          <w:color w:val="auto"/>
        </w:rPr>
      </w:pPr>
    </w:p>
    <w:p w:rsidR="00114F20" w:rsidRPr="00721B64" w:rsidRDefault="00114F20" w:rsidP="00190E48">
      <w:pPr>
        <w:tabs>
          <w:tab w:val="left" w:pos="288"/>
          <w:tab w:val="left" w:pos="4752"/>
        </w:tabs>
        <w:spacing w:line="240" w:lineRule="exact"/>
        <w:jc w:val="both"/>
        <w:rPr>
          <w:rFonts w:asciiTheme="minorHAnsi" w:hAnsiTheme="minorHAnsi"/>
          <w:color w:val="auto"/>
        </w:rPr>
      </w:pPr>
    </w:p>
    <w:p w:rsidR="00114F20" w:rsidRPr="00721B64" w:rsidRDefault="00114F20" w:rsidP="00190E48">
      <w:pPr>
        <w:tabs>
          <w:tab w:val="left" w:pos="288"/>
          <w:tab w:val="left" w:pos="4752"/>
        </w:tabs>
        <w:spacing w:line="240" w:lineRule="exact"/>
        <w:jc w:val="both"/>
        <w:rPr>
          <w:rFonts w:asciiTheme="minorHAnsi" w:hAnsiTheme="minorHAnsi"/>
          <w:color w:val="auto"/>
        </w:rPr>
      </w:pPr>
    </w:p>
    <w:p w:rsidR="00D91DA6" w:rsidRPr="00721B64" w:rsidRDefault="00C30A97" w:rsidP="00190E48">
      <w:pPr>
        <w:tabs>
          <w:tab w:val="left" w:pos="0"/>
          <w:tab w:val="left" w:pos="4320"/>
        </w:tabs>
        <w:spacing w:line="240" w:lineRule="exact"/>
        <w:jc w:val="both"/>
        <w:rPr>
          <w:rFonts w:asciiTheme="minorHAnsi" w:hAnsiTheme="minorHAnsi"/>
          <w:color w:val="auto"/>
        </w:rPr>
      </w:pPr>
      <w:r w:rsidRPr="00721B64">
        <w:rPr>
          <w:rFonts w:asciiTheme="minorHAnsi" w:hAnsiTheme="minorHAnsi"/>
          <w:color w:val="auto"/>
        </w:rPr>
        <w:t xml:space="preserve">                             </w:t>
      </w:r>
      <w:r w:rsidR="0085089F" w:rsidRPr="00721B64">
        <w:rPr>
          <w:rFonts w:asciiTheme="minorHAnsi" w:hAnsiTheme="minorHAnsi"/>
          <w:color w:val="auto"/>
        </w:rPr>
        <w:tab/>
      </w:r>
      <w:r w:rsidR="00040237">
        <w:rPr>
          <w:rFonts w:asciiTheme="minorHAnsi" w:hAnsiTheme="minorHAnsi"/>
          <w:color w:val="auto"/>
        </w:rPr>
        <w:t xml:space="preserve"> </w:t>
      </w:r>
      <w:bookmarkStart w:id="0" w:name="_GoBack"/>
      <w:bookmarkEnd w:id="0"/>
    </w:p>
    <w:p w:rsidR="00D91DA6" w:rsidRPr="00721B64" w:rsidRDefault="00C30A97" w:rsidP="00190E48">
      <w:pPr>
        <w:tabs>
          <w:tab w:val="left" w:pos="0"/>
          <w:tab w:val="left" w:pos="4320"/>
        </w:tabs>
        <w:spacing w:line="240" w:lineRule="exact"/>
        <w:jc w:val="both"/>
        <w:rPr>
          <w:rFonts w:asciiTheme="minorHAnsi" w:hAnsiTheme="minorHAnsi"/>
          <w:color w:val="auto"/>
        </w:rPr>
      </w:pPr>
      <w:r w:rsidRPr="00721B64">
        <w:rPr>
          <w:rFonts w:asciiTheme="minorHAnsi" w:hAnsiTheme="minorHAnsi"/>
          <w:color w:val="auto"/>
        </w:rPr>
        <w:t xml:space="preserve">                             </w:t>
      </w:r>
      <w:r w:rsidR="0085089F" w:rsidRPr="00721B64">
        <w:rPr>
          <w:rFonts w:asciiTheme="minorHAnsi" w:hAnsiTheme="minorHAnsi"/>
          <w:color w:val="auto"/>
        </w:rPr>
        <w:tab/>
      </w:r>
      <w:r w:rsidR="0085089F" w:rsidRPr="00721B64">
        <w:rPr>
          <w:rFonts w:asciiTheme="minorHAnsi" w:hAnsiTheme="minorHAnsi"/>
          <w:color w:val="auto"/>
        </w:rPr>
        <w:tab/>
      </w:r>
      <w:r w:rsidR="00D52A1B" w:rsidRPr="00721B64">
        <w:rPr>
          <w:rFonts w:asciiTheme="minorHAnsi" w:hAnsiTheme="minorHAnsi"/>
          <w:color w:val="auto"/>
        </w:rPr>
        <w:t>Deputy Director</w:t>
      </w:r>
    </w:p>
    <w:p w:rsidR="001C2752"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21B64">
        <w:rPr>
          <w:rFonts w:asciiTheme="minorHAnsi" w:hAnsiTheme="minorHAnsi"/>
          <w:color w:val="auto"/>
        </w:rPr>
        <w:tab/>
        <w:t xml:space="preserve">                           </w:t>
      </w:r>
      <w:r w:rsidR="0085089F" w:rsidRPr="00721B64">
        <w:rPr>
          <w:rFonts w:asciiTheme="minorHAnsi" w:hAnsiTheme="minorHAnsi"/>
          <w:color w:val="auto"/>
        </w:rPr>
        <w:tab/>
      </w:r>
      <w:r w:rsidR="0085089F" w:rsidRPr="00721B64">
        <w:rPr>
          <w:rFonts w:asciiTheme="minorHAnsi" w:hAnsiTheme="minorHAnsi"/>
          <w:color w:val="auto"/>
        </w:rPr>
        <w:tab/>
      </w:r>
      <w:r w:rsidR="0085089F" w:rsidRPr="00721B64">
        <w:rPr>
          <w:rFonts w:asciiTheme="minorHAnsi" w:hAnsiTheme="minorHAnsi"/>
          <w:color w:val="auto"/>
        </w:rPr>
        <w:tab/>
      </w:r>
      <w:r w:rsidR="0085089F" w:rsidRPr="00721B64">
        <w:rPr>
          <w:rFonts w:asciiTheme="minorHAnsi" w:hAnsiTheme="minorHAnsi"/>
          <w:color w:val="auto"/>
        </w:rPr>
        <w:tab/>
      </w:r>
      <w:r w:rsidR="0085089F" w:rsidRPr="00721B64">
        <w:rPr>
          <w:rFonts w:asciiTheme="minorHAnsi" w:hAnsiTheme="minorHAnsi"/>
          <w:color w:val="auto"/>
        </w:rPr>
        <w:tab/>
      </w:r>
      <w:r w:rsidR="00D91DA6" w:rsidRPr="00721B64">
        <w:rPr>
          <w:rFonts w:asciiTheme="minorHAnsi" w:hAnsiTheme="minorHAnsi"/>
          <w:color w:val="auto"/>
        </w:rPr>
        <w:t>Physical Disability Board of Review</w:t>
      </w:r>
    </w:p>
    <w:p w:rsidR="001C2752" w:rsidRDefault="001C2752">
      <w:pPr>
        <w:rPr>
          <w:rFonts w:asciiTheme="minorHAnsi" w:hAnsiTheme="minorHAnsi"/>
          <w:color w:val="auto"/>
        </w:rPr>
      </w:pPr>
      <w:r>
        <w:rPr>
          <w:rFonts w:asciiTheme="minorHAnsi" w:hAnsiTheme="minorHAnsi"/>
          <w:color w:val="auto"/>
        </w:rPr>
        <w:br w:type="page"/>
      </w:r>
    </w:p>
    <w:p w:rsidR="00BC0D4F" w:rsidRDefault="00BC0D4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5949950" cy="76454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9950" cy="7645400"/>
                    </a:xfrm>
                    <a:prstGeom prst="rect">
                      <a:avLst/>
                    </a:prstGeom>
                    <a:noFill/>
                    <a:ln w="9525">
                      <a:noFill/>
                      <a:miter lim="800000"/>
                      <a:headEnd/>
                      <a:tailEnd/>
                    </a:ln>
                  </pic:spPr>
                </pic:pic>
              </a:graphicData>
            </a:graphic>
          </wp:anchor>
        </w:drawing>
      </w:r>
    </w:p>
    <w:p w:rsidR="00BC0D4F" w:rsidRDefault="00BC0D4F">
      <w:pPr>
        <w:rPr>
          <w:rFonts w:asciiTheme="minorHAnsi" w:hAnsiTheme="minorHAnsi"/>
          <w:color w:val="auto"/>
        </w:rPr>
      </w:pPr>
      <w:r>
        <w:rPr>
          <w:rFonts w:asciiTheme="minorHAnsi" w:hAnsiTheme="minorHAnsi"/>
          <w:color w:val="auto"/>
        </w:rPr>
        <w:br w:type="page"/>
      </w:r>
    </w:p>
    <w:p w:rsidR="00BC0D4F" w:rsidRDefault="00BC0D4F" w:rsidP="00BC0D4F">
      <w:pPr>
        <w:pStyle w:val="Default"/>
        <w:pageBreakBefore/>
        <w:framePr w:w="16204" w:wrap="auto" w:vAnchor="page" w:hAnchor="page" w:x="1" w:y="1"/>
      </w:pPr>
      <w:r>
        <w:rPr>
          <w:noProof/>
        </w:rPr>
        <w:lastRenderedPageBreak/>
        <w:drawing>
          <wp:inline distT="0" distB="0" distL="0" distR="0">
            <wp:extent cx="7797800" cy="10033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7797800" cy="10033000"/>
                    </a:xfrm>
                    <a:prstGeom prst="rect">
                      <a:avLst/>
                    </a:prstGeom>
                    <a:noFill/>
                    <a:ln w="9525">
                      <a:noFill/>
                      <a:miter lim="800000"/>
                      <a:headEnd/>
                      <a:tailEnd/>
                    </a:ln>
                  </pic:spPr>
                </pic:pic>
              </a:graphicData>
            </a:graphic>
          </wp:inline>
        </w:drawing>
      </w:r>
    </w:p>
    <w:p w:rsidR="00B522CD" w:rsidRPr="00721B64" w:rsidRDefault="00B522C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721B64" w:rsidSect="005000AB">
      <w:footerReference w:type="even" r:id="rId10"/>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52" w:rsidRDefault="001C2752">
      <w:r>
        <w:separator/>
      </w:r>
    </w:p>
  </w:endnote>
  <w:endnote w:type="continuationSeparator" w:id="0">
    <w:p w:rsidR="001C2752" w:rsidRDefault="001C2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52" w:rsidRDefault="001C2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2752" w:rsidRDefault="001C275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52" w:rsidRPr="00AC713F" w:rsidRDefault="001C275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C0D4F">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1C2752" w:rsidRPr="007A6064" w:rsidRDefault="001C2752" w:rsidP="002B0749">
    <w:pPr>
      <w:pStyle w:val="Footer"/>
      <w:jc w:val="right"/>
      <w:rPr>
        <w:rFonts w:asciiTheme="minorHAnsi" w:hAnsiTheme="minorHAnsi"/>
        <w:color w:val="auto"/>
      </w:rPr>
    </w:pPr>
    <w:r>
      <w:tab/>
    </w:r>
    <w:r>
      <w:tab/>
    </w:r>
    <w:r w:rsidRPr="007A6064">
      <w:rPr>
        <w:rFonts w:asciiTheme="minorHAnsi" w:hAnsiTheme="minorHAnsi"/>
        <w:caps/>
        <w:color w:val="auto"/>
      </w:rPr>
      <w:t>PD1000128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52" w:rsidRDefault="001C2752">
      <w:r>
        <w:separator/>
      </w:r>
    </w:p>
  </w:footnote>
  <w:footnote w:type="continuationSeparator" w:id="0">
    <w:p w:rsidR="001C2752" w:rsidRDefault="001C2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74F"/>
    <w:rsid w:val="000059FA"/>
    <w:rsid w:val="00006F87"/>
    <w:rsid w:val="00010ABA"/>
    <w:rsid w:val="00011CA7"/>
    <w:rsid w:val="00012428"/>
    <w:rsid w:val="00013417"/>
    <w:rsid w:val="000145C2"/>
    <w:rsid w:val="0001473F"/>
    <w:rsid w:val="00014A9E"/>
    <w:rsid w:val="00016118"/>
    <w:rsid w:val="00021361"/>
    <w:rsid w:val="00023913"/>
    <w:rsid w:val="00023D43"/>
    <w:rsid w:val="00027A8E"/>
    <w:rsid w:val="00032E07"/>
    <w:rsid w:val="000332CA"/>
    <w:rsid w:val="0003374E"/>
    <w:rsid w:val="000344E6"/>
    <w:rsid w:val="00035C3A"/>
    <w:rsid w:val="00036E4B"/>
    <w:rsid w:val="000379D0"/>
    <w:rsid w:val="00040237"/>
    <w:rsid w:val="00040650"/>
    <w:rsid w:val="00040FC4"/>
    <w:rsid w:val="000416F8"/>
    <w:rsid w:val="0004178A"/>
    <w:rsid w:val="00042C26"/>
    <w:rsid w:val="00043382"/>
    <w:rsid w:val="00051622"/>
    <w:rsid w:val="00052234"/>
    <w:rsid w:val="00053D7C"/>
    <w:rsid w:val="000569E0"/>
    <w:rsid w:val="000577C9"/>
    <w:rsid w:val="0006431E"/>
    <w:rsid w:val="00072433"/>
    <w:rsid w:val="00072498"/>
    <w:rsid w:val="00075702"/>
    <w:rsid w:val="000775C2"/>
    <w:rsid w:val="000806AD"/>
    <w:rsid w:val="00082482"/>
    <w:rsid w:val="0008708B"/>
    <w:rsid w:val="00091690"/>
    <w:rsid w:val="00092619"/>
    <w:rsid w:val="00092C66"/>
    <w:rsid w:val="00094E4F"/>
    <w:rsid w:val="000A23DC"/>
    <w:rsid w:val="000A2BCE"/>
    <w:rsid w:val="000A41E3"/>
    <w:rsid w:val="000A4BBA"/>
    <w:rsid w:val="000A5071"/>
    <w:rsid w:val="000B12AE"/>
    <w:rsid w:val="000B34C3"/>
    <w:rsid w:val="000B4C99"/>
    <w:rsid w:val="000B5805"/>
    <w:rsid w:val="000B784F"/>
    <w:rsid w:val="000C06F6"/>
    <w:rsid w:val="000C1D34"/>
    <w:rsid w:val="000C2362"/>
    <w:rsid w:val="000C237E"/>
    <w:rsid w:val="000C3C13"/>
    <w:rsid w:val="000C53F9"/>
    <w:rsid w:val="000C5813"/>
    <w:rsid w:val="000C688B"/>
    <w:rsid w:val="000C75CF"/>
    <w:rsid w:val="000C7DE4"/>
    <w:rsid w:val="000D15E7"/>
    <w:rsid w:val="000D1A24"/>
    <w:rsid w:val="000D21C7"/>
    <w:rsid w:val="000D248A"/>
    <w:rsid w:val="000D35D8"/>
    <w:rsid w:val="000D43F9"/>
    <w:rsid w:val="000D4717"/>
    <w:rsid w:val="000D6457"/>
    <w:rsid w:val="000D7D55"/>
    <w:rsid w:val="000E0993"/>
    <w:rsid w:val="000E37E0"/>
    <w:rsid w:val="000E7D24"/>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41C5"/>
    <w:rsid w:val="0015623F"/>
    <w:rsid w:val="00156585"/>
    <w:rsid w:val="00156BA9"/>
    <w:rsid w:val="00161761"/>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E62"/>
    <w:rsid w:val="001A7538"/>
    <w:rsid w:val="001B0B1A"/>
    <w:rsid w:val="001B227D"/>
    <w:rsid w:val="001B2E5C"/>
    <w:rsid w:val="001B3F54"/>
    <w:rsid w:val="001B4EC2"/>
    <w:rsid w:val="001B5B59"/>
    <w:rsid w:val="001B60E0"/>
    <w:rsid w:val="001B6F2C"/>
    <w:rsid w:val="001B7C8C"/>
    <w:rsid w:val="001C181A"/>
    <w:rsid w:val="001C1877"/>
    <w:rsid w:val="001C2053"/>
    <w:rsid w:val="001C252F"/>
    <w:rsid w:val="001C2752"/>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0AEE"/>
    <w:rsid w:val="002316F6"/>
    <w:rsid w:val="00232C9B"/>
    <w:rsid w:val="00232F09"/>
    <w:rsid w:val="002335D5"/>
    <w:rsid w:val="002338CA"/>
    <w:rsid w:val="00233FE5"/>
    <w:rsid w:val="00234B3B"/>
    <w:rsid w:val="00235A29"/>
    <w:rsid w:val="00236777"/>
    <w:rsid w:val="0024174E"/>
    <w:rsid w:val="00241B20"/>
    <w:rsid w:val="0024227D"/>
    <w:rsid w:val="00242D14"/>
    <w:rsid w:val="00246860"/>
    <w:rsid w:val="00246DFF"/>
    <w:rsid w:val="00246E89"/>
    <w:rsid w:val="0025183C"/>
    <w:rsid w:val="002528EC"/>
    <w:rsid w:val="00255049"/>
    <w:rsid w:val="00257DE5"/>
    <w:rsid w:val="00260531"/>
    <w:rsid w:val="0026318D"/>
    <w:rsid w:val="00263304"/>
    <w:rsid w:val="00265B94"/>
    <w:rsid w:val="00266B35"/>
    <w:rsid w:val="00270864"/>
    <w:rsid w:val="002712F7"/>
    <w:rsid w:val="0027159C"/>
    <w:rsid w:val="00274549"/>
    <w:rsid w:val="00274E46"/>
    <w:rsid w:val="00275183"/>
    <w:rsid w:val="00276C86"/>
    <w:rsid w:val="00277BB4"/>
    <w:rsid w:val="00280FCE"/>
    <w:rsid w:val="002810A4"/>
    <w:rsid w:val="00284A26"/>
    <w:rsid w:val="00287006"/>
    <w:rsid w:val="00291B7D"/>
    <w:rsid w:val="00294437"/>
    <w:rsid w:val="002A3237"/>
    <w:rsid w:val="002A58B7"/>
    <w:rsid w:val="002A685E"/>
    <w:rsid w:val="002A72C7"/>
    <w:rsid w:val="002B03B2"/>
    <w:rsid w:val="002B0749"/>
    <w:rsid w:val="002B1FB5"/>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102A0"/>
    <w:rsid w:val="00310CD7"/>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3F7E"/>
    <w:rsid w:val="0036584B"/>
    <w:rsid w:val="00367D4F"/>
    <w:rsid w:val="00370743"/>
    <w:rsid w:val="00370EF5"/>
    <w:rsid w:val="0037135B"/>
    <w:rsid w:val="00372251"/>
    <w:rsid w:val="0037520D"/>
    <w:rsid w:val="00375809"/>
    <w:rsid w:val="00375C95"/>
    <w:rsid w:val="0037628C"/>
    <w:rsid w:val="00376B81"/>
    <w:rsid w:val="00377BD2"/>
    <w:rsid w:val="003821E1"/>
    <w:rsid w:val="00384866"/>
    <w:rsid w:val="003857D4"/>
    <w:rsid w:val="00385D6F"/>
    <w:rsid w:val="00387095"/>
    <w:rsid w:val="00390092"/>
    <w:rsid w:val="00393651"/>
    <w:rsid w:val="00395E12"/>
    <w:rsid w:val="00397DB7"/>
    <w:rsid w:val="003A27B2"/>
    <w:rsid w:val="003A30B1"/>
    <w:rsid w:val="003A40B4"/>
    <w:rsid w:val="003A41BA"/>
    <w:rsid w:val="003A49BD"/>
    <w:rsid w:val="003A6A99"/>
    <w:rsid w:val="003A7FF8"/>
    <w:rsid w:val="003B17AC"/>
    <w:rsid w:val="003B227A"/>
    <w:rsid w:val="003B5854"/>
    <w:rsid w:val="003B6764"/>
    <w:rsid w:val="003B6DE2"/>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1BF6"/>
    <w:rsid w:val="004123D7"/>
    <w:rsid w:val="00412658"/>
    <w:rsid w:val="004149C4"/>
    <w:rsid w:val="004172DB"/>
    <w:rsid w:val="00421485"/>
    <w:rsid w:val="00422B75"/>
    <w:rsid w:val="00433F36"/>
    <w:rsid w:val="0043503A"/>
    <w:rsid w:val="004379E3"/>
    <w:rsid w:val="00442DA4"/>
    <w:rsid w:val="0044384F"/>
    <w:rsid w:val="00444F80"/>
    <w:rsid w:val="00446018"/>
    <w:rsid w:val="004543BC"/>
    <w:rsid w:val="0045645D"/>
    <w:rsid w:val="004574C6"/>
    <w:rsid w:val="00457BCF"/>
    <w:rsid w:val="00457DCE"/>
    <w:rsid w:val="00460E3F"/>
    <w:rsid w:val="004661B4"/>
    <w:rsid w:val="00466CED"/>
    <w:rsid w:val="00467592"/>
    <w:rsid w:val="00467690"/>
    <w:rsid w:val="004718E7"/>
    <w:rsid w:val="00472535"/>
    <w:rsid w:val="004756EB"/>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0E9"/>
    <w:rsid w:val="004E0248"/>
    <w:rsid w:val="004E21A3"/>
    <w:rsid w:val="004E2DF5"/>
    <w:rsid w:val="004E32EA"/>
    <w:rsid w:val="004E456C"/>
    <w:rsid w:val="004E58DB"/>
    <w:rsid w:val="004E6866"/>
    <w:rsid w:val="004F3222"/>
    <w:rsid w:val="004F3BFA"/>
    <w:rsid w:val="005000AB"/>
    <w:rsid w:val="005025EE"/>
    <w:rsid w:val="005052D4"/>
    <w:rsid w:val="00510588"/>
    <w:rsid w:val="0051146C"/>
    <w:rsid w:val="00514449"/>
    <w:rsid w:val="00517AA4"/>
    <w:rsid w:val="005222E7"/>
    <w:rsid w:val="00522823"/>
    <w:rsid w:val="00523A5E"/>
    <w:rsid w:val="00523A8B"/>
    <w:rsid w:val="00523E04"/>
    <w:rsid w:val="0052590B"/>
    <w:rsid w:val="00526308"/>
    <w:rsid w:val="00526591"/>
    <w:rsid w:val="00527178"/>
    <w:rsid w:val="005278CB"/>
    <w:rsid w:val="00530858"/>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15D"/>
    <w:rsid w:val="005709F7"/>
    <w:rsid w:val="005710A9"/>
    <w:rsid w:val="00571D1B"/>
    <w:rsid w:val="00593043"/>
    <w:rsid w:val="005938B1"/>
    <w:rsid w:val="00595BF0"/>
    <w:rsid w:val="005A1846"/>
    <w:rsid w:val="005A258C"/>
    <w:rsid w:val="005A27B5"/>
    <w:rsid w:val="005A3560"/>
    <w:rsid w:val="005A4E82"/>
    <w:rsid w:val="005A6C99"/>
    <w:rsid w:val="005A7D5D"/>
    <w:rsid w:val="005B011A"/>
    <w:rsid w:val="005B1D8F"/>
    <w:rsid w:val="005B1E94"/>
    <w:rsid w:val="005B5B3D"/>
    <w:rsid w:val="005C16F3"/>
    <w:rsid w:val="005C3758"/>
    <w:rsid w:val="005D15A1"/>
    <w:rsid w:val="005D3EF4"/>
    <w:rsid w:val="005E3064"/>
    <w:rsid w:val="005E72B2"/>
    <w:rsid w:val="005F1115"/>
    <w:rsid w:val="005F1AB6"/>
    <w:rsid w:val="005F27F2"/>
    <w:rsid w:val="005F3AFE"/>
    <w:rsid w:val="005F424D"/>
    <w:rsid w:val="005F6B6D"/>
    <w:rsid w:val="0060301B"/>
    <w:rsid w:val="00605AAB"/>
    <w:rsid w:val="00606BEB"/>
    <w:rsid w:val="00606C96"/>
    <w:rsid w:val="00610095"/>
    <w:rsid w:val="0061014A"/>
    <w:rsid w:val="0061054B"/>
    <w:rsid w:val="00613E26"/>
    <w:rsid w:val="00615641"/>
    <w:rsid w:val="00616959"/>
    <w:rsid w:val="006211D0"/>
    <w:rsid w:val="00624D0C"/>
    <w:rsid w:val="00627F2A"/>
    <w:rsid w:val="006307BA"/>
    <w:rsid w:val="006315BA"/>
    <w:rsid w:val="006338C2"/>
    <w:rsid w:val="00634C4A"/>
    <w:rsid w:val="0063532E"/>
    <w:rsid w:val="00637BDC"/>
    <w:rsid w:val="006418C9"/>
    <w:rsid w:val="00642BD6"/>
    <w:rsid w:val="00645046"/>
    <w:rsid w:val="0064527A"/>
    <w:rsid w:val="00645EA2"/>
    <w:rsid w:val="0064673D"/>
    <w:rsid w:val="006544AF"/>
    <w:rsid w:val="006573F2"/>
    <w:rsid w:val="00662F08"/>
    <w:rsid w:val="00663589"/>
    <w:rsid w:val="006708E3"/>
    <w:rsid w:val="00670DDC"/>
    <w:rsid w:val="00671EB4"/>
    <w:rsid w:val="006743E5"/>
    <w:rsid w:val="0067443B"/>
    <w:rsid w:val="00684E2B"/>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149D"/>
    <w:rsid w:val="006F1A46"/>
    <w:rsid w:val="006F5A4E"/>
    <w:rsid w:val="00702B17"/>
    <w:rsid w:val="00703B6C"/>
    <w:rsid w:val="007043CA"/>
    <w:rsid w:val="00705C40"/>
    <w:rsid w:val="00706482"/>
    <w:rsid w:val="00706BEF"/>
    <w:rsid w:val="007116BC"/>
    <w:rsid w:val="00711ED3"/>
    <w:rsid w:val="007165CE"/>
    <w:rsid w:val="00720968"/>
    <w:rsid w:val="00721B64"/>
    <w:rsid w:val="00721D12"/>
    <w:rsid w:val="00721F8B"/>
    <w:rsid w:val="007237CE"/>
    <w:rsid w:val="00724688"/>
    <w:rsid w:val="007301AF"/>
    <w:rsid w:val="0073062D"/>
    <w:rsid w:val="0073254D"/>
    <w:rsid w:val="00736A49"/>
    <w:rsid w:val="00743B71"/>
    <w:rsid w:val="00743C2D"/>
    <w:rsid w:val="00743E36"/>
    <w:rsid w:val="007446F7"/>
    <w:rsid w:val="00744EBB"/>
    <w:rsid w:val="00745B0A"/>
    <w:rsid w:val="007468AC"/>
    <w:rsid w:val="00746AE2"/>
    <w:rsid w:val="00750C82"/>
    <w:rsid w:val="007536C7"/>
    <w:rsid w:val="0076100C"/>
    <w:rsid w:val="007651ED"/>
    <w:rsid w:val="00766C87"/>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A6064"/>
    <w:rsid w:val="007B0A06"/>
    <w:rsid w:val="007B54A3"/>
    <w:rsid w:val="007B5C5C"/>
    <w:rsid w:val="007B7B37"/>
    <w:rsid w:val="007B7C41"/>
    <w:rsid w:val="007C15F6"/>
    <w:rsid w:val="007C1748"/>
    <w:rsid w:val="007C180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E31"/>
    <w:rsid w:val="007F4794"/>
    <w:rsid w:val="007F517E"/>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7589"/>
    <w:rsid w:val="008A587B"/>
    <w:rsid w:val="008A63A9"/>
    <w:rsid w:val="008A690F"/>
    <w:rsid w:val="008A7F7E"/>
    <w:rsid w:val="008B04DB"/>
    <w:rsid w:val="008B27FD"/>
    <w:rsid w:val="008B3AF2"/>
    <w:rsid w:val="008B515D"/>
    <w:rsid w:val="008B5D31"/>
    <w:rsid w:val="008B65A3"/>
    <w:rsid w:val="008B6705"/>
    <w:rsid w:val="008C22F3"/>
    <w:rsid w:val="008C5FCA"/>
    <w:rsid w:val="008C7E37"/>
    <w:rsid w:val="008D795D"/>
    <w:rsid w:val="008D7B07"/>
    <w:rsid w:val="008E1E94"/>
    <w:rsid w:val="008E2D99"/>
    <w:rsid w:val="008E4A60"/>
    <w:rsid w:val="008E744D"/>
    <w:rsid w:val="008F1E08"/>
    <w:rsid w:val="00900D8F"/>
    <w:rsid w:val="009014E3"/>
    <w:rsid w:val="009021D0"/>
    <w:rsid w:val="009026E8"/>
    <w:rsid w:val="00902817"/>
    <w:rsid w:val="00902B3C"/>
    <w:rsid w:val="009051C8"/>
    <w:rsid w:val="00906EB7"/>
    <w:rsid w:val="009102BF"/>
    <w:rsid w:val="009115F2"/>
    <w:rsid w:val="00914ADB"/>
    <w:rsid w:val="00923B25"/>
    <w:rsid w:val="0092402E"/>
    <w:rsid w:val="009259BA"/>
    <w:rsid w:val="00926FCB"/>
    <w:rsid w:val="0093311A"/>
    <w:rsid w:val="00937F0C"/>
    <w:rsid w:val="00942645"/>
    <w:rsid w:val="00944ED7"/>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1CC8"/>
    <w:rsid w:val="0098222D"/>
    <w:rsid w:val="00985099"/>
    <w:rsid w:val="009864B6"/>
    <w:rsid w:val="009905EB"/>
    <w:rsid w:val="00991E5E"/>
    <w:rsid w:val="0099421F"/>
    <w:rsid w:val="00996E27"/>
    <w:rsid w:val="009A0DE3"/>
    <w:rsid w:val="009A1643"/>
    <w:rsid w:val="009A215A"/>
    <w:rsid w:val="009A3C0B"/>
    <w:rsid w:val="009A4F1B"/>
    <w:rsid w:val="009A532D"/>
    <w:rsid w:val="009A66C5"/>
    <w:rsid w:val="009A79BA"/>
    <w:rsid w:val="009B14D1"/>
    <w:rsid w:val="009B1534"/>
    <w:rsid w:val="009B2D10"/>
    <w:rsid w:val="009B4A3B"/>
    <w:rsid w:val="009B69D3"/>
    <w:rsid w:val="009B7BA7"/>
    <w:rsid w:val="009C0938"/>
    <w:rsid w:val="009C22C8"/>
    <w:rsid w:val="009C3F82"/>
    <w:rsid w:val="009C72DD"/>
    <w:rsid w:val="009C7DF5"/>
    <w:rsid w:val="009C7E40"/>
    <w:rsid w:val="009D056C"/>
    <w:rsid w:val="009D060F"/>
    <w:rsid w:val="009D1ADE"/>
    <w:rsid w:val="009D216A"/>
    <w:rsid w:val="009E09D0"/>
    <w:rsid w:val="009E1283"/>
    <w:rsid w:val="009E29A6"/>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6E7F"/>
    <w:rsid w:val="00A176E2"/>
    <w:rsid w:val="00A200AA"/>
    <w:rsid w:val="00A203F5"/>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2F3C"/>
    <w:rsid w:val="00A54A47"/>
    <w:rsid w:val="00A56D26"/>
    <w:rsid w:val="00A571A7"/>
    <w:rsid w:val="00A608FB"/>
    <w:rsid w:val="00A60D83"/>
    <w:rsid w:val="00A60F68"/>
    <w:rsid w:val="00A619AD"/>
    <w:rsid w:val="00A63DF3"/>
    <w:rsid w:val="00A64ED9"/>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3AF"/>
    <w:rsid w:val="00AB1754"/>
    <w:rsid w:val="00AB27DD"/>
    <w:rsid w:val="00AC1021"/>
    <w:rsid w:val="00AC38B1"/>
    <w:rsid w:val="00AC439D"/>
    <w:rsid w:val="00AC713F"/>
    <w:rsid w:val="00AD067E"/>
    <w:rsid w:val="00AD2801"/>
    <w:rsid w:val="00AD6870"/>
    <w:rsid w:val="00AD68C5"/>
    <w:rsid w:val="00AD767A"/>
    <w:rsid w:val="00AE1273"/>
    <w:rsid w:val="00AE2D29"/>
    <w:rsid w:val="00AE4624"/>
    <w:rsid w:val="00AE5E14"/>
    <w:rsid w:val="00AE6115"/>
    <w:rsid w:val="00AE625B"/>
    <w:rsid w:val="00AF1668"/>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43A6"/>
    <w:rsid w:val="00B64DD6"/>
    <w:rsid w:val="00B6710C"/>
    <w:rsid w:val="00B72076"/>
    <w:rsid w:val="00B72303"/>
    <w:rsid w:val="00B737B4"/>
    <w:rsid w:val="00B82277"/>
    <w:rsid w:val="00B85473"/>
    <w:rsid w:val="00B91676"/>
    <w:rsid w:val="00B95833"/>
    <w:rsid w:val="00BA1824"/>
    <w:rsid w:val="00BA2D98"/>
    <w:rsid w:val="00BA30D1"/>
    <w:rsid w:val="00BA4609"/>
    <w:rsid w:val="00BA5BE2"/>
    <w:rsid w:val="00BA7F46"/>
    <w:rsid w:val="00BB0A0A"/>
    <w:rsid w:val="00BB252F"/>
    <w:rsid w:val="00BB387C"/>
    <w:rsid w:val="00BB45B5"/>
    <w:rsid w:val="00BB6064"/>
    <w:rsid w:val="00BC09D1"/>
    <w:rsid w:val="00BC0D4F"/>
    <w:rsid w:val="00BC1CF3"/>
    <w:rsid w:val="00BC298E"/>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3E34"/>
    <w:rsid w:val="00C05C6D"/>
    <w:rsid w:val="00C1122B"/>
    <w:rsid w:val="00C13B34"/>
    <w:rsid w:val="00C13F26"/>
    <w:rsid w:val="00C16E9F"/>
    <w:rsid w:val="00C1713D"/>
    <w:rsid w:val="00C177F1"/>
    <w:rsid w:val="00C200D5"/>
    <w:rsid w:val="00C218D9"/>
    <w:rsid w:val="00C22F3A"/>
    <w:rsid w:val="00C252E1"/>
    <w:rsid w:val="00C25978"/>
    <w:rsid w:val="00C261C6"/>
    <w:rsid w:val="00C26CC0"/>
    <w:rsid w:val="00C26E7C"/>
    <w:rsid w:val="00C30A97"/>
    <w:rsid w:val="00C31DDC"/>
    <w:rsid w:val="00C34326"/>
    <w:rsid w:val="00C34502"/>
    <w:rsid w:val="00C36201"/>
    <w:rsid w:val="00C368E8"/>
    <w:rsid w:val="00C36C3D"/>
    <w:rsid w:val="00C372C7"/>
    <w:rsid w:val="00C37848"/>
    <w:rsid w:val="00C41E47"/>
    <w:rsid w:val="00C42443"/>
    <w:rsid w:val="00C42CBA"/>
    <w:rsid w:val="00C5019E"/>
    <w:rsid w:val="00C5377C"/>
    <w:rsid w:val="00C53E8A"/>
    <w:rsid w:val="00C54DF3"/>
    <w:rsid w:val="00C560A7"/>
    <w:rsid w:val="00C56FC8"/>
    <w:rsid w:val="00C60F23"/>
    <w:rsid w:val="00C62EB2"/>
    <w:rsid w:val="00C64946"/>
    <w:rsid w:val="00C71BEC"/>
    <w:rsid w:val="00C74D3A"/>
    <w:rsid w:val="00C80511"/>
    <w:rsid w:val="00C81102"/>
    <w:rsid w:val="00C826F5"/>
    <w:rsid w:val="00C83740"/>
    <w:rsid w:val="00C84AD1"/>
    <w:rsid w:val="00C85579"/>
    <w:rsid w:val="00C863E5"/>
    <w:rsid w:val="00C931FC"/>
    <w:rsid w:val="00C932C5"/>
    <w:rsid w:val="00C933C3"/>
    <w:rsid w:val="00C9650E"/>
    <w:rsid w:val="00CA0342"/>
    <w:rsid w:val="00CA068D"/>
    <w:rsid w:val="00CA1228"/>
    <w:rsid w:val="00CA282D"/>
    <w:rsid w:val="00CA4670"/>
    <w:rsid w:val="00CA6B1A"/>
    <w:rsid w:val="00CB1063"/>
    <w:rsid w:val="00CB20DC"/>
    <w:rsid w:val="00CB23DC"/>
    <w:rsid w:val="00CB2487"/>
    <w:rsid w:val="00CB28E2"/>
    <w:rsid w:val="00CB6CD4"/>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406"/>
    <w:rsid w:val="00CD6934"/>
    <w:rsid w:val="00CF0F2B"/>
    <w:rsid w:val="00CF0FAB"/>
    <w:rsid w:val="00CF158D"/>
    <w:rsid w:val="00CF4394"/>
    <w:rsid w:val="00D000A9"/>
    <w:rsid w:val="00D005DB"/>
    <w:rsid w:val="00D0064E"/>
    <w:rsid w:val="00D00981"/>
    <w:rsid w:val="00D0280D"/>
    <w:rsid w:val="00D02C23"/>
    <w:rsid w:val="00D03DE6"/>
    <w:rsid w:val="00D07A72"/>
    <w:rsid w:val="00D10577"/>
    <w:rsid w:val="00D1269D"/>
    <w:rsid w:val="00D1323B"/>
    <w:rsid w:val="00D14BAE"/>
    <w:rsid w:val="00D15A07"/>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4549"/>
    <w:rsid w:val="00D9706F"/>
    <w:rsid w:val="00D972D4"/>
    <w:rsid w:val="00D97642"/>
    <w:rsid w:val="00DA195B"/>
    <w:rsid w:val="00DA196A"/>
    <w:rsid w:val="00DA3EBC"/>
    <w:rsid w:val="00DA6B55"/>
    <w:rsid w:val="00DB0015"/>
    <w:rsid w:val="00DB1D0E"/>
    <w:rsid w:val="00DB2AAD"/>
    <w:rsid w:val="00DB626D"/>
    <w:rsid w:val="00DB6365"/>
    <w:rsid w:val="00DC0BF1"/>
    <w:rsid w:val="00DC41C3"/>
    <w:rsid w:val="00DD0756"/>
    <w:rsid w:val="00DD3593"/>
    <w:rsid w:val="00DE0C67"/>
    <w:rsid w:val="00DE676B"/>
    <w:rsid w:val="00DE6952"/>
    <w:rsid w:val="00DE7E74"/>
    <w:rsid w:val="00DF6538"/>
    <w:rsid w:val="00DF6EF8"/>
    <w:rsid w:val="00E00A69"/>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01B"/>
    <w:rsid w:val="00E548FA"/>
    <w:rsid w:val="00E60684"/>
    <w:rsid w:val="00E6092F"/>
    <w:rsid w:val="00E62049"/>
    <w:rsid w:val="00E629DA"/>
    <w:rsid w:val="00E6469F"/>
    <w:rsid w:val="00E67FAC"/>
    <w:rsid w:val="00E7200B"/>
    <w:rsid w:val="00E738CB"/>
    <w:rsid w:val="00E73C88"/>
    <w:rsid w:val="00E74437"/>
    <w:rsid w:val="00E7443D"/>
    <w:rsid w:val="00E81C3E"/>
    <w:rsid w:val="00E82B6D"/>
    <w:rsid w:val="00E85DDB"/>
    <w:rsid w:val="00E9215A"/>
    <w:rsid w:val="00E92F6F"/>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4C00"/>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3A64"/>
    <w:rsid w:val="00F445EC"/>
    <w:rsid w:val="00F46964"/>
    <w:rsid w:val="00F46F9A"/>
    <w:rsid w:val="00F5126A"/>
    <w:rsid w:val="00F55252"/>
    <w:rsid w:val="00F55D65"/>
    <w:rsid w:val="00F6636A"/>
    <w:rsid w:val="00F667C5"/>
    <w:rsid w:val="00F66970"/>
    <w:rsid w:val="00F67830"/>
    <w:rsid w:val="00F67E31"/>
    <w:rsid w:val="00F718A8"/>
    <w:rsid w:val="00F72183"/>
    <w:rsid w:val="00F745A5"/>
    <w:rsid w:val="00F76D01"/>
    <w:rsid w:val="00F77146"/>
    <w:rsid w:val="00F81327"/>
    <w:rsid w:val="00F81C35"/>
    <w:rsid w:val="00F82981"/>
    <w:rsid w:val="00F8311F"/>
    <w:rsid w:val="00F83248"/>
    <w:rsid w:val="00F83376"/>
    <w:rsid w:val="00F853AE"/>
    <w:rsid w:val="00F874C3"/>
    <w:rsid w:val="00F93C74"/>
    <w:rsid w:val="00F93DCC"/>
    <w:rsid w:val="00F9435D"/>
    <w:rsid w:val="00F946E0"/>
    <w:rsid w:val="00F97740"/>
    <w:rsid w:val="00FA0047"/>
    <w:rsid w:val="00FA2F7B"/>
    <w:rsid w:val="00FA7A55"/>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4E2D"/>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C0D4F"/>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66669">
      <w:bodyDiv w:val="1"/>
      <w:marLeft w:val="0"/>
      <w:marRight w:val="0"/>
      <w:marTop w:val="0"/>
      <w:marBottom w:val="0"/>
      <w:divBdr>
        <w:top w:val="none" w:sz="0" w:space="0" w:color="auto"/>
        <w:left w:val="none" w:sz="0" w:space="0" w:color="auto"/>
        <w:bottom w:val="none" w:sz="0" w:space="0" w:color="auto"/>
        <w:right w:val="none" w:sz="0" w:space="0" w:color="auto"/>
      </w:divBdr>
    </w:div>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861482001">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4874197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1528569">
      <w:bodyDiv w:val="1"/>
      <w:marLeft w:val="0"/>
      <w:marRight w:val="0"/>
      <w:marTop w:val="0"/>
      <w:marBottom w:val="0"/>
      <w:divBdr>
        <w:top w:val="none" w:sz="0" w:space="0" w:color="auto"/>
        <w:left w:val="none" w:sz="0" w:space="0" w:color="auto"/>
        <w:bottom w:val="none" w:sz="0" w:space="0" w:color="auto"/>
        <w:right w:val="none" w:sz="0" w:space="0" w:color="auto"/>
      </w:divBdr>
    </w:div>
    <w:div w:id="1835604408">
      <w:bodyDiv w:val="1"/>
      <w:marLeft w:val="0"/>
      <w:marRight w:val="0"/>
      <w:marTop w:val="0"/>
      <w:marBottom w:val="0"/>
      <w:divBdr>
        <w:top w:val="none" w:sz="0" w:space="0" w:color="auto"/>
        <w:left w:val="none" w:sz="0" w:space="0" w:color="auto"/>
        <w:bottom w:val="none" w:sz="0" w:space="0" w:color="auto"/>
        <w:right w:val="none" w:sz="0" w:space="0" w:color="auto"/>
      </w:divBdr>
    </w:div>
    <w:div w:id="20327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5C7A-8C5B-469A-BAA7-68A203E2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1725</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alicia.dupree</cp:lastModifiedBy>
  <cp:revision>12</cp:revision>
  <cp:lastPrinted>2011-06-14T13:23:00Z</cp:lastPrinted>
  <dcterms:created xsi:type="dcterms:W3CDTF">2011-05-31T23:22:00Z</dcterms:created>
  <dcterms:modified xsi:type="dcterms:W3CDTF">2012-09-18T16:15:00Z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