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70"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0452D7">
      <w:pPr>
        <w:tabs>
          <w:tab w:val="left" w:pos="288"/>
          <w:tab w:val="left" w:pos="4752"/>
        </w:tabs>
        <w:spacing w:line="240" w:lineRule="exact"/>
        <w:jc w:val="both"/>
        <w:rPr>
          <w:rFonts w:asciiTheme="minorHAnsi" w:hAnsiTheme="minorHAnsi"/>
          <w:caps/>
          <w:color w:val="auto"/>
        </w:rPr>
      </w:pPr>
    </w:p>
    <w:p w:rsidR="00F629C0" w:rsidRPr="00FD6C41" w:rsidRDefault="00F629C0" w:rsidP="00201CE5">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F5044D">
        <w:rPr>
          <w:rFonts w:asciiTheme="minorHAnsi" w:hAnsiTheme="minorHAnsi"/>
          <w:caps/>
          <w:color w:val="auto"/>
        </w:rPr>
        <w:t>XXXXXXXXXXXXXXX</w:t>
      </w:r>
      <w:r w:rsidR="00101202">
        <w:rPr>
          <w:rFonts w:asciiTheme="minorHAnsi" w:hAnsiTheme="minorHAnsi"/>
          <w:caps/>
          <w:color w:val="auto"/>
        </w:rPr>
        <w:tab/>
      </w:r>
      <w:r w:rsidR="00101202">
        <w:rPr>
          <w:rFonts w:asciiTheme="minorHAnsi" w:hAnsiTheme="minorHAnsi"/>
          <w:caps/>
          <w:color w:val="auto"/>
        </w:rPr>
        <w:tab/>
        <w:t xml:space="preserve">     </w:t>
      </w:r>
      <w:r w:rsidRPr="00FD6C41">
        <w:rPr>
          <w:rFonts w:asciiTheme="minorHAnsi" w:hAnsiTheme="minorHAnsi"/>
          <w:caps/>
          <w:color w:val="auto"/>
        </w:rPr>
        <w:t xml:space="preserve">BRANCH OF SERVICE: </w:t>
      </w:r>
      <w:r>
        <w:rPr>
          <w:rFonts w:asciiTheme="minorHAnsi" w:hAnsiTheme="minorHAnsi"/>
          <w:caps/>
          <w:color w:val="auto"/>
        </w:rPr>
        <w:t xml:space="preserve"> </w:t>
      </w:r>
      <w:r w:rsidR="00131645">
        <w:rPr>
          <w:rFonts w:asciiTheme="minorHAnsi" w:hAnsiTheme="minorHAnsi"/>
          <w:caps/>
          <w:color w:val="auto"/>
        </w:rPr>
        <w:t>air force</w:t>
      </w:r>
    </w:p>
    <w:p w:rsidR="00F629C0" w:rsidRPr="00FD6C41" w:rsidRDefault="00F629C0" w:rsidP="00201CE5">
      <w:pPr>
        <w:tabs>
          <w:tab w:val="left" w:pos="288"/>
          <w:tab w:val="left" w:pos="4752"/>
          <w:tab w:val="left" w:pos="5130"/>
        </w:tabs>
        <w:spacing w:line="240" w:lineRule="exact"/>
        <w:ind w:right="-900"/>
        <w:jc w:val="both"/>
        <w:rPr>
          <w:rFonts w:asciiTheme="minorHAnsi" w:hAnsiTheme="minorHAnsi"/>
          <w:caps/>
          <w:color w:val="auto"/>
        </w:rPr>
      </w:pPr>
      <w:r w:rsidRPr="00FD6C41">
        <w:rPr>
          <w:rFonts w:asciiTheme="minorHAnsi" w:hAnsiTheme="minorHAnsi"/>
          <w:caps/>
          <w:color w:val="auto"/>
        </w:rPr>
        <w:t xml:space="preserve">CASE NUMBER: </w:t>
      </w:r>
      <w:r>
        <w:rPr>
          <w:rFonts w:asciiTheme="minorHAnsi" w:hAnsiTheme="minorHAnsi"/>
          <w:caps/>
          <w:color w:val="auto"/>
        </w:rPr>
        <w:t xml:space="preserve"> </w:t>
      </w:r>
      <w:r w:rsidRPr="00FD6C41">
        <w:rPr>
          <w:rFonts w:asciiTheme="minorHAnsi" w:hAnsiTheme="minorHAnsi"/>
          <w:caps/>
          <w:color w:val="auto"/>
        </w:rPr>
        <w:t>PD</w:t>
      </w:r>
      <w:r w:rsidR="00131645">
        <w:rPr>
          <w:rFonts w:asciiTheme="minorHAnsi" w:hAnsiTheme="minorHAnsi"/>
          <w:caps/>
          <w:color w:val="auto"/>
        </w:rPr>
        <w:t>201000119</w:t>
      </w:r>
      <w:r w:rsidRPr="00FD6C41">
        <w:rPr>
          <w:rFonts w:asciiTheme="minorHAnsi" w:hAnsiTheme="minorHAnsi"/>
          <w:caps/>
          <w:color w:val="auto"/>
        </w:rPr>
        <w:tab/>
      </w:r>
      <w:r w:rsidR="00201CE5">
        <w:rPr>
          <w:rFonts w:asciiTheme="minorHAnsi" w:hAnsiTheme="minorHAnsi"/>
          <w:caps/>
          <w:color w:val="auto"/>
        </w:rPr>
        <w:tab/>
      </w:r>
      <w:r w:rsidR="00101202">
        <w:rPr>
          <w:rFonts w:asciiTheme="minorHAnsi" w:hAnsiTheme="minorHAnsi"/>
          <w:caps/>
          <w:color w:val="auto"/>
        </w:rPr>
        <w:t xml:space="preserve">     </w:t>
      </w:r>
      <w:r w:rsidR="003F4030" w:rsidRPr="00E76517">
        <w:rPr>
          <w:rFonts w:asciiTheme="minorHAnsi" w:hAnsiTheme="minorHAnsi"/>
          <w:caps/>
          <w:color w:val="auto"/>
        </w:rPr>
        <w:t xml:space="preserve">Date placed on </w:t>
      </w:r>
      <w:r w:rsidR="003F4030" w:rsidRPr="00E76517">
        <w:rPr>
          <w:rFonts w:asciiTheme="minorHAnsi" w:hAnsiTheme="minorHAnsi"/>
          <w:color w:val="auto"/>
        </w:rPr>
        <w:t>TDRL:  20011127</w:t>
      </w:r>
    </w:p>
    <w:p w:rsidR="0090456E" w:rsidRPr="003F4030" w:rsidRDefault="00F629C0" w:rsidP="003F4030">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201CE5">
        <w:rPr>
          <w:rFonts w:asciiTheme="minorHAnsi" w:hAnsiTheme="minorHAnsi"/>
          <w:caps/>
          <w:color w:val="auto"/>
        </w:rPr>
        <w:t>0406</w:t>
      </w:r>
      <w:proofErr w:type="gramStart"/>
      <w:r w:rsidR="00955E45">
        <w:rPr>
          <w:rFonts w:asciiTheme="minorHAnsi" w:hAnsiTheme="minorHAnsi"/>
          <w:caps/>
          <w:color w:val="auto"/>
        </w:rPr>
        <w:tab/>
      </w:r>
      <w:r w:rsidR="00101202">
        <w:rPr>
          <w:rFonts w:asciiTheme="minorHAnsi" w:hAnsiTheme="minorHAnsi"/>
          <w:caps/>
          <w:color w:val="auto"/>
        </w:rPr>
        <w:t xml:space="preserve">     </w:t>
      </w:r>
      <w:r w:rsidR="003F4030" w:rsidRPr="00E76517">
        <w:rPr>
          <w:rFonts w:asciiTheme="minorHAnsi" w:hAnsiTheme="minorHAnsi"/>
          <w:color w:val="auto"/>
        </w:rPr>
        <w:t>DATE</w:t>
      </w:r>
      <w:proofErr w:type="gramEnd"/>
      <w:r w:rsidR="003F4030" w:rsidRPr="00E76517">
        <w:rPr>
          <w:rFonts w:asciiTheme="minorHAnsi" w:hAnsiTheme="minorHAnsi"/>
          <w:color w:val="auto"/>
        </w:rPr>
        <w:t xml:space="preserve"> REMOVED FROM TDRL: </w:t>
      </w:r>
      <w:r w:rsidR="003F4030">
        <w:rPr>
          <w:rFonts w:asciiTheme="minorHAnsi" w:hAnsiTheme="minorHAnsi"/>
          <w:color w:val="auto"/>
        </w:rPr>
        <w:t xml:space="preserve"> </w:t>
      </w:r>
      <w:r w:rsidR="003F4030" w:rsidRPr="00E76517">
        <w:rPr>
          <w:rFonts w:asciiTheme="minorHAnsi" w:hAnsiTheme="minorHAnsi"/>
          <w:color w:val="auto"/>
        </w:rPr>
        <w:t xml:space="preserve">20030629    </w:t>
      </w:r>
      <w:r w:rsidR="0090456E" w:rsidRPr="00E76517">
        <w:rPr>
          <w:rFonts w:asciiTheme="minorHAnsi" w:hAnsiTheme="minorHAnsi"/>
          <w:color w:val="auto"/>
        </w:rPr>
        <w:t xml:space="preserve"> </w:t>
      </w:r>
    </w:p>
    <w:p w:rsidR="00CF6A78" w:rsidRDefault="00CF6A78" w:rsidP="00CF6A78">
      <w:pPr>
        <w:pBdr>
          <w:bottom w:val="single" w:sz="12" w:space="1" w:color="auto"/>
        </w:pBdr>
        <w:tabs>
          <w:tab w:val="left" w:pos="288"/>
          <w:tab w:val="left" w:pos="4752"/>
        </w:tabs>
        <w:spacing w:line="240" w:lineRule="exact"/>
        <w:jc w:val="both"/>
        <w:rPr>
          <w:rFonts w:asciiTheme="minorHAnsi" w:hAnsiTheme="minorHAnsi"/>
          <w:color w:val="auto"/>
          <w:u w:val="single"/>
        </w:rPr>
      </w:pPr>
    </w:p>
    <w:p w:rsidR="00CF6A78" w:rsidRDefault="00CF6A78" w:rsidP="00CF6A78">
      <w:pPr>
        <w:tabs>
          <w:tab w:val="left" w:pos="288"/>
          <w:tab w:val="left" w:pos="4752"/>
        </w:tabs>
        <w:spacing w:line="240" w:lineRule="exact"/>
        <w:jc w:val="both"/>
        <w:rPr>
          <w:rFonts w:asciiTheme="minorHAnsi" w:hAnsiTheme="minorHAnsi"/>
          <w:color w:val="auto"/>
        </w:rPr>
      </w:pPr>
    </w:p>
    <w:p w:rsidR="004201A5" w:rsidRPr="0055260A" w:rsidRDefault="002C6E5B" w:rsidP="00806390">
      <w:pPr>
        <w:tabs>
          <w:tab w:val="left" w:pos="288"/>
          <w:tab w:val="left" w:pos="4752"/>
        </w:tabs>
        <w:spacing w:line="240" w:lineRule="exact"/>
        <w:jc w:val="both"/>
        <w:rPr>
          <w:rFonts w:asciiTheme="minorHAnsi" w:hAnsiTheme="minorHAnsi"/>
          <w:color w:val="auto"/>
          <w:szCs w:val="24"/>
        </w:rPr>
      </w:pPr>
      <w:r w:rsidRPr="00E76517">
        <w:rPr>
          <w:rFonts w:asciiTheme="minorHAnsi" w:hAnsiTheme="minorHAnsi"/>
          <w:color w:val="auto"/>
          <w:u w:val="single"/>
        </w:rPr>
        <w:t>SUMMARY OF CASE</w:t>
      </w:r>
      <w:r w:rsidRPr="00E76517">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Pr="00AD7F8F">
        <w:rPr>
          <w:rFonts w:asciiTheme="minorHAnsi" w:hAnsiTheme="minorHAnsi"/>
          <w:color w:val="auto"/>
          <w:szCs w:val="24"/>
        </w:rPr>
        <w:t xml:space="preserve">was </w:t>
      </w:r>
      <w:r w:rsidR="00E322F7" w:rsidRPr="00AD7F8F">
        <w:rPr>
          <w:rFonts w:asciiTheme="minorHAnsi" w:hAnsiTheme="minorHAnsi"/>
          <w:color w:val="auto"/>
          <w:szCs w:val="24"/>
        </w:rPr>
        <w:t xml:space="preserve">a </w:t>
      </w:r>
      <w:r w:rsidR="00A63EBF">
        <w:rPr>
          <w:rFonts w:asciiTheme="minorHAnsi" w:hAnsiTheme="minorHAnsi"/>
          <w:color w:val="auto"/>
          <w:szCs w:val="24"/>
        </w:rPr>
        <w:t>Maj</w:t>
      </w:r>
      <w:r w:rsidR="00E4215E">
        <w:rPr>
          <w:rFonts w:asciiTheme="minorHAnsi" w:hAnsiTheme="minorHAnsi"/>
          <w:color w:val="auto"/>
          <w:szCs w:val="24"/>
        </w:rPr>
        <w:t>or</w:t>
      </w:r>
      <w:r w:rsidR="00705C40" w:rsidRPr="00AD7F8F">
        <w:rPr>
          <w:rFonts w:asciiTheme="minorHAnsi" w:hAnsiTheme="minorHAnsi"/>
          <w:color w:val="auto"/>
          <w:szCs w:val="24"/>
        </w:rPr>
        <w:t xml:space="preserve"> (</w:t>
      </w:r>
      <w:r w:rsidR="00F441C1">
        <w:rPr>
          <w:rFonts w:asciiTheme="minorHAnsi" w:hAnsiTheme="minorHAnsi"/>
          <w:color w:val="auto"/>
          <w:szCs w:val="24"/>
        </w:rPr>
        <w:t>41A3</w:t>
      </w:r>
      <w:r w:rsidR="00C75F3D">
        <w:rPr>
          <w:rFonts w:asciiTheme="minorHAnsi" w:hAnsiTheme="minorHAnsi"/>
          <w:color w:val="auto"/>
          <w:szCs w:val="24"/>
        </w:rPr>
        <w:t>/</w:t>
      </w:r>
      <w:r w:rsidR="00F441C1">
        <w:rPr>
          <w:rFonts w:asciiTheme="minorHAnsi" w:hAnsiTheme="minorHAnsi"/>
          <w:color w:val="auto"/>
          <w:szCs w:val="24"/>
        </w:rPr>
        <w:t>Health Services Admin</w:t>
      </w:r>
      <w:r w:rsidR="00E322F7" w:rsidRPr="00AD7F8F">
        <w:rPr>
          <w:rFonts w:asciiTheme="minorHAnsi" w:hAnsiTheme="minorHAnsi"/>
          <w:color w:val="auto"/>
          <w:szCs w:val="24"/>
        </w:rPr>
        <w:t>)</w:t>
      </w:r>
      <w:r w:rsidR="00C75F3D">
        <w:rPr>
          <w:rFonts w:asciiTheme="minorHAnsi" w:hAnsiTheme="minorHAnsi"/>
          <w:color w:val="auto"/>
          <w:szCs w:val="24"/>
        </w:rPr>
        <w:t>,</w:t>
      </w:r>
      <w:r w:rsidR="00E322F7" w:rsidRPr="00AD7F8F">
        <w:rPr>
          <w:rFonts w:asciiTheme="minorHAnsi" w:hAnsiTheme="minorHAnsi"/>
          <w:color w:val="auto"/>
          <w:szCs w:val="24"/>
        </w:rPr>
        <w:t xml:space="preserve"> </w:t>
      </w:r>
      <w:r w:rsidRPr="00AD7F8F">
        <w:rPr>
          <w:rFonts w:asciiTheme="minorHAnsi" w:hAnsiTheme="minorHAnsi"/>
          <w:color w:val="auto"/>
          <w:szCs w:val="24"/>
        </w:rPr>
        <w:t xml:space="preserve">medically separated from the </w:t>
      </w:r>
      <w:r w:rsidR="00600055">
        <w:rPr>
          <w:rFonts w:asciiTheme="minorHAnsi" w:hAnsiTheme="minorHAnsi"/>
          <w:color w:val="auto"/>
          <w:szCs w:val="24"/>
        </w:rPr>
        <w:t xml:space="preserve">Air </w:t>
      </w:r>
      <w:r w:rsidR="00E76AB1">
        <w:rPr>
          <w:rFonts w:asciiTheme="minorHAnsi" w:hAnsiTheme="minorHAnsi"/>
          <w:color w:val="auto"/>
          <w:szCs w:val="24"/>
        </w:rPr>
        <w:t>National Guard</w:t>
      </w:r>
      <w:r w:rsidR="00600055">
        <w:rPr>
          <w:rFonts w:asciiTheme="minorHAnsi" w:hAnsiTheme="minorHAnsi"/>
          <w:color w:val="auto"/>
          <w:szCs w:val="24"/>
        </w:rPr>
        <w:t xml:space="preserve"> </w:t>
      </w:r>
      <w:r w:rsidRPr="00AD7F8F">
        <w:rPr>
          <w:rFonts w:asciiTheme="minorHAnsi" w:hAnsiTheme="minorHAnsi"/>
          <w:color w:val="auto"/>
          <w:szCs w:val="24"/>
        </w:rPr>
        <w:t xml:space="preserve">for </w:t>
      </w:r>
      <w:r w:rsidR="003F4030">
        <w:rPr>
          <w:rFonts w:asciiTheme="minorHAnsi" w:hAnsiTheme="minorHAnsi"/>
          <w:color w:val="auto"/>
          <w:szCs w:val="24"/>
        </w:rPr>
        <w:t>c</w:t>
      </w:r>
      <w:r w:rsidR="00F441C1">
        <w:rPr>
          <w:rFonts w:asciiTheme="minorHAnsi" w:hAnsiTheme="minorHAnsi"/>
          <w:color w:val="auto"/>
          <w:szCs w:val="24"/>
        </w:rPr>
        <w:t xml:space="preserve">hronic </w:t>
      </w:r>
      <w:r w:rsidR="003F4030" w:rsidRPr="000F74D5">
        <w:rPr>
          <w:rFonts w:asciiTheme="minorHAnsi" w:hAnsiTheme="minorHAnsi"/>
          <w:color w:val="auto"/>
          <w:szCs w:val="24"/>
        </w:rPr>
        <w:t>l</w:t>
      </w:r>
      <w:r w:rsidR="00F441C1" w:rsidRPr="000F74D5">
        <w:rPr>
          <w:rFonts w:asciiTheme="minorHAnsi" w:hAnsiTheme="minorHAnsi"/>
          <w:color w:val="auto"/>
          <w:szCs w:val="24"/>
        </w:rPr>
        <w:t xml:space="preserve">ow </w:t>
      </w:r>
      <w:r w:rsidR="003F4030" w:rsidRPr="000F74D5">
        <w:rPr>
          <w:rFonts w:asciiTheme="minorHAnsi" w:hAnsiTheme="minorHAnsi"/>
          <w:color w:val="auto"/>
          <w:szCs w:val="24"/>
        </w:rPr>
        <w:t>b</w:t>
      </w:r>
      <w:r w:rsidR="00F441C1" w:rsidRPr="000F74D5">
        <w:rPr>
          <w:rFonts w:asciiTheme="minorHAnsi" w:hAnsiTheme="minorHAnsi"/>
          <w:color w:val="auto"/>
          <w:szCs w:val="24"/>
        </w:rPr>
        <w:t xml:space="preserve">ack </w:t>
      </w:r>
      <w:r w:rsidR="003F4030" w:rsidRPr="000F74D5">
        <w:rPr>
          <w:rFonts w:asciiTheme="minorHAnsi" w:hAnsiTheme="minorHAnsi"/>
          <w:color w:val="auto"/>
          <w:szCs w:val="24"/>
        </w:rPr>
        <w:t>p</w:t>
      </w:r>
      <w:r w:rsidR="00F441C1" w:rsidRPr="000F74D5">
        <w:rPr>
          <w:rFonts w:asciiTheme="minorHAnsi" w:hAnsiTheme="minorHAnsi"/>
          <w:color w:val="auto"/>
          <w:szCs w:val="24"/>
        </w:rPr>
        <w:t>ain</w:t>
      </w:r>
      <w:r w:rsidR="003F4030" w:rsidRPr="000F74D5">
        <w:rPr>
          <w:rFonts w:asciiTheme="minorHAnsi" w:hAnsiTheme="minorHAnsi"/>
          <w:color w:val="auto"/>
          <w:szCs w:val="24"/>
        </w:rPr>
        <w:t xml:space="preserve"> (LBP)</w:t>
      </w:r>
      <w:r w:rsidR="00F441C1" w:rsidRPr="000F74D5">
        <w:rPr>
          <w:rFonts w:asciiTheme="minorHAnsi" w:hAnsiTheme="minorHAnsi"/>
          <w:color w:val="auto"/>
          <w:szCs w:val="24"/>
        </w:rPr>
        <w:t xml:space="preserve">, </w:t>
      </w:r>
      <w:r w:rsidR="003F4030" w:rsidRPr="000F74D5">
        <w:rPr>
          <w:rFonts w:asciiTheme="minorHAnsi" w:hAnsiTheme="minorHAnsi"/>
          <w:color w:val="auto"/>
          <w:szCs w:val="24"/>
        </w:rPr>
        <w:t>status post</w:t>
      </w:r>
      <w:r w:rsidR="00A63EBF">
        <w:rPr>
          <w:rFonts w:asciiTheme="minorHAnsi" w:hAnsiTheme="minorHAnsi"/>
          <w:color w:val="auto"/>
          <w:szCs w:val="24"/>
        </w:rPr>
        <w:t xml:space="preserve"> (s/p)</w:t>
      </w:r>
      <w:r w:rsidR="003F4030" w:rsidRPr="000F74D5">
        <w:rPr>
          <w:rFonts w:asciiTheme="minorHAnsi" w:hAnsiTheme="minorHAnsi"/>
          <w:color w:val="auto"/>
          <w:szCs w:val="24"/>
        </w:rPr>
        <w:t xml:space="preserve"> s</w:t>
      </w:r>
      <w:r w:rsidR="00F441C1" w:rsidRPr="000F74D5">
        <w:rPr>
          <w:rFonts w:asciiTheme="minorHAnsi" w:hAnsiTheme="minorHAnsi"/>
          <w:color w:val="auto"/>
          <w:szCs w:val="24"/>
        </w:rPr>
        <w:t xml:space="preserve">urgical </w:t>
      </w:r>
      <w:r w:rsidR="003F4030" w:rsidRPr="000F74D5">
        <w:rPr>
          <w:rFonts w:asciiTheme="minorHAnsi" w:hAnsiTheme="minorHAnsi"/>
          <w:color w:val="auto"/>
          <w:szCs w:val="24"/>
        </w:rPr>
        <w:t>f</w:t>
      </w:r>
      <w:r w:rsidR="00F441C1" w:rsidRPr="000F74D5">
        <w:rPr>
          <w:rFonts w:asciiTheme="minorHAnsi" w:hAnsiTheme="minorHAnsi"/>
          <w:color w:val="auto"/>
          <w:szCs w:val="24"/>
        </w:rPr>
        <w:t>usion</w:t>
      </w:r>
      <w:r w:rsidR="00C75F3D" w:rsidRPr="000F74D5">
        <w:rPr>
          <w:rFonts w:asciiTheme="minorHAnsi" w:hAnsiTheme="minorHAnsi"/>
          <w:i/>
          <w:color w:val="auto"/>
          <w:szCs w:val="24"/>
        </w:rPr>
        <w:t>.</w:t>
      </w:r>
      <w:r w:rsidR="00822430" w:rsidRPr="000F74D5">
        <w:rPr>
          <w:rFonts w:asciiTheme="minorHAnsi" w:hAnsiTheme="minorHAnsi"/>
          <w:i/>
          <w:color w:val="auto"/>
          <w:szCs w:val="24"/>
        </w:rPr>
        <w:t xml:space="preserve"> </w:t>
      </w:r>
      <w:r w:rsidR="00224DBE" w:rsidRPr="000F74D5">
        <w:rPr>
          <w:rFonts w:asciiTheme="minorHAnsi" w:hAnsiTheme="minorHAnsi"/>
          <w:i/>
          <w:color w:val="auto"/>
          <w:szCs w:val="24"/>
        </w:rPr>
        <w:t xml:space="preserve"> </w:t>
      </w:r>
      <w:r w:rsidR="00822430" w:rsidRPr="000F74D5">
        <w:rPr>
          <w:rFonts w:asciiTheme="minorHAnsi" w:hAnsiTheme="minorHAnsi"/>
          <w:color w:val="auto"/>
          <w:szCs w:val="24"/>
        </w:rPr>
        <w:t xml:space="preserve">CI initially </w:t>
      </w:r>
      <w:r w:rsidR="001C7DFB" w:rsidRPr="000F74D5">
        <w:rPr>
          <w:rFonts w:asciiTheme="minorHAnsi" w:hAnsiTheme="minorHAnsi"/>
          <w:color w:val="auto"/>
          <w:szCs w:val="24"/>
        </w:rPr>
        <w:t xml:space="preserve">noted </w:t>
      </w:r>
      <w:r w:rsidR="003F4030" w:rsidRPr="000F74D5">
        <w:rPr>
          <w:rFonts w:asciiTheme="minorHAnsi" w:hAnsiTheme="minorHAnsi"/>
          <w:color w:val="auto"/>
          <w:szCs w:val="24"/>
        </w:rPr>
        <w:t>LBP</w:t>
      </w:r>
      <w:r w:rsidR="001C7DFB" w:rsidRPr="000F74D5">
        <w:rPr>
          <w:rFonts w:asciiTheme="minorHAnsi" w:hAnsiTheme="minorHAnsi"/>
          <w:color w:val="auto"/>
          <w:szCs w:val="24"/>
        </w:rPr>
        <w:t xml:space="preserve"> after falling</w:t>
      </w:r>
      <w:r w:rsidR="00822430" w:rsidRPr="000F74D5">
        <w:rPr>
          <w:rFonts w:asciiTheme="minorHAnsi" w:hAnsiTheme="minorHAnsi"/>
          <w:color w:val="auto"/>
          <w:szCs w:val="24"/>
        </w:rPr>
        <w:t xml:space="preserve"> while bowling in 1998 wh</w:t>
      </w:r>
      <w:r w:rsidR="00E4215E">
        <w:rPr>
          <w:rFonts w:asciiTheme="minorHAnsi" w:hAnsiTheme="minorHAnsi"/>
          <w:color w:val="auto"/>
          <w:szCs w:val="24"/>
        </w:rPr>
        <w:t xml:space="preserve">ile on temporary duty.  </w:t>
      </w:r>
      <w:r w:rsidR="00B07609" w:rsidRPr="000F74D5">
        <w:rPr>
          <w:rFonts w:asciiTheme="minorHAnsi" w:hAnsiTheme="minorHAnsi"/>
          <w:color w:val="auto"/>
          <w:szCs w:val="24"/>
        </w:rPr>
        <w:t>X-ray</w:t>
      </w:r>
      <w:r w:rsidR="00E4215E">
        <w:rPr>
          <w:rFonts w:asciiTheme="minorHAnsi" w:hAnsiTheme="minorHAnsi"/>
          <w:color w:val="auto"/>
          <w:szCs w:val="24"/>
        </w:rPr>
        <w:t>s</w:t>
      </w:r>
      <w:r w:rsidR="00B07609" w:rsidRPr="000F74D5">
        <w:rPr>
          <w:rFonts w:asciiTheme="minorHAnsi" w:hAnsiTheme="minorHAnsi"/>
          <w:color w:val="auto"/>
          <w:szCs w:val="24"/>
        </w:rPr>
        <w:t xml:space="preserve"> showed L4-5 spondylolysis with grade I spondylolisthesis</w:t>
      </w:r>
      <w:r w:rsidR="001C7DFB" w:rsidRPr="000F74D5">
        <w:rPr>
          <w:rFonts w:asciiTheme="minorHAnsi" w:hAnsiTheme="minorHAnsi"/>
          <w:color w:val="auto"/>
          <w:szCs w:val="24"/>
        </w:rPr>
        <w:t xml:space="preserve"> (</w:t>
      </w:r>
      <w:r w:rsidR="00FE2907" w:rsidRPr="000F74D5">
        <w:rPr>
          <w:rFonts w:asciiTheme="minorHAnsi" w:hAnsiTheme="minorHAnsi"/>
          <w:color w:val="auto"/>
          <w:szCs w:val="24"/>
        </w:rPr>
        <w:t xml:space="preserve">possibly </w:t>
      </w:r>
      <w:r w:rsidR="001C7DFB" w:rsidRPr="000F74D5">
        <w:rPr>
          <w:rFonts w:asciiTheme="minorHAnsi" w:hAnsiTheme="minorHAnsi"/>
          <w:color w:val="auto"/>
          <w:szCs w:val="24"/>
        </w:rPr>
        <w:t>congenital)</w:t>
      </w:r>
      <w:r w:rsidR="00B07609" w:rsidRPr="000F74D5">
        <w:rPr>
          <w:rFonts w:asciiTheme="minorHAnsi" w:hAnsiTheme="minorHAnsi"/>
          <w:color w:val="auto"/>
          <w:szCs w:val="24"/>
        </w:rPr>
        <w:t xml:space="preserve"> that was confirmed by CT, myelogram and </w:t>
      </w:r>
      <w:r w:rsidR="00E4215E">
        <w:rPr>
          <w:rFonts w:asciiTheme="minorHAnsi" w:hAnsiTheme="minorHAnsi"/>
          <w:color w:val="auto"/>
          <w:szCs w:val="24"/>
        </w:rPr>
        <w:t>magnetic resonance imaging</w:t>
      </w:r>
      <w:r w:rsidR="00B07609" w:rsidRPr="000F74D5">
        <w:rPr>
          <w:rFonts w:asciiTheme="minorHAnsi" w:hAnsiTheme="minorHAnsi"/>
          <w:color w:val="auto"/>
          <w:szCs w:val="24"/>
        </w:rPr>
        <w:t xml:space="preserve">.  </w:t>
      </w:r>
      <w:r w:rsidR="001C7DFB" w:rsidRPr="000F74D5">
        <w:rPr>
          <w:rFonts w:asciiTheme="minorHAnsi" w:hAnsiTheme="minorHAnsi"/>
          <w:color w:val="auto"/>
          <w:szCs w:val="24"/>
        </w:rPr>
        <w:t>Conservative management was initially successful, but eventually he underwent an L4-S1 fusion with instrumentation for c</w:t>
      </w:r>
      <w:r w:rsidR="00F42D30" w:rsidRPr="000F74D5">
        <w:rPr>
          <w:rFonts w:asciiTheme="minorHAnsi" w:hAnsiTheme="minorHAnsi"/>
          <w:color w:val="auto"/>
          <w:szCs w:val="24"/>
        </w:rPr>
        <w:t>onstant pain.  Complications</w:t>
      </w:r>
      <w:r w:rsidR="001C7DFB" w:rsidRPr="000F74D5">
        <w:rPr>
          <w:rFonts w:asciiTheme="minorHAnsi" w:hAnsiTheme="minorHAnsi"/>
          <w:color w:val="auto"/>
          <w:szCs w:val="24"/>
        </w:rPr>
        <w:t xml:space="preserve"> included uncoupling of the rod from the S1 </w:t>
      </w:r>
      <w:r w:rsidR="00227625" w:rsidRPr="000F74D5">
        <w:rPr>
          <w:rFonts w:asciiTheme="minorHAnsi" w:hAnsiTheme="minorHAnsi"/>
          <w:color w:val="auto"/>
          <w:szCs w:val="24"/>
        </w:rPr>
        <w:t>screw</w:t>
      </w:r>
      <w:r w:rsidR="003F4030" w:rsidRPr="000F74D5">
        <w:rPr>
          <w:rFonts w:asciiTheme="minorHAnsi" w:hAnsiTheme="minorHAnsi"/>
          <w:color w:val="auto"/>
          <w:szCs w:val="24"/>
        </w:rPr>
        <w:t>,</w:t>
      </w:r>
      <w:r w:rsidR="001C7DFB" w:rsidRPr="000F74D5">
        <w:rPr>
          <w:rFonts w:asciiTheme="minorHAnsi" w:hAnsiTheme="minorHAnsi"/>
          <w:color w:val="auto"/>
          <w:szCs w:val="24"/>
        </w:rPr>
        <w:t xml:space="preserve"> fracture of one of the screws at L4</w:t>
      </w:r>
      <w:r w:rsidR="003F4030" w:rsidRPr="000F74D5">
        <w:rPr>
          <w:rFonts w:asciiTheme="minorHAnsi" w:hAnsiTheme="minorHAnsi"/>
          <w:color w:val="auto"/>
          <w:szCs w:val="24"/>
        </w:rPr>
        <w:t>,</w:t>
      </w:r>
      <w:r w:rsidR="001C7DFB" w:rsidRPr="000F74D5">
        <w:rPr>
          <w:rFonts w:asciiTheme="minorHAnsi" w:hAnsiTheme="minorHAnsi"/>
          <w:color w:val="auto"/>
          <w:szCs w:val="24"/>
        </w:rPr>
        <w:t xml:space="preserve"> and a minimal bone graft across the fusion.  A bone simulator improved healing and his symptoms reduced to the point that he was able to work reasonably well.  </w:t>
      </w:r>
      <w:r w:rsidR="0090456E" w:rsidRPr="000F74D5">
        <w:rPr>
          <w:rFonts w:asciiTheme="minorHAnsi" w:hAnsiTheme="minorHAnsi"/>
          <w:color w:val="auto"/>
          <w:szCs w:val="24"/>
        </w:rPr>
        <w:t>Unfortunately</w:t>
      </w:r>
      <w:r w:rsidR="001C7DFB" w:rsidRPr="000F74D5">
        <w:rPr>
          <w:rFonts w:asciiTheme="minorHAnsi" w:hAnsiTheme="minorHAnsi"/>
          <w:color w:val="auto"/>
          <w:szCs w:val="24"/>
        </w:rPr>
        <w:t xml:space="preserve">, </w:t>
      </w:r>
      <w:r w:rsidR="00E4215E">
        <w:rPr>
          <w:rFonts w:asciiTheme="minorHAnsi" w:hAnsiTheme="minorHAnsi"/>
          <w:color w:val="auto"/>
          <w:szCs w:val="24"/>
        </w:rPr>
        <w:t xml:space="preserve">his pain increased after a motor vehicle accident </w:t>
      </w:r>
      <w:r w:rsidR="001C7DFB" w:rsidRPr="000F74D5">
        <w:rPr>
          <w:rFonts w:asciiTheme="minorHAnsi" w:hAnsiTheme="minorHAnsi"/>
          <w:color w:val="auto"/>
          <w:szCs w:val="24"/>
        </w:rPr>
        <w:t>in Jan</w:t>
      </w:r>
      <w:r w:rsidR="003F4030" w:rsidRPr="000F74D5">
        <w:rPr>
          <w:rFonts w:asciiTheme="minorHAnsi" w:hAnsiTheme="minorHAnsi"/>
          <w:color w:val="auto"/>
          <w:szCs w:val="24"/>
        </w:rPr>
        <w:t>uary</w:t>
      </w:r>
      <w:r w:rsidR="001C7DFB" w:rsidRPr="000F74D5">
        <w:rPr>
          <w:rFonts w:asciiTheme="minorHAnsi" w:hAnsiTheme="minorHAnsi"/>
          <w:color w:val="auto"/>
          <w:szCs w:val="24"/>
        </w:rPr>
        <w:t xml:space="preserve"> </w:t>
      </w:r>
      <w:r w:rsidR="003F4030" w:rsidRPr="000F74D5">
        <w:rPr>
          <w:rFonts w:asciiTheme="minorHAnsi" w:hAnsiTheme="minorHAnsi"/>
          <w:color w:val="auto"/>
          <w:szCs w:val="24"/>
        </w:rPr>
        <w:t>20</w:t>
      </w:r>
      <w:r w:rsidR="001C7DFB" w:rsidRPr="000F74D5">
        <w:rPr>
          <w:rFonts w:asciiTheme="minorHAnsi" w:hAnsiTheme="minorHAnsi"/>
          <w:color w:val="auto"/>
          <w:szCs w:val="24"/>
        </w:rPr>
        <w:t>01</w:t>
      </w:r>
      <w:r w:rsidR="00E4215E">
        <w:rPr>
          <w:rFonts w:asciiTheme="minorHAnsi" w:hAnsiTheme="minorHAnsi"/>
          <w:color w:val="auto"/>
          <w:szCs w:val="24"/>
        </w:rPr>
        <w:t>.</w:t>
      </w:r>
      <w:r w:rsidR="001C7DFB" w:rsidRPr="000F74D5">
        <w:rPr>
          <w:rFonts w:asciiTheme="minorHAnsi" w:hAnsiTheme="minorHAnsi"/>
          <w:color w:val="auto"/>
          <w:szCs w:val="24"/>
        </w:rPr>
        <w:t xml:space="preserve">  In Feb</w:t>
      </w:r>
      <w:r w:rsidR="003F4030" w:rsidRPr="000F74D5">
        <w:rPr>
          <w:rFonts w:asciiTheme="minorHAnsi" w:hAnsiTheme="minorHAnsi"/>
          <w:color w:val="auto"/>
          <w:szCs w:val="24"/>
        </w:rPr>
        <w:t>ruary</w:t>
      </w:r>
      <w:r w:rsidR="001C7DFB" w:rsidRPr="000F74D5">
        <w:rPr>
          <w:rFonts w:asciiTheme="minorHAnsi" w:hAnsiTheme="minorHAnsi"/>
          <w:color w:val="auto"/>
          <w:szCs w:val="24"/>
        </w:rPr>
        <w:t xml:space="preserve"> </w:t>
      </w:r>
      <w:r w:rsidR="003F4030" w:rsidRPr="000F74D5">
        <w:rPr>
          <w:rFonts w:asciiTheme="minorHAnsi" w:hAnsiTheme="minorHAnsi"/>
          <w:color w:val="auto"/>
          <w:szCs w:val="24"/>
        </w:rPr>
        <w:t>20</w:t>
      </w:r>
      <w:r w:rsidR="001C7DFB" w:rsidRPr="000F74D5">
        <w:rPr>
          <w:rFonts w:asciiTheme="minorHAnsi" w:hAnsiTheme="minorHAnsi"/>
          <w:color w:val="auto"/>
          <w:szCs w:val="24"/>
        </w:rPr>
        <w:t xml:space="preserve">01, he underwent </w:t>
      </w:r>
      <w:r w:rsidR="003F4030" w:rsidRPr="000F74D5">
        <w:rPr>
          <w:rFonts w:asciiTheme="minorHAnsi" w:hAnsiTheme="minorHAnsi"/>
          <w:color w:val="auto"/>
          <w:szCs w:val="24"/>
        </w:rPr>
        <w:t>a second</w:t>
      </w:r>
      <w:r w:rsidR="001C7DFB" w:rsidRPr="000F74D5">
        <w:rPr>
          <w:rFonts w:asciiTheme="minorHAnsi" w:hAnsiTheme="minorHAnsi"/>
          <w:color w:val="auto"/>
          <w:szCs w:val="24"/>
        </w:rPr>
        <w:t xml:space="preserve"> bone graft, removal of the right sided hardware, infiltration of </w:t>
      </w:r>
      <w:r w:rsidR="00B929CE" w:rsidRPr="000F74D5">
        <w:rPr>
          <w:rFonts w:asciiTheme="minorHAnsi" w:hAnsiTheme="minorHAnsi"/>
          <w:color w:val="auto"/>
          <w:szCs w:val="24"/>
        </w:rPr>
        <w:t>angiopoietin growth factor (AGF)</w:t>
      </w:r>
      <w:r w:rsidR="00904844" w:rsidRPr="000F74D5">
        <w:rPr>
          <w:rFonts w:asciiTheme="minorHAnsi" w:hAnsiTheme="minorHAnsi"/>
          <w:color w:val="auto"/>
          <w:szCs w:val="24"/>
        </w:rPr>
        <w:t xml:space="preserve"> and revision</w:t>
      </w:r>
      <w:r w:rsidR="001C7DFB" w:rsidRPr="000F74D5">
        <w:rPr>
          <w:rFonts w:asciiTheme="minorHAnsi" w:hAnsiTheme="minorHAnsi"/>
          <w:color w:val="auto"/>
          <w:szCs w:val="24"/>
        </w:rPr>
        <w:t xml:space="preserve"> of the left sided hardware </w:t>
      </w:r>
      <w:r w:rsidR="00904844" w:rsidRPr="000F74D5">
        <w:rPr>
          <w:rFonts w:asciiTheme="minorHAnsi" w:hAnsiTheme="minorHAnsi"/>
          <w:color w:val="auto"/>
          <w:szCs w:val="24"/>
        </w:rPr>
        <w:t>to include placement of</w:t>
      </w:r>
      <w:r w:rsidR="001C7DFB" w:rsidRPr="000F74D5">
        <w:rPr>
          <w:rFonts w:asciiTheme="minorHAnsi" w:hAnsiTheme="minorHAnsi"/>
          <w:color w:val="auto"/>
          <w:szCs w:val="24"/>
        </w:rPr>
        <w:t xml:space="preserve"> an external spine stimulator.  He continued to have moderate pain and o</w:t>
      </w:r>
      <w:r w:rsidR="00B929CE" w:rsidRPr="000F74D5">
        <w:rPr>
          <w:rFonts w:asciiTheme="minorHAnsi" w:hAnsiTheme="minorHAnsi"/>
          <w:color w:val="auto"/>
          <w:szCs w:val="24"/>
        </w:rPr>
        <w:t xml:space="preserve">ther symptoms </w:t>
      </w:r>
      <w:r w:rsidR="00542347" w:rsidRPr="000F74D5">
        <w:rPr>
          <w:rFonts w:asciiTheme="minorHAnsi" w:hAnsiTheme="minorHAnsi"/>
          <w:color w:val="auto"/>
          <w:szCs w:val="24"/>
        </w:rPr>
        <w:t>which</w:t>
      </w:r>
      <w:r w:rsidR="00B929CE" w:rsidRPr="000F74D5">
        <w:rPr>
          <w:rFonts w:asciiTheme="minorHAnsi" w:hAnsiTheme="minorHAnsi"/>
          <w:color w:val="auto"/>
          <w:szCs w:val="24"/>
        </w:rPr>
        <w:t xml:space="preserve"> </w:t>
      </w:r>
      <w:r w:rsidR="00542347" w:rsidRPr="000F74D5">
        <w:rPr>
          <w:rFonts w:asciiTheme="minorHAnsi" w:hAnsiTheme="minorHAnsi"/>
          <w:color w:val="auto"/>
          <w:szCs w:val="24"/>
        </w:rPr>
        <w:t xml:space="preserve">did not respond adequately to treatment.  He was unable to perform within his military specialty or participate in a physical fitness test.  He </w:t>
      </w:r>
      <w:r w:rsidR="00B929CE" w:rsidRPr="000F74D5">
        <w:rPr>
          <w:rFonts w:asciiTheme="minorHAnsi" w:hAnsiTheme="minorHAnsi"/>
          <w:color w:val="auto"/>
          <w:szCs w:val="24"/>
        </w:rPr>
        <w:t xml:space="preserve">was </w:t>
      </w:r>
      <w:r w:rsidR="00BF4137" w:rsidRPr="000F74D5">
        <w:rPr>
          <w:rFonts w:asciiTheme="minorHAnsi" w:hAnsiTheme="minorHAnsi"/>
          <w:color w:val="auto"/>
          <w:szCs w:val="24"/>
        </w:rPr>
        <w:t xml:space="preserve">first </w:t>
      </w:r>
      <w:r w:rsidR="00B929CE" w:rsidRPr="000F74D5">
        <w:rPr>
          <w:rFonts w:asciiTheme="minorHAnsi" w:hAnsiTheme="minorHAnsi"/>
          <w:color w:val="auto"/>
          <w:szCs w:val="24"/>
        </w:rPr>
        <w:t xml:space="preserve">placed on </w:t>
      </w:r>
      <w:r w:rsidR="001C7DFB" w:rsidRPr="000F74D5">
        <w:rPr>
          <w:rFonts w:asciiTheme="minorHAnsi" w:hAnsiTheme="minorHAnsi"/>
          <w:color w:val="auto"/>
          <w:szCs w:val="24"/>
        </w:rPr>
        <w:t xml:space="preserve">incapacitation pay and </w:t>
      </w:r>
      <w:r w:rsidR="00542347" w:rsidRPr="000F74D5">
        <w:rPr>
          <w:rFonts w:asciiTheme="minorHAnsi" w:hAnsiTheme="minorHAnsi"/>
          <w:color w:val="auto"/>
          <w:szCs w:val="24"/>
        </w:rPr>
        <w:t xml:space="preserve">issued a </w:t>
      </w:r>
      <w:r w:rsidR="00140C7A" w:rsidRPr="000F74D5">
        <w:rPr>
          <w:rFonts w:asciiTheme="minorHAnsi" w:hAnsiTheme="minorHAnsi"/>
          <w:color w:val="auto"/>
          <w:szCs w:val="24"/>
        </w:rPr>
        <w:t>temporary</w:t>
      </w:r>
      <w:r w:rsidR="00542347" w:rsidRPr="000F74D5">
        <w:rPr>
          <w:rFonts w:asciiTheme="minorHAnsi" w:hAnsiTheme="minorHAnsi"/>
          <w:color w:val="auto"/>
          <w:szCs w:val="24"/>
        </w:rPr>
        <w:t xml:space="preserve"> L4 profile</w:t>
      </w:r>
      <w:r w:rsidR="00140C7A" w:rsidRPr="000F74D5">
        <w:rPr>
          <w:rFonts w:asciiTheme="minorHAnsi" w:hAnsiTheme="minorHAnsi"/>
          <w:color w:val="auto"/>
          <w:szCs w:val="24"/>
        </w:rPr>
        <w:t xml:space="preserve">.  He was then referred to a </w:t>
      </w:r>
      <w:r w:rsidR="00542347" w:rsidRPr="000F74D5">
        <w:rPr>
          <w:rFonts w:asciiTheme="minorHAnsi" w:hAnsiTheme="minorHAnsi"/>
          <w:color w:val="auto"/>
          <w:szCs w:val="24"/>
        </w:rPr>
        <w:t>Medical Evaluation Board (MEB)</w:t>
      </w:r>
      <w:r w:rsidR="00140C7A" w:rsidRPr="000F74D5">
        <w:rPr>
          <w:rFonts w:asciiTheme="minorHAnsi" w:hAnsiTheme="minorHAnsi"/>
          <w:color w:val="auto"/>
          <w:szCs w:val="24"/>
        </w:rPr>
        <w:t xml:space="preserve">.  </w:t>
      </w:r>
      <w:r w:rsidR="004201A5" w:rsidRPr="000F74D5">
        <w:rPr>
          <w:rFonts w:asciiTheme="minorHAnsi" w:hAnsiTheme="minorHAnsi"/>
          <w:color w:val="auto"/>
          <w:szCs w:val="24"/>
        </w:rPr>
        <w:t xml:space="preserve">Chronic </w:t>
      </w:r>
      <w:r w:rsidR="00BF4137" w:rsidRPr="000F74D5">
        <w:rPr>
          <w:rFonts w:asciiTheme="minorHAnsi" w:hAnsiTheme="minorHAnsi"/>
          <w:color w:val="auto"/>
          <w:szCs w:val="24"/>
        </w:rPr>
        <w:t>LBP</w:t>
      </w:r>
      <w:r w:rsidR="004201A5" w:rsidRPr="000F74D5">
        <w:rPr>
          <w:rFonts w:asciiTheme="minorHAnsi" w:hAnsiTheme="minorHAnsi"/>
          <w:color w:val="auto"/>
          <w:szCs w:val="24"/>
        </w:rPr>
        <w:t xml:space="preserve">, </w:t>
      </w:r>
      <w:r w:rsidR="00BF4137" w:rsidRPr="000F74D5">
        <w:rPr>
          <w:rFonts w:asciiTheme="minorHAnsi" w:hAnsiTheme="minorHAnsi"/>
          <w:color w:val="auto"/>
          <w:szCs w:val="24"/>
        </w:rPr>
        <w:t>s/p</w:t>
      </w:r>
      <w:r w:rsidR="004201A5" w:rsidRPr="000F74D5">
        <w:rPr>
          <w:rFonts w:asciiTheme="minorHAnsi" w:hAnsiTheme="minorHAnsi"/>
          <w:color w:val="auto"/>
          <w:szCs w:val="24"/>
        </w:rPr>
        <w:t xml:space="preserve"> </w:t>
      </w:r>
      <w:r w:rsidR="00BF4137" w:rsidRPr="000F74D5">
        <w:rPr>
          <w:rFonts w:asciiTheme="minorHAnsi" w:hAnsiTheme="minorHAnsi"/>
          <w:color w:val="auto"/>
          <w:szCs w:val="24"/>
        </w:rPr>
        <w:t>s</w:t>
      </w:r>
      <w:r w:rsidR="004201A5" w:rsidRPr="000F74D5">
        <w:rPr>
          <w:rFonts w:asciiTheme="minorHAnsi" w:hAnsiTheme="minorHAnsi"/>
          <w:color w:val="auto"/>
          <w:szCs w:val="24"/>
        </w:rPr>
        <w:t xml:space="preserve">urgical </w:t>
      </w:r>
      <w:r w:rsidR="00BF4137" w:rsidRPr="000F74D5">
        <w:rPr>
          <w:rFonts w:asciiTheme="minorHAnsi" w:hAnsiTheme="minorHAnsi"/>
          <w:color w:val="auto"/>
          <w:szCs w:val="24"/>
        </w:rPr>
        <w:t>f</w:t>
      </w:r>
      <w:r w:rsidR="004201A5" w:rsidRPr="000F74D5">
        <w:rPr>
          <w:rFonts w:asciiTheme="minorHAnsi" w:hAnsiTheme="minorHAnsi"/>
          <w:color w:val="auto"/>
          <w:szCs w:val="24"/>
        </w:rPr>
        <w:t xml:space="preserve">usion was forwarded to the Physical Evaluation Board (PEB) as medically unacceptable IAW AFI 48-123.  </w:t>
      </w:r>
      <w:r w:rsidR="00C17D14" w:rsidRPr="000F74D5">
        <w:rPr>
          <w:rFonts w:asciiTheme="minorHAnsi" w:hAnsiTheme="minorHAnsi"/>
          <w:color w:val="auto"/>
          <w:szCs w:val="24"/>
        </w:rPr>
        <w:t>Six</w:t>
      </w:r>
      <w:r w:rsidR="004201A5" w:rsidRPr="000F74D5">
        <w:rPr>
          <w:rFonts w:asciiTheme="minorHAnsi" w:hAnsiTheme="minorHAnsi"/>
          <w:color w:val="auto"/>
          <w:szCs w:val="24"/>
        </w:rPr>
        <w:t xml:space="preserve"> other conditions, as identified in the rating chart below, were</w:t>
      </w:r>
      <w:r w:rsidR="00E25E6D" w:rsidRPr="000F74D5">
        <w:rPr>
          <w:rFonts w:asciiTheme="minorHAnsi" w:hAnsiTheme="minorHAnsi"/>
          <w:color w:val="auto"/>
          <w:szCs w:val="24"/>
        </w:rPr>
        <w:t xml:space="preserve"> </w:t>
      </w:r>
      <w:r w:rsidR="004201A5" w:rsidRPr="000F74D5">
        <w:rPr>
          <w:rFonts w:asciiTheme="minorHAnsi" w:hAnsiTheme="minorHAnsi"/>
          <w:color w:val="auto"/>
          <w:szCs w:val="24"/>
        </w:rPr>
        <w:t xml:space="preserve">forwarded on the MEB submission as </w:t>
      </w:r>
      <w:r w:rsidR="00904844" w:rsidRPr="000F74D5">
        <w:rPr>
          <w:rFonts w:asciiTheme="minorHAnsi" w:hAnsiTheme="minorHAnsi"/>
          <w:color w:val="auto"/>
          <w:szCs w:val="24"/>
        </w:rPr>
        <w:t xml:space="preserve">either </w:t>
      </w:r>
      <w:r w:rsidR="00E25E6D" w:rsidRPr="000F74D5">
        <w:rPr>
          <w:rFonts w:asciiTheme="minorHAnsi" w:hAnsiTheme="minorHAnsi"/>
          <w:color w:val="auto"/>
          <w:szCs w:val="24"/>
        </w:rPr>
        <w:t xml:space="preserve">Category II </w:t>
      </w:r>
      <w:r w:rsidR="00904844" w:rsidRPr="000F74D5">
        <w:rPr>
          <w:rFonts w:asciiTheme="minorHAnsi" w:hAnsiTheme="minorHAnsi"/>
          <w:color w:val="auto"/>
          <w:szCs w:val="24"/>
        </w:rPr>
        <w:t xml:space="preserve">or </w:t>
      </w:r>
      <w:r w:rsidR="00E25E6D" w:rsidRPr="000F74D5">
        <w:rPr>
          <w:rFonts w:asciiTheme="minorHAnsi" w:hAnsiTheme="minorHAnsi"/>
          <w:color w:val="auto"/>
          <w:szCs w:val="24"/>
        </w:rPr>
        <w:t xml:space="preserve">III conditions.  </w:t>
      </w:r>
      <w:r w:rsidR="00F3311F">
        <w:rPr>
          <w:rFonts w:asciiTheme="minorHAnsi" w:hAnsiTheme="minorHAnsi"/>
          <w:color w:val="auto"/>
          <w:szCs w:val="24"/>
        </w:rPr>
        <w:t xml:space="preserve">The </w:t>
      </w:r>
      <w:r w:rsidR="00E4215E">
        <w:rPr>
          <w:rFonts w:asciiTheme="minorHAnsi" w:hAnsiTheme="minorHAnsi"/>
          <w:color w:val="auto"/>
          <w:szCs w:val="24"/>
        </w:rPr>
        <w:t>i</w:t>
      </w:r>
      <w:r w:rsidR="004201A5" w:rsidRPr="000F74D5">
        <w:rPr>
          <w:rFonts w:asciiTheme="minorHAnsi" w:hAnsiTheme="minorHAnsi"/>
          <w:color w:val="auto"/>
          <w:szCs w:val="24"/>
        </w:rPr>
        <w:t xml:space="preserve">nformal PEB (IPEB) adjudicated the </w:t>
      </w:r>
      <w:r w:rsidR="00F42D30" w:rsidRPr="000F74D5">
        <w:rPr>
          <w:rFonts w:asciiTheme="minorHAnsi" w:hAnsiTheme="minorHAnsi"/>
          <w:color w:val="auto"/>
          <w:szCs w:val="24"/>
        </w:rPr>
        <w:t>LBP</w:t>
      </w:r>
      <w:r w:rsidR="004201A5" w:rsidRPr="000F74D5">
        <w:rPr>
          <w:rFonts w:asciiTheme="minorHAnsi" w:hAnsiTheme="minorHAnsi"/>
          <w:color w:val="auto"/>
          <w:szCs w:val="24"/>
        </w:rPr>
        <w:t xml:space="preserve"> condition as unfitting, rated 40</w:t>
      </w:r>
      <w:r w:rsidR="00B929CE" w:rsidRPr="000F74D5">
        <w:rPr>
          <w:rFonts w:asciiTheme="minorHAnsi" w:hAnsiTheme="minorHAnsi"/>
          <w:color w:val="auto"/>
          <w:szCs w:val="24"/>
        </w:rPr>
        <w:t xml:space="preserve">% </w:t>
      </w:r>
      <w:r w:rsidR="004201A5" w:rsidRPr="000F74D5">
        <w:rPr>
          <w:rFonts w:asciiTheme="minorHAnsi" w:hAnsiTheme="minorHAnsi"/>
          <w:color w:val="auto"/>
          <w:szCs w:val="24"/>
        </w:rPr>
        <w:t xml:space="preserve">with </w:t>
      </w:r>
      <w:r w:rsidR="00BF4137" w:rsidRPr="000F74D5">
        <w:rPr>
          <w:rFonts w:asciiTheme="minorHAnsi" w:hAnsiTheme="minorHAnsi"/>
          <w:color w:val="auto"/>
          <w:szCs w:val="24"/>
        </w:rPr>
        <w:t>placement</w:t>
      </w:r>
      <w:r w:rsidR="004201A5" w:rsidRPr="000F74D5">
        <w:rPr>
          <w:rFonts w:asciiTheme="minorHAnsi" w:hAnsiTheme="minorHAnsi"/>
          <w:color w:val="auto"/>
          <w:szCs w:val="24"/>
        </w:rPr>
        <w:t xml:space="preserve"> </w:t>
      </w:r>
      <w:r w:rsidR="00140C7A" w:rsidRPr="000F74D5">
        <w:rPr>
          <w:rFonts w:asciiTheme="minorHAnsi" w:hAnsiTheme="minorHAnsi"/>
          <w:color w:val="auto"/>
          <w:szCs w:val="24"/>
        </w:rPr>
        <w:t>on the Temporary Retired Disability List (TDRL)</w:t>
      </w:r>
      <w:r w:rsidR="004201A5" w:rsidRPr="000F74D5">
        <w:rPr>
          <w:rFonts w:asciiTheme="minorHAnsi" w:hAnsiTheme="minorHAnsi"/>
          <w:color w:val="auto"/>
          <w:szCs w:val="24"/>
        </w:rPr>
        <w:t>.</w:t>
      </w:r>
      <w:r w:rsidR="004201A5" w:rsidRPr="000F74D5">
        <w:rPr>
          <w:rFonts w:asciiTheme="minorHAnsi" w:hAnsiTheme="minorHAnsi"/>
          <w:color w:val="auto"/>
        </w:rPr>
        <w:t xml:space="preserve">  </w:t>
      </w:r>
      <w:r w:rsidR="00F42D30" w:rsidRPr="000F74D5">
        <w:rPr>
          <w:rFonts w:asciiTheme="minorHAnsi" w:hAnsiTheme="minorHAnsi"/>
          <w:color w:val="auto"/>
        </w:rPr>
        <w:t xml:space="preserve">The IPEB next considered the CI in </w:t>
      </w:r>
      <w:r w:rsidR="00BF4137" w:rsidRPr="000F74D5">
        <w:rPr>
          <w:rFonts w:asciiTheme="minorHAnsi" w:hAnsiTheme="minorHAnsi"/>
          <w:color w:val="auto"/>
        </w:rPr>
        <w:t xml:space="preserve">March </w:t>
      </w:r>
      <w:r w:rsidR="00F42D30" w:rsidRPr="000F74D5">
        <w:rPr>
          <w:rFonts w:asciiTheme="minorHAnsi" w:hAnsiTheme="minorHAnsi"/>
          <w:color w:val="auto"/>
        </w:rPr>
        <w:t>2003</w:t>
      </w:r>
      <w:r w:rsidR="00BF4137" w:rsidRPr="000F74D5">
        <w:rPr>
          <w:rFonts w:asciiTheme="minorHAnsi" w:hAnsiTheme="minorHAnsi"/>
          <w:color w:val="auto"/>
        </w:rPr>
        <w:t xml:space="preserve"> </w:t>
      </w:r>
      <w:r w:rsidR="00F42D30" w:rsidRPr="000F74D5">
        <w:rPr>
          <w:rFonts w:asciiTheme="minorHAnsi" w:hAnsiTheme="minorHAnsi"/>
          <w:color w:val="auto"/>
        </w:rPr>
        <w:t xml:space="preserve">for continuation of TDRL.  The LBP was </w:t>
      </w:r>
      <w:r w:rsidR="001344EB" w:rsidRPr="000F74D5">
        <w:rPr>
          <w:rFonts w:asciiTheme="minorHAnsi" w:hAnsiTheme="minorHAnsi"/>
          <w:color w:val="auto"/>
        </w:rPr>
        <w:t>det</w:t>
      </w:r>
      <w:r w:rsidR="00F42D30" w:rsidRPr="000F74D5">
        <w:rPr>
          <w:rFonts w:asciiTheme="minorHAnsi" w:hAnsiTheme="minorHAnsi"/>
          <w:color w:val="auto"/>
        </w:rPr>
        <w:t>er</w:t>
      </w:r>
      <w:r w:rsidR="001344EB" w:rsidRPr="000F74D5">
        <w:rPr>
          <w:rFonts w:asciiTheme="minorHAnsi" w:hAnsiTheme="minorHAnsi"/>
          <w:color w:val="auto"/>
        </w:rPr>
        <w:t>min</w:t>
      </w:r>
      <w:r w:rsidR="00F42D30" w:rsidRPr="000F74D5">
        <w:rPr>
          <w:rFonts w:asciiTheme="minorHAnsi" w:hAnsiTheme="minorHAnsi"/>
          <w:color w:val="auto"/>
        </w:rPr>
        <w:t>ed to be a</w:t>
      </w:r>
      <w:r w:rsidR="00BF4137" w:rsidRPr="000F74D5">
        <w:rPr>
          <w:rFonts w:asciiTheme="minorHAnsi" w:hAnsiTheme="minorHAnsi"/>
          <w:color w:val="auto"/>
        </w:rPr>
        <w:t>t</w:t>
      </w:r>
      <w:r w:rsidR="00F42D30" w:rsidRPr="000F74D5">
        <w:rPr>
          <w:rFonts w:asciiTheme="minorHAnsi" w:hAnsiTheme="minorHAnsi"/>
          <w:color w:val="auto"/>
        </w:rPr>
        <w:t xml:space="preserve"> maximum medical benefit and separation with 20% disability </w:t>
      </w:r>
      <w:r w:rsidR="00BF4137" w:rsidRPr="000F74D5">
        <w:rPr>
          <w:rFonts w:asciiTheme="minorHAnsi" w:hAnsiTheme="minorHAnsi"/>
          <w:color w:val="auto"/>
        </w:rPr>
        <w:t xml:space="preserve">was </w:t>
      </w:r>
      <w:r w:rsidR="00F42D30" w:rsidRPr="000F74D5">
        <w:rPr>
          <w:rFonts w:asciiTheme="minorHAnsi" w:hAnsiTheme="minorHAnsi"/>
          <w:color w:val="auto"/>
        </w:rPr>
        <w:t xml:space="preserve">recommended.  Right shoulder pain was added as a new Category II condition while the other Category II and III conditions from TDRL entry were </w:t>
      </w:r>
      <w:r w:rsidR="00BF4137" w:rsidRPr="000F74D5">
        <w:rPr>
          <w:rFonts w:asciiTheme="minorHAnsi" w:hAnsiTheme="minorHAnsi"/>
          <w:color w:val="auto"/>
        </w:rPr>
        <w:t>not considered</w:t>
      </w:r>
      <w:r w:rsidR="00F42D30" w:rsidRPr="000F74D5">
        <w:rPr>
          <w:rFonts w:asciiTheme="minorHAnsi" w:hAnsiTheme="minorHAnsi"/>
          <w:color w:val="auto"/>
        </w:rPr>
        <w:t xml:space="preserve">.  </w:t>
      </w:r>
      <w:r w:rsidR="004201A5" w:rsidRPr="000F74D5">
        <w:rPr>
          <w:rFonts w:asciiTheme="minorHAnsi" w:hAnsiTheme="minorHAnsi"/>
          <w:color w:val="auto"/>
        </w:rPr>
        <w:t>T</w:t>
      </w:r>
      <w:r w:rsidR="004201A5" w:rsidRPr="00F42D30">
        <w:rPr>
          <w:rFonts w:asciiTheme="minorHAnsi" w:hAnsiTheme="minorHAnsi"/>
          <w:color w:val="auto"/>
        </w:rPr>
        <w:t xml:space="preserve">he CI appealed to </w:t>
      </w:r>
      <w:r w:rsidR="00904844" w:rsidRPr="00F42D30">
        <w:rPr>
          <w:rFonts w:asciiTheme="minorHAnsi" w:hAnsiTheme="minorHAnsi"/>
          <w:color w:val="auto"/>
        </w:rPr>
        <w:t xml:space="preserve">the </w:t>
      </w:r>
      <w:r w:rsidR="00E4215E">
        <w:rPr>
          <w:rFonts w:asciiTheme="minorHAnsi" w:hAnsiTheme="minorHAnsi"/>
          <w:color w:val="auto"/>
        </w:rPr>
        <w:t>f</w:t>
      </w:r>
      <w:r w:rsidR="004201A5" w:rsidRPr="00F42D30">
        <w:rPr>
          <w:rFonts w:asciiTheme="minorHAnsi" w:hAnsiTheme="minorHAnsi"/>
          <w:color w:val="auto"/>
        </w:rPr>
        <w:t>ormal PEB</w:t>
      </w:r>
      <w:r w:rsidR="00B929CE" w:rsidRPr="00F42D30">
        <w:rPr>
          <w:rFonts w:asciiTheme="minorHAnsi" w:hAnsiTheme="minorHAnsi"/>
          <w:color w:val="auto"/>
        </w:rPr>
        <w:t xml:space="preserve"> </w:t>
      </w:r>
      <w:r w:rsidR="00BA7972">
        <w:rPr>
          <w:rFonts w:asciiTheme="minorHAnsi" w:hAnsiTheme="minorHAnsi"/>
          <w:color w:val="auto"/>
        </w:rPr>
        <w:t xml:space="preserve">(FPEB) </w:t>
      </w:r>
      <w:r w:rsidR="00B929CE" w:rsidRPr="00F42D30">
        <w:rPr>
          <w:rFonts w:asciiTheme="minorHAnsi" w:hAnsiTheme="minorHAnsi"/>
          <w:color w:val="auto"/>
        </w:rPr>
        <w:t>which upheld the IPEB</w:t>
      </w:r>
      <w:r w:rsidR="00F42D30">
        <w:rPr>
          <w:rFonts w:asciiTheme="minorHAnsi" w:hAnsiTheme="minorHAnsi"/>
          <w:color w:val="auto"/>
        </w:rPr>
        <w:t xml:space="preserve"> adjudication</w:t>
      </w:r>
      <w:r w:rsidR="00904844" w:rsidRPr="00F42D30">
        <w:rPr>
          <w:rFonts w:asciiTheme="minorHAnsi" w:hAnsiTheme="minorHAnsi"/>
          <w:color w:val="auto"/>
        </w:rPr>
        <w:t xml:space="preserve">.  </w:t>
      </w:r>
      <w:r w:rsidR="0055260A">
        <w:rPr>
          <w:rFonts w:asciiTheme="minorHAnsi" w:hAnsiTheme="minorHAnsi"/>
          <w:color w:val="auto"/>
        </w:rPr>
        <w:t>He did not concur with the FPEB, but no rebuttal was received and h</w:t>
      </w:r>
      <w:r w:rsidR="00B929CE" w:rsidRPr="00F42D30">
        <w:rPr>
          <w:rFonts w:asciiTheme="minorHAnsi" w:hAnsiTheme="minorHAnsi"/>
          <w:color w:val="auto"/>
        </w:rPr>
        <w:t xml:space="preserve">e </w:t>
      </w:r>
      <w:r w:rsidR="004201A5" w:rsidRPr="00F42D30">
        <w:rPr>
          <w:rFonts w:asciiTheme="minorHAnsi" w:hAnsiTheme="minorHAnsi"/>
          <w:color w:val="auto"/>
        </w:rPr>
        <w:t xml:space="preserve">was then </w:t>
      </w:r>
      <w:r w:rsidR="004201A5" w:rsidRPr="0055260A">
        <w:rPr>
          <w:rFonts w:asciiTheme="minorHAnsi" w:hAnsiTheme="minorHAnsi"/>
          <w:color w:val="auto"/>
        </w:rPr>
        <w:t xml:space="preserve">medically separated with a </w:t>
      </w:r>
      <w:r w:rsidR="00A63E0E" w:rsidRPr="0055260A">
        <w:rPr>
          <w:rFonts w:asciiTheme="minorHAnsi" w:hAnsiTheme="minorHAnsi"/>
          <w:color w:val="auto"/>
        </w:rPr>
        <w:t>20</w:t>
      </w:r>
      <w:r w:rsidR="004201A5" w:rsidRPr="0055260A">
        <w:rPr>
          <w:rFonts w:asciiTheme="minorHAnsi" w:hAnsiTheme="minorHAnsi"/>
          <w:color w:val="auto"/>
        </w:rPr>
        <w:t>% disability rating.</w:t>
      </w:r>
    </w:p>
    <w:p w:rsidR="00CF6A78" w:rsidRDefault="00CF6A78" w:rsidP="00CF6A78">
      <w:pPr>
        <w:pBdr>
          <w:bottom w:val="single" w:sz="12" w:space="1" w:color="auto"/>
        </w:pBdr>
        <w:tabs>
          <w:tab w:val="left" w:pos="288"/>
          <w:tab w:val="left" w:pos="4752"/>
        </w:tabs>
        <w:spacing w:line="240" w:lineRule="exact"/>
        <w:jc w:val="both"/>
        <w:rPr>
          <w:rFonts w:asciiTheme="minorHAnsi" w:hAnsiTheme="minorHAnsi"/>
          <w:color w:val="auto"/>
          <w:u w:val="single"/>
        </w:rPr>
      </w:pPr>
    </w:p>
    <w:p w:rsidR="00CF6A78" w:rsidRDefault="00CF6A78" w:rsidP="00CF6A78">
      <w:pPr>
        <w:tabs>
          <w:tab w:val="left" w:pos="288"/>
          <w:tab w:val="left" w:pos="4752"/>
        </w:tabs>
        <w:spacing w:line="240" w:lineRule="exact"/>
        <w:jc w:val="both"/>
        <w:rPr>
          <w:rFonts w:asciiTheme="minorHAnsi" w:hAnsiTheme="minorHAnsi"/>
          <w:color w:val="auto"/>
        </w:rPr>
      </w:pPr>
    </w:p>
    <w:p w:rsidR="00A4281D" w:rsidRPr="005C4D72" w:rsidRDefault="002C6E5B" w:rsidP="00D56B83">
      <w:pPr>
        <w:tabs>
          <w:tab w:val="left" w:pos="288"/>
          <w:tab w:val="left" w:pos="4752"/>
        </w:tabs>
        <w:spacing w:line="240" w:lineRule="exact"/>
        <w:jc w:val="both"/>
        <w:rPr>
          <w:rFonts w:eastAsiaTheme="minorHAnsi" w:cstheme="minorBidi"/>
          <w:color w:val="auto"/>
          <w:szCs w:val="24"/>
        </w:rPr>
      </w:pPr>
      <w:r w:rsidRPr="0055260A">
        <w:rPr>
          <w:rFonts w:asciiTheme="minorHAnsi" w:hAnsiTheme="minorHAnsi"/>
          <w:color w:val="auto"/>
          <w:u w:val="single"/>
        </w:rPr>
        <w:t>CI CONTENTION</w:t>
      </w:r>
      <w:r w:rsidRPr="0055260A">
        <w:rPr>
          <w:rFonts w:asciiTheme="minorHAnsi" w:hAnsiTheme="minorHAnsi"/>
          <w:color w:val="auto"/>
        </w:rPr>
        <w:t xml:space="preserve">: </w:t>
      </w:r>
      <w:r w:rsidR="00B16E1E" w:rsidRPr="0055260A">
        <w:rPr>
          <w:rFonts w:asciiTheme="minorHAnsi" w:hAnsiTheme="minorHAnsi"/>
          <w:color w:val="auto"/>
        </w:rPr>
        <w:t xml:space="preserve">  The CI did not state </w:t>
      </w:r>
      <w:r w:rsidR="00BF4137" w:rsidRPr="0055260A">
        <w:rPr>
          <w:rFonts w:asciiTheme="minorHAnsi" w:hAnsiTheme="minorHAnsi"/>
          <w:color w:val="auto"/>
        </w:rPr>
        <w:t xml:space="preserve">a </w:t>
      </w:r>
      <w:r w:rsidR="00B16E1E" w:rsidRPr="0055260A">
        <w:rPr>
          <w:rFonts w:asciiTheme="minorHAnsi" w:hAnsiTheme="minorHAnsi"/>
          <w:color w:val="auto"/>
        </w:rPr>
        <w:t xml:space="preserve">contention.  </w:t>
      </w:r>
      <w:r w:rsidRPr="0055260A">
        <w:rPr>
          <w:rFonts w:asciiTheme="minorHAnsi" w:hAnsiTheme="minorHAnsi"/>
          <w:color w:val="auto"/>
        </w:rPr>
        <w:t xml:space="preserve"> </w:t>
      </w:r>
      <w:r w:rsidR="00A4281D" w:rsidRPr="0055260A">
        <w:rPr>
          <w:rFonts w:asciiTheme="minorHAnsi" w:hAnsiTheme="minorHAnsi"/>
          <w:color w:val="auto"/>
        </w:rPr>
        <w:t xml:space="preserve">Block #14 of DD 294 </w:t>
      </w:r>
      <w:r w:rsidR="00904844" w:rsidRPr="0055260A">
        <w:rPr>
          <w:rFonts w:asciiTheme="minorHAnsi" w:hAnsiTheme="minorHAnsi"/>
          <w:color w:val="auto"/>
        </w:rPr>
        <w:t>list</w:t>
      </w:r>
      <w:r w:rsidR="00A4281D" w:rsidRPr="0055260A">
        <w:rPr>
          <w:rFonts w:asciiTheme="minorHAnsi" w:hAnsiTheme="minorHAnsi"/>
          <w:color w:val="auto"/>
        </w:rPr>
        <w:t>s:  Right Knee - 20%, Left</w:t>
      </w:r>
      <w:r w:rsidR="00A4281D" w:rsidRPr="00A4281D">
        <w:rPr>
          <w:rFonts w:asciiTheme="minorHAnsi" w:hAnsiTheme="minorHAnsi"/>
          <w:color w:val="auto"/>
        </w:rPr>
        <w:t xml:space="preserve"> Shoulder - 20%</w:t>
      </w:r>
      <w:r w:rsidR="00A4281D">
        <w:rPr>
          <w:rFonts w:asciiTheme="minorHAnsi" w:hAnsiTheme="minorHAnsi"/>
          <w:color w:val="auto"/>
        </w:rPr>
        <w:t xml:space="preserve">, </w:t>
      </w:r>
      <w:r w:rsidR="00A4281D" w:rsidRPr="00A4281D">
        <w:rPr>
          <w:rFonts w:asciiTheme="minorHAnsi" w:hAnsiTheme="minorHAnsi"/>
          <w:color w:val="auto"/>
        </w:rPr>
        <w:t>Right Wrist - 10%</w:t>
      </w:r>
      <w:r w:rsidR="00A4281D">
        <w:rPr>
          <w:rFonts w:asciiTheme="minorHAnsi" w:hAnsiTheme="minorHAnsi"/>
          <w:color w:val="auto"/>
        </w:rPr>
        <w:t xml:space="preserve">, </w:t>
      </w:r>
      <w:r w:rsidR="00A4281D" w:rsidRPr="00A4281D">
        <w:rPr>
          <w:rFonts w:asciiTheme="minorHAnsi" w:hAnsiTheme="minorHAnsi"/>
          <w:color w:val="auto"/>
        </w:rPr>
        <w:t>Left Wrist - 10%</w:t>
      </w:r>
      <w:r w:rsidR="00A4281D">
        <w:rPr>
          <w:rFonts w:asciiTheme="minorHAnsi" w:hAnsiTheme="minorHAnsi"/>
          <w:color w:val="auto"/>
        </w:rPr>
        <w:t xml:space="preserve">, </w:t>
      </w:r>
      <w:r w:rsidR="00A4281D" w:rsidRPr="00A4281D">
        <w:rPr>
          <w:rFonts w:asciiTheme="minorHAnsi" w:hAnsiTheme="minorHAnsi"/>
          <w:color w:val="auto"/>
        </w:rPr>
        <w:t>Coronary Artery Disease - 10% (chg to 30% 20030620)</w:t>
      </w:r>
      <w:r w:rsidR="00A4281D">
        <w:rPr>
          <w:rFonts w:asciiTheme="minorHAnsi" w:hAnsiTheme="minorHAnsi"/>
          <w:color w:val="auto"/>
        </w:rPr>
        <w:t xml:space="preserve">, </w:t>
      </w:r>
      <w:r w:rsidR="00A4281D" w:rsidRPr="00A4281D">
        <w:rPr>
          <w:rFonts w:asciiTheme="minorHAnsi" w:hAnsiTheme="minorHAnsi"/>
          <w:color w:val="auto"/>
        </w:rPr>
        <w:t>Bilateral Hearing - 0%</w:t>
      </w:r>
      <w:r w:rsidR="00A4281D">
        <w:rPr>
          <w:rFonts w:asciiTheme="minorHAnsi" w:hAnsiTheme="minorHAnsi"/>
          <w:color w:val="auto"/>
        </w:rPr>
        <w:t xml:space="preserve">, </w:t>
      </w:r>
      <w:r w:rsidR="00A4281D" w:rsidRPr="00A4281D">
        <w:rPr>
          <w:rFonts w:asciiTheme="minorHAnsi" w:hAnsiTheme="minorHAnsi"/>
          <w:color w:val="auto"/>
        </w:rPr>
        <w:t xml:space="preserve">Tinnitus </w:t>
      </w:r>
      <w:r w:rsidR="00A4281D">
        <w:rPr>
          <w:rFonts w:asciiTheme="minorHAnsi" w:hAnsiTheme="minorHAnsi"/>
          <w:color w:val="auto"/>
        </w:rPr>
        <w:t>–</w:t>
      </w:r>
      <w:r w:rsidR="00A4281D" w:rsidRPr="00A4281D">
        <w:rPr>
          <w:rFonts w:asciiTheme="minorHAnsi" w:hAnsiTheme="minorHAnsi"/>
          <w:color w:val="auto"/>
        </w:rPr>
        <w:t xml:space="preserve"> 10</w:t>
      </w:r>
      <w:r w:rsidR="00A4281D">
        <w:rPr>
          <w:rFonts w:asciiTheme="minorHAnsi" w:hAnsiTheme="minorHAnsi"/>
          <w:color w:val="auto"/>
        </w:rPr>
        <w:t xml:space="preserve">%.  </w:t>
      </w:r>
      <w:r w:rsidR="00B929CE">
        <w:rPr>
          <w:rFonts w:eastAsiaTheme="minorHAnsi" w:cstheme="minorBidi"/>
          <w:color w:val="auto"/>
          <w:szCs w:val="24"/>
        </w:rPr>
        <w:t xml:space="preserve">These are his VA conditions and ratings, </w:t>
      </w:r>
      <w:r w:rsidR="00DD52E6">
        <w:rPr>
          <w:rFonts w:eastAsiaTheme="minorHAnsi" w:cstheme="minorBidi"/>
          <w:color w:val="auto"/>
          <w:szCs w:val="24"/>
        </w:rPr>
        <w:t xml:space="preserve">listed </w:t>
      </w:r>
      <w:r w:rsidR="00A4281D" w:rsidRPr="005C4D72">
        <w:rPr>
          <w:rFonts w:eastAsiaTheme="minorHAnsi" w:cstheme="minorBidi"/>
          <w:color w:val="auto"/>
          <w:szCs w:val="24"/>
        </w:rPr>
        <w:t>as per the rating chart below.  A contention for their inclusion in th</w:t>
      </w:r>
      <w:r w:rsidR="00B929CE">
        <w:rPr>
          <w:rFonts w:eastAsiaTheme="minorHAnsi" w:cstheme="minorBidi"/>
          <w:color w:val="auto"/>
          <w:szCs w:val="24"/>
        </w:rPr>
        <w:t>e separation rating is</w:t>
      </w:r>
      <w:r w:rsidR="00A4281D" w:rsidRPr="005C4D72">
        <w:rPr>
          <w:rFonts w:eastAsiaTheme="minorHAnsi" w:cstheme="minorBidi"/>
          <w:color w:val="auto"/>
          <w:szCs w:val="24"/>
        </w:rPr>
        <w:t xml:space="preserve"> implied.</w:t>
      </w:r>
    </w:p>
    <w:p w:rsidR="00CF6A78" w:rsidRDefault="00CF6A78" w:rsidP="00CF6A78">
      <w:pPr>
        <w:pBdr>
          <w:bottom w:val="single" w:sz="12" w:space="1" w:color="auto"/>
        </w:pBdr>
        <w:tabs>
          <w:tab w:val="left" w:pos="288"/>
          <w:tab w:val="left" w:pos="4752"/>
        </w:tabs>
        <w:spacing w:line="240" w:lineRule="exact"/>
        <w:jc w:val="both"/>
        <w:rPr>
          <w:rFonts w:asciiTheme="minorHAnsi" w:hAnsiTheme="minorHAnsi"/>
          <w:color w:val="auto"/>
          <w:u w:val="single"/>
        </w:rPr>
      </w:pPr>
    </w:p>
    <w:p w:rsidR="00CF6A78" w:rsidRDefault="00CF6A78" w:rsidP="00CF6A78">
      <w:pPr>
        <w:tabs>
          <w:tab w:val="left" w:pos="288"/>
          <w:tab w:val="left" w:pos="4752"/>
        </w:tabs>
        <w:spacing w:line="240" w:lineRule="exact"/>
        <w:jc w:val="both"/>
        <w:rPr>
          <w:rFonts w:asciiTheme="minorHAnsi" w:hAnsiTheme="minorHAnsi"/>
          <w:color w:val="auto"/>
        </w:rPr>
      </w:pPr>
    </w:p>
    <w:p w:rsidR="00CA4F2F" w:rsidRDefault="00CA4F2F">
      <w:pPr>
        <w:rPr>
          <w:rFonts w:asciiTheme="minorHAnsi" w:hAnsiTheme="minorHAnsi"/>
          <w:color w:val="auto"/>
          <w:u w:val="single"/>
        </w:rPr>
      </w:pPr>
      <w:r>
        <w:rPr>
          <w:rFonts w:asciiTheme="minorHAnsi" w:hAnsiTheme="minorHAnsi"/>
          <w:color w:val="auto"/>
          <w:u w:val="single"/>
        </w:rPr>
        <w:br w:type="page"/>
      </w:r>
    </w:p>
    <w:p w:rsidR="002338CA" w:rsidRPr="00D56B83" w:rsidRDefault="007F0AB7" w:rsidP="00506688">
      <w:pPr>
        <w:rPr>
          <w:rFonts w:asciiTheme="minorHAnsi" w:hAnsiTheme="minorHAnsi"/>
          <w:color w:val="auto"/>
          <w:sz w:val="20"/>
        </w:rPr>
      </w:pPr>
      <w:r w:rsidRPr="0055260A">
        <w:rPr>
          <w:rFonts w:asciiTheme="minorHAnsi" w:hAnsiTheme="minorHAnsi"/>
          <w:color w:val="auto"/>
          <w:u w:val="single"/>
        </w:rPr>
        <w:lastRenderedPageBreak/>
        <w:t>R</w:t>
      </w:r>
      <w:r w:rsidR="002C6E5B" w:rsidRPr="0055260A">
        <w:rPr>
          <w:rFonts w:asciiTheme="minorHAnsi" w:hAnsiTheme="minorHAnsi"/>
          <w:color w:val="auto"/>
          <w:u w:val="single"/>
        </w:rPr>
        <w:t>ATING COMPARISON</w:t>
      </w:r>
      <w:r w:rsidR="002C6E5B" w:rsidRPr="0055260A">
        <w:rPr>
          <w:rFonts w:asciiTheme="minorHAnsi" w:hAnsiTheme="minorHAnsi"/>
          <w:color w:val="auto"/>
        </w:rPr>
        <w:t>:</w:t>
      </w:r>
    </w:p>
    <w:p w:rsidR="004201A5" w:rsidRPr="00CA4F2F" w:rsidRDefault="004201A5" w:rsidP="000452D7">
      <w:pPr>
        <w:tabs>
          <w:tab w:val="left" w:pos="288"/>
          <w:tab w:val="left" w:pos="4752"/>
        </w:tabs>
        <w:spacing w:line="240" w:lineRule="exact"/>
        <w:jc w:val="both"/>
        <w:rPr>
          <w:rFonts w:asciiTheme="minorHAnsi" w:hAnsiTheme="minorHAnsi"/>
          <w:b/>
          <w:color w:val="auto"/>
          <w:szCs w:val="24"/>
          <w:u w:val="single"/>
        </w:rPr>
      </w:pPr>
    </w:p>
    <w:tbl>
      <w:tblPr>
        <w:tblStyle w:val="TableGrid"/>
        <w:tblW w:w="9583" w:type="dxa"/>
        <w:jc w:val="center"/>
        <w:tblInd w:w="333" w:type="dxa"/>
        <w:tblLayout w:type="fixed"/>
        <w:tblLook w:val="04A0" w:firstRow="1" w:lastRow="0" w:firstColumn="1" w:lastColumn="0" w:noHBand="0" w:noVBand="1"/>
      </w:tblPr>
      <w:tblGrid>
        <w:gridCol w:w="1880"/>
        <w:gridCol w:w="1171"/>
        <w:gridCol w:w="720"/>
        <w:gridCol w:w="862"/>
        <w:gridCol w:w="1890"/>
        <w:gridCol w:w="1080"/>
        <w:gridCol w:w="879"/>
        <w:gridCol w:w="1101"/>
      </w:tblGrid>
      <w:tr w:rsidR="006D4250" w:rsidRPr="00BE5836" w:rsidTr="00E4215E">
        <w:trPr>
          <w:trHeight w:val="233"/>
          <w:jc w:val="center"/>
        </w:trPr>
        <w:tc>
          <w:tcPr>
            <w:tcW w:w="4633" w:type="dxa"/>
            <w:gridSpan w:val="4"/>
            <w:tcBorders>
              <w:right w:val="thinThickThinSmallGap" w:sz="24" w:space="0" w:color="auto"/>
            </w:tcBorders>
            <w:shd w:val="clear" w:color="auto" w:fill="D9D9D9" w:themeFill="background1" w:themeFillShade="D9"/>
            <w:vAlign w:val="center"/>
          </w:tcPr>
          <w:p w:rsidR="006D4250" w:rsidRPr="00CA4F2F" w:rsidRDefault="006D4250" w:rsidP="006C7792">
            <w:pPr>
              <w:spacing w:line="240" w:lineRule="exact"/>
              <w:contextualSpacing/>
              <w:jc w:val="center"/>
              <w:rPr>
                <w:b/>
                <w:color w:val="auto"/>
                <w:sz w:val="20"/>
                <w:szCs w:val="20"/>
              </w:rPr>
            </w:pPr>
            <w:r w:rsidRPr="00CA4F2F">
              <w:rPr>
                <w:b/>
                <w:color w:val="auto"/>
                <w:sz w:val="20"/>
                <w:szCs w:val="20"/>
              </w:rPr>
              <w:t xml:space="preserve">Service </w:t>
            </w:r>
            <w:r w:rsidR="0055260A" w:rsidRPr="00CA4F2F">
              <w:rPr>
                <w:b/>
                <w:color w:val="auto"/>
                <w:sz w:val="20"/>
                <w:szCs w:val="20"/>
              </w:rPr>
              <w:t>F</w:t>
            </w:r>
            <w:r w:rsidRPr="00CA4F2F">
              <w:rPr>
                <w:b/>
                <w:color w:val="auto"/>
                <w:sz w:val="20"/>
                <w:szCs w:val="20"/>
              </w:rPr>
              <w:t>PEB – Dated 200</w:t>
            </w:r>
            <w:r w:rsidR="0055260A" w:rsidRPr="00CA4F2F">
              <w:rPr>
                <w:b/>
                <w:color w:val="auto"/>
                <w:sz w:val="20"/>
                <w:szCs w:val="20"/>
              </w:rPr>
              <w:t>3</w:t>
            </w:r>
            <w:r w:rsidR="00F674A4" w:rsidRPr="00CA4F2F">
              <w:rPr>
                <w:b/>
                <w:color w:val="auto"/>
                <w:sz w:val="20"/>
                <w:szCs w:val="20"/>
              </w:rPr>
              <w:t>0</w:t>
            </w:r>
            <w:r w:rsidR="0055260A" w:rsidRPr="00CA4F2F">
              <w:rPr>
                <w:b/>
                <w:color w:val="auto"/>
                <w:sz w:val="20"/>
                <w:szCs w:val="20"/>
              </w:rPr>
              <w:t>513</w:t>
            </w:r>
          </w:p>
        </w:tc>
        <w:tc>
          <w:tcPr>
            <w:tcW w:w="4950" w:type="dxa"/>
            <w:gridSpan w:val="4"/>
            <w:tcBorders>
              <w:left w:val="thinThickThinSmallGap" w:sz="24" w:space="0" w:color="auto"/>
            </w:tcBorders>
            <w:shd w:val="clear" w:color="auto" w:fill="D9D9D9" w:themeFill="background1" w:themeFillShade="D9"/>
            <w:vAlign w:val="center"/>
          </w:tcPr>
          <w:p w:rsidR="006D4250" w:rsidRPr="00CA4F2F" w:rsidRDefault="009818AF" w:rsidP="006C7792">
            <w:pPr>
              <w:spacing w:line="240" w:lineRule="exact"/>
              <w:contextualSpacing/>
              <w:jc w:val="center"/>
              <w:rPr>
                <w:b/>
                <w:color w:val="auto"/>
                <w:sz w:val="20"/>
                <w:szCs w:val="20"/>
              </w:rPr>
            </w:pPr>
            <w:r w:rsidRPr="00CA4F2F">
              <w:rPr>
                <w:b/>
                <w:color w:val="auto"/>
                <w:sz w:val="20"/>
                <w:szCs w:val="20"/>
              </w:rPr>
              <w:t>VA (</w:t>
            </w:r>
            <w:r w:rsidR="009E48AF" w:rsidRPr="00CA4F2F">
              <w:rPr>
                <w:b/>
                <w:color w:val="auto"/>
                <w:sz w:val="20"/>
                <w:szCs w:val="20"/>
              </w:rPr>
              <w:t xml:space="preserve">14 </w:t>
            </w:r>
            <w:r w:rsidRPr="00CA4F2F">
              <w:rPr>
                <w:b/>
                <w:color w:val="auto"/>
                <w:sz w:val="20"/>
                <w:szCs w:val="20"/>
              </w:rPr>
              <w:t>Mo</w:t>
            </w:r>
            <w:r w:rsidR="009E48AF" w:rsidRPr="00CA4F2F">
              <w:rPr>
                <w:b/>
                <w:color w:val="auto"/>
                <w:sz w:val="20"/>
                <w:szCs w:val="20"/>
              </w:rPr>
              <w:t>s</w:t>
            </w:r>
            <w:r w:rsidRPr="00CA4F2F">
              <w:rPr>
                <w:b/>
                <w:color w:val="auto"/>
                <w:sz w:val="20"/>
                <w:szCs w:val="20"/>
              </w:rPr>
              <w:t>. Pr</w:t>
            </w:r>
            <w:r w:rsidR="007272F1" w:rsidRPr="00CA4F2F">
              <w:rPr>
                <w:b/>
                <w:color w:val="auto"/>
                <w:sz w:val="20"/>
                <w:szCs w:val="20"/>
              </w:rPr>
              <w:t>e</w:t>
            </w:r>
            <w:r w:rsidR="009E48AF" w:rsidRPr="00CA4F2F">
              <w:rPr>
                <w:b/>
                <w:color w:val="auto"/>
                <w:sz w:val="20"/>
                <w:szCs w:val="20"/>
              </w:rPr>
              <w:t>-</w:t>
            </w:r>
            <w:r w:rsidRPr="00CA4F2F">
              <w:rPr>
                <w:b/>
                <w:color w:val="auto"/>
                <w:sz w:val="20"/>
                <w:szCs w:val="20"/>
              </w:rPr>
              <w:t xml:space="preserve">Separation) – All Effective </w:t>
            </w:r>
            <w:r w:rsidR="0098773F" w:rsidRPr="00CA4F2F">
              <w:rPr>
                <w:b/>
                <w:color w:val="auto"/>
                <w:sz w:val="20"/>
                <w:szCs w:val="20"/>
              </w:rPr>
              <w:t>200</w:t>
            </w:r>
            <w:r w:rsidR="0055260A" w:rsidRPr="00CA4F2F">
              <w:rPr>
                <w:b/>
                <w:color w:val="auto"/>
                <w:sz w:val="20"/>
                <w:szCs w:val="20"/>
              </w:rPr>
              <w:t>11127</w:t>
            </w:r>
          </w:p>
        </w:tc>
      </w:tr>
      <w:tr w:rsidR="006D4250" w:rsidRPr="00BE5836" w:rsidTr="00E4215E">
        <w:trPr>
          <w:trHeight w:val="233"/>
          <w:jc w:val="center"/>
        </w:trPr>
        <w:tc>
          <w:tcPr>
            <w:tcW w:w="1880" w:type="dxa"/>
            <w:tcBorders>
              <w:bottom w:val="single" w:sz="4" w:space="0" w:color="000000" w:themeColor="text1"/>
            </w:tcBorders>
            <w:shd w:val="clear" w:color="auto" w:fill="D9D9D9" w:themeFill="background1" w:themeFillShade="D9"/>
            <w:vAlign w:val="center"/>
          </w:tcPr>
          <w:p w:rsidR="006D4250" w:rsidRPr="00CA4F2F" w:rsidRDefault="006D4250" w:rsidP="006C7792">
            <w:pPr>
              <w:spacing w:line="240" w:lineRule="exact"/>
              <w:contextualSpacing/>
              <w:jc w:val="center"/>
              <w:rPr>
                <w:b/>
                <w:color w:val="auto"/>
                <w:sz w:val="20"/>
                <w:szCs w:val="20"/>
              </w:rPr>
            </w:pPr>
            <w:r w:rsidRPr="00CA4F2F">
              <w:rPr>
                <w:b/>
                <w:color w:val="auto"/>
                <w:sz w:val="20"/>
                <w:szCs w:val="20"/>
              </w:rPr>
              <w:t>Condition</w:t>
            </w:r>
          </w:p>
        </w:tc>
        <w:tc>
          <w:tcPr>
            <w:tcW w:w="1171" w:type="dxa"/>
            <w:vMerge w:val="restart"/>
            <w:tcBorders>
              <w:bottom w:val="single" w:sz="4" w:space="0" w:color="000000" w:themeColor="text1"/>
            </w:tcBorders>
            <w:shd w:val="clear" w:color="auto" w:fill="D9D9D9" w:themeFill="background1" w:themeFillShade="D9"/>
            <w:vAlign w:val="center"/>
          </w:tcPr>
          <w:p w:rsidR="006D4250" w:rsidRPr="00CA4F2F" w:rsidRDefault="006D4250" w:rsidP="006C7792">
            <w:pPr>
              <w:spacing w:line="240" w:lineRule="exact"/>
              <w:contextualSpacing/>
              <w:jc w:val="center"/>
              <w:rPr>
                <w:b/>
                <w:color w:val="auto"/>
                <w:sz w:val="20"/>
                <w:szCs w:val="20"/>
              </w:rPr>
            </w:pPr>
            <w:r w:rsidRPr="00CA4F2F">
              <w:rPr>
                <w:b/>
                <w:color w:val="auto"/>
                <w:sz w:val="20"/>
                <w:szCs w:val="20"/>
              </w:rPr>
              <w:t>Code</w:t>
            </w:r>
          </w:p>
        </w:tc>
        <w:tc>
          <w:tcPr>
            <w:tcW w:w="1582"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6D4250" w:rsidRPr="00CA4F2F" w:rsidRDefault="006D4250" w:rsidP="006C7792">
            <w:pPr>
              <w:spacing w:line="240" w:lineRule="exact"/>
              <w:contextualSpacing/>
              <w:jc w:val="center"/>
              <w:rPr>
                <w:b/>
                <w:color w:val="auto"/>
                <w:sz w:val="20"/>
                <w:szCs w:val="20"/>
              </w:rPr>
            </w:pPr>
            <w:r w:rsidRPr="00CA4F2F">
              <w:rPr>
                <w:b/>
                <w:color w:val="auto"/>
                <w:sz w:val="20"/>
                <w:szCs w:val="20"/>
              </w:rPr>
              <w:t>Rating</w:t>
            </w:r>
          </w:p>
        </w:tc>
        <w:tc>
          <w:tcPr>
            <w:tcW w:w="1890" w:type="dxa"/>
            <w:tcBorders>
              <w:left w:val="thinThickThinSmallGap" w:sz="24" w:space="0" w:color="auto"/>
              <w:bottom w:val="single" w:sz="4" w:space="0" w:color="000000" w:themeColor="text1"/>
            </w:tcBorders>
            <w:shd w:val="clear" w:color="auto" w:fill="D9D9D9" w:themeFill="background1" w:themeFillShade="D9"/>
            <w:vAlign w:val="center"/>
          </w:tcPr>
          <w:p w:rsidR="006D4250" w:rsidRPr="00CA4F2F" w:rsidRDefault="006D4250" w:rsidP="006C7792">
            <w:pPr>
              <w:spacing w:line="240" w:lineRule="exact"/>
              <w:contextualSpacing/>
              <w:jc w:val="center"/>
              <w:rPr>
                <w:b/>
                <w:color w:val="auto"/>
                <w:sz w:val="20"/>
                <w:szCs w:val="20"/>
              </w:rPr>
            </w:pPr>
            <w:r w:rsidRPr="00CA4F2F">
              <w:rPr>
                <w:b/>
                <w:color w:val="auto"/>
                <w:sz w:val="20"/>
                <w:szCs w:val="20"/>
              </w:rPr>
              <w:t>Condition</w:t>
            </w:r>
          </w:p>
        </w:tc>
        <w:tc>
          <w:tcPr>
            <w:tcW w:w="1080" w:type="dxa"/>
            <w:vMerge w:val="restart"/>
            <w:shd w:val="clear" w:color="auto" w:fill="D9D9D9" w:themeFill="background1" w:themeFillShade="D9"/>
            <w:vAlign w:val="center"/>
          </w:tcPr>
          <w:p w:rsidR="006D4250" w:rsidRPr="00CA4F2F" w:rsidRDefault="006D4250" w:rsidP="006C7792">
            <w:pPr>
              <w:spacing w:line="240" w:lineRule="exact"/>
              <w:contextualSpacing/>
              <w:jc w:val="center"/>
              <w:rPr>
                <w:b/>
                <w:color w:val="auto"/>
                <w:sz w:val="20"/>
                <w:szCs w:val="20"/>
              </w:rPr>
            </w:pPr>
            <w:r w:rsidRPr="00CA4F2F">
              <w:rPr>
                <w:b/>
                <w:color w:val="auto"/>
                <w:sz w:val="20"/>
                <w:szCs w:val="20"/>
              </w:rPr>
              <w:t>Code</w:t>
            </w:r>
          </w:p>
        </w:tc>
        <w:tc>
          <w:tcPr>
            <w:tcW w:w="879" w:type="dxa"/>
            <w:vMerge w:val="restart"/>
            <w:shd w:val="clear" w:color="auto" w:fill="D9D9D9" w:themeFill="background1" w:themeFillShade="D9"/>
            <w:vAlign w:val="center"/>
          </w:tcPr>
          <w:p w:rsidR="006D4250" w:rsidRPr="00CA4F2F" w:rsidRDefault="006D4250" w:rsidP="006C7792">
            <w:pPr>
              <w:spacing w:line="240" w:lineRule="exact"/>
              <w:contextualSpacing/>
              <w:jc w:val="center"/>
              <w:rPr>
                <w:b/>
                <w:color w:val="auto"/>
                <w:sz w:val="20"/>
                <w:szCs w:val="20"/>
              </w:rPr>
            </w:pPr>
            <w:r w:rsidRPr="00CA4F2F">
              <w:rPr>
                <w:b/>
                <w:color w:val="auto"/>
                <w:sz w:val="20"/>
                <w:szCs w:val="20"/>
              </w:rPr>
              <w:t>Rating</w:t>
            </w:r>
          </w:p>
        </w:tc>
        <w:tc>
          <w:tcPr>
            <w:tcW w:w="1101" w:type="dxa"/>
            <w:vMerge w:val="restart"/>
            <w:shd w:val="clear" w:color="auto" w:fill="D9D9D9" w:themeFill="background1" w:themeFillShade="D9"/>
            <w:vAlign w:val="center"/>
          </w:tcPr>
          <w:p w:rsidR="006D4250" w:rsidRPr="00CA4F2F" w:rsidRDefault="006D4250" w:rsidP="006C7792">
            <w:pPr>
              <w:spacing w:line="240" w:lineRule="exact"/>
              <w:contextualSpacing/>
              <w:jc w:val="center"/>
              <w:rPr>
                <w:b/>
                <w:color w:val="auto"/>
                <w:sz w:val="20"/>
                <w:szCs w:val="20"/>
              </w:rPr>
            </w:pPr>
            <w:r w:rsidRPr="00CA4F2F">
              <w:rPr>
                <w:b/>
                <w:color w:val="auto"/>
                <w:sz w:val="20"/>
                <w:szCs w:val="20"/>
              </w:rPr>
              <w:t>Exam</w:t>
            </w:r>
          </w:p>
        </w:tc>
      </w:tr>
      <w:tr w:rsidR="006D4250" w:rsidRPr="00BE5836" w:rsidTr="00E4215E">
        <w:trPr>
          <w:trHeight w:val="152"/>
          <w:jc w:val="center"/>
        </w:trPr>
        <w:tc>
          <w:tcPr>
            <w:tcW w:w="1880" w:type="dxa"/>
            <w:shd w:val="clear" w:color="auto" w:fill="D9D9D9" w:themeFill="background1" w:themeFillShade="D9"/>
            <w:vAlign w:val="center"/>
          </w:tcPr>
          <w:p w:rsidR="006D4250" w:rsidRPr="00CA4F2F" w:rsidRDefault="006D4250" w:rsidP="006C7792">
            <w:pPr>
              <w:spacing w:line="240" w:lineRule="exact"/>
              <w:contextualSpacing/>
              <w:jc w:val="center"/>
              <w:rPr>
                <w:b/>
                <w:color w:val="auto"/>
                <w:sz w:val="20"/>
                <w:szCs w:val="20"/>
              </w:rPr>
            </w:pPr>
            <w:r w:rsidRPr="00CA4F2F">
              <w:rPr>
                <w:b/>
                <w:color w:val="auto"/>
                <w:sz w:val="20"/>
                <w:szCs w:val="20"/>
              </w:rPr>
              <w:t xml:space="preserve">On TDRL </w:t>
            </w:r>
            <w:r w:rsidR="006C7792">
              <w:rPr>
                <w:b/>
                <w:color w:val="auto"/>
                <w:sz w:val="20"/>
                <w:szCs w:val="20"/>
              </w:rPr>
              <w:t>–</w:t>
            </w:r>
            <w:r w:rsidRPr="00CA4F2F">
              <w:rPr>
                <w:b/>
                <w:color w:val="auto"/>
                <w:sz w:val="20"/>
                <w:szCs w:val="20"/>
              </w:rPr>
              <w:t xml:space="preserve"> 200</w:t>
            </w:r>
            <w:r w:rsidR="00F674A4" w:rsidRPr="00CA4F2F">
              <w:rPr>
                <w:b/>
                <w:color w:val="auto"/>
                <w:sz w:val="20"/>
                <w:szCs w:val="20"/>
              </w:rPr>
              <w:t>11127</w:t>
            </w:r>
          </w:p>
        </w:tc>
        <w:tc>
          <w:tcPr>
            <w:tcW w:w="1171" w:type="dxa"/>
            <w:vMerge/>
            <w:shd w:val="clear" w:color="auto" w:fill="D9D9D9" w:themeFill="background1" w:themeFillShade="D9"/>
            <w:vAlign w:val="center"/>
          </w:tcPr>
          <w:p w:rsidR="006D4250" w:rsidRPr="00CA4F2F" w:rsidRDefault="006D4250" w:rsidP="006C7792">
            <w:pPr>
              <w:spacing w:line="240" w:lineRule="exact"/>
              <w:contextualSpacing/>
              <w:jc w:val="center"/>
              <w:rPr>
                <w:color w:val="auto"/>
                <w:sz w:val="20"/>
                <w:szCs w:val="20"/>
              </w:rPr>
            </w:pPr>
          </w:p>
        </w:tc>
        <w:tc>
          <w:tcPr>
            <w:tcW w:w="720" w:type="dxa"/>
            <w:tcBorders>
              <w:right w:val="single" w:sz="4" w:space="0" w:color="auto"/>
            </w:tcBorders>
            <w:shd w:val="clear" w:color="auto" w:fill="D9D9D9" w:themeFill="background1" w:themeFillShade="D9"/>
            <w:vAlign w:val="center"/>
          </w:tcPr>
          <w:p w:rsidR="006D4250" w:rsidRPr="00CA4F2F" w:rsidRDefault="006D4250" w:rsidP="006C7792">
            <w:pPr>
              <w:spacing w:line="240" w:lineRule="exact"/>
              <w:contextualSpacing/>
              <w:jc w:val="center"/>
              <w:rPr>
                <w:b/>
                <w:color w:val="auto"/>
                <w:sz w:val="20"/>
                <w:szCs w:val="20"/>
              </w:rPr>
            </w:pPr>
            <w:r w:rsidRPr="00CA4F2F">
              <w:rPr>
                <w:b/>
                <w:color w:val="auto"/>
                <w:sz w:val="20"/>
                <w:szCs w:val="20"/>
              </w:rPr>
              <w:t>TDRL</w:t>
            </w:r>
          </w:p>
        </w:tc>
        <w:tc>
          <w:tcPr>
            <w:tcW w:w="862" w:type="dxa"/>
            <w:tcBorders>
              <w:left w:val="single" w:sz="4" w:space="0" w:color="auto"/>
              <w:right w:val="thinThickThinSmallGap" w:sz="24" w:space="0" w:color="auto"/>
            </w:tcBorders>
            <w:shd w:val="clear" w:color="auto" w:fill="D9D9D9" w:themeFill="background1" w:themeFillShade="D9"/>
            <w:vAlign w:val="center"/>
          </w:tcPr>
          <w:p w:rsidR="006D4250" w:rsidRPr="00CA4F2F" w:rsidRDefault="006D4250" w:rsidP="006C7792">
            <w:pPr>
              <w:spacing w:line="240" w:lineRule="exact"/>
              <w:contextualSpacing/>
              <w:jc w:val="center"/>
              <w:rPr>
                <w:b/>
                <w:color w:val="auto"/>
                <w:sz w:val="20"/>
                <w:szCs w:val="20"/>
              </w:rPr>
            </w:pPr>
            <w:r w:rsidRPr="00CA4F2F">
              <w:rPr>
                <w:b/>
                <w:color w:val="auto"/>
                <w:sz w:val="20"/>
                <w:szCs w:val="20"/>
              </w:rPr>
              <w:t>Sep.</w:t>
            </w:r>
          </w:p>
        </w:tc>
        <w:tc>
          <w:tcPr>
            <w:tcW w:w="1890" w:type="dxa"/>
            <w:tcBorders>
              <w:left w:val="thinThickThinSmallGap" w:sz="24" w:space="0" w:color="auto"/>
            </w:tcBorders>
            <w:shd w:val="clear" w:color="auto" w:fill="D9D9D9" w:themeFill="background1" w:themeFillShade="D9"/>
            <w:vAlign w:val="center"/>
          </w:tcPr>
          <w:p w:rsidR="006D4250" w:rsidRPr="00CA4F2F" w:rsidRDefault="0055260A" w:rsidP="006C7792">
            <w:pPr>
              <w:spacing w:line="240" w:lineRule="exact"/>
              <w:contextualSpacing/>
              <w:jc w:val="center"/>
              <w:rPr>
                <w:b/>
                <w:color w:val="auto"/>
                <w:sz w:val="20"/>
                <w:szCs w:val="20"/>
              </w:rPr>
            </w:pPr>
            <w:r w:rsidRPr="00CA4F2F">
              <w:rPr>
                <w:b/>
                <w:color w:val="auto"/>
                <w:sz w:val="20"/>
                <w:szCs w:val="20"/>
              </w:rPr>
              <w:t>80%</w:t>
            </w:r>
            <w:r w:rsidR="006D4250" w:rsidRPr="00CA4F2F">
              <w:rPr>
                <w:b/>
                <w:color w:val="auto"/>
                <w:sz w:val="20"/>
                <w:szCs w:val="20"/>
              </w:rPr>
              <w:t xml:space="preserve"> VA Rating at time of TDRL.</w:t>
            </w:r>
          </w:p>
        </w:tc>
        <w:tc>
          <w:tcPr>
            <w:tcW w:w="1080" w:type="dxa"/>
            <w:vMerge/>
            <w:shd w:val="clear" w:color="auto" w:fill="C6D9F1" w:themeFill="text2" w:themeFillTint="33"/>
            <w:vAlign w:val="center"/>
          </w:tcPr>
          <w:p w:rsidR="006D4250" w:rsidRPr="00CA4F2F" w:rsidRDefault="006D4250" w:rsidP="006C7792">
            <w:pPr>
              <w:spacing w:line="240" w:lineRule="exact"/>
              <w:contextualSpacing/>
              <w:jc w:val="center"/>
              <w:rPr>
                <w:color w:val="auto"/>
                <w:sz w:val="20"/>
                <w:szCs w:val="20"/>
              </w:rPr>
            </w:pPr>
          </w:p>
        </w:tc>
        <w:tc>
          <w:tcPr>
            <w:tcW w:w="879" w:type="dxa"/>
            <w:vMerge/>
            <w:shd w:val="clear" w:color="auto" w:fill="C6D9F1" w:themeFill="text2" w:themeFillTint="33"/>
            <w:vAlign w:val="center"/>
          </w:tcPr>
          <w:p w:rsidR="006D4250" w:rsidRPr="00CA4F2F" w:rsidRDefault="006D4250" w:rsidP="006C7792">
            <w:pPr>
              <w:spacing w:line="240" w:lineRule="exact"/>
              <w:contextualSpacing/>
              <w:jc w:val="center"/>
              <w:rPr>
                <w:color w:val="auto"/>
                <w:sz w:val="20"/>
                <w:szCs w:val="20"/>
              </w:rPr>
            </w:pPr>
          </w:p>
        </w:tc>
        <w:tc>
          <w:tcPr>
            <w:tcW w:w="1101" w:type="dxa"/>
            <w:vMerge/>
            <w:shd w:val="clear" w:color="auto" w:fill="C6D9F1" w:themeFill="text2" w:themeFillTint="33"/>
            <w:vAlign w:val="center"/>
          </w:tcPr>
          <w:p w:rsidR="006D4250" w:rsidRPr="00CA4F2F" w:rsidRDefault="006D4250" w:rsidP="006C7792">
            <w:pPr>
              <w:spacing w:line="240" w:lineRule="exact"/>
              <w:contextualSpacing/>
              <w:jc w:val="center"/>
              <w:rPr>
                <w:color w:val="auto"/>
                <w:sz w:val="20"/>
                <w:szCs w:val="20"/>
              </w:rPr>
            </w:pPr>
          </w:p>
        </w:tc>
      </w:tr>
      <w:tr w:rsidR="006D4250" w:rsidRPr="00BE5836" w:rsidTr="00E4215E">
        <w:trPr>
          <w:trHeight w:val="125"/>
          <w:jc w:val="center"/>
        </w:trPr>
        <w:tc>
          <w:tcPr>
            <w:tcW w:w="1880" w:type="dxa"/>
            <w:tcBorders>
              <w:right w:val="single" w:sz="4" w:space="0" w:color="auto"/>
            </w:tcBorders>
            <w:shd w:val="clear" w:color="auto" w:fill="FFFFFF" w:themeFill="background1"/>
            <w:vAlign w:val="center"/>
          </w:tcPr>
          <w:p w:rsidR="006D4250" w:rsidRPr="00CA4F2F" w:rsidRDefault="00F674A4" w:rsidP="006C7792">
            <w:pPr>
              <w:spacing w:line="240" w:lineRule="exact"/>
              <w:contextualSpacing/>
              <w:rPr>
                <w:color w:val="auto"/>
                <w:sz w:val="20"/>
                <w:szCs w:val="20"/>
              </w:rPr>
            </w:pPr>
            <w:r w:rsidRPr="00CA4F2F">
              <w:rPr>
                <w:color w:val="auto"/>
                <w:sz w:val="20"/>
                <w:szCs w:val="20"/>
              </w:rPr>
              <w:t xml:space="preserve">LBP, </w:t>
            </w:r>
            <w:r w:rsidR="00B929CE" w:rsidRPr="00CA4F2F">
              <w:rPr>
                <w:color w:val="auto"/>
                <w:sz w:val="20"/>
                <w:szCs w:val="20"/>
              </w:rPr>
              <w:t xml:space="preserve">s/p </w:t>
            </w:r>
            <w:r w:rsidRPr="00CA4F2F">
              <w:rPr>
                <w:color w:val="auto"/>
                <w:sz w:val="20"/>
                <w:szCs w:val="20"/>
              </w:rPr>
              <w:t>Fusion x2</w:t>
            </w:r>
          </w:p>
        </w:tc>
        <w:tc>
          <w:tcPr>
            <w:tcW w:w="1171" w:type="dxa"/>
            <w:tcBorders>
              <w:left w:val="single" w:sz="4" w:space="0" w:color="auto"/>
              <w:bottom w:val="single" w:sz="4" w:space="0" w:color="auto"/>
            </w:tcBorders>
            <w:shd w:val="clear" w:color="auto" w:fill="FFFFFF" w:themeFill="background1"/>
            <w:vAlign w:val="center"/>
          </w:tcPr>
          <w:p w:rsidR="006D4250" w:rsidRPr="00CA4F2F" w:rsidRDefault="00F674A4" w:rsidP="006C7792">
            <w:pPr>
              <w:spacing w:line="240" w:lineRule="exact"/>
              <w:contextualSpacing/>
              <w:jc w:val="center"/>
              <w:rPr>
                <w:color w:val="auto"/>
                <w:sz w:val="20"/>
                <w:szCs w:val="20"/>
              </w:rPr>
            </w:pPr>
            <w:r w:rsidRPr="00CA4F2F">
              <w:rPr>
                <w:color w:val="auto"/>
                <w:sz w:val="20"/>
                <w:szCs w:val="20"/>
              </w:rPr>
              <w:t>5295</w:t>
            </w:r>
          </w:p>
        </w:tc>
        <w:tc>
          <w:tcPr>
            <w:tcW w:w="720" w:type="dxa"/>
            <w:tcBorders>
              <w:bottom w:val="single" w:sz="4" w:space="0" w:color="auto"/>
              <w:right w:val="single" w:sz="4" w:space="0" w:color="auto"/>
            </w:tcBorders>
            <w:shd w:val="clear" w:color="auto" w:fill="FFFFFF" w:themeFill="background1"/>
            <w:vAlign w:val="center"/>
          </w:tcPr>
          <w:p w:rsidR="006D4250" w:rsidRPr="00CA4F2F" w:rsidRDefault="00F674A4" w:rsidP="006C7792">
            <w:pPr>
              <w:spacing w:line="240" w:lineRule="exact"/>
              <w:contextualSpacing/>
              <w:jc w:val="center"/>
              <w:rPr>
                <w:color w:val="auto"/>
                <w:sz w:val="20"/>
                <w:szCs w:val="20"/>
              </w:rPr>
            </w:pPr>
            <w:r w:rsidRPr="00CA4F2F">
              <w:rPr>
                <w:color w:val="auto"/>
                <w:sz w:val="20"/>
                <w:szCs w:val="20"/>
              </w:rPr>
              <w:t>4</w:t>
            </w:r>
            <w:r w:rsidR="006D4250" w:rsidRPr="00CA4F2F">
              <w:rPr>
                <w:color w:val="auto"/>
                <w:sz w:val="20"/>
                <w:szCs w:val="20"/>
              </w:rPr>
              <w:t>0%</w:t>
            </w:r>
          </w:p>
        </w:tc>
        <w:tc>
          <w:tcPr>
            <w:tcW w:w="862" w:type="dxa"/>
            <w:tcBorders>
              <w:left w:val="single" w:sz="4" w:space="0" w:color="auto"/>
              <w:bottom w:val="single" w:sz="4" w:space="0" w:color="auto"/>
              <w:right w:val="thinThickThinSmallGap" w:sz="24" w:space="0" w:color="auto"/>
            </w:tcBorders>
            <w:shd w:val="clear" w:color="auto" w:fill="FFFFFF" w:themeFill="background1"/>
            <w:vAlign w:val="center"/>
          </w:tcPr>
          <w:p w:rsidR="006D4250" w:rsidRPr="00CA4F2F" w:rsidRDefault="008C06E8" w:rsidP="006C7792">
            <w:pPr>
              <w:spacing w:line="240" w:lineRule="exact"/>
              <w:contextualSpacing/>
              <w:jc w:val="center"/>
              <w:rPr>
                <w:color w:val="auto"/>
                <w:sz w:val="20"/>
                <w:szCs w:val="20"/>
              </w:rPr>
            </w:pPr>
            <w:r w:rsidRPr="00CA4F2F">
              <w:rPr>
                <w:color w:val="auto"/>
                <w:sz w:val="20"/>
                <w:szCs w:val="20"/>
              </w:rPr>
              <w:t>20</w:t>
            </w:r>
            <w:r w:rsidR="006D4250" w:rsidRPr="00CA4F2F">
              <w:rPr>
                <w:color w:val="auto"/>
                <w:sz w:val="20"/>
                <w:szCs w:val="20"/>
              </w:rPr>
              <w:t>%</w:t>
            </w:r>
          </w:p>
        </w:tc>
        <w:tc>
          <w:tcPr>
            <w:tcW w:w="1890" w:type="dxa"/>
            <w:tcBorders>
              <w:left w:val="thinThickThinSmallGap" w:sz="24" w:space="0" w:color="auto"/>
            </w:tcBorders>
            <w:shd w:val="clear" w:color="auto" w:fill="FFFFFF" w:themeFill="background1"/>
            <w:vAlign w:val="center"/>
          </w:tcPr>
          <w:p w:rsidR="006D4250" w:rsidRPr="00CA4F2F" w:rsidRDefault="00B929CE" w:rsidP="003859B2">
            <w:pPr>
              <w:spacing w:line="240" w:lineRule="exact"/>
              <w:contextualSpacing/>
              <w:rPr>
                <w:color w:val="auto"/>
                <w:sz w:val="20"/>
                <w:szCs w:val="20"/>
              </w:rPr>
            </w:pPr>
            <w:r w:rsidRPr="00CA4F2F">
              <w:rPr>
                <w:color w:val="auto"/>
                <w:sz w:val="20"/>
                <w:szCs w:val="20"/>
              </w:rPr>
              <w:t>LS</w:t>
            </w:r>
            <w:r w:rsidR="00A47FD7" w:rsidRPr="00CA4F2F">
              <w:rPr>
                <w:color w:val="auto"/>
                <w:sz w:val="20"/>
                <w:szCs w:val="20"/>
              </w:rPr>
              <w:t xml:space="preserve"> </w:t>
            </w:r>
            <w:r w:rsidR="0098773F" w:rsidRPr="00CA4F2F">
              <w:rPr>
                <w:color w:val="auto"/>
                <w:sz w:val="20"/>
                <w:szCs w:val="20"/>
              </w:rPr>
              <w:t xml:space="preserve">Spine </w:t>
            </w:r>
            <w:r w:rsidR="0090456E" w:rsidRPr="00CA4F2F">
              <w:rPr>
                <w:color w:val="auto"/>
                <w:sz w:val="20"/>
                <w:szCs w:val="20"/>
              </w:rPr>
              <w:t>-</w:t>
            </w:r>
            <w:r w:rsidR="0098773F" w:rsidRPr="00CA4F2F">
              <w:rPr>
                <w:color w:val="auto"/>
                <w:sz w:val="20"/>
                <w:szCs w:val="20"/>
              </w:rPr>
              <w:t xml:space="preserve"> S/P Fusion</w:t>
            </w:r>
          </w:p>
        </w:tc>
        <w:tc>
          <w:tcPr>
            <w:tcW w:w="1080" w:type="dxa"/>
            <w:shd w:val="clear" w:color="auto" w:fill="FFFFFF" w:themeFill="background1"/>
            <w:vAlign w:val="center"/>
          </w:tcPr>
          <w:p w:rsidR="006D4250" w:rsidRPr="00CA4F2F" w:rsidRDefault="0098773F" w:rsidP="006C7792">
            <w:pPr>
              <w:spacing w:line="240" w:lineRule="exact"/>
              <w:contextualSpacing/>
              <w:jc w:val="center"/>
              <w:rPr>
                <w:color w:val="auto"/>
                <w:sz w:val="20"/>
                <w:szCs w:val="20"/>
              </w:rPr>
            </w:pPr>
            <w:r w:rsidRPr="00CA4F2F">
              <w:rPr>
                <w:color w:val="auto"/>
                <w:sz w:val="20"/>
                <w:szCs w:val="20"/>
              </w:rPr>
              <w:t>5292</w:t>
            </w:r>
          </w:p>
        </w:tc>
        <w:tc>
          <w:tcPr>
            <w:tcW w:w="879" w:type="dxa"/>
            <w:shd w:val="clear" w:color="auto" w:fill="FFFFFF" w:themeFill="background1"/>
            <w:vAlign w:val="center"/>
          </w:tcPr>
          <w:p w:rsidR="006D4250" w:rsidRPr="00276419" w:rsidRDefault="0098773F" w:rsidP="006C7792">
            <w:pPr>
              <w:spacing w:line="240" w:lineRule="exact"/>
              <w:contextualSpacing/>
              <w:jc w:val="center"/>
              <w:rPr>
                <w:color w:val="auto"/>
                <w:sz w:val="20"/>
                <w:szCs w:val="20"/>
              </w:rPr>
            </w:pPr>
            <w:r w:rsidRPr="00276419">
              <w:rPr>
                <w:color w:val="auto"/>
                <w:sz w:val="20"/>
                <w:szCs w:val="20"/>
              </w:rPr>
              <w:t>40%</w:t>
            </w:r>
          </w:p>
        </w:tc>
        <w:tc>
          <w:tcPr>
            <w:tcW w:w="1101" w:type="dxa"/>
            <w:shd w:val="clear" w:color="auto" w:fill="FFFFFF" w:themeFill="background1"/>
            <w:vAlign w:val="center"/>
          </w:tcPr>
          <w:p w:rsidR="006D4250" w:rsidRPr="00CA4F2F" w:rsidRDefault="009E48AF" w:rsidP="006C7792">
            <w:pPr>
              <w:spacing w:line="240" w:lineRule="exact"/>
              <w:contextualSpacing/>
              <w:jc w:val="center"/>
              <w:rPr>
                <w:color w:val="auto"/>
                <w:sz w:val="20"/>
                <w:szCs w:val="20"/>
              </w:rPr>
            </w:pPr>
            <w:r w:rsidRPr="00CA4F2F">
              <w:rPr>
                <w:color w:val="auto"/>
                <w:sz w:val="20"/>
                <w:szCs w:val="20"/>
              </w:rPr>
              <w:t>20020430</w:t>
            </w:r>
          </w:p>
        </w:tc>
      </w:tr>
      <w:tr w:rsidR="00BF4137" w:rsidRPr="00BE5836" w:rsidTr="00E4215E">
        <w:trPr>
          <w:trHeight w:val="125"/>
          <w:jc w:val="center"/>
        </w:trPr>
        <w:tc>
          <w:tcPr>
            <w:tcW w:w="1880" w:type="dxa"/>
            <w:vMerge w:val="restart"/>
            <w:tcBorders>
              <w:right w:val="single" w:sz="4" w:space="0" w:color="auto"/>
            </w:tcBorders>
            <w:shd w:val="clear" w:color="auto" w:fill="FFFFFF" w:themeFill="background1"/>
            <w:vAlign w:val="center"/>
          </w:tcPr>
          <w:p w:rsidR="00BF4137" w:rsidRPr="00CA4F2F" w:rsidRDefault="00BF4137" w:rsidP="006C7792">
            <w:pPr>
              <w:spacing w:line="240" w:lineRule="exact"/>
              <w:contextualSpacing/>
              <w:rPr>
                <w:color w:val="auto"/>
                <w:sz w:val="20"/>
                <w:szCs w:val="20"/>
              </w:rPr>
            </w:pPr>
            <w:r w:rsidRPr="00CA4F2F">
              <w:rPr>
                <w:color w:val="auto"/>
                <w:sz w:val="20"/>
                <w:szCs w:val="20"/>
              </w:rPr>
              <w:t>Bilateral CTS</w:t>
            </w:r>
          </w:p>
        </w:tc>
        <w:tc>
          <w:tcPr>
            <w:tcW w:w="1171" w:type="dxa"/>
            <w:vMerge w:val="restart"/>
            <w:tcBorders>
              <w:left w:val="single" w:sz="4" w:space="0" w:color="auto"/>
              <w:right w:val="single" w:sz="4" w:space="0" w:color="auto"/>
            </w:tcBorders>
            <w:shd w:val="clear" w:color="auto" w:fill="FFFFFF" w:themeFill="background1"/>
            <w:vAlign w:val="center"/>
          </w:tcPr>
          <w:p w:rsidR="00BF4137" w:rsidRPr="00CA4F2F" w:rsidRDefault="00BF4137" w:rsidP="006C7792">
            <w:pPr>
              <w:spacing w:line="240" w:lineRule="exact"/>
              <w:contextualSpacing/>
              <w:jc w:val="center"/>
              <w:rPr>
                <w:color w:val="auto"/>
                <w:sz w:val="20"/>
                <w:szCs w:val="20"/>
              </w:rPr>
            </w:pPr>
            <w:r w:rsidRPr="00CA4F2F">
              <w:rPr>
                <w:color w:val="auto"/>
                <w:sz w:val="20"/>
                <w:szCs w:val="20"/>
              </w:rPr>
              <w:t>8715</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137" w:rsidRPr="00D5765D" w:rsidRDefault="00BF4137" w:rsidP="006C7792">
            <w:pPr>
              <w:spacing w:line="240" w:lineRule="exact"/>
              <w:contextualSpacing/>
              <w:jc w:val="center"/>
              <w:rPr>
                <w:color w:val="auto"/>
                <w:sz w:val="20"/>
              </w:rPr>
            </w:pPr>
            <w:r w:rsidRPr="00D5765D">
              <w:rPr>
                <w:color w:val="auto"/>
                <w:sz w:val="20"/>
                <w:szCs w:val="20"/>
              </w:rPr>
              <w:t>Cat II</w:t>
            </w:r>
          </w:p>
        </w:tc>
        <w:tc>
          <w:tcPr>
            <w:tcW w:w="862" w:type="dxa"/>
            <w:vMerge w:val="restart"/>
            <w:tcBorders>
              <w:left w:val="single" w:sz="4" w:space="0" w:color="auto"/>
              <w:right w:val="thinThickThinSmallGap" w:sz="24" w:space="0" w:color="auto"/>
            </w:tcBorders>
            <w:shd w:val="clear" w:color="auto" w:fill="auto"/>
            <w:vAlign w:val="center"/>
          </w:tcPr>
          <w:p w:rsidR="00BF4137" w:rsidRPr="00D5765D" w:rsidRDefault="00BF4137" w:rsidP="006C7792">
            <w:pPr>
              <w:spacing w:line="240" w:lineRule="exact"/>
              <w:contextualSpacing/>
              <w:jc w:val="center"/>
              <w:rPr>
                <w:color w:val="auto"/>
                <w:sz w:val="20"/>
                <w:szCs w:val="20"/>
              </w:rPr>
            </w:pPr>
            <w:r w:rsidRPr="00D5765D">
              <w:rPr>
                <w:color w:val="auto"/>
                <w:sz w:val="20"/>
                <w:szCs w:val="20"/>
              </w:rPr>
              <w:t>-</w:t>
            </w:r>
          </w:p>
        </w:tc>
        <w:tc>
          <w:tcPr>
            <w:tcW w:w="1890" w:type="dxa"/>
            <w:tcBorders>
              <w:left w:val="thinThickThinSmallGap" w:sz="24" w:space="0" w:color="auto"/>
            </w:tcBorders>
            <w:shd w:val="clear" w:color="auto" w:fill="FFFFFF" w:themeFill="background1"/>
            <w:vAlign w:val="center"/>
          </w:tcPr>
          <w:p w:rsidR="00BF4137" w:rsidRPr="00CA4F2F" w:rsidRDefault="00BF4137" w:rsidP="003859B2">
            <w:pPr>
              <w:spacing w:line="240" w:lineRule="exact"/>
              <w:contextualSpacing/>
              <w:rPr>
                <w:color w:val="auto"/>
                <w:sz w:val="20"/>
                <w:szCs w:val="20"/>
              </w:rPr>
            </w:pPr>
            <w:r w:rsidRPr="00CA4F2F">
              <w:rPr>
                <w:color w:val="auto"/>
                <w:sz w:val="20"/>
                <w:szCs w:val="20"/>
              </w:rPr>
              <w:t>CTS</w:t>
            </w:r>
            <w:r w:rsidR="009C0E5A">
              <w:rPr>
                <w:color w:val="auto"/>
                <w:sz w:val="20"/>
                <w:szCs w:val="20"/>
              </w:rPr>
              <w:t>, Left Wrist</w:t>
            </w:r>
          </w:p>
        </w:tc>
        <w:tc>
          <w:tcPr>
            <w:tcW w:w="1080" w:type="dxa"/>
            <w:shd w:val="clear" w:color="auto" w:fill="FFFFFF" w:themeFill="background1"/>
            <w:vAlign w:val="center"/>
          </w:tcPr>
          <w:p w:rsidR="00BF4137" w:rsidRPr="00CA4F2F" w:rsidRDefault="00BF4137" w:rsidP="006C7792">
            <w:pPr>
              <w:spacing w:line="240" w:lineRule="exact"/>
              <w:contextualSpacing/>
              <w:jc w:val="center"/>
              <w:rPr>
                <w:color w:val="auto"/>
                <w:sz w:val="20"/>
                <w:szCs w:val="20"/>
              </w:rPr>
            </w:pPr>
            <w:r w:rsidRPr="00CA4F2F">
              <w:rPr>
                <w:color w:val="auto"/>
                <w:sz w:val="20"/>
                <w:szCs w:val="20"/>
              </w:rPr>
              <w:t>8515</w:t>
            </w:r>
          </w:p>
        </w:tc>
        <w:tc>
          <w:tcPr>
            <w:tcW w:w="879" w:type="dxa"/>
            <w:shd w:val="clear" w:color="auto" w:fill="FFFFFF" w:themeFill="background1"/>
            <w:vAlign w:val="center"/>
          </w:tcPr>
          <w:p w:rsidR="00BF4137" w:rsidRPr="00276419" w:rsidRDefault="00BF4137" w:rsidP="006C7792">
            <w:pPr>
              <w:spacing w:line="240" w:lineRule="exact"/>
              <w:contextualSpacing/>
              <w:jc w:val="center"/>
              <w:rPr>
                <w:color w:val="auto"/>
                <w:sz w:val="20"/>
                <w:szCs w:val="20"/>
              </w:rPr>
            </w:pPr>
            <w:r w:rsidRPr="00276419">
              <w:rPr>
                <w:color w:val="auto"/>
                <w:sz w:val="20"/>
                <w:szCs w:val="20"/>
              </w:rPr>
              <w:t>10%</w:t>
            </w:r>
          </w:p>
        </w:tc>
        <w:tc>
          <w:tcPr>
            <w:tcW w:w="1101" w:type="dxa"/>
            <w:shd w:val="clear" w:color="auto" w:fill="FFFFFF" w:themeFill="background1"/>
            <w:vAlign w:val="center"/>
          </w:tcPr>
          <w:p w:rsidR="00BF4137" w:rsidRPr="00CA4F2F" w:rsidRDefault="00BF4137" w:rsidP="006C7792">
            <w:pPr>
              <w:spacing w:line="240" w:lineRule="exact"/>
              <w:contextualSpacing/>
              <w:jc w:val="center"/>
              <w:rPr>
                <w:color w:val="auto"/>
                <w:sz w:val="20"/>
                <w:szCs w:val="20"/>
              </w:rPr>
            </w:pPr>
            <w:r w:rsidRPr="00CA4F2F">
              <w:rPr>
                <w:color w:val="auto"/>
                <w:sz w:val="20"/>
                <w:szCs w:val="20"/>
              </w:rPr>
              <w:t>20020430</w:t>
            </w:r>
          </w:p>
        </w:tc>
      </w:tr>
      <w:tr w:rsidR="00BF4137" w:rsidRPr="00BE5836" w:rsidTr="00E4215E">
        <w:trPr>
          <w:trHeight w:val="240"/>
          <w:jc w:val="center"/>
        </w:trPr>
        <w:tc>
          <w:tcPr>
            <w:tcW w:w="1880" w:type="dxa"/>
            <w:vMerge/>
            <w:tcBorders>
              <w:right w:val="single" w:sz="4" w:space="0" w:color="auto"/>
            </w:tcBorders>
            <w:shd w:val="clear" w:color="auto" w:fill="FFFFFF" w:themeFill="background1"/>
            <w:vAlign w:val="center"/>
          </w:tcPr>
          <w:p w:rsidR="00BF4137" w:rsidRPr="00CA4F2F" w:rsidRDefault="00BF4137" w:rsidP="006C7792">
            <w:pPr>
              <w:spacing w:line="240" w:lineRule="exact"/>
              <w:contextualSpacing/>
              <w:rPr>
                <w:color w:val="auto"/>
                <w:sz w:val="20"/>
              </w:rPr>
            </w:pPr>
          </w:p>
        </w:tc>
        <w:tc>
          <w:tcPr>
            <w:tcW w:w="1171" w:type="dxa"/>
            <w:vMerge/>
            <w:tcBorders>
              <w:left w:val="single" w:sz="4" w:space="0" w:color="auto"/>
              <w:right w:val="single" w:sz="4" w:space="0" w:color="auto"/>
            </w:tcBorders>
            <w:shd w:val="clear" w:color="auto" w:fill="FFFFFF" w:themeFill="background1"/>
            <w:vAlign w:val="center"/>
          </w:tcPr>
          <w:p w:rsidR="00BF4137" w:rsidRPr="00CA4F2F" w:rsidRDefault="00BF4137" w:rsidP="006C7792">
            <w:pPr>
              <w:spacing w:line="240" w:lineRule="exact"/>
              <w:contextualSpacing/>
              <w:jc w:val="center"/>
              <w:rPr>
                <w:color w:val="auto"/>
                <w:sz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137" w:rsidRPr="00D5765D" w:rsidRDefault="00BF4137" w:rsidP="006C7792">
            <w:pPr>
              <w:spacing w:line="240" w:lineRule="exact"/>
              <w:contextualSpacing/>
              <w:jc w:val="center"/>
              <w:rPr>
                <w:color w:val="auto"/>
                <w:sz w:val="20"/>
              </w:rPr>
            </w:pPr>
          </w:p>
        </w:tc>
        <w:tc>
          <w:tcPr>
            <w:tcW w:w="862" w:type="dxa"/>
            <w:vMerge/>
            <w:tcBorders>
              <w:left w:val="single" w:sz="4" w:space="0" w:color="auto"/>
              <w:right w:val="thinThickThinSmallGap" w:sz="24" w:space="0" w:color="auto"/>
            </w:tcBorders>
            <w:shd w:val="clear" w:color="auto" w:fill="auto"/>
            <w:vAlign w:val="center"/>
          </w:tcPr>
          <w:p w:rsidR="00BF4137" w:rsidRPr="00D5765D" w:rsidRDefault="00BF4137" w:rsidP="006C7792">
            <w:pPr>
              <w:spacing w:line="240" w:lineRule="exact"/>
              <w:contextualSpacing/>
              <w:jc w:val="center"/>
              <w:rPr>
                <w:color w:val="auto"/>
                <w:sz w:val="20"/>
              </w:rPr>
            </w:pPr>
          </w:p>
        </w:tc>
        <w:tc>
          <w:tcPr>
            <w:tcW w:w="1890" w:type="dxa"/>
            <w:vMerge w:val="restart"/>
            <w:tcBorders>
              <w:left w:val="thinThickThinSmallGap" w:sz="24" w:space="0" w:color="auto"/>
            </w:tcBorders>
            <w:shd w:val="clear" w:color="auto" w:fill="FFFFFF" w:themeFill="background1"/>
            <w:vAlign w:val="center"/>
          </w:tcPr>
          <w:p w:rsidR="00BF4137" w:rsidRPr="00CA4F2F" w:rsidRDefault="00BF4137" w:rsidP="003859B2">
            <w:pPr>
              <w:spacing w:line="240" w:lineRule="exact"/>
              <w:contextualSpacing/>
              <w:rPr>
                <w:color w:val="auto"/>
                <w:sz w:val="20"/>
              </w:rPr>
            </w:pPr>
            <w:r w:rsidRPr="00CA4F2F">
              <w:rPr>
                <w:color w:val="auto"/>
                <w:sz w:val="20"/>
              </w:rPr>
              <w:t>CTS s/p CTR</w:t>
            </w:r>
            <w:r w:rsidR="009C0E5A">
              <w:rPr>
                <w:color w:val="auto"/>
                <w:sz w:val="20"/>
              </w:rPr>
              <w:t>, R Wrist</w:t>
            </w:r>
          </w:p>
        </w:tc>
        <w:tc>
          <w:tcPr>
            <w:tcW w:w="1080" w:type="dxa"/>
            <w:vMerge w:val="restart"/>
            <w:shd w:val="clear" w:color="auto" w:fill="FFFFFF" w:themeFill="background1"/>
            <w:vAlign w:val="center"/>
          </w:tcPr>
          <w:p w:rsidR="00BF4137" w:rsidRPr="00CA4F2F" w:rsidRDefault="00BF4137" w:rsidP="006C7792">
            <w:pPr>
              <w:spacing w:line="240" w:lineRule="exact"/>
              <w:contextualSpacing/>
              <w:jc w:val="center"/>
              <w:rPr>
                <w:color w:val="auto"/>
                <w:sz w:val="20"/>
              </w:rPr>
            </w:pPr>
            <w:r w:rsidRPr="00CA4F2F">
              <w:rPr>
                <w:color w:val="auto"/>
                <w:sz w:val="20"/>
              </w:rPr>
              <w:t>8515</w:t>
            </w:r>
          </w:p>
        </w:tc>
        <w:tc>
          <w:tcPr>
            <w:tcW w:w="879" w:type="dxa"/>
            <w:vMerge w:val="restart"/>
            <w:shd w:val="clear" w:color="auto" w:fill="FFFFFF" w:themeFill="background1"/>
            <w:vAlign w:val="center"/>
          </w:tcPr>
          <w:p w:rsidR="00BF4137" w:rsidRPr="00276419" w:rsidRDefault="00BF4137" w:rsidP="006C7792">
            <w:pPr>
              <w:spacing w:line="240" w:lineRule="exact"/>
              <w:contextualSpacing/>
              <w:jc w:val="center"/>
              <w:rPr>
                <w:color w:val="auto"/>
                <w:sz w:val="20"/>
              </w:rPr>
            </w:pPr>
            <w:r w:rsidRPr="00276419">
              <w:rPr>
                <w:color w:val="auto"/>
                <w:sz w:val="20"/>
              </w:rPr>
              <w:t>10%</w:t>
            </w:r>
          </w:p>
        </w:tc>
        <w:tc>
          <w:tcPr>
            <w:tcW w:w="1101" w:type="dxa"/>
            <w:vMerge w:val="restart"/>
            <w:shd w:val="clear" w:color="auto" w:fill="FFFFFF" w:themeFill="background1"/>
            <w:vAlign w:val="center"/>
          </w:tcPr>
          <w:p w:rsidR="00BF4137" w:rsidRPr="00CA4F2F" w:rsidRDefault="00BF4137" w:rsidP="006C7792">
            <w:pPr>
              <w:spacing w:line="240" w:lineRule="exact"/>
              <w:contextualSpacing/>
              <w:jc w:val="center"/>
              <w:rPr>
                <w:color w:val="auto"/>
                <w:sz w:val="20"/>
              </w:rPr>
            </w:pPr>
            <w:r w:rsidRPr="00CA4F2F">
              <w:rPr>
                <w:color w:val="auto"/>
                <w:sz w:val="20"/>
                <w:szCs w:val="20"/>
              </w:rPr>
              <w:t>20020430</w:t>
            </w:r>
          </w:p>
        </w:tc>
      </w:tr>
      <w:tr w:rsidR="00BF4137" w:rsidRPr="00BE5836" w:rsidTr="00E4215E">
        <w:trPr>
          <w:trHeight w:val="58"/>
          <w:jc w:val="center"/>
        </w:trPr>
        <w:tc>
          <w:tcPr>
            <w:tcW w:w="1880" w:type="dxa"/>
            <w:tcBorders>
              <w:right w:val="single" w:sz="4" w:space="0" w:color="auto"/>
            </w:tcBorders>
            <w:shd w:val="clear" w:color="auto" w:fill="FFFFFF" w:themeFill="background1"/>
            <w:vAlign w:val="center"/>
          </w:tcPr>
          <w:p w:rsidR="00BF4137" w:rsidRPr="00CA4F2F" w:rsidRDefault="006C7792" w:rsidP="006C7792">
            <w:pPr>
              <w:spacing w:line="240" w:lineRule="exact"/>
              <w:contextualSpacing/>
              <w:rPr>
                <w:color w:val="auto"/>
                <w:sz w:val="20"/>
              </w:rPr>
            </w:pPr>
            <w:r>
              <w:rPr>
                <w:color w:val="auto"/>
                <w:sz w:val="20"/>
              </w:rPr>
              <w:t>R Scaphoid N</w:t>
            </w:r>
            <w:r w:rsidR="00BF4137" w:rsidRPr="00CA4F2F">
              <w:rPr>
                <w:color w:val="auto"/>
                <w:sz w:val="20"/>
              </w:rPr>
              <w:t>ecrosis</w:t>
            </w:r>
          </w:p>
        </w:tc>
        <w:tc>
          <w:tcPr>
            <w:tcW w:w="1171" w:type="dxa"/>
            <w:tcBorders>
              <w:left w:val="single" w:sz="4" w:space="0" w:color="auto"/>
              <w:right w:val="single" w:sz="4" w:space="0" w:color="auto"/>
            </w:tcBorders>
            <w:shd w:val="clear" w:color="auto" w:fill="FFFFFF" w:themeFill="background1"/>
            <w:vAlign w:val="center"/>
          </w:tcPr>
          <w:p w:rsidR="00BF4137" w:rsidRPr="00CA4F2F" w:rsidRDefault="00BF4137" w:rsidP="006C7792">
            <w:pPr>
              <w:spacing w:line="240" w:lineRule="exact"/>
              <w:contextualSpacing/>
              <w:jc w:val="center"/>
              <w:rPr>
                <w:color w:val="auto"/>
                <w:sz w:val="20"/>
              </w:rPr>
            </w:pPr>
            <w:r w:rsidRPr="00CA4F2F">
              <w:rPr>
                <w:color w:val="auto"/>
                <w:sz w:val="20"/>
              </w:rPr>
              <w:t>5215-5299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F4137" w:rsidRPr="00D5765D" w:rsidRDefault="00BF4137" w:rsidP="006C7792">
            <w:pPr>
              <w:spacing w:line="240" w:lineRule="exact"/>
              <w:contextualSpacing/>
              <w:jc w:val="center"/>
              <w:rPr>
                <w:color w:val="auto"/>
                <w:sz w:val="20"/>
              </w:rPr>
            </w:pPr>
            <w:r w:rsidRPr="00D5765D">
              <w:rPr>
                <w:color w:val="auto"/>
                <w:sz w:val="20"/>
                <w:szCs w:val="20"/>
              </w:rPr>
              <w:t>Cat II</w:t>
            </w:r>
          </w:p>
        </w:tc>
        <w:tc>
          <w:tcPr>
            <w:tcW w:w="862" w:type="dxa"/>
            <w:tcBorders>
              <w:left w:val="single" w:sz="4" w:space="0" w:color="auto"/>
              <w:right w:val="thinThickThinSmallGap" w:sz="24" w:space="0" w:color="auto"/>
            </w:tcBorders>
            <w:shd w:val="clear" w:color="auto" w:fill="auto"/>
            <w:vAlign w:val="center"/>
          </w:tcPr>
          <w:p w:rsidR="00BF4137" w:rsidRPr="00D5765D" w:rsidRDefault="00BF4137" w:rsidP="006C7792">
            <w:pPr>
              <w:spacing w:line="240" w:lineRule="exact"/>
              <w:contextualSpacing/>
              <w:jc w:val="center"/>
              <w:rPr>
                <w:color w:val="auto"/>
                <w:sz w:val="20"/>
              </w:rPr>
            </w:pPr>
            <w:r w:rsidRPr="00D5765D">
              <w:rPr>
                <w:color w:val="auto"/>
                <w:sz w:val="20"/>
              </w:rPr>
              <w:t>-</w:t>
            </w:r>
          </w:p>
        </w:tc>
        <w:tc>
          <w:tcPr>
            <w:tcW w:w="1890" w:type="dxa"/>
            <w:vMerge/>
            <w:tcBorders>
              <w:left w:val="thinThickThinSmallGap" w:sz="24" w:space="0" w:color="auto"/>
            </w:tcBorders>
            <w:shd w:val="clear" w:color="auto" w:fill="FFFFFF" w:themeFill="background1"/>
            <w:vAlign w:val="center"/>
          </w:tcPr>
          <w:p w:rsidR="00BF4137" w:rsidRPr="00CA4F2F" w:rsidRDefault="00BF4137" w:rsidP="003859B2">
            <w:pPr>
              <w:spacing w:line="240" w:lineRule="exact"/>
              <w:contextualSpacing/>
              <w:rPr>
                <w:color w:val="auto"/>
                <w:sz w:val="20"/>
              </w:rPr>
            </w:pPr>
          </w:p>
        </w:tc>
        <w:tc>
          <w:tcPr>
            <w:tcW w:w="1080" w:type="dxa"/>
            <w:vMerge/>
            <w:shd w:val="clear" w:color="auto" w:fill="FFFFFF" w:themeFill="background1"/>
            <w:vAlign w:val="center"/>
          </w:tcPr>
          <w:p w:rsidR="00BF4137" w:rsidRPr="00CA4F2F" w:rsidRDefault="00BF4137" w:rsidP="006C7792">
            <w:pPr>
              <w:spacing w:line="240" w:lineRule="exact"/>
              <w:contextualSpacing/>
              <w:jc w:val="center"/>
              <w:rPr>
                <w:color w:val="auto"/>
                <w:sz w:val="20"/>
              </w:rPr>
            </w:pPr>
          </w:p>
        </w:tc>
        <w:tc>
          <w:tcPr>
            <w:tcW w:w="879" w:type="dxa"/>
            <w:vMerge/>
            <w:shd w:val="clear" w:color="auto" w:fill="FFFFFF" w:themeFill="background1"/>
            <w:vAlign w:val="center"/>
          </w:tcPr>
          <w:p w:rsidR="00BF4137" w:rsidRPr="00276419" w:rsidRDefault="00BF4137" w:rsidP="006C7792">
            <w:pPr>
              <w:spacing w:line="240" w:lineRule="exact"/>
              <w:contextualSpacing/>
              <w:jc w:val="center"/>
              <w:rPr>
                <w:color w:val="auto"/>
                <w:sz w:val="20"/>
              </w:rPr>
            </w:pPr>
          </w:p>
        </w:tc>
        <w:tc>
          <w:tcPr>
            <w:tcW w:w="1101" w:type="dxa"/>
            <w:vMerge/>
            <w:shd w:val="clear" w:color="auto" w:fill="FFFFFF" w:themeFill="background1"/>
            <w:vAlign w:val="center"/>
          </w:tcPr>
          <w:p w:rsidR="00BF4137" w:rsidRPr="00CA4F2F" w:rsidRDefault="00BF4137" w:rsidP="006C7792">
            <w:pPr>
              <w:spacing w:line="240" w:lineRule="exact"/>
              <w:contextualSpacing/>
              <w:jc w:val="center"/>
              <w:rPr>
                <w:color w:val="auto"/>
                <w:sz w:val="20"/>
              </w:rPr>
            </w:pPr>
          </w:p>
        </w:tc>
      </w:tr>
      <w:tr w:rsidR="00E4215E" w:rsidRPr="00BE5836" w:rsidTr="00E4215E">
        <w:trPr>
          <w:trHeight w:val="188"/>
          <w:jc w:val="center"/>
        </w:trPr>
        <w:tc>
          <w:tcPr>
            <w:tcW w:w="1880" w:type="dxa"/>
            <w:tcBorders>
              <w:right w:val="single" w:sz="4" w:space="0" w:color="auto"/>
            </w:tcBorders>
            <w:shd w:val="clear" w:color="auto" w:fill="FFFFFF" w:themeFill="background1"/>
            <w:vAlign w:val="center"/>
          </w:tcPr>
          <w:p w:rsidR="00E4215E" w:rsidRPr="00CA4F2F" w:rsidRDefault="00E4215E" w:rsidP="006C7792">
            <w:pPr>
              <w:spacing w:line="240" w:lineRule="exact"/>
              <w:contextualSpacing/>
              <w:rPr>
                <w:color w:val="auto"/>
                <w:sz w:val="20"/>
              </w:rPr>
            </w:pPr>
            <w:r w:rsidRPr="00CA4F2F">
              <w:rPr>
                <w:color w:val="auto"/>
                <w:sz w:val="20"/>
              </w:rPr>
              <w:t>Hypertension</w:t>
            </w:r>
          </w:p>
        </w:tc>
        <w:tc>
          <w:tcPr>
            <w:tcW w:w="1171" w:type="dxa"/>
            <w:tcBorders>
              <w:left w:val="single" w:sz="4" w:space="0" w:color="auto"/>
              <w:right w:val="single" w:sz="4" w:space="0" w:color="auto"/>
            </w:tcBorders>
            <w:shd w:val="clear" w:color="auto" w:fill="FFFFFF" w:themeFill="background1"/>
            <w:vAlign w:val="center"/>
          </w:tcPr>
          <w:p w:rsidR="00E4215E" w:rsidRPr="00CA4F2F" w:rsidRDefault="00E4215E" w:rsidP="006C7792">
            <w:pPr>
              <w:spacing w:line="240" w:lineRule="exact"/>
              <w:contextualSpacing/>
              <w:jc w:val="center"/>
              <w:rPr>
                <w:color w:val="auto"/>
                <w:sz w:val="20"/>
              </w:rPr>
            </w:pPr>
            <w:r w:rsidRPr="00CA4F2F">
              <w:rPr>
                <w:color w:val="auto"/>
                <w:sz w:val="20"/>
              </w:rPr>
              <w:t>7101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215E" w:rsidRPr="00D5765D" w:rsidRDefault="00E4215E" w:rsidP="006C7792">
            <w:pPr>
              <w:spacing w:line="240" w:lineRule="exact"/>
              <w:contextualSpacing/>
              <w:jc w:val="center"/>
              <w:rPr>
                <w:color w:val="auto"/>
                <w:sz w:val="20"/>
              </w:rPr>
            </w:pPr>
            <w:r w:rsidRPr="00D5765D">
              <w:rPr>
                <w:color w:val="auto"/>
                <w:sz w:val="20"/>
                <w:szCs w:val="20"/>
              </w:rPr>
              <w:t>Cat II</w:t>
            </w:r>
          </w:p>
        </w:tc>
        <w:tc>
          <w:tcPr>
            <w:tcW w:w="862" w:type="dxa"/>
            <w:tcBorders>
              <w:left w:val="single" w:sz="4" w:space="0" w:color="auto"/>
              <w:right w:val="thinThickThinSmallGap" w:sz="24" w:space="0" w:color="auto"/>
            </w:tcBorders>
            <w:shd w:val="clear" w:color="auto" w:fill="auto"/>
            <w:vAlign w:val="center"/>
          </w:tcPr>
          <w:p w:rsidR="00E4215E" w:rsidRPr="00D5765D" w:rsidRDefault="00E4215E" w:rsidP="006C7792">
            <w:pPr>
              <w:spacing w:line="240" w:lineRule="exact"/>
              <w:contextualSpacing/>
              <w:jc w:val="center"/>
              <w:rPr>
                <w:color w:val="auto"/>
                <w:sz w:val="20"/>
              </w:rPr>
            </w:pPr>
            <w:r w:rsidRPr="00D5765D">
              <w:rPr>
                <w:color w:val="auto"/>
                <w:sz w:val="20"/>
              </w:rPr>
              <w:t>-</w:t>
            </w:r>
          </w:p>
        </w:tc>
        <w:tc>
          <w:tcPr>
            <w:tcW w:w="4950" w:type="dxa"/>
            <w:gridSpan w:val="4"/>
            <w:tcBorders>
              <w:left w:val="thinThickThinSmallGap" w:sz="24" w:space="0" w:color="auto"/>
            </w:tcBorders>
            <w:shd w:val="clear" w:color="auto" w:fill="FFFFFF" w:themeFill="background1"/>
            <w:vAlign w:val="center"/>
          </w:tcPr>
          <w:p w:rsidR="00E4215E" w:rsidRPr="00CA4F2F" w:rsidRDefault="00E4215E" w:rsidP="00E4215E">
            <w:pPr>
              <w:spacing w:line="240" w:lineRule="exact"/>
              <w:contextualSpacing/>
              <w:rPr>
                <w:color w:val="auto"/>
                <w:sz w:val="20"/>
              </w:rPr>
            </w:pPr>
            <w:r w:rsidRPr="00276419">
              <w:rPr>
                <w:color w:val="auto"/>
                <w:sz w:val="20"/>
                <w:szCs w:val="20"/>
              </w:rPr>
              <w:t>No VA entry</w:t>
            </w:r>
          </w:p>
        </w:tc>
      </w:tr>
      <w:tr w:rsidR="00E4215E" w:rsidRPr="00BE5836" w:rsidTr="00E4215E">
        <w:trPr>
          <w:trHeight w:val="188"/>
          <w:jc w:val="center"/>
        </w:trPr>
        <w:tc>
          <w:tcPr>
            <w:tcW w:w="1880" w:type="dxa"/>
            <w:tcBorders>
              <w:right w:val="single" w:sz="4" w:space="0" w:color="auto"/>
            </w:tcBorders>
            <w:shd w:val="clear" w:color="auto" w:fill="FFFFFF" w:themeFill="background1"/>
            <w:vAlign w:val="center"/>
          </w:tcPr>
          <w:p w:rsidR="00E4215E" w:rsidRPr="00CA4F2F" w:rsidRDefault="00E4215E" w:rsidP="006C7792">
            <w:pPr>
              <w:spacing w:line="240" w:lineRule="exact"/>
              <w:contextualSpacing/>
              <w:rPr>
                <w:color w:val="auto"/>
                <w:sz w:val="20"/>
              </w:rPr>
            </w:pPr>
            <w:r w:rsidRPr="00CA4F2F">
              <w:rPr>
                <w:color w:val="auto"/>
                <w:sz w:val="20"/>
              </w:rPr>
              <w:t>R Shoulder Pain</w:t>
            </w:r>
          </w:p>
        </w:tc>
        <w:tc>
          <w:tcPr>
            <w:tcW w:w="1171" w:type="dxa"/>
            <w:tcBorders>
              <w:left w:val="single" w:sz="4" w:space="0" w:color="auto"/>
              <w:right w:val="single" w:sz="4" w:space="0" w:color="auto"/>
            </w:tcBorders>
            <w:shd w:val="clear" w:color="auto" w:fill="FFFFFF" w:themeFill="background1"/>
            <w:vAlign w:val="center"/>
          </w:tcPr>
          <w:p w:rsidR="00E4215E" w:rsidRPr="00CA4F2F" w:rsidRDefault="00E4215E" w:rsidP="006C7792">
            <w:pPr>
              <w:spacing w:line="240" w:lineRule="exact"/>
              <w:contextualSpacing/>
              <w:jc w:val="center"/>
              <w:rPr>
                <w:color w:val="auto"/>
                <w:sz w:val="20"/>
              </w:rPr>
            </w:pPr>
            <w:r w:rsidRPr="00CA4F2F">
              <w:rPr>
                <w:color w:val="auto"/>
                <w:sz w:val="20"/>
              </w:rPr>
              <w:t>5305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4215E" w:rsidRPr="00D5765D" w:rsidRDefault="00E4215E" w:rsidP="006C7792">
            <w:pPr>
              <w:spacing w:line="240" w:lineRule="exact"/>
              <w:contextualSpacing/>
              <w:jc w:val="center"/>
              <w:rPr>
                <w:color w:val="auto"/>
                <w:sz w:val="20"/>
              </w:rPr>
            </w:pPr>
            <w:r w:rsidRPr="00D5765D">
              <w:rPr>
                <w:color w:val="auto"/>
                <w:sz w:val="20"/>
              </w:rPr>
              <w:t>-</w:t>
            </w:r>
          </w:p>
        </w:tc>
        <w:tc>
          <w:tcPr>
            <w:tcW w:w="862" w:type="dxa"/>
            <w:tcBorders>
              <w:left w:val="single" w:sz="4" w:space="0" w:color="auto"/>
              <w:right w:val="thinThickThinSmallGap" w:sz="24" w:space="0" w:color="auto"/>
            </w:tcBorders>
            <w:shd w:val="clear" w:color="auto" w:fill="auto"/>
            <w:vAlign w:val="center"/>
          </w:tcPr>
          <w:p w:rsidR="00E4215E" w:rsidRPr="00D5765D" w:rsidRDefault="00E4215E" w:rsidP="006C7792">
            <w:pPr>
              <w:spacing w:line="240" w:lineRule="exact"/>
              <w:contextualSpacing/>
              <w:jc w:val="center"/>
              <w:rPr>
                <w:color w:val="auto"/>
                <w:sz w:val="20"/>
              </w:rPr>
            </w:pPr>
            <w:r w:rsidRPr="00D5765D">
              <w:rPr>
                <w:color w:val="auto"/>
                <w:sz w:val="20"/>
                <w:szCs w:val="20"/>
              </w:rPr>
              <w:t>Cat II</w:t>
            </w:r>
          </w:p>
        </w:tc>
        <w:tc>
          <w:tcPr>
            <w:tcW w:w="4950" w:type="dxa"/>
            <w:gridSpan w:val="4"/>
            <w:tcBorders>
              <w:left w:val="thinThickThinSmallGap" w:sz="24" w:space="0" w:color="auto"/>
            </w:tcBorders>
            <w:shd w:val="clear" w:color="auto" w:fill="FFFFFF" w:themeFill="background1"/>
            <w:vAlign w:val="center"/>
          </w:tcPr>
          <w:p w:rsidR="00E4215E" w:rsidRPr="00CA4F2F" w:rsidRDefault="00E4215E" w:rsidP="00E4215E">
            <w:pPr>
              <w:spacing w:line="240" w:lineRule="exact"/>
              <w:contextualSpacing/>
              <w:rPr>
                <w:color w:val="auto"/>
                <w:sz w:val="20"/>
              </w:rPr>
            </w:pPr>
            <w:r w:rsidRPr="00276419">
              <w:rPr>
                <w:color w:val="auto"/>
                <w:sz w:val="20"/>
              </w:rPr>
              <w:t>No VA entry</w:t>
            </w:r>
          </w:p>
        </w:tc>
      </w:tr>
      <w:tr w:rsidR="00BF4137" w:rsidRPr="00BE5836" w:rsidTr="00E4215E">
        <w:trPr>
          <w:trHeight w:val="188"/>
          <w:jc w:val="center"/>
        </w:trPr>
        <w:tc>
          <w:tcPr>
            <w:tcW w:w="1880" w:type="dxa"/>
            <w:tcBorders>
              <w:right w:val="single" w:sz="4" w:space="0" w:color="auto"/>
            </w:tcBorders>
            <w:shd w:val="clear" w:color="auto" w:fill="FFFFFF" w:themeFill="background1"/>
            <w:vAlign w:val="center"/>
          </w:tcPr>
          <w:p w:rsidR="00BF4137" w:rsidRPr="00CA4F2F" w:rsidRDefault="00BF4137" w:rsidP="006C7792">
            <w:pPr>
              <w:spacing w:line="240" w:lineRule="exact"/>
              <w:contextualSpacing/>
              <w:rPr>
                <w:color w:val="auto"/>
                <w:sz w:val="20"/>
              </w:rPr>
            </w:pPr>
            <w:r w:rsidRPr="00CA4F2F">
              <w:rPr>
                <w:color w:val="auto"/>
                <w:sz w:val="20"/>
              </w:rPr>
              <w:t>AMI CHD CABG</w:t>
            </w:r>
          </w:p>
        </w:tc>
        <w:tc>
          <w:tcPr>
            <w:tcW w:w="1171" w:type="dxa"/>
            <w:tcBorders>
              <w:left w:val="single" w:sz="4" w:space="0" w:color="auto"/>
              <w:right w:val="single" w:sz="4" w:space="0" w:color="auto"/>
            </w:tcBorders>
            <w:shd w:val="clear" w:color="auto" w:fill="FFFFFF" w:themeFill="background1"/>
            <w:vAlign w:val="center"/>
          </w:tcPr>
          <w:p w:rsidR="00BF4137" w:rsidRPr="00CA4F2F" w:rsidRDefault="00BF4137" w:rsidP="006C7792">
            <w:pPr>
              <w:spacing w:line="240" w:lineRule="exact"/>
              <w:contextualSpacing/>
              <w:jc w:val="center"/>
              <w:rPr>
                <w:color w:val="auto"/>
                <w:sz w:val="20"/>
              </w:rPr>
            </w:pPr>
            <w:r w:rsidRPr="00CA4F2F">
              <w:rPr>
                <w:color w:val="auto"/>
                <w:sz w:val="20"/>
              </w:rPr>
              <w:t>7006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F4137" w:rsidRPr="00D5765D" w:rsidRDefault="00BF4137" w:rsidP="006C7792">
            <w:pPr>
              <w:spacing w:line="240" w:lineRule="exact"/>
              <w:contextualSpacing/>
              <w:jc w:val="center"/>
              <w:rPr>
                <w:color w:val="auto"/>
                <w:sz w:val="20"/>
              </w:rPr>
            </w:pPr>
            <w:r w:rsidRPr="00D5765D">
              <w:rPr>
                <w:color w:val="auto"/>
                <w:sz w:val="20"/>
                <w:szCs w:val="20"/>
              </w:rPr>
              <w:t>Cat II</w:t>
            </w:r>
          </w:p>
        </w:tc>
        <w:tc>
          <w:tcPr>
            <w:tcW w:w="862" w:type="dxa"/>
            <w:tcBorders>
              <w:left w:val="single" w:sz="4" w:space="0" w:color="auto"/>
              <w:right w:val="thinThickThinSmallGap" w:sz="24" w:space="0" w:color="auto"/>
            </w:tcBorders>
            <w:shd w:val="clear" w:color="auto" w:fill="auto"/>
            <w:vAlign w:val="center"/>
          </w:tcPr>
          <w:p w:rsidR="00BF4137" w:rsidRPr="00D5765D" w:rsidRDefault="00BF4137" w:rsidP="006C7792">
            <w:pPr>
              <w:spacing w:line="240" w:lineRule="exact"/>
              <w:contextualSpacing/>
              <w:jc w:val="center"/>
              <w:rPr>
                <w:color w:val="auto"/>
                <w:sz w:val="20"/>
              </w:rPr>
            </w:pPr>
            <w:r w:rsidRPr="00D5765D">
              <w:rPr>
                <w:color w:val="auto"/>
                <w:sz w:val="20"/>
              </w:rPr>
              <w:t>-</w:t>
            </w:r>
          </w:p>
        </w:tc>
        <w:tc>
          <w:tcPr>
            <w:tcW w:w="1890" w:type="dxa"/>
            <w:tcBorders>
              <w:left w:val="thinThickThinSmallGap" w:sz="24" w:space="0" w:color="auto"/>
              <w:right w:val="single" w:sz="4" w:space="0" w:color="auto"/>
            </w:tcBorders>
            <w:shd w:val="clear" w:color="auto" w:fill="FFFFFF" w:themeFill="background1"/>
            <w:vAlign w:val="center"/>
          </w:tcPr>
          <w:p w:rsidR="00BF4137" w:rsidRPr="00CA4F2F" w:rsidRDefault="00BF4137" w:rsidP="003859B2">
            <w:pPr>
              <w:spacing w:line="240" w:lineRule="exact"/>
              <w:contextualSpacing/>
              <w:rPr>
                <w:color w:val="auto"/>
                <w:sz w:val="20"/>
              </w:rPr>
            </w:pPr>
            <w:r w:rsidRPr="00CA4F2F">
              <w:rPr>
                <w:color w:val="auto"/>
                <w:sz w:val="20"/>
              </w:rPr>
              <w:t>CAD s/p CABG</w:t>
            </w:r>
          </w:p>
        </w:tc>
        <w:tc>
          <w:tcPr>
            <w:tcW w:w="1080" w:type="dxa"/>
            <w:tcBorders>
              <w:left w:val="single" w:sz="4" w:space="0" w:color="auto"/>
              <w:right w:val="single" w:sz="4" w:space="0" w:color="auto"/>
            </w:tcBorders>
            <w:shd w:val="clear" w:color="auto" w:fill="FFFFFF" w:themeFill="background1"/>
            <w:vAlign w:val="center"/>
          </w:tcPr>
          <w:p w:rsidR="00BF4137" w:rsidRPr="00CA4F2F" w:rsidRDefault="00BF4137" w:rsidP="006C7792">
            <w:pPr>
              <w:spacing w:line="240" w:lineRule="exact"/>
              <w:contextualSpacing/>
              <w:jc w:val="center"/>
              <w:rPr>
                <w:color w:val="auto"/>
                <w:sz w:val="20"/>
              </w:rPr>
            </w:pPr>
            <w:r w:rsidRPr="00CA4F2F">
              <w:rPr>
                <w:color w:val="auto"/>
                <w:sz w:val="20"/>
              </w:rPr>
              <w:t>7005-7017</w:t>
            </w:r>
          </w:p>
        </w:tc>
        <w:tc>
          <w:tcPr>
            <w:tcW w:w="879" w:type="dxa"/>
            <w:tcBorders>
              <w:left w:val="single" w:sz="4" w:space="0" w:color="auto"/>
              <w:right w:val="single" w:sz="4" w:space="0" w:color="auto"/>
            </w:tcBorders>
            <w:shd w:val="clear" w:color="auto" w:fill="FFFFFF" w:themeFill="background1"/>
            <w:vAlign w:val="center"/>
          </w:tcPr>
          <w:p w:rsidR="00BF4137" w:rsidRPr="00276419" w:rsidRDefault="00BF4137" w:rsidP="006C7792">
            <w:pPr>
              <w:spacing w:line="240" w:lineRule="exact"/>
              <w:contextualSpacing/>
              <w:jc w:val="center"/>
              <w:rPr>
                <w:color w:val="auto"/>
                <w:sz w:val="20"/>
              </w:rPr>
            </w:pPr>
            <w:r w:rsidRPr="00276419">
              <w:rPr>
                <w:color w:val="auto"/>
                <w:sz w:val="20"/>
              </w:rPr>
              <w:t>10%*</w:t>
            </w:r>
          </w:p>
        </w:tc>
        <w:tc>
          <w:tcPr>
            <w:tcW w:w="1101" w:type="dxa"/>
            <w:tcBorders>
              <w:left w:val="single" w:sz="4" w:space="0" w:color="auto"/>
            </w:tcBorders>
            <w:shd w:val="clear" w:color="auto" w:fill="FFFFFF" w:themeFill="background1"/>
            <w:vAlign w:val="center"/>
          </w:tcPr>
          <w:p w:rsidR="00BF4137" w:rsidRPr="00CA4F2F" w:rsidRDefault="00BF4137" w:rsidP="006C7792">
            <w:pPr>
              <w:spacing w:line="240" w:lineRule="exact"/>
              <w:contextualSpacing/>
              <w:jc w:val="center"/>
              <w:rPr>
                <w:color w:val="auto"/>
                <w:sz w:val="20"/>
              </w:rPr>
            </w:pPr>
            <w:r w:rsidRPr="00CA4F2F">
              <w:rPr>
                <w:color w:val="auto"/>
                <w:sz w:val="20"/>
                <w:szCs w:val="20"/>
              </w:rPr>
              <w:t>20020430</w:t>
            </w:r>
          </w:p>
        </w:tc>
      </w:tr>
      <w:tr w:rsidR="00E4215E" w:rsidRPr="00BE5836" w:rsidTr="00E4215E">
        <w:trPr>
          <w:trHeight w:val="188"/>
          <w:jc w:val="center"/>
        </w:trPr>
        <w:tc>
          <w:tcPr>
            <w:tcW w:w="1880" w:type="dxa"/>
            <w:tcBorders>
              <w:right w:val="single" w:sz="4" w:space="0" w:color="auto"/>
            </w:tcBorders>
            <w:shd w:val="clear" w:color="auto" w:fill="FFFFFF" w:themeFill="background1"/>
            <w:vAlign w:val="center"/>
          </w:tcPr>
          <w:p w:rsidR="00E4215E" w:rsidRPr="00CA4F2F" w:rsidRDefault="00E4215E" w:rsidP="006C7792">
            <w:pPr>
              <w:spacing w:line="240" w:lineRule="exact"/>
              <w:contextualSpacing/>
              <w:rPr>
                <w:color w:val="auto"/>
                <w:sz w:val="20"/>
              </w:rPr>
            </w:pPr>
            <w:r w:rsidRPr="00CA4F2F">
              <w:rPr>
                <w:color w:val="auto"/>
                <w:sz w:val="20"/>
                <w:szCs w:val="20"/>
              </w:rPr>
              <w:t>Hyperlipidemia</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15E" w:rsidRPr="00D5765D" w:rsidRDefault="00E4215E" w:rsidP="00500111">
            <w:pPr>
              <w:jc w:val="center"/>
              <w:rPr>
                <w:color w:val="auto"/>
                <w:sz w:val="20"/>
              </w:rPr>
            </w:pPr>
            <w:r w:rsidRPr="00D5765D">
              <w:rPr>
                <w:color w:val="auto"/>
                <w:sz w:val="20"/>
              </w:rPr>
              <w:t>Cat III</w:t>
            </w:r>
          </w:p>
        </w:tc>
        <w:tc>
          <w:tcPr>
            <w:tcW w:w="862" w:type="dxa"/>
            <w:tcBorders>
              <w:left w:val="single" w:sz="4" w:space="0" w:color="auto"/>
              <w:bottom w:val="single" w:sz="4" w:space="0" w:color="auto"/>
              <w:right w:val="thinThickThinSmallGap" w:sz="24" w:space="0" w:color="auto"/>
            </w:tcBorders>
            <w:shd w:val="clear" w:color="auto" w:fill="auto"/>
            <w:vAlign w:val="center"/>
          </w:tcPr>
          <w:p w:rsidR="00E4215E" w:rsidRPr="00D5765D" w:rsidRDefault="00E4215E" w:rsidP="006C7792">
            <w:pPr>
              <w:jc w:val="center"/>
              <w:rPr>
                <w:color w:val="auto"/>
                <w:sz w:val="20"/>
              </w:rPr>
            </w:pPr>
            <w:r w:rsidRPr="00D5765D">
              <w:rPr>
                <w:color w:val="auto"/>
                <w:sz w:val="20"/>
              </w:rPr>
              <w:t>-</w:t>
            </w:r>
          </w:p>
        </w:tc>
        <w:tc>
          <w:tcPr>
            <w:tcW w:w="4950" w:type="dxa"/>
            <w:gridSpan w:val="4"/>
            <w:tcBorders>
              <w:left w:val="thinThickThinSmallGap" w:sz="24" w:space="0" w:color="auto"/>
              <w:bottom w:val="single" w:sz="4" w:space="0" w:color="auto"/>
            </w:tcBorders>
            <w:shd w:val="clear" w:color="auto" w:fill="FFFFFF" w:themeFill="background1"/>
            <w:vAlign w:val="center"/>
          </w:tcPr>
          <w:p w:rsidR="00E4215E" w:rsidRPr="00CA4F2F" w:rsidRDefault="00E4215E" w:rsidP="00E4215E">
            <w:pPr>
              <w:spacing w:line="240" w:lineRule="exact"/>
              <w:contextualSpacing/>
              <w:rPr>
                <w:color w:val="auto"/>
                <w:sz w:val="20"/>
              </w:rPr>
            </w:pPr>
            <w:r w:rsidRPr="00276419">
              <w:rPr>
                <w:color w:val="auto"/>
                <w:sz w:val="20"/>
              </w:rPr>
              <w:t>No VA Entry</w:t>
            </w:r>
          </w:p>
        </w:tc>
      </w:tr>
      <w:tr w:rsidR="00E4215E" w:rsidRPr="00BE5836" w:rsidTr="00E4215E">
        <w:trPr>
          <w:trHeight w:val="188"/>
          <w:jc w:val="center"/>
        </w:trPr>
        <w:tc>
          <w:tcPr>
            <w:tcW w:w="1880" w:type="dxa"/>
            <w:tcBorders>
              <w:right w:val="single" w:sz="4" w:space="0" w:color="auto"/>
            </w:tcBorders>
            <w:shd w:val="clear" w:color="auto" w:fill="FFFFFF" w:themeFill="background1"/>
            <w:vAlign w:val="center"/>
          </w:tcPr>
          <w:p w:rsidR="00E4215E" w:rsidRPr="00CA4F2F" w:rsidRDefault="00E4215E" w:rsidP="006C7792">
            <w:pPr>
              <w:spacing w:line="240" w:lineRule="exact"/>
              <w:contextualSpacing/>
              <w:rPr>
                <w:color w:val="auto"/>
                <w:sz w:val="20"/>
              </w:rPr>
            </w:pPr>
            <w:r>
              <w:rPr>
                <w:color w:val="auto"/>
                <w:sz w:val="20"/>
              </w:rPr>
              <w:t>Tobacco A</w:t>
            </w:r>
            <w:r w:rsidRPr="00CA4F2F">
              <w:rPr>
                <w:color w:val="auto"/>
                <w:sz w:val="20"/>
              </w:rPr>
              <w:t>buse</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15E" w:rsidRPr="00D5765D" w:rsidRDefault="00E4215E" w:rsidP="006C7792">
            <w:pPr>
              <w:jc w:val="center"/>
              <w:rPr>
                <w:color w:val="auto"/>
                <w:sz w:val="20"/>
              </w:rPr>
            </w:pPr>
            <w:r w:rsidRPr="00D5765D">
              <w:rPr>
                <w:color w:val="auto"/>
                <w:sz w:val="20"/>
              </w:rPr>
              <w:t>Cat III</w:t>
            </w:r>
          </w:p>
        </w:tc>
        <w:tc>
          <w:tcPr>
            <w:tcW w:w="862" w:type="dxa"/>
            <w:tcBorders>
              <w:top w:val="single" w:sz="4" w:space="0" w:color="auto"/>
              <w:left w:val="single" w:sz="4" w:space="0" w:color="auto"/>
              <w:right w:val="thinThickThinSmallGap" w:sz="24" w:space="0" w:color="auto"/>
            </w:tcBorders>
            <w:shd w:val="clear" w:color="auto" w:fill="auto"/>
            <w:vAlign w:val="center"/>
          </w:tcPr>
          <w:p w:rsidR="00E4215E" w:rsidRPr="00D5765D" w:rsidRDefault="00E4215E" w:rsidP="006C7792">
            <w:pPr>
              <w:jc w:val="center"/>
              <w:rPr>
                <w:color w:val="auto"/>
                <w:sz w:val="20"/>
              </w:rPr>
            </w:pPr>
            <w:r w:rsidRPr="00D5765D">
              <w:rPr>
                <w:color w:val="auto"/>
                <w:sz w:val="20"/>
              </w:rPr>
              <w:t>-</w:t>
            </w:r>
          </w:p>
        </w:tc>
        <w:tc>
          <w:tcPr>
            <w:tcW w:w="4950" w:type="dxa"/>
            <w:gridSpan w:val="4"/>
            <w:tcBorders>
              <w:top w:val="single" w:sz="4" w:space="0" w:color="auto"/>
              <w:left w:val="thinThickThinSmallGap" w:sz="24" w:space="0" w:color="auto"/>
            </w:tcBorders>
            <w:shd w:val="clear" w:color="auto" w:fill="FFFFFF" w:themeFill="background1"/>
            <w:vAlign w:val="center"/>
          </w:tcPr>
          <w:p w:rsidR="00E4215E" w:rsidRPr="00CA4F2F" w:rsidRDefault="00E4215E" w:rsidP="00E4215E">
            <w:pPr>
              <w:spacing w:line="240" w:lineRule="exact"/>
              <w:contextualSpacing/>
              <w:rPr>
                <w:color w:val="auto"/>
                <w:sz w:val="20"/>
              </w:rPr>
            </w:pPr>
            <w:r w:rsidRPr="00276419">
              <w:rPr>
                <w:color w:val="auto"/>
                <w:sz w:val="20"/>
              </w:rPr>
              <w:t>No VA Entry</w:t>
            </w:r>
          </w:p>
        </w:tc>
      </w:tr>
      <w:tr w:rsidR="00BF4137" w:rsidRPr="00BE5836" w:rsidTr="00E4215E">
        <w:trPr>
          <w:trHeight w:val="188"/>
          <w:jc w:val="center"/>
        </w:trPr>
        <w:tc>
          <w:tcPr>
            <w:tcW w:w="4633" w:type="dxa"/>
            <w:gridSpan w:val="4"/>
            <w:vMerge w:val="restart"/>
            <w:tcBorders>
              <w:right w:val="thinThickThinSmallGap" w:sz="24" w:space="0" w:color="auto"/>
            </w:tcBorders>
            <w:shd w:val="clear" w:color="auto" w:fill="FFFFFF" w:themeFill="background1"/>
            <w:vAlign w:val="center"/>
          </w:tcPr>
          <w:p w:rsidR="00BF4137" w:rsidRPr="00CA4F2F" w:rsidRDefault="00BF4137" w:rsidP="006C7792">
            <w:pPr>
              <w:spacing w:line="240" w:lineRule="exact"/>
              <w:contextualSpacing/>
              <w:jc w:val="center"/>
              <w:rPr>
                <w:i/>
                <w:color w:val="auto"/>
                <w:sz w:val="20"/>
                <w:highlight w:val="yellow"/>
              </w:rPr>
            </w:pPr>
            <w:r w:rsidRPr="00CA4F2F">
              <w:rPr>
                <w:color w:val="auto"/>
                <w:sz w:val="20"/>
                <w:szCs w:val="20"/>
              </w:rPr>
              <w:t>↓No Additional MEB/PEB Entries↓</w:t>
            </w:r>
          </w:p>
        </w:tc>
        <w:tc>
          <w:tcPr>
            <w:tcW w:w="1890" w:type="dxa"/>
            <w:tcBorders>
              <w:left w:val="thinThickThinSmallGap" w:sz="24" w:space="0" w:color="auto"/>
              <w:right w:val="single" w:sz="4" w:space="0" w:color="auto"/>
            </w:tcBorders>
            <w:shd w:val="clear" w:color="auto" w:fill="FFFFFF" w:themeFill="background1"/>
            <w:vAlign w:val="center"/>
          </w:tcPr>
          <w:p w:rsidR="00BF4137" w:rsidRPr="00CA4F2F" w:rsidRDefault="007F6BE4" w:rsidP="003859B2">
            <w:pPr>
              <w:spacing w:line="240" w:lineRule="exact"/>
              <w:contextualSpacing/>
              <w:rPr>
                <w:color w:val="auto"/>
                <w:sz w:val="20"/>
              </w:rPr>
            </w:pPr>
            <w:r>
              <w:rPr>
                <w:color w:val="auto"/>
                <w:sz w:val="20"/>
              </w:rPr>
              <w:t>L S</w:t>
            </w:r>
            <w:r w:rsidR="00BF4137" w:rsidRPr="00CA4F2F">
              <w:rPr>
                <w:color w:val="auto"/>
                <w:sz w:val="20"/>
              </w:rPr>
              <w:t>houlder</w:t>
            </w:r>
          </w:p>
        </w:tc>
        <w:tc>
          <w:tcPr>
            <w:tcW w:w="1080" w:type="dxa"/>
            <w:tcBorders>
              <w:top w:val="nil"/>
              <w:left w:val="single" w:sz="4" w:space="0" w:color="auto"/>
              <w:right w:val="single" w:sz="4" w:space="0" w:color="auto"/>
            </w:tcBorders>
            <w:shd w:val="clear" w:color="auto" w:fill="FFFFFF" w:themeFill="background1"/>
            <w:vAlign w:val="center"/>
          </w:tcPr>
          <w:p w:rsidR="00BF4137" w:rsidRPr="00CA4F2F" w:rsidRDefault="00BF4137" w:rsidP="006C7792">
            <w:pPr>
              <w:spacing w:line="240" w:lineRule="exact"/>
              <w:contextualSpacing/>
              <w:jc w:val="center"/>
              <w:rPr>
                <w:color w:val="auto"/>
                <w:sz w:val="20"/>
              </w:rPr>
            </w:pPr>
            <w:r w:rsidRPr="00CA4F2F">
              <w:rPr>
                <w:color w:val="auto"/>
                <w:sz w:val="20"/>
              </w:rPr>
              <w:t>5201</w:t>
            </w:r>
          </w:p>
        </w:tc>
        <w:tc>
          <w:tcPr>
            <w:tcW w:w="879" w:type="dxa"/>
            <w:tcBorders>
              <w:left w:val="single" w:sz="4" w:space="0" w:color="auto"/>
            </w:tcBorders>
            <w:shd w:val="clear" w:color="auto" w:fill="FFFFFF" w:themeFill="background1"/>
            <w:vAlign w:val="center"/>
          </w:tcPr>
          <w:p w:rsidR="00BF4137" w:rsidRPr="00276419" w:rsidRDefault="00BF4137" w:rsidP="006C7792">
            <w:pPr>
              <w:spacing w:line="240" w:lineRule="exact"/>
              <w:contextualSpacing/>
              <w:jc w:val="center"/>
              <w:rPr>
                <w:color w:val="auto"/>
                <w:sz w:val="20"/>
              </w:rPr>
            </w:pPr>
            <w:r w:rsidRPr="00276419">
              <w:rPr>
                <w:color w:val="auto"/>
                <w:sz w:val="20"/>
              </w:rPr>
              <w:t>20%</w:t>
            </w:r>
          </w:p>
        </w:tc>
        <w:tc>
          <w:tcPr>
            <w:tcW w:w="1101" w:type="dxa"/>
            <w:shd w:val="clear" w:color="auto" w:fill="FFFFFF" w:themeFill="background1"/>
            <w:vAlign w:val="center"/>
          </w:tcPr>
          <w:p w:rsidR="00BF4137" w:rsidRPr="00CA4F2F" w:rsidRDefault="00BF4137" w:rsidP="006C7792">
            <w:pPr>
              <w:spacing w:line="240" w:lineRule="exact"/>
              <w:contextualSpacing/>
              <w:jc w:val="center"/>
              <w:rPr>
                <w:color w:val="auto"/>
                <w:sz w:val="20"/>
              </w:rPr>
            </w:pPr>
            <w:r w:rsidRPr="00CA4F2F">
              <w:rPr>
                <w:color w:val="auto"/>
                <w:sz w:val="20"/>
                <w:szCs w:val="20"/>
              </w:rPr>
              <w:t>20020430</w:t>
            </w:r>
          </w:p>
        </w:tc>
      </w:tr>
      <w:tr w:rsidR="00BF4137" w:rsidRPr="00BE5836" w:rsidTr="00E4215E">
        <w:trPr>
          <w:trHeight w:val="188"/>
          <w:jc w:val="center"/>
        </w:trPr>
        <w:tc>
          <w:tcPr>
            <w:tcW w:w="4633" w:type="dxa"/>
            <w:gridSpan w:val="4"/>
            <w:vMerge/>
            <w:tcBorders>
              <w:right w:val="thinThickThinSmallGap" w:sz="24" w:space="0" w:color="auto"/>
            </w:tcBorders>
            <w:shd w:val="clear" w:color="auto" w:fill="FFFFFF" w:themeFill="background1"/>
            <w:vAlign w:val="center"/>
          </w:tcPr>
          <w:p w:rsidR="00BF4137" w:rsidRPr="00CA4F2F" w:rsidRDefault="00BF4137" w:rsidP="006C7792">
            <w:pPr>
              <w:spacing w:line="240" w:lineRule="exact"/>
              <w:contextualSpacing/>
              <w:jc w:val="center"/>
              <w:rPr>
                <w:i/>
                <w:color w:val="auto"/>
                <w:sz w:val="20"/>
                <w:highlight w:val="yellow"/>
              </w:rPr>
            </w:pPr>
          </w:p>
        </w:tc>
        <w:tc>
          <w:tcPr>
            <w:tcW w:w="1890" w:type="dxa"/>
            <w:tcBorders>
              <w:left w:val="thinThickThinSmallGap" w:sz="24" w:space="0" w:color="auto"/>
              <w:right w:val="single" w:sz="4" w:space="0" w:color="auto"/>
            </w:tcBorders>
            <w:shd w:val="clear" w:color="auto" w:fill="FFFFFF" w:themeFill="background1"/>
            <w:vAlign w:val="center"/>
          </w:tcPr>
          <w:p w:rsidR="00BF4137" w:rsidRPr="00CA4F2F" w:rsidRDefault="007F6BE4" w:rsidP="003859B2">
            <w:pPr>
              <w:spacing w:line="240" w:lineRule="exact"/>
              <w:contextualSpacing/>
              <w:rPr>
                <w:color w:val="auto"/>
                <w:sz w:val="20"/>
              </w:rPr>
            </w:pPr>
            <w:r>
              <w:rPr>
                <w:color w:val="auto"/>
                <w:sz w:val="20"/>
              </w:rPr>
              <w:t>R K</w:t>
            </w:r>
            <w:r w:rsidR="00BF4137" w:rsidRPr="00CA4F2F">
              <w:rPr>
                <w:color w:val="auto"/>
                <w:sz w:val="20"/>
              </w:rPr>
              <w:t>nee DJD</w:t>
            </w:r>
          </w:p>
        </w:tc>
        <w:tc>
          <w:tcPr>
            <w:tcW w:w="1080" w:type="dxa"/>
            <w:tcBorders>
              <w:left w:val="single" w:sz="4" w:space="0" w:color="auto"/>
              <w:right w:val="single" w:sz="4" w:space="0" w:color="auto"/>
            </w:tcBorders>
            <w:shd w:val="clear" w:color="auto" w:fill="FFFFFF" w:themeFill="background1"/>
            <w:vAlign w:val="center"/>
          </w:tcPr>
          <w:p w:rsidR="00BF4137" w:rsidRPr="00CA4F2F" w:rsidRDefault="00BF4137" w:rsidP="006C7792">
            <w:pPr>
              <w:spacing w:line="240" w:lineRule="exact"/>
              <w:contextualSpacing/>
              <w:jc w:val="center"/>
              <w:rPr>
                <w:color w:val="auto"/>
                <w:sz w:val="20"/>
              </w:rPr>
            </w:pPr>
            <w:r w:rsidRPr="00CA4F2F">
              <w:rPr>
                <w:color w:val="auto"/>
                <w:sz w:val="20"/>
              </w:rPr>
              <w:t>5261</w:t>
            </w:r>
          </w:p>
        </w:tc>
        <w:tc>
          <w:tcPr>
            <w:tcW w:w="879" w:type="dxa"/>
            <w:tcBorders>
              <w:left w:val="single" w:sz="4" w:space="0" w:color="auto"/>
            </w:tcBorders>
            <w:shd w:val="clear" w:color="auto" w:fill="FFFFFF" w:themeFill="background1"/>
            <w:vAlign w:val="center"/>
          </w:tcPr>
          <w:p w:rsidR="00BF4137" w:rsidRPr="00276419" w:rsidRDefault="00BF4137" w:rsidP="006C7792">
            <w:pPr>
              <w:spacing w:line="240" w:lineRule="exact"/>
              <w:contextualSpacing/>
              <w:jc w:val="center"/>
              <w:rPr>
                <w:color w:val="auto"/>
                <w:sz w:val="20"/>
              </w:rPr>
            </w:pPr>
            <w:r w:rsidRPr="00276419">
              <w:rPr>
                <w:color w:val="auto"/>
                <w:sz w:val="20"/>
              </w:rPr>
              <w:t>20%</w:t>
            </w:r>
          </w:p>
        </w:tc>
        <w:tc>
          <w:tcPr>
            <w:tcW w:w="1101" w:type="dxa"/>
            <w:shd w:val="clear" w:color="auto" w:fill="FFFFFF" w:themeFill="background1"/>
            <w:vAlign w:val="center"/>
          </w:tcPr>
          <w:p w:rsidR="00BF4137" w:rsidRPr="00CA4F2F" w:rsidRDefault="00BF4137" w:rsidP="006C7792">
            <w:pPr>
              <w:spacing w:line="240" w:lineRule="exact"/>
              <w:contextualSpacing/>
              <w:jc w:val="center"/>
              <w:rPr>
                <w:color w:val="auto"/>
                <w:sz w:val="20"/>
              </w:rPr>
            </w:pPr>
            <w:r w:rsidRPr="00CA4F2F">
              <w:rPr>
                <w:color w:val="auto"/>
                <w:sz w:val="20"/>
                <w:szCs w:val="20"/>
              </w:rPr>
              <w:t>20020430</w:t>
            </w:r>
          </w:p>
        </w:tc>
      </w:tr>
      <w:tr w:rsidR="00BF4137" w:rsidRPr="00BE5836" w:rsidTr="00E4215E">
        <w:trPr>
          <w:trHeight w:val="188"/>
          <w:jc w:val="center"/>
        </w:trPr>
        <w:tc>
          <w:tcPr>
            <w:tcW w:w="4633" w:type="dxa"/>
            <w:gridSpan w:val="4"/>
            <w:vMerge/>
            <w:tcBorders>
              <w:right w:val="thinThickThinSmallGap" w:sz="24" w:space="0" w:color="auto"/>
            </w:tcBorders>
            <w:shd w:val="clear" w:color="auto" w:fill="FFFFFF" w:themeFill="background1"/>
            <w:vAlign w:val="center"/>
          </w:tcPr>
          <w:p w:rsidR="00BF4137" w:rsidRPr="00CA4F2F" w:rsidRDefault="00BF4137" w:rsidP="006C7792">
            <w:pPr>
              <w:spacing w:line="240" w:lineRule="exact"/>
              <w:contextualSpacing/>
              <w:jc w:val="center"/>
              <w:rPr>
                <w:i/>
                <w:color w:val="auto"/>
                <w:sz w:val="20"/>
                <w:highlight w:val="yellow"/>
              </w:rPr>
            </w:pPr>
          </w:p>
        </w:tc>
        <w:tc>
          <w:tcPr>
            <w:tcW w:w="1890" w:type="dxa"/>
            <w:tcBorders>
              <w:left w:val="thinThickThinSmallGap" w:sz="24" w:space="0" w:color="auto"/>
              <w:right w:val="single" w:sz="4" w:space="0" w:color="auto"/>
            </w:tcBorders>
            <w:shd w:val="clear" w:color="auto" w:fill="FFFFFF" w:themeFill="background1"/>
            <w:vAlign w:val="center"/>
          </w:tcPr>
          <w:p w:rsidR="00BF4137" w:rsidRPr="00CA4F2F" w:rsidRDefault="00BF4137" w:rsidP="003859B2">
            <w:pPr>
              <w:spacing w:line="240" w:lineRule="exact"/>
              <w:contextualSpacing/>
              <w:rPr>
                <w:color w:val="auto"/>
                <w:sz w:val="20"/>
              </w:rPr>
            </w:pPr>
            <w:r w:rsidRPr="00CA4F2F">
              <w:rPr>
                <w:color w:val="auto"/>
                <w:sz w:val="20"/>
              </w:rPr>
              <w:t>Tinnitus</w:t>
            </w:r>
          </w:p>
        </w:tc>
        <w:tc>
          <w:tcPr>
            <w:tcW w:w="1080" w:type="dxa"/>
            <w:tcBorders>
              <w:left w:val="single" w:sz="4" w:space="0" w:color="auto"/>
              <w:right w:val="single" w:sz="4" w:space="0" w:color="auto"/>
            </w:tcBorders>
            <w:shd w:val="clear" w:color="auto" w:fill="FFFFFF" w:themeFill="background1"/>
            <w:vAlign w:val="center"/>
          </w:tcPr>
          <w:p w:rsidR="00BF4137" w:rsidRPr="00CA4F2F" w:rsidRDefault="00BF4137" w:rsidP="006C7792">
            <w:pPr>
              <w:spacing w:line="240" w:lineRule="exact"/>
              <w:contextualSpacing/>
              <w:jc w:val="center"/>
              <w:rPr>
                <w:color w:val="auto"/>
                <w:sz w:val="20"/>
              </w:rPr>
            </w:pPr>
            <w:r w:rsidRPr="00CA4F2F">
              <w:rPr>
                <w:color w:val="auto"/>
                <w:sz w:val="20"/>
              </w:rPr>
              <w:t>6260</w:t>
            </w:r>
          </w:p>
        </w:tc>
        <w:tc>
          <w:tcPr>
            <w:tcW w:w="879" w:type="dxa"/>
            <w:tcBorders>
              <w:left w:val="single" w:sz="4" w:space="0" w:color="auto"/>
            </w:tcBorders>
            <w:shd w:val="clear" w:color="auto" w:fill="FFFFFF" w:themeFill="background1"/>
            <w:vAlign w:val="center"/>
          </w:tcPr>
          <w:p w:rsidR="00BF4137" w:rsidRPr="00276419" w:rsidRDefault="00BF4137" w:rsidP="006C7792">
            <w:pPr>
              <w:spacing w:line="240" w:lineRule="exact"/>
              <w:contextualSpacing/>
              <w:jc w:val="center"/>
              <w:rPr>
                <w:color w:val="auto"/>
                <w:sz w:val="20"/>
              </w:rPr>
            </w:pPr>
            <w:r w:rsidRPr="00276419">
              <w:rPr>
                <w:color w:val="auto"/>
                <w:sz w:val="20"/>
              </w:rPr>
              <w:t>10%</w:t>
            </w:r>
          </w:p>
        </w:tc>
        <w:tc>
          <w:tcPr>
            <w:tcW w:w="1101" w:type="dxa"/>
            <w:shd w:val="clear" w:color="auto" w:fill="FFFFFF" w:themeFill="background1"/>
            <w:vAlign w:val="center"/>
          </w:tcPr>
          <w:p w:rsidR="00BF4137" w:rsidRPr="00CA4F2F" w:rsidRDefault="00BF4137" w:rsidP="006C7792">
            <w:pPr>
              <w:spacing w:line="240" w:lineRule="exact"/>
              <w:contextualSpacing/>
              <w:jc w:val="center"/>
              <w:rPr>
                <w:color w:val="auto"/>
                <w:sz w:val="20"/>
              </w:rPr>
            </w:pPr>
            <w:r w:rsidRPr="00CA4F2F">
              <w:rPr>
                <w:color w:val="auto"/>
                <w:sz w:val="20"/>
              </w:rPr>
              <w:t>20020503</w:t>
            </w:r>
          </w:p>
        </w:tc>
      </w:tr>
      <w:tr w:rsidR="00BF4137" w:rsidRPr="00BE5836" w:rsidTr="00E4215E">
        <w:trPr>
          <w:trHeight w:val="188"/>
          <w:jc w:val="center"/>
        </w:trPr>
        <w:tc>
          <w:tcPr>
            <w:tcW w:w="4633" w:type="dxa"/>
            <w:gridSpan w:val="4"/>
            <w:vMerge/>
            <w:tcBorders>
              <w:right w:val="thinThickThinSmallGap" w:sz="24" w:space="0" w:color="auto"/>
            </w:tcBorders>
            <w:shd w:val="clear" w:color="auto" w:fill="FFFFFF" w:themeFill="background1"/>
            <w:vAlign w:val="center"/>
          </w:tcPr>
          <w:p w:rsidR="00BF4137" w:rsidRPr="00CA4F2F" w:rsidRDefault="00BF4137" w:rsidP="006C7792">
            <w:pPr>
              <w:spacing w:line="240" w:lineRule="exact"/>
              <w:contextualSpacing/>
              <w:jc w:val="center"/>
              <w:rPr>
                <w:color w:val="auto"/>
                <w:sz w:val="20"/>
                <w:szCs w:val="20"/>
              </w:rPr>
            </w:pPr>
          </w:p>
        </w:tc>
        <w:tc>
          <w:tcPr>
            <w:tcW w:w="4950" w:type="dxa"/>
            <w:gridSpan w:val="4"/>
            <w:tcBorders>
              <w:left w:val="thinThickThinSmallGap" w:sz="24" w:space="0" w:color="auto"/>
            </w:tcBorders>
            <w:shd w:val="clear" w:color="auto" w:fill="FFFFFF" w:themeFill="background1"/>
            <w:vAlign w:val="center"/>
          </w:tcPr>
          <w:p w:rsidR="00BF4137" w:rsidRPr="00CA4F2F" w:rsidRDefault="0040356E" w:rsidP="009251AC">
            <w:pPr>
              <w:spacing w:line="240" w:lineRule="exact"/>
              <w:contextualSpacing/>
              <w:jc w:val="center"/>
              <w:rPr>
                <w:color w:val="auto"/>
                <w:sz w:val="20"/>
                <w:szCs w:val="20"/>
              </w:rPr>
            </w:pPr>
            <w:r>
              <w:rPr>
                <w:color w:val="auto"/>
                <w:sz w:val="20"/>
                <w:szCs w:val="20"/>
              </w:rPr>
              <w:t xml:space="preserve">0% x </w:t>
            </w:r>
            <w:r w:rsidR="001E5D3D">
              <w:rPr>
                <w:color w:val="auto"/>
                <w:sz w:val="20"/>
                <w:szCs w:val="20"/>
              </w:rPr>
              <w:t>1</w:t>
            </w:r>
            <w:r>
              <w:rPr>
                <w:color w:val="auto"/>
                <w:sz w:val="20"/>
                <w:szCs w:val="20"/>
              </w:rPr>
              <w:t>/</w:t>
            </w:r>
            <w:r w:rsidR="00BF4137" w:rsidRPr="00CA4F2F">
              <w:rPr>
                <w:color w:val="auto"/>
                <w:sz w:val="20"/>
                <w:szCs w:val="20"/>
              </w:rPr>
              <w:t>Not Service Connected</w:t>
            </w:r>
            <w:r>
              <w:rPr>
                <w:color w:val="auto"/>
                <w:sz w:val="20"/>
                <w:szCs w:val="20"/>
              </w:rPr>
              <w:t xml:space="preserve"> x </w:t>
            </w:r>
            <w:r w:rsidR="009251AC">
              <w:rPr>
                <w:color w:val="auto"/>
                <w:sz w:val="20"/>
                <w:szCs w:val="20"/>
              </w:rPr>
              <w:t>2</w:t>
            </w:r>
          </w:p>
        </w:tc>
      </w:tr>
      <w:tr w:rsidR="009946CF" w:rsidRPr="00BE5836" w:rsidTr="00E4215E">
        <w:trPr>
          <w:trHeight w:val="242"/>
          <w:jc w:val="center"/>
        </w:trPr>
        <w:tc>
          <w:tcPr>
            <w:tcW w:w="4633" w:type="dxa"/>
            <w:gridSpan w:val="4"/>
            <w:tcBorders>
              <w:right w:val="thinThickThinSmallGap" w:sz="24" w:space="0" w:color="auto"/>
            </w:tcBorders>
            <w:shd w:val="clear" w:color="auto" w:fill="D9D9D9" w:themeFill="background1" w:themeFillShade="D9"/>
            <w:vAlign w:val="center"/>
          </w:tcPr>
          <w:p w:rsidR="009946CF" w:rsidRPr="00CA4F2F" w:rsidRDefault="003859B2" w:rsidP="006C7792">
            <w:pPr>
              <w:spacing w:line="240" w:lineRule="exact"/>
              <w:contextualSpacing/>
              <w:jc w:val="center"/>
              <w:rPr>
                <w:b/>
                <w:color w:val="auto"/>
                <w:sz w:val="20"/>
                <w:szCs w:val="20"/>
              </w:rPr>
            </w:pPr>
            <w:r>
              <w:rPr>
                <w:b/>
                <w:color w:val="auto"/>
                <w:sz w:val="20"/>
                <w:szCs w:val="20"/>
              </w:rPr>
              <w:t>Combined</w:t>
            </w:r>
            <w:r w:rsidR="009946CF" w:rsidRPr="00CA4F2F">
              <w:rPr>
                <w:b/>
                <w:color w:val="auto"/>
                <w:sz w:val="20"/>
                <w:szCs w:val="20"/>
              </w:rPr>
              <w:t>:  20%</w:t>
            </w:r>
          </w:p>
        </w:tc>
        <w:tc>
          <w:tcPr>
            <w:tcW w:w="4950" w:type="dxa"/>
            <w:gridSpan w:val="4"/>
            <w:tcBorders>
              <w:left w:val="thinThickThinSmallGap" w:sz="24" w:space="0" w:color="auto"/>
            </w:tcBorders>
            <w:shd w:val="clear" w:color="auto" w:fill="D9D9D9" w:themeFill="background1" w:themeFillShade="D9"/>
            <w:vAlign w:val="center"/>
          </w:tcPr>
          <w:p w:rsidR="009946CF" w:rsidRPr="00CA4F2F" w:rsidRDefault="003859B2" w:rsidP="006C7792">
            <w:pPr>
              <w:spacing w:line="240" w:lineRule="exact"/>
              <w:contextualSpacing/>
              <w:jc w:val="center"/>
              <w:rPr>
                <w:b/>
                <w:color w:val="auto"/>
                <w:sz w:val="20"/>
                <w:szCs w:val="20"/>
              </w:rPr>
            </w:pPr>
            <w:r>
              <w:rPr>
                <w:b/>
                <w:color w:val="auto"/>
                <w:sz w:val="20"/>
                <w:szCs w:val="20"/>
              </w:rPr>
              <w:t>Combined</w:t>
            </w:r>
            <w:r w:rsidR="009946CF" w:rsidRPr="00CA4F2F">
              <w:rPr>
                <w:b/>
                <w:color w:val="auto"/>
                <w:sz w:val="20"/>
                <w:szCs w:val="20"/>
              </w:rPr>
              <w:t>:  80%</w:t>
            </w:r>
          </w:p>
        </w:tc>
      </w:tr>
    </w:tbl>
    <w:p w:rsidR="009A67BB" w:rsidRPr="00D56B83" w:rsidRDefault="001C4732" w:rsidP="007F0AB7">
      <w:pPr>
        <w:tabs>
          <w:tab w:val="left" w:pos="288"/>
          <w:tab w:val="left" w:pos="4752"/>
        </w:tabs>
        <w:spacing w:line="240" w:lineRule="exact"/>
        <w:jc w:val="both"/>
        <w:rPr>
          <w:rFonts w:asciiTheme="minorHAnsi" w:hAnsiTheme="minorHAnsi"/>
          <w:color w:val="auto"/>
          <w:sz w:val="22"/>
        </w:rPr>
      </w:pPr>
      <w:r w:rsidRPr="00D56B83">
        <w:rPr>
          <w:rFonts w:asciiTheme="minorHAnsi" w:hAnsiTheme="minorHAnsi"/>
          <w:color w:val="auto"/>
          <w:sz w:val="22"/>
        </w:rPr>
        <w:t>*</w:t>
      </w:r>
      <w:r w:rsidR="00E76517" w:rsidRPr="00D56B83">
        <w:rPr>
          <w:rFonts w:asciiTheme="minorHAnsi" w:hAnsiTheme="minorHAnsi"/>
          <w:color w:val="auto"/>
          <w:sz w:val="22"/>
        </w:rPr>
        <w:t xml:space="preserve">CAD </w:t>
      </w:r>
      <w:r w:rsidR="0055260A" w:rsidRPr="00D56B83">
        <w:rPr>
          <w:rFonts w:asciiTheme="minorHAnsi" w:hAnsiTheme="minorHAnsi"/>
          <w:color w:val="auto"/>
          <w:sz w:val="22"/>
        </w:rPr>
        <w:t>increased to</w:t>
      </w:r>
      <w:r w:rsidR="00E76517" w:rsidRPr="00D56B83">
        <w:rPr>
          <w:rFonts w:asciiTheme="minorHAnsi" w:hAnsiTheme="minorHAnsi"/>
          <w:color w:val="auto"/>
          <w:sz w:val="22"/>
        </w:rPr>
        <w:t xml:space="preserve"> </w:t>
      </w:r>
      <w:r w:rsidRPr="00D56B83">
        <w:rPr>
          <w:rFonts w:asciiTheme="minorHAnsi" w:hAnsiTheme="minorHAnsi"/>
          <w:color w:val="auto"/>
          <w:sz w:val="22"/>
        </w:rPr>
        <w:t>30% effective 20030620</w:t>
      </w:r>
      <w:r w:rsidR="0055260A" w:rsidRPr="00D56B83">
        <w:rPr>
          <w:rFonts w:asciiTheme="minorHAnsi" w:hAnsiTheme="minorHAnsi"/>
          <w:color w:val="auto"/>
          <w:sz w:val="22"/>
        </w:rPr>
        <w:t xml:space="preserve"> from exam of 20031010 (combined 80%)</w:t>
      </w:r>
    </w:p>
    <w:p w:rsidR="00CF6A78" w:rsidRDefault="00CF6A78" w:rsidP="00CF6A78">
      <w:pPr>
        <w:pBdr>
          <w:bottom w:val="single" w:sz="12" w:space="1" w:color="auto"/>
        </w:pBdr>
        <w:tabs>
          <w:tab w:val="left" w:pos="288"/>
          <w:tab w:val="left" w:pos="4752"/>
        </w:tabs>
        <w:spacing w:line="240" w:lineRule="exact"/>
        <w:jc w:val="both"/>
        <w:rPr>
          <w:rFonts w:asciiTheme="minorHAnsi" w:hAnsiTheme="minorHAnsi"/>
          <w:color w:val="auto"/>
          <w:u w:val="single"/>
        </w:rPr>
      </w:pPr>
    </w:p>
    <w:p w:rsidR="00CF6A78" w:rsidRDefault="00CF6A78" w:rsidP="00CF6A78">
      <w:pPr>
        <w:tabs>
          <w:tab w:val="left" w:pos="288"/>
          <w:tab w:val="left" w:pos="4752"/>
        </w:tabs>
        <w:spacing w:line="240" w:lineRule="exact"/>
        <w:jc w:val="both"/>
        <w:rPr>
          <w:rFonts w:asciiTheme="minorHAnsi" w:hAnsiTheme="minorHAnsi"/>
          <w:color w:val="auto"/>
        </w:rPr>
      </w:pPr>
    </w:p>
    <w:p w:rsidR="00CE6A9E" w:rsidRPr="00E4215E" w:rsidRDefault="002C6E5B" w:rsidP="00D56B83">
      <w:pPr>
        <w:tabs>
          <w:tab w:val="left" w:pos="288"/>
          <w:tab w:val="left" w:pos="4752"/>
        </w:tabs>
        <w:spacing w:line="240" w:lineRule="exact"/>
        <w:jc w:val="both"/>
        <w:rPr>
          <w:rFonts w:asciiTheme="minorHAnsi" w:hAnsiTheme="minorHAnsi"/>
          <w:color w:val="auto"/>
          <w:szCs w:val="24"/>
        </w:rPr>
      </w:pPr>
      <w:r w:rsidRPr="000F74D5">
        <w:rPr>
          <w:rFonts w:asciiTheme="minorHAnsi" w:hAnsiTheme="minorHAnsi"/>
          <w:color w:val="auto"/>
          <w:szCs w:val="24"/>
          <w:u w:val="single"/>
        </w:rPr>
        <w:t>ANALYSIS SUMMARY</w:t>
      </w:r>
      <w:r w:rsidRPr="000F74D5">
        <w:rPr>
          <w:rFonts w:asciiTheme="minorHAnsi" w:hAnsiTheme="minorHAnsi"/>
          <w:color w:val="auto"/>
          <w:szCs w:val="24"/>
        </w:rPr>
        <w:t>:</w:t>
      </w:r>
      <w:r w:rsidR="00C4574E" w:rsidRPr="000F74D5">
        <w:rPr>
          <w:rFonts w:asciiTheme="minorHAnsi" w:hAnsiTheme="minorHAnsi"/>
          <w:color w:val="auto"/>
          <w:szCs w:val="24"/>
        </w:rPr>
        <w:t xml:space="preserve">  </w:t>
      </w:r>
      <w:r w:rsidR="00C4574E" w:rsidRPr="000F74D5">
        <w:rPr>
          <w:color w:val="auto"/>
          <w:szCs w:val="24"/>
        </w:rPr>
        <w:t xml:space="preserve">The Board wishes to clarify that, in cases involving a period of TDRL, its recommendations regarding the appropriateness of PEB fitness adjudications must be premised on evidence referable to the time of placement </w:t>
      </w:r>
      <w:r w:rsidR="00CE6A9E" w:rsidRPr="000F74D5">
        <w:rPr>
          <w:color w:val="auto"/>
          <w:szCs w:val="24"/>
        </w:rPr>
        <w:t>i</w:t>
      </w:r>
      <w:r w:rsidR="00C4574E" w:rsidRPr="000F74D5">
        <w:rPr>
          <w:color w:val="auto"/>
          <w:szCs w:val="24"/>
        </w:rPr>
        <w:t>n</w:t>
      </w:r>
      <w:r w:rsidR="00CE6A9E" w:rsidRPr="000F74D5">
        <w:rPr>
          <w:color w:val="auto"/>
          <w:szCs w:val="24"/>
        </w:rPr>
        <w:t xml:space="preserve">to the </w:t>
      </w:r>
      <w:r w:rsidR="00C4574E" w:rsidRPr="000F74D5">
        <w:rPr>
          <w:color w:val="auto"/>
          <w:szCs w:val="24"/>
        </w:rPr>
        <w:t>TDRL</w:t>
      </w:r>
      <w:r w:rsidR="00CE6A9E" w:rsidRPr="000F74D5">
        <w:rPr>
          <w:color w:val="auto"/>
          <w:szCs w:val="24"/>
        </w:rPr>
        <w:t xml:space="preserve"> period</w:t>
      </w:r>
      <w:r w:rsidR="00C4574E" w:rsidRPr="000F74D5">
        <w:rPr>
          <w:color w:val="auto"/>
          <w:szCs w:val="24"/>
        </w:rPr>
        <w:t xml:space="preserve">.  </w:t>
      </w:r>
      <w:r w:rsidR="00C4574E" w:rsidRPr="000F74D5">
        <w:rPr>
          <w:rFonts w:asciiTheme="minorHAnsi" w:hAnsiTheme="minorHAnsi"/>
          <w:color w:val="auto"/>
          <w:szCs w:val="24"/>
        </w:rPr>
        <w:t>The Board acknowledges the sentiment expressed in the CI’s application, i.e., that there should be additional disability assigned for his cardiac condition and for conditions which have worsened over time.  It is a fact, however, that the D</w:t>
      </w:r>
      <w:r w:rsidR="00E4215E">
        <w:rPr>
          <w:rFonts w:asciiTheme="minorHAnsi" w:hAnsiTheme="minorHAnsi"/>
          <w:color w:val="auto"/>
          <w:szCs w:val="24"/>
        </w:rPr>
        <w:t>isability Evaluation System (D</w:t>
      </w:r>
      <w:r w:rsidR="00C4574E" w:rsidRPr="000F74D5">
        <w:rPr>
          <w:rFonts w:asciiTheme="minorHAnsi" w:hAnsiTheme="minorHAnsi"/>
          <w:color w:val="auto"/>
          <w:szCs w:val="24"/>
        </w:rPr>
        <w:t>ES</w:t>
      </w:r>
      <w:r w:rsidR="00E4215E">
        <w:rPr>
          <w:rFonts w:asciiTheme="minorHAnsi" w:hAnsiTheme="minorHAnsi"/>
          <w:color w:val="auto"/>
          <w:szCs w:val="24"/>
        </w:rPr>
        <w:t>)</w:t>
      </w:r>
      <w:r w:rsidR="00C4574E" w:rsidRPr="000F74D5">
        <w:rPr>
          <w:rFonts w:asciiTheme="minorHAnsi" w:hAnsiTheme="minorHAnsi"/>
          <w:color w:val="auto"/>
          <w:szCs w:val="24"/>
        </w:rPr>
        <w:t xml:space="preserve"> has neither the role nor the authority to compensate service members for anticipated future severity or potential complications of conditions incurred in service or resulting in medical separation.  This role and authority is granted by Congress to the Veterans Administration.  The Board’s authority resides in evaluating the fairness of DES fitness decisions and rating determinations for disability at the time of separation</w:t>
      </w:r>
      <w:r w:rsidR="00CE6A9E" w:rsidRPr="000F74D5">
        <w:rPr>
          <w:rFonts w:asciiTheme="minorHAnsi" w:hAnsiTheme="minorHAnsi"/>
          <w:color w:val="auto"/>
          <w:szCs w:val="24"/>
        </w:rPr>
        <w:t xml:space="preserve"> and at </w:t>
      </w:r>
      <w:r w:rsidR="00CE6A9E" w:rsidRPr="000F74D5">
        <w:rPr>
          <w:color w:val="auto"/>
          <w:szCs w:val="24"/>
        </w:rPr>
        <w:t>finalization (exit) from TDRL for permanent rating</w:t>
      </w:r>
      <w:r w:rsidR="00C4574E" w:rsidRPr="000F74D5">
        <w:rPr>
          <w:rFonts w:asciiTheme="minorHAnsi" w:hAnsiTheme="minorHAnsi"/>
          <w:color w:val="auto"/>
          <w:szCs w:val="24"/>
        </w:rPr>
        <w:t>.</w:t>
      </w:r>
      <w:r w:rsidR="00E425A0" w:rsidRPr="000F74D5">
        <w:rPr>
          <w:rFonts w:asciiTheme="minorHAnsi" w:hAnsiTheme="minorHAnsi"/>
          <w:color w:val="auto"/>
          <w:szCs w:val="24"/>
        </w:rPr>
        <w:t xml:space="preserve">  </w:t>
      </w:r>
      <w:r w:rsidR="008F0BCB" w:rsidRPr="000F74D5">
        <w:rPr>
          <w:color w:val="auto"/>
          <w:szCs w:val="24"/>
        </w:rPr>
        <w:t>Also, t</w:t>
      </w:r>
      <w:r w:rsidR="00E425A0" w:rsidRPr="000F74D5">
        <w:rPr>
          <w:color w:val="auto"/>
          <w:szCs w:val="24"/>
        </w:rPr>
        <w:t>he 200</w:t>
      </w:r>
      <w:r w:rsidR="00E425A0" w:rsidRPr="000F74D5">
        <w:rPr>
          <w:color w:val="auto"/>
        </w:rPr>
        <w:t>1</w:t>
      </w:r>
      <w:r w:rsidR="00E425A0" w:rsidRPr="000F74D5">
        <w:rPr>
          <w:color w:val="auto"/>
          <w:szCs w:val="24"/>
        </w:rPr>
        <w:t xml:space="preserve"> Veteran</w:t>
      </w:r>
      <w:r w:rsidR="00270100">
        <w:rPr>
          <w:color w:val="auto"/>
          <w:szCs w:val="24"/>
        </w:rPr>
        <w:t>s</w:t>
      </w:r>
      <w:r w:rsidR="00E425A0" w:rsidRPr="000F74D5">
        <w:rPr>
          <w:color w:val="auto"/>
          <w:szCs w:val="24"/>
        </w:rPr>
        <w:t xml:space="preserve"> Administration Schedule for Rating Disabilities (VASRD) coding and </w:t>
      </w:r>
      <w:r w:rsidR="008F0BCB" w:rsidRPr="000F74D5">
        <w:rPr>
          <w:color w:val="auto"/>
          <w:szCs w:val="24"/>
        </w:rPr>
        <w:t xml:space="preserve">rating standards for the spine was </w:t>
      </w:r>
      <w:r w:rsidR="00E425A0" w:rsidRPr="000F74D5">
        <w:rPr>
          <w:color w:val="auto"/>
        </w:rPr>
        <w:t xml:space="preserve">in effect at the time of TDRL entry and the 2003 </w:t>
      </w:r>
      <w:r w:rsidR="008F0BCB" w:rsidRPr="000F74D5">
        <w:rPr>
          <w:color w:val="auto"/>
        </w:rPr>
        <w:t xml:space="preserve">VASRD was </w:t>
      </w:r>
      <w:r w:rsidR="00E425A0" w:rsidRPr="000F74D5">
        <w:rPr>
          <w:color w:val="auto"/>
        </w:rPr>
        <w:t xml:space="preserve">in effect for the </w:t>
      </w:r>
      <w:r w:rsidR="008F0BCB" w:rsidRPr="000F74D5">
        <w:rPr>
          <w:color w:val="auto"/>
        </w:rPr>
        <w:t xml:space="preserve">TDRL </w:t>
      </w:r>
      <w:r w:rsidR="00E425A0" w:rsidRPr="000F74D5">
        <w:rPr>
          <w:color w:val="auto"/>
        </w:rPr>
        <w:t>exit</w:t>
      </w:r>
      <w:r w:rsidR="008F0BCB" w:rsidRPr="000F74D5">
        <w:rPr>
          <w:color w:val="auto"/>
        </w:rPr>
        <w:t xml:space="preserve"> rating</w:t>
      </w:r>
      <w:r w:rsidR="00E425A0" w:rsidRPr="000F74D5">
        <w:rPr>
          <w:color w:val="auto"/>
        </w:rPr>
        <w:t xml:space="preserve"> </w:t>
      </w:r>
      <w:r w:rsidR="00CE6A9E" w:rsidRPr="000F74D5">
        <w:rPr>
          <w:color w:val="auto"/>
        </w:rPr>
        <w:t>(t</w:t>
      </w:r>
      <w:r w:rsidR="00E425A0" w:rsidRPr="000F74D5">
        <w:rPr>
          <w:color w:val="auto"/>
          <w:szCs w:val="24"/>
        </w:rPr>
        <w:t xml:space="preserve">he current §4.71a rating standards </w:t>
      </w:r>
      <w:r w:rsidR="008F0BCB" w:rsidRPr="000F74D5">
        <w:rPr>
          <w:color w:val="auto"/>
          <w:szCs w:val="24"/>
        </w:rPr>
        <w:t xml:space="preserve">were adopted </w:t>
      </w:r>
      <w:r w:rsidR="00CE6A9E" w:rsidRPr="000F74D5">
        <w:rPr>
          <w:color w:val="auto"/>
          <w:szCs w:val="24"/>
        </w:rPr>
        <w:t>o</w:t>
      </w:r>
      <w:r w:rsidR="00E425A0" w:rsidRPr="000F74D5">
        <w:rPr>
          <w:color w:val="auto"/>
          <w:szCs w:val="24"/>
        </w:rPr>
        <w:t xml:space="preserve">n </w:t>
      </w:r>
      <w:r w:rsidR="00E4215E">
        <w:rPr>
          <w:color w:val="auto"/>
          <w:szCs w:val="24"/>
        </w:rPr>
        <w:t xml:space="preserve">26 </w:t>
      </w:r>
      <w:r w:rsidR="00CE6A9E" w:rsidRPr="000F74D5">
        <w:rPr>
          <w:color w:val="auto"/>
          <w:szCs w:val="24"/>
        </w:rPr>
        <w:t>September  2003)</w:t>
      </w:r>
      <w:r w:rsidR="00E425A0" w:rsidRPr="000F74D5">
        <w:rPr>
          <w:color w:val="auto"/>
          <w:szCs w:val="24"/>
        </w:rPr>
        <w:t xml:space="preserve">. </w:t>
      </w:r>
      <w:r w:rsidR="00CE6A9E" w:rsidRPr="000F74D5">
        <w:rPr>
          <w:color w:val="auto"/>
          <w:szCs w:val="24"/>
        </w:rPr>
        <w:t xml:space="preserve"> </w:t>
      </w:r>
      <w:r w:rsidR="00E425A0" w:rsidRPr="000F74D5">
        <w:rPr>
          <w:color w:val="auto"/>
          <w:szCs w:val="24"/>
        </w:rPr>
        <w:t>The 200</w:t>
      </w:r>
      <w:r w:rsidR="00E425A0" w:rsidRPr="000F74D5">
        <w:rPr>
          <w:color w:val="auto"/>
        </w:rPr>
        <w:t>1 and 2003</w:t>
      </w:r>
      <w:r w:rsidR="00E425A0" w:rsidRPr="000F74D5">
        <w:rPr>
          <w:color w:val="auto"/>
          <w:szCs w:val="24"/>
        </w:rPr>
        <w:t xml:space="preserve"> standards for rating based on range</w:t>
      </w:r>
      <w:r w:rsidR="00E4215E">
        <w:rPr>
          <w:color w:val="auto"/>
          <w:szCs w:val="24"/>
        </w:rPr>
        <w:t xml:space="preserve"> </w:t>
      </w:r>
      <w:r w:rsidR="00E425A0" w:rsidRPr="000F74D5">
        <w:rPr>
          <w:color w:val="auto"/>
          <w:szCs w:val="24"/>
        </w:rPr>
        <w:t>of</w:t>
      </w:r>
      <w:r w:rsidR="00E4215E">
        <w:rPr>
          <w:color w:val="auto"/>
          <w:szCs w:val="24"/>
        </w:rPr>
        <w:t xml:space="preserve"> </w:t>
      </w:r>
      <w:r w:rsidR="00E425A0" w:rsidRPr="000F74D5">
        <w:rPr>
          <w:color w:val="auto"/>
          <w:szCs w:val="24"/>
        </w:rPr>
        <w:t>motion (ROM) impairment were subject to the rater’s opinion regarding degree of severity</w:t>
      </w:r>
      <w:r w:rsidR="008C5DB8" w:rsidRPr="000F74D5">
        <w:rPr>
          <w:color w:val="auto"/>
          <w:szCs w:val="24"/>
        </w:rPr>
        <w:t xml:space="preserve"> of limited motion</w:t>
      </w:r>
      <w:r w:rsidR="00E425A0" w:rsidRPr="000F74D5">
        <w:rPr>
          <w:color w:val="auto"/>
          <w:szCs w:val="24"/>
        </w:rPr>
        <w:t>, whereas the</w:t>
      </w:r>
      <w:r w:rsidR="00E425A0" w:rsidRPr="005D647A">
        <w:rPr>
          <w:color w:val="auto"/>
          <w:szCs w:val="24"/>
        </w:rPr>
        <w:t xml:space="preserve"> current standards specify rating thresholds in degrees of ROM impairment. </w:t>
      </w:r>
      <w:r w:rsidR="00A42266">
        <w:rPr>
          <w:color w:val="auto"/>
          <w:szCs w:val="24"/>
        </w:rPr>
        <w:t xml:space="preserve"> </w:t>
      </w:r>
      <w:r w:rsidR="008C5DB8">
        <w:rPr>
          <w:color w:val="auto"/>
          <w:szCs w:val="24"/>
        </w:rPr>
        <w:t xml:space="preserve">The older VASRD spine criteria also considered pain differently and considered factors other than </w:t>
      </w:r>
      <w:r w:rsidR="00D56B83">
        <w:rPr>
          <w:color w:val="auto"/>
          <w:szCs w:val="24"/>
        </w:rPr>
        <w:t xml:space="preserve">those specified in </w:t>
      </w:r>
      <w:r w:rsidR="008C5DB8">
        <w:rPr>
          <w:color w:val="auto"/>
          <w:szCs w:val="24"/>
        </w:rPr>
        <w:t xml:space="preserve">the newer rating criteria.  </w:t>
      </w:r>
    </w:p>
    <w:p w:rsidR="004A31C3" w:rsidRDefault="004A31C3" w:rsidP="00D56B83">
      <w:pPr>
        <w:spacing w:line="240" w:lineRule="exact"/>
        <w:jc w:val="both"/>
        <w:rPr>
          <w:rFonts w:asciiTheme="minorHAnsi" w:hAnsiTheme="minorHAnsi"/>
          <w:color w:val="auto"/>
          <w:szCs w:val="24"/>
        </w:rPr>
      </w:pPr>
    </w:p>
    <w:p w:rsidR="00D56B83" w:rsidRDefault="00CE6A9E" w:rsidP="00D56B83">
      <w:pPr>
        <w:tabs>
          <w:tab w:val="left" w:pos="288"/>
          <w:tab w:val="left" w:pos="5130"/>
        </w:tabs>
        <w:spacing w:line="240" w:lineRule="exact"/>
        <w:jc w:val="both"/>
        <w:rPr>
          <w:rFonts w:asciiTheme="minorHAnsi" w:hAnsiTheme="minorHAnsi"/>
          <w:color w:val="auto"/>
        </w:rPr>
      </w:pPr>
      <w:proofErr w:type="gramStart"/>
      <w:r w:rsidRPr="000F74D5">
        <w:rPr>
          <w:rFonts w:asciiTheme="minorHAnsi" w:hAnsiTheme="minorHAnsi"/>
          <w:color w:val="auto"/>
          <w:szCs w:val="24"/>
          <w:u w:val="single"/>
        </w:rPr>
        <w:t>L</w:t>
      </w:r>
      <w:r w:rsidR="00E4215E">
        <w:rPr>
          <w:rFonts w:asciiTheme="minorHAnsi" w:hAnsiTheme="minorHAnsi"/>
          <w:color w:val="auto"/>
          <w:szCs w:val="24"/>
          <w:u w:val="single"/>
        </w:rPr>
        <w:t>ow Back Pain</w:t>
      </w:r>
      <w:r w:rsidR="008F0BCB" w:rsidRPr="000F74D5">
        <w:rPr>
          <w:rFonts w:asciiTheme="minorHAnsi" w:hAnsiTheme="minorHAnsi"/>
          <w:i/>
          <w:color w:val="auto"/>
          <w:szCs w:val="24"/>
        </w:rPr>
        <w:t>.</w:t>
      </w:r>
      <w:proofErr w:type="gramEnd"/>
      <w:r w:rsidR="008F0BCB" w:rsidRPr="000F74D5">
        <w:rPr>
          <w:rFonts w:asciiTheme="minorHAnsi" w:hAnsiTheme="minorHAnsi"/>
          <w:color w:val="auto"/>
          <w:szCs w:val="24"/>
        </w:rPr>
        <w:t xml:space="preserve">  The initial </w:t>
      </w:r>
      <w:r w:rsidR="00E4215E">
        <w:rPr>
          <w:rFonts w:asciiTheme="minorHAnsi" w:hAnsiTheme="minorHAnsi"/>
          <w:color w:val="auto"/>
          <w:szCs w:val="24"/>
        </w:rPr>
        <w:t>narrative summary (</w:t>
      </w:r>
      <w:r w:rsidR="008F0BCB" w:rsidRPr="000F74D5">
        <w:rPr>
          <w:rFonts w:asciiTheme="minorHAnsi" w:hAnsiTheme="minorHAnsi"/>
          <w:color w:val="auto"/>
          <w:szCs w:val="24"/>
        </w:rPr>
        <w:t>NARSUM</w:t>
      </w:r>
      <w:r w:rsidR="00E4215E">
        <w:rPr>
          <w:rFonts w:asciiTheme="minorHAnsi" w:hAnsiTheme="minorHAnsi"/>
          <w:color w:val="auto"/>
          <w:szCs w:val="24"/>
        </w:rPr>
        <w:t>)</w:t>
      </w:r>
      <w:r w:rsidR="00CF763C" w:rsidRPr="000F74D5">
        <w:rPr>
          <w:rFonts w:asciiTheme="minorHAnsi" w:hAnsiTheme="minorHAnsi"/>
          <w:color w:val="auto"/>
          <w:szCs w:val="24"/>
        </w:rPr>
        <w:t>,</w:t>
      </w:r>
      <w:r w:rsidR="008F0BCB" w:rsidRPr="000F74D5">
        <w:rPr>
          <w:rFonts w:asciiTheme="minorHAnsi" w:hAnsiTheme="minorHAnsi"/>
          <w:color w:val="auto"/>
          <w:szCs w:val="24"/>
        </w:rPr>
        <w:t xml:space="preserve"> dictated seven months prior to TDRL</w:t>
      </w:r>
      <w:r w:rsidR="00CF763C" w:rsidRPr="000F74D5">
        <w:rPr>
          <w:rFonts w:asciiTheme="minorHAnsi" w:hAnsiTheme="minorHAnsi"/>
          <w:color w:val="auto"/>
          <w:szCs w:val="24"/>
        </w:rPr>
        <w:t>,</w:t>
      </w:r>
      <w:r w:rsidR="008F0BCB" w:rsidRPr="000F74D5">
        <w:rPr>
          <w:rFonts w:asciiTheme="minorHAnsi" w:hAnsiTheme="minorHAnsi"/>
          <w:color w:val="auto"/>
          <w:szCs w:val="24"/>
        </w:rPr>
        <w:t xml:space="preserve"> noted that </w:t>
      </w:r>
      <w:r w:rsidRPr="000F74D5">
        <w:rPr>
          <w:rFonts w:asciiTheme="minorHAnsi" w:hAnsiTheme="minorHAnsi"/>
          <w:color w:val="auto"/>
          <w:szCs w:val="24"/>
        </w:rPr>
        <w:t>t</w:t>
      </w:r>
      <w:r w:rsidR="008F0BCB" w:rsidRPr="000F74D5">
        <w:rPr>
          <w:rFonts w:asciiTheme="minorHAnsi" w:hAnsiTheme="minorHAnsi"/>
          <w:color w:val="auto"/>
          <w:szCs w:val="24"/>
        </w:rPr>
        <w:t xml:space="preserve">he </w:t>
      </w:r>
      <w:r w:rsidRPr="000F74D5">
        <w:rPr>
          <w:rFonts w:asciiTheme="minorHAnsi" w:hAnsiTheme="minorHAnsi"/>
          <w:color w:val="auto"/>
          <w:szCs w:val="24"/>
        </w:rPr>
        <w:t xml:space="preserve">CI </w:t>
      </w:r>
      <w:r w:rsidR="008F0BCB" w:rsidRPr="000F74D5">
        <w:rPr>
          <w:rFonts w:asciiTheme="minorHAnsi" w:hAnsiTheme="minorHAnsi"/>
          <w:color w:val="auto"/>
          <w:szCs w:val="24"/>
        </w:rPr>
        <w:t xml:space="preserve">had continued </w:t>
      </w:r>
      <w:r w:rsidR="004A31C3" w:rsidRPr="000F74D5">
        <w:rPr>
          <w:rFonts w:asciiTheme="minorHAnsi" w:hAnsiTheme="minorHAnsi"/>
          <w:color w:val="auto"/>
          <w:szCs w:val="24"/>
        </w:rPr>
        <w:t xml:space="preserve">moderate </w:t>
      </w:r>
      <w:r w:rsidR="008F0BCB" w:rsidRPr="000F74D5">
        <w:rPr>
          <w:rFonts w:asciiTheme="minorHAnsi" w:hAnsiTheme="minorHAnsi"/>
          <w:color w:val="auto"/>
          <w:szCs w:val="24"/>
        </w:rPr>
        <w:t>pain and difficulty getting out of a chair.  There was slightly decreased sensitivity to touch over the distal right lateral thigh, but the sensory</w:t>
      </w:r>
      <w:r w:rsidR="00CF763C" w:rsidRPr="000F74D5">
        <w:rPr>
          <w:rFonts w:asciiTheme="minorHAnsi" w:hAnsiTheme="minorHAnsi"/>
          <w:color w:val="auto"/>
          <w:szCs w:val="24"/>
        </w:rPr>
        <w:t xml:space="preserve"> and</w:t>
      </w:r>
      <w:r w:rsidR="008F0BCB" w:rsidRPr="000F74D5">
        <w:rPr>
          <w:rFonts w:asciiTheme="minorHAnsi" w:hAnsiTheme="minorHAnsi"/>
          <w:color w:val="auto"/>
          <w:szCs w:val="24"/>
        </w:rPr>
        <w:t xml:space="preserve"> motor </w:t>
      </w:r>
      <w:r w:rsidR="00CF763C" w:rsidRPr="000F74D5">
        <w:rPr>
          <w:rFonts w:asciiTheme="minorHAnsi" w:hAnsiTheme="minorHAnsi"/>
          <w:color w:val="auto"/>
          <w:szCs w:val="24"/>
        </w:rPr>
        <w:t xml:space="preserve">exams were </w:t>
      </w:r>
      <w:r w:rsidR="008F0BCB" w:rsidRPr="000F74D5">
        <w:rPr>
          <w:rFonts w:asciiTheme="minorHAnsi" w:hAnsiTheme="minorHAnsi"/>
          <w:color w:val="auto"/>
          <w:szCs w:val="24"/>
        </w:rPr>
        <w:t>otherwise normal.  Deep tendon reflex exam was normal on the right and decreased on the left.  There was no limp.  ROM was deferred secondary to the recent surgery.  A clinical ortho</w:t>
      </w:r>
      <w:r w:rsidR="00CF763C" w:rsidRPr="000F74D5">
        <w:rPr>
          <w:rFonts w:asciiTheme="minorHAnsi" w:hAnsiTheme="minorHAnsi"/>
          <w:color w:val="auto"/>
          <w:szCs w:val="24"/>
        </w:rPr>
        <w:t xml:space="preserve">pedic </w:t>
      </w:r>
      <w:r w:rsidR="008F0BCB" w:rsidRPr="000F74D5">
        <w:rPr>
          <w:rFonts w:asciiTheme="minorHAnsi" w:hAnsiTheme="minorHAnsi"/>
          <w:color w:val="auto"/>
          <w:szCs w:val="24"/>
        </w:rPr>
        <w:t xml:space="preserve">note one month later did note that </w:t>
      </w:r>
      <w:r w:rsidR="004225C8" w:rsidRPr="000F74D5">
        <w:rPr>
          <w:rFonts w:asciiTheme="minorHAnsi" w:hAnsiTheme="minorHAnsi"/>
          <w:color w:val="auto"/>
          <w:szCs w:val="24"/>
        </w:rPr>
        <w:t xml:space="preserve">pain was “still improving”, </w:t>
      </w:r>
      <w:r w:rsidR="008F0BCB" w:rsidRPr="000F74D5">
        <w:rPr>
          <w:rFonts w:asciiTheme="minorHAnsi" w:hAnsiTheme="minorHAnsi"/>
          <w:color w:val="auto"/>
          <w:szCs w:val="24"/>
        </w:rPr>
        <w:t>the gait looked good and that he could “flex to knees</w:t>
      </w:r>
      <w:r w:rsidR="00BA7972">
        <w:rPr>
          <w:rFonts w:asciiTheme="minorHAnsi" w:hAnsiTheme="minorHAnsi"/>
          <w:color w:val="auto"/>
          <w:szCs w:val="24"/>
        </w:rPr>
        <w:t>,”</w:t>
      </w:r>
      <w:r w:rsidR="008F0BCB" w:rsidRPr="000F74D5">
        <w:rPr>
          <w:rFonts w:asciiTheme="minorHAnsi" w:hAnsiTheme="minorHAnsi"/>
          <w:color w:val="auto"/>
          <w:szCs w:val="24"/>
        </w:rPr>
        <w:t xml:space="preserve"> but was slow to straighten.  After being on incapacitation pay (apparently from </w:t>
      </w:r>
      <w:r w:rsidR="00E4215E">
        <w:rPr>
          <w:rFonts w:asciiTheme="minorHAnsi" w:hAnsiTheme="minorHAnsi"/>
          <w:color w:val="auto"/>
          <w:szCs w:val="24"/>
        </w:rPr>
        <w:t xml:space="preserve">29 March </w:t>
      </w:r>
      <w:r w:rsidR="008F0BCB" w:rsidRPr="000F74D5">
        <w:rPr>
          <w:rFonts w:asciiTheme="minorHAnsi" w:hAnsiTheme="minorHAnsi"/>
          <w:color w:val="auto"/>
        </w:rPr>
        <w:t xml:space="preserve">– </w:t>
      </w:r>
      <w:r w:rsidR="00E4215E">
        <w:rPr>
          <w:rFonts w:asciiTheme="minorHAnsi" w:hAnsiTheme="minorHAnsi"/>
          <w:color w:val="auto"/>
        </w:rPr>
        <w:t xml:space="preserve">26 November </w:t>
      </w:r>
      <w:r w:rsidR="008F0BCB" w:rsidRPr="000F74D5">
        <w:rPr>
          <w:rFonts w:asciiTheme="minorHAnsi" w:hAnsiTheme="minorHAnsi"/>
          <w:color w:val="auto"/>
        </w:rPr>
        <w:t xml:space="preserve">2001), he was placed on TDRL </w:t>
      </w:r>
      <w:r w:rsidR="00E4215E">
        <w:rPr>
          <w:rFonts w:asciiTheme="minorHAnsi" w:hAnsiTheme="minorHAnsi"/>
          <w:color w:val="auto"/>
        </w:rPr>
        <w:lastRenderedPageBreak/>
        <w:t>27</w:t>
      </w:r>
      <w:r w:rsidR="00270100">
        <w:rPr>
          <w:rFonts w:asciiTheme="minorHAnsi" w:hAnsiTheme="minorHAnsi"/>
          <w:color w:val="auto"/>
        </w:rPr>
        <w:t> </w:t>
      </w:r>
      <w:r w:rsidR="00E4215E">
        <w:rPr>
          <w:rFonts w:asciiTheme="minorHAnsi" w:hAnsiTheme="minorHAnsi"/>
          <w:color w:val="auto"/>
        </w:rPr>
        <w:t xml:space="preserve">November </w:t>
      </w:r>
      <w:r w:rsidR="008F0BCB" w:rsidRPr="000F74D5">
        <w:rPr>
          <w:rFonts w:asciiTheme="minorHAnsi" w:hAnsiTheme="minorHAnsi"/>
          <w:color w:val="auto"/>
        </w:rPr>
        <w:t>2001 with a 40% disability rating.</w:t>
      </w:r>
      <w:r w:rsidR="006C3789">
        <w:rPr>
          <w:rFonts w:asciiTheme="minorHAnsi" w:hAnsiTheme="minorHAnsi"/>
          <w:color w:val="auto"/>
        </w:rPr>
        <w:t xml:space="preserve">  </w:t>
      </w:r>
      <w:r w:rsidR="008F0BCB" w:rsidRPr="000F74D5">
        <w:rPr>
          <w:rFonts w:asciiTheme="minorHAnsi" w:hAnsiTheme="minorHAnsi"/>
          <w:color w:val="auto"/>
        </w:rPr>
        <w:t xml:space="preserve">The initial VA compensation and pension (C&amp;P) exam was </w:t>
      </w:r>
      <w:r w:rsidR="00E4215E">
        <w:rPr>
          <w:rFonts w:asciiTheme="minorHAnsi" w:hAnsiTheme="minorHAnsi"/>
          <w:color w:val="auto"/>
        </w:rPr>
        <w:t>6</w:t>
      </w:r>
      <w:r w:rsidR="008F0BCB" w:rsidRPr="000F74D5">
        <w:rPr>
          <w:rFonts w:asciiTheme="minorHAnsi" w:hAnsiTheme="minorHAnsi"/>
          <w:color w:val="auto"/>
        </w:rPr>
        <w:t xml:space="preserve"> months later and 14 months prior to final</w:t>
      </w:r>
      <w:r w:rsidR="00D107AC" w:rsidRPr="000F74D5">
        <w:rPr>
          <w:rFonts w:asciiTheme="minorHAnsi" w:hAnsiTheme="minorHAnsi"/>
          <w:color w:val="auto"/>
        </w:rPr>
        <w:t xml:space="preserve">ization </w:t>
      </w:r>
      <w:r w:rsidR="00806390" w:rsidRPr="000F74D5">
        <w:rPr>
          <w:rFonts w:asciiTheme="minorHAnsi" w:hAnsiTheme="minorHAnsi"/>
          <w:color w:val="auto"/>
        </w:rPr>
        <w:t>(exit from)</w:t>
      </w:r>
      <w:r w:rsidR="00D107AC" w:rsidRPr="000F74D5">
        <w:rPr>
          <w:rFonts w:asciiTheme="minorHAnsi" w:hAnsiTheme="minorHAnsi"/>
          <w:color w:val="auto"/>
        </w:rPr>
        <w:t xml:space="preserve"> TDRL</w:t>
      </w:r>
      <w:r w:rsidR="008F0BCB" w:rsidRPr="000F74D5">
        <w:rPr>
          <w:rFonts w:asciiTheme="minorHAnsi" w:hAnsiTheme="minorHAnsi"/>
          <w:color w:val="auto"/>
        </w:rPr>
        <w:t xml:space="preserve">.  It noted that </w:t>
      </w:r>
      <w:r w:rsidR="00D107AC" w:rsidRPr="000F74D5">
        <w:rPr>
          <w:rFonts w:asciiTheme="minorHAnsi" w:hAnsiTheme="minorHAnsi"/>
          <w:color w:val="auto"/>
        </w:rPr>
        <w:t>the CI</w:t>
      </w:r>
      <w:r w:rsidR="008F0BCB" w:rsidRPr="000F74D5">
        <w:rPr>
          <w:rFonts w:asciiTheme="minorHAnsi" w:hAnsiTheme="minorHAnsi"/>
          <w:color w:val="auto"/>
        </w:rPr>
        <w:t xml:space="preserve"> continued to have pain, difficulty getting from a seated position and some radiation of pain down the left later</w:t>
      </w:r>
      <w:r w:rsidR="007A7235" w:rsidRPr="000F74D5">
        <w:rPr>
          <w:rFonts w:asciiTheme="minorHAnsi" w:hAnsiTheme="minorHAnsi"/>
          <w:color w:val="auto"/>
        </w:rPr>
        <w:t>al</w:t>
      </w:r>
      <w:r w:rsidR="008F0BCB" w:rsidRPr="000F74D5">
        <w:rPr>
          <w:rFonts w:asciiTheme="minorHAnsi" w:hAnsiTheme="minorHAnsi"/>
          <w:color w:val="auto"/>
        </w:rPr>
        <w:t xml:space="preserve"> thigh.  He was able to flex 45 degrees and extend to zero.  Rotation and lateral bending were both limited as well to 10 and 20 degrees, respectively, bilaterally.  DTRs were symmetric and reduced.</w:t>
      </w:r>
      <w:r w:rsidR="008F0BCB">
        <w:rPr>
          <w:rFonts w:asciiTheme="minorHAnsi" w:hAnsiTheme="minorHAnsi"/>
          <w:color w:val="auto"/>
        </w:rPr>
        <w:t xml:space="preserve">  </w:t>
      </w:r>
      <w:r w:rsidR="008C5DB8">
        <w:rPr>
          <w:rFonts w:asciiTheme="minorHAnsi" w:hAnsiTheme="minorHAnsi"/>
          <w:color w:val="auto"/>
        </w:rPr>
        <w:t>The VA rated this exam at 40% for severe limitation of the lumbar spine.</w:t>
      </w:r>
      <w:r w:rsidR="006C3789">
        <w:rPr>
          <w:rFonts w:asciiTheme="minorHAnsi" w:hAnsiTheme="minorHAnsi"/>
          <w:color w:val="auto"/>
        </w:rPr>
        <w:t xml:space="preserve">  </w:t>
      </w:r>
      <w:r w:rsidR="008F0BCB" w:rsidRPr="000F74D5">
        <w:rPr>
          <w:rFonts w:asciiTheme="minorHAnsi" w:hAnsiTheme="minorHAnsi"/>
          <w:color w:val="auto"/>
        </w:rPr>
        <w:t xml:space="preserve">The TDRL </w:t>
      </w:r>
      <w:r w:rsidR="00CF763C" w:rsidRPr="000F74D5">
        <w:rPr>
          <w:rFonts w:asciiTheme="minorHAnsi" w:hAnsiTheme="minorHAnsi"/>
          <w:color w:val="auto"/>
        </w:rPr>
        <w:t xml:space="preserve">exit </w:t>
      </w:r>
      <w:r w:rsidR="008F0BCB" w:rsidRPr="000F74D5">
        <w:rPr>
          <w:rFonts w:asciiTheme="minorHAnsi" w:hAnsiTheme="minorHAnsi"/>
          <w:color w:val="auto"/>
        </w:rPr>
        <w:t xml:space="preserve">exam was accomplished </w:t>
      </w:r>
      <w:r w:rsidR="00D107AC" w:rsidRPr="000F74D5">
        <w:rPr>
          <w:rFonts w:asciiTheme="minorHAnsi" w:hAnsiTheme="minorHAnsi"/>
          <w:color w:val="auto"/>
        </w:rPr>
        <w:t>(</w:t>
      </w:r>
      <w:r w:rsidR="00E4215E">
        <w:rPr>
          <w:rFonts w:asciiTheme="minorHAnsi" w:hAnsiTheme="minorHAnsi"/>
          <w:color w:val="auto"/>
        </w:rPr>
        <w:t xml:space="preserve">26 February </w:t>
      </w:r>
      <w:r w:rsidR="008F0BCB" w:rsidRPr="000F74D5">
        <w:rPr>
          <w:rFonts w:asciiTheme="minorHAnsi" w:hAnsiTheme="minorHAnsi"/>
          <w:color w:val="auto"/>
        </w:rPr>
        <w:t>2003</w:t>
      </w:r>
      <w:r w:rsidR="00D107AC" w:rsidRPr="000F74D5">
        <w:rPr>
          <w:rFonts w:asciiTheme="minorHAnsi" w:hAnsiTheme="minorHAnsi"/>
          <w:color w:val="auto"/>
        </w:rPr>
        <w:t>)</w:t>
      </w:r>
      <w:r w:rsidR="008F0BCB" w:rsidRPr="000F74D5">
        <w:rPr>
          <w:rFonts w:asciiTheme="minorHAnsi" w:hAnsiTheme="minorHAnsi"/>
          <w:color w:val="auto"/>
        </w:rPr>
        <w:t xml:space="preserve"> four months prior to </w:t>
      </w:r>
      <w:r w:rsidR="00806390" w:rsidRPr="000F74D5">
        <w:rPr>
          <w:rFonts w:asciiTheme="minorHAnsi" w:hAnsiTheme="minorHAnsi"/>
          <w:color w:val="auto"/>
        </w:rPr>
        <w:t>TDRL finalization</w:t>
      </w:r>
      <w:r w:rsidR="008F0BCB" w:rsidRPr="000F74D5">
        <w:rPr>
          <w:rFonts w:asciiTheme="minorHAnsi" w:hAnsiTheme="minorHAnsi"/>
          <w:color w:val="auto"/>
        </w:rPr>
        <w:t xml:space="preserve"> by an orthopedic surgeon.  </w:t>
      </w:r>
      <w:r w:rsidR="00D107AC" w:rsidRPr="000F74D5">
        <w:rPr>
          <w:rFonts w:asciiTheme="minorHAnsi" w:hAnsiTheme="minorHAnsi"/>
          <w:color w:val="auto"/>
        </w:rPr>
        <w:t xml:space="preserve">The CI </w:t>
      </w:r>
      <w:r w:rsidR="004225C8" w:rsidRPr="000F74D5">
        <w:rPr>
          <w:rFonts w:asciiTheme="minorHAnsi" w:hAnsiTheme="minorHAnsi"/>
          <w:color w:val="auto"/>
        </w:rPr>
        <w:t xml:space="preserve">had now reached maximum expected medical benefit.  </w:t>
      </w:r>
      <w:r w:rsidR="001300DC" w:rsidRPr="000F74D5">
        <w:rPr>
          <w:rFonts w:asciiTheme="minorHAnsi" w:hAnsiTheme="minorHAnsi"/>
          <w:color w:val="auto"/>
        </w:rPr>
        <w:t>The examiner stated:</w:t>
      </w:r>
    </w:p>
    <w:p w:rsidR="00D56B83" w:rsidRDefault="00D56B83" w:rsidP="006C3789">
      <w:pPr>
        <w:tabs>
          <w:tab w:val="left" w:pos="288"/>
          <w:tab w:val="left" w:pos="5130"/>
        </w:tabs>
        <w:spacing w:line="240" w:lineRule="exact"/>
        <w:rPr>
          <w:rFonts w:asciiTheme="minorHAnsi" w:hAnsiTheme="minorHAnsi"/>
          <w:color w:val="auto"/>
        </w:rPr>
      </w:pPr>
    </w:p>
    <w:p w:rsidR="00D56B83" w:rsidRPr="007125F4" w:rsidRDefault="001300DC" w:rsidP="006A0549">
      <w:pPr>
        <w:tabs>
          <w:tab w:val="left" w:pos="5130"/>
        </w:tabs>
        <w:spacing w:line="220" w:lineRule="exact"/>
        <w:ind w:left="450" w:right="360"/>
        <w:jc w:val="both"/>
        <w:rPr>
          <w:rFonts w:asciiTheme="minorHAnsi" w:hAnsiTheme="minorHAnsi"/>
          <w:color w:val="auto"/>
          <w:sz w:val="20"/>
        </w:rPr>
      </w:pPr>
      <w:r w:rsidRPr="007125F4">
        <w:rPr>
          <w:rFonts w:asciiTheme="minorHAnsi" w:hAnsiTheme="minorHAnsi"/>
          <w:color w:val="auto"/>
          <w:sz w:val="20"/>
        </w:rPr>
        <w:t xml:space="preserve">“Patient had no pain or difficulty with movement of both feet. </w:t>
      </w:r>
      <w:r w:rsidR="00D56B83" w:rsidRPr="007125F4">
        <w:rPr>
          <w:rFonts w:asciiTheme="minorHAnsi" w:hAnsiTheme="minorHAnsi"/>
          <w:color w:val="auto"/>
          <w:sz w:val="20"/>
        </w:rPr>
        <w:t xml:space="preserve"> </w:t>
      </w:r>
      <w:proofErr w:type="gramStart"/>
      <w:r w:rsidRPr="007125F4">
        <w:rPr>
          <w:rFonts w:asciiTheme="minorHAnsi" w:hAnsiTheme="minorHAnsi"/>
          <w:color w:val="auto"/>
          <w:sz w:val="20"/>
        </w:rPr>
        <w:t>Anterior tibialis/gastroc/posterior tibialis and extensor hallucis longus strength 5/5.</w:t>
      </w:r>
      <w:proofErr w:type="gramEnd"/>
      <w:r w:rsidRPr="007125F4">
        <w:rPr>
          <w:rFonts w:asciiTheme="minorHAnsi" w:hAnsiTheme="minorHAnsi"/>
          <w:color w:val="auto"/>
          <w:sz w:val="20"/>
        </w:rPr>
        <w:t xml:space="preserve">  Patient was unable to extend his knees or flex his hips against resistance without excruciating pain from his lower back.  Patient did not have any pain radiating into his legs on seated straight leg raise which occurred with this motion.  Patient has no sensory deficit in either lower extremity.  Patient has moderate focal tenderness over his lower back with radiation towards the sacroiliac joints bilaterally.  Patient had extreme difficulty transitioning from a seated to a standing position.  Patient slouched and leaned towards his right side as he attempted to stand up.  On standing, the patient assumed a posture of flexion at the waist of approximately 45 degrees and required approximately 15-20 seconds to assume a more erect posture.  Patient walked slowly and deliberately for the next 2-3 minutes during the examination.  Patient is able to stand on his toes and stand on his heels.”</w:t>
      </w:r>
    </w:p>
    <w:p w:rsidR="00D56B83" w:rsidRDefault="00D56B83" w:rsidP="00D56B83">
      <w:pPr>
        <w:tabs>
          <w:tab w:val="left" w:pos="288"/>
          <w:tab w:val="left" w:pos="5130"/>
        </w:tabs>
        <w:spacing w:line="240" w:lineRule="exact"/>
        <w:jc w:val="both"/>
        <w:rPr>
          <w:rFonts w:asciiTheme="minorHAnsi" w:hAnsiTheme="minorHAnsi"/>
          <w:color w:val="auto"/>
          <w:sz w:val="22"/>
        </w:rPr>
      </w:pPr>
    </w:p>
    <w:p w:rsidR="00B60889" w:rsidRDefault="008F0BCB" w:rsidP="00D56B83">
      <w:pPr>
        <w:tabs>
          <w:tab w:val="left" w:pos="288"/>
          <w:tab w:val="left" w:pos="5130"/>
        </w:tabs>
        <w:spacing w:line="240" w:lineRule="exact"/>
        <w:jc w:val="both"/>
        <w:rPr>
          <w:rFonts w:asciiTheme="minorHAnsi" w:hAnsiTheme="minorHAnsi"/>
          <w:color w:val="auto"/>
        </w:rPr>
      </w:pPr>
      <w:r w:rsidRPr="000F74D5">
        <w:rPr>
          <w:rFonts w:asciiTheme="minorHAnsi" w:hAnsiTheme="minorHAnsi"/>
          <w:color w:val="auto"/>
        </w:rPr>
        <w:t xml:space="preserve">No other ROM was annotated.  No incapacitating episodes were documented.  No </w:t>
      </w:r>
      <w:r w:rsidR="006F3E6F" w:rsidRPr="000F74D5">
        <w:rPr>
          <w:rFonts w:asciiTheme="minorHAnsi" w:hAnsiTheme="minorHAnsi"/>
          <w:color w:val="auto"/>
        </w:rPr>
        <w:t xml:space="preserve">fixed </w:t>
      </w:r>
      <w:r w:rsidRPr="000F74D5">
        <w:rPr>
          <w:rFonts w:asciiTheme="minorHAnsi" w:hAnsiTheme="minorHAnsi"/>
          <w:color w:val="auto"/>
        </w:rPr>
        <w:t xml:space="preserve">kyphosis was noted </w:t>
      </w:r>
      <w:r w:rsidR="00CF763C" w:rsidRPr="000F74D5">
        <w:rPr>
          <w:rFonts w:asciiTheme="minorHAnsi" w:hAnsiTheme="minorHAnsi"/>
          <w:color w:val="auto"/>
        </w:rPr>
        <w:t>(</w:t>
      </w:r>
      <w:r w:rsidRPr="000F74D5">
        <w:rPr>
          <w:rFonts w:asciiTheme="minorHAnsi" w:hAnsiTheme="minorHAnsi"/>
          <w:color w:val="auto"/>
        </w:rPr>
        <w:t>other than at th</w:t>
      </w:r>
      <w:r w:rsidR="00CF763C" w:rsidRPr="000F74D5">
        <w:rPr>
          <w:rFonts w:asciiTheme="minorHAnsi" w:hAnsiTheme="minorHAnsi"/>
          <w:color w:val="auto"/>
        </w:rPr>
        <w:t xml:space="preserve">e two level </w:t>
      </w:r>
      <w:r w:rsidR="00A42266" w:rsidRPr="000F74D5">
        <w:rPr>
          <w:rFonts w:asciiTheme="minorHAnsi" w:hAnsiTheme="minorHAnsi"/>
          <w:color w:val="auto"/>
        </w:rPr>
        <w:t>fusions</w:t>
      </w:r>
      <w:r w:rsidRPr="000F74D5">
        <w:rPr>
          <w:rFonts w:asciiTheme="minorHAnsi" w:hAnsiTheme="minorHAnsi"/>
          <w:color w:val="auto"/>
        </w:rPr>
        <w:t xml:space="preserve">).  Goldthwaite’s sign </w:t>
      </w:r>
      <w:r w:rsidR="00A42266" w:rsidRPr="000F74D5">
        <w:rPr>
          <w:rFonts w:asciiTheme="minorHAnsi" w:hAnsiTheme="minorHAnsi"/>
          <w:color w:val="auto"/>
        </w:rPr>
        <w:t xml:space="preserve">(non specific and no longer used) </w:t>
      </w:r>
      <w:r w:rsidRPr="000F74D5">
        <w:rPr>
          <w:rFonts w:asciiTheme="minorHAnsi" w:hAnsiTheme="minorHAnsi"/>
          <w:color w:val="auto"/>
        </w:rPr>
        <w:t>was not specifically cited in any exam nor</w:t>
      </w:r>
      <w:r>
        <w:rPr>
          <w:rFonts w:asciiTheme="minorHAnsi" w:hAnsiTheme="minorHAnsi"/>
          <w:color w:val="auto"/>
        </w:rPr>
        <w:t xml:space="preserve"> was there ever evidence of </w:t>
      </w:r>
      <w:r w:rsidR="00BA7972">
        <w:rPr>
          <w:rFonts w:asciiTheme="minorHAnsi" w:hAnsiTheme="minorHAnsi"/>
          <w:color w:val="auto"/>
        </w:rPr>
        <w:t>sacroiliac joint</w:t>
      </w:r>
      <w:r>
        <w:rPr>
          <w:rFonts w:asciiTheme="minorHAnsi" w:hAnsiTheme="minorHAnsi"/>
          <w:color w:val="auto"/>
        </w:rPr>
        <w:t xml:space="preserve"> disease in the record.  </w:t>
      </w:r>
      <w:r w:rsidR="00A42266">
        <w:rPr>
          <w:rFonts w:asciiTheme="minorHAnsi" w:hAnsiTheme="minorHAnsi"/>
          <w:color w:val="auto"/>
        </w:rPr>
        <w:t>Neither b</w:t>
      </w:r>
      <w:r w:rsidR="0039798B">
        <w:rPr>
          <w:rFonts w:asciiTheme="minorHAnsi" w:hAnsiTheme="minorHAnsi"/>
          <w:color w:val="auto"/>
        </w:rPr>
        <w:t xml:space="preserve">owel </w:t>
      </w:r>
      <w:r w:rsidR="00A42266">
        <w:rPr>
          <w:rFonts w:asciiTheme="minorHAnsi" w:hAnsiTheme="minorHAnsi"/>
          <w:color w:val="auto"/>
        </w:rPr>
        <w:t>nor bladder dysfunction was</w:t>
      </w:r>
      <w:r w:rsidR="0039798B">
        <w:rPr>
          <w:rFonts w:asciiTheme="minorHAnsi" w:hAnsiTheme="minorHAnsi"/>
          <w:color w:val="auto"/>
        </w:rPr>
        <w:t xml:space="preserve"> documented in the record.  </w:t>
      </w:r>
      <w:r w:rsidR="008C5DB8">
        <w:rPr>
          <w:rFonts w:asciiTheme="minorHAnsi" w:hAnsiTheme="minorHAnsi"/>
          <w:color w:val="auto"/>
        </w:rPr>
        <w:t xml:space="preserve">The FPEB noted that there had been improvement in the exam and functioning since TDRL entry </w:t>
      </w:r>
      <w:r w:rsidR="004A31C3">
        <w:rPr>
          <w:rFonts w:asciiTheme="minorHAnsi" w:hAnsiTheme="minorHAnsi"/>
          <w:color w:val="auto"/>
        </w:rPr>
        <w:t xml:space="preserve">and </w:t>
      </w:r>
      <w:r w:rsidR="008C5DB8">
        <w:rPr>
          <w:rFonts w:asciiTheme="minorHAnsi" w:hAnsiTheme="minorHAnsi"/>
          <w:color w:val="auto"/>
        </w:rPr>
        <w:t xml:space="preserve">adjudicated a 20% rating coded 5295 at finalization (exit) from TDRL.  </w:t>
      </w:r>
      <w:r w:rsidR="0004094F">
        <w:rPr>
          <w:rFonts w:asciiTheme="minorHAnsi" w:hAnsiTheme="minorHAnsi"/>
          <w:color w:val="auto"/>
        </w:rPr>
        <w:t xml:space="preserve">There is no record that the VA ever reconsidered the back condition after the initial C&amp;P exam, 14 months prior to </w:t>
      </w:r>
      <w:r w:rsidR="004A31C3">
        <w:rPr>
          <w:rFonts w:asciiTheme="minorHAnsi" w:hAnsiTheme="minorHAnsi"/>
          <w:color w:val="auto"/>
        </w:rPr>
        <w:t>TDRL finalization</w:t>
      </w:r>
      <w:r w:rsidR="0004094F">
        <w:rPr>
          <w:rFonts w:asciiTheme="minorHAnsi" w:hAnsiTheme="minorHAnsi"/>
          <w:color w:val="auto"/>
        </w:rPr>
        <w:t>.  There were no VA treatment notes until July 2010 where the CI’s condition had clearly worsened.</w:t>
      </w:r>
      <w:r w:rsidR="006C3789">
        <w:rPr>
          <w:rFonts w:asciiTheme="minorHAnsi" w:hAnsiTheme="minorHAnsi"/>
          <w:color w:val="auto"/>
        </w:rPr>
        <w:t xml:space="preserve">  </w:t>
      </w:r>
      <w:r w:rsidR="0004094F">
        <w:rPr>
          <w:color w:val="auto"/>
        </w:rPr>
        <w:t>With regard to the rating for entry into TDRL, t</w:t>
      </w:r>
      <w:r w:rsidR="0004094F">
        <w:rPr>
          <w:rFonts w:asciiTheme="minorHAnsi" w:hAnsiTheme="minorHAnsi"/>
          <w:color w:val="auto"/>
        </w:rPr>
        <w:t xml:space="preserve">he PEB and VA chose different coding and rating options for the low back condition.  The PEB assigned a code of 5295 (lumbosacral strain) with </w:t>
      </w:r>
      <w:r w:rsidR="0004094F" w:rsidRPr="000F74D5">
        <w:rPr>
          <w:rFonts w:asciiTheme="minorHAnsi" w:hAnsiTheme="minorHAnsi"/>
          <w:color w:val="auto"/>
        </w:rPr>
        <w:t xml:space="preserve">40% for entry into TDRL.  The VA used 5292 (lumbosacral limitation of motion) and rated the back at 40%.  Neither code is currently used.  The Board noted that the 40% rating assigned by the PEB at TDRL entry and by the VA while the CI was in a TDRL status was the highest rating possible for either coding option.  Neither coding is </w:t>
      </w:r>
      <w:r w:rsidR="00BA7972" w:rsidRPr="000F74D5">
        <w:rPr>
          <w:rFonts w:asciiTheme="minorHAnsi" w:hAnsiTheme="minorHAnsi"/>
          <w:color w:val="auto"/>
        </w:rPr>
        <w:t>predominating</w:t>
      </w:r>
      <w:r w:rsidR="0004094F" w:rsidRPr="000F74D5">
        <w:rPr>
          <w:rFonts w:asciiTheme="minorHAnsi" w:hAnsiTheme="minorHAnsi"/>
          <w:color w:val="auto"/>
        </w:rPr>
        <w:t xml:space="preserve"> for initial TDRL rating.  All evidence considered</w:t>
      </w:r>
      <w:proofErr w:type="gramStart"/>
      <w:r w:rsidR="0004094F" w:rsidRPr="000F74D5">
        <w:rPr>
          <w:rFonts w:asciiTheme="minorHAnsi" w:hAnsiTheme="minorHAnsi"/>
          <w:color w:val="auto"/>
        </w:rPr>
        <w:t>,</w:t>
      </w:r>
      <w:proofErr w:type="gramEnd"/>
      <w:r w:rsidR="0004094F" w:rsidRPr="000F74D5">
        <w:rPr>
          <w:rFonts w:asciiTheme="minorHAnsi" w:hAnsiTheme="minorHAnsi"/>
          <w:color w:val="auto"/>
        </w:rPr>
        <w:t xml:space="preserve"> there is not reasonable doubt in the CI’s favor supporting a change from the PEB’s 40% rating determination for the LBP condition for entry into the TDRL period.</w:t>
      </w:r>
      <w:r w:rsidR="006C3789">
        <w:rPr>
          <w:rFonts w:asciiTheme="minorHAnsi" w:hAnsiTheme="minorHAnsi"/>
          <w:color w:val="auto"/>
        </w:rPr>
        <w:t xml:space="preserve">  </w:t>
      </w:r>
      <w:r w:rsidR="008C5DB8" w:rsidRPr="000F74D5">
        <w:rPr>
          <w:color w:val="auto"/>
        </w:rPr>
        <w:t>With regard to the rating for exit from TDRL (finalization), t</w:t>
      </w:r>
      <w:r w:rsidRPr="000F74D5">
        <w:rPr>
          <w:rFonts w:asciiTheme="minorHAnsi" w:hAnsiTheme="minorHAnsi"/>
          <w:color w:val="auto"/>
        </w:rPr>
        <w:t xml:space="preserve">he </w:t>
      </w:r>
      <w:r w:rsidR="004A31C3" w:rsidRPr="000F74D5">
        <w:rPr>
          <w:rFonts w:asciiTheme="minorHAnsi" w:hAnsiTheme="minorHAnsi"/>
          <w:color w:val="auto"/>
        </w:rPr>
        <w:t xml:space="preserve">Board </w:t>
      </w:r>
      <w:r w:rsidR="008C5DB8" w:rsidRPr="000F74D5">
        <w:rPr>
          <w:rFonts w:asciiTheme="minorHAnsi" w:hAnsiTheme="minorHAnsi"/>
          <w:color w:val="auto"/>
        </w:rPr>
        <w:t xml:space="preserve">considered </w:t>
      </w:r>
      <w:r w:rsidR="004A31C3" w:rsidRPr="000F74D5">
        <w:rPr>
          <w:rFonts w:asciiTheme="minorHAnsi" w:hAnsiTheme="minorHAnsi"/>
          <w:color w:val="auto"/>
        </w:rPr>
        <w:t xml:space="preserve">that </w:t>
      </w:r>
      <w:r w:rsidR="008C5DB8" w:rsidRPr="000F74D5">
        <w:rPr>
          <w:rFonts w:asciiTheme="minorHAnsi" w:hAnsiTheme="minorHAnsi"/>
          <w:color w:val="auto"/>
        </w:rPr>
        <w:t>the VA C&amp;P exam had a lowered probative value due to it</w:t>
      </w:r>
      <w:r w:rsidR="004A31C3" w:rsidRPr="000F74D5">
        <w:rPr>
          <w:rFonts w:asciiTheme="minorHAnsi" w:hAnsiTheme="minorHAnsi"/>
          <w:color w:val="auto"/>
        </w:rPr>
        <w:t>s</w:t>
      </w:r>
      <w:r w:rsidR="008C5DB8" w:rsidRPr="000F74D5">
        <w:rPr>
          <w:rFonts w:asciiTheme="minorHAnsi" w:hAnsiTheme="minorHAnsi"/>
          <w:color w:val="auto"/>
        </w:rPr>
        <w:t xml:space="preserve"> being remote from the TDRL finalization rating timeframe.  </w:t>
      </w:r>
      <w:r w:rsidR="004A31C3" w:rsidRPr="000F74D5">
        <w:rPr>
          <w:rFonts w:asciiTheme="minorHAnsi" w:hAnsiTheme="minorHAnsi"/>
          <w:color w:val="auto"/>
        </w:rPr>
        <w:t>There were no ROMs from the military exam, and no indication of motor or non-pain radiculopathy.  The examiner noted “extreme difficulty transitioning from a seated to a standing position</w:t>
      </w:r>
      <w:r w:rsidR="00BA7972">
        <w:rPr>
          <w:rFonts w:asciiTheme="minorHAnsi" w:hAnsiTheme="minorHAnsi"/>
          <w:color w:val="auto"/>
        </w:rPr>
        <w:t>,</w:t>
      </w:r>
      <w:r w:rsidR="004A31C3" w:rsidRPr="000F74D5">
        <w:rPr>
          <w:rFonts w:asciiTheme="minorHAnsi" w:hAnsiTheme="minorHAnsi"/>
          <w:color w:val="auto"/>
        </w:rPr>
        <w:t>” temporary abnormal posture after standing</w:t>
      </w:r>
      <w:r w:rsidR="00BA7972">
        <w:rPr>
          <w:rFonts w:asciiTheme="minorHAnsi" w:hAnsiTheme="minorHAnsi"/>
          <w:color w:val="auto"/>
        </w:rPr>
        <w:t>,</w:t>
      </w:r>
      <w:r w:rsidR="004A31C3" w:rsidRPr="000F74D5">
        <w:rPr>
          <w:rFonts w:asciiTheme="minorHAnsi" w:hAnsiTheme="minorHAnsi"/>
          <w:color w:val="auto"/>
        </w:rPr>
        <w:t xml:space="preserve"> and “unable to extend his knees or flex his hips against resistance without excruciating pain from his lower back</w:t>
      </w:r>
      <w:r w:rsidR="00B60889">
        <w:rPr>
          <w:rFonts w:asciiTheme="minorHAnsi" w:hAnsiTheme="minorHAnsi"/>
          <w:color w:val="auto"/>
        </w:rPr>
        <w:t>.</w:t>
      </w:r>
      <w:r w:rsidR="004A31C3" w:rsidRPr="004A31C3">
        <w:rPr>
          <w:rFonts w:asciiTheme="minorHAnsi" w:hAnsiTheme="minorHAnsi"/>
          <w:color w:val="auto"/>
        </w:rPr>
        <w:t>”  Additionally, the spine rules in effect at the time did not have the notations for considering pain as the new spine rules state</w:t>
      </w:r>
      <w:r w:rsidR="00BA7972">
        <w:rPr>
          <w:rFonts w:asciiTheme="minorHAnsi" w:hAnsiTheme="minorHAnsi"/>
          <w:color w:val="auto"/>
        </w:rPr>
        <w:t>,</w:t>
      </w:r>
      <w:r w:rsidR="004A31C3" w:rsidRPr="004A31C3">
        <w:rPr>
          <w:rFonts w:asciiTheme="minorHAnsi" w:hAnsiTheme="minorHAnsi"/>
          <w:color w:val="auto"/>
        </w:rPr>
        <w:t xml:space="preserve"> “With or without symptoms such as pain (whether or not it radiates), stiffness, or aching in the area of the spine affected by residuals of injury or disease.”</w:t>
      </w:r>
      <w:r w:rsidR="006C3789">
        <w:rPr>
          <w:rFonts w:asciiTheme="minorHAnsi" w:hAnsiTheme="minorHAnsi"/>
          <w:color w:val="auto"/>
        </w:rPr>
        <w:t xml:space="preserve">  </w:t>
      </w:r>
      <w:r w:rsidR="004A31C3" w:rsidRPr="000F74D5">
        <w:rPr>
          <w:rFonts w:asciiTheme="minorHAnsi" w:hAnsiTheme="minorHAnsi"/>
          <w:color w:val="auto"/>
        </w:rPr>
        <w:t>The Board considered the different coding options under the VASRD in effect at the time</w:t>
      </w:r>
      <w:r w:rsidR="00B60889" w:rsidRPr="000F74D5">
        <w:rPr>
          <w:rFonts w:asciiTheme="minorHAnsi" w:hAnsiTheme="minorHAnsi"/>
          <w:color w:val="auto"/>
        </w:rPr>
        <w:t>, predominately 5295 (</w:t>
      </w:r>
      <w:r w:rsidR="00BA7972">
        <w:rPr>
          <w:rFonts w:asciiTheme="minorHAnsi" w:hAnsiTheme="minorHAnsi"/>
          <w:color w:val="auto"/>
        </w:rPr>
        <w:t>l</w:t>
      </w:r>
      <w:r w:rsidR="00B60889" w:rsidRPr="000F74D5">
        <w:rPr>
          <w:rFonts w:asciiTheme="minorHAnsi" w:hAnsiTheme="minorHAnsi"/>
          <w:color w:val="auto"/>
        </w:rPr>
        <w:t>umbosacral strain)</w:t>
      </w:r>
      <w:r w:rsidR="00BA7972">
        <w:rPr>
          <w:rFonts w:asciiTheme="minorHAnsi" w:hAnsiTheme="minorHAnsi"/>
          <w:color w:val="auto"/>
        </w:rPr>
        <w:t>,</w:t>
      </w:r>
      <w:r w:rsidR="00B60889" w:rsidRPr="000F74D5">
        <w:rPr>
          <w:rFonts w:asciiTheme="minorHAnsi" w:hAnsiTheme="minorHAnsi"/>
          <w:color w:val="auto"/>
        </w:rPr>
        <w:t xml:space="preserve"> 5292 (</w:t>
      </w:r>
      <w:r w:rsidR="00BA7972">
        <w:rPr>
          <w:rFonts w:asciiTheme="minorHAnsi" w:hAnsiTheme="minorHAnsi"/>
          <w:color w:val="auto"/>
        </w:rPr>
        <w:t>s</w:t>
      </w:r>
      <w:r w:rsidR="00B60889" w:rsidRPr="000F74D5">
        <w:rPr>
          <w:rFonts w:asciiTheme="minorHAnsi" w:hAnsiTheme="minorHAnsi"/>
          <w:color w:val="auto"/>
        </w:rPr>
        <w:t>pine, limitation of motion of, lumbar)</w:t>
      </w:r>
      <w:r w:rsidR="00BA7972">
        <w:rPr>
          <w:rFonts w:asciiTheme="minorHAnsi" w:hAnsiTheme="minorHAnsi"/>
          <w:color w:val="auto"/>
        </w:rPr>
        <w:t>,</w:t>
      </w:r>
      <w:r w:rsidR="00B60889" w:rsidRPr="000F74D5">
        <w:rPr>
          <w:rFonts w:asciiTheme="minorHAnsi" w:hAnsiTheme="minorHAnsi"/>
          <w:color w:val="auto"/>
        </w:rPr>
        <w:t xml:space="preserve"> and 5285 (</w:t>
      </w:r>
      <w:r w:rsidR="00BA7972">
        <w:rPr>
          <w:rFonts w:asciiTheme="minorHAnsi" w:hAnsiTheme="minorHAnsi"/>
          <w:color w:val="auto"/>
        </w:rPr>
        <w:t>v</w:t>
      </w:r>
      <w:r w:rsidR="00B60889" w:rsidRPr="000F74D5">
        <w:rPr>
          <w:rFonts w:asciiTheme="minorHAnsi" w:hAnsiTheme="minorHAnsi"/>
          <w:color w:val="auto"/>
        </w:rPr>
        <w:t xml:space="preserve">ertebra, fracture of, residuals)--there was no 5241, spinal fusion code or other equivalent in effect at the time of TDRL </w:t>
      </w:r>
      <w:r w:rsidR="00B60889" w:rsidRPr="00D56B83">
        <w:rPr>
          <w:rFonts w:asciiTheme="minorHAnsi" w:hAnsiTheme="minorHAnsi"/>
          <w:color w:val="auto"/>
        </w:rPr>
        <w:t xml:space="preserve">finalization.  </w:t>
      </w:r>
      <w:r w:rsidR="00BB00F7" w:rsidRPr="00D56B83">
        <w:rPr>
          <w:rFonts w:asciiTheme="minorHAnsi" w:hAnsiTheme="minorHAnsi"/>
          <w:color w:val="auto"/>
        </w:rPr>
        <w:t xml:space="preserve">The Board </w:t>
      </w:r>
      <w:r w:rsidR="00D56B83" w:rsidRPr="00D56B83">
        <w:rPr>
          <w:rFonts w:asciiTheme="minorHAnsi" w:hAnsiTheme="minorHAnsi"/>
          <w:color w:val="auto"/>
        </w:rPr>
        <w:t xml:space="preserve">did </w:t>
      </w:r>
      <w:r w:rsidR="00BB00F7" w:rsidRPr="00D56B83">
        <w:rPr>
          <w:rFonts w:asciiTheme="minorHAnsi" w:hAnsiTheme="minorHAnsi"/>
          <w:color w:val="auto"/>
        </w:rPr>
        <w:t xml:space="preserve">note </w:t>
      </w:r>
      <w:r w:rsidR="00BB00F7" w:rsidRPr="00D56B83">
        <w:rPr>
          <w:rFonts w:asciiTheme="minorHAnsi" w:hAnsiTheme="minorHAnsi"/>
          <w:color w:val="auto"/>
          <w:szCs w:val="24"/>
        </w:rPr>
        <w:t xml:space="preserve">that the back condition would rate at 20% under </w:t>
      </w:r>
      <w:r w:rsidR="00D56B83" w:rsidRPr="00D56B83">
        <w:rPr>
          <w:rFonts w:asciiTheme="minorHAnsi" w:hAnsiTheme="minorHAnsi"/>
          <w:color w:val="auto"/>
          <w:szCs w:val="24"/>
        </w:rPr>
        <w:t xml:space="preserve">the </w:t>
      </w:r>
      <w:r w:rsidR="00BB00F7" w:rsidRPr="00D56B83">
        <w:rPr>
          <w:rFonts w:asciiTheme="minorHAnsi" w:hAnsiTheme="minorHAnsi"/>
          <w:color w:val="auto"/>
          <w:szCs w:val="24"/>
        </w:rPr>
        <w:t xml:space="preserve">current </w:t>
      </w:r>
      <w:r w:rsidR="00D56B83" w:rsidRPr="00D56B83">
        <w:rPr>
          <w:rFonts w:asciiTheme="minorHAnsi" w:hAnsiTheme="minorHAnsi"/>
          <w:color w:val="auto"/>
          <w:szCs w:val="24"/>
        </w:rPr>
        <w:t xml:space="preserve">VASRD </w:t>
      </w:r>
      <w:r w:rsidR="00BB00F7" w:rsidRPr="00D56B83">
        <w:rPr>
          <w:rFonts w:asciiTheme="minorHAnsi" w:hAnsiTheme="minorHAnsi"/>
          <w:color w:val="auto"/>
          <w:szCs w:val="24"/>
        </w:rPr>
        <w:t xml:space="preserve">spine rule; however, these criteria were not applicable </w:t>
      </w:r>
      <w:r w:rsidR="00D56B83" w:rsidRPr="00D56B83">
        <w:rPr>
          <w:rFonts w:asciiTheme="minorHAnsi" w:hAnsiTheme="minorHAnsi"/>
          <w:color w:val="auto"/>
          <w:szCs w:val="24"/>
        </w:rPr>
        <w:t xml:space="preserve">to this case </w:t>
      </w:r>
      <w:r w:rsidR="00BB00F7" w:rsidRPr="00D56B83">
        <w:rPr>
          <w:rFonts w:asciiTheme="minorHAnsi" w:hAnsiTheme="minorHAnsi"/>
          <w:color w:val="auto"/>
          <w:szCs w:val="24"/>
        </w:rPr>
        <w:t xml:space="preserve">due to the rating timeframe.  </w:t>
      </w:r>
      <w:r w:rsidR="00B60889" w:rsidRPr="00D56B83">
        <w:rPr>
          <w:rFonts w:asciiTheme="minorHAnsi" w:hAnsiTheme="minorHAnsi"/>
          <w:color w:val="auto"/>
        </w:rPr>
        <w:t>Code</w:t>
      </w:r>
      <w:r w:rsidR="00B60889" w:rsidRPr="000F74D5">
        <w:rPr>
          <w:rFonts w:asciiTheme="minorHAnsi" w:hAnsiTheme="minorHAnsi"/>
          <w:color w:val="auto"/>
        </w:rPr>
        <w:t xml:space="preserve"> 5295 would rate no higher than 20%; Code 5292 would rate between 20% to 40% (</w:t>
      </w:r>
      <w:r w:rsidR="00BA7972">
        <w:rPr>
          <w:rFonts w:asciiTheme="minorHAnsi" w:hAnsiTheme="minorHAnsi"/>
          <w:color w:val="auto"/>
        </w:rPr>
        <w:t>m</w:t>
      </w:r>
      <w:r w:rsidR="00B60889" w:rsidRPr="000F74D5">
        <w:rPr>
          <w:rFonts w:asciiTheme="minorHAnsi" w:hAnsiTheme="minorHAnsi"/>
          <w:color w:val="auto"/>
        </w:rPr>
        <w:t xml:space="preserve">oderate to </w:t>
      </w:r>
      <w:r w:rsidR="00B60889" w:rsidRPr="000F74D5">
        <w:rPr>
          <w:rFonts w:asciiTheme="minorHAnsi" w:hAnsiTheme="minorHAnsi"/>
          <w:color w:val="auto"/>
        </w:rPr>
        <w:lastRenderedPageBreak/>
        <w:t>severe), and the Board considered if multiple surgeries and fusions would meet the criteria for 5285 (</w:t>
      </w:r>
      <w:r w:rsidR="00BA7972">
        <w:rPr>
          <w:rFonts w:asciiTheme="minorHAnsi" w:hAnsiTheme="minorHAnsi"/>
          <w:color w:val="auto"/>
        </w:rPr>
        <w:t>v</w:t>
      </w:r>
      <w:r w:rsidR="00B60889" w:rsidRPr="000F74D5">
        <w:rPr>
          <w:rFonts w:asciiTheme="minorHAnsi" w:hAnsiTheme="minorHAnsi"/>
          <w:color w:val="auto"/>
        </w:rPr>
        <w:t>ertebra, fracture of, residuals) of</w:t>
      </w:r>
      <w:r w:rsidR="00BA7972">
        <w:rPr>
          <w:rFonts w:asciiTheme="minorHAnsi" w:hAnsiTheme="minorHAnsi"/>
          <w:color w:val="auto"/>
        </w:rPr>
        <w:t xml:space="preserve">, </w:t>
      </w:r>
      <w:r w:rsidR="00B60889" w:rsidRPr="000F74D5">
        <w:rPr>
          <w:rFonts w:asciiTheme="minorHAnsi" w:hAnsiTheme="minorHAnsi"/>
          <w:color w:val="auto"/>
        </w:rPr>
        <w:t>“In other cases rate in accordance with definite limited motion or muscle spasm, adding 10 percent for demonstrable deformity of vertebral body.”</w:t>
      </w:r>
      <w:r w:rsidR="006C3789">
        <w:rPr>
          <w:rFonts w:asciiTheme="minorHAnsi" w:hAnsiTheme="minorHAnsi"/>
          <w:color w:val="auto"/>
        </w:rPr>
        <w:t xml:space="preserve">  </w:t>
      </w:r>
      <w:r w:rsidR="00B60889" w:rsidRPr="006C3789">
        <w:rPr>
          <w:rFonts w:asciiTheme="minorHAnsi" w:hAnsiTheme="minorHAnsi"/>
          <w:color w:val="auto"/>
          <w:szCs w:val="24"/>
        </w:rPr>
        <w:t xml:space="preserve">After due deliberation, considering all of the evidence and mindful of VASRD §4.3 (reasonable doubt), the Board recommends a separation rating of 30% </w:t>
      </w:r>
      <w:r w:rsidR="006722E2" w:rsidRPr="006C3789">
        <w:rPr>
          <w:rFonts w:asciiTheme="minorHAnsi" w:hAnsiTheme="minorHAnsi"/>
          <w:color w:val="auto"/>
          <w:szCs w:val="24"/>
        </w:rPr>
        <w:t xml:space="preserve">coded </w:t>
      </w:r>
      <w:r w:rsidR="00D56B83">
        <w:rPr>
          <w:rFonts w:asciiTheme="minorHAnsi" w:hAnsiTheme="minorHAnsi"/>
          <w:color w:val="auto"/>
          <w:szCs w:val="24"/>
        </w:rPr>
        <w:t xml:space="preserve">analogously to </w:t>
      </w:r>
      <w:r w:rsidR="006722E2" w:rsidRPr="006C3789">
        <w:rPr>
          <w:rFonts w:asciiTheme="minorHAnsi" w:hAnsiTheme="minorHAnsi"/>
          <w:color w:val="auto"/>
          <w:szCs w:val="24"/>
        </w:rPr>
        <w:t>5285-5292 (with 20% from 5292 and an additional 10% from 5285)</w:t>
      </w:r>
      <w:r w:rsidR="00B60889" w:rsidRPr="006C3789">
        <w:rPr>
          <w:rFonts w:asciiTheme="minorHAnsi" w:hAnsiTheme="minorHAnsi"/>
          <w:color w:val="auto"/>
          <w:szCs w:val="24"/>
        </w:rPr>
        <w:t xml:space="preserve"> for the LBP condition.</w:t>
      </w:r>
      <w:r w:rsidR="006C3789">
        <w:rPr>
          <w:rFonts w:asciiTheme="minorHAnsi" w:hAnsiTheme="minorHAnsi"/>
          <w:color w:val="auto"/>
          <w:szCs w:val="24"/>
        </w:rPr>
        <w:t xml:space="preserve">  </w:t>
      </w:r>
    </w:p>
    <w:p w:rsidR="00D107AC" w:rsidRDefault="00D107AC" w:rsidP="00BB00F7">
      <w:pPr>
        <w:tabs>
          <w:tab w:val="left" w:pos="288"/>
          <w:tab w:val="left" w:pos="5130"/>
        </w:tabs>
        <w:spacing w:line="240" w:lineRule="exact"/>
        <w:jc w:val="both"/>
        <w:rPr>
          <w:rFonts w:asciiTheme="minorHAnsi" w:hAnsiTheme="minorHAnsi"/>
          <w:color w:val="auto"/>
        </w:rPr>
      </w:pPr>
    </w:p>
    <w:p w:rsidR="00EC337D" w:rsidRPr="00EC337D" w:rsidRDefault="004C60A3" w:rsidP="00BB00F7">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 xml:space="preserve">PEB </w:t>
      </w:r>
      <w:r w:rsidR="003604A5" w:rsidRPr="003F1206">
        <w:rPr>
          <w:rFonts w:asciiTheme="minorHAnsi" w:eastAsia="HiddenHorzOCR" w:hAnsiTheme="minorHAnsi"/>
          <w:color w:val="auto"/>
          <w:szCs w:val="24"/>
          <w:u w:val="single"/>
        </w:rPr>
        <w:t>Conditions</w:t>
      </w:r>
      <w:r w:rsidR="003604A5" w:rsidRPr="00EC337D">
        <w:rPr>
          <w:rFonts w:asciiTheme="minorHAnsi" w:eastAsia="HiddenHorzOCR" w:hAnsiTheme="minorHAnsi"/>
          <w:color w:val="auto"/>
          <w:szCs w:val="24"/>
        </w:rPr>
        <w:t>.</w:t>
      </w:r>
      <w:proofErr w:type="gramEnd"/>
      <w:r w:rsidR="002F2981">
        <w:rPr>
          <w:rFonts w:asciiTheme="minorHAnsi" w:eastAsia="HiddenHorzOCR" w:hAnsiTheme="minorHAnsi"/>
          <w:color w:val="auto"/>
          <w:szCs w:val="24"/>
        </w:rPr>
        <w:t xml:space="preserve"> </w:t>
      </w:r>
      <w:r w:rsidR="005434DC">
        <w:rPr>
          <w:rFonts w:asciiTheme="minorHAnsi" w:eastAsia="HiddenHorzOCR" w:hAnsiTheme="minorHAnsi"/>
          <w:color w:val="auto"/>
          <w:szCs w:val="24"/>
        </w:rPr>
        <w:t xml:space="preserve"> </w:t>
      </w:r>
      <w:r w:rsidR="00EC337D" w:rsidRPr="00EC337D">
        <w:rPr>
          <w:rFonts w:asciiTheme="minorHAnsi" w:eastAsia="HiddenHorzOCR" w:hAnsiTheme="minorHAnsi"/>
          <w:color w:val="auto"/>
          <w:szCs w:val="24"/>
        </w:rPr>
        <w:t xml:space="preserve">The other conditions forwarded by the MEB and adjudicated as not unfitting by the PEB </w:t>
      </w:r>
      <w:r w:rsidR="0039798B">
        <w:rPr>
          <w:rFonts w:asciiTheme="minorHAnsi" w:eastAsia="HiddenHorzOCR" w:hAnsiTheme="minorHAnsi"/>
          <w:color w:val="auto"/>
          <w:szCs w:val="24"/>
        </w:rPr>
        <w:t xml:space="preserve">on entry into TDRL </w:t>
      </w:r>
      <w:r w:rsidR="00EC337D" w:rsidRPr="00EC337D">
        <w:rPr>
          <w:rFonts w:asciiTheme="minorHAnsi" w:eastAsia="HiddenHorzOCR" w:hAnsiTheme="minorHAnsi"/>
          <w:color w:val="auto"/>
          <w:szCs w:val="24"/>
        </w:rPr>
        <w:t xml:space="preserve">were </w:t>
      </w:r>
      <w:r w:rsidR="0039798B">
        <w:rPr>
          <w:rFonts w:asciiTheme="minorHAnsi" w:eastAsia="HiddenHorzOCR" w:hAnsiTheme="minorHAnsi"/>
          <w:color w:val="auto"/>
          <w:szCs w:val="24"/>
        </w:rPr>
        <w:t xml:space="preserve">bilateral carpal tunnel syndrome (CTS), avascular necrosis of the scaphoid, right wrist, hypertension (HTN), myocardial infarction (MI) secondary to coronary heart disease (CHD), status post (S/P) coronary artery bypass graft (CABG). </w:t>
      </w:r>
      <w:r w:rsidR="00A42266">
        <w:rPr>
          <w:rFonts w:asciiTheme="minorHAnsi" w:eastAsia="HiddenHorzOCR" w:hAnsiTheme="minorHAnsi"/>
          <w:color w:val="auto"/>
          <w:szCs w:val="24"/>
        </w:rPr>
        <w:t xml:space="preserve"> </w:t>
      </w:r>
      <w:r w:rsidR="0039798B">
        <w:rPr>
          <w:rFonts w:asciiTheme="minorHAnsi" w:eastAsia="HiddenHorzOCR" w:hAnsiTheme="minorHAnsi"/>
          <w:color w:val="auto"/>
          <w:szCs w:val="24"/>
        </w:rPr>
        <w:t>None were on the IPEB or FPEB for exit</w:t>
      </w:r>
      <w:r w:rsidR="00F42D30">
        <w:rPr>
          <w:rFonts w:asciiTheme="minorHAnsi" w:eastAsia="HiddenHorzOCR" w:hAnsiTheme="minorHAnsi"/>
          <w:color w:val="auto"/>
          <w:szCs w:val="24"/>
        </w:rPr>
        <w:t xml:space="preserve"> from TDRL</w:t>
      </w:r>
      <w:r w:rsidR="0039798B">
        <w:rPr>
          <w:rFonts w:asciiTheme="minorHAnsi" w:eastAsia="HiddenHorzOCR" w:hAnsiTheme="minorHAnsi"/>
          <w:color w:val="auto"/>
          <w:szCs w:val="24"/>
        </w:rPr>
        <w:t>, but right shoulder pain secondary to impingement syndrome was added</w:t>
      </w:r>
      <w:r w:rsidR="00A42266">
        <w:rPr>
          <w:rFonts w:asciiTheme="minorHAnsi" w:eastAsia="HiddenHorzOCR" w:hAnsiTheme="minorHAnsi"/>
          <w:color w:val="auto"/>
          <w:szCs w:val="24"/>
        </w:rPr>
        <w:t xml:space="preserve"> to the exit PEB</w:t>
      </w:r>
      <w:r w:rsidR="00EC337D" w:rsidRPr="00EC337D">
        <w:rPr>
          <w:rFonts w:asciiTheme="minorHAnsi" w:eastAsia="HiddenHorzOCR" w:hAnsiTheme="minorHAnsi"/>
          <w:color w:val="auto"/>
          <w:szCs w:val="24"/>
        </w:rPr>
        <w:t xml:space="preserve">.  </w:t>
      </w:r>
      <w:r w:rsidR="0039798B">
        <w:rPr>
          <w:rFonts w:asciiTheme="minorHAnsi" w:eastAsia="HiddenHorzOCR" w:hAnsiTheme="minorHAnsi"/>
          <w:color w:val="auto"/>
          <w:szCs w:val="24"/>
        </w:rPr>
        <w:t xml:space="preserve">All of these conditions were considered Category II, condition that can be unfitting but are not currently compensable or ratable.  Hyperlipidemia and tobacco abuse were considered Cat III conditions that are not separately unfitting and not compensable or ratable, and only present on the TDRL entry IPEB.  </w:t>
      </w:r>
      <w:r w:rsidR="00EC337D" w:rsidRPr="00EC337D">
        <w:rPr>
          <w:rFonts w:asciiTheme="minorHAnsi" w:eastAsia="HiddenHorzOCR" w:hAnsiTheme="minorHAnsi"/>
          <w:color w:val="auto"/>
          <w:szCs w:val="24"/>
        </w:rPr>
        <w:t>None of these conditions we</w:t>
      </w:r>
      <w:r w:rsidR="00BF0389">
        <w:rPr>
          <w:rFonts w:asciiTheme="minorHAnsi" w:eastAsia="HiddenHorzOCR" w:hAnsiTheme="minorHAnsi"/>
          <w:color w:val="auto"/>
          <w:szCs w:val="24"/>
        </w:rPr>
        <w:t>re profiled, implicated in the c</w:t>
      </w:r>
      <w:r w:rsidR="00EC337D" w:rsidRPr="00EC337D">
        <w:rPr>
          <w:rFonts w:asciiTheme="minorHAnsi" w:eastAsia="HiddenHorzOCR" w:hAnsiTheme="minorHAnsi"/>
          <w:color w:val="auto"/>
          <w:szCs w:val="24"/>
        </w:rPr>
        <w:t xml:space="preserve">ommander’s statement or noted as failing retention standards.  </w:t>
      </w:r>
      <w:r w:rsidR="00D309C7">
        <w:rPr>
          <w:rFonts w:asciiTheme="minorHAnsi" w:eastAsia="HiddenHorzOCR" w:hAnsiTheme="minorHAnsi"/>
          <w:color w:val="auto"/>
          <w:szCs w:val="24"/>
        </w:rPr>
        <w:t xml:space="preserve">The MI and CABG happened while the CI was receiving incapacitation pay in a non-duty status.  Moreover, the initial recovery was excellent.  The right shoulder problems developed while on TDRL status.  </w:t>
      </w:r>
      <w:r w:rsidR="00EC337D" w:rsidRPr="00EC337D">
        <w:rPr>
          <w:rFonts w:asciiTheme="minorHAnsi" w:eastAsia="HiddenHorzOCR" w:hAnsiTheme="minorHAnsi"/>
          <w:color w:val="auto"/>
          <w:szCs w:val="24"/>
        </w:rPr>
        <w:t xml:space="preserve">All were reviewed by the </w:t>
      </w:r>
      <w:r w:rsidR="00694475">
        <w:rPr>
          <w:rFonts w:asciiTheme="minorHAnsi" w:eastAsia="HiddenHorzOCR" w:hAnsiTheme="minorHAnsi"/>
          <w:color w:val="auto"/>
          <w:szCs w:val="24"/>
        </w:rPr>
        <w:t>a</w:t>
      </w:r>
      <w:r w:rsidR="00EC337D" w:rsidRPr="00EC337D">
        <w:rPr>
          <w:rFonts w:asciiTheme="minorHAnsi" w:eastAsia="HiddenHorzOCR" w:hAnsiTheme="minorHAnsi"/>
          <w:color w:val="auto"/>
          <w:szCs w:val="24"/>
        </w:rPr>
        <w:t xml:space="preserve">ction </w:t>
      </w:r>
      <w:r w:rsidR="00694475">
        <w:rPr>
          <w:rFonts w:asciiTheme="minorHAnsi" w:eastAsia="HiddenHorzOCR" w:hAnsiTheme="minorHAnsi"/>
          <w:color w:val="auto"/>
          <w:szCs w:val="24"/>
        </w:rPr>
        <w:t>o</w:t>
      </w:r>
      <w:r w:rsidR="00EC337D" w:rsidRPr="00EC337D">
        <w:rPr>
          <w:rFonts w:asciiTheme="minorHAnsi" w:eastAsia="HiddenHorzOCR" w:hAnsiTheme="minorHAnsi"/>
          <w:color w:val="auto"/>
          <w:szCs w:val="24"/>
        </w:rPr>
        <w:t xml:space="preserve">fficer and considered by the Board.  There was no indication from the record that any of these conditions significantly interfered with satisfactory </w:t>
      </w:r>
      <w:r w:rsidR="00D309C7">
        <w:rPr>
          <w:rFonts w:asciiTheme="minorHAnsi" w:eastAsia="HiddenHorzOCR" w:hAnsiTheme="minorHAnsi"/>
          <w:color w:val="auto"/>
          <w:szCs w:val="24"/>
        </w:rPr>
        <w:t xml:space="preserve">duty </w:t>
      </w:r>
      <w:r w:rsidR="00EC337D" w:rsidRPr="00EC337D">
        <w:rPr>
          <w:rFonts w:asciiTheme="minorHAnsi" w:eastAsia="HiddenHorzOCR" w:hAnsiTheme="minorHAnsi"/>
          <w:color w:val="auto"/>
          <w:szCs w:val="24"/>
        </w:rPr>
        <w:t>performance.  All evidence conside</w:t>
      </w:r>
      <w:r w:rsidR="00EC337D" w:rsidRPr="00D309C7">
        <w:rPr>
          <w:rFonts w:asciiTheme="minorHAnsi" w:eastAsia="HiddenHorzOCR" w:hAnsiTheme="minorHAnsi"/>
          <w:color w:val="auto"/>
          <w:sz w:val="22"/>
          <w:szCs w:val="24"/>
        </w:rPr>
        <w:t>re</w:t>
      </w:r>
      <w:r w:rsidR="00EC337D" w:rsidRPr="00EC337D">
        <w:rPr>
          <w:rFonts w:asciiTheme="minorHAnsi" w:eastAsia="HiddenHorzOCR" w:hAnsiTheme="minorHAnsi"/>
          <w:color w:val="auto"/>
          <w:szCs w:val="24"/>
        </w:rPr>
        <w:t>d</w:t>
      </w:r>
      <w:proofErr w:type="gramStart"/>
      <w:r w:rsidR="00EC337D" w:rsidRPr="00EC337D">
        <w:rPr>
          <w:rFonts w:asciiTheme="minorHAnsi" w:eastAsia="HiddenHorzOCR" w:hAnsiTheme="minorHAnsi"/>
          <w:color w:val="auto"/>
          <w:szCs w:val="24"/>
        </w:rPr>
        <w:t>,</w:t>
      </w:r>
      <w:proofErr w:type="gramEnd"/>
      <w:r w:rsidR="00EC337D" w:rsidRPr="00EC337D">
        <w:rPr>
          <w:rFonts w:asciiTheme="minorHAnsi" w:eastAsia="HiddenHorzOCR" w:hAnsiTheme="minorHAnsi"/>
          <w:color w:val="auto"/>
          <w:szCs w:val="24"/>
        </w:rPr>
        <w:t xml:space="preserve"> there is not reasonable doubt in the CI’s favor supporting re</w:t>
      </w:r>
      <w:r w:rsidR="003B4188">
        <w:rPr>
          <w:rFonts w:asciiTheme="minorHAnsi" w:eastAsia="HiddenHorzOCR" w:hAnsiTheme="minorHAnsi"/>
          <w:color w:val="auto"/>
          <w:szCs w:val="24"/>
        </w:rPr>
        <w:t>-</w:t>
      </w:r>
      <w:r w:rsidR="00EC337D" w:rsidRPr="00EC337D">
        <w:rPr>
          <w:rFonts w:asciiTheme="minorHAnsi" w:eastAsia="HiddenHorzOCR" w:hAnsiTheme="minorHAnsi"/>
          <w:color w:val="auto"/>
          <w:szCs w:val="24"/>
        </w:rPr>
        <w:t>characterization of the PEB fitness adjudication for any of the stated conditions.</w:t>
      </w:r>
    </w:p>
    <w:p w:rsidR="00EC337D" w:rsidRPr="00EC337D" w:rsidRDefault="00EC337D" w:rsidP="00BB00F7">
      <w:pPr>
        <w:spacing w:line="240" w:lineRule="exact"/>
        <w:jc w:val="both"/>
        <w:rPr>
          <w:rFonts w:asciiTheme="minorHAnsi" w:eastAsia="HiddenHorzOCR" w:hAnsiTheme="minorHAnsi"/>
          <w:color w:val="auto"/>
          <w:szCs w:val="24"/>
        </w:rPr>
      </w:pPr>
    </w:p>
    <w:p w:rsidR="00EC337D" w:rsidRPr="00EC337D" w:rsidRDefault="00EC337D" w:rsidP="00BB00F7">
      <w:pPr>
        <w:spacing w:line="240" w:lineRule="exact"/>
        <w:jc w:val="both"/>
        <w:rPr>
          <w:rFonts w:asciiTheme="minorHAnsi" w:hAnsiTheme="minorHAnsi"/>
          <w:color w:val="auto"/>
          <w:szCs w:val="24"/>
        </w:rPr>
      </w:pPr>
      <w:proofErr w:type="gramStart"/>
      <w:r w:rsidRPr="00EC337D">
        <w:rPr>
          <w:rFonts w:asciiTheme="minorHAnsi" w:eastAsia="HiddenHorzOCR" w:hAnsiTheme="minorHAnsi"/>
          <w:color w:val="auto"/>
          <w:szCs w:val="24"/>
          <w:u w:val="single"/>
        </w:rPr>
        <w:t>Other Contended Conditions</w:t>
      </w:r>
      <w:r w:rsidRPr="00EC337D">
        <w:rPr>
          <w:rFonts w:asciiTheme="minorHAnsi" w:eastAsia="HiddenHorzOCR" w:hAnsiTheme="minorHAnsi"/>
          <w:color w:val="auto"/>
          <w:szCs w:val="24"/>
        </w:rPr>
        <w:t>.</w:t>
      </w:r>
      <w:proofErr w:type="gramEnd"/>
      <w:r w:rsidRPr="00EC337D">
        <w:rPr>
          <w:rFonts w:asciiTheme="minorHAnsi" w:eastAsia="HiddenHorzOCR" w:hAnsiTheme="minorHAnsi"/>
          <w:color w:val="auto"/>
          <w:szCs w:val="24"/>
        </w:rPr>
        <w:t xml:space="preserve">  The CI’s application asserts that compensable ratings should </w:t>
      </w:r>
      <w:r w:rsidR="00D309C7">
        <w:rPr>
          <w:rFonts w:asciiTheme="minorHAnsi" w:eastAsia="HiddenHorzOCR" w:hAnsiTheme="minorHAnsi"/>
          <w:color w:val="auto"/>
          <w:szCs w:val="24"/>
        </w:rPr>
        <w:t xml:space="preserve">also </w:t>
      </w:r>
      <w:r w:rsidRPr="00EC337D">
        <w:rPr>
          <w:rFonts w:asciiTheme="minorHAnsi" w:eastAsia="HiddenHorzOCR" w:hAnsiTheme="minorHAnsi"/>
          <w:color w:val="auto"/>
          <w:szCs w:val="24"/>
        </w:rPr>
        <w:t xml:space="preserve">be considered for </w:t>
      </w:r>
      <w:r w:rsidR="00694475" w:rsidRPr="00A4281D">
        <w:rPr>
          <w:rFonts w:asciiTheme="minorHAnsi" w:hAnsiTheme="minorHAnsi"/>
          <w:color w:val="auto"/>
        </w:rPr>
        <w:t>right knee</w:t>
      </w:r>
      <w:r w:rsidR="00694475">
        <w:rPr>
          <w:rFonts w:asciiTheme="minorHAnsi" w:hAnsiTheme="minorHAnsi"/>
          <w:color w:val="auto"/>
        </w:rPr>
        <w:t xml:space="preserve">, </w:t>
      </w:r>
      <w:r w:rsidR="00694475" w:rsidRPr="00A4281D">
        <w:rPr>
          <w:rFonts w:asciiTheme="minorHAnsi" w:hAnsiTheme="minorHAnsi"/>
          <w:color w:val="auto"/>
        </w:rPr>
        <w:t>left shoulder</w:t>
      </w:r>
      <w:r w:rsidR="00694475">
        <w:rPr>
          <w:rFonts w:asciiTheme="minorHAnsi" w:hAnsiTheme="minorHAnsi"/>
          <w:color w:val="auto"/>
        </w:rPr>
        <w:t xml:space="preserve">, </w:t>
      </w:r>
      <w:r w:rsidR="00694475" w:rsidRPr="00A4281D">
        <w:rPr>
          <w:rFonts w:asciiTheme="minorHAnsi" w:hAnsiTheme="minorHAnsi"/>
          <w:color w:val="auto"/>
        </w:rPr>
        <w:t>left wrist</w:t>
      </w:r>
      <w:r w:rsidR="00694475">
        <w:rPr>
          <w:rFonts w:asciiTheme="minorHAnsi" w:hAnsiTheme="minorHAnsi"/>
          <w:color w:val="auto"/>
        </w:rPr>
        <w:t xml:space="preserve">, </w:t>
      </w:r>
      <w:r w:rsidR="00694475" w:rsidRPr="00A4281D">
        <w:rPr>
          <w:rFonts w:asciiTheme="minorHAnsi" w:hAnsiTheme="minorHAnsi"/>
          <w:color w:val="auto"/>
        </w:rPr>
        <w:t>bilateral hearing</w:t>
      </w:r>
      <w:r w:rsidR="00694475">
        <w:rPr>
          <w:rFonts w:asciiTheme="minorHAnsi" w:hAnsiTheme="minorHAnsi"/>
          <w:color w:val="auto"/>
        </w:rPr>
        <w:t xml:space="preserve">, and </w:t>
      </w:r>
      <w:r w:rsidR="00694475" w:rsidRPr="00A4281D">
        <w:rPr>
          <w:rFonts w:asciiTheme="minorHAnsi" w:hAnsiTheme="minorHAnsi"/>
          <w:color w:val="auto"/>
        </w:rPr>
        <w:t>tinnitus</w:t>
      </w:r>
      <w:r w:rsidR="00D309C7">
        <w:rPr>
          <w:rFonts w:asciiTheme="minorHAnsi" w:hAnsiTheme="minorHAnsi"/>
          <w:color w:val="auto"/>
        </w:rPr>
        <w:t xml:space="preserve">.  </w:t>
      </w:r>
      <w:r w:rsidRPr="00EC337D">
        <w:rPr>
          <w:rFonts w:asciiTheme="minorHAnsi" w:eastAsia="HiddenHorzOCR" w:hAnsiTheme="minorHAnsi"/>
          <w:color w:val="auto"/>
          <w:szCs w:val="24"/>
        </w:rPr>
        <w:t>All</w:t>
      </w:r>
      <w:r>
        <w:t xml:space="preserve"> </w:t>
      </w:r>
      <w:r w:rsidRPr="00EC337D">
        <w:rPr>
          <w:rFonts w:asciiTheme="minorHAnsi" w:hAnsiTheme="minorHAnsi"/>
          <w:color w:val="auto"/>
          <w:szCs w:val="24"/>
        </w:rPr>
        <w:t xml:space="preserve">of these conditions were reviewed by </w:t>
      </w:r>
      <w:r w:rsidR="00694475" w:rsidRPr="00EC337D">
        <w:rPr>
          <w:rFonts w:asciiTheme="minorHAnsi" w:hAnsiTheme="minorHAnsi"/>
          <w:color w:val="auto"/>
          <w:szCs w:val="24"/>
        </w:rPr>
        <w:t xml:space="preserve">the action officer </w:t>
      </w:r>
      <w:r w:rsidRPr="00EC337D">
        <w:rPr>
          <w:rFonts w:asciiTheme="minorHAnsi" w:hAnsiTheme="minorHAnsi"/>
          <w:color w:val="auto"/>
          <w:szCs w:val="24"/>
        </w:rPr>
        <w:t>and considered by the Board.  There was no evidence for concluding that any of the conditions interfered with duty performance to a degree that could be argued as unfitting.  The Board determined therefore that none of the stated conditions were subject to Service disability rating.</w:t>
      </w:r>
    </w:p>
    <w:p w:rsidR="00600055" w:rsidRDefault="00600055" w:rsidP="00BB00F7">
      <w:pPr>
        <w:jc w:val="both"/>
        <w:rPr>
          <w:rFonts w:asciiTheme="minorHAnsi" w:hAnsiTheme="minorHAnsi"/>
          <w:color w:val="auto"/>
          <w:szCs w:val="24"/>
          <w:u w:val="single"/>
        </w:rPr>
      </w:pPr>
    </w:p>
    <w:p w:rsidR="00F6196E" w:rsidRPr="00B60889" w:rsidRDefault="00F6196E" w:rsidP="00BB00F7">
      <w:pPr>
        <w:spacing w:line="240" w:lineRule="exact"/>
        <w:jc w:val="both"/>
        <w:rPr>
          <w:rFonts w:asciiTheme="minorHAnsi" w:hAnsiTheme="minorHAnsi"/>
          <w:color w:val="auto"/>
          <w:szCs w:val="24"/>
        </w:rPr>
      </w:pPr>
      <w:proofErr w:type="gramStart"/>
      <w:r w:rsidRPr="00F6196E">
        <w:rPr>
          <w:rFonts w:asciiTheme="minorHAnsi" w:hAnsiTheme="minorHAnsi"/>
          <w:color w:val="auto"/>
          <w:szCs w:val="24"/>
          <w:u w:val="single"/>
        </w:rPr>
        <w:t>Remaining Conditions</w:t>
      </w:r>
      <w:r>
        <w:rPr>
          <w:rFonts w:asciiTheme="minorHAnsi" w:hAnsiTheme="minorHAnsi"/>
          <w:color w:val="auto"/>
          <w:szCs w:val="24"/>
        </w:rPr>
        <w:t>.</w:t>
      </w:r>
      <w:proofErr w:type="gramEnd"/>
      <w:r>
        <w:rPr>
          <w:rFonts w:asciiTheme="minorHAnsi" w:hAnsiTheme="minorHAnsi"/>
          <w:color w:val="auto"/>
          <w:szCs w:val="24"/>
        </w:rPr>
        <w:t xml:space="preserve"> </w:t>
      </w:r>
      <w:r w:rsidR="00B60889">
        <w:rPr>
          <w:rFonts w:asciiTheme="minorHAnsi" w:hAnsiTheme="minorHAnsi"/>
          <w:color w:val="auto"/>
          <w:szCs w:val="24"/>
        </w:rPr>
        <w:t xml:space="preserve"> </w:t>
      </w:r>
      <w:r w:rsidRPr="00F6196E">
        <w:rPr>
          <w:rFonts w:asciiTheme="minorHAnsi" w:hAnsiTheme="minorHAnsi"/>
          <w:color w:val="auto"/>
          <w:szCs w:val="24"/>
        </w:rPr>
        <w:t>No other conditions were noted in the NARSUM, identified by the CI on the MEB physical or found elsewhere in the D</w:t>
      </w:r>
      <w:r w:rsidR="00BA7972">
        <w:rPr>
          <w:rFonts w:asciiTheme="minorHAnsi" w:hAnsiTheme="minorHAnsi"/>
          <w:color w:val="auto"/>
          <w:szCs w:val="24"/>
        </w:rPr>
        <w:t>isability Evaluation System (D</w:t>
      </w:r>
      <w:r w:rsidRPr="00F6196E">
        <w:rPr>
          <w:rFonts w:asciiTheme="minorHAnsi" w:hAnsiTheme="minorHAnsi"/>
          <w:color w:val="auto"/>
          <w:szCs w:val="24"/>
        </w:rPr>
        <w:t>ES</w:t>
      </w:r>
      <w:r w:rsidR="00BA7972">
        <w:rPr>
          <w:rFonts w:asciiTheme="minorHAnsi" w:hAnsiTheme="minorHAnsi"/>
          <w:color w:val="auto"/>
          <w:szCs w:val="24"/>
        </w:rPr>
        <w:t>)</w:t>
      </w:r>
      <w:r w:rsidRPr="00F6196E">
        <w:rPr>
          <w:rFonts w:asciiTheme="minorHAnsi" w:hAnsiTheme="minorHAnsi"/>
          <w:color w:val="auto"/>
          <w:szCs w:val="24"/>
        </w:rPr>
        <w:t xml:space="preserve"> file.  The Board does not have the authority under DoDI 6040.44 to render fitness or rating recommendations for any conditions not </w:t>
      </w:r>
      <w:r w:rsidRPr="00B60889">
        <w:rPr>
          <w:rFonts w:asciiTheme="minorHAnsi" w:hAnsiTheme="minorHAnsi"/>
          <w:color w:val="auto"/>
          <w:szCs w:val="24"/>
        </w:rPr>
        <w:t xml:space="preserve">considered by the DES. </w:t>
      </w:r>
      <w:r w:rsidR="003C294B" w:rsidRPr="00B60889">
        <w:rPr>
          <w:rFonts w:asciiTheme="minorHAnsi" w:hAnsiTheme="minorHAnsi"/>
          <w:color w:val="auto"/>
          <w:szCs w:val="24"/>
        </w:rPr>
        <w:t xml:space="preserve"> </w:t>
      </w:r>
      <w:r w:rsidRPr="00B60889">
        <w:rPr>
          <w:rFonts w:asciiTheme="minorHAnsi" w:hAnsiTheme="minorHAnsi"/>
          <w:color w:val="auto"/>
          <w:szCs w:val="24"/>
        </w:rPr>
        <w:t>The Board thus has no basis for recommending any additional unfitting conditions for separation rating.</w:t>
      </w:r>
    </w:p>
    <w:p w:rsidR="00CF6A78" w:rsidRDefault="00CF6A78" w:rsidP="00CF6A78">
      <w:pPr>
        <w:pBdr>
          <w:bottom w:val="single" w:sz="12" w:space="1" w:color="auto"/>
        </w:pBdr>
        <w:tabs>
          <w:tab w:val="left" w:pos="288"/>
          <w:tab w:val="left" w:pos="4752"/>
        </w:tabs>
        <w:spacing w:line="240" w:lineRule="exact"/>
        <w:jc w:val="both"/>
        <w:rPr>
          <w:rFonts w:asciiTheme="minorHAnsi" w:hAnsiTheme="minorHAnsi"/>
          <w:color w:val="auto"/>
          <w:u w:val="single"/>
        </w:rPr>
      </w:pPr>
    </w:p>
    <w:p w:rsidR="00CF6A78" w:rsidRDefault="00CF6A78" w:rsidP="00CF6A78">
      <w:pPr>
        <w:tabs>
          <w:tab w:val="left" w:pos="288"/>
          <w:tab w:val="left" w:pos="4752"/>
        </w:tabs>
        <w:spacing w:line="240" w:lineRule="exact"/>
        <w:jc w:val="both"/>
        <w:rPr>
          <w:rFonts w:asciiTheme="minorHAnsi" w:hAnsiTheme="minorHAnsi"/>
          <w:color w:val="auto"/>
        </w:rPr>
      </w:pPr>
    </w:p>
    <w:p w:rsidR="00CA4F2F" w:rsidRPr="006C3789" w:rsidRDefault="00C56FC8" w:rsidP="000452D7">
      <w:pPr>
        <w:spacing w:line="240" w:lineRule="exact"/>
        <w:jc w:val="both"/>
        <w:rPr>
          <w:rFonts w:asciiTheme="minorHAnsi" w:hAnsiTheme="minorHAnsi"/>
          <w:color w:val="auto"/>
          <w:szCs w:val="24"/>
        </w:rPr>
      </w:pPr>
      <w:r w:rsidRPr="00B60889">
        <w:rPr>
          <w:rFonts w:asciiTheme="minorHAnsi" w:hAnsiTheme="minorHAnsi"/>
          <w:color w:val="auto"/>
          <w:szCs w:val="24"/>
          <w:u w:val="single"/>
        </w:rPr>
        <w:t>BOARD FINDINGS</w:t>
      </w:r>
      <w:r w:rsidRPr="00B60889">
        <w:rPr>
          <w:rFonts w:asciiTheme="minorHAnsi" w:hAnsiTheme="minorHAnsi"/>
          <w:color w:val="auto"/>
          <w:szCs w:val="24"/>
        </w:rPr>
        <w:t>:</w:t>
      </w:r>
      <w:r w:rsidRPr="00B60889">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6722E2">
        <w:rPr>
          <w:rFonts w:asciiTheme="minorHAnsi" w:eastAsiaTheme="minorHAnsi" w:hAnsiTheme="minorHAnsi"/>
          <w:color w:val="auto"/>
          <w:szCs w:val="24"/>
        </w:rPr>
        <w:t xml:space="preserve">  </w:t>
      </w:r>
      <w:r w:rsidR="006722E2" w:rsidRPr="006722E2">
        <w:rPr>
          <w:rFonts w:asciiTheme="minorHAnsi" w:eastAsiaTheme="minorHAnsi" w:hAnsiTheme="minorHAnsi"/>
          <w:color w:val="auto"/>
          <w:szCs w:val="24"/>
        </w:rPr>
        <w:t xml:space="preserve">In the matter of the </w:t>
      </w:r>
      <w:r w:rsidR="006722E2">
        <w:rPr>
          <w:rFonts w:asciiTheme="minorHAnsi" w:eastAsiaTheme="minorHAnsi" w:hAnsiTheme="minorHAnsi"/>
          <w:color w:val="auto"/>
          <w:szCs w:val="24"/>
        </w:rPr>
        <w:t>LBP</w:t>
      </w:r>
      <w:r w:rsidR="006722E2" w:rsidRPr="006722E2">
        <w:rPr>
          <w:rFonts w:asciiTheme="minorHAnsi" w:eastAsiaTheme="minorHAnsi" w:hAnsiTheme="minorHAnsi"/>
          <w:color w:val="auto"/>
          <w:szCs w:val="24"/>
        </w:rPr>
        <w:t xml:space="preserve"> condition, the Board unanimously recommends a rating of </w:t>
      </w:r>
      <w:r w:rsidR="006722E2" w:rsidRPr="006C3789">
        <w:rPr>
          <w:rFonts w:asciiTheme="minorHAnsi" w:hAnsiTheme="minorHAnsi"/>
          <w:color w:val="auto"/>
          <w:szCs w:val="24"/>
        </w:rPr>
        <w:t xml:space="preserve">30% coded </w:t>
      </w:r>
      <w:r w:rsidR="00BB00F7">
        <w:rPr>
          <w:rFonts w:asciiTheme="minorHAnsi" w:hAnsiTheme="minorHAnsi"/>
          <w:color w:val="auto"/>
          <w:szCs w:val="24"/>
        </w:rPr>
        <w:t xml:space="preserve">analogously to </w:t>
      </w:r>
      <w:r w:rsidR="006722E2" w:rsidRPr="006C3789">
        <w:rPr>
          <w:rFonts w:asciiTheme="minorHAnsi" w:hAnsiTheme="minorHAnsi"/>
          <w:color w:val="auto"/>
          <w:szCs w:val="24"/>
        </w:rPr>
        <w:t>5285-5292 (with 20% from 5292 and an add</w:t>
      </w:r>
      <w:r w:rsidR="00BB00F7">
        <w:rPr>
          <w:rFonts w:asciiTheme="minorHAnsi" w:hAnsiTheme="minorHAnsi"/>
          <w:color w:val="auto"/>
          <w:szCs w:val="24"/>
        </w:rPr>
        <w:t>ed</w:t>
      </w:r>
      <w:r w:rsidR="006722E2" w:rsidRPr="006C3789">
        <w:rPr>
          <w:rFonts w:asciiTheme="minorHAnsi" w:hAnsiTheme="minorHAnsi"/>
          <w:color w:val="auto"/>
          <w:szCs w:val="24"/>
        </w:rPr>
        <w:t xml:space="preserve"> 10% from 5285) IAW VASRD §4.71a.  </w:t>
      </w:r>
      <w:r w:rsidR="00CA4F2F" w:rsidRPr="00CA4F2F">
        <w:rPr>
          <w:rFonts w:asciiTheme="minorHAnsi" w:hAnsiTheme="minorHAnsi"/>
          <w:color w:val="auto"/>
          <w:szCs w:val="24"/>
        </w:rPr>
        <w:t xml:space="preserve">In the matter of the </w:t>
      </w:r>
      <w:r w:rsidR="00CA4F2F">
        <w:rPr>
          <w:rFonts w:asciiTheme="minorHAnsi" w:eastAsia="HiddenHorzOCR" w:hAnsiTheme="minorHAnsi"/>
          <w:color w:val="auto"/>
          <w:szCs w:val="24"/>
        </w:rPr>
        <w:t>bilateral CTS, right wrist, HTN, MI and right shoulder</w:t>
      </w:r>
      <w:r w:rsidR="00CA4F2F" w:rsidRPr="00CA4F2F">
        <w:rPr>
          <w:rFonts w:asciiTheme="minorHAnsi" w:hAnsiTheme="minorHAnsi"/>
          <w:color w:val="auto"/>
          <w:szCs w:val="24"/>
        </w:rPr>
        <w:t xml:space="preserve"> conditions, the Board unanimously recommends no recharacterization of the PEB adjudications as not unfitting</w:t>
      </w:r>
      <w:r w:rsidR="00CA4F2F">
        <w:rPr>
          <w:rFonts w:asciiTheme="minorHAnsi" w:hAnsiTheme="minorHAnsi"/>
          <w:color w:val="auto"/>
          <w:szCs w:val="24"/>
        </w:rPr>
        <w:t xml:space="preserve">, or for </w:t>
      </w:r>
      <w:r w:rsidR="00DF0E8F" w:rsidRPr="00CA4F2F">
        <w:rPr>
          <w:rFonts w:asciiTheme="minorHAnsi" w:hAnsiTheme="minorHAnsi"/>
          <w:color w:val="auto"/>
          <w:szCs w:val="24"/>
        </w:rPr>
        <w:t>hyperlipidemia</w:t>
      </w:r>
      <w:r w:rsidR="00DF0E8F">
        <w:rPr>
          <w:rFonts w:asciiTheme="minorHAnsi" w:hAnsiTheme="minorHAnsi"/>
          <w:color w:val="auto"/>
          <w:szCs w:val="24"/>
        </w:rPr>
        <w:t xml:space="preserve"> and </w:t>
      </w:r>
      <w:r w:rsidR="00DF0E8F" w:rsidRPr="00CA4F2F">
        <w:rPr>
          <w:rFonts w:asciiTheme="minorHAnsi" w:hAnsiTheme="minorHAnsi"/>
          <w:color w:val="auto"/>
          <w:szCs w:val="24"/>
        </w:rPr>
        <w:t xml:space="preserve">tobacco </w:t>
      </w:r>
      <w:r w:rsidR="00CA4F2F" w:rsidRPr="00CA4F2F">
        <w:rPr>
          <w:rFonts w:asciiTheme="minorHAnsi" w:hAnsiTheme="minorHAnsi"/>
          <w:color w:val="auto"/>
          <w:szCs w:val="24"/>
        </w:rPr>
        <w:t>abuse</w:t>
      </w:r>
      <w:r w:rsidR="00CA4F2F">
        <w:rPr>
          <w:rFonts w:asciiTheme="minorHAnsi" w:hAnsiTheme="minorHAnsi"/>
          <w:color w:val="auto"/>
          <w:szCs w:val="24"/>
        </w:rPr>
        <w:t xml:space="preserve"> as not compensable</w:t>
      </w:r>
      <w:r w:rsidR="00CA4F2F" w:rsidRPr="00CA4F2F">
        <w:rPr>
          <w:rFonts w:asciiTheme="minorHAnsi" w:hAnsiTheme="minorHAnsi"/>
          <w:color w:val="auto"/>
          <w:szCs w:val="24"/>
        </w:rPr>
        <w:t>.</w:t>
      </w:r>
      <w:r w:rsidR="00CA4F2F">
        <w:rPr>
          <w:rFonts w:asciiTheme="minorHAnsi" w:hAnsiTheme="minorHAnsi"/>
          <w:color w:val="auto"/>
          <w:szCs w:val="24"/>
        </w:rPr>
        <w:t xml:space="preserve">  </w:t>
      </w:r>
      <w:r w:rsidR="00CA4F2F" w:rsidRPr="00CA4F2F">
        <w:rPr>
          <w:rFonts w:asciiTheme="minorHAnsi" w:hAnsiTheme="minorHAnsi"/>
          <w:color w:val="auto"/>
          <w:szCs w:val="24"/>
        </w:rPr>
        <w:t xml:space="preserve">In the matter of the </w:t>
      </w:r>
      <w:r w:rsidR="00BB00F7">
        <w:rPr>
          <w:rFonts w:asciiTheme="minorHAnsi" w:hAnsiTheme="minorHAnsi"/>
          <w:color w:val="auto"/>
        </w:rPr>
        <w:t>r</w:t>
      </w:r>
      <w:r w:rsidR="00CA4F2F" w:rsidRPr="00A4281D">
        <w:rPr>
          <w:rFonts w:asciiTheme="minorHAnsi" w:hAnsiTheme="minorHAnsi"/>
          <w:color w:val="auto"/>
        </w:rPr>
        <w:t xml:space="preserve">ight </w:t>
      </w:r>
      <w:r w:rsidR="00BA7972">
        <w:rPr>
          <w:rFonts w:asciiTheme="minorHAnsi" w:hAnsiTheme="minorHAnsi"/>
          <w:color w:val="auto"/>
        </w:rPr>
        <w:t>k</w:t>
      </w:r>
      <w:r w:rsidR="00CA4F2F" w:rsidRPr="00A4281D">
        <w:rPr>
          <w:rFonts w:asciiTheme="minorHAnsi" w:hAnsiTheme="minorHAnsi"/>
          <w:color w:val="auto"/>
        </w:rPr>
        <w:t>nee</w:t>
      </w:r>
      <w:r w:rsidR="00CA4F2F">
        <w:rPr>
          <w:rFonts w:asciiTheme="minorHAnsi" w:hAnsiTheme="minorHAnsi"/>
          <w:color w:val="auto"/>
        </w:rPr>
        <w:t xml:space="preserve">, </w:t>
      </w:r>
      <w:r w:rsidR="00BB00F7">
        <w:rPr>
          <w:rFonts w:asciiTheme="minorHAnsi" w:hAnsiTheme="minorHAnsi"/>
          <w:color w:val="auto"/>
        </w:rPr>
        <w:t>l</w:t>
      </w:r>
      <w:r w:rsidR="00CA4F2F" w:rsidRPr="00A4281D">
        <w:rPr>
          <w:rFonts w:asciiTheme="minorHAnsi" w:hAnsiTheme="minorHAnsi"/>
          <w:color w:val="auto"/>
        </w:rPr>
        <w:t xml:space="preserve">eft </w:t>
      </w:r>
      <w:r w:rsidR="00BA7972">
        <w:rPr>
          <w:rFonts w:asciiTheme="minorHAnsi" w:hAnsiTheme="minorHAnsi"/>
          <w:color w:val="auto"/>
        </w:rPr>
        <w:t>s</w:t>
      </w:r>
      <w:r w:rsidR="00CA4F2F" w:rsidRPr="00A4281D">
        <w:rPr>
          <w:rFonts w:asciiTheme="minorHAnsi" w:hAnsiTheme="minorHAnsi"/>
          <w:color w:val="auto"/>
        </w:rPr>
        <w:t>houlder</w:t>
      </w:r>
      <w:r w:rsidR="00CA4F2F">
        <w:rPr>
          <w:rFonts w:asciiTheme="minorHAnsi" w:hAnsiTheme="minorHAnsi"/>
          <w:color w:val="auto"/>
        </w:rPr>
        <w:t xml:space="preserve">, </w:t>
      </w:r>
      <w:r w:rsidR="00BB00F7">
        <w:rPr>
          <w:rFonts w:asciiTheme="minorHAnsi" w:hAnsiTheme="minorHAnsi"/>
          <w:color w:val="auto"/>
        </w:rPr>
        <w:t>l</w:t>
      </w:r>
      <w:r w:rsidR="00CA4F2F" w:rsidRPr="00A4281D">
        <w:rPr>
          <w:rFonts w:asciiTheme="minorHAnsi" w:hAnsiTheme="minorHAnsi"/>
          <w:color w:val="auto"/>
        </w:rPr>
        <w:t xml:space="preserve">eft </w:t>
      </w:r>
      <w:r w:rsidR="00BA7972">
        <w:rPr>
          <w:rFonts w:asciiTheme="minorHAnsi" w:hAnsiTheme="minorHAnsi"/>
          <w:color w:val="auto"/>
        </w:rPr>
        <w:t>w</w:t>
      </w:r>
      <w:r w:rsidR="00CA4F2F" w:rsidRPr="00A4281D">
        <w:rPr>
          <w:rFonts w:asciiTheme="minorHAnsi" w:hAnsiTheme="minorHAnsi"/>
          <w:color w:val="auto"/>
        </w:rPr>
        <w:t>rist</w:t>
      </w:r>
      <w:r w:rsidR="00CA4F2F">
        <w:rPr>
          <w:rFonts w:asciiTheme="minorHAnsi" w:hAnsiTheme="minorHAnsi"/>
          <w:color w:val="auto"/>
        </w:rPr>
        <w:t xml:space="preserve">, </w:t>
      </w:r>
      <w:r w:rsidR="00BB00F7">
        <w:rPr>
          <w:rFonts w:asciiTheme="minorHAnsi" w:hAnsiTheme="minorHAnsi"/>
          <w:color w:val="auto"/>
        </w:rPr>
        <w:t>h</w:t>
      </w:r>
      <w:r w:rsidR="00CA4F2F" w:rsidRPr="00A4281D">
        <w:rPr>
          <w:rFonts w:asciiTheme="minorHAnsi" w:hAnsiTheme="minorHAnsi"/>
          <w:color w:val="auto"/>
        </w:rPr>
        <w:t>earing</w:t>
      </w:r>
      <w:r w:rsidR="00CA4F2F">
        <w:rPr>
          <w:rFonts w:asciiTheme="minorHAnsi" w:hAnsiTheme="minorHAnsi"/>
          <w:color w:val="auto"/>
        </w:rPr>
        <w:t xml:space="preserve">, and </w:t>
      </w:r>
      <w:r w:rsidR="00BB00F7">
        <w:rPr>
          <w:rFonts w:asciiTheme="minorHAnsi" w:hAnsiTheme="minorHAnsi"/>
          <w:color w:val="auto"/>
        </w:rPr>
        <w:t>t</w:t>
      </w:r>
      <w:r w:rsidR="00CA4F2F" w:rsidRPr="00A4281D">
        <w:rPr>
          <w:rFonts w:asciiTheme="minorHAnsi" w:hAnsiTheme="minorHAnsi"/>
          <w:color w:val="auto"/>
        </w:rPr>
        <w:t>innitus</w:t>
      </w:r>
      <w:r w:rsidR="00CA4F2F" w:rsidRPr="00CA4F2F">
        <w:rPr>
          <w:rFonts w:asciiTheme="minorHAnsi" w:hAnsiTheme="minorHAnsi"/>
          <w:color w:val="auto"/>
          <w:szCs w:val="24"/>
        </w:rPr>
        <w:t xml:space="preserve"> conditions or any other medical conditions eligible for Board consideration</w:t>
      </w:r>
      <w:r w:rsidR="00BA7972">
        <w:rPr>
          <w:rFonts w:asciiTheme="minorHAnsi" w:hAnsiTheme="minorHAnsi"/>
          <w:color w:val="auto"/>
          <w:szCs w:val="24"/>
        </w:rPr>
        <w:t>,</w:t>
      </w:r>
      <w:r w:rsidR="00CA4F2F" w:rsidRPr="00CA4F2F">
        <w:rPr>
          <w:rFonts w:asciiTheme="minorHAnsi" w:hAnsiTheme="minorHAnsi"/>
          <w:color w:val="auto"/>
          <w:szCs w:val="24"/>
        </w:rPr>
        <w:t xml:space="preserve"> the Board unanimously agrees that it cannot recommend any findings of unfit for additional rating at separation.</w:t>
      </w:r>
    </w:p>
    <w:p w:rsidR="00CF6A78" w:rsidRDefault="00CF6A78" w:rsidP="00CF6A78">
      <w:pPr>
        <w:pBdr>
          <w:bottom w:val="single" w:sz="12" w:space="1" w:color="auto"/>
        </w:pBdr>
        <w:tabs>
          <w:tab w:val="left" w:pos="288"/>
          <w:tab w:val="left" w:pos="4752"/>
        </w:tabs>
        <w:spacing w:line="240" w:lineRule="exact"/>
        <w:jc w:val="both"/>
        <w:rPr>
          <w:rFonts w:asciiTheme="minorHAnsi" w:hAnsiTheme="minorHAnsi"/>
          <w:color w:val="auto"/>
          <w:u w:val="single"/>
        </w:rPr>
      </w:pPr>
    </w:p>
    <w:p w:rsidR="00CF6A78" w:rsidRDefault="00CF6A78" w:rsidP="00CF6A78">
      <w:pPr>
        <w:tabs>
          <w:tab w:val="left" w:pos="288"/>
          <w:tab w:val="left" w:pos="4752"/>
        </w:tabs>
        <w:spacing w:line="240" w:lineRule="exact"/>
        <w:jc w:val="both"/>
        <w:rPr>
          <w:rFonts w:asciiTheme="minorHAnsi" w:hAnsiTheme="minorHAnsi"/>
          <w:color w:val="auto"/>
        </w:rPr>
      </w:pPr>
    </w:p>
    <w:p w:rsidR="00D56B83" w:rsidRDefault="00D56B83">
      <w:pPr>
        <w:rPr>
          <w:rFonts w:asciiTheme="minorHAnsi" w:hAnsiTheme="minorHAnsi"/>
          <w:color w:val="auto"/>
          <w:szCs w:val="24"/>
          <w:u w:val="single"/>
        </w:rPr>
      </w:pPr>
      <w:r>
        <w:rPr>
          <w:rFonts w:asciiTheme="minorHAnsi" w:hAnsiTheme="minorHAnsi"/>
          <w:color w:val="auto"/>
          <w:szCs w:val="24"/>
          <w:u w:val="single"/>
        </w:rPr>
        <w:br w:type="page"/>
      </w:r>
    </w:p>
    <w:p w:rsidR="00C56FC8" w:rsidRPr="00BB00F7" w:rsidRDefault="00C56FC8" w:rsidP="00BB00F7">
      <w:pPr>
        <w:spacing w:line="240" w:lineRule="exact"/>
        <w:jc w:val="both"/>
        <w:rPr>
          <w:rFonts w:asciiTheme="minorHAnsi" w:hAnsiTheme="minorHAnsi"/>
          <w:color w:val="auto"/>
          <w:szCs w:val="24"/>
        </w:rPr>
      </w:pPr>
      <w:r w:rsidRPr="00B60889">
        <w:rPr>
          <w:rFonts w:asciiTheme="minorHAnsi" w:hAnsiTheme="minorHAnsi"/>
          <w:color w:val="auto"/>
          <w:szCs w:val="24"/>
          <w:u w:val="single"/>
        </w:rPr>
        <w:lastRenderedPageBreak/>
        <w:t>RECOMMENDATION</w:t>
      </w:r>
      <w:r w:rsidRPr="00B60889">
        <w:rPr>
          <w:rFonts w:asciiTheme="minorHAnsi" w:hAnsiTheme="minorHAnsi"/>
          <w:color w:val="auto"/>
          <w:szCs w:val="24"/>
        </w:rPr>
        <w:t>:</w:t>
      </w:r>
      <w:r w:rsidR="00E76517" w:rsidRPr="00B60889">
        <w:rPr>
          <w:rFonts w:asciiTheme="minorHAnsi" w:hAnsiTheme="minorHAnsi"/>
          <w:color w:val="auto"/>
          <w:szCs w:val="24"/>
        </w:rPr>
        <w:t xml:space="preserve">  </w:t>
      </w:r>
      <w:r w:rsidR="006722E2" w:rsidRPr="006722E2">
        <w:rPr>
          <w:rFonts w:asciiTheme="minorHAnsi" w:hAnsiTheme="minorHAnsi"/>
          <w:color w:val="auto"/>
          <w:szCs w:val="24"/>
        </w:rPr>
        <w:t>The Board recommends that the CI’s prior determination be modified as follows and that the discharge with severance pay be re</w:t>
      </w:r>
      <w:r w:rsidR="00201CE5">
        <w:rPr>
          <w:rFonts w:asciiTheme="minorHAnsi" w:hAnsiTheme="minorHAnsi"/>
          <w:color w:val="auto"/>
          <w:szCs w:val="24"/>
        </w:rPr>
        <w:t>-</w:t>
      </w:r>
      <w:r w:rsidR="006722E2" w:rsidRPr="006722E2">
        <w:rPr>
          <w:rFonts w:asciiTheme="minorHAnsi" w:hAnsiTheme="minorHAnsi"/>
          <w:color w:val="auto"/>
          <w:szCs w:val="24"/>
        </w:rPr>
        <w:t xml:space="preserve">characterized to reflect permanent disability retirement, effective as of the date </w:t>
      </w:r>
      <w:r w:rsidR="0016750E">
        <w:rPr>
          <w:rFonts w:asciiTheme="minorHAnsi" w:hAnsiTheme="minorHAnsi"/>
          <w:color w:val="auto"/>
          <w:szCs w:val="24"/>
        </w:rPr>
        <w:t>of his prior medical separation:</w:t>
      </w:r>
    </w:p>
    <w:p w:rsidR="00BB00F7" w:rsidRPr="00BB00F7" w:rsidRDefault="00BB00F7" w:rsidP="00BB00F7">
      <w:pPr>
        <w:tabs>
          <w:tab w:val="left" w:pos="288"/>
          <w:tab w:val="left" w:pos="1710"/>
          <w:tab w:val="left" w:pos="4752"/>
        </w:tabs>
        <w:spacing w:line="240" w:lineRule="exact"/>
        <w:rPr>
          <w:rFonts w:asciiTheme="minorHAnsi" w:hAnsiTheme="minorHAnsi"/>
          <w:color w:val="auto"/>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0"/>
        <w:gridCol w:w="1710"/>
        <w:gridCol w:w="1170"/>
        <w:gridCol w:w="1530"/>
      </w:tblGrid>
      <w:tr w:rsidR="00BB00F7" w:rsidRPr="00BB00F7" w:rsidTr="0016750E">
        <w:trPr>
          <w:jc w:val="center"/>
        </w:trPr>
        <w:tc>
          <w:tcPr>
            <w:tcW w:w="4950" w:type="dxa"/>
            <w:shd w:val="clear" w:color="auto" w:fill="D9D9D9"/>
            <w:vAlign w:val="center"/>
          </w:tcPr>
          <w:p w:rsidR="00BB00F7" w:rsidRPr="00BB00F7" w:rsidRDefault="00BB00F7" w:rsidP="0016750E">
            <w:pPr>
              <w:tabs>
                <w:tab w:val="left" w:pos="288"/>
                <w:tab w:val="left" w:pos="4752"/>
              </w:tabs>
              <w:spacing w:line="240" w:lineRule="exact"/>
              <w:jc w:val="center"/>
              <w:rPr>
                <w:rFonts w:asciiTheme="minorHAnsi" w:hAnsiTheme="minorHAnsi"/>
                <w:b/>
                <w:color w:val="auto"/>
                <w:szCs w:val="24"/>
              </w:rPr>
            </w:pPr>
            <w:r w:rsidRPr="00BB00F7">
              <w:rPr>
                <w:rFonts w:asciiTheme="minorHAnsi" w:hAnsiTheme="minorHAnsi"/>
                <w:b/>
                <w:color w:val="auto"/>
                <w:szCs w:val="24"/>
              </w:rPr>
              <w:t>UNFITTING CONDITION</w:t>
            </w:r>
          </w:p>
        </w:tc>
        <w:tc>
          <w:tcPr>
            <w:tcW w:w="1710" w:type="dxa"/>
            <w:shd w:val="clear" w:color="auto" w:fill="D9D9D9"/>
            <w:vAlign w:val="center"/>
          </w:tcPr>
          <w:p w:rsidR="00BB00F7" w:rsidRPr="00BB00F7" w:rsidRDefault="00BB00F7" w:rsidP="0016750E">
            <w:pPr>
              <w:tabs>
                <w:tab w:val="left" w:pos="288"/>
                <w:tab w:val="left" w:pos="4752"/>
              </w:tabs>
              <w:spacing w:line="240" w:lineRule="exact"/>
              <w:jc w:val="center"/>
              <w:rPr>
                <w:rFonts w:asciiTheme="minorHAnsi" w:hAnsiTheme="minorHAnsi"/>
                <w:b/>
                <w:color w:val="auto"/>
                <w:szCs w:val="24"/>
              </w:rPr>
            </w:pPr>
            <w:r w:rsidRPr="00BB00F7">
              <w:rPr>
                <w:rFonts w:asciiTheme="minorHAnsi" w:hAnsiTheme="minorHAnsi"/>
                <w:b/>
                <w:color w:val="auto"/>
                <w:szCs w:val="24"/>
              </w:rPr>
              <w:t>VASRD CODE</w:t>
            </w:r>
          </w:p>
        </w:tc>
        <w:tc>
          <w:tcPr>
            <w:tcW w:w="1170" w:type="dxa"/>
            <w:shd w:val="clear" w:color="auto" w:fill="D9D9D9"/>
            <w:vAlign w:val="center"/>
          </w:tcPr>
          <w:p w:rsidR="00BB00F7" w:rsidRPr="00BB00F7" w:rsidRDefault="00BB00F7" w:rsidP="0016750E">
            <w:pPr>
              <w:tabs>
                <w:tab w:val="left" w:pos="288"/>
                <w:tab w:val="left" w:pos="4752"/>
              </w:tabs>
              <w:spacing w:line="240" w:lineRule="exact"/>
              <w:jc w:val="center"/>
              <w:rPr>
                <w:rFonts w:asciiTheme="minorHAnsi" w:hAnsiTheme="minorHAnsi"/>
                <w:b/>
                <w:color w:val="auto"/>
                <w:szCs w:val="24"/>
              </w:rPr>
            </w:pPr>
            <w:r w:rsidRPr="00BB00F7">
              <w:rPr>
                <w:rFonts w:asciiTheme="minorHAnsi" w:hAnsiTheme="minorHAnsi"/>
                <w:b/>
                <w:color w:val="auto"/>
                <w:szCs w:val="24"/>
              </w:rPr>
              <w:t>TDRL RATING</w:t>
            </w:r>
          </w:p>
        </w:tc>
        <w:tc>
          <w:tcPr>
            <w:tcW w:w="1530" w:type="dxa"/>
            <w:shd w:val="pct15" w:color="auto" w:fill="auto"/>
            <w:vAlign w:val="center"/>
          </w:tcPr>
          <w:p w:rsidR="00BB00F7" w:rsidRPr="00BB00F7" w:rsidRDefault="00BB00F7" w:rsidP="0016750E">
            <w:pPr>
              <w:tabs>
                <w:tab w:val="left" w:pos="288"/>
                <w:tab w:val="left" w:pos="4752"/>
              </w:tabs>
              <w:spacing w:line="240" w:lineRule="exact"/>
              <w:jc w:val="center"/>
              <w:rPr>
                <w:rFonts w:asciiTheme="minorHAnsi" w:hAnsiTheme="minorHAnsi"/>
                <w:b/>
                <w:color w:val="auto"/>
                <w:szCs w:val="24"/>
              </w:rPr>
            </w:pPr>
            <w:r w:rsidRPr="00BB00F7">
              <w:rPr>
                <w:rFonts w:asciiTheme="minorHAnsi" w:hAnsiTheme="minorHAnsi"/>
                <w:b/>
                <w:color w:val="auto"/>
                <w:szCs w:val="24"/>
              </w:rPr>
              <w:t>PERMANENT</w:t>
            </w:r>
          </w:p>
          <w:p w:rsidR="00BB00F7" w:rsidRPr="00BB00F7" w:rsidRDefault="00BB00F7" w:rsidP="0016750E">
            <w:pPr>
              <w:tabs>
                <w:tab w:val="left" w:pos="288"/>
                <w:tab w:val="left" w:pos="4752"/>
              </w:tabs>
              <w:spacing w:line="240" w:lineRule="exact"/>
              <w:jc w:val="center"/>
              <w:rPr>
                <w:rFonts w:asciiTheme="minorHAnsi" w:hAnsiTheme="minorHAnsi"/>
                <w:b/>
                <w:color w:val="auto"/>
                <w:szCs w:val="24"/>
              </w:rPr>
            </w:pPr>
            <w:r w:rsidRPr="00BB00F7">
              <w:rPr>
                <w:rFonts w:asciiTheme="minorHAnsi" w:hAnsiTheme="minorHAnsi"/>
                <w:b/>
                <w:color w:val="auto"/>
                <w:szCs w:val="24"/>
              </w:rPr>
              <w:t>RATING</w:t>
            </w:r>
          </w:p>
        </w:tc>
      </w:tr>
      <w:tr w:rsidR="00BB00F7" w:rsidRPr="00BB00F7" w:rsidTr="0016750E">
        <w:trPr>
          <w:trHeight w:val="188"/>
          <w:jc w:val="center"/>
        </w:trPr>
        <w:tc>
          <w:tcPr>
            <w:tcW w:w="4950" w:type="dxa"/>
            <w:vMerge w:val="restart"/>
            <w:vAlign w:val="center"/>
          </w:tcPr>
          <w:p w:rsidR="00BB00F7" w:rsidRPr="00BB00F7" w:rsidRDefault="00BB00F7" w:rsidP="0016750E">
            <w:pPr>
              <w:tabs>
                <w:tab w:val="left" w:pos="288"/>
                <w:tab w:val="left" w:pos="4752"/>
              </w:tabs>
              <w:spacing w:line="240" w:lineRule="exact"/>
              <w:rPr>
                <w:rFonts w:asciiTheme="minorHAnsi" w:hAnsiTheme="minorHAnsi"/>
                <w:color w:val="auto"/>
                <w:szCs w:val="24"/>
              </w:rPr>
            </w:pPr>
            <w:r w:rsidRPr="00BB00F7">
              <w:rPr>
                <w:rFonts w:asciiTheme="minorHAnsi" w:hAnsiTheme="minorHAnsi"/>
                <w:color w:val="auto"/>
                <w:szCs w:val="24"/>
              </w:rPr>
              <w:t>Chronic Low Back Pain, S/P Surgical Fusion</w:t>
            </w:r>
          </w:p>
        </w:tc>
        <w:tc>
          <w:tcPr>
            <w:tcW w:w="1710" w:type="dxa"/>
            <w:tcBorders>
              <w:bottom w:val="single" w:sz="4" w:space="0" w:color="000000"/>
            </w:tcBorders>
            <w:vAlign w:val="center"/>
          </w:tcPr>
          <w:p w:rsidR="00BB00F7" w:rsidRPr="00BB00F7" w:rsidRDefault="00BB00F7" w:rsidP="0016750E">
            <w:pPr>
              <w:tabs>
                <w:tab w:val="left" w:pos="288"/>
                <w:tab w:val="left" w:pos="4752"/>
              </w:tabs>
              <w:spacing w:line="240" w:lineRule="exact"/>
              <w:jc w:val="center"/>
              <w:rPr>
                <w:rFonts w:asciiTheme="minorHAnsi" w:hAnsiTheme="minorHAnsi"/>
                <w:color w:val="auto"/>
                <w:szCs w:val="24"/>
              </w:rPr>
            </w:pPr>
            <w:r w:rsidRPr="00BB00F7">
              <w:rPr>
                <w:rFonts w:asciiTheme="minorHAnsi" w:hAnsiTheme="minorHAnsi"/>
                <w:color w:val="auto"/>
                <w:szCs w:val="24"/>
              </w:rPr>
              <w:t>5292</w:t>
            </w:r>
          </w:p>
        </w:tc>
        <w:tc>
          <w:tcPr>
            <w:tcW w:w="1170" w:type="dxa"/>
            <w:tcBorders>
              <w:bottom w:val="single" w:sz="4" w:space="0" w:color="000000"/>
            </w:tcBorders>
            <w:vAlign w:val="center"/>
          </w:tcPr>
          <w:p w:rsidR="00BB00F7" w:rsidRPr="00BB00F7" w:rsidRDefault="00BB00F7" w:rsidP="0016750E">
            <w:pPr>
              <w:tabs>
                <w:tab w:val="left" w:pos="288"/>
                <w:tab w:val="left" w:pos="4752"/>
              </w:tabs>
              <w:spacing w:line="240" w:lineRule="exact"/>
              <w:jc w:val="center"/>
              <w:rPr>
                <w:rFonts w:asciiTheme="minorHAnsi" w:hAnsiTheme="minorHAnsi"/>
                <w:color w:val="auto"/>
                <w:szCs w:val="24"/>
              </w:rPr>
            </w:pPr>
            <w:r w:rsidRPr="00BB00F7">
              <w:rPr>
                <w:rFonts w:asciiTheme="minorHAnsi" w:hAnsiTheme="minorHAnsi"/>
                <w:color w:val="auto"/>
                <w:szCs w:val="24"/>
              </w:rPr>
              <w:t>40%</w:t>
            </w:r>
          </w:p>
        </w:tc>
        <w:tc>
          <w:tcPr>
            <w:tcW w:w="1530" w:type="dxa"/>
            <w:tcBorders>
              <w:bottom w:val="single" w:sz="4" w:space="0" w:color="000000"/>
            </w:tcBorders>
            <w:shd w:val="clear" w:color="auto" w:fill="D9D9D9" w:themeFill="background1" w:themeFillShade="D9"/>
            <w:vAlign w:val="center"/>
          </w:tcPr>
          <w:p w:rsidR="00BB00F7" w:rsidRPr="00BB00F7" w:rsidRDefault="00BB00F7" w:rsidP="0016750E">
            <w:pPr>
              <w:jc w:val="center"/>
              <w:rPr>
                <w:rFonts w:asciiTheme="minorHAnsi" w:hAnsiTheme="minorHAnsi"/>
                <w:color w:val="auto"/>
                <w:szCs w:val="24"/>
              </w:rPr>
            </w:pPr>
            <w:r w:rsidRPr="00BB00F7">
              <w:rPr>
                <w:rFonts w:asciiTheme="minorHAnsi" w:hAnsiTheme="minorHAnsi"/>
                <w:color w:val="auto"/>
                <w:szCs w:val="24"/>
              </w:rPr>
              <w:t>-</w:t>
            </w:r>
          </w:p>
        </w:tc>
      </w:tr>
      <w:tr w:rsidR="00BB00F7" w:rsidRPr="00BB00F7" w:rsidTr="0016750E">
        <w:trPr>
          <w:trHeight w:val="188"/>
          <w:jc w:val="center"/>
        </w:trPr>
        <w:tc>
          <w:tcPr>
            <w:tcW w:w="4950" w:type="dxa"/>
            <w:vMerge/>
            <w:vAlign w:val="center"/>
          </w:tcPr>
          <w:p w:rsidR="00BB00F7" w:rsidRPr="00BB00F7" w:rsidRDefault="00BB00F7" w:rsidP="0016750E">
            <w:pPr>
              <w:tabs>
                <w:tab w:val="left" w:pos="288"/>
                <w:tab w:val="left" w:pos="4752"/>
              </w:tabs>
              <w:spacing w:line="240" w:lineRule="exact"/>
              <w:jc w:val="center"/>
              <w:rPr>
                <w:rFonts w:asciiTheme="minorHAnsi" w:hAnsiTheme="minorHAnsi"/>
                <w:color w:val="auto"/>
                <w:szCs w:val="24"/>
              </w:rPr>
            </w:pPr>
          </w:p>
        </w:tc>
        <w:tc>
          <w:tcPr>
            <w:tcW w:w="1710" w:type="dxa"/>
            <w:tcBorders>
              <w:bottom w:val="single" w:sz="4" w:space="0" w:color="000000"/>
            </w:tcBorders>
            <w:vAlign w:val="center"/>
          </w:tcPr>
          <w:p w:rsidR="00BB00F7" w:rsidRPr="00BB00F7" w:rsidRDefault="00BB00F7" w:rsidP="0016750E">
            <w:pPr>
              <w:tabs>
                <w:tab w:val="left" w:pos="288"/>
                <w:tab w:val="left" w:pos="4752"/>
              </w:tabs>
              <w:spacing w:line="240" w:lineRule="exact"/>
              <w:jc w:val="center"/>
              <w:rPr>
                <w:rFonts w:asciiTheme="minorHAnsi" w:hAnsiTheme="minorHAnsi"/>
                <w:color w:val="auto"/>
                <w:szCs w:val="24"/>
              </w:rPr>
            </w:pPr>
            <w:r w:rsidRPr="00BB00F7">
              <w:rPr>
                <w:rFonts w:asciiTheme="minorHAnsi" w:hAnsiTheme="minorHAnsi"/>
                <w:color w:val="auto"/>
                <w:szCs w:val="24"/>
              </w:rPr>
              <w:t>5285-5292</w:t>
            </w:r>
          </w:p>
        </w:tc>
        <w:tc>
          <w:tcPr>
            <w:tcW w:w="1170" w:type="dxa"/>
            <w:tcBorders>
              <w:bottom w:val="single" w:sz="4" w:space="0" w:color="000000"/>
            </w:tcBorders>
            <w:shd w:val="clear" w:color="auto" w:fill="D9D9D9" w:themeFill="background1" w:themeFillShade="D9"/>
            <w:vAlign w:val="center"/>
          </w:tcPr>
          <w:p w:rsidR="00BB00F7" w:rsidRPr="00BB00F7" w:rsidRDefault="00BB00F7" w:rsidP="0016750E">
            <w:pPr>
              <w:tabs>
                <w:tab w:val="left" w:pos="288"/>
                <w:tab w:val="left" w:pos="4752"/>
              </w:tabs>
              <w:spacing w:line="240" w:lineRule="exact"/>
              <w:jc w:val="center"/>
              <w:rPr>
                <w:rFonts w:asciiTheme="minorHAnsi" w:hAnsiTheme="minorHAnsi"/>
                <w:color w:val="auto"/>
                <w:szCs w:val="24"/>
              </w:rPr>
            </w:pPr>
            <w:r w:rsidRPr="00BB00F7">
              <w:rPr>
                <w:rFonts w:asciiTheme="minorHAnsi" w:hAnsiTheme="minorHAnsi"/>
                <w:color w:val="auto"/>
                <w:szCs w:val="24"/>
              </w:rPr>
              <w:t>-</w:t>
            </w:r>
          </w:p>
        </w:tc>
        <w:tc>
          <w:tcPr>
            <w:tcW w:w="1530" w:type="dxa"/>
            <w:tcBorders>
              <w:bottom w:val="single" w:sz="4" w:space="0" w:color="000000"/>
            </w:tcBorders>
            <w:vAlign w:val="center"/>
          </w:tcPr>
          <w:p w:rsidR="00BB00F7" w:rsidRPr="00BB00F7" w:rsidRDefault="00BB00F7" w:rsidP="0016750E">
            <w:pPr>
              <w:jc w:val="center"/>
              <w:rPr>
                <w:rFonts w:asciiTheme="minorHAnsi" w:hAnsiTheme="minorHAnsi"/>
                <w:color w:val="auto"/>
                <w:szCs w:val="24"/>
              </w:rPr>
            </w:pPr>
            <w:r w:rsidRPr="00BB00F7">
              <w:rPr>
                <w:rFonts w:asciiTheme="minorHAnsi" w:hAnsiTheme="minorHAnsi"/>
                <w:color w:val="auto"/>
                <w:szCs w:val="24"/>
              </w:rPr>
              <w:t>30%</w:t>
            </w:r>
          </w:p>
        </w:tc>
      </w:tr>
      <w:tr w:rsidR="00BB00F7" w:rsidRPr="00BB00F7" w:rsidTr="0016750E">
        <w:tblPrEx>
          <w:tblLook w:val="0000" w:firstRow="0" w:lastRow="0" w:firstColumn="0" w:lastColumn="0" w:noHBand="0" w:noVBand="0"/>
        </w:tblPrEx>
        <w:trPr>
          <w:gridBefore w:val="1"/>
          <w:wBefore w:w="4950" w:type="dxa"/>
          <w:trHeight w:val="188"/>
          <w:jc w:val="center"/>
        </w:trPr>
        <w:tc>
          <w:tcPr>
            <w:tcW w:w="1710" w:type="dxa"/>
            <w:tcBorders>
              <w:left w:val="single" w:sz="4" w:space="0" w:color="auto"/>
            </w:tcBorders>
            <w:shd w:val="pct15" w:color="auto" w:fill="auto"/>
            <w:vAlign w:val="center"/>
          </w:tcPr>
          <w:p w:rsidR="00BB00F7" w:rsidRPr="00BB00F7" w:rsidRDefault="00BB00F7" w:rsidP="0016750E">
            <w:pPr>
              <w:tabs>
                <w:tab w:val="left" w:pos="288"/>
                <w:tab w:val="left" w:pos="4752"/>
              </w:tabs>
              <w:spacing w:line="240" w:lineRule="exact"/>
              <w:jc w:val="center"/>
              <w:rPr>
                <w:rFonts w:asciiTheme="minorHAnsi" w:hAnsiTheme="minorHAnsi"/>
                <w:b/>
                <w:color w:val="auto"/>
                <w:szCs w:val="24"/>
              </w:rPr>
            </w:pPr>
            <w:r w:rsidRPr="00BB00F7">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BB00F7" w:rsidRPr="00BB00F7" w:rsidRDefault="00BB00F7" w:rsidP="0016750E">
            <w:pPr>
              <w:tabs>
                <w:tab w:val="left" w:pos="288"/>
                <w:tab w:val="left" w:pos="4752"/>
              </w:tabs>
              <w:spacing w:line="240" w:lineRule="exact"/>
              <w:jc w:val="center"/>
              <w:rPr>
                <w:rFonts w:asciiTheme="minorHAnsi" w:hAnsiTheme="minorHAnsi"/>
                <w:b/>
                <w:color w:val="auto"/>
                <w:szCs w:val="24"/>
              </w:rPr>
            </w:pPr>
            <w:r w:rsidRPr="00BB00F7">
              <w:rPr>
                <w:rFonts w:asciiTheme="minorHAnsi" w:hAnsiTheme="minorHAnsi"/>
                <w:b/>
                <w:color w:val="auto"/>
                <w:szCs w:val="24"/>
              </w:rPr>
              <w:t>40%</w:t>
            </w:r>
          </w:p>
        </w:tc>
        <w:tc>
          <w:tcPr>
            <w:tcW w:w="1530" w:type="dxa"/>
            <w:shd w:val="pct15" w:color="auto" w:fill="auto"/>
            <w:vAlign w:val="center"/>
          </w:tcPr>
          <w:p w:rsidR="00BB00F7" w:rsidRPr="00BB00F7" w:rsidRDefault="00BB00F7" w:rsidP="0016750E">
            <w:pPr>
              <w:tabs>
                <w:tab w:val="left" w:pos="288"/>
                <w:tab w:val="left" w:pos="4752"/>
              </w:tabs>
              <w:spacing w:line="240" w:lineRule="exact"/>
              <w:jc w:val="center"/>
              <w:rPr>
                <w:rFonts w:asciiTheme="minorHAnsi" w:hAnsiTheme="minorHAnsi"/>
                <w:b/>
                <w:color w:val="auto"/>
                <w:szCs w:val="24"/>
              </w:rPr>
            </w:pPr>
            <w:r w:rsidRPr="00BB00F7">
              <w:rPr>
                <w:rFonts w:asciiTheme="minorHAnsi" w:hAnsiTheme="minorHAnsi"/>
                <w:b/>
                <w:color w:val="auto"/>
                <w:szCs w:val="24"/>
              </w:rPr>
              <w:t>30%</w:t>
            </w:r>
          </w:p>
        </w:tc>
      </w:tr>
    </w:tbl>
    <w:p w:rsidR="00CF6A78" w:rsidRDefault="00CF6A78" w:rsidP="00CF6A78">
      <w:pPr>
        <w:pBdr>
          <w:bottom w:val="single" w:sz="12" w:space="1" w:color="auto"/>
        </w:pBdr>
        <w:tabs>
          <w:tab w:val="left" w:pos="288"/>
          <w:tab w:val="left" w:pos="4752"/>
        </w:tabs>
        <w:spacing w:line="240" w:lineRule="exact"/>
        <w:jc w:val="both"/>
        <w:rPr>
          <w:rFonts w:asciiTheme="minorHAnsi" w:hAnsiTheme="minorHAnsi"/>
          <w:color w:val="auto"/>
          <w:u w:val="single"/>
        </w:rPr>
      </w:pPr>
    </w:p>
    <w:p w:rsidR="00CF6A78" w:rsidRDefault="00CF6A78" w:rsidP="00CF6A78">
      <w:pPr>
        <w:tabs>
          <w:tab w:val="left" w:pos="288"/>
          <w:tab w:val="left" w:pos="4752"/>
        </w:tabs>
        <w:spacing w:line="240" w:lineRule="exact"/>
        <w:jc w:val="both"/>
        <w:rPr>
          <w:rFonts w:asciiTheme="minorHAnsi" w:hAnsiTheme="minorHAnsi"/>
          <w:color w:val="auto"/>
        </w:rPr>
      </w:pPr>
    </w:p>
    <w:p w:rsidR="00106AD8" w:rsidRPr="00CA4F2F" w:rsidRDefault="00106AD8" w:rsidP="000452D7">
      <w:pPr>
        <w:tabs>
          <w:tab w:val="left" w:pos="288"/>
          <w:tab w:val="left" w:pos="4752"/>
        </w:tabs>
        <w:spacing w:line="240" w:lineRule="exact"/>
        <w:rPr>
          <w:color w:val="auto"/>
          <w:szCs w:val="24"/>
        </w:rPr>
      </w:pPr>
    </w:p>
    <w:p w:rsidR="00D91DA6" w:rsidRPr="00CA4F2F" w:rsidRDefault="00FB1725" w:rsidP="000452D7">
      <w:pPr>
        <w:tabs>
          <w:tab w:val="left" w:pos="288"/>
          <w:tab w:val="left" w:pos="4752"/>
        </w:tabs>
        <w:spacing w:line="240" w:lineRule="exact"/>
        <w:jc w:val="both"/>
        <w:rPr>
          <w:rFonts w:asciiTheme="minorHAnsi" w:hAnsiTheme="minorHAnsi"/>
          <w:color w:val="auto"/>
        </w:rPr>
      </w:pPr>
      <w:r w:rsidRPr="00CA4F2F">
        <w:rPr>
          <w:rFonts w:asciiTheme="minorHAnsi" w:hAnsiTheme="minorHAnsi"/>
          <w:color w:val="auto"/>
        </w:rPr>
        <w:t>The following documentary evidence was considered:</w:t>
      </w:r>
    </w:p>
    <w:p w:rsidR="00EB5EFD" w:rsidRPr="00CA4F2F" w:rsidRDefault="00EB5EFD" w:rsidP="000452D7">
      <w:pPr>
        <w:tabs>
          <w:tab w:val="left" w:pos="288"/>
          <w:tab w:val="left" w:pos="4752"/>
        </w:tabs>
        <w:spacing w:line="240" w:lineRule="exact"/>
        <w:jc w:val="both"/>
        <w:rPr>
          <w:rFonts w:asciiTheme="minorHAnsi" w:hAnsiTheme="minorHAnsi"/>
          <w:color w:val="auto"/>
        </w:rPr>
      </w:pPr>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B16E1E">
        <w:rPr>
          <w:rFonts w:asciiTheme="minorHAnsi" w:hAnsiTheme="minorHAnsi"/>
          <w:color w:val="auto"/>
        </w:rPr>
        <w:t>100210</w:t>
      </w:r>
      <w:r>
        <w:rPr>
          <w:rFonts w:asciiTheme="minorHAnsi" w:hAnsiTheme="minorHAnsi"/>
          <w:color w:val="auto"/>
        </w:rPr>
        <w:t>, w/atchs.</w:t>
      </w:r>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D91DA6" w:rsidRPr="00006186" w:rsidRDefault="00FB1725" w:rsidP="000452D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sidR="00F5044D">
        <w:rPr>
          <w:rFonts w:asciiTheme="minorHAnsi" w:hAnsiTheme="minorHAnsi"/>
          <w:caps/>
          <w:color w:val="auto"/>
        </w:rPr>
        <w:t>XXXXXXXXXXXXXXX</w:t>
      </w:r>
    </w:p>
    <w:p w:rsidR="00D91DA6" w:rsidRPr="00006186" w:rsidRDefault="00FB1725" w:rsidP="000452D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367088" w:rsidRDefault="00FB1725"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367088" w:rsidRDefault="00367088">
      <w:pPr>
        <w:rPr>
          <w:rFonts w:asciiTheme="minorHAnsi" w:hAnsiTheme="minorHAnsi"/>
          <w:color w:val="auto"/>
        </w:rPr>
      </w:pPr>
      <w:r>
        <w:rPr>
          <w:rFonts w:asciiTheme="minorHAnsi" w:hAnsiTheme="minorHAnsi"/>
          <w:color w:val="auto"/>
        </w:rPr>
        <w:br w:type="page"/>
      </w:r>
    </w:p>
    <w:p w:rsidR="00367088" w:rsidRDefault="00367088">
      <w:pPr>
        <w:rPr>
          <w:rFonts w:asciiTheme="minorHAnsi" w:hAnsiTheme="minorHAnsi"/>
          <w:color w:val="auto"/>
        </w:rPr>
      </w:pPr>
      <w:r>
        <w:rPr>
          <w:rFonts w:asciiTheme="minorHAnsi" w:hAnsiTheme="minorHAnsi"/>
          <w:noProof/>
          <w:color w:val="auto"/>
        </w:rPr>
        <w:lastRenderedPageBreak/>
        <w:drawing>
          <wp:inline distT="0" distB="0" distL="0" distR="0">
            <wp:extent cx="5943600" cy="7646670"/>
            <wp:effectExtent l="0" t="0" r="0" b="0"/>
            <wp:docPr id="2" name="Picture 2" descr="D:\Reading Room -- AF DDA Decisions\10-119 dda decision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ading Room -- AF DDA Decisions\10-119 dda decision_Page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46670"/>
                    </a:xfrm>
                    <a:prstGeom prst="rect">
                      <a:avLst/>
                    </a:prstGeom>
                    <a:noFill/>
                    <a:ln>
                      <a:noFill/>
                    </a:ln>
                  </pic:spPr>
                </pic:pic>
              </a:graphicData>
            </a:graphic>
          </wp:inline>
        </w:drawing>
      </w:r>
      <w:r>
        <w:rPr>
          <w:rFonts w:asciiTheme="minorHAnsi" w:hAnsiTheme="minorHAnsi"/>
          <w:color w:val="auto"/>
        </w:rPr>
        <w:br w:type="page"/>
      </w:r>
    </w:p>
    <w:p w:rsidR="00367088" w:rsidRDefault="00367088">
      <w:pPr>
        <w:rPr>
          <w:rFonts w:asciiTheme="minorHAnsi" w:hAnsiTheme="minorHAnsi"/>
          <w:color w:val="auto"/>
        </w:rPr>
      </w:pPr>
    </w:p>
    <w:p w:rsidR="00B522CD" w:rsidRPr="00006186" w:rsidRDefault="00367088"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bookmarkStart w:id="0" w:name="_GoBack"/>
      <w:r>
        <w:rPr>
          <w:rFonts w:asciiTheme="minorHAnsi" w:hAnsiTheme="minorHAnsi"/>
          <w:noProof/>
          <w:color w:val="auto"/>
        </w:rPr>
        <w:drawing>
          <wp:anchor distT="0" distB="0" distL="114300" distR="114300" simplePos="0" relativeHeight="251658240" behindDoc="0" locked="0" layoutInCell="1" allowOverlap="1">
            <wp:simplePos x="914400" y="-6479540"/>
            <wp:positionH relativeFrom="margin">
              <wp:align>left</wp:align>
            </wp:positionH>
            <wp:positionV relativeFrom="margin">
              <wp:align>top</wp:align>
            </wp:positionV>
            <wp:extent cx="5943600" cy="7699375"/>
            <wp:effectExtent l="0" t="0" r="0" b="0"/>
            <wp:wrapSquare wrapText="bothSides"/>
            <wp:docPr id="4" name="Picture 4" descr="D:\Reading Room -- AF DDA Decisions\10-119 dda decision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ading Room -- AF DDA Decisions\10-119 dda decision_Page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699375"/>
                    </a:xfrm>
                    <a:prstGeom prst="rect">
                      <a:avLst/>
                    </a:prstGeom>
                    <a:noFill/>
                    <a:ln>
                      <a:noFill/>
                    </a:ln>
                  </pic:spPr>
                </pic:pic>
              </a:graphicData>
            </a:graphic>
          </wp:anchor>
        </w:drawing>
      </w:r>
      <w:bookmarkEnd w:id="0"/>
    </w:p>
    <w:sectPr w:rsidR="00B522CD" w:rsidRPr="00006186" w:rsidSect="002A5C3C">
      <w:footerReference w:type="default" r:id="rId11"/>
      <w:footerReference w:type="first" r:id="rId12"/>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2A" w:rsidRDefault="005B772A">
      <w:r>
        <w:separator/>
      </w:r>
    </w:p>
  </w:endnote>
  <w:endnote w:type="continuationSeparator" w:id="0">
    <w:p w:rsidR="005B772A" w:rsidRDefault="005B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6984766"/>
      <w:docPartObj>
        <w:docPartGallery w:val="Page Numbers (Bottom of Page)"/>
        <w:docPartUnique/>
      </w:docPartObj>
    </w:sdtPr>
    <w:sdtEndPr/>
    <w:sdtContent>
      <w:p w:rsidR="004A31C3" w:rsidRPr="00684CE6" w:rsidRDefault="00003158" w:rsidP="00F65ED5">
        <w:pPr>
          <w:pStyle w:val="Footer"/>
          <w:jc w:val="right"/>
          <w:rPr>
            <w:color w:val="auto"/>
          </w:rPr>
        </w:pPr>
        <w:r w:rsidRPr="00684CE6">
          <w:rPr>
            <w:color w:val="auto"/>
          </w:rPr>
          <w:fldChar w:fldCharType="begin"/>
        </w:r>
        <w:r w:rsidR="004A31C3" w:rsidRPr="00684CE6">
          <w:rPr>
            <w:color w:val="auto"/>
          </w:rPr>
          <w:instrText xml:space="preserve"> PAGE   \* MERGEFORMAT </w:instrText>
        </w:r>
        <w:r w:rsidRPr="00684CE6">
          <w:rPr>
            <w:color w:val="auto"/>
          </w:rPr>
          <w:fldChar w:fldCharType="separate"/>
        </w:r>
        <w:r w:rsidR="00367088">
          <w:rPr>
            <w:noProof/>
            <w:color w:val="auto"/>
          </w:rPr>
          <w:t>6</w:t>
        </w:r>
        <w:r w:rsidRPr="00684CE6">
          <w:rPr>
            <w:color w:val="auto"/>
          </w:rPr>
          <w:fldChar w:fldCharType="end"/>
        </w:r>
        <w:r w:rsidR="004A31C3" w:rsidRPr="00684CE6">
          <w:rPr>
            <w:color w:val="auto"/>
          </w:rPr>
          <w:t xml:space="preserve">                                                           PD</w:t>
        </w:r>
        <w:r w:rsidR="004A31C3">
          <w:rPr>
            <w:color w:val="auto"/>
          </w:rPr>
          <w:t>201000119</w:t>
        </w:r>
      </w:p>
    </w:sdtContent>
  </w:sdt>
  <w:p w:rsidR="004A31C3" w:rsidRPr="00684CE6" w:rsidRDefault="004A31C3">
    <w:pPr>
      <w:pStyle w:val="Foote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C3" w:rsidRPr="00684CE6" w:rsidRDefault="004A31C3" w:rsidP="00EA52FE">
    <w:pPr>
      <w:pStyle w:val="Footer"/>
      <w:jc w:val="right"/>
      <w:rPr>
        <w:rFonts w:asciiTheme="minorHAnsi" w:hAnsiTheme="minorHAnsi"/>
        <w:color w:val="auto"/>
      </w:rPr>
    </w:pPr>
    <w:r w:rsidRPr="00684CE6">
      <w:rPr>
        <w:color w:val="auto"/>
      </w:rPr>
      <w:t xml:space="preserve">                      </w:t>
    </w:r>
  </w:p>
  <w:p w:rsidR="004A31C3" w:rsidRPr="00684CE6" w:rsidRDefault="004A31C3" w:rsidP="004766C9">
    <w:pPr>
      <w:pStyle w:val="Footer"/>
      <w:jc w:val="cen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2A" w:rsidRDefault="005B772A">
      <w:r>
        <w:separator/>
      </w:r>
    </w:p>
  </w:footnote>
  <w:footnote w:type="continuationSeparator" w:id="0">
    <w:p w:rsidR="005B772A" w:rsidRDefault="005B7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1C28D1"/>
    <w:rsid w:val="00003158"/>
    <w:rsid w:val="000059FA"/>
    <w:rsid w:val="00006186"/>
    <w:rsid w:val="00006F87"/>
    <w:rsid w:val="00007107"/>
    <w:rsid w:val="00010ABA"/>
    <w:rsid w:val="00012428"/>
    <w:rsid w:val="00013417"/>
    <w:rsid w:val="000145C2"/>
    <w:rsid w:val="0001473F"/>
    <w:rsid w:val="00014A9E"/>
    <w:rsid w:val="00014C69"/>
    <w:rsid w:val="00021361"/>
    <w:rsid w:val="00022CF3"/>
    <w:rsid w:val="00023913"/>
    <w:rsid w:val="00023D43"/>
    <w:rsid w:val="00030776"/>
    <w:rsid w:val="00032C0E"/>
    <w:rsid w:val="00032E07"/>
    <w:rsid w:val="000332CA"/>
    <w:rsid w:val="0003374E"/>
    <w:rsid w:val="000344D8"/>
    <w:rsid w:val="000344E6"/>
    <w:rsid w:val="000356A1"/>
    <w:rsid w:val="00035C3A"/>
    <w:rsid w:val="00036E4B"/>
    <w:rsid w:val="00037929"/>
    <w:rsid w:val="000379D0"/>
    <w:rsid w:val="0004094F"/>
    <w:rsid w:val="00040FC4"/>
    <w:rsid w:val="000416F8"/>
    <w:rsid w:val="00042C26"/>
    <w:rsid w:val="00043382"/>
    <w:rsid w:val="00044623"/>
    <w:rsid w:val="000452D7"/>
    <w:rsid w:val="00051622"/>
    <w:rsid w:val="00052234"/>
    <w:rsid w:val="00053D7C"/>
    <w:rsid w:val="00054DE6"/>
    <w:rsid w:val="000575C5"/>
    <w:rsid w:val="000577C9"/>
    <w:rsid w:val="0006431E"/>
    <w:rsid w:val="00065E21"/>
    <w:rsid w:val="00072433"/>
    <w:rsid w:val="00075702"/>
    <w:rsid w:val="0007734A"/>
    <w:rsid w:val="000775C2"/>
    <w:rsid w:val="000806AD"/>
    <w:rsid w:val="00080BDF"/>
    <w:rsid w:val="00082482"/>
    <w:rsid w:val="00084CF2"/>
    <w:rsid w:val="00085D7B"/>
    <w:rsid w:val="0008708B"/>
    <w:rsid w:val="00090C4D"/>
    <w:rsid w:val="00092619"/>
    <w:rsid w:val="000927D1"/>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CA2"/>
    <w:rsid w:val="000D7D55"/>
    <w:rsid w:val="000E0993"/>
    <w:rsid w:val="000E37E0"/>
    <w:rsid w:val="000E3F20"/>
    <w:rsid w:val="000E7034"/>
    <w:rsid w:val="000F02BE"/>
    <w:rsid w:val="000F0928"/>
    <w:rsid w:val="000F427B"/>
    <w:rsid w:val="000F43D0"/>
    <w:rsid w:val="000F4F18"/>
    <w:rsid w:val="000F688E"/>
    <w:rsid w:val="000F7181"/>
    <w:rsid w:val="000F74D5"/>
    <w:rsid w:val="001008C1"/>
    <w:rsid w:val="00101202"/>
    <w:rsid w:val="001023DB"/>
    <w:rsid w:val="00103CCF"/>
    <w:rsid w:val="0010417F"/>
    <w:rsid w:val="001042D2"/>
    <w:rsid w:val="0010530E"/>
    <w:rsid w:val="00105C07"/>
    <w:rsid w:val="00106AD8"/>
    <w:rsid w:val="00107EC5"/>
    <w:rsid w:val="001103CD"/>
    <w:rsid w:val="00114F20"/>
    <w:rsid w:val="001211AF"/>
    <w:rsid w:val="001219DF"/>
    <w:rsid w:val="0012220B"/>
    <w:rsid w:val="00122ABE"/>
    <w:rsid w:val="001231DC"/>
    <w:rsid w:val="0012489B"/>
    <w:rsid w:val="001272AE"/>
    <w:rsid w:val="00127685"/>
    <w:rsid w:val="001300DC"/>
    <w:rsid w:val="001315DD"/>
    <w:rsid w:val="00131645"/>
    <w:rsid w:val="001344EB"/>
    <w:rsid w:val="0013525F"/>
    <w:rsid w:val="00135385"/>
    <w:rsid w:val="001364D1"/>
    <w:rsid w:val="00140C7A"/>
    <w:rsid w:val="00142EBA"/>
    <w:rsid w:val="00143B79"/>
    <w:rsid w:val="0014470B"/>
    <w:rsid w:val="00150B8A"/>
    <w:rsid w:val="00150DCB"/>
    <w:rsid w:val="00151912"/>
    <w:rsid w:val="00153740"/>
    <w:rsid w:val="001541C5"/>
    <w:rsid w:val="0015623F"/>
    <w:rsid w:val="00156585"/>
    <w:rsid w:val="00156BA9"/>
    <w:rsid w:val="00161761"/>
    <w:rsid w:val="00166182"/>
    <w:rsid w:val="0016750E"/>
    <w:rsid w:val="001724C8"/>
    <w:rsid w:val="001745DD"/>
    <w:rsid w:val="00177659"/>
    <w:rsid w:val="001779E5"/>
    <w:rsid w:val="0018072A"/>
    <w:rsid w:val="00181240"/>
    <w:rsid w:val="00182A4C"/>
    <w:rsid w:val="00183F77"/>
    <w:rsid w:val="001844D8"/>
    <w:rsid w:val="00185DA8"/>
    <w:rsid w:val="00185ECB"/>
    <w:rsid w:val="001865E0"/>
    <w:rsid w:val="001870F0"/>
    <w:rsid w:val="00190E48"/>
    <w:rsid w:val="0019273F"/>
    <w:rsid w:val="00193814"/>
    <w:rsid w:val="00193AD5"/>
    <w:rsid w:val="00194930"/>
    <w:rsid w:val="00195AAC"/>
    <w:rsid w:val="00196C72"/>
    <w:rsid w:val="001A025E"/>
    <w:rsid w:val="001A08CD"/>
    <w:rsid w:val="001A0A1E"/>
    <w:rsid w:val="001A2182"/>
    <w:rsid w:val="001A5320"/>
    <w:rsid w:val="001A5E62"/>
    <w:rsid w:val="001A6848"/>
    <w:rsid w:val="001A7538"/>
    <w:rsid w:val="001B0B1A"/>
    <w:rsid w:val="001B4EC2"/>
    <w:rsid w:val="001B5B59"/>
    <w:rsid w:val="001B60E0"/>
    <w:rsid w:val="001B7C8C"/>
    <w:rsid w:val="001C0688"/>
    <w:rsid w:val="001C1147"/>
    <w:rsid w:val="001C181A"/>
    <w:rsid w:val="001C1877"/>
    <w:rsid w:val="001C2053"/>
    <w:rsid w:val="001C252F"/>
    <w:rsid w:val="001C28D1"/>
    <w:rsid w:val="001C3473"/>
    <w:rsid w:val="001C4732"/>
    <w:rsid w:val="001C5CFC"/>
    <w:rsid w:val="001C7418"/>
    <w:rsid w:val="001C7DFB"/>
    <w:rsid w:val="001C7EBE"/>
    <w:rsid w:val="001D0051"/>
    <w:rsid w:val="001D2224"/>
    <w:rsid w:val="001D31AA"/>
    <w:rsid w:val="001D4F88"/>
    <w:rsid w:val="001D68CF"/>
    <w:rsid w:val="001D6A8C"/>
    <w:rsid w:val="001D7A56"/>
    <w:rsid w:val="001E15C0"/>
    <w:rsid w:val="001E18E0"/>
    <w:rsid w:val="001E18E2"/>
    <w:rsid w:val="001E19D0"/>
    <w:rsid w:val="001E2A30"/>
    <w:rsid w:val="001E5D3D"/>
    <w:rsid w:val="001E635C"/>
    <w:rsid w:val="001F581F"/>
    <w:rsid w:val="00200AA0"/>
    <w:rsid w:val="00200C59"/>
    <w:rsid w:val="00201CE5"/>
    <w:rsid w:val="00202325"/>
    <w:rsid w:val="00202736"/>
    <w:rsid w:val="00203652"/>
    <w:rsid w:val="0020540C"/>
    <w:rsid w:val="00205B4F"/>
    <w:rsid w:val="002060B6"/>
    <w:rsid w:val="002066B5"/>
    <w:rsid w:val="002119B6"/>
    <w:rsid w:val="00212B40"/>
    <w:rsid w:val="00213BD0"/>
    <w:rsid w:val="00214DBA"/>
    <w:rsid w:val="002151AB"/>
    <w:rsid w:val="00215C4C"/>
    <w:rsid w:val="00215ED6"/>
    <w:rsid w:val="00216049"/>
    <w:rsid w:val="002163FA"/>
    <w:rsid w:val="00217606"/>
    <w:rsid w:val="00217C09"/>
    <w:rsid w:val="00220F5C"/>
    <w:rsid w:val="00221B9B"/>
    <w:rsid w:val="00224DBE"/>
    <w:rsid w:val="00225196"/>
    <w:rsid w:val="00225CB4"/>
    <w:rsid w:val="00226B1A"/>
    <w:rsid w:val="00227625"/>
    <w:rsid w:val="00227F0B"/>
    <w:rsid w:val="00230220"/>
    <w:rsid w:val="0023049F"/>
    <w:rsid w:val="002316F6"/>
    <w:rsid w:val="00232C9B"/>
    <w:rsid w:val="00232E73"/>
    <w:rsid w:val="00232F09"/>
    <w:rsid w:val="002335D5"/>
    <w:rsid w:val="002338CA"/>
    <w:rsid w:val="00233FE5"/>
    <w:rsid w:val="00234B3B"/>
    <w:rsid w:val="00236018"/>
    <w:rsid w:val="002374C9"/>
    <w:rsid w:val="0024174E"/>
    <w:rsid w:val="0024227D"/>
    <w:rsid w:val="00242D14"/>
    <w:rsid w:val="00246860"/>
    <w:rsid w:val="00246DFF"/>
    <w:rsid w:val="00246E89"/>
    <w:rsid w:val="0025183C"/>
    <w:rsid w:val="0025278D"/>
    <w:rsid w:val="002528EC"/>
    <w:rsid w:val="00255049"/>
    <w:rsid w:val="00257AFF"/>
    <w:rsid w:val="00257DE5"/>
    <w:rsid w:val="00260531"/>
    <w:rsid w:val="00260B9A"/>
    <w:rsid w:val="0026318D"/>
    <w:rsid w:val="00266230"/>
    <w:rsid w:val="00270100"/>
    <w:rsid w:val="00270864"/>
    <w:rsid w:val="00270A99"/>
    <w:rsid w:val="002712F7"/>
    <w:rsid w:val="0027159C"/>
    <w:rsid w:val="002722F2"/>
    <w:rsid w:val="00274549"/>
    <w:rsid w:val="00274E46"/>
    <w:rsid w:val="00276419"/>
    <w:rsid w:val="002769AF"/>
    <w:rsid w:val="00276C86"/>
    <w:rsid w:val="00276FD0"/>
    <w:rsid w:val="00277217"/>
    <w:rsid w:val="002810A4"/>
    <w:rsid w:val="00284A26"/>
    <w:rsid w:val="00287006"/>
    <w:rsid w:val="00292AB2"/>
    <w:rsid w:val="00293FE8"/>
    <w:rsid w:val="00294437"/>
    <w:rsid w:val="00297A45"/>
    <w:rsid w:val="002A233F"/>
    <w:rsid w:val="002A3237"/>
    <w:rsid w:val="002A58B7"/>
    <w:rsid w:val="002A5943"/>
    <w:rsid w:val="002A5C3C"/>
    <w:rsid w:val="002A685E"/>
    <w:rsid w:val="002A72C7"/>
    <w:rsid w:val="002B03B2"/>
    <w:rsid w:val="002B0749"/>
    <w:rsid w:val="002B2645"/>
    <w:rsid w:val="002B4E22"/>
    <w:rsid w:val="002B6FA0"/>
    <w:rsid w:val="002B7D8C"/>
    <w:rsid w:val="002C3B6D"/>
    <w:rsid w:val="002C5D9D"/>
    <w:rsid w:val="002C5F10"/>
    <w:rsid w:val="002C6E5B"/>
    <w:rsid w:val="002D18B4"/>
    <w:rsid w:val="002D231A"/>
    <w:rsid w:val="002D7787"/>
    <w:rsid w:val="002E1877"/>
    <w:rsid w:val="002E1C31"/>
    <w:rsid w:val="002E2E0F"/>
    <w:rsid w:val="002E333A"/>
    <w:rsid w:val="002E3474"/>
    <w:rsid w:val="002E400C"/>
    <w:rsid w:val="002E49C3"/>
    <w:rsid w:val="002E5114"/>
    <w:rsid w:val="002E5988"/>
    <w:rsid w:val="002E7570"/>
    <w:rsid w:val="002E764B"/>
    <w:rsid w:val="002F0E28"/>
    <w:rsid w:val="002F287E"/>
    <w:rsid w:val="002F2981"/>
    <w:rsid w:val="002F2D63"/>
    <w:rsid w:val="002F5515"/>
    <w:rsid w:val="002F6AD8"/>
    <w:rsid w:val="002F7F81"/>
    <w:rsid w:val="00300A36"/>
    <w:rsid w:val="0030678B"/>
    <w:rsid w:val="00310CD7"/>
    <w:rsid w:val="0032136A"/>
    <w:rsid w:val="00323E70"/>
    <w:rsid w:val="003258A7"/>
    <w:rsid w:val="00325BA2"/>
    <w:rsid w:val="00326B1C"/>
    <w:rsid w:val="00326C08"/>
    <w:rsid w:val="00326F7F"/>
    <w:rsid w:val="003320E8"/>
    <w:rsid w:val="003328FD"/>
    <w:rsid w:val="0033334F"/>
    <w:rsid w:val="0033555E"/>
    <w:rsid w:val="00336805"/>
    <w:rsid w:val="00337351"/>
    <w:rsid w:val="00341A54"/>
    <w:rsid w:val="00344D17"/>
    <w:rsid w:val="0034669F"/>
    <w:rsid w:val="00351498"/>
    <w:rsid w:val="00352B22"/>
    <w:rsid w:val="00352CBF"/>
    <w:rsid w:val="00354547"/>
    <w:rsid w:val="003567DE"/>
    <w:rsid w:val="003574F3"/>
    <w:rsid w:val="003604A5"/>
    <w:rsid w:val="003618A5"/>
    <w:rsid w:val="0036319E"/>
    <w:rsid w:val="003632A4"/>
    <w:rsid w:val="00363362"/>
    <w:rsid w:val="00367088"/>
    <w:rsid w:val="00367D4F"/>
    <w:rsid w:val="00370743"/>
    <w:rsid w:val="00370EF5"/>
    <w:rsid w:val="0037135B"/>
    <w:rsid w:val="00372251"/>
    <w:rsid w:val="0037520D"/>
    <w:rsid w:val="00375724"/>
    <w:rsid w:val="00375809"/>
    <w:rsid w:val="0037628C"/>
    <w:rsid w:val="00376B81"/>
    <w:rsid w:val="00376E08"/>
    <w:rsid w:val="0037797A"/>
    <w:rsid w:val="00377BD2"/>
    <w:rsid w:val="00380FD4"/>
    <w:rsid w:val="003821E1"/>
    <w:rsid w:val="003840F6"/>
    <w:rsid w:val="00384866"/>
    <w:rsid w:val="003857D4"/>
    <w:rsid w:val="003859B2"/>
    <w:rsid w:val="00385D6F"/>
    <w:rsid w:val="00386D43"/>
    <w:rsid w:val="00387095"/>
    <w:rsid w:val="00390092"/>
    <w:rsid w:val="00393651"/>
    <w:rsid w:val="00393DE0"/>
    <w:rsid w:val="00395651"/>
    <w:rsid w:val="00395E12"/>
    <w:rsid w:val="00396779"/>
    <w:rsid w:val="0039798B"/>
    <w:rsid w:val="00397DB7"/>
    <w:rsid w:val="003A27B2"/>
    <w:rsid w:val="003A40B4"/>
    <w:rsid w:val="003A41BA"/>
    <w:rsid w:val="003A5491"/>
    <w:rsid w:val="003A6A99"/>
    <w:rsid w:val="003A7FF8"/>
    <w:rsid w:val="003B17AC"/>
    <w:rsid w:val="003B227A"/>
    <w:rsid w:val="003B3A77"/>
    <w:rsid w:val="003B4188"/>
    <w:rsid w:val="003B45F2"/>
    <w:rsid w:val="003B5854"/>
    <w:rsid w:val="003B6764"/>
    <w:rsid w:val="003B7F0F"/>
    <w:rsid w:val="003C2800"/>
    <w:rsid w:val="003C294B"/>
    <w:rsid w:val="003C5046"/>
    <w:rsid w:val="003C6068"/>
    <w:rsid w:val="003D2BA3"/>
    <w:rsid w:val="003D3C22"/>
    <w:rsid w:val="003D56A0"/>
    <w:rsid w:val="003D7089"/>
    <w:rsid w:val="003D7DDB"/>
    <w:rsid w:val="003E02C7"/>
    <w:rsid w:val="003E0543"/>
    <w:rsid w:val="003E061D"/>
    <w:rsid w:val="003E0B5A"/>
    <w:rsid w:val="003E31E3"/>
    <w:rsid w:val="003E46D1"/>
    <w:rsid w:val="003E6214"/>
    <w:rsid w:val="003F070E"/>
    <w:rsid w:val="003F1206"/>
    <w:rsid w:val="003F4030"/>
    <w:rsid w:val="003F58B0"/>
    <w:rsid w:val="003F776F"/>
    <w:rsid w:val="004007E9"/>
    <w:rsid w:val="00400810"/>
    <w:rsid w:val="00401825"/>
    <w:rsid w:val="00401BBC"/>
    <w:rsid w:val="0040356E"/>
    <w:rsid w:val="00403BFB"/>
    <w:rsid w:val="00404B45"/>
    <w:rsid w:val="00406CC5"/>
    <w:rsid w:val="004074A4"/>
    <w:rsid w:val="004101B2"/>
    <w:rsid w:val="004123D7"/>
    <w:rsid w:val="00412658"/>
    <w:rsid w:val="004129DA"/>
    <w:rsid w:val="0041523E"/>
    <w:rsid w:val="00415EA4"/>
    <w:rsid w:val="0041604B"/>
    <w:rsid w:val="004172DB"/>
    <w:rsid w:val="004201A5"/>
    <w:rsid w:val="00421485"/>
    <w:rsid w:val="004225C8"/>
    <w:rsid w:val="00422B75"/>
    <w:rsid w:val="00424612"/>
    <w:rsid w:val="00425A6A"/>
    <w:rsid w:val="00427F54"/>
    <w:rsid w:val="00433F36"/>
    <w:rsid w:val="0043503A"/>
    <w:rsid w:val="00437D77"/>
    <w:rsid w:val="004435BE"/>
    <w:rsid w:val="0044384F"/>
    <w:rsid w:val="0044411E"/>
    <w:rsid w:val="00444F80"/>
    <w:rsid w:val="00446018"/>
    <w:rsid w:val="0045027B"/>
    <w:rsid w:val="004543BC"/>
    <w:rsid w:val="0045645D"/>
    <w:rsid w:val="004574C6"/>
    <w:rsid w:val="00457BCF"/>
    <w:rsid w:val="00457DCE"/>
    <w:rsid w:val="00460E3F"/>
    <w:rsid w:val="00462DF8"/>
    <w:rsid w:val="00462F68"/>
    <w:rsid w:val="004640E9"/>
    <w:rsid w:val="00466CED"/>
    <w:rsid w:val="00467592"/>
    <w:rsid w:val="00467690"/>
    <w:rsid w:val="004718E7"/>
    <w:rsid w:val="00472535"/>
    <w:rsid w:val="004757A9"/>
    <w:rsid w:val="004761CC"/>
    <w:rsid w:val="004766C9"/>
    <w:rsid w:val="00480D4A"/>
    <w:rsid w:val="00481DA1"/>
    <w:rsid w:val="00484212"/>
    <w:rsid w:val="00491F4F"/>
    <w:rsid w:val="0049255F"/>
    <w:rsid w:val="00493156"/>
    <w:rsid w:val="0049445D"/>
    <w:rsid w:val="00495350"/>
    <w:rsid w:val="00497156"/>
    <w:rsid w:val="004A0C79"/>
    <w:rsid w:val="004A1022"/>
    <w:rsid w:val="004A24D2"/>
    <w:rsid w:val="004A31C3"/>
    <w:rsid w:val="004A3214"/>
    <w:rsid w:val="004A4136"/>
    <w:rsid w:val="004A417B"/>
    <w:rsid w:val="004A4378"/>
    <w:rsid w:val="004A4F49"/>
    <w:rsid w:val="004B03F3"/>
    <w:rsid w:val="004B0CC9"/>
    <w:rsid w:val="004B2536"/>
    <w:rsid w:val="004B43DE"/>
    <w:rsid w:val="004B6AF3"/>
    <w:rsid w:val="004B715E"/>
    <w:rsid w:val="004B7169"/>
    <w:rsid w:val="004B79C9"/>
    <w:rsid w:val="004C0776"/>
    <w:rsid w:val="004C5E33"/>
    <w:rsid w:val="004C60A3"/>
    <w:rsid w:val="004C6CDA"/>
    <w:rsid w:val="004D10D4"/>
    <w:rsid w:val="004D16BD"/>
    <w:rsid w:val="004D2AAB"/>
    <w:rsid w:val="004D4B4E"/>
    <w:rsid w:val="004D65DE"/>
    <w:rsid w:val="004D6F2B"/>
    <w:rsid w:val="004E0248"/>
    <w:rsid w:val="004E1365"/>
    <w:rsid w:val="004E21A3"/>
    <w:rsid w:val="004E32EA"/>
    <w:rsid w:val="004E6866"/>
    <w:rsid w:val="004F3222"/>
    <w:rsid w:val="004F3BFA"/>
    <w:rsid w:val="004F5019"/>
    <w:rsid w:val="005000AB"/>
    <w:rsid w:val="00500111"/>
    <w:rsid w:val="00500F3C"/>
    <w:rsid w:val="005025EE"/>
    <w:rsid w:val="00505524"/>
    <w:rsid w:val="00506688"/>
    <w:rsid w:val="00510588"/>
    <w:rsid w:val="0051146C"/>
    <w:rsid w:val="0051220B"/>
    <w:rsid w:val="00512484"/>
    <w:rsid w:val="0051269B"/>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BE0"/>
    <w:rsid w:val="00540BEF"/>
    <w:rsid w:val="00542347"/>
    <w:rsid w:val="005428DA"/>
    <w:rsid w:val="00542C9A"/>
    <w:rsid w:val="005434DC"/>
    <w:rsid w:val="005436C2"/>
    <w:rsid w:val="005442D4"/>
    <w:rsid w:val="0054586A"/>
    <w:rsid w:val="0054631F"/>
    <w:rsid w:val="00546C24"/>
    <w:rsid w:val="00547BE6"/>
    <w:rsid w:val="0055260A"/>
    <w:rsid w:val="0055288D"/>
    <w:rsid w:val="00555259"/>
    <w:rsid w:val="005569EF"/>
    <w:rsid w:val="00560D57"/>
    <w:rsid w:val="00562A94"/>
    <w:rsid w:val="00570754"/>
    <w:rsid w:val="005709F7"/>
    <w:rsid w:val="005710A9"/>
    <w:rsid w:val="00571D1B"/>
    <w:rsid w:val="005738F5"/>
    <w:rsid w:val="00573D34"/>
    <w:rsid w:val="0058039C"/>
    <w:rsid w:val="00580A63"/>
    <w:rsid w:val="00583379"/>
    <w:rsid w:val="0058417C"/>
    <w:rsid w:val="00586EC6"/>
    <w:rsid w:val="00587DDE"/>
    <w:rsid w:val="00592815"/>
    <w:rsid w:val="00592CE3"/>
    <w:rsid w:val="00593043"/>
    <w:rsid w:val="00595BF0"/>
    <w:rsid w:val="005A0B1D"/>
    <w:rsid w:val="005A1846"/>
    <w:rsid w:val="005A258C"/>
    <w:rsid w:val="005A3560"/>
    <w:rsid w:val="005A464E"/>
    <w:rsid w:val="005A62FC"/>
    <w:rsid w:val="005A6C99"/>
    <w:rsid w:val="005A7D5D"/>
    <w:rsid w:val="005B011A"/>
    <w:rsid w:val="005B1D8F"/>
    <w:rsid w:val="005B1E94"/>
    <w:rsid w:val="005B5B3D"/>
    <w:rsid w:val="005B64CF"/>
    <w:rsid w:val="005B772A"/>
    <w:rsid w:val="005B7E48"/>
    <w:rsid w:val="005C16F3"/>
    <w:rsid w:val="005C3758"/>
    <w:rsid w:val="005C4D72"/>
    <w:rsid w:val="005D5E91"/>
    <w:rsid w:val="005D647A"/>
    <w:rsid w:val="005D67EF"/>
    <w:rsid w:val="005E3064"/>
    <w:rsid w:val="005E460B"/>
    <w:rsid w:val="005E72B2"/>
    <w:rsid w:val="005F1115"/>
    <w:rsid w:val="005F1AB6"/>
    <w:rsid w:val="005F27F2"/>
    <w:rsid w:val="005F3567"/>
    <w:rsid w:val="005F3AFE"/>
    <w:rsid w:val="005F424D"/>
    <w:rsid w:val="005F5BF5"/>
    <w:rsid w:val="005F6B6D"/>
    <w:rsid w:val="00600055"/>
    <w:rsid w:val="00605AAB"/>
    <w:rsid w:val="00606BEB"/>
    <w:rsid w:val="0061014A"/>
    <w:rsid w:val="0061054B"/>
    <w:rsid w:val="00613E26"/>
    <w:rsid w:val="00615641"/>
    <w:rsid w:val="00616959"/>
    <w:rsid w:val="00617F21"/>
    <w:rsid w:val="006211D0"/>
    <w:rsid w:val="00624D0C"/>
    <w:rsid w:val="006274B4"/>
    <w:rsid w:val="006307BA"/>
    <w:rsid w:val="006315BA"/>
    <w:rsid w:val="006324C5"/>
    <w:rsid w:val="00634C4A"/>
    <w:rsid w:val="0063532E"/>
    <w:rsid w:val="00637BDC"/>
    <w:rsid w:val="006418C9"/>
    <w:rsid w:val="00642BD6"/>
    <w:rsid w:val="00645046"/>
    <w:rsid w:val="0064527A"/>
    <w:rsid w:val="00645EA2"/>
    <w:rsid w:val="00651E6D"/>
    <w:rsid w:val="00653D2D"/>
    <w:rsid w:val="006573F2"/>
    <w:rsid w:val="00662AD0"/>
    <w:rsid w:val="00662F08"/>
    <w:rsid w:val="00663589"/>
    <w:rsid w:val="00665D75"/>
    <w:rsid w:val="006708E3"/>
    <w:rsid w:val="00670DDC"/>
    <w:rsid w:val="00671389"/>
    <w:rsid w:val="00671EB4"/>
    <w:rsid w:val="006722E2"/>
    <w:rsid w:val="0067286B"/>
    <w:rsid w:val="0067443B"/>
    <w:rsid w:val="00681828"/>
    <w:rsid w:val="00684CE6"/>
    <w:rsid w:val="00684E2B"/>
    <w:rsid w:val="00684F48"/>
    <w:rsid w:val="00690569"/>
    <w:rsid w:val="00690FDA"/>
    <w:rsid w:val="00691E61"/>
    <w:rsid w:val="00693C5E"/>
    <w:rsid w:val="00694475"/>
    <w:rsid w:val="00694EEA"/>
    <w:rsid w:val="006955B4"/>
    <w:rsid w:val="00696476"/>
    <w:rsid w:val="00696C74"/>
    <w:rsid w:val="006A0549"/>
    <w:rsid w:val="006A10FA"/>
    <w:rsid w:val="006A40E6"/>
    <w:rsid w:val="006A5C07"/>
    <w:rsid w:val="006A75FA"/>
    <w:rsid w:val="006B07D5"/>
    <w:rsid w:val="006B1309"/>
    <w:rsid w:val="006B3923"/>
    <w:rsid w:val="006B3F3E"/>
    <w:rsid w:val="006B5923"/>
    <w:rsid w:val="006B67D9"/>
    <w:rsid w:val="006B6C14"/>
    <w:rsid w:val="006B715E"/>
    <w:rsid w:val="006B7830"/>
    <w:rsid w:val="006C1D6E"/>
    <w:rsid w:val="006C1F46"/>
    <w:rsid w:val="006C2A7C"/>
    <w:rsid w:val="006C2EF6"/>
    <w:rsid w:val="006C3789"/>
    <w:rsid w:val="006C3A68"/>
    <w:rsid w:val="006C6AB1"/>
    <w:rsid w:val="006C6E6B"/>
    <w:rsid w:val="006C7792"/>
    <w:rsid w:val="006D2000"/>
    <w:rsid w:val="006D2D39"/>
    <w:rsid w:val="006D4250"/>
    <w:rsid w:val="006D4E0E"/>
    <w:rsid w:val="006D5CE2"/>
    <w:rsid w:val="006E06D1"/>
    <w:rsid w:val="006E1313"/>
    <w:rsid w:val="006E2DC8"/>
    <w:rsid w:val="006E7356"/>
    <w:rsid w:val="006E77C8"/>
    <w:rsid w:val="006F0242"/>
    <w:rsid w:val="006F149D"/>
    <w:rsid w:val="006F1A46"/>
    <w:rsid w:val="006F3E6F"/>
    <w:rsid w:val="006F4F06"/>
    <w:rsid w:val="006F5A4E"/>
    <w:rsid w:val="006F6005"/>
    <w:rsid w:val="007034DB"/>
    <w:rsid w:val="00703B6C"/>
    <w:rsid w:val="00704EA1"/>
    <w:rsid w:val="00705C40"/>
    <w:rsid w:val="00706482"/>
    <w:rsid w:val="00706BEF"/>
    <w:rsid w:val="00707ECE"/>
    <w:rsid w:val="00710CE8"/>
    <w:rsid w:val="007116BC"/>
    <w:rsid w:val="00711CA6"/>
    <w:rsid w:val="007125F4"/>
    <w:rsid w:val="00716399"/>
    <w:rsid w:val="007165CE"/>
    <w:rsid w:val="00720968"/>
    <w:rsid w:val="00721705"/>
    <w:rsid w:val="00721B7A"/>
    <w:rsid w:val="00721D12"/>
    <w:rsid w:val="00721F8B"/>
    <w:rsid w:val="007237CE"/>
    <w:rsid w:val="00724688"/>
    <w:rsid w:val="007272F1"/>
    <w:rsid w:val="0073062D"/>
    <w:rsid w:val="0073254D"/>
    <w:rsid w:val="00736A49"/>
    <w:rsid w:val="007419A1"/>
    <w:rsid w:val="00743B71"/>
    <w:rsid w:val="00743C2D"/>
    <w:rsid w:val="00743E36"/>
    <w:rsid w:val="00743F05"/>
    <w:rsid w:val="007446F7"/>
    <w:rsid w:val="00744EBB"/>
    <w:rsid w:val="00745B0A"/>
    <w:rsid w:val="00745DBE"/>
    <w:rsid w:val="007468AC"/>
    <w:rsid w:val="00746AE2"/>
    <w:rsid w:val="00746F34"/>
    <w:rsid w:val="00750C82"/>
    <w:rsid w:val="007556F4"/>
    <w:rsid w:val="0076100C"/>
    <w:rsid w:val="007612A5"/>
    <w:rsid w:val="00763F95"/>
    <w:rsid w:val="007651ED"/>
    <w:rsid w:val="00766C87"/>
    <w:rsid w:val="00780378"/>
    <w:rsid w:val="00781BD4"/>
    <w:rsid w:val="00782562"/>
    <w:rsid w:val="007828B4"/>
    <w:rsid w:val="00784832"/>
    <w:rsid w:val="00785D77"/>
    <w:rsid w:val="00786111"/>
    <w:rsid w:val="00786B9E"/>
    <w:rsid w:val="00790963"/>
    <w:rsid w:val="00791F1E"/>
    <w:rsid w:val="00794ADE"/>
    <w:rsid w:val="00794F3D"/>
    <w:rsid w:val="00795CE9"/>
    <w:rsid w:val="00796045"/>
    <w:rsid w:val="007968AC"/>
    <w:rsid w:val="007969AB"/>
    <w:rsid w:val="007A0B39"/>
    <w:rsid w:val="007A14A4"/>
    <w:rsid w:val="007A168F"/>
    <w:rsid w:val="007A2346"/>
    <w:rsid w:val="007A28E4"/>
    <w:rsid w:val="007A3BB3"/>
    <w:rsid w:val="007A3F91"/>
    <w:rsid w:val="007A406B"/>
    <w:rsid w:val="007A5AD1"/>
    <w:rsid w:val="007A5B7B"/>
    <w:rsid w:val="007A7235"/>
    <w:rsid w:val="007B0A06"/>
    <w:rsid w:val="007B5C5C"/>
    <w:rsid w:val="007B7B37"/>
    <w:rsid w:val="007B7C41"/>
    <w:rsid w:val="007C11E9"/>
    <w:rsid w:val="007C433E"/>
    <w:rsid w:val="007C4452"/>
    <w:rsid w:val="007C4B3C"/>
    <w:rsid w:val="007C4DB1"/>
    <w:rsid w:val="007C6046"/>
    <w:rsid w:val="007C6F0C"/>
    <w:rsid w:val="007D0292"/>
    <w:rsid w:val="007D21AC"/>
    <w:rsid w:val="007D24B0"/>
    <w:rsid w:val="007D3882"/>
    <w:rsid w:val="007D4930"/>
    <w:rsid w:val="007D568A"/>
    <w:rsid w:val="007D574E"/>
    <w:rsid w:val="007D57C0"/>
    <w:rsid w:val="007D6BFE"/>
    <w:rsid w:val="007E2046"/>
    <w:rsid w:val="007E3883"/>
    <w:rsid w:val="007E4FBB"/>
    <w:rsid w:val="007E55BF"/>
    <w:rsid w:val="007E71B1"/>
    <w:rsid w:val="007E7B4E"/>
    <w:rsid w:val="007F0AB7"/>
    <w:rsid w:val="007F0CE2"/>
    <w:rsid w:val="007F0EFF"/>
    <w:rsid w:val="007F1375"/>
    <w:rsid w:val="007F6BE4"/>
    <w:rsid w:val="0080064F"/>
    <w:rsid w:val="00803850"/>
    <w:rsid w:val="008039E8"/>
    <w:rsid w:val="00804385"/>
    <w:rsid w:val="00805AFD"/>
    <w:rsid w:val="00806390"/>
    <w:rsid w:val="008078D8"/>
    <w:rsid w:val="00811D5B"/>
    <w:rsid w:val="00813C51"/>
    <w:rsid w:val="00817713"/>
    <w:rsid w:val="008208C3"/>
    <w:rsid w:val="008220F1"/>
    <w:rsid w:val="00822430"/>
    <w:rsid w:val="0082340B"/>
    <w:rsid w:val="00827DB6"/>
    <w:rsid w:val="008304B2"/>
    <w:rsid w:val="00830999"/>
    <w:rsid w:val="00830D5E"/>
    <w:rsid w:val="00830F69"/>
    <w:rsid w:val="00833418"/>
    <w:rsid w:val="0083387F"/>
    <w:rsid w:val="0083434B"/>
    <w:rsid w:val="00834458"/>
    <w:rsid w:val="00834AEA"/>
    <w:rsid w:val="00835841"/>
    <w:rsid w:val="00837465"/>
    <w:rsid w:val="008374EF"/>
    <w:rsid w:val="00840621"/>
    <w:rsid w:val="00841243"/>
    <w:rsid w:val="00841457"/>
    <w:rsid w:val="0084374E"/>
    <w:rsid w:val="00844842"/>
    <w:rsid w:val="00844A53"/>
    <w:rsid w:val="00844DD0"/>
    <w:rsid w:val="0085089F"/>
    <w:rsid w:val="0085206E"/>
    <w:rsid w:val="00852AD4"/>
    <w:rsid w:val="00852BA8"/>
    <w:rsid w:val="00853718"/>
    <w:rsid w:val="008541EF"/>
    <w:rsid w:val="00856AC7"/>
    <w:rsid w:val="00856FA4"/>
    <w:rsid w:val="00860E60"/>
    <w:rsid w:val="0086162B"/>
    <w:rsid w:val="00861D5C"/>
    <w:rsid w:val="00865207"/>
    <w:rsid w:val="008656A7"/>
    <w:rsid w:val="00865FA3"/>
    <w:rsid w:val="00866231"/>
    <w:rsid w:val="00871262"/>
    <w:rsid w:val="00871D4E"/>
    <w:rsid w:val="00871E7B"/>
    <w:rsid w:val="0087566D"/>
    <w:rsid w:val="00875B51"/>
    <w:rsid w:val="00875F2D"/>
    <w:rsid w:val="008764DC"/>
    <w:rsid w:val="00882CC2"/>
    <w:rsid w:val="00883930"/>
    <w:rsid w:val="0089038F"/>
    <w:rsid w:val="00892B90"/>
    <w:rsid w:val="00896535"/>
    <w:rsid w:val="00896683"/>
    <w:rsid w:val="0089750B"/>
    <w:rsid w:val="00897589"/>
    <w:rsid w:val="008A0D4F"/>
    <w:rsid w:val="008A5C34"/>
    <w:rsid w:val="008A63A9"/>
    <w:rsid w:val="008A7073"/>
    <w:rsid w:val="008A7F7E"/>
    <w:rsid w:val="008B04DB"/>
    <w:rsid w:val="008B09B4"/>
    <w:rsid w:val="008B27FD"/>
    <w:rsid w:val="008B3AF2"/>
    <w:rsid w:val="008B446D"/>
    <w:rsid w:val="008B4DB7"/>
    <w:rsid w:val="008B515D"/>
    <w:rsid w:val="008B5D31"/>
    <w:rsid w:val="008B6705"/>
    <w:rsid w:val="008C06E8"/>
    <w:rsid w:val="008C22F3"/>
    <w:rsid w:val="008C28F5"/>
    <w:rsid w:val="008C5DB8"/>
    <w:rsid w:val="008D29E7"/>
    <w:rsid w:val="008D795D"/>
    <w:rsid w:val="008D7B07"/>
    <w:rsid w:val="008E1E94"/>
    <w:rsid w:val="008E2294"/>
    <w:rsid w:val="008E2D99"/>
    <w:rsid w:val="008E38B0"/>
    <w:rsid w:val="008E4A60"/>
    <w:rsid w:val="008E744D"/>
    <w:rsid w:val="008F0BCB"/>
    <w:rsid w:val="008F1E08"/>
    <w:rsid w:val="00900D8F"/>
    <w:rsid w:val="009014E3"/>
    <w:rsid w:val="009026E8"/>
    <w:rsid w:val="00902FDD"/>
    <w:rsid w:val="009037EB"/>
    <w:rsid w:val="0090456E"/>
    <w:rsid w:val="00904844"/>
    <w:rsid w:val="00905EEF"/>
    <w:rsid w:val="00906EB7"/>
    <w:rsid w:val="009102BF"/>
    <w:rsid w:val="00911490"/>
    <w:rsid w:val="009115F2"/>
    <w:rsid w:val="00914ADB"/>
    <w:rsid w:val="00923B25"/>
    <w:rsid w:val="0092402E"/>
    <w:rsid w:val="009251AC"/>
    <w:rsid w:val="009259BA"/>
    <w:rsid w:val="00926FCB"/>
    <w:rsid w:val="009303BB"/>
    <w:rsid w:val="0093311A"/>
    <w:rsid w:val="00940158"/>
    <w:rsid w:val="00941A4C"/>
    <w:rsid w:val="00942645"/>
    <w:rsid w:val="009461E6"/>
    <w:rsid w:val="00950A3A"/>
    <w:rsid w:val="0095340A"/>
    <w:rsid w:val="00954581"/>
    <w:rsid w:val="0095466C"/>
    <w:rsid w:val="00954E5B"/>
    <w:rsid w:val="00955E45"/>
    <w:rsid w:val="009576BC"/>
    <w:rsid w:val="00960357"/>
    <w:rsid w:val="0096168C"/>
    <w:rsid w:val="00961840"/>
    <w:rsid w:val="009625E3"/>
    <w:rsid w:val="00962F2D"/>
    <w:rsid w:val="009672CD"/>
    <w:rsid w:val="00972996"/>
    <w:rsid w:val="009732B8"/>
    <w:rsid w:val="0097514A"/>
    <w:rsid w:val="009759C2"/>
    <w:rsid w:val="00975C72"/>
    <w:rsid w:val="00976869"/>
    <w:rsid w:val="00977740"/>
    <w:rsid w:val="00977C67"/>
    <w:rsid w:val="00977CB4"/>
    <w:rsid w:val="009809B8"/>
    <w:rsid w:val="00981086"/>
    <w:rsid w:val="009818AF"/>
    <w:rsid w:val="00981B1C"/>
    <w:rsid w:val="0098222D"/>
    <w:rsid w:val="00985099"/>
    <w:rsid w:val="0098773F"/>
    <w:rsid w:val="0099421F"/>
    <w:rsid w:val="009946CF"/>
    <w:rsid w:val="009A0DE3"/>
    <w:rsid w:val="009A1643"/>
    <w:rsid w:val="009A215A"/>
    <w:rsid w:val="009A49D3"/>
    <w:rsid w:val="009A4BE8"/>
    <w:rsid w:val="009A4F1B"/>
    <w:rsid w:val="009A66C5"/>
    <w:rsid w:val="009A67BB"/>
    <w:rsid w:val="009A79BA"/>
    <w:rsid w:val="009B14D1"/>
    <w:rsid w:val="009B1534"/>
    <w:rsid w:val="009B4963"/>
    <w:rsid w:val="009B4A3B"/>
    <w:rsid w:val="009B69D3"/>
    <w:rsid w:val="009B7BA7"/>
    <w:rsid w:val="009C0938"/>
    <w:rsid w:val="009C0E5A"/>
    <w:rsid w:val="009C22C8"/>
    <w:rsid w:val="009C3F82"/>
    <w:rsid w:val="009C72DD"/>
    <w:rsid w:val="009C7DF5"/>
    <w:rsid w:val="009D056C"/>
    <w:rsid w:val="009D060F"/>
    <w:rsid w:val="009D1ADE"/>
    <w:rsid w:val="009D37CA"/>
    <w:rsid w:val="009D4229"/>
    <w:rsid w:val="009E09D0"/>
    <w:rsid w:val="009E0CB4"/>
    <w:rsid w:val="009E1283"/>
    <w:rsid w:val="009E3A7F"/>
    <w:rsid w:val="009E48AF"/>
    <w:rsid w:val="009E4DFC"/>
    <w:rsid w:val="009E54CD"/>
    <w:rsid w:val="009E5789"/>
    <w:rsid w:val="009E57B1"/>
    <w:rsid w:val="009E6379"/>
    <w:rsid w:val="009F0D7F"/>
    <w:rsid w:val="009F3B63"/>
    <w:rsid w:val="009F5D59"/>
    <w:rsid w:val="009F6292"/>
    <w:rsid w:val="009F7809"/>
    <w:rsid w:val="009F7AF5"/>
    <w:rsid w:val="00A00D14"/>
    <w:rsid w:val="00A01408"/>
    <w:rsid w:val="00A02457"/>
    <w:rsid w:val="00A03190"/>
    <w:rsid w:val="00A0404B"/>
    <w:rsid w:val="00A0798C"/>
    <w:rsid w:val="00A07BDD"/>
    <w:rsid w:val="00A07F12"/>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3E8"/>
    <w:rsid w:val="00A258B7"/>
    <w:rsid w:val="00A32743"/>
    <w:rsid w:val="00A41468"/>
    <w:rsid w:val="00A414A9"/>
    <w:rsid w:val="00A42266"/>
    <w:rsid w:val="00A4281D"/>
    <w:rsid w:val="00A44141"/>
    <w:rsid w:val="00A44CCA"/>
    <w:rsid w:val="00A44D75"/>
    <w:rsid w:val="00A47CF1"/>
    <w:rsid w:val="00A47FD7"/>
    <w:rsid w:val="00A50418"/>
    <w:rsid w:val="00A54A47"/>
    <w:rsid w:val="00A56D26"/>
    <w:rsid w:val="00A571A7"/>
    <w:rsid w:val="00A57BA8"/>
    <w:rsid w:val="00A608FB"/>
    <w:rsid w:val="00A60D83"/>
    <w:rsid w:val="00A60F68"/>
    <w:rsid w:val="00A63DF3"/>
    <w:rsid w:val="00A63E0E"/>
    <w:rsid w:val="00A63EBF"/>
    <w:rsid w:val="00A65C78"/>
    <w:rsid w:val="00A660A8"/>
    <w:rsid w:val="00A67591"/>
    <w:rsid w:val="00A67CA6"/>
    <w:rsid w:val="00A70E7B"/>
    <w:rsid w:val="00A73B84"/>
    <w:rsid w:val="00A7411D"/>
    <w:rsid w:val="00A7592B"/>
    <w:rsid w:val="00A76094"/>
    <w:rsid w:val="00A768E2"/>
    <w:rsid w:val="00A82C52"/>
    <w:rsid w:val="00A83C15"/>
    <w:rsid w:val="00A86CB6"/>
    <w:rsid w:val="00A90D55"/>
    <w:rsid w:val="00A944D8"/>
    <w:rsid w:val="00A959E7"/>
    <w:rsid w:val="00A95BBA"/>
    <w:rsid w:val="00A95D97"/>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C439D"/>
    <w:rsid w:val="00AC713F"/>
    <w:rsid w:val="00AC7329"/>
    <w:rsid w:val="00AD067E"/>
    <w:rsid w:val="00AD1B4E"/>
    <w:rsid w:val="00AD2801"/>
    <w:rsid w:val="00AD3496"/>
    <w:rsid w:val="00AD5771"/>
    <w:rsid w:val="00AD6870"/>
    <w:rsid w:val="00AD68C5"/>
    <w:rsid w:val="00AD7F8F"/>
    <w:rsid w:val="00AE1273"/>
    <w:rsid w:val="00AE18C5"/>
    <w:rsid w:val="00AE2D29"/>
    <w:rsid w:val="00AE4624"/>
    <w:rsid w:val="00AE5340"/>
    <w:rsid w:val="00AE5E14"/>
    <w:rsid w:val="00AE6115"/>
    <w:rsid w:val="00AE625B"/>
    <w:rsid w:val="00AF1103"/>
    <w:rsid w:val="00AF1668"/>
    <w:rsid w:val="00AF4FA5"/>
    <w:rsid w:val="00B0361D"/>
    <w:rsid w:val="00B04562"/>
    <w:rsid w:val="00B07609"/>
    <w:rsid w:val="00B0773A"/>
    <w:rsid w:val="00B07955"/>
    <w:rsid w:val="00B140B8"/>
    <w:rsid w:val="00B14FAA"/>
    <w:rsid w:val="00B15BED"/>
    <w:rsid w:val="00B15D30"/>
    <w:rsid w:val="00B16E1E"/>
    <w:rsid w:val="00B20624"/>
    <w:rsid w:val="00B23436"/>
    <w:rsid w:val="00B237F1"/>
    <w:rsid w:val="00B24F33"/>
    <w:rsid w:val="00B26354"/>
    <w:rsid w:val="00B26CA0"/>
    <w:rsid w:val="00B32179"/>
    <w:rsid w:val="00B33007"/>
    <w:rsid w:val="00B331A9"/>
    <w:rsid w:val="00B33498"/>
    <w:rsid w:val="00B334B0"/>
    <w:rsid w:val="00B36569"/>
    <w:rsid w:val="00B40A05"/>
    <w:rsid w:val="00B40A3E"/>
    <w:rsid w:val="00B427BB"/>
    <w:rsid w:val="00B449EE"/>
    <w:rsid w:val="00B454AE"/>
    <w:rsid w:val="00B50227"/>
    <w:rsid w:val="00B50510"/>
    <w:rsid w:val="00B522CD"/>
    <w:rsid w:val="00B55143"/>
    <w:rsid w:val="00B555C8"/>
    <w:rsid w:val="00B55917"/>
    <w:rsid w:val="00B57EB8"/>
    <w:rsid w:val="00B60889"/>
    <w:rsid w:val="00B643A6"/>
    <w:rsid w:val="00B64DD6"/>
    <w:rsid w:val="00B6710C"/>
    <w:rsid w:val="00B67E84"/>
    <w:rsid w:val="00B72076"/>
    <w:rsid w:val="00B72303"/>
    <w:rsid w:val="00B72C72"/>
    <w:rsid w:val="00B731E4"/>
    <w:rsid w:val="00B76796"/>
    <w:rsid w:val="00B771E0"/>
    <w:rsid w:val="00B812BD"/>
    <w:rsid w:val="00B82277"/>
    <w:rsid w:val="00B8478F"/>
    <w:rsid w:val="00B91676"/>
    <w:rsid w:val="00B929CE"/>
    <w:rsid w:val="00B94025"/>
    <w:rsid w:val="00B95833"/>
    <w:rsid w:val="00BA1824"/>
    <w:rsid w:val="00BA2D98"/>
    <w:rsid w:val="00BA2F0C"/>
    <w:rsid w:val="00BA30D1"/>
    <w:rsid w:val="00BA30E1"/>
    <w:rsid w:val="00BA4609"/>
    <w:rsid w:val="00BA5BE2"/>
    <w:rsid w:val="00BA7972"/>
    <w:rsid w:val="00BA7F46"/>
    <w:rsid w:val="00BB00F7"/>
    <w:rsid w:val="00BB0A0A"/>
    <w:rsid w:val="00BB133C"/>
    <w:rsid w:val="00BB1F04"/>
    <w:rsid w:val="00BB45B5"/>
    <w:rsid w:val="00BB6064"/>
    <w:rsid w:val="00BB7012"/>
    <w:rsid w:val="00BC09D1"/>
    <w:rsid w:val="00BC1CF3"/>
    <w:rsid w:val="00BC3573"/>
    <w:rsid w:val="00BC7F82"/>
    <w:rsid w:val="00BD3683"/>
    <w:rsid w:val="00BD40AB"/>
    <w:rsid w:val="00BD6297"/>
    <w:rsid w:val="00BD6806"/>
    <w:rsid w:val="00BD7433"/>
    <w:rsid w:val="00BD7831"/>
    <w:rsid w:val="00BD7C10"/>
    <w:rsid w:val="00BE046F"/>
    <w:rsid w:val="00BE0DEB"/>
    <w:rsid w:val="00BE2AB8"/>
    <w:rsid w:val="00BE2FC1"/>
    <w:rsid w:val="00BE307A"/>
    <w:rsid w:val="00BE3142"/>
    <w:rsid w:val="00BE4039"/>
    <w:rsid w:val="00BE5836"/>
    <w:rsid w:val="00BE6365"/>
    <w:rsid w:val="00BF0389"/>
    <w:rsid w:val="00BF0B7F"/>
    <w:rsid w:val="00BF2988"/>
    <w:rsid w:val="00BF4137"/>
    <w:rsid w:val="00BF4720"/>
    <w:rsid w:val="00BF4F49"/>
    <w:rsid w:val="00BF6759"/>
    <w:rsid w:val="00BF7B4F"/>
    <w:rsid w:val="00BF7B63"/>
    <w:rsid w:val="00C038EC"/>
    <w:rsid w:val="00C05C6D"/>
    <w:rsid w:val="00C072D7"/>
    <w:rsid w:val="00C1122B"/>
    <w:rsid w:val="00C13B34"/>
    <w:rsid w:val="00C13F26"/>
    <w:rsid w:val="00C1474E"/>
    <w:rsid w:val="00C14C37"/>
    <w:rsid w:val="00C16BE4"/>
    <w:rsid w:val="00C16E9F"/>
    <w:rsid w:val="00C1713D"/>
    <w:rsid w:val="00C17523"/>
    <w:rsid w:val="00C177F1"/>
    <w:rsid w:val="00C17D14"/>
    <w:rsid w:val="00C17EE6"/>
    <w:rsid w:val="00C2272E"/>
    <w:rsid w:val="00C22F3A"/>
    <w:rsid w:val="00C23311"/>
    <w:rsid w:val="00C25978"/>
    <w:rsid w:val="00C261C6"/>
    <w:rsid w:val="00C26621"/>
    <w:rsid w:val="00C26E7C"/>
    <w:rsid w:val="00C276CD"/>
    <w:rsid w:val="00C30A97"/>
    <w:rsid w:val="00C31DDC"/>
    <w:rsid w:val="00C34326"/>
    <w:rsid w:val="00C36201"/>
    <w:rsid w:val="00C368E8"/>
    <w:rsid w:val="00C36C3D"/>
    <w:rsid w:val="00C372C7"/>
    <w:rsid w:val="00C42443"/>
    <w:rsid w:val="00C42CBA"/>
    <w:rsid w:val="00C4338C"/>
    <w:rsid w:val="00C4574E"/>
    <w:rsid w:val="00C472C7"/>
    <w:rsid w:val="00C5019E"/>
    <w:rsid w:val="00C5377C"/>
    <w:rsid w:val="00C53E8A"/>
    <w:rsid w:val="00C54DF3"/>
    <w:rsid w:val="00C560A7"/>
    <w:rsid w:val="00C56FC8"/>
    <w:rsid w:val="00C60F23"/>
    <w:rsid w:val="00C62EB2"/>
    <w:rsid w:val="00C71BEC"/>
    <w:rsid w:val="00C74BEB"/>
    <w:rsid w:val="00C74D3A"/>
    <w:rsid w:val="00C75F3D"/>
    <w:rsid w:val="00C80511"/>
    <w:rsid w:val="00C826F5"/>
    <w:rsid w:val="00C83740"/>
    <w:rsid w:val="00C84AD1"/>
    <w:rsid w:val="00C85579"/>
    <w:rsid w:val="00C863E5"/>
    <w:rsid w:val="00C87BE6"/>
    <w:rsid w:val="00C87F76"/>
    <w:rsid w:val="00C931FC"/>
    <w:rsid w:val="00C932C5"/>
    <w:rsid w:val="00C95A72"/>
    <w:rsid w:val="00C9650E"/>
    <w:rsid w:val="00CA068D"/>
    <w:rsid w:val="00CA1228"/>
    <w:rsid w:val="00CA1C73"/>
    <w:rsid w:val="00CA282D"/>
    <w:rsid w:val="00CA3F73"/>
    <w:rsid w:val="00CA4670"/>
    <w:rsid w:val="00CA4F2F"/>
    <w:rsid w:val="00CA6B1A"/>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D15BE"/>
    <w:rsid w:val="00CD1EF2"/>
    <w:rsid w:val="00CD32BD"/>
    <w:rsid w:val="00CD34C7"/>
    <w:rsid w:val="00CD5653"/>
    <w:rsid w:val="00CD5E6D"/>
    <w:rsid w:val="00CD63C8"/>
    <w:rsid w:val="00CE069E"/>
    <w:rsid w:val="00CE6A9E"/>
    <w:rsid w:val="00CF158D"/>
    <w:rsid w:val="00CF35FE"/>
    <w:rsid w:val="00CF4394"/>
    <w:rsid w:val="00CF6A78"/>
    <w:rsid w:val="00CF763C"/>
    <w:rsid w:val="00D000A9"/>
    <w:rsid w:val="00D005DB"/>
    <w:rsid w:val="00D0064E"/>
    <w:rsid w:val="00D00981"/>
    <w:rsid w:val="00D01DF4"/>
    <w:rsid w:val="00D02596"/>
    <w:rsid w:val="00D0280D"/>
    <w:rsid w:val="00D05669"/>
    <w:rsid w:val="00D06952"/>
    <w:rsid w:val="00D07A72"/>
    <w:rsid w:val="00D10577"/>
    <w:rsid w:val="00D107AC"/>
    <w:rsid w:val="00D12A4E"/>
    <w:rsid w:val="00D1323B"/>
    <w:rsid w:val="00D14BAE"/>
    <w:rsid w:val="00D1648B"/>
    <w:rsid w:val="00D16819"/>
    <w:rsid w:val="00D17DD9"/>
    <w:rsid w:val="00D20AC0"/>
    <w:rsid w:val="00D2321B"/>
    <w:rsid w:val="00D23DE4"/>
    <w:rsid w:val="00D25A5C"/>
    <w:rsid w:val="00D26873"/>
    <w:rsid w:val="00D309C7"/>
    <w:rsid w:val="00D31683"/>
    <w:rsid w:val="00D336C8"/>
    <w:rsid w:val="00D339E8"/>
    <w:rsid w:val="00D3654A"/>
    <w:rsid w:val="00D3662E"/>
    <w:rsid w:val="00D40B1F"/>
    <w:rsid w:val="00D40D75"/>
    <w:rsid w:val="00D430DC"/>
    <w:rsid w:val="00D43978"/>
    <w:rsid w:val="00D449F0"/>
    <w:rsid w:val="00D50C8C"/>
    <w:rsid w:val="00D52393"/>
    <w:rsid w:val="00D523E4"/>
    <w:rsid w:val="00D5279D"/>
    <w:rsid w:val="00D52A1B"/>
    <w:rsid w:val="00D52AA7"/>
    <w:rsid w:val="00D52FCC"/>
    <w:rsid w:val="00D53F14"/>
    <w:rsid w:val="00D54BE4"/>
    <w:rsid w:val="00D560DC"/>
    <w:rsid w:val="00D56602"/>
    <w:rsid w:val="00D56B83"/>
    <w:rsid w:val="00D5765D"/>
    <w:rsid w:val="00D60483"/>
    <w:rsid w:val="00D61ABB"/>
    <w:rsid w:val="00D62D5C"/>
    <w:rsid w:val="00D63577"/>
    <w:rsid w:val="00D63B18"/>
    <w:rsid w:val="00D67FD7"/>
    <w:rsid w:val="00D70AF5"/>
    <w:rsid w:val="00D72410"/>
    <w:rsid w:val="00D7408A"/>
    <w:rsid w:val="00D74261"/>
    <w:rsid w:val="00D7441B"/>
    <w:rsid w:val="00D75589"/>
    <w:rsid w:val="00D76AB2"/>
    <w:rsid w:val="00D80490"/>
    <w:rsid w:val="00D829AD"/>
    <w:rsid w:val="00D82EE2"/>
    <w:rsid w:val="00D8545C"/>
    <w:rsid w:val="00D87788"/>
    <w:rsid w:val="00D877C8"/>
    <w:rsid w:val="00D91040"/>
    <w:rsid w:val="00D910C2"/>
    <w:rsid w:val="00D9168C"/>
    <w:rsid w:val="00D9189B"/>
    <w:rsid w:val="00D91DA6"/>
    <w:rsid w:val="00D93B9A"/>
    <w:rsid w:val="00D95984"/>
    <w:rsid w:val="00D9706F"/>
    <w:rsid w:val="00D972D4"/>
    <w:rsid w:val="00DA195B"/>
    <w:rsid w:val="00DA6B55"/>
    <w:rsid w:val="00DA6B97"/>
    <w:rsid w:val="00DB0015"/>
    <w:rsid w:val="00DB0359"/>
    <w:rsid w:val="00DB0ABB"/>
    <w:rsid w:val="00DB2AAD"/>
    <w:rsid w:val="00DB5941"/>
    <w:rsid w:val="00DB626D"/>
    <w:rsid w:val="00DB6365"/>
    <w:rsid w:val="00DC0274"/>
    <w:rsid w:val="00DC0BF1"/>
    <w:rsid w:val="00DC41C3"/>
    <w:rsid w:val="00DC4EEB"/>
    <w:rsid w:val="00DC4FA4"/>
    <w:rsid w:val="00DD286D"/>
    <w:rsid w:val="00DD2CAF"/>
    <w:rsid w:val="00DD3593"/>
    <w:rsid w:val="00DD52E6"/>
    <w:rsid w:val="00DD64E0"/>
    <w:rsid w:val="00DE0C67"/>
    <w:rsid w:val="00DE6952"/>
    <w:rsid w:val="00DE7E74"/>
    <w:rsid w:val="00DF071B"/>
    <w:rsid w:val="00DF0E8F"/>
    <w:rsid w:val="00DF6EF8"/>
    <w:rsid w:val="00E0079C"/>
    <w:rsid w:val="00E00A69"/>
    <w:rsid w:val="00E017F0"/>
    <w:rsid w:val="00E01A0E"/>
    <w:rsid w:val="00E041E4"/>
    <w:rsid w:val="00E1012B"/>
    <w:rsid w:val="00E103C8"/>
    <w:rsid w:val="00E1085B"/>
    <w:rsid w:val="00E1308B"/>
    <w:rsid w:val="00E14581"/>
    <w:rsid w:val="00E15539"/>
    <w:rsid w:val="00E16541"/>
    <w:rsid w:val="00E202F4"/>
    <w:rsid w:val="00E20FCD"/>
    <w:rsid w:val="00E226F6"/>
    <w:rsid w:val="00E2536E"/>
    <w:rsid w:val="00E25B8A"/>
    <w:rsid w:val="00E25E6D"/>
    <w:rsid w:val="00E2632B"/>
    <w:rsid w:val="00E322F7"/>
    <w:rsid w:val="00E3369B"/>
    <w:rsid w:val="00E36D76"/>
    <w:rsid w:val="00E40478"/>
    <w:rsid w:val="00E405EA"/>
    <w:rsid w:val="00E408B7"/>
    <w:rsid w:val="00E41637"/>
    <w:rsid w:val="00E4215E"/>
    <w:rsid w:val="00E425A0"/>
    <w:rsid w:val="00E42789"/>
    <w:rsid w:val="00E43F59"/>
    <w:rsid w:val="00E44B56"/>
    <w:rsid w:val="00E44F4D"/>
    <w:rsid w:val="00E464F0"/>
    <w:rsid w:val="00E46EF3"/>
    <w:rsid w:val="00E473E9"/>
    <w:rsid w:val="00E50BEB"/>
    <w:rsid w:val="00E548FA"/>
    <w:rsid w:val="00E57703"/>
    <w:rsid w:val="00E57ED4"/>
    <w:rsid w:val="00E57FED"/>
    <w:rsid w:val="00E6092F"/>
    <w:rsid w:val="00E62049"/>
    <w:rsid w:val="00E629DA"/>
    <w:rsid w:val="00E6469F"/>
    <w:rsid w:val="00E65D39"/>
    <w:rsid w:val="00E670F8"/>
    <w:rsid w:val="00E67FAC"/>
    <w:rsid w:val="00E7200B"/>
    <w:rsid w:val="00E738CB"/>
    <w:rsid w:val="00E73C88"/>
    <w:rsid w:val="00E74437"/>
    <w:rsid w:val="00E7443D"/>
    <w:rsid w:val="00E75ACE"/>
    <w:rsid w:val="00E76517"/>
    <w:rsid w:val="00E76AB1"/>
    <w:rsid w:val="00E81C3E"/>
    <w:rsid w:val="00E82359"/>
    <w:rsid w:val="00E82B6D"/>
    <w:rsid w:val="00E8608F"/>
    <w:rsid w:val="00EA1177"/>
    <w:rsid w:val="00EA118B"/>
    <w:rsid w:val="00EA11B6"/>
    <w:rsid w:val="00EA2181"/>
    <w:rsid w:val="00EA2DD8"/>
    <w:rsid w:val="00EA4475"/>
    <w:rsid w:val="00EA52FE"/>
    <w:rsid w:val="00EA681F"/>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C6876"/>
    <w:rsid w:val="00ED12F0"/>
    <w:rsid w:val="00ED4773"/>
    <w:rsid w:val="00ED5284"/>
    <w:rsid w:val="00ED664B"/>
    <w:rsid w:val="00ED6A61"/>
    <w:rsid w:val="00ED7DA4"/>
    <w:rsid w:val="00EE03BB"/>
    <w:rsid w:val="00EE0B44"/>
    <w:rsid w:val="00EE6FE0"/>
    <w:rsid w:val="00EE704A"/>
    <w:rsid w:val="00EE7840"/>
    <w:rsid w:val="00EF4C74"/>
    <w:rsid w:val="00EF5268"/>
    <w:rsid w:val="00EF608E"/>
    <w:rsid w:val="00F0044B"/>
    <w:rsid w:val="00F03525"/>
    <w:rsid w:val="00F04957"/>
    <w:rsid w:val="00F05807"/>
    <w:rsid w:val="00F07052"/>
    <w:rsid w:val="00F0706C"/>
    <w:rsid w:val="00F11EBE"/>
    <w:rsid w:val="00F12BA8"/>
    <w:rsid w:val="00F130D0"/>
    <w:rsid w:val="00F14933"/>
    <w:rsid w:val="00F1516A"/>
    <w:rsid w:val="00F171F9"/>
    <w:rsid w:val="00F2209D"/>
    <w:rsid w:val="00F22A26"/>
    <w:rsid w:val="00F24072"/>
    <w:rsid w:val="00F26432"/>
    <w:rsid w:val="00F27641"/>
    <w:rsid w:val="00F3197A"/>
    <w:rsid w:val="00F32139"/>
    <w:rsid w:val="00F3311F"/>
    <w:rsid w:val="00F33D56"/>
    <w:rsid w:val="00F34E08"/>
    <w:rsid w:val="00F41D91"/>
    <w:rsid w:val="00F41F52"/>
    <w:rsid w:val="00F42363"/>
    <w:rsid w:val="00F42D30"/>
    <w:rsid w:val="00F441C1"/>
    <w:rsid w:val="00F46964"/>
    <w:rsid w:val="00F46F9A"/>
    <w:rsid w:val="00F470FD"/>
    <w:rsid w:val="00F474D5"/>
    <w:rsid w:val="00F5044D"/>
    <w:rsid w:val="00F50F30"/>
    <w:rsid w:val="00F5126A"/>
    <w:rsid w:val="00F5126E"/>
    <w:rsid w:val="00F51755"/>
    <w:rsid w:val="00F56EA1"/>
    <w:rsid w:val="00F6196E"/>
    <w:rsid w:val="00F624DD"/>
    <w:rsid w:val="00F629C0"/>
    <w:rsid w:val="00F63FC7"/>
    <w:rsid w:val="00F65ED5"/>
    <w:rsid w:val="00F6608B"/>
    <w:rsid w:val="00F6636A"/>
    <w:rsid w:val="00F667C5"/>
    <w:rsid w:val="00F674A4"/>
    <w:rsid w:val="00F6767F"/>
    <w:rsid w:val="00F67E31"/>
    <w:rsid w:val="00F718A8"/>
    <w:rsid w:val="00F72183"/>
    <w:rsid w:val="00F76D01"/>
    <w:rsid w:val="00F81C35"/>
    <w:rsid w:val="00F82981"/>
    <w:rsid w:val="00F8311F"/>
    <w:rsid w:val="00F83248"/>
    <w:rsid w:val="00F83376"/>
    <w:rsid w:val="00F853AE"/>
    <w:rsid w:val="00F93C74"/>
    <w:rsid w:val="00F93DCC"/>
    <w:rsid w:val="00F9435D"/>
    <w:rsid w:val="00F966F9"/>
    <w:rsid w:val="00F96F61"/>
    <w:rsid w:val="00F97740"/>
    <w:rsid w:val="00FA2DEF"/>
    <w:rsid w:val="00FA2F7B"/>
    <w:rsid w:val="00FA3C97"/>
    <w:rsid w:val="00FA3D30"/>
    <w:rsid w:val="00FA78C8"/>
    <w:rsid w:val="00FB09FE"/>
    <w:rsid w:val="00FB101D"/>
    <w:rsid w:val="00FB1725"/>
    <w:rsid w:val="00FB2493"/>
    <w:rsid w:val="00FB593A"/>
    <w:rsid w:val="00FB6410"/>
    <w:rsid w:val="00FB6E82"/>
    <w:rsid w:val="00FB792E"/>
    <w:rsid w:val="00FC0042"/>
    <w:rsid w:val="00FC1E67"/>
    <w:rsid w:val="00FC2A13"/>
    <w:rsid w:val="00FC4284"/>
    <w:rsid w:val="00FC4576"/>
    <w:rsid w:val="00FC5FF5"/>
    <w:rsid w:val="00FC78FB"/>
    <w:rsid w:val="00FC7DBC"/>
    <w:rsid w:val="00FD076A"/>
    <w:rsid w:val="00FD0AA0"/>
    <w:rsid w:val="00FD1D5A"/>
    <w:rsid w:val="00FD5059"/>
    <w:rsid w:val="00FD554D"/>
    <w:rsid w:val="00FD5BCC"/>
    <w:rsid w:val="00FE2907"/>
    <w:rsid w:val="00FE5D0A"/>
    <w:rsid w:val="00FE6469"/>
    <w:rsid w:val="00FE6C26"/>
    <w:rsid w:val="00FF06CE"/>
    <w:rsid w:val="00FF0FF7"/>
    <w:rsid w:val="00FF10A2"/>
    <w:rsid w:val="00FF1438"/>
    <w:rsid w:val="00FF3A38"/>
    <w:rsid w:val="00FF3C25"/>
    <w:rsid w:val="00FF5806"/>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paragraph" w:styleId="HTMLPreformatted">
    <w:name w:val="HTML Preformatted"/>
    <w:basedOn w:val="Normal"/>
    <w:link w:val="HTMLPreformattedChar"/>
    <w:uiPriority w:val="99"/>
    <w:unhideWhenUsed/>
    <w:rsid w:val="00FE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FE6C26"/>
    <w:rPr>
      <w:rFonts w:ascii="Courier New" w:hAnsi="Courier New" w:cs="Courier New"/>
      <w:sz w:val="20"/>
    </w:rPr>
  </w:style>
  <w:style w:type="paragraph" w:customStyle="1" w:styleId="Default">
    <w:name w:val="Default"/>
    <w:rsid w:val="005D647A"/>
    <w:pPr>
      <w:autoSpaceDE w:val="0"/>
      <w:autoSpaceDN w:val="0"/>
      <w:adjustRightInd w:val="0"/>
    </w:pPr>
    <w:rPr>
      <w:rFonts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30290050">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37685843">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73BF-4D86-4C02-A27F-0810D1F9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19</cp:revision>
  <cp:lastPrinted>2011-04-21T13:04:00Z</cp:lastPrinted>
  <dcterms:created xsi:type="dcterms:W3CDTF">2011-04-06T19:59:00Z</dcterms:created>
  <dcterms:modified xsi:type="dcterms:W3CDTF">2012-07-17T15:35:00Z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