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26697A">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26697A">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26697A">
      <w:pPr>
        <w:tabs>
          <w:tab w:val="left" w:pos="288"/>
          <w:tab w:val="left" w:pos="4752"/>
        </w:tabs>
        <w:spacing w:line="240" w:lineRule="exact"/>
        <w:jc w:val="center"/>
        <w:rPr>
          <w:rFonts w:asciiTheme="minorHAnsi" w:hAnsiTheme="minorHAnsi"/>
          <w:caps/>
          <w:color w:val="auto"/>
        </w:rPr>
      </w:pPr>
    </w:p>
    <w:p w:rsidR="0075690D" w:rsidRPr="00406206" w:rsidRDefault="00540BEF" w:rsidP="0026697A">
      <w:pPr>
        <w:tabs>
          <w:tab w:val="left" w:pos="288"/>
          <w:tab w:val="left" w:pos="4752"/>
          <w:tab w:val="left" w:pos="5130"/>
          <w:tab w:val="left" w:pos="9270"/>
        </w:tabs>
        <w:spacing w:line="240" w:lineRule="exact"/>
        <w:jc w:val="both"/>
        <w:rPr>
          <w:rFonts w:asciiTheme="minorHAnsi" w:hAnsiTheme="minorHAnsi"/>
          <w:caps/>
          <w:color w:val="auto"/>
        </w:rPr>
      </w:pPr>
      <w:r w:rsidRPr="00406206">
        <w:rPr>
          <w:rFonts w:asciiTheme="minorHAnsi" w:hAnsiTheme="minorHAnsi"/>
          <w:caps/>
          <w:color w:val="auto"/>
        </w:rPr>
        <w:t>NAME:</w:t>
      </w:r>
      <w:r w:rsidR="0075690D" w:rsidRPr="00406206">
        <w:rPr>
          <w:rFonts w:asciiTheme="minorHAnsi" w:hAnsiTheme="minorHAnsi"/>
          <w:caps/>
          <w:color w:val="auto"/>
        </w:rPr>
        <w:t xml:space="preserve"> </w:t>
      </w:r>
      <w:r w:rsidR="00C10CCF" w:rsidRPr="00406206">
        <w:rPr>
          <w:rFonts w:asciiTheme="minorHAnsi" w:hAnsiTheme="minorHAnsi"/>
          <w:caps/>
          <w:color w:val="auto"/>
        </w:rPr>
        <w:t xml:space="preserve"> </w:t>
      </w:r>
      <w:r w:rsidR="00FB476B">
        <w:rPr>
          <w:rFonts w:asciiTheme="minorHAnsi" w:hAnsiTheme="minorHAnsi"/>
          <w:caps/>
          <w:color w:val="auto"/>
        </w:rPr>
        <w:t>XXXX</w:t>
      </w:r>
      <w:r w:rsidRPr="00406206">
        <w:rPr>
          <w:rFonts w:asciiTheme="minorHAnsi" w:hAnsiTheme="minorHAnsi"/>
          <w:caps/>
          <w:color w:val="auto"/>
        </w:rPr>
        <w:tab/>
      </w:r>
      <w:r w:rsidR="0075690D" w:rsidRPr="00406206">
        <w:rPr>
          <w:rFonts w:asciiTheme="minorHAnsi" w:hAnsiTheme="minorHAnsi"/>
          <w:caps/>
          <w:color w:val="auto"/>
        </w:rPr>
        <w:t xml:space="preserve">     </w:t>
      </w:r>
      <w:r w:rsidR="0026697A" w:rsidRPr="00406206">
        <w:rPr>
          <w:rFonts w:asciiTheme="minorHAnsi" w:hAnsiTheme="minorHAnsi"/>
          <w:caps/>
          <w:color w:val="auto"/>
        </w:rPr>
        <w:t xml:space="preserve">  </w:t>
      </w:r>
      <w:r w:rsidR="001A5968">
        <w:rPr>
          <w:rFonts w:asciiTheme="minorHAnsi" w:hAnsiTheme="minorHAnsi"/>
          <w:caps/>
          <w:color w:val="auto"/>
        </w:rPr>
        <w:t xml:space="preserve">   </w:t>
      </w:r>
      <w:r w:rsidR="00501B89">
        <w:rPr>
          <w:rFonts w:asciiTheme="minorHAnsi" w:hAnsiTheme="minorHAnsi"/>
          <w:caps/>
          <w:color w:val="auto"/>
        </w:rPr>
        <w:t xml:space="preserve">      </w:t>
      </w:r>
      <w:r w:rsidRPr="00406206">
        <w:rPr>
          <w:rFonts w:asciiTheme="minorHAnsi" w:hAnsiTheme="minorHAnsi"/>
          <w:caps/>
          <w:color w:val="auto"/>
        </w:rPr>
        <w:t>BRANCH OF SERVICE</w:t>
      </w:r>
      <w:r w:rsidR="0075690D" w:rsidRPr="00406206">
        <w:rPr>
          <w:rFonts w:asciiTheme="minorHAnsi" w:hAnsiTheme="minorHAnsi"/>
          <w:caps/>
          <w:color w:val="auto"/>
        </w:rPr>
        <w:t>:</w:t>
      </w:r>
      <w:r w:rsidR="005014DE" w:rsidRPr="00406206">
        <w:rPr>
          <w:rFonts w:asciiTheme="minorHAnsi" w:hAnsiTheme="minorHAnsi"/>
          <w:caps/>
          <w:color w:val="auto"/>
        </w:rPr>
        <w:t xml:space="preserve"> </w:t>
      </w:r>
      <w:r w:rsidR="00C10CCF" w:rsidRPr="00406206">
        <w:rPr>
          <w:rFonts w:asciiTheme="minorHAnsi" w:hAnsiTheme="minorHAnsi"/>
          <w:caps/>
          <w:color w:val="auto"/>
        </w:rPr>
        <w:t xml:space="preserve"> </w:t>
      </w:r>
      <w:r w:rsidR="0075690D" w:rsidRPr="00406206">
        <w:rPr>
          <w:rFonts w:asciiTheme="minorHAnsi" w:hAnsiTheme="minorHAnsi"/>
          <w:caps/>
          <w:color w:val="auto"/>
        </w:rPr>
        <w:t>Marine corpS</w:t>
      </w:r>
    </w:p>
    <w:p w:rsidR="0075690D" w:rsidRPr="00406206" w:rsidRDefault="00540BEF" w:rsidP="0026697A">
      <w:pPr>
        <w:tabs>
          <w:tab w:val="left" w:pos="288"/>
          <w:tab w:val="left" w:pos="4752"/>
          <w:tab w:val="left" w:pos="5130"/>
        </w:tabs>
        <w:spacing w:line="240" w:lineRule="exact"/>
        <w:ind w:right="-900"/>
        <w:jc w:val="both"/>
        <w:rPr>
          <w:rFonts w:asciiTheme="minorHAnsi" w:hAnsiTheme="minorHAnsi"/>
          <w:caps/>
          <w:color w:val="auto"/>
        </w:rPr>
      </w:pPr>
      <w:r w:rsidRPr="00406206">
        <w:rPr>
          <w:rFonts w:asciiTheme="minorHAnsi" w:hAnsiTheme="minorHAnsi"/>
          <w:caps/>
          <w:color w:val="auto"/>
        </w:rPr>
        <w:t>CASE NUMBER:  PD</w:t>
      </w:r>
      <w:r w:rsidR="0075690D" w:rsidRPr="00406206">
        <w:rPr>
          <w:rFonts w:asciiTheme="minorHAnsi" w:hAnsiTheme="minorHAnsi"/>
          <w:caps/>
          <w:color w:val="auto"/>
        </w:rPr>
        <w:t>1000109</w:t>
      </w:r>
      <w:r w:rsidRPr="00406206">
        <w:rPr>
          <w:rFonts w:asciiTheme="minorHAnsi" w:hAnsiTheme="minorHAnsi"/>
          <w:caps/>
          <w:color w:val="auto"/>
        </w:rPr>
        <w:tab/>
      </w:r>
      <w:r w:rsidRPr="00406206">
        <w:rPr>
          <w:rFonts w:asciiTheme="minorHAnsi" w:hAnsiTheme="minorHAnsi"/>
          <w:caps/>
          <w:color w:val="auto"/>
        </w:rPr>
        <w:tab/>
      </w:r>
      <w:r w:rsidR="001A5968">
        <w:rPr>
          <w:rFonts w:asciiTheme="minorHAnsi" w:hAnsiTheme="minorHAnsi"/>
          <w:caps/>
          <w:color w:val="auto"/>
        </w:rPr>
        <w:t xml:space="preserve">    </w:t>
      </w:r>
      <w:r w:rsidR="00501B89">
        <w:rPr>
          <w:rFonts w:asciiTheme="minorHAnsi" w:hAnsiTheme="minorHAnsi"/>
          <w:caps/>
          <w:color w:val="auto"/>
        </w:rPr>
        <w:t xml:space="preserve">     </w:t>
      </w:r>
      <w:r w:rsidR="00C22F3A" w:rsidRPr="00406206">
        <w:rPr>
          <w:rFonts w:asciiTheme="minorHAnsi" w:hAnsiTheme="minorHAnsi"/>
          <w:caps/>
          <w:color w:val="auto"/>
        </w:rPr>
        <w:t xml:space="preserve">SEPARATION DATE: </w:t>
      </w:r>
      <w:r w:rsidR="00C10CCF" w:rsidRPr="00406206">
        <w:rPr>
          <w:rFonts w:asciiTheme="minorHAnsi" w:hAnsiTheme="minorHAnsi"/>
          <w:caps/>
          <w:color w:val="auto"/>
        </w:rPr>
        <w:t xml:space="preserve"> </w:t>
      </w:r>
      <w:r w:rsidR="0075690D" w:rsidRPr="00406206">
        <w:rPr>
          <w:rFonts w:asciiTheme="minorHAnsi" w:hAnsiTheme="minorHAnsi"/>
          <w:caps/>
          <w:color w:val="auto"/>
        </w:rPr>
        <w:t>20060426</w:t>
      </w:r>
    </w:p>
    <w:p w:rsidR="00540BEF" w:rsidRPr="00406206" w:rsidRDefault="00540BEF" w:rsidP="0026697A">
      <w:pPr>
        <w:tabs>
          <w:tab w:val="left" w:pos="288"/>
          <w:tab w:val="left" w:pos="4752"/>
        </w:tabs>
        <w:spacing w:line="240" w:lineRule="exact"/>
        <w:jc w:val="both"/>
        <w:rPr>
          <w:rFonts w:asciiTheme="minorHAnsi" w:hAnsiTheme="minorHAnsi"/>
          <w:caps/>
          <w:color w:val="auto"/>
        </w:rPr>
      </w:pPr>
      <w:r w:rsidRPr="00406206">
        <w:rPr>
          <w:rFonts w:asciiTheme="minorHAnsi" w:hAnsiTheme="minorHAnsi"/>
          <w:caps/>
          <w:color w:val="auto"/>
        </w:rPr>
        <w:t xml:space="preserve">BOARD DATE: </w:t>
      </w:r>
      <w:r w:rsidR="00C10CCF" w:rsidRPr="00406206">
        <w:rPr>
          <w:rFonts w:asciiTheme="minorHAnsi" w:hAnsiTheme="minorHAnsi"/>
          <w:caps/>
          <w:color w:val="auto"/>
        </w:rPr>
        <w:t xml:space="preserve"> </w:t>
      </w:r>
      <w:r w:rsidR="000F02BE" w:rsidRPr="00406206">
        <w:rPr>
          <w:rFonts w:asciiTheme="minorHAnsi" w:hAnsiTheme="minorHAnsi"/>
          <w:caps/>
          <w:color w:val="auto"/>
        </w:rPr>
        <w:t>201</w:t>
      </w:r>
      <w:r w:rsidR="000E73B1" w:rsidRPr="00406206">
        <w:rPr>
          <w:rFonts w:asciiTheme="minorHAnsi" w:hAnsiTheme="minorHAnsi"/>
          <w:caps/>
          <w:color w:val="auto"/>
        </w:rPr>
        <w:t>1</w:t>
      </w:r>
      <w:r w:rsidR="00484ABC" w:rsidRPr="00406206">
        <w:rPr>
          <w:rFonts w:asciiTheme="minorHAnsi" w:hAnsiTheme="minorHAnsi"/>
          <w:caps/>
          <w:color w:val="auto"/>
        </w:rPr>
        <w:t>0407</w:t>
      </w:r>
    </w:p>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75690D" w:rsidRPr="00406206" w:rsidRDefault="002C6E5B" w:rsidP="0026697A">
      <w:pPr>
        <w:tabs>
          <w:tab w:val="left" w:pos="288"/>
          <w:tab w:val="left" w:pos="4752"/>
        </w:tabs>
        <w:spacing w:line="240" w:lineRule="exact"/>
        <w:jc w:val="both"/>
        <w:rPr>
          <w:rFonts w:asciiTheme="minorHAnsi" w:hAnsiTheme="minorHAnsi"/>
          <w:color w:val="auto"/>
          <w:szCs w:val="24"/>
        </w:rPr>
      </w:pPr>
      <w:r w:rsidRPr="00406206">
        <w:rPr>
          <w:rFonts w:ascii="Calibri" w:hAnsi="Calibri"/>
          <w:color w:val="auto"/>
          <w:u w:val="single"/>
        </w:rPr>
        <w:t>SUMMARY OF CASE</w:t>
      </w:r>
      <w:r w:rsidRPr="00406206">
        <w:rPr>
          <w:rFonts w:ascii="Calibri" w:hAnsi="Calibri"/>
          <w:color w:val="auto"/>
        </w:rPr>
        <w:t xml:space="preserve">:  </w:t>
      </w:r>
      <w:r w:rsidR="009D2E55" w:rsidRPr="00406206">
        <w:rPr>
          <w:rFonts w:asciiTheme="minorHAnsi" w:hAnsiTheme="minorHAnsi"/>
          <w:color w:val="auto"/>
        </w:rPr>
        <w:t>Data extracted from the available evidence of record reflects that this covered individual (CI)</w:t>
      </w:r>
      <w:r w:rsidR="009D2E55" w:rsidRPr="00406206">
        <w:rPr>
          <w:rFonts w:ascii="Calibri" w:hAnsi="Calibri"/>
          <w:color w:val="auto"/>
        </w:rPr>
        <w:t xml:space="preserve"> </w:t>
      </w:r>
      <w:r w:rsidR="00484ABC" w:rsidRPr="00406206">
        <w:rPr>
          <w:rFonts w:asciiTheme="minorHAnsi" w:hAnsiTheme="minorHAnsi"/>
          <w:color w:val="auto"/>
          <w:szCs w:val="24"/>
        </w:rPr>
        <w:t>was an active duty SSgt.</w:t>
      </w:r>
      <w:r w:rsidR="0075690D" w:rsidRPr="00406206">
        <w:rPr>
          <w:rFonts w:asciiTheme="minorHAnsi" w:hAnsiTheme="minorHAnsi"/>
          <w:color w:val="auto"/>
          <w:szCs w:val="24"/>
        </w:rPr>
        <w:t xml:space="preserve"> (0369</w:t>
      </w:r>
      <w:r w:rsidR="00EB09C0">
        <w:rPr>
          <w:rFonts w:asciiTheme="minorHAnsi" w:hAnsiTheme="minorHAnsi"/>
          <w:color w:val="auto"/>
          <w:szCs w:val="24"/>
        </w:rPr>
        <w:t>,</w:t>
      </w:r>
      <w:r w:rsidR="0075690D" w:rsidRPr="00406206">
        <w:rPr>
          <w:rFonts w:asciiTheme="minorHAnsi" w:hAnsiTheme="minorHAnsi"/>
          <w:color w:val="auto"/>
          <w:szCs w:val="24"/>
        </w:rPr>
        <w:t xml:space="preserve"> Platoon Sergeant) medically separated from the </w:t>
      </w:r>
      <w:r w:rsidR="009D3931">
        <w:rPr>
          <w:rFonts w:asciiTheme="minorHAnsi" w:hAnsiTheme="minorHAnsi"/>
          <w:color w:val="auto"/>
          <w:szCs w:val="24"/>
        </w:rPr>
        <w:t>Marine Corps</w:t>
      </w:r>
      <w:r w:rsidR="0075690D" w:rsidRPr="00406206">
        <w:rPr>
          <w:rFonts w:asciiTheme="minorHAnsi" w:hAnsiTheme="minorHAnsi"/>
          <w:color w:val="auto"/>
          <w:szCs w:val="24"/>
        </w:rPr>
        <w:t xml:space="preserve"> in 2006 after 13 years of service.  The medical basis for the separation was </w:t>
      </w:r>
      <w:r w:rsidR="00882CE2" w:rsidRPr="00406206">
        <w:rPr>
          <w:rFonts w:asciiTheme="minorHAnsi" w:hAnsiTheme="minorHAnsi"/>
          <w:color w:val="auto"/>
          <w:szCs w:val="24"/>
        </w:rPr>
        <w:t>degenerative lumbar intervertebral d</w:t>
      </w:r>
      <w:r w:rsidR="0075690D" w:rsidRPr="00406206">
        <w:rPr>
          <w:rFonts w:asciiTheme="minorHAnsi" w:hAnsiTheme="minorHAnsi"/>
          <w:color w:val="auto"/>
          <w:szCs w:val="24"/>
        </w:rPr>
        <w:t xml:space="preserve">isc </w:t>
      </w:r>
      <w:r w:rsidR="005818C0">
        <w:rPr>
          <w:rFonts w:asciiTheme="minorHAnsi" w:hAnsiTheme="minorHAnsi"/>
          <w:color w:val="auto"/>
          <w:szCs w:val="24"/>
        </w:rPr>
        <w:t xml:space="preserve">disease </w:t>
      </w:r>
      <w:r w:rsidR="00921756" w:rsidRPr="00406206">
        <w:rPr>
          <w:rFonts w:asciiTheme="minorHAnsi" w:hAnsiTheme="minorHAnsi"/>
          <w:color w:val="auto"/>
          <w:szCs w:val="24"/>
        </w:rPr>
        <w:t xml:space="preserve">(DDD) </w:t>
      </w:r>
      <w:r w:rsidR="00882CE2" w:rsidRPr="00406206">
        <w:rPr>
          <w:rFonts w:asciiTheme="minorHAnsi" w:hAnsiTheme="minorHAnsi"/>
          <w:color w:val="auto"/>
          <w:szCs w:val="24"/>
        </w:rPr>
        <w:t>and</w:t>
      </w:r>
      <w:r w:rsidR="00882CE2" w:rsidRPr="00406206">
        <w:rPr>
          <w:rFonts w:ascii="Times New Roman" w:hAnsi="Times New Roman"/>
          <w:color w:val="auto"/>
          <w:sz w:val="21"/>
          <w:szCs w:val="21"/>
        </w:rPr>
        <w:t xml:space="preserve"> </w:t>
      </w:r>
      <w:proofErr w:type="gramStart"/>
      <w:r w:rsidR="00882CE2" w:rsidRPr="00406206">
        <w:rPr>
          <w:rFonts w:asciiTheme="minorHAnsi" w:hAnsiTheme="minorHAnsi"/>
          <w:color w:val="auto"/>
          <w:szCs w:val="24"/>
        </w:rPr>
        <w:t>herniated</w:t>
      </w:r>
      <w:proofErr w:type="gramEnd"/>
      <w:r w:rsidR="00882CE2" w:rsidRPr="00406206">
        <w:rPr>
          <w:rFonts w:asciiTheme="minorHAnsi" w:hAnsiTheme="minorHAnsi"/>
          <w:color w:val="auto"/>
          <w:szCs w:val="24"/>
        </w:rPr>
        <w:t xml:space="preserve"> nucleus pulposus (HNP) without myelopathy</w:t>
      </w:r>
      <w:r w:rsidR="00F50BAC" w:rsidRPr="00406206">
        <w:rPr>
          <w:rFonts w:asciiTheme="minorHAnsi" w:hAnsiTheme="minorHAnsi"/>
          <w:color w:val="auto"/>
          <w:szCs w:val="24"/>
        </w:rPr>
        <w:t xml:space="preserve">.  The CI was diagnosed with the </w:t>
      </w:r>
      <w:r w:rsidR="00921756" w:rsidRPr="00406206">
        <w:rPr>
          <w:rFonts w:asciiTheme="minorHAnsi" w:hAnsiTheme="minorHAnsi"/>
          <w:color w:val="auto"/>
          <w:szCs w:val="24"/>
        </w:rPr>
        <w:t>DDD</w:t>
      </w:r>
      <w:r w:rsidR="00F50BAC" w:rsidRPr="00406206">
        <w:rPr>
          <w:rFonts w:asciiTheme="minorHAnsi" w:hAnsiTheme="minorHAnsi"/>
          <w:color w:val="auto"/>
          <w:szCs w:val="24"/>
        </w:rPr>
        <w:t xml:space="preserve"> since 1996.  </w:t>
      </w:r>
      <w:r w:rsidR="00B25EC3" w:rsidRPr="00406206">
        <w:rPr>
          <w:rFonts w:asciiTheme="minorHAnsi" w:hAnsiTheme="minorHAnsi"/>
          <w:color w:val="auto"/>
          <w:szCs w:val="24"/>
        </w:rPr>
        <w:t xml:space="preserve">The CI </w:t>
      </w:r>
      <w:r w:rsidR="00F50BAC" w:rsidRPr="00406206">
        <w:rPr>
          <w:rFonts w:asciiTheme="minorHAnsi" w:hAnsiTheme="minorHAnsi"/>
          <w:color w:val="auto"/>
          <w:szCs w:val="24"/>
        </w:rPr>
        <w:t xml:space="preserve">had </w:t>
      </w:r>
      <w:r w:rsidR="00BA05EA" w:rsidRPr="00406206">
        <w:rPr>
          <w:rFonts w:asciiTheme="minorHAnsi" w:hAnsiTheme="minorHAnsi"/>
          <w:color w:val="auto"/>
          <w:szCs w:val="24"/>
        </w:rPr>
        <w:t>undergone and</w:t>
      </w:r>
      <w:r w:rsidR="00F50BAC" w:rsidRPr="00406206">
        <w:rPr>
          <w:rFonts w:asciiTheme="minorHAnsi" w:hAnsiTheme="minorHAnsi"/>
          <w:color w:val="auto"/>
          <w:szCs w:val="24"/>
        </w:rPr>
        <w:t xml:space="preserve"> failed </w:t>
      </w:r>
      <w:r w:rsidR="00B25EC3" w:rsidRPr="00406206">
        <w:rPr>
          <w:rFonts w:asciiTheme="minorHAnsi" w:hAnsiTheme="minorHAnsi"/>
          <w:color w:val="auto"/>
          <w:szCs w:val="24"/>
        </w:rPr>
        <w:t>anti-inflammatory medication, extensive physical therapy</w:t>
      </w:r>
      <w:r w:rsidR="00791462" w:rsidRPr="00406206">
        <w:rPr>
          <w:rFonts w:asciiTheme="minorHAnsi" w:hAnsiTheme="minorHAnsi"/>
          <w:color w:val="auto"/>
          <w:szCs w:val="24"/>
        </w:rPr>
        <w:t xml:space="preserve"> (PT)</w:t>
      </w:r>
      <w:r w:rsidR="00B25EC3" w:rsidRPr="00406206">
        <w:rPr>
          <w:rFonts w:asciiTheme="minorHAnsi" w:hAnsiTheme="minorHAnsi"/>
          <w:color w:val="auto"/>
          <w:szCs w:val="24"/>
        </w:rPr>
        <w:t xml:space="preserve">, activity modification and spinal injections.  </w:t>
      </w:r>
      <w:r w:rsidR="00F10A03" w:rsidRPr="00406206">
        <w:rPr>
          <w:rFonts w:asciiTheme="minorHAnsi" w:hAnsiTheme="minorHAnsi"/>
          <w:color w:val="auto"/>
          <w:szCs w:val="24"/>
        </w:rPr>
        <w:t xml:space="preserve">Despite being placed </w:t>
      </w:r>
      <w:r w:rsidR="00882CE2" w:rsidRPr="00406206">
        <w:rPr>
          <w:rFonts w:asciiTheme="minorHAnsi" w:hAnsiTheme="minorHAnsi"/>
          <w:color w:val="auto"/>
          <w:szCs w:val="24"/>
        </w:rPr>
        <w:t xml:space="preserve">on limited duty </w:t>
      </w:r>
      <w:r w:rsidR="00F10A03" w:rsidRPr="00406206">
        <w:rPr>
          <w:rFonts w:asciiTheme="minorHAnsi" w:hAnsiTheme="minorHAnsi"/>
          <w:color w:val="auto"/>
          <w:szCs w:val="24"/>
        </w:rPr>
        <w:t>(LIMDU) for six months</w:t>
      </w:r>
      <w:r w:rsidR="00EB09C0">
        <w:rPr>
          <w:rFonts w:asciiTheme="minorHAnsi" w:hAnsiTheme="minorHAnsi"/>
          <w:color w:val="auto"/>
          <w:szCs w:val="24"/>
        </w:rPr>
        <w:t>,</w:t>
      </w:r>
      <w:r w:rsidR="00F10A03" w:rsidRPr="00406206">
        <w:rPr>
          <w:rFonts w:asciiTheme="minorHAnsi" w:hAnsiTheme="minorHAnsi"/>
          <w:color w:val="auto"/>
          <w:szCs w:val="24"/>
        </w:rPr>
        <w:t xml:space="preserve"> the CI was unable to </w:t>
      </w:r>
      <w:r w:rsidR="0075690D" w:rsidRPr="00406206">
        <w:rPr>
          <w:rFonts w:asciiTheme="minorHAnsi" w:hAnsiTheme="minorHAnsi"/>
          <w:color w:val="auto"/>
          <w:szCs w:val="24"/>
        </w:rPr>
        <w:t xml:space="preserve">perform within his </w:t>
      </w:r>
      <w:r w:rsidR="00EB09C0">
        <w:rPr>
          <w:rFonts w:asciiTheme="minorHAnsi" w:hAnsiTheme="minorHAnsi"/>
          <w:color w:val="auto"/>
          <w:szCs w:val="24"/>
        </w:rPr>
        <w:t>m</w:t>
      </w:r>
      <w:r w:rsidR="00882CE2" w:rsidRPr="00406206">
        <w:rPr>
          <w:rFonts w:asciiTheme="minorHAnsi" w:hAnsiTheme="minorHAnsi"/>
          <w:color w:val="auto"/>
          <w:szCs w:val="24"/>
        </w:rPr>
        <w:t xml:space="preserve">ilitary </w:t>
      </w:r>
      <w:r w:rsidR="00EB09C0">
        <w:rPr>
          <w:rFonts w:asciiTheme="minorHAnsi" w:hAnsiTheme="minorHAnsi"/>
          <w:color w:val="auto"/>
          <w:szCs w:val="24"/>
        </w:rPr>
        <w:t>o</w:t>
      </w:r>
      <w:r w:rsidR="00882CE2" w:rsidRPr="00406206">
        <w:rPr>
          <w:rFonts w:asciiTheme="minorHAnsi" w:hAnsiTheme="minorHAnsi"/>
          <w:color w:val="auto"/>
          <w:szCs w:val="24"/>
        </w:rPr>
        <w:t xml:space="preserve">ccupational </w:t>
      </w:r>
      <w:r w:rsidR="00EB09C0">
        <w:rPr>
          <w:rFonts w:asciiTheme="minorHAnsi" w:hAnsiTheme="minorHAnsi"/>
          <w:color w:val="auto"/>
          <w:szCs w:val="24"/>
        </w:rPr>
        <w:t>s</w:t>
      </w:r>
      <w:r w:rsidR="00882CE2" w:rsidRPr="00406206">
        <w:rPr>
          <w:rFonts w:asciiTheme="minorHAnsi" w:hAnsiTheme="minorHAnsi"/>
          <w:color w:val="auto"/>
          <w:szCs w:val="24"/>
        </w:rPr>
        <w:t>pecialty</w:t>
      </w:r>
      <w:r w:rsidR="00882CE2">
        <w:rPr>
          <w:rFonts w:asciiTheme="minorHAnsi" w:hAnsiTheme="minorHAnsi"/>
          <w:color w:val="auto"/>
          <w:szCs w:val="24"/>
        </w:rPr>
        <w:t xml:space="preserve"> </w:t>
      </w:r>
      <w:r w:rsidR="0075690D" w:rsidRPr="00406206">
        <w:rPr>
          <w:rFonts w:asciiTheme="minorHAnsi" w:hAnsiTheme="minorHAnsi"/>
          <w:color w:val="auto"/>
          <w:szCs w:val="24"/>
        </w:rPr>
        <w:t xml:space="preserve">and </w:t>
      </w:r>
      <w:r w:rsidR="00F10A03" w:rsidRPr="00406206">
        <w:rPr>
          <w:rFonts w:asciiTheme="minorHAnsi" w:hAnsiTheme="minorHAnsi"/>
          <w:color w:val="auto"/>
          <w:szCs w:val="24"/>
        </w:rPr>
        <w:t xml:space="preserve">was referred to </w:t>
      </w:r>
      <w:r w:rsidR="0075690D" w:rsidRPr="00406206">
        <w:rPr>
          <w:rFonts w:asciiTheme="minorHAnsi" w:hAnsiTheme="minorHAnsi"/>
          <w:color w:val="auto"/>
          <w:szCs w:val="24"/>
        </w:rPr>
        <w:t>a Medical Evaluation Board (MEB).</w:t>
      </w:r>
      <w:r w:rsidR="00F11AB6" w:rsidRPr="00406206">
        <w:rPr>
          <w:rFonts w:asciiTheme="minorHAnsi" w:hAnsiTheme="minorHAnsi"/>
          <w:color w:val="auto"/>
          <w:szCs w:val="24"/>
        </w:rPr>
        <w:t xml:space="preserve">  The MEB forwarded </w:t>
      </w:r>
      <w:r w:rsidR="009D3931">
        <w:rPr>
          <w:rFonts w:asciiTheme="minorHAnsi" w:hAnsiTheme="minorHAnsi"/>
          <w:color w:val="auto"/>
          <w:szCs w:val="24"/>
        </w:rPr>
        <w:t xml:space="preserve">lumbar </w:t>
      </w:r>
      <w:r w:rsidR="00EB09C0">
        <w:rPr>
          <w:rFonts w:asciiTheme="minorHAnsi" w:hAnsiTheme="minorHAnsi"/>
          <w:color w:val="auto"/>
          <w:szCs w:val="24"/>
        </w:rPr>
        <w:t xml:space="preserve">DDD </w:t>
      </w:r>
      <w:r w:rsidR="00882CE2" w:rsidRPr="00406206">
        <w:rPr>
          <w:rFonts w:asciiTheme="minorHAnsi" w:hAnsiTheme="minorHAnsi"/>
          <w:color w:val="auto"/>
          <w:szCs w:val="24"/>
        </w:rPr>
        <w:t>and</w:t>
      </w:r>
      <w:r w:rsidR="00882CE2" w:rsidRPr="00406206">
        <w:rPr>
          <w:rFonts w:ascii="Times New Roman" w:hAnsi="Times New Roman"/>
          <w:color w:val="auto"/>
          <w:sz w:val="21"/>
          <w:szCs w:val="21"/>
        </w:rPr>
        <w:t xml:space="preserve"> </w:t>
      </w:r>
      <w:r w:rsidR="00B27D7A" w:rsidRPr="00406206">
        <w:rPr>
          <w:rFonts w:asciiTheme="minorHAnsi" w:hAnsiTheme="minorHAnsi"/>
          <w:color w:val="auto"/>
          <w:szCs w:val="24"/>
        </w:rPr>
        <w:t>HNP</w:t>
      </w:r>
      <w:r w:rsidR="00F11AB6" w:rsidRPr="00406206">
        <w:rPr>
          <w:rFonts w:asciiTheme="minorHAnsi" w:hAnsiTheme="minorHAnsi"/>
          <w:color w:val="auto"/>
          <w:szCs w:val="24"/>
        </w:rPr>
        <w:t xml:space="preserve"> without </w:t>
      </w:r>
      <w:proofErr w:type="spellStart"/>
      <w:r w:rsidR="00882CE2" w:rsidRPr="00406206">
        <w:rPr>
          <w:rFonts w:asciiTheme="minorHAnsi" w:hAnsiTheme="minorHAnsi"/>
          <w:color w:val="auto"/>
          <w:szCs w:val="24"/>
        </w:rPr>
        <w:t>myelo</w:t>
      </w:r>
      <w:r w:rsidR="00F11AB6" w:rsidRPr="00406206">
        <w:rPr>
          <w:rFonts w:asciiTheme="minorHAnsi" w:hAnsiTheme="minorHAnsi"/>
          <w:color w:val="auto"/>
          <w:szCs w:val="24"/>
        </w:rPr>
        <w:t>pathy</w:t>
      </w:r>
      <w:proofErr w:type="spellEnd"/>
      <w:r w:rsidR="00563953" w:rsidRPr="00406206">
        <w:rPr>
          <w:rFonts w:asciiTheme="minorHAnsi" w:hAnsiTheme="minorHAnsi"/>
          <w:color w:val="000080"/>
        </w:rPr>
        <w:t xml:space="preserve"> </w:t>
      </w:r>
      <w:r w:rsidR="0075690D" w:rsidRPr="00406206">
        <w:rPr>
          <w:rFonts w:asciiTheme="minorHAnsi" w:hAnsiTheme="minorHAnsi"/>
          <w:color w:val="auto"/>
          <w:szCs w:val="24"/>
        </w:rPr>
        <w:t>to the Physical Evaluation Board (PEB)</w:t>
      </w:r>
      <w:r w:rsidR="00563953" w:rsidRPr="00406206">
        <w:rPr>
          <w:rFonts w:asciiTheme="minorHAnsi" w:hAnsiTheme="minorHAnsi"/>
          <w:color w:val="auto"/>
          <w:szCs w:val="24"/>
        </w:rPr>
        <w:t>.</w:t>
      </w:r>
      <w:r w:rsidR="00E81F83" w:rsidRPr="00406206">
        <w:rPr>
          <w:rFonts w:asciiTheme="minorHAnsi" w:hAnsiTheme="minorHAnsi"/>
          <w:color w:val="auto"/>
          <w:szCs w:val="24"/>
        </w:rPr>
        <w:t xml:space="preserve">  </w:t>
      </w:r>
      <w:r w:rsidR="00882CE2">
        <w:rPr>
          <w:rFonts w:asciiTheme="minorHAnsi" w:hAnsiTheme="minorHAnsi"/>
          <w:color w:val="auto"/>
          <w:szCs w:val="24"/>
        </w:rPr>
        <w:t xml:space="preserve">The </w:t>
      </w:r>
      <w:r w:rsidR="00E81F83" w:rsidRPr="00406206">
        <w:rPr>
          <w:rFonts w:asciiTheme="minorHAnsi" w:hAnsiTheme="minorHAnsi"/>
          <w:color w:val="auto"/>
          <w:szCs w:val="24"/>
        </w:rPr>
        <w:t xml:space="preserve">PEB adjudicated </w:t>
      </w:r>
      <w:r w:rsidR="00C92EC1" w:rsidRPr="00406206">
        <w:rPr>
          <w:rFonts w:asciiTheme="minorHAnsi" w:hAnsiTheme="minorHAnsi"/>
          <w:color w:val="auto"/>
          <w:szCs w:val="24"/>
        </w:rPr>
        <w:t xml:space="preserve">degenerative lumbar intervertebral disc </w:t>
      </w:r>
      <w:r w:rsidR="00CD6386" w:rsidRPr="00406206">
        <w:rPr>
          <w:rFonts w:asciiTheme="minorHAnsi" w:hAnsiTheme="minorHAnsi"/>
          <w:color w:val="auto"/>
          <w:szCs w:val="24"/>
        </w:rPr>
        <w:t>as unfitting</w:t>
      </w:r>
      <w:r w:rsidR="00C92EC1">
        <w:rPr>
          <w:rFonts w:asciiTheme="minorHAnsi" w:hAnsiTheme="minorHAnsi"/>
          <w:color w:val="auto"/>
          <w:szCs w:val="24"/>
        </w:rPr>
        <w:t>,</w:t>
      </w:r>
      <w:r w:rsidR="00CD6386" w:rsidRPr="00406206">
        <w:rPr>
          <w:rFonts w:asciiTheme="minorHAnsi" w:hAnsiTheme="minorHAnsi"/>
          <w:color w:val="auto"/>
          <w:szCs w:val="24"/>
        </w:rPr>
        <w:t xml:space="preserve"> rated 10%</w:t>
      </w:r>
      <w:r w:rsidR="00C92EC1">
        <w:rPr>
          <w:rFonts w:asciiTheme="minorHAnsi" w:hAnsiTheme="minorHAnsi"/>
          <w:color w:val="auto"/>
          <w:szCs w:val="24"/>
        </w:rPr>
        <w:t>,</w:t>
      </w:r>
      <w:r w:rsidR="00CD6386" w:rsidRPr="00406206">
        <w:rPr>
          <w:rFonts w:asciiTheme="minorHAnsi" w:hAnsiTheme="minorHAnsi"/>
          <w:color w:val="auto"/>
          <w:szCs w:val="24"/>
        </w:rPr>
        <w:t xml:space="preserve"> with probable application of SECNAVINST 1850.4e and DoDI 13329.39 Section E2.A1.5.  The PEB adjudicated the </w:t>
      </w:r>
      <w:r w:rsidR="00EB09C0">
        <w:rPr>
          <w:rFonts w:asciiTheme="minorHAnsi" w:hAnsiTheme="minorHAnsi"/>
          <w:color w:val="auto"/>
          <w:szCs w:val="24"/>
        </w:rPr>
        <w:t>HNP</w:t>
      </w:r>
      <w:r w:rsidR="00CD6386" w:rsidRPr="00406206">
        <w:rPr>
          <w:rFonts w:asciiTheme="minorHAnsi" w:hAnsiTheme="minorHAnsi"/>
          <w:color w:val="auto"/>
          <w:szCs w:val="24"/>
        </w:rPr>
        <w:t xml:space="preserve"> without </w:t>
      </w:r>
      <w:proofErr w:type="spellStart"/>
      <w:r w:rsidR="00EB09C0">
        <w:rPr>
          <w:rFonts w:asciiTheme="minorHAnsi" w:hAnsiTheme="minorHAnsi"/>
          <w:color w:val="auto"/>
          <w:szCs w:val="24"/>
        </w:rPr>
        <w:t>m</w:t>
      </w:r>
      <w:r w:rsidR="00CD6386" w:rsidRPr="00406206">
        <w:rPr>
          <w:rFonts w:asciiTheme="minorHAnsi" w:hAnsiTheme="minorHAnsi"/>
          <w:color w:val="auto"/>
          <w:szCs w:val="24"/>
        </w:rPr>
        <w:t>yelopathy</w:t>
      </w:r>
      <w:proofErr w:type="spellEnd"/>
      <w:r w:rsidR="00CD6386" w:rsidRPr="00406206">
        <w:rPr>
          <w:rFonts w:asciiTheme="minorHAnsi" w:hAnsiTheme="minorHAnsi"/>
          <w:color w:val="auto"/>
          <w:szCs w:val="24"/>
        </w:rPr>
        <w:t xml:space="preserve"> as Category </w:t>
      </w:r>
      <w:r w:rsidR="00B27D7A" w:rsidRPr="00406206">
        <w:rPr>
          <w:rFonts w:asciiTheme="minorHAnsi" w:hAnsiTheme="minorHAnsi"/>
          <w:color w:val="auto"/>
          <w:szCs w:val="24"/>
        </w:rPr>
        <w:t>2</w:t>
      </w:r>
      <w:r w:rsidR="00CD6386" w:rsidRPr="00406206">
        <w:rPr>
          <w:rFonts w:asciiTheme="minorHAnsi" w:hAnsiTheme="minorHAnsi"/>
          <w:color w:val="auto"/>
          <w:szCs w:val="24"/>
        </w:rPr>
        <w:t xml:space="preserve"> (</w:t>
      </w:r>
      <w:r w:rsidR="00EB09C0">
        <w:rPr>
          <w:rFonts w:asciiTheme="minorHAnsi" w:hAnsiTheme="minorHAnsi"/>
          <w:color w:val="auto"/>
          <w:szCs w:val="24"/>
        </w:rPr>
        <w:t>c</w:t>
      </w:r>
      <w:r w:rsidR="00CD6386" w:rsidRPr="00406206">
        <w:rPr>
          <w:rFonts w:asciiTheme="minorHAnsi" w:hAnsiTheme="minorHAnsi"/>
          <w:color w:val="auto"/>
          <w:szCs w:val="24"/>
        </w:rPr>
        <w:t xml:space="preserve">onditions that contribute to the unfitting condition).  </w:t>
      </w:r>
      <w:r w:rsidR="0075690D" w:rsidRPr="00406206">
        <w:rPr>
          <w:rFonts w:asciiTheme="minorHAnsi" w:hAnsiTheme="minorHAnsi"/>
          <w:color w:val="auto"/>
        </w:rPr>
        <w:t xml:space="preserve">The CI </w:t>
      </w:r>
      <w:r w:rsidR="00CD6386" w:rsidRPr="00406206">
        <w:rPr>
          <w:rFonts w:asciiTheme="minorHAnsi" w:hAnsiTheme="minorHAnsi"/>
          <w:color w:val="auto"/>
        </w:rPr>
        <w:t>did not appeal</w:t>
      </w:r>
      <w:r w:rsidR="0075690D" w:rsidRPr="00406206">
        <w:rPr>
          <w:rFonts w:asciiTheme="minorHAnsi" w:hAnsiTheme="minorHAnsi"/>
          <w:color w:val="auto"/>
        </w:rPr>
        <w:t>, and was medically separated with a 10% combined disability rating.</w:t>
      </w:r>
    </w:p>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75690D" w:rsidRPr="00406206" w:rsidRDefault="002C6E5B" w:rsidP="0026697A">
      <w:pPr>
        <w:tabs>
          <w:tab w:val="left" w:pos="288"/>
          <w:tab w:val="left" w:pos="4752"/>
        </w:tabs>
        <w:spacing w:line="240" w:lineRule="exact"/>
        <w:jc w:val="both"/>
        <w:rPr>
          <w:rFonts w:asciiTheme="minorHAnsi" w:hAnsiTheme="minorHAnsi"/>
          <w:color w:val="auto"/>
          <w:szCs w:val="24"/>
        </w:rPr>
      </w:pPr>
      <w:r w:rsidRPr="00406206">
        <w:rPr>
          <w:rFonts w:ascii="Calibri" w:hAnsi="Calibri"/>
          <w:color w:val="auto"/>
          <w:u w:val="single"/>
        </w:rPr>
        <w:t>CI CONTENTION</w:t>
      </w:r>
      <w:r w:rsidRPr="00406206">
        <w:rPr>
          <w:rFonts w:ascii="Calibri" w:hAnsi="Calibri"/>
          <w:color w:val="auto"/>
        </w:rPr>
        <w:t xml:space="preserve">: </w:t>
      </w:r>
      <w:r w:rsidR="00C10CCF" w:rsidRPr="00406206">
        <w:rPr>
          <w:rFonts w:ascii="Calibri" w:hAnsi="Calibri"/>
          <w:color w:val="auto"/>
        </w:rPr>
        <w:t xml:space="preserve"> The CI states “</w:t>
      </w:r>
      <w:r w:rsidR="0075690D" w:rsidRPr="00406206">
        <w:rPr>
          <w:rFonts w:asciiTheme="minorHAnsi" w:hAnsiTheme="minorHAnsi"/>
          <w:color w:val="auto"/>
        </w:rPr>
        <w:t xml:space="preserve">There have been changes in the rating system. </w:t>
      </w:r>
      <w:r w:rsidR="009D3931">
        <w:rPr>
          <w:rFonts w:asciiTheme="minorHAnsi" w:hAnsiTheme="minorHAnsi"/>
          <w:color w:val="auto"/>
        </w:rPr>
        <w:t xml:space="preserve"> </w:t>
      </w:r>
      <w:r w:rsidR="0075690D" w:rsidRPr="00406206">
        <w:rPr>
          <w:rFonts w:asciiTheme="minorHAnsi" w:hAnsiTheme="minorHAnsi"/>
          <w:color w:val="auto"/>
        </w:rPr>
        <w:t>I feel I should have been rated higher than I got.”</w:t>
      </w:r>
      <w:r w:rsidR="00C10CCF" w:rsidRPr="00406206">
        <w:rPr>
          <w:rFonts w:asciiTheme="minorHAnsi" w:hAnsiTheme="minorHAnsi"/>
          <w:color w:val="auto"/>
        </w:rPr>
        <w:t xml:space="preserve">  </w:t>
      </w:r>
    </w:p>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B27D7A" w:rsidRPr="00406206" w:rsidRDefault="00B27D7A">
      <w:pPr>
        <w:rPr>
          <w:rFonts w:ascii="Calibri" w:hAnsi="Calibri"/>
          <w:color w:val="auto"/>
          <w:u w:val="single"/>
        </w:rPr>
      </w:pPr>
    </w:p>
    <w:p w:rsidR="00B27D7A" w:rsidRPr="00406206" w:rsidRDefault="00B27D7A" w:rsidP="00B27D7A">
      <w:pPr>
        <w:spacing w:line="240" w:lineRule="exact"/>
        <w:rPr>
          <w:rFonts w:ascii="Calibri" w:hAnsi="Calibri"/>
          <w:color w:val="auto"/>
          <w:u w:val="single"/>
        </w:rPr>
      </w:pPr>
      <w:r w:rsidRPr="00406206">
        <w:rPr>
          <w:rFonts w:ascii="Calibri" w:hAnsi="Calibri"/>
          <w:color w:val="auto"/>
          <w:u w:val="single"/>
        </w:rPr>
        <w:t>RATING COMPARISON</w:t>
      </w:r>
      <w:r w:rsidRPr="00406206">
        <w:rPr>
          <w:rFonts w:ascii="Calibri" w:hAnsi="Calibri"/>
          <w:color w:val="auto"/>
        </w:rPr>
        <w:t>:</w:t>
      </w:r>
    </w:p>
    <w:p w:rsidR="0075690D" w:rsidRPr="00406206" w:rsidRDefault="0075690D" w:rsidP="0075690D">
      <w:pPr>
        <w:spacing w:line="240" w:lineRule="exact"/>
        <w:rPr>
          <w:rFonts w:asciiTheme="minorHAnsi" w:hAnsiTheme="minorHAnsi"/>
          <w:color w:val="auto"/>
        </w:rPr>
      </w:pPr>
    </w:p>
    <w:tbl>
      <w:tblPr>
        <w:tblStyle w:val="TableGrid"/>
        <w:tblpPr w:leftFromText="180" w:rightFromText="180" w:vertAnchor="text" w:horzAnchor="margin" w:tblpX="108" w:tblpY="-51"/>
        <w:tblW w:w="9450" w:type="dxa"/>
        <w:tblLayout w:type="fixed"/>
        <w:tblLook w:val="04A0"/>
      </w:tblPr>
      <w:tblGrid>
        <w:gridCol w:w="236"/>
        <w:gridCol w:w="2032"/>
        <w:gridCol w:w="720"/>
        <w:gridCol w:w="810"/>
        <w:gridCol w:w="2610"/>
        <w:gridCol w:w="1170"/>
        <w:gridCol w:w="792"/>
        <w:gridCol w:w="1080"/>
      </w:tblGrid>
      <w:tr w:rsidR="0075690D" w:rsidRPr="00406206" w:rsidTr="00F03843">
        <w:trPr>
          <w:trHeight w:val="233"/>
        </w:trPr>
        <w:tc>
          <w:tcPr>
            <w:tcW w:w="3798" w:type="dxa"/>
            <w:gridSpan w:val="4"/>
            <w:tcBorders>
              <w:right w:val="thinThickThinSmallGap" w:sz="24" w:space="0" w:color="auto"/>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Service IPEB – Dated 20060112</w:t>
            </w:r>
          </w:p>
        </w:tc>
        <w:tc>
          <w:tcPr>
            <w:tcW w:w="5652" w:type="dxa"/>
            <w:gridSpan w:val="4"/>
            <w:tcBorders>
              <w:left w:val="thinThickThinSmallGap" w:sz="24" w:space="0" w:color="auto"/>
            </w:tcBorders>
            <w:shd w:val="clear" w:color="auto" w:fill="D9D9D9" w:themeFill="background1" w:themeFillShade="D9"/>
          </w:tcPr>
          <w:p w:rsidR="0075690D" w:rsidRPr="00406206" w:rsidRDefault="0075690D" w:rsidP="00F03843">
            <w:pPr>
              <w:spacing w:line="240" w:lineRule="exact"/>
              <w:contextualSpacing/>
              <w:jc w:val="center"/>
              <w:rPr>
                <w:b/>
                <w:color w:val="auto"/>
                <w:sz w:val="20"/>
                <w:szCs w:val="20"/>
              </w:rPr>
            </w:pPr>
            <w:r w:rsidRPr="00406206">
              <w:rPr>
                <w:b/>
                <w:color w:val="auto"/>
                <w:sz w:val="20"/>
                <w:szCs w:val="20"/>
              </w:rPr>
              <w:t>VA (</w:t>
            </w:r>
            <w:r w:rsidR="00F03843" w:rsidRPr="00406206">
              <w:rPr>
                <w:b/>
                <w:color w:val="auto"/>
                <w:sz w:val="20"/>
                <w:szCs w:val="20"/>
              </w:rPr>
              <w:t xml:space="preserve">8 </w:t>
            </w:r>
            <w:r w:rsidRPr="00406206">
              <w:rPr>
                <w:b/>
                <w:color w:val="auto"/>
                <w:sz w:val="20"/>
                <w:szCs w:val="20"/>
              </w:rPr>
              <w:t>Mo. After  Separation) – All Effective Date 20060429</w:t>
            </w:r>
          </w:p>
        </w:tc>
      </w:tr>
      <w:tr w:rsidR="00F03843" w:rsidRPr="00406206" w:rsidTr="00F03843">
        <w:trPr>
          <w:trHeight w:val="278"/>
        </w:trPr>
        <w:tc>
          <w:tcPr>
            <w:tcW w:w="2268" w:type="dxa"/>
            <w:gridSpan w:val="2"/>
            <w:tcBorders>
              <w:bottom w:val="single" w:sz="4" w:space="0" w:color="000000" w:themeColor="text1"/>
              <w:right w:val="single" w:sz="4" w:space="0" w:color="auto"/>
            </w:tcBorders>
            <w:shd w:val="clear" w:color="auto" w:fill="D9D9D9" w:themeFill="background1" w:themeFillShade="D9"/>
          </w:tcPr>
          <w:p w:rsidR="0075690D" w:rsidRPr="00406206" w:rsidRDefault="0075690D" w:rsidP="00E46FCF">
            <w:pPr>
              <w:spacing w:line="240" w:lineRule="exact"/>
              <w:contextualSpacing/>
              <w:jc w:val="both"/>
              <w:rPr>
                <w:b/>
                <w:color w:val="auto"/>
                <w:sz w:val="20"/>
                <w:szCs w:val="20"/>
              </w:rPr>
            </w:pPr>
            <w:r w:rsidRPr="00406206">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Rating</w:t>
            </w:r>
          </w:p>
        </w:tc>
        <w:tc>
          <w:tcPr>
            <w:tcW w:w="2610" w:type="dxa"/>
            <w:tcBorders>
              <w:left w:val="thinThickThinSmallGap" w:sz="24" w:space="0" w:color="auto"/>
              <w:bottom w:val="single" w:sz="4" w:space="0" w:color="000000" w:themeColor="text1"/>
            </w:tcBorders>
            <w:shd w:val="clear" w:color="auto" w:fill="D9D9D9" w:themeFill="background1" w:themeFillShade="D9"/>
          </w:tcPr>
          <w:p w:rsidR="0075690D" w:rsidRPr="00406206" w:rsidRDefault="0075690D" w:rsidP="00E46FCF">
            <w:pPr>
              <w:spacing w:line="240" w:lineRule="exact"/>
              <w:contextualSpacing/>
              <w:jc w:val="both"/>
              <w:rPr>
                <w:b/>
                <w:color w:val="auto"/>
                <w:sz w:val="20"/>
                <w:szCs w:val="20"/>
              </w:rPr>
            </w:pPr>
            <w:r w:rsidRPr="00406206">
              <w:rPr>
                <w:b/>
                <w:color w:val="auto"/>
                <w:sz w:val="20"/>
                <w:szCs w:val="20"/>
              </w:rPr>
              <w:t>Condition</w:t>
            </w:r>
          </w:p>
        </w:tc>
        <w:tc>
          <w:tcPr>
            <w:tcW w:w="1170" w:type="dxa"/>
            <w:tcBorders>
              <w:bottom w:val="single" w:sz="4" w:space="0" w:color="000000" w:themeColor="text1"/>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Code</w:t>
            </w:r>
          </w:p>
        </w:tc>
        <w:tc>
          <w:tcPr>
            <w:tcW w:w="792" w:type="dxa"/>
            <w:tcBorders>
              <w:bottom w:val="single" w:sz="4" w:space="0" w:color="000000" w:themeColor="text1"/>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75690D" w:rsidRPr="00406206" w:rsidRDefault="0075690D" w:rsidP="00E46FCF">
            <w:pPr>
              <w:spacing w:line="240" w:lineRule="exact"/>
              <w:contextualSpacing/>
              <w:jc w:val="center"/>
              <w:rPr>
                <w:b/>
                <w:color w:val="auto"/>
                <w:sz w:val="20"/>
                <w:szCs w:val="20"/>
              </w:rPr>
            </w:pPr>
            <w:r w:rsidRPr="00406206">
              <w:rPr>
                <w:b/>
                <w:color w:val="auto"/>
                <w:sz w:val="20"/>
                <w:szCs w:val="20"/>
              </w:rPr>
              <w:t>Exam</w:t>
            </w:r>
          </w:p>
        </w:tc>
      </w:tr>
      <w:tr w:rsidR="00F03843" w:rsidRPr="00406206" w:rsidTr="00F03843">
        <w:trPr>
          <w:trHeight w:val="287"/>
        </w:trPr>
        <w:tc>
          <w:tcPr>
            <w:tcW w:w="2268" w:type="dxa"/>
            <w:gridSpan w:val="2"/>
            <w:tcBorders>
              <w:right w:val="single" w:sz="4" w:space="0" w:color="auto"/>
            </w:tcBorders>
            <w:shd w:val="clear" w:color="auto" w:fill="FFFFFF" w:themeFill="background1"/>
            <w:vAlign w:val="center"/>
          </w:tcPr>
          <w:p w:rsidR="0075690D" w:rsidRPr="001A5968" w:rsidRDefault="0075690D" w:rsidP="001A5968">
            <w:pPr>
              <w:spacing w:line="180" w:lineRule="exact"/>
              <w:contextualSpacing/>
              <w:rPr>
                <w:color w:val="auto"/>
                <w:sz w:val="18"/>
                <w:szCs w:val="18"/>
              </w:rPr>
            </w:pPr>
            <w:r w:rsidRPr="001A5968">
              <w:rPr>
                <w:color w:val="auto"/>
                <w:sz w:val="18"/>
                <w:szCs w:val="18"/>
              </w:rPr>
              <w:t>Degenerative Lumbar Intervertebral Disc</w:t>
            </w:r>
          </w:p>
        </w:tc>
        <w:tc>
          <w:tcPr>
            <w:tcW w:w="720" w:type="dxa"/>
            <w:tcBorders>
              <w:left w:val="single" w:sz="4" w:space="0" w:color="auto"/>
            </w:tcBorders>
            <w:shd w:val="clear" w:color="auto" w:fill="FFFFFF" w:themeFill="background1"/>
            <w:vAlign w:val="center"/>
          </w:tcPr>
          <w:p w:rsidR="0075690D" w:rsidRPr="001A5968" w:rsidRDefault="0075690D" w:rsidP="001A5968">
            <w:pPr>
              <w:spacing w:line="180" w:lineRule="exact"/>
              <w:contextualSpacing/>
              <w:rPr>
                <w:color w:val="auto"/>
                <w:sz w:val="18"/>
                <w:szCs w:val="18"/>
              </w:rPr>
            </w:pPr>
            <w:r w:rsidRPr="001A5968">
              <w:rPr>
                <w:color w:val="auto"/>
                <w:sz w:val="18"/>
                <w:szCs w:val="18"/>
              </w:rPr>
              <w:t>5242</w:t>
            </w:r>
          </w:p>
        </w:tc>
        <w:tc>
          <w:tcPr>
            <w:tcW w:w="810" w:type="dxa"/>
            <w:tcBorders>
              <w:right w:val="thinThickThinSmallGap" w:sz="24" w:space="0" w:color="auto"/>
            </w:tcBorders>
            <w:shd w:val="clear" w:color="auto" w:fill="FFFFFF" w:themeFill="background1"/>
            <w:vAlign w:val="center"/>
          </w:tcPr>
          <w:p w:rsidR="0075690D" w:rsidRPr="001A5968" w:rsidRDefault="0075690D" w:rsidP="001A5968">
            <w:pPr>
              <w:spacing w:line="180" w:lineRule="exact"/>
              <w:contextualSpacing/>
              <w:jc w:val="center"/>
              <w:rPr>
                <w:color w:val="auto"/>
                <w:sz w:val="18"/>
                <w:szCs w:val="18"/>
              </w:rPr>
            </w:pPr>
            <w:r w:rsidRPr="001A5968">
              <w:rPr>
                <w:color w:val="auto"/>
                <w:sz w:val="18"/>
                <w:szCs w:val="18"/>
              </w:rPr>
              <w:t>10%</w:t>
            </w:r>
          </w:p>
        </w:tc>
        <w:tc>
          <w:tcPr>
            <w:tcW w:w="2610" w:type="dxa"/>
            <w:tcBorders>
              <w:left w:val="thinThickThinSmallGap" w:sz="24" w:space="0" w:color="auto"/>
            </w:tcBorders>
            <w:shd w:val="clear" w:color="auto" w:fill="FFFFFF" w:themeFill="background1"/>
            <w:vAlign w:val="center"/>
          </w:tcPr>
          <w:p w:rsidR="0075690D" w:rsidRPr="001A5968" w:rsidRDefault="00F03843" w:rsidP="001A5968">
            <w:pPr>
              <w:autoSpaceDE w:val="0"/>
              <w:autoSpaceDN w:val="0"/>
              <w:adjustRightInd w:val="0"/>
              <w:spacing w:line="180" w:lineRule="exact"/>
              <w:rPr>
                <w:color w:val="auto"/>
                <w:sz w:val="18"/>
                <w:szCs w:val="18"/>
              </w:rPr>
            </w:pPr>
            <w:r w:rsidRPr="001A5968">
              <w:rPr>
                <w:color w:val="auto"/>
                <w:sz w:val="18"/>
                <w:szCs w:val="18"/>
              </w:rPr>
              <w:t>DDD</w:t>
            </w:r>
            <w:r w:rsidR="0075690D" w:rsidRPr="001A5968">
              <w:rPr>
                <w:color w:val="auto"/>
                <w:sz w:val="18"/>
                <w:szCs w:val="18"/>
              </w:rPr>
              <w:t xml:space="preserve"> </w:t>
            </w:r>
            <w:r w:rsidRPr="001A5968">
              <w:rPr>
                <w:color w:val="auto"/>
                <w:sz w:val="18"/>
                <w:szCs w:val="18"/>
              </w:rPr>
              <w:t xml:space="preserve">w/ HNP </w:t>
            </w:r>
            <w:r w:rsidR="0075690D" w:rsidRPr="001A5968">
              <w:rPr>
                <w:color w:val="auto"/>
                <w:sz w:val="18"/>
                <w:szCs w:val="18"/>
              </w:rPr>
              <w:t>L5-S</w:t>
            </w:r>
            <w:r w:rsidRPr="001A5968">
              <w:rPr>
                <w:color w:val="auto"/>
                <w:sz w:val="18"/>
                <w:szCs w:val="18"/>
              </w:rPr>
              <w:t>1</w:t>
            </w:r>
            <w:r w:rsidR="0075690D" w:rsidRPr="001A5968">
              <w:rPr>
                <w:color w:val="auto"/>
                <w:sz w:val="18"/>
                <w:szCs w:val="18"/>
              </w:rPr>
              <w:t>,</w:t>
            </w:r>
            <w:r w:rsidRPr="001A5968">
              <w:rPr>
                <w:color w:val="auto"/>
                <w:sz w:val="18"/>
                <w:szCs w:val="18"/>
              </w:rPr>
              <w:t xml:space="preserve"> …</w:t>
            </w:r>
          </w:p>
        </w:tc>
        <w:tc>
          <w:tcPr>
            <w:tcW w:w="1170" w:type="dxa"/>
            <w:shd w:val="clear" w:color="auto" w:fill="FFFFFF" w:themeFill="background1"/>
          </w:tcPr>
          <w:p w:rsidR="0075690D" w:rsidRPr="001A5968" w:rsidRDefault="0075690D" w:rsidP="001A5968">
            <w:pPr>
              <w:spacing w:line="180" w:lineRule="exact"/>
              <w:contextualSpacing/>
              <w:jc w:val="center"/>
              <w:rPr>
                <w:color w:val="auto"/>
                <w:sz w:val="18"/>
                <w:szCs w:val="18"/>
              </w:rPr>
            </w:pPr>
            <w:r w:rsidRPr="001A5968">
              <w:rPr>
                <w:color w:val="auto"/>
                <w:sz w:val="18"/>
                <w:szCs w:val="18"/>
              </w:rPr>
              <w:t>5243</w:t>
            </w:r>
          </w:p>
        </w:tc>
        <w:tc>
          <w:tcPr>
            <w:tcW w:w="792" w:type="dxa"/>
            <w:shd w:val="clear" w:color="auto" w:fill="FFFFFF" w:themeFill="background1"/>
          </w:tcPr>
          <w:p w:rsidR="0075690D" w:rsidRPr="001A5968" w:rsidRDefault="0075690D" w:rsidP="001A5968">
            <w:pPr>
              <w:spacing w:line="180" w:lineRule="exact"/>
              <w:contextualSpacing/>
              <w:jc w:val="center"/>
              <w:rPr>
                <w:color w:val="auto"/>
                <w:sz w:val="18"/>
                <w:szCs w:val="18"/>
              </w:rPr>
            </w:pPr>
            <w:r w:rsidRPr="001A5968">
              <w:rPr>
                <w:color w:val="auto"/>
                <w:sz w:val="18"/>
                <w:szCs w:val="18"/>
              </w:rPr>
              <w:t>10%</w:t>
            </w:r>
          </w:p>
        </w:tc>
        <w:tc>
          <w:tcPr>
            <w:tcW w:w="1080" w:type="dxa"/>
            <w:shd w:val="clear" w:color="auto" w:fill="FFFFFF" w:themeFill="background1"/>
            <w:vAlign w:val="center"/>
          </w:tcPr>
          <w:p w:rsidR="0075690D" w:rsidRPr="001A5968" w:rsidRDefault="0075690D" w:rsidP="001A5968">
            <w:pPr>
              <w:spacing w:line="180" w:lineRule="exact"/>
              <w:contextualSpacing/>
              <w:jc w:val="center"/>
              <w:rPr>
                <w:color w:val="auto"/>
                <w:sz w:val="18"/>
                <w:szCs w:val="18"/>
              </w:rPr>
            </w:pPr>
            <w:r w:rsidRPr="001A5968">
              <w:rPr>
                <w:color w:val="auto"/>
                <w:sz w:val="18"/>
                <w:szCs w:val="18"/>
              </w:rPr>
              <w:t>20061207</w:t>
            </w:r>
          </w:p>
        </w:tc>
      </w:tr>
      <w:tr w:rsidR="00F03843" w:rsidRPr="00406206" w:rsidTr="00F03843">
        <w:trPr>
          <w:trHeight w:val="287"/>
        </w:trPr>
        <w:tc>
          <w:tcPr>
            <w:tcW w:w="23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03843" w:rsidRPr="001A5968" w:rsidRDefault="002F3DD2" w:rsidP="001A5968">
            <w:pPr>
              <w:spacing w:line="180" w:lineRule="exact"/>
              <w:contextualSpacing/>
              <w:rPr>
                <w:color w:val="auto"/>
                <w:sz w:val="18"/>
                <w:szCs w:val="18"/>
              </w:rPr>
            </w:pPr>
            <w:r w:rsidRPr="001A5968">
              <w:rPr>
                <w:color w:val="auto"/>
                <w:sz w:val="18"/>
                <w:szCs w:val="18"/>
              </w:rPr>
              <w:t>-</w:t>
            </w:r>
          </w:p>
        </w:tc>
        <w:tc>
          <w:tcPr>
            <w:tcW w:w="2032" w:type="dxa"/>
            <w:vMerge w:val="restart"/>
            <w:tcBorders>
              <w:top w:val="single" w:sz="4" w:space="0" w:color="auto"/>
              <w:left w:val="single" w:sz="4" w:space="0" w:color="auto"/>
              <w:right w:val="single" w:sz="4" w:space="0" w:color="auto"/>
            </w:tcBorders>
            <w:shd w:val="clear" w:color="auto" w:fill="FFFFFF" w:themeFill="background1"/>
            <w:vAlign w:val="center"/>
          </w:tcPr>
          <w:p w:rsidR="00F03843" w:rsidRPr="001A5968" w:rsidRDefault="00F03843" w:rsidP="001A5968">
            <w:pPr>
              <w:spacing w:line="180" w:lineRule="exact"/>
              <w:contextualSpacing/>
              <w:rPr>
                <w:color w:val="auto"/>
                <w:sz w:val="18"/>
                <w:szCs w:val="18"/>
              </w:rPr>
            </w:pPr>
            <w:r w:rsidRPr="001A5968">
              <w:rPr>
                <w:color w:val="auto"/>
                <w:sz w:val="18"/>
                <w:szCs w:val="18"/>
              </w:rPr>
              <w:t>HNP w/o Myelopathy</w:t>
            </w:r>
          </w:p>
        </w:tc>
        <w:tc>
          <w:tcPr>
            <w:tcW w:w="1530" w:type="dxa"/>
            <w:gridSpan w:val="2"/>
            <w:vMerge w:val="restart"/>
            <w:tcBorders>
              <w:left w:val="single" w:sz="4" w:space="0" w:color="auto"/>
              <w:right w:val="thinThickThinSmallGap" w:sz="24" w:space="0" w:color="auto"/>
            </w:tcBorders>
            <w:shd w:val="clear" w:color="auto" w:fill="FFFFFF" w:themeFill="background1"/>
            <w:vAlign w:val="center"/>
          </w:tcPr>
          <w:p w:rsidR="00F03843" w:rsidRPr="001A5968" w:rsidRDefault="00F03843" w:rsidP="001A5968">
            <w:pPr>
              <w:spacing w:line="180" w:lineRule="exact"/>
              <w:contextualSpacing/>
              <w:jc w:val="center"/>
              <w:rPr>
                <w:color w:val="auto"/>
                <w:sz w:val="18"/>
                <w:szCs w:val="18"/>
              </w:rPr>
            </w:pPr>
            <w:r w:rsidRPr="001A5968">
              <w:rPr>
                <w:color w:val="auto"/>
                <w:sz w:val="18"/>
                <w:szCs w:val="18"/>
              </w:rPr>
              <w:t>Category 2</w:t>
            </w:r>
          </w:p>
        </w:tc>
        <w:tc>
          <w:tcPr>
            <w:tcW w:w="2610" w:type="dxa"/>
            <w:tcBorders>
              <w:left w:val="thinThickThinSmallGap" w:sz="24" w:space="0" w:color="auto"/>
              <w:right w:val="single" w:sz="4" w:space="0" w:color="auto"/>
            </w:tcBorders>
            <w:shd w:val="clear" w:color="auto" w:fill="FFFFFF" w:themeFill="background1"/>
            <w:vAlign w:val="center"/>
          </w:tcPr>
          <w:p w:rsidR="00F03843" w:rsidRPr="001A5968" w:rsidRDefault="00F03843" w:rsidP="001A5968">
            <w:pPr>
              <w:autoSpaceDE w:val="0"/>
              <w:autoSpaceDN w:val="0"/>
              <w:adjustRightInd w:val="0"/>
              <w:spacing w:line="180" w:lineRule="exact"/>
              <w:rPr>
                <w:color w:val="auto"/>
                <w:sz w:val="18"/>
                <w:szCs w:val="18"/>
              </w:rPr>
            </w:pPr>
            <w:r w:rsidRPr="001A5968">
              <w:rPr>
                <w:color w:val="auto"/>
                <w:sz w:val="18"/>
                <w:szCs w:val="18"/>
              </w:rPr>
              <w:t>Urinary Incontinence a/w DDD w/ HNP</w:t>
            </w:r>
          </w:p>
        </w:tc>
        <w:tc>
          <w:tcPr>
            <w:tcW w:w="1170" w:type="dxa"/>
            <w:tcBorders>
              <w:left w:val="single" w:sz="4" w:space="0" w:color="auto"/>
            </w:tcBorders>
            <w:shd w:val="clear" w:color="auto" w:fill="FFFFFF" w:themeFill="background1"/>
            <w:vAlign w:val="center"/>
          </w:tcPr>
          <w:p w:rsidR="00F03843" w:rsidRPr="001A5968" w:rsidRDefault="00F03843" w:rsidP="001A5968">
            <w:pPr>
              <w:spacing w:line="180" w:lineRule="exact"/>
              <w:contextualSpacing/>
              <w:jc w:val="center"/>
              <w:rPr>
                <w:color w:val="auto"/>
                <w:sz w:val="18"/>
                <w:szCs w:val="18"/>
              </w:rPr>
            </w:pPr>
            <w:r w:rsidRPr="001A5968">
              <w:rPr>
                <w:color w:val="auto"/>
                <w:sz w:val="18"/>
                <w:szCs w:val="18"/>
              </w:rPr>
              <w:t>7599-7542</w:t>
            </w:r>
          </w:p>
        </w:tc>
        <w:tc>
          <w:tcPr>
            <w:tcW w:w="792" w:type="dxa"/>
            <w:shd w:val="clear" w:color="auto" w:fill="FFFFFF" w:themeFill="background1"/>
          </w:tcPr>
          <w:p w:rsidR="00F03843" w:rsidRPr="001A5968" w:rsidRDefault="00F03843" w:rsidP="001A5968">
            <w:pPr>
              <w:spacing w:line="180" w:lineRule="exact"/>
              <w:contextualSpacing/>
              <w:jc w:val="center"/>
              <w:rPr>
                <w:color w:val="auto"/>
                <w:sz w:val="18"/>
                <w:szCs w:val="18"/>
              </w:rPr>
            </w:pPr>
            <w:r w:rsidRPr="001A5968">
              <w:rPr>
                <w:color w:val="auto"/>
                <w:sz w:val="18"/>
                <w:szCs w:val="18"/>
              </w:rPr>
              <w:t>40%</w:t>
            </w:r>
          </w:p>
        </w:tc>
        <w:tc>
          <w:tcPr>
            <w:tcW w:w="1080" w:type="dxa"/>
            <w:shd w:val="clear" w:color="auto" w:fill="FFFFFF" w:themeFill="background1"/>
            <w:vAlign w:val="center"/>
          </w:tcPr>
          <w:p w:rsidR="00F03843" w:rsidRPr="001A5968" w:rsidRDefault="00F03843" w:rsidP="001A5968">
            <w:pPr>
              <w:spacing w:line="180" w:lineRule="exact"/>
              <w:contextualSpacing/>
              <w:rPr>
                <w:color w:val="auto"/>
                <w:sz w:val="18"/>
                <w:szCs w:val="18"/>
              </w:rPr>
            </w:pPr>
            <w:r w:rsidRPr="001A5968">
              <w:rPr>
                <w:color w:val="auto"/>
                <w:sz w:val="18"/>
                <w:szCs w:val="18"/>
              </w:rPr>
              <w:t>20061207</w:t>
            </w:r>
          </w:p>
        </w:tc>
      </w:tr>
      <w:tr w:rsidR="00F03843" w:rsidRPr="00406206" w:rsidTr="00F03843">
        <w:trPr>
          <w:trHeight w:val="287"/>
        </w:trPr>
        <w:tc>
          <w:tcPr>
            <w:tcW w:w="236" w:type="dxa"/>
            <w:vMerge/>
            <w:tcBorders>
              <w:left w:val="single" w:sz="4" w:space="0" w:color="auto"/>
              <w:right w:val="single" w:sz="4" w:space="0" w:color="auto"/>
            </w:tcBorders>
            <w:shd w:val="clear" w:color="auto" w:fill="D9D9D9" w:themeFill="background1" w:themeFillShade="D9"/>
            <w:vAlign w:val="center"/>
          </w:tcPr>
          <w:p w:rsidR="00F03843" w:rsidRPr="001A5968" w:rsidRDefault="00F03843" w:rsidP="001A5968">
            <w:pPr>
              <w:spacing w:line="180" w:lineRule="exact"/>
              <w:contextualSpacing/>
              <w:rPr>
                <w:color w:val="auto"/>
                <w:sz w:val="18"/>
                <w:szCs w:val="18"/>
              </w:rPr>
            </w:pPr>
          </w:p>
        </w:tc>
        <w:tc>
          <w:tcPr>
            <w:tcW w:w="2032" w:type="dxa"/>
            <w:vMerge/>
            <w:tcBorders>
              <w:left w:val="single" w:sz="4" w:space="0" w:color="auto"/>
              <w:right w:val="single" w:sz="4" w:space="0" w:color="auto"/>
            </w:tcBorders>
            <w:shd w:val="clear" w:color="auto" w:fill="FFFFFF" w:themeFill="background1"/>
            <w:vAlign w:val="center"/>
          </w:tcPr>
          <w:p w:rsidR="00F03843" w:rsidRPr="001A5968" w:rsidRDefault="00F03843" w:rsidP="001A5968">
            <w:pPr>
              <w:spacing w:line="180" w:lineRule="exact"/>
              <w:contextualSpacing/>
              <w:rPr>
                <w:color w:val="auto"/>
                <w:sz w:val="18"/>
                <w:szCs w:val="18"/>
              </w:rPr>
            </w:pPr>
          </w:p>
        </w:tc>
        <w:tc>
          <w:tcPr>
            <w:tcW w:w="1530" w:type="dxa"/>
            <w:gridSpan w:val="2"/>
            <w:vMerge/>
            <w:tcBorders>
              <w:left w:val="single" w:sz="4" w:space="0" w:color="auto"/>
              <w:right w:val="thinThickThinSmallGap" w:sz="24" w:space="0" w:color="auto"/>
            </w:tcBorders>
            <w:shd w:val="clear" w:color="auto" w:fill="FFFFFF" w:themeFill="background1"/>
            <w:vAlign w:val="center"/>
          </w:tcPr>
          <w:p w:rsidR="00F03843" w:rsidRPr="001A5968" w:rsidRDefault="00F03843" w:rsidP="001A5968">
            <w:pPr>
              <w:spacing w:line="180" w:lineRule="exact"/>
              <w:contextualSpacing/>
              <w:jc w:val="center"/>
              <w:rPr>
                <w:color w:val="auto"/>
                <w:sz w:val="18"/>
                <w:szCs w:val="18"/>
              </w:rPr>
            </w:pPr>
          </w:p>
        </w:tc>
        <w:tc>
          <w:tcPr>
            <w:tcW w:w="2610" w:type="dxa"/>
            <w:tcBorders>
              <w:left w:val="thinThickThinSmallGap" w:sz="24" w:space="0" w:color="auto"/>
              <w:right w:val="single" w:sz="4" w:space="0" w:color="auto"/>
            </w:tcBorders>
            <w:shd w:val="clear" w:color="auto" w:fill="FFFFFF" w:themeFill="background1"/>
            <w:vAlign w:val="center"/>
          </w:tcPr>
          <w:p w:rsidR="00F03843" w:rsidRPr="001A5968" w:rsidRDefault="00F03843" w:rsidP="001A5968">
            <w:pPr>
              <w:autoSpaceDE w:val="0"/>
              <w:autoSpaceDN w:val="0"/>
              <w:adjustRightInd w:val="0"/>
              <w:spacing w:line="180" w:lineRule="exact"/>
              <w:rPr>
                <w:color w:val="auto"/>
                <w:sz w:val="18"/>
                <w:szCs w:val="18"/>
              </w:rPr>
            </w:pPr>
            <w:r w:rsidRPr="001A5968">
              <w:rPr>
                <w:color w:val="auto"/>
                <w:sz w:val="18"/>
                <w:szCs w:val="18"/>
              </w:rPr>
              <w:t>Radiculopathy, LLE a/w DDD w/HNP L5-S1 …</w:t>
            </w:r>
          </w:p>
        </w:tc>
        <w:tc>
          <w:tcPr>
            <w:tcW w:w="1170" w:type="dxa"/>
            <w:tcBorders>
              <w:left w:val="single" w:sz="4" w:space="0" w:color="auto"/>
            </w:tcBorders>
            <w:shd w:val="clear" w:color="auto" w:fill="FFFFFF" w:themeFill="background1"/>
            <w:vAlign w:val="center"/>
          </w:tcPr>
          <w:p w:rsidR="00F03843" w:rsidRPr="001A5968" w:rsidRDefault="00F03843" w:rsidP="001A5968">
            <w:pPr>
              <w:spacing w:line="180" w:lineRule="exact"/>
              <w:contextualSpacing/>
              <w:jc w:val="center"/>
              <w:rPr>
                <w:color w:val="auto"/>
                <w:sz w:val="18"/>
                <w:szCs w:val="18"/>
              </w:rPr>
            </w:pPr>
            <w:r w:rsidRPr="001A5968">
              <w:rPr>
                <w:color w:val="auto"/>
                <w:sz w:val="18"/>
                <w:szCs w:val="18"/>
              </w:rPr>
              <w:t>8620</w:t>
            </w:r>
          </w:p>
        </w:tc>
        <w:tc>
          <w:tcPr>
            <w:tcW w:w="792" w:type="dxa"/>
            <w:shd w:val="clear" w:color="auto" w:fill="FFFFFF" w:themeFill="background1"/>
          </w:tcPr>
          <w:p w:rsidR="00F03843" w:rsidRPr="001A5968" w:rsidRDefault="00F03843" w:rsidP="001A5968">
            <w:pPr>
              <w:spacing w:line="180" w:lineRule="exact"/>
              <w:contextualSpacing/>
              <w:jc w:val="center"/>
              <w:rPr>
                <w:color w:val="auto"/>
                <w:sz w:val="18"/>
                <w:szCs w:val="18"/>
              </w:rPr>
            </w:pPr>
            <w:r w:rsidRPr="001A5968">
              <w:rPr>
                <w:color w:val="auto"/>
                <w:sz w:val="18"/>
                <w:szCs w:val="18"/>
              </w:rPr>
              <w:t>10%</w:t>
            </w:r>
          </w:p>
        </w:tc>
        <w:tc>
          <w:tcPr>
            <w:tcW w:w="1080" w:type="dxa"/>
            <w:shd w:val="clear" w:color="auto" w:fill="FFFFFF" w:themeFill="background1"/>
            <w:vAlign w:val="center"/>
          </w:tcPr>
          <w:p w:rsidR="00F03843" w:rsidRPr="001A5968" w:rsidRDefault="00F03843" w:rsidP="001A5968">
            <w:pPr>
              <w:spacing w:line="180" w:lineRule="exact"/>
              <w:contextualSpacing/>
              <w:rPr>
                <w:color w:val="auto"/>
                <w:sz w:val="18"/>
                <w:szCs w:val="18"/>
              </w:rPr>
            </w:pPr>
            <w:r w:rsidRPr="001A5968">
              <w:rPr>
                <w:color w:val="auto"/>
                <w:sz w:val="18"/>
                <w:szCs w:val="18"/>
              </w:rPr>
              <w:t>20061207</w:t>
            </w:r>
          </w:p>
        </w:tc>
      </w:tr>
      <w:tr w:rsidR="00B27D7A" w:rsidRPr="00406206" w:rsidTr="00F03843">
        <w:trPr>
          <w:trHeight w:val="287"/>
        </w:trPr>
        <w:tc>
          <w:tcPr>
            <w:tcW w:w="3798" w:type="dxa"/>
            <w:gridSpan w:val="4"/>
            <w:vMerge w:val="restart"/>
            <w:tcBorders>
              <w:right w:val="thinThickThinSmallGap" w:sz="24" w:space="0" w:color="auto"/>
            </w:tcBorders>
            <w:shd w:val="clear" w:color="auto" w:fill="FFFFFF" w:themeFill="background1"/>
            <w:vAlign w:val="center"/>
          </w:tcPr>
          <w:p w:rsidR="00B27D7A" w:rsidRPr="001A5968" w:rsidRDefault="00F03843" w:rsidP="001A5968">
            <w:pPr>
              <w:autoSpaceDE w:val="0"/>
              <w:autoSpaceDN w:val="0"/>
              <w:adjustRightInd w:val="0"/>
              <w:spacing w:line="180" w:lineRule="exact"/>
              <w:jc w:val="center"/>
              <w:rPr>
                <w:color w:val="auto"/>
                <w:sz w:val="18"/>
                <w:szCs w:val="18"/>
              </w:rPr>
            </w:pPr>
            <w:r w:rsidRPr="001A5968">
              <w:rPr>
                <w:color w:val="auto"/>
                <w:sz w:val="18"/>
                <w:szCs w:val="18"/>
              </w:rPr>
              <w:t>↓No Additional MEB/PEB Entries↓</w:t>
            </w:r>
          </w:p>
        </w:tc>
        <w:tc>
          <w:tcPr>
            <w:tcW w:w="2610" w:type="dxa"/>
            <w:tcBorders>
              <w:left w:val="thinThickThinSmallGap" w:sz="24" w:space="0" w:color="auto"/>
              <w:right w:val="single" w:sz="4" w:space="0" w:color="auto"/>
            </w:tcBorders>
            <w:shd w:val="clear" w:color="auto" w:fill="FFFFFF" w:themeFill="background1"/>
            <w:vAlign w:val="center"/>
          </w:tcPr>
          <w:p w:rsidR="00B27D7A" w:rsidRPr="001A5968" w:rsidRDefault="00B27D7A" w:rsidP="001A5968">
            <w:pPr>
              <w:autoSpaceDE w:val="0"/>
              <w:autoSpaceDN w:val="0"/>
              <w:adjustRightInd w:val="0"/>
              <w:spacing w:line="180" w:lineRule="exact"/>
              <w:rPr>
                <w:color w:val="auto"/>
                <w:sz w:val="18"/>
                <w:szCs w:val="18"/>
              </w:rPr>
            </w:pPr>
            <w:r w:rsidRPr="001A5968">
              <w:rPr>
                <w:color w:val="auto"/>
                <w:sz w:val="18"/>
                <w:szCs w:val="18"/>
              </w:rPr>
              <w:t>Tinnitus</w:t>
            </w:r>
          </w:p>
        </w:tc>
        <w:tc>
          <w:tcPr>
            <w:tcW w:w="1170" w:type="dxa"/>
            <w:tcBorders>
              <w:left w:val="single" w:sz="4" w:space="0" w:color="auto"/>
            </w:tcBorders>
            <w:shd w:val="clear" w:color="auto" w:fill="FFFFFF" w:themeFill="background1"/>
            <w:vAlign w:val="center"/>
          </w:tcPr>
          <w:p w:rsidR="00B27D7A" w:rsidRPr="001A5968" w:rsidRDefault="00B27D7A" w:rsidP="001A5968">
            <w:pPr>
              <w:spacing w:line="180" w:lineRule="exact"/>
              <w:contextualSpacing/>
              <w:jc w:val="center"/>
              <w:rPr>
                <w:color w:val="auto"/>
                <w:sz w:val="18"/>
                <w:szCs w:val="18"/>
              </w:rPr>
            </w:pPr>
            <w:r w:rsidRPr="001A5968">
              <w:rPr>
                <w:color w:val="auto"/>
                <w:sz w:val="18"/>
                <w:szCs w:val="18"/>
              </w:rPr>
              <w:t>6260</w:t>
            </w:r>
          </w:p>
        </w:tc>
        <w:tc>
          <w:tcPr>
            <w:tcW w:w="792" w:type="dxa"/>
            <w:shd w:val="clear" w:color="auto" w:fill="FFFFFF" w:themeFill="background1"/>
          </w:tcPr>
          <w:p w:rsidR="00B27D7A" w:rsidRPr="001A5968" w:rsidRDefault="00B27D7A" w:rsidP="001A5968">
            <w:pPr>
              <w:spacing w:line="180" w:lineRule="exact"/>
              <w:contextualSpacing/>
              <w:jc w:val="center"/>
              <w:rPr>
                <w:color w:val="auto"/>
                <w:sz w:val="18"/>
                <w:szCs w:val="18"/>
              </w:rPr>
            </w:pPr>
            <w:r w:rsidRPr="001A5968">
              <w:rPr>
                <w:color w:val="auto"/>
                <w:sz w:val="18"/>
                <w:szCs w:val="18"/>
              </w:rPr>
              <w:t>10%</w:t>
            </w:r>
          </w:p>
        </w:tc>
        <w:tc>
          <w:tcPr>
            <w:tcW w:w="1080" w:type="dxa"/>
            <w:shd w:val="clear" w:color="auto" w:fill="FFFFFF" w:themeFill="background1"/>
            <w:vAlign w:val="center"/>
          </w:tcPr>
          <w:p w:rsidR="00B27D7A" w:rsidRPr="001A5968" w:rsidRDefault="00B27D7A" w:rsidP="001A5968">
            <w:pPr>
              <w:spacing w:line="180" w:lineRule="exact"/>
              <w:contextualSpacing/>
              <w:rPr>
                <w:color w:val="auto"/>
                <w:sz w:val="18"/>
                <w:szCs w:val="18"/>
              </w:rPr>
            </w:pPr>
            <w:r w:rsidRPr="001A5968">
              <w:rPr>
                <w:color w:val="auto"/>
                <w:sz w:val="18"/>
                <w:szCs w:val="18"/>
              </w:rPr>
              <w:t>20061206</w:t>
            </w:r>
          </w:p>
        </w:tc>
      </w:tr>
      <w:tr w:rsidR="00F03843" w:rsidRPr="00406206" w:rsidTr="00F03843">
        <w:trPr>
          <w:trHeight w:val="287"/>
        </w:trPr>
        <w:tc>
          <w:tcPr>
            <w:tcW w:w="3798" w:type="dxa"/>
            <w:gridSpan w:val="4"/>
            <w:vMerge/>
            <w:tcBorders>
              <w:right w:val="thinThickThinSmallGap" w:sz="24" w:space="0" w:color="auto"/>
            </w:tcBorders>
            <w:shd w:val="clear" w:color="auto" w:fill="FFFFFF" w:themeFill="background1"/>
            <w:vAlign w:val="center"/>
          </w:tcPr>
          <w:p w:rsidR="00F03843" w:rsidRPr="001A5968" w:rsidRDefault="00F03843" w:rsidP="001A5968">
            <w:pPr>
              <w:spacing w:line="180" w:lineRule="exact"/>
              <w:contextualSpacing/>
              <w:rPr>
                <w:color w:val="auto"/>
                <w:sz w:val="18"/>
                <w:szCs w:val="18"/>
              </w:rPr>
            </w:pPr>
          </w:p>
        </w:tc>
        <w:tc>
          <w:tcPr>
            <w:tcW w:w="4572" w:type="dxa"/>
            <w:gridSpan w:val="3"/>
            <w:tcBorders>
              <w:left w:val="thinThickThinSmallGap" w:sz="24" w:space="0" w:color="auto"/>
            </w:tcBorders>
            <w:shd w:val="clear" w:color="auto" w:fill="FFFFFF" w:themeFill="background1"/>
            <w:vAlign w:val="center"/>
          </w:tcPr>
          <w:p w:rsidR="00F03843" w:rsidRPr="001A5968" w:rsidRDefault="00F03843" w:rsidP="001A5968">
            <w:pPr>
              <w:spacing w:line="180" w:lineRule="exact"/>
              <w:contextualSpacing/>
              <w:jc w:val="center"/>
              <w:rPr>
                <w:color w:val="auto"/>
                <w:sz w:val="18"/>
                <w:szCs w:val="18"/>
              </w:rPr>
            </w:pPr>
            <w:r w:rsidRPr="001A5968">
              <w:rPr>
                <w:rFonts w:cs="Times New Roman"/>
                <w:color w:val="auto"/>
                <w:sz w:val="18"/>
                <w:szCs w:val="18"/>
              </w:rPr>
              <w:t>0% x 5 / Not Service Connected x 3</w:t>
            </w:r>
          </w:p>
        </w:tc>
        <w:tc>
          <w:tcPr>
            <w:tcW w:w="1080" w:type="dxa"/>
            <w:shd w:val="clear" w:color="auto" w:fill="FFFFFF" w:themeFill="background1"/>
            <w:vAlign w:val="center"/>
          </w:tcPr>
          <w:p w:rsidR="00F03843" w:rsidRPr="001A5968" w:rsidRDefault="00F03843" w:rsidP="001A5968">
            <w:pPr>
              <w:spacing w:line="180" w:lineRule="exact"/>
              <w:contextualSpacing/>
              <w:rPr>
                <w:color w:val="auto"/>
                <w:sz w:val="18"/>
                <w:szCs w:val="18"/>
              </w:rPr>
            </w:pPr>
            <w:r w:rsidRPr="001A5968">
              <w:rPr>
                <w:color w:val="auto"/>
                <w:sz w:val="18"/>
                <w:szCs w:val="18"/>
              </w:rPr>
              <w:t>20061207</w:t>
            </w:r>
          </w:p>
        </w:tc>
      </w:tr>
      <w:tr w:rsidR="00F03843" w:rsidRPr="00406206" w:rsidTr="00F03843">
        <w:trPr>
          <w:trHeight w:val="242"/>
        </w:trPr>
        <w:tc>
          <w:tcPr>
            <w:tcW w:w="3798" w:type="dxa"/>
            <w:gridSpan w:val="4"/>
            <w:tcBorders>
              <w:right w:val="thinThickThinSmallGap" w:sz="24" w:space="0" w:color="auto"/>
            </w:tcBorders>
            <w:shd w:val="clear" w:color="auto" w:fill="D9D9D9" w:themeFill="background1" w:themeFillShade="D9"/>
            <w:vAlign w:val="center"/>
          </w:tcPr>
          <w:p w:rsidR="00F03843" w:rsidRPr="00406206" w:rsidRDefault="001A5968" w:rsidP="00F03843">
            <w:pPr>
              <w:spacing w:line="240" w:lineRule="exact"/>
              <w:contextualSpacing/>
              <w:jc w:val="center"/>
              <w:rPr>
                <w:b/>
                <w:color w:val="auto"/>
                <w:sz w:val="20"/>
                <w:szCs w:val="20"/>
              </w:rPr>
            </w:pPr>
            <w:r>
              <w:rPr>
                <w:b/>
                <w:color w:val="auto"/>
                <w:sz w:val="20"/>
                <w:szCs w:val="20"/>
              </w:rPr>
              <w:t>Combined</w:t>
            </w:r>
            <w:r w:rsidR="00F03843" w:rsidRPr="00406206">
              <w:rPr>
                <w:b/>
                <w:color w:val="auto"/>
                <w:sz w:val="20"/>
                <w:szCs w:val="20"/>
              </w:rPr>
              <w:t>:  10%</w:t>
            </w:r>
          </w:p>
        </w:tc>
        <w:tc>
          <w:tcPr>
            <w:tcW w:w="5652" w:type="dxa"/>
            <w:gridSpan w:val="4"/>
            <w:tcBorders>
              <w:left w:val="thinThickThinSmallGap" w:sz="24" w:space="0" w:color="auto"/>
            </w:tcBorders>
            <w:shd w:val="clear" w:color="auto" w:fill="D9D9D9" w:themeFill="background1" w:themeFillShade="D9"/>
            <w:vAlign w:val="center"/>
          </w:tcPr>
          <w:p w:rsidR="00F03843" w:rsidRPr="00406206" w:rsidRDefault="001A5968" w:rsidP="00F03843">
            <w:pPr>
              <w:spacing w:line="240" w:lineRule="exact"/>
              <w:contextualSpacing/>
              <w:jc w:val="center"/>
              <w:rPr>
                <w:b/>
                <w:color w:val="auto"/>
                <w:sz w:val="20"/>
                <w:szCs w:val="20"/>
              </w:rPr>
            </w:pPr>
            <w:r>
              <w:rPr>
                <w:b/>
                <w:color w:val="auto"/>
                <w:sz w:val="20"/>
                <w:szCs w:val="20"/>
              </w:rPr>
              <w:t>Combined</w:t>
            </w:r>
            <w:r w:rsidR="00F03843" w:rsidRPr="00406206">
              <w:rPr>
                <w:b/>
                <w:color w:val="auto"/>
                <w:sz w:val="20"/>
                <w:szCs w:val="20"/>
              </w:rPr>
              <w:t>:  60%</w:t>
            </w:r>
          </w:p>
        </w:tc>
      </w:tr>
    </w:tbl>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CD1EF2" w:rsidRPr="00406206" w:rsidRDefault="00E46FCF" w:rsidP="004963FC">
      <w:pPr>
        <w:spacing w:line="240" w:lineRule="exact"/>
        <w:jc w:val="both"/>
        <w:rPr>
          <w:rFonts w:ascii="Calibri" w:hAnsi="Calibri"/>
          <w:color w:val="auto"/>
          <w:u w:val="single"/>
        </w:rPr>
      </w:pPr>
      <w:r w:rsidRPr="00406206">
        <w:rPr>
          <w:rFonts w:ascii="Calibri" w:hAnsi="Calibri"/>
          <w:color w:val="auto"/>
          <w:u w:val="single"/>
        </w:rPr>
        <w:t>ANALYSIS SUMMARY</w:t>
      </w:r>
      <w:r w:rsidRPr="00406206">
        <w:rPr>
          <w:rFonts w:ascii="Calibri" w:hAnsi="Calibri"/>
          <w:color w:val="auto"/>
        </w:rPr>
        <w:t>:</w:t>
      </w:r>
      <w:r w:rsidR="00CD4B7F" w:rsidRPr="00406206">
        <w:rPr>
          <w:rFonts w:ascii="Calibri" w:hAnsi="Calibri"/>
          <w:color w:val="auto"/>
        </w:rPr>
        <w:t xml:space="preserve">  </w:t>
      </w:r>
    </w:p>
    <w:p w:rsidR="00CD1EF2" w:rsidRPr="00406206" w:rsidRDefault="00CD1EF2" w:rsidP="004963FC">
      <w:pPr>
        <w:spacing w:line="240" w:lineRule="exact"/>
        <w:jc w:val="both"/>
        <w:rPr>
          <w:rFonts w:ascii="Calibri" w:hAnsi="Calibri"/>
          <w:color w:val="auto"/>
          <w:u w:val="single"/>
        </w:rPr>
      </w:pPr>
    </w:p>
    <w:p w:rsidR="00EB09C0" w:rsidRDefault="00921756" w:rsidP="004963FC">
      <w:pPr>
        <w:spacing w:line="240" w:lineRule="exact"/>
        <w:jc w:val="both"/>
        <w:rPr>
          <w:rFonts w:asciiTheme="minorHAnsi" w:hAnsiTheme="minorHAnsi"/>
          <w:color w:val="auto"/>
          <w:szCs w:val="24"/>
        </w:rPr>
      </w:pPr>
      <w:proofErr w:type="gramStart"/>
      <w:r w:rsidRPr="00406206">
        <w:rPr>
          <w:rFonts w:asciiTheme="minorHAnsi" w:hAnsiTheme="minorHAnsi"/>
          <w:color w:val="auto"/>
          <w:szCs w:val="24"/>
          <w:u w:val="single"/>
        </w:rPr>
        <w:t>Lumbar DDD</w:t>
      </w:r>
      <w:r w:rsidR="00394563" w:rsidRPr="00406206">
        <w:rPr>
          <w:rFonts w:asciiTheme="minorHAnsi" w:hAnsiTheme="minorHAnsi"/>
          <w:color w:val="auto"/>
          <w:szCs w:val="24"/>
          <w:u w:val="single"/>
        </w:rPr>
        <w:t xml:space="preserve"> with HNP</w:t>
      </w:r>
      <w:r w:rsidR="00057694">
        <w:rPr>
          <w:rFonts w:asciiTheme="minorHAnsi" w:hAnsiTheme="minorHAnsi"/>
          <w:color w:val="auto"/>
          <w:szCs w:val="24"/>
          <w:u w:val="single"/>
        </w:rPr>
        <w:t xml:space="preserve"> Condition</w:t>
      </w:r>
      <w:r w:rsidR="00057694" w:rsidRPr="00057694">
        <w:rPr>
          <w:rFonts w:asciiTheme="minorHAnsi" w:hAnsiTheme="minorHAnsi"/>
          <w:color w:val="auto"/>
          <w:szCs w:val="24"/>
        </w:rPr>
        <w:t>.</w:t>
      </w:r>
      <w:proofErr w:type="gramEnd"/>
      <w:r w:rsidR="004E463E" w:rsidRPr="00406206">
        <w:rPr>
          <w:rFonts w:asciiTheme="minorHAnsi" w:hAnsiTheme="minorHAnsi"/>
          <w:color w:val="auto"/>
          <w:szCs w:val="24"/>
        </w:rPr>
        <w:t xml:space="preserve">  The CI had </w:t>
      </w:r>
      <w:r w:rsidR="001A5968">
        <w:rPr>
          <w:rFonts w:asciiTheme="minorHAnsi" w:hAnsiTheme="minorHAnsi"/>
          <w:color w:val="auto"/>
          <w:szCs w:val="24"/>
        </w:rPr>
        <w:t>two</w:t>
      </w:r>
      <w:r w:rsidR="00491842" w:rsidRPr="00406206">
        <w:rPr>
          <w:rFonts w:asciiTheme="minorHAnsi" w:hAnsiTheme="minorHAnsi"/>
          <w:color w:val="auto"/>
          <w:szCs w:val="24"/>
        </w:rPr>
        <w:t xml:space="preserve"> goniometric </w:t>
      </w:r>
      <w:proofErr w:type="gramStart"/>
      <w:r w:rsidR="00491842" w:rsidRPr="00406206">
        <w:rPr>
          <w:rFonts w:asciiTheme="minorHAnsi" w:hAnsiTheme="minorHAnsi"/>
          <w:color w:val="auto"/>
          <w:szCs w:val="24"/>
        </w:rPr>
        <w:t>range</w:t>
      </w:r>
      <w:proofErr w:type="gramEnd"/>
      <w:r w:rsidR="00EB09C0">
        <w:rPr>
          <w:rFonts w:asciiTheme="minorHAnsi" w:hAnsiTheme="minorHAnsi"/>
          <w:color w:val="auto"/>
          <w:szCs w:val="24"/>
        </w:rPr>
        <w:t xml:space="preserve"> </w:t>
      </w:r>
      <w:r w:rsidR="00491842" w:rsidRPr="00406206">
        <w:rPr>
          <w:rFonts w:asciiTheme="minorHAnsi" w:hAnsiTheme="minorHAnsi"/>
          <w:color w:val="auto"/>
          <w:szCs w:val="24"/>
        </w:rPr>
        <w:t>of</w:t>
      </w:r>
      <w:r w:rsidR="00EB09C0">
        <w:rPr>
          <w:rFonts w:asciiTheme="minorHAnsi" w:hAnsiTheme="minorHAnsi"/>
          <w:color w:val="auto"/>
          <w:szCs w:val="24"/>
        </w:rPr>
        <w:t xml:space="preserve"> </w:t>
      </w:r>
      <w:r w:rsidR="00491842" w:rsidRPr="00406206">
        <w:rPr>
          <w:rFonts w:asciiTheme="minorHAnsi" w:hAnsiTheme="minorHAnsi"/>
          <w:color w:val="auto"/>
          <w:szCs w:val="24"/>
        </w:rPr>
        <w:t xml:space="preserve">motion (ROM) evaluations in evidence which the Board weighed in arriving at its rating recommendation.  </w:t>
      </w:r>
      <w:r w:rsidR="001A5968">
        <w:rPr>
          <w:rFonts w:asciiTheme="minorHAnsi" w:hAnsiTheme="minorHAnsi"/>
          <w:color w:val="auto"/>
          <w:szCs w:val="24"/>
        </w:rPr>
        <w:t>Both</w:t>
      </w:r>
      <w:r w:rsidR="001A5968" w:rsidRPr="001A5968">
        <w:rPr>
          <w:rFonts w:asciiTheme="minorHAnsi" w:hAnsiTheme="minorHAnsi"/>
          <w:color w:val="auto"/>
          <w:szCs w:val="24"/>
        </w:rPr>
        <w:t xml:space="preserve"> exams are summarized in the chart</w:t>
      </w:r>
      <w:r w:rsidR="00EB09C0">
        <w:rPr>
          <w:rFonts w:asciiTheme="minorHAnsi" w:hAnsiTheme="minorHAnsi"/>
          <w:color w:val="auto"/>
          <w:szCs w:val="24"/>
        </w:rPr>
        <w:t xml:space="preserve"> on the next page. </w:t>
      </w:r>
    </w:p>
    <w:p w:rsidR="00EB09C0" w:rsidRDefault="00EB09C0" w:rsidP="004963FC">
      <w:pPr>
        <w:spacing w:line="240" w:lineRule="exact"/>
        <w:jc w:val="both"/>
        <w:rPr>
          <w:rFonts w:asciiTheme="minorHAnsi" w:hAnsiTheme="minorHAnsi"/>
          <w:color w:val="auto"/>
          <w:szCs w:val="24"/>
        </w:rPr>
      </w:pPr>
    </w:p>
    <w:p w:rsidR="00EB09C0" w:rsidRDefault="00EB09C0" w:rsidP="004963FC">
      <w:pPr>
        <w:spacing w:line="240" w:lineRule="exact"/>
        <w:jc w:val="both"/>
        <w:rPr>
          <w:rFonts w:asciiTheme="minorHAnsi" w:hAnsiTheme="minorHAnsi"/>
          <w:color w:val="auto"/>
          <w:szCs w:val="24"/>
        </w:rPr>
      </w:pPr>
    </w:p>
    <w:p w:rsidR="00EB09C0" w:rsidRPr="00406206" w:rsidRDefault="00EB09C0" w:rsidP="004963FC">
      <w:pPr>
        <w:spacing w:line="240" w:lineRule="exact"/>
        <w:jc w:val="both"/>
        <w:rPr>
          <w:rFonts w:asciiTheme="minorHAnsi" w:hAnsiTheme="minorHAnsi"/>
          <w:color w:val="auto"/>
          <w:szCs w:val="24"/>
        </w:rPr>
      </w:pPr>
    </w:p>
    <w:p w:rsidR="00406206" w:rsidRDefault="00406206" w:rsidP="00484ABC">
      <w:pPr>
        <w:spacing w:line="240" w:lineRule="exact"/>
        <w:rPr>
          <w:rFonts w:asciiTheme="minorHAnsi" w:hAnsiTheme="minorHAnsi"/>
          <w:color w:val="auto"/>
          <w:szCs w:val="24"/>
        </w:rPr>
      </w:pPr>
    </w:p>
    <w:tbl>
      <w:tblPr>
        <w:tblW w:w="0" w:type="auto"/>
        <w:jc w:val="center"/>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911"/>
        <w:gridCol w:w="2121"/>
      </w:tblGrid>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5968" w:rsidRPr="001A5968" w:rsidRDefault="001A5968" w:rsidP="001A5968">
            <w:pPr>
              <w:spacing w:line="200" w:lineRule="exact"/>
              <w:jc w:val="center"/>
              <w:rPr>
                <w:rFonts w:asciiTheme="minorHAnsi" w:eastAsia="Calibri" w:hAnsiTheme="minorHAnsi"/>
                <w:b/>
                <w:color w:val="auto"/>
                <w:sz w:val="20"/>
              </w:rPr>
            </w:pPr>
            <w:r w:rsidRPr="001A5968">
              <w:rPr>
                <w:rFonts w:asciiTheme="minorHAnsi" w:eastAsia="Calibri" w:hAnsiTheme="minorHAnsi" w:cstheme="minorBidi"/>
                <w:color w:val="auto"/>
                <w:sz w:val="20"/>
              </w:rPr>
              <w:lastRenderedPageBreak/>
              <w:t>Goniometric ROM - Thoracolumbar</w:t>
            </w:r>
          </w:p>
        </w:tc>
        <w:tc>
          <w:tcPr>
            <w:tcW w:w="191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5968" w:rsidRPr="001A5968" w:rsidRDefault="001A5968" w:rsidP="001A5968">
            <w:pPr>
              <w:spacing w:line="200" w:lineRule="exact"/>
              <w:jc w:val="center"/>
              <w:rPr>
                <w:rFonts w:asciiTheme="minorHAnsi" w:eastAsia="Calibri" w:hAnsiTheme="minorHAnsi"/>
                <w:color w:val="auto"/>
                <w:sz w:val="20"/>
              </w:rPr>
            </w:pPr>
            <w:r w:rsidRPr="001A5968">
              <w:rPr>
                <w:rFonts w:asciiTheme="minorHAnsi" w:eastAsia="Calibri" w:hAnsiTheme="minorHAnsi"/>
                <w:color w:val="auto"/>
                <w:sz w:val="20"/>
              </w:rPr>
              <w:t>NARSUM w/ PT</w:t>
            </w:r>
          </w:p>
          <w:p w:rsidR="001A5968" w:rsidRPr="001A5968" w:rsidRDefault="001A5968" w:rsidP="001A5968">
            <w:pPr>
              <w:spacing w:line="200" w:lineRule="exact"/>
              <w:jc w:val="center"/>
              <w:rPr>
                <w:rFonts w:asciiTheme="minorHAnsi" w:eastAsia="Calibri" w:hAnsiTheme="minorHAnsi"/>
                <w:color w:val="auto"/>
                <w:sz w:val="20"/>
              </w:rPr>
            </w:pPr>
            <w:r w:rsidRPr="001A5968">
              <w:rPr>
                <w:rFonts w:asciiTheme="minorHAnsi" w:eastAsia="Calibri" w:hAnsiTheme="minorHAnsi"/>
                <w:color w:val="auto"/>
                <w:sz w:val="20"/>
              </w:rPr>
              <w:t>~ 5 Mo. Pre-Sep</w:t>
            </w:r>
          </w:p>
        </w:tc>
        <w:tc>
          <w:tcPr>
            <w:tcW w:w="21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5968" w:rsidRPr="001A5968" w:rsidRDefault="001A5968" w:rsidP="001A5968">
            <w:pPr>
              <w:spacing w:line="200" w:lineRule="exact"/>
              <w:jc w:val="center"/>
              <w:rPr>
                <w:rFonts w:asciiTheme="minorHAnsi" w:eastAsiaTheme="minorHAnsi" w:hAnsiTheme="minorHAnsi" w:cstheme="minorBidi"/>
                <w:color w:val="auto"/>
                <w:sz w:val="20"/>
              </w:rPr>
            </w:pPr>
            <w:r w:rsidRPr="001A5968">
              <w:rPr>
                <w:rFonts w:asciiTheme="minorHAnsi" w:eastAsia="Calibri" w:hAnsiTheme="minorHAnsi"/>
                <w:color w:val="auto"/>
                <w:sz w:val="20"/>
              </w:rPr>
              <w:t>VA</w:t>
            </w:r>
            <w:r w:rsidRPr="001A5968">
              <w:rPr>
                <w:rFonts w:asciiTheme="minorHAnsi" w:eastAsiaTheme="minorHAnsi" w:hAnsiTheme="minorHAnsi" w:cstheme="minorBidi"/>
                <w:color w:val="auto"/>
                <w:sz w:val="20"/>
              </w:rPr>
              <w:t xml:space="preserve"> C&amp;P</w:t>
            </w:r>
          </w:p>
          <w:p w:rsidR="001A5968" w:rsidRPr="001A5968" w:rsidRDefault="001A5968" w:rsidP="001A5968">
            <w:pPr>
              <w:spacing w:line="200" w:lineRule="exact"/>
              <w:jc w:val="center"/>
              <w:rPr>
                <w:rFonts w:asciiTheme="minorHAnsi" w:eastAsiaTheme="minorHAnsi" w:hAnsiTheme="minorHAnsi" w:cstheme="minorBidi"/>
                <w:color w:val="auto"/>
                <w:sz w:val="20"/>
              </w:rPr>
            </w:pPr>
            <w:r w:rsidRPr="001A5968">
              <w:rPr>
                <w:rFonts w:asciiTheme="minorHAnsi" w:eastAsia="Calibri" w:hAnsiTheme="minorHAnsi"/>
                <w:color w:val="auto"/>
                <w:sz w:val="20"/>
              </w:rPr>
              <w:t>~ 8 Mo. After-Sep</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Flex (0-90)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80⁰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80⁰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Ext (0-30)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20⁰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20⁰</w:t>
            </w:r>
          </w:p>
        </w:tc>
      </w:tr>
      <w:tr w:rsidR="001A5968" w:rsidRPr="001A5968" w:rsidTr="00EB09C0">
        <w:trPr>
          <w:trHeight w:val="188"/>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R Lat Flex (0-30)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25⁰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L Lat Flex 0-30)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R Rotation (0-30)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L Rotation (0-30)</w:t>
            </w:r>
          </w:p>
        </w:tc>
        <w:tc>
          <w:tcPr>
            <w:tcW w:w="1911" w:type="dxa"/>
            <w:tcBorders>
              <w:top w:val="single" w:sz="4" w:space="0" w:color="000000"/>
              <w:left w:val="single" w:sz="4" w:space="0" w:color="000000"/>
              <w:bottom w:val="single" w:sz="4" w:space="0" w:color="000000"/>
              <w:right w:val="single" w:sz="4" w:space="0" w:color="000000"/>
            </w:tcBorders>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30⁰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20⁰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COMBINED (240)</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eastAsia="Calibri" w:hAnsiTheme="minorHAnsi"/>
                <w:color w:val="auto"/>
                <w:sz w:val="18"/>
                <w:szCs w:val="18"/>
              </w:rPr>
            </w:pPr>
            <w:r w:rsidRPr="001A5968">
              <w:rPr>
                <w:rFonts w:asciiTheme="minorHAnsi" w:eastAsia="Calibri" w:hAnsiTheme="minorHAnsi"/>
                <w:color w:val="auto"/>
                <w:sz w:val="18"/>
                <w:szCs w:val="18"/>
              </w:rPr>
              <w:t>215⁰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jc w:val="center"/>
              <w:rPr>
                <w:rFonts w:asciiTheme="minorHAnsi" w:hAnsiTheme="minorHAnsi"/>
                <w:color w:val="auto"/>
                <w:sz w:val="18"/>
                <w:szCs w:val="18"/>
              </w:rPr>
            </w:pPr>
            <w:r w:rsidRPr="001A5968">
              <w:rPr>
                <w:rFonts w:asciiTheme="minorHAnsi" w:eastAsia="Calibri" w:hAnsiTheme="minorHAnsi"/>
                <w:color w:val="auto"/>
                <w:sz w:val="18"/>
                <w:szCs w:val="18"/>
              </w:rPr>
              <w:t>210⁰</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Comment</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tabs>
                <w:tab w:val="left" w:pos="288"/>
                <w:tab w:val="left" w:pos="4752"/>
              </w:tabs>
              <w:spacing w:line="180" w:lineRule="exact"/>
              <w:rPr>
                <w:rFonts w:asciiTheme="minorHAnsi" w:eastAsiaTheme="minorHAnsi" w:hAnsiTheme="minorHAnsi"/>
                <w:color w:val="auto"/>
                <w:sz w:val="18"/>
                <w:szCs w:val="18"/>
              </w:rPr>
            </w:pPr>
            <w:r w:rsidRPr="001A5968">
              <w:rPr>
                <w:rFonts w:asciiTheme="minorHAnsi" w:eastAsiaTheme="minorHAnsi" w:hAnsiTheme="minorHAnsi"/>
                <w:color w:val="auto"/>
                <w:sz w:val="18"/>
                <w:szCs w:val="18"/>
              </w:rPr>
              <w:t xml:space="preserve">Mild TTP lower lumbar; -SLR; sensory/reflexes </w:t>
            </w:r>
            <w:proofErr w:type="spellStart"/>
            <w:r w:rsidRPr="001A5968">
              <w:rPr>
                <w:rFonts w:asciiTheme="minorHAnsi" w:eastAsiaTheme="minorHAnsi" w:hAnsiTheme="minorHAnsi"/>
                <w:color w:val="auto"/>
                <w:sz w:val="18"/>
                <w:szCs w:val="18"/>
              </w:rPr>
              <w:t>wnl</w:t>
            </w:r>
            <w:proofErr w:type="spellEnd"/>
            <w:r w:rsidRPr="001A5968">
              <w:rPr>
                <w:rFonts w:asciiTheme="minorHAnsi" w:eastAsiaTheme="minorHAnsi" w:hAnsiTheme="minorHAnsi"/>
                <w:color w:val="auto"/>
                <w:sz w:val="18"/>
                <w:szCs w:val="18"/>
              </w:rPr>
              <w:t>; LLE motor 4+/5+</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spacing w:line="180" w:lineRule="exact"/>
              <w:rPr>
                <w:rFonts w:asciiTheme="minorHAnsi" w:eastAsiaTheme="minorHAnsi" w:hAnsiTheme="minorHAnsi"/>
                <w:color w:val="auto"/>
                <w:sz w:val="18"/>
                <w:szCs w:val="18"/>
              </w:rPr>
            </w:pPr>
            <w:r w:rsidRPr="001A5968">
              <w:rPr>
                <w:rFonts w:asciiTheme="minorHAnsi" w:eastAsia="Calibri" w:hAnsiTheme="minorHAnsi"/>
                <w:color w:val="auto"/>
                <w:sz w:val="18"/>
                <w:szCs w:val="18"/>
              </w:rPr>
              <w:t xml:space="preserve">Gait </w:t>
            </w:r>
            <w:proofErr w:type="spellStart"/>
            <w:r w:rsidRPr="001A5968">
              <w:rPr>
                <w:rFonts w:asciiTheme="minorHAnsi" w:eastAsia="Calibri" w:hAnsiTheme="minorHAnsi"/>
                <w:color w:val="auto"/>
                <w:sz w:val="18"/>
                <w:szCs w:val="18"/>
              </w:rPr>
              <w:t>wnl</w:t>
            </w:r>
            <w:proofErr w:type="spellEnd"/>
            <w:r w:rsidRPr="001A5968">
              <w:rPr>
                <w:rFonts w:asciiTheme="minorHAnsi" w:eastAsia="Calibri" w:hAnsiTheme="minorHAnsi"/>
                <w:color w:val="auto"/>
                <w:sz w:val="18"/>
                <w:szCs w:val="18"/>
              </w:rPr>
              <w:t>; TTP; +L SLR; L5 &amp; S1 sensory deficit of dorsal and lateral foot</w:t>
            </w:r>
          </w:p>
        </w:tc>
      </w:tr>
      <w:tr w:rsidR="001A5968" w:rsidRPr="001A5968" w:rsidTr="00EB09C0">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EB09C0">
            <w:pPr>
              <w:spacing w:line="180" w:lineRule="exact"/>
              <w:rPr>
                <w:rFonts w:asciiTheme="minorHAnsi" w:eastAsia="Calibri" w:hAnsiTheme="minorHAnsi"/>
                <w:color w:val="auto"/>
                <w:sz w:val="18"/>
                <w:szCs w:val="18"/>
              </w:rPr>
            </w:pPr>
            <w:r w:rsidRPr="001A5968">
              <w:rPr>
                <w:rFonts w:asciiTheme="minorHAnsi" w:eastAsia="Calibri" w:hAnsiTheme="minorHAnsi"/>
                <w:color w:val="auto"/>
                <w:sz w:val="18"/>
                <w:szCs w:val="18"/>
              </w:rPr>
              <w:t>§4.71a Rating</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tabs>
                <w:tab w:val="left" w:pos="288"/>
                <w:tab w:val="left" w:pos="4752"/>
              </w:tabs>
              <w:spacing w:line="180" w:lineRule="exact"/>
              <w:jc w:val="center"/>
              <w:rPr>
                <w:rFonts w:asciiTheme="minorHAnsi" w:eastAsiaTheme="minorHAnsi" w:hAnsiTheme="minorHAnsi"/>
                <w:color w:val="auto"/>
                <w:sz w:val="18"/>
                <w:szCs w:val="18"/>
              </w:rPr>
            </w:pPr>
            <w:r w:rsidRPr="001A5968">
              <w:rPr>
                <w:rFonts w:asciiTheme="minorHAnsi" w:eastAsiaTheme="minorHAnsi" w:hAnsiTheme="minorHAnsi"/>
                <w:color w:val="auto"/>
                <w:sz w:val="18"/>
                <w:szCs w:val="18"/>
              </w:rPr>
              <w:t>10%</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1A5968" w:rsidRPr="001A5968" w:rsidRDefault="001A5968" w:rsidP="001A5968">
            <w:pPr>
              <w:tabs>
                <w:tab w:val="left" w:pos="288"/>
                <w:tab w:val="left" w:pos="4752"/>
              </w:tabs>
              <w:spacing w:line="180" w:lineRule="exact"/>
              <w:jc w:val="center"/>
              <w:rPr>
                <w:rFonts w:asciiTheme="minorHAnsi" w:eastAsiaTheme="minorHAnsi" w:hAnsiTheme="minorHAnsi"/>
                <w:color w:val="auto"/>
                <w:sz w:val="18"/>
                <w:szCs w:val="18"/>
              </w:rPr>
            </w:pPr>
            <w:r w:rsidRPr="001A5968">
              <w:rPr>
                <w:rFonts w:asciiTheme="minorHAnsi" w:eastAsiaTheme="minorHAnsi" w:hAnsiTheme="minorHAnsi"/>
                <w:color w:val="auto"/>
                <w:sz w:val="18"/>
                <w:szCs w:val="18"/>
              </w:rPr>
              <w:t>10%</w:t>
            </w:r>
          </w:p>
        </w:tc>
      </w:tr>
    </w:tbl>
    <w:p w:rsidR="001A5968" w:rsidRDefault="001A5968" w:rsidP="00484ABC">
      <w:pPr>
        <w:spacing w:line="240" w:lineRule="exact"/>
        <w:rPr>
          <w:rFonts w:asciiTheme="minorHAnsi" w:hAnsiTheme="minorHAnsi"/>
          <w:color w:val="auto"/>
          <w:szCs w:val="24"/>
        </w:rPr>
      </w:pPr>
    </w:p>
    <w:p w:rsidR="0044049B" w:rsidRPr="00406206" w:rsidRDefault="00491842" w:rsidP="0026697A">
      <w:pPr>
        <w:spacing w:line="240" w:lineRule="exact"/>
        <w:jc w:val="both"/>
        <w:rPr>
          <w:rFonts w:asciiTheme="minorHAnsi" w:hAnsiTheme="minorHAnsi"/>
          <w:b/>
          <w:color w:val="auto"/>
          <w:szCs w:val="24"/>
        </w:rPr>
      </w:pPr>
      <w:r w:rsidRPr="00406206">
        <w:rPr>
          <w:rFonts w:ascii="Calibri" w:hAnsi="Calibri"/>
          <w:color w:val="auto"/>
        </w:rPr>
        <w:t xml:space="preserve">The MEB exam four months prior to </w:t>
      </w:r>
      <w:r w:rsidR="0026697A" w:rsidRPr="00406206">
        <w:rPr>
          <w:rFonts w:ascii="Calibri" w:hAnsi="Calibri"/>
          <w:color w:val="auto"/>
        </w:rPr>
        <w:t>separation</w:t>
      </w:r>
      <w:r w:rsidRPr="00406206">
        <w:rPr>
          <w:rFonts w:ascii="Calibri" w:hAnsi="Calibri"/>
          <w:color w:val="auto"/>
        </w:rPr>
        <w:t xml:space="preserve"> indicated that the CI</w:t>
      </w:r>
      <w:r w:rsidR="00F95F8A" w:rsidRPr="00406206">
        <w:rPr>
          <w:rFonts w:ascii="Calibri" w:hAnsi="Calibri"/>
          <w:color w:val="auto"/>
        </w:rPr>
        <w:t xml:space="preserve"> had </w:t>
      </w:r>
      <w:r w:rsidR="00CE10A0" w:rsidRPr="00406206">
        <w:rPr>
          <w:rFonts w:ascii="Calibri" w:hAnsi="Calibri"/>
          <w:color w:val="auto"/>
        </w:rPr>
        <w:t xml:space="preserve">pain that radiated down the left side of his back to his left leg. </w:t>
      </w:r>
      <w:r w:rsidR="00876066" w:rsidRPr="00406206">
        <w:rPr>
          <w:rFonts w:ascii="Calibri" w:hAnsi="Calibri"/>
          <w:color w:val="auto"/>
        </w:rPr>
        <w:t xml:space="preserve"> </w:t>
      </w:r>
      <w:r w:rsidR="00CE10A0" w:rsidRPr="00406206">
        <w:rPr>
          <w:rFonts w:ascii="Calibri" w:hAnsi="Calibri"/>
          <w:color w:val="auto"/>
        </w:rPr>
        <w:t xml:space="preserve">The CI complained of </w:t>
      </w:r>
      <w:r w:rsidR="006912A3" w:rsidRPr="00406206">
        <w:rPr>
          <w:rFonts w:ascii="Calibri" w:hAnsi="Calibri"/>
          <w:color w:val="auto"/>
        </w:rPr>
        <w:t>sharp, throbbing pain usually 6/10 with 10 being the worst</w:t>
      </w:r>
      <w:r w:rsidR="00676B80" w:rsidRPr="00406206">
        <w:rPr>
          <w:rFonts w:ascii="Calibri" w:hAnsi="Calibri"/>
          <w:color w:val="auto"/>
        </w:rPr>
        <w:t>.  The pain was aggravated by bendi</w:t>
      </w:r>
      <w:r w:rsidR="00B900F7" w:rsidRPr="00406206">
        <w:rPr>
          <w:rFonts w:ascii="Calibri" w:hAnsi="Calibri"/>
          <w:color w:val="auto"/>
        </w:rPr>
        <w:t>ng, carrying heavy objects, ly</w:t>
      </w:r>
      <w:r w:rsidR="00676B80" w:rsidRPr="00406206">
        <w:rPr>
          <w:rFonts w:ascii="Calibri" w:hAnsi="Calibri"/>
          <w:color w:val="auto"/>
        </w:rPr>
        <w:t xml:space="preserve">ing on </w:t>
      </w:r>
      <w:r w:rsidR="00B900F7" w:rsidRPr="00406206">
        <w:rPr>
          <w:rFonts w:ascii="Calibri" w:hAnsi="Calibri"/>
          <w:color w:val="auto"/>
        </w:rPr>
        <w:t xml:space="preserve">his </w:t>
      </w:r>
      <w:r w:rsidR="00676B80" w:rsidRPr="00406206">
        <w:rPr>
          <w:rFonts w:ascii="Calibri" w:hAnsi="Calibri"/>
          <w:color w:val="auto"/>
        </w:rPr>
        <w:t xml:space="preserve">stomach, prolonged sitting, running, riding in a vehicle, wearing </w:t>
      </w:r>
      <w:r w:rsidR="00B900F7" w:rsidRPr="00406206">
        <w:rPr>
          <w:rFonts w:ascii="Calibri" w:hAnsi="Calibri"/>
          <w:color w:val="auto"/>
        </w:rPr>
        <w:t xml:space="preserve">a </w:t>
      </w:r>
      <w:r w:rsidR="00676B80" w:rsidRPr="00406206">
        <w:rPr>
          <w:rFonts w:ascii="Calibri" w:hAnsi="Calibri"/>
          <w:color w:val="auto"/>
        </w:rPr>
        <w:t xml:space="preserve">backpack and </w:t>
      </w:r>
      <w:proofErr w:type="spellStart"/>
      <w:r w:rsidR="00EB09C0">
        <w:rPr>
          <w:rFonts w:ascii="Calibri" w:hAnsi="Calibri"/>
          <w:color w:val="auto"/>
        </w:rPr>
        <w:t>k</w:t>
      </w:r>
      <w:r w:rsidR="00B900F7" w:rsidRPr="00406206">
        <w:rPr>
          <w:rFonts w:ascii="Calibri" w:hAnsi="Calibri"/>
          <w:color w:val="auto"/>
        </w:rPr>
        <w:t>evlar</w:t>
      </w:r>
      <w:proofErr w:type="spellEnd"/>
      <w:r w:rsidR="00B900F7" w:rsidRPr="00406206">
        <w:rPr>
          <w:rFonts w:ascii="Calibri" w:hAnsi="Calibri"/>
          <w:color w:val="auto"/>
        </w:rPr>
        <w:t>.</w:t>
      </w:r>
      <w:r w:rsidR="00CE10A0" w:rsidRPr="00406206">
        <w:rPr>
          <w:rFonts w:ascii="Calibri" w:hAnsi="Calibri"/>
          <w:color w:val="auto"/>
        </w:rPr>
        <w:t xml:space="preserve"> </w:t>
      </w:r>
      <w:r w:rsidR="00876066" w:rsidRPr="00406206">
        <w:rPr>
          <w:rFonts w:ascii="Calibri" w:hAnsi="Calibri"/>
          <w:color w:val="auto"/>
        </w:rPr>
        <w:t xml:space="preserve"> </w:t>
      </w:r>
      <w:r w:rsidR="00CE10A0" w:rsidRPr="00406206">
        <w:rPr>
          <w:rFonts w:ascii="Calibri" w:hAnsi="Calibri"/>
          <w:color w:val="auto"/>
        </w:rPr>
        <w:t xml:space="preserve">The examiner documented the CI had </w:t>
      </w:r>
      <w:r w:rsidR="00DD4C5D" w:rsidRPr="00406206">
        <w:rPr>
          <w:rFonts w:ascii="Calibri" w:hAnsi="Calibri"/>
          <w:color w:val="auto"/>
        </w:rPr>
        <w:t>complaints of</w:t>
      </w:r>
      <w:r w:rsidR="00CE10A0" w:rsidRPr="00406206">
        <w:rPr>
          <w:rFonts w:ascii="Calibri" w:hAnsi="Calibri"/>
          <w:color w:val="auto"/>
        </w:rPr>
        <w:t xml:space="preserve"> back pain, stiffness, weakness, giving way, locking, left buttock pain, left leg weakness, night sweats, </w:t>
      </w:r>
      <w:r w:rsidR="00484ABC" w:rsidRPr="00406206">
        <w:rPr>
          <w:rFonts w:ascii="Calibri" w:hAnsi="Calibri"/>
          <w:color w:val="auto"/>
        </w:rPr>
        <w:t>and change</w:t>
      </w:r>
      <w:r w:rsidR="00CE10A0" w:rsidRPr="00406206">
        <w:rPr>
          <w:rFonts w:ascii="Calibri" w:hAnsi="Calibri"/>
          <w:color w:val="auto"/>
        </w:rPr>
        <w:t xml:space="preserve"> in urinary function and loss of bladder control.  </w:t>
      </w:r>
      <w:r w:rsidR="00791462" w:rsidRPr="00406206">
        <w:rPr>
          <w:rFonts w:ascii="Calibri" w:hAnsi="Calibri"/>
          <w:color w:val="auto"/>
        </w:rPr>
        <w:t xml:space="preserve">The examiner documented that analgesics only provided </w:t>
      </w:r>
      <w:r w:rsidR="00DB1E58" w:rsidRPr="00406206">
        <w:rPr>
          <w:rFonts w:ascii="Calibri" w:hAnsi="Calibri"/>
          <w:color w:val="auto"/>
        </w:rPr>
        <w:t>temporary</w:t>
      </w:r>
      <w:r w:rsidR="00791462" w:rsidRPr="00406206">
        <w:rPr>
          <w:rFonts w:ascii="Calibri" w:hAnsi="Calibri"/>
          <w:color w:val="auto"/>
        </w:rPr>
        <w:t xml:space="preserve"> relief and the CI failed anti-inflammatory medication, PT, activity modification, and injection.  The CI’s </w:t>
      </w:r>
      <w:r w:rsidR="00EB09C0">
        <w:rPr>
          <w:rFonts w:ascii="Calibri" w:hAnsi="Calibri"/>
          <w:color w:val="auto"/>
        </w:rPr>
        <w:t xml:space="preserve">magnetic resonance imaging </w:t>
      </w:r>
      <w:r w:rsidR="00791462" w:rsidRPr="00406206">
        <w:rPr>
          <w:rFonts w:ascii="Calibri" w:hAnsi="Calibri"/>
          <w:color w:val="auto"/>
        </w:rPr>
        <w:t>was not available at the time of the MEB exam</w:t>
      </w:r>
      <w:r w:rsidR="00EB09C0">
        <w:rPr>
          <w:rFonts w:ascii="Calibri" w:hAnsi="Calibri"/>
          <w:color w:val="auto"/>
        </w:rPr>
        <w:t>;</w:t>
      </w:r>
      <w:r w:rsidR="00791462" w:rsidRPr="00406206">
        <w:rPr>
          <w:rFonts w:ascii="Calibri" w:hAnsi="Calibri"/>
          <w:color w:val="auto"/>
        </w:rPr>
        <w:t xml:space="preserve"> however</w:t>
      </w:r>
      <w:r w:rsidR="00EB09C0">
        <w:rPr>
          <w:rFonts w:ascii="Calibri" w:hAnsi="Calibri"/>
          <w:color w:val="auto"/>
        </w:rPr>
        <w:t>,</w:t>
      </w:r>
      <w:r w:rsidR="00791462" w:rsidRPr="00406206">
        <w:rPr>
          <w:rFonts w:ascii="Calibri" w:hAnsi="Calibri"/>
          <w:color w:val="auto"/>
        </w:rPr>
        <w:t xml:space="preserve"> it was noted that previous radiology reports indicated a </w:t>
      </w:r>
      <w:r w:rsidR="00876066" w:rsidRPr="00406206">
        <w:rPr>
          <w:rFonts w:ascii="Calibri" w:hAnsi="Calibri"/>
          <w:color w:val="auto"/>
        </w:rPr>
        <w:t>HNP</w:t>
      </w:r>
      <w:r w:rsidR="00791462" w:rsidRPr="00406206">
        <w:rPr>
          <w:rFonts w:ascii="Calibri" w:hAnsi="Calibri"/>
          <w:color w:val="auto"/>
        </w:rPr>
        <w:t xml:space="preserve"> and </w:t>
      </w:r>
      <w:r w:rsidR="00876066" w:rsidRPr="00406206">
        <w:rPr>
          <w:rFonts w:ascii="Calibri" w:hAnsi="Calibri"/>
          <w:color w:val="auto"/>
        </w:rPr>
        <w:t>DDD</w:t>
      </w:r>
      <w:r w:rsidR="00791462" w:rsidRPr="00406206">
        <w:rPr>
          <w:rFonts w:ascii="Calibri" w:hAnsi="Calibri"/>
          <w:color w:val="auto"/>
        </w:rPr>
        <w:t xml:space="preserve"> at L5-S1. </w:t>
      </w:r>
      <w:r w:rsidR="00876066" w:rsidRPr="00406206">
        <w:rPr>
          <w:rFonts w:ascii="Calibri" w:hAnsi="Calibri"/>
          <w:color w:val="auto"/>
        </w:rPr>
        <w:t xml:space="preserve"> </w:t>
      </w:r>
      <w:r w:rsidR="00791462" w:rsidRPr="00406206">
        <w:rPr>
          <w:rFonts w:ascii="Calibri" w:hAnsi="Calibri"/>
          <w:color w:val="auto"/>
        </w:rPr>
        <w:t xml:space="preserve">The examiner opined the CI’s condition interfered with his reasonable performance of his duties.  </w:t>
      </w:r>
      <w:r w:rsidR="0044049B" w:rsidRPr="00406206">
        <w:rPr>
          <w:rFonts w:asciiTheme="minorHAnsi" w:hAnsiTheme="minorHAnsi"/>
          <w:color w:val="auto"/>
          <w:szCs w:val="24"/>
        </w:rPr>
        <w:t xml:space="preserve">In the </w:t>
      </w:r>
      <w:r w:rsidR="00582198">
        <w:rPr>
          <w:rFonts w:asciiTheme="minorHAnsi" w:hAnsiTheme="minorHAnsi"/>
          <w:color w:val="auto"/>
          <w:szCs w:val="24"/>
        </w:rPr>
        <w:t>V</w:t>
      </w:r>
      <w:r w:rsidR="0044049B" w:rsidRPr="00406206">
        <w:rPr>
          <w:rFonts w:asciiTheme="minorHAnsi" w:hAnsiTheme="minorHAnsi"/>
          <w:color w:val="auto"/>
          <w:szCs w:val="24"/>
        </w:rPr>
        <w:t xml:space="preserve">A </w:t>
      </w:r>
      <w:r w:rsidR="00EB09C0">
        <w:rPr>
          <w:rFonts w:asciiTheme="minorHAnsi" w:hAnsiTheme="minorHAnsi"/>
          <w:color w:val="auto"/>
          <w:szCs w:val="24"/>
        </w:rPr>
        <w:t>c</w:t>
      </w:r>
      <w:r w:rsidR="0044049B" w:rsidRPr="00406206">
        <w:rPr>
          <w:rFonts w:asciiTheme="minorHAnsi" w:hAnsiTheme="minorHAnsi"/>
          <w:color w:val="auto"/>
          <w:szCs w:val="24"/>
        </w:rPr>
        <w:t xml:space="preserve">ompensation &amp; </w:t>
      </w:r>
      <w:r w:rsidR="00EB09C0">
        <w:rPr>
          <w:rFonts w:asciiTheme="minorHAnsi" w:hAnsiTheme="minorHAnsi"/>
          <w:color w:val="auto"/>
          <w:szCs w:val="24"/>
        </w:rPr>
        <w:t>p</w:t>
      </w:r>
      <w:r w:rsidR="0044049B" w:rsidRPr="00406206">
        <w:rPr>
          <w:rFonts w:asciiTheme="minorHAnsi" w:hAnsiTheme="minorHAnsi"/>
          <w:color w:val="auto"/>
          <w:szCs w:val="24"/>
        </w:rPr>
        <w:t xml:space="preserve">ension (C&amp;P) exam </w:t>
      </w:r>
      <w:r w:rsidR="00EB09C0">
        <w:rPr>
          <w:rFonts w:asciiTheme="minorHAnsi" w:hAnsiTheme="minorHAnsi"/>
          <w:color w:val="auto"/>
          <w:szCs w:val="24"/>
        </w:rPr>
        <w:t xml:space="preserve">on </w:t>
      </w:r>
      <w:r w:rsidR="00E772F9">
        <w:rPr>
          <w:rFonts w:asciiTheme="minorHAnsi" w:hAnsiTheme="minorHAnsi"/>
          <w:color w:val="auto"/>
          <w:szCs w:val="24"/>
        </w:rPr>
        <w:t xml:space="preserve">7 December </w:t>
      </w:r>
      <w:r w:rsidR="0044049B" w:rsidRPr="00406206">
        <w:rPr>
          <w:rFonts w:asciiTheme="minorHAnsi" w:hAnsiTheme="minorHAnsi"/>
          <w:color w:val="auto"/>
          <w:szCs w:val="24"/>
        </w:rPr>
        <w:t>2006</w:t>
      </w:r>
      <w:r w:rsidR="00EB09C0">
        <w:rPr>
          <w:rFonts w:asciiTheme="minorHAnsi" w:hAnsiTheme="minorHAnsi"/>
          <w:color w:val="auto"/>
          <w:szCs w:val="24"/>
        </w:rPr>
        <w:t>,</w:t>
      </w:r>
      <w:r w:rsidR="0044049B" w:rsidRPr="00406206">
        <w:rPr>
          <w:rFonts w:asciiTheme="minorHAnsi" w:hAnsiTheme="minorHAnsi"/>
          <w:color w:val="auto"/>
          <w:szCs w:val="24"/>
        </w:rPr>
        <w:t xml:space="preserve"> eight months </w:t>
      </w:r>
      <w:r w:rsidR="00696B04" w:rsidRPr="00406206">
        <w:rPr>
          <w:rFonts w:asciiTheme="minorHAnsi" w:hAnsiTheme="minorHAnsi"/>
          <w:color w:val="auto"/>
          <w:szCs w:val="24"/>
        </w:rPr>
        <w:t>after</w:t>
      </w:r>
      <w:r w:rsidR="0044049B" w:rsidRPr="00406206">
        <w:rPr>
          <w:rFonts w:asciiTheme="minorHAnsi" w:hAnsiTheme="minorHAnsi"/>
          <w:color w:val="auto"/>
          <w:szCs w:val="24"/>
        </w:rPr>
        <w:t xml:space="preserve"> separation, the examiner documented that the CI had constant</w:t>
      </w:r>
      <w:r w:rsidR="00AC6164" w:rsidRPr="00406206">
        <w:rPr>
          <w:rFonts w:asciiTheme="minorHAnsi" w:hAnsiTheme="minorHAnsi"/>
          <w:color w:val="auto"/>
          <w:szCs w:val="24"/>
        </w:rPr>
        <w:t>, localized</w:t>
      </w:r>
      <w:r w:rsidR="0044049B" w:rsidRPr="00406206">
        <w:rPr>
          <w:rFonts w:asciiTheme="minorHAnsi" w:hAnsiTheme="minorHAnsi"/>
          <w:color w:val="auto"/>
          <w:szCs w:val="24"/>
        </w:rPr>
        <w:t xml:space="preserve"> pain</w:t>
      </w:r>
      <w:r w:rsidR="00AC6164" w:rsidRPr="00406206">
        <w:rPr>
          <w:rFonts w:asciiTheme="minorHAnsi" w:hAnsiTheme="minorHAnsi"/>
          <w:color w:val="auto"/>
          <w:szCs w:val="24"/>
        </w:rPr>
        <w:t xml:space="preserve"> at 10 being the worst, elicited by physical activity and relieved by medication, muscle relaxers and steroid injections.  The CI was noted to have a functional impairment as the inability to bend over with the joint function of the spine being additionally limited by pain, lack of endurance after repetitive use. </w:t>
      </w:r>
      <w:r w:rsidR="00696B04" w:rsidRPr="00406206">
        <w:rPr>
          <w:rFonts w:asciiTheme="minorHAnsi" w:hAnsiTheme="minorHAnsi"/>
          <w:color w:val="auto"/>
          <w:szCs w:val="24"/>
        </w:rPr>
        <w:t xml:space="preserve"> </w:t>
      </w:r>
      <w:r w:rsidR="00AC6164" w:rsidRPr="00406206">
        <w:rPr>
          <w:rFonts w:asciiTheme="minorHAnsi" w:hAnsiTheme="minorHAnsi"/>
          <w:color w:val="auto"/>
          <w:szCs w:val="24"/>
        </w:rPr>
        <w:t xml:space="preserve">Additionally, the CI was found to have thoracolumbar spine tenderness and positive </w:t>
      </w:r>
      <w:r w:rsidR="00A459AC" w:rsidRPr="00406206">
        <w:rPr>
          <w:rFonts w:asciiTheme="minorHAnsi" w:hAnsiTheme="minorHAnsi"/>
          <w:color w:val="auto"/>
          <w:szCs w:val="24"/>
        </w:rPr>
        <w:t xml:space="preserve">straight leg </w:t>
      </w:r>
      <w:proofErr w:type="gramStart"/>
      <w:r w:rsidR="00AC6164" w:rsidRPr="00406206">
        <w:rPr>
          <w:rFonts w:asciiTheme="minorHAnsi" w:hAnsiTheme="minorHAnsi"/>
          <w:color w:val="auto"/>
          <w:szCs w:val="24"/>
        </w:rPr>
        <w:t>raising</w:t>
      </w:r>
      <w:proofErr w:type="gramEnd"/>
      <w:r w:rsidR="00AC6164" w:rsidRPr="00406206">
        <w:rPr>
          <w:rFonts w:asciiTheme="minorHAnsi" w:hAnsiTheme="minorHAnsi"/>
          <w:color w:val="auto"/>
          <w:szCs w:val="24"/>
        </w:rPr>
        <w:t xml:space="preserve"> on the left leg</w:t>
      </w:r>
      <w:r w:rsidR="009D3931">
        <w:rPr>
          <w:rFonts w:asciiTheme="minorHAnsi" w:hAnsiTheme="minorHAnsi"/>
          <w:color w:val="auto"/>
          <w:szCs w:val="24"/>
        </w:rPr>
        <w:t xml:space="preserve">.  The </w:t>
      </w:r>
      <w:r w:rsidR="00AC6164" w:rsidRPr="00406206">
        <w:rPr>
          <w:rFonts w:asciiTheme="minorHAnsi" w:hAnsiTheme="minorHAnsi"/>
          <w:color w:val="auto"/>
          <w:szCs w:val="24"/>
        </w:rPr>
        <w:t xml:space="preserve">test is positive if </w:t>
      </w:r>
      <w:r w:rsidR="00A459AC" w:rsidRPr="00406206">
        <w:rPr>
          <w:rFonts w:asciiTheme="minorHAnsi" w:hAnsiTheme="minorHAnsi"/>
          <w:color w:val="auto"/>
          <w:szCs w:val="24"/>
        </w:rPr>
        <w:t>pain in</w:t>
      </w:r>
      <w:r w:rsidR="00AC6164" w:rsidRPr="00406206">
        <w:rPr>
          <w:rFonts w:asciiTheme="minorHAnsi" w:hAnsiTheme="minorHAnsi"/>
          <w:color w:val="auto"/>
          <w:szCs w:val="24"/>
        </w:rPr>
        <w:t xml:space="preserve"> the sciatic distribution is reproduced between 30 and 70 degrees passive flexion of the straight leg.</w:t>
      </w:r>
      <w:r w:rsidR="003C5275" w:rsidRPr="00406206">
        <w:rPr>
          <w:rFonts w:asciiTheme="minorHAnsi" w:hAnsiTheme="minorHAnsi"/>
          <w:color w:val="auto"/>
          <w:szCs w:val="24"/>
        </w:rPr>
        <w:t xml:space="preserve"> </w:t>
      </w:r>
      <w:r w:rsidR="00696B04" w:rsidRPr="00406206">
        <w:rPr>
          <w:rFonts w:asciiTheme="minorHAnsi" w:hAnsiTheme="minorHAnsi"/>
          <w:color w:val="auto"/>
          <w:szCs w:val="24"/>
        </w:rPr>
        <w:t xml:space="preserve"> </w:t>
      </w:r>
      <w:r w:rsidR="00A459AC" w:rsidRPr="00406206">
        <w:rPr>
          <w:rFonts w:asciiTheme="minorHAnsi" w:hAnsiTheme="minorHAnsi"/>
          <w:color w:val="auto"/>
          <w:szCs w:val="24"/>
        </w:rPr>
        <w:t>There was decreased sensory functioning in the left lower extremity.</w:t>
      </w:r>
      <w:r w:rsidR="005B6ADB" w:rsidRPr="00406206">
        <w:rPr>
          <w:rFonts w:asciiTheme="minorHAnsi" w:hAnsiTheme="minorHAnsi"/>
          <w:color w:val="auto"/>
          <w:szCs w:val="24"/>
        </w:rPr>
        <w:t xml:space="preserve">  </w:t>
      </w:r>
      <w:r w:rsidR="00CD4B7F" w:rsidRPr="00406206">
        <w:rPr>
          <w:rFonts w:asciiTheme="minorHAnsi" w:hAnsiTheme="minorHAnsi"/>
          <w:color w:val="auto"/>
          <w:szCs w:val="24"/>
        </w:rPr>
        <w:t xml:space="preserve">The </w:t>
      </w:r>
      <w:r w:rsidR="00CD4B7F" w:rsidRPr="00406206">
        <w:rPr>
          <w:rFonts w:ascii="Calibri" w:hAnsi="Calibri"/>
          <w:color w:val="auto"/>
        </w:rPr>
        <w:t>Board noted the CI’s condition had significantly worsened by his later VA evaluations with increased VA rating at approximately 29 months post</w:t>
      </w:r>
      <w:r w:rsidR="009D3931">
        <w:rPr>
          <w:rFonts w:ascii="Calibri" w:hAnsi="Calibri"/>
          <w:color w:val="auto"/>
        </w:rPr>
        <w:t>-</w:t>
      </w:r>
      <w:r w:rsidR="00CD4B7F" w:rsidRPr="00406206">
        <w:rPr>
          <w:rFonts w:ascii="Calibri" w:hAnsi="Calibri"/>
          <w:color w:val="auto"/>
        </w:rPr>
        <w:t>separation.</w:t>
      </w:r>
    </w:p>
    <w:p w:rsidR="00FA7271" w:rsidRPr="001A5968" w:rsidRDefault="00FA7271" w:rsidP="0026697A">
      <w:pPr>
        <w:spacing w:line="240" w:lineRule="exact"/>
        <w:jc w:val="both"/>
        <w:rPr>
          <w:rFonts w:asciiTheme="minorHAnsi" w:hAnsiTheme="minorHAnsi"/>
          <w:color w:val="auto"/>
          <w:sz w:val="20"/>
          <w:szCs w:val="24"/>
        </w:rPr>
      </w:pPr>
    </w:p>
    <w:p w:rsidR="00CD1EF2" w:rsidRPr="00406206" w:rsidRDefault="00153D9F" w:rsidP="0026697A">
      <w:pPr>
        <w:spacing w:line="240" w:lineRule="exact"/>
        <w:jc w:val="both"/>
        <w:rPr>
          <w:rFonts w:ascii="Calibri" w:hAnsi="Calibri"/>
          <w:color w:val="auto"/>
          <w:u w:val="single"/>
        </w:rPr>
      </w:pPr>
      <w:r w:rsidRPr="001A5968">
        <w:rPr>
          <w:rFonts w:asciiTheme="minorHAnsi" w:hAnsiTheme="minorHAnsi"/>
          <w:color w:val="auto"/>
          <w:szCs w:val="24"/>
        </w:rPr>
        <w:t>The P</w:t>
      </w:r>
      <w:r w:rsidRPr="00406206">
        <w:rPr>
          <w:rFonts w:asciiTheme="minorHAnsi" w:hAnsiTheme="minorHAnsi"/>
          <w:color w:val="auto"/>
          <w:szCs w:val="24"/>
        </w:rPr>
        <w:t>EB and VA chose different coding options but this did not significantly impact the rating as noted</w:t>
      </w:r>
      <w:r w:rsidR="00FA7271" w:rsidRPr="00406206">
        <w:rPr>
          <w:rFonts w:asciiTheme="minorHAnsi" w:hAnsiTheme="minorHAnsi"/>
          <w:color w:val="auto"/>
          <w:szCs w:val="24"/>
        </w:rPr>
        <w:t xml:space="preserve"> above.  The </w:t>
      </w:r>
      <w:r w:rsidR="00EB09C0">
        <w:rPr>
          <w:rFonts w:asciiTheme="minorHAnsi" w:hAnsiTheme="minorHAnsi"/>
          <w:color w:val="auto"/>
          <w:szCs w:val="24"/>
        </w:rPr>
        <w:t>g</w:t>
      </w:r>
      <w:r w:rsidR="00696B04" w:rsidRPr="00406206">
        <w:rPr>
          <w:rFonts w:asciiTheme="minorHAnsi" w:hAnsiTheme="minorHAnsi"/>
          <w:color w:val="auto"/>
          <w:szCs w:val="24"/>
        </w:rPr>
        <w:t xml:space="preserve">eneral </w:t>
      </w:r>
      <w:r w:rsidR="00EB09C0">
        <w:rPr>
          <w:rFonts w:asciiTheme="minorHAnsi" w:hAnsiTheme="minorHAnsi"/>
          <w:color w:val="auto"/>
          <w:szCs w:val="24"/>
        </w:rPr>
        <w:t>r</w:t>
      </w:r>
      <w:r w:rsidR="00696B04" w:rsidRPr="00406206">
        <w:rPr>
          <w:rFonts w:asciiTheme="minorHAnsi" w:hAnsiTheme="minorHAnsi"/>
          <w:color w:val="auto"/>
          <w:szCs w:val="24"/>
        </w:rPr>
        <w:t xml:space="preserve">ating </w:t>
      </w:r>
      <w:r w:rsidR="00EB09C0">
        <w:rPr>
          <w:rFonts w:asciiTheme="minorHAnsi" w:hAnsiTheme="minorHAnsi"/>
          <w:color w:val="auto"/>
          <w:szCs w:val="24"/>
        </w:rPr>
        <w:t>f</w:t>
      </w:r>
      <w:r w:rsidR="00696B04" w:rsidRPr="00406206">
        <w:rPr>
          <w:rFonts w:asciiTheme="minorHAnsi" w:hAnsiTheme="minorHAnsi"/>
          <w:color w:val="auto"/>
          <w:szCs w:val="24"/>
        </w:rPr>
        <w:t xml:space="preserve">ormula for </w:t>
      </w:r>
      <w:r w:rsidR="00EB09C0">
        <w:rPr>
          <w:rFonts w:asciiTheme="minorHAnsi" w:hAnsiTheme="minorHAnsi"/>
          <w:color w:val="auto"/>
          <w:szCs w:val="24"/>
        </w:rPr>
        <w:t>d</w:t>
      </w:r>
      <w:r w:rsidR="00696B04" w:rsidRPr="00406206">
        <w:rPr>
          <w:rFonts w:asciiTheme="minorHAnsi" w:hAnsiTheme="minorHAnsi"/>
          <w:color w:val="auto"/>
          <w:szCs w:val="24"/>
        </w:rPr>
        <w:t xml:space="preserve">iseases and </w:t>
      </w:r>
      <w:r w:rsidR="00EB09C0">
        <w:rPr>
          <w:rFonts w:asciiTheme="minorHAnsi" w:hAnsiTheme="minorHAnsi"/>
          <w:color w:val="auto"/>
          <w:szCs w:val="24"/>
        </w:rPr>
        <w:t>i</w:t>
      </w:r>
      <w:r w:rsidR="00696B04" w:rsidRPr="00406206">
        <w:rPr>
          <w:rFonts w:asciiTheme="minorHAnsi" w:hAnsiTheme="minorHAnsi"/>
          <w:color w:val="auto"/>
          <w:szCs w:val="24"/>
        </w:rPr>
        <w:t xml:space="preserve">njuries of the </w:t>
      </w:r>
      <w:r w:rsidR="00EB09C0">
        <w:rPr>
          <w:rFonts w:asciiTheme="minorHAnsi" w:hAnsiTheme="minorHAnsi"/>
          <w:color w:val="auto"/>
          <w:szCs w:val="24"/>
        </w:rPr>
        <w:t>s</w:t>
      </w:r>
      <w:r w:rsidR="00696B04" w:rsidRPr="00406206">
        <w:rPr>
          <w:rFonts w:asciiTheme="minorHAnsi" w:hAnsiTheme="minorHAnsi"/>
          <w:color w:val="auto"/>
          <w:szCs w:val="24"/>
        </w:rPr>
        <w:t>pine considers the CI’s pain symptoms</w:t>
      </w:r>
      <w:r w:rsidR="00EB09C0">
        <w:rPr>
          <w:rFonts w:asciiTheme="minorHAnsi" w:hAnsiTheme="minorHAnsi"/>
          <w:color w:val="auto"/>
          <w:szCs w:val="24"/>
        </w:rPr>
        <w:t>,</w:t>
      </w:r>
      <w:r w:rsidR="00696B04" w:rsidRPr="00406206">
        <w:rPr>
          <w:rFonts w:asciiTheme="minorHAnsi" w:hAnsiTheme="minorHAnsi"/>
          <w:color w:val="auto"/>
          <w:szCs w:val="24"/>
        </w:rPr>
        <w:t xml:space="preserve"> “With or without symptoms such as pain (whether or not it radiates), stiffness, or aching in the area of the spine affected by residuals of injury or disease.”  All exams proximate to separation met the 10% rating criteria for either </w:t>
      </w:r>
      <w:r w:rsidR="00921756" w:rsidRPr="00406206">
        <w:rPr>
          <w:rFonts w:asciiTheme="minorHAnsi" w:hAnsiTheme="minorHAnsi"/>
          <w:color w:val="auto"/>
          <w:szCs w:val="24"/>
        </w:rPr>
        <w:t>f</w:t>
      </w:r>
      <w:r w:rsidR="00696B04" w:rsidRPr="00406206">
        <w:rPr>
          <w:rFonts w:asciiTheme="minorHAnsi" w:hAnsiTheme="minorHAnsi"/>
          <w:color w:val="auto"/>
          <w:szCs w:val="24"/>
        </w:rPr>
        <w:t xml:space="preserve">orward flexion of the thoracolumbar spine greater than 60 degrees but not greater than 85 degrees or combined </w:t>
      </w:r>
      <w:r w:rsidR="00EB09C0">
        <w:rPr>
          <w:rFonts w:asciiTheme="minorHAnsi" w:hAnsiTheme="minorHAnsi"/>
          <w:color w:val="auto"/>
          <w:szCs w:val="24"/>
        </w:rPr>
        <w:t>ROM</w:t>
      </w:r>
      <w:r w:rsidR="00696B04" w:rsidRPr="00406206">
        <w:rPr>
          <w:rFonts w:asciiTheme="minorHAnsi" w:hAnsiTheme="minorHAnsi"/>
          <w:color w:val="auto"/>
          <w:szCs w:val="24"/>
        </w:rPr>
        <w:t xml:space="preserve"> of the thoracolumbar spine greater than 120 degrees but not greater than 235 degrees</w:t>
      </w:r>
      <w:r w:rsidR="00921756" w:rsidRPr="00406206">
        <w:rPr>
          <w:rFonts w:asciiTheme="minorHAnsi" w:hAnsiTheme="minorHAnsi"/>
          <w:color w:val="auto"/>
          <w:szCs w:val="24"/>
        </w:rPr>
        <w:t>.  A</w:t>
      </w:r>
      <w:r w:rsidR="00A74C1B" w:rsidRPr="00406206">
        <w:rPr>
          <w:rFonts w:asciiTheme="minorHAnsi" w:hAnsiTheme="minorHAnsi"/>
          <w:color w:val="auto"/>
          <w:szCs w:val="24"/>
        </w:rPr>
        <w:t xml:space="preserve">lthough the CI had localized tenderness, there is no documentation of abnormal </w:t>
      </w:r>
      <w:r w:rsidR="00EB09C0" w:rsidRPr="00406206">
        <w:rPr>
          <w:rFonts w:asciiTheme="minorHAnsi" w:hAnsiTheme="minorHAnsi"/>
          <w:color w:val="auto"/>
          <w:szCs w:val="24"/>
        </w:rPr>
        <w:t>gait</w:t>
      </w:r>
      <w:r w:rsidR="00EB09C0">
        <w:rPr>
          <w:rFonts w:asciiTheme="minorHAnsi" w:hAnsiTheme="minorHAnsi"/>
          <w:color w:val="auto"/>
          <w:szCs w:val="24"/>
        </w:rPr>
        <w:t xml:space="preserve">, </w:t>
      </w:r>
      <w:r w:rsidR="00484ABC" w:rsidRPr="00406206">
        <w:rPr>
          <w:rFonts w:asciiTheme="minorHAnsi" w:hAnsiTheme="minorHAnsi"/>
          <w:color w:val="auto"/>
          <w:szCs w:val="24"/>
        </w:rPr>
        <w:t xml:space="preserve">muscle spasms </w:t>
      </w:r>
      <w:r w:rsidR="00EB09C0" w:rsidRPr="00406206">
        <w:rPr>
          <w:rFonts w:asciiTheme="minorHAnsi" w:hAnsiTheme="minorHAnsi"/>
          <w:color w:val="auto"/>
          <w:szCs w:val="24"/>
        </w:rPr>
        <w:t>or</w:t>
      </w:r>
      <w:r w:rsidR="00A74C1B" w:rsidRPr="00406206">
        <w:rPr>
          <w:rFonts w:asciiTheme="minorHAnsi" w:hAnsiTheme="minorHAnsi"/>
          <w:color w:val="auto"/>
          <w:szCs w:val="24"/>
        </w:rPr>
        <w:t xml:space="preserve"> guarding</w:t>
      </w:r>
      <w:r w:rsidR="00921756" w:rsidRPr="00406206">
        <w:rPr>
          <w:rFonts w:asciiTheme="minorHAnsi" w:hAnsiTheme="minorHAnsi"/>
          <w:color w:val="auto"/>
          <w:szCs w:val="24"/>
        </w:rPr>
        <w:t xml:space="preserve"> for the higher rating</w:t>
      </w:r>
      <w:r w:rsidR="00A74C1B" w:rsidRPr="00406206">
        <w:rPr>
          <w:rFonts w:asciiTheme="minorHAnsi" w:hAnsiTheme="minorHAnsi"/>
          <w:color w:val="auto"/>
          <w:szCs w:val="24"/>
        </w:rPr>
        <w:t>.  After due deliberation</w:t>
      </w:r>
      <w:r w:rsidR="00921756" w:rsidRPr="00406206">
        <w:rPr>
          <w:rFonts w:asciiTheme="minorHAnsi" w:hAnsiTheme="minorHAnsi"/>
          <w:color w:val="auto"/>
          <w:szCs w:val="24"/>
        </w:rPr>
        <w:t xml:space="preserve"> and all evidence considered</w:t>
      </w:r>
      <w:r w:rsidR="00A74C1B" w:rsidRPr="00406206">
        <w:rPr>
          <w:rFonts w:asciiTheme="minorHAnsi" w:hAnsiTheme="minorHAnsi"/>
          <w:color w:val="auto"/>
          <w:szCs w:val="24"/>
        </w:rPr>
        <w:t xml:space="preserve">, there is not reasonable doubt in the CI’s favor therefore to justify a Board recommendation for other than the 10% rating assigned by the PEB for the </w:t>
      </w:r>
      <w:r w:rsidR="00EB09C0">
        <w:rPr>
          <w:rFonts w:asciiTheme="minorHAnsi" w:hAnsiTheme="minorHAnsi"/>
          <w:color w:val="auto"/>
          <w:szCs w:val="24"/>
        </w:rPr>
        <w:t>lumbar DDD</w:t>
      </w:r>
      <w:r w:rsidR="00057694" w:rsidRPr="00406206">
        <w:rPr>
          <w:rFonts w:asciiTheme="minorHAnsi" w:hAnsiTheme="minorHAnsi"/>
          <w:color w:val="auto"/>
          <w:szCs w:val="24"/>
        </w:rPr>
        <w:t xml:space="preserve"> w</w:t>
      </w:r>
      <w:r w:rsidR="00921756" w:rsidRPr="00406206">
        <w:rPr>
          <w:rFonts w:asciiTheme="minorHAnsi" w:hAnsiTheme="minorHAnsi"/>
          <w:color w:val="auto"/>
          <w:szCs w:val="24"/>
        </w:rPr>
        <w:t>ith HNP</w:t>
      </w:r>
      <w:r w:rsidR="00A74C1B" w:rsidRPr="00406206">
        <w:rPr>
          <w:rFonts w:asciiTheme="minorHAnsi" w:hAnsiTheme="minorHAnsi"/>
          <w:color w:val="auto"/>
          <w:szCs w:val="24"/>
        </w:rPr>
        <w:t>.</w:t>
      </w:r>
    </w:p>
    <w:p w:rsidR="006012F3" w:rsidRPr="00406206" w:rsidRDefault="006012F3" w:rsidP="0026697A">
      <w:pPr>
        <w:spacing w:line="240" w:lineRule="exact"/>
        <w:jc w:val="both"/>
        <w:rPr>
          <w:rFonts w:ascii="Calibri" w:hAnsi="Calibri"/>
          <w:color w:val="auto"/>
          <w:u w:val="single"/>
        </w:rPr>
      </w:pPr>
    </w:p>
    <w:p w:rsidR="002101F8" w:rsidRPr="00406206" w:rsidRDefault="00BA072B" w:rsidP="002101F8">
      <w:pPr>
        <w:spacing w:line="240" w:lineRule="exact"/>
        <w:jc w:val="both"/>
        <w:rPr>
          <w:rFonts w:ascii="Calibri" w:hAnsi="Calibri"/>
          <w:color w:val="auto"/>
        </w:rPr>
      </w:pPr>
      <w:proofErr w:type="gramStart"/>
      <w:r w:rsidRPr="00406206">
        <w:rPr>
          <w:rFonts w:ascii="Calibri" w:hAnsi="Calibri"/>
          <w:color w:val="auto"/>
          <w:u w:val="single"/>
        </w:rPr>
        <w:t xml:space="preserve">Left </w:t>
      </w:r>
      <w:r w:rsidR="00EB09C0">
        <w:rPr>
          <w:rFonts w:ascii="Calibri" w:hAnsi="Calibri"/>
          <w:color w:val="auto"/>
          <w:u w:val="single"/>
        </w:rPr>
        <w:t>L</w:t>
      </w:r>
      <w:r w:rsidRPr="00406206">
        <w:rPr>
          <w:rFonts w:ascii="Calibri" w:hAnsi="Calibri"/>
          <w:color w:val="auto"/>
          <w:u w:val="single"/>
        </w:rPr>
        <w:t xml:space="preserve">eg </w:t>
      </w:r>
      <w:r w:rsidR="00EB09C0">
        <w:rPr>
          <w:rFonts w:ascii="Calibri" w:hAnsi="Calibri"/>
          <w:color w:val="auto"/>
          <w:u w:val="single"/>
        </w:rPr>
        <w:t>R</w:t>
      </w:r>
      <w:r w:rsidRPr="00057694">
        <w:rPr>
          <w:rFonts w:ascii="Calibri" w:hAnsi="Calibri"/>
          <w:color w:val="auto"/>
          <w:u w:val="single"/>
        </w:rPr>
        <w:t>adiculopathy</w:t>
      </w:r>
      <w:r w:rsidR="00057694" w:rsidRPr="00057694">
        <w:rPr>
          <w:rFonts w:ascii="Calibri" w:hAnsi="Calibri"/>
          <w:color w:val="auto"/>
          <w:u w:val="single"/>
        </w:rPr>
        <w:t xml:space="preserve"> Condition</w:t>
      </w:r>
      <w:r w:rsidR="00057694">
        <w:rPr>
          <w:rFonts w:ascii="Calibri" w:hAnsi="Calibri"/>
          <w:color w:val="auto"/>
        </w:rPr>
        <w:t>.</w:t>
      </w:r>
      <w:proofErr w:type="gramEnd"/>
      <w:r w:rsidRPr="00406206">
        <w:rPr>
          <w:rFonts w:ascii="Calibri" w:hAnsi="Calibri"/>
          <w:color w:val="auto"/>
        </w:rPr>
        <w:t xml:space="preserve">  The </w:t>
      </w:r>
      <w:r w:rsidR="00EB09C0">
        <w:rPr>
          <w:rFonts w:ascii="Calibri" w:hAnsi="Calibri"/>
          <w:color w:val="auto"/>
        </w:rPr>
        <w:t>narrative summary (NARSUM) and Disability Evaluation System (</w:t>
      </w:r>
      <w:r w:rsidRPr="00406206">
        <w:rPr>
          <w:rFonts w:ascii="Calibri" w:hAnsi="Calibri"/>
          <w:color w:val="auto"/>
        </w:rPr>
        <w:t>DES</w:t>
      </w:r>
      <w:r w:rsidR="00EB09C0">
        <w:rPr>
          <w:rFonts w:ascii="Calibri" w:hAnsi="Calibri"/>
          <w:color w:val="auto"/>
        </w:rPr>
        <w:t>)</w:t>
      </w:r>
      <w:r w:rsidRPr="00406206">
        <w:rPr>
          <w:rFonts w:ascii="Calibri" w:hAnsi="Calibri"/>
          <w:color w:val="auto"/>
        </w:rPr>
        <w:t xml:space="preserve"> package indicate that the CI had radiation of pain into his left leg with </w:t>
      </w:r>
      <w:r w:rsidR="00484ABC" w:rsidRPr="00406206">
        <w:rPr>
          <w:rFonts w:ascii="Calibri" w:hAnsi="Calibri"/>
          <w:color w:val="auto"/>
        </w:rPr>
        <w:t>paresthesias</w:t>
      </w:r>
      <w:r w:rsidRPr="00406206">
        <w:rPr>
          <w:rFonts w:ascii="Calibri" w:hAnsi="Calibri"/>
          <w:color w:val="auto"/>
        </w:rPr>
        <w:t xml:space="preserve">.  </w:t>
      </w:r>
      <w:r w:rsidR="002101F8" w:rsidRPr="00406206">
        <w:rPr>
          <w:rFonts w:ascii="Calibri" w:hAnsi="Calibri"/>
          <w:color w:val="auto"/>
        </w:rPr>
        <w:t>The pain component of a radiculopathy is subsumed under the general spine rating as specified in §4.71a</w:t>
      </w:r>
      <w:r w:rsidR="00EB09C0">
        <w:rPr>
          <w:rFonts w:ascii="Calibri" w:hAnsi="Calibri"/>
          <w:color w:val="auto"/>
        </w:rPr>
        <w:t>,</w:t>
      </w:r>
      <w:r w:rsidR="002101F8" w:rsidRPr="00406206">
        <w:rPr>
          <w:rFonts w:ascii="Calibri" w:hAnsi="Calibri"/>
          <w:color w:val="auto"/>
        </w:rPr>
        <w:t xml:space="preserve"> as discussed above.  There was no fixed motor impairment.   The VA noted L5 </w:t>
      </w:r>
      <w:r w:rsidR="00EB09C0">
        <w:rPr>
          <w:rFonts w:ascii="Calibri" w:hAnsi="Calibri"/>
          <w:color w:val="auto"/>
        </w:rPr>
        <w:t>s</w:t>
      </w:r>
      <w:r w:rsidR="002101F8" w:rsidRPr="00406206">
        <w:rPr>
          <w:rFonts w:ascii="Calibri" w:hAnsi="Calibri"/>
          <w:color w:val="auto"/>
        </w:rPr>
        <w:t>ensory deficit of left dorsal foot and S1</w:t>
      </w:r>
      <w:r w:rsidR="00EB09C0">
        <w:rPr>
          <w:rFonts w:ascii="Calibri" w:hAnsi="Calibri"/>
          <w:color w:val="auto"/>
        </w:rPr>
        <w:t xml:space="preserve"> s</w:t>
      </w:r>
      <w:r w:rsidR="002101F8" w:rsidRPr="00406206">
        <w:rPr>
          <w:rFonts w:ascii="Calibri" w:hAnsi="Calibri"/>
          <w:color w:val="auto"/>
        </w:rPr>
        <w:t>enso</w:t>
      </w:r>
      <w:r w:rsidR="00B96209" w:rsidRPr="00406206">
        <w:rPr>
          <w:rFonts w:ascii="Calibri" w:hAnsi="Calibri"/>
          <w:color w:val="auto"/>
        </w:rPr>
        <w:t>ry deficit of left lateral foot</w:t>
      </w:r>
      <w:r w:rsidR="00484ABC" w:rsidRPr="00406206">
        <w:rPr>
          <w:rFonts w:ascii="Calibri" w:hAnsi="Calibri"/>
          <w:color w:val="auto"/>
        </w:rPr>
        <w:t>; the</w:t>
      </w:r>
      <w:r w:rsidR="002101F8" w:rsidRPr="00406206">
        <w:rPr>
          <w:rFonts w:ascii="Calibri" w:hAnsi="Calibri"/>
          <w:color w:val="auto"/>
        </w:rPr>
        <w:t xml:space="preserve"> sensory component in this case was either intermittent or relatively minor and cannot be linked </w:t>
      </w:r>
      <w:r w:rsidR="002101F8" w:rsidRPr="00406206">
        <w:rPr>
          <w:rFonts w:ascii="Calibri" w:hAnsi="Calibri"/>
          <w:color w:val="auto"/>
        </w:rPr>
        <w:lastRenderedPageBreak/>
        <w:t>to significant physical impairment.  Since no evidence of functional impairment exists in this case, the Board cannot support a recommendation for additional rating based on peripheral nerve impairment.</w:t>
      </w:r>
    </w:p>
    <w:p w:rsidR="002101F8" w:rsidRPr="00406206" w:rsidRDefault="002101F8" w:rsidP="0026697A">
      <w:pPr>
        <w:spacing w:line="240" w:lineRule="exact"/>
        <w:jc w:val="both"/>
        <w:rPr>
          <w:rFonts w:ascii="Calibri" w:hAnsi="Calibri"/>
          <w:color w:val="auto"/>
        </w:rPr>
      </w:pPr>
    </w:p>
    <w:p w:rsidR="00921756" w:rsidRPr="00406206" w:rsidRDefault="00325FF5" w:rsidP="002101F8">
      <w:pPr>
        <w:spacing w:line="240" w:lineRule="exact"/>
        <w:jc w:val="both"/>
        <w:rPr>
          <w:rFonts w:asciiTheme="minorHAnsi" w:hAnsiTheme="minorHAnsi"/>
          <w:color w:val="auto"/>
          <w:szCs w:val="24"/>
        </w:rPr>
      </w:pPr>
      <w:r w:rsidRPr="00406206">
        <w:rPr>
          <w:rFonts w:ascii="Calibri" w:hAnsi="Calibri"/>
          <w:color w:val="auto"/>
          <w:u w:val="single"/>
        </w:rPr>
        <w:t xml:space="preserve">Urinary </w:t>
      </w:r>
      <w:r w:rsidR="00EB09C0">
        <w:rPr>
          <w:rFonts w:ascii="Calibri" w:hAnsi="Calibri"/>
          <w:color w:val="auto"/>
          <w:u w:val="single"/>
        </w:rPr>
        <w:t>I</w:t>
      </w:r>
      <w:r w:rsidR="00525699" w:rsidRPr="00406206">
        <w:rPr>
          <w:rFonts w:ascii="Calibri" w:hAnsi="Calibri"/>
          <w:color w:val="auto"/>
          <w:u w:val="single"/>
        </w:rPr>
        <w:t xml:space="preserve">ncontinence </w:t>
      </w:r>
      <w:r w:rsidR="00EB09C0">
        <w:rPr>
          <w:rFonts w:ascii="Calibri" w:hAnsi="Calibri"/>
          <w:color w:val="auto"/>
          <w:u w:val="single"/>
        </w:rPr>
        <w:t>A</w:t>
      </w:r>
      <w:r w:rsidR="00525699" w:rsidRPr="00406206">
        <w:rPr>
          <w:rFonts w:ascii="Calibri" w:hAnsi="Calibri"/>
          <w:color w:val="auto"/>
          <w:u w:val="single"/>
        </w:rPr>
        <w:t>ssociated wit</w:t>
      </w:r>
      <w:r w:rsidR="006012F3" w:rsidRPr="00406206">
        <w:rPr>
          <w:rFonts w:ascii="Calibri" w:hAnsi="Calibri"/>
          <w:color w:val="auto"/>
          <w:u w:val="single"/>
        </w:rPr>
        <w:t>h DDD w/</w:t>
      </w:r>
      <w:r w:rsidR="00921756" w:rsidRPr="00406206">
        <w:rPr>
          <w:rFonts w:ascii="Calibri" w:hAnsi="Calibri"/>
          <w:color w:val="auto"/>
          <w:u w:val="single"/>
        </w:rPr>
        <w:t>HNP</w:t>
      </w:r>
      <w:r w:rsidR="00525699" w:rsidRPr="00525699">
        <w:rPr>
          <w:rFonts w:ascii="Calibri" w:hAnsi="Calibri"/>
          <w:color w:val="auto"/>
          <w:u w:val="single"/>
        </w:rPr>
        <w:t xml:space="preserve"> Condition</w:t>
      </w:r>
      <w:r w:rsidR="00525699">
        <w:rPr>
          <w:rFonts w:ascii="Calibri" w:hAnsi="Calibri"/>
          <w:color w:val="auto"/>
        </w:rPr>
        <w:t>.</w:t>
      </w:r>
      <w:r w:rsidR="006012F3" w:rsidRPr="00406206">
        <w:rPr>
          <w:rFonts w:ascii="Calibri" w:hAnsi="Calibri"/>
          <w:color w:val="auto"/>
        </w:rPr>
        <w:t xml:space="preserve">  </w:t>
      </w:r>
      <w:r w:rsidR="00921756" w:rsidRPr="00406206">
        <w:rPr>
          <w:rFonts w:ascii="Calibri" w:hAnsi="Calibri"/>
          <w:color w:val="auto"/>
        </w:rPr>
        <w:t xml:space="preserve">The NARSUM examiner noted that the CI had symptoms of a change in urinary function and loss of bladder control.  </w:t>
      </w:r>
      <w:r w:rsidR="00E873EA" w:rsidRPr="00406206">
        <w:rPr>
          <w:rFonts w:ascii="Calibri" w:hAnsi="Calibri"/>
          <w:color w:val="auto"/>
        </w:rPr>
        <w:t>This complaint was also noted on the MEB history and physical exam with “at times (</w:t>
      </w:r>
      <w:r w:rsidR="00E873EA" w:rsidRPr="00406206">
        <w:rPr>
          <w:rFonts w:ascii="Calibri" w:hAnsi="Calibri"/>
          <w:i/>
          <w:color w:val="auto"/>
        </w:rPr>
        <w:t>unkn</w:t>
      </w:r>
      <w:r w:rsidR="00484ABC" w:rsidRPr="00406206">
        <w:rPr>
          <w:rFonts w:ascii="Calibri" w:hAnsi="Calibri"/>
          <w:color w:val="auto"/>
        </w:rPr>
        <w:t>)</w:t>
      </w:r>
      <w:r w:rsidR="00E873EA" w:rsidRPr="00406206">
        <w:rPr>
          <w:rFonts w:ascii="Calibri" w:hAnsi="Calibri"/>
          <w:color w:val="auto"/>
        </w:rPr>
        <w:t xml:space="preserve"> has no control of urine leakage.  Started 4-5 mos ago.  Not a dribble, enough to dampen underwear.”</w:t>
      </w:r>
      <w:r w:rsidR="0030025A" w:rsidRPr="00406206">
        <w:rPr>
          <w:rFonts w:ascii="Calibri" w:hAnsi="Calibri"/>
          <w:color w:val="auto"/>
        </w:rPr>
        <w:t xml:space="preserve">  </w:t>
      </w:r>
      <w:r w:rsidR="00E873EA" w:rsidRPr="00406206">
        <w:rPr>
          <w:rFonts w:ascii="Calibri" w:hAnsi="Calibri"/>
          <w:color w:val="auto"/>
        </w:rPr>
        <w:t xml:space="preserve">However, there was </w:t>
      </w:r>
      <w:r w:rsidR="0030025A" w:rsidRPr="00406206">
        <w:rPr>
          <w:rFonts w:ascii="Calibri" w:hAnsi="Calibri"/>
          <w:color w:val="auto"/>
        </w:rPr>
        <w:t xml:space="preserve">no expanding on the CI’s symptoms, </w:t>
      </w:r>
      <w:r w:rsidR="00E873EA" w:rsidRPr="00406206">
        <w:rPr>
          <w:rFonts w:ascii="Calibri" w:hAnsi="Calibri"/>
          <w:color w:val="auto"/>
        </w:rPr>
        <w:t xml:space="preserve">no genitourinary or rectal exam performed, and </w:t>
      </w:r>
      <w:r w:rsidR="00EB7C06" w:rsidRPr="00406206">
        <w:rPr>
          <w:rFonts w:ascii="Calibri" w:hAnsi="Calibri"/>
          <w:color w:val="auto"/>
        </w:rPr>
        <w:t>no follow-up objective testing.</w:t>
      </w:r>
      <w:r w:rsidR="00E873EA" w:rsidRPr="00406206">
        <w:rPr>
          <w:rFonts w:ascii="Calibri" w:hAnsi="Calibri"/>
          <w:color w:val="auto"/>
        </w:rPr>
        <w:t xml:space="preserve"> </w:t>
      </w:r>
      <w:r w:rsidR="0030025A" w:rsidRPr="00406206">
        <w:rPr>
          <w:rFonts w:ascii="Calibri" w:hAnsi="Calibri"/>
          <w:color w:val="auto"/>
        </w:rPr>
        <w:t xml:space="preserve"> The</w:t>
      </w:r>
      <w:r w:rsidR="00EB7C06" w:rsidRPr="00406206">
        <w:rPr>
          <w:rFonts w:ascii="Calibri" w:hAnsi="Calibri"/>
          <w:color w:val="auto"/>
        </w:rPr>
        <w:t>re were no clinic visits for this condition and no medical treatments had been considered.  This condition had never led to a LIMDU or light duty period, and was not commented upon in the</w:t>
      </w:r>
      <w:r w:rsidR="009D3931">
        <w:rPr>
          <w:rFonts w:ascii="Calibri" w:hAnsi="Calibri"/>
          <w:color w:val="auto"/>
        </w:rPr>
        <w:t xml:space="preserve"> commander’s statement</w:t>
      </w:r>
      <w:r w:rsidR="00EB7C06" w:rsidRPr="00406206">
        <w:rPr>
          <w:rFonts w:ascii="Calibri" w:hAnsi="Calibri"/>
          <w:color w:val="auto"/>
        </w:rPr>
        <w:t xml:space="preserve">.  The Board considered the VA </w:t>
      </w:r>
      <w:r w:rsidR="00921756" w:rsidRPr="00406206">
        <w:rPr>
          <w:rFonts w:ascii="Calibri" w:hAnsi="Calibri"/>
          <w:color w:val="auto"/>
        </w:rPr>
        <w:t xml:space="preserve">C&amp;P </w:t>
      </w:r>
      <w:r w:rsidR="00921756" w:rsidRPr="00406206">
        <w:rPr>
          <w:rFonts w:asciiTheme="minorHAnsi" w:hAnsiTheme="minorHAnsi"/>
          <w:color w:val="auto"/>
          <w:szCs w:val="24"/>
        </w:rPr>
        <w:t xml:space="preserve">examination </w:t>
      </w:r>
      <w:r w:rsidR="009D3931">
        <w:rPr>
          <w:rFonts w:asciiTheme="minorHAnsi" w:hAnsiTheme="minorHAnsi"/>
          <w:color w:val="auto"/>
          <w:szCs w:val="24"/>
        </w:rPr>
        <w:t>eight months</w:t>
      </w:r>
      <w:r w:rsidR="00921756" w:rsidRPr="00406206">
        <w:rPr>
          <w:rFonts w:asciiTheme="minorHAnsi" w:hAnsiTheme="minorHAnsi"/>
          <w:color w:val="auto"/>
          <w:szCs w:val="24"/>
        </w:rPr>
        <w:t xml:space="preserve"> post</w:t>
      </w:r>
      <w:r w:rsidR="009D3931">
        <w:rPr>
          <w:rFonts w:asciiTheme="minorHAnsi" w:hAnsiTheme="minorHAnsi"/>
          <w:color w:val="auto"/>
          <w:szCs w:val="24"/>
        </w:rPr>
        <w:t>-</w:t>
      </w:r>
      <w:r w:rsidR="00921756" w:rsidRPr="00406206">
        <w:rPr>
          <w:rFonts w:asciiTheme="minorHAnsi" w:hAnsiTheme="minorHAnsi"/>
          <w:color w:val="auto"/>
          <w:szCs w:val="24"/>
        </w:rPr>
        <w:t>separation</w:t>
      </w:r>
      <w:r w:rsidR="00EB7C06" w:rsidRPr="00406206">
        <w:rPr>
          <w:rFonts w:asciiTheme="minorHAnsi" w:hAnsiTheme="minorHAnsi"/>
          <w:color w:val="auto"/>
          <w:szCs w:val="24"/>
        </w:rPr>
        <w:t>.  T</w:t>
      </w:r>
      <w:r w:rsidR="00921756" w:rsidRPr="00406206">
        <w:rPr>
          <w:rFonts w:asciiTheme="minorHAnsi" w:hAnsiTheme="minorHAnsi"/>
          <w:color w:val="auto"/>
          <w:szCs w:val="24"/>
        </w:rPr>
        <w:t xml:space="preserve">he </w:t>
      </w:r>
      <w:r w:rsidR="00EB7C06" w:rsidRPr="00406206">
        <w:rPr>
          <w:rFonts w:asciiTheme="minorHAnsi" w:hAnsiTheme="minorHAnsi"/>
          <w:color w:val="auto"/>
          <w:szCs w:val="24"/>
        </w:rPr>
        <w:t xml:space="preserve">VA </w:t>
      </w:r>
      <w:r w:rsidR="00921756" w:rsidRPr="00406206">
        <w:rPr>
          <w:rFonts w:asciiTheme="minorHAnsi" w:hAnsiTheme="minorHAnsi"/>
          <w:color w:val="auto"/>
          <w:szCs w:val="24"/>
        </w:rPr>
        <w:t xml:space="preserve">examiner </w:t>
      </w:r>
      <w:r w:rsidR="00EB7C06" w:rsidRPr="00406206">
        <w:rPr>
          <w:rFonts w:asciiTheme="minorHAnsi" w:hAnsiTheme="minorHAnsi"/>
          <w:color w:val="auto"/>
          <w:szCs w:val="24"/>
        </w:rPr>
        <w:t xml:space="preserve">noted that the history from the CI of </w:t>
      </w:r>
      <w:r w:rsidR="009D3931">
        <w:rPr>
          <w:rFonts w:asciiTheme="minorHAnsi" w:hAnsiTheme="minorHAnsi"/>
          <w:color w:val="auto"/>
          <w:szCs w:val="24"/>
        </w:rPr>
        <w:t>“</w:t>
      </w:r>
      <w:r w:rsidR="00921756" w:rsidRPr="00406206">
        <w:rPr>
          <w:rFonts w:asciiTheme="minorHAnsi" w:hAnsiTheme="minorHAnsi"/>
          <w:color w:val="auto"/>
          <w:szCs w:val="24"/>
        </w:rPr>
        <w:t>urinated two times during the day at intervals of four hours and during the night he urinated two times at intervals of four hours</w:t>
      </w:r>
      <w:r w:rsidR="00EB7C06" w:rsidRPr="00406206">
        <w:rPr>
          <w:rFonts w:asciiTheme="minorHAnsi" w:hAnsiTheme="minorHAnsi"/>
          <w:color w:val="auto"/>
          <w:szCs w:val="24"/>
        </w:rPr>
        <w:t xml:space="preserve">, with </w:t>
      </w:r>
      <w:r w:rsidR="00921756" w:rsidRPr="00406206">
        <w:rPr>
          <w:rFonts w:asciiTheme="minorHAnsi" w:hAnsiTheme="minorHAnsi"/>
          <w:color w:val="auto"/>
          <w:szCs w:val="24"/>
        </w:rPr>
        <w:t>urinary incontinence which required a pad as often as four times per day.</w:t>
      </w:r>
      <w:r w:rsidR="009D3931">
        <w:rPr>
          <w:rFonts w:asciiTheme="minorHAnsi" w:hAnsiTheme="minorHAnsi"/>
          <w:color w:val="auto"/>
          <w:szCs w:val="24"/>
        </w:rPr>
        <w:t>”</w:t>
      </w:r>
      <w:r w:rsidR="00921756" w:rsidRPr="00406206">
        <w:rPr>
          <w:rFonts w:asciiTheme="minorHAnsi" w:hAnsiTheme="minorHAnsi"/>
          <w:color w:val="auto"/>
          <w:szCs w:val="24"/>
        </w:rPr>
        <w:t xml:space="preserve">  </w:t>
      </w:r>
      <w:r w:rsidR="001A5968">
        <w:rPr>
          <w:rFonts w:asciiTheme="minorHAnsi" w:hAnsiTheme="minorHAnsi"/>
          <w:color w:val="auto"/>
          <w:szCs w:val="24"/>
        </w:rPr>
        <w:t>The examiner stated</w:t>
      </w:r>
      <w:r w:rsidR="009D3931">
        <w:rPr>
          <w:rFonts w:asciiTheme="minorHAnsi" w:hAnsiTheme="minorHAnsi"/>
          <w:color w:val="auto"/>
          <w:szCs w:val="24"/>
        </w:rPr>
        <w:t>,</w:t>
      </w:r>
      <w:r w:rsidR="001A5968">
        <w:rPr>
          <w:rFonts w:asciiTheme="minorHAnsi" w:hAnsiTheme="minorHAnsi"/>
          <w:color w:val="auto"/>
          <w:szCs w:val="24"/>
        </w:rPr>
        <w:t xml:space="preserve"> </w:t>
      </w:r>
      <w:r w:rsidR="002101F8" w:rsidRPr="00406206">
        <w:rPr>
          <w:rFonts w:asciiTheme="minorHAnsi" w:hAnsiTheme="minorHAnsi"/>
          <w:color w:val="auto"/>
          <w:szCs w:val="24"/>
        </w:rPr>
        <w:t xml:space="preserve">“There is no functional impairment resulting from the above condition.”  </w:t>
      </w:r>
      <w:r w:rsidR="00921756" w:rsidRPr="00406206">
        <w:rPr>
          <w:rFonts w:asciiTheme="minorHAnsi" w:hAnsiTheme="minorHAnsi"/>
          <w:color w:val="auto"/>
          <w:szCs w:val="24"/>
        </w:rPr>
        <w:t>The VA rated this condition 7599-7542 (</w:t>
      </w:r>
      <w:r w:rsidR="001F3658" w:rsidRPr="00406206">
        <w:rPr>
          <w:rFonts w:asciiTheme="minorHAnsi" w:hAnsiTheme="minorHAnsi"/>
          <w:color w:val="auto"/>
          <w:szCs w:val="24"/>
        </w:rPr>
        <w:t>neurogenic bladder-</w:t>
      </w:r>
      <w:r w:rsidR="00921756" w:rsidRPr="00406206">
        <w:rPr>
          <w:rFonts w:asciiTheme="minorHAnsi" w:hAnsiTheme="minorHAnsi"/>
          <w:color w:val="auto"/>
          <w:szCs w:val="24"/>
        </w:rPr>
        <w:t xml:space="preserve">rate as voiding dysfunction) at 40%.  </w:t>
      </w:r>
      <w:r w:rsidR="00EB7C06" w:rsidRPr="00406206">
        <w:rPr>
          <w:rFonts w:asciiTheme="minorHAnsi" w:hAnsiTheme="minorHAnsi"/>
          <w:color w:val="auto"/>
          <w:szCs w:val="24"/>
        </w:rPr>
        <w:t>There was no evidence for concluding that any urinary symptom or condition interfered with duty performance to a degree that could be argued as unfitting</w:t>
      </w:r>
      <w:r w:rsidR="00BA072B" w:rsidRPr="00406206">
        <w:rPr>
          <w:rFonts w:asciiTheme="minorHAnsi" w:hAnsiTheme="minorHAnsi"/>
          <w:color w:val="auto"/>
          <w:szCs w:val="24"/>
        </w:rPr>
        <w:t xml:space="preserve"> at the time of separation</w:t>
      </w:r>
      <w:r w:rsidR="00EB7C06" w:rsidRPr="00406206">
        <w:rPr>
          <w:rFonts w:asciiTheme="minorHAnsi" w:hAnsiTheme="minorHAnsi"/>
          <w:color w:val="auto"/>
          <w:szCs w:val="24"/>
        </w:rPr>
        <w:t>.</w:t>
      </w:r>
      <w:r w:rsidR="00BA072B" w:rsidRPr="00406206">
        <w:rPr>
          <w:rFonts w:asciiTheme="minorHAnsi" w:hAnsiTheme="minorHAnsi"/>
          <w:color w:val="auto"/>
          <w:szCs w:val="24"/>
        </w:rPr>
        <w:t xml:space="preserve">  </w:t>
      </w:r>
      <w:r w:rsidR="00484ABC" w:rsidRPr="00406206">
        <w:rPr>
          <w:rFonts w:asciiTheme="minorHAnsi" w:hAnsiTheme="minorHAnsi"/>
          <w:color w:val="auto"/>
          <w:szCs w:val="24"/>
        </w:rPr>
        <w:t xml:space="preserve">All evidence considered, there is not reasonable doubt in the CI’s favor supporting addition of urinary incontinence associated with his back condition as an unfitting condition for additional separation rating.  </w:t>
      </w:r>
    </w:p>
    <w:p w:rsidR="00921756" w:rsidRPr="00406206" w:rsidRDefault="00921756" w:rsidP="0026697A">
      <w:pPr>
        <w:spacing w:line="240" w:lineRule="exact"/>
        <w:jc w:val="both"/>
        <w:rPr>
          <w:rFonts w:ascii="Calibri" w:hAnsi="Calibri"/>
          <w:color w:val="auto"/>
        </w:rPr>
      </w:pPr>
    </w:p>
    <w:p w:rsidR="00FD4A0B" w:rsidRPr="00FD4A0B" w:rsidRDefault="00FD4A0B" w:rsidP="00FD4A0B">
      <w:pPr>
        <w:spacing w:line="240" w:lineRule="exact"/>
        <w:jc w:val="both"/>
        <w:rPr>
          <w:rFonts w:asciiTheme="minorHAnsi" w:hAnsiTheme="minorHAnsi"/>
          <w:color w:val="auto"/>
          <w:szCs w:val="24"/>
        </w:rPr>
      </w:pPr>
      <w:proofErr w:type="gramStart"/>
      <w:r w:rsidRPr="00FD4A0B">
        <w:rPr>
          <w:rFonts w:asciiTheme="minorHAnsi" w:hAnsiTheme="minorHAnsi"/>
          <w:color w:val="auto"/>
          <w:szCs w:val="24"/>
          <w:u w:val="single"/>
        </w:rPr>
        <w:t>Remaining Conditions</w:t>
      </w:r>
      <w:r w:rsidRPr="00FD4A0B">
        <w:rPr>
          <w:rFonts w:asciiTheme="minorHAnsi" w:hAnsiTheme="minorHAnsi"/>
          <w:color w:val="auto"/>
          <w:szCs w:val="24"/>
        </w:rPr>
        <w:t>.</w:t>
      </w:r>
      <w:proofErr w:type="gramEnd"/>
      <w:r w:rsidRPr="00FD4A0B">
        <w:rPr>
          <w:rFonts w:asciiTheme="minorHAnsi" w:hAnsiTheme="minorHAnsi"/>
          <w:color w:val="auto"/>
          <w:szCs w:val="24"/>
        </w:rPr>
        <w:t xml:space="preserve"> No other conditions were noted in the NARSUM,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BA072B" w:rsidRPr="00406206" w:rsidRDefault="00C56FC8" w:rsidP="0026697A">
      <w:pPr>
        <w:spacing w:line="240" w:lineRule="exact"/>
        <w:jc w:val="both"/>
        <w:rPr>
          <w:rFonts w:asciiTheme="minorHAnsi" w:hAnsiTheme="minorHAnsi"/>
          <w:color w:val="auto"/>
          <w:szCs w:val="24"/>
        </w:rPr>
      </w:pPr>
      <w:r w:rsidRPr="00406206">
        <w:rPr>
          <w:rFonts w:asciiTheme="minorHAnsi" w:hAnsiTheme="minorHAnsi"/>
          <w:color w:val="auto"/>
          <w:szCs w:val="24"/>
          <w:u w:val="single"/>
        </w:rPr>
        <w:t>BOARD FINDINGS</w:t>
      </w:r>
      <w:r w:rsidRPr="00406206">
        <w:rPr>
          <w:rFonts w:asciiTheme="minorHAnsi" w:hAnsiTheme="minorHAnsi"/>
          <w:color w:val="auto"/>
          <w:szCs w:val="24"/>
        </w:rPr>
        <w:t>:</w:t>
      </w:r>
      <w:r w:rsidRPr="0040620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w:t>
      </w:r>
      <w:r w:rsidR="009D3931">
        <w:rPr>
          <w:rFonts w:asciiTheme="minorHAnsi" w:eastAsiaTheme="minorHAnsi" w:hAnsiTheme="minorHAnsi"/>
          <w:color w:val="auto"/>
          <w:szCs w:val="24"/>
        </w:rPr>
        <w:t>VA Schedule for Rating Disabilities (</w:t>
      </w:r>
      <w:r w:rsidRPr="00406206">
        <w:rPr>
          <w:rFonts w:asciiTheme="minorHAnsi" w:eastAsiaTheme="minorHAnsi" w:hAnsiTheme="minorHAnsi"/>
          <w:color w:val="auto"/>
          <w:szCs w:val="24"/>
        </w:rPr>
        <w:t>VASRD</w:t>
      </w:r>
      <w:r w:rsidR="009D3931">
        <w:rPr>
          <w:rFonts w:asciiTheme="minorHAnsi" w:eastAsiaTheme="minorHAnsi" w:hAnsiTheme="minorHAnsi"/>
          <w:color w:val="auto"/>
          <w:szCs w:val="24"/>
        </w:rPr>
        <w:t>)</w:t>
      </w:r>
      <w:r w:rsidRPr="00406206">
        <w:rPr>
          <w:rFonts w:asciiTheme="minorHAnsi" w:eastAsiaTheme="minorHAnsi" w:hAnsiTheme="minorHAnsi"/>
          <w:color w:val="auto"/>
          <w:szCs w:val="24"/>
        </w:rPr>
        <w:t xml:space="preserve"> in effect at the time of the adjudication. </w:t>
      </w:r>
      <w:r w:rsidR="001D68CF" w:rsidRPr="00406206">
        <w:rPr>
          <w:rFonts w:asciiTheme="minorHAnsi" w:eastAsiaTheme="minorHAnsi" w:hAnsiTheme="minorHAnsi"/>
          <w:color w:val="auto"/>
          <w:szCs w:val="24"/>
        </w:rPr>
        <w:t xml:space="preserve"> </w:t>
      </w:r>
      <w:r w:rsidR="00202351" w:rsidRPr="00406206">
        <w:rPr>
          <w:rFonts w:asciiTheme="minorHAnsi" w:eastAsiaTheme="minorHAnsi" w:hAnsiTheme="minorHAnsi"/>
          <w:color w:val="auto"/>
          <w:szCs w:val="24"/>
        </w:rPr>
        <w:t xml:space="preserve">In the matter of </w:t>
      </w:r>
      <w:r w:rsidR="009D3931">
        <w:rPr>
          <w:rFonts w:asciiTheme="minorHAnsi" w:eastAsiaTheme="minorHAnsi" w:hAnsiTheme="minorHAnsi"/>
          <w:color w:val="auto"/>
          <w:szCs w:val="24"/>
        </w:rPr>
        <w:t>Lumbar DDD</w:t>
      </w:r>
      <w:r w:rsidR="00DA78DC" w:rsidRPr="00406206">
        <w:rPr>
          <w:rFonts w:asciiTheme="minorHAnsi" w:hAnsiTheme="minorHAnsi"/>
          <w:color w:val="auto"/>
          <w:szCs w:val="24"/>
        </w:rPr>
        <w:t xml:space="preserve"> condition, the Board unanimously agrees that </w:t>
      </w:r>
      <w:r w:rsidR="0026697A" w:rsidRPr="00406206">
        <w:rPr>
          <w:rFonts w:asciiTheme="minorHAnsi" w:hAnsiTheme="minorHAnsi"/>
          <w:color w:val="auto"/>
          <w:szCs w:val="24"/>
        </w:rPr>
        <w:t>it recommends</w:t>
      </w:r>
      <w:r w:rsidR="00DA78DC" w:rsidRPr="00406206">
        <w:rPr>
          <w:rFonts w:asciiTheme="minorHAnsi" w:hAnsiTheme="minorHAnsi"/>
          <w:color w:val="auto"/>
          <w:szCs w:val="24"/>
        </w:rPr>
        <w:t xml:space="preserve"> no change in the PEB adjudication</w:t>
      </w:r>
      <w:r w:rsidR="00C53C51" w:rsidRPr="00406206">
        <w:rPr>
          <w:rFonts w:asciiTheme="minorHAnsi" w:hAnsiTheme="minorHAnsi"/>
          <w:color w:val="auto"/>
          <w:szCs w:val="24"/>
        </w:rPr>
        <w:t xml:space="preserve"> of unfitting at 10%</w:t>
      </w:r>
      <w:r w:rsidR="00DA78DC" w:rsidRPr="00406206">
        <w:rPr>
          <w:rFonts w:asciiTheme="minorHAnsi" w:hAnsiTheme="minorHAnsi"/>
          <w:color w:val="auto"/>
          <w:szCs w:val="24"/>
        </w:rPr>
        <w:t xml:space="preserve">.  </w:t>
      </w:r>
      <w:r w:rsidR="00BA072B" w:rsidRPr="00406206">
        <w:rPr>
          <w:rFonts w:asciiTheme="minorHAnsi" w:hAnsiTheme="minorHAnsi"/>
          <w:color w:val="auto"/>
          <w:szCs w:val="24"/>
        </w:rPr>
        <w:t xml:space="preserve">In the matter of the </w:t>
      </w:r>
      <w:r w:rsidR="002101F8" w:rsidRPr="00406206">
        <w:rPr>
          <w:rFonts w:asciiTheme="minorHAnsi" w:hAnsiTheme="minorHAnsi"/>
          <w:color w:val="auto"/>
          <w:szCs w:val="24"/>
        </w:rPr>
        <w:t>left leg radiculopathy</w:t>
      </w:r>
      <w:r w:rsidR="009D3931">
        <w:rPr>
          <w:rFonts w:asciiTheme="minorHAnsi" w:hAnsiTheme="minorHAnsi"/>
          <w:color w:val="auto"/>
          <w:szCs w:val="24"/>
        </w:rPr>
        <w:t xml:space="preserve">, </w:t>
      </w:r>
      <w:r w:rsidR="00BA072B" w:rsidRPr="00406206">
        <w:rPr>
          <w:rFonts w:asciiTheme="minorHAnsi" w:hAnsiTheme="minorHAnsi"/>
          <w:color w:val="auto"/>
          <w:szCs w:val="24"/>
        </w:rPr>
        <w:t>urinary incontinence condition</w:t>
      </w:r>
      <w:r w:rsidR="002101F8" w:rsidRPr="00406206">
        <w:rPr>
          <w:rFonts w:asciiTheme="minorHAnsi" w:hAnsiTheme="minorHAnsi"/>
          <w:color w:val="auto"/>
          <w:szCs w:val="24"/>
        </w:rPr>
        <w:t>s</w:t>
      </w:r>
      <w:r w:rsidR="00BA072B" w:rsidRPr="00406206">
        <w:rPr>
          <w:rFonts w:asciiTheme="minorHAnsi" w:hAnsiTheme="minorHAnsi"/>
          <w:color w:val="auto"/>
          <w:szCs w:val="24"/>
        </w:rPr>
        <w:t xml:space="preserve"> or any other medical conditions eligible for Board consideration</w:t>
      </w:r>
      <w:r w:rsidR="009D3931">
        <w:rPr>
          <w:rFonts w:asciiTheme="minorHAnsi" w:hAnsiTheme="minorHAnsi"/>
          <w:color w:val="auto"/>
          <w:szCs w:val="24"/>
        </w:rPr>
        <w:t>,</w:t>
      </w:r>
      <w:r w:rsidR="00BA072B" w:rsidRPr="00406206">
        <w:rPr>
          <w:rFonts w:asciiTheme="minorHAnsi" w:hAnsiTheme="minorHAnsi"/>
          <w:color w:val="auto"/>
          <w:szCs w:val="24"/>
        </w:rPr>
        <w:t xml:space="preserve"> the Board unanimously agrees that it cannot recommend any findings of unfit for additional rating at separation.</w:t>
      </w:r>
    </w:p>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921756" w:rsidRPr="00406206" w:rsidRDefault="00921756" w:rsidP="00921756">
      <w:pPr>
        <w:tabs>
          <w:tab w:val="left" w:pos="288"/>
          <w:tab w:val="left" w:pos="4752"/>
        </w:tabs>
        <w:spacing w:line="240" w:lineRule="exact"/>
        <w:jc w:val="both"/>
        <w:rPr>
          <w:rFonts w:asciiTheme="minorHAnsi" w:hAnsiTheme="minorHAnsi"/>
          <w:color w:val="auto"/>
          <w:szCs w:val="24"/>
        </w:rPr>
      </w:pPr>
      <w:r w:rsidRPr="00406206">
        <w:rPr>
          <w:rFonts w:asciiTheme="minorHAnsi" w:hAnsiTheme="minorHAnsi"/>
          <w:color w:val="auto"/>
          <w:szCs w:val="24"/>
          <w:u w:val="single"/>
        </w:rPr>
        <w:t>RECOMMENDATION</w:t>
      </w:r>
      <w:r w:rsidRPr="00406206">
        <w:rPr>
          <w:rFonts w:asciiTheme="minorHAnsi" w:hAnsiTheme="minorHAnsi"/>
          <w:color w:val="auto"/>
          <w:szCs w:val="24"/>
        </w:rPr>
        <w:t>:  The Board therefore recommends that there be no recharacterization of the CI’s disability and separation determination, as follows:</w:t>
      </w:r>
    </w:p>
    <w:p w:rsidR="00921756" w:rsidRPr="00406206" w:rsidRDefault="00921756" w:rsidP="00921756">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921756" w:rsidRPr="00406206" w:rsidTr="00501B89">
        <w:trPr>
          <w:trHeight w:val="287"/>
          <w:jc w:val="center"/>
        </w:trPr>
        <w:tc>
          <w:tcPr>
            <w:tcW w:w="6480" w:type="dxa"/>
            <w:shd w:val="clear" w:color="auto" w:fill="D9D9D9"/>
            <w:vAlign w:val="center"/>
          </w:tcPr>
          <w:p w:rsidR="00921756" w:rsidRPr="00406206" w:rsidRDefault="00921756" w:rsidP="00501B89">
            <w:pPr>
              <w:tabs>
                <w:tab w:val="left" w:pos="288"/>
                <w:tab w:val="left" w:pos="4752"/>
              </w:tabs>
              <w:spacing w:line="240" w:lineRule="exact"/>
              <w:jc w:val="center"/>
              <w:rPr>
                <w:rFonts w:asciiTheme="minorHAnsi" w:hAnsiTheme="minorHAnsi"/>
                <w:b/>
                <w:color w:val="auto"/>
                <w:szCs w:val="24"/>
              </w:rPr>
            </w:pPr>
            <w:r w:rsidRPr="00406206">
              <w:rPr>
                <w:rFonts w:asciiTheme="minorHAnsi" w:hAnsiTheme="minorHAnsi"/>
                <w:b/>
                <w:color w:val="auto"/>
                <w:szCs w:val="24"/>
              </w:rPr>
              <w:t>UNFITTING CONDITION</w:t>
            </w:r>
          </w:p>
        </w:tc>
        <w:tc>
          <w:tcPr>
            <w:tcW w:w="1710" w:type="dxa"/>
            <w:shd w:val="clear" w:color="auto" w:fill="D9D9D9"/>
            <w:vAlign w:val="center"/>
          </w:tcPr>
          <w:p w:rsidR="00921756" w:rsidRPr="00406206" w:rsidRDefault="00921756" w:rsidP="00501B89">
            <w:pPr>
              <w:tabs>
                <w:tab w:val="left" w:pos="288"/>
                <w:tab w:val="left" w:pos="4752"/>
              </w:tabs>
              <w:spacing w:line="240" w:lineRule="exact"/>
              <w:jc w:val="center"/>
              <w:rPr>
                <w:rFonts w:asciiTheme="minorHAnsi" w:hAnsiTheme="minorHAnsi"/>
                <w:b/>
                <w:color w:val="auto"/>
                <w:szCs w:val="24"/>
              </w:rPr>
            </w:pPr>
            <w:r w:rsidRPr="00406206">
              <w:rPr>
                <w:rFonts w:asciiTheme="minorHAnsi" w:hAnsiTheme="minorHAnsi"/>
                <w:b/>
                <w:color w:val="auto"/>
                <w:szCs w:val="24"/>
              </w:rPr>
              <w:t>VASRD CODE</w:t>
            </w:r>
          </w:p>
        </w:tc>
        <w:tc>
          <w:tcPr>
            <w:tcW w:w="1170" w:type="dxa"/>
            <w:shd w:val="clear" w:color="auto" w:fill="D9D9D9"/>
            <w:vAlign w:val="center"/>
          </w:tcPr>
          <w:p w:rsidR="00921756" w:rsidRPr="00406206" w:rsidRDefault="00921756" w:rsidP="00501B89">
            <w:pPr>
              <w:tabs>
                <w:tab w:val="left" w:pos="288"/>
                <w:tab w:val="left" w:pos="4752"/>
              </w:tabs>
              <w:spacing w:line="240" w:lineRule="exact"/>
              <w:jc w:val="center"/>
              <w:rPr>
                <w:rFonts w:asciiTheme="minorHAnsi" w:hAnsiTheme="minorHAnsi"/>
                <w:b/>
                <w:color w:val="auto"/>
                <w:szCs w:val="24"/>
              </w:rPr>
            </w:pPr>
            <w:r w:rsidRPr="00406206">
              <w:rPr>
                <w:rFonts w:asciiTheme="minorHAnsi" w:hAnsiTheme="minorHAnsi"/>
                <w:b/>
                <w:color w:val="auto"/>
                <w:szCs w:val="24"/>
              </w:rPr>
              <w:t>RATING</w:t>
            </w:r>
          </w:p>
        </w:tc>
      </w:tr>
      <w:tr w:rsidR="00921756" w:rsidRPr="00406206" w:rsidTr="00501B89">
        <w:trPr>
          <w:jc w:val="center"/>
        </w:trPr>
        <w:tc>
          <w:tcPr>
            <w:tcW w:w="6480" w:type="dxa"/>
            <w:vAlign w:val="center"/>
          </w:tcPr>
          <w:p w:rsidR="00921756" w:rsidRPr="00406206" w:rsidRDefault="00921756" w:rsidP="00501B89">
            <w:pPr>
              <w:tabs>
                <w:tab w:val="left" w:pos="288"/>
                <w:tab w:val="left" w:pos="4752"/>
              </w:tabs>
              <w:spacing w:line="240" w:lineRule="exact"/>
              <w:rPr>
                <w:rFonts w:asciiTheme="minorHAnsi" w:hAnsiTheme="minorHAnsi"/>
                <w:color w:val="auto"/>
                <w:szCs w:val="24"/>
              </w:rPr>
            </w:pPr>
            <w:r w:rsidRPr="00406206">
              <w:rPr>
                <w:rFonts w:asciiTheme="minorHAnsi" w:hAnsiTheme="minorHAnsi"/>
                <w:color w:val="auto"/>
                <w:szCs w:val="24"/>
              </w:rPr>
              <w:t xml:space="preserve">Degenerative Lumbar Intervertebral Disc </w:t>
            </w:r>
            <w:r w:rsidRPr="00406206">
              <w:rPr>
                <w:rFonts w:ascii="Calibri" w:hAnsi="Calibri"/>
                <w:color w:val="auto"/>
              </w:rPr>
              <w:t>w/Herniated Nucleus Pulposus</w:t>
            </w:r>
          </w:p>
        </w:tc>
        <w:tc>
          <w:tcPr>
            <w:tcW w:w="1710" w:type="dxa"/>
            <w:vAlign w:val="center"/>
          </w:tcPr>
          <w:p w:rsidR="00921756" w:rsidRPr="00406206" w:rsidRDefault="00921756" w:rsidP="00501B89">
            <w:pPr>
              <w:tabs>
                <w:tab w:val="left" w:pos="288"/>
                <w:tab w:val="left" w:pos="4752"/>
              </w:tabs>
              <w:spacing w:line="240" w:lineRule="exact"/>
              <w:jc w:val="center"/>
              <w:rPr>
                <w:rFonts w:asciiTheme="minorHAnsi" w:hAnsiTheme="minorHAnsi"/>
                <w:color w:val="auto"/>
                <w:szCs w:val="24"/>
              </w:rPr>
            </w:pPr>
            <w:r w:rsidRPr="00406206">
              <w:rPr>
                <w:rFonts w:asciiTheme="minorHAnsi" w:hAnsiTheme="minorHAnsi"/>
                <w:color w:val="auto"/>
                <w:szCs w:val="24"/>
              </w:rPr>
              <w:t>5242</w:t>
            </w:r>
          </w:p>
        </w:tc>
        <w:tc>
          <w:tcPr>
            <w:tcW w:w="1170" w:type="dxa"/>
            <w:vAlign w:val="center"/>
          </w:tcPr>
          <w:p w:rsidR="00921756" w:rsidRPr="00406206" w:rsidRDefault="00921756" w:rsidP="00501B89">
            <w:pPr>
              <w:tabs>
                <w:tab w:val="left" w:pos="288"/>
                <w:tab w:val="left" w:pos="4752"/>
              </w:tabs>
              <w:spacing w:line="240" w:lineRule="exact"/>
              <w:jc w:val="center"/>
              <w:rPr>
                <w:rFonts w:asciiTheme="minorHAnsi" w:hAnsiTheme="minorHAnsi"/>
                <w:color w:val="auto"/>
                <w:szCs w:val="24"/>
              </w:rPr>
            </w:pPr>
            <w:r w:rsidRPr="00406206">
              <w:rPr>
                <w:rFonts w:asciiTheme="minorHAnsi" w:hAnsiTheme="minorHAnsi"/>
                <w:color w:val="auto"/>
                <w:szCs w:val="24"/>
              </w:rPr>
              <w:t>10%</w:t>
            </w:r>
          </w:p>
        </w:tc>
      </w:tr>
      <w:tr w:rsidR="00921756" w:rsidRPr="00406206" w:rsidTr="00501B89">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vAlign w:val="center"/>
          </w:tcPr>
          <w:p w:rsidR="00921756" w:rsidRPr="00406206" w:rsidRDefault="00921756" w:rsidP="00501B89">
            <w:pPr>
              <w:tabs>
                <w:tab w:val="left" w:pos="288"/>
                <w:tab w:val="left" w:pos="4752"/>
              </w:tabs>
              <w:spacing w:line="240" w:lineRule="exact"/>
              <w:jc w:val="center"/>
              <w:rPr>
                <w:rFonts w:asciiTheme="minorHAnsi" w:hAnsiTheme="minorHAnsi"/>
                <w:b/>
                <w:color w:val="auto"/>
                <w:szCs w:val="24"/>
              </w:rPr>
            </w:pPr>
            <w:r w:rsidRPr="0040620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921756" w:rsidRPr="00406206" w:rsidRDefault="00921756" w:rsidP="00501B89">
            <w:pPr>
              <w:tabs>
                <w:tab w:val="left" w:pos="288"/>
                <w:tab w:val="left" w:pos="4752"/>
              </w:tabs>
              <w:spacing w:line="240" w:lineRule="exact"/>
              <w:jc w:val="center"/>
              <w:rPr>
                <w:rFonts w:asciiTheme="minorHAnsi" w:hAnsiTheme="minorHAnsi"/>
                <w:b/>
                <w:color w:val="auto"/>
                <w:szCs w:val="24"/>
              </w:rPr>
            </w:pPr>
            <w:r w:rsidRPr="00406206">
              <w:rPr>
                <w:rFonts w:asciiTheme="minorHAnsi" w:hAnsiTheme="minorHAnsi"/>
                <w:b/>
                <w:color w:val="auto"/>
                <w:szCs w:val="24"/>
              </w:rPr>
              <w:t>10%</w:t>
            </w:r>
          </w:p>
        </w:tc>
      </w:tr>
    </w:tbl>
    <w:p w:rsidR="00501B89" w:rsidRPr="00501B89" w:rsidRDefault="00501B89" w:rsidP="00501B89">
      <w:pPr>
        <w:pBdr>
          <w:bottom w:val="single" w:sz="12" w:space="1" w:color="auto"/>
        </w:pBdr>
        <w:tabs>
          <w:tab w:val="left" w:pos="288"/>
          <w:tab w:val="left" w:pos="4752"/>
        </w:tabs>
        <w:spacing w:line="240" w:lineRule="exact"/>
        <w:jc w:val="both"/>
        <w:rPr>
          <w:rFonts w:asciiTheme="minorHAnsi" w:hAnsiTheme="minorHAnsi"/>
          <w:color w:val="auto"/>
          <w:u w:val="single"/>
        </w:rPr>
      </w:pPr>
    </w:p>
    <w:p w:rsidR="00501B89" w:rsidRPr="00501B89" w:rsidRDefault="00501B89" w:rsidP="00501B89">
      <w:pPr>
        <w:tabs>
          <w:tab w:val="left" w:pos="288"/>
          <w:tab w:val="left" w:pos="4752"/>
        </w:tabs>
        <w:spacing w:line="240" w:lineRule="exact"/>
        <w:jc w:val="both"/>
        <w:rPr>
          <w:rFonts w:asciiTheme="minorHAnsi" w:hAnsiTheme="minorHAnsi"/>
          <w:color w:val="auto"/>
        </w:rPr>
      </w:pPr>
    </w:p>
    <w:p w:rsidR="009D3931" w:rsidRDefault="009D3931" w:rsidP="00190E48">
      <w:pPr>
        <w:tabs>
          <w:tab w:val="left" w:pos="288"/>
          <w:tab w:val="left" w:pos="4752"/>
        </w:tabs>
        <w:spacing w:line="240" w:lineRule="exact"/>
        <w:jc w:val="both"/>
        <w:rPr>
          <w:rFonts w:asciiTheme="minorHAnsi" w:hAnsiTheme="minorHAnsi"/>
          <w:color w:val="auto"/>
        </w:rPr>
      </w:pPr>
    </w:p>
    <w:p w:rsidR="009D3931" w:rsidRDefault="009D3931" w:rsidP="00190E48">
      <w:pPr>
        <w:tabs>
          <w:tab w:val="left" w:pos="288"/>
          <w:tab w:val="left" w:pos="4752"/>
        </w:tabs>
        <w:spacing w:line="240" w:lineRule="exact"/>
        <w:jc w:val="both"/>
        <w:rPr>
          <w:rFonts w:asciiTheme="minorHAnsi" w:hAnsiTheme="minorHAnsi"/>
          <w:color w:val="auto"/>
        </w:rPr>
      </w:pPr>
    </w:p>
    <w:p w:rsidR="009D3931" w:rsidRDefault="009D3931"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75690D">
        <w:rPr>
          <w:rFonts w:asciiTheme="minorHAnsi" w:hAnsiTheme="minorHAnsi"/>
          <w:color w:val="auto"/>
        </w:rPr>
        <w:t>20100101</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A5968" w:rsidRDefault="001A5968" w:rsidP="001A596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A5968" w:rsidRDefault="001A5968" w:rsidP="001A596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A5968" w:rsidRPr="001A5968" w:rsidRDefault="001A5968" w:rsidP="001A596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A5968">
        <w:rPr>
          <w:rFonts w:asciiTheme="minorHAnsi" w:hAnsiTheme="minorHAnsi"/>
          <w:color w:val="auto"/>
        </w:rPr>
        <w:t xml:space="preserve">                             </w:t>
      </w:r>
      <w:r w:rsidRPr="001A5968">
        <w:rPr>
          <w:rFonts w:asciiTheme="minorHAnsi" w:hAnsiTheme="minorHAnsi"/>
          <w:color w:val="auto"/>
        </w:rPr>
        <w:tab/>
      </w:r>
      <w:r w:rsidRPr="001A5968">
        <w:rPr>
          <w:rFonts w:asciiTheme="minorHAnsi" w:hAnsiTheme="minorHAnsi"/>
          <w:color w:val="auto"/>
        </w:rPr>
        <w:tab/>
        <w:t>Deputy Director</w:t>
      </w:r>
    </w:p>
    <w:p w:rsidR="00AA04B3" w:rsidRDefault="001A5968" w:rsidP="001A596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A5968">
        <w:rPr>
          <w:rFonts w:asciiTheme="minorHAnsi" w:hAnsiTheme="minorHAnsi"/>
          <w:color w:val="auto"/>
        </w:rPr>
        <w:tab/>
        <w:t xml:space="preserve">                           </w:t>
      </w:r>
      <w:r w:rsidRPr="001A5968">
        <w:rPr>
          <w:rFonts w:asciiTheme="minorHAnsi" w:hAnsiTheme="minorHAnsi"/>
          <w:color w:val="auto"/>
        </w:rPr>
        <w:tab/>
      </w:r>
      <w:r w:rsidRPr="001A5968">
        <w:rPr>
          <w:rFonts w:asciiTheme="minorHAnsi" w:hAnsiTheme="minorHAnsi"/>
          <w:color w:val="auto"/>
        </w:rPr>
        <w:tab/>
        <w:t>Physical Disability Board of Review</w:t>
      </w:r>
    </w:p>
    <w:p w:rsidR="00FB476B" w:rsidRDefault="00FB476B" w:rsidP="00FB476B">
      <w:pPr>
        <w:ind w:left="-360"/>
        <w:jc w:val="both"/>
        <w:rPr>
          <w:color w:val="auto"/>
          <w:sz w:val="18"/>
          <w:szCs w:val="18"/>
        </w:rPr>
      </w:pPr>
    </w:p>
    <w:p w:rsidR="00E84392" w:rsidRDefault="00E84392">
      <w:pPr>
        <w:rPr>
          <w:color w:val="auto"/>
          <w:sz w:val="18"/>
          <w:szCs w:val="18"/>
        </w:rPr>
      </w:pPr>
      <w:r>
        <w:rPr>
          <w:color w:val="auto"/>
          <w:sz w:val="18"/>
          <w:szCs w:val="18"/>
        </w:rPr>
        <w:br w:type="page"/>
      </w:r>
    </w:p>
    <w:p w:rsidR="00FB476B" w:rsidRDefault="00FB476B" w:rsidP="00FB476B">
      <w:pPr>
        <w:ind w:left="-360"/>
        <w:jc w:val="both"/>
        <w:rPr>
          <w:color w:val="auto"/>
          <w:sz w:val="18"/>
          <w:szCs w:val="18"/>
        </w:rPr>
      </w:pPr>
    </w:p>
    <w:p w:rsidR="00FB476B" w:rsidRPr="00FB476B" w:rsidRDefault="00FB476B" w:rsidP="00FB476B">
      <w:pPr>
        <w:ind w:left="-360"/>
        <w:jc w:val="both"/>
        <w:rPr>
          <w:color w:val="auto"/>
          <w:sz w:val="18"/>
          <w:szCs w:val="18"/>
        </w:rPr>
      </w:pPr>
      <w:r w:rsidRPr="00FB476B">
        <w:rPr>
          <w:color w:val="auto"/>
          <w:sz w:val="18"/>
          <w:szCs w:val="18"/>
        </w:rPr>
        <w:t xml:space="preserve">MEMORANDUM FOR DIRECTOR, SECRETARY OF THE NAVY COUNCIL OF REVIEW   </w:t>
      </w:r>
    </w:p>
    <w:p w:rsidR="00FB476B" w:rsidRPr="00FB476B" w:rsidRDefault="00FB476B" w:rsidP="00FB476B">
      <w:pPr>
        <w:tabs>
          <w:tab w:val="left" w:pos="2070"/>
        </w:tabs>
        <w:ind w:left="-360"/>
        <w:jc w:val="both"/>
        <w:rPr>
          <w:color w:val="auto"/>
          <w:sz w:val="18"/>
          <w:szCs w:val="18"/>
        </w:rPr>
      </w:pPr>
      <w:r w:rsidRPr="00FB476B">
        <w:rPr>
          <w:color w:val="auto"/>
          <w:sz w:val="18"/>
          <w:szCs w:val="18"/>
        </w:rPr>
        <w:t xml:space="preserve">                                        </w:t>
      </w:r>
      <w:r w:rsidRPr="00FB476B">
        <w:rPr>
          <w:color w:val="auto"/>
          <w:sz w:val="18"/>
          <w:szCs w:val="18"/>
        </w:rPr>
        <w:tab/>
        <w:t xml:space="preserve">BOARDS </w:t>
      </w:r>
    </w:p>
    <w:p w:rsidR="00FB476B" w:rsidRPr="00FB476B" w:rsidRDefault="00FB476B" w:rsidP="00FB476B">
      <w:pPr>
        <w:jc w:val="both"/>
        <w:rPr>
          <w:color w:val="auto"/>
          <w:sz w:val="18"/>
          <w:szCs w:val="18"/>
        </w:rPr>
      </w:pPr>
    </w:p>
    <w:p w:rsidR="00FB476B" w:rsidRPr="00FB476B" w:rsidRDefault="00FB476B" w:rsidP="00FB476B">
      <w:pPr>
        <w:ind w:left="-360"/>
        <w:jc w:val="both"/>
        <w:rPr>
          <w:color w:val="auto"/>
          <w:sz w:val="18"/>
          <w:szCs w:val="18"/>
        </w:rPr>
      </w:pPr>
      <w:proofErr w:type="spellStart"/>
      <w:r w:rsidRPr="00FB476B">
        <w:rPr>
          <w:color w:val="auto"/>
          <w:sz w:val="18"/>
          <w:szCs w:val="18"/>
        </w:rPr>
        <w:t>Subj</w:t>
      </w:r>
      <w:proofErr w:type="spellEnd"/>
      <w:r w:rsidRPr="00FB476B">
        <w:rPr>
          <w:color w:val="auto"/>
          <w:sz w:val="18"/>
          <w:szCs w:val="18"/>
        </w:rPr>
        <w:t>:  PHYSICAL DISABILITY BOARD OF REVIEW (PDBR) RECOMMENDATION</w:t>
      </w:r>
    </w:p>
    <w:p w:rsidR="00FB476B" w:rsidRPr="00FB476B" w:rsidRDefault="00FB476B" w:rsidP="00FB476B">
      <w:pPr>
        <w:tabs>
          <w:tab w:val="left" w:pos="270"/>
        </w:tabs>
        <w:jc w:val="both"/>
        <w:rPr>
          <w:color w:val="auto"/>
          <w:sz w:val="18"/>
          <w:szCs w:val="18"/>
        </w:rPr>
      </w:pPr>
      <w:r w:rsidRPr="00FB476B">
        <w:rPr>
          <w:color w:val="auto"/>
          <w:sz w:val="18"/>
          <w:szCs w:val="18"/>
        </w:rPr>
        <w:t xml:space="preserve">    </w:t>
      </w:r>
      <w:r w:rsidRPr="00FB476B">
        <w:rPr>
          <w:color w:val="auto"/>
          <w:sz w:val="18"/>
          <w:szCs w:val="18"/>
        </w:rPr>
        <w:tab/>
        <w:t xml:space="preserve">ICO </w:t>
      </w:r>
      <w:r>
        <w:rPr>
          <w:color w:val="auto"/>
          <w:sz w:val="18"/>
          <w:szCs w:val="18"/>
        </w:rPr>
        <w:t>XXXXX</w:t>
      </w:r>
      <w:r w:rsidRPr="00FB476B">
        <w:rPr>
          <w:color w:val="auto"/>
          <w:sz w:val="18"/>
          <w:szCs w:val="18"/>
        </w:rPr>
        <w:t xml:space="preserve">, FORMER USMC, XXX XX </w:t>
      </w:r>
      <w:r>
        <w:rPr>
          <w:color w:val="auto"/>
          <w:sz w:val="18"/>
          <w:szCs w:val="18"/>
        </w:rPr>
        <w:t>XXXX</w:t>
      </w:r>
    </w:p>
    <w:p w:rsidR="00FB476B" w:rsidRPr="00FB476B" w:rsidRDefault="00FB476B" w:rsidP="00FB476B">
      <w:pPr>
        <w:jc w:val="both"/>
        <w:rPr>
          <w:color w:val="auto"/>
          <w:sz w:val="18"/>
          <w:szCs w:val="18"/>
        </w:rPr>
      </w:pPr>
    </w:p>
    <w:p w:rsidR="00FB476B" w:rsidRPr="00FB476B" w:rsidRDefault="00FB476B" w:rsidP="00FB476B">
      <w:pPr>
        <w:ind w:left="-360"/>
        <w:jc w:val="both"/>
        <w:rPr>
          <w:color w:val="auto"/>
          <w:sz w:val="18"/>
          <w:szCs w:val="18"/>
        </w:rPr>
      </w:pPr>
      <w:r w:rsidRPr="00FB476B">
        <w:rPr>
          <w:color w:val="auto"/>
          <w:sz w:val="18"/>
          <w:szCs w:val="18"/>
        </w:rPr>
        <w:t>Ref:   (a) DoDI 6040.44</w:t>
      </w:r>
    </w:p>
    <w:p w:rsidR="00FB476B" w:rsidRPr="00FB476B" w:rsidRDefault="00FB476B" w:rsidP="00FB476B">
      <w:pPr>
        <w:ind w:left="-540"/>
        <w:jc w:val="both"/>
        <w:rPr>
          <w:color w:val="auto"/>
          <w:sz w:val="18"/>
          <w:szCs w:val="18"/>
        </w:rPr>
      </w:pPr>
      <w:r w:rsidRPr="00FB476B">
        <w:rPr>
          <w:color w:val="auto"/>
          <w:sz w:val="18"/>
          <w:szCs w:val="18"/>
        </w:rPr>
        <w:t xml:space="preserve">             (b) PDBR </w:t>
      </w:r>
      <w:proofErr w:type="spellStart"/>
      <w:r w:rsidRPr="00FB476B">
        <w:rPr>
          <w:color w:val="auto"/>
          <w:sz w:val="18"/>
          <w:szCs w:val="18"/>
        </w:rPr>
        <w:t>ltr</w:t>
      </w:r>
      <w:proofErr w:type="spellEnd"/>
      <w:r w:rsidRPr="00FB476B">
        <w:rPr>
          <w:color w:val="auto"/>
          <w:sz w:val="18"/>
          <w:szCs w:val="18"/>
        </w:rPr>
        <w:t xml:space="preserve"> </w:t>
      </w:r>
      <w:proofErr w:type="spellStart"/>
      <w:r w:rsidRPr="00FB476B">
        <w:rPr>
          <w:color w:val="auto"/>
          <w:sz w:val="18"/>
          <w:szCs w:val="18"/>
        </w:rPr>
        <w:t>dtd</w:t>
      </w:r>
      <w:proofErr w:type="spellEnd"/>
      <w:r w:rsidRPr="00FB476B">
        <w:rPr>
          <w:color w:val="auto"/>
          <w:sz w:val="18"/>
          <w:szCs w:val="18"/>
        </w:rPr>
        <w:t xml:space="preserve"> 19 Apr 11</w:t>
      </w:r>
    </w:p>
    <w:p w:rsidR="00FB476B" w:rsidRPr="00FB476B" w:rsidRDefault="00FB476B" w:rsidP="00FB476B">
      <w:pPr>
        <w:ind w:left="-540"/>
        <w:jc w:val="both"/>
        <w:rPr>
          <w:color w:val="auto"/>
          <w:sz w:val="18"/>
          <w:szCs w:val="18"/>
        </w:rPr>
      </w:pPr>
    </w:p>
    <w:p w:rsidR="00FB476B" w:rsidRPr="00FB476B" w:rsidRDefault="00FB476B" w:rsidP="00FB476B">
      <w:pPr>
        <w:ind w:left="-360"/>
        <w:jc w:val="both"/>
        <w:rPr>
          <w:color w:val="auto"/>
          <w:sz w:val="18"/>
          <w:szCs w:val="18"/>
        </w:rPr>
      </w:pPr>
      <w:r w:rsidRPr="00FB476B">
        <w:rPr>
          <w:color w:val="auto"/>
          <w:sz w:val="18"/>
          <w:szCs w:val="18"/>
        </w:rPr>
        <w:t xml:space="preserve">      I have reviewed the subject case pursuant to reference (a) and, for the reasons set forth in reference (b), approve the recommendation of the Physical Disability Board of Review Mr. </w:t>
      </w:r>
      <w:r>
        <w:rPr>
          <w:color w:val="auto"/>
          <w:sz w:val="18"/>
          <w:szCs w:val="18"/>
        </w:rPr>
        <w:t>XXXX</w:t>
      </w:r>
      <w:r w:rsidRPr="00FB476B">
        <w:rPr>
          <w:color w:val="auto"/>
          <w:sz w:val="18"/>
          <w:szCs w:val="18"/>
        </w:rPr>
        <w:t>’s records not be corrected to reflect a change in either his characterization of separation or in the disability rating previously assigned by the Department of the Navy’s Physical Evaluation Board.</w:t>
      </w:r>
    </w:p>
    <w:p w:rsidR="00FB476B" w:rsidRPr="00FB476B" w:rsidRDefault="00FB476B" w:rsidP="00FB476B">
      <w:pPr>
        <w:jc w:val="both"/>
        <w:rPr>
          <w:color w:val="auto"/>
          <w:sz w:val="18"/>
          <w:szCs w:val="18"/>
        </w:rPr>
      </w:pPr>
    </w:p>
    <w:p w:rsidR="00FB476B" w:rsidRPr="00FB476B" w:rsidRDefault="00FB476B" w:rsidP="00FB476B">
      <w:pPr>
        <w:jc w:val="both"/>
        <w:rPr>
          <w:color w:val="auto"/>
          <w:sz w:val="18"/>
          <w:szCs w:val="18"/>
        </w:rPr>
      </w:pPr>
    </w:p>
    <w:p w:rsidR="00FB476B" w:rsidRPr="00FB476B" w:rsidRDefault="00FB476B" w:rsidP="00FB476B">
      <w:pPr>
        <w:jc w:val="both"/>
        <w:rPr>
          <w:color w:val="auto"/>
          <w:sz w:val="18"/>
          <w:szCs w:val="18"/>
        </w:rPr>
      </w:pPr>
    </w:p>
    <w:p w:rsidR="00FB476B" w:rsidRPr="00FB476B" w:rsidRDefault="00FB476B" w:rsidP="00FB476B">
      <w:pPr>
        <w:jc w:val="both"/>
        <w:rPr>
          <w:color w:val="auto"/>
          <w:sz w:val="18"/>
          <w:szCs w:val="18"/>
        </w:rPr>
      </w:pPr>
      <w:r w:rsidRPr="00FB476B">
        <w:rPr>
          <w:color w:val="auto"/>
          <w:sz w:val="18"/>
          <w:szCs w:val="18"/>
        </w:rPr>
        <w:tab/>
        <w:t xml:space="preserve">     </w:t>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t xml:space="preserve">      Assistant General Counsel</w:t>
      </w:r>
    </w:p>
    <w:p w:rsidR="00FB476B" w:rsidRPr="00FB476B" w:rsidRDefault="00FB476B" w:rsidP="00FB476B">
      <w:pPr>
        <w:jc w:val="both"/>
        <w:rPr>
          <w:color w:val="auto"/>
          <w:sz w:val="18"/>
          <w:szCs w:val="18"/>
        </w:rPr>
      </w:pP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t xml:space="preserve">        (Manpower &amp; Reserve Affairs)</w:t>
      </w:r>
    </w:p>
    <w:p w:rsidR="00FB476B" w:rsidRPr="00FB476B" w:rsidRDefault="00FB476B" w:rsidP="00FB476B">
      <w:pPr>
        <w:jc w:val="both"/>
        <w:rPr>
          <w:color w:val="auto"/>
          <w:sz w:val="18"/>
          <w:szCs w:val="18"/>
        </w:rPr>
      </w:pP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r>
      <w:r w:rsidRPr="00FB476B">
        <w:rPr>
          <w:color w:val="auto"/>
          <w:sz w:val="18"/>
          <w:szCs w:val="18"/>
        </w:rPr>
        <w:tab/>
        <w:t xml:space="preserve">  </w:t>
      </w:r>
    </w:p>
    <w:p w:rsidR="00FB476B" w:rsidRDefault="00FB476B" w:rsidP="001A596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B476B" w:rsidRPr="00C10CCF" w:rsidRDefault="00FB476B" w:rsidP="001A5968">
      <w:pPr>
        <w:tabs>
          <w:tab w:val="left" w:pos="288"/>
          <w:tab w:val="left" w:pos="4320"/>
          <w:tab w:val="left" w:pos="4410"/>
          <w:tab w:val="left" w:pos="4770"/>
          <w:tab w:val="left" w:pos="4860"/>
          <w:tab w:val="left" w:pos="5040"/>
        </w:tabs>
        <w:spacing w:line="240" w:lineRule="exact"/>
        <w:jc w:val="both"/>
        <w:rPr>
          <w:color w:val="auto"/>
        </w:rPr>
      </w:pPr>
    </w:p>
    <w:sectPr w:rsidR="00FB476B" w:rsidRPr="00C10CCF"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A5" w:rsidRDefault="00717FA5">
      <w:r>
        <w:separator/>
      </w:r>
    </w:p>
  </w:endnote>
  <w:endnote w:type="continuationSeparator" w:id="0">
    <w:p w:rsidR="00717FA5" w:rsidRDefault="00717FA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EA" w:rsidRDefault="005E3A12">
    <w:pPr>
      <w:pStyle w:val="Footer"/>
      <w:framePr w:wrap="around" w:vAnchor="text" w:hAnchor="margin" w:xAlign="center" w:y="1"/>
      <w:rPr>
        <w:rStyle w:val="PageNumber"/>
      </w:rPr>
    </w:pPr>
    <w:r>
      <w:rPr>
        <w:rStyle w:val="PageNumber"/>
      </w:rPr>
      <w:fldChar w:fldCharType="begin"/>
    </w:r>
    <w:r w:rsidR="00E873EA">
      <w:rPr>
        <w:rStyle w:val="PageNumber"/>
      </w:rPr>
      <w:instrText xml:space="preserve">PAGE  </w:instrText>
    </w:r>
    <w:r>
      <w:rPr>
        <w:rStyle w:val="PageNumber"/>
      </w:rPr>
      <w:fldChar w:fldCharType="separate"/>
    </w:r>
    <w:r w:rsidR="00E873EA">
      <w:rPr>
        <w:rStyle w:val="PageNumber"/>
        <w:noProof/>
      </w:rPr>
      <w:t>2</w:t>
    </w:r>
    <w:r>
      <w:rPr>
        <w:rStyle w:val="PageNumber"/>
      </w:rPr>
      <w:fldChar w:fldCharType="end"/>
    </w:r>
  </w:p>
  <w:p w:rsidR="00E873EA" w:rsidRDefault="00E873E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EA" w:rsidRPr="00AC713F" w:rsidRDefault="005E3A1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873EA"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84392">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E873EA" w:rsidRPr="0075690D" w:rsidRDefault="00E873EA" w:rsidP="002B0749">
    <w:pPr>
      <w:pStyle w:val="Footer"/>
      <w:jc w:val="right"/>
      <w:rPr>
        <w:rFonts w:asciiTheme="minorHAnsi" w:hAnsiTheme="minorHAnsi"/>
        <w:color w:val="auto"/>
      </w:rPr>
    </w:pPr>
    <w:r>
      <w:tab/>
    </w:r>
    <w:r>
      <w:tab/>
    </w:r>
    <w:r w:rsidRPr="0075690D">
      <w:rPr>
        <w:rFonts w:asciiTheme="minorHAnsi" w:hAnsiTheme="minorHAnsi"/>
        <w:caps/>
        <w:color w:val="auto"/>
      </w:rPr>
      <w:t>PD1000109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A5" w:rsidRDefault="00717FA5">
      <w:r>
        <w:separator/>
      </w:r>
    </w:p>
  </w:footnote>
  <w:footnote w:type="continuationSeparator" w:id="0">
    <w:p w:rsidR="00717FA5" w:rsidRDefault="00717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849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694"/>
    <w:rsid w:val="000577C9"/>
    <w:rsid w:val="0006139F"/>
    <w:rsid w:val="0006431E"/>
    <w:rsid w:val="00072433"/>
    <w:rsid w:val="00075702"/>
    <w:rsid w:val="000775C2"/>
    <w:rsid w:val="000805ED"/>
    <w:rsid w:val="000806AD"/>
    <w:rsid w:val="00082482"/>
    <w:rsid w:val="0008708B"/>
    <w:rsid w:val="00092619"/>
    <w:rsid w:val="00092C66"/>
    <w:rsid w:val="00094E4F"/>
    <w:rsid w:val="00095DB4"/>
    <w:rsid w:val="000A2BCE"/>
    <w:rsid w:val="000A41E3"/>
    <w:rsid w:val="000A4BBA"/>
    <w:rsid w:val="000A5071"/>
    <w:rsid w:val="000A6612"/>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250F"/>
    <w:rsid w:val="000E37E0"/>
    <w:rsid w:val="000E73B1"/>
    <w:rsid w:val="000F02BE"/>
    <w:rsid w:val="000F3FC5"/>
    <w:rsid w:val="000F427B"/>
    <w:rsid w:val="000F505F"/>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2579"/>
    <w:rsid w:val="00135385"/>
    <w:rsid w:val="001364D1"/>
    <w:rsid w:val="00142EBA"/>
    <w:rsid w:val="00143B79"/>
    <w:rsid w:val="00150B8A"/>
    <w:rsid w:val="00150DCB"/>
    <w:rsid w:val="00151912"/>
    <w:rsid w:val="00153740"/>
    <w:rsid w:val="00153D9F"/>
    <w:rsid w:val="001541C5"/>
    <w:rsid w:val="0015623F"/>
    <w:rsid w:val="00156585"/>
    <w:rsid w:val="00156BA9"/>
    <w:rsid w:val="001573C5"/>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122F"/>
    <w:rsid w:val="001A5320"/>
    <w:rsid w:val="001A5968"/>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4FE"/>
    <w:rsid w:val="001D68CF"/>
    <w:rsid w:val="001D6A8C"/>
    <w:rsid w:val="001D7A56"/>
    <w:rsid w:val="001E15C0"/>
    <w:rsid w:val="001E18E0"/>
    <w:rsid w:val="001E18E2"/>
    <w:rsid w:val="001E19D0"/>
    <w:rsid w:val="001E2A30"/>
    <w:rsid w:val="001E6A81"/>
    <w:rsid w:val="001F3658"/>
    <w:rsid w:val="00200AA0"/>
    <w:rsid w:val="00202325"/>
    <w:rsid w:val="00202351"/>
    <w:rsid w:val="00202736"/>
    <w:rsid w:val="00203652"/>
    <w:rsid w:val="002060B6"/>
    <w:rsid w:val="002066B5"/>
    <w:rsid w:val="002101F8"/>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03B7"/>
    <w:rsid w:val="0024151E"/>
    <w:rsid w:val="0024174E"/>
    <w:rsid w:val="0024227D"/>
    <w:rsid w:val="00242D14"/>
    <w:rsid w:val="00246860"/>
    <w:rsid w:val="00246DFF"/>
    <w:rsid w:val="00246E89"/>
    <w:rsid w:val="0025183C"/>
    <w:rsid w:val="002528EC"/>
    <w:rsid w:val="00255049"/>
    <w:rsid w:val="00257DE5"/>
    <w:rsid w:val="00260531"/>
    <w:rsid w:val="0026318D"/>
    <w:rsid w:val="0026697A"/>
    <w:rsid w:val="00270864"/>
    <w:rsid w:val="002712F7"/>
    <w:rsid w:val="0027159C"/>
    <w:rsid w:val="00273AD7"/>
    <w:rsid w:val="00274549"/>
    <w:rsid w:val="00274E46"/>
    <w:rsid w:val="00276C86"/>
    <w:rsid w:val="002810A4"/>
    <w:rsid w:val="00284A26"/>
    <w:rsid w:val="00287006"/>
    <w:rsid w:val="00293EF7"/>
    <w:rsid w:val="00294437"/>
    <w:rsid w:val="002A3237"/>
    <w:rsid w:val="002A58B7"/>
    <w:rsid w:val="002A685E"/>
    <w:rsid w:val="002A72C7"/>
    <w:rsid w:val="002B03B2"/>
    <w:rsid w:val="002B0749"/>
    <w:rsid w:val="002B2645"/>
    <w:rsid w:val="002B6FA0"/>
    <w:rsid w:val="002C158C"/>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3DD2"/>
    <w:rsid w:val="002F7F81"/>
    <w:rsid w:val="0030025A"/>
    <w:rsid w:val="00300A36"/>
    <w:rsid w:val="00302D9B"/>
    <w:rsid w:val="0030678B"/>
    <w:rsid w:val="00310CD7"/>
    <w:rsid w:val="00314A05"/>
    <w:rsid w:val="0032136A"/>
    <w:rsid w:val="00323E70"/>
    <w:rsid w:val="00325BA2"/>
    <w:rsid w:val="00325FF5"/>
    <w:rsid w:val="00326F7F"/>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4E6B"/>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2B4"/>
    <w:rsid w:val="00393651"/>
    <w:rsid w:val="00394563"/>
    <w:rsid w:val="00395E12"/>
    <w:rsid w:val="00397DB7"/>
    <w:rsid w:val="003A27B2"/>
    <w:rsid w:val="003A40B4"/>
    <w:rsid w:val="003A41BA"/>
    <w:rsid w:val="003A6A99"/>
    <w:rsid w:val="003A7FF8"/>
    <w:rsid w:val="003B17AC"/>
    <w:rsid w:val="003B227A"/>
    <w:rsid w:val="003B5854"/>
    <w:rsid w:val="003B6764"/>
    <w:rsid w:val="003C5275"/>
    <w:rsid w:val="003C6068"/>
    <w:rsid w:val="003D2BA3"/>
    <w:rsid w:val="003D3C22"/>
    <w:rsid w:val="003D7089"/>
    <w:rsid w:val="003D7DDB"/>
    <w:rsid w:val="003E02C7"/>
    <w:rsid w:val="003E0543"/>
    <w:rsid w:val="003E0B5A"/>
    <w:rsid w:val="003E31E3"/>
    <w:rsid w:val="003E46D1"/>
    <w:rsid w:val="003F58B0"/>
    <w:rsid w:val="003F5CAC"/>
    <w:rsid w:val="004007E9"/>
    <w:rsid w:val="00401825"/>
    <w:rsid w:val="00401BBC"/>
    <w:rsid w:val="00403BFB"/>
    <w:rsid w:val="00404B45"/>
    <w:rsid w:val="00406206"/>
    <w:rsid w:val="00406CC5"/>
    <w:rsid w:val="004074A4"/>
    <w:rsid w:val="00407F18"/>
    <w:rsid w:val="004101B2"/>
    <w:rsid w:val="004123D7"/>
    <w:rsid w:val="00412658"/>
    <w:rsid w:val="004172DB"/>
    <w:rsid w:val="00421485"/>
    <w:rsid w:val="00422B75"/>
    <w:rsid w:val="00433F36"/>
    <w:rsid w:val="0043503A"/>
    <w:rsid w:val="0044049B"/>
    <w:rsid w:val="00442CCE"/>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4E4C"/>
    <w:rsid w:val="004761CC"/>
    <w:rsid w:val="00480D4A"/>
    <w:rsid w:val="00481DA1"/>
    <w:rsid w:val="00483CA0"/>
    <w:rsid w:val="00484ABC"/>
    <w:rsid w:val="00487F2B"/>
    <w:rsid w:val="00491842"/>
    <w:rsid w:val="0049255F"/>
    <w:rsid w:val="0049445D"/>
    <w:rsid w:val="00495350"/>
    <w:rsid w:val="004963FC"/>
    <w:rsid w:val="00497156"/>
    <w:rsid w:val="004A24D2"/>
    <w:rsid w:val="004A3214"/>
    <w:rsid w:val="004A4136"/>
    <w:rsid w:val="004A417B"/>
    <w:rsid w:val="004B03F3"/>
    <w:rsid w:val="004B1693"/>
    <w:rsid w:val="004B2536"/>
    <w:rsid w:val="004B48C7"/>
    <w:rsid w:val="004B6AF3"/>
    <w:rsid w:val="004B715E"/>
    <w:rsid w:val="004B7169"/>
    <w:rsid w:val="004B79C9"/>
    <w:rsid w:val="004C5E33"/>
    <w:rsid w:val="004C6CDA"/>
    <w:rsid w:val="004D10D4"/>
    <w:rsid w:val="004D16BD"/>
    <w:rsid w:val="004D2AAB"/>
    <w:rsid w:val="004D6F2B"/>
    <w:rsid w:val="004E0248"/>
    <w:rsid w:val="004E21A3"/>
    <w:rsid w:val="004E32EA"/>
    <w:rsid w:val="004E463E"/>
    <w:rsid w:val="004E5260"/>
    <w:rsid w:val="004E6866"/>
    <w:rsid w:val="004E6D21"/>
    <w:rsid w:val="004F3222"/>
    <w:rsid w:val="004F3BFA"/>
    <w:rsid w:val="005000AB"/>
    <w:rsid w:val="005014DE"/>
    <w:rsid w:val="00501B89"/>
    <w:rsid w:val="005025EE"/>
    <w:rsid w:val="00510588"/>
    <w:rsid w:val="0051146C"/>
    <w:rsid w:val="00514449"/>
    <w:rsid w:val="005222E7"/>
    <w:rsid w:val="00523A8B"/>
    <w:rsid w:val="00523E04"/>
    <w:rsid w:val="00525699"/>
    <w:rsid w:val="0052590B"/>
    <w:rsid w:val="00526591"/>
    <w:rsid w:val="00527178"/>
    <w:rsid w:val="005278CB"/>
    <w:rsid w:val="00534D42"/>
    <w:rsid w:val="005350A5"/>
    <w:rsid w:val="005357A6"/>
    <w:rsid w:val="00536379"/>
    <w:rsid w:val="00537238"/>
    <w:rsid w:val="005400C5"/>
    <w:rsid w:val="00540BEF"/>
    <w:rsid w:val="00542C9A"/>
    <w:rsid w:val="005436C2"/>
    <w:rsid w:val="005442D4"/>
    <w:rsid w:val="0054586A"/>
    <w:rsid w:val="0054631F"/>
    <w:rsid w:val="0055288D"/>
    <w:rsid w:val="00555259"/>
    <w:rsid w:val="00560D57"/>
    <w:rsid w:val="00562A94"/>
    <w:rsid w:val="00563953"/>
    <w:rsid w:val="005709F7"/>
    <w:rsid w:val="005710A9"/>
    <w:rsid w:val="00571D1B"/>
    <w:rsid w:val="0057458B"/>
    <w:rsid w:val="005818C0"/>
    <w:rsid w:val="00582198"/>
    <w:rsid w:val="00584229"/>
    <w:rsid w:val="00593043"/>
    <w:rsid w:val="00595BF0"/>
    <w:rsid w:val="0059792A"/>
    <w:rsid w:val="005A1846"/>
    <w:rsid w:val="005A258C"/>
    <w:rsid w:val="005A3560"/>
    <w:rsid w:val="005A6C99"/>
    <w:rsid w:val="005A7D5D"/>
    <w:rsid w:val="005B011A"/>
    <w:rsid w:val="005B14FC"/>
    <w:rsid w:val="005B1D8F"/>
    <w:rsid w:val="005B1E94"/>
    <w:rsid w:val="005B5B3D"/>
    <w:rsid w:val="005B6ADB"/>
    <w:rsid w:val="005C16F3"/>
    <w:rsid w:val="005C3758"/>
    <w:rsid w:val="005E3064"/>
    <w:rsid w:val="005E3A12"/>
    <w:rsid w:val="005E72B2"/>
    <w:rsid w:val="005F1115"/>
    <w:rsid w:val="005F1AB6"/>
    <w:rsid w:val="005F27F2"/>
    <w:rsid w:val="005F3AFE"/>
    <w:rsid w:val="005F424D"/>
    <w:rsid w:val="005F461F"/>
    <w:rsid w:val="005F6B6D"/>
    <w:rsid w:val="006012F3"/>
    <w:rsid w:val="00605AAB"/>
    <w:rsid w:val="00606BEB"/>
    <w:rsid w:val="0061014A"/>
    <w:rsid w:val="0061054B"/>
    <w:rsid w:val="00613E26"/>
    <w:rsid w:val="00615641"/>
    <w:rsid w:val="00616959"/>
    <w:rsid w:val="00617BDB"/>
    <w:rsid w:val="006211D0"/>
    <w:rsid w:val="00624D0C"/>
    <w:rsid w:val="006307BA"/>
    <w:rsid w:val="006315BA"/>
    <w:rsid w:val="0063345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76B80"/>
    <w:rsid w:val="00681E3E"/>
    <w:rsid w:val="00684E2B"/>
    <w:rsid w:val="00690FDA"/>
    <w:rsid w:val="006912A3"/>
    <w:rsid w:val="00691E61"/>
    <w:rsid w:val="00693C5E"/>
    <w:rsid w:val="00694EEA"/>
    <w:rsid w:val="006955B4"/>
    <w:rsid w:val="00696476"/>
    <w:rsid w:val="00696B04"/>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3D98"/>
    <w:rsid w:val="007165CE"/>
    <w:rsid w:val="00717FA5"/>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690D"/>
    <w:rsid w:val="0076100C"/>
    <w:rsid w:val="007651ED"/>
    <w:rsid w:val="00766C87"/>
    <w:rsid w:val="007779DA"/>
    <w:rsid w:val="00781BD4"/>
    <w:rsid w:val="00781E20"/>
    <w:rsid w:val="00784832"/>
    <w:rsid w:val="00785D77"/>
    <w:rsid w:val="00786111"/>
    <w:rsid w:val="00791462"/>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C7E42"/>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4A57"/>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2604"/>
    <w:rsid w:val="00865207"/>
    <w:rsid w:val="008656A7"/>
    <w:rsid w:val="00871262"/>
    <w:rsid w:val="00871D4E"/>
    <w:rsid w:val="00871E7B"/>
    <w:rsid w:val="00875B51"/>
    <w:rsid w:val="00875F2D"/>
    <w:rsid w:val="00876066"/>
    <w:rsid w:val="008764DC"/>
    <w:rsid w:val="00882CC2"/>
    <w:rsid w:val="00882CE2"/>
    <w:rsid w:val="00883930"/>
    <w:rsid w:val="008840DC"/>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8F2B7F"/>
    <w:rsid w:val="00900D8F"/>
    <w:rsid w:val="009014E3"/>
    <w:rsid w:val="009026E8"/>
    <w:rsid w:val="00906EB7"/>
    <w:rsid w:val="009102BF"/>
    <w:rsid w:val="009115F2"/>
    <w:rsid w:val="00914ADB"/>
    <w:rsid w:val="00921756"/>
    <w:rsid w:val="00923B25"/>
    <w:rsid w:val="0092402E"/>
    <w:rsid w:val="009259BA"/>
    <w:rsid w:val="00926FCB"/>
    <w:rsid w:val="0092729E"/>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04E4"/>
    <w:rsid w:val="009B14D1"/>
    <w:rsid w:val="009B1534"/>
    <w:rsid w:val="009B4738"/>
    <w:rsid w:val="009B4A3B"/>
    <w:rsid w:val="009B69D3"/>
    <w:rsid w:val="009B7BA7"/>
    <w:rsid w:val="009C0938"/>
    <w:rsid w:val="009C22C8"/>
    <w:rsid w:val="009C3F82"/>
    <w:rsid w:val="009C4152"/>
    <w:rsid w:val="009C72DD"/>
    <w:rsid w:val="009C7DF5"/>
    <w:rsid w:val="009D056C"/>
    <w:rsid w:val="009D060F"/>
    <w:rsid w:val="009D071D"/>
    <w:rsid w:val="009D1ADE"/>
    <w:rsid w:val="009D2E55"/>
    <w:rsid w:val="009D359F"/>
    <w:rsid w:val="009D3931"/>
    <w:rsid w:val="009E09D0"/>
    <w:rsid w:val="009E1283"/>
    <w:rsid w:val="009E37C7"/>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59AC"/>
    <w:rsid w:val="00A47CF1"/>
    <w:rsid w:val="00A50418"/>
    <w:rsid w:val="00A54A47"/>
    <w:rsid w:val="00A56D26"/>
    <w:rsid w:val="00A571A7"/>
    <w:rsid w:val="00A608FB"/>
    <w:rsid w:val="00A60D83"/>
    <w:rsid w:val="00A60F68"/>
    <w:rsid w:val="00A62A87"/>
    <w:rsid w:val="00A63DF3"/>
    <w:rsid w:val="00A65C78"/>
    <w:rsid w:val="00A660A8"/>
    <w:rsid w:val="00A67591"/>
    <w:rsid w:val="00A67CA6"/>
    <w:rsid w:val="00A70E7B"/>
    <w:rsid w:val="00A73B84"/>
    <w:rsid w:val="00A7411D"/>
    <w:rsid w:val="00A74C1B"/>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6164"/>
    <w:rsid w:val="00AC713F"/>
    <w:rsid w:val="00AD067E"/>
    <w:rsid w:val="00AD2801"/>
    <w:rsid w:val="00AD6870"/>
    <w:rsid w:val="00AD68C5"/>
    <w:rsid w:val="00AE1273"/>
    <w:rsid w:val="00AE2D29"/>
    <w:rsid w:val="00AE4624"/>
    <w:rsid w:val="00AE5E14"/>
    <w:rsid w:val="00AE6115"/>
    <w:rsid w:val="00AE625B"/>
    <w:rsid w:val="00AF1668"/>
    <w:rsid w:val="00AF201F"/>
    <w:rsid w:val="00AF4FA5"/>
    <w:rsid w:val="00B07955"/>
    <w:rsid w:val="00B10C87"/>
    <w:rsid w:val="00B14FAA"/>
    <w:rsid w:val="00B15D30"/>
    <w:rsid w:val="00B20624"/>
    <w:rsid w:val="00B23436"/>
    <w:rsid w:val="00B25EC3"/>
    <w:rsid w:val="00B26354"/>
    <w:rsid w:val="00B26CA0"/>
    <w:rsid w:val="00B27D7A"/>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76A2F"/>
    <w:rsid w:val="00B82277"/>
    <w:rsid w:val="00B900F7"/>
    <w:rsid w:val="00B91676"/>
    <w:rsid w:val="00B9324A"/>
    <w:rsid w:val="00B95833"/>
    <w:rsid w:val="00B96209"/>
    <w:rsid w:val="00BA05EA"/>
    <w:rsid w:val="00BA072B"/>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5854"/>
    <w:rsid w:val="00BE6365"/>
    <w:rsid w:val="00BF0B7F"/>
    <w:rsid w:val="00BF4720"/>
    <w:rsid w:val="00BF7B63"/>
    <w:rsid w:val="00C038EC"/>
    <w:rsid w:val="00C05C6D"/>
    <w:rsid w:val="00C10CCF"/>
    <w:rsid w:val="00C1122B"/>
    <w:rsid w:val="00C13B34"/>
    <w:rsid w:val="00C13F26"/>
    <w:rsid w:val="00C16E9F"/>
    <w:rsid w:val="00C1713D"/>
    <w:rsid w:val="00C177F1"/>
    <w:rsid w:val="00C22F3A"/>
    <w:rsid w:val="00C25978"/>
    <w:rsid w:val="00C261C6"/>
    <w:rsid w:val="00C26E7C"/>
    <w:rsid w:val="00C3022A"/>
    <w:rsid w:val="00C30A97"/>
    <w:rsid w:val="00C31DDC"/>
    <w:rsid w:val="00C34326"/>
    <w:rsid w:val="00C36201"/>
    <w:rsid w:val="00C368E8"/>
    <w:rsid w:val="00C36C3D"/>
    <w:rsid w:val="00C372C7"/>
    <w:rsid w:val="00C42443"/>
    <w:rsid w:val="00C42CBA"/>
    <w:rsid w:val="00C5019E"/>
    <w:rsid w:val="00C5377C"/>
    <w:rsid w:val="00C53C51"/>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2EC1"/>
    <w:rsid w:val="00C931FC"/>
    <w:rsid w:val="00C932C5"/>
    <w:rsid w:val="00C9650E"/>
    <w:rsid w:val="00CA068D"/>
    <w:rsid w:val="00CA1228"/>
    <w:rsid w:val="00CA282D"/>
    <w:rsid w:val="00CA3133"/>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4B7F"/>
    <w:rsid w:val="00CD5653"/>
    <w:rsid w:val="00CD5E6D"/>
    <w:rsid w:val="00CD6386"/>
    <w:rsid w:val="00CD63C8"/>
    <w:rsid w:val="00CE10A0"/>
    <w:rsid w:val="00CF158D"/>
    <w:rsid w:val="00CF4394"/>
    <w:rsid w:val="00D000A9"/>
    <w:rsid w:val="00D005DB"/>
    <w:rsid w:val="00D0064E"/>
    <w:rsid w:val="00D00981"/>
    <w:rsid w:val="00D024D3"/>
    <w:rsid w:val="00D0280D"/>
    <w:rsid w:val="00D03E9D"/>
    <w:rsid w:val="00D07A72"/>
    <w:rsid w:val="00D10577"/>
    <w:rsid w:val="00D1323B"/>
    <w:rsid w:val="00D14BAE"/>
    <w:rsid w:val="00D1648B"/>
    <w:rsid w:val="00D16819"/>
    <w:rsid w:val="00D20AC0"/>
    <w:rsid w:val="00D2321B"/>
    <w:rsid w:val="00D23DE4"/>
    <w:rsid w:val="00D24897"/>
    <w:rsid w:val="00D26873"/>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6C21"/>
    <w:rsid w:val="00D67FD7"/>
    <w:rsid w:val="00D74261"/>
    <w:rsid w:val="00D7441B"/>
    <w:rsid w:val="00D76497"/>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78DC"/>
    <w:rsid w:val="00DB0015"/>
    <w:rsid w:val="00DB1E58"/>
    <w:rsid w:val="00DB2AAD"/>
    <w:rsid w:val="00DB6119"/>
    <w:rsid w:val="00DB626D"/>
    <w:rsid w:val="00DB6365"/>
    <w:rsid w:val="00DC0BF1"/>
    <w:rsid w:val="00DC41C3"/>
    <w:rsid w:val="00DC466A"/>
    <w:rsid w:val="00DD3593"/>
    <w:rsid w:val="00DD4C5D"/>
    <w:rsid w:val="00DE0C67"/>
    <w:rsid w:val="00DE6952"/>
    <w:rsid w:val="00DE7E74"/>
    <w:rsid w:val="00DF6EF8"/>
    <w:rsid w:val="00E00A69"/>
    <w:rsid w:val="00E017F0"/>
    <w:rsid w:val="00E01A0E"/>
    <w:rsid w:val="00E041E4"/>
    <w:rsid w:val="00E05A44"/>
    <w:rsid w:val="00E1012B"/>
    <w:rsid w:val="00E103C8"/>
    <w:rsid w:val="00E1085B"/>
    <w:rsid w:val="00E1308B"/>
    <w:rsid w:val="00E14581"/>
    <w:rsid w:val="00E15539"/>
    <w:rsid w:val="00E16541"/>
    <w:rsid w:val="00E2212A"/>
    <w:rsid w:val="00E2536E"/>
    <w:rsid w:val="00E25B8A"/>
    <w:rsid w:val="00E2632B"/>
    <w:rsid w:val="00E322F7"/>
    <w:rsid w:val="00E3369B"/>
    <w:rsid w:val="00E36D76"/>
    <w:rsid w:val="00E405EA"/>
    <w:rsid w:val="00E40779"/>
    <w:rsid w:val="00E408B7"/>
    <w:rsid w:val="00E41637"/>
    <w:rsid w:val="00E42789"/>
    <w:rsid w:val="00E43F59"/>
    <w:rsid w:val="00E4532D"/>
    <w:rsid w:val="00E464F0"/>
    <w:rsid w:val="00E46FCF"/>
    <w:rsid w:val="00E50BEB"/>
    <w:rsid w:val="00E524B3"/>
    <w:rsid w:val="00E548FA"/>
    <w:rsid w:val="00E6092F"/>
    <w:rsid w:val="00E62049"/>
    <w:rsid w:val="00E629DA"/>
    <w:rsid w:val="00E6469F"/>
    <w:rsid w:val="00E67FAC"/>
    <w:rsid w:val="00E7200B"/>
    <w:rsid w:val="00E738CB"/>
    <w:rsid w:val="00E73C88"/>
    <w:rsid w:val="00E74437"/>
    <w:rsid w:val="00E7443D"/>
    <w:rsid w:val="00E76C1D"/>
    <w:rsid w:val="00E772F9"/>
    <w:rsid w:val="00E81C3E"/>
    <w:rsid w:val="00E81F83"/>
    <w:rsid w:val="00E82B6D"/>
    <w:rsid w:val="00E84392"/>
    <w:rsid w:val="00E873EA"/>
    <w:rsid w:val="00EA1177"/>
    <w:rsid w:val="00EA118B"/>
    <w:rsid w:val="00EA11B6"/>
    <w:rsid w:val="00EA2181"/>
    <w:rsid w:val="00EA2DD8"/>
    <w:rsid w:val="00EA4475"/>
    <w:rsid w:val="00EA681F"/>
    <w:rsid w:val="00EB09C0"/>
    <w:rsid w:val="00EB3823"/>
    <w:rsid w:val="00EB47D8"/>
    <w:rsid w:val="00EB57D3"/>
    <w:rsid w:val="00EB5EFD"/>
    <w:rsid w:val="00EB679F"/>
    <w:rsid w:val="00EB76E4"/>
    <w:rsid w:val="00EB7C06"/>
    <w:rsid w:val="00EC0E65"/>
    <w:rsid w:val="00EC2938"/>
    <w:rsid w:val="00EC50C9"/>
    <w:rsid w:val="00EC58B4"/>
    <w:rsid w:val="00EC5BB2"/>
    <w:rsid w:val="00ED12F0"/>
    <w:rsid w:val="00ED210F"/>
    <w:rsid w:val="00ED4773"/>
    <w:rsid w:val="00ED664B"/>
    <w:rsid w:val="00ED6A61"/>
    <w:rsid w:val="00EE03BB"/>
    <w:rsid w:val="00EE0B44"/>
    <w:rsid w:val="00EE6FE0"/>
    <w:rsid w:val="00EE704A"/>
    <w:rsid w:val="00EE7840"/>
    <w:rsid w:val="00EF4C74"/>
    <w:rsid w:val="00EF5268"/>
    <w:rsid w:val="00EF608E"/>
    <w:rsid w:val="00F0044B"/>
    <w:rsid w:val="00F03843"/>
    <w:rsid w:val="00F04957"/>
    <w:rsid w:val="00F05807"/>
    <w:rsid w:val="00F07052"/>
    <w:rsid w:val="00F0706C"/>
    <w:rsid w:val="00F10A03"/>
    <w:rsid w:val="00F11AB6"/>
    <w:rsid w:val="00F11EBE"/>
    <w:rsid w:val="00F12BA8"/>
    <w:rsid w:val="00F130D0"/>
    <w:rsid w:val="00F14933"/>
    <w:rsid w:val="00F1516A"/>
    <w:rsid w:val="00F22A26"/>
    <w:rsid w:val="00F24072"/>
    <w:rsid w:val="00F24EA5"/>
    <w:rsid w:val="00F26432"/>
    <w:rsid w:val="00F3197A"/>
    <w:rsid w:val="00F32139"/>
    <w:rsid w:val="00F3342B"/>
    <w:rsid w:val="00F33D56"/>
    <w:rsid w:val="00F34E08"/>
    <w:rsid w:val="00F41D91"/>
    <w:rsid w:val="00F42363"/>
    <w:rsid w:val="00F46964"/>
    <w:rsid w:val="00F46F9A"/>
    <w:rsid w:val="00F50BAC"/>
    <w:rsid w:val="00F5126A"/>
    <w:rsid w:val="00F6636A"/>
    <w:rsid w:val="00F667C5"/>
    <w:rsid w:val="00F67E31"/>
    <w:rsid w:val="00F7162B"/>
    <w:rsid w:val="00F718A8"/>
    <w:rsid w:val="00F72183"/>
    <w:rsid w:val="00F76D01"/>
    <w:rsid w:val="00F81C35"/>
    <w:rsid w:val="00F81CC1"/>
    <w:rsid w:val="00F82981"/>
    <w:rsid w:val="00F8311F"/>
    <w:rsid w:val="00F83248"/>
    <w:rsid w:val="00F83376"/>
    <w:rsid w:val="00F853AE"/>
    <w:rsid w:val="00F92761"/>
    <w:rsid w:val="00F93C74"/>
    <w:rsid w:val="00F93DCC"/>
    <w:rsid w:val="00F9435D"/>
    <w:rsid w:val="00F95F8A"/>
    <w:rsid w:val="00F97740"/>
    <w:rsid w:val="00FA2F7B"/>
    <w:rsid w:val="00FA7271"/>
    <w:rsid w:val="00FB00FB"/>
    <w:rsid w:val="00FB09FE"/>
    <w:rsid w:val="00FB4316"/>
    <w:rsid w:val="00FB476B"/>
    <w:rsid w:val="00FB593A"/>
    <w:rsid w:val="00FB6410"/>
    <w:rsid w:val="00FB6E82"/>
    <w:rsid w:val="00FC0042"/>
    <w:rsid w:val="00FC2A13"/>
    <w:rsid w:val="00FC4284"/>
    <w:rsid w:val="00FC4576"/>
    <w:rsid w:val="00FC5523"/>
    <w:rsid w:val="00FC7DBC"/>
    <w:rsid w:val="00FD076A"/>
    <w:rsid w:val="00FD0AA0"/>
    <w:rsid w:val="00FD1D5A"/>
    <w:rsid w:val="00FD4A0B"/>
    <w:rsid w:val="00FD5059"/>
    <w:rsid w:val="00FD554D"/>
    <w:rsid w:val="00FE6469"/>
    <w:rsid w:val="00FF0FF7"/>
    <w:rsid w:val="00FF1438"/>
    <w:rsid w:val="00FF3A38"/>
    <w:rsid w:val="00FF3C25"/>
    <w:rsid w:val="00FF5947"/>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17452269">
      <w:bodyDiv w:val="1"/>
      <w:marLeft w:val="0"/>
      <w:marRight w:val="0"/>
      <w:marTop w:val="0"/>
      <w:marBottom w:val="0"/>
      <w:divBdr>
        <w:top w:val="none" w:sz="0" w:space="0" w:color="auto"/>
        <w:left w:val="none" w:sz="0" w:space="0" w:color="auto"/>
        <w:bottom w:val="none" w:sz="0" w:space="0" w:color="auto"/>
        <w:right w:val="none" w:sz="0" w:space="0" w:color="auto"/>
      </w:divBdr>
    </w:div>
    <w:div w:id="373047446">
      <w:bodyDiv w:val="1"/>
      <w:marLeft w:val="0"/>
      <w:marRight w:val="0"/>
      <w:marTop w:val="0"/>
      <w:marBottom w:val="0"/>
      <w:divBdr>
        <w:top w:val="none" w:sz="0" w:space="0" w:color="auto"/>
        <w:left w:val="none" w:sz="0" w:space="0" w:color="auto"/>
        <w:bottom w:val="none" w:sz="0" w:space="0" w:color="auto"/>
        <w:right w:val="none" w:sz="0" w:space="0" w:color="auto"/>
      </w:divBdr>
    </w:div>
    <w:div w:id="38302022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29510397">
      <w:bodyDiv w:val="1"/>
      <w:marLeft w:val="0"/>
      <w:marRight w:val="0"/>
      <w:marTop w:val="0"/>
      <w:marBottom w:val="0"/>
      <w:divBdr>
        <w:top w:val="none" w:sz="0" w:space="0" w:color="auto"/>
        <w:left w:val="none" w:sz="0" w:space="0" w:color="auto"/>
        <w:bottom w:val="none" w:sz="0" w:space="0" w:color="auto"/>
        <w:right w:val="none" w:sz="0" w:space="0" w:color="auto"/>
      </w:divBdr>
    </w:div>
    <w:div w:id="120956346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050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47C2-0A6F-4D4E-8A41-9ED3E8C4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2011-04-18T18:06:00Z</cp:lastPrinted>
  <dcterms:created xsi:type="dcterms:W3CDTF">2012-02-29T16:07:00Z</dcterms:created>
  <dcterms:modified xsi:type="dcterms:W3CDTF">2012-02-29T17:04:00Z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