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15137" w:rsidRDefault="00540BEF" w:rsidP="00540BEF">
      <w:pPr>
        <w:tabs>
          <w:tab w:val="left" w:pos="288"/>
          <w:tab w:val="left" w:pos="4752"/>
        </w:tabs>
        <w:spacing w:line="240" w:lineRule="exact"/>
        <w:jc w:val="center"/>
        <w:rPr>
          <w:rFonts w:asciiTheme="minorHAnsi" w:hAnsiTheme="minorHAnsi"/>
          <w:color w:val="auto"/>
        </w:rPr>
      </w:pPr>
      <w:r w:rsidRPr="00E15137">
        <w:rPr>
          <w:rFonts w:asciiTheme="minorHAnsi" w:hAnsiTheme="minorHAnsi"/>
          <w:color w:val="auto"/>
        </w:rPr>
        <w:t xml:space="preserve">RECORD OF PROCEEDINGS </w:t>
      </w:r>
    </w:p>
    <w:p w:rsidR="00540BEF" w:rsidRPr="00E15137" w:rsidRDefault="00540BEF" w:rsidP="00540BEF">
      <w:pPr>
        <w:tabs>
          <w:tab w:val="left" w:pos="288"/>
          <w:tab w:val="left" w:pos="4752"/>
        </w:tabs>
        <w:spacing w:line="240" w:lineRule="exact"/>
        <w:jc w:val="center"/>
        <w:rPr>
          <w:rFonts w:asciiTheme="minorHAnsi" w:hAnsiTheme="minorHAnsi"/>
          <w:color w:val="auto"/>
        </w:rPr>
      </w:pPr>
      <w:r w:rsidRPr="00E15137">
        <w:rPr>
          <w:rFonts w:asciiTheme="minorHAnsi" w:hAnsiTheme="minorHAnsi"/>
          <w:color w:val="auto"/>
        </w:rPr>
        <w:t>PHYSICAL DISABILITY BOARD OF REVIEW</w:t>
      </w:r>
    </w:p>
    <w:p w:rsidR="00540BEF" w:rsidRPr="00E15137" w:rsidRDefault="00540BEF" w:rsidP="00540BEF">
      <w:pPr>
        <w:tabs>
          <w:tab w:val="left" w:pos="288"/>
          <w:tab w:val="left" w:pos="4752"/>
        </w:tabs>
        <w:spacing w:line="240" w:lineRule="exact"/>
        <w:jc w:val="both"/>
        <w:rPr>
          <w:rFonts w:asciiTheme="minorHAnsi" w:hAnsiTheme="minorHAnsi"/>
          <w:color w:val="auto"/>
        </w:rPr>
      </w:pPr>
    </w:p>
    <w:p w:rsidR="00540BEF" w:rsidRPr="00E15137" w:rsidRDefault="00540BEF" w:rsidP="00540BEF">
      <w:pPr>
        <w:tabs>
          <w:tab w:val="left" w:pos="288"/>
          <w:tab w:val="left" w:pos="4752"/>
        </w:tabs>
        <w:spacing w:line="240" w:lineRule="exact"/>
        <w:jc w:val="both"/>
        <w:rPr>
          <w:rFonts w:asciiTheme="minorHAnsi" w:hAnsiTheme="minorHAnsi"/>
          <w:color w:val="auto"/>
        </w:rPr>
      </w:pPr>
      <w:r w:rsidRPr="00E15137">
        <w:rPr>
          <w:rFonts w:asciiTheme="minorHAnsi" w:hAnsiTheme="minorHAnsi"/>
          <w:color w:val="auto"/>
        </w:rPr>
        <w:t xml:space="preserve">NAME: </w:t>
      </w:r>
      <w:r w:rsidR="00291047">
        <w:rPr>
          <w:rFonts w:asciiTheme="minorHAnsi" w:hAnsiTheme="minorHAnsi"/>
          <w:color w:val="auto"/>
        </w:rPr>
        <w:t xml:space="preserve"> </w:t>
      </w:r>
      <w:r w:rsidR="00CB6872">
        <w:rPr>
          <w:rFonts w:asciiTheme="minorHAnsi" w:hAnsiTheme="minorHAnsi"/>
          <w:color w:val="auto"/>
        </w:rPr>
        <w:t xml:space="preserve"> </w:t>
      </w:r>
      <w:r w:rsidRPr="00E15137">
        <w:rPr>
          <w:rFonts w:asciiTheme="minorHAnsi" w:hAnsiTheme="minorHAnsi"/>
          <w:color w:val="auto"/>
        </w:rPr>
        <w:tab/>
      </w:r>
      <w:r w:rsidRPr="00E15137">
        <w:rPr>
          <w:rFonts w:asciiTheme="minorHAnsi" w:hAnsiTheme="minorHAnsi"/>
          <w:color w:val="auto"/>
        </w:rPr>
        <w:tab/>
      </w:r>
      <w:r w:rsidR="00A12EF9">
        <w:rPr>
          <w:rFonts w:asciiTheme="minorHAnsi" w:hAnsiTheme="minorHAnsi"/>
          <w:color w:val="auto"/>
        </w:rPr>
        <w:t xml:space="preserve">                    </w:t>
      </w:r>
      <w:r w:rsidRPr="00E15137">
        <w:rPr>
          <w:rFonts w:asciiTheme="minorHAnsi" w:hAnsiTheme="minorHAnsi"/>
          <w:color w:val="auto"/>
        </w:rPr>
        <w:t xml:space="preserve">BRANCH OF SERVICE: </w:t>
      </w:r>
      <w:r w:rsidR="00291047">
        <w:rPr>
          <w:rFonts w:asciiTheme="minorHAnsi" w:hAnsiTheme="minorHAnsi"/>
          <w:color w:val="auto"/>
        </w:rPr>
        <w:t xml:space="preserve"> </w:t>
      </w:r>
      <w:r w:rsidR="00B921FB" w:rsidRPr="00E15137">
        <w:rPr>
          <w:rFonts w:asciiTheme="minorHAnsi" w:hAnsiTheme="minorHAnsi"/>
          <w:color w:val="auto"/>
        </w:rPr>
        <w:t>AIR FORCE</w:t>
      </w:r>
    </w:p>
    <w:p w:rsidR="00540BEF" w:rsidRPr="00E15137" w:rsidRDefault="00540BEF" w:rsidP="00540BEF">
      <w:pPr>
        <w:tabs>
          <w:tab w:val="left" w:pos="288"/>
          <w:tab w:val="left" w:pos="4752"/>
        </w:tabs>
        <w:spacing w:line="240" w:lineRule="exact"/>
        <w:jc w:val="both"/>
        <w:rPr>
          <w:rFonts w:asciiTheme="minorHAnsi" w:hAnsiTheme="minorHAnsi"/>
          <w:color w:val="auto"/>
        </w:rPr>
      </w:pPr>
      <w:r w:rsidRPr="00E15137">
        <w:rPr>
          <w:rFonts w:asciiTheme="minorHAnsi" w:hAnsiTheme="minorHAnsi"/>
          <w:color w:val="auto"/>
        </w:rPr>
        <w:t>CASE NUMBER:  PD</w:t>
      </w:r>
      <w:r w:rsidR="00B921FB" w:rsidRPr="00E15137">
        <w:rPr>
          <w:rFonts w:asciiTheme="minorHAnsi" w:hAnsiTheme="minorHAnsi"/>
          <w:color w:val="auto"/>
        </w:rPr>
        <w:t>1000108</w:t>
      </w:r>
      <w:r w:rsidRPr="00E15137">
        <w:rPr>
          <w:rFonts w:asciiTheme="minorHAnsi" w:hAnsiTheme="minorHAnsi"/>
          <w:color w:val="auto"/>
        </w:rPr>
        <w:tab/>
      </w:r>
      <w:r w:rsidRPr="00E15137">
        <w:rPr>
          <w:rFonts w:asciiTheme="minorHAnsi" w:hAnsiTheme="minorHAnsi"/>
          <w:color w:val="auto"/>
        </w:rPr>
        <w:tab/>
      </w:r>
      <w:r w:rsidR="004E0117">
        <w:rPr>
          <w:rFonts w:asciiTheme="minorHAnsi" w:hAnsiTheme="minorHAnsi"/>
          <w:color w:val="auto"/>
        </w:rPr>
        <w:t xml:space="preserve">                    </w:t>
      </w:r>
      <w:r w:rsidR="00DF22C1">
        <w:rPr>
          <w:rFonts w:asciiTheme="minorHAnsi" w:hAnsiTheme="minorHAnsi"/>
          <w:color w:val="auto"/>
        </w:rPr>
        <w:t xml:space="preserve">    </w:t>
      </w:r>
      <w:r w:rsidR="00A12EF9" w:rsidRPr="00E15137">
        <w:rPr>
          <w:rFonts w:asciiTheme="minorHAnsi" w:hAnsiTheme="minorHAnsi"/>
          <w:color w:val="auto"/>
        </w:rPr>
        <w:t xml:space="preserve">SEPARATION DATE: </w:t>
      </w:r>
      <w:r w:rsidR="00291047">
        <w:rPr>
          <w:rFonts w:asciiTheme="minorHAnsi" w:hAnsiTheme="minorHAnsi"/>
          <w:color w:val="auto"/>
        </w:rPr>
        <w:t xml:space="preserve"> </w:t>
      </w:r>
      <w:r w:rsidR="00A12EF9" w:rsidRPr="00E15137">
        <w:rPr>
          <w:rFonts w:asciiTheme="minorHAnsi" w:hAnsiTheme="minorHAnsi"/>
          <w:color w:val="auto"/>
        </w:rPr>
        <w:t>20050419</w:t>
      </w:r>
    </w:p>
    <w:p w:rsidR="00540BEF" w:rsidRPr="00E15137" w:rsidRDefault="00540BEF" w:rsidP="00540BEF">
      <w:pPr>
        <w:tabs>
          <w:tab w:val="left" w:pos="288"/>
          <w:tab w:val="left" w:pos="4752"/>
        </w:tabs>
        <w:spacing w:line="240" w:lineRule="exact"/>
        <w:jc w:val="both"/>
        <w:rPr>
          <w:rFonts w:asciiTheme="minorHAnsi" w:hAnsiTheme="minorHAnsi"/>
          <w:color w:val="auto"/>
        </w:rPr>
      </w:pPr>
      <w:r w:rsidRPr="00E15137">
        <w:rPr>
          <w:rFonts w:asciiTheme="minorHAnsi" w:hAnsiTheme="minorHAnsi"/>
          <w:color w:val="auto"/>
        </w:rPr>
        <w:t xml:space="preserve">BOARD DATE: </w:t>
      </w:r>
      <w:r w:rsidR="00291047">
        <w:rPr>
          <w:rFonts w:asciiTheme="minorHAnsi" w:hAnsiTheme="minorHAnsi"/>
          <w:color w:val="auto"/>
        </w:rPr>
        <w:t xml:space="preserve"> </w:t>
      </w:r>
      <w:r w:rsidR="000F02BE" w:rsidRPr="00E15137">
        <w:rPr>
          <w:rFonts w:asciiTheme="minorHAnsi" w:hAnsiTheme="minorHAnsi"/>
          <w:color w:val="auto"/>
        </w:rPr>
        <w:t>201</w:t>
      </w:r>
      <w:r w:rsidR="00A12EF9">
        <w:rPr>
          <w:rFonts w:asciiTheme="minorHAnsi" w:hAnsiTheme="minorHAnsi"/>
          <w:color w:val="auto"/>
        </w:rPr>
        <w:t>1</w:t>
      </w:r>
      <w:r w:rsidR="00C156B7">
        <w:rPr>
          <w:rFonts w:asciiTheme="minorHAnsi" w:hAnsiTheme="minorHAnsi"/>
          <w:color w:val="auto"/>
        </w:rPr>
        <w:t>0727</w:t>
      </w:r>
      <w:r w:rsidRPr="00E15137">
        <w:rPr>
          <w:rFonts w:asciiTheme="minorHAnsi" w:hAnsiTheme="minorHAnsi"/>
          <w:color w:val="auto"/>
        </w:rPr>
        <w:tab/>
      </w:r>
      <w:r w:rsidRPr="00E15137">
        <w:rPr>
          <w:rFonts w:asciiTheme="minorHAnsi" w:hAnsiTheme="minorHAnsi"/>
          <w:color w:val="auto"/>
        </w:rPr>
        <w:tab/>
      </w:r>
      <w:r w:rsidR="004E0117">
        <w:rPr>
          <w:rFonts w:asciiTheme="minorHAnsi" w:hAnsiTheme="minorHAnsi"/>
          <w:color w:val="auto"/>
        </w:rPr>
        <w:t xml:space="preserve">                         </w:t>
      </w:r>
    </w:p>
    <w:p w:rsidR="00540BEF" w:rsidRPr="00B1279A" w:rsidRDefault="00540BEF" w:rsidP="00540BEF">
      <w:pPr>
        <w:tabs>
          <w:tab w:val="left" w:pos="288"/>
          <w:tab w:val="left" w:pos="4752"/>
        </w:tabs>
        <w:spacing w:line="240" w:lineRule="exact"/>
        <w:jc w:val="both"/>
        <w:rPr>
          <w:rFonts w:asciiTheme="minorHAnsi" w:hAnsiTheme="minorHAnsi" w:cstheme="minorHAnsi"/>
          <w:color w:val="auto"/>
        </w:rPr>
      </w:pPr>
      <w:r w:rsidRPr="00B1279A">
        <w:rPr>
          <w:rFonts w:asciiTheme="minorHAnsi" w:hAnsiTheme="minorHAnsi" w:cstheme="minorHAnsi"/>
          <w:color w:val="auto"/>
          <w:u w:val="single"/>
        </w:rPr>
        <w:t>_________________________________________________</w:t>
      </w:r>
      <w:r w:rsidR="00B1279A">
        <w:rPr>
          <w:rFonts w:asciiTheme="minorHAnsi" w:hAnsiTheme="minorHAnsi" w:cstheme="minorHAnsi"/>
          <w:color w:val="auto"/>
          <w:u w:val="single"/>
        </w:rPr>
        <w:t>______________</w:t>
      </w:r>
      <w:r w:rsidRPr="00B1279A">
        <w:rPr>
          <w:rFonts w:asciiTheme="minorHAnsi" w:hAnsiTheme="minorHAnsi" w:cstheme="minorHAnsi"/>
          <w:color w:val="auto"/>
          <w:u w:val="single"/>
        </w:rPr>
        <w:t>______________</w:t>
      </w:r>
      <w:r w:rsidRPr="00B1279A">
        <w:rPr>
          <w:rFonts w:asciiTheme="minorHAnsi" w:hAnsiTheme="minorHAnsi" w:cstheme="minorHAnsi"/>
          <w:color w:val="auto"/>
        </w:rPr>
        <w:t>_</w:t>
      </w:r>
    </w:p>
    <w:p w:rsidR="00CD3C2E" w:rsidRPr="00D91DA6" w:rsidRDefault="00CD3C2E" w:rsidP="00875F2D">
      <w:pPr>
        <w:tabs>
          <w:tab w:val="left" w:pos="288"/>
          <w:tab w:val="left" w:pos="4752"/>
        </w:tabs>
        <w:spacing w:line="240" w:lineRule="exact"/>
        <w:jc w:val="both"/>
        <w:rPr>
          <w:color w:val="000080"/>
        </w:rPr>
      </w:pPr>
    </w:p>
    <w:p w:rsidR="0061014A" w:rsidRPr="00B03410" w:rsidRDefault="002C6E5B" w:rsidP="00992306">
      <w:pPr>
        <w:tabs>
          <w:tab w:val="left" w:pos="288"/>
          <w:tab w:val="left" w:pos="4752"/>
        </w:tabs>
        <w:spacing w:line="240" w:lineRule="exact"/>
        <w:jc w:val="both"/>
        <w:rPr>
          <w:rFonts w:asciiTheme="minorHAnsi" w:hAnsiTheme="minorHAnsi"/>
          <w:color w:val="auto"/>
          <w:szCs w:val="24"/>
        </w:rPr>
      </w:pPr>
      <w:r w:rsidRPr="00B03410">
        <w:rPr>
          <w:rFonts w:asciiTheme="minorHAnsi" w:hAnsiTheme="minorHAnsi"/>
          <w:color w:val="auto"/>
          <w:u w:val="single"/>
        </w:rPr>
        <w:t>SUMMARY OF CASE</w:t>
      </w:r>
      <w:r w:rsidRPr="00B03410">
        <w:rPr>
          <w:rFonts w:asciiTheme="minorHAnsi" w:hAnsiTheme="minorHAnsi"/>
          <w:color w:val="auto"/>
        </w:rPr>
        <w:t xml:space="preserve">:  </w:t>
      </w:r>
      <w:r w:rsidR="00CD3C2E" w:rsidRPr="00B03410">
        <w:rPr>
          <w:rFonts w:asciiTheme="minorHAnsi" w:hAnsiTheme="minorHAnsi"/>
          <w:color w:val="auto"/>
        </w:rPr>
        <w:t xml:space="preserve">Data extracted from the available evidence of record reflects that this covered individual (CI) </w:t>
      </w:r>
      <w:r w:rsidR="00FE02C2" w:rsidRPr="00B03410">
        <w:rPr>
          <w:rFonts w:asciiTheme="minorHAnsi" w:hAnsiTheme="minorHAnsi"/>
          <w:color w:val="auto"/>
        </w:rPr>
        <w:t>was</w:t>
      </w:r>
      <w:r w:rsidRPr="00B03410">
        <w:rPr>
          <w:rFonts w:asciiTheme="minorHAnsi" w:hAnsiTheme="minorHAnsi"/>
          <w:color w:val="auto"/>
          <w:szCs w:val="24"/>
        </w:rPr>
        <w:t xml:space="preserve"> </w:t>
      </w:r>
      <w:r w:rsidR="00E322F7" w:rsidRPr="00B03410">
        <w:rPr>
          <w:rFonts w:asciiTheme="minorHAnsi" w:hAnsiTheme="minorHAnsi"/>
          <w:color w:val="auto"/>
          <w:szCs w:val="24"/>
        </w:rPr>
        <w:t xml:space="preserve">an </w:t>
      </w:r>
      <w:r w:rsidR="00291047">
        <w:rPr>
          <w:rFonts w:asciiTheme="minorHAnsi" w:hAnsiTheme="minorHAnsi"/>
          <w:color w:val="auto"/>
          <w:szCs w:val="24"/>
        </w:rPr>
        <w:t>a</w:t>
      </w:r>
      <w:r w:rsidR="00291047" w:rsidRPr="00B03410">
        <w:rPr>
          <w:rFonts w:asciiTheme="minorHAnsi" w:hAnsiTheme="minorHAnsi"/>
          <w:color w:val="auto"/>
          <w:szCs w:val="24"/>
        </w:rPr>
        <w:t xml:space="preserve">ctive </w:t>
      </w:r>
      <w:r w:rsidR="00291047">
        <w:rPr>
          <w:rFonts w:asciiTheme="minorHAnsi" w:hAnsiTheme="minorHAnsi"/>
          <w:color w:val="auto"/>
          <w:szCs w:val="24"/>
        </w:rPr>
        <w:t>d</w:t>
      </w:r>
      <w:r w:rsidR="00291047" w:rsidRPr="00B03410">
        <w:rPr>
          <w:rFonts w:asciiTheme="minorHAnsi" w:hAnsiTheme="minorHAnsi"/>
          <w:color w:val="auto"/>
          <w:szCs w:val="24"/>
        </w:rPr>
        <w:t xml:space="preserve">uty </w:t>
      </w:r>
      <w:r w:rsidR="005D41FC">
        <w:rPr>
          <w:rFonts w:asciiTheme="minorHAnsi" w:hAnsiTheme="minorHAnsi"/>
          <w:color w:val="auto"/>
          <w:szCs w:val="24"/>
        </w:rPr>
        <w:t>T</w:t>
      </w:r>
      <w:r w:rsidR="00B921FB" w:rsidRPr="00B03410">
        <w:rPr>
          <w:rFonts w:asciiTheme="minorHAnsi" w:hAnsiTheme="minorHAnsi"/>
          <w:color w:val="auto"/>
          <w:szCs w:val="24"/>
        </w:rPr>
        <w:t>Sgt</w:t>
      </w:r>
      <w:r w:rsidR="00E322F7" w:rsidRPr="00B03410">
        <w:rPr>
          <w:rFonts w:asciiTheme="minorHAnsi" w:hAnsiTheme="minorHAnsi"/>
          <w:color w:val="auto"/>
          <w:szCs w:val="24"/>
        </w:rPr>
        <w:t xml:space="preserve"> (</w:t>
      </w:r>
      <w:r w:rsidR="00B921FB" w:rsidRPr="00B03410">
        <w:rPr>
          <w:rFonts w:asciiTheme="minorHAnsi" w:hAnsiTheme="minorHAnsi"/>
          <w:color w:val="auto"/>
          <w:szCs w:val="24"/>
        </w:rPr>
        <w:t>8B0, Military Training Instructor</w:t>
      </w:r>
      <w:r w:rsidR="00E322F7" w:rsidRPr="00B03410">
        <w:rPr>
          <w:rFonts w:asciiTheme="minorHAnsi" w:hAnsiTheme="minorHAnsi"/>
          <w:color w:val="auto"/>
          <w:szCs w:val="24"/>
        </w:rPr>
        <w:t xml:space="preserve">) </w:t>
      </w:r>
      <w:r w:rsidRPr="00B03410">
        <w:rPr>
          <w:rFonts w:asciiTheme="minorHAnsi" w:hAnsiTheme="minorHAnsi"/>
          <w:color w:val="auto"/>
          <w:szCs w:val="24"/>
        </w:rPr>
        <w:t>medically separated from the A</w:t>
      </w:r>
      <w:r w:rsidR="00B921FB" w:rsidRPr="00B03410">
        <w:rPr>
          <w:rFonts w:asciiTheme="minorHAnsi" w:hAnsiTheme="minorHAnsi"/>
          <w:color w:val="auto"/>
          <w:szCs w:val="24"/>
        </w:rPr>
        <w:t>ir Force</w:t>
      </w:r>
      <w:r w:rsidRPr="00B03410">
        <w:rPr>
          <w:rFonts w:asciiTheme="minorHAnsi" w:hAnsiTheme="minorHAnsi"/>
          <w:color w:val="auto"/>
          <w:szCs w:val="24"/>
        </w:rPr>
        <w:t xml:space="preserve"> in 200</w:t>
      </w:r>
      <w:r w:rsidR="00B921FB" w:rsidRPr="00B03410">
        <w:rPr>
          <w:rFonts w:asciiTheme="minorHAnsi" w:hAnsiTheme="minorHAnsi"/>
          <w:color w:val="auto"/>
          <w:szCs w:val="24"/>
        </w:rPr>
        <w:t>5</w:t>
      </w:r>
      <w:r w:rsidRPr="00B03410">
        <w:rPr>
          <w:rFonts w:asciiTheme="minorHAnsi" w:hAnsiTheme="minorHAnsi"/>
          <w:color w:val="auto"/>
          <w:szCs w:val="24"/>
        </w:rPr>
        <w:t xml:space="preserve"> after</w:t>
      </w:r>
      <w:r w:rsidR="00FE02C2" w:rsidRPr="00B03410">
        <w:rPr>
          <w:rFonts w:asciiTheme="minorHAnsi" w:hAnsiTheme="minorHAnsi"/>
          <w:color w:val="auto"/>
          <w:szCs w:val="24"/>
        </w:rPr>
        <w:t xml:space="preserve"> 11 </w:t>
      </w:r>
      <w:r w:rsidRPr="00B03410">
        <w:rPr>
          <w:rFonts w:asciiTheme="minorHAnsi" w:hAnsiTheme="minorHAnsi"/>
          <w:color w:val="auto"/>
          <w:szCs w:val="24"/>
        </w:rPr>
        <w:t xml:space="preserve">years of service.  The medical basis for the separation was </w:t>
      </w:r>
      <w:r w:rsidR="004052D5" w:rsidRPr="00B03410">
        <w:rPr>
          <w:rFonts w:asciiTheme="minorHAnsi" w:hAnsiTheme="minorHAnsi"/>
          <w:color w:val="auto"/>
          <w:szCs w:val="24"/>
        </w:rPr>
        <w:t xml:space="preserve">urticaria. </w:t>
      </w:r>
      <w:r w:rsidR="002E0A05">
        <w:rPr>
          <w:rFonts w:asciiTheme="minorHAnsi" w:hAnsiTheme="minorHAnsi"/>
          <w:color w:val="auto"/>
          <w:szCs w:val="24"/>
        </w:rPr>
        <w:t xml:space="preserve"> </w:t>
      </w:r>
      <w:r w:rsidR="003F442B" w:rsidRPr="009B2013">
        <w:rPr>
          <w:rFonts w:asciiTheme="minorHAnsi" w:hAnsiTheme="minorHAnsi"/>
          <w:color w:val="auto"/>
          <w:szCs w:val="24"/>
        </w:rPr>
        <w:t>The CI had</w:t>
      </w:r>
      <w:r w:rsidR="009119BB" w:rsidRPr="009B2013">
        <w:rPr>
          <w:rFonts w:asciiTheme="minorHAnsi" w:hAnsiTheme="minorHAnsi"/>
          <w:color w:val="auto"/>
          <w:szCs w:val="24"/>
        </w:rPr>
        <w:t xml:space="preserve"> </w:t>
      </w:r>
      <w:r w:rsidR="0026723A" w:rsidRPr="009B2013">
        <w:rPr>
          <w:rFonts w:asciiTheme="minorHAnsi" w:hAnsiTheme="minorHAnsi"/>
          <w:color w:val="auto"/>
          <w:szCs w:val="24"/>
        </w:rPr>
        <w:t xml:space="preserve">six </w:t>
      </w:r>
      <w:r w:rsidR="009119BB" w:rsidRPr="009B2013">
        <w:rPr>
          <w:rFonts w:asciiTheme="minorHAnsi" w:hAnsiTheme="minorHAnsi"/>
          <w:color w:val="auto"/>
          <w:szCs w:val="24"/>
        </w:rPr>
        <w:t>episodes of exercise</w:t>
      </w:r>
      <w:r w:rsidR="00291047">
        <w:rPr>
          <w:rFonts w:asciiTheme="minorHAnsi" w:hAnsiTheme="minorHAnsi"/>
          <w:color w:val="auto"/>
          <w:szCs w:val="24"/>
        </w:rPr>
        <w:t>-</w:t>
      </w:r>
      <w:r w:rsidR="009119BB" w:rsidRPr="009B2013">
        <w:rPr>
          <w:rFonts w:asciiTheme="minorHAnsi" w:hAnsiTheme="minorHAnsi"/>
          <w:color w:val="auto"/>
          <w:szCs w:val="24"/>
        </w:rPr>
        <w:t xml:space="preserve">induced </w:t>
      </w:r>
      <w:proofErr w:type="spellStart"/>
      <w:r w:rsidR="009119BB" w:rsidRPr="009B2013">
        <w:rPr>
          <w:rFonts w:asciiTheme="minorHAnsi" w:hAnsiTheme="minorHAnsi"/>
          <w:color w:val="auto"/>
          <w:szCs w:val="24"/>
        </w:rPr>
        <w:t>urticaria</w:t>
      </w:r>
      <w:proofErr w:type="spellEnd"/>
      <w:r w:rsidR="003F442B" w:rsidRPr="009B2013">
        <w:rPr>
          <w:rFonts w:asciiTheme="minorHAnsi" w:hAnsiTheme="minorHAnsi"/>
          <w:color w:val="auto"/>
          <w:szCs w:val="24"/>
        </w:rPr>
        <w:t xml:space="preserve"> </w:t>
      </w:r>
      <w:r w:rsidR="0026723A" w:rsidRPr="009B2013">
        <w:rPr>
          <w:rFonts w:asciiTheme="minorHAnsi" w:hAnsiTheme="minorHAnsi"/>
          <w:color w:val="auto"/>
          <w:szCs w:val="24"/>
        </w:rPr>
        <w:t xml:space="preserve">within six months </w:t>
      </w:r>
      <w:r w:rsidR="009119BB" w:rsidRPr="009B2013">
        <w:rPr>
          <w:rFonts w:asciiTheme="minorHAnsi" w:hAnsiTheme="minorHAnsi"/>
          <w:color w:val="auto"/>
          <w:szCs w:val="24"/>
        </w:rPr>
        <w:t xml:space="preserve">associated </w:t>
      </w:r>
      <w:r w:rsidR="00D4266A" w:rsidRPr="009B2013">
        <w:rPr>
          <w:rFonts w:asciiTheme="minorHAnsi" w:hAnsiTheme="minorHAnsi"/>
          <w:color w:val="auto"/>
          <w:szCs w:val="24"/>
        </w:rPr>
        <w:t xml:space="preserve">with </w:t>
      </w:r>
      <w:r w:rsidR="00AF000B" w:rsidRPr="009B2013">
        <w:rPr>
          <w:rFonts w:asciiTheme="minorHAnsi" w:hAnsiTheme="minorHAnsi"/>
          <w:color w:val="auto"/>
          <w:szCs w:val="24"/>
        </w:rPr>
        <w:t xml:space="preserve">large raised wheals, </w:t>
      </w:r>
      <w:r w:rsidR="00D4266A" w:rsidRPr="009B2013">
        <w:rPr>
          <w:rFonts w:asciiTheme="minorHAnsi" w:hAnsiTheme="minorHAnsi"/>
          <w:color w:val="auto"/>
          <w:szCs w:val="24"/>
        </w:rPr>
        <w:t xml:space="preserve">shortness of breath (SOB), </w:t>
      </w:r>
      <w:r w:rsidR="0090654B" w:rsidRPr="009B2013">
        <w:rPr>
          <w:rFonts w:asciiTheme="minorHAnsi" w:hAnsiTheme="minorHAnsi"/>
          <w:color w:val="auto"/>
          <w:szCs w:val="24"/>
        </w:rPr>
        <w:t xml:space="preserve">and </w:t>
      </w:r>
      <w:r w:rsidR="0026723A" w:rsidRPr="009B2013">
        <w:rPr>
          <w:rFonts w:asciiTheme="minorHAnsi" w:hAnsiTheme="minorHAnsi"/>
          <w:color w:val="auto"/>
          <w:szCs w:val="24"/>
        </w:rPr>
        <w:t>whe</w:t>
      </w:r>
      <w:r w:rsidR="0090654B" w:rsidRPr="009B2013">
        <w:rPr>
          <w:rFonts w:asciiTheme="minorHAnsi" w:hAnsiTheme="minorHAnsi"/>
          <w:color w:val="auto"/>
          <w:szCs w:val="24"/>
        </w:rPr>
        <w:t>ezing</w:t>
      </w:r>
      <w:r w:rsidR="003F442B" w:rsidRPr="009B2013">
        <w:rPr>
          <w:rFonts w:asciiTheme="minorHAnsi" w:hAnsiTheme="minorHAnsi"/>
          <w:color w:val="auto"/>
          <w:szCs w:val="24"/>
        </w:rPr>
        <w:t xml:space="preserve">. </w:t>
      </w:r>
      <w:r w:rsidR="009D6190" w:rsidRPr="009B2013">
        <w:rPr>
          <w:rFonts w:asciiTheme="minorHAnsi" w:hAnsiTheme="minorHAnsi"/>
          <w:color w:val="auto"/>
          <w:szCs w:val="24"/>
        </w:rPr>
        <w:t xml:space="preserve"> Although she was able to </w:t>
      </w:r>
      <w:r w:rsidR="00E322F7" w:rsidRPr="009B2013">
        <w:rPr>
          <w:rFonts w:asciiTheme="minorHAnsi" w:hAnsiTheme="minorHAnsi"/>
          <w:color w:val="auto"/>
          <w:szCs w:val="24"/>
        </w:rPr>
        <w:t>perform within h</w:t>
      </w:r>
      <w:r w:rsidR="00B921FB" w:rsidRPr="009B2013">
        <w:rPr>
          <w:rFonts w:asciiTheme="minorHAnsi" w:hAnsiTheme="minorHAnsi"/>
          <w:color w:val="auto"/>
          <w:szCs w:val="24"/>
        </w:rPr>
        <w:t>er</w:t>
      </w:r>
      <w:r w:rsidR="00E322F7" w:rsidRPr="009B2013">
        <w:rPr>
          <w:rFonts w:asciiTheme="minorHAnsi" w:hAnsiTheme="minorHAnsi"/>
          <w:color w:val="auto"/>
          <w:szCs w:val="24"/>
        </w:rPr>
        <w:t xml:space="preserve"> </w:t>
      </w:r>
      <w:r w:rsidR="009D6190" w:rsidRPr="009B2013">
        <w:rPr>
          <w:rFonts w:asciiTheme="minorHAnsi" w:hAnsiTheme="minorHAnsi"/>
          <w:color w:val="auto"/>
          <w:szCs w:val="24"/>
        </w:rPr>
        <w:t xml:space="preserve">Air Force </w:t>
      </w:r>
      <w:r w:rsidR="00D4648A">
        <w:rPr>
          <w:rFonts w:asciiTheme="minorHAnsi" w:hAnsiTheme="minorHAnsi"/>
          <w:color w:val="auto"/>
          <w:szCs w:val="24"/>
        </w:rPr>
        <w:t>S</w:t>
      </w:r>
      <w:r w:rsidR="00291047" w:rsidRPr="009B2013">
        <w:rPr>
          <w:rFonts w:asciiTheme="minorHAnsi" w:hAnsiTheme="minorHAnsi"/>
          <w:color w:val="auto"/>
          <w:szCs w:val="24"/>
        </w:rPr>
        <w:t xml:space="preserve">pecialty </w:t>
      </w:r>
      <w:r w:rsidR="009D6190" w:rsidRPr="009B2013">
        <w:rPr>
          <w:rFonts w:asciiTheme="minorHAnsi" w:hAnsiTheme="minorHAnsi"/>
          <w:color w:val="auto"/>
          <w:szCs w:val="24"/>
        </w:rPr>
        <w:t>(</w:t>
      </w:r>
      <w:r w:rsidR="00B921FB" w:rsidRPr="009B2013">
        <w:rPr>
          <w:rFonts w:asciiTheme="minorHAnsi" w:hAnsiTheme="minorHAnsi"/>
          <w:color w:val="auto"/>
          <w:szCs w:val="24"/>
        </w:rPr>
        <w:t>AFS</w:t>
      </w:r>
      <w:r w:rsidR="009D6190" w:rsidRPr="009B2013">
        <w:rPr>
          <w:rFonts w:asciiTheme="minorHAnsi" w:hAnsiTheme="minorHAnsi"/>
          <w:color w:val="auto"/>
          <w:szCs w:val="24"/>
        </w:rPr>
        <w:t>),</w:t>
      </w:r>
      <w:r w:rsidR="003F442B" w:rsidRPr="009B2013">
        <w:rPr>
          <w:rFonts w:asciiTheme="minorHAnsi" w:hAnsiTheme="minorHAnsi"/>
          <w:color w:val="auto"/>
          <w:szCs w:val="24"/>
        </w:rPr>
        <w:t xml:space="preserve"> </w:t>
      </w:r>
      <w:r w:rsidR="009D6190" w:rsidRPr="009B2013">
        <w:rPr>
          <w:rFonts w:asciiTheme="minorHAnsi" w:hAnsiTheme="minorHAnsi"/>
          <w:color w:val="auto"/>
          <w:szCs w:val="24"/>
        </w:rPr>
        <w:t xml:space="preserve">she was not worldwide deployable.  Therefore, she </w:t>
      </w:r>
      <w:r w:rsidR="003F442B" w:rsidRPr="009B2013">
        <w:rPr>
          <w:rFonts w:asciiTheme="minorHAnsi" w:hAnsiTheme="minorHAnsi"/>
          <w:color w:val="auto"/>
          <w:szCs w:val="24"/>
        </w:rPr>
        <w:t>was issued a P4</w:t>
      </w:r>
      <w:r w:rsidR="00E322F7" w:rsidRPr="009B2013">
        <w:rPr>
          <w:rFonts w:asciiTheme="minorHAnsi" w:hAnsiTheme="minorHAnsi"/>
          <w:color w:val="auto"/>
          <w:szCs w:val="24"/>
        </w:rPr>
        <w:t xml:space="preserve"> profile and underwent a </w:t>
      </w:r>
      <w:r w:rsidR="00E87120" w:rsidRPr="009B2013">
        <w:rPr>
          <w:rFonts w:asciiTheme="minorHAnsi" w:hAnsiTheme="minorHAnsi"/>
          <w:color w:val="auto"/>
          <w:szCs w:val="24"/>
        </w:rPr>
        <w:t>Medical Evaluation Board (</w:t>
      </w:r>
      <w:r w:rsidR="00E322F7" w:rsidRPr="009B2013">
        <w:rPr>
          <w:rFonts w:asciiTheme="minorHAnsi" w:hAnsiTheme="minorHAnsi"/>
          <w:color w:val="auto"/>
          <w:szCs w:val="24"/>
        </w:rPr>
        <w:t>MEB</w:t>
      </w:r>
      <w:r w:rsidR="00E87120" w:rsidRPr="009B2013">
        <w:rPr>
          <w:rFonts w:asciiTheme="minorHAnsi" w:hAnsiTheme="minorHAnsi"/>
          <w:color w:val="auto"/>
          <w:szCs w:val="24"/>
        </w:rPr>
        <w:t>)</w:t>
      </w:r>
      <w:r w:rsidR="00E322F7" w:rsidRPr="009B2013">
        <w:rPr>
          <w:rFonts w:asciiTheme="minorHAnsi" w:hAnsiTheme="minorHAnsi"/>
          <w:color w:val="auto"/>
          <w:szCs w:val="24"/>
        </w:rPr>
        <w:t>.</w:t>
      </w:r>
      <w:r w:rsidR="002E0A05" w:rsidRPr="009B2013">
        <w:rPr>
          <w:rFonts w:asciiTheme="minorHAnsi" w:hAnsiTheme="minorHAnsi"/>
          <w:color w:val="auto"/>
          <w:szCs w:val="24"/>
        </w:rPr>
        <w:t xml:space="preserve"> </w:t>
      </w:r>
      <w:r w:rsidR="00992306" w:rsidRPr="009B2013">
        <w:rPr>
          <w:rFonts w:asciiTheme="minorHAnsi" w:hAnsiTheme="minorHAnsi"/>
          <w:color w:val="auto"/>
          <w:szCs w:val="24"/>
        </w:rPr>
        <w:t xml:space="preserve"> </w:t>
      </w:r>
      <w:r w:rsidR="00836A92" w:rsidRPr="009B2013">
        <w:rPr>
          <w:rFonts w:asciiTheme="minorHAnsi" w:hAnsiTheme="minorHAnsi"/>
          <w:color w:val="auto"/>
          <w:szCs w:val="24"/>
        </w:rPr>
        <w:t xml:space="preserve">Mild </w:t>
      </w:r>
      <w:r w:rsidR="004052D5" w:rsidRPr="009B2013">
        <w:rPr>
          <w:rFonts w:asciiTheme="minorHAnsi" w:hAnsiTheme="minorHAnsi"/>
          <w:color w:val="auto"/>
          <w:szCs w:val="24"/>
        </w:rPr>
        <w:t xml:space="preserve">intermittent asthma, exercise-induced anaphylaxis and allergic rhinitis </w:t>
      </w:r>
      <w:r w:rsidR="00AE5E14" w:rsidRPr="009B2013">
        <w:rPr>
          <w:rFonts w:asciiTheme="minorHAnsi" w:hAnsiTheme="minorHAnsi"/>
          <w:color w:val="auto"/>
          <w:szCs w:val="24"/>
        </w:rPr>
        <w:t xml:space="preserve">were addressed in the </w:t>
      </w:r>
      <w:r w:rsidR="00291047" w:rsidRPr="009B2013">
        <w:rPr>
          <w:rFonts w:asciiTheme="minorHAnsi" w:hAnsiTheme="minorHAnsi"/>
          <w:color w:val="auto"/>
          <w:szCs w:val="24"/>
        </w:rPr>
        <w:t xml:space="preserve">narrative summary </w:t>
      </w:r>
      <w:r w:rsidR="009D6190" w:rsidRPr="009B2013">
        <w:rPr>
          <w:rFonts w:asciiTheme="minorHAnsi" w:hAnsiTheme="minorHAnsi"/>
          <w:color w:val="auto"/>
          <w:szCs w:val="24"/>
        </w:rPr>
        <w:t>(</w:t>
      </w:r>
      <w:r w:rsidR="00AE5E14" w:rsidRPr="009B2013">
        <w:rPr>
          <w:rFonts w:asciiTheme="minorHAnsi" w:hAnsiTheme="minorHAnsi"/>
          <w:color w:val="auto"/>
          <w:szCs w:val="24"/>
        </w:rPr>
        <w:t>NARSUM</w:t>
      </w:r>
      <w:r w:rsidR="009D6190" w:rsidRPr="009B2013">
        <w:rPr>
          <w:rFonts w:asciiTheme="minorHAnsi" w:hAnsiTheme="minorHAnsi"/>
          <w:color w:val="auto"/>
          <w:szCs w:val="24"/>
        </w:rPr>
        <w:t>)</w:t>
      </w:r>
      <w:r w:rsidR="00AE5E14" w:rsidRPr="009B2013">
        <w:rPr>
          <w:rFonts w:asciiTheme="minorHAnsi" w:hAnsiTheme="minorHAnsi"/>
          <w:color w:val="auto"/>
          <w:szCs w:val="24"/>
        </w:rPr>
        <w:t xml:space="preserve"> and </w:t>
      </w:r>
      <w:r w:rsidR="00EA666C" w:rsidRPr="009B2013">
        <w:rPr>
          <w:rFonts w:asciiTheme="minorHAnsi" w:hAnsiTheme="minorHAnsi"/>
          <w:color w:val="auto"/>
          <w:szCs w:val="24"/>
        </w:rPr>
        <w:t xml:space="preserve">were </w:t>
      </w:r>
      <w:r w:rsidR="00AE5E14" w:rsidRPr="009B2013">
        <w:rPr>
          <w:rFonts w:asciiTheme="minorHAnsi" w:hAnsiTheme="minorHAnsi"/>
          <w:color w:val="auto"/>
          <w:szCs w:val="24"/>
        </w:rPr>
        <w:t xml:space="preserve">forwarded to the </w:t>
      </w:r>
      <w:r w:rsidR="00EA666C" w:rsidRPr="009B2013">
        <w:rPr>
          <w:rFonts w:asciiTheme="minorHAnsi" w:hAnsiTheme="minorHAnsi"/>
          <w:color w:val="auto"/>
          <w:szCs w:val="24"/>
        </w:rPr>
        <w:t>P</w:t>
      </w:r>
      <w:r w:rsidR="009D6190" w:rsidRPr="009B2013">
        <w:rPr>
          <w:rFonts w:asciiTheme="minorHAnsi" w:hAnsiTheme="minorHAnsi"/>
          <w:color w:val="auto"/>
          <w:szCs w:val="24"/>
        </w:rPr>
        <w:t xml:space="preserve">hysical </w:t>
      </w:r>
      <w:r w:rsidR="00EA666C" w:rsidRPr="009B2013">
        <w:rPr>
          <w:rFonts w:asciiTheme="minorHAnsi" w:hAnsiTheme="minorHAnsi"/>
          <w:color w:val="auto"/>
          <w:szCs w:val="24"/>
        </w:rPr>
        <w:t>E</w:t>
      </w:r>
      <w:r w:rsidR="009D6190" w:rsidRPr="009B2013">
        <w:rPr>
          <w:rFonts w:asciiTheme="minorHAnsi" w:hAnsiTheme="minorHAnsi"/>
          <w:color w:val="auto"/>
          <w:szCs w:val="24"/>
        </w:rPr>
        <w:t>valua</w:t>
      </w:r>
      <w:r w:rsidR="009D6190" w:rsidRPr="009D6190">
        <w:rPr>
          <w:rFonts w:asciiTheme="minorHAnsi" w:hAnsiTheme="minorHAnsi"/>
          <w:color w:val="auto"/>
          <w:szCs w:val="24"/>
        </w:rPr>
        <w:t xml:space="preserve">tion </w:t>
      </w:r>
      <w:r w:rsidR="00EA666C">
        <w:rPr>
          <w:rFonts w:asciiTheme="minorHAnsi" w:hAnsiTheme="minorHAnsi"/>
          <w:color w:val="auto"/>
          <w:szCs w:val="24"/>
        </w:rPr>
        <w:t>B</w:t>
      </w:r>
      <w:r w:rsidR="009D6190" w:rsidRPr="009D6190">
        <w:rPr>
          <w:rFonts w:asciiTheme="minorHAnsi" w:hAnsiTheme="minorHAnsi"/>
          <w:color w:val="auto"/>
          <w:szCs w:val="24"/>
        </w:rPr>
        <w:t>oard (</w:t>
      </w:r>
      <w:r w:rsidR="00AE5E14" w:rsidRPr="009D6190">
        <w:rPr>
          <w:rFonts w:asciiTheme="minorHAnsi" w:hAnsiTheme="minorHAnsi"/>
          <w:color w:val="auto"/>
          <w:szCs w:val="24"/>
        </w:rPr>
        <w:t>PEB</w:t>
      </w:r>
      <w:r w:rsidR="009D6190" w:rsidRPr="009D6190">
        <w:rPr>
          <w:rFonts w:asciiTheme="minorHAnsi" w:hAnsiTheme="minorHAnsi"/>
          <w:color w:val="auto"/>
          <w:szCs w:val="24"/>
        </w:rPr>
        <w:t>)</w:t>
      </w:r>
      <w:r w:rsidR="00AE5E14" w:rsidRPr="009D6190">
        <w:rPr>
          <w:rFonts w:asciiTheme="minorHAnsi" w:hAnsiTheme="minorHAnsi"/>
          <w:color w:val="auto"/>
          <w:szCs w:val="24"/>
        </w:rPr>
        <w:t xml:space="preserve"> </w:t>
      </w:r>
      <w:r w:rsidR="009F7809" w:rsidRPr="009D6190">
        <w:rPr>
          <w:rFonts w:asciiTheme="minorHAnsi" w:hAnsiTheme="minorHAnsi"/>
          <w:color w:val="auto"/>
          <w:szCs w:val="24"/>
        </w:rPr>
        <w:t xml:space="preserve">as medically </w:t>
      </w:r>
      <w:r w:rsidR="000E37E0" w:rsidRPr="009D6190">
        <w:rPr>
          <w:rFonts w:asciiTheme="minorHAnsi" w:hAnsiTheme="minorHAnsi"/>
          <w:color w:val="auto"/>
          <w:szCs w:val="24"/>
        </w:rPr>
        <w:t>un</w:t>
      </w:r>
      <w:r w:rsidR="009F7809" w:rsidRPr="009D6190">
        <w:rPr>
          <w:rFonts w:asciiTheme="minorHAnsi" w:hAnsiTheme="minorHAnsi"/>
          <w:color w:val="auto"/>
          <w:szCs w:val="24"/>
        </w:rPr>
        <w:t>acceptable</w:t>
      </w:r>
      <w:r w:rsidR="00B03410" w:rsidRPr="009D6190">
        <w:rPr>
          <w:rFonts w:ascii="Calibri" w:hAnsi="Calibri"/>
          <w:color w:val="auto"/>
          <w:szCs w:val="24"/>
        </w:rPr>
        <w:t xml:space="preserve"> </w:t>
      </w:r>
      <w:r w:rsidR="00B03410" w:rsidRPr="009D6190">
        <w:rPr>
          <w:rFonts w:asciiTheme="minorHAnsi" w:hAnsiTheme="minorHAnsi"/>
          <w:color w:val="auto"/>
          <w:szCs w:val="24"/>
        </w:rPr>
        <w:t>IAW</w:t>
      </w:r>
      <w:r w:rsidR="00085E3D" w:rsidRPr="009D6190">
        <w:rPr>
          <w:rFonts w:asciiTheme="minorHAnsi" w:hAnsiTheme="minorHAnsi"/>
          <w:color w:val="auto"/>
          <w:szCs w:val="24"/>
        </w:rPr>
        <w:t xml:space="preserve"> </w:t>
      </w:r>
      <w:r w:rsidR="00B03410" w:rsidRPr="009D6190">
        <w:rPr>
          <w:rFonts w:asciiTheme="minorHAnsi" w:hAnsiTheme="minorHAnsi"/>
          <w:color w:val="auto"/>
          <w:szCs w:val="24"/>
        </w:rPr>
        <w:t xml:space="preserve">AFI 48-123. </w:t>
      </w:r>
      <w:r w:rsidR="009D6190" w:rsidRPr="009D6190">
        <w:rPr>
          <w:rFonts w:asciiTheme="minorHAnsi" w:hAnsiTheme="minorHAnsi"/>
          <w:color w:val="auto"/>
          <w:szCs w:val="24"/>
        </w:rPr>
        <w:t xml:space="preserve"> </w:t>
      </w:r>
      <w:r w:rsidR="00D02EB3" w:rsidRPr="009D6190">
        <w:rPr>
          <w:rFonts w:asciiTheme="minorHAnsi" w:hAnsiTheme="minorHAnsi"/>
          <w:color w:val="auto"/>
          <w:szCs w:val="24"/>
        </w:rPr>
        <w:t xml:space="preserve">The </w:t>
      </w:r>
      <w:r w:rsidR="00291047">
        <w:rPr>
          <w:rFonts w:asciiTheme="minorHAnsi" w:hAnsiTheme="minorHAnsi"/>
          <w:color w:val="auto"/>
          <w:szCs w:val="24"/>
        </w:rPr>
        <w:t>I</w:t>
      </w:r>
      <w:r w:rsidR="00D02EB3" w:rsidRPr="009D6190">
        <w:rPr>
          <w:rFonts w:asciiTheme="minorHAnsi" w:hAnsiTheme="minorHAnsi"/>
          <w:color w:val="auto"/>
          <w:szCs w:val="24"/>
        </w:rPr>
        <w:t>nformal PEB (IPEB) adjudicated the asthma with exercise</w:t>
      </w:r>
      <w:r w:rsidR="00291047">
        <w:rPr>
          <w:rFonts w:asciiTheme="minorHAnsi" w:hAnsiTheme="minorHAnsi"/>
          <w:color w:val="auto"/>
          <w:szCs w:val="24"/>
        </w:rPr>
        <w:t>-</w:t>
      </w:r>
      <w:r w:rsidR="00D02EB3" w:rsidRPr="009D6190">
        <w:rPr>
          <w:rFonts w:asciiTheme="minorHAnsi" w:hAnsiTheme="minorHAnsi"/>
          <w:color w:val="auto"/>
          <w:szCs w:val="24"/>
        </w:rPr>
        <w:t xml:space="preserve">induced anaphylaxis </w:t>
      </w:r>
      <w:r w:rsidR="009D6190" w:rsidRPr="009D6190">
        <w:rPr>
          <w:rFonts w:asciiTheme="minorHAnsi" w:hAnsiTheme="minorHAnsi"/>
          <w:color w:val="auto"/>
          <w:szCs w:val="24"/>
        </w:rPr>
        <w:t xml:space="preserve">(hives) </w:t>
      </w:r>
      <w:r w:rsidR="00D02EB3" w:rsidRPr="009D6190">
        <w:rPr>
          <w:rFonts w:asciiTheme="minorHAnsi" w:hAnsiTheme="minorHAnsi"/>
          <w:color w:val="auto"/>
          <w:szCs w:val="24"/>
        </w:rPr>
        <w:t>as unfitting, rated 10%</w:t>
      </w:r>
      <w:r w:rsidR="00841A77" w:rsidRPr="009D6190">
        <w:rPr>
          <w:rFonts w:asciiTheme="minorHAnsi" w:hAnsiTheme="minorHAnsi"/>
          <w:color w:val="auto"/>
          <w:szCs w:val="24"/>
        </w:rPr>
        <w:t>.</w:t>
      </w:r>
      <w:r w:rsidR="002E0A05">
        <w:rPr>
          <w:rFonts w:asciiTheme="minorHAnsi" w:hAnsiTheme="minorHAnsi"/>
          <w:color w:val="auto"/>
          <w:szCs w:val="24"/>
        </w:rPr>
        <w:t xml:space="preserve"> </w:t>
      </w:r>
      <w:r w:rsidR="009F7809" w:rsidRPr="009D6190">
        <w:rPr>
          <w:rFonts w:asciiTheme="minorHAnsi" w:hAnsiTheme="minorHAnsi"/>
          <w:color w:val="auto"/>
          <w:szCs w:val="24"/>
        </w:rPr>
        <w:t xml:space="preserve"> </w:t>
      </w:r>
      <w:r w:rsidR="00D02EB3" w:rsidRPr="009D6190">
        <w:rPr>
          <w:rFonts w:asciiTheme="minorHAnsi" w:hAnsiTheme="minorHAnsi"/>
          <w:color w:val="auto"/>
          <w:szCs w:val="24"/>
        </w:rPr>
        <w:t xml:space="preserve">The CI appealed to </w:t>
      </w:r>
      <w:r w:rsidR="009D6190" w:rsidRPr="009D6190">
        <w:rPr>
          <w:rFonts w:asciiTheme="minorHAnsi" w:hAnsiTheme="minorHAnsi"/>
          <w:color w:val="auto"/>
          <w:szCs w:val="24"/>
        </w:rPr>
        <w:t xml:space="preserve">the </w:t>
      </w:r>
      <w:r w:rsidR="00291047">
        <w:rPr>
          <w:rFonts w:asciiTheme="minorHAnsi" w:hAnsiTheme="minorHAnsi"/>
          <w:color w:val="auto"/>
          <w:szCs w:val="24"/>
        </w:rPr>
        <w:t>F</w:t>
      </w:r>
      <w:r w:rsidR="009D6190" w:rsidRPr="009D6190">
        <w:rPr>
          <w:rFonts w:asciiTheme="minorHAnsi" w:hAnsiTheme="minorHAnsi"/>
          <w:color w:val="auto"/>
          <w:szCs w:val="24"/>
        </w:rPr>
        <w:t>ormal PEB (</w:t>
      </w:r>
      <w:r w:rsidR="00D02EB3" w:rsidRPr="009D6190">
        <w:rPr>
          <w:rFonts w:asciiTheme="minorHAnsi" w:hAnsiTheme="minorHAnsi"/>
          <w:color w:val="auto"/>
          <w:szCs w:val="24"/>
        </w:rPr>
        <w:t>FPEB</w:t>
      </w:r>
      <w:r w:rsidR="009D6190" w:rsidRPr="009D6190">
        <w:rPr>
          <w:rFonts w:asciiTheme="minorHAnsi" w:hAnsiTheme="minorHAnsi"/>
          <w:color w:val="auto"/>
          <w:szCs w:val="24"/>
        </w:rPr>
        <w:t xml:space="preserve">) which adjudicated the </w:t>
      </w:r>
      <w:proofErr w:type="spellStart"/>
      <w:r w:rsidR="004052D5" w:rsidRPr="009D6190">
        <w:rPr>
          <w:rFonts w:asciiTheme="minorHAnsi" w:hAnsiTheme="minorHAnsi"/>
          <w:color w:val="auto"/>
          <w:szCs w:val="24"/>
        </w:rPr>
        <w:t>urticaria</w:t>
      </w:r>
      <w:proofErr w:type="spellEnd"/>
      <w:r w:rsidR="009D6190" w:rsidRPr="009D6190">
        <w:rPr>
          <w:rFonts w:asciiTheme="minorHAnsi" w:hAnsiTheme="minorHAnsi"/>
          <w:color w:val="auto"/>
          <w:szCs w:val="24"/>
        </w:rPr>
        <w:t xml:space="preserve"> </w:t>
      </w:r>
      <w:r w:rsidR="00D02EB3" w:rsidRPr="009D6190">
        <w:rPr>
          <w:rFonts w:asciiTheme="minorHAnsi" w:hAnsiTheme="minorHAnsi"/>
          <w:color w:val="auto"/>
          <w:szCs w:val="24"/>
        </w:rPr>
        <w:t>as an u</w:t>
      </w:r>
      <w:r w:rsidR="002E2A5F" w:rsidRPr="009D6190">
        <w:rPr>
          <w:rFonts w:asciiTheme="minorHAnsi" w:hAnsiTheme="minorHAnsi"/>
          <w:color w:val="auto"/>
          <w:szCs w:val="24"/>
        </w:rPr>
        <w:t xml:space="preserve">nfitting condition </w:t>
      </w:r>
      <w:r w:rsidR="004402DA">
        <w:rPr>
          <w:rFonts w:asciiTheme="minorHAnsi" w:hAnsiTheme="minorHAnsi"/>
          <w:color w:val="auto"/>
          <w:szCs w:val="24"/>
        </w:rPr>
        <w:t>at 10%.  M</w:t>
      </w:r>
      <w:r w:rsidR="00B1279A" w:rsidRPr="009D6190">
        <w:rPr>
          <w:rFonts w:asciiTheme="minorHAnsi" w:hAnsiTheme="minorHAnsi"/>
          <w:color w:val="auto"/>
          <w:szCs w:val="24"/>
        </w:rPr>
        <w:t xml:space="preserve">ild, intermittent </w:t>
      </w:r>
      <w:r w:rsidR="002E2A5F" w:rsidRPr="009D6190">
        <w:rPr>
          <w:rFonts w:asciiTheme="minorHAnsi" w:hAnsiTheme="minorHAnsi"/>
          <w:color w:val="auto"/>
          <w:szCs w:val="24"/>
        </w:rPr>
        <w:t>asthma</w:t>
      </w:r>
      <w:r w:rsidR="00564B27" w:rsidRPr="009D6190">
        <w:rPr>
          <w:rFonts w:asciiTheme="minorHAnsi" w:hAnsiTheme="minorHAnsi"/>
          <w:color w:val="auto"/>
          <w:szCs w:val="24"/>
        </w:rPr>
        <w:t xml:space="preserve"> </w:t>
      </w:r>
      <w:r w:rsidR="004402DA">
        <w:rPr>
          <w:rFonts w:asciiTheme="minorHAnsi" w:hAnsiTheme="minorHAnsi"/>
          <w:color w:val="auto"/>
          <w:szCs w:val="24"/>
        </w:rPr>
        <w:t>w</w:t>
      </w:r>
      <w:r w:rsidR="00841A77" w:rsidRPr="009D6190">
        <w:rPr>
          <w:rFonts w:asciiTheme="minorHAnsi" w:hAnsiTheme="minorHAnsi"/>
          <w:color w:val="auto"/>
          <w:szCs w:val="24"/>
        </w:rPr>
        <w:t>as</w:t>
      </w:r>
      <w:r w:rsidR="004402DA">
        <w:rPr>
          <w:rFonts w:asciiTheme="minorHAnsi" w:hAnsiTheme="minorHAnsi"/>
          <w:color w:val="auto"/>
          <w:szCs w:val="24"/>
        </w:rPr>
        <w:t xml:space="preserve"> determined to be </w:t>
      </w:r>
      <w:r w:rsidR="00841A77" w:rsidRPr="009D6190">
        <w:rPr>
          <w:rFonts w:asciiTheme="minorHAnsi" w:hAnsiTheme="minorHAnsi"/>
          <w:color w:val="auto"/>
          <w:szCs w:val="24"/>
        </w:rPr>
        <w:t xml:space="preserve">a </w:t>
      </w:r>
      <w:r w:rsidR="00291047">
        <w:rPr>
          <w:rFonts w:asciiTheme="minorHAnsi" w:hAnsiTheme="minorHAnsi"/>
          <w:color w:val="auto"/>
          <w:szCs w:val="24"/>
        </w:rPr>
        <w:t>c</w:t>
      </w:r>
      <w:r w:rsidR="00564B27" w:rsidRPr="009D6190">
        <w:rPr>
          <w:rFonts w:asciiTheme="minorHAnsi" w:hAnsiTheme="minorHAnsi"/>
          <w:color w:val="auto"/>
          <w:szCs w:val="24"/>
        </w:rPr>
        <w:t>at</w:t>
      </w:r>
      <w:r w:rsidR="009D6190" w:rsidRPr="009D6190">
        <w:rPr>
          <w:rFonts w:asciiTheme="minorHAnsi" w:hAnsiTheme="minorHAnsi"/>
          <w:color w:val="auto"/>
          <w:szCs w:val="24"/>
        </w:rPr>
        <w:t>e</w:t>
      </w:r>
      <w:r w:rsidR="00564B27" w:rsidRPr="009D6190">
        <w:rPr>
          <w:rFonts w:asciiTheme="minorHAnsi" w:hAnsiTheme="minorHAnsi"/>
          <w:color w:val="auto"/>
          <w:szCs w:val="24"/>
        </w:rPr>
        <w:t xml:space="preserve">gory II </w:t>
      </w:r>
      <w:r w:rsidR="00841A77" w:rsidRPr="009D6190">
        <w:rPr>
          <w:rFonts w:asciiTheme="minorHAnsi" w:hAnsiTheme="minorHAnsi"/>
          <w:color w:val="auto"/>
          <w:szCs w:val="24"/>
        </w:rPr>
        <w:t xml:space="preserve">condition </w:t>
      </w:r>
      <w:r w:rsidR="00564B27" w:rsidRPr="009D6190">
        <w:rPr>
          <w:rFonts w:asciiTheme="minorHAnsi" w:hAnsiTheme="minorHAnsi"/>
          <w:color w:val="auto"/>
          <w:szCs w:val="24"/>
        </w:rPr>
        <w:t>(</w:t>
      </w:r>
      <w:r w:rsidR="00841A77" w:rsidRPr="009D6190">
        <w:rPr>
          <w:rFonts w:asciiTheme="minorHAnsi" w:hAnsiTheme="minorHAnsi"/>
          <w:color w:val="auto"/>
          <w:szCs w:val="24"/>
        </w:rPr>
        <w:t>can be unfitting</w:t>
      </w:r>
      <w:r w:rsidR="00B53B93" w:rsidRPr="009D6190">
        <w:rPr>
          <w:rFonts w:asciiTheme="minorHAnsi" w:hAnsiTheme="minorHAnsi"/>
          <w:color w:val="auto"/>
          <w:szCs w:val="24"/>
        </w:rPr>
        <w:t>,</w:t>
      </w:r>
      <w:r w:rsidR="00841A77" w:rsidRPr="009D6190">
        <w:rPr>
          <w:rFonts w:asciiTheme="minorHAnsi" w:hAnsiTheme="minorHAnsi"/>
          <w:color w:val="auto"/>
          <w:szCs w:val="24"/>
        </w:rPr>
        <w:t xml:space="preserve"> but </w:t>
      </w:r>
      <w:r w:rsidR="00564B27" w:rsidRPr="009D6190">
        <w:rPr>
          <w:rFonts w:asciiTheme="minorHAnsi" w:hAnsiTheme="minorHAnsi"/>
          <w:color w:val="auto"/>
          <w:szCs w:val="24"/>
        </w:rPr>
        <w:t>is</w:t>
      </w:r>
      <w:r w:rsidR="00841A77" w:rsidRPr="009D6190">
        <w:rPr>
          <w:rFonts w:asciiTheme="minorHAnsi" w:hAnsiTheme="minorHAnsi"/>
          <w:color w:val="auto"/>
          <w:szCs w:val="24"/>
        </w:rPr>
        <w:t xml:space="preserve"> not currently compensable or ratable</w:t>
      </w:r>
      <w:r w:rsidR="00564B27" w:rsidRPr="009D6190">
        <w:rPr>
          <w:rFonts w:asciiTheme="minorHAnsi" w:hAnsiTheme="minorHAnsi"/>
          <w:color w:val="auto"/>
          <w:szCs w:val="24"/>
        </w:rPr>
        <w:t>)</w:t>
      </w:r>
      <w:r w:rsidR="00841A77" w:rsidRPr="009D6190">
        <w:rPr>
          <w:rFonts w:asciiTheme="minorHAnsi" w:hAnsiTheme="minorHAnsi"/>
          <w:color w:val="auto"/>
          <w:szCs w:val="24"/>
        </w:rPr>
        <w:t>.</w:t>
      </w:r>
      <w:r w:rsidR="00564B27" w:rsidRPr="009D6190">
        <w:rPr>
          <w:rFonts w:asciiTheme="minorHAnsi" w:hAnsiTheme="minorHAnsi"/>
          <w:color w:val="auto"/>
          <w:szCs w:val="24"/>
        </w:rPr>
        <w:t xml:space="preserve"> </w:t>
      </w:r>
      <w:r w:rsidR="00CD62E8" w:rsidRPr="009D6190">
        <w:rPr>
          <w:rFonts w:asciiTheme="minorHAnsi" w:hAnsiTheme="minorHAnsi"/>
          <w:color w:val="auto"/>
          <w:szCs w:val="24"/>
        </w:rPr>
        <w:t xml:space="preserve"> </w:t>
      </w:r>
      <w:r w:rsidR="009D6190" w:rsidRPr="009D6190">
        <w:rPr>
          <w:rFonts w:asciiTheme="minorHAnsi" w:hAnsiTheme="minorHAnsi"/>
          <w:color w:val="auto"/>
          <w:szCs w:val="24"/>
        </w:rPr>
        <w:t xml:space="preserve">She initially </w:t>
      </w:r>
      <w:r w:rsidR="00BE438B">
        <w:rPr>
          <w:rFonts w:asciiTheme="minorHAnsi" w:hAnsiTheme="minorHAnsi"/>
          <w:color w:val="auto"/>
          <w:szCs w:val="24"/>
        </w:rPr>
        <w:t xml:space="preserve">indicated that she would again </w:t>
      </w:r>
      <w:r w:rsidR="009D6190" w:rsidRPr="009D6190">
        <w:rPr>
          <w:rFonts w:asciiTheme="minorHAnsi" w:hAnsiTheme="minorHAnsi"/>
          <w:color w:val="auto"/>
          <w:szCs w:val="24"/>
        </w:rPr>
        <w:t xml:space="preserve">appeal, but withdrew her request and </w:t>
      </w:r>
      <w:r w:rsidR="00BE438B">
        <w:rPr>
          <w:rFonts w:asciiTheme="minorHAnsi" w:hAnsiTheme="minorHAnsi"/>
          <w:color w:val="auto"/>
          <w:szCs w:val="24"/>
        </w:rPr>
        <w:t>was</w:t>
      </w:r>
      <w:r w:rsidR="00BE438B" w:rsidRPr="009D6190">
        <w:rPr>
          <w:rFonts w:asciiTheme="minorHAnsi" w:hAnsiTheme="minorHAnsi"/>
          <w:color w:val="auto"/>
          <w:szCs w:val="24"/>
        </w:rPr>
        <w:t xml:space="preserve"> </w:t>
      </w:r>
      <w:r w:rsidR="0061014A" w:rsidRPr="009D6190">
        <w:rPr>
          <w:rFonts w:asciiTheme="minorHAnsi" w:hAnsiTheme="minorHAnsi"/>
          <w:color w:val="auto"/>
          <w:szCs w:val="24"/>
        </w:rPr>
        <w:t xml:space="preserve">medically separated with a combined disability rating of </w:t>
      </w:r>
      <w:r w:rsidR="00841A77" w:rsidRPr="009D6190">
        <w:rPr>
          <w:rFonts w:asciiTheme="minorHAnsi" w:hAnsiTheme="minorHAnsi"/>
          <w:color w:val="auto"/>
          <w:szCs w:val="24"/>
        </w:rPr>
        <w:t>1</w:t>
      </w:r>
      <w:r w:rsidR="0061014A" w:rsidRPr="009D6190">
        <w:rPr>
          <w:rFonts w:asciiTheme="minorHAnsi" w:hAnsiTheme="minorHAnsi"/>
          <w:color w:val="auto"/>
          <w:szCs w:val="24"/>
        </w:rPr>
        <w:t>0%.</w:t>
      </w:r>
    </w:p>
    <w:p w:rsidR="00923B25" w:rsidRPr="00DF22C1" w:rsidRDefault="008B5D31" w:rsidP="00875F2D">
      <w:pPr>
        <w:tabs>
          <w:tab w:val="left" w:pos="288"/>
          <w:tab w:val="left" w:pos="4752"/>
        </w:tabs>
        <w:spacing w:line="240" w:lineRule="exact"/>
        <w:jc w:val="both"/>
        <w:rPr>
          <w:rFonts w:asciiTheme="minorHAnsi" w:hAnsiTheme="minorHAnsi"/>
          <w:b/>
          <w:color w:val="auto"/>
          <w:u w:val="single"/>
        </w:rPr>
      </w:pPr>
      <w:r w:rsidRPr="00564B27">
        <w:rPr>
          <w:rFonts w:asciiTheme="minorHAnsi" w:hAnsiTheme="minorHAnsi"/>
          <w:color w:val="auto"/>
          <w:u w:val="single"/>
        </w:rPr>
        <w:t>___________________________</w:t>
      </w:r>
      <w:r w:rsidR="00564B27">
        <w:rPr>
          <w:rFonts w:asciiTheme="minorHAnsi" w:hAnsiTheme="minorHAnsi"/>
          <w:color w:val="auto"/>
          <w:u w:val="single"/>
        </w:rPr>
        <w:t>___________________</w:t>
      </w:r>
      <w:r w:rsidRPr="00564B27">
        <w:rPr>
          <w:rFonts w:asciiTheme="minorHAnsi" w:hAnsiTheme="minorHAnsi"/>
          <w:color w:val="auto"/>
          <w:u w:val="single"/>
        </w:rPr>
        <w:t>_______________________________</w:t>
      </w:r>
      <w:r w:rsidR="00DF22C1">
        <w:rPr>
          <w:rFonts w:asciiTheme="minorHAnsi" w:hAnsiTheme="minorHAnsi"/>
          <w:b/>
          <w:color w:val="auto"/>
          <w:u w:val="single"/>
        </w:rPr>
        <w:t>_</w:t>
      </w:r>
    </w:p>
    <w:p w:rsidR="00923B25" w:rsidRPr="00B921FB" w:rsidRDefault="00923B25" w:rsidP="00FC199D">
      <w:pPr>
        <w:tabs>
          <w:tab w:val="left" w:pos="288"/>
          <w:tab w:val="left" w:pos="4752"/>
        </w:tabs>
        <w:spacing w:line="240" w:lineRule="exact"/>
        <w:jc w:val="both"/>
        <w:rPr>
          <w:rFonts w:asciiTheme="minorHAnsi" w:hAnsiTheme="minorHAnsi"/>
          <w:color w:val="000080"/>
        </w:rPr>
      </w:pPr>
    </w:p>
    <w:p w:rsidR="001C32A9" w:rsidRDefault="002C6E5B" w:rsidP="00FC199D">
      <w:pPr>
        <w:tabs>
          <w:tab w:val="left" w:pos="288"/>
          <w:tab w:val="left" w:pos="4752"/>
        </w:tabs>
        <w:spacing w:line="240" w:lineRule="exact"/>
        <w:jc w:val="both"/>
        <w:rPr>
          <w:rFonts w:asciiTheme="minorHAnsi" w:hAnsiTheme="minorHAnsi"/>
          <w:color w:val="auto"/>
          <w:szCs w:val="24"/>
        </w:rPr>
      </w:pPr>
      <w:r w:rsidRPr="00B921FB">
        <w:rPr>
          <w:rFonts w:asciiTheme="minorHAnsi" w:hAnsiTheme="minorHAnsi"/>
          <w:color w:val="auto"/>
          <w:u w:val="single"/>
        </w:rPr>
        <w:t>CI CONTENTION</w:t>
      </w:r>
      <w:r w:rsidRPr="00B921FB">
        <w:rPr>
          <w:rFonts w:asciiTheme="minorHAnsi" w:hAnsiTheme="minorHAnsi"/>
          <w:color w:val="auto"/>
        </w:rPr>
        <w:t>:</w:t>
      </w:r>
      <w:r w:rsidRPr="00B921FB">
        <w:rPr>
          <w:rFonts w:asciiTheme="minorHAnsi" w:hAnsiTheme="minorHAnsi"/>
          <w:color w:val="000080"/>
        </w:rPr>
        <w:t xml:space="preserve">  </w:t>
      </w:r>
      <w:r w:rsidR="00841A77">
        <w:rPr>
          <w:rFonts w:asciiTheme="minorHAnsi" w:hAnsiTheme="minorHAnsi"/>
          <w:color w:val="auto"/>
          <w:szCs w:val="24"/>
        </w:rPr>
        <w:t>“</w:t>
      </w:r>
      <w:r w:rsidR="00841A77" w:rsidRPr="00841A77">
        <w:rPr>
          <w:rFonts w:asciiTheme="minorHAnsi" w:hAnsiTheme="minorHAnsi"/>
          <w:color w:val="auto"/>
          <w:szCs w:val="24"/>
        </w:rPr>
        <w:t xml:space="preserve">At the time </w:t>
      </w:r>
      <w:r w:rsidR="00841A77">
        <w:rPr>
          <w:rFonts w:asciiTheme="minorHAnsi" w:hAnsiTheme="minorHAnsi"/>
          <w:color w:val="auto"/>
          <w:szCs w:val="24"/>
        </w:rPr>
        <w:t>of</w:t>
      </w:r>
      <w:r w:rsidR="00841A77" w:rsidRPr="00841A77">
        <w:rPr>
          <w:rFonts w:asciiTheme="minorHAnsi" w:hAnsiTheme="minorHAnsi"/>
          <w:color w:val="auto"/>
          <w:szCs w:val="24"/>
        </w:rPr>
        <w:t xml:space="preserve"> my medical discharge I would have had a little over </w:t>
      </w:r>
      <w:r w:rsidR="00291047">
        <w:rPr>
          <w:rFonts w:asciiTheme="minorHAnsi" w:hAnsiTheme="minorHAnsi"/>
          <w:color w:val="auto"/>
          <w:szCs w:val="24"/>
        </w:rPr>
        <w:t>eight</w:t>
      </w:r>
      <w:r w:rsidR="00841A77" w:rsidRPr="00841A77">
        <w:rPr>
          <w:rFonts w:asciiTheme="minorHAnsi" w:hAnsiTheme="minorHAnsi"/>
          <w:color w:val="auto"/>
          <w:szCs w:val="24"/>
        </w:rPr>
        <w:t xml:space="preserve"> years left until I was retirement eligible.</w:t>
      </w:r>
      <w:r w:rsidR="00B53B93">
        <w:rPr>
          <w:rFonts w:asciiTheme="minorHAnsi" w:hAnsiTheme="minorHAnsi"/>
          <w:color w:val="auto"/>
          <w:szCs w:val="24"/>
        </w:rPr>
        <w:t xml:space="preserve"> </w:t>
      </w:r>
      <w:r w:rsidR="00841A77" w:rsidRPr="00841A77">
        <w:rPr>
          <w:rFonts w:asciiTheme="minorHAnsi" w:hAnsiTheme="minorHAnsi"/>
          <w:color w:val="auto"/>
          <w:szCs w:val="24"/>
        </w:rPr>
        <w:t xml:space="preserve"> In reviewing the following factors:</w:t>
      </w:r>
      <w:r w:rsidR="00841A77">
        <w:rPr>
          <w:rFonts w:asciiTheme="minorHAnsi" w:hAnsiTheme="minorHAnsi"/>
          <w:color w:val="auto"/>
          <w:szCs w:val="24"/>
        </w:rPr>
        <w:t xml:space="preserve"> </w:t>
      </w:r>
      <w:r w:rsidR="00EA666C">
        <w:rPr>
          <w:rFonts w:asciiTheme="minorHAnsi" w:hAnsiTheme="minorHAnsi"/>
          <w:color w:val="auto"/>
          <w:szCs w:val="24"/>
        </w:rPr>
        <w:t xml:space="preserve"> </w:t>
      </w:r>
      <w:r w:rsidR="00841A77">
        <w:rPr>
          <w:rFonts w:asciiTheme="minorHAnsi" w:hAnsiTheme="minorHAnsi"/>
          <w:color w:val="auto"/>
          <w:szCs w:val="24"/>
        </w:rPr>
        <w:t>1</w:t>
      </w:r>
      <w:r w:rsidR="00841A77" w:rsidRPr="00841A77">
        <w:rPr>
          <w:rFonts w:asciiTheme="minorHAnsi" w:hAnsiTheme="minorHAnsi"/>
          <w:color w:val="auto"/>
          <w:szCs w:val="24"/>
        </w:rPr>
        <w:t xml:space="preserve">) Disability percentage awarded, 2) Member's Time </w:t>
      </w:r>
      <w:proofErr w:type="gramStart"/>
      <w:r w:rsidR="00841A77" w:rsidRPr="00841A77">
        <w:rPr>
          <w:rFonts w:asciiTheme="minorHAnsi" w:hAnsiTheme="minorHAnsi"/>
          <w:color w:val="auto"/>
          <w:szCs w:val="24"/>
        </w:rPr>
        <w:t>In</w:t>
      </w:r>
      <w:proofErr w:type="gramEnd"/>
      <w:r w:rsidR="00841A77" w:rsidRPr="00841A77">
        <w:rPr>
          <w:rFonts w:asciiTheme="minorHAnsi" w:hAnsiTheme="minorHAnsi"/>
          <w:color w:val="auto"/>
          <w:szCs w:val="24"/>
        </w:rPr>
        <w:t xml:space="preserve"> Service, 3) Years left until eligible to retire; I believe my discharge warrants retirement</w:t>
      </w:r>
      <w:r w:rsidR="00841A77">
        <w:rPr>
          <w:rFonts w:asciiTheme="minorHAnsi" w:hAnsiTheme="minorHAnsi"/>
          <w:color w:val="auto"/>
          <w:szCs w:val="24"/>
        </w:rPr>
        <w:t xml:space="preserve"> </w:t>
      </w:r>
      <w:r w:rsidR="00A115BA">
        <w:rPr>
          <w:rFonts w:asciiTheme="minorHAnsi" w:hAnsiTheme="minorHAnsi"/>
          <w:color w:val="auto"/>
          <w:szCs w:val="24"/>
        </w:rPr>
        <w:t xml:space="preserve">consideration.” </w:t>
      </w:r>
      <w:r w:rsidR="009D6190">
        <w:rPr>
          <w:rFonts w:asciiTheme="minorHAnsi" w:hAnsiTheme="minorHAnsi"/>
          <w:color w:val="auto"/>
          <w:szCs w:val="24"/>
        </w:rPr>
        <w:t xml:space="preserve"> She made no further contentions.</w:t>
      </w:r>
    </w:p>
    <w:p w:rsidR="00A90D55" w:rsidRPr="00564B27" w:rsidRDefault="008B5D31" w:rsidP="00841243">
      <w:pPr>
        <w:tabs>
          <w:tab w:val="left" w:pos="288"/>
          <w:tab w:val="left" w:pos="4752"/>
        </w:tabs>
        <w:spacing w:line="240" w:lineRule="exact"/>
        <w:rPr>
          <w:rFonts w:asciiTheme="minorHAnsi" w:hAnsiTheme="minorHAnsi" w:cstheme="minorHAnsi"/>
          <w:color w:val="auto"/>
        </w:rPr>
      </w:pPr>
      <w:r w:rsidRPr="00564B27">
        <w:rPr>
          <w:rFonts w:asciiTheme="minorHAnsi" w:hAnsiTheme="minorHAnsi" w:cstheme="minorHAnsi"/>
          <w:color w:val="auto"/>
          <w:u w:val="single"/>
        </w:rPr>
        <w:t>______________</w:t>
      </w:r>
      <w:r w:rsidR="00564B27">
        <w:rPr>
          <w:rFonts w:asciiTheme="minorHAnsi" w:hAnsiTheme="minorHAnsi" w:cstheme="minorHAnsi"/>
          <w:color w:val="auto"/>
          <w:u w:val="single"/>
        </w:rPr>
        <w:t>______________</w:t>
      </w:r>
      <w:r w:rsidRPr="00564B27">
        <w:rPr>
          <w:rFonts w:asciiTheme="minorHAnsi" w:hAnsiTheme="minorHAnsi" w:cstheme="minorHAnsi"/>
          <w:color w:val="auto"/>
          <w:u w:val="single"/>
        </w:rPr>
        <w:t>________________________________________________</w:t>
      </w:r>
      <w:r w:rsidRPr="00DF22C1">
        <w:rPr>
          <w:rFonts w:asciiTheme="minorHAnsi" w:hAnsiTheme="minorHAnsi" w:cstheme="minorHAnsi"/>
          <w:b/>
          <w:color w:val="auto"/>
          <w:u w:val="single"/>
        </w:rPr>
        <w:t>_</w:t>
      </w:r>
      <w:r w:rsidR="00DF22C1" w:rsidRPr="00DF22C1">
        <w:rPr>
          <w:rFonts w:asciiTheme="minorHAnsi" w:hAnsiTheme="minorHAnsi" w:cstheme="minorHAnsi"/>
          <w:b/>
          <w:color w:val="auto"/>
        </w:rPr>
        <w:t>_</w:t>
      </w:r>
    </w:p>
    <w:p w:rsidR="001C181A" w:rsidRDefault="001C181A" w:rsidP="00875F2D">
      <w:pPr>
        <w:tabs>
          <w:tab w:val="left" w:pos="288"/>
          <w:tab w:val="left" w:pos="4752"/>
        </w:tabs>
        <w:spacing w:line="240" w:lineRule="exact"/>
        <w:jc w:val="both"/>
        <w:rPr>
          <w:color w:val="000080"/>
        </w:rPr>
      </w:pPr>
    </w:p>
    <w:p w:rsidR="002338CA" w:rsidRPr="00542C9A" w:rsidRDefault="002C6E5B" w:rsidP="00875F2D">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228" w:type="dxa"/>
        <w:tblInd w:w="108" w:type="dxa"/>
        <w:tblLook w:val="04A0"/>
      </w:tblPr>
      <w:tblGrid>
        <w:gridCol w:w="2529"/>
        <w:gridCol w:w="705"/>
        <w:gridCol w:w="822"/>
        <w:gridCol w:w="2338"/>
        <w:gridCol w:w="775"/>
        <w:gridCol w:w="909"/>
        <w:gridCol w:w="1150"/>
      </w:tblGrid>
      <w:tr w:rsidR="00684E2B" w:rsidRPr="002A685E" w:rsidTr="00DF22C1">
        <w:trPr>
          <w:trHeight w:val="274"/>
        </w:trPr>
        <w:tc>
          <w:tcPr>
            <w:tcW w:w="0" w:type="auto"/>
            <w:gridSpan w:val="3"/>
            <w:tcBorders>
              <w:right w:val="thinThickThinSmallGap" w:sz="24" w:space="0" w:color="auto"/>
            </w:tcBorders>
            <w:shd w:val="clear" w:color="auto" w:fill="F2F2F2" w:themeFill="background1" w:themeFillShade="F2"/>
          </w:tcPr>
          <w:p w:rsidR="00684E2B" w:rsidRPr="00B53B93" w:rsidRDefault="00684E2B" w:rsidP="00AE6115">
            <w:pPr>
              <w:pStyle w:val="ListParagraph"/>
              <w:spacing w:after="0" w:line="240" w:lineRule="auto"/>
              <w:ind w:left="0"/>
              <w:jc w:val="center"/>
              <w:rPr>
                <w:rFonts w:cs="Times New Roman"/>
                <w:b/>
                <w:sz w:val="18"/>
                <w:szCs w:val="18"/>
              </w:rPr>
            </w:pPr>
            <w:r w:rsidRPr="00B53B93">
              <w:rPr>
                <w:rFonts w:cs="Times New Roman"/>
                <w:b/>
                <w:sz w:val="18"/>
                <w:szCs w:val="18"/>
              </w:rPr>
              <w:t xml:space="preserve">Service </w:t>
            </w:r>
            <w:r w:rsidR="00BA63AF" w:rsidRPr="00B53B93">
              <w:rPr>
                <w:rFonts w:cs="Times New Roman"/>
                <w:b/>
                <w:sz w:val="18"/>
                <w:szCs w:val="18"/>
              </w:rPr>
              <w:t>F</w:t>
            </w:r>
            <w:r w:rsidRPr="00B53B93">
              <w:rPr>
                <w:rFonts w:cs="Times New Roman"/>
                <w:b/>
                <w:sz w:val="18"/>
                <w:szCs w:val="18"/>
              </w:rPr>
              <w:t>PEB</w:t>
            </w:r>
            <w:r w:rsidR="002B2645" w:rsidRPr="00B53B93">
              <w:rPr>
                <w:rFonts w:cs="Times New Roman"/>
                <w:b/>
                <w:sz w:val="18"/>
                <w:szCs w:val="18"/>
              </w:rPr>
              <w:t xml:space="preserve"> – Dated </w:t>
            </w:r>
            <w:r w:rsidR="00841A77" w:rsidRPr="00B53B93">
              <w:rPr>
                <w:rFonts w:cs="Times New Roman"/>
                <w:b/>
                <w:sz w:val="18"/>
                <w:szCs w:val="18"/>
              </w:rPr>
              <w:t>20050225</w:t>
            </w:r>
          </w:p>
        </w:tc>
        <w:tc>
          <w:tcPr>
            <w:tcW w:w="0" w:type="auto"/>
            <w:gridSpan w:val="4"/>
            <w:tcBorders>
              <w:left w:val="thinThickThinSmallGap" w:sz="24" w:space="0" w:color="auto"/>
            </w:tcBorders>
            <w:shd w:val="clear" w:color="auto" w:fill="F2F2F2" w:themeFill="background1" w:themeFillShade="F2"/>
          </w:tcPr>
          <w:p w:rsidR="00684E2B" w:rsidRPr="00B53B93" w:rsidRDefault="00684E2B" w:rsidP="00105D8E">
            <w:pPr>
              <w:pStyle w:val="ListParagraph"/>
              <w:spacing w:after="0" w:line="240" w:lineRule="auto"/>
              <w:ind w:left="0"/>
              <w:jc w:val="center"/>
              <w:rPr>
                <w:rFonts w:cs="Times New Roman"/>
                <w:b/>
                <w:sz w:val="18"/>
                <w:szCs w:val="18"/>
              </w:rPr>
            </w:pPr>
            <w:r w:rsidRPr="00B53B93">
              <w:rPr>
                <w:rFonts w:cs="Times New Roman"/>
                <w:b/>
                <w:sz w:val="18"/>
                <w:szCs w:val="18"/>
              </w:rPr>
              <w:t>VA (</w:t>
            </w:r>
            <w:r w:rsidR="00105D8E" w:rsidRPr="00B53B93">
              <w:rPr>
                <w:rFonts w:cs="Times New Roman"/>
                <w:b/>
                <w:sz w:val="18"/>
                <w:szCs w:val="18"/>
              </w:rPr>
              <w:t>4</w:t>
            </w:r>
            <w:r w:rsidRPr="00B53B93">
              <w:rPr>
                <w:rFonts w:cs="Times New Roman"/>
                <w:b/>
                <w:sz w:val="18"/>
                <w:szCs w:val="18"/>
              </w:rPr>
              <w:t xml:space="preserve"> Mo. after Separation)</w:t>
            </w:r>
            <w:r w:rsidR="000C3C13" w:rsidRPr="00B53B93">
              <w:rPr>
                <w:rFonts w:cs="Times New Roman"/>
                <w:b/>
                <w:sz w:val="18"/>
                <w:szCs w:val="18"/>
              </w:rPr>
              <w:t xml:space="preserve"> – All Effective </w:t>
            </w:r>
            <w:r w:rsidR="00841A77" w:rsidRPr="00B53B93">
              <w:rPr>
                <w:rFonts w:cs="Times New Roman"/>
                <w:b/>
                <w:sz w:val="18"/>
                <w:szCs w:val="18"/>
              </w:rPr>
              <w:t>20050420</w:t>
            </w:r>
          </w:p>
        </w:tc>
      </w:tr>
      <w:tr w:rsidR="00841A77" w:rsidRPr="002A685E" w:rsidTr="00DF22C1">
        <w:trPr>
          <w:trHeight w:val="274"/>
        </w:trPr>
        <w:tc>
          <w:tcPr>
            <w:tcW w:w="0" w:type="auto"/>
            <w:tcBorders>
              <w:bottom w:val="single" w:sz="4" w:space="0" w:color="000000" w:themeColor="text1"/>
            </w:tcBorders>
            <w:shd w:val="clear" w:color="auto" w:fill="F2F2F2" w:themeFill="background1" w:themeFillShade="F2"/>
          </w:tcPr>
          <w:p w:rsidR="002B2645" w:rsidRPr="00B53B93" w:rsidRDefault="002B2645" w:rsidP="00AE6115">
            <w:pPr>
              <w:pStyle w:val="ListParagraph"/>
              <w:spacing w:after="0" w:line="240" w:lineRule="auto"/>
              <w:ind w:left="0"/>
              <w:jc w:val="center"/>
              <w:rPr>
                <w:rFonts w:cs="Times New Roman"/>
                <w:b/>
                <w:sz w:val="18"/>
                <w:szCs w:val="18"/>
              </w:rPr>
            </w:pPr>
            <w:r w:rsidRPr="00B53B93">
              <w:rPr>
                <w:rFonts w:cs="Times New Roman"/>
                <w:b/>
                <w:sz w:val="18"/>
                <w:szCs w:val="18"/>
              </w:rPr>
              <w:t>Condition</w:t>
            </w:r>
          </w:p>
        </w:tc>
        <w:tc>
          <w:tcPr>
            <w:tcW w:w="0" w:type="auto"/>
            <w:tcBorders>
              <w:bottom w:val="single" w:sz="4" w:space="0" w:color="000000" w:themeColor="text1"/>
            </w:tcBorders>
            <w:shd w:val="clear" w:color="auto" w:fill="F2F2F2" w:themeFill="background1" w:themeFillShade="F2"/>
          </w:tcPr>
          <w:p w:rsidR="002B2645" w:rsidRPr="00B53B93" w:rsidRDefault="002B2645" w:rsidP="00AE6115">
            <w:pPr>
              <w:pStyle w:val="ListParagraph"/>
              <w:spacing w:after="0" w:line="240" w:lineRule="auto"/>
              <w:ind w:left="0"/>
              <w:jc w:val="center"/>
              <w:rPr>
                <w:rFonts w:cs="Times New Roman"/>
                <w:b/>
                <w:sz w:val="18"/>
                <w:szCs w:val="18"/>
              </w:rPr>
            </w:pPr>
            <w:r w:rsidRPr="00B53B93">
              <w:rPr>
                <w:rFonts w:cs="Times New Roman"/>
                <w:b/>
                <w:sz w:val="18"/>
                <w:szCs w:val="18"/>
              </w:rPr>
              <w:t>Code</w:t>
            </w:r>
          </w:p>
        </w:tc>
        <w:tc>
          <w:tcPr>
            <w:tcW w:w="0" w:type="auto"/>
            <w:tcBorders>
              <w:bottom w:val="single" w:sz="4" w:space="0" w:color="000000" w:themeColor="text1"/>
              <w:right w:val="thinThickThinSmallGap" w:sz="24" w:space="0" w:color="auto"/>
            </w:tcBorders>
            <w:shd w:val="clear" w:color="auto" w:fill="F2F2F2" w:themeFill="background1" w:themeFillShade="F2"/>
          </w:tcPr>
          <w:p w:rsidR="002B2645" w:rsidRPr="00B53B93" w:rsidRDefault="002B2645" w:rsidP="00AE6115">
            <w:pPr>
              <w:pStyle w:val="ListParagraph"/>
              <w:spacing w:after="0" w:line="240" w:lineRule="auto"/>
              <w:ind w:left="0"/>
              <w:jc w:val="center"/>
              <w:rPr>
                <w:rFonts w:cs="Times New Roman"/>
                <w:b/>
                <w:sz w:val="18"/>
                <w:szCs w:val="18"/>
              </w:rPr>
            </w:pPr>
            <w:r w:rsidRPr="00B53B93">
              <w:rPr>
                <w:rFonts w:cs="Times New Roman"/>
                <w:b/>
                <w:sz w:val="18"/>
                <w:szCs w:val="18"/>
              </w:rPr>
              <w:t>Rating</w:t>
            </w:r>
          </w:p>
        </w:tc>
        <w:tc>
          <w:tcPr>
            <w:tcW w:w="0" w:type="auto"/>
            <w:tcBorders>
              <w:left w:val="thinThickThinSmallGap" w:sz="24" w:space="0" w:color="auto"/>
              <w:bottom w:val="single" w:sz="4" w:space="0" w:color="000000" w:themeColor="text1"/>
            </w:tcBorders>
            <w:shd w:val="clear" w:color="auto" w:fill="F2F2F2" w:themeFill="background1" w:themeFillShade="F2"/>
          </w:tcPr>
          <w:p w:rsidR="002B2645" w:rsidRPr="00B53B93" w:rsidRDefault="002B2645" w:rsidP="00AE6115">
            <w:pPr>
              <w:pStyle w:val="ListParagraph"/>
              <w:spacing w:after="0" w:line="240" w:lineRule="auto"/>
              <w:ind w:left="0"/>
              <w:jc w:val="center"/>
              <w:rPr>
                <w:rFonts w:cs="Times New Roman"/>
                <w:b/>
                <w:sz w:val="18"/>
                <w:szCs w:val="18"/>
              </w:rPr>
            </w:pPr>
            <w:r w:rsidRPr="00B53B93">
              <w:rPr>
                <w:rFonts w:cs="Times New Roman"/>
                <w:b/>
                <w:sz w:val="18"/>
                <w:szCs w:val="18"/>
              </w:rPr>
              <w:t>Condition</w:t>
            </w:r>
          </w:p>
        </w:tc>
        <w:tc>
          <w:tcPr>
            <w:tcW w:w="0" w:type="auto"/>
            <w:tcBorders>
              <w:bottom w:val="single" w:sz="4" w:space="0" w:color="000000" w:themeColor="text1"/>
            </w:tcBorders>
            <w:shd w:val="clear" w:color="auto" w:fill="F2F2F2" w:themeFill="background1" w:themeFillShade="F2"/>
          </w:tcPr>
          <w:p w:rsidR="002B2645" w:rsidRPr="00D1352D" w:rsidRDefault="002B2645" w:rsidP="00AE6115">
            <w:pPr>
              <w:pStyle w:val="ListParagraph"/>
              <w:spacing w:after="0" w:line="240" w:lineRule="auto"/>
              <w:ind w:left="0"/>
              <w:jc w:val="center"/>
              <w:rPr>
                <w:rFonts w:cs="Times New Roman"/>
                <w:b/>
                <w:sz w:val="20"/>
                <w:szCs w:val="20"/>
              </w:rPr>
            </w:pPr>
            <w:r w:rsidRPr="00D1352D">
              <w:rPr>
                <w:rFonts w:cs="Times New Roman"/>
                <w:b/>
                <w:sz w:val="20"/>
                <w:szCs w:val="20"/>
              </w:rPr>
              <w:t>Code</w:t>
            </w:r>
          </w:p>
        </w:tc>
        <w:tc>
          <w:tcPr>
            <w:tcW w:w="0" w:type="auto"/>
            <w:tcBorders>
              <w:bottom w:val="single" w:sz="4" w:space="0" w:color="000000" w:themeColor="text1"/>
            </w:tcBorders>
            <w:shd w:val="clear" w:color="auto" w:fill="F2F2F2" w:themeFill="background1" w:themeFillShade="F2"/>
          </w:tcPr>
          <w:p w:rsidR="002B2645" w:rsidRPr="00D1352D" w:rsidRDefault="002B2645" w:rsidP="00AE6115">
            <w:pPr>
              <w:pStyle w:val="ListParagraph"/>
              <w:spacing w:after="0" w:line="240" w:lineRule="auto"/>
              <w:ind w:left="0"/>
              <w:jc w:val="center"/>
              <w:rPr>
                <w:rFonts w:cs="Times New Roman"/>
                <w:b/>
                <w:sz w:val="20"/>
                <w:szCs w:val="20"/>
              </w:rPr>
            </w:pPr>
            <w:r w:rsidRPr="00D1352D">
              <w:rPr>
                <w:rFonts w:cs="Times New Roman"/>
                <w:b/>
                <w:sz w:val="20"/>
                <w:szCs w:val="20"/>
              </w:rPr>
              <w:t>Rating</w:t>
            </w:r>
          </w:p>
        </w:tc>
        <w:tc>
          <w:tcPr>
            <w:tcW w:w="0" w:type="auto"/>
            <w:tcBorders>
              <w:bottom w:val="single" w:sz="4" w:space="0" w:color="000000" w:themeColor="text1"/>
            </w:tcBorders>
            <w:shd w:val="clear" w:color="auto" w:fill="F2F2F2" w:themeFill="background1" w:themeFillShade="F2"/>
          </w:tcPr>
          <w:p w:rsidR="002B2645" w:rsidRPr="00D1352D" w:rsidRDefault="002B2645" w:rsidP="00AE6115">
            <w:pPr>
              <w:pStyle w:val="ListParagraph"/>
              <w:spacing w:after="0" w:line="240" w:lineRule="auto"/>
              <w:ind w:left="0"/>
              <w:jc w:val="center"/>
              <w:rPr>
                <w:rFonts w:cs="Times New Roman"/>
                <w:b/>
                <w:sz w:val="20"/>
                <w:szCs w:val="20"/>
              </w:rPr>
            </w:pPr>
            <w:r w:rsidRPr="00D1352D">
              <w:rPr>
                <w:rFonts w:cs="Times New Roman"/>
                <w:b/>
                <w:sz w:val="20"/>
                <w:szCs w:val="20"/>
              </w:rPr>
              <w:t>Exam</w:t>
            </w:r>
          </w:p>
        </w:tc>
      </w:tr>
      <w:tr w:rsidR="007B6B95" w:rsidRPr="002A685E" w:rsidTr="00DF22C1">
        <w:trPr>
          <w:trHeight w:val="178"/>
        </w:trPr>
        <w:tc>
          <w:tcPr>
            <w:tcW w:w="0" w:type="auto"/>
            <w:shd w:val="clear" w:color="auto" w:fill="FFFFFF" w:themeFill="background1"/>
          </w:tcPr>
          <w:p w:rsidR="007B6B95" w:rsidRPr="00B53B93" w:rsidRDefault="007B6B95" w:rsidP="00AE6115">
            <w:pPr>
              <w:pStyle w:val="ListParagraph"/>
              <w:spacing w:after="0" w:line="240" w:lineRule="auto"/>
              <w:ind w:left="0"/>
              <w:rPr>
                <w:rFonts w:cs="Times New Roman"/>
                <w:sz w:val="18"/>
                <w:szCs w:val="18"/>
              </w:rPr>
            </w:pPr>
            <w:r w:rsidRPr="00B53B93">
              <w:rPr>
                <w:rFonts w:cs="Times New Roman"/>
                <w:sz w:val="18"/>
                <w:szCs w:val="18"/>
              </w:rPr>
              <w:t>Urticaria</w:t>
            </w:r>
          </w:p>
        </w:tc>
        <w:tc>
          <w:tcPr>
            <w:tcW w:w="0" w:type="auto"/>
            <w:shd w:val="clear" w:color="auto" w:fill="FFFFFF" w:themeFill="background1"/>
          </w:tcPr>
          <w:p w:rsidR="007B6B95" w:rsidRPr="00B53B93" w:rsidRDefault="007B6B95" w:rsidP="00AE6115">
            <w:pPr>
              <w:pStyle w:val="ListParagraph"/>
              <w:spacing w:after="0" w:line="240" w:lineRule="auto"/>
              <w:ind w:left="0"/>
              <w:jc w:val="center"/>
              <w:rPr>
                <w:rFonts w:cs="Times New Roman"/>
                <w:sz w:val="18"/>
                <w:szCs w:val="18"/>
              </w:rPr>
            </w:pPr>
            <w:r w:rsidRPr="00B53B93">
              <w:rPr>
                <w:rFonts w:cs="Times New Roman"/>
                <w:sz w:val="18"/>
                <w:szCs w:val="18"/>
              </w:rPr>
              <w:t>7825</w:t>
            </w:r>
          </w:p>
        </w:tc>
        <w:tc>
          <w:tcPr>
            <w:tcW w:w="0" w:type="auto"/>
            <w:tcBorders>
              <w:right w:val="thinThickThinSmallGap" w:sz="24" w:space="0" w:color="auto"/>
            </w:tcBorders>
            <w:shd w:val="clear" w:color="auto" w:fill="FFFFFF" w:themeFill="background1"/>
          </w:tcPr>
          <w:p w:rsidR="007B6B95" w:rsidRPr="00B53B93" w:rsidRDefault="007B6B95" w:rsidP="00AE6115">
            <w:pPr>
              <w:pStyle w:val="ListParagraph"/>
              <w:spacing w:after="0" w:line="240" w:lineRule="auto"/>
              <w:ind w:left="0"/>
              <w:jc w:val="center"/>
              <w:rPr>
                <w:rFonts w:cs="Times New Roman"/>
                <w:sz w:val="18"/>
                <w:szCs w:val="18"/>
              </w:rPr>
            </w:pPr>
            <w:r w:rsidRPr="00B53B93">
              <w:rPr>
                <w:rFonts w:cs="Times New Roman"/>
                <w:sz w:val="18"/>
                <w:szCs w:val="18"/>
              </w:rPr>
              <w:t>10%</w:t>
            </w:r>
          </w:p>
        </w:tc>
        <w:tc>
          <w:tcPr>
            <w:tcW w:w="0" w:type="auto"/>
            <w:tcBorders>
              <w:left w:val="thinThickThinSmallGap" w:sz="24" w:space="0" w:color="auto"/>
            </w:tcBorders>
            <w:shd w:val="clear" w:color="auto" w:fill="FFFFFF" w:themeFill="background1"/>
          </w:tcPr>
          <w:p w:rsidR="007B6B95" w:rsidRPr="00B53B93" w:rsidRDefault="007B6B95" w:rsidP="00AE6115">
            <w:pPr>
              <w:pStyle w:val="ListParagraph"/>
              <w:spacing w:after="0" w:line="240" w:lineRule="auto"/>
              <w:ind w:left="0"/>
              <w:rPr>
                <w:rFonts w:cs="Times New Roman"/>
                <w:sz w:val="18"/>
                <w:szCs w:val="18"/>
              </w:rPr>
            </w:pPr>
            <w:r w:rsidRPr="00B53B93">
              <w:rPr>
                <w:rFonts w:cs="Times New Roman"/>
                <w:sz w:val="18"/>
                <w:szCs w:val="18"/>
              </w:rPr>
              <w:t>Urticaria</w:t>
            </w:r>
          </w:p>
        </w:tc>
        <w:tc>
          <w:tcPr>
            <w:tcW w:w="0" w:type="auto"/>
            <w:gridSpan w:val="2"/>
            <w:shd w:val="clear" w:color="auto" w:fill="FFFFFF" w:themeFill="background1"/>
          </w:tcPr>
          <w:p w:rsidR="007B6B95" w:rsidRPr="00542C9A" w:rsidRDefault="007B6B95" w:rsidP="00AE6115">
            <w:pPr>
              <w:pStyle w:val="ListParagraph"/>
              <w:spacing w:after="0" w:line="240" w:lineRule="auto"/>
              <w:ind w:left="0"/>
              <w:jc w:val="center"/>
              <w:rPr>
                <w:rFonts w:cs="Times New Roman"/>
                <w:sz w:val="18"/>
                <w:szCs w:val="18"/>
              </w:rPr>
            </w:pPr>
            <w:r>
              <w:rPr>
                <w:rFonts w:cs="Times New Roman"/>
                <w:sz w:val="18"/>
                <w:szCs w:val="18"/>
              </w:rPr>
              <w:t>NSC</w:t>
            </w:r>
          </w:p>
        </w:tc>
        <w:tc>
          <w:tcPr>
            <w:tcW w:w="0" w:type="auto"/>
            <w:shd w:val="clear" w:color="auto" w:fill="FFFFFF" w:themeFill="background1"/>
          </w:tcPr>
          <w:p w:rsidR="007B6B95" w:rsidRPr="00542C9A" w:rsidRDefault="007B6B95" w:rsidP="00AE6115">
            <w:pPr>
              <w:pStyle w:val="ListParagraph"/>
              <w:spacing w:after="0" w:line="240" w:lineRule="auto"/>
              <w:ind w:left="0"/>
              <w:jc w:val="center"/>
              <w:rPr>
                <w:rFonts w:cs="Times New Roman"/>
                <w:sz w:val="18"/>
                <w:szCs w:val="18"/>
              </w:rPr>
            </w:pPr>
          </w:p>
        </w:tc>
      </w:tr>
      <w:tr w:rsidR="00841A77" w:rsidRPr="002A685E" w:rsidTr="00DF22C1">
        <w:trPr>
          <w:trHeight w:val="147"/>
        </w:trPr>
        <w:tc>
          <w:tcPr>
            <w:tcW w:w="0" w:type="auto"/>
            <w:shd w:val="clear" w:color="auto" w:fill="FFFFFF" w:themeFill="background1"/>
          </w:tcPr>
          <w:p w:rsidR="002B2645" w:rsidRPr="00B53B93" w:rsidRDefault="00841A77" w:rsidP="00AE6115">
            <w:pPr>
              <w:pStyle w:val="ListParagraph"/>
              <w:spacing w:after="0" w:line="240" w:lineRule="auto"/>
              <w:ind w:left="0"/>
              <w:rPr>
                <w:rFonts w:cs="Times New Roman"/>
                <w:sz w:val="18"/>
                <w:szCs w:val="18"/>
              </w:rPr>
            </w:pPr>
            <w:r w:rsidRPr="00B53B93">
              <w:rPr>
                <w:rFonts w:cs="Times New Roman"/>
                <w:sz w:val="18"/>
                <w:szCs w:val="18"/>
              </w:rPr>
              <w:t>Asthma, Mild Intermittent</w:t>
            </w:r>
          </w:p>
        </w:tc>
        <w:tc>
          <w:tcPr>
            <w:tcW w:w="0" w:type="auto"/>
            <w:shd w:val="clear" w:color="auto" w:fill="FFFFFF" w:themeFill="background1"/>
          </w:tcPr>
          <w:p w:rsidR="002B2645" w:rsidRPr="00B53B93" w:rsidRDefault="007B6B95" w:rsidP="00AE6115">
            <w:pPr>
              <w:pStyle w:val="ListParagraph"/>
              <w:spacing w:after="0" w:line="240" w:lineRule="auto"/>
              <w:ind w:left="0"/>
              <w:jc w:val="center"/>
              <w:rPr>
                <w:rFonts w:cs="Times New Roman"/>
                <w:sz w:val="18"/>
                <w:szCs w:val="18"/>
              </w:rPr>
            </w:pPr>
            <w:r w:rsidRPr="00B53B93">
              <w:rPr>
                <w:rFonts w:cs="Times New Roman"/>
                <w:sz w:val="18"/>
                <w:szCs w:val="18"/>
              </w:rPr>
              <w:t>6602</w:t>
            </w:r>
          </w:p>
        </w:tc>
        <w:tc>
          <w:tcPr>
            <w:tcW w:w="0" w:type="auto"/>
            <w:tcBorders>
              <w:right w:val="thinThickThinSmallGap" w:sz="24" w:space="0" w:color="auto"/>
            </w:tcBorders>
            <w:shd w:val="clear" w:color="auto" w:fill="FFFFFF" w:themeFill="background1"/>
          </w:tcPr>
          <w:p w:rsidR="002B2645" w:rsidRPr="00B53B93" w:rsidRDefault="00A12EF9" w:rsidP="00AE6115">
            <w:pPr>
              <w:pStyle w:val="ListParagraph"/>
              <w:spacing w:after="0" w:line="240" w:lineRule="auto"/>
              <w:ind w:left="0"/>
              <w:jc w:val="center"/>
              <w:rPr>
                <w:rFonts w:cs="Times New Roman"/>
                <w:sz w:val="18"/>
                <w:szCs w:val="18"/>
              </w:rPr>
            </w:pPr>
            <w:r>
              <w:rPr>
                <w:rFonts w:cs="Times New Roman"/>
                <w:sz w:val="18"/>
                <w:szCs w:val="18"/>
              </w:rPr>
              <w:t>Cat II</w:t>
            </w:r>
          </w:p>
        </w:tc>
        <w:tc>
          <w:tcPr>
            <w:tcW w:w="0" w:type="auto"/>
            <w:tcBorders>
              <w:left w:val="thinThickThinSmallGap" w:sz="24" w:space="0" w:color="auto"/>
            </w:tcBorders>
            <w:shd w:val="clear" w:color="auto" w:fill="FFFFFF" w:themeFill="background1"/>
          </w:tcPr>
          <w:p w:rsidR="002B2645" w:rsidRPr="00B53B93" w:rsidRDefault="00841A77" w:rsidP="00AE6115">
            <w:pPr>
              <w:pStyle w:val="ListParagraph"/>
              <w:spacing w:after="0" w:line="240" w:lineRule="auto"/>
              <w:ind w:left="0"/>
              <w:rPr>
                <w:rFonts w:cs="Times New Roman"/>
                <w:sz w:val="18"/>
                <w:szCs w:val="18"/>
              </w:rPr>
            </w:pPr>
            <w:r w:rsidRPr="00B53B93">
              <w:rPr>
                <w:rFonts w:cs="Times New Roman"/>
                <w:sz w:val="18"/>
                <w:szCs w:val="18"/>
              </w:rPr>
              <w:t>Bronchial Asthma, Mild</w:t>
            </w:r>
          </w:p>
        </w:tc>
        <w:tc>
          <w:tcPr>
            <w:tcW w:w="0" w:type="auto"/>
            <w:shd w:val="clear" w:color="auto" w:fill="FFFFFF" w:themeFill="background1"/>
          </w:tcPr>
          <w:p w:rsidR="002B2645" w:rsidRPr="00542C9A" w:rsidRDefault="00105D8E" w:rsidP="00AE6115">
            <w:pPr>
              <w:pStyle w:val="ListParagraph"/>
              <w:spacing w:after="0" w:line="240" w:lineRule="auto"/>
              <w:ind w:left="0"/>
              <w:jc w:val="center"/>
              <w:rPr>
                <w:rFonts w:cs="Times New Roman"/>
                <w:sz w:val="18"/>
                <w:szCs w:val="18"/>
              </w:rPr>
            </w:pPr>
            <w:r>
              <w:rPr>
                <w:rFonts w:cs="Times New Roman"/>
                <w:sz w:val="18"/>
                <w:szCs w:val="18"/>
              </w:rPr>
              <w:t>6602</w:t>
            </w:r>
          </w:p>
        </w:tc>
        <w:tc>
          <w:tcPr>
            <w:tcW w:w="0" w:type="auto"/>
            <w:shd w:val="clear" w:color="auto" w:fill="FFFFFF" w:themeFill="background1"/>
          </w:tcPr>
          <w:p w:rsidR="002B2645" w:rsidRPr="00542C9A" w:rsidRDefault="00105D8E" w:rsidP="00AE6115">
            <w:pPr>
              <w:pStyle w:val="ListParagraph"/>
              <w:spacing w:after="0" w:line="240" w:lineRule="auto"/>
              <w:ind w:left="0"/>
              <w:jc w:val="center"/>
              <w:rPr>
                <w:rFonts w:cs="Times New Roman"/>
                <w:sz w:val="18"/>
                <w:szCs w:val="18"/>
              </w:rPr>
            </w:pPr>
            <w:r>
              <w:rPr>
                <w:rFonts w:cs="Times New Roman"/>
                <w:sz w:val="18"/>
                <w:szCs w:val="18"/>
              </w:rPr>
              <w:t>10%</w:t>
            </w:r>
          </w:p>
        </w:tc>
        <w:tc>
          <w:tcPr>
            <w:tcW w:w="0" w:type="auto"/>
            <w:shd w:val="clear" w:color="auto" w:fill="FFFFFF" w:themeFill="background1"/>
          </w:tcPr>
          <w:p w:rsidR="002B2645" w:rsidRPr="00542C9A" w:rsidRDefault="00105D8E" w:rsidP="00AE6115">
            <w:pPr>
              <w:pStyle w:val="ListParagraph"/>
              <w:spacing w:after="0" w:line="240" w:lineRule="auto"/>
              <w:ind w:left="0"/>
              <w:jc w:val="center"/>
              <w:rPr>
                <w:rFonts w:cs="Times New Roman"/>
                <w:sz w:val="18"/>
                <w:szCs w:val="18"/>
              </w:rPr>
            </w:pPr>
            <w:r>
              <w:rPr>
                <w:rFonts w:cs="Times New Roman"/>
                <w:sz w:val="18"/>
                <w:szCs w:val="18"/>
              </w:rPr>
              <w:t>20050614</w:t>
            </w:r>
          </w:p>
        </w:tc>
      </w:tr>
      <w:tr w:rsidR="00C156B7" w:rsidRPr="002A685E" w:rsidTr="00DF22C1">
        <w:trPr>
          <w:trHeight w:val="220"/>
        </w:trPr>
        <w:tc>
          <w:tcPr>
            <w:tcW w:w="0" w:type="auto"/>
            <w:gridSpan w:val="3"/>
            <w:vMerge w:val="restart"/>
            <w:tcBorders>
              <w:right w:val="thinThickThinSmallGap" w:sz="24" w:space="0" w:color="auto"/>
            </w:tcBorders>
            <w:shd w:val="clear" w:color="auto" w:fill="FFFFFF" w:themeFill="background1"/>
          </w:tcPr>
          <w:p w:rsidR="00C156B7" w:rsidRPr="00EA666C" w:rsidRDefault="00C156B7" w:rsidP="00841A77">
            <w:pPr>
              <w:pStyle w:val="ListParagraph"/>
              <w:ind w:left="0"/>
              <w:jc w:val="center"/>
              <w:rPr>
                <w:rFonts w:cs="Times New Roman"/>
                <w:i/>
                <w:sz w:val="18"/>
                <w:szCs w:val="18"/>
                <w:highlight w:val="yellow"/>
              </w:rPr>
            </w:pPr>
            <w:r w:rsidRPr="00B53B93">
              <w:rPr>
                <w:rFonts w:eastAsiaTheme="minorEastAsia"/>
                <w:sz w:val="18"/>
                <w:szCs w:val="18"/>
              </w:rPr>
              <w:t xml:space="preserve">↓No Additional </w:t>
            </w:r>
            <w:r>
              <w:rPr>
                <w:rFonts w:eastAsiaTheme="minorEastAsia"/>
                <w:sz w:val="18"/>
                <w:szCs w:val="18"/>
              </w:rPr>
              <w:t xml:space="preserve">MEB </w:t>
            </w:r>
            <w:r w:rsidRPr="00B53B93">
              <w:rPr>
                <w:rFonts w:eastAsiaTheme="minorEastAsia"/>
                <w:sz w:val="18"/>
                <w:szCs w:val="18"/>
              </w:rPr>
              <w:t>Entries↓</w:t>
            </w:r>
          </w:p>
        </w:tc>
        <w:tc>
          <w:tcPr>
            <w:tcW w:w="0" w:type="auto"/>
            <w:tcBorders>
              <w:left w:val="thinThickThinSmallGap" w:sz="24" w:space="0" w:color="auto"/>
            </w:tcBorders>
            <w:shd w:val="clear" w:color="auto" w:fill="FFFFFF" w:themeFill="background1"/>
          </w:tcPr>
          <w:p w:rsidR="00C156B7" w:rsidRPr="00B53B93" w:rsidRDefault="00C156B7" w:rsidP="00AE6115">
            <w:pPr>
              <w:pStyle w:val="ListParagraph"/>
              <w:spacing w:after="0" w:line="240" w:lineRule="auto"/>
              <w:ind w:left="0"/>
              <w:rPr>
                <w:rFonts w:cs="Times New Roman"/>
                <w:sz w:val="18"/>
                <w:szCs w:val="18"/>
              </w:rPr>
            </w:pPr>
            <w:r w:rsidRPr="00B53B93">
              <w:rPr>
                <w:rFonts w:cs="Times New Roman"/>
                <w:sz w:val="18"/>
                <w:szCs w:val="18"/>
              </w:rPr>
              <w:t>Migraine Headaches</w:t>
            </w:r>
          </w:p>
        </w:tc>
        <w:tc>
          <w:tcPr>
            <w:tcW w:w="0" w:type="auto"/>
            <w:shd w:val="clear" w:color="auto" w:fill="FFFFFF" w:themeFill="background1"/>
          </w:tcPr>
          <w:p w:rsidR="00C156B7" w:rsidRPr="00542C9A" w:rsidRDefault="00C156B7" w:rsidP="00AE6115">
            <w:pPr>
              <w:pStyle w:val="ListParagraph"/>
              <w:spacing w:after="0" w:line="240" w:lineRule="auto"/>
              <w:ind w:left="0"/>
              <w:jc w:val="center"/>
              <w:rPr>
                <w:rFonts w:cs="Times New Roman"/>
                <w:sz w:val="18"/>
                <w:szCs w:val="18"/>
              </w:rPr>
            </w:pPr>
            <w:r>
              <w:rPr>
                <w:rFonts w:cs="Times New Roman"/>
                <w:sz w:val="18"/>
                <w:szCs w:val="18"/>
              </w:rPr>
              <w:t>8100</w:t>
            </w:r>
          </w:p>
        </w:tc>
        <w:tc>
          <w:tcPr>
            <w:tcW w:w="0" w:type="auto"/>
            <w:shd w:val="clear" w:color="auto" w:fill="FFFFFF" w:themeFill="background1"/>
          </w:tcPr>
          <w:p w:rsidR="00C156B7" w:rsidRPr="00542C9A" w:rsidRDefault="00C156B7" w:rsidP="00AE6115">
            <w:pPr>
              <w:pStyle w:val="ListParagraph"/>
              <w:spacing w:after="0" w:line="240" w:lineRule="auto"/>
              <w:ind w:left="0"/>
              <w:jc w:val="center"/>
              <w:rPr>
                <w:rFonts w:cs="Times New Roman"/>
                <w:sz w:val="18"/>
                <w:szCs w:val="18"/>
              </w:rPr>
            </w:pPr>
            <w:r>
              <w:rPr>
                <w:rFonts w:cs="Times New Roman"/>
                <w:sz w:val="18"/>
                <w:szCs w:val="18"/>
              </w:rPr>
              <w:t>30%</w:t>
            </w:r>
          </w:p>
        </w:tc>
        <w:tc>
          <w:tcPr>
            <w:tcW w:w="0" w:type="auto"/>
            <w:shd w:val="clear" w:color="auto" w:fill="FFFFFF" w:themeFill="background1"/>
          </w:tcPr>
          <w:p w:rsidR="00C156B7" w:rsidRPr="00542C9A" w:rsidRDefault="00C156B7" w:rsidP="00AE6115">
            <w:pPr>
              <w:pStyle w:val="ListParagraph"/>
              <w:spacing w:after="0" w:line="240" w:lineRule="auto"/>
              <w:ind w:left="0"/>
              <w:jc w:val="center"/>
              <w:rPr>
                <w:rFonts w:cs="Times New Roman"/>
                <w:sz w:val="18"/>
                <w:szCs w:val="18"/>
              </w:rPr>
            </w:pPr>
            <w:r w:rsidRPr="00105D8E">
              <w:rPr>
                <w:rFonts w:cs="Times New Roman"/>
                <w:sz w:val="18"/>
                <w:szCs w:val="18"/>
              </w:rPr>
              <w:t>20050614</w:t>
            </w:r>
          </w:p>
        </w:tc>
      </w:tr>
      <w:tr w:rsidR="00C156B7" w:rsidRPr="002A685E" w:rsidTr="00DF22C1">
        <w:trPr>
          <w:trHeight w:val="168"/>
        </w:trPr>
        <w:tc>
          <w:tcPr>
            <w:tcW w:w="0" w:type="auto"/>
            <w:gridSpan w:val="3"/>
            <w:vMerge/>
            <w:tcBorders>
              <w:right w:val="thinThickThinSmallGap" w:sz="24" w:space="0" w:color="auto"/>
            </w:tcBorders>
            <w:shd w:val="clear" w:color="auto" w:fill="FFFFFF" w:themeFill="background1"/>
          </w:tcPr>
          <w:p w:rsidR="00C156B7" w:rsidRPr="00B53B93" w:rsidRDefault="00C156B7" w:rsidP="00841A77">
            <w:pPr>
              <w:pStyle w:val="ListParagraph"/>
              <w:spacing w:after="0" w:line="240" w:lineRule="auto"/>
              <w:ind w:left="0"/>
              <w:jc w:val="center"/>
              <w:rPr>
                <w:rFonts w:cs="Times New Roman"/>
                <w:b/>
                <w:sz w:val="18"/>
                <w:szCs w:val="18"/>
              </w:rPr>
            </w:pPr>
          </w:p>
        </w:tc>
        <w:tc>
          <w:tcPr>
            <w:tcW w:w="0" w:type="auto"/>
            <w:gridSpan w:val="4"/>
            <w:tcBorders>
              <w:left w:val="thinThickThinSmallGap" w:sz="24" w:space="0" w:color="auto"/>
            </w:tcBorders>
            <w:shd w:val="clear" w:color="auto" w:fill="FFFFFF" w:themeFill="background1"/>
          </w:tcPr>
          <w:p w:rsidR="00C156B7" w:rsidRPr="00542C9A" w:rsidRDefault="00C156B7" w:rsidP="00AE6115">
            <w:pPr>
              <w:pStyle w:val="ListParagraph"/>
              <w:spacing w:after="0" w:line="240" w:lineRule="auto"/>
              <w:ind w:left="0"/>
              <w:jc w:val="center"/>
              <w:rPr>
                <w:rFonts w:cs="Times New Roman"/>
                <w:sz w:val="18"/>
                <w:szCs w:val="18"/>
              </w:rPr>
            </w:pPr>
            <w:r>
              <w:rPr>
                <w:rFonts w:cs="Times New Roman"/>
                <w:sz w:val="18"/>
                <w:szCs w:val="18"/>
              </w:rPr>
              <w:t xml:space="preserve">0% x 3 / </w:t>
            </w:r>
            <w:r w:rsidRPr="00B53B93">
              <w:rPr>
                <w:rFonts w:cs="Times New Roman"/>
                <w:sz w:val="18"/>
                <w:szCs w:val="18"/>
              </w:rPr>
              <w:t>NSC X 3</w:t>
            </w:r>
            <w:r>
              <w:rPr>
                <w:rFonts w:cs="Times New Roman"/>
                <w:sz w:val="18"/>
                <w:szCs w:val="18"/>
              </w:rPr>
              <w:t xml:space="preserve"> (4 from 200608110</w:t>
            </w:r>
            <w:r w:rsidR="00B76E59">
              <w:rPr>
                <w:rFonts w:cs="Times New Roman"/>
                <w:sz w:val="18"/>
                <w:szCs w:val="18"/>
              </w:rPr>
              <w:t>)</w:t>
            </w:r>
          </w:p>
        </w:tc>
      </w:tr>
      <w:tr w:rsidR="00684E2B" w:rsidRPr="002A685E" w:rsidTr="00DF22C1">
        <w:trPr>
          <w:trHeight w:val="284"/>
        </w:trPr>
        <w:tc>
          <w:tcPr>
            <w:tcW w:w="0" w:type="auto"/>
            <w:gridSpan w:val="3"/>
            <w:tcBorders>
              <w:right w:val="thinThickThinSmallGap" w:sz="24" w:space="0" w:color="auto"/>
            </w:tcBorders>
            <w:shd w:val="clear" w:color="auto" w:fill="F2F2F2" w:themeFill="background1" w:themeFillShade="F2"/>
          </w:tcPr>
          <w:p w:rsidR="00684E2B" w:rsidRPr="00B53B93" w:rsidRDefault="00B53B93" w:rsidP="00841A77">
            <w:pPr>
              <w:pStyle w:val="ListParagraph"/>
              <w:spacing w:after="0" w:line="240" w:lineRule="auto"/>
              <w:ind w:left="0"/>
              <w:jc w:val="center"/>
              <w:rPr>
                <w:rFonts w:cs="Times New Roman"/>
                <w:b/>
                <w:sz w:val="18"/>
                <w:szCs w:val="18"/>
              </w:rPr>
            </w:pPr>
            <w:r>
              <w:rPr>
                <w:rFonts w:cs="Times New Roman"/>
                <w:b/>
                <w:sz w:val="18"/>
                <w:szCs w:val="18"/>
              </w:rPr>
              <w:t>Final</w:t>
            </w:r>
            <w:r w:rsidR="00684E2B" w:rsidRPr="00B53B93">
              <w:rPr>
                <w:rFonts w:cs="Times New Roman"/>
                <w:b/>
                <w:sz w:val="18"/>
                <w:szCs w:val="18"/>
              </w:rPr>
              <w:t xml:space="preserve"> Combined:  </w:t>
            </w:r>
            <w:r w:rsidR="00841A77" w:rsidRPr="00B53B93">
              <w:rPr>
                <w:rFonts w:cs="Times New Roman"/>
                <w:b/>
                <w:sz w:val="18"/>
                <w:szCs w:val="18"/>
              </w:rPr>
              <w:t>1</w:t>
            </w:r>
            <w:r w:rsidR="00684E2B" w:rsidRPr="00B53B93">
              <w:rPr>
                <w:rFonts w:cs="Times New Roman"/>
                <w:b/>
                <w:sz w:val="18"/>
                <w:szCs w:val="18"/>
              </w:rPr>
              <w:t>0%</w:t>
            </w:r>
          </w:p>
        </w:tc>
        <w:tc>
          <w:tcPr>
            <w:tcW w:w="0" w:type="auto"/>
            <w:gridSpan w:val="4"/>
            <w:tcBorders>
              <w:left w:val="thinThickThinSmallGap" w:sz="24" w:space="0" w:color="auto"/>
            </w:tcBorders>
            <w:shd w:val="clear" w:color="auto" w:fill="F2F2F2" w:themeFill="background1" w:themeFillShade="F2"/>
          </w:tcPr>
          <w:p w:rsidR="00684E2B" w:rsidRPr="00B53B93" w:rsidRDefault="00684E2B" w:rsidP="00B53B93">
            <w:pPr>
              <w:pStyle w:val="ListParagraph"/>
              <w:spacing w:after="0" w:line="240" w:lineRule="auto"/>
              <w:ind w:left="0"/>
              <w:jc w:val="center"/>
              <w:rPr>
                <w:rFonts w:cs="Times New Roman"/>
                <w:b/>
                <w:sz w:val="18"/>
                <w:szCs w:val="18"/>
              </w:rPr>
            </w:pPr>
            <w:r w:rsidRPr="00B53B93">
              <w:rPr>
                <w:rFonts w:cs="Times New Roman"/>
                <w:b/>
                <w:sz w:val="18"/>
                <w:szCs w:val="18"/>
              </w:rPr>
              <w:t>TOTAL Combined (</w:t>
            </w:r>
            <w:r w:rsidRPr="00B53B93">
              <w:rPr>
                <w:rFonts w:cs="Times New Roman"/>
                <w:b/>
                <w:i/>
                <w:sz w:val="18"/>
                <w:szCs w:val="18"/>
              </w:rPr>
              <w:t>Includes Non-PEB Conditions</w:t>
            </w:r>
            <w:r w:rsidR="006F5A4E" w:rsidRPr="00B53B93">
              <w:rPr>
                <w:rFonts w:cs="Times New Roman"/>
                <w:b/>
                <w:sz w:val="18"/>
                <w:szCs w:val="18"/>
              </w:rPr>
              <w:t xml:space="preserve">): </w:t>
            </w:r>
            <w:r w:rsidR="00105D8E" w:rsidRPr="00B53B93">
              <w:rPr>
                <w:rFonts w:cs="Times New Roman"/>
                <w:b/>
                <w:sz w:val="18"/>
                <w:szCs w:val="18"/>
              </w:rPr>
              <w:t>4</w:t>
            </w:r>
            <w:r w:rsidRPr="00B53B93">
              <w:rPr>
                <w:rFonts w:cs="Times New Roman"/>
                <w:b/>
                <w:sz w:val="18"/>
                <w:szCs w:val="18"/>
              </w:rPr>
              <w:t>0%</w:t>
            </w:r>
            <w:r w:rsidR="00B53B93">
              <w:rPr>
                <w:rFonts w:cs="Times New Roman"/>
                <w:b/>
                <w:sz w:val="18"/>
                <w:szCs w:val="18"/>
              </w:rPr>
              <w:t>**</w:t>
            </w:r>
          </w:p>
        </w:tc>
      </w:tr>
    </w:tbl>
    <w:p w:rsidR="00CD66D9" w:rsidRPr="00BF3F4A" w:rsidRDefault="00CC648F" w:rsidP="00723983">
      <w:pPr>
        <w:tabs>
          <w:tab w:val="left" w:pos="288"/>
          <w:tab w:val="left" w:pos="4752"/>
        </w:tabs>
        <w:spacing w:line="240" w:lineRule="exact"/>
        <w:jc w:val="both"/>
        <w:rPr>
          <w:rFonts w:asciiTheme="minorHAnsi" w:hAnsiTheme="minorHAnsi"/>
          <w:color w:val="auto"/>
          <w:sz w:val="18"/>
          <w:szCs w:val="18"/>
        </w:rPr>
      </w:pPr>
      <w:r w:rsidRPr="00BF3F4A">
        <w:rPr>
          <w:rFonts w:asciiTheme="minorHAnsi" w:hAnsiTheme="minorHAnsi"/>
          <w:color w:val="auto"/>
          <w:sz w:val="18"/>
          <w:szCs w:val="18"/>
        </w:rPr>
        <w:t xml:space="preserve">* </w:t>
      </w:r>
      <w:r w:rsidR="00723983" w:rsidRPr="00BF3F4A">
        <w:rPr>
          <w:rFonts w:asciiTheme="minorHAnsi" w:hAnsiTheme="minorHAnsi"/>
          <w:color w:val="auto"/>
          <w:sz w:val="18"/>
          <w:szCs w:val="18"/>
        </w:rPr>
        <w:t>30%</w:t>
      </w:r>
      <w:r w:rsidR="00BF3F4A">
        <w:rPr>
          <w:rFonts w:asciiTheme="minorHAnsi" w:hAnsiTheme="minorHAnsi"/>
          <w:color w:val="auto"/>
          <w:sz w:val="18"/>
          <w:szCs w:val="18"/>
        </w:rPr>
        <w:t xml:space="preserve"> from </w:t>
      </w:r>
      <w:proofErr w:type="gramStart"/>
      <w:r w:rsidRPr="00BF3F4A">
        <w:rPr>
          <w:rFonts w:asciiTheme="minorHAnsi" w:hAnsiTheme="minorHAnsi"/>
          <w:color w:val="auto"/>
          <w:sz w:val="18"/>
          <w:szCs w:val="18"/>
        </w:rPr>
        <w:t>2006</w:t>
      </w:r>
      <w:r w:rsidR="00BF3F4A">
        <w:rPr>
          <w:rFonts w:asciiTheme="minorHAnsi" w:hAnsiTheme="minorHAnsi"/>
          <w:color w:val="auto"/>
          <w:sz w:val="18"/>
          <w:szCs w:val="18"/>
        </w:rPr>
        <w:t>0811</w:t>
      </w:r>
      <w:r w:rsidR="00B53B93">
        <w:rPr>
          <w:rFonts w:asciiTheme="minorHAnsi" w:hAnsiTheme="minorHAnsi"/>
          <w:color w:val="auto"/>
          <w:sz w:val="18"/>
          <w:szCs w:val="18"/>
        </w:rPr>
        <w:t xml:space="preserve">  *</w:t>
      </w:r>
      <w:proofErr w:type="gramEnd"/>
      <w:r w:rsidR="00B53B93">
        <w:rPr>
          <w:rFonts w:asciiTheme="minorHAnsi" w:hAnsiTheme="minorHAnsi"/>
          <w:color w:val="auto"/>
          <w:sz w:val="18"/>
          <w:szCs w:val="18"/>
        </w:rPr>
        <w:t>* 60% from 20060811</w:t>
      </w:r>
    </w:p>
    <w:p w:rsidR="00A90D55" w:rsidRPr="00DF22C1" w:rsidRDefault="008B5D31" w:rsidP="00DF22C1">
      <w:pPr>
        <w:tabs>
          <w:tab w:val="left" w:pos="288"/>
          <w:tab w:val="left" w:pos="4752"/>
        </w:tabs>
        <w:spacing w:line="240" w:lineRule="exact"/>
        <w:rPr>
          <w:b/>
          <w:color w:val="000080"/>
          <w:u w:val="single"/>
        </w:rPr>
      </w:pPr>
      <w:r w:rsidRPr="00DF22C1">
        <w:rPr>
          <w:b/>
          <w:color w:val="000080"/>
          <w:u w:val="single"/>
        </w:rPr>
        <w:t>_______________________________________________________________</w:t>
      </w:r>
      <w:r w:rsidR="00A90D55" w:rsidRPr="00DF22C1">
        <w:rPr>
          <w:b/>
          <w:color w:val="000080"/>
          <w:u w:val="single"/>
        </w:rPr>
        <w:t>_</w:t>
      </w:r>
    </w:p>
    <w:p w:rsidR="00A90D55" w:rsidRDefault="00A90D55" w:rsidP="00875F2D">
      <w:pPr>
        <w:tabs>
          <w:tab w:val="left" w:pos="288"/>
          <w:tab w:val="left" w:pos="4752"/>
        </w:tabs>
        <w:spacing w:line="240" w:lineRule="exact"/>
        <w:jc w:val="both"/>
        <w:rPr>
          <w:color w:val="000080"/>
        </w:rPr>
      </w:pPr>
    </w:p>
    <w:p w:rsidR="004402DA" w:rsidRPr="00EA666C" w:rsidRDefault="001C32A9" w:rsidP="00E971D0">
      <w:pPr>
        <w:spacing w:line="240" w:lineRule="exact"/>
        <w:jc w:val="both"/>
        <w:rPr>
          <w:rFonts w:asciiTheme="minorHAnsi" w:hAnsiTheme="minorHAnsi"/>
          <w:color w:val="auto"/>
          <w:szCs w:val="24"/>
          <w:u w:val="single"/>
        </w:rPr>
      </w:pPr>
      <w:r w:rsidRPr="001C32A9">
        <w:rPr>
          <w:rFonts w:ascii="Calibri" w:hAnsi="Calibri"/>
          <w:color w:val="auto"/>
          <w:szCs w:val="24"/>
          <w:u w:val="single"/>
        </w:rPr>
        <w:t>ANALYSIS SUMMARY</w:t>
      </w:r>
      <w:r w:rsidRPr="00775A53">
        <w:rPr>
          <w:rFonts w:ascii="Calibri" w:hAnsi="Calibri"/>
          <w:color w:val="auto"/>
          <w:szCs w:val="24"/>
        </w:rPr>
        <w:t>:</w:t>
      </w:r>
      <w:r w:rsidR="004402DA" w:rsidRPr="00775A53">
        <w:rPr>
          <w:rFonts w:ascii="Calibri" w:hAnsi="Calibri"/>
          <w:color w:val="auto"/>
          <w:szCs w:val="24"/>
        </w:rPr>
        <w:t xml:space="preserve">  </w:t>
      </w:r>
      <w:r w:rsidR="00E971D0">
        <w:rPr>
          <w:rFonts w:asciiTheme="minorHAnsi" w:hAnsiTheme="minorHAnsi"/>
          <w:color w:val="auto"/>
          <w:szCs w:val="24"/>
        </w:rPr>
        <w:t>The</w:t>
      </w:r>
      <w:r w:rsidR="004402DA" w:rsidRPr="00775A53">
        <w:rPr>
          <w:rFonts w:asciiTheme="minorHAnsi" w:hAnsiTheme="minorHAnsi"/>
          <w:color w:val="auto"/>
          <w:szCs w:val="24"/>
        </w:rPr>
        <w:t xml:space="preserve"> Board has neither the jurisdiction nor authority to scrutinize or render opinions in reference to the CI’s statements in </w:t>
      </w:r>
      <w:r w:rsidR="00E971D0">
        <w:rPr>
          <w:rFonts w:asciiTheme="minorHAnsi" w:hAnsiTheme="minorHAnsi"/>
          <w:color w:val="auto"/>
          <w:szCs w:val="24"/>
        </w:rPr>
        <w:t>her</w:t>
      </w:r>
      <w:r w:rsidR="004402DA" w:rsidRPr="00775A53">
        <w:rPr>
          <w:rFonts w:asciiTheme="minorHAnsi" w:hAnsiTheme="minorHAnsi"/>
          <w:color w:val="auto"/>
          <w:szCs w:val="24"/>
        </w:rPr>
        <w:t xml:space="preserve"> application regarding time in service or years remaining until retirement.</w:t>
      </w:r>
      <w:r w:rsidR="00EA666C" w:rsidRPr="00775A53">
        <w:rPr>
          <w:rFonts w:asciiTheme="minorHAnsi" w:hAnsiTheme="minorHAnsi"/>
          <w:color w:val="auto"/>
          <w:szCs w:val="24"/>
        </w:rPr>
        <w:t xml:space="preserve">  </w:t>
      </w:r>
      <w:r w:rsidR="00775A53" w:rsidRPr="00775A53">
        <w:rPr>
          <w:rFonts w:ascii="Calibri" w:hAnsi="Calibri"/>
          <w:color w:val="auto"/>
          <w:szCs w:val="24"/>
        </w:rPr>
        <w:t xml:space="preserve">Evaluation for compensation is only considered by this Board for </w:t>
      </w:r>
      <w:r w:rsidR="00EA666C" w:rsidRPr="00775A53">
        <w:rPr>
          <w:rFonts w:ascii="Calibri" w:hAnsi="Calibri"/>
          <w:color w:val="auto"/>
          <w:szCs w:val="24"/>
        </w:rPr>
        <w:t>those medical conditions that</w:t>
      </w:r>
      <w:r w:rsidR="00EA666C" w:rsidRPr="00EA666C">
        <w:rPr>
          <w:rFonts w:ascii="Calibri" w:hAnsi="Calibri"/>
          <w:color w:val="auto"/>
          <w:szCs w:val="24"/>
        </w:rPr>
        <w:t xml:space="preserve"> cut short a service member's career, and then only to the degree of severity present at the time of final disposition.  </w:t>
      </w:r>
      <w:r w:rsidR="00E971D0">
        <w:rPr>
          <w:rFonts w:ascii="Calibri" w:hAnsi="Calibri"/>
          <w:color w:val="auto"/>
          <w:szCs w:val="24"/>
        </w:rPr>
        <w:t>The level of compensation recommended is based strictly upon the V</w:t>
      </w:r>
      <w:r w:rsidR="00291047">
        <w:rPr>
          <w:rFonts w:ascii="Calibri" w:hAnsi="Calibri"/>
          <w:color w:val="auto"/>
          <w:szCs w:val="24"/>
        </w:rPr>
        <w:t>A</w:t>
      </w:r>
      <w:r w:rsidR="00E971D0">
        <w:rPr>
          <w:rFonts w:ascii="Calibri" w:hAnsi="Calibri"/>
          <w:color w:val="auto"/>
          <w:szCs w:val="24"/>
        </w:rPr>
        <w:t xml:space="preserve"> Schedule for Rating Disabilities (VASRD).</w:t>
      </w:r>
    </w:p>
    <w:p w:rsidR="001C32A9" w:rsidRPr="00BE438B" w:rsidRDefault="001C32A9" w:rsidP="001C32A9">
      <w:pPr>
        <w:spacing w:line="240" w:lineRule="exact"/>
        <w:rPr>
          <w:rFonts w:ascii="Calibri" w:hAnsi="Calibri"/>
          <w:color w:val="auto"/>
          <w:szCs w:val="24"/>
          <w:u w:val="single"/>
        </w:rPr>
      </w:pPr>
    </w:p>
    <w:p w:rsidR="00422A67" w:rsidRPr="006641D0" w:rsidRDefault="00054D8D" w:rsidP="006641D0">
      <w:pPr>
        <w:spacing w:line="240" w:lineRule="exact"/>
        <w:jc w:val="both"/>
        <w:rPr>
          <w:rFonts w:asciiTheme="minorHAnsi" w:hAnsiTheme="minorHAnsi" w:cstheme="minorHAnsi"/>
          <w:color w:val="auto"/>
          <w:szCs w:val="24"/>
        </w:rPr>
      </w:pPr>
      <w:proofErr w:type="spellStart"/>
      <w:proofErr w:type="gramStart"/>
      <w:r w:rsidRPr="00BE438B">
        <w:rPr>
          <w:rFonts w:asciiTheme="minorHAnsi" w:hAnsiTheme="minorHAnsi"/>
          <w:color w:val="auto"/>
          <w:szCs w:val="24"/>
          <w:u w:val="single"/>
        </w:rPr>
        <w:t>Urticaria</w:t>
      </w:r>
      <w:proofErr w:type="spellEnd"/>
      <w:r w:rsidR="00BE438B">
        <w:rPr>
          <w:rFonts w:asciiTheme="minorHAnsi" w:hAnsiTheme="minorHAnsi"/>
          <w:color w:val="auto"/>
          <w:szCs w:val="24"/>
        </w:rPr>
        <w:t>.</w:t>
      </w:r>
      <w:proofErr w:type="gramEnd"/>
      <w:r w:rsidR="00BE438B">
        <w:rPr>
          <w:rFonts w:asciiTheme="minorHAnsi" w:hAnsiTheme="minorHAnsi"/>
          <w:color w:val="auto"/>
          <w:szCs w:val="24"/>
        </w:rPr>
        <w:t xml:space="preserve">  </w:t>
      </w:r>
      <w:r w:rsidR="00F70189">
        <w:rPr>
          <w:rFonts w:asciiTheme="minorHAnsi" w:hAnsiTheme="minorHAnsi"/>
          <w:color w:val="auto"/>
          <w:szCs w:val="24"/>
        </w:rPr>
        <w:t xml:space="preserve">The CI first noted mild </w:t>
      </w:r>
      <w:proofErr w:type="spellStart"/>
      <w:r w:rsidR="00F70189">
        <w:rPr>
          <w:rFonts w:asciiTheme="minorHAnsi" w:hAnsiTheme="minorHAnsi"/>
          <w:color w:val="auto"/>
          <w:szCs w:val="24"/>
        </w:rPr>
        <w:t>urticaria</w:t>
      </w:r>
      <w:proofErr w:type="spellEnd"/>
      <w:r w:rsidR="00F70189">
        <w:rPr>
          <w:rFonts w:asciiTheme="minorHAnsi" w:hAnsiTheme="minorHAnsi"/>
          <w:color w:val="auto"/>
          <w:szCs w:val="24"/>
        </w:rPr>
        <w:t xml:space="preserve"> </w:t>
      </w:r>
      <w:r w:rsidR="00775A53">
        <w:rPr>
          <w:rFonts w:asciiTheme="minorHAnsi" w:hAnsiTheme="minorHAnsi"/>
          <w:color w:val="auto"/>
          <w:szCs w:val="24"/>
        </w:rPr>
        <w:t xml:space="preserve">which resolved after 90 minutes </w:t>
      </w:r>
      <w:r w:rsidR="00F70189">
        <w:rPr>
          <w:rFonts w:asciiTheme="minorHAnsi" w:hAnsiTheme="minorHAnsi"/>
          <w:color w:val="auto"/>
          <w:szCs w:val="24"/>
        </w:rPr>
        <w:t>in Aug</w:t>
      </w:r>
      <w:r w:rsidR="00291047">
        <w:rPr>
          <w:rFonts w:asciiTheme="minorHAnsi" w:hAnsiTheme="minorHAnsi"/>
          <w:color w:val="auto"/>
          <w:szCs w:val="24"/>
        </w:rPr>
        <w:t>ust</w:t>
      </w:r>
      <w:r w:rsidR="00F70189">
        <w:rPr>
          <w:rFonts w:asciiTheme="minorHAnsi" w:hAnsiTheme="minorHAnsi"/>
          <w:color w:val="auto"/>
          <w:szCs w:val="24"/>
        </w:rPr>
        <w:t xml:space="preserve"> 2003.  </w:t>
      </w:r>
      <w:r w:rsidR="00463307">
        <w:rPr>
          <w:rFonts w:asciiTheme="minorHAnsi" w:hAnsiTheme="minorHAnsi"/>
          <w:color w:val="auto"/>
          <w:szCs w:val="24"/>
        </w:rPr>
        <w:t>A second episode occurred in Oct</w:t>
      </w:r>
      <w:r w:rsidR="00291047">
        <w:rPr>
          <w:rFonts w:asciiTheme="minorHAnsi" w:hAnsiTheme="minorHAnsi"/>
          <w:color w:val="auto"/>
          <w:szCs w:val="24"/>
        </w:rPr>
        <w:t>ober</w:t>
      </w:r>
      <w:r w:rsidR="00463307">
        <w:rPr>
          <w:rFonts w:asciiTheme="minorHAnsi" w:hAnsiTheme="minorHAnsi"/>
          <w:color w:val="auto"/>
          <w:szCs w:val="24"/>
        </w:rPr>
        <w:t xml:space="preserve"> 2003 after kickboxing and was treated with </w:t>
      </w:r>
      <w:proofErr w:type="spellStart"/>
      <w:r w:rsidR="00291047">
        <w:rPr>
          <w:rFonts w:asciiTheme="minorHAnsi" w:hAnsiTheme="minorHAnsi"/>
          <w:color w:val="auto"/>
          <w:szCs w:val="24"/>
        </w:rPr>
        <w:t>b</w:t>
      </w:r>
      <w:r w:rsidR="00463307">
        <w:rPr>
          <w:rFonts w:asciiTheme="minorHAnsi" w:hAnsiTheme="minorHAnsi"/>
          <w:color w:val="auto"/>
          <w:szCs w:val="24"/>
        </w:rPr>
        <w:t>enadryl</w:t>
      </w:r>
      <w:proofErr w:type="spellEnd"/>
      <w:r w:rsidR="00463307">
        <w:rPr>
          <w:rFonts w:asciiTheme="minorHAnsi" w:hAnsiTheme="minorHAnsi"/>
          <w:color w:val="auto"/>
          <w:szCs w:val="24"/>
        </w:rPr>
        <w:t>.  A third episode occurred in Nov</w:t>
      </w:r>
      <w:r w:rsidR="00291047">
        <w:rPr>
          <w:rFonts w:asciiTheme="minorHAnsi" w:hAnsiTheme="minorHAnsi"/>
          <w:color w:val="auto"/>
          <w:szCs w:val="24"/>
        </w:rPr>
        <w:t>ember</w:t>
      </w:r>
      <w:r w:rsidR="00463307">
        <w:rPr>
          <w:rFonts w:asciiTheme="minorHAnsi" w:hAnsiTheme="minorHAnsi"/>
          <w:color w:val="auto"/>
          <w:szCs w:val="24"/>
        </w:rPr>
        <w:t xml:space="preserve"> 2003 after exercising on a treadmill and resolved </w:t>
      </w:r>
      <w:r w:rsidR="00463307">
        <w:rPr>
          <w:rFonts w:asciiTheme="minorHAnsi" w:hAnsiTheme="minorHAnsi"/>
          <w:color w:val="auto"/>
          <w:szCs w:val="24"/>
        </w:rPr>
        <w:lastRenderedPageBreak/>
        <w:t>spontaneously.  A fourth episode occurred in Dec</w:t>
      </w:r>
      <w:r w:rsidR="00291047">
        <w:rPr>
          <w:rFonts w:asciiTheme="minorHAnsi" w:hAnsiTheme="minorHAnsi"/>
          <w:color w:val="auto"/>
          <w:szCs w:val="24"/>
        </w:rPr>
        <w:t>ember</w:t>
      </w:r>
      <w:r w:rsidR="00463307">
        <w:rPr>
          <w:rFonts w:asciiTheme="minorHAnsi" w:hAnsiTheme="minorHAnsi"/>
          <w:color w:val="auto"/>
          <w:szCs w:val="24"/>
        </w:rPr>
        <w:t xml:space="preserve"> 2003 </w:t>
      </w:r>
      <w:r w:rsidR="00775A53">
        <w:rPr>
          <w:rFonts w:asciiTheme="minorHAnsi" w:hAnsiTheme="minorHAnsi"/>
          <w:color w:val="auto"/>
          <w:szCs w:val="24"/>
        </w:rPr>
        <w:t xml:space="preserve">after exercise in San Antonio, and </w:t>
      </w:r>
      <w:r w:rsidR="00463307">
        <w:rPr>
          <w:rFonts w:asciiTheme="minorHAnsi" w:hAnsiTheme="minorHAnsi"/>
          <w:color w:val="auto"/>
          <w:szCs w:val="24"/>
        </w:rPr>
        <w:t xml:space="preserve">was and was treated with </w:t>
      </w:r>
      <w:proofErr w:type="spellStart"/>
      <w:r w:rsidR="00291047">
        <w:rPr>
          <w:rFonts w:asciiTheme="minorHAnsi" w:hAnsiTheme="minorHAnsi"/>
          <w:color w:val="auto"/>
          <w:szCs w:val="24"/>
        </w:rPr>
        <w:t>b</w:t>
      </w:r>
      <w:r w:rsidR="00463307">
        <w:rPr>
          <w:rFonts w:asciiTheme="minorHAnsi" w:hAnsiTheme="minorHAnsi"/>
          <w:color w:val="auto"/>
          <w:szCs w:val="24"/>
        </w:rPr>
        <w:t>en</w:t>
      </w:r>
      <w:r w:rsidR="00775A53">
        <w:rPr>
          <w:rFonts w:asciiTheme="minorHAnsi" w:hAnsiTheme="minorHAnsi"/>
          <w:color w:val="auto"/>
          <w:szCs w:val="24"/>
        </w:rPr>
        <w:t>adryl</w:t>
      </w:r>
      <w:proofErr w:type="spellEnd"/>
      <w:r w:rsidR="00775A53">
        <w:rPr>
          <w:rFonts w:asciiTheme="minorHAnsi" w:hAnsiTheme="minorHAnsi"/>
          <w:color w:val="auto"/>
          <w:szCs w:val="24"/>
        </w:rPr>
        <w:t xml:space="preserve">.  A fifth, more severe, </w:t>
      </w:r>
      <w:r w:rsidR="00463307">
        <w:rPr>
          <w:rFonts w:asciiTheme="minorHAnsi" w:hAnsiTheme="minorHAnsi"/>
          <w:color w:val="auto"/>
          <w:szCs w:val="24"/>
        </w:rPr>
        <w:t>episode occurred in Feb</w:t>
      </w:r>
      <w:r w:rsidR="00291047">
        <w:rPr>
          <w:rFonts w:asciiTheme="minorHAnsi" w:hAnsiTheme="minorHAnsi"/>
          <w:color w:val="auto"/>
          <w:szCs w:val="24"/>
        </w:rPr>
        <w:t>ruary</w:t>
      </w:r>
      <w:r w:rsidR="00463307">
        <w:rPr>
          <w:rFonts w:asciiTheme="minorHAnsi" w:hAnsiTheme="minorHAnsi"/>
          <w:color w:val="auto"/>
          <w:szCs w:val="24"/>
        </w:rPr>
        <w:t xml:space="preserve"> 2004 while </w:t>
      </w:r>
      <w:r w:rsidR="00FC199D">
        <w:rPr>
          <w:rFonts w:asciiTheme="minorHAnsi" w:hAnsiTheme="minorHAnsi"/>
          <w:color w:val="auto"/>
          <w:szCs w:val="24"/>
        </w:rPr>
        <w:t>running and</w:t>
      </w:r>
      <w:r w:rsidR="00463307">
        <w:rPr>
          <w:rFonts w:asciiTheme="minorHAnsi" w:hAnsiTheme="minorHAnsi"/>
          <w:color w:val="auto"/>
          <w:szCs w:val="24"/>
        </w:rPr>
        <w:t xml:space="preserve"> </w:t>
      </w:r>
      <w:r w:rsidR="00FC199D">
        <w:rPr>
          <w:rFonts w:asciiTheme="minorHAnsi" w:hAnsiTheme="minorHAnsi"/>
          <w:color w:val="auto"/>
          <w:szCs w:val="24"/>
        </w:rPr>
        <w:t>involved</w:t>
      </w:r>
      <w:r w:rsidR="00463307">
        <w:rPr>
          <w:rFonts w:asciiTheme="minorHAnsi" w:hAnsiTheme="minorHAnsi"/>
          <w:color w:val="auto"/>
          <w:szCs w:val="24"/>
        </w:rPr>
        <w:t xml:space="preserve"> her entire body</w:t>
      </w:r>
      <w:r w:rsidR="00FC199D">
        <w:rPr>
          <w:rFonts w:asciiTheme="minorHAnsi" w:hAnsiTheme="minorHAnsi"/>
          <w:color w:val="auto"/>
          <w:szCs w:val="24"/>
        </w:rPr>
        <w:t>.</w:t>
      </w:r>
      <w:r w:rsidR="00463307">
        <w:rPr>
          <w:rFonts w:asciiTheme="minorHAnsi" w:hAnsiTheme="minorHAnsi"/>
          <w:color w:val="auto"/>
          <w:szCs w:val="24"/>
        </w:rPr>
        <w:t xml:space="preserve"> </w:t>
      </w:r>
      <w:r w:rsidR="00291047">
        <w:rPr>
          <w:rFonts w:asciiTheme="minorHAnsi" w:hAnsiTheme="minorHAnsi"/>
          <w:color w:val="auto"/>
          <w:szCs w:val="24"/>
        </w:rPr>
        <w:t xml:space="preserve"> </w:t>
      </w:r>
      <w:r w:rsidR="00FC199D">
        <w:rPr>
          <w:rFonts w:asciiTheme="minorHAnsi" w:hAnsiTheme="minorHAnsi"/>
          <w:color w:val="auto"/>
          <w:szCs w:val="24"/>
        </w:rPr>
        <w:t xml:space="preserve">It </w:t>
      </w:r>
      <w:r w:rsidR="00463307">
        <w:rPr>
          <w:rFonts w:asciiTheme="minorHAnsi" w:hAnsiTheme="minorHAnsi"/>
          <w:color w:val="auto"/>
          <w:szCs w:val="24"/>
        </w:rPr>
        <w:t>was associated with chest tightness, wheezing, dizziness</w:t>
      </w:r>
      <w:r w:rsidR="00FC199D">
        <w:rPr>
          <w:rFonts w:asciiTheme="minorHAnsi" w:hAnsiTheme="minorHAnsi"/>
          <w:color w:val="auto"/>
          <w:szCs w:val="24"/>
        </w:rPr>
        <w:t>,</w:t>
      </w:r>
      <w:r w:rsidR="00463307">
        <w:rPr>
          <w:rFonts w:asciiTheme="minorHAnsi" w:hAnsiTheme="minorHAnsi"/>
          <w:color w:val="auto"/>
          <w:szCs w:val="24"/>
        </w:rPr>
        <w:t xml:space="preserve"> and near</w:t>
      </w:r>
      <w:r w:rsidR="00775A53">
        <w:rPr>
          <w:rFonts w:asciiTheme="minorHAnsi" w:hAnsiTheme="minorHAnsi"/>
          <w:color w:val="auto"/>
          <w:szCs w:val="24"/>
        </w:rPr>
        <w:t xml:space="preserve">-syncope.  She was taken to an </w:t>
      </w:r>
      <w:r w:rsidR="00291047">
        <w:rPr>
          <w:rFonts w:asciiTheme="minorHAnsi" w:hAnsiTheme="minorHAnsi"/>
          <w:color w:val="auto"/>
          <w:szCs w:val="24"/>
        </w:rPr>
        <w:t xml:space="preserve">emergency room </w:t>
      </w:r>
      <w:r w:rsidR="0085675D">
        <w:rPr>
          <w:rFonts w:asciiTheme="minorHAnsi" w:hAnsiTheme="minorHAnsi"/>
          <w:color w:val="auto"/>
          <w:szCs w:val="24"/>
        </w:rPr>
        <w:t xml:space="preserve">(ER) </w:t>
      </w:r>
      <w:r w:rsidR="00463307">
        <w:rPr>
          <w:rFonts w:asciiTheme="minorHAnsi" w:hAnsiTheme="minorHAnsi"/>
          <w:color w:val="auto"/>
          <w:szCs w:val="24"/>
        </w:rPr>
        <w:t>where she was treated with epinephrine, prednisone</w:t>
      </w:r>
      <w:r w:rsidR="00775A53">
        <w:rPr>
          <w:rFonts w:asciiTheme="minorHAnsi" w:hAnsiTheme="minorHAnsi"/>
          <w:color w:val="auto"/>
          <w:szCs w:val="24"/>
        </w:rPr>
        <w:t>,</w:t>
      </w:r>
      <w:r w:rsidR="00463307">
        <w:rPr>
          <w:rFonts w:asciiTheme="minorHAnsi" w:hAnsiTheme="minorHAnsi"/>
          <w:color w:val="auto"/>
          <w:szCs w:val="24"/>
        </w:rPr>
        <w:t xml:space="preserve"> and </w:t>
      </w:r>
      <w:proofErr w:type="spellStart"/>
      <w:r w:rsidR="00291047">
        <w:rPr>
          <w:rFonts w:asciiTheme="minorHAnsi" w:hAnsiTheme="minorHAnsi"/>
          <w:color w:val="auto"/>
          <w:szCs w:val="24"/>
        </w:rPr>
        <w:t>c</w:t>
      </w:r>
      <w:r w:rsidR="00463307">
        <w:rPr>
          <w:rFonts w:asciiTheme="minorHAnsi" w:hAnsiTheme="minorHAnsi"/>
          <w:color w:val="auto"/>
          <w:szCs w:val="24"/>
        </w:rPr>
        <w:t>laritin</w:t>
      </w:r>
      <w:proofErr w:type="spellEnd"/>
      <w:r w:rsidR="00463307">
        <w:rPr>
          <w:rFonts w:asciiTheme="minorHAnsi" w:hAnsiTheme="minorHAnsi"/>
          <w:color w:val="auto"/>
          <w:szCs w:val="24"/>
        </w:rPr>
        <w:t xml:space="preserve">.  A </w:t>
      </w:r>
      <w:r w:rsidR="00775A53">
        <w:rPr>
          <w:rFonts w:asciiTheme="minorHAnsi" w:hAnsiTheme="minorHAnsi"/>
          <w:color w:val="auto"/>
          <w:szCs w:val="24"/>
        </w:rPr>
        <w:t xml:space="preserve">milder </w:t>
      </w:r>
      <w:r w:rsidR="00463307">
        <w:rPr>
          <w:rFonts w:asciiTheme="minorHAnsi" w:hAnsiTheme="minorHAnsi"/>
          <w:color w:val="auto"/>
          <w:szCs w:val="24"/>
        </w:rPr>
        <w:t xml:space="preserve">sixth episode </w:t>
      </w:r>
      <w:r w:rsidR="00775A53">
        <w:rPr>
          <w:rFonts w:asciiTheme="minorHAnsi" w:hAnsiTheme="minorHAnsi"/>
          <w:color w:val="auto"/>
          <w:szCs w:val="24"/>
        </w:rPr>
        <w:t xml:space="preserve">occurred </w:t>
      </w:r>
      <w:r w:rsidR="00463307">
        <w:rPr>
          <w:rFonts w:asciiTheme="minorHAnsi" w:hAnsiTheme="minorHAnsi"/>
          <w:color w:val="auto"/>
          <w:szCs w:val="24"/>
        </w:rPr>
        <w:t>i</w:t>
      </w:r>
      <w:r w:rsidR="00775A53">
        <w:rPr>
          <w:rFonts w:asciiTheme="minorHAnsi" w:hAnsiTheme="minorHAnsi"/>
          <w:color w:val="auto"/>
          <w:szCs w:val="24"/>
        </w:rPr>
        <w:t>n Mar</w:t>
      </w:r>
      <w:r w:rsidR="00291047">
        <w:rPr>
          <w:rFonts w:asciiTheme="minorHAnsi" w:hAnsiTheme="minorHAnsi"/>
          <w:color w:val="auto"/>
          <w:szCs w:val="24"/>
        </w:rPr>
        <w:t>ch</w:t>
      </w:r>
      <w:r w:rsidR="00775A53">
        <w:rPr>
          <w:rFonts w:asciiTheme="minorHAnsi" w:hAnsiTheme="minorHAnsi"/>
          <w:color w:val="auto"/>
          <w:szCs w:val="24"/>
        </w:rPr>
        <w:t xml:space="preserve"> 2004, and she</w:t>
      </w:r>
      <w:r w:rsidR="00463307">
        <w:rPr>
          <w:rFonts w:asciiTheme="minorHAnsi" w:hAnsiTheme="minorHAnsi"/>
          <w:color w:val="auto"/>
          <w:szCs w:val="24"/>
        </w:rPr>
        <w:t xml:space="preserve"> </w:t>
      </w:r>
      <w:r w:rsidR="00FC199D">
        <w:rPr>
          <w:rFonts w:asciiTheme="minorHAnsi" w:hAnsiTheme="minorHAnsi"/>
          <w:color w:val="auto"/>
          <w:szCs w:val="24"/>
        </w:rPr>
        <w:t xml:space="preserve">was </w:t>
      </w:r>
      <w:r w:rsidR="00463307">
        <w:rPr>
          <w:rFonts w:asciiTheme="minorHAnsi" w:hAnsiTheme="minorHAnsi"/>
          <w:color w:val="auto"/>
          <w:szCs w:val="24"/>
        </w:rPr>
        <w:t xml:space="preserve">treated with </w:t>
      </w:r>
      <w:proofErr w:type="spellStart"/>
      <w:r w:rsidR="00291047">
        <w:rPr>
          <w:rFonts w:asciiTheme="minorHAnsi" w:hAnsiTheme="minorHAnsi"/>
          <w:color w:val="auto"/>
          <w:szCs w:val="24"/>
        </w:rPr>
        <w:t>b</w:t>
      </w:r>
      <w:r w:rsidR="00463307">
        <w:rPr>
          <w:rFonts w:asciiTheme="minorHAnsi" w:hAnsiTheme="minorHAnsi"/>
          <w:color w:val="auto"/>
          <w:szCs w:val="24"/>
        </w:rPr>
        <w:t>enadryl</w:t>
      </w:r>
      <w:proofErr w:type="spellEnd"/>
      <w:r w:rsidR="00463307">
        <w:rPr>
          <w:rFonts w:asciiTheme="minorHAnsi" w:hAnsiTheme="minorHAnsi"/>
          <w:color w:val="auto"/>
          <w:szCs w:val="24"/>
        </w:rPr>
        <w:t xml:space="preserve"> and </w:t>
      </w:r>
      <w:proofErr w:type="spellStart"/>
      <w:r w:rsidR="00291047">
        <w:rPr>
          <w:rFonts w:asciiTheme="minorHAnsi" w:hAnsiTheme="minorHAnsi"/>
          <w:color w:val="auto"/>
          <w:szCs w:val="24"/>
        </w:rPr>
        <w:t>z</w:t>
      </w:r>
      <w:r w:rsidR="00463307">
        <w:rPr>
          <w:rFonts w:asciiTheme="minorHAnsi" w:hAnsiTheme="minorHAnsi"/>
          <w:color w:val="auto"/>
          <w:szCs w:val="24"/>
        </w:rPr>
        <w:t>antac</w:t>
      </w:r>
      <w:proofErr w:type="spellEnd"/>
      <w:r w:rsidR="00463307">
        <w:rPr>
          <w:rFonts w:asciiTheme="minorHAnsi" w:hAnsiTheme="minorHAnsi"/>
          <w:color w:val="auto"/>
          <w:szCs w:val="24"/>
        </w:rPr>
        <w:t>.</w:t>
      </w:r>
      <w:r w:rsidR="00A323C9">
        <w:rPr>
          <w:rFonts w:asciiTheme="minorHAnsi" w:hAnsiTheme="minorHAnsi"/>
          <w:color w:val="auto"/>
          <w:szCs w:val="24"/>
        </w:rPr>
        <w:t xml:space="preserve">  </w:t>
      </w:r>
      <w:r w:rsidR="00775A53">
        <w:rPr>
          <w:rFonts w:asciiTheme="minorHAnsi" w:hAnsiTheme="minorHAnsi"/>
          <w:color w:val="auto"/>
          <w:szCs w:val="24"/>
        </w:rPr>
        <w:t>The CI underwent an extensive evaluation by</w:t>
      </w:r>
      <w:r w:rsidR="00A323C9">
        <w:rPr>
          <w:rFonts w:asciiTheme="minorHAnsi" w:hAnsiTheme="minorHAnsi"/>
          <w:color w:val="auto"/>
          <w:szCs w:val="24"/>
        </w:rPr>
        <w:t xml:space="preserve"> the </w:t>
      </w:r>
      <w:r w:rsidR="00291047">
        <w:rPr>
          <w:rFonts w:asciiTheme="minorHAnsi" w:hAnsiTheme="minorHAnsi"/>
          <w:color w:val="auto"/>
          <w:szCs w:val="24"/>
        </w:rPr>
        <w:t xml:space="preserve">allergy and immunology service </w:t>
      </w:r>
      <w:r w:rsidR="00A323C9">
        <w:rPr>
          <w:rFonts w:asciiTheme="minorHAnsi" w:hAnsiTheme="minorHAnsi"/>
          <w:color w:val="auto"/>
          <w:szCs w:val="24"/>
        </w:rPr>
        <w:t xml:space="preserve">at </w:t>
      </w:r>
      <w:proofErr w:type="spellStart"/>
      <w:r w:rsidR="00A323C9">
        <w:rPr>
          <w:rFonts w:asciiTheme="minorHAnsi" w:hAnsiTheme="minorHAnsi"/>
          <w:color w:val="auto"/>
          <w:szCs w:val="24"/>
        </w:rPr>
        <w:t>Wilford</w:t>
      </w:r>
      <w:proofErr w:type="spellEnd"/>
      <w:r w:rsidR="00A323C9">
        <w:rPr>
          <w:rFonts w:asciiTheme="minorHAnsi" w:hAnsiTheme="minorHAnsi"/>
          <w:color w:val="auto"/>
          <w:szCs w:val="24"/>
        </w:rPr>
        <w:t xml:space="preserve"> Hall Medical Center and </w:t>
      </w:r>
      <w:r w:rsidR="00FC199D">
        <w:rPr>
          <w:rFonts w:asciiTheme="minorHAnsi" w:hAnsiTheme="minorHAnsi"/>
          <w:color w:val="auto"/>
          <w:szCs w:val="24"/>
        </w:rPr>
        <w:t xml:space="preserve">she </w:t>
      </w:r>
      <w:r w:rsidR="00A323C9">
        <w:rPr>
          <w:rFonts w:asciiTheme="minorHAnsi" w:hAnsiTheme="minorHAnsi"/>
          <w:color w:val="auto"/>
          <w:szCs w:val="24"/>
        </w:rPr>
        <w:t>was diagnosed with mild, intermittent asthma; exercise-induced anaphylaxis</w:t>
      </w:r>
      <w:r w:rsidR="00291047">
        <w:rPr>
          <w:rFonts w:asciiTheme="minorHAnsi" w:hAnsiTheme="minorHAnsi"/>
          <w:color w:val="auto"/>
          <w:szCs w:val="24"/>
        </w:rPr>
        <w:t>,</w:t>
      </w:r>
      <w:r w:rsidR="00A323C9">
        <w:rPr>
          <w:rFonts w:asciiTheme="minorHAnsi" w:hAnsiTheme="minorHAnsi"/>
          <w:color w:val="auto"/>
          <w:szCs w:val="24"/>
        </w:rPr>
        <w:t xml:space="preserve"> and allergic rhinitis.</w:t>
      </w:r>
      <w:r w:rsidR="00463307">
        <w:rPr>
          <w:rFonts w:asciiTheme="minorHAnsi" w:hAnsiTheme="minorHAnsi"/>
          <w:color w:val="auto"/>
          <w:szCs w:val="24"/>
        </w:rPr>
        <w:t xml:space="preserve">  </w:t>
      </w:r>
      <w:r w:rsidR="00A323C9">
        <w:rPr>
          <w:rFonts w:asciiTheme="minorHAnsi" w:hAnsiTheme="minorHAnsi"/>
          <w:color w:val="auto"/>
          <w:szCs w:val="24"/>
        </w:rPr>
        <w:t xml:space="preserve">A P4T profile was issued and she was referred to </w:t>
      </w:r>
      <w:r w:rsidR="00FC199D">
        <w:rPr>
          <w:rFonts w:asciiTheme="minorHAnsi" w:hAnsiTheme="minorHAnsi"/>
          <w:color w:val="auto"/>
          <w:szCs w:val="24"/>
        </w:rPr>
        <w:t xml:space="preserve">a </w:t>
      </w:r>
      <w:r w:rsidR="00A323C9">
        <w:rPr>
          <w:rFonts w:asciiTheme="minorHAnsi" w:hAnsiTheme="minorHAnsi"/>
          <w:color w:val="auto"/>
          <w:szCs w:val="24"/>
        </w:rPr>
        <w:t>MEB.</w:t>
      </w:r>
      <w:r w:rsidR="006641D0">
        <w:rPr>
          <w:rFonts w:asciiTheme="minorHAnsi" w:hAnsiTheme="minorHAnsi"/>
          <w:color w:val="auto"/>
          <w:szCs w:val="24"/>
        </w:rPr>
        <w:t xml:space="preserve">  </w:t>
      </w:r>
      <w:r w:rsidR="00463307" w:rsidRPr="006641D0">
        <w:rPr>
          <w:rFonts w:asciiTheme="minorHAnsi" w:hAnsiTheme="minorHAnsi"/>
          <w:color w:val="auto"/>
          <w:szCs w:val="24"/>
        </w:rPr>
        <w:t>At the time of the NARSUM</w:t>
      </w:r>
      <w:r w:rsidR="00291047">
        <w:rPr>
          <w:rFonts w:asciiTheme="minorHAnsi" w:hAnsiTheme="minorHAnsi"/>
          <w:color w:val="auto"/>
          <w:szCs w:val="24"/>
        </w:rPr>
        <w:t xml:space="preserve"> on</w:t>
      </w:r>
      <w:r w:rsidR="00A323C9" w:rsidRPr="006641D0">
        <w:rPr>
          <w:rFonts w:asciiTheme="minorHAnsi" w:hAnsiTheme="minorHAnsi"/>
          <w:color w:val="auto"/>
          <w:szCs w:val="24"/>
        </w:rPr>
        <w:t xml:space="preserve"> </w:t>
      </w:r>
      <w:r w:rsidR="00D3495D" w:rsidRPr="006641D0">
        <w:rPr>
          <w:rFonts w:asciiTheme="minorHAnsi" w:hAnsiTheme="minorHAnsi"/>
          <w:color w:val="auto"/>
          <w:szCs w:val="24"/>
        </w:rPr>
        <w:t>27 Sep</w:t>
      </w:r>
      <w:r w:rsidR="00291047">
        <w:rPr>
          <w:rFonts w:asciiTheme="minorHAnsi" w:hAnsiTheme="minorHAnsi"/>
          <w:color w:val="auto"/>
          <w:szCs w:val="24"/>
        </w:rPr>
        <w:t>tember</w:t>
      </w:r>
      <w:r w:rsidR="00D3495D" w:rsidRPr="006641D0">
        <w:rPr>
          <w:rFonts w:asciiTheme="minorHAnsi" w:hAnsiTheme="minorHAnsi"/>
          <w:color w:val="auto"/>
          <w:szCs w:val="24"/>
        </w:rPr>
        <w:t xml:space="preserve"> </w:t>
      </w:r>
      <w:r w:rsidR="00A323C9" w:rsidRPr="006641D0">
        <w:rPr>
          <w:rFonts w:asciiTheme="minorHAnsi" w:hAnsiTheme="minorHAnsi"/>
          <w:color w:val="auto"/>
          <w:szCs w:val="24"/>
        </w:rPr>
        <w:t>2004, over six months before separation</w:t>
      </w:r>
      <w:r w:rsidR="00463307" w:rsidRPr="006641D0">
        <w:rPr>
          <w:rFonts w:asciiTheme="minorHAnsi" w:hAnsiTheme="minorHAnsi"/>
          <w:color w:val="auto"/>
          <w:szCs w:val="24"/>
        </w:rPr>
        <w:t>, she was noted to have had multiple</w:t>
      </w:r>
      <w:r w:rsidR="002E0A05" w:rsidRPr="006641D0">
        <w:rPr>
          <w:rFonts w:asciiTheme="minorHAnsi" w:hAnsiTheme="minorHAnsi"/>
          <w:color w:val="auto"/>
          <w:szCs w:val="24"/>
        </w:rPr>
        <w:t>,</w:t>
      </w:r>
      <w:r w:rsidR="00463307" w:rsidRPr="006641D0">
        <w:rPr>
          <w:rFonts w:asciiTheme="minorHAnsi" w:hAnsiTheme="minorHAnsi"/>
          <w:color w:val="auto"/>
          <w:szCs w:val="24"/>
        </w:rPr>
        <w:t xml:space="preserve"> normal pulmonary function tests (PFTs), a positive histamine challenge test, </w:t>
      </w:r>
      <w:r w:rsidR="00775A53" w:rsidRPr="006641D0">
        <w:rPr>
          <w:rFonts w:asciiTheme="minorHAnsi" w:hAnsiTheme="minorHAnsi"/>
          <w:color w:val="auto"/>
          <w:szCs w:val="24"/>
        </w:rPr>
        <w:t>a normal chest x-r</w:t>
      </w:r>
      <w:r w:rsidR="00A323C9" w:rsidRPr="006641D0">
        <w:rPr>
          <w:rFonts w:asciiTheme="minorHAnsi" w:hAnsiTheme="minorHAnsi"/>
          <w:color w:val="auto"/>
          <w:szCs w:val="24"/>
        </w:rPr>
        <w:t>ay, clear lung sounds</w:t>
      </w:r>
      <w:r w:rsidR="00FC199D">
        <w:rPr>
          <w:rFonts w:asciiTheme="minorHAnsi" w:hAnsiTheme="minorHAnsi"/>
          <w:color w:val="auto"/>
          <w:szCs w:val="24"/>
        </w:rPr>
        <w:t>,</w:t>
      </w:r>
      <w:r w:rsidR="00A323C9" w:rsidRPr="006641D0">
        <w:rPr>
          <w:rFonts w:asciiTheme="minorHAnsi" w:hAnsiTheme="minorHAnsi"/>
          <w:color w:val="auto"/>
          <w:szCs w:val="24"/>
        </w:rPr>
        <w:t xml:space="preserve"> and </w:t>
      </w:r>
      <w:proofErr w:type="spellStart"/>
      <w:r w:rsidR="00A323C9" w:rsidRPr="006641D0">
        <w:rPr>
          <w:rFonts w:asciiTheme="minorHAnsi" w:hAnsiTheme="minorHAnsi"/>
          <w:color w:val="auto"/>
          <w:szCs w:val="24"/>
        </w:rPr>
        <w:t>dermatographism</w:t>
      </w:r>
      <w:proofErr w:type="spellEnd"/>
      <w:r w:rsidR="00A323C9" w:rsidRPr="006641D0">
        <w:rPr>
          <w:rFonts w:asciiTheme="minorHAnsi" w:hAnsiTheme="minorHAnsi"/>
          <w:color w:val="auto"/>
          <w:szCs w:val="24"/>
        </w:rPr>
        <w:t xml:space="preserve">.  </w:t>
      </w:r>
      <w:r w:rsidR="00D3495D" w:rsidRPr="006641D0">
        <w:rPr>
          <w:rFonts w:asciiTheme="minorHAnsi" w:hAnsiTheme="minorHAnsi"/>
          <w:color w:val="auto"/>
          <w:szCs w:val="24"/>
        </w:rPr>
        <w:t xml:space="preserve">Skin testing was positive for multiple allergens.  </w:t>
      </w:r>
      <w:r w:rsidR="00A323C9" w:rsidRPr="006641D0">
        <w:rPr>
          <w:rFonts w:ascii="Calibri" w:eastAsia="HiddenHorzOCR" w:hAnsi="Calibri"/>
          <w:color w:val="auto"/>
          <w:szCs w:val="24"/>
        </w:rPr>
        <w:t xml:space="preserve">Symptoms included congestion, </w:t>
      </w:r>
      <w:proofErr w:type="spellStart"/>
      <w:r w:rsidR="00A323C9" w:rsidRPr="006641D0">
        <w:rPr>
          <w:rFonts w:ascii="Calibri" w:eastAsia="HiddenHorzOCR" w:hAnsi="Calibri"/>
          <w:color w:val="auto"/>
          <w:szCs w:val="24"/>
        </w:rPr>
        <w:t>rhinorrhea</w:t>
      </w:r>
      <w:proofErr w:type="spellEnd"/>
      <w:r w:rsidR="00A323C9" w:rsidRPr="006641D0">
        <w:rPr>
          <w:rFonts w:ascii="Calibri" w:eastAsia="HiddenHorzOCR" w:hAnsi="Calibri"/>
          <w:color w:val="auto"/>
          <w:szCs w:val="24"/>
        </w:rPr>
        <w:t>, sneezing, wheezing at night and with exercise</w:t>
      </w:r>
      <w:r w:rsidR="002E0A05" w:rsidRPr="006641D0">
        <w:rPr>
          <w:rFonts w:ascii="Calibri" w:eastAsia="HiddenHorzOCR" w:hAnsi="Calibri"/>
          <w:color w:val="auto"/>
          <w:szCs w:val="24"/>
        </w:rPr>
        <w:t>,</w:t>
      </w:r>
      <w:r w:rsidR="00A323C9" w:rsidRPr="006641D0">
        <w:rPr>
          <w:rFonts w:ascii="Calibri" w:eastAsia="HiddenHorzOCR" w:hAnsi="Calibri"/>
          <w:color w:val="auto"/>
          <w:szCs w:val="24"/>
        </w:rPr>
        <w:t xml:space="preserve"> and watery eyes.  She used an </w:t>
      </w:r>
      <w:proofErr w:type="spellStart"/>
      <w:r w:rsidR="00291047">
        <w:rPr>
          <w:rFonts w:ascii="Calibri" w:eastAsia="HiddenHorzOCR" w:hAnsi="Calibri"/>
          <w:color w:val="auto"/>
          <w:szCs w:val="24"/>
        </w:rPr>
        <w:t>a</w:t>
      </w:r>
      <w:r w:rsidR="00A323C9" w:rsidRPr="006641D0">
        <w:rPr>
          <w:rFonts w:ascii="Calibri" w:eastAsia="HiddenHorzOCR" w:hAnsi="Calibri"/>
          <w:color w:val="auto"/>
          <w:szCs w:val="24"/>
        </w:rPr>
        <w:t>lbuterol</w:t>
      </w:r>
      <w:proofErr w:type="spellEnd"/>
      <w:r w:rsidR="00A323C9" w:rsidRPr="006641D0">
        <w:rPr>
          <w:rFonts w:ascii="Calibri" w:eastAsia="HiddenHorzOCR" w:hAnsi="Calibri"/>
          <w:color w:val="auto"/>
          <w:szCs w:val="24"/>
        </w:rPr>
        <w:t xml:space="preserve"> </w:t>
      </w:r>
      <w:r w:rsidR="00291047">
        <w:rPr>
          <w:rFonts w:ascii="Calibri" w:eastAsia="HiddenHorzOCR" w:hAnsi="Calibri"/>
          <w:color w:val="auto"/>
          <w:szCs w:val="24"/>
        </w:rPr>
        <w:t>metered dose inhaler</w:t>
      </w:r>
      <w:r w:rsidR="00A323C9" w:rsidRPr="006641D0">
        <w:rPr>
          <w:rFonts w:ascii="Calibri" w:eastAsia="HiddenHorzOCR" w:hAnsi="Calibri"/>
          <w:color w:val="auto"/>
          <w:szCs w:val="24"/>
        </w:rPr>
        <w:t xml:space="preserve"> once </w:t>
      </w:r>
      <w:r w:rsidR="00E971D0" w:rsidRPr="006641D0">
        <w:rPr>
          <w:rFonts w:ascii="Calibri" w:eastAsia="HiddenHorzOCR" w:hAnsi="Calibri"/>
          <w:color w:val="auto"/>
          <w:szCs w:val="24"/>
        </w:rPr>
        <w:t>per approximately</w:t>
      </w:r>
      <w:r w:rsidR="00A323C9" w:rsidRPr="006641D0">
        <w:rPr>
          <w:rFonts w:ascii="Calibri" w:eastAsia="HiddenHorzOCR" w:hAnsi="Calibri"/>
          <w:color w:val="auto"/>
          <w:szCs w:val="24"/>
        </w:rPr>
        <w:t xml:space="preserve"> three months</w:t>
      </w:r>
      <w:r w:rsidR="00775A53" w:rsidRPr="006641D0">
        <w:rPr>
          <w:rFonts w:ascii="Calibri" w:eastAsia="HiddenHorzOCR" w:hAnsi="Calibri"/>
          <w:color w:val="auto"/>
          <w:szCs w:val="24"/>
        </w:rPr>
        <w:t>,</w:t>
      </w:r>
      <w:r w:rsidR="00A323C9" w:rsidRPr="006641D0">
        <w:rPr>
          <w:rFonts w:ascii="Calibri" w:eastAsia="HiddenHorzOCR" w:hAnsi="Calibri"/>
          <w:color w:val="auto"/>
          <w:szCs w:val="24"/>
        </w:rPr>
        <w:t xml:space="preserve"> and was </w:t>
      </w:r>
      <w:r w:rsidR="00775A53" w:rsidRPr="006641D0">
        <w:rPr>
          <w:rFonts w:ascii="Calibri" w:eastAsia="HiddenHorzOCR" w:hAnsi="Calibri"/>
          <w:color w:val="auto"/>
          <w:szCs w:val="24"/>
        </w:rPr>
        <w:t>not on daily asthma</w:t>
      </w:r>
      <w:r w:rsidR="00A323C9" w:rsidRPr="006641D0">
        <w:rPr>
          <w:rFonts w:ascii="Calibri" w:eastAsia="HiddenHorzOCR" w:hAnsi="Calibri"/>
          <w:color w:val="auto"/>
          <w:szCs w:val="24"/>
        </w:rPr>
        <w:t xml:space="preserve"> medications.  An </w:t>
      </w:r>
      <w:proofErr w:type="spellStart"/>
      <w:r w:rsidR="00A323C9" w:rsidRPr="006641D0">
        <w:rPr>
          <w:rFonts w:ascii="Calibri" w:eastAsia="HiddenHorzOCR" w:hAnsi="Calibri"/>
          <w:color w:val="auto"/>
          <w:szCs w:val="24"/>
        </w:rPr>
        <w:t>EpiPen</w:t>
      </w:r>
      <w:proofErr w:type="spellEnd"/>
      <w:r w:rsidR="00A323C9" w:rsidRPr="006641D0">
        <w:rPr>
          <w:rFonts w:ascii="Calibri" w:eastAsia="HiddenHorzOCR" w:hAnsi="Calibri"/>
          <w:color w:val="auto"/>
          <w:szCs w:val="24"/>
        </w:rPr>
        <w:t xml:space="preserve"> </w:t>
      </w:r>
      <w:r w:rsidR="00FC199D">
        <w:rPr>
          <w:rFonts w:ascii="Calibri" w:eastAsia="HiddenHorzOCR" w:hAnsi="Calibri"/>
          <w:color w:val="auto"/>
          <w:szCs w:val="24"/>
        </w:rPr>
        <w:t>was</w:t>
      </w:r>
      <w:r w:rsidR="00A323C9" w:rsidRPr="006641D0">
        <w:rPr>
          <w:rFonts w:ascii="Calibri" w:eastAsia="HiddenHorzOCR" w:hAnsi="Calibri"/>
          <w:color w:val="auto"/>
          <w:szCs w:val="24"/>
        </w:rPr>
        <w:t xml:space="preserve"> issued</w:t>
      </w:r>
      <w:r w:rsidR="00FC199D">
        <w:rPr>
          <w:rFonts w:ascii="Calibri" w:eastAsia="HiddenHorzOCR" w:hAnsi="Calibri"/>
          <w:color w:val="auto"/>
          <w:szCs w:val="24"/>
        </w:rPr>
        <w:t>,</w:t>
      </w:r>
      <w:r w:rsidR="00A323C9" w:rsidRPr="006641D0">
        <w:rPr>
          <w:rFonts w:ascii="Calibri" w:eastAsia="HiddenHorzOCR" w:hAnsi="Calibri"/>
          <w:color w:val="auto"/>
          <w:szCs w:val="24"/>
        </w:rPr>
        <w:t xml:space="preserve"> and she was </w:t>
      </w:r>
      <w:r w:rsidR="00FC199D">
        <w:rPr>
          <w:rFonts w:ascii="Calibri" w:eastAsia="HiddenHorzOCR" w:hAnsi="Calibri"/>
          <w:color w:val="auto"/>
          <w:szCs w:val="24"/>
        </w:rPr>
        <w:t>also taking</w:t>
      </w:r>
      <w:r w:rsidR="00A323C9" w:rsidRPr="006641D0">
        <w:rPr>
          <w:rFonts w:ascii="Calibri" w:eastAsia="HiddenHorzOCR" w:hAnsi="Calibri"/>
          <w:color w:val="auto"/>
          <w:szCs w:val="24"/>
        </w:rPr>
        <w:t xml:space="preserve"> </w:t>
      </w:r>
      <w:proofErr w:type="spellStart"/>
      <w:r w:rsidR="00291047">
        <w:rPr>
          <w:rFonts w:ascii="Calibri" w:eastAsia="HiddenHorzOCR" w:hAnsi="Calibri"/>
          <w:color w:val="auto"/>
          <w:szCs w:val="24"/>
        </w:rPr>
        <w:t>c</w:t>
      </w:r>
      <w:r w:rsidR="00A323C9" w:rsidRPr="006641D0">
        <w:rPr>
          <w:rFonts w:ascii="Calibri" w:eastAsia="HiddenHorzOCR" w:hAnsi="Calibri"/>
          <w:color w:val="auto"/>
          <w:szCs w:val="24"/>
        </w:rPr>
        <w:t>laritin</w:t>
      </w:r>
      <w:proofErr w:type="spellEnd"/>
      <w:r w:rsidR="00A323C9" w:rsidRPr="006641D0">
        <w:rPr>
          <w:rFonts w:ascii="Calibri" w:eastAsia="HiddenHorzOCR" w:hAnsi="Calibri"/>
          <w:color w:val="auto"/>
          <w:szCs w:val="24"/>
        </w:rPr>
        <w:t>.</w:t>
      </w:r>
      <w:r w:rsidR="006641D0">
        <w:rPr>
          <w:rFonts w:ascii="Calibri" w:eastAsia="HiddenHorzOCR" w:hAnsi="Calibri"/>
          <w:color w:val="auto"/>
          <w:szCs w:val="24"/>
        </w:rPr>
        <w:t xml:space="preserve">  </w:t>
      </w:r>
      <w:r w:rsidR="00D3495D" w:rsidRPr="006641D0">
        <w:rPr>
          <w:rFonts w:ascii="Calibri" w:eastAsia="HiddenHorzOCR" w:hAnsi="Calibri"/>
          <w:color w:val="auto"/>
          <w:szCs w:val="24"/>
        </w:rPr>
        <w:t xml:space="preserve">The VA </w:t>
      </w:r>
      <w:r w:rsidR="00291047" w:rsidRPr="006641D0">
        <w:rPr>
          <w:rFonts w:ascii="Calibri" w:eastAsia="HiddenHorzOCR" w:hAnsi="Calibri"/>
          <w:color w:val="auto"/>
          <w:szCs w:val="24"/>
        </w:rPr>
        <w:t xml:space="preserve">compensation and pension </w:t>
      </w:r>
      <w:r w:rsidR="00D3495D" w:rsidRPr="006641D0">
        <w:rPr>
          <w:rFonts w:ascii="Calibri" w:eastAsia="HiddenHorzOCR" w:hAnsi="Calibri"/>
          <w:color w:val="auto"/>
          <w:szCs w:val="24"/>
        </w:rPr>
        <w:t xml:space="preserve">(C&amp;P) exam </w:t>
      </w:r>
      <w:r w:rsidR="00775A53" w:rsidRPr="006641D0">
        <w:rPr>
          <w:rFonts w:ascii="Calibri" w:eastAsia="HiddenHorzOCR" w:hAnsi="Calibri"/>
          <w:color w:val="auto"/>
          <w:szCs w:val="24"/>
        </w:rPr>
        <w:t>(</w:t>
      </w:r>
      <w:r w:rsidR="00D3495D" w:rsidRPr="006641D0">
        <w:rPr>
          <w:rFonts w:ascii="Calibri" w:eastAsia="HiddenHorzOCR" w:hAnsi="Calibri"/>
          <w:color w:val="auto"/>
          <w:szCs w:val="24"/>
        </w:rPr>
        <w:t>14 Jun</w:t>
      </w:r>
      <w:r w:rsidR="00291047">
        <w:rPr>
          <w:rFonts w:ascii="Calibri" w:eastAsia="HiddenHorzOCR" w:hAnsi="Calibri"/>
          <w:color w:val="auto"/>
          <w:szCs w:val="24"/>
        </w:rPr>
        <w:t>e</w:t>
      </w:r>
      <w:r w:rsidR="00D3495D" w:rsidRPr="006641D0">
        <w:rPr>
          <w:rFonts w:ascii="Calibri" w:eastAsia="HiddenHorzOCR" w:hAnsi="Calibri"/>
          <w:color w:val="auto"/>
          <w:szCs w:val="24"/>
        </w:rPr>
        <w:t xml:space="preserve"> 2004</w:t>
      </w:r>
      <w:r w:rsidR="00775A53" w:rsidRPr="006641D0">
        <w:rPr>
          <w:rFonts w:ascii="Calibri" w:eastAsia="HiddenHorzOCR" w:hAnsi="Calibri"/>
          <w:color w:val="auto"/>
          <w:szCs w:val="24"/>
        </w:rPr>
        <w:t>)</w:t>
      </w:r>
      <w:r w:rsidR="00D3495D" w:rsidRPr="006641D0">
        <w:rPr>
          <w:rFonts w:ascii="Calibri" w:eastAsia="HiddenHorzOCR" w:hAnsi="Calibri"/>
          <w:color w:val="auto"/>
          <w:szCs w:val="24"/>
        </w:rPr>
        <w:t xml:space="preserve"> </w:t>
      </w:r>
      <w:r w:rsidR="00775A53" w:rsidRPr="006641D0">
        <w:rPr>
          <w:rFonts w:ascii="Calibri" w:eastAsia="HiddenHorzOCR" w:hAnsi="Calibri"/>
          <w:color w:val="auto"/>
          <w:szCs w:val="24"/>
        </w:rPr>
        <w:t xml:space="preserve">was performed </w:t>
      </w:r>
      <w:r w:rsidR="00D3495D" w:rsidRPr="006641D0">
        <w:rPr>
          <w:rFonts w:ascii="Calibri" w:eastAsia="HiddenHorzOCR" w:hAnsi="Calibri"/>
          <w:color w:val="auto"/>
          <w:szCs w:val="24"/>
        </w:rPr>
        <w:t xml:space="preserve">two months after separation.  The examiner noted that </w:t>
      </w:r>
      <w:r w:rsidR="00775A53" w:rsidRPr="006641D0">
        <w:rPr>
          <w:rFonts w:ascii="Calibri" w:eastAsia="HiddenHorzOCR" w:hAnsi="Calibri"/>
          <w:color w:val="auto"/>
          <w:szCs w:val="24"/>
        </w:rPr>
        <w:t>the CI provided</w:t>
      </w:r>
      <w:r w:rsidR="00D3495D" w:rsidRPr="006641D0">
        <w:rPr>
          <w:rFonts w:ascii="Calibri" w:eastAsia="HiddenHorzOCR" w:hAnsi="Calibri"/>
          <w:color w:val="auto"/>
          <w:szCs w:val="24"/>
        </w:rPr>
        <w:t xml:space="preserve"> a history of allergic rhinitis treated with </w:t>
      </w:r>
      <w:proofErr w:type="spellStart"/>
      <w:r w:rsidR="00291047">
        <w:rPr>
          <w:rFonts w:ascii="Calibri" w:eastAsia="HiddenHorzOCR" w:hAnsi="Calibri"/>
          <w:color w:val="auto"/>
          <w:szCs w:val="24"/>
        </w:rPr>
        <w:t>c</w:t>
      </w:r>
      <w:r w:rsidR="00D3495D" w:rsidRPr="006641D0">
        <w:rPr>
          <w:rFonts w:ascii="Calibri" w:eastAsia="HiddenHorzOCR" w:hAnsi="Calibri"/>
          <w:color w:val="auto"/>
          <w:szCs w:val="24"/>
        </w:rPr>
        <w:t>laritin</w:t>
      </w:r>
      <w:proofErr w:type="spellEnd"/>
      <w:r w:rsidR="00D3495D" w:rsidRPr="006641D0">
        <w:rPr>
          <w:rFonts w:ascii="Calibri" w:eastAsia="HiddenHorzOCR" w:hAnsi="Calibri"/>
          <w:color w:val="auto"/>
          <w:szCs w:val="24"/>
        </w:rPr>
        <w:t>, asthma treated with a</w:t>
      </w:r>
      <w:r w:rsidR="00775A53" w:rsidRPr="006641D0">
        <w:rPr>
          <w:rFonts w:ascii="Calibri" w:eastAsia="HiddenHorzOCR" w:hAnsi="Calibri"/>
          <w:color w:val="auto"/>
          <w:szCs w:val="24"/>
        </w:rPr>
        <w:t xml:space="preserve">n </w:t>
      </w:r>
      <w:proofErr w:type="spellStart"/>
      <w:r w:rsidR="00291047">
        <w:rPr>
          <w:rFonts w:ascii="Calibri" w:eastAsia="HiddenHorzOCR" w:hAnsi="Calibri"/>
          <w:color w:val="auto"/>
          <w:szCs w:val="24"/>
        </w:rPr>
        <w:t>a</w:t>
      </w:r>
      <w:r w:rsidR="00775A53" w:rsidRPr="006641D0">
        <w:rPr>
          <w:rFonts w:ascii="Calibri" w:eastAsia="HiddenHorzOCR" w:hAnsi="Calibri"/>
          <w:color w:val="auto"/>
          <w:szCs w:val="24"/>
        </w:rPr>
        <w:t>lbuterol</w:t>
      </w:r>
      <w:proofErr w:type="spellEnd"/>
      <w:r w:rsidR="00775A53" w:rsidRPr="006641D0">
        <w:rPr>
          <w:rFonts w:ascii="Calibri" w:eastAsia="HiddenHorzOCR" w:hAnsi="Calibri"/>
          <w:color w:val="auto"/>
          <w:szCs w:val="24"/>
        </w:rPr>
        <w:t xml:space="preserve"> inhaler about once per</w:t>
      </w:r>
      <w:r w:rsidR="00D3495D" w:rsidRPr="006641D0">
        <w:rPr>
          <w:rFonts w:ascii="Calibri" w:eastAsia="HiddenHorzOCR" w:hAnsi="Calibri"/>
          <w:color w:val="auto"/>
          <w:szCs w:val="24"/>
        </w:rPr>
        <w:t xml:space="preserve"> month, </w:t>
      </w:r>
      <w:r w:rsidR="00082D62" w:rsidRPr="006641D0">
        <w:rPr>
          <w:rFonts w:ascii="Calibri" w:eastAsia="HiddenHorzOCR" w:hAnsi="Calibri"/>
          <w:color w:val="auto"/>
          <w:szCs w:val="24"/>
        </w:rPr>
        <w:t>and</w:t>
      </w:r>
      <w:r w:rsidR="002E0A05" w:rsidRPr="006641D0">
        <w:rPr>
          <w:rFonts w:ascii="Calibri" w:eastAsia="HiddenHorzOCR" w:hAnsi="Calibri"/>
          <w:color w:val="auto"/>
          <w:szCs w:val="24"/>
        </w:rPr>
        <w:t xml:space="preserve"> a history of</w:t>
      </w:r>
      <w:r w:rsidR="00082D62" w:rsidRPr="006641D0">
        <w:rPr>
          <w:rFonts w:ascii="Calibri" w:eastAsia="HiddenHorzOCR" w:hAnsi="Calibri"/>
          <w:color w:val="auto"/>
          <w:szCs w:val="24"/>
        </w:rPr>
        <w:t xml:space="preserve"> </w:t>
      </w:r>
      <w:proofErr w:type="spellStart"/>
      <w:r w:rsidR="00082D62" w:rsidRPr="006641D0">
        <w:rPr>
          <w:rFonts w:ascii="Calibri" w:eastAsia="HiddenHorzOCR" w:hAnsi="Calibri"/>
          <w:color w:val="auto"/>
          <w:szCs w:val="24"/>
        </w:rPr>
        <w:t>urticaria</w:t>
      </w:r>
      <w:proofErr w:type="spellEnd"/>
      <w:r w:rsidR="00082D62" w:rsidRPr="006641D0">
        <w:rPr>
          <w:rFonts w:ascii="Calibri" w:eastAsia="HiddenHorzOCR" w:hAnsi="Calibri"/>
          <w:color w:val="auto"/>
          <w:szCs w:val="24"/>
        </w:rPr>
        <w:t xml:space="preserve"> with global itching and rash.  She denied hospitalizations or ER visits for her asthma.  On physical exam, no rash was noted, her lungs were clear and no abnormalities of the nose or mouth were noted other than a ser</w:t>
      </w:r>
      <w:r w:rsidR="00291047">
        <w:rPr>
          <w:rFonts w:ascii="Calibri" w:eastAsia="HiddenHorzOCR" w:hAnsi="Calibri"/>
          <w:color w:val="auto"/>
          <w:szCs w:val="24"/>
        </w:rPr>
        <w:t>i</w:t>
      </w:r>
      <w:r w:rsidR="00082D62" w:rsidRPr="006641D0">
        <w:rPr>
          <w:rFonts w:ascii="Calibri" w:eastAsia="HiddenHorzOCR" w:hAnsi="Calibri"/>
          <w:color w:val="auto"/>
          <w:szCs w:val="24"/>
        </w:rPr>
        <w:t xml:space="preserve">ous discharge.  </w:t>
      </w:r>
      <w:r w:rsidR="00082D62" w:rsidRPr="006641D0">
        <w:rPr>
          <w:rFonts w:asciiTheme="minorHAnsi" w:hAnsiTheme="minorHAnsi"/>
          <w:color w:val="auto"/>
          <w:szCs w:val="24"/>
        </w:rPr>
        <w:t xml:space="preserve">The FPEB coded the </w:t>
      </w:r>
      <w:proofErr w:type="spellStart"/>
      <w:r w:rsidR="00082D62" w:rsidRPr="006641D0">
        <w:rPr>
          <w:rFonts w:asciiTheme="minorHAnsi" w:hAnsiTheme="minorHAnsi"/>
          <w:color w:val="auto"/>
          <w:szCs w:val="24"/>
        </w:rPr>
        <w:t>urticaria</w:t>
      </w:r>
      <w:proofErr w:type="spellEnd"/>
      <w:r w:rsidR="00082D62" w:rsidRPr="006641D0">
        <w:rPr>
          <w:rFonts w:asciiTheme="minorHAnsi" w:hAnsiTheme="minorHAnsi"/>
          <w:color w:val="auto"/>
          <w:szCs w:val="24"/>
        </w:rPr>
        <w:t xml:space="preserve"> as 7825, </w:t>
      </w:r>
      <w:proofErr w:type="spellStart"/>
      <w:r w:rsidR="00422A67" w:rsidRPr="006641D0">
        <w:rPr>
          <w:rFonts w:asciiTheme="minorHAnsi" w:hAnsiTheme="minorHAnsi"/>
          <w:color w:val="auto"/>
          <w:szCs w:val="24"/>
        </w:rPr>
        <w:t>urticaria</w:t>
      </w:r>
      <w:proofErr w:type="spellEnd"/>
      <w:r w:rsidR="00082D62" w:rsidRPr="006641D0">
        <w:rPr>
          <w:rFonts w:asciiTheme="minorHAnsi" w:hAnsiTheme="minorHAnsi"/>
          <w:color w:val="auto"/>
          <w:szCs w:val="24"/>
        </w:rPr>
        <w:t xml:space="preserve">, rated at 10%.  The VA coded </w:t>
      </w:r>
      <w:r w:rsidR="00E971D0" w:rsidRPr="006641D0">
        <w:rPr>
          <w:rFonts w:asciiTheme="minorHAnsi" w:hAnsiTheme="minorHAnsi"/>
          <w:color w:val="auto"/>
          <w:szCs w:val="24"/>
        </w:rPr>
        <w:t>the condition as</w:t>
      </w:r>
      <w:r w:rsidR="00082D62" w:rsidRPr="006641D0">
        <w:rPr>
          <w:rFonts w:asciiTheme="minorHAnsi" w:hAnsiTheme="minorHAnsi"/>
          <w:color w:val="auto"/>
          <w:szCs w:val="24"/>
        </w:rPr>
        <w:t xml:space="preserve"> 7899-7806, </w:t>
      </w:r>
      <w:r w:rsidR="00422A67" w:rsidRPr="006641D0">
        <w:rPr>
          <w:rFonts w:asciiTheme="minorHAnsi" w:hAnsiTheme="minorHAnsi"/>
          <w:color w:val="auto"/>
          <w:szCs w:val="24"/>
        </w:rPr>
        <w:t>analogous to dermatitis or eczema</w:t>
      </w:r>
      <w:r w:rsidR="00082D62" w:rsidRPr="006641D0">
        <w:rPr>
          <w:rFonts w:asciiTheme="minorHAnsi" w:hAnsiTheme="minorHAnsi"/>
          <w:color w:val="auto"/>
          <w:szCs w:val="24"/>
        </w:rPr>
        <w:t xml:space="preserve">, and </w:t>
      </w:r>
      <w:r w:rsidR="006645DE" w:rsidRPr="006641D0">
        <w:rPr>
          <w:rFonts w:asciiTheme="minorHAnsi" w:hAnsiTheme="minorHAnsi"/>
          <w:color w:val="auto"/>
          <w:szCs w:val="24"/>
        </w:rPr>
        <w:t>considered</w:t>
      </w:r>
      <w:r w:rsidR="00CD2323" w:rsidRPr="006641D0">
        <w:rPr>
          <w:rFonts w:asciiTheme="minorHAnsi" w:hAnsiTheme="minorHAnsi"/>
          <w:color w:val="auto"/>
          <w:szCs w:val="24"/>
        </w:rPr>
        <w:t xml:space="preserve"> </w:t>
      </w:r>
      <w:r w:rsidR="00082D62" w:rsidRPr="006641D0">
        <w:rPr>
          <w:rFonts w:asciiTheme="minorHAnsi" w:hAnsiTheme="minorHAnsi"/>
          <w:color w:val="auto"/>
          <w:szCs w:val="24"/>
        </w:rPr>
        <w:t xml:space="preserve">it to be non-service connected as she had no signs or symptoms at the time of the C&amp;P exam.  </w:t>
      </w:r>
      <w:r w:rsidR="00FC199D">
        <w:rPr>
          <w:rFonts w:asciiTheme="minorHAnsi" w:hAnsiTheme="minorHAnsi"/>
          <w:color w:val="auto"/>
          <w:szCs w:val="24"/>
        </w:rPr>
        <w:t xml:space="preserve">The Board noted that she </w:t>
      </w:r>
      <w:r w:rsidR="00422A67" w:rsidRPr="006641D0">
        <w:rPr>
          <w:rFonts w:asciiTheme="minorHAnsi" w:hAnsiTheme="minorHAnsi"/>
          <w:color w:val="auto"/>
          <w:szCs w:val="24"/>
        </w:rPr>
        <w:t xml:space="preserve">was asymptomatic at the time of the NARSUM; </w:t>
      </w:r>
      <w:r w:rsidR="00FC199D">
        <w:rPr>
          <w:rFonts w:asciiTheme="minorHAnsi" w:hAnsiTheme="minorHAnsi"/>
          <w:color w:val="auto"/>
          <w:szCs w:val="24"/>
        </w:rPr>
        <w:t xml:space="preserve">and </w:t>
      </w:r>
      <w:r w:rsidR="00422A67" w:rsidRPr="006641D0">
        <w:rPr>
          <w:rFonts w:asciiTheme="minorHAnsi" w:hAnsiTheme="minorHAnsi"/>
          <w:color w:val="auto"/>
          <w:szCs w:val="24"/>
        </w:rPr>
        <w:t>that</w:t>
      </w:r>
      <w:r w:rsidR="00291047">
        <w:rPr>
          <w:rFonts w:asciiTheme="minorHAnsi" w:hAnsiTheme="minorHAnsi"/>
          <w:color w:val="auto"/>
          <w:szCs w:val="24"/>
        </w:rPr>
        <w:t>,</w:t>
      </w:r>
      <w:r w:rsidR="00422A67" w:rsidRPr="006641D0">
        <w:rPr>
          <w:rFonts w:asciiTheme="minorHAnsi" w:hAnsiTheme="minorHAnsi"/>
          <w:color w:val="auto"/>
          <w:szCs w:val="24"/>
        </w:rPr>
        <w:t xml:space="preserve"> while her episodes were triggered by exercise, she </w:t>
      </w:r>
      <w:r w:rsidR="002E0A05" w:rsidRPr="006641D0">
        <w:rPr>
          <w:rFonts w:asciiTheme="minorHAnsi" w:hAnsiTheme="minorHAnsi"/>
          <w:color w:val="auto"/>
          <w:szCs w:val="24"/>
        </w:rPr>
        <w:t>neither</w:t>
      </w:r>
      <w:r w:rsidR="00422A67" w:rsidRPr="006641D0">
        <w:rPr>
          <w:rFonts w:asciiTheme="minorHAnsi" w:hAnsiTheme="minorHAnsi"/>
          <w:color w:val="auto"/>
          <w:szCs w:val="24"/>
        </w:rPr>
        <w:t xml:space="preserve"> had any further episodes despite participation in physical training as an instructor</w:t>
      </w:r>
      <w:r w:rsidR="002E0A05" w:rsidRPr="006641D0">
        <w:rPr>
          <w:rFonts w:asciiTheme="minorHAnsi" w:hAnsiTheme="minorHAnsi"/>
          <w:color w:val="auto"/>
          <w:szCs w:val="24"/>
        </w:rPr>
        <w:t xml:space="preserve"> nor were any episodes documented in the </w:t>
      </w:r>
      <w:r w:rsidR="00775A53" w:rsidRPr="006641D0">
        <w:rPr>
          <w:rFonts w:asciiTheme="minorHAnsi" w:hAnsiTheme="minorHAnsi"/>
          <w:color w:val="auto"/>
          <w:szCs w:val="24"/>
        </w:rPr>
        <w:t>final</w:t>
      </w:r>
      <w:r w:rsidR="002E0A05" w:rsidRPr="006641D0">
        <w:rPr>
          <w:rFonts w:asciiTheme="minorHAnsi" w:hAnsiTheme="minorHAnsi"/>
          <w:color w:val="auto"/>
          <w:szCs w:val="24"/>
        </w:rPr>
        <w:t xml:space="preserve"> 12 months of </w:t>
      </w:r>
      <w:r w:rsidR="00291047" w:rsidRPr="006641D0">
        <w:rPr>
          <w:rFonts w:asciiTheme="minorHAnsi" w:hAnsiTheme="minorHAnsi"/>
          <w:color w:val="auto"/>
          <w:szCs w:val="24"/>
        </w:rPr>
        <w:t>active duty</w:t>
      </w:r>
      <w:r w:rsidR="00CD2323" w:rsidRPr="006641D0">
        <w:rPr>
          <w:rFonts w:asciiTheme="minorHAnsi" w:hAnsiTheme="minorHAnsi"/>
          <w:color w:val="auto"/>
          <w:szCs w:val="24"/>
        </w:rPr>
        <w:t>.</w:t>
      </w:r>
      <w:r w:rsidR="00291047">
        <w:rPr>
          <w:rFonts w:asciiTheme="minorHAnsi" w:hAnsiTheme="minorHAnsi"/>
          <w:color w:val="auto"/>
          <w:szCs w:val="24"/>
        </w:rPr>
        <w:t xml:space="preserve"> </w:t>
      </w:r>
      <w:r w:rsidR="00CD2323" w:rsidRPr="006641D0">
        <w:rPr>
          <w:rFonts w:asciiTheme="minorHAnsi" w:hAnsiTheme="minorHAnsi"/>
          <w:color w:val="auto"/>
          <w:szCs w:val="24"/>
        </w:rPr>
        <w:t xml:space="preserve"> Based upon the lack of episodes during the last twelve months of service</w:t>
      </w:r>
      <w:r w:rsidR="00291047">
        <w:rPr>
          <w:rFonts w:asciiTheme="minorHAnsi" w:hAnsiTheme="minorHAnsi"/>
          <w:color w:val="auto"/>
          <w:szCs w:val="24"/>
        </w:rPr>
        <w:t>,</w:t>
      </w:r>
      <w:r w:rsidR="00CD2323" w:rsidRPr="006641D0">
        <w:rPr>
          <w:rFonts w:asciiTheme="minorHAnsi" w:hAnsiTheme="minorHAnsi"/>
          <w:color w:val="auto"/>
          <w:szCs w:val="24"/>
        </w:rPr>
        <w:t xml:space="preserve"> the Board considered the appropriate rating to </w:t>
      </w:r>
      <w:r w:rsidR="00FC199D">
        <w:rPr>
          <w:rFonts w:asciiTheme="minorHAnsi" w:hAnsiTheme="minorHAnsi"/>
          <w:color w:val="auto"/>
          <w:szCs w:val="24"/>
        </w:rPr>
        <w:t>be 0% at the time of separation.</w:t>
      </w:r>
      <w:r w:rsidR="00CD2323" w:rsidRPr="006641D0">
        <w:rPr>
          <w:rFonts w:asciiTheme="minorHAnsi" w:hAnsiTheme="minorHAnsi"/>
          <w:color w:val="auto"/>
          <w:szCs w:val="24"/>
        </w:rPr>
        <w:t xml:space="preserve"> </w:t>
      </w:r>
      <w:r w:rsidR="00FC199D">
        <w:rPr>
          <w:rFonts w:asciiTheme="minorHAnsi" w:hAnsiTheme="minorHAnsi"/>
          <w:color w:val="auto"/>
          <w:szCs w:val="24"/>
        </w:rPr>
        <w:t xml:space="preserve"> H</w:t>
      </w:r>
      <w:r w:rsidR="00CD2323" w:rsidRPr="006641D0">
        <w:rPr>
          <w:rFonts w:asciiTheme="minorHAnsi" w:hAnsiTheme="minorHAnsi"/>
          <w:color w:val="auto"/>
          <w:szCs w:val="24"/>
        </w:rPr>
        <w:t xml:space="preserve">owever, by precedent the Board does not lower ratings granted by the PEB.  </w:t>
      </w:r>
      <w:r w:rsidR="00422A67" w:rsidRPr="006641D0">
        <w:rPr>
          <w:rFonts w:asciiTheme="minorHAnsi" w:hAnsiTheme="minorHAnsi" w:cstheme="minorHAnsi"/>
          <w:color w:val="auto"/>
          <w:szCs w:val="24"/>
        </w:rPr>
        <w:t>After due deliberation</w:t>
      </w:r>
      <w:r w:rsidR="00242C0F" w:rsidRPr="006641D0">
        <w:rPr>
          <w:rFonts w:asciiTheme="minorHAnsi" w:hAnsiTheme="minorHAnsi" w:cstheme="minorHAnsi"/>
          <w:color w:val="auto"/>
          <w:szCs w:val="24"/>
        </w:rPr>
        <w:t xml:space="preserve"> and </w:t>
      </w:r>
      <w:r w:rsidR="00422A67" w:rsidRPr="006641D0">
        <w:rPr>
          <w:rFonts w:asciiTheme="minorHAnsi" w:hAnsiTheme="minorHAnsi" w:cstheme="minorHAnsi"/>
          <w:color w:val="auto"/>
          <w:szCs w:val="24"/>
        </w:rPr>
        <w:t xml:space="preserve">in consideration of the totality of the evidence, the Board concluded that there was insufficient cause to recommend a change from the PEB adjudication for the </w:t>
      </w:r>
      <w:proofErr w:type="spellStart"/>
      <w:r w:rsidR="00F9367B" w:rsidRPr="006641D0">
        <w:rPr>
          <w:rFonts w:asciiTheme="minorHAnsi" w:hAnsiTheme="minorHAnsi" w:cstheme="minorHAnsi"/>
          <w:color w:val="auto"/>
          <w:szCs w:val="24"/>
        </w:rPr>
        <w:t>urticaria</w:t>
      </w:r>
      <w:proofErr w:type="spellEnd"/>
      <w:r w:rsidR="00422A67" w:rsidRPr="006641D0">
        <w:rPr>
          <w:rFonts w:asciiTheme="minorHAnsi" w:hAnsiTheme="minorHAnsi" w:cstheme="minorHAnsi"/>
          <w:color w:val="auto"/>
          <w:szCs w:val="24"/>
        </w:rPr>
        <w:t xml:space="preserve"> condition.</w:t>
      </w:r>
    </w:p>
    <w:p w:rsidR="00054D8D" w:rsidRDefault="00054D8D" w:rsidP="002C6E5B">
      <w:pPr>
        <w:tabs>
          <w:tab w:val="left" w:pos="288"/>
          <w:tab w:val="left" w:pos="4752"/>
        </w:tabs>
        <w:spacing w:line="240" w:lineRule="exact"/>
        <w:rPr>
          <w:rFonts w:asciiTheme="minorHAnsi" w:hAnsiTheme="minorHAnsi"/>
          <w:color w:val="auto"/>
          <w:szCs w:val="24"/>
        </w:rPr>
      </w:pPr>
    </w:p>
    <w:p w:rsidR="005C31FF" w:rsidRPr="00E92B9A" w:rsidRDefault="007818C0" w:rsidP="005C31FF">
      <w:pPr>
        <w:spacing w:line="240" w:lineRule="exact"/>
        <w:jc w:val="both"/>
        <w:rPr>
          <w:rFonts w:asciiTheme="minorHAnsi" w:hAnsiTheme="minorHAnsi" w:cstheme="minorHAnsi"/>
          <w:color w:val="auto"/>
          <w:szCs w:val="24"/>
        </w:rPr>
      </w:pPr>
      <w:proofErr w:type="gramStart"/>
      <w:r w:rsidRPr="007818C0">
        <w:rPr>
          <w:rFonts w:ascii="Calibri" w:eastAsia="HiddenHorzOCR" w:hAnsi="Calibri"/>
          <w:color w:val="auto"/>
          <w:szCs w:val="24"/>
          <w:u w:val="single"/>
        </w:rPr>
        <w:t>Other PEB Conditions</w:t>
      </w:r>
      <w:r w:rsidR="00291047">
        <w:rPr>
          <w:rFonts w:ascii="Calibri" w:eastAsia="HiddenHorzOCR" w:hAnsi="Calibri"/>
          <w:color w:val="auto"/>
          <w:szCs w:val="24"/>
          <w:u w:val="single"/>
        </w:rPr>
        <w:t>.</w:t>
      </w:r>
      <w:proofErr w:type="gramEnd"/>
      <w:r w:rsidR="00F9367B">
        <w:rPr>
          <w:rFonts w:ascii="Calibri" w:eastAsia="HiddenHorzOCR" w:hAnsi="Calibri"/>
          <w:color w:val="auto"/>
          <w:szCs w:val="24"/>
        </w:rPr>
        <w:t xml:space="preserve">  </w:t>
      </w:r>
      <w:r w:rsidR="00E92B9A" w:rsidRPr="00E92B9A">
        <w:rPr>
          <w:rFonts w:asciiTheme="minorHAnsi" w:hAnsiTheme="minorHAnsi" w:cstheme="minorHAnsi"/>
          <w:color w:val="auto"/>
          <w:szCs w:val="24"/>
        </w:rPr>
        <w:t>Asthma was</w:t>
      </w:r>
      <w:r w:rsidR="005C31FF" w:rsidRPr="00E92B9A">
        <w:rPr>
          <w:rFonts w:asciiTheme="minorHAnsi" w:hAnsiTheme="minorHAnsi" w:cstheme="minorHAnsi"/>
          <w:color w:val="auto"/>
          <w:szCs w:val="24"/>
        </w:rPr>
        <w:t xml:space="preserve"> forwarded by the MEB and adjudicated as not unfitti</w:t>
      </w:r>
      <w:r w:rsidR="00E92B9A" w:rsidRPr="00E92B9A">
        <w:rPr>
          <w:rFonts w:asciiTheme="minorHAnsi" w:hAnsiTheme="minorHAnsi" w:cstheme="minorHAnsi"/>
          <w:color w:val="auto"/>
          <w:szCs w:val="24"/>
        </w:rPr>
        <w:t>ng by the PEB</w:t>
      </w:r>
      <w:r w:rsidR="005C31FF" w:rsidRPr="00E92B9A">
        <w:rPr>
          <w:rFonts w:asciiTheme="minorHAnsi" w:hAnsiTheme="minorHAnsi" w:cstheme="minorHAnsi"/>
          <w:color w:val="auto"/>
          <w:szCs w:val="24"/>
        </w:rPr>
        <w:t xml:space="preserve">.  </w:t>
      </w:r>
      <w:r w:rsidR="00E92B9A" w:rsidRPr="00E92B9A">
        <w:rPr>
          <w:rFonts w:asciiTheme="minorHAnsi" w:hAnsiTheme="minorHAnsi" w:cstheme="minorHAnsi"/>
          <w:color w:val="auto"/>
          <w:szCs w:val="24"/>
        </w:rPr>
        <w:t>It was n</w:t>
      </w:r>
      <w:r w:rsidR="00E92B9A">
        <w:rPr>
          <w:rFonts w:asciiTheme="minorHAnsi" w:hAnsiTheme="minorHAnsi" w:cstheme="minorHAnsi"/>
          <w:color w:val="auto"/>
          <w:szCs w:val="24"/>
        </w:rPr>
        <w:t>ot</w:t>
      </w:r>
      <w:r w:rsidR="005C31FF" w:rsidRPr="00E92B9A">
        <w:rPr>
          <w:rFonts w:asciiTheme="minorHAnsi" w:hAnsiTheme="minorHAnsi" w:cstheme="minorHAnsi"/>
          <w:color w:val="auto"/>
          <w:szCs w:val="24"/>
        </w:rPr>
        <w:t xml:space="preserve"> profiled, </w:t>
      </w:r>
      <w:r w:rsidR="00FC199D">
        <w:rPr>
          <w:rFonts w:asciiTheme="minorHAnsi" w:hAnsiTheme="minorHAnsi" w:cstheme="minorHAnsi"/>
          <w:color w:val="auto"/>
          <w:szCs w:val="24"/>
        </w:rPr>
        <w:t xml:space="preserve">was not </w:t>
      </w:r>
      <w:r w:rsidR="005C31FF" w:rsidRPr="00E92B9A">
        <w:rPr>
          <w:rFonts w:asciiTheme="minorHAnsi" w:hAnsiTheme="minorHAnsi" w:cstheme="minorHAnsi"/>
          <w:color w:val="auto"/>
          <w:szCs w:val="24"/>
        </w:rPr>
        <w:t xml:space="preserve">implicated in the </w:t>
      </w:r>
      <w:r w:rsidR="0085675D">
        <w:rPr>
          <w:rFonts w:asciiTheme="minorHAnsi" w:hAnsiTheme="minorHAnsi" w:cstheme="minorHAnsi"/>
          <w:color w:val="auto"/>
          <w:szCs w:val="24"/>
        </w:rPr>
        <w:t>c</w:t>
      </w:r>
      <w:r w:rsidR="005C31FF" w:rsidRPr="00E92B9A">
        <w:rPr>
          <w:rFonts w:asciiTheme="minorHAnsi" w:hAnsiTheme="minorHAnsi" w:cstheme="minorHAnsi"/>
          <w:color w:val="auto"/>
          <w:szCs w:val="24"/>
        </w:rPr>
        <w:t>ommander’s statement</w:t>
      </w:r>
      <w:r w:rsidR="00FC199D">
        <w:rPr>
          <w:rFonts w:asciiTheme="minorHAnsi" w:hAnsiTheme="minorHAnsi" w:cstheme="minorHAnsi"/>
          <w:color w:val="auto"/>
          <w:szCs w:val="24"/>
        </w:rPr>
        <w:t>,</w:t>
      </w:r>
      <w:r w:rsidR="005C31FF" w:rsidRPr="00E92B9A">
        <w:rPr>
          <w:rFonts w:asciiTheme="minorHAnsi" w:hAnsiTheme="minorHAnsi" w:cstheme="minorHAnsi"/>
          <w:color w:val="auto"/>
          <w:szCs w:val="24"/>
        </w:rPr>
        <w:t xml:space="preserve"> </w:t>
      </w:r>
      <w:r w:rsidR="00E92B9A" w:rsidRPr="00E92B9A">
        <w:rPr>
          <w:rFonts w:asciiTheme="minorHAnsi" w:hAnsiTheme="minorHAnsi" w:cstheme="minorHAnsi"/>
          <w:color w:val="auto"/>
          <w:szCs w:val="24"/>
        </w:rPr>
        <w:t>n</w:t>
      </w:r>
      <w:r w:rsidR="005C31FF" w:rsidRPr="00E92B9A">
        <w:rPr>
          <w:rFonts w:asciiTheme="minorHAnsi" w:hAnsiTheme="minorHAnsi" w:cstheme="minorHAnsi"/>
          <w:color w:val="auto"/>
          <w:szCs w:val="24"/>
        </w:rPr>
        <w:t xml:space="preserve">or </w:t>
      </w:r>
      <w:r w:rsidR="00FC199D">
        <w:rPr>
          <w:rFonts w:asciiTheme="minorHAnsi" w:hAnsiTheme="minorHAnsi" w:cstheme="minorHAnsi"/>
          <w:color w:val="auto"/>
          <w:szCs w:val="24"/>
        </w:rPr>
        <w:t xml:space="preserve">was it </w:t>
      </w:r>
      <w:r w:rsidR="005C31FF" w:rsidRPr="00E92B9A">
        <w:rPr>
          <w:rFonts w:asciiTheme="minorHAnsi" w:hAnsiTheme="minorHAnsi" w:cstheme="minorHAnsi"/>
          <w:color w:val="auto"/>
          <w:szCs w:val="24"/>
        </w:rPr>
        <w:t xml:space="preserve">noted as failing retention standards.  </w:t>
      </w:r>
      <w:r w:rsidR="00FC199D">
        <w:rPr>
          <w:rFonts w:asciiTheme="minorHAnsi" w:hAnsiTheme="minorHAnsi" w:cstheme="minorHAnsi"/>
          <w:color w:val="auto"/>
          <w:szCs w:val="24"/>
        </w:rPr>
        <w:t>The condition</w:t>
      </w:r>
      <w:r w:rsidR="00E92B9A" w:rsidRPr="00E92B9A">
        <w:rPr>
          <w:rFonts w:asciiTheme="minorHAnsi" w:hAnsiTheme="minorHAnsi" w:cstheme="minorHAnsi"/>
          <w:color w:val="auto"/>
          <w:szCs w:val="24"/>
        </w:rPr>
        <w:t xml:space="preserve"> was</w:t>
      </w:r>
      <w:r w:rsidR="005C31FF" w:rsidRPr="00E92B9A">
        <w:rPr>
          <w:rFonts w:asciiTheme="minorHAnsi" w:hAnsiTheme="minorHAnsi" w:cstheme="minorHAnsi"/>
          <w:color w:val="auto"/>
          <w:szCs w:val="24"/>
        </w:rPr>
        <w:t xml:space="preserve"> reviewed by the </w:t>
      </w:r>
      <w:r w:rsidR="0085675D" w:rsidRPr="00E92B9A">
        <w:rPr>
          <w:rFonts w:asciiTheme="minorHAnsi" w:hAnsiTheme="minorHAnsi" w:cstheme="minorHAnsi"/>
          <w:color w:val="auto"/>
          <w:szCs w:val="24"/>
        </w:rPr>
        <w:t xml:space="preserve">action officer </w:t>
      </w:r>
      <w:r w:rsidR="005C31FF" w:rsidRPr="00E92B9A">
        <w:rPr>
          <w:rFonts w:asciiTheme="minorHAnsi" w:hAnsiTheme="minorHAnsi" w:cstheme="minorHAnsi"/>
          <w:color w:val="auto"/>
          <w:szCs w:val="24"/>
        </w:rPr>
        <w:t xml:space="preserve">and considered by the Board.  There was no indication from the record that </w:t>
      </w:r>
      <w:r w:rsidR="00E92B9A">
        <w:rPr>
          <w:rFonts w:asciiTheme="minorHAnsi" w:hAnsiTheme="minorHAnsi" w:cstheme="minorHAnsi"/>
          <w:color w:val="auto"/>
          <w:szCs w:val="24"/>
        </w:rPr>
        <w:t>it</w:t>
      </w:r>
      <w:r w:rsidR="005C31FF" w:rsidRPr="00E92B9A">
        <w:rPr>
          <w:rFonts w:asciiTheme="minorHAnsi" w:hAnsiTheme="minorHAnsi" w:cstheme="minorHAnsi"/>
          <w:color w:val="auto"/>
          <w:szCs w:val="24"/>
        </w:rPr>
        <w:t xml:space="preserve"> significantly interfered with satisfactory performance of </w:t>
      </w:r>
      <w:r w:rsidR="00E92B9A">
        <w:rPr>
          <w:rFonts w:asciiTheme="minorHAnsi" w:hAnsiTheme="minorHAnsi" w:cstheme="minorHAnsi"/>
          <w:color w:val="auto"/>
          <w:szCs w:val="24"/>
        </w:rPr>
        <w:t>AFS</w:t>
      </w:r>
      <w:r w:rsidR="005C31FF" w:rsidRPr="00E92B9A">
        <w:rPr>
          <w:rFonts w:asciiTheme="minorHAnsi" w:hAnsiTheme="minorHAnsi" w:cstheme="minorHAnsi"/>
          <w:color w:val="auto"/>
          <w:szCs w:val="24"/>
        </w:rPr>
        <w:t xml:space="preserve"> requirements.  </w:t>
      </w:r>
      <w:r w:rsidR="00E92B9A">
        <w:rPr>
          <w:rFonts w:ascii="Calibri" w:eastAsia="HiddenHorzOCR" w:hAnsi="Calibri"/>
          <w:color w:val="auto"/>
          <w:szCs w:val="24"/>
        </w:rPr>
        <w:t>P</w:t>
      </w:r>
      <w:r w:rsidR="0085675D">
        <w:rPr>
          <w:rFonts w:ascii="Calibri" w:eastAsia="HiddenHorzOCR" w:hAnsi="Calibri"/>
          <w:color w:val="auto"/>
          <w:szCs w:val="24"/>
        </w:rPr>
        <w:t>FTs</w:t>
      </w:r>
      <w:r w:rsidR="00E92B9A">
        <w:rPr>
          <w:rFonts w:ascii="Calibri" w:eastAsia="HiddenHorzOCR" w:hAnsi="Calibri"/>
          <w:color w:val="auto"/>
          <w:szCs w:val="24"/>
        </w:rPr>
        <w:t xml:space="preserve"> were normal and the use of medications was intermittent.  There were no hospitalizations nor were there ER visits specific for the asthma condition.  </w:t>
      </w:r>
      <w:r w:rsidR="005C31FF" w:rsidRPr="00E92B9A">
        <w:rPr>
          <w:rFonts w:asciiTheme="minorHAnsi" w:hAnsiTheme="minorHAnsi" w:cstheme="minorHAnsi"/>
          <w:color w:val="auto"/>
          <w:szCs w:val="24"/>
        </w:rPr>
        <w:t>All ev</w:t>
      </w:r>
      <w:r w:rsidR="00FC199D">
        <w:rPr>
          <w:rFonts w:asciiTheme="minorHAnsi" w:hAnsiTheme="minorHAnsi" w:cstheme="minorHAnsi"/>
          <w:color w:val="auto"/>
          <w:szCs w:val="24"/>
        </w:rPr>
        <w:t>idence considered</w:t>
      </w:r>
      <w:proofErr w:type="gramStart"/>
      <w:r w:rsidR="00FC199D">
        <w:rPr>
          <w:rFonts w:asciiTheme="minorHAnsi" w:hAnsiTheme="minorHAnsi" w:cstheme="minorHAnsi"/>
          <w:color w:val="auto"/>
          <w:szCs w:val="24"/>
        </w:rPr>
        <w:t>,</w:t>
      </w:r>
      <w:proofErr w:type="gramEnd"/>
      <w:r w:rsidR="00FC199D">
        <w:rPr>
          <w:rFonts w:asciiTheme="minorHAnsi" w:hAnsiTheme="minorHAnsi" w:cstheme="minorHAnsi"/>
          <w:color w:val="auto"/>
          <w:szCs w:val="24"/>
        </w:rPr>
        <w:t xml:space="preserve"> there is no evidence </w:t>
      </w:r>
      <w:r w:rsidR="005C31FF" w:rsidRPr="00E92B9A">
        <w:rPr>
          <w:rFonts w:asciiTheme="minorHAnsi" w:hAnsiTheme="minorHAnsi" w:cstheme="minorHAnsi"/>
          <w:color w:val="auto"/>
          <w:szCs w:val="24"/>
        </w:rPr>
        <w:t xml:space="preserve">in the CI’s favor supporting recharacterization of the PEB fitness adjudication for any of the stated conditions.  </w:t>
      </w:r>
    </w:p>
    <w:p w:rsidR="007818C0" w:rsidRPr="00CD2323" w:rsidRDefault="007E2BA1" w:rsidP="00CD2323">
      <w:pPr>
        <w:tabs>
          <w:tab w:val="left" w:pos="3233"/>
        </w:tabs>
        <w:spacing w:line="240" w:lineRule="exact"/>
        <w:jc w:val="both"/>
        <w:rPr>
          <w:rFonts w:ascii="Calibri" w:eastAsia="HiddenHorzOCR" w:hAnsi="Calibri"/>
          <w:color w:val="auto"/>
          <w:szCs w:val="24"/>
        </w:rPr>
      </w:pPr>
      <w:r>
        <w:rPr>
          <w:rFonts w:ascii="Calibri" w:eastAsia="HiddenHorzOCR" w:hAnsi="Calibri"/>
          <w:color w:val="auto"/>
          <w:szCs w:val="24"/>
        </w:rPr>
        <w:tab/>
      </w:r>
    </w:p>
    <w:p w:rsidR="00173AF5" w:rsidRDefault="007818C0" w:rsidP="00173AF5">
      <w:pPr>
        <w:spacing w:line="240" w:lineRule="exact"/>
        <w:jc w:val="both"/>
        <w:rPr>
          <w:rFonts w:asciiTheme="minorHAnsi" w:hAnsiTheme="minorHAnsi"/>
          <w:color w:val="auto"/>
          <w:szCs w:val="24"/>
        </w:rPr>
      </w:pPr>
      <w:proofErr w:type="gramStart"/>
      <w:r w:rsidRPr="007818C0">
        <w:rPr>
          <w:rFonts w:ascii="Calibri" w:hAnsi="Calibri"/>
          <w:color w:val="auto"/>
          <w:szCs w:val="24"/>
          <w:u w:val="single"/>
        </w:rPr>
        <w:t>Remaining Conditions</w:t>
      </w:r>
      <w:r w:rsidR="0085675D">
        <w:rPr>
          <w:rFonts w:ascii="Calibri" w:hAnsi="Calibri"/>
          <w:color w:val="auto"/>
          <w:szCs w:val="24"/>
          <w:u w:val="single"/>
        </w:rPr>
        <w:t>.</w:t>
      </w:r>
      <w:proofErr w:type="gramEnd"/>
      <w:r w:rsidR="00A323C9">
        <w:rPr>
          <w:rFonts w:ascii="Calibri" w:hAnsi="Calibri"/>
          <w:color w:val="auto"/>
          <w:szCs w:val="24"/>
        </w:rPr>
        <w:t xml:space="preserve">  O</w:t>
      </w:r>
      <w:r w:rsidR="00B56FE2">
        <w:rPr>
          <w:rFonts w:ascii="Calibri" w:hAnsi="Calibri"/>
          <w:color w:val="auto"/>
          <w:szCs w:val="24"/>
        </w:rPr>
        <w:t xml:space="preserve">ther conditions </w:t>
      </w:r>
      <w:r w:rsidRPr="007818C0">
        <w:rPr>
          <w:rFonts w:ascii="Calibri" w:hAnsi="Calibri"/>
          <w:color w:val="auto"/>
          <w:szCs w:val="24"/>
        </w:rPr>
        <w:t>identified in the D</w:t>
      </w:r>
      <w:r w:rsidR="0085675D">
        <w:rPr>
          <w:rFonts w:ascii="Calibri" w:hAnsi="Calibri"/>
          <w:color w:val="auto"/>
          <w:szCs w:val="24"/>
        </w:rPr>
        <w:t>isability Evaluation System (D</w:t>
      </w:r>
      <w:r w:rsidRPr="007818C0">
        <w:rPr>
          <w:rFonts w:ascii="Calibri" w:hAnsi="Calibri"/>
          <w:color w:val="auto"/>
          <w:szCs w:val="24"/>
        </w:rPr>
        <w:t>ES</w:t>
      </w:r>
      <w:r w:rsidR="0085675D">
        <w:rPr>
          <w:rFonts w:ascii="Calibri" w:hAnsi="Calibri"/>
          <w:color w:val="auto"/>
          <w:szCs w:val="24"/>
        </w:rPr>
        <w:t>)</w:t>
      </w:r>
      <w:r w:rsidRPr="007818C0">
        <w:rPr>
          <w:rFonts w:ascii="Calibri" w:hAnsi="Calibri"/>
          <w:color w:val="auto"/>
          <w:szCs w:val="24"/>
        </w:rPr>
        <w:t xml:space="preserve"> file</w:t>
      </w:r>
      <w:r w:rsidR="00A323C9">
        <w:rPr>
          <w:rFonts w:ascii="Calibri" w:hAnsi="Calibri"/>
          <w:color w:val="auto"/>
          <w:szCs w:val="24"/>
        </w:rPr>
        <w:t xml:space="preserve"> include allergic rhinitis, cervical dysplasia, and migraine headaches</w:t>
      </w:r>
      <w:r w:rsidR="00F9367B">
        <w:rPr>
          <w:rFonts w:ascii="Calibri" w:hAnsi="Calibri"/>
          <w:color w:val="auto"/>
          <w:szCs w:val="24"/>
        </w:rPr>
        <w:t>.</w:t>
      </w:r>
      <w:r w:rsidRPr="007818C0">
        <w:rPr>
          <w:rFonts w:ascii="Calibri" w:hAnsi="Calibri"/>
          <w:color w:val="auto"/>
          <w:szCs w:val="24"/>
        </w:rPr>
        <w:t xml:space="preserve">  </w:t>
      </w:r>
      <w:r w:rsidR="00F9367B" w:rsidRPr="00F6196E">
        <w:rPr>
          <w:rFonts w:asciiTheme="minorHAnsi" w:hAnsiTheme="minorHAnsi"/>
          <w:color w:val="auto"/>
          <w:szCs w:val="24"/>
        </w:rPr>
        <w:t>Several additional non-acute conditions or medical complaints were also documented</w:t>
      </w:r>
      <w:r w:rsidR="00F9367B" w:rsidRPr="00F9367B">
        <w:rPr>
          <w:rFonts w:asciiTheme="minorHAnsi" w:hAnsiTheme="minorHAnsi"/>
          <w:color w:val="auto"/>
          <w:szCs w:val="24"/>
        </w:rPr>
        <w:t>.  None of these conditions were clinically significant during the MEB period, none carried attached profiles or were the bas</w:t>
      </w:r>
      <w:r w:rsidR="0085675D">
        <w:rPr>
          <w:rFonts w:asciiTheme="minorHAnsi" w:hAnsiTheme="minorHAnsi"/>
          <w:color w:val="auto"/>
          <w:szCs w:val="24"/>
        </w:rPr>
        <w:t>i</w:t>
      </w:r>
      <w:r w:rsidR="00F9367B" w:rsidRPr="00F9367B">
        <w:rPr>
          <w:rFonts w:asciiTheme="minorHAnsi" w:hAnsiTheme="minorHAnsi"/>
          <w:color w:val="auto"/>
          <w:szCs w:val="24"/>
        </w:rPr>
        <w:t xml:space="preserve">s for limited duty and none were implicated in the </w:t>
      </w:r>
      <w:r w:rsidR="0085675D">
        <w:rPr>
          <w:rFonts w:asciiTheme="minorHAnsi" w:hAnsiTheme="minorHAnsi"/>
          <w:color w:val="auto"/>
          <w:szCs w:val="24"/>
        </w:rPr>
        <w:t>commander’s s</w:t>
      </w:r>
      <w:r w:rsidR="0085675D" w:rsidRPr="00F9367B">
        <w:rPr>
          <w:rFonts w:asciiTheme="minorHAnsi" w:hAnsiTheme="minorHAnsi"/>
          <w:color w:val="auto"/>
          <w:szCs w:val="24"/>
        </w:rPr>
        <w:t>tatement</w:t>
      </w:r>
      <w:r w:rsidR="00F9367B" w:rsidRPr="00F9367B">
        <w:rPr>
          <w:rFonts w:asciiTheme="minorHAnsi" w:hAnsiTheme="minorHAnsi"/>
          <w:color w:val="auto"/>
          <w:szCs w:val="24"/>
        </w:rPr>
        <w:t>.</w:t>
      </w:r>
      <w:r w:rsidR="00F9367B" w:rsidRPr="00F6196E">
        <w:rPr>
          <w:rFonts w:asciiTheme="minorHAnsi" w:hAnsiTheme="minorHAnsi"/>
          <w:color w:val="auto"/>
          <w:szCs w:val="24"/>
        </w:rPr>
        <w:t xml:space="preserve">  These conditions were reviewed by the </w:t>
      </w:r>
      <w:r w:rsidR="0085675D">
        <w:rPr>
          <w:rFonts w:asciiTheme="minorHAnsi" w:hAnsiTheme="minorHAnsi"/>
          <w:color w:val="auto"/>
          <w:szCs w:val="24"/>
        </w:rPr>
        <w:t>action officer</w:t>
      </w:r>
      <w:r w:rsidR="0085675D" w:rsidRPr="00F6196E">
        <w:rPr>
          <w:rFonts w:asciiTheme="minorHAnsi" w:hAnsiTheme="minorHAnsi"/>
          <w:color w:val="auto"/>
          <w:szCs w:val="24"/>
        </w:rPr>
        <w:t xml:space="preserve"> </w:t>
      </w:r>
      <w:r w:rsidR="00F9367B" w:rsidRPr="00F6196E">
        <w:rPr>
          <w:rFonts w:asciiTheme="minorHAnsi" w:hAnsiTheme="minorHAnsi"/>
          <w:color w:val="auto"/>
          <w:szCs w:val="24"/>
        </w:rPr>
        <w:t xml:space="preserve">and considered by the Board.  It was determined that none could be argued as unfitting and subject to separation rating.  </w:t>
      </w:r>
      <w:r w:rsidR="00173AF5" w:rsidRPr="00711350">
        <w:rPr>
          <w:rFonts w:asciiTheme="minorHAnsi" w:hAnsiTheme="minorHAnsi"/>
          <w:color w:val="auto"/>
          <w:szCs w:val="24"/>
        </w:rPr>
        <w:t>Additionally</w:t>
      </w:r>
      <w:r w:rsidR="002E0A05">
        <w:rPr>
          <w:rFonts w:asciiTheme="minorHAnsi" w:hAnsiTheme="minorHAnsi"/>
          <w:color w:val="auto"/>
          <w:szCs w:val="24"/>
        </w:rPr>
        <w:t>,</w:t>
      </w:r>
      <w:r w:rsidR="00173AF5" w:rsidRPr="00711350">
        <w:rPr>
          <w:rFonts w:asciiTheme="minorHAnsi" w:hAnsiTheme="minorHAnsi"/>
          <w:color w:val="auto"/>
          <w:szCs w:val="24"/>
        </w:rPr>
        <w:t xml:space="preserve"> </w:t>
      </w:r>
      <w:r w:rsidR="00F9367B">
        <w:rPr>
          <w:rFonts w:asciiTheme="minorHAnsi" w:hAnsiTheme="minorHAnsi"/>
          <w:color w:val="auto"/>
          <w:szCs w:val="24"/>
        </w:rPr>
        <w:t xml:space="preserve">gastroesophageal reflux disease, irritable bowel syndrome, </w:t>
      </w:r>
      <w:proofErr w:type="spellStart"/>
      <w:r w:rsidR="00F9367B">
        <w:rPr>
          <w:rFonts w:asciiTheme="minorHAnsi" w:hAnsiTheme="minorHAnsi"/>
          <w:color w:val="auto"/>
          <w:szCs w:val="24"/>
        </w:rPr>
        <w:t>onychomychosis</w:t>
      </w:r>
      <w:proofErr w:type="spellEnd"/>
      <w:r w:rsidR="00F9367B">
        <w:rPr>
          <w:rFonts w:asciiTheme="minorHAnsi" w:hAnsiTheme="minorHAnsi"/>
          <w:color w:val="auto"/>
          <w:szCs w:val="24"/>
        </w:rPr>
        <w:t xml:space="preserve"> </w:t>
      </w:r>
      <w:r w:rsidR="00173AF5" w:rsidRPr="00711350">
        <w:rPr>
          <w:rFonts w:asciiTheme="minorHAnsi" w:hAnsiTheme="minorHAnsi"/>
          <w:color w:val="auto"/>
          <w:szCs w:val="24"/>
        </w:rPr>
        <w:t xml:space="preserve">and several other non-acute conditions were noted in the VA rating decision proximal to separation, but were not documented in the DES file.  </w:t>
      </w:r>
      <w:r w:rsidR="005C31FF">
        <w:rPr>
          <w:rFonts w:asciiTheme="minorHAnsi" w:hAnsiTheme="minorHAnsi"/>
          <w:color w:val="auto"/>
          <w:szCs w:val="24"/>
        </w:rPr>
        <w:t>The Board also noted</w:t>
      </w:r>
      <w:r w:rsidR="00F9367B">
        <w:rPr>
          <w:rFonts w:asciiTheme="minorHAnsi" w:hAnsiTheme="minorHAnsi"/>
          <w:color w:val="auto"/>
          <w:szCs w:val="24"/>
        </w:rPr>
        <w:t xml:space="preserve"> that the VA considered low back pain at a subsequent review</w:t>
      </w:r>
      <w:r w:rsidR="00C50EA2">
        <w:rPr>
          <w:rFonts w:asciiTheme="minorHAnsi" w:hAnsiTheme="minorHAnsi"/>
          <w:color w:val="auto"/>
          <w:szCs w:val="24"/>
        </w:rPr>
        <w:t xml:space="preserve"> </w:t>
      </w:r>
      <w:r w:rsidR="0085675D">
        <w:rPr>
          <w:rFonts w:asciiTheme="minorHAnsi" w:hAnsiTheme="minorHAnsi"/>
          <w:color w:val="auto"/>
          <w:szCs w:val="24"/>
        </w:rPr>
        <w:t xml:space="preserve">on </w:t>
      </w:r>
      <w:r w:rsidR="00C50EA2">
        <w:rPr>
          <w:rFonts w:asciiTheme="minorHAnsi" w:hAnsiTheme="minorHAnsi"/>
          <w:color w:val="auto"/>
          <w:szCs w:val="24"/>
        </w:rPr>
        <w:t>8 Nov</w:t>
      </w:r>
      <w:r w:rsidR="0085675D">
        <w:rPr>
          <w:rFonts w:asciiTheme="minorHAnsi" w:hAnsiTheme="minorHAnsi"/>
          <w:color w:val="auto"/>
          <w:szCs w:val="24"/>
        </w:rPr>
        <w:t>ember</w:t>
      </w:r>
      <w:r w:rsidR="00C50EA2">
        <w:rPr>
          <w:rFonts w:asciiTheme="minorHAnsi" w:hAnsiTheme="minorHAnsi"/>
          <w:color w:val="auto"/>
          <w:szCs w:val="24"/>
        </w:rPr>
        <w:t xml:space="preserve"> 2006, nineteen months after separation.  </w:t>
      </w:r>
      <w:r w:rsidR="00173AF5" w:rsidRPr="00711350">
        <w:rPr>
          <w:rFonts w:asciiTheme="minorHAnsi" w:hAnsiTheme="minorHAnsi"/>
          <w:color w:val="auto"/>
          <w:szCs w:val="24"/>
        </w:rPr>
        <w:t xml:space="preserve">The Board does not have the authority under DoDI 6040.44 to render fitness or rating recommendations for any conditions not </w:t>
      </w:r>
      <w:r w:rsidR="00173AF5" w:rsidRPr="00711350">
        <w:rPr>
          <w:rFonts w:asciiTheme="minorHAnsi" w:hAnsiTheme="minorHAnsi"/>
          <w:color w:val="auto"/>
          <w:szCs w:val="24"/>
        </w:rPr>
        <w:lastRenderedPageBreak/>
        <w:t>considered by the DES.</w:t>
      </w:r>
      <w:r w:rsidR="00173AF5">
        <w:rPr>
          <w:rFonts w:asciiTheme="minorHAnsi" w:hAnsiTheme="minorHAnsi"/>
          <w:color w:val="auto"/>
          <w:szCs w:val="24"/>
        </w:rPr>
        <w:t xml:space="preserve">  </w:t>
      </w:r>
      <w:r w:rsidR="00173AF5" w:rsidRPr="00B56F3D">
        <w:rPr>
          <w:rFonts w:asciiTheme="minorHAnsi" w:hAnsiTheme="minorHAnsi"/>
          <w:color w:val="auto"/>
          <w:szCs w:val="24"/>
        </w:rPr>
        <w:t>The Boa</w:t>
      </w:r>
      <w:r w:rsidR="00B56FE2">
        <w:rPr>
          <w:rFonts w:asciiTheme="minorHAnsi" w:hAnsiTheme="minorHAnsi"/>
          <w:color w:val="auto"/>
          <w:szCs w:val="24"/>
        </w:rPr>
        <w:t>rd therefore has no</w:t>
      </w:r>
      <w:r w:rsidR="00173AF5" w:rsidRPr="00B56F3D">
        <w:rPr>
          <w:rFonts w:asciiTheme="minorHAnsi" w:hAnsiTheme="minorHAnsi"/>
          <w:color w:val="auto"/>
          <w:szCs w:val="24"/>
        </w:rPr>
        <w:t xml:space="preserve"> basis for recommending any additional unfitting conditions for separation rating.</w:t>
      </w:r>
      <w:r w:rsidR="00F9367B" w:rsidRPr="00F9367B">
        <w:rPr>
          <w:rFonts w:asciiTheme="minorHAnsi" w:hAnsiTheme="minorHAnsi"/>
          <w:color w:val="auto"/>
          <w:szCs w:val="24"/>
        </w:rPr>
        <w:t xml:space="preserve"> </w:t>
      </w:r>
    </w:p>
    <w:p w:rsidR="007818C0" w:rsidRPr="007818C0" w:rsidRDefault="007818C0" w:rsidP="007818C0">
      <w:pPr>
        <w:tabs>
          <w:tab w:val="left" w:pos="288"/>
          <w:tab w:val="left" w:pos="4752"/>
        </w:tabs>
        <w:spacing w:line="240" w:lineRule="exact"/>
        <w:rPr>
          <w:rFonts w:ascii="Calibri" w:hAnsi="Calibri"/>
          <w:color w:val="auto"/>
          <w:u w:val="single"/>
        </w:rPr>
      </w:pPr>
      <w:r w:rsidRPr="007818C0">
        <w:rPr>
          <w:rFonts w:ascii="Calibri" w:hAnsi="Calibri"/>
          <w:color w:val="auto"/>
          <w:u w:val="single"/>
        </w:rPr>
        <w:t>______________________________________________________________________________</w:t>
      </w:r>
    </w:p>
    <w:p w:rsidR="007818C0" w:rsidRPr="007818C0" w:rsidRDefault="007818C0" w:rsidP="007818C0">
      <w:pPr>
        <w:tabs>
          <w:tab w:val="left" w:pos="288"/>
          <w:tab w:val="left" w:pos="4752"/>
        </w:tabs>
        <w:spacing w:line="240" w:lineRule="exact"/>
        <w:rPr>
          <w:rFonts w:ascii="Calibri" w:hAnsi="Calibri"/>
          <w:color w:val="000080"/>
          <w:szCs w:val="24"/>
        </w:rPr>
      </w:pPr>
    </w:p>
    <w:p w:rsidR="004402DA" w:rsidRDefault="007818C0" w:rsidP="004402DA">
      <w:pPr>
        <w:spacing w:line="240" w:lineRule="exact"/>
        <w:jc w:val="both"/>
        <w:rPr>
          <w:rFonts w:ascii="Calibri" w:hAnsi="Calibri"/>
          <w:color w:val="auto"/>
          <w:szCs w:val="24"/>
        </w:rPr>
      </w:pPr>
      <w:r w:rsidRPr="007818C0">
        <w:rPr>
          <w:rFonts w:ascii="Calibri" w:hAnsi="Calibri"/>
          <w:color w:val="auto"/>
          <w:szCs w:val="24"/>
          <w:u w:val="single"/>
        </w:rPr>
        <w:t>BOARD FINDINGS</w:t>
      </w:r>
      <w:r w:rsidRPr="007818C0">
        <w:rPr>
          <w:rFonts w:ascii="Calibri" w:hAnsi="Calibri"/>
          <w:color w:val="auto"/>
          <w:szCs w:val="24"/>
        </w:rPr>
        <w:t>:</w:t>
      </w:r>
      <w:r w:rsidRPr="007818C0">
        <w:rPr>
          <w:rFonts w:ascii="Calibri" w:eastAsia="Calibri" w:hAnsi="Calibri"/>
          <w:color w:val="auto"/>
          <w:szCs w:val="24"/>
        </w:rPr>
        <w:t xml:space="preserve">  </w:t>
      </w:r>
      <w:r w:rsidRPr="006641D0">
        <w:rPr>
          <w:rFonts w:ascii="Calibri" w:eastAsia="Calibri" w:hAnsi="Calibr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sidR="00C50EA2" w:rsidRPr="006641D0">
        <w:rPr>
          <w:rFonts w:ascii="Calibri" w:eastAsia="Calibri" w:hAnsi="Calibri"/>
          <w:color w:val="auto"/>
          <w:szCs w:val="24"/>
        </w:rPr>
        <w:t xml:space="preserve">  In the m</w:t>
      </w:r>
      <w:r w:rsidR="005C31FF" w:rsidRPr="006641D0">
        <w:rPr>
          <w:rFonts w:ascii="Calibri" w:eastAsia="Calibri" w:hAnsi="Calibri"/>
          <w:color w:val="auto"/>
          <w:szCs w:val="24"/>
        </w:rPr>
        <w:t>atter of the exercise</w:t>
      </w:r>
      <w:r w:rsidR="0085675D">
        <w:rPr>
          <w:rFonts w:ascii="Calibri" w:eastAsia="Calibri" w:hAnsi="Calibri"/>
          <w:color w:val="auto"/>
          <w:szCs w:val="24"/>
        </w:rPr>
        <w:t>-</w:t>
      </w:r>
      <w:r w:rsidR="005C31FF" w:rsidRPr="006641D0">
        <w:rPr>
          <w:rFonts w:ascii="Calibri" w:eastAsia="Calibri" w:hAnsi="Calibri"/>
          <w:color w:val="auto"/>
          <w:szCs w:val="24"/>
        </w:rPr>
        <w:t xml:space="preserve">induced </w:t>
      </w:r>
      <w:proofErr w:type="spellStart"/>
      <w:r w:rsidR="005C31FF" w:rsidRPr="006641D0">
        <w:rPr>
          <w:rFonts w:ascii="Calibri" w:eastAsia="Calibri" w:hAnsi="Calibri"/>
          <w:color w:val="auto"/>
          <w:szCs w:val="24"/>
        </w:rPr>
        <w:t>urticaria</w:t>
      </w:r>
      <w:proofErr w:type="spellEnd"/>
      <w:r w:rsidR="00C50EA2" w:rsidRPr="006641D0">
        <w:rPr>
          <w:rFonts w:ascii="Calibri" w:eastAsia="Calibri" w:hAnsi="Calibri"/>
          <w:color w:val="auto"/>
          <w:szCs w:val="24"/>
        </w:rPr>
        <w:t xml:space="preserve">, the Board unanimously recommends no change in the PEB adjudication at separation.  In the matter of the asthma, </w:t>
      </w:r>
      <w:r w:rsidR="00C50EA2" w:rsidRPr="006641D0">
        <w:rPr>
          <w:rFonts w:ascii="Calibri" w:hAnsi="Calibri"/>
          <w:color w:val="auto"/>
          <w:szCs w:val="24"/>
        </w:rPr>
        <w:t xml:space="preserve">the Board unanimously recommends no change from the PEB adjudication as not unfitting.  In the matter of the </w:t>
      </w:r>
      <w:r w:rsidR="00C50EA2" w:rsidRPr="006641D0">
        <w:rPr>
          <w:rFonts w:ascii="Calibri" w:eastAsia="Calibri" w:hAnsi="Calibri"/>
          <w:color w:val="auto"/>
          <w:szCs w:val="24"/>
        </w:rPr>
        <w:t xml:space="preserve">allergic rhinitis, cervical dysplasia or migraine headaches </w:t>
      </w:r>
      <w:r w:rsidR="00C50EA2" w:rsidRPr="006641D0">
        <w:rPr>
          <w:rFonts w:ascii="Calibri" w:hAnsi="Calibri"/>
          <w:color w:val="auto"/>
          <w:szCs w:val="24"/>
        </w:rPr>
        <w:t>or any other medical conditions eligible for Board consideration</w:t>
      </w:r>
      <w:r w:rsidR="0085675D">
        <w:rPr>
          <w:rFonts w:ascii="Calibri" w:hAnsi="Calibri"/>
          <w:color w:val="auto"/>
          <w:szCs w:val="24"/>
        </w:rPr>
        <w:t>,</w:t>
      </w:r>
      <w:r w:rsidR="00C50EA2" w:rsidRPr="006641D0">
        <w:rPr>
          <w:rFonts w:ascii="Calibri" w:hAnsi="Calibri"/>
          <w:color w:val="auto"/>
          <w:szCs w:val="24"/>
        </w:rPr>
        <w:t xml:space="preserve"> the Board unanimously agrees that it cannot recommend any findings of unfit for additional rating at separation.</w:t>
      </w:r>
    </w:p>
    <w:p w:rsidR="007818C0" w:rsidRPr="007818C0" w:rsidRDefault="007818C0" w:rsidP="004402DA">
      <w:pPr>
        <w:spacing w:line="240" w:lineRule="exact"/>
        <w:jc w:val="both"/>
        <w:rPr>
          <w:rFonts w:ascii="Calibri" w:hAnsi="Calibri"/>
          <w:caps/>
          <w:color w:val="auto"/>
          <w:u w:val="single"/>
        </w:rPr>
      </w:pPr>
      <w:r w:rsidRPr="007818C0">
        <w:rPr>
          <w:rFonts w:ascii="Calibri" w:hAnsi="Calibri"/>
          <w:color w:val="auto"/>
          <w:u w:val="single"/>
        </w:rPr>
        <w:t>______________________________________________________________________________</w:t>
      </w:r>
    </w:p>
    <w:p w:rsidR="007818C0" w:rsidRPr="007818C0" w:rsidRDefault="007818C0" w:rsidP="007818C0">
      <w:pPr>
        <w:rPr>
          <w:rFonts w:ascii="Calibri" w:hAnsi="Calibri"/>
          <w:color w:val="auto"/>
          <w:szCs w:val="24"/>
          <w:u w:val="single"/>
        </w:rPr>
      </w:pPr>
    </w:p>
    <w:p w:rsidR="007818C0" w:rsidRDefault="007818C0" w:rsidP="007818C0">
      <w:pPr>
        <w:tabs>
          <w:tab w:val="left" w:pos="288"/>
          <w:tab w:val="left" w:pos="4752"/>
        </w:tabs>
        <w:spacing w:line="240" w:lineRule="exact"/>
        <w:jc w:val="both"/>
        <w:rPr>
          <w:rFonts w:ascii="Calibri" w:hAnsi="Calibri"/>
          <w:color w:val="auto"/>
          <w:szCs w:val="24"/>
        </w:rPr>
      </w:pPr>
      <w:r w:rsidRPr="007818C0">
        <w:rPr>
          <w:rFonts w:ascii="Calibri" w:hAnsi="Calibri"/>
          <w:color w:val="auto"/>
          <w:szCs w:val="24"/>
          <w:u w:val="single"/>
        </w:rPr>
        <w:t>RECOMMENDATION</w:t>
      </w:r>
      <w:r w:rsidRPr="007818C0">
        <w:rPr>
          <w:rFonts w:ascii="Calibri" w:hAnsi="Calibri"/>
          <w:color w:val="auto"/>
          <w:szCs w:val="24"/>
        </w:rPr>
        <w:t>:</w:t>
      </w:r>
      <w:r w:rsidRPr="007818C0">
        <w:rPr>
          <w:rFonts w:ascii="Calibri" w:hAnsi="Calibri"/>
          <w:color w:val="000080"/>
          <w:szCs w:val="24"/>
        </w:rPr>
        <w:t xml:space="preserve"> </w:t>
      </w:r>
      <w:r w:rsidR="004402DA">
        <w:rPr>
          <w:rFonts w:ascii="Calibri" w:hAnsi="Calibri"/>
          <w:color w:val="000080"/>
          <w:szCs w:val="24"/>
        </w:rPr>
        <w:t xml:space="preserve"> </w:t>
      </w:r>
      <w:r w:rsidRPr="007818C0">
        <w:rPr>
          <w:rFonts w:ascii="Calibri" w:hAnsi="Calibri"/>
          <w:color w:val="auto"/>
          <w:szCs w:val="24"/>
        </w:rPr>
        <w:t xml:space="preserve">The Board therefore recommends that there be no recharacterization of the CI’s disability and separation determination. </w:t>
      </w:r>
    </w:p>
    <w:p w:rsidR="004402DA" w:rsidRPr="007818C0" w:rsidRDefault="004402DA" w:rsidP="007818C0">
      <w:pPr>
        <w:tabs>
          <w:tab w:val="left" w:pos="288"/>
          <w:tab w:val="left" w:pos="4752"/>
        </w:tabs>
        <w:spacing w:line="240" w:lineRule="exact"/>
        <w:jc w:val="both"/>
        <w:rPr>
          <w:rFonts w:ascii="Calibri" w:hAnsi="Calibr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7818C0" w:rsidRPr="0085675D" w:rsidTr="004F00DE">
        <w:trPr>
          <w:trHeight w:val="233"/>
          <w:jc w:val="center"/>
        </w:trPr>
        <w:tc>
          <w:tcPr>
            <w:tcW w:w="6480" w:type="dxa"/>
            <w:shd w:val="clear" w:color="auto" w:fill="D9D9D9"/>
          </w:tcPr>
          <w:p w:rsidR="007818C0" w:rsidRPr="0085675D" w:rsidRDefault="007818C0" w:rsidP="007818C0">
            <w:pPr>
              <w:tabs>
                <w:tab w:val="left" w:pos="288"/>
                <w:tab w:val="left" w:pos="4752"/>
              </w:tabs>
              <w:spacing w:line="240" w:lineRule="exact"/>
              <w:jc w:val="both"/>
              <w:rPr>
                <w:rFonts w:ascii="Calibri" w:hAnsi="Calibri"/>
                <w:b/>
                <w:color w:val="auto"/>
                <w:szCs w:val="24"/>
              </w:rPr>
            </w:pPr>
            <w:r w:rsidRPr="0085675D">
              <w:rPr>
                <w:rFonts w:ascii="Calibri" w:hAnsi="Calibri"/>
                <w:b/>
                <w:color w:val="auto"/>
                <w:szCs w:val="24"/>
              </w:rPr>
              <w:t>UNFITTING CONDITION</w:t>
            </w:r>
          </w:p>
        </w:tc>
        <w:tc>
          <w:tcPr>
            <w:tcW w:w="1710" w:type="dxa"/>
            <w:shd w:val="clear" w:color="auto" w:fill="D9D9D9"/>
          </w:tcPr>
          <w:p w:rsidR="007818C0" w:rsidRPr="0085675D" w:rsidRDefault="007818C0" w:rsidP="007818C0">
            <w:pPr>
              <w:tabs>
                <w:tab w:val="left" w:pos="288"/>
                <w:tab w:val="left" w:pos="4752"/>
              </w:tabs>
              <w:spacing w:line="240" w:lineRule="exact"/>
              <w:jc w:val="center"/>
              <w:rPr>
                <w:rFonts w:ascii="Calibri" w:hAnsi="Calibri"/>
                <w:b/>
                <w:color w:val="auto"/>
                <w:szCs w:val="24"/>
              </w:rPr>
            </w:pPr>
            <w:r w:rsidRPr="0085675D">
              <w:rPr>
                <w:rFonts w:ascii="Calibri" w:hAnsi="Calibri"/>
                <w:b/>
                <w:color w:val="auto"/>
                <w:szCs w:val="24"/>
              </w:rPr>
              <w:t>VASRD CODE</w:t>
            </w:r>
          </w:p>
        </w:tc>
        <w:tc>
          <w:tcPr>
            <w:tcW w:w="1170" w:type="dxa"/>
            <w:shd w:val="clear" w:color="auto" w:fill="D9D9D9"/>
          </w:tcPr>
          <w:p w:rsidR="007818C0" w:rsidRPr="0085675D" w:rsidRDefault="007818C0" w:rsidP="007818C0">
            <w:pPr>
              <w:tabs>
                <w:tab w:val="left" w:pos="288"/>
                <w:tab w:val="left" w:pos="4752"/>
              </w:tabs>
              <w:spacing w:line="240" w:lineRule="exact"/>
              <w:jc w:val="center"/>
              <w:rPr>
                <w:rFonts w:ascii="Calibri" w:hAnsi="Calibri"/>
                <w:b/>
                <w:color w:val="auto"/>
                <w:szCs w:val="24"/>
              </w:rPr>
            </w:pPr>
            <w:r w:rsidRPr="0085675D">
              <w:rPr>
                <w:rFonts w:ascii="Calibri" w:hAnsi="Calibri"/>
                <w:b/>
                <w:color w:val="auto"/>
                <w:szCs w:val="24"/>
              </w:rPr>
              <w:t>RATING</w:t>
            </w:r>
          </w:p>
        </w:tc>
      </w:tr>
      <w:tr w:rsidR="007818C0" w:rsidRPr="0085675D" w:rsidTr="004F00DE">
        <w:trPr>
          <w:jc w:val="center"/>
        </w:trPr>
        <w:tc>
          <w:tcPr>
            <w:tcW w:w="6480" w:type="dxa"/>
          </w:tcPr>
          <w:p w:rsidR="007818C0" w:rsidRPr="0085675D" w:rsidRDefault="004402DA" w:rsidP="007818C0">
            <w:pPr>
              <w:tabs>
                <w:tab w:val="left" w:pos="288"/>
                <w:tab w:val="left" w:pos="4752"/>
              </w:tabs>
              <w:spacing w:line="240" w:lineRule="exact"/>
              <w:jc w:val="both"/>
              <w:rPr>
                <w:rFonts w:ascii="Calibri" w:hAnsi="Calibri"/>
                <w:color w:val="auto"/>
                <w:szCs w:val="24"/>
              </w:rPr>
            </w:pPr>
            <w:proofErr w:type="spellStart"/>
            <w:r w:rsidRPr="0085675D">
              <w:rPr>
                <w:rFonts w:ascii="Calibri" w:hAnsi="Calibri"/>
                <w:color w:val="auto"/>
                <w:szCs w:val="24"/>
              </w:rPr>
              <w:t>Urticaria</w:t>
            </w:r>
            <w:proofErr w:type="spellEnd"/>
          </w:p>
        </w:tc>
        <w:tc>
          <w:tcPr>
            <w:tcW w:w="1710" w:type="dxa"/>
          </w:tcPr>
          <w:p w:rsidR="007818C0" w:rsidRPr="0085675D" w:rsidRDefault="004402DA" w:rsidP="007818C0">
            <w:pPr>
              <w:tabs>
                <w:tab w:val="left" w:pos="288"/>
                <w:tab w:val="left" w:pos="4752"/>
              </w:tabs>
              <w:spacing w:line="240" w:lineRule="exact"/>
              <w:jc w:val="center"/>
              <w:rPr>
                <w:rFonts w:ascii="Calibri" w:hAnsi="Calibri"/>
                <w:color w:val="auto"/>
                <w:szCs w:val="24"/>
              </w:rPr>
            </w:pPr>
            <w:r w:rsidRPr="0085675D">
              <w:rPr>
                <w:rFonts w:ascii="Calibri" w:hAnsi="Calibri"/>
                <w:color w:val="auto"/>
                <w:szCs w:val="24"/>
              </w:rPr>
              <w:t>7825</w:t>
            </w:r>
          </w:p>
        </w:tc>
        <w:tc>
          <w:tcPr>
            <w:tcW w:w="1170" w:type="dxa"/>
          </w:tcPr>
          <w:p w:rsidR="007818C0" w:rsidRPr="0085675D" w:rsidRDefault="004402DA" w:rsidP="007818C0">
            <w:pPr>
              <w:tabs>
                <w:tab w:val="left" w:pos="288"/>
                <w:tab w:val="left" w:pos="4752"/>
              </w:tabs>
              <w:spacing w:line="240" w:lineRule="exact"/>
              <w:jc w:val="center"/>
              <w:rPr>
                <w:rFonts w:ascii="Calibri" w:hAnsi="Calibri"/>
                <w:color w:val="auto"/>
                <w:szCs w:val="24"/>
              </w:rPr>
            </w:pPr>
            <w:r w:rsidRPr="0085675D">
              <w:rPr>
                <w:rFonts w:ascii="Calibri" w:hAnsi="Calibri"/>
                <w:color w:val="auto"/>
                <w:szCs w:val="24"/>
              </w:rPr>
              <w:t>1</w:t>
            </w:r>
            <w:r w:rsidR="007818C0" w:rsidRPr="0085675D">
              <w:rPr>
                <w:rFonts w:ascii="Calibri" w:hAnsi="Calibri"/>
                <w:color w:val="auto"/>
                <w:szCs w:val="24"/>
              </w:rPr>
              <w:t>0%</w:t>
            </w:r>
          </w:p>
        </w:tc>
      </w:tr>
      <w:tr w:rsidR="007818C0" w:rsidRPr="0085675D" w:rsidTr="004F00D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cPr>
          <w:p w:rsidR="007818C0" w:rsidRPr="0085675D" w:rsidRDefault="007818C0" w:rsidP="007818C0">
            <w:pPr>
              <w:tabs>
                <w:tab w:val="left" w:pos="288"/>
                <w:tab w:val="left" w:pos="4752"/>
              </w:tabs>
              <w:spacing w:line="240" w:lineRule="exact"/>
              <w:jc w:val="center"/>
              <w:rPr>
                <w:rFonts w:ascii="Calibri" w:hAnsi="Calibri"/>
                <w:b/>
                <w:color w:val="auto"/>
                <w:szCs w:val="24"/>
              </w:rPr>
            </w:pPr>
            <w:r w:rsidRPr="0085675D">
              <w:rPr>
                <w:rFonts w:ascii="Calibri" w:hAnsi="Calibri"/>
                <w:b/>
                <w:color w:val="auto"/>
                <w:szCs w:val="24"/>
              </w:rPr>
              <w:t>COMBINED</w:t>
            </w:r>
          </w:p>
        </w:tc>
        <w:tc>
          <w:tcPr>
            <w:tcW w:w="1170" w:type="dxa"/>
            <w:tcBorders>
              <w:bottom w:val="single" w:sz="4" w:space="0" w:color="000000"/>
            </w:tcBorders>
            <w:shd w:val="clear" w:color="auto" w:fill="D9D9D9"/>
          </w:tcPr>
          <w:p w:rsidR="007818C0" w:rsidRPr="0085675D" w:rsidRDefault="004402DA" w:rsidP="007818C0">
            <w:pPr>
              <w:tabs>
                <w:tab w:val="left" w:pos="288"/>
                <w:tab w:val="left" w:pos="4752"/>
              </w:tabs>
              <w:spacing w:line="240" w:lineRule="exact"/>
              <w:jc w:val="center"/>
              <w:rPr>
                <w:rFonts w:ascii="Calibri" w:hAnsi="Calibri"/>
                <w:color w:val="auto"/>
                <w:szCs w:val="24"/>
              </w:rPr>
            </w:pPr>
            <w:r w:rsidRPr="0085675D">
              <w:rPr>
                <w:rFonts w:ascii="Calibri" w:hAnsi="Calibri"/>
                <w:color w:val="auto"/>
                <w:szCs w:val="24"/>
              </w:rPr>
              <w:t>1</w:t>
            </w:r>
            <w:r w:rsidR="007818C0" w:rsidRPr="0085675D">
              <w:rPr>
                <w:rFonts w:ascii="Calibri" w:hAnsi="Calibri"/>
                <w:color w:val="auto"/>
                <w:szCs w:val="24"/>
              </w:rPr>
              <w:t>0%</w:t>
            </w:r>
          </w:p>
        </w:tc>
      </w:tr>
    </w:tbl>
    <w:p w:rsidR="007818C0" w:rsidRPr="0085675D" w:rsidRDefault="007818C0" w:rsidP="007818C0">
      <w:pPr>
        <w:tabs>
          <w:tab w:val="left" w:pos="288"/>
          <w:tab w:val="left" w:pos="1710"/>
        </w:tabs>
        <w:spacing w:line="240" w:lineRule="exact"/>
        <w:rPr>
          <w:rFonts w:ascii="Calibri" w:hAnsi="Calibri"/>
          <w:color w:val="auto"/>
          <w:szCs w:val="24"/>
        </w:rPr>
      </w:pPr>
      <w:r w:rsidRPr="0085675D">
        <w:rPr>
          <w:rFonts w:ascii="Calibri" w:hAnsi="Calibri"/>
          <w:color w:val="auto"/>
          <w:szCs w:val="24"/>
        </w:rPr>
        <w:t>______________________________________________________________________________</w:t>
      </w:r>
    </w:p>
    <w:p w:rsidR="007818C0" w:rsidRPr="007818C0" w:rsidRDefault="007818C0" w:rsidP="007818C0">
      <w:pPr>
        <w:tabs>
          <w:tab w:val="left" w:pos="288"/>
          <w:tab w:val="left" w:pos="4752"/>
        </w:tabs>
        <w:spacing w:line="240" w:lineRule="exact"/>
        <w:rPr>
          <w:rFonts w:ascii="Calibri" w:hAnsi="Calibri"/>
          <w:color w:val="000080"/>
          <w:szCs w:val="24"/>
        </w:rPr>
      </w:pPr>
    </w:p>
    <w:p w:rsidR="007818C0" w:rsidRPr="007818C0" w:rsidRDefault="007818C0" w:rsidP="007818C0">
      <w:pPr>
        <w:tabs>
          <w:tab w:val="left" w:pos="288"/>
          <w:tab w:val="left" w:pos="4752"/>
        </w:tabs>
        <w:spacing w:line="240" w:lineRule="exact"/>
        <w:jc w:val="both"/>
        <w:rPr>
          <w:rFonts w:ascii="Calibri" w:hAnsi="Calibri"/>
          <w:color w:val="auto"/>
        </w:rPr>
      </w:pPr>
      <w:r w:rsidRPr="007818C0">
        <w:rPr>
          <w:rFonts w:ascii="Calibri" w:hAnsi="Calibri"/>
          <w:color w:val="auto"/>
        </w:rPr>
        <w:t>The following documentary evidence was considered:</w:t>
      </w:r>
    </w:p>
    <w:p w:rsidR="007818C0" w:rsidRPr="007818C0" w:rsidRDefault="007818C0" w:rsidP="007818C0">
      <w:pPr>
        <w:tabs>
          <w:tab w:val="left" w:pos="288"/>
          <w:tab w:val="left" w:pos="4752"/>
        </w:tabs>
        <w:spacing w:line="240" w:lineRule="exact"/>
        <w:jc w:val="both"/>
        <w:rPr>
          <w:rFonts w:ascii="Calibri" w:hAnsi="Calibri"/>
          <w:color w:val="auto"/>
        </w:rPr>
      </w:pPr>
    </w:p>
    <w:p w:rsidR="007818C0" w:rsidRPr="007818C0" w:rsidRDefault="007818C0" w:rsidP="007818C0">
      <w:pPr>
        <w:tabs>
          <w:tab w:val="left" w:pos="288"/>
          <w:tab w:val="left" w:pos="4752"/>
        </w:tabs>
        <w:spacing w:line="240" w:lineRule="exact"/>
        <w:jc w:val="both"/>
        <w:rPr>
          <w:rFonts w:ascii="Calibri" w:hAnsi="Calibri"/>
          <w:color w:val="auto"/>
        </w:rPr>
      </w:pPr>
      <w:r w:rsidRPr="007818C0">
        <w:rPr>
          <w:rFonts w:ascii="Calibri" w:hAnsi="Calibri"/>
          <w:color w:val="auto"/>
        </w:rPr>
        <w:t>E</w:t>
      </w:r>
      <w:r>
        <w:rPr>
          <w:rFonts w:ascii="Calibri" w:hAnsi="Calibri"/>
          <w:color w:val="auto"/>
        </w:rPr>
        <w:t xml:space="preserve">xhibit A.  DD Form </w:t>
      </w:r>
      <w:proofErr w:type="gramStart"/>
      <w:r>
        <w:rPr>
          <w:rFonts w:ascii="Calibri" w:hAnsi="Calibri"/>
          <w:color w:val="auto"/>
        </w:rPr>
        <w:t>294,</w:t>
      </w:r>
      <w:proofErr w:type="gramEnd"/>
      <w:r>
        <w:rPr>
          <w:rFonts w:ascii="Calibri" w:hAnsi="Calibri"/>
          <w:color w:val="auto"/>
        </w:rPr>
        <w:t xml:space="preserve"> dated </w:t>
      </w:r>
      <w:r w:rsidRPr="007818C0">
        <w:rPr>
          <w:rFonts w:ascii="Calibri" w:hAnsi="Calibri"/>
          <w:color w:val="auto"/>
        </w:rPr>
        <w:t>20100201, w/</w:t>
      </w:r>
      <w:proofErr w:type="spellStart"/>
      <w:r w:rsidRPr="007818C0">
        <w:rPr>
          <w:rFonts w:ascii="Calibri" w:hAnsi="Calibri"/>
          <w:color w:val="auto"/>
        </w:rPr>
        <w:t>atchs</w:t>
      </w:r>
      <w:proofErr w:type="spellEnd"/>
      <w:r w:rsidRPr="007818C0">
        <w:rPr>
          <w:rFonts w:ascii="Calibri" w:hAnsi="Calibri"/>
          <w:color w:val="auto"/>
        </w:rPr>
        <w:t>.</w:t>
      </w:r>
    </w:p>
    <w:p w:rsidR="007818C0" w:rsidRPr="007818C0" w:rsidRDefault="007818C0" w:rsidP="007818C0">
      <w:pPr>
        <w:tabs>
          <w:tab w:val="left" w:pos="288"/>
          <w:tab w:val="left" w:pos="4752"/>
        </w:tabs>
        <w:spacing w:line="240" w:lineRule="exact"/>
        <w:jc w:val="both"/>
        <w:rPr>
          <w:rFonts w:ascii="Calibri" w:hAnsi="Calibri"/>
          <w:color w:val="auto"/>
        </w:rPr>
      </w:pPr>
      <w:r w:rsidRPr="007818C0">
        <w:rPr>
          <w:rFonts w:ascii="Calibri" w:hAnsi="Calibri"/>
          <w:color w:val="auto"/>
        </w:rPr>
        <w:t xml:space="preserve">Exhibit B.  </w:t>
      </w:r>
      <w:proofErr w:type="gramStart"/>
      <w:r w:rsidRPr="007818C0">
        <w:rPr>
          <w:rFonts w:ascii="Calibri" w:hAnsi="Calibri"/>
          <w:color w:val="auto"/>
        </w:rPr>
        <w:t>Service Treatment Record.</w:t>
      </w:r>
      <w:proofErr w:type="gramEnd"/>
    </w:p>
    <w:p w:rsidR="007818C0" w:rsidRPr="007818C0" w:rsidRDefault="007818C0" w:rsidP="007818C0">
      <w:pPr>
        <w:tabs>
          <w:tab w:val="left" w:pos="288"/>
          <w:tab w:val="left" w:pos="4752"/>
        </w:tabs>
        <w:spacing w:line="240" w:lineRule="exact"/>
        <w:jc w:val="both"/>
        <w:rPr>
          <w:rFonts w:ascii="Calibri" w:hAnsi="Calibri"/>
          <w:color w:val="auto"/>
        </w:rPr>
      </w:pPr>
      <w:r w:rsidRPr="007818C0">
        <w:rPr>
          <w:rFonts w:ascii="Calibri" w:hAnsi="Calibri"/>
          <w:color w:val="auto"/>
        </w:rPr>
        <w:t xml:space="preserve">Exhibit C.  </w:t>
      </w:r>
      <w:proofErr w:type="gramStart"/>
      <w:r w:rsidRPr="007818C0">
        <w:rPr>
          <w:rFonts w:ascii="Calibri" w:hAnsi="Calibri"/>
          <w:color w:val="auto"/>
        </w:rPr>
        <w:t>Department of Veterans' Affairs Treatment Record.</w:t>
      </w:r>
      <w:proofErr w:type="gramEnd"/>
    </w:p>
    <w:p w:rsidR="007818C0" w:rsidRPr="007818C0" w:rsidRDefault="007818C0" w:rsidP="007818C0">
      <w:pPr>
        <w:tabs>
          <w:tab w:val="left" w:pos="288"/>
          <w:tab w:val="left" w:pos="4752"/>
        </w:tabs>
        <w:spacing w:line="240" w:lineRule="exact"/>
        <w:jc w:val="both"/>
        <w:rPr>
          <w:rFonts w:ascii="Calibri" w:hAnsi="Calibri"/>
          <w:color w:val="auto"/>
        </w:rPr>
      </w:pPr>
    </w:p>
    <w:p w:rsidR="007818C0" w:rsidRPr="007818C0" w:rsidRDefault="007818C0" w:rsidP="007818C0">
      <w:pPr>
        <w:tabs>
          <w:tab w:val="left" w:pos="288"/>
          <w:tab w:val="left" w:pos="4752"/>
        </w:tabs>
        <w:spacing w:line="240" w:lineRule="exact"/>
        <w:jc w:val="both"/>
        <w:rPr>
          <w:rFonts w:ascii="Calibri" w:hAnsi="Calibri"/>
          <w:color w:val="auto"/>
        </w:rPr>
      </w:pPr>
    </w:p>
    <w:p w:rsidR="007818C0" w:rsidRPr="007818C0" w:rsidRDefault="007818C0" w:rsidP="007818C0">
      <w:pPr>
        <w:tabs>
          <w:tab w:val="left" w:pos="288"/>
          <w:tab w:val="left" w:pos="4752"/>
        </w:tabs>
        <w:spacing w:line="240" w:lineRule="exact"/>
        <w:jc w:val="both"/>
        <w:rPr>
          <w:rFonts w:ascii="Calibri" w:hAnsi="Calibri"/>
          <w:color w:val="auto"/>
        </w:rPr>
      </w:pPr>
    </w:p>
    <w:p w:rsidR="007818C0" w:rsidRPr="007818C0" w:rsidRDefault="00CB6872" w:rsidP="00D4648A">
      <w:pPr>
        <w:tabs>
          <w:tab w:val="left" w:pos="0"/>
          <w:tab w:val="left" w:pos="4860"/>
        </w:tabs>
        <w:spacing w:line="240" w:lineRule="exact"/>
        <w:jc w:val="both"/>
        <w:rPr>
          <w:rFonts w:ascii="Calibri" w:hAnsi="Calibri"/>
          <w:color w:val="auto"/>
        </w:rPr>
      </w:pPr>
      <w:r>
        <w:rPr>
          <w:rFonts w:ascii="Calibri" w:hAnsi="Calibri"/>
          <w:color w:val="auto"/>
        </w:rPr>
        <w:t xml:space="preserve"> </w:t>
      </w:r>
    </w:p>
    <w:p w:rsidR="00CB6872" w:rsidRDefault="007818C0" w:rsidP="007818C0">
      <w:pPr>
        <w:tabs>
          <w:tab w:val="left" w:pos="288"/>
          <w:tab w:val="left" w:pos="4320"/>
          <w:tab w:val="left" w:pos="4410"/>
          <w:tab w:val="left" w:pos="4770"/>
          <w:tab w:val="left" w:pos="4860"/>
          <w:tab w:val="left" w:pos="5040"/>
        </w:tabs>
        <w:spacing w:line="240" w:lineRule="exact"/>
        <w:jc w:val="both"/>
        <w:rPr>
          <w:rFonts w:ascii="Calibri" w:hAnsi="Calibri"/>
          <w:color w:val="auto"/>
        </w:rPr>
      </w:pPr>
      <w:r w:rsidRPr="007818C0">
        <w:rPr>
          <w:rFonts w:ascii="Calibri" w:hAnsi="Calibri"/>
          <w:color w:val="auto"/>
        </w:rPr>
        <w:tab/>
        <w:t xml:space="preserve">                           </w:t>
      </w:r>
      <w:r w:rsidRPr="007818C0">
        <w:rPr>
          <w:rFonts w:ascii="Calibri" w:hAnsi="Calibri"/>
          <w:color w:val="auto"/>
        </w:rPr>
        <w:tab/>
      </w:r>
      <w:r w:rsidRPr="007818C0">
        <w:rPr>
          <w:rFonts w:ascii="Calibri" w:hAnsi="Calibri"/>
          <w:color w:val="auto"/>
        </w:rPr>
        <w:tab/>
      </w:r>
      <w:r w:rsidRPr="007818C0">
        <w:rPr>
          <w:rFonts w:ascii="Calibri" w:hAnsi="Calibri"/>
          <w:color w:val="auto"/>
        </w:rPr>
        <w:tab/>
      </w:r>
      <w:r w:rsidRPr="007818C0">
        <w:rPr>
          <w:rFonts w:ascii="Calibri" w:hAnsi="Calibri"/>
          <w:color w:val="auto"/>
        </w:rPr>
        <w:tab/>
      </w:r>
      <w:r w:rsidR="00D4648A">
        <w:rPr>
          <w:rFonts w:ascii="Calibri" w:hAnsi="Calibri"/>
          <w:color w:val="auto"/>
        </w:rPr>
        <w:t>President,</w:t>
      </w:r>
    </w:p>
    <w:p w:rsidR="00CB6872" w:rsidRDefault="00CB6872" w:rsidP="007818C0">
      <w:pPr>
        <w:tabs>
          <w:tab w:val="left" w:pos="288"/>
          <w:tab w:val="left" w:pos="4320"/>
          <w:tab w:val="left" w:pos="4410"/>
          <w:tab w:val="left" w:pos="4770"/>
          <w:tab w:val="left" w:pos="4860"/>
          <w:tab w:val="left" w:pos="5040"/>
        </w:tabs>
        <w:spacing w:line="240" w:lineRule="exact"/>
        <w:jc w:val="both"/>
        <w:rPr>
          <w:rFonts w:ascii="Calibri" w:hAnsi="Calibri"/>
          <w:color w:val="auto"/>
        </w:rPr>
      </w:pP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sidR="00D4648A">
        <w:rPr>
          <w:rFonts w:ascii="Calibri" w:hAnsi="Calibri"/>
          <w:color w:val="auto"/>
        </w:rPr>
        <w:t xml:space="preserve"> </w:t>
      </w:r>
      <w:r w:rsidR="007818C0" w:rsidRPr="007818C0">
        <w:rPr>
          <w:rFonts w:ascii="Calibri" w:hAnsi="Calibri"/>
          <w:color w:val="auto"/>
        </w:rPr>
        <w:t>Physical Disability Board of Review</w:t>
      </w:r>
    </w:p>
    <w:p w:rsidR="00CB6872" w:rsidRDefault="00CB6872">
      <w:pPr>
        <w:rPr>
          <w:rFonts w:ascii="Calibri" w:hAnsi="Calibri"/>
          <w:color w:val="auto"/>
        </w:rPr>
      </w:pPr>
      <w:r>
        <w:rPr>
          <w:rFonts w:ascii="Calibri" w:hAnsi="Calibri"/>
          <w:color w:val="auto"/>
        </w:rPr>
        <w:br w:type="page"/>
      </w:r>
    </w:p>
    <w:p w:rsidR="00CB6872" w:rsidRPr="00CB6872" w:rsidRDefault="00CB6872" w:rsidP="00CB6872">
      <w:pPr>
        <w:tabs>
          <w:tab w:val="left" w:pos="576"/>
        </w:tabs>
        <w:spacing w:line="240" w:lineRule="exact"/>
        <w:ind w:right="-1080"/>
        <w:rPr>
          <w:rFonts w:ascii="Times New Roman" w:hAnsi="Times New Roman"/>
          <w:color w:val="000080"/>
        </w:rPr>
      </w:pPr>
      <w:r w:rsidRPr="00CB6872">
        <w:rPr>
          <w:rFonts w:ascii="Times New Roman" w:hAnsi="Times New Roman"/>
          <w:color w:val="000080"/>
        </w:rPr>
        <w:lastRenderedPageBreak/>
        <w:t>SAF/MRB</w:t>
      </w:r>
    </w:p>
    <w:p w:rsidR="00CB6872" w:rsidRPr="00CB6872" w:rsidRDefault="00CB6872" w:rsidP="00CB6872">
      <w:pPr>
        <w:tabs>
          <w:tab w:val="left" w:pos="576"/>
        </w:tabs>
        <w:spacing w:line="240" w:lineRule="exact"/>
        <w:ind w:right="-1080"/>
        <w:rPr>
          <w:rFonts w:ascii="Times New Roman" w:hAnsi="Times New Roman"/>
          <w:color w:val="000080"/>
        </w:rPr>
      </w:pPr>
      <w:r w:rsidRPr="00CB6872">
        <w:rPr>
          <w:rFonts w:ascii="Times New Roman" w:hAnsi="Times New Roman"/>
          <w:color w:val="000080"/>
        </w:rPr>
        <w:t>1500 West Perimeter Road, Suite 3700</w:t>
      </w:r>
    </w:p>
    <w:p w:rsidR="00CB6872" w:rsidRPr="00CB6872" w:rsidRDefault="00CB6872" w:rsidP="00CB6872">
      <w:pPr>
        <w:tabs>
          <w:tab w:val="left" w:pos="576"/>
        </w:tabs>
        <w:spacing w:line="240" w:lineRule="exact"/>
        <w:ind w:right="-1080"/>
        <w:rPr>
          <w:rFonts w:ascii="Times New Roman" w:hAnsi="Times New Roman"/>
          <w:color w:val="000080"/>
        </w:rPr>
      </w:pPr>
      <w:r w:rsidRPr="00CB6872">
        <w:rPr>
          <w:rFonts w:ascii="Times New Roman" w:hAnsi="Times New Roman"/>
          <w:color w:val="000080"/>
        </w:rPr>
        <w:t>Joint Base Andrews, NAF-Washington, MD  20762</w:t>
      </w:r>
    </w:p>
    <w:p w:rsidR="00CB6872" w:rsidRPr="00CB6872" w:rsidRDefault="00CB6872" w:rsidP="00CB6872">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360"/>
        <w:rPr>
          <w:rFonts w:ascii="Times New Roman" w:hAnsi="Times New Roman"/>
          <w:color w:val="000080"/>
        </w:rPr>
      </w:pPr>
      <w:r w:rsidRPr="00CB6872">
        <w:rPr>
          <w:rFonts w:ascii="Times New Roman" w:hAnsi="Times New Roman"/>
          <w:color w:val="000080"/>
        </w:rPr>
        <w:tab/>
        <w:t xml:space="preserve">Reference your application submitted under the provisions of </w:t>
      </w:r>
      <w:proofErr w:type="spellStart"/>
      <w:r w:rsidRPr="00CB6872">
        <w:rPr>
          <w:rFonts w:ascii="Times New Roman" w:hAnsi="Times New Roman"/>
          <w:color w:val="000080"/>
        </w:rPr>
        <w:t>DoDI</w:t>
      </w:r>
      <w:proofErr w:type="spellEnd"/>
      <w:r w:rsidRPr="00CB6872">
        <w:rPr>
          <w:rFonts w:ascii="Times New Roman" w:hAnsi="Times New Roman"/>
          <w:color w:val="000080"/>
        </w:rPr>
        <w:t xml:space="preserve"> 6040.44 (Section 1554, 10 USC), PDBR Case Number PD-2010-00108.</w:t>
      </w: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360"/>
        <w:rPr>
          <w:rFonts w:ascii="Times New Roman" w:hAnsi="Times New Roman"/>
          <w:color w:val="000080"/>
        </w:rPr>
      </w:pPr>
      <w:r w:rsidRPr="00CB6872">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rPr>
          <w:rFonts w:ascii="Times New Roman" w:hAnsi="Times New Roman"/>
          <w:color w:val="000080"/>
        </w:rPr>
      </w:pPr>
      <w:r w:rsidRPr="00CB6872">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CB6872" w:rsidRPr="00CB6872" w:rsidRDefault="00CB6872" w:rsidP="00CB6872">
      <w:pPr>
        <w:tabs>
          <w:tab w:val="left" w:pos="720"/>
        </w:tabs>
        <w:spacing w:line="240" w:lineRule="exact"/>
        <w:ind w:right="-36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r w:rsidRPr="00CB6872">
        <w:rPr>
          <w:rFonts w:ascii="Times New Roman" w:hAnsi="Times New Roman"/>
          <w:color w:val="000080"/>
        </w:rPr>
        <w:tab/>
      </w:r>
      <w:r w:rsidRPr="00CB6872">
        <w:rPr>
          <w:rFonts w:ascii="Times New Roman" w:hAnsi="Times New Roman"/>
          <w:color w:val="000080"/>
        </w:rPr>
        <w:tab/>
      </w:r>
      <w:r w:rsidRPr="00CB6872">
        <w:rPr>
          <w:rFonts w:ascii="Times New Roman" w:hAnsi="Times New Roman"/>
          <w:color w:val="000080"/>
        </w:rPr>
        <w:tab/>
      </w:r>
      <w:r w:rsidRPr="00CB6872">
        <w:rPr>
          <w:rFonts w:ascii="Times New Roman" w:hAnsi="Times New Roman"/>
          <w:color w:val="000080"/>
        </w:rPr>
        <w:tab/>
      </w:r>
      <w:r w:rsidRPr="00CB6872">
        <w:rPr>
          <w:rFonts w:ascii="Times New Roman" w:hAnsi="Times New Roman"/>
          <w:color w:val="000080"/>
        </w:rPr>
        <w:tab/>
      </w:r>
      <w:r w:rsidRPr="00CB6872">
        <w:rPr>
          <w:rFonts w:ascii="Times New Roman" w:hAnsi="Times New Roman"/>
          <w:color w:val="000080"/>
        </w:rPr>
        <w:tab/>
      </w:r>
      <w:r w:rsidRPr="00CB6872">
        <w:rPr>
          <w:rFonts w:ascii="Times New Roman" w:hAnsi="Times New Roman"/>
          <w:color w:val="000080"/>
        </w:rPr>
        <w:tab/>
        <w:t>Sincerely,</w:t>
      </w: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CB6872" w:rsidRPr="00CB6872" w:rsidRDefault="00CB6872" w:rsidP="00CB6872">
      <w:pPr>
        <w:tabs>
          <w:tab w:val="left" w:pos="720"/>
        </w:tabs>
        <w:spacing w:line="240" w:lineRule="exact"/>
        <w:ind w:left="5040" w:right="-1080"/>
        <w:rPr>
          <w:rFonts w:ascii="Times New Roman" w:hAnsi="Times New Roman"/>
          <w:color w:val="000080"/>
        </w:rPr>
      </w:pPr>
      <w:r w:rsidRPr="00CB6872">
        <w:rPr>
          <w:rFonts w:ascii="Times New Roman" w:hAnsi="Times New Roman"/>
          <w:color w:val="000080"/>
        </w:rPr>
        <w:t>Director</w:t>
      </w:r>
    </w:p>
    <w:p w:rsidR="00CB6872" w:rsidRPr="00CB6872" w:rsidRDefault="00CB6872" w:rsidP="00CB6872">
      <w:pPr>
        <w:tabs>
          <w:tab w:val="left" w:pos="720"/>
        </w:tabs>
        <w:spacing w:line="240" w:lineRule="exact"/>
        <w:ind w:left="5040" w:right="-1080"/>
        <w:rPr>
          <w:rFonts w:ascii="Times New Roman" w:hAnsi="Times New Roman"/>
          <w:color w:val="000080"/>
        </w:rPr>
      </w:pPr>
      <w:r w:rsidRPr="00CB6872">
        <w:rPr>
          <w:rFonts w:ascii="Times New Roman" w:hAnsi="Times New Roman"/>
          <w:color w:val="000080"/>
        </w:rPr>
        <w:t>Air Force Review Boards Agency</w:t>
      </w:r>
    </w:p>
    <w:p w:rsidR="00CB6872" w:rsidRPr="00CB6872" w:rsidRDefault="00CB6872" w:rsidP="00CB6872">
      <w:pPr>
        <w:tabs>
          <w:tab w:val="left" w:pos="720"/>
        </w:tabs>
        <w:spacing w:line="240" w:lineRule="exact"/>
        <w:ind w:right="-1080"/>
        <w:rPr>
          <w:rFonts w:ascii="Times New Roman" w:hAnsi="Times New Roman"/>
          <w:color w:val="000080"/>
        </w:rPr>
      </w:pPr>
    </w:p>
    <w:p w:rsidR="00CB6872" w:rsidRPr="00CB6872" w:rsidRDefault="00CB6872" w:rsidP="00CB6872">
      <w:pPr>
        <w:tabs>
          <w:tab w:val="left" w:pos="720"/>
        </w:tabs>
        <w:spacing w:line="240" w:lineRule="exact"/>
        <w:ind w:right="-1080"/>
        <w:rPr>
          <w:rFonts w:ascii="Times New Roman" w:hAnsi="Times New Roman"/>
          <w:color w:val="000080"/>
        </w:rPr>
      </w:pPr>
      <w:r w:rsidRPr="00CB6872">
        <w:rPr>
          <w:rFonts w:ascii="Times New Roman" w:hAnsi="Times New Roman"/>
          <w:color w:val="000080"/>
        </w:rPr>
        <w:t>Attachment:</w:t>
      </w:r>
    </w:p>
    <w:p w:rsidR="00CB6872" w:rsidRPr="00CB6872" w:rsidRDefault="00CB6872" w:rsidP="00CB6872">
      <w:pPr>
        <w:tabs>
          <w:tab w:val="left" w:pos="720"/>
        </w:tabs>
        <w:spacing w:line="240" w:lineRule="exact"/>
        <w:ind w:right="-1080"/>
        <w:rPr>
          <w:rFonts w:ascii="Times New Roman" w:hAnsi="Times New Roman"/>
          <w:color w:val="000080"/>
        </w:rPr>
      </w:pPr>
      <w:r w:rsidRPr="00CB6872">
        <w:rPr>
          <w:rFonts w:ascii="Times New Roman" w:hAnsi="Times New Roman"/>
          <w:color w:val="000080"/>
        </w:rPr>
        <w:t>Record of Proceedings</w:t>
      </w:r>
    </w:p>
    <w:p w:rsidR="007818C0" w:rsidRPr="007818C0" w:rsidRDefault="007818C0" w:rsidP="007818C0">
      <w:pPr>
        <w:tabs>
          <w:tab w:val="left" w:pos="288"/>
          <w:tab w:val="left" w:pos="4320"/>
          <w:tab w:val="left" w:pos="4410"/>
          <w:tab w:val="left" w:pos="4770"/>
          <w:tab w:val="left" w:pos="4860"/>
          <w:tab w:val="left" w:pos="5040"/>
        </w:tabs>
        <w:spacing w:line="240" w:lineRule="exact"/>
        <w:jc w:val="both"/>
        <w:rPr>
          <w:rFonts w:ascii="Calibri" w:hAnsi="Calibri"/>
          <w:color w:val="auto"/>
        </w:rPr>
      </w:pPr>
    </w:p>
    <w:p w:rsidR="006E2DC8" w:rsidRDefault="006E2DC8" w:rsidP="006E2DC8">
      <w:pPr>
        <w:spacing w:line="240" w:lineRule="exact"/>
        <w:jc w:val="both"/>
        <w:rPr>
          <w:rFonts w:asciiTheme="minorHAnsi" w:hAnsiTheme="minorHAnsi"/>
          <w:color w:val="auto"/>
          <w:szCs w:val="24"/>
        </w:rPr>
      </w:pPr>
    </w:p>
    <w:p w:rsidR="00EA666C" w:rsidRDefault="00EA666C" w:rsidP="00EA666C">
      <w:pPr>
        <w:tabs>
          <w:tab w:val="left" w:pos="288"/>
          <w:tab w:val="left" w:pos="4752"/>
        </w:tabs>
        <w:spacing w:line="240" w:lineRule="exact"/>
        <w:jc w:val="both"/>
        <w:rPr>
          <w:color w:val="000080"/>
        </w:rPr>
      </w:pPr>
    </w:p>
    <w:sectPr w:rsidR="00EA666C" w:rsidSect="006418C9">
      <w:footerReference w:type="even" r:id="rId8"/>
      <w:footerReference w:type="default" r:id="rId9"/>
      <w:head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30" w:rsidRDefault="004A3130">
      <w:r>
        <w:separator/>
      </w:r>
    </w:p>
  </w:endnote>
  <w:endnote w:type="continuationSeparator" w:id="0">
    <w:p w:rsidR="004A3130" w:rsidRDefault="004A3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DE" w:rsidRDefault="00452F1C">
    <w:pPr>
      <w:pStyle w:val="Footer"/>
      <w:framePr w:wrap="around" w:vAnchor="text" w:hAnchor="margin" w:xAlign="center" w:y="1"/>
      <w:rPr>
        <w:rStyle w:val="PageNumber"/>
      </w:rPr>
    </w:pPr>
    <w:r>
      <w:rPr>
        <w:rStyle w:val="PageNumber"/>
      </w:rPr>
      <w:fldChar w:fldCharType="begin"/>
    </w:r>
    <w:r w:rsidR="004F00DE">
      <w:rPr>
        <w:rStyle w:val="PageNumber"/>
      </w:rPr>
      <w:instrText xml:space="preserve">PAGE  </w:instrText>
    </w:r>
    <w:r>
      <w:rPr>
        <w:rStyle w:val="PageNumber"/>
      </w:rPr>
      <w:fldChar w:fldCharType="separate"/>
    </w:r>
    <w:r w:rsidR="004F00DE">
      <w:rPr>
        <w:rStyle w:val="PageNumber"/>
        <w:noProof/>
      </w:rPr>
      <w:t>2</w:t>
    </w:r>
    <w:r>
      <w:rPr>
        <w:rStyle w:val="PageNumber"/>
      </w:rPr>
      <w:fldChar w:fldCharType="end"/>
    </w:r>
  </w:p>
  <w:p w:rsidR="004F00DE" w:rsidRDefault="004F00D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DE" w:rsidRPr="00AD1554" w:rsidRDefault="00452F1C">
    <w:pPr>
      <w:pStyle w:val="Footer"/>
      <w:framePr w:wrap="around" w:vAnchor="text" w:hAnchor="margin" w:xAlign="center" w:y="1"/>
      <w:rPr>
        <w:rStyle w:val="PageNumber"/>
        <w:rFonts w:ascii="Calibri" w:hAnsi="Calibri"/>
        <w:color w:val="auto"/>
      </w:rPr>
    </w:pPr>
    <w:r w:rsidRPr="00AD1554">
      <w:rPr>
        <w:rStyle w:val="PageNumber"/>
        <w:rFonts w:ascii="Calibri" w:hAnsi="Calibri"/>
        <w:color w:val="auto"/>
      </w:rPr>
      <w:fldChar w:fldCharType="begin"/>
    </w:r>
    <w:r w:rsidR="004F00DE" w:rsidRPr="00AD1554">
      <w:rPr>
        <w:rStyle w:val="PageNumber"/>
        <w:rFonts w:ascii="Calibri" w:hAnsi="Calibri"/>
        <w:color w:val="auto"/>
      </w:rPr>
      <w:instrText xml:space="preserve">PAGE  </w:instrText>
    </w:r>
    <w:r w:rsidRPr="00AD1554">
      <w:rPr>
        <w:rStyle w:val="PageNumber"/>
        <w:rFonts w:ascii="Calibri" w:hAnsi="Calibri"/>
        <w:color w:val="auto"/>
      </w:rPr>
      <w:fldChar w:fldCharType="separate"/>
    </w:r>
    <w:r w:rsidR="00CB6872">
      <w:rPr>
        <w:rStyle w:val="PageNumber"/>
        <w:rFonts w:ascii="Calibri" w:hAnsi="Calibri"/>
        <w:noProof/>
        <w:color w:val="auto"/>
      </w:rPr>
      <w:t>4</w:t>
    </w:r>
    <w:r w:rsidRPr="00AD1554">
      <w:rPr>
        <w:rStyle w:val="PageNumber"/>
        <w:rFonts w:ascii="Calibri" w:hAnsi="Calibri"/>
        <w:color w:val="auto"/>
      </w:rPr>
      <w:fldChar w:fldCharType="end"/>
    </w:r>
  </w:p>
  <w:p w:rsidR="004F00DE" w:rsidRPr="00AD1554" w:rsidRDefault="004F00DE" w:rsidP="002B0749">
    <w:pPr>
      <w:pStyle w:val="Footer"/>
      <w:jc w:val="right"/>
      <w:rPr>
        <w:rFonts w:ascii="Calibri" w:hAnsi="Calibri"/>
        <w:color w:val="auto"/>
      </w:rPr>
    </w:pPr>
    <w:r>
      <w:tab/>
    </w:r>
    <w:r>
      <w:tab/>
    </w:r>
    <w:r w:rsidRPr="00AD1554">
      <w:rPr>
        <w:rFonts w:ascii="Calibri" w:hAnsi="Calibri"/>
        <w:caps/>
        <w:color w:val="auto"/>
      </w:rPr>
      <w:t>PD201000108</w:t>
    </w:r>
  </w:p>
  <w:p w:rsidR="004F00DE" w:rsidRDefault="004F00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30" w:rsidRDefault="004A3130">
      <w:r>
        <w:separator/>
      </w:r>
    </w:p>
  </w:footnote>
  <w:footnote w:type="continuationSeparator" w:id="0">
    <w:p w:rsidR="004A3130" w:rsidRDefault="004A3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DE" w:rsidRDefault="004F00DE" w:rsidP="00AD1554">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1E0A"/>
    <w:multiLevelType w:val="hybridMultilevel"/>
    <w:tmpl w:val="1426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2121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F3F"/>
    <w:rsid w:val="00023D43"/>
    <w:rsid w:val="00032E07"/>
    <w:rsid w:val="000332CA"/>
    <w:rsid w:val="0003374E"/>
    <w:rsid w:val="000344E6"/>
    <w:rsid w:val="00035C3A"/>
    <w:rsid w:val="00036E4B"/>
    <w:rsid w:val="000379D0"/>
    <w:rsid w:val="00040FC4"/>
    <w:rsid w:val="000416F8"/>
    <w:rsid w:val="00047C0E"/>
    <w:rsid w:val="00051622"/>
    <w:rsid w:val="00052234"/>
    <w:rsid w:val="00053D7C"/>
    <w:rsid w:val="00054D8D"/>
    <w:rsid w:val="00055C50"/>
    <w:rsid w:val="000577C9"/>
    <w:rsid w:val="0006431E"/>
    <w:rsid w:val="00072433"/>
    <w:rsid w:val="00075702"/>
    <w:rsid w:val="000775C2"/>
    <w:rsid w:val="000806AD"/>
    <w:rsid w:val="00082482"/>
    <w:rsid w:val="00082D62"/>
    <w:rsid w:val="00085E3D"/>
    <w:rsid w:val="0008708B"/>
    <w:rsid w:val="00094E4F"/>
    <w:rsid w:val="000A2BCE"/>
    <w:rsid w:val="000A3C44"/>
    <w:rsid w:val="000A41E3"/>
    <w:rsid w:val="000A4BBA"/>
    <w:rsid w:val="000A5071"/>
    <w:rsid w:val="000A50D9"/>
    <w:rsid w:val="000C06F6"/>
    <w:rsid w:val="000C3C13"/>
    <w:rsid w:val="000C5813"/>
    <w:rsid w:val="000C7DE4"/>
    <w:rsid w:val="000D15E7"/>
    <w:rsid w:val="000D1A24"/>
    <w:rsid w:val="000D1AD3"/>
    <w:rsid w:val="000D21C7"/>
    <w:rsid w:val="000D248A"/>
    <w:rsid w:val="000D43F9"/>
    <w:rsid w:val="000D4717"/>
    <w:rsid w:val="000D6457"/>
    <w:rsid w:val="000D7D55"/>
    <w:rsid w:val="000E0993"/>
    <w:rsid w:val="000E37E0"/>
    <w:rsid w:val="000F02BE"/>
    <w:rsid w:val="000F2240"/>
    <w:rsid w:val="000F427B"/>
    <w:rsid w:val="001008C1"/>
    <w:rsid w:val="00103CCF"/>
    <w:rsid w:val="0010417F"/>
    <w:rsid w:val="001042D2"/>
    <w:rsid w:val="0010530E"/>
    <w:rsid w:val="00105D8E"/>
    <w:rsid w:val="001103CD"/>
    <w:rsid w:val="00114F20"/>
    <w:rsid w:val="00120EA1"/>
    <w:rsid w:val="001219DF"/>
    <w:rsid w:val="001231DC"/>
    <w:rsid w:val="00123832"/>
    <w:rsid w:val="001272AE"/>
    <w:rsid w:val="001315DD"/>
    <w:rsid w:val="00135385"/>
    <w:rsid w:val="001364D1"/>
    <w:rsid w:val="00137BCF"/>
    <w:rsid w:val="00142EBA"/>
    <w:rsid w:val="00150DCB"/>
    <w:rsid w:val="00153740"/>
    <w:rsid w:val="001541C5"/>
    <w:rsid w:val="0015623F"/>
    <w:rsid w:val="00156BA9"/>
    <w:rsid w:val="00160D16"/>
    <w:rsid w:val="00166182"/>
    <w:rsid w:val="00173AF5"/>
    <w:rsid w:val="00177659"/>
    <w:rsid w:val="001779E5"/>
    <w:rsid w:val="00182A4C"/>
    <w:rsid w:val="00183F77"/>
    <w:rsid w:val="00185DA8"/>
    <w:rsid w:val="00185ECB"/>
    <w:rsid w:val="001870F0"/>
    <w:rsid w:val="0019273F"/>
    <w:rsid w:val="00193AD5"/>
    <w:rsid w:val="00194930"/>
    <w:rsid w:val="001974B5"/>
    <w:rsid w:val="001A08CD"/>
    <w:rsid w:val="001A5320"/>
    <w:rsid w:val="001A5E62"/>
    <w:rsid w:val="001A7538"/>
    <w:rsid w:val="001B0B1A"/>
    <w:rsid w:val="001B4EC2"/>
    <w:rsid w:val="001B5B59"/>
    <w:rsid w:val="001B7C8C"/>
    <w:rsid w:val="001C181A"/>
    <w:rsid w:val="001C2053"/>
    <w:rsid w:val="001C28D1"/>
    <w:rsid w:val="001C32A9"/>
    <w:rsid w:val="001C3394"/>
    <w:rsid w:val="001C5CFC"/>
    <w:rsid w:val="001C5E52"/>
    <w:rsid w:val="001C7418"/>
    <w:rsid w:val="001D0051"/>
    <w:rsid w:val="001D1E2C"/>
    <w:rsid w:val="001D2224"/>
    <w:rsid w:val="001D68CF"/>
    <w:rsid w:val="001D6A8C"/>
    <w:rsid w:val="001D7A56"/>
    <w:rsid w:val="001E15C0"/>
    <w:rsid w:val="001E18E0"/>
    <w:rsid w:val="001E18E2"/>
    <w:rsid w:val="001E2A30"/>
    <w:rsid w:val="001E341F"/>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2C0F"/>
    <w:rsid w:val="00244B65"/>
    <w:rsid w:val="00246860"/>
    <w:rsid w:val="00246DFF"/>
    <w:rsid w:val="00246E89"/>
    <w:rsid w:val="0025183C"/>
    <w:rsid w:val="002528EC"/>
    <w:rsid w:val="00255049"/>
    <w:rsid w:val="00257DE5"/>
    <w:rsid w:val="00260531"/>
    <w:rsid w:val="0026318D"/>
    <w:rsid w:val="0026723A"/>
    <w:rsid w:val="00270864"/>
    <w:rsid w:val="002712F7"/>
    <w:rsid w:val="0027159C"/>
    <w:rsid w:val="00274549"/>
    <w:rsid w:val="00274E46"/>
    <w:rsid w:val="00276C86"/>
    <w:rsid w:val="002810A4"/>
    <w:rsid w:val="00284A26"/>
    <w:rsid w:val="00291047"/>
    <w:rsid w:val="002A3237"/>
    <w:rsid w:val="002A685E"/>
    <w:rsid w:val="002A6E3A"/>
    <w:rsid w:val="002A72C7"/>
    <w:rsid w:val="002B03B2"/>
    <w:rsid w:val="002B0749"/>
    <w:rsid w:val="002B0A75"/>
    <w:rsid w:val="002B2645"/>
    <w:rsid w:val="002B79B8"/>
    <w:rsid w:val="002C2109"/>
    <w:rsid w:val="002C5F10"/>
    <w:rsid w:val="002C6E5B"/>
    <w:rsid w:val="002D18B4"/>
    <w:rsid w:val="002D231A"/>
    <w:rsid w:val="002E0A05"/>
    <w:rsid w:val="002E1877"/>
    <w:rsid w:val="002E1C31"/>
    <w:rsid w:val="002E2A5F"/>
    <w:rsid w:val="002E333A"/>
    <w:rsid w:val="002E3474"/>
    <w:rsid w:val="002E400C"/>
    <w:rsid w:val="002E49C3"/>
    <w:rsid w:val="002E7570"/>
    <w:rsid w:val="002E764B"/>
    <w:rsid w:val="002F0E28"/>
    <w:rsid w:val="002F287E"/>
    <w:rsid w:val="002F2D63"/>
    <w:rsid w:val="002F7F81"/>
    <w:rsid w:val="00300A36"/>
    <w:rsid w:val="0030678B"/>
    <w:rsid w:val="00310CD7"/>
    <w:rsid w:val="00314C73"/>
    <w:rsid w:val="00317589"/>
    <w:rsid w:val="0032136A"/>
    <w:rsid w:val="00323E70"/>
    <w:rsid w:val="00325BA2"/>
    <w:rsid w:val="00326F7F"/>
    <w:rsid w:val="003320E8"/>
    <w:rsid w:val="00334968"/>
    <w:rsid w:val="0033555E"/>
    <w:rsid w:val="00336805"/>
    <w:rsid w:val="00337351"/>
    <w:rsid w:val="00341A54"/>
    <w:rsid w:val="0034669F"/>
    <w:rsid w:val="00351498"/>
    <w:rsid w:val="00352B22"/>
    <w:rsid w:val="00352E90"/>
    <w:rsid w:val="0035636B"/>
    <w:rsid w:val="003567DE"/>
    <w:rsid w:val="0036319E"/>
    <w:rsid w:val="003632A4"/>
    <w:rsid w:val="00363362"/>
    <w:rsid w:val="00365382"/>
    <w:rsid w:val="00370743"/>
    <w:rsid w:val="00370EF5"/>
    <w:rsid w:val="00372251"/>
    <w:rsid w:val="0037520D"/>
    <w:rsid w:val="0037628C"/>
    <w:rsid w:val="00376B81"/>
    <w:rsid w:val="00377BD2"/>
    <w:rsid w:val="003821E1"/>
    <w:rsid w:val="00384866"/>
    <w:rsid w:val="00385666"/>
    <w:rsid w:val="003857D4"/>
    <w:rsid w:val="00385D6F"/>
    <w:rsid w:val="00386D8B"/>
    <w:rsid w:val="00387095"/>
    <w:rsid w:val="003878AD"/>
    <w:rsid w:val="00390092"/>
    <w:rsid w:val="00393651"/>
    <w:rsid w:val="003A41BA"/>
    <w:rsid w:val="003A6399"/>
    <w:rsid w:val="003A6A99"/>
    <w:rsid w:val="003A7FF8"/>
    <w:rsid w:val="003B227A"/>
    <w:rsid w:val="003B5854"/>
    <w:rsid w:val="003B6764"/>
    <w:rsid w:val="003D2BA3"/>
    <w:rsid w:val="003D3C22"/>
    <w:rsid w:val="003D7089"/>
    <w:rsid w:val="003D7DDB"/>
    <w:rsid w:val="003E02C7"/>
    <w:rsid w:val="003E0543"/>
    <w:rsid w:val="003E0B5A"/>
    <w:rsid w:val="003E31E3"/>
    <w:rsid w:val="003E46D1"/>
    <w:rsid w:val="003F442B"/>
    <w:rsid w:val="003F58B0"/>
    <w:rsid w:val="004007E9"/>
    <w:rsid w:val="00401825"/>
    <w:rsid w:val="00401BBC"/>
    <w:rsid w:val="00403BFB"/>
    <w:rsid w:val="00404B45"/>
    <w:rsid w:val="004052D5"/>
    <w:rsid w:val="00406CC5"/>
    <w:rsid w:val="004074A4"/>
    <w:rsid w:val="004101B2"/>
    <w:rsid w:val="004123D7"/>
    <w:rsid w:val="004172DB"/>
    <w:rsid w:val="00421485"/>
    <w:rsid w:val="00422A67"/>
    <w:rsid w:val="00422B75"/>
    <w:rsid w:val="00433F36"/>
    <w:rsid w:val="0043503A"/>
    <w:rsid w:val="004402DA"/>
    <w:rsid w:val="0044384F"/>
    <w:rsid w:val="00446018"/>
    <w:rsid w:val="00447C6A"/>
    <w:rsid w:val="00452F1C"/>
    <w:rsid w:val="004543BC"/>
    <w:rsid w:val="00455480"/>
    <w:rsid w:val="0045645D"/>
    <w:rsid w:val="004574C6"/>
    <w:rsid w:val="00457BCF"/>
    <w:rsid w:val="00457DCE"/>
    <w:rsid w:val="00460E3F"/>
    <w:rsid w:val="004622F1"/>
    <w:rsid w:val="00463307"/>
    <w:rsid w:val="00467592"/>
    <w:rsid w:val="004718E7"/>
    <w:rsid w:val="004761CC"/>
    <w:rsid w:val="004779C3"/>
    <w:rsid w:val="00480D4A"/>
    <w:rsid w:val="00481DA1"/>
    <w:rsid w:val="0049445D"/>
    <w:rsid w:val="00495350"/>
    <w:rsid w:val="00497156"/>
    <w:rsid w:val="004A24D2"/>
    <w:rsid w:val="004A3130"/>
    <w:rsid w:val="004A4136"/>
    <w:rsid w:val="004A417B"/>
    <w:rsid w:val="004B03F3"/>
    <w:rsid w:val="004B2536"/>
    <w:rsid w:val="004B6AF3"/>
    <w:rsid w:val="004B715E"/>
    <w:rsid w:val="004B7169"/>
    <w:rsid w:val="004B79C9"/>
    <w:rsid w:val="004C5E33"/>
    <w:rsid w:val="004C6CDA"/>
    <w:rsid w:val="004D10D4"/>
    <w:rsid w:val="004D16BD"/>
    <w:rsid w:val="004D6F2B"/>
    <w:rsid w:val="004D724D"/>
    <w:rsid w:val="004E0117"/>
    <w:rsid w:val="004E0248"/>
    <w:rsid w:val="004E21A3"/>
    <w:rsid w:val="004E32EA"/>
    <w:rsid w:val="004F00DE"/>
    <w:rsid w:val="004F3222"/>
    <w:rsid w:val="004F3BFA"/>
    <w:rsid w:val="00510588"/>
    <w:rsid w:val="0051146C"/>
    <w:rsid w:val="00513FF1"/>
    <w:rsid w:val="005222E7"/>
    <w:rsid w:val="00523E04"/>
    <w:rsid w:val="0052590B"/>
    <w:rsid w:val="00526591"/>
    <w:rsid w:val="00527178"/>
    <w:rsid w:val="00531326"/>
    <w:rsid w:val="005350A5"/>
    <w:rsid w:val="00536178"/>
    <w:rsid w:val="00536379"/>
    <w:rsid w:val="00537238"/>
    <w:rsid w:val="005400C5"/>
    <w:rsid w:val="00540BEF"/>
    <w:rsid w:val="00541759"/>
    <w:rsid w:val="00542C9A"/>
    <w:rsid w:val="005436C2"/>
    <w:rsid w:val="0054586A"/>
    <w:rsid w:val="00550A9F"/>
    <w:rsid w:val="0055288D"/>
    <w:rsid w:val="00555259"/>
    <w:rsid w:val="00560D57"/>
    <w:rsid w:val="00562A94"/>
    <w:rsid w:val="00562FE1"/>
    <w:rsid w:val="00564B27"/>
    <w:rsid w:val="005710A9"/>
    <w:rsid w:val="00593043"/>
    <w:rsid w:val="00595BF0"/>
    <w:rsid w:val="005A258C"/>
    <w:rsid w:val="005A3560"/>
    <w:rsid w:val="005A6C99"/>
    <w:rsid w:val="005B011A"/>
    <w:rsid w:val="005B0F8B"/>
    <w:rsid w:val="005B1D8F"/>
    <w:rsid w:val="005B1E94"/>
    <w:rsid w:val="005B5B3D"/>
    <w:rsid w:val="005C31FF"/>
    <w:rsid w:val="005C3758"/>
    <w:rsid w:val="005C5CCC"/>
    <w:rsid w:val="005D41FC"/>
    <w:rsid w:val="005E3064"/>
    <w:rsid w:val="005F1115"/>
    <w:rsid w:val="005F27F2"/>
    <w:rsid w:val="005F424D"/>
    <w:rsid w:val="0060076E"/>
    <w:rsid w:val="00605AAB"/>
    <w:rsid w:val="00606280"/>
    <w:rsid w:val="00606BEB"/>
    <w:rsid w:val="0061014A"/>
    <w:rsid w:val="00611614"/>
    <w:rsid w:val="00613E26"/>
    <w:rsid w:val="00615641"/>
    <w:rsid w:val="006211D0"/>
    <w:rsid w:val="00624D0C"/>
    <w:rsid w:val="006307BA"/>
    <w:rsid w:val="006315BA"/>
    <w:rsid w:val="00634C4A"/>
    <w:rsid w:val="0063532E"/>
    <w:rsid w:val="00637BDC"/>
    <w:rsid w:val="006418C9"/>
    <w:rsid w:val="00642BD6"/>
    <w:rsid w:val="00645046"/>
    <w:rsid w:val="00645EA2"/>
    <w:rsid w:val="0065018F"/>
    <w:rsid w:val="00650440"/>
    <w:rsid w:val="006573F2"/>
    <w:rsid w:val="006608C5"/>
    <w:rsid w:val="00662F08"/>
    <w:rsid w:val="00663589"/>
    <w:rsid w:val="006641D0"/>
    <w:rsid w:val="006645DE"/>
    <w:rsid w:val="00664F06"/>
    <w:rsid w:val="00670DDC"/>
    <w:rsid w:val="00671EB4"/>
    <w:rsid w:val="0067443B"/>
    <w:rsid w:val="00684880"/>
    <w:rsid w:val="00684E2B"/>
    <w:rsid w:val="00690FDA"/>
    <w:rsid w:val="00694EEA"/>
    <w:rsid w:val="006955B4"/>
    <w:rsid w:val="00696476"/>
    <w:rsid w:val="00697D76"/>
    <w:rsid w:val="006A10FA"/>
    <w:rsid w:val="006A40E6"/>
    <w:rsid w:val="006A5C07"/>
    <w:rsid w:val="006A75FA"/>
    <w:rsid w:val="006B07D5"/>
    <w:rsid w:val="006B1309"/>
    <w:rsid w:val="006B5923"/>
    <w:rsid w:val="006B67D9"/>
    <w:rsid w:val="006B6C14"/>
    <w:rsid w:val="006C1D6E"/>
    <w:rsid w:val="006C3A68"/>
    <w:rsid w:val="006C4148"/>
    <w:rsid w:val="006C6AB1"/>
    <w:rsid w:val="006D2D39"/>
    <w:rsid w:val="006E06D1"/>
    <w:rsid w:val="006E1313"/>
    <w:rsid w:val="006E2DC8"/>
    <w:rsid w:val="006E7356"/>
    <w:rsid w:val="006E77C8"/>
    <w:rsid w:val="006E7C49"/>
    <w:rsid w:val="006F149D"/>
    <w:rsid w:val="006F1A46"/>
    <w:rsid w:val="006F5267"/>
    <w:rsid w:val="006F5A4E"/>
    <w:rsid w:val="0070034A"/>
    <w:rsid w:val="00703B6C"/>
    <w:rsid w:val="00706482"/>
    <w:rsid w:val="00706BEF"/>
    <w:rsid w:val="007116BC"/>
    <w:rsid w:val="007165CE"/>
    <w:rsid w:val="0071744D"/>
    <w:rsid w:val="00720968"/>
    <w:rsid w:val="00721D12"/>
    <w:rsid w:val="00721F8B"/>
    <w:rsid w:val="00723983"/>
    <w:rsid w:val="0073254D"/>
    <w:rsid w:val="00734102"/>
    <w:rsid w:val="00736730"/>
    <w:rsid w:val="00736A49"/>
    <w:rsid w:val="00743B71"/>
    <w:rsid w:val="00743C2D"/>
    <w:rsid w:val="00743E36"/>
    <w:rsid w:val="007446F7"/>
    <w:rsid w:val="00744EBB"/>
    <w:rsid w:val="00745B0A"/>
    <w:rsid w:val="007468AC"/>
    <w:rsid w:val="00746AE2"/>
    <w:rsid w:val="00750C82"/>
    <w:rsid w:val="0076100C"/>
    <w:rsid w:val="007651ED"/>
    <w:rsid w:val="007661ED"/>
    <w:rsid w:val="00766C87"/>
    <w:rsid w:val="00775A53"/>
    <w:rsid w:val="007818C0"/>
    <w:rsid w:val="00781BD4"/>
    <w:rsid w:val="00784832"/>
    <w:rsid w:val="00784D86"/>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6B95"/>
    <w:rsid w:val="007B7B37"/>
    <w:rsid w:val="007B7C41"/>
    <w:rsid w:val="007C433E"/>
    <w:rsid w:val="007C4DB1"/>
    <w:rsid w:val="007C6046"/>
    <w:rsid w:val="007D0292"/>
    <w:rsid w:val="007D21AC"/>
    <w:rsid w:val="007D568A"/>
    <w:rsid w:val="007D574E"/>
    <w:rsid w:val="007E2046"/>
    <w:rsid w:val="007E2BA1"/>
    <w:rsid w:val="007E4FBB"/>
    <w:rsid w:val="007E55BF"/>
    <w:rsid w:val="007E71B1"/>
    <w:rsid w:val="007E7B4E"/>
    <w:rsid w:val="007F0CE2"/>
    <w:rsid w:val="007F0EFF"/>
    <w:rsid w:val="007F1375"/>
    <w:rsid w:val="007F1AF8"/>
    <w:rsid w:val="00803850"/>
    <w:rsid w:val="00805AFD"/>
    <w:rsid w:val="00811D5B"/>
    <w:rsid w:val="00817713"/>
    <w:rsid w:val="008220F1"/>
    <w:rsid w:val="00825EC1"/>
    <w:rsid w:val="008271C9"/>
    <w:rsid w:val="00827DB6"/>
    <w:rsid w:val="00830999"/>
    <w:rsid w:val="00830D5E"/>
    <w:rsid w:val="00830F69"/>
    <w:rsid w:val="00834458"/>
    <w:rsid w:val="0083556B"/>
    <w:rsid w:val="00835841"/>
    <w:rsid w:val="00836A92"/>
    <w:rsid w:val="00837465"/>
    <w:rsid w:val="00841243"/>
    <w:rsid w:val="00841457"/>
    <w:rsid w:val="00841A77"/>
    <w:rsid w:val="0084374E"/>
    <w:rsid w:val="00844842"/>
    <w:rsid w:val="00844DD0"/>
    <w:rsid w:val="008467A6"/>
    <w:rsid w:val="0085206E"/>
    <w:rsid w:val="00852AD4"/>
    <w:rsid w:val="00852BA8"/>
    <w:rsid w:val="00853718"/>
    <w:rsid w:val="008541EF"/>
    <w:rsid w:val="0085675D"/>
    <w:rsid w:val="00856FA4"/>
    <w:rsid w:val="0086162B"/>
    <w:rsid w:val="00864701"/>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D6691"/>
    <w:rsid w:val="008D795D"/>
    <w:rsid w:val="008D7B07"/>
    <w:rsid w:val="008E2D99"/>
    <w:rsid w:val="008E4A60"/>
    <w:rsid w:val="009014E3"/>
    <w:rsid w:val="009026E8"/>
    <w:rsid w:val="0090654B"/>
    <w:rsid w:val="00906EB7"/>
    <w:rsid w:val="009102BF"/>
    <w:rsid w:val="009115F2"/>
    <w:rsid w:val="009119BB"/>
    <w:rsid w:val="00914ADB"/>
    <w:rsid w:val="00922BB0"/>
    <w:rsid w:val="00923B25"/>
    <w:rsid w:val="0092402E"/>
    <w:rsid w:val="00926FCB"/>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2306"/>
    <w:rsid w:val="0099421F"/>
    <w:rsid w:val="00996C9B"/>
    <w:rsid w:val="009A0CB9"/>
    <w:rsid w:val="009A0DE3"/>
    <w:rsid w:val="009A1643"/>
    <w:rsid w:val="009A215A"/>
    <w:rsid w:val="009A4F1B"/>
    <w:rsid w:val="009A66C5"/>
    <w:rsid w:val="009A79BA"/>
    <w:rsid w:val="009B1534"/>
    <w:rsid w:val="009B2013"/>
    <w:rsid w:val="009B4A3B"/>
    <w:rsid w:val="009B69D3"/>
    <w:rsid w:val="009B71C5"/>
    <w:rsid w:val="009B7BA7"/>
    <w:rsid w:val="009C0938"/>
    <w:rsid w:val="009C22C8"/>
    <w:rsid w:val="009C3F82"/>
    <w:rsid w:val="009C72DD"/>
    <w:rsid w:val="009C7DF5"/>
    <w:rsid w:val="009D056C"/>
    <w:rsid w:val="009D060F"/>
    <w:rsid w:val="009D1ADE"/>
    <w:rsid w:val="009D6190"/>
    <w:rsid w:val="009E09D0"/>
    <w:rsid w:val="009E1283"/>
    <w:rsid w:val="009E3A7F"/>
    <w:rsid w:val="009E57B1"/>
    <w:rsid w:val="009F4823"/>
    <w:rsid w:val="009F7809"/>
    <w:rsid w:val="009F7AF5"/>
    <w:rsid w:val="00A00D14"/>
    <w:rsid w:val="00A01408"/>
    <w:rsid w:val="00A02457"/>
    <w:rsid w:val="00A03190"/>
    <w:rsid w:val="00A0404B"/>
    <w:rsid w:val="00A07BDD"/>
    <w:rsid w:val="00A1105B"/>
    <w:rsid w:val="00A115BA"/>
    <w:rsid w:val="00A11EF3"/>
    <w:rsid w:val="00A12EF9"/>
    <w:rsid w:val="00A15B6B"/>
    <w:rsid w:val="00A15EB4"/>
    <w:rsid w:val="00A16876"/>
    <w:rsid w:val="00A200AA"/>
    <w:rsid w:val="00A2186F"/>
    <w:rsid w:val="00A2270B"/>
    <w:rsid w:val="00A23B89"/>
    <w:rsid w:val="00A2496E"/>
    <w:rsid w:val="00A258B7"/>
    <w:rsid w:val="00A2712B"/>
    <w:rsid w:val="00A323C9"/>
    <w:rsid w:val="00A32743"/>
    <w:rsid w:val="00A414A9"/>
    <w:rsid w:val="00A41746"/>
    <w:rsid w:val="00A44D75"/>
    <w:rsid w:val="00A47CF1"/>
    <w:rsid w:val="00A50418"/>
    <w:rsid w:val="00A54A47"/>
    <w:rsid w:val="00A56D26"/>
    <w:rsid w:val="00A608FB"/>
    <w:rsid w:val="00A60D83"/>
    <w:rsid w:val="00A60F68"/>
    <w:rsid w:val="00A643D5"/>
    <w:rsid w:val="00A65C78"/>
    <w:rsid w:val="00A67CA6"/>
    <w:rsid w:val="00A70E7B"/>
    <w:rsid w:val="00A73B84"/>
    <w:rsid w:val="00A7411D"/>
    <w:rsid w:val="00A76094"/>
    <w:rsid w:val="00A768E2"/>
    <w:rsid w:val="00A82C52"/>
    <w:rsid w:val="00A84A03"/>
    <w:rsid w:val="00A86CB6"/>
    <w:rsid w:val="00A90D55"/>
    <w:rsid w:val="00A959E7"/>
    <w:rsid w:val="00A95BBA"/>
    <w:rsid w:val="00A961EE"/>
    <w:rsid w:val="00AA04B3"/>
    <w:rsid w:val="00AA0A65"/>
    <w:rsid w:val="00AA493E"/>
    <w:rsid w:val="00AA73AF"/>
    <w:rsid w:val="00AB1754"/>
    <w:rsid w:val="00AB27DD"/>
    <w:rsid w:val="00AB4C40"/>
    <w:rsid w:val="00AC0D69"/>
    <w:rsid w:val="00AC439D"/>
    <w:rsid w:val="00AD067E"/>
    <w:rsid w:val="00AD1554"/>
    <w:rsid w:val="00AD68C5"/>
    <w:rsid w:val="00AE1273"/>
    <w:rsid w:val="00AE2D29"/>
    <w:rsid w:val="00AE4624"/>
    <w:rsid w:val="00AE5E14"/>
    <w:rsid w:val="00AE6115"/>
    <w:rsid w:val="00AF000B"/>
    <w:rsid w:val="00AF4FA5"/>
    <w:rsid w:val="00B03410"/>
    <w:rsid w:val="00B1279A"/>
    <w:rsid w:val="00B14FAA"/>
    <w:rsid w:val="00B15D30"/>
    <w:rsid w:val="00B23436"/>
    <w:rsid w:val="00B27C1A"/>
    <w:rsid w:val="00B32179"/>
    <w:rsid w:val="00B331A9"/>
    <w:rsid w:val="00B33AF5"/>
    <w:rsid w:val="00B40A3E"/>
    <w:rsid w:val="00B50227"/>
    <w:rsid w:val="00B522CD"/>
    <w:rsid w:val="00B53B93"/>
    <w:rsid w:val="00B55917"/>
    <w:rsid w:val="00B56FE2"/>
    <w:rsid w:val="00B64DD6"/>
    <w:rsid w:val="00B72303"/>
    <w:rsid w:val="00B76E59"/>
    <w:rsid w:val="00B81FBA"/>
    <w:rsid w:val="00B82277"/>
    <w:rsid w:val="00B91676"/>
    <w:rsid w:val="00B921FB"/>
    <w:rsid w:val="00B93A4E"/>
    <w:rsid w:val="00B95833"/>
    <w:rsid w:val="00BA2D98"/>
    <w:rsid w:val="00BA30D1"/>
    <w:rsid w:val="00BA4609"/>
    <w:rsid w:val="00BA5BE2"/>
    <w:rsid w:val="00BA63AF"/>
    <w:rsid w:val="00BA7882"/>
    <w:rsid w:val="00BA7F46"/>
    <w:rsid w:val="00BB0A0A"/>
    <w:rsid w:val="00BB2D9A"/>
    <w:rsid w:val="00BB45B5"/>
    <w:rsid w:val="00BB6064"/>
    <w:rsid w:val="00BC09D1"/>
    <w:rsid w:val="00BD40AB"/>
    <w:rsid w:val="00BD6806"/>
    <w:rsid w:val="00BD7433"/>
    <w:rsid w:val="00BD7831"/>
    <w:rsid w:val="00BD7C10"/>
    <w:rsid w:val="00BE046F"/>
    <w:rsid w:val="00BE0DEB"/>
    <w:rsid w:val="00BE2FC1"/>
    <w:rsid w:val="00BE438B"/>
    <w:rsid w:val="00BE6365"/>
    <w:rsid w:val="00BF0B7F"/>
    <w:rsid w:val="00BF3F4A"/>
    <w:rsid w:val="00BF4720"/>
    <w:rsid w:val="00BF4C50"/>
    <w:rsid w:val="00C038EC"/>
    <w:rsid w:val="00C13B34"/>
    <w:rsid w:val="00C13F26"/>
    <w:rsid w:val="00C156B7"/>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0EA2"/>
    <w:rsid w:val="00C525AF"/>
    <w:rsid w:val="00C53E8A"/>
    <w:rsid w:val="00C54DF3"/>
    <w:rsid w:val="00C560A7"/>
    <w:rsid w:val="00C56FC8"/>
    <w:rsid w:val="00C60F23"/>
    <w:rsid w:val="00C62EB2"/>
    <w:rsid w:val="00C669FA"/>
    <w:rsid w:val="00C7046A"/>
    <w:rsid w:val="00C71BEC"/>
    <w:rsid w:val="00C74D3A"/>
    <w:rsid w:val="00C75115"/>
    <w:rsid w:val="00C80511"/>
    <w:rsid w:val="00C826F5"/>
    <w:rsid w:val="00C83740"/>
    <w:rsid w:val="00C84AD1"/>
    <w:rsid w:val="00C85579"/>
    <w:rsid w:val="00C863E5"/>
    <w:rsid w:val="00C931FC"/>
    <w:rsid w:val="00C932C5"/>
    <w:rsid w:val="00C9650E"/>
    <w:rsid w:val="00C96DC5"/>
    <w:rsid w:val="00CA068D"/>
    <w:rsid w:val="00CA282D"/>
    <w:rsid w:val="00CA4670"/>
    <w:rsid w:val="00CA6B1A"/>
    <w:rsid w:val="00CB20DC"/>
    <w:rsid w:val="00CB23DC"/>
    <w:rsid w:val="00CB2487"/>
    <w:rsid w:val="00CB28E2"/>
    <w:rsid w:val="00CB586A"/>
    <w:rsid w:val="00CB6872"/>
    <w:rsid w:val="00CB7FF7"/>
    <w:rsid w:val="00CC0D0E"/>
    <w:rsid w:val="00CC19B3"/>
    <w:rsid w:val="00CC2044"/>
    <w:rsid w:val="00CC39D2"/>
    <w:rsid w:val="00CC648F"/>
    <w:rsid w:val="00CC69EC"/>
    <w:rsid w:val="00CD15BE"/>
    <w:rsid w:val="00CD2323"/>
    <w:rsid w:val="00CD32BD"/>
    <w:rsid w:val="00CD34C7"/>
    <w:rsid w:val="00CD3C2E"/>
    <w:rsid w:val="00CD5E6D"/>
    <w:rsid w:val="00CD60E0"/>
    <w:rsid w:val="00CD62E8"/>
    <w:rsid w:val="00CD63C8"/>
    <w:rsid w:val="00CD66D9"/>
    <w:rsid w:val="00CF158D"/>
    <w:rsid w:val="00CF4394"/>
    <w:rsid w:val="00CF5A49"/>
    <w:rsid w:val="00D02EB3"/>
    <w:rsid w:val="00D10577"/>
    <w:rsid w:val="00D1323B"/>
    <w:rsid w:val="00D1352D"/>
    <w:rsid w:val="00D14BAE"/>
    <w:rsid w:val="00D1648B"/>
    <w:rsid w:val="00D16819"/>
    <w:rsid w:val="00D20AC0"/>
    <w:rsid w:val="00D26873"/>
    <w:rsid w:val="00D336C8"/>
    <w:rsid w:val="00D339E8"/>
    <w:rsid w:val="00D3495D"/>
    <w:rsid w:val="00D40B1F"/>
    <w:rsid w:val="00D40D75"/>
    <w:rsid w:val="00D4266A"/>
    <w:rsid w:val="00D4648A"/>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B0015"/>
    <w:rsid w:val="00DB2AAD"/>
    <w:rsid w:val="00DB626D"/>
    <w:rsid w:val="00DB6365"/>
    <w:rsid w:val="00DC0BF1"/>
    <w:rsid w:val="00DC41C3"/>
    <w:rsid w:val="00DD3593"/>
    <w:rsid w:val="00DE0C67"/>
    <w:rsid w:val="00DE6952"/>
    <w:rsid w:val="00DE7E74"/>
    <w:rsid w:val="00DF22C1"/>
    <w:rsid w:val="00DF460D"/>
    <w:rsid w:val="00E00A69"/>
    <w:rsid w:val="00E017F0"/>
    <w:rsid w:val="00E01A0E"/>
    <w:rsid w:val="00E041E4"/>
    <w:rsid w:val="00E103C8"/>
    <w:rsid w:val="00E1085B"/>
    <w:rsid w:val="00E14581"/>
    <w:rsid w:val="00E15137"/>
    <w:rsid w:val="00E15539"/>
    <w:rsid w:val="00E15709"/>
    <w:rsid w:val="00E16541"/>
    <w:rsid w:val="00E2536E"/>
    <w:rsid w:val="00E2632B"/>
    <w:rsid w:val="00E322F7"/>
    <w:rsid w:val="00E3355D"/>
    <w:rsid w:val="00E3369B"/>
    <w:rsid w:val="00E36D76"/>
    <w:rsid w:val="00E405EA"/>
    <w:rsid w:val="00E408B7"/>
    <w:rsid w:val="00E42789"/>
    <w:rsid w:val="00E43F59"/>
    <w:rsid w:val="00E464F0"/>
    <w:rsid w:val="00E50804"/>
    <w:rsid w:val="00E50BEB"/>
    <w:rsid w:val="00E6092F"/>
    <w:rsid w:val="00E629DA"/>
    <w:rsid w:val="00E63734"/>
    <w:rsid w:val="00E671EE"/>
    <w:rsid w:val="00E67FAC"/>
    <w:rsid w:val="00E7200B"/>
    <w:rsid w:val="00E738CB"/>
    <w:rsid w:val="00E73C88"/>
    <w:rsid w:val="00E74437"/>
    <w:rsid w:val="00E74CE5"/>
    <w:rsid w:val="00E81C3E"/>
    <w:rsid w:val="00E82B6D"/>
    <w:rsid w:val="00E87120"/>
    <w:rsid w:val="00E92B9A"/>
    <w:rsid w:val="00E971D0"/>
    <w:rsid w:val="00EA1177"/>
    <w:rsid w:val="00EA118B"/>
    <w:rsid w:val="00EA11B6"/>
    <w:rsid w:val="00EA2181"/>
    <w:rsid w:val="00EA2DD8"/>
    <w:rsid w:val="00EA2E99"/>
    <w:rsid w:val="00EA4475"/>
    <w:rsid w:val="00EA666C"/>
    <w:rsid w:val="00EA681F"/>
    <w:rsid w:val="00EB14E3"/>
    <w:rsid w:val="00EB3823"/>
    <w:rsid w:val="00EB47D8"/>
    <w:rsid w:val="00EB57D3"/>
    <w:rsid w:val="00EB679F"/>
    <w:rsid w:val="00EB76E4"/>
    <w:rsid w:val="00EC0E65"/>
    <w:rsid w:val="00EC2938"/>
    <w:rsid w:val="00EC50C9"/>
    <w:rsid w:val="00EC5BB2"/>
    <w:rsid w:val="00EC6531"/>
    <w:rsid w:val="00ED58EE"/>
    <w:rsid w:val="00ED664B"/>
    <w:rsid w:val="00ED79D0"/>
    <w:rsid w:val="00EE0B44"/>
    <w:rsid w:val="00EE6FE0"/>
    <w:rsid w:val="00EE704A"/>
    <w:rsid w:val="00EF4C74"/>
    <w:rsid w:val="00EF5268"/>
    <w:rsid w:val="00EF587E"/>
    <w:rsid w:val="00EF608E"/>
    <w:rsid w:val="00EF7B2E"/>
    <w:rsid w:val="00F0044B"/>
    <w:rsid w:val="00F04957"/>
    <w:rsid w:val="00F05807"/>
    <w:rsid w:val="00F07052"/>
    <w:rsid w:val="00F0706C"/>
    <w:rsid w:val="00F11EBE"/>
    <w:rsid w:val="00F130D0"/>
    <w:rsid w:val="00F14933"/>
    <w:rsid w:val="00F1516A"/>
    <w:rsid w:val="00F22581"/>
    <w:rsid w:val="00F22A26"/>
    <w:rsid w:val="00F24072"/>
    <w:rsid w:val="00F259E6"/>
    <w:rsid w:val="00F26432"/>
    <w:rsid w:val="00F3197A"/>
    <w:rsid w:val="00F32139"/>
    <w:rsid w:val="00F33D56"/>
    <w:rsid w:val="00F34E08"/>
    <w:rsid w:val="00F41D91"/>
    <w:rsid w:val="00F42363"/>
    <w:rsid w:val="00F46964"/>
    <w:rsid w:val="00F46F9A"/>
    <w:rsid w:val="00F50720"/>
    <w:rsid w:val="00F5126A"/>
    <w:rsid w:val="00F53560"/>
    <w:rsid w:val="00F6636A"/>
    <w:rsid w:val="00F67E31"/>
    <w:rsid w:val="00F70189"/>
    <w:rsid w:val="00F718A8"/>
    <w:rsid w:val="00F72183"/>
    <w:rsid w:val="00F73FFC"/>
    <w:rsid w:val="00F76D01"/>
    <w:rsid w:val="00F81C35"/>
    <w:rsid w:val="00F82981"/>
    <w:rsid w:val="00F8311F"/>
    <w:rsid w:val="00F83248"/>
    <w:rsid w:val="00F83376"/>
    <w:rsid w:val="00F853AE"/>
    <w:rsid w:val="00F9260D"/>
    <w:rsid w:val="00F9367B"/>
    <w:rsid w:val="00F93DCC"/>
    <w:rsid w:val="00F9435D"/>
    <w:rsid w:val="00F94B19"/>
    <w:rsid w:val="00FB593A"/>
    <w:rsid w:val="00FB6410"/>
    <w:rsid w:val="00FB6E82"/>
    <w:rsid w:val="00FC199D"/>
    <w:rsid w:val="00FC2A13"/>
    <w:rsid w:val="00FC4284"/>
    <w:rsid w:val="00FC4576"/>
    <w:rsid w:val="00FC714B"/>
    <w:rsid w:val="00FC7DBC"/>
    <w:rsid w:val="00FD06F6"/>
    <w:rsid w:val="00FD076A"/>
    <w:rsid w:val="00FD0AA0"/>
    <w:rsid w:val="00FD1D5A"/>
    <w:rsid w:val="00FD5059"/>
    <w:rsid w:val="00FD554D"/>
    <w:rsid w:val="00FE02C2"/>
    <w:rsid w:val="00FE5D78"/>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F00D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A731-CBA8-4DF6-BCC9-97F60954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2011-08-23T14:30:00Z</cp:lastPrinted>
  <dcterms:created xsi:type="dcterms:W3CDTF">2011-07-27T14:35:00Z</dcterms:created>
  <dcterms:modified xsi:type="dcterms:W3CDTF">2012-05-14T21:24:00Z</dcterms:modified>
</cp:coreProperties>
</file>