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3D66FA">
      <w:pPr>
        <w:tabs>
          <w:tab w:val="left" w:pos="288"/>
          <w:tab w:val="left" w:pos="4752"/>
          <w:tab w:val="left" w:pos="6480"/>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B6726B">
        <w:rPr>
          <w:rFonts w:asciiTheme="minorHAnsi" w:hAnsiTheme="minorHAnsi"/>
          <w:caps/>
          <w:color w:val="auto"/>
        </w:rPr>
        <w:t xml:space="preserve"> </w:t>
      </w:r>
      <w:r w:rsidR="00D55C13">
        <w:rPr>
          <w:rFonts w:asciiTheme="minorHAnsi" w:hAnsiTheme="minorHAnsi"/>
          <w:caps/>
          <w:color w:val="auto"/>
        </w:rPr>
        <w:t xml:space="preserve"> </w:t>
      </w:r>
      <w:r w:rsidR="00D863BD">
        <w:rPr>
          <w:rFonts w:asciiTheme="minorHAnsi" w:hAnsiTheme="minorHAnsi"/>
          <w:color w:val="auto"/>
        </w:rPr>
        <w:t>XXXXXXXXXXXXXX</w:t>
      </w:r>
      <w:r w:rsidRPr="00B20624">
        <w:rPr>
          <w:rFonts w:asciiTheme="minorHAnsi" w:hAnsiTheme="minorHAnsi"/>
          <w:caps/>
          <w:color w:val="auto"/>
        </w:rPr>
        <w:tab/>
      </w:r>
      <w:r w:rsidRPr="00B20624">
        <w:rPr>
          <w:rFonts w:asciiTheme="minorHAnsi" w:hAnsiTheme="minorHAnsi"/>
          <w:caps/>
          <w:color w:val="auto"/>
        </w:rPr>
        <w:tab/>
        <w:t xml:space="preserve">BRANCH OF SERVICE: </w:t>
      </w:r>
      <w:r w:rsidR="00D55C13">
        <w:rPr>
          <w:rFonts w:asciiTheme="minorHAnsi" w:hAnsiTheme="minorHAnsi"/>
          <w:caps/>
          <w:color w:val="auto"/>
        </w:rPr>
        <w:t xml:space="preserve"> </w:t>
      </w:r>
      <w:r w:rsidR="000E0993" w:rsidRPr="005F24E2">
        <w:rPr>
          <w:rFonts w:asciiTheme="minorHAnsi" w:hAnsiTheme="minorHAnsi"/>
          <w:caps/>
          <w:color w:val="auto"/>
        </w:rPr>
        <w:t>ARMY</w:t>
      </w:r>
    </w:p>
    <w:p w:rsidR="00540BEF" w:rsidRPr="00B20624" w:rsidRDefault="00540BEF" w:rsidP="003D66FA">
      <w:pPr>
        <w:tabs>
          <w:tab w:val="left" w:pos="288"/>
          <w:tab w:val="left" w:pos="4752"/>
          <w:tab w:val="left" w:pos="6480"/>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5F24E2">
        <w:rPr>
          <w:rFonts w:asciiTheme="minorHAnsi" w:hAnsiTheme="minorHAnsi"/>
          <w:caps/>
          <w:color w:val="auto"/>
        </w:rPr>
        <w:t>1000096</w:t>
      </w:r>
      <w:r w:rsidRPr="00B20624">
        <w:rPr>
          <w:rFonts w:asciiTheme="minorHAnsi" w:hAnsiTheme="minorHAnsi"/>
          <w:caps/>
          <w:color w:val="auto"/>
        </w:rPr>
        <w:tab/>
      </w:r>
      <w:r w:rsidRPr="00B20624">
        <w:rPr>
          <w:rFonts w:asciiTheme="minorHAnsi" w:hAnsiTheme="minorHAnsi"/>
          <w:caps/>
          <w:color w:val="auto"/>
        </w:rPr>
        <w:tab/>
      </w:r>
      <w:r w:rsidR="00C22F3A" w:rsidRPr="00B20624">
        <w:rPr>
          <w:rFonts w:asciiTheme="minorHAnsi" w:hAnsiTheme="minorHAnsi"/>
          <w:caps/>
          <w:color w:val="auto"/>
        </w:rPr>
        <w:t xml:space="preserve">SEPARATION DATE: </w:t>
      </w:r>
      <w:r w:rsidR="00D55C13">
        <w:rPr>
          <w:rFonts w:asciiTheme="minorHAnsi" w:hAnsiTheme="minorHAnsi"/>
          <w:caps/>
          <w:color w:val="auto"/>
        </w:rPr>
        <w:t xml:space="preserve"> </w:t>
      </w:r>
      <w:r w:rsidR="00C22F3A" w:rsidRPr="00B20624">
        <w:rPr>
          <w:rFonts w:asciiTheme="minorHAnsi" w:hAnsiTheme="minorHAnsi"/>
          <w:caps/>
          <w:color w:val="auto"/>
        </w:rPr>
        <w:t>200</w:t>
      </w:r>
      <w:r w:rsidR="00485A49">
        <w:rPr>
          <w:rFonts w:asciiTheme="minorHAnsi" w:hAnsiTheme="minorHAnsi"/>
          <w:caps/>
          <w:color w:val="auto"/>
        </w:rPr>
        <w:t>110</w:t>
      </w:r>
      <w:r w:rsidR="00B07AE2">
        <w:rPr>
          <w:rFonts w:asciiTheme="minorHAnsi" w:hAnsiTheme="minorHAnsi"/>
          <w:caps/>
          <w:color w:val="auto"/>
        </w:rPr>
        <w:t>2</w:t>
      </w:r>
      <w:r w:rsidR="00485A49">
        <w:rPr>
          <w:rFonts w:asciiTheme="minorHAnsi" w:hAnsiTheme="minorHAnsi"/>
          <w:caps/>
          <w:color w:val="auto"/>
        </w:rPr>
        <w:t>0</w:t>
      </w:r>
    </w:p>
    <w:p w:rsidR="00485A49" w:rsidRPr="007D16F2" w:rsidRDefault="00540BEF" w:rsidP="00190E48">
      <w:pPr>
        <w:tabs>
          <w:tab w:val="left" w:pos="288"/>
          <w:tab w:val="left" w:pos="4752"/>
        </w:tabs>
        <w:spacing w:line="240" w:lineRule="exact"/>
        <w:jc w:val="both"/>
        <w:rPr>
          <w:rFonts w:asciiTheme="minorHAnsi" w:hAnsiTheme="minorHAnsi"/>
          <w:caps/>
          <w:color w:val="auto"/>
          <w:highlight w:val="yellow"/>
        </w:rPr>
      </w:pPr>
      <w:r w:rsidRPr="00B20624">
        <w:rPr>
          <w:rFonts w:asciiTheme="minorHAnsi" w:hAnsiTheme="minorHAnsi"/>
          <w:caps/>
          <w:color w:val="auto"/>
        </w:rPr>
        <w:t>BOARD DATE:</w:t>
      </w:r>
      <w:r w:rsidR="00D55C13">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AA4CB6">
        <w:rPr>
          <w:rFonts w:asciiTheme="minorHAnsi" w:hAnsiTheme="minorHAnsi"/>
          <w:caps/>
          <w:color w:val="auto"/>
        </w:rPr>
        <w:t>1</w:t>
      </w:r>
      <w:r w:rsidR="00791AC6">
        <w:rPr>
          <w:rFonts w:asciiTheme="minorHAnsi" w:hAnsiTheme="minorHAnsi"/>
          <w:caps/>
          <w:color w:val="auto"/>
        </w:rPr>
        <w:t>0714</w:t>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054AC8" w:rsidRDefault="00300F64" w:rsidP="00054AC8">
      <w:pPr>
        <w:tabs>
          <w:tab w:val="left" w:pos="288"/>
          <w:tab w:val="left" w:pos="4752"/>
        </w:tabs>
        <w:spacing w:line="240" w:lineRule="exact"/>
        <w:jc w:val="both"/>
        <w:rPr>
          <w:rFonts w:asciiTheme="minorHAnsi" w:hAnsiTheme="minorHAnsi"/>
          <w:color w:val="auto"/>
          <w:szCs w:val="24"/>
        </w:rPr>
      </w:pPr>
      <w:r w:rsidRPr="00300F64">
        <w:rPr>
          <w:rFonts w:asciiTheme="minorHAnsi" w:hAnsiTheme="minorHAnsi"/>
          <w:color w:val="auto"/>
          <w:u w:val="single"/>
        </w:rPr>
        <w:t>SUMMARY OF CASE</w:t>
      </w:r>
      <w:r w:rsidRPr="00300F64">
        <w:rPr>
          <w:rFonts w:asciiTheme="minorHAnsi" w:hAnsiTheme="minorHAnsi"/>
          <w:color w:val="auto"/>
        </w:rPr>
        <w:t xml:space="preserve">:  Data extracted from the available evidence of record reflects that this covered individual (CI) </w:t>
      </w:r>
      <w:r w:rsidRPr="00300F64">
        <w:rPr>
          <w:rFonts w:asciiTheme="minorHAnsi" w:hAnsiTheme="minorHAnsi"/>
          <w:color w:val="auto"/>
          <w:szCs w:val="24"/>
        </w:rPr>
        <w:t xml:space="preserve">was an active duty </w:t>
      </w:r>
      <w:r w:rsidR="005F24E2">
        <w:rPr>
          <w:rFonts w:asciiTheme="minorHAnsi" w:hAnsiTheme="minorHAnsi"/>
          <w:color w:val="auto"/>
          <w:szCs w:val="24"/>
        </w:rPr>
        <w:t>SPC</w:t>
      </w:r>
      <w:r w:rsidR="006F5FD3">
        <w:rPr>
          <w:rFonts w:asciiTheme="minorHAnsi" w:hAnsiTheme="minorHAnsi"/>
          <w:color w:val="auto"/>
          <w:szCs w:val="24"/>
        </w:rPr>
        <w:t>/E-4</w:t>
      </w:r>
      <w:r w:rsidRPr="00300F64">
        <w:rPr>
          <w:rFonts w:asciiTheme="minorHAnsi" w:hAnsiTheme="minorHAnsi"/>
          <w:color w:val="auto"/>
          <w:szCs w:val="24"/>
        </w:rPr>
        <w:t xml:space="preserve"> (</w:t>
      </w:r>
      <w:r w:rsidR="005F24E2">
        <w:rPr>
          <w:rFonts w:asciiTheme="minorHAnsi" w:hAnsiTheme="minorHAnsi"/>
          <w:color w:val="auto"/>
          <w:szCs w:val="24"/>
        </w:rPr>
        <w:t>91B10,</w:t>
      </w:r>
      <w:r w:rsidR="00D060CD">
        <w:rPr>
          <w:rFonts w:asciiTheme="minorHAnsi" w:hAnsiTheme="minorHAnsi"/>
          <w:color w:val="auto"/>
          <w:szCs w:val="24"/>
        </w:rPr>
        <w:t xml:space="preserve"> </w:t>
      </w:r>
      <w:r w:rsidR="005F24E2">
        <w:rPr>
          <w:rFonts w:asciiTheme="minorHAnsi" w:hAnsiTheme="minorHAnsi"/>
          <w:color w:val="auto"/>
          <w:szCs w:val="24"/>
        </w:rPr>
        <w:t>Combat Medic</w:t>
      </w:r>
      <w:r w:rsidR="00791AC6">
        <w:rPr>
          <w:rFonts w:asciiTheme="minorHAnsi" w:hAnsiTheme="minorHAnsi"/>
          <w:color w:val="auto"/>
          <w:szCs w:val="24"/>
        </w:rPr>
        <w:t>)</w:t>
      </w:r>
      <w:r w:rsidRPr="00300F64">
        <w:rPr>
          <w:rFonts w:asciiTheme="minorHAnsi" w:hAnsiTheme="minorHAnsi"/>
          <w:color w:val="auto"/>
          <w:szCs w:val="24"/>
        </w:rPr>
        <w:t xml:space="preserve"> medically separated for </w:t>
      </w:r>
      <w:r w:rsidR="00791AC6">
        <w:rPr>
          <w:rFonts w:asciiTheme="minorHAnsi" w:hAnsiTheme="minorHAnsi"/>
          <w:color w:val="auto"/>
          <w:szCs w:val="24"/>
        </w:rPr>
        <w:t xml:space="preserve">a </w:t>
      </w:r>
      <w:r w:rsidR="00485A49">
        <w:rPr>
          <w:rFonts w:asciiTheme="minorHAnsi" w:hAnsiTheme="minorHAnsi"/>
          <w:color w:val="auto"/>
          <w:szCs w:val="24"/>
        </w:rPr>
        <w:t xml:space="preserve">bilateral ankle </w:t>
      </w:r>
      <w:r w:rsidR="00791AC6">
        <w:rPr>
          <w:rFonts w:asciiTheme="minorHAnsi" w:hAnsiTheme="minorHAnsi"/>
          <w:color w:val="auto"/>
          <w:szCs w:val="24"/>
        </w:rPr>
        <w:t>condition</w:t>
      </w:r>
      <w:r w:rsidR="00D060CD">
        <w:rPr>
          <w:rFonts w:asciiTheme="minorHAnsi" w:hAnsiTheme="minorHAnsi"/>
          <w:color w:val="auto"/>
          <w:szCs w:val="24"/>
        </w:rPr>
        <w:t>.</w:t>
      </w:r>
      <w:r w:rsidR="006F5FD3">
        <w:rPr>
          <w:rFonts w:asciiTheme="minorHAnsi" w:hAnsiTheme="minorHAnsi"/>
          <w:color w:val="auto"/>
          <w:szCs w:val="24"/>
        </w:rPr>
        <w:t xml:space="preserve"> </w:t>
      </w:r>
      <w:r w:rsidR="00B6726B">
        <w:rPr>
          <w:rFonts w:asciiTheme="minorHAnsi" w:hAnsiTheme="minorHAnsi"/>
          <w:color w:val="auto"/>
          <w:szCs w:val="24"/>
        </w:rPr>
        <w:t xml:space="preserve"> He injured his right ankle in early training</w:t>
      </w:r>
      <w:r w:rsidR="00D060CD">
        <w:rPr>
          <w:rFonts w:asciiTheme="minorHAnsi" w:hAnsiTheme="minorHAnsi"/>
          <w:color w:val="auto"/>
          <w:szCs w:val="24"/>
        </w:rPr>
        <w:t xml:space="preserve"> and had repeated injuries to both ankles </w:t>
      </w:r>
      <w:r w:rsidR="0020695C">
        <w:rPr>
          <w:rFonts w:asciiTheme="minorHAnsi" w:hAnsiTheme="minorHAnsi"/>
          <w:color w:val="auto"/>
          <w:szCs w:val="24"/>
        </w:rPr>
        <w:t xml:space="preserve">over the ensuing two years. </w:t>
      </w:r>
      <w:r w:rsidR="00D55C13">
        <w:rPr>
          <w:rFonts w:asciiTheme="minorHAnsi" w:hAnsiTheme="minorHAnsi"/>
          <w:color w:val="auto"/>
          <w:szCs w:val="24"/>
        </w:rPr>
        <w:t xml:space="preserve"> </w:t>
      </w:r>
      <w:r w:rsidR="0020695C">
        <w:rPr>
          <w:rFonts w:asciiTheme="minorHAnsi" w:hAnsiTheme="minorHAnsi"/>
          <w:color w:val="auto"/>
          <w:szCs w:val="24"/>
        </w:rPr>
        <w:t>He underwent bilateral ankle surgery in 1998 for instability</w:t>
      </w:r>
      <w:r w:rsidR="00791AC6">
        <w:rPr>
          <w:rFonts w:asciiTheme="minorHAnsi" w:hAnsiTheme="minorHAnsi"/>
          <w:color w:val="auto"/>
          <w:szCs w:val="24"/>
        </w:rPr>
        <w:t>, but post-</w:t>
      </w:r>
      <w:r w:rsidR="00881427">
        <w:rPr>
          <w:rFonts w:asciiTheme="minorHAnsi" w:hAnsiTheme="minorHAnsi"/>
          <w:color w:val="auto"/>
          <w:szCs w:val="24"/>
        </w:rPr>
        <w:t>operatively</w:t>
      </w:r>
      <w:r w:rsidR="0020695C">
        <w:rPr>
          <w:rFonts w:asciiTheme="minorHAnsi" w:hAnsiTheme="minorHAnsi"/>
          <w:color w:val="auto"/>
          <w:szCs w:val="24"/>
        </w:rPr>
        <w:t xml:space="preserve"> </w:t>
      </w:r>
      <w:r w:rsidR="00881427">
        <w:rPr>
          <w:rFonts w:asciiTheme="minorHAnsi" w:hAnsiTheme="minorHAnsi"/>
          <w:color w:val="auto"/>
          <w:szCs w:val="24"/>
        </w:rPr>
        <w:t>had</w:t>
      </w:r>
      <w:r w:rsidR="0020695C">
        <w:rPr>
          <w:rFonts w:asciiTheme="minorHAnsi" w:hAnsiTheme="minorHAnsi"/>
          <w:color w:val="auto"/>
          <w:szCs w:val="24"/>
        </w:rPr>
        <w:t xml:space="preserve"> residual pain.</w:t>
      </w:r>
      <w:r w:rsidR="00881427">
        <w:rPr>
          <w:rFonts w:asciiTheme="minorHAnsi" w:hAnsiTheme="minorHAnsi"/>
          <w:color w:val="auto"/>
          <w:szCs w:val="24"/>
        </w:rPr>
        <w:t xml:space="preserve"> </w:t>
      </w:r>
      <w:r w:rsidR="009C0963">
        <w:rPr>
          <w:rFonts w:asciiTheme="minorHAnsi" w:hAnsiTheme="minorHAnsi"/>
          <w:color w:val="auto"/>
          <w:szCs w:val="24"/>
        </w:rPr>
        <w:t xml:space="preserve"> </w:t>
      </w:r>
      <w:r w:rsidRPr="00300F64">
        <w:rPr>
          <w:rFonts w:asciiTheme="minorHAnsi" w:hAnsiTheme="minorHAnsi"/>
          <w:color w:val="auto"/>
          <w:szCs w:val="24"/>
        </w:rPr>
        <w:t xml:space="preserve">He did not respond adequately to treatment and was unable to perform within his </w:t>
      </w:r>
      <w:r w:rsidR="00D55C13" w:rsidRPr="00C85EC3">
        <w:rPr>
          <w:rFonts w:asciiTheme="minorHAnsi" w:hAnsiTheme="minorHAnsi"/>
          <w:color w:val="auto"/>
          <w:szCs w:val="24"/>
        </w:rPr>
        <w:t>military</w:t>
      </w:r>
      <w:r w:rsidR="00D55C13" w:rsidRPr="00031CDC">
        <w:rPr>
          <w:rFonts w:asciiTheme="minorHAnsi" w:hAnsiTheme="minorHAnsi"/>
          <w:color w:val="auto"/>
          <w:szCs w:val="24"/>
        </w:rPr>
        <w:t xml:space="preserve"> </w:t>
      </w:r>
      <w:r w:rsidR="00D55C13" w:rsidRPr="00C85EC3">
        <w:rPr>
          <w:rFonts w:asciiTheme="minorHAnsi" w:hAnsiTheme="minorHAnsi"/>
          <w:color w:val="auto"/>
          <w:szCs w:val="24"/>
        </w:rPr>
        <w:t xml:space="preserve">occupational specialty </w:t>
      </w:r>
      <w:r w:rsidRPr="00C85EC3">
        <w:rPr>
          <w:rFonts w:asciiTheme="minorHAnsi" w:hAnsiTheme="minorHAnsi"/>
          <w:color w:val="auto"/>
          <w:szCs w:val="24"/>
        </w:rPr>
        <w:t xml:space="preserve">(MOS) </w:t>
      </w:r>
      <w:r w:rsidRPr="00300F64">
        <w:rPr>
          <w:rFonts w:asciiTheme="minorHAnsi" w:hAnsiTheme="minorHAnsi"/>
          <w:color w:val="auto"/>
          <w:szCs w:val="24"/>
        </w:rPr>
        <w:t xml:space="preserve">or meet physical fitness standards.  He was issued a </w:t>
      </w:r>
      <w:r w:rsidRPr="00C85EC3">
        <w:rPr>
          <w:rFonts w:asciiTheme="minorHAnsi" w:hAnsiTheme="minorHAnsi"/>
          <w:color w:val="auto"/>
          <w:szCs w:val="24"/>
        </w:rPr>
        <w:t>permanent</w:t>
      </w:r>
      <w:r w:rsidR="00881427">
        <w:rPr>
          <w:rFonts w:asciiTheme="minorHAnsi" w:hAnsiTheme="minorHAnsi"/>
          <w:color w:val="auto"/>
          <w:szCs w:val="24"/>
        </w:rPr>
        <w:t xml:space="preserve"> </w:t>
      </w:r>
      <w:r w:rsidR="009C0963">
        <w:rPr>
          <w:rFonts w:asciiTheme="minorHAnsi" w:hAnsiTheme="minorHAnsi"/>
          <w:color w:val="auto"/>
          <w:szCs w:val="24"/>
        </w:rPr>
        <w:t>L</w:t>
      </w:r>
      <w:r w:rsidR="00C85EC3" w:rsidRPr="00C85EC3">
        <w:rPr>
          <w:rFonts w:asciiTheme="minorHAnsi" w:hAnsiTheme="minorHAnsi"/>
          <w:color w:val="auto"/>
          <w:szCs w:val="24"/>
        </w:rPr>
        <w:t xml:space="preserve">3 profile </w:t>
      </w:r>
      <w:r w:rsidRPr="00300F64">
        <w:rPr>
          <w:rFonts w:asciiTheme="minorHAnsi" w:hAnsiTheme="minorHAnsi"/>
          <w:color w:val="auto"/>
          <w:szCs w:val="24"/>
        </w:rPr>
        <w:t>and underwent a Medical Evaluation Board (MEB).</w:t>
      </w:r>
      <w:r w:rsidR="009C0963">
        <w:rPr>
          <w:rFonts w:asciiTheme="minorHAnsi" w:hAnsiTheme="minorHAnsi"/>
          <w:color w:val="auto"/>
          <w:szCs w:val="24"/>
        </w:rPr>
        <w:t xml:space="preserve"> </w:t>
      </w:r>
      <w:r w:rsidR="00881427">
        <w:rPr>
          <w:rFonts w:asciiTheme="minorHAnsi" w:hAnsiTheme="minorHAnsi"/>
          <w:color w:val="auto"/>
          <w:szCs w:val="24"/>
        </w:rPr>
        <w:t xml:space="preserve"> </w:t>
      </w:r>
      <w:r w:rsidR="00C85EC3">
        <w:rPr>
          <w:rFonts w:asciiTheme="minorHAnsi" w:hAnsiTheme="minorHAnsi"/>
          <w:color w:val="auto"/>
          <w:szCs w:val="24"/>
        </w:rPr>
        <w:t>Chronic</w:t>
      </w:r>
      <w:r w:rsidR="00250008">
        <w:rPr>
          <w:rFonts w:asciiTheme="minorHAnsi" w:hAnsiTheme="minorHAnsi"/>
          <w:color w:val="auto"/>
          <w:szCs w:val="24"/>
        </w:rPr>
        <w:t xml:space="preserve"> right</w:t>
      </w:r>
      <w:r w:rsidR="00C85EC3">
        <w:rPr>
          <w:rFonts w:asciiTheme="minorHAnsi" w:hAnsiTheme="minorHAnsi"/>
          <w:color w:val="auto"/>
          <w:szCs w:val="24"/>
        </w:rPr>
        <w:t xml:space="preserve"> ankle</w:t>
      </w:r>
      <w:r w:rsidR="00250008">
        <w:rPr>
          <w:rFonts w:asciiTheme="minorHAnsi" w:hAnsiTheme="minorHAnsi"/>
          <w:color w:val="auto"/>
          <w:szCs w:val="24"/>
        </w:rPr>
        <w:t xml:space="preserve"> pain status post arthroscopy, chronic left</w:t>
      </w:r>
      <w:r w:rsidR="00C85EC3">
        <w:rPr>
          <w:rFonts w:asciiTheme="minorHAnsi" w:hAnsiTheme="minorHAnsi"/>
          <w:color w:val="auto"/>
          <w:szCs w:val="24"/>
        </w:rPr>
        <w:t xml:space="preserve"> ankle pain status post operative repair</w:t>
      </w:r>
      <w:r w:rsidR="00250008">
        <w:rPr>
          <w:rFonts w:asciiTheme="minorHAnsi" w:hAnsiTheme="minorHAnsi"/>
          <w:color w:val="auto"/>
          <w:szCs w:val="24"/>
        </w:rPr>
        <w:t>, and bilateral ankle degenerative joint disease</w:t>
      </w:r>
      <w:r w:rsidR="006766AF">
        <w:rPr>
          <w:rFonts w:asciiTheme="minorHAnsi" w:hAnsiTheme="minorHAnsi"/>
          <w:color w:val="auto"/>
          <w:szCs w:val="24"/>
        </w:rPr>
        <w:t xml:space="preserve"> </w:t>
      </w:r>
      <w:r w:rsidR="00250008">
        <w:rPr>
          <w:rFonts w:asciiTheme="minorHAnsi" w:hAnsiTheme="minorHAnsi"/>
          <w:color w:val="auto"/>
          <w:szCs w:val="24"/>
        </w:rPr>
        <w:t>were</w:t>
      </w:r>
      <w:r w:rsidR="00031CDC">
        <w:rPr>
          <w:rFonts w:asciiTheme="minorHAnsi" w:hAnsiTheme="minorHAnsi"/>
          <w:color w:val="auto"/>
          <w:szCs w:val="24"/>
        </w:rPr>
        <w:t xml:space="preserve"> </w:t>
      </w:r>
      <w:r w:rsidRPr="00300F64">
        <w:rPr>
          <w:rFonts w:asciiTheme="minorHAnsi" w:hAnsiTheme="minorHAnsi"/>
          <w:color w:val="auto"/>
          <w:szCs w:val="24"/>
        </w:rPr>
        <w:t xml:space="preserve">forwarded to the Physical Evaluation Board (PEB) as </w:t>
      </w:r>
      <w:r w:rsidR="009C0963">
        <w:rPr>
          <w:rFonts w:asciiTheme="minorHAnsi" w:hAnsiTheme="minorHAnsi"/>
          <w:color w:val="auto"/>
          <w:szCs w:val="24"/>
        </w:rPr>
        <w:t xml:space="preserve">separate </w:t>
      </w:r>
      <w:r w:rsidRPr="00300F64">
        <w:rPr>
          <w:rFonts w:asciiTheme="minorHAnsi" w:hAnsiTheme="minorHAnsi"/>
          <w:color w:val="auto"/>
          <w:szCs w:val="24"/>
        </w:rPr>
        <w:t xml:space="preserve">medically unacceptable </w:t>
      </w:r>
      <w:r w:rsidR="009C0963">
        <w:rPr>
          <w:rFonts w:asciiTheme="minorHAnsi" w:hAnsiTheme="minorHAnsi"/>
          <w:color w:val="auto"/>
          <w:szCs w:val="24"/>
        </w:rPr>
        <w:t xml:space="preserve">conditions </w:t>
      </w:r>
      <w:r w:rsidRPr="00300F64">
        <w:rPr>
          <w:rFonts w:asciiTheme="minorHAnsi" w:hAnsiTheme="minorHAnsi"/>
          <w:color w:val="auto"/>
          <w:szCs w:val="24"/>
        </w:rPr>
        <w:t xml:space="preserve">IAW </w:t>
      </w:r>
      <w:r w:rsidRPr="00C85EC3">
        <w:rPr>
          <w:rFonts w:asciiTheme="minorHAnsi" w:hAnsiTheme="minorHAnsi"/>
          <w:color w:val="auto"/>
          <w:szCs w:val="24"/>
        </w:rPr>
        <w:t>AR 40-501</w:t>
      </w:r>
      <w:r w:rsidR="00C85EC3">
        <w:rPr>
          <w:rFonts w:asciiTheme="minorHAnsi" w:hAnsiTheme="minorHAnsi"/>
          <w:color w:val="auto"/>
          <w:szCs w:val="24"/>
        </w:rPr>
        <w:t>.</w:t>
      </w:r>
      <w:r w:rsidR="00054AC8" w:rsidRPr="00054AC8">
        <w:rPr>
          <w:rFonts w:asciiTheme="minorHAnsi" w:hAnsiTheme="minorHAnsi"/>
          <w:color w:val="auto"/>
          <w:szCs w:val="24"/>
        </w:rPr>
        <w:t xml:space="preserve"> </w:t>
      </w:r>
      <w:r w:rsidR="00D55C13">
        <w:rPr>
          <w:rFonts w:asciiTheme="minorHAnsi" w:hAnsiTheme="minorHAnsi"/>
          <w:color w:val="auto"/>
          <w:szCs w:val="24"/>
        </w:rPr>
        <w:t xml:space="preserve"> </w:t>
      </w:r>
      <w:r w:rsidR="00054AC8">
        <w:rPr>
          <w:rFonts w:asciiTheme="minorHAnsi" w:hAnsiTheme="minorHAnsi"/>
          <w:color w:val="auto"/>
          <w:szCs w:val="24"/>
        </w:rPr>
        <w:t>Other conditions included in the Disability Evaluation System (DES) file will be discussed below.</w:t>
      </w:r>
      <w:r w:rsidR="00D55C13">
        <w:rPr>
          <w:rFonts w:asciiTheme="minorHAnsi" w:hAnsiTheme="minorHAnsi"/>
          <w:color w:val="auto"/>
          <w:szCs w:val="24"/>
        </w:rPr>
        <w:t xml:space="preserve"> </w:t>
      </w:r>
      <w:r w:rsidR="00054AC8" w:rsidRPr="00054AC8">
        <w:rPr>
          <w:rFonts w:asciiTheme="minorHAnsi" w:hAnsiTheme="minorHAnsi"/>
          <w:color w:val="auto"/>
          <w:szCs w:val="24"/>
        </w:rPr>
        <w:t xml:space="preserve"> </w:t>
      </w:r>
      <w:r w:rsidR="009C0963">
        <w:rPr>
          <w:rFonts w:asciiTheme="minorHAnsi" w:hAnsiTheme="minorHAnsi"/>
          <w:color w:val="auto"/>
          <w:szCs w:val="24"/>
        </w:rPr>
        <w:t xml:space="preserve">The </w:t>
      </w:r>
      <w:r w:rsidR="00054AC8">
        <w:rPr>
          <w:rFonts w:asciiTheme="minorHAnsi" w:hAnsiTheme="minorHAnsi"/>
          <w:color w:val="auto"/>
          <w:szCs w:val="24"/>
        </w:rPr>
        <w:t xml:space="preserve">PEB </w:t>
      </w:r>
      <w:r w:rsidR="009C0963">
        <w:rPr>
          <w:rFonts w:asciiTheme="minorHAnsi" w:hAnsiTheme="minorHAnsi"/>
          <w:color w:val="auto"/>
          <w:szCs w:val="24"/>
        </w:rPr>
        <w:t>combined the MEB diagnoses as a single</w:t>
      </w:r>
      <w:r w:rsidR="00054AC8">
        <w:rPr>
          <w:rFonts w:asciiTheme="minorHAnsi" w:hAnsiTheme="minorHAnsi"/>
          <w:color w:val="auto"/>
          <w:szCs w:val="24"/>
        </w:rPr>
        <w:t xml:space="preserve"> unfitting</w:t>
      </w:r>
      <w:r w:rsidR="00573FA3">
        <w:rPr>
          <w:rFonts w:asciiTheme="minorHAnsi" w:hAnsiTheme="minorHAnsi"/>
          <w:color w:val="auto"/>
          <w:szCs w:val="24"/>
        </w:rPr>
        <w:t xml:space="preserve"> condition, </w:t>
      </w:r>
      <w:r w:rsidR="009C0963">
        <w:rPr>
          <w:rFonts w:asciiTheme="minorHAnsi" w:hAnsiTheme="minorHAnsi"/>
          <w:color w:val="auto"/>
          <w:szCs w:val="24"/>
        </w:rPr>
        <w:t>bilateral ankle pain status post surgical reconstruction</w:t>
      </w:r>
      <w:r w:rsidR="00054AC8">
        <w:rPr>
          <w:rFonts w:asciiTheme="minorHAnsi" w:hAnsiTheme="minorHAnsi"/>
          <w:color w:val="auto"/>
          <w:szCs w:val="24"/>
        </w:rPr>
        <w:t xml:space="preserve">, rated 10%, with application of </w:t>
      </w:r>
      <w:r w:rsidR="00054AC8" w:rsidRPr="00054AC8">
        <w:rPr>
          <w:rFonts w:asciiTheme="minorHAnsi" w:hAnsiTheme="minorHAnsi"/>
          <w:color w:val="auto"/>
          <w:szCs w:val="24"/>
        </w:rPr>
        <w:t>the US Army Physical Disability Agency (USAPDA) pain policy.</w:t>
      </w:r>
      <w:r w:rsidR="00D55C13">
        <w:rPr>
          <w:rFonts w:asciiTheme="minorHAnsi" w:hAnsiTheme="minorHAnsi"/>
          <w:color w:val="auto"/>
          <w:szCs w:val="24"/>
        </w:rPr>
        <w:t xml:space="preserve"> </w:t>
      </w:r>
      <w:r w:rsidR="00054AC8" w:rsidRPr="00054AC8">
        <w:rPr>
          <w:rFonts w:asciiTheme="minorHAnsi" w:hAnsiTheme="minorHAnsi"/>
          <w:color w:val="auto"/>
          <w:szCs w:val="24"/>
        </w:rPr>
        <w:t xml:space="preserve"> </w:t>
      </w:r>
      <w:r w:rsidR="00054AC8">
        <w:rPr>
          <w:rFonts w:asciiTheme="minorHAnsi" w:hAnsiTheme="minorHAnsi"/>
          <w:color w:val="auto"/>
          <w:szCs w:val="24"/>
        </w:rPr>
        <w:t>The CI made no appeals and was medically separated with a 10% rating.</w:t>
      </w:r>
    </w:p>
    <w:p w:rsidR="00300F64" w:rsidRDefault="00300F64" w:rsidP="00300F64">
      <w:pPr>
        <w:pBdr>
          <w:bottom w:val="single" w:sz="12" w:space="1" w:color="auto"/>
        </w:pBdr>
        <w:tabs>
          <w:tab w:val="left" w:pos="288"/>
          <w:tab w:val="left" w:pos="4752"/>
        </w:tabs>
        <w:spacing w:line="240" w:lineRule="exact"/>
        <w:jc w:val="both"/>
        <w:rPr>
          <w:rFonts w:asciiTheme="minorHAnsi" w:hAnsiTheme="minorHAnsi"/>
          <w:color w:val="auto"/>
          <w:szCs w:val="24"/>
        </w:rPr>
      </w:pPr>
    </w:p>
    <w:p w:rsidR="00300F64" w:rsidRDefault="00300F64" w:rsidP="00AF1668">
      <w:pPr>
        <w:tabs>
          <w:tab w:val="left" w:pos="288"/>
          <w:tab w:val="left" w:pos="4752"/>
        </w:tabs>
        <w:spacing w:line="240" w:lineRule="exact"/>
        <w:rPr>
          <w:rFonts w:ascii="Calibri" w:hAnsi="Calibri"/>
          <w:color w:val="auto"/>
          <w:u w:val="single"/>
        </w:rPr>
      </w:pPr>
    </w:p>
    <w:p w:rsidR="00300F64" w:rsidRPr="00AE7F82" w:rsidRDefault="002C6E5B" w:rsidP="00300F64">
      <w:pPr>
        <w:tabs>
          <w:tab w:val="left" w:pos="288"/>
          <w:tab w:val="left" w:pos="4752"/>
        </w:tabs>
        <w:spacing w:line="240" w:lineRule="exact"/>
        <w:jc w:val="both"/>
        <w:rPr>
          <w:rFonts w:ascii="Calibri" w:hAnsi="Calibri"/>
          <w:color w:val="auto"/>
          <w:szCs w:val="24"/>
          <w:highlight w:val="cyan"/>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7B5778">
        <w:rPr>
          <w:rFonts w:ascii="Calibri" w:hAnsi="Calibri"/>
          <w:color w:val="auto"/>
          <w:szCs w:val="24"/>
        </w:rPr>
        <w:t>“</w:t>
      </w:r>
      <w:r w:rsidR="0020695C">
        <w:rPr>
          <w:rFonts w:ascii="Calibri" w:hAnsi="Calibri"/>
          <w:color w:val="auto"/>
          <w:szCs w:val="24"/>
        </w:rPr>
        <w:t>Disability rating was issued for only one ankle and did not take into consideration radiating effects.  MEB was for bilateral ankle recon</w:t>
      </w:r>
      <w:r w:rsidR="00553534">
        <w:rPr>
          <w:rFonts w:ascii="Calibri" w:hAnsi="Calibri"/>
          <w:color w:val="auto"/>
          <w:szCs w:val="24"/>
        </w:rPr>
        <w:t>struction issues.  Additionally</w:t>
      </w:r>
      <w:r w:rsidR="0020695C">
        <w:rPr>
          <w:rFonts w:ascii="Calibri" w:hAnsi="Calibri"/>
          <w:color w:val="auto"/>
          <w:szCs w:val="24"/>
        </w:rPr>
        <w:t xml:space="preserve"> </w:t>
      </w:r>
      <w:r w:rsidR="00553534">
        <w:rPr>
          <w:rFonts w:ascii="Calibri" w:hAnsi="Calibri"/>
          <w:color w:val="auto"/>
          <w:szCs w:val="24"/>
        </w:rPr>
        <w:t xml:space="preserve">there are </w:t>
      </w:r>
      <w:r w:rsidR="0020695C">
        <w:rPr>
          <w:rFonts w:ascii="Calibri" w:hAnsi="Calibri"/>
          <w:color w:val="auto"/>
          <w:szCs w:val="24"/>
        </w:rPr>
        <w:t xml:space="preserve">radiating problems to knees, hips, and back due to transfer of weight and gait.  The VA will not give me additional ratings for my knees, hips or back because they were not included as problems in my med records prior to discharge.  As a Medic, I self-treated most issues.  </w:t>
      </w:r>
      <w:r w:rsidR="0020695C" w:rsidRPr="00FE7AD2">
        <w:rPr>
          <w:rFonts w:ascii="Calibri" w:hAnsi="Calibri"/>
          <w:color w:val="auto"/>
          <w:szCs w:val="24"/>
        </w:rPr>
        <w:t xml:space="preserve">I had been prescribed </w:t>
      </w:r>
      <w:proofErr w:type="spellStart"/>
      <w:r w:rsidR="00D55C13" w:rsidRPr="00FE7AD2">
        <w:rPr>
          <w:rFonts w:ascii="Calibri" w:hAnsi="Calibri"/>
          <w:color w:val="auto"/>
          <w:szCs w:val="24"/>
        </w:rPr>
        <w:t>levequin</w:t>
      </w:r>
      <w:proofErr w:type="spellEnd"/>
      <w:r w:rsidR="00D55C13" w:rsidRPr="00FE7AD2">
        <w:rPr>
          <w:rFonts w:ascii="Calibri" w:hAnsi="Calibri"/>
          <w:color w:val="auto"/>
          <w:szCs w:val="24"/>
        </w:rPr>
        <w:t xml:space="preserve"> to treat bronchitis </w:t>
      </w:r>
      <w:r w:rsidR="0020695C" w:rsidRPr="00FE7AD2">
        <w:rPr>
          <w:rFonts w:ascii="Calibri" w:hAnsi="Calibri"/>
          <w:color w:val="auto"/>
          <w:szCs w:val="24"/>
        </w:rPr>
        <w:t>throughout my military service.</w:t>
      </w:r>
      <w:r w:rsidR="00D55C13">
        <w:rPr>
          <w:rFonts w:ascii="Calibri" w:hAnsi="Calibri"/>
          <w:color w:val="auto"/>
          <w:szCs w:val="24"/>
        </w:rPr>
        <w:t xml:space="preserve"> </w:t>
      </w:r>
      <w:r w:rsidR="0020695C" w:rsidRPr="00FE7AD2">
        <w:rPr>
          <w:rFonts w:ascii="Calibri" w:hAnsi="Calibri"/>
          <w:color w:val="auto"/>
          <w:szCs w:val="24"/>
        </w:rPr>
        <w:t xml:space="preserve"> This medication has been proven to be a leading cause to</w:t>
      </w:r>
      <w:r w:rsidR="0020695C">
        <w:rPr>
          <w:rFonts w:ascii="Calibri" w:hAnsi="Calibri"/>
          <w:color w:val="auto"/>
          <w:szCs w:val="24"/>
        </w:rPr>
        <w:t xml:space="preserve"> </w:t>
      </w:r>
      <w:r w:rsidR="0020695C" w:rsidRPr="00FE7AD2">
        <w:rPr>
          <w:rFonts w:ascii="Calibri" w:hAnsi="Calibri"/>
          <w:color w:val="auto"/>
          <w:szCs w:val="24"/>
        </w:rPr>
        <w:t xml:space="preserve">tendon weakness/tears. </w:t>
      </w:r>
      <w:r w:rsidR="00D55C13">
        <w:rPr>
          <w:rFonts w:ascii="Calibri" w:hAnsi="Calibri"/>
          <w:color w:val="auto"/>
          <w:szCs w:val="24"/>
        </w:rPr>
        <w:t xml:space="preserve"> </w:t>
      </w:r>
      <w:r w:rsidR="0020695C" w:rsidRPr="00FE7AD2">
        <w:rPr>
          <w:rFonts w:ascii="Calibri" w:hAnsi="Calibri"/>
          <w:color w:val="auto"/>
          <w:szCs w:val="24"/>
        </w:rPr>
        <w:t xml:space="preserve">I had </w:t>
      </w:r>
      <w:r w:rsidR="00D55C13" w:rsidRPr="00FE7AD2">
        <w:rPr>
          <w:rFonts w:ascii="Calibri" w:hAnsi="Calibri"/>
          <w:color w:val="auto"/>
          <w:szCs w:val="24"/>
        </w:rPr>
        <w:t xml:space="preserve">bi-lateral </w:t>
      </w:r>
      <w:r w:rsidR="0020695C" w:rsidRPr="00FE7AD2">
        <w:rPr>
          <w:rFonts w:ascii="Calibri" w:hAnsi="Calibri"/>
          <w:color w:val="auto"/>
          <w:szCs w:val="24"/>
        </w:rPr>
        <w:t xml:space="preserve">ankle reconstruction surgery, </w:t>
      </w:r>
      <w:r w:rsidR="00D55C13" w:rsidRPr="00FE7AD2">
        <w:rPr>
          <w:rFonts w:ascii="Calibri" w:hAnsi="Calibri"/>
          <w:color w:val="auto"/>
          <w:szCs w:val="24"/>
        </w:rPr>
        <w:t>bi-lateral flat feet, and 60% of</w:t>
      </w:r>
      <w:r w:rsidR="00D55C13">
        <w:rPr>
          <w:rFonts w:ascii="Calibri" w:hAnsi="Calibri"/>
          <w:color w:val="auto"/>
          <w:szCs w:val="24"/>
        </w:rPr>
        <w:t xml:space="preserve"> </w:t>
      </w:r>
      <w:r w:rsidR="00D55C13" w:rsidRPr="00FE7AD2">
        <w:rPr>
          <w:rFonts w:ascii="Calibri" w:hAnsi="Calibri"/>
          <w:color w:val="auto"/>
          <w:szCs w:val="24"/>
        </w:rPr>
        <w:t xml:space="preserve">my body covered in </w:t>
      </w:r>
      <w:proofErr w:type="spellStart"/>
      <w:r w:rsidR="00D55C13" w:rsidRPr="00FE7AD2">
        <w:rPr>
          <w:rFonts w:ascii="Calibri" w:hAnsi="Calibri"/>
          <w:color w:val="auto"/>
          <w:szCs w:val="24"/>
        </w:rPr>
        <w:t>lypomas</w:t>
      </w:r>
      <w:proofErr w:type="spellEnd"/>
      <w:r w:rsidR="00D55C13">
        <w:rPr>
          <w:rFonts w:ascii="Calibri" w:hAnsi="Calibri"/>
          <w:color w:val="auto"/>
          <w:szCs w:val="24"/>
        </w:rPr>
        <w:t xml:space="preserve"> </w:t>
      </w:r>
      <w:r w:rsidR="00B6726B">
        <w:rPr>
          <w:rFonts w:ascii="Calibri" w:hAnsi="Calibri"/>
          <w:color w:val="auto"/>
          <w:szCs w:val="24"/>
        </w:rPr>
        <w:t>[sic]</w:t>
      </w:r>
      <w:r w:rsidR="0020695C" w:rsidRPr="00FE7AD2">
        <w:rPr>
          <w:rFonts w:ascii="Calibri" w:hAnsi="Calibri"/>
          <w:color w:val="auto"/>
          <w:szCs w:val="24"/>
        </w:rPr>
        <w:t>. Not to</w:t>
      </w:r>
      <w:r w:rsidR="0020695C">
        <w:rPr>
          <w:rFonts w:ascii="Calibri" w:hAnsi="Calibri"/>
          <w:color w:val="auto"/>
          <w:szCs w:val="24"/>
        </w:rPr>
        <w:t xml:space="preserve"> </w:t>
      </w:r>
      <w:r w:rsidR="00D55C13" w:rsidRPr="00FE7AD2">
        <w:rPr>
          <w:rFonts w:ascii="Calibri" w:hAnsi="Calibri"/>
          <w:color w:val="auto"/>
          <w:szCs w:val="24"/>
        </w:rPr>
        <w:t>mention acid reflux from years of</w:t>
      </w:r>
      <w:r w:rsidR="00D55C13">
        <w:rPr>
          <w:rFonts w:ascii="Calibri" w:hAnsi="Calibri"/>
          <w:color w:val="auto"/>
          <w:szCs w:val="24"/>
        </w:rPr>
        <w:t xml:space="preserve"> </w:t>
      </w:r>
      <w:proofErr w:type="spellStart"/>
      <w:r w:rsidR="00D55C13" w:rsidRPr="00FE7AD2">
        <w:rPr>
          <w:rFonts w:ascii="Calibri" w:hAnsi="Calibri"/>
          <w:color w:val="auto"/>
          <w:szCs w:val="24"/>
        </w:rPr>
        <w:t>motrin</w:t>
      </w:r>
      <w:proofErr w:type="spellEnd"/>
      <w:r w:rsidR="00D55C13" w:rsidRPr="00FE7AD2">
        <w:rPr>
          <w:rFonts w:ascii="Calibri" w:hAnsi="Calibri"/>
          <w:color w:val="auto"/>
          <w:szCs w:val="24"/>
        </w:rPr>
        <w:t xml:space="preserve"> treatment </w:t>
      </w:r>
      <w:r w:rsidR="0020695C" w:rsidRPr="00FE7AD2">
        <w:rPr>
          <w:rFonts w:ascii="Calibri" w:hAnsi="Calibri"/>
          <w:color w:val="auto"/>
          <w:szCs w:val="24"/>
        </w:rPr>
        <w:t xml:space="preserve">for all my ailments. </w:t>
      </w:r>
      <w:r w:rsidR="00D55C13">
        <w:rPr>
          <w:rFonts w:ascii="Calibri" w:hAnsi="Calibri"/>
          <w:color w:val="auto"/>
          <w:szCs w:val="24"/>
        </w:rPr>
        <w:t xml:space="preserve"> </w:t>
      </w:r>
      <w:r w:rsidR="0020695C" w:rsidRPr="00FE7AD2">
        <w:rPr>
          <w:rFonts w:ascii="Calibri" w:hAnsi="Calibri"/>
          <w:color w:val="auto"/>
          <w:szCs w:val="24"/>
        </w:rPr>
        <w:t xml:space="preserve">I also have </w:t>
      </w:r>
      <w:r w:rsidR="00D55C13" w:rsidRPr="00FE7AD2">
        <w:rPr>
          <w:rFonts w:ascii="Calibri" w:hAnsi="Calibri"/>
          <w:color w:val="auto"/>
          <w:szCs w:val="24"/>
        </w:rPr>
        <w:t xml:space="preserve">bi-lateral knee, back, </w:t>
      </w:r>
      <w:r w:rsidR="0020695C" w:rsidRPr="00FE7AD2">
        <w:rPr>
          <w:rFonts w:ascii="Calibri" w:hAnsi="Calibri"/>
          <w:color w:val="auto"/>
          <w:szCs w:val="24"/>
        </w:rPr>
        <w:t xml:space="preserve">and hip pain as a secondary to </w:t>
      </w:r>
      <w:r w:rsidR="0020695C">
        <w:rPr>
          <w:rFonts w:ascii="Calibri" w:hAnsi="Calibri"/>
          <w:color w:val="auto"/>
          <w:szCs w:val="24"/>
        </w:rPr>
        <w:t>m</w:t>
      </w:r>
      <w:r w:rsidR="0020695C" w:rsidRPr="00FE7AD2">
        <w:rPr>
          <w:rFonts w:ascii="Calibri" w:hAnsi="Calibri"/>
          <w:color w:val="auto"/>
          <w:szCs w:val="24"/>
        </w:rPr>
        <w:t>y</w:t>
      </w:r>
      <w:r w:rsidR="0020695C">
        <w:rPr>
          <w:rFonts w:ascii="Calibri" w:hAnsi="Calibri"/>
          <w:color w:val="auto"/>
          <w:szCs w:val="24"/>
        </w:rPr>
        <w:t xml:space="preserve"> </w:t>
      </w:r>
      <w:r w:rsidR="0020695C" w:rsidRPr="00FE7AD2">
        <w:rPr>
          <w:rFonts w:ascii="Calibri" w:hAnsi="Calibri"/>
          <w:color w:val="auto"/>
          <w:szCs w:val="24"/>
        </w:rPr>
        <w:t xml:space="preserve">ankles. </w:t>
      </w:r>
      <w:r w:rsidR="00857B4B">
        <w:rPr>
          <w:rFonts w:ascii="Calibri" w:hAnsi="Calibri"/>
          <w:color w:val="auto"/>
          <w:szCs w:val="24"/>
        </w:rPr>
        <w:t xml:space="preserve">… </w:t>
      </w:r>
      <w:r w:rsidR="0020695C" w:rsidRPr="00FE7AD2">
        <w:rPr>
          <w:rFonts w:ascii="Calibri" w:hAnsi="Calibri"/>
          <w:color w:val="auto"/>
          <w:szCs w:val="24"/>
        </w:rPr>
        <w:t>I asked for multiple issues to be a part</w:t>
      </w:r>
      <w:r w:rsidR="0020695C">
        <w:rPr>
          <w:rFonts w:ascii="Calibri" w:hAnsi="Calibri"/>
          <w:color w:val="auto"/>
          <w:szCs w:val="24"/>
        </w:rPr>
        <w:t xml:space="preserve"> </w:t>
      </w:r>
      <w:r w:rsidR="0020695C" w:rsidRPr="00FE7AD2">
        <w:rPr>
          <w:rFonts w:ascii="Calibri" w:hAnsi="Calibri"/>
          <w:color w:val="auto"/>
          <w:szCs w:val="24"/>
        </w:rPr>
        <w:t>of</w:t>
      </w:r>
      <w:r w:rsidR="0020695C">
        <w:rPr>
          <w:rFonts w:ascii="Calibri" w:hAnsi="Calibri"/>
          <w:color w:val="auto"/>
          <w:szCs w:val="24"/>
        </w:rPr>
        <w:t xml:space="preserve"> </w:t>
      </w:r>
      <w:r w:rsidR="0020695C" w:rsidRPr="00FE7AD2">
        <w:rPr>
          <w:rFonts w:ascii="Calibri" w:hAnsi="Calibri"/>
          <w:color w:val="auto"/>
          <w:szCs w:val="24"/>
        </w:rPr>
        <w:t xml:space="preserve">my MEB. </w:t>
      </w:r>
      <w:r w:rsidR="00D55C13">
        <w:rPr>
          <w:rFonts w:ascii="Calibri" w:hAnsi="Calibri"/>
          <w:color w:val="auto"/>
          <w:szCs w:val="24"/>
        </w:rPr>
        <w:t xml:space="preserve"> </w:t>
      </w:r>
      <w:r w:rsidR="0020695C" w:rsidRPr="00FE7AD2">
        <w:rPr>
          <w:rFonts w:ascii="Calibri" w:hAnsi="Calibri"/>
          <w:color w:val="auto"/>
          <w:szCs w:val="24"/>
        </w:rPr>
        <w:t>They only allowed me to put one issue up for consideration for the MEB board.</w:t>
      </w:r>
      <w:r w:rsidR="0020695C">
        <w:rPr>
          <w:rFonts w:ascii="Calibri" w:hAnsi="Calibri"/>
          <w:color w:val="auto"/>
          <w:szCs w:val="24"/>
        </w:rPr>
        <w:t xml:space="preserve"> </w:t>
      </w:r>
      <w:r w:rsidR="00857B4B">
        <w:rPr>
          <w:rFonts w:ascii="Calibri" w:hAnsi="Calibri"/>
          <w:color w:val="auto"/>
          <w:szCs w:val="24"/>
        </w:rPr>
        <w:t xml:space="preserve">… </w:t>
      </w:r>
      <w:r w:rsidR="0020695C" w:rsidRPr="00FE7AD2">
        <w:rPr>
          <w:rFonts w:ascii="Calibri" w:hAnsi="Calibri"/>
          <w:color w:val="auto"/>
          <w:szCs w:val="24"/>
        </w:rPr>
        <w:t xml:space="preserve"> Some issues were never placed in my medical records.</w:t>
      </w:r>
      <w:r w:rsidR="00857B4B">
        <w:rPr>
          <w:rFonts w:ascii="Calibri" w:hAnsi="Calibri"/>
          <w:color w:val="auto"/>
          <w:szCs w:val="24"/>
        </w:rPr>
        <w:t xml:space="preserve">”  </w:t>
      </w:r>
    </w:p>
    <w:p w:rsidR="004216A2" w:rsidRDefault="002E289F" w:rsidP="004216A2">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3D66FA" w:rsidRDefault="003D66FA" w:rsidP="004216A2">
      <w:pPr>
        <w:tabs>
          <w:tab w:val="left" w:pos="288"/>
          <w:tab w:val="left" w:pos="4752"/>
        </w:tabs>
        <w:spacing w:line="240" w:lineRule="exact"/>
        <w:jc w:val="both"/>
        <w:rPr>
          <w:rFonts w:ascii="Calibri" w:hAnsi="Calibri"/>
          <w:color w:val="auto"/>
          <w:u w:val="single"/>
        </w:rPr>
      </w:pPr>
    </w:p>
    <w:p w:rsidR="002338CA" w:rsidRPr="004216A2" w:rsidRDefault="002C6E5B" w:rsidP="004216A2">
      <w:pPr>
        <w:tabs>
          <w:tab w:val="left" w:pos="288"/>
          <w:tab w:val="left" w:pos="4752"/>
        </w:tabs>
        <w:spacing w:line="240" w:lineRule="exact"/>
        <w:jc w:val="both"/>
        <w:rPr>
          <w:rFonts w:asciiTheme="minorHAnsi" w:hAnsiTheme="minorHAnsi"/>
          <w:b/>
          <w:caps/>
          <w:color w:val="auto"/>
          <w:u w:val="single"/>
        </w:rPr>
      </w:pPr>
      <w:r w:rsidRPr="00542C9A">
        <w:rPr>
          <w:rFonts w:ascii="Calibri" w:hAnsi="Calibri"/>
          <w:color w:val="auto"/>
          <w:u w:val="single"/>
        </w:rPr>
        <w:t>RATING COMPARISON</w:t>
      </w:r>
      <w:r w:rsidRPr="00542C9A">
        <w:rPr>
          <w:rFonts w:ascii="Calibri" w:hAnsi="Calibri"/>
          <w:color w:val="auto"/>
        </w:rPr>
        <w:t>:</w:t>
      </w:r>
    </w:p>
    <w:p w:rsidR="006E10D3" w:rsidRDefault="006E10D3" w:rsidP="00190E48">
      <w:pPr>
        <w:spacing w:line="240" w:lineRule="exact"/>
        <w:jc w:val="both"/>
        <w:rPr>
          <w:rFonts w:ascii="Calibri" w:hAnsi="Calibri"/>
          <w:color w:val="auto"/>
        </w:rPr>
      </w:pPr>
    </w:p>
    <w:tbl>
      <w:tblPr>
        <w:tblStyle w:val="TableGrid"/>
        <w:tblW w:w="9308" w:type="dxa"/>
        <w:jc w:val="center"/>
        <w:tblInd w:w="-101" w:type="dxa"/>
        <w:tblLayout w:type="fixed"/>
        <w:tblLook w:val="04A0"/>
      </w:tblPr>
      <w:tblGrid>
        <w:gridCol w:w="2249"/>
        <w:gridCol w:w="1091"/>
        <w:gridCol w:w="810"/>
        <w:gridCol w:w="2574"/>
        <w:gridCol w:w="720"/>
        <w:gridCol w:w="810"/>
        <w:gridCol w:w="1054"/>
      </w:tblGrid>
      <w:tr w:rsidR="006E10D3" w:rsidRPr="002A685E" w:rsidTr="00857B4B">
        <w:trPr>
          <w:trHeight w:val="233"/>
          <w:jc w:val="center"/>
        </w:trPr>
        <w:tc>
          <w:tcPr>
            <w:tcW w:w="4150" w:type="dxa"/>
            <w:gridSpan w:val="3"/>
            <w:tcBorders>
              <w:right w:val="thinThickThinSmallGap" w:sz="24" w:space="0" w:color="auto"/>
            </w:tcBorders>
            <w:shd w:val="clear" w:color="auto" w:fill="D9D9D9" w:themeFill="background1" w:themeFillShade="D9"/>
          </w:tcPr>
          <w:p w:rsidR="006E10D3" w:rsidRPr="0085089F" w:rsidRDefault="006E10D3" w:rsidP="009648B3">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PEB – Dated </w:t>
            </w:r>
            <w:r>
              <w:rPr>
                <w:rFonts w:cs="Times New Roman"/>
                <w:b/>
                <w:sz w:val="20"/>
                <w:szCs w:val="20"/>
              </w:rPr>
              <w:t>20010723</w:t>
            </w:r>
          </w:p>
        </w:tc>
        <w:tc>
          <w:tcPr>
            <w:tcW w:w="5158" w:type="dxa"/>
            <w:gridSpan w:val="4"/>
            <w:tcBorders>
              <w:left w:val="thinThickThinSmallGap" w:sz="24" w:space="0" w:color="auto"/>
            </w:tcBorders>
            <w:shd w:val="clear" w:color="auto" w:fill="D9D9D9" w:themeFill="background1" w:themeFillShade="D9"/>
          </w:tcPr>
          <w:p w:rsidR="006E10D3" w:rsidRPr="0085089F" w:rsidRDefault="006E10D3" w:rsidP="00B94BCE">
            <w:pPr>
              <w:pStyle w:val="ListParagraph"/>
              <w:spacing w:after="0" w:line="240" w:lineRule="exact"/>
              <w:ind w:left="0"/>
              <w:jc w:val="center"/>
              <w:rPr>
                <w:rFonts w:cs="Times New Roman"/>
                <w:b/>
                <w:sz w:val="20"/>
                <w:szCs w:val="20"/>
              </w:rPr>
            </w:pPr>
            <w:r w:rsidRPr="0085089F">
              <w:rPr>
                <w:rFonts w:cs="Times New Roman"/>
                <w:b/>
                <w:sz w:val="20"/>
                <w:szCs w:val="20"/>
              </w:rPr>
              <w:t>VA (</w:t>
            </w:r>
            <w:r w:rsidR="00B94BCE">
              <w:rPr>
                <w:rFonts w:cs="Times New Roman"/>
                <w:b/>
                <w:sz w:val="20"/>
                <w:szCs w:val="20"/>
              </w:rPr>
              <w:t>5</w:t>
            </w:r>
            <w:r w:rsidR="00800A76">
              <w:rPr>
                <w:rFonts w:cs="Times New Roman"/>
                <w:b/>
                <w:sz w:val="20"/>
                <w:szCs w:val="20"/>
              </w:rPr>
              <w:t xml:space="preserve"> </w:t>
            </w:r>
            <w:r w:rsidRPr="0085089F">
              <w:rPr>
                <w:rFonts w:cs="Times New Roman"/>
                <w:b/>
                <w:sz w:val="20"/>
                <w:szCs w:val="20"/>
              </w:rPr>
              <w:t xml:space="preserve">Mo. </w:t>
            </w:r>
            <w:r w:rsidR="00B94BCE">
              <w:rPr>
                <w:rFonts w:cs="Times New Roman"/>
                <w:b/>
                <w:sz w:val="20"/>
                <w:szCs w:val="20"/>
              </w:rPr>
              <w:t>Prior to</w:t>
            </w:r>
            <w:r w:rsidRPr="0085089F">
              <w:rPr>
                <w:rFonts w:cs="Times New Roman"/>
                <w:b/>
                <w:sz w:val="20"/>
                <w:szCs w:val="20"/>
              </w:rPr>
              <w:t xml:space="preserve"> Separation) – Effective </w:t>
            </w:r>
            <w:r>
              <w:rPr>
                <w:rFonts w:cs="Times New Roman"/>
                <w:b/>
                <w:sz w:val="20"/>
                <w:szCs w:val="20"/>
              </w:rPr>
              <w:t>20011021</w:t>
            </w:r>
          </w:p>
        </w:tc>
      </w:tr>
      <w:tr w:rsidR="006E10D3" w:rsidRPr="002A685E" w:rsidTr="00857B4B">
        <w:trPr>
          <w:trHeight w:val="233"/>
          <w:jc w:val="center"/>
        </w:trPr>
        <w:tc>
          <w:tcPr>
            <w:tcW w:w="2249" w:type="dxa"/>
            <w:tcBorders>
              <w:bottom w:val="single" w:sz="4" w:space="0" w:color="000000" w:themeColor="text1"/>
            </w:tcBorders>
            <w:shd w:val="clear" w:color="auto" w:fill="D9D9D9" w:themeFill="background1" w:themeFillShade="D9"/>
          </w:tcPr>
          <w:p w:rsidR="006E10D3" w:rsidRPr="0085089F" w:rsidRDefault="006E10D3" w:rsidP="00857B4B">
            <w:pPr>
              <w:pStyle w:val="ListParagraph"/>
              <w:spacing w:after="0" w:line="240" w:lineRule="exact"/>
              <w:ind w:left="0"/>
              <w:rPr>
                <w:rFonts w:cs="Times New Roman"/>
                <w:b/>
                <w:sz w:val="20"/>
                <w:szCs w:val="20"/>
              </w:rPr>
            </w:pPr>
            <w:r w:rsidRPr="0085089F">
              <w:rPr>
                <w:rFonts w:cs="Times New Roman"/>
                <w:b/>
                <w:sz w:val="20"/>
                <w:szCs w:val="20"/>
              </w:rPr>
              <w:t>Condition</w:t>
            </w:r>
          </w:p>
        </w:tc>
        <w:tc>
          <w:tcPr>
            <w:tcW w:w="1091" w:type="dxa"/>
            <w:tcBorders>
              <w:bottom w:val="single" w:sz="4" w:space="0" w:color="000000" w:themeColor="text1"/>
            </w:tcBorders>
            <w:shd w:val="clear" w:color="auto" w:fill="D9D9D9" w:themeFill="background1" w:themeFillShade="D9"/>
          </w:tcPr>
          <w:p w:rsidR="006E10D3" w:rsidRPr="0085089F" w:rsidRDefault="006E10D3" w:rsidP="00863B36">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6E10D3" w:rsidRPr="0085089F" w:rsidRDefault="006E10D3" w:rsidP="00863B36">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574" w:type="dxa"/>
            <w:tcBorders>
              <w:left w:val="thinThickThinSmallGap" w:sz="24" w:space="0" w:color="auto"/>
              <w:bottom w:val="single" w:sz="4" w:space="0" w:color="000000" w:themeColor="text1"/>
            </w:tcBorders>
            <w:shd w:val="clear" w:color="auto" w:fill="D9D9D9" w:themeFill="background1" w:themeFillShade="D9"/>
          </w:tcPr>
          <w:p w:rsidR="006E10D3" w:rsidRPr="0085089F" w:rsidRDefault="006E10D3" w:rsidP="00857B4B">
            <w:pPr>
              <w:pStyle w:val="ListParagraph"/>
              <w:spacing w:after="0" w:line="240" w:lineRule="exact"/>
              <w:ind w:left="0"/>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6E10D3" w:rsidRPr="0085089F" w:rsidRDefault="006E10D3" w:rsidP="00863B36">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6E10D3" w:rsidRPr="0085089F" w:rsidRDefault="006E10D3" w:rsidP="00863B36">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54" w:type="dxa"/>
            <w:tcBorders>
              <w:bottom w:val="single" w:sz="4" w:space="0" w:color="000000" w:themeColor="text1"/>
            </w:tcBorders>
            <w:shd w:val="clear" w:color="auto" w:fill="D9D9D9" w:themeFill="background1" w:themeFillShade="D9"/>
          </w:tcPr>
          <w:p w:rsidR="006E10D3" w:rsidRPr="0085089F" w:rsidRDefault="006E10D3" w:rsidP="00863B36">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300CEE" w:rsidRPr="002A685E" w:rsidTr="00857B4B">
        <w:trPr>
          <w:trHeight w:val="170"/>
          <w:jc w:val="center"/>
        </w:trPr>
        <w:tc>
          <w:tcPr>
            <w:tcW w:w="2249" w:type="dxa"/>
            <w:vMerge w:val="restart"/>
            <w:shd w:val="clear" w:color="auto" w:fill="FFFFFF" w:themeFill="background1"/>
            <w:vAlign w:val="center"/>
          </w:tcPr>
          <w:p w:rsidR="00300CEE" w:rsidRPr="00542C9A" w:rsidRDefault="00300CEE" w:rsidP="00857B4B">
            <w:pPr>
              <w:pStyle w:val="ListParagraph"/>
              <w:spacing w:after="0" w:line="220" w:lineRule="exact"/>
              <w:ind w:left="0"/>
              <w:rPr>
                <w:rFonts w:cs="Times New Roman"/>
                <w:sz w:val="18"/>
                <w:szCs w:val="18"/>
              </w:rPr>
            </w:pPr>
            <w:r>
              <w:rPr>
                <w:rFonts w:cs="Times New Roman"/>
                <w:sz w:val="18"/>
                <w:szCs w:val="18"/>
              </w:rPr>
              <w:t>Bilateral Ankle Pain</w:t>
            </w:r>
          </w:p>
        </w:tc>
        <w:tc>
          <w:tcPr>
            <w:tcW w:w="1091" w:type="dxa"/>
            <w:vMerge w:val="restart"/>
            <w:shd w:val="clear" w:color="auto" w:fill="FFFFFF" w:themeFill="background1"/>
            <w:vAlign w:val="center"/>
          </w:tcPr>
          <w:p w:rsidR="00300CEE" w:rsidRPr="00542C9A" w:rsidRDefault="00300CEE" w:rsidP="00857B4B">
            <w:pPr>
              <w:pStyle w:val="ListParagraph"/>
              <w:spacing w:after="0" w:line="220" w:lineRule="exact"/>
              <w:ind w:left="0"/>
              <w:jc w:val="center"/>
              <w:rPr>
                <w:rFonts w:cs="Times New Roman"/>
                <w:sz w:val="18"/>
                <w:szCs w:val="18"/>
              </w:rPr>
            </w:pPr>
            <w:r>
              <w:rPr>
                <w:rFonts w:cs="Times New Roman"/>
                <w:sz w:val="18"/>
                <w:szCs w:val="18"/>
              </w:rPr>
              <w:t>5099-5003</w:t>
            </w:r>
          </w:p>
        </w:tc>
        <w:tc>
          <w:tcPr>
            <w:tcW w:w="810" w:type="dxa"/>
            <w:vMerge w:val="restart"/>
            <w:tcBorders>
              <w:right w:val="thinThickThinSmallGap" w:sz="24" w:space="0" w:color="auto"/>
            </w:tcBorders>
            <w:shd w:val="clear" w:color="auto" w:fill="FFFFFF" w:themeFill="background1"/>
            <w:vAlign w:val="center"/>
          </w:tcPr>
          <w:p w:rsidR="00300CEE" w:rsidRPr="00542C9A" w:rsidRDefault="00300CEE" w:rsidP="00857B4B">
            <w:pPr>
              <w:pStyle w:val="ListParagraph"/>
              <w:spacing w:after="0" w:line="220" w:lineRule="exact"/>
              <w:ind w:left="0"/>
              <w:jc w:val="center"/>
              <w:rPr>
                <w:rFonts w:cs="Times New Roman"/>
                <w:sz w:val="18"/>
                <w:szCs w:val="18"/>
              </w:rPr>
            </w:pPr>
            <w:r>
              <w:rPr>
                <w:rFonts w:cs="Times New Roman"/>
                <w:sz w:val="18"/>
                <w:szCs w:val="18"/>
              </w:rPr>
              <w:t>10%</w:t>
            </w:r>
          </w:p>
        </w:tc>
        <w:tc>
          <w:tcPr>
            <w:tcW w:w="2574" w:type="dxa"/>
            <w:tcBorders>
              <w:left w:val="thinThickThinSmallGap" w:sz="24" w:space="0" w:color="auto"/>
            </w:tcBorders>
            <w:shd w:val="clear" w:color="auto" w:fill="FFFFFF" w:themeFill="background1"/>
          </w:tcPr>
          <w:p w:rsidR="00300CEE" w:rsidRPr="00542C9A" w:rsidRDefault="00300CEE" w:rsidP="006F5FD3">
            <w:pPr>
              <w:pStyle w:val="ListParagraph"/>
              <w:spacing w:after="0" w:line="220" w:lineRule="exact"/>
              <w:ind w:left="0"/>
              <w:jc w:val="both"/>
              <w:rPr>
                <w:rFonts w:cs="Times New Roman"/>
                <w:sz w:val="18"/>
                <w:szCs w:val="18"/>
              </w:rPr>
            </w:pPr>
            <w:r>
              <w:rPr>
                <w:rFonts w:cs="Times New Roman"/>
                <w:sz w:val="18"/>
                <w:szCs w:val="18"/>
              </w:rPr>
              <w:t>Residuals</w:t>
            </w:r>
            <w:r w:rsidR="00031CDC">
              <w:rPr>
                <w:rFonts w:cs="Times New Roman"/>
                <w:sz w:val="18"/>
                <w:szCs w:val="18"/>
              </w:rPr>
              <w:t xml:space="preserve"> Left</w:t>
            </w:r>
            <w:r>
              <w:rPr>
                <w:rFonts w:cs="Times New Roman"/>
                <w:sz w:val="18"/>
                <w:szCs w:val="18"/>
              </w:rPr>
              <w:t xml:space="preserve"> Ankle Injury </w:t>
            </w:r>
          </w:p>
        </w:tc>
        <w:tc>
          <w:tcPr>
            <w:tcW w:w="720" w:type="dxa"/>
            <w:shd w:val="clear" w:color="auto" w:fill="FFFFFF" w:themeFill="background1"/>
          </w:tcPr>
          <w:p w:rsidR="00300CEE" w:rsidRPr="00542C9A" w:rsidRDefault="00300CEE" w:rsidP="006F5FD3">
            <w:pPr>
              <w:pStyle w:val="ListParagraph"/>
              <w:spacing w:after="0" w:line="220" w:lineRule="exact"/>
              <w:ind w:left="0"/>
              <w:jc w:val="center"/>
              <w:rPr>
                <w:rFonts w:cs="Times New Roman"/>
                <w:sz w:val="18"/>
                <w:szCs w:val="18"/>
              </w:rPr>
            </w:pPr>
            <w:r>
              <w:rPr>
                <w:rFonts w:cs="Times New Roman"/>
                <w:sz w:val="18"/>
                <w:szCs w:val="18"/>
              </w:rPr>
              <w:t>5271</w:t>
            </w:r>
          </w:p>
        </w:tc>
        <w:tc>
          <w:tcPr>
            <w:tcW w:w="810" w:type="dxa"/>
            <w:shd w:val="clear" w:color="auto" w:fill="FFFFFF" w:themeFill="background1"/>
          </w:tcPr>
          <w:p w:rsidR="00300CEE" w:rsidRPr="00542C9A" w:rsidRDefault="00031CDC" w:rsidP="006F5FD3">
            <w:pPr>
              <w:pStyle w:val="ListParagraph"/>
              <w:spacing w:after="0" w:line="220" w:lineRule="exact"/>
              <w:ind w:left="0"/>
              <w:jc w:val="center"/>
              <w:rPr>
                <w:rFonts w:cs="Times New Roman"/>
                <w:sz w:val="18"/>
                <w:szCs w:val="18"/>
              </w:rPr>
            </w:pPr>
            <w:r>
              <w:rPr>
                <w:rFonts w:cs="Times New Roman"/>
                <w:sz w:val="18"/>
                <w:szCs w:val="18"/>
              </w:rPr>
              <w:t>1</w:t>
            </w:r>
            <w:r w:rsidR="00300CEE">
              <w:rPr>
                <w:rFonts w:cs="Times New Roman"/>
                <w:sz w:val="18"/>
                <w:szCs w:val="18"/>
              </w:rPr>
              <w:t>0%</w:t>
            </w:r>
          </w:p>
        </w:tc>
        <w:tc>
          <w:tcPr>
            <w:tcW w:w="1054" w:type="dxa"/>
            <w:shd w:val="clear" w:color="auto" w:fill="FFFFFF" w:themeFill="background1"/>
          </w:tcPr>
          <w:p w:rsidR="00300CEE" w:rsidRPr="00542C9A" w:rsidRDefault="00300CEE" w:rsidP="006F5FD3">
            <w:pPr>
              <w:pStyle w:val="ListParagraph"/>
              <w:spacing w:after="0" w:line="220" w:lineRule="exact"/>
              <w:ind w:left="0"/>
              <w:jc w:val="center"/>
              <w:rPr>
                <w:rFonts w:cs="Times New Roman"/>
                <w:sz w:val="18"/>
                <w:szCs w:val="18"/>
              </w:rPr>
            </w:pPr>
            <w:r>
              <w:rPr>
                <w:rFonts w:cs="Times New Roman"/>
                <w:sz w:val="18"/>
                <w:szCs w:val="18"/>
              </w:rPr>
              <w:t>20010501</w:t>
            </w:r>
          </w:p>
        </w:tc>
      </w:tr>
      <w:tr w:rsidR="00300CEE" w:rsidRPr="002A685E" w:rsidTr="00857B4B">
        <w:trPr>
          <w:trHeight w:val="98"/>
          <w:jc w:val="center"/>
        </w:trPr>
        <w:tc>
          <w:tcPr>
            <w:tcW w:w="2249" w:type="dxa"/>
            <w:vMerge/>
            <w:shd w:val="clear" w:color="auto" w:fill="FFFFFF" w:themeFill="background1"/>
          </w:tcPr>
          <w:p w:rsidR="00300CEE" w:rsidRDefault="00300CEE" w:rsidP="006F5FD3">
            <w:pPr>
              <w:pStyle w:val="ListParagraph"/>
              <w:spacing w:after="0" w:line="220" w:lineRule="exact"/>
              <w:ind w:left="0"/>
              <w:rPr>
                <w:rFonts w:cs="Times New Roman"/>
                <w:sz w:val="18"/>
                <w:szCs w:val="18"/>
              </w:rPr>
            </w:pPr>
          </w:p>
        </w:tc>
        <w:tc>
          <w:tcPr>
            <w:tcW w:w="1091" w:type="dxa"/>
            <w:vMerge/>
            <w:shd w:val="clear" w:color="auto" w:fill="FFFFFF" w:themeFill="background1"/>
          </w:tcPr>
          <w:p w:rsidR="00300CEE" w:rsidRDefault="00300CEE" w:rsidP="006F5FD3">
            <w:pPr>
              <w:pStyle w:val="ListParagraph"/>
              <w:spacing w:after="0" w:line="22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300CEE" w:rsidRDefault="00300CEE" w:rsidP="006F5FD3">
            <w:pPr>
              <w:pStyle w:val="ListParagraph"/>
              <w:spacing w:after="0" w:line="220" w:lineRule="exact"/>
              <w:ind w:left="0"/>
              <w:jc w:val="center"/>
              <w:rPr>
                <w:rFonts w:cs="Times New Roman"/>
                <w:sz w:val="18"/>
                <w:szCs w:val="18"/>
              </w:rPr>
            </w:pPr>
          </w:p>
        </w:tc>
        <w:tc>
          <w:tcPr>
            <w:tcW w:w="2574" w:type="dxa"/>
            <w:tcBorders>
              <w:left w:val="thinThickThinSmallGap" w:sz="24" w:space="0" w:color="auto"/>
            </w:tcBorders>
            <w:shd w:val="clear" w:color="auto" w:fill="FFFFFF" w:themeFill="background1"/>
          </w:tcPr>
          <w:p w:rsidR="00300CEE" w:rsidRPr="00542C9A" w:rsidRDefault="00CA76D8" w:rsidP="006F5FD3">
            <w:pPr>
              <w:pStyle w:val="ListParagraph"/>
              <w:spacing w:after="0" w:line="220" w:lineRule="exact"/>
              <w:ind w:left="0"/>
              <w:jc w:val="both"/>
              <w:rPr>
                <w:rFonts w:cs="Times New Roman"/>
                <w:sz w:val="18"/>
                <w:szCs w:val="18"/>
              </w:rPr>
            </w:pPr>
            <w:r>
              <w:rPr>
                <w:rFonts w:cs="Times New Roman"/>
                <w:sz w:val="18"/>
                <w:szCs w:val="18"/>
              </w:rPr>
              <w:t>S/P Right ankle Surgery</w:t>
            </w:r>
          </w:p>
        </w:tc>
        <w:tc>
          <w:tcPr>
            <w:tcW w:w="720" w:type="dxa"/>
            <w:shd w:val="clear" w:color="auto" w:fill="FFFFFF" w:themeFill="background1"/>
          </w:tcPr>
          <w:p w:rsidR="00300CEE" w:rsidRPr="00542C9A" w:rsidRDefault="00300CEE" w:rsidP="006F5FD3">
            <w:pPr>
              <w:pStyle w:val="ListParagraph"/>
              <w:spacing w:after="0" w:line="220" w:lineRule="exact"/>
              <w:ind w:left="0"/>
              <w:jc w:val="center"/>
              <w:rPr>
                <w:rFonts w:cs="Times New Roman"/>
                <w:sz w:val="18"/>
                <w:szCs w:val="18"/>
              </w:rPr>
            </w:pPr>
            <w:r>
              <w:rPr>
                <w:rFonts w:cs="Times New Roman"/>
                <w:sz w:val="18"/>
                <w:szCs w:val="18"/>
              </w:rPr>
              <w:t>5271</w:t>
            </w:r>
          </w:p>
        </w:tc>
        <w:tc>
          <w:tcPr>
            <w:tcW w:w="810" w:type="dxa"/>
            <w:shd w:val="clear" w:color="auto" w:fill="FFFFFF" w:themeFill="background1"/>
          </w:tcPr>
          <w:p w:rsidR="00300CEE" w:rsidRPr="00542C9A" w:rsidRDefault="00300CEE" w:rsidP="006F5FD3">
            <w:pPr>
              <w:pStyle w:val="ListParagraph"/>
              <w:spacing w:after="0" w:line="220" w:lineRule="exact"/>
              <w:ind w:left="0"/>
              <w:jc w:val="center"/>
              <w:rPr>
                <w:rFonts w:cs="Times New Roman"/>
                <w:sz w:val="18"/>
                <w:szCs w:val="18"/>
              </w:rPr>
            </w:pPr>
            <w:r>
              <w:rPr>
                <w:rFonts w:cs="Times New Roman"/>
                <w:sz w:val="18"/>
                <w:szCs w:val="18"/>
              </w:rPr>
              <w:t>0%</w:t>
            </w:r>
          </w:p>
        </w:tc>
        <w:tc>
          <w:tcPr>
            <w:tcW w:w="1054" w:type="dxa"/>
            <w:shd w:val="clear" w:color="auto" w:fill="FFFFFF" w:themeFill="background1"/>
          </w:tcPr>
          <w:p w:rsidR="00300CEE" w:rsidRPr="00542C9A" w:rsidRDefault="00300CEE" w:rsidP="006F5FD3">
            <w:pPr>
              <w:pStyle w:val="ListParagraph"/>
              <w:spacing w:after="0" w:line="220" w:lineRule="exact"/>
              <w:ind w:left="0"/>
              <w:jc w:val="center"/>
              <w:rPr>
                <w:rFonts w:cs="Times New Roman"/>
                <w:sz w:val="18"/>
                <w:szCs w:val="18"/>
              </w:rPr>
            </w:pPr>
            <w:r>
              <w:rPr>
                <w:rFonts w:cs="Times New Roman"/>
                <w:sz w:val="18"/>
                <w:szCs w:val="18"/>
              </w:rPr>
              <w:t>20010501</w:t>
            </w:r>
          </w:p>
        </w:tc>
      </w:tr>
      <w:tr w:rsidR="00086761" w:rsidRPr="002A685E" w:rsidTr="00857B4B">
        <w:trPr>
          <w:trHeight w:val="66"/>
          <w:jc w:val="center"/>
        </w:trPr>
        <w:tc>
          <w:tcPr>
            <w:tcW w:w="4150" w:type="dxa"/>
            <w:gridSpan w:val="3"/>
            <w:vMerge w:val="restart"/>
            <w:tcBorders>
              <w:right w:val="thinThickThinSmallGap" w:sz="24" w:space="0" w:color="auto"/>
            </w:tcBorders>
            <w:shd w:val="clear" w:color="auto" w:fill="FFFFFF" w:themeFill="background1"/>
          </w:tcPr>
          <w:p w:rsidR="00086761" w:rsidRPr="009D1115" w:rsidRDefault="00300CEE" w:rsidP="006F5FD3">
            <w:pPr>
              <w:pStyle w:val="ListParagraph"/>
              <w:spacing w:after="0" w:line="22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p>
        </w:tc>
        <w:tc>
          <w:tcPr>
            <w:tcW w:w="2574" w:type="dxa"/>
            <w:tcBorders>
              <w:left w:val="thinThickThinSmallGap" w:sz="24" w:space="0" w:color="auto"/>
            </w:tcBorders>
            <w:shd w:val="clear" w:color="auto" w:fill="FFFFFF" w:themeFill="background1"/>
          </w:tcPr>
          <w:p w:rsidR="00086761" w:rsidRDefault="00086761" w:rsidP="006F5FD3">
            <w:pPr>
              <w:spacing w:line="220" w:lineRule="exact"/>
              <w:jc w:val="both"/>
              <w:rPr>
                <w:color w:val="auto"/>
                <w:sz w:val="18"/>
                <w:szCs w:val="18"/>
              </w:rPr>
            </w:pPr>
            <w:r w:rsidRPr="00A777FB">
              <w:rPr>
                <w:rFonts w:cs="Times New Roman"/>
                <w:color w:val="auto"/>
                <w:sz w:val="18"/>
                <w:szCs w:val="18"/>
              </w:rPr>
              <w:t>Bilateral Pes Planus</w:t>
            </w:r>
          </w:p>
        </w:tc>
        <w:tc>
          <w:tcPr>
            <w:tcW w:w="720" w:type="dxa"/>
            <w:shd w:val="clear" w:color="auto" w:fill="FFFFFF" w:themeFill="background1"/>
          </w:tcPr>
          <w:p w:rsidR="00086761" w:rsidRDefault="00086761" w:rsidP="006F5FD3">
            <w:pPr>
              <w:pStyle w:val="ListParagraph"/>
              <w:spacing w:after="0" w:line="220" w:lineRule="exact"/>
              <w:ind w:left="0"/>
              <w:jc w:val="center"/>
              <w:rPr>
                <w:rFonts w:cs="Times New Roman"/>
                <w:sz w:val="18"/>
                <w:szCs w:val="18"/>
              </w:rPr>
            </w:pPr>
            <w:r>
              <w:rPr>
                <w:rFonts w:cs="Times New Roman"/>
                <w:sz w:val="18"/>
                <w:szCs w:val="18"/>
              </w:rPr>
              <w:t>5276</w:t>
            </w:r>
          </w:p>
        </w:tc>
        <w:tc>
          <w:tcPr>
            <w:tcW w:w="810" w:type="dxa"/>
            <w:shd w:val="clear" w:color="auto" w:fill="FFFFFF" w:themeFill="background1"/>
          </w:tcPr>
          <w:p w:rsidR="00086761" w:rsidRDefault="00086761" w:rsidP="006F5FD3">
            <w:pPr>
              <w:pStyle w:val="ListParagraph"/>
              <w:spacing w:after="0" w:line="220" w:lineRule="exact"/>
              <w:ind w:left="0"/>
              <w:jc w:val="center"/>
              <w:rPr>
                <w:rFonts w:cs="Times New Roman"/>
                <w:sz w:val="18"/>
                <w:szCs w:val="18"/>
              </w:rPr>
            </w:pPr>
            <w:r>
              <w:rPr>
                <w:rFonts w:cs="Times New Roman"/>
                <w:sz w:val="18"/>
                <w:szCs w:val="18"/>
              </w:rPr>
              <w:t>10%</w:t>
            </w:r>
          </w:p>
        </w:tc>
        <w:tc>
          <w:tcPr>
            <w:tcW w:w="1054" w:type="dxa"/>
            <w:shd w:val="clear" w:color="auto" w:fill="FFFFFF" w:themeFill="background1"/>
          </w:tcPr>
          <w:p w:rsidR="00086761" w:rsidRDefault="00086761" w:rsidP="006F5FD3">
            <w:pPr>
              <w:pStyle w:val="ListParagraph"/>
              <w:spacing w:after="0" w:line="220" w:lineRule="exact"/>
              <w:ind w:left="0"/>
              <w:jc w:val="center"/>
              <w:rPr>
                <w:rFonts w:cs="Times New Roman"/>
                <w:sz w:val="18"/>
                <w:szCs w:val="18"/>
              </w:rPr>
            </w:pPr>
            <w:r>
              <w:rPr>
                <w:rFonts w:cs="Times New Roman"/>
                <w:sz w:val="18"/>
                <w:szCs w:val="18"/>
              </w:rPr>
              <w:t>20010501</w:t>
            </w:r>
          </w:p>
        </w:tc>
      </w:tr>
      <w:tr w:rsidR="003B1990" w:rsidRPr="002A685E" w:rsidTr="00857B4B">
        <w:trPr>
          <w:trHeight w:val="66"/>
          <w:jc w:val="center"/>
        </w:trPr>
        <w:tc>
          <w:tcPr>
            <w:tcW w:w="4150" w:type="dxa"/>
            <w:gridSpan w:val="3"/>
            <w:vMerge/>
            <w:tcBorders>
              <w:right w:val="thinThickThinSmallGap" w:sz="24" w:space="0" w:color="auto"/>
            </w:tcBorders>
            <w:shd w:val="clear" w:color="auto" w:fill="FFFFFF" w:themeFill="background1"/>
          </w:tcPr>
          <w:p w:rsidR="003B1990" w:rsidRPr="009D1115" w:rsidRDefault="003B1990" w:rsidP="006F5FD3">
            <w:pPr>
              <w:pStyle w:val="ListParagraph"/>
              <w:spacing w:after="0" w:line="220" w:lineRule="exact"/>
              <w:ind w:left="0"/>
              <w:jc w:val="center"/>
              <w:rPr>
                <w:rFonts w:cs="Times New Roman"/>
                <w:sz w:val="18"/>
                <w:szCs w:val="18"/>
              </w:rPr>
            </w:pPr>
          </w:p>
        </w:tc>
        <w:tc>
          <w:tcPr>
            <w:tcW w:w="2574" w:type="dxa"/>
            <w:tcBorders>
              <w:left w:val="thinThickThinSmallGap" w:sz="24" w:space="0" w:color="auto"/>
            </w:tcBorders>
            <w:shd w:val="clear" w:color="auto" w:fill="FFFFFF" w:themeFill="background1"/>
          </w:tcPr>
          <w:p w:rsidR="003B1990" w:rsidRPr="00A777FB" w:rsidRDefault="003B1990" w:rsidP="006F5FD3">
            <w:pPr>
              <w:spacing w:line="220" w:lineRule="exact"/>
              <w:jc w:val="both"/>
              <w:rPr>
                <w:color w:val="auto"/>
                <w:sz w:val="18"/>
                <w:szCs w:val="18"/>
              </w:rPr>
            </w:pPr>
            <w:r>
              <w:rPr>
                <w:color w:val="auto"/>
                <w:sz w:val="18"/>
                <w:szCs w:val="18"/>
              </w:rPr>
              <w:t>Multiple Lipomas</w:t>
            </w:r>
          </w:p>
        </w:tc>
        <w:tc>
          <w:tcPr>
            <w:tcW w:w="720" w:type="dxa"/>
            <w:shd w:val="clear" w:color="auto" w:fill="FFFFFF" w:themeFill="background1"/>
          </w:tcPr>
          <w:p w:rsidR="003B1990" w:rsidRDefault="003B1990" w:rsidP="006F5FD3">
            <w:pPr>
              <w:pStyle w:val="ListParagraph"/>
              <w:spacing w:after="0" w:line="220" w:lineRule="exact"/>
              <w:ind w:left="0"/>
              <w:jc w:val="center"/>
              <w:rPr>
                <w:rFonts w:cs="Times New Roman"/>
                <w:sz w:val="18"/>
                <w:szCs w:val="18"/>
              </w:rPr>
            </w:pPr>
            <w:r>
              <w:rPr>
                <w:rFonts w:cs="Times New Roman"/>
                <w:sz w:val="18"/>
                <w:szCs w:val="18"/>
              </w:rPr>
              <w:t>7819</w:t>
            </w:r>
          </w:p>
        </w:tc>
        <w:tc>
          <w:tcPr>
            <w:tcW w:w="810" w:type="dxa"/>
            <w:tcBorders>
              <w:right w:val="single" w:sz="4" w:space="0" w:color="auto"/>
            </w:tcBorders>
            <w:shd w:val="clear" w:color="auto" w:fill="FFFFFF" w:themeFill="background1"/>
          </w:tcPr>
          <w:p w:rsidR="003B1990" w:rsidRDefault="00B94BCE" w:rsidP="006F5FD3">
            <w:pPr>
              <w:pStyle w:val="ListParagraph"/>
              <w:spacing w:after="0" w:line="220" w:lineRule="exact"/>
              <w:ind w:left="0"/>
              <w:jc w:val="center"/>
              <w:rPr>
                <w:rFonts w:cs="Times New Roman"/>
                <w:sz w:val="18"/>
                <w:szCs w:val="18"/>
              </w:rPr>
            </w:pPr>
            <w:r>
              <w:rPr>
                <w:rFonts w:cs="Times New Roman"/>
                <w:sz w:val="18"/>
                <w:szCs w:val="18"/>
              </w:rPr>
              <w:t>10%</w:t>
            </w:r>
          </w:p>
        </w:tc>
        <w:tc>
          <w:tcPr>
            <w:tcW w:w="1054" w:type="dxa"/>
            <w:tcBorders>
              <w:left w:val="single" w:sz="4" w:space="0" w:color="auto"/>
            </w:tcBorders>
            <w:shd w:val="clear" w:color="auto" w:fill="FFFFFF" w:themeFill="background1"/>
          </w:tcPr>
          <w:p w:rsidR="003B1990" w:rsidRDefault="003B1990" w:rsidP="006F5FD3">
            <w:pPr>
              <w:pStyle w:val="ListParagraph"/>
              <w:spacing w:after="0" w:line="220" w:lineRule="exact"/>
              <w:ind w:left="0"/>
              <w:jc w:val="center"/>
              <w:rPr>
                <w:rFonts w:cs="Times New Roman"/>
                <w:sz w:val="18"/>
                <w:szCs w:val="18"/>
              </w:rPr>
            </w:pPr>
            <w:r>
              <w:rPr>
                <w:rFonts w:cs="Times New Roman"/>
                <w:sz w:val="18"/>
                <w:szCs w:val="18"/>
              </w:rPr>
              <w:t>20010501</w:t>
            </w:r>
          </w:p>
        </w:tc>
      </w:tr>
      <w:tr w:rsidR="006F5FD3" w:rsidRPr="002A685E" w:rsidTr="00857B4B">
        <w:trPr>
          <w:trHeight w:val="161"/>
          <w:jc w:val="center"/>
        </w:trPr>
        <w:tc>
          <w:tcPr>
            <w:tcW w:w="4150" w:type="dxa"/>
            <w:gridSpan w:val="3"/>
            <w:vMerge/>
            <w:tcBorders>
              <w:right w:val="thinThickThinSmallGap" w:sz="24" w:space="0" w:color="auto"/>
            </w:tcBorders>
            <w:shd w:val="clear" w:color="auto" w:fill="FFFFFF" w:themeFill="background1"/>
          </w:tcPr>
          <w:p w:rsidR="006F5FD3" w:rsidRPr="00AF7266" w:rsidRDefault="006F5FD3" w:rsidP="006F5FD3">
            <w:pPr>
              <w:pStyle w:val="ListParagraph"/>
              <w:spacing w:after="0" w:line="220" w:lineRule="exact"/>
              <w:ind w:left="0"/>
              <w:jc w:val="both"/>
              <w:rPr>
                <w:rFonts w:cs="Times New Roman"/>
                <w:sz w:val="18"/>
                <w:szCs w:val="18"/>
                <w:highlight w:val="yellow"/>
              </w:rPr>
            </w:pPr>
          </w:p>
        </w:tc>
        <w:tc>
          <w:tcPr>
            <w:tcW w:w="4104" w:type="dxa"/>
            <w:gridSpan w:val="3"/>
            <w:tcBorders>
              <w:left w:val="thinThickThinSmallGap" w:sz="24" w:space="0" w:color="auto"/>
              <w:right w:val="single" w:sz="4" w:space="0" w:color="auto"/>
            </w:tcBorders>
            <w:shd w:val="clear" w:color="auto" w:fill="FFFFFF" w:themeFill="background1"/>
          </w:tcPr>
          <w:p w:rsidR="006F5FD3" w:rsidRPr="00542C9A" w:rsidRDefault="006F5FD3" w:rsidP="006F5FD3">
            <w:pPr>
              <w:pStyle w:val="ListParagraph"/>
              <w:spacing w:after="0" w:line="220" w:lineRule="exact"/>
              <w:ind w:left="0"/>
              <w:jc w:val="center"/>
              <w:rPr>
                <w:rFonts w:cs="Times New Roman"/>
                <w:sz w:val="18"/>
                <w:szCs w:val="18"/>
              </w:rPr>
            </w:pPr>
            <w:r>
              <w:rPr>
                <w:rFonts w:cs="Times New Roman"/>
                <w:sz w:val="18"/>
                <w:szCs w:val="18"/>
              </w:rPr>
              <w:t xml:space="preserve">0% X 2 </w:t>
            </w:r>
            <w:r w:rsidRPr="00AB2AAD">
              <w:rPr>
                <w:rFonts w:cs="Times New Roman"/>
                <w:sz w:val="18"/>
                <w:szCs w:val="18"/>
              </w:rPr>
              <w:t>/ N</w:t>
            </w:r>
            <w:r>
              <w:rPr>
                <w:rFonts w:cs="Times New Roman"/>
                <w:sz w:val="18"/>
                <w:szCs w:val="18"/>
              </w:rPr>
              <w:t xml:space="preserve">ot </w:t>
            </w:r>
            <w:r w:rsidRPr="00AB2AAD">
              <w:rPr>
                <w:rFonts w:cs="Times New Roman"/>
                <w:sz w:val="18"/>
                <w:szCs w:val="18"/>
              </w:rPr>
              <w:t>S</w:t>
            </w:r>
            <w:r>
              <w:rPr>
                <w:rFonts w:cs="Times New Roman"/>
                <w:sz w:val="18"/>
                <w:szCs w:val="18"/>
              </w:rPr>
              <w:t xml:space="preserve">ervice </w:t>
            </w:r>
            <w:r w:rsidRPr="00AB2AAD">
              <w:rPr>
                <w:rFonts w:cs="Times New Roman"/>
                <w:sz w:val="18"/>
                <w:szCs w:val="18"/>
              </w:rPr>
              <w:t>C</w:t>
            </w:r>
            <w:r>
              <w:rPr>
                <w:rFonts w:cs="Times New Roman"/>
                <w:sz w:val="18"/>
                <w:szCs w:val="18"/>
              </w:rPr>
              <w:t>onnected</w:t>
            </w:r>
            <w:r w:rsidRPr="00AB2AAD">
              <w:rPr>
                <w:rFonts w:cs="Times New Roman"/>
                <w:sz w:val="18"/>
                <w:szCs w:val="18"/>
              </w:rPr>
              <w:t xml:space="preserve"> X </w:t>
            </w:r>
            <w:r>
              <w:rPr>
                <w:rFonts w:cs="Times New Roman"/>
                <w:sz w:val="18"/>
                <w:szCs w:val="18"/>
              </w:rPr>
              <w:t>3</w:t>
            </w:r>
          </w:p>
        </w:tc>
        <w:tc>
          <w:tcPr>
            <w:tcW w:w="1054" w:type="dxa"/>
            <w:tcBorders>
              <w:left w:val="single" w:sz="4" w:space="0" w:color="auto"/>
            </w:tcBorders>
            <w:shd w:val="clear" w:color="auto" w:fill="FFFFFF" w:themeFill="background1"/>
          </w:tcPr>
          <w:p w:rsidR="006F5FD3" w:rsidRPr="00542C9A" w:rsidRDefault="006F5FD3" w:rsidP="006F5FD3">
            <w:pPr>
              <w:pStyle w:val="ListParagraph"/>
              <w:spacing w:after="0" w:line="220" w:lineRule="exact"/>
              <w:ind w:left="0"/>
              <w:jc w:val="center"/>
              <w:rPr>
                <w:rFonts w:cs="Times New Roman"/>
                <w:sz w:val="18"/>
                <w:szCs w:val="18"/>
              </w:rPr>
            </w:pPr>
            <w:r>
              <w:rPr>
                <w:rFonts w:cs="Times New Roman"/>
                <w:sz w:val="18"/>
                <w:szCs w:val="18"/>
              </w:rPr>
              <w:t>20010501</w:t>
            </w:r>
          </w:p>
        </w:tc>
      </w:tr>
      <w:tr w:rsidR="006F5FD3" w:rsidRPr="002A685E" w:rsidTr="00857B4B">
        <w:trPr>
          <w:trHeight w:val="242"/>
          <w:jc w:val="center"/>
        </w:trPr>
        <w:tc>
          <w:tcPr>
            <w:tcW w:w="4150" w:type="dxa"/>
            <w:gridSpan w:val="3"/>
            <w:tcBorders>
              <w:right w:val="thinThickThinSmallGap" w:sz="24" w:space="0" w:color="auto"/>
            </w:tcBorders>
            <w:shd w:val="clear" w:color="auto" w:fill="D9D9D9" w:themeFill="background1" w:themeFillShade="D9"/>
          </w:tcPr>
          <w:p w:rsidR="006F5FD3" w:rsidRPr="0085089F" w:rsidRDefault="006F5FD3" w:rsidP="00863B36">
            <w:pPr>
              <w:pStyle w:val="ListParagraph"/>
              <w:spacing w:after="0" w:line="240" w:lineRule="exact"/>
              <w:ind w:left="0"/>
              <w:jc w:val="center"/>
              <w:rPr>
                <w:rFonts w:cs="Times New Roman"/>
                <w:b/>
                <w:sz w:val="20"/>
                <w:szCs w:val="20"/>
              </w:rPr>
            </w:pPr>
            <w:r w:rsidRPr="0085089F">
              <w:rPr>
                <w:rFonts w:cs="Times New Roman"/>
                <w:b/>
                <w:sz w:val="20"/>
                <w:szCs w:val="20"/>
              </w:rPr>
              <w:t xml:space="preserve"> Combined:  </w:t>
            </w:r>
            <w:r>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158" w:type="dxa"/>
            <w:gridSpan w:val="4"/>
            <w:tcBorders>
              <w:left w:val="thinThickThinSmallGap" w:sz="24" w:space="0" w:color="auto"/>
            </w:tcBorders>
            <w:shd w:val="clear" w:color="auto" w:fill="D9D9D9" w:themeFill="background1" w:themeFillShade="D9"/>
          </w:tcPr>
          <w:p w:rsidR="006F5FD3" w:rsidRPr="0085089F" w:rsidRDefault="006F5FD3" w:rsidP="006F5FD3">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Pr>
                <w:rFonts w:cs="Times New Roman"/>
                <w:b/>
                <w:sz w:val="20"/>
                <w:szCs w:val="20"/>
              </w:rPr>
              <w:t>30%</w:t>
            </w:r>
          </w:p>
        </w:tc>
      </w:tr>
    </w:tbl>
    <w:p w:rsidR="003D66FA" w:rsidRDefault="003D66FA" w:rsidP="003D66FA">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3D66FA" w:rsidRDefault="003D66FA" w:rsidP="003D66FA">
      <w:pPr>
        <w:tabs>
          <w:tab w:val="left" w:pos="288"/>
          <w:tab w:val="left" w:pos="4752"/>
        </w:tabs>
        <w:spacing w:line="240" w:lineRule="exact"/>
        <w:jc w:val="both"/>
        <w:rPr>
          <w:rFonts w:ascii="Calibri" w:hAnsi="Calibri"/>
          <w:color w:val="auto"/>
          <w:u w:val="single"/>
        </w:rPr>
      </w:pPr>
    </w:p>
    <w:p w:rsidR="00573FA3" w:rsidRDefault="00573FA3">
      <w:pPr>
        <w:rPr>
          <w:rFonts w:asciiTheme="minorHAnsi" w:hAnsiTheme="minorHAnsi"/>
          <w:color w:val="auto"/>
          <w:szCs w:val="24"/>
          <w:u w:val="single"/>
        </w:rPr>
      </w:pPr>
      <w:r>
        <w:rPr>
          <w:rFonts w:asciiTheme="minorHAnsi" w:hAnsiTheme="minorHAnsi"/>
          <w:color w:val="auto"/>
          <w:szCs w:val="24"/>
          <w:u w:val="single"/>
        </w:rPr>
        <w:br w:type="page"/>
      </w:r>
    </w:p>
    <w:p w:rsidR="0078526A" w:rsidRPr="0078526A" w:rsidRDefault="002C6E5B" w:rsidP="0078526A">
      <w:pPr>
        <w:spacing w:line="240" w:lineRule="exact"/>
        <w:jc w:val="both"/>
        <w:rPr>
          <w:rFonts w:ascii="Calibri" w:eastAsiaTheme="minorHAnsi" w:hAnsi="Calibri" w:cstheme="minorBid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r w:rsidR="003D66FA">
        <w:rPr>
          <w:rFonts w:asciiTheme="minorHAnsi" w:hAnsiTheme="minorHAnsi"/>
          <w:color w:val="auto"/>
          <w:szCs w:val="24"/>
        </w:rPr>
        <w:t xml:space="preserve">  </w:t>
      </w:r>
      <w:r w:rsidR="00117BE4" w:rsidRPr="00921653">
        <w:rPr>
          <w:rFonts w:asciiTheme="minorHAnsi" w:hAnsiTheme="minorHAnsi"/>
          <w:color w:val="auto"/>
          <w:szCs w:val="24"/>
        </w:rPr>
        <w:t xml:space="preserve">The Board acknowledges the sentiment expressed in the CI’s application regarding the significant </w:t>
      </w:r>
      <w:r w:rsidR="00791AC6">
        <w:rPr>
          <w:rFonts w:asciiTheme="minorHAnsi" w:hAnsiTheme="minorHAnsi"/>
          <w:color w:val="auto"/>
          <w:szCs w:val="24"/>
        </w:rPr>
        <w:t>disability</w:t>
      </w:r>
      <w:r w:rsidR="00117BE4" w:rsidRPr="00921653">
        <w:rPr>
          <w:rFonts w:asciiTheme="minorHAnsi" w:hAnsiTheme="minorHAnsi"/>
          <w:color w:val="auto"/>
          <w:szCs w:val="24"/>
        </w:rPr>
        <w:t xml:space="preserve"> </w:t>
      </w:r>
      <w:r w:rsidR="00791AC6">
        <w:rPr>
          <w:rFonts w:asciiTheme="minorHAnsi" w:hAnsiTheme="minorHAnsi"/>
          <w:color w:val="auto"/>
          <w:szCs w:val="24"/>
        </w:rPr>
        <w:t>he currently experiences from</w:t>
      </w:r>
      <w:r w:rsidR="00117BE4" w:rsidRPr="00921653">
        <w:rPr>
          <w:rFonts w:asciiTheme="minorHAnsi" w:hAnsiTheme="minorHAnsi"/>
          <w:color w:val="auto"/>
          <w:szCs w:val="24"/>
        </w:rPr>
        <w:t xml:space="preserve"> his service</w:t>
      </w:r>
      <w:r w:rsidR="00117BE4">
        <w:rPr>
          <w:rFonts w:asciiTheme="minorHAnsi" w:hAnsiTheme="minorHAnsi"/>
          <w:color w:val="auto"/>
          <w:szCs w:val="24"/>
        </w:rPr>
        <w:t xml:space="preserve"> connected</w:t>
      </w:r>
      <w:r w:rsidR="00117BE4" w:rsidRPr="00921653">
        <w:rPr>
          <w:rFonts w:asciiTheme="minorHAnsi" w:hAnsiTheme="minorHAnsi"/>
          <w:color w:val="auto"/>
          <w:szCs w:val="24"/>
        </w:rPr>
        <w:t xml:space="preserve"> condition</w:t>
      </w:r>
      <w:r w:rsidR="00117BE4">
        <w:rPr>
          <w:rFonts w:asciiTheme="minorHAnsi" w:hAnsiTheme="minorHAnsi"/>
          <w:color w:val="auto"/>
          <w:szCs w:val="24"/>
        </w:rPr>
        <w:t>s</w:t>
      </w:r>
      <w:r w:rsidR="00117BE4" w:rsidRPr="00921653">
        <w:rPr>
          <w:rFonts w:asciiTheme="minorHAnsi" w:hAnsiTheme="minorHAnsi"/>
          <w:color w:val="auto"/>
          <w:szCs w:val="24"/>
        </w:rPr>
        <w:t xml:space="preserve"> </w:t>
      </w:r>
      <w:r w:rsidR="00791AC6">
        <w:rPr>
          <w:rFonts w:asciiTheme="minorHAnsi" w:hAnsiTheme="minorHAnsi"/>
          <w:color w:val="auto"/>
          <w:szCs w:val="24"/>
        </w:rPr>
        <w:t>and complications</w:t>
      </w:r>
      <w:r w:rsidR="00117BE4" w:rsidRPr="00921653">
        <w:rPr>
          <w:rFonts w:asciiTheme="minorHAnsi" w:hAnsiTheme="minorHAnsi"/>
          <w:color w:val="auto"/>
          <w:szCs w:val="24"/>
        </w:rPr>
        <w:t>.</w:t>
      </w:r>
      <w:r w:rsidR="00117BE4">
        <w:rPr>
          <w:rFonts w:asciiTheme="minorHAnsi" w:hAnsiTheme="minorHAnsi"/>
          <w:color w:val="auto"/>
          <w:szCs w:val="24"/>
        </w:rPr>
        <w:t xml:space="preserve"> </w:t>
      </w:r>
      <w:r w:rsidR="00117BE4" w:rsidRPr="00921653">
        <w:rPr>
          <w:rFonts w:asciiTheme="minorHAnsi" w:hAnsiTheme="minorHAnsi"/>
          <w:color w:val="auto"/>
          <w:szCs w:val="24"/>
        </w:rPr>
        <w:t xml:space="preserve"> It is a fact, however, that the DES has neither the role nor the authority to compensate service members for anticipated future severity or potential complications of </w:t>
      </w:r>
      <w:r w:rsidR="00117BE4">
        <w:rPr>
          <w:rFonts w:asciiTheme="minorHAnsi" w:hAnsiTheme="minorHAnsi"/>
          <w:color w:val="auto"/>
          <w:szCs w:val="24"/>
        </w:rPr>
        <w:t xml:space="preserve">service connected </w:t>
      </w:r>
      <w:r w:rsidR="00117BE4" w:rsidRPr="00921653">
        <w:rPr>
          <w:rFonts w:asciiTheme="minorHAnsi" w:hAnsiTheme="minorHAnsi"/>
          <w:color w:val="auto"/>
          <w:szCs w:val="24"/>
        </w:rPr>
        <w:t xml:space="preserve">conditions. </w:t>
      </w:r>
      <w:r w:rsidR="00117BE4">
        <w:rPr>
          <w:rFonts w:asciiTheme="minorHAnsi" w:hAnsiTheme="minorHAnsi"/>
          <w:color w:val="auto"/>
          <w:szCs w:val="24"/>
        </w:rPr>
        <w:t xml:space="preserve"> </w:t>
      </w:r>
      <w:r w:rsidR="00117BE4" w:rsidRPr="00921653">
        <w:rPr>
          <w:rFonts w:asciiTheme="minorHAnsi" w:hAnsiTheme="minorHAnsi"/>
          <w:color w:val="auto"/>
          <w:szCs w:val="24"/>
        </w:rPr>
        <w:t xml:space="preserve">This role and authority is granted by Congress to the Veterans Administration. </w:t>
      </w:r>
      <w:r w:rsidR="00117BE4">
        <w:rPr>
          <w:rFonts w:asciiTheme="minorHAnsi" w:hAnsiTheme="minorHAnsi"/>
          <w:color w:val="auto"/>
          <w:szCs w:val="24"/>
        </w:rPr>
        <w:t xml:space="preserve"> </w:t>
      </w:r>
      <w:r w:rsidR="00117BE4" w:rsidRPr="00921653">
        <w:rPr>
          <w:rFonts w:asciiTheme="minorHAnsi" w:hAnsiTheme="minorHAnsi"/>
          <w:color w:val="auto"/>
          <w:szCs w:val="24"/>
        </w:rPr>
        <w:t>The Board evaluates VA evidence proximal to separation in arriving at its recommendations, but its authority resides in evaluating the fairness of DES fitness decisions and rating determinations for disability at the time of separation.</w:t>
      </w:r>
      <w:r w:rsidR="0078526A">
        <w:rPr>
          <w:rFonts w:asciiTheme="minorHAnsi" w:hAnsiTheme="minorHAnsi"/>
          <w:color w:val="auto"/>
          <w:szCs w:val="24"/>
        </w:rPr>
        <w:t xml:space="preserve">  </w:t>
      </w:r>
      <w:r w:rsidR="0078526A" w:rsidRPr="0078526A">
        <w:rPr>
          <w:rFonts w:ascii="Calibri" w:eastAsiaTheme="minorHAnsi" w:hAnsi="Calibri" w:cstheme="minorBidi"/>
          <w:color w:val="auto"/>
          <w:szCs w:val="24"/>
        </w:rPr>
        <w:t xml:space="preserve">The Board </w:t>
      </w:r>
      <w:r w:rsidR="0078526A">
        <w:rPr>
          <w:rFonts w:ascii="Calibri" w:eastAsiaTheme="minorHAnsi" w:hAnsi="Calibri" w:cstheme="minorBidi"/>
          <w:color w:val="auto"/>
          <w:szCs w:val="24"/>
        </w:rPr>
        <w:t xml:space="preserve">further </w:t>
      </w:r>
      <w:r w:rsidR="0078526A" w:rsidRPr="0078526A">
        <w:rPr>
          <w:rFonts w:ascii="Calibri" w:eastAsiaTheme="minorHAnsi" w:hAnsi="Calibri" w:cstheme="minorBidi"/>
          <w:color w:val="auto"/>
          <w:szCs w:val="24"/>
        </w:rPr>
        <w:t xml:space="preserve">acknowledges the CI’s assertion that his </w:t>
      </w:r>
      <w:r w:rsidR="0078526A">
        <w:rPr>
          <w:rFonts w:ascii="Calibri" w:eastAsiaTheme="minorHAnsi" w:hAnsi="Calibri" w:cstheme="minorBidi"/>
          <w:color w:val="auto"/>
          <w:szCs w:val="24"/>
        </w:rPr>
        <w:t>knee, hip and back</w:t>
      </w:r>
      <w:r w:rsidR="0078526A" w:rsidRPr="0078526A">
        <w:rPr>
          <w:rFonts w:ascii="Calibri" w:eastAsiaTheme="minorHAnsi" w:hAnsi="Calibri" w:cstheme="minorBidi"/>
          <w:color w:val="auto"/>
          <w:szCs w:val="24"/>
        </w:rPr>
        <w:t xml:space="preserve"> conditions are related to his unfitting </w:t>
      </w:r>
      <w:r w:rsidR="00D3201C">
        <w:rPr>
          <w:rFonts w:ascii="Calibri" w:eastAsiaTheme="minorHAnsi" w:hAnsi="Calibri" w:cstheme="minorBidi"/>
          <w:color w:val="auto"/>
          <w:szCs w:val="24"/>
        </w:rPr>
        <w:t>ankle</w:t>
      </w:r>
      <w:r w:rsidR="0078526A" w:rsidRPr="0078526A">
        <w:rPr>
          <w:rFonts w:ascii="Calibri" w:eastAsiaTheme="minorHAnsi" w:hAnsi="Calibri" w:cstheme="minorBidi"/>
          <w:color w:val="auto"/>
          <w:szCs w:val="24"/>
        </w:rPr>
        <w:t xml:space="preserve"> condition and therefore should be subject to additional disability rating; although, the Board must note that a causality linkage of these contended conditions with the unfitting primary condition, even if conceded, is not a basis in itself for separation disability rating.  A concomitant condition of this nature must itself be independently unfitting to merit additional rating.</w:t>
      </w:r>
      <w:r w:rsidR="00C31624">
        <w:rPr>
          <w:rFonts w:ascii="Calibri" w:eastAsiaTheme="minorHAnsi" w:hAnsi="Calibri" w:cstheme="minorBidi"/>
          <w:color w:val="auto"/>
          <w:szCs w:val="24"/>
        </w:rPr>
        <w:t xml:space="preserve">  Finally, the Board may concede that the CI self-managed some of his conditions and complications as asserted in the contention; but the only conditions eligible for Board consideration are those documented in the core DES file.  </w:t>
      </w:r>
      <w:r w:rsidR="00C31624" w:rsidRPr="00C31624">
        <w:rPr>
          <w:rFonts w:ascii="Calibri" w:eastAsiaTheme="minorHAnsi" w:hAnsi="Calibri" w:cstheme="minorBidi"/>
          <w:color w:val="auto"/>
          <w:szCs w:val="24"/>
        </w:rPr>
        <w:t xml:space="preserve">The core DES file consists of the MEB referral document (DA Form 3947), the PEB adjudication document (DA Form 199), the </w:t>
      </w:r>
      <w:r w:rsidR="00D55C13">
        <w:rPr>
          <w:rFonts w:ascii="Calibri" w:eastAsiaTheme="minorHAnsi" w:hAnsi="Calibri" w:cstheme="minorBidi"/>
          <w:color w:val="auto"/>
          <w:szCs w:val="24"/>
        </w:rPr>
        <w:t>narrative summary (</w:t>
      </w:r>
      <w:r w:rsidR="00C31624" w:rsidRPr="00C31624">
        <w:rPr>
          <w:rFonts w:ascii="Calibri" w:eastAsiaTheme="minorHAnsi" w:hAnsi="Calibri" w:cstheme="minorBidi"/>
          <w:color w:val="auto"/>
          <w:szCs w:val="24"/>
        </w:rPr>
        <w:t>NARSUM</w:t>
      </w:r>
      <w:r w:rsidR="00D55C13">
        <w:rPr>
          <w:rFonts w:ascii="Calibri" w:eastAsiaTheme="minorHAnsi" w:hAnsi="Calibri" w:cstheme="minorBidi"/>
          <w:color w:val="auto"/>
          <w:szCs w:val="24"/>
        </w:rPr>
        <w:t>)</w:t>
      </w:r>
      <w:r w:rsidR="00C31624" w:rsidRPr="00C31624">
        <w:rPr>
          <w:rFonts w:ascii="Calibri" w:eastAsiaTheme="minorHAnsi" w:hAnsi="Calibri" w:cstheme="minorBidi"/>
          <w:color w:val="auto"/>
          <w:szCs w:val="24"/>
        </w:rPr>
        <w:t xml:space="preserve"> (including any addendums or referenced examinations), the MEB physical exam, the </w:t>
      </w:r>
      <w:r w:rsidR="00D55C13">
        <w:rPr>
          <w:rFonts w:ascii="Calibri" w:eastAsiaTheme="minorHAnsi" w:hAnsi="Calibri" w:cstheme="minorBidi"/>
          <w:color w:val="auto"/>
          <w:szCs w:val="24"/>
        </w:rPr>
        <w:t>c</w:t>
      </w:r>
      <w:r w:rsidR="00C31624" w:rsidRPr="00C31624">
        <w:rPr>
          <w:rFonts w:ascii="Calibri" w:eastAsiaTheme="minorHAnsi" w:hAnsi="Calibri" w:cstheme="minorBidi"/>
          <w:color w:val="auto"/>
          <w:szCs w:val="24"/>
        </w:rPr>
        <w:t xml:space="preserve">ommander’s statement, the physical profiles, and any written appeals or internal DES correspondence.  </w:t>
      </w:r>
    </w:p>
    <w:p w:rsidR="003D66FA" w:rsidRDefault="003D66FA" w:rsidP="00800A76">
      <w:pPr>
        <w:tabs>
          <w:tab w:val="left" w:pos="288"/>
          <w:tab w:val="left" w:pos="4752"/>
        </w:tabs>
        <w:spacing w:line="240" w:lineRule="exact"/>
        <w:jc w:val="both"/>
        <w:rPr>
          <w:rFonts w:asciiTheme="minorHAnsi" w:hAnsiTheme="minorHAnsi"/>
          <w:color w:val="auto"/>
          <w:szCs w:val="24"/>
        </w:rPr>
      </w:pPr>
    </w:p>
    <w:p w:rsidR="003D66FA" w:rsidRPr="003D66FA" w:rsidRDefault="000F616E" w:rsidP="00800A76">
      <w:pPr>
        <w:tabs>
          <w:tab w:val="left" w:pos="288"/>
          <w:tab w:val="left" w:pos="4752"/>
        </w:tabs>
        <w:spacing w:line="240" w:lineRule="exact"/>
        <w:jc w:val="both"/>
        <w:rPr>
          <w:rFonts w:asciiTheme="minorHAnsi" w:hAnsiTheme="minorHAnsi"/>
          <w:color w:val="auto"/>
          <w:szCs w:val="24"/>
        </w:rPr>
      </w:pPr>
      <w:r w:rsidRPr="000F616E">
        <w:rPr>
          <w:rFonts w:asciiTheme="minorHAnsi" w:hAnsiTheme="minorHAnsi"/>
          <w:color w:val="auto"/>
          <w:szCs w:val="24"/>
          <w:u w:val="single"/>
        </w:rPr>
        <w:t>Bilateral ankle condition</w:t>
      </w:r>
      <w:r w:rsidR="003D66FA">
        <w:rPr>
          <w:rFonts w:asciiTheme="minorHAnsi" w:hAnsiTheme="minorHAnsi"/>
          <w:color w:val="auto"/>
          <w:szCs w:val="24"/>
        </w:rPr>
        <w:t xml:space="preserve">.  </w:t>
      </w:r>
      <w:r w:rsidR="00AD298B" w:rsidRPr="000F616E">
        <w:rPr>
          <w:rFonts w:asciiTheme="minorHAnsi" w:hAnsiTheme="minorHAnsi"/>
          <w:color w:val="auto"/>
          <w:szCs w:val="24"/>
        </w:rPr>
        <w:t>There were two goniometric</w:t>
      </w:r>
      <w:r w:rsidR="00AE7F82" w:rsidRPr="000F616E">
        <w:rPr>
          <w:rFonts w:asciiTheme="minorHAnsi" w:hAnsiTheme="minorHAnsi"/>
          <w:color w:val="auto"/>
          <w:szCs w:val="24"/>
        </w:rPr>
        <w:t xml:space="preserve"> </w:t>
      </w:r>
      <w:proofErr w:type="gramStart"/>
      <w:r w:rsidR="00B13757" w:rsidRPr="000F616E">
        <w:rPr>
          <w:rFonts w:asciiTheme="minorHAnsi" w:hAnsiTheme="minorHAnsi"/>
          <w:color w:val="auto"/>
          <w:szCs w:val="24"/>
        </w:rPr>
        <w:t>range</w:t>
      </w:r>
      <w:proofErr w:type="gramEnd"/>
      <w:r w:rsidR="00D55C13">
        <w:rPr>
          <w:rFonts w:asciiTheme="minorHAnsi" w:hAnsiTheme="minorHAnsi"/>
          <w:color w:val="auto"/>
          <w:szCs w:val="24"/>
        </w:rPr>
        <w:t xml:space="preserve"> </w:t>
      </w:r>
      <w:r w:rsidR="00B13757" w:rsidRPr="000F616E">
        <w:rPr>
          <w:rFonts w:asciiTheme="minorHAnsi" w:hAnsiTheme="minorHAnsi"/>
          <w:color w:val="auto"/>
          <w:szCs w:val="24"/>
        </w:rPr>
        <w:t>of</w:t>
      </w:r>
      <w:r w:rsidR="00D55C13">
        <w:rPr>
          <w:rFonts w:asciiTheme="minorHAnsi" w:hAnsiTheme="minorHAnsi"/>
          <w:color w:val="auto"/>
          <w:szCs w:val="24"/>
        </w:rPr>
        <w:t xml:space="preserve"> </w:t>
      </w:r>
      <w:r w:rsidR="00B13757" w:rsidRPr="000F616E">
        <w:rPr>
          <w:rFonts w:asciiTheme="minorHAnsi" w:hAnsiTheme="minorHAnsi"/>
          <w:color w:val="auto"/>
          <w:szCs w:val="24"/>
        </w:rPr>
        <w:t>motion (ROM)</w:t>
      </w:r>
      <w:r w:rsidR="00611BA5" w:rsidRPr="000F616E">
        <w:rPr>
          <w:rFonts w:asciiTheme="minorHAnsi" w:hAnsiTheme="minorHAnsi"/>
          <w:color w:val="auto"/>
          <w:szCs w:val="24"/>
        </w:rPr>
        <w:t xml:space="preserve"> evaluations in evidence which the Board</w:t>
      </w:r>
      <w:r w:rsidR="00611BA5">
        <w:rPr>
          <w:rFonts w:asciiTheme="minorHAnsi" w:hAnsiTheme="minorHAnsi"/>
          <w:color w:val="auto"/>
          <w:szCs w:val="24"/>
        </w:rPr>
        <w:t xml:space="preserve"> weighed in arriving at its rating recommendation.</w:t>
      </w:r>
      <w:r w:rsidR="003D66FA">
        <w:rPr>
          <w:rFonts w:asciiTheme="minorHAnsi" w:hAnsiTheme="minorHAnsi"/>
          <w:color w:val="auto"/>
          <w:szCs w:val="24"/>
        </w:rPr>
        <w:t xml:space="preserve">  </w:t>
      </w:r>
      <w:r w:rsidR="003D66FA" w:rsidRPr="003D66FA">
        <w:rPr>
          <w:rFonts w:asciiTheme="minorHAnsi" w:hAnsiTheme="minorHAnsi"/>
          <w:color w:val="auto"/>
          <w:szCs w:val="24"/>
        </w:rPr>
        <w:t>Both of these exams are summarized in the chart below.</w:t>
      </w:r>
    </w:p>
    <w:p w:rsidR="00AD298B" w:rsidRDefault="00AD298B" w:rsidP="00AF1668">
      <w:pPr>
        <w:tabs>
          <w:tab w:val="left" w:pos="288"/>
          <w:tab w:val="left" w:pos="4752"/>
        </w:tabs>
        <w:spacing w:line="240" w:lineRule="exact"/>
        <w:rPr>
          <w:rFonts w:asciiTheme="minorHAnsi" w:hAnsiTheme="minorHAnsi"/>
          <w:color w:val="auto"/>
          <w:szCs w:val="24"/>
        </w:rPr>
      </w:pPr>
    </w:p>
    <w:tbl>
      <w:tblPr>
        <w:tblW w:w="6332" w:type="dxa"/>
        <w:jc w:val="center"/>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5"/>
        <w:gridCol w:w="1077"/>
        <w:gridCol w:w="990"/>
        <w:gridCol w:w="1048"/>
        <w:gridCol w:w="1022"/>
      </w:tblGrid>
      <w:tr w:rsidR="00FD7831" w:rsidRPr="0013147A" w:rsidTr="00D55C13">
        <w:trPr>
          <w:trHeight w:val="206"/>
          <w:jc w:val="center"/>
        </w:trPr>
        <w:tc>
          <w:tcPr>
            <w:tcW w:w="219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FD7831" w:rsidRPr="0013147A" w:rsidRDefault="00FD7831" w:rsidP="00CA67FC">
            <w:pPr>
              <w:spacing w:line="200" w:lineRule="exact"/>
              <w:jc w:val="center"/>
              <w:rPr>
                <w:rFonts w:asciiTheme="minorHAnsi" w:eastAsia="Calibri" w:hAnsiTheme="minorHAnsi"/>
                <w:color w:val="000000" w:themeColor="text1"/>
                <w:sz w:val="20"/>
              </w:rPr>
            </w:pPr>
            <w:r w:rsidRPr="0013147A">
              <w:rPr>
                <w:rFonts w:asciiTheme="minorHAnsi" w:eastAsia="Calibri" w:hAnsiTheme="minorHAnsi"/>
                <w:color w:val="000000" w:themeColor="text1"/>
                <w:sz w:val="20"/>
              </w:rPr>
              <w:t>Goniometric ROM –</w:t>
            </w:r>
          </w:p>
          <w:p w:rsidR="00FD7831" w:rsidRPr="0013147A" w:rsidRDefault="00FD7831" w:rsidP="00CA67FC">
            <w:pPr>
              <w:spacing w:line="200" w:lineRule="exact"/>
              <w:jc w:val="center"/>
              <w:rPr>
                <w:rFonts w:asciiTheme="minorHAnsi" w:eastAsia="Calibri" w:hAnsiTheme="minorHAnsi"/>
                <w:color w:val="000000" w:themeColor="text1"/>
                <w:sz w:val="20"/>
              </w:rPr>
            </w:pPr>
            <w:r w:rsidRPr="0013147A">
              <w:rPr>
                <w:rFonts w:asciiTheme="minorHAnsi" w:eastAsia="Calibri" w:hAnsiTheme="minorHAnsi"/>
                <w:color w:val="000000" w:themeColor="text1"/>
                <w:sz w:val="20"/>
              </w:rPr>
              <w:t>Ankles</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7831" w:rsidRPr="0013147A" w:rsidRDefault="00FD7831" w:rsidP="00CA67FC">
            <w:pPr>
              <w:spacing w:line="200" w:lineRule="exact"/>
              <w:jc w:val="center"/>
              <w:rPr>
                <w:rFonts w:asciiTheme="minorHAnsi" w:eastAsia="Calibri" w:hAnsiTheme="minorHAnsi"/>
                <w:color w:val="000000" w:themeColor="text1"/>
                <w:sz w:val="20"/>
              </w:rPr>
            </w:pPr>
            <w:r>
              <w:rPr>
                <w:rFonts w:asciiTheme="minorHAnsi" w:eastAsia="Calibri" w:hAnsiTheme="minorHAnsi"/>
                <w:color w:val="000000" w:themeColor="text1"/>
                <w:sz w:val="20"/>
              </w:rPr>
              <w:t xml:space="preserve">MEB </w:t>
            </w:r>
            <w:r w:rsidRPr="0013147A">
              <w:rPr>
                <w:rFonts w:asciiTheme="minorHAnsi" w:eastAsia="Calibri" w:hAnsiTheme="minorHAnsi"/>
                <w:color w:val="000000" w:themeColor="text1"/>
                <w:sz w:val="20"/>
              </w:rPr>
              <w:t>~</w:t>
            </w:r>
            <w:r>
              <w:rPr>
                <w:rFonts w:asciiTheme="minorHAnsi" w:eastAsia="Calibri" w:hAnsiTheme="minorHAnsi"/>
                <w:color w:val="000000" w:themeColor="text1"/>
                <w:sz w:val="20"/>
              </w:rPr>
              <w:t>4 mo Pre-Sep</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7831" w:rsidRPr="0013147A" w:rsidRDefault="00FD7831" w:rsidP="00CA67FC">
            <w:pPr>
              <w:spacing w:line="200" w:lineRule="exact"/>
              <w:jc w:val="center"/>
              <w:rPr>
                <w:rFonts w:asciiTheme="minorHAnsi" w:eastAsia="Calibri" w:hAnsiTheme="minorHAnsi"/>
                <w:color w:val="000000" w:themeColor="text1"/>
                <w:sz w:val="20"/>
              </w:rPr>
            </w:pPr>
            <w:r>
              <w:rPr>
                <w:rFonts w:asciiTheme="minorHAnsi" w:eastAsia="Calibri" w:hAnsiTheme="minorHAnsi"/>
                <w:color w:val="000000" w:themeColor="text1"/>
                <w:sz w:val="20"/>
              </w:rPr>
              <w:t>VA C&amp;P</w:t>
            </w:r>
            <w:r w:rsidRPr="0013147A">
              <w:rPr>
                <w:rFonts w:asciiTheme="minorHAnsi" w:eastAsia="Calibri" w:hAnsiTheme="minorHAnsi"/>
                <w:color w:val="000000" w:themeColor="text1"/>
                <w:sz w:val="20"/>
              </w:rPr>
              <w:t>~</w:t>
            </w:r>
            <w:r>
              <w:rPr>
                <w:rFonts w:asciiTheme="minorHAnsi" w:eastAsia="Calibri" w:hAnsiTheme="minorHAnsi"/>
                <w:color w:val="000000" w:themeColor="text1"/>
                <w:sz w:val="20"/>
              </w:rPr>
              <w:t>4mo Pre-Sep</w:t>
            </w:r>
          </w:p>
        </w:tc>
      </w:tr>
      <w:tr w:rsidR="00FD7831" w:rsidRPr="0013147A" w:rsidTr="00D55C13">
        <w:trPr>
          <w:trHeight w:val="161"/>
          <w:jc w:val="center"/>
        </w:trPr>
        <w:tc>
          <w:tcPr>
            <w:tcW w:w="2195"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FD7831" w:rsidRPr="0013147A" w:rsidRDefault="00FD7831" w:rsidP="00CA67FC">
            <w:pPr>
              <w:spacing w:line="200" w:lineRule="exact"/>
              <w:jc w:val="center"/>
              <w:rPr>
                <w:rFonts w:asciiTheme="minorHAnsi" w:eastAsia="Calibri" w:hAnsiTheme="minorHAnsi"/>
                <w:color w:val="000000" w:themeColor="text1"/>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7831" w:rsidRPr="0013147A" w:rsidRDefault="00FD7831" w:rsidP="00CA67FC">
            <w:pPr>
              <w:spacing w:line="200" w:lineRule="exact"/>
              <w:jc w:val="center"/>
              <w:rPr>
                <w:rFonts w:asciiTheme="minorHAnsi" w:eastAsia="Calibri" w:hAnsiTheme="minorHAnsi"/>
                <w:color w:val="000000" w:themeColor="text1"/>
                <w:sz w:val="20"/>
              </w:rPr>
            </w:pPr>
            <w:r>
              <w:rPr>
                <w:rFonts w:asciiTheme="minorHAnsi" w:eastAsia="Calibri" w:hAnsiTheme="minorHAnsi"/>
                <w:color w:val="000000" w:themeColor="text1"/>
                <w:sz w:val="20"/>
              </w:rPr>
              <w:t>Left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D7831" w:rsidRPr="0013147A" w:rsidRDefault="00FD7831" w:rsidP="00CA67FC">
            <w:pPr>
              <w:spacing w:line="200" w:lineRule="exact"/>
              <w:jc w:val="center"/>
              <w:rPr>
                <w:rFonts w:asciiTheme="minorHAnsi" w:eastAsia="Calibri" w:hAnsiTheme="minorHAnsi"/>
                <w:color w:val="000000" w:themeColor="text1"/>
                <w:sz w:val="20"/>
              </w:rPr>
            </w:pPr>
            <w:r>
              <w:rPr>
                <w:rFonts w:asciiTheme="minorHAnsi" w:eastAsia="Calibri" w:hAnsiTheme="minorHAnsi"/>
                <w:color w:val="000000" w:themeColor="text1"/>
                <w:sz w:val="20"/>
              </w:rPr>
              <w:t>Right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7831" w:rsidRPr="0013147A" w:rsidRDefault="00FD7831" w:rsidP="00CA67FC">
            <w:pPr>
              <w:spacing w:line="200" w:lineRule="exact"/>
              <w:jc w:val="center"/>
              <w:rPr>
                <w:rFonts w:asciiTheme="minorHAnsi" w:eastAsia="Calibri" w:hAnsiTheme="minorHAnsi"/>
                <w:color w:val="000000" w:themeColor="text1"/>
                <w:sz w:val="20"/>
              </w:rPr>
            </w:pPr>
            <w:r>
              <w:rPr>
                <w:rFonts w:asciiTheme="minorHAnsi" w:eastAsia="Calibri" w:hAnsiTheme="minorHAnsi"/>
                <w:color w:val="000000" w:themeColor="text1"/>
                <w:sz w:val="20"/>
              </w:rPr>
              <w:t>Left</w:t>
            </w:r>
          </w:p>
        </w:tc>
        <w:tc>
          <w:tcPr>
            <w:tcW w:w="10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D7831" w:rsidRPr="0013147A" w:rsidRDefault="00FD7831" w:rsidP="00CA67FC">
            <w:pPr>
              <w:spacing w:line="200" w:lineRule="exact"/>
              <w:jc w:val="center"/>
              <w:rPr>
                <w:rFonts w:asciiTheme="minorHAnsi" w:eastAsia="Calibri" w:hAnsiTheme="minorHAnsi"/>
                <w:color w:val="000000" w:themeColor="text1"/>
                <w:sz w:val="20"/>
              </w:rPr>
            </w:pPr>
            <w:r>
              <w:rPr>
                <w:rFonts w:asciiTheme="minorHAnsi" w:eastAsia="Calibri" w:hAnsiTheme="minorHAnsi"/>
                <w:color w:val="000000" w:themeColor="text1"/>
                <w:sz w:val="20"/>
              </w:rPr>
              <w:t>Right</w:t>
            </w:r>
          </w:p>
        </w:tc>
      </w:tr>
      <w:tr w:rsidR="00FD7831" w:rsidRPr="0013147A" w:rsidTr="00D55C13">
        <w:trPr>
          <w:jc w:val="center"/>
        </w:trPr>
        <w:tc>
          <w:tcPr>
            <w:tcW w:w="2195"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D55C13">
            <w:pPr>
              <w:spacing w:line="180" w:lineRule="exact"/>
              <w:rPr>
                <w:rFonts w:asciiTheme="minorHAnsi" w:eastAsia="Calibri" w:hAnsiTheme="minorHAnsi"/>
                <w:color w:val="000000" w:themeColor="text1"/>
                <w:sz w:val="18"/>
                <w:szCs w:val="18"/>
              </w:rPr>
            </w:pPr>
            <w:r w:rsidRPr="0013147A">
              <w:rPr>
                <w:rFonts w:asciiTheme="minorHAnsi" w:eastAsia="Calibri" w:hAnsiTheme="minorHAnsi"/>
                <w:color w:val="000000" w:themeColor="text1"/>
                <w:sz w:val="18"/>
                <w:szCs w:val="18"/>
              </w:rPr>
              <w:t>Dorsiflexion  (0-20)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CA67F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5°</w:t>
            </w:r>
          </w:p>
        </w:tc>
        <w:tc>
          <w:tcPr>
            <w:tcW w:w="990" w:type="dxa"/>
            <w:tcBorders>
              <w:top w:val="single" w:sz="4" w:space="0" w:color="000000"/>
              <w:left w:val="single" w:sz="4" w:space="0" w:color="000000"/>
              <w:bottom w:val="single" w:sz="4" w:space="0" w:color="000000"/>
              <w:right w:val="single" w:sz="4" w:space="0" w:color="000000"/>
            </w:tcBorders>
            <w:vAlign w:val="center"/>
          </w:tcPr>
          <w:p w:rsidR="00FD7831" w:rsidRPr="0013147A" w:rsidRDefault="00FD7831" w:rsidP="00CA67F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CA67F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p>
        </w:tc>
        <w:tc>
          <w:tcPr>
            <w:tcW w:w="1022" w:type="dxa"/>
            <w:tcBorders>
              <w:top w:val="single" w:sz="4" w:space="0" w:color="000000"/>
              <w:left w:val="single" w:sz="4" w:space="0" w:color="000000"/>
              <w:bottom w:val="single" w:sz="4" w:space="0" w:color="000000"/>
              <w:right w:val="single" w:sz="4" w:space="0" w:color="000000"/>
            </w:tcBorders>
            <w:vAlign w:val="center"/>
          </w:tcPr>
          <w:p w:rsidR="00FD7831" w:rsidRPr="0013147A" w:rsidRDefault="00FD7831" w:rsidP="00CA67F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20°</w:t>
            </w:r>
          </w:p>
        </w:tc>
      </w:tr>
      <w:tr w:rsidR="00FD7831" w:rsidRPr="0013147A" w:rsidTr="00D55C13">
        <w:trPr>
          <w:jc w:val="center"/>
        </w:trPr>
        <w:tc>
          <w:tcPr>
            <w:tcW w:w="2195"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D55C13">
            <w:pPr>
              <w:spacing w:line="180" w:lineRule="exact"/>
              <w:rPr>
                <w:rFonts w:asciiTheme="minorHAnsi" w:eastAsia="Calibri" w:hAnsiTheme="minorHAnsi"/>
                <w:color w:val="000000" w:themeColor="text1"/>
                <w:sz w:val="18"/>
                <w:szCs w:val="18"/>
              </w:rPr>
            </w:pPr>
            <w:r w:rsidRPr="0013147A">
              <w:rPr>
                <w:rFonts w:asciiTheme="minorHAnsi" w:eastAsia="Calibri" w:hAnsiTheme="minorHAnsi"/>
                <w:color w:val="000000" w:themeColor="text1"/>
                <w:sz w:val="18"/>
                <w:szCs w:val="18"/>
              </w:rPr>
              <w:t>Plantar Flexion (0-45)</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CA67F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p>
        </w:tc>
        <w:tc>
          <w:tcPr>
            <w:tcW w:w="990" w:type="dxa"/>
            <w:tcBorders>
              <w:top w:val="single" w:sz="4" w:space="0" w:color="000000"/>
              <w:left w:val="single" w:sz="4" w:space="0" w:color="000000"/>
              <w:bottom w:val="single" w:sz="4" w:space="0" w:color="000000"/>
              <w:right w:val="single" w:sz="4" w:space="0" w:color="000000"/>
            </w:tcBorders>
            <w:vAlign w:val="center"/>
          </w:tcPr>
          <w:p w:rsidR="00FD7831" w:rsidRPr="0013147A" w:rsidRDefault="00FD7831" w:rsidP="00CA67F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30°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CA67F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45°</w:t>
            </w:r>
          </w:p>
        </w:tc>
        <w:tc>
          <w:tcPr>
            <w:tcW w:w="1022" w:type="dxa"/>
            <w:tcBorders>
              <w:top w:val="single" w:sz="4" w:space="0" w:color="000000"/>
              <w:left w:val="single" w:sz="4" w:space="0" w:color="000000"/>
              <w:bottom w:val="single" w:sz="4" w:space="0" w:color="000000"/>
              <w:right w:val="single" w:sz="4" w:space="0" w:color="000000"/>
            </w:tcBorders>
            <w:vAlign w:val="center"/>
          </w:tcPr>
          <w:p w:rsidR="00FD7831" w:rsidRPr="0013147A" w:rsidRDefault="00FD7831" w:rsidP="00CA67FC">
            <w:pPr>
              <w:spacing w:line="180" w:lineRule="exact"/>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45°</w:t>
            </w:r>
          </w:p>
        </w:tc>
      </w:tr>
      <w:tr w:rsidR="00E842CD" w:rsidRPr="0013147A" w:rsidTr="00D55C13">
        <w:trPr>
          <w:jc w:val="center"/>
        </w:trPr>
        <w:tc>
          <w:tcPr>
            <w:tcW w:w="2195" w:type="dxa"/>
            <w:tcBorders>
              <w:top w:val="single" w:sz="4" w:space="0" w:color="000000"/>
              <w:left w:val="single" w:sz="4" w:space="0" w:color="000000"/>
              <w:bottom w:val="single" w:sz="4" w:space="0" w:color="000000"/>
              <w:right w:val="single" w:sz="4" w:space="0" w:color="000000"/>
            </w:tcBorders>
            <w:vAlign w:val="center"/>
            <w:hideMark/>
          </w:tcPr>
          <w:p w:rsidR="00E842CD" w:rsidRPr="0013147A" w:rsidRDefault="00E842CD" w:rsidP="00D55C13">
            <w:pPr>
              <w:tabs>
                <w:tab w:val="left" w:pos="288"/>
                <w:tab w:val="left" w:pos="4752"/>
              </w:tabs>
              <w:spacing w:line="180" w:lineRule="exact"/>
              <w:rPr>
                <w:rFonts w:asciiTheme="minorHAnsi" w:eastAsiaTheme="minorHAnsi" w:hAnsiTheme="minorHAnsi"/>
                <w:color w:val="000000" w:themeColor="text1"/>
                <w:sz w:val="18"/>
                <w:szCs w:val="18"/>
              </w:rPr>
            </w:pPr>
            <w:r w:rsidRPr="0013147A">
              <w:rPr>
                <w:rFonts w:asciiTheme="minorHAnsi" w:eastAsiaTheme="minorHAnsi" w:hAnsiTheme="minorHAnsi"/>
                <w:color w:val="000000" w:themeColor="text1"/>
                <w:sz w:val="18"/>
                <w:szCs w:val="18"/>
              </w:rPr>
              <w:t>Comment</w:t>
            </w:r>
          </w:p>
        </w:tc>
        <w:tc>
          <w:tcPr>
            <w:tcW w:w="2067" w:type="dxa"/>
            <w:gridSpan w:val="2"/>
            <w:tcBorders>
              <w:top w:val="single" w:sz="4" w:space="0" w:color="000000"/>
              <w:left w:val="single" w:sz="4" w:space="0" w:color="000000"/>
              <w:bottom w:val="single" w:sz="4" w:space="0" w:color="000000"/>
              <w:right w:val="single" w:sz="4" w:space="0" w:color="000000"/>
            </w:tcBorders>
            <w:vAlign w:val="center"/>
          </w:tcPr>
          <w:p w:rsidR="00E842CD" w:rsidRPr="0013147A" w:rsidRDefault="00E842CD" w:rsidP="00CA67FC">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 pain noted on exam</w:t>
            </w:r>
            <w:r w:rsidR="009E2A21">
              <w:rPr>
                <w:rFonts w:asciiTheme="minorHAnsi" w:eastAsia="Calibri" w:hAnsiTheme="minorHAnsi"/>
                <w:color w:val="000000" w:themeColor="text1"/>
                <w:sz w:val="18"/>
                <w:szCs w:val="18"/>
              </w:rPr>
              <w:t>.</w:t>
            </w:r>
          </w:p>
        </w:tc>
        <w:tc>
          <w:tcPr>
            <w:tcW w:w="2070" w:type="dxa"/>
            <w:gridSpan w:val="2"/>
            <w:tcBorders>
              <w:top w:val="single" w:sz="4" w:space="0" w:color="000000"/>
              <w:left w:val="single" w:sz="4" w:space="0" w:color="000000"/>
              <w:bottom w:val="single" w:sz="4" w:space="0" w:color="000000"/>
              <w:right w:val="single" w:sz="4" w:space="0" w:color="000000"/>
            </w:tcBorders>
            <w:vAlign w:val="center"/>
          </w:tcPr>
          <w:p w:rsidR="00E842CD" w:rsidRPr="0013147A" w:rsidRDefault="00E842CD" w:rsidP="00CA67FC">
            <w:pPr>
              <w:spacing w:line="180" w:lineRule="exact"/>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No pain noted on exam</w:t>
            </w:r>
            <w:r w:rsidR="009E2A21">
              <w:rPr>
                <w:rFonts w:asciiTheme="minorHAnsi" w:eastAsia="Calibri" w:hAnsiTheme="minorHAnsi"/>
                <w:color w:val="000000" w:themeColor="text1"/>
                <w:sz w:val="18"/>
                <w:szCs w:val="18"/>
              </w:rPr>
              <w:t>.</w:t>
            </w:r>
          </w:p>
        </w:tc>
      </w:tr>
      <w:tr w:rsidR="00FD7831" w:rsidRPr="0013147A" w:rsidTr="00D55C13">
        <w:trPr>
          <w:jc w:val="center"/>
        </w:trPr>
        <w:tc>
          <w:tcPr>
            <w:tcW w:w="2195"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D55C13">
            <w:pPr>
              <w:tabs>
                <w:tab w:val="left" w:pos="288"/>
                <w:tab w:val="left" w:pos="4752"/>
              </w:tabs>
              <w:spacing w:line="180" w:lineRule="exact"/>
              <w:rPr>
                <w:rFonts w:asciiTheme="minorHAnsi" w:eastAsiaTheme="minorHAnsi" w:hAnsiTheme="minorHAnsi"/>
                <w:color w:val="000000" w:themeColor="text1"/>
                <w:sz w:val="18"/>
                <w:szCs w:val="18"/>
              </w:rPr>
            </w:pPr>
            <w:r w:rsidRPr="0013147A">
              <w:rPr>
                <w:rFonts w:asciiTheme="minorHAnsi" w:eastAsiaTheme="minorHAnsi" w:hAnsiTheme="minorHAnsi"/>
                <w:color w:val="000000" w:themeColor="text1"/>
                <w:sz w:val="18"/>
                <w:szCs w:val="18"/>
              </w:rPr>
              <w:t>§4.71a Rating</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CA67FC">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p>
        </w:tc>
        <w:tc>
          <w:tcPr>
            <w:tcW w:w="990" w:type="dxa"/>
            <w:tcBorders>
              <w:top w:val="single" w:sz="4" w:space="0" w:color="000000"/>
              <w:left w:val="single" w:sz="4" w:space="0" w:color="000000"/>
              <w:bottom w:val="single" w:sz="4" w:space="0" w:color="000000"/>
              <w:right w:val="single" w:sz="4" w:space="0" w:color="000000"/>
            </w:tcBorders>
            <w:vAlign w:val="center"/>
          </w:tcPr>
          <w:p w:rsidR="00FD7831" w:rsidRPr="0013147A" w:rsidRDefault="00E842CD" w:rsidP="00CA67FC">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FD7831" w:rsidRPr="0013147A" w:rsidRDefault="00FD7831" w:rsidP="00CA67FC">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10%</w:t>
            </w:r>
          </w:p>
        </w:tc>
        <w:tc>
          <w:tcPr>
            <w:tcW w:w="1022" w:type="dxa"/>
            <w:tcBorders>
              <w:top w:val="single" w:sz="4" w:space="0" w:color="000000"/>
              <w:left w:val="single" w:sz="4" w:space="0" w:color="000000"/>
              <w:bottom w:val="single" w:sz="4" w:space="0" w:color="000000"/>
              <w:right w:val="single" w:sz="4" w:space="0" w:color="000000"/>
            </w:tcBorders>
            <w:vAlign w:val="center"/>
          </w:tcPr>
          <w:p w:rsidR="00FD7831" w:rsidRPr="0013147A" w:rsidRDefault="00FD7831" w:rsidP="00CA67FC">
            <w:pPr>
              <w:spacing w:line="180" w:lineRule="exact"/>
              <w:contextualSpacing/>
              <w:jc w:val="center"/>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w:t>
            </w:r>
          </w:p>
        </w:tc>
      </w:tr>
    </w:tbl>
    <w:p w:rsidR="00611BA5" w:rsidRDefault="00611BA5" w:rsidP="00AF166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 </w:t>
      </w:r>
    </w:p>
    <w:p w:rsidR="00772BF8" w:rsidRDefault="003D66FA" w:rsidP="00FE2B4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In assigning probative value to these two examinations</w:t>
      </w:r>
      <w:r w:rsidR="003D6AEB">
        <w:rPr>
          <w:rFonts w:asciiTheme="minorHAnsi" w:hAnsiTheme="minorHAnsi"/>
          <w:color w:val="auto"/>
          <w:szCs w:val="24"/>
        </w:rPr>
        <w:t>,</w:t>
      </w:r>
      <w:r>
        <w:rPr>
          <w:rFonts w:asciiTheme="minorHAnsi" w:hAnsiTheme="minorHAnsi"/>
          <w:color w:val="auto"/>
          <w:szCs w:val="24"/>
        </w:rPr>
        <w:t xml:space="preserve"> the Board agreed that the MEB examination and radiographs were more consistent with the repetitive injury history and history of surgical intervention which was documented in the clinical notes. </w:t>
      </w:r>
      <w:r w:rsidR="003D6AEB">
        <w:rPr>
          <w:rFonts w:asciiTheme="minorHAnsi" w:hAnsiTheme="minorHAnsi"/>
          <w:color w:val="auto"/>
          <w:szCs w:val="24"/>
        </w:rPr>
        <w:t xml:space="preserve"> </w:t>
      </w:r>
      <w:r w:rsidR="003D6AEB" w:rsidRPr="00E0006E">
        <w:rPr>
          <w:rFonts w:asciiTheme="minorHAnsi" w:hAnsiTheme="minorHAnsi"/>
          <w:color w:val="auto"/>
          <w:szCs w:val="24"/>
        </w:rPr>
        <w:t xml:space="preserve">The Board first evaluated the PEB coding approach of combining the </w:t>
      </w:r>
      <w:r w:rsidR="003D6AEB">
        <w:rPr>
          <w:rFonts w:asciiTheme="minorHAnsi" w:hAnsiTheme="minorHAnsi"/>
          <w:color w:val="auto"/>
          <w:szCs w:val="24"/>
        </w:rPr>
        <w:t xml:space="preserve">separate MEB </w:t>
      </w:r>
      <w:r w:rsidR="003D6AEB" w:rsidRPr="00E0006E">
        <w:rPr>
          <w:rFonts w:asciiTheme="minorHAnsi" w:hAnsiTheme="minorHAnsi"/>
          <w:color w:val="auto"/>
          <w:szCs w:val="24"/>
        </w:rPr>
        <w:t xml:space="preserve">conditions </w:t>
      </w:r>
      <w:r w:rsidR="003D6AEB">
        <w:rPr>
          <w:rFonts w:asciiTheme="minorHAnsi" w:hAnsiTheme="minorHAnsi"/>
          <w:color w:val="auto"/>
          <w:szCs w:val="24"/>
        </w:rPr>
        <w:t xml:space="preserve">(as elaborated above) </w:t>
      </w:r>
      <w:r w:rsidR="003D6AEB" w:rsidRPr="00E0006E">
        <w:rPr>
          <w:rFonts w:asciiTheme="minorHAnsi" w:hAnsiTheme="minorHAnsi"/>
          <w:color w:val="auto"/>
          <w:szCs w:val="24"/>
        </w:rPr>
        <w:t>under the single analogous 5003 code</w:t>
      </w:r>
      <w:r w:rsidR="003D6AEB">
        <w:rPr>
          <w:rFonts w:asciiTheme="minorHAnsi" w:hAnsiTheme="minorHAnsi"/>
          <w:color w:val="auto"/>
          <w:szCs w:val="24"/>
        </w:rPr>
        <w:t>, achieving a</w:t>
      </w:r>
      <w:r w:rsidR="003D6AEB" w:rsidRPr="00E0006E">
        <w:rPr>
          <w:rFonts w:asciiTheme="minorHAnsi" w:hAnsiTheme="minorHAnsi"/>
          <w:color w:val="auto"/>
          <w:szCs w:val="24"/>
        </w:rPr>
        <w:t xml:space="preserve"> 10%</w:t>
      </w:r>
      <w:r w:rsidR="003D6AEB">
        <w:rPr>
          <w:rFonts w:asciiTheme="minorHAnsi" w:hAnsiTheme="minorHAnsi"/>
          <w:color w:val="auto"/>
          <w:szCs w:val="24"/>
        </w:rPr>
        <w:t xml:space="preserve"> rating by invoking the USAPDA pain policy.  </w:t>
      </w:r>
      <w:r w:rsidR="00B85CE4">
        <w:rPr>
          <w:rFonts w:asciiTheme="minorHAnsi" w:hAnsiTheme="minorHAnsi"/>
          <w:color w:val="auto"/>
          <w:szCs w:val="24"/>
        </w:rPr>
        <w:t xml:space="preserve">The Board </w:t>
      </w:r>
      <w:r w:rsidR="003D6AEB">
        <w:rPr>
          <w:rFonts w:asciiTheme="minorHAnsi" w:hAnsiTheme="minorHAnsi"/>
          <w:color w:val="auto"/>
          <w:szCs w:val="24"/>
        </w:rPr>
        <w:t>must apply</w:t>
      </w:r>
      <w:r w:rsidR="00B85CE4">
        <w:rPr>
          <w:rFonts w:asciiTheme="minorHAnsi" w:hAnsiTheme="minorHAnsi"/>
          <w:color w:val="auto"/>
          <w:szCs w:val="24"/>
        </w:rPr>
        <w:t xml:space="preserve"> separate codes and ratings in its recommendation, since compensable ratings for each </w:t>
      </w:r>
      <w:r w:rsidR="00C31624">
        <w:rPr>
          <w:rFonts w:asciiTheme="minorHAnsi" w:hAnsiTheme="minorHAnsi"/>
          <w:color w:val="auto"/>
          <w:szCs w:val="24"/>
        </w:rPr>
        <w:t>ankle joint</w:t>
      </w:r>
      <w:r w:rsidR="00B85CE4">
        <w:rPr>
          <w:rFonts w:asciiTheme="minorHAnsi" w:hAnsiTheme="minorHAnsi"/>
          <w:color w:val="auto"/>
          <w:szCs w:val="24"/>
        </w:rPr>
        <w:t xml:space="preserve"> are achieved IAW VASRD §4.71a.</w:t>
      </w:r>
      <w:r w:rsidR="003D6AEB">
        <w:rPr>
          <w:rFonts w:asciiTheme="minorHAnsi" w:hAnsiTheme="minorHAnsi"/>
          <w:color w:val="auto"/>
          <w:szCs w:val="24"/>
        </w:rPr>
        <w:t xml:space="preserve"> </w:t>
      </w:r>
      <w:r w:rsidR="00B85CE4">
        <w:rPr>
          <w:rFonts w:asciiTheme="minorHAnsi" w:hAnsiTheme="minorHAnsi"/>
          <w:color w:val="auto"/>
          <w:szCs w:val="24"/>
        </w:rPr>
        <w:t xml:space="preserve"> This is consistent as well with the VA rating decision. </w:t>
      </w:r>
      <w:r w:rsidR="003D6AEB">
        <w:rPr>
          <w:rFonts w:asciiTheme="minorHAnsi" w:hAnsiTheme="minorHAnsi"/>
          <w:color w:val="auto"/>
          <w:szCs w:val="24"/>
        </w:rPr>
        <w:t xml:space="preserve"> </w:t>
      </w:r>
      <w:r w:rsidR="00611BA5">
        <w:rPr>
          <w:rFonts w:asciiTheme="minorHAnsi" w:hAnsiTheme="minorHAnsi"/>
          <w:color w:val="auto"/>
          <w:szCs w:val="24"/>
        </w:rPr>
        <w:t xml:space="preserve">The MEB examiner noted that the CI had bilateral ankle pain since 1996. </w:t>
      </w:r>
      <w:r w:rsidR="003D6AEB">
        <w:rPr>
          <w:rFonts w:asciiTheme="minorHAnsi" w:hAnsiTheme="minorHAnsi"/>
          <w:color w:val="auto"/>
          <w:szCs w:val="24"/>
        </w:rPr>
        <w:t xml:space="preserve"> </w:t>
      </w:r>
      <w:r w:rsidR="00E842CD">
        <w:rPr>
          <w:rFonts w:asciiTheme="minorHAnsi" w:hAnsiTheme="minorHAnsi"/>
          <w:color w:val="auto"/>
          <w:szCs w:val="24"/>
        </w:rPr>
        <w:t>H</w:t>
      </w:r>
      <w:r w:rsidR="00611BA5">
        <w:rPr>
          <w:rFonts w:asciiTheme="minorHAnsi" w:hAnsiTheme="minorHAnsi"/>
          <w:color w:val="auto"/>
          <w:szCs w:val="24"/>
        </w:rPr>
        <w:t>e had repeated injuries to both ankles culminating in operative intervention in 1998.</w:t>
      </w:r>
      <w:r w:rsidR="003D6AEB">
        <w:rPr>
          <w:rFonts w:asciiTheme="minorHAnsi" w:hAnsiTheme="minorHAnsi"/>
          <w:color w:val="auto"/>
          <w:szCs w:val="24"/>
        </w:rPr>
        <w:t xml:space="preserve"> </w:t>
      </w:r>
      <w:r w:rsidR="00611BA5">
        <w:rPr>
          <w:rFonts w:asciiTheme="minorHAnsi" w:hAnsiTheme="minorHAnsi"/>
          <w:color w:val="auto"/>
          <w:szCs w:val="24"/>
        </w:rPr>
        <w:t xml:space="preserve"> Despite the operations</w:t>
      </w:r>
      <w:r w:rsidR="00C96B0D">
        <w:rPr>
          <w:rFonts w:asciiTheme="minorHAnsi" w:hAnsiTheme="minorHAnsi"/>
          <w:color w:val="auto"/>
          <w:szCs w:val="24"/>
        </w:rPr>
        <w:t>,</w:t>
      </w:r>
      <w:r w:rsidR="00611BA5">
        <w:rPr>
          <w:rFonts w:asciiTheme="minorHAnsi" w:hAnsiTheme="minorHAnsi"/>
          <w:color w:val="auto"/>
          <w:szCs w:val="24"/>
        </w:rPr>
        <w:t xml:space="preserve"> </w:t>
      </w:r>
      <w:r w:rsidR="001F3A59">
        <w:rPr>
          <w:rFonts w:asciiTheme="minorHAnsi" w:hAnsiTheme="minorHAnsi"/>
          <w:color w:val="auto"/>
          <w:szCs w:val="24"/>
        </w:rPr>
        <w:t>he</w:t>
      </w:r>
      <w:r w:rsidR="00611BA5">
        <w:rPr>
          <w:rFonts w:asciiTheme="minorHAnsi" w:hAnsiTheme="minorHAnsi"/>
          <w:color w:val="auto"/>
          <w:szCs w:val="24"/>
        </w:rPr>
        <w:t xml:space="preserve"> had</w:t>
      </w:r>
      <w:r w:rsidR="002545F8">
        <w:rPr>
          <w:rFonts w:asciiTheme="minorHAnsi" w:hAnsiTheme="minorHAnsi"/>
          <w:color w:val="auto"/>
          <w:szCs w:val="24"/>
        </w:rPr>
        <w:t xml:space="preserve"> residu</w:t>
      </w:r>
      <w:r w:rsidR="00C96B0D">
        <w:rPr>
          <w:rFonts w:asciiTheme="minorHAnsi" w:hAnsiTheme="minorHAnsi"/>
          <w:color w:val="auto"/>
          <w:szCs w:val="24"/>
        </w:rPr>
        <w:t>al bilateral ankle pain and “</w:t>
      </w:r>
      <w:r w:rsidR="002545F8">
        <w:rPr>
          <w:rFonts w:asciiTheme="minorHAnsi" w:hAnsiTheme="minorHAnsi"/>
          <w:color w:val="auto"/>
          <w:szCs w:val="24"/>
        </w:rPr>
        <w:t>decreased mobi</w:t>
      </w:r>
      <w:r w:rsidR="00C96B0D">
        <w:rPr>
          <w:rFonts w:asciiTheme="minorHAnsi" w:hAnsiTheme="minorHAnsi"/>
          <w:color w:val="auto"/>
          <w:szCs w:val="24"/>
        </w:rPr>
        <w:t>lity and subjective instability</w:t>
      </w:r>
      <w:r w:rsidR="00D55C13">
        <w:rPr>
          <w:rFonts w:asciiTheme="minorHAnsi" w:hAnsiTheme="minorHAnsi"/>
          <w:color w:val="auto"/>
          <w:szCs w:val="24"/>
        </w:rPr>
        <w:t>.</w:t>
      </w:r>
      <w:r w:rsidR="002545F8">
        <w:rPr>
          <w:rFonts w:asciiTheme="minorHAnsi" w:hAnsiTheme="minorHAnsi"/>
          <w:color w:val="auto"/>
          <w:szCs w:val="24"/>
        </w:rPr>
        <w:t>”</w:t>
      </w:r>
      <w:r w:rsidR="003D6AEB">
        <w:rPr>
          <w:rFonts w:asciiTheme="minorHAnsi" w:hAnsiTheme="minorHAnsi"/>
          <w:color w:val="auto"/>
          <w:szCs w:val="24"/>
        </w:rPr>
        <w:t xml:space="preserve"> </w:t>
      </w:r>
      <w:r w:rsidR="00611BA5">
        <w:rPr>
          <w:rFonts w:asciiTheme="minorHAnsi" w:hAnsiTheme="minorHAnsi"/>
          <w:color w:val="auto"/>
          <w:szCs w:val="24"/>
        </w:rPr>
        <w:t xml:space="preserve"> </w:t>
      </w:r>
      <w:r w:rsidR="00C96B0D">
        <w:rPr>
          <w:rFonts w:asciiTheme="minorHAnsi" w:hAnsiTheme="minorHAnsi"/>
          <w:color w:val="auto"/>
          <w:szCs w:val="24"/>
        </w:rPr>
        <w:t xml:space="preserve">Each ankle </w:t>
      </w:r>
      <w:r w:rsidR="00463CC1">
        <w:rPr>
          <w:rFonts w:asciiTheme="minorHAnsi" w:hAnsiTheme="minorHAnsi"/>
          <w:color w:val="auto"/>
          <w:szCs w:val="24"/>
        </w:rPr>
        <w:t>demonstrate</w:t>
      </w:r>
      <w:r w:rsidR="00C96B0D">
        <w:rPr>
          <w:rFonts w:asciiTheme="minorHAnsi" w:hAnsiTheme="minorHAnsi"/>
          <w:color w:val="auto"/>
          <w:szCs w:val="24"/>
        </w:rPr>
        <w:t>d</w:t>
      </w:r>
      <w:r w:rsidR="00463CC1">
        <w:rPr>
          <w:rFonts w:asciiTheme="minorHAnsi" w:hAnsiTheme="minorHAnsi"/>
          <w:color w:val="auto"/>
          <w:szCs w:val="24"/>
        </w:rPr>
        <w:t xml:space="preserve"> </w:t>
      </w:r>
      <w:r w:rsidR="00C96B0D">
        <w:rPr>
          <w:rFonts w:asciiTheme="minorHAnsi" w:hAnsiTheme="minorHAnsi"/>
          <w:color w:val="auto"/>
          <w:szCs w:val="24"/>
        </w:rPr>
        <w:t xml:space="preserve">radiographic evidence of </w:t>
      </w:r>
      <w:r w:rsidR="00463CC1">
        <w:rPr>
          <w:rFonts w:asciiTheme="minorHAnsi" w:hAnsiTheme="minorHAnsi"/>
          <w:color w:val="auto"/>
          <w:szCs w:val="24"/>
        </w:rPr>
        <w:t>mild degenerative joint disease.</w:t>
      </w:r>
      <w:r w:rsidR="00611BA5">
        <w:rPr>
          <w:rFonts w:asciiTheme="minorHAnsi" w:hAnsiTheme="minorHAnsi"/>
          <w:color w:val="auto"/>
          <w:szCs w:val="24"/>
        </w:rPr>
        <w:t xml:space="preserve"> </w:t>
      </w:r>
      <w:r w:rsidR="003D6AEB">
        <w:rPr>
          <w:rFonts w:asciiTheme="minorHAnsi" w:hAnsiTheme="minorHAnsi"/>
          <w:color w:val="auto"/>
          <w:szCs w:val="24"/>
        </w:rPr>
        <w:t xml:space="preserve">  </w:t>
      </w:r>
      <w:r w:rsidR="002545F8">
        <w:rPr>
          <w:rFonts w:asciiTheme="minorHAnsi" w:hAnsiTheme="minorHAnsi"/>
          <w:color w:val="auto"/>
          <w:szCs w:val="24"/>
        </w:rPr>
        <w:t xml:space="preserve">The </w:t>
      </w:r>
      <w:r w:rsidR="00C96B0D">
        <w:rPr>
          <w:rFonts w:asciiTheme="minorHAnsi" w:hAnsiTheme="minorHAnsi"/>
          <w:color w:val="auto"/>
          <w:szCs w:val="24"/>
        </w:rPr>
        <w:t>VA</w:t>
      </w:r>
      <w:r w:rsidR="002545F8">
        <w:rPr>
          <w:rFonts w:asciiTheme="minorHAnsi" w:hAnsiTheme="minorHAnsi"/>
          <w:color w:val="auto"/>
          <w:szCs w:val="24"/>
        </w:rPr>
        <w:t xml:space="preserve"> </w:t>
      </w:r>
      <w:r w:rsidR="00C96B0D">
        <w:rPr>
          <w:rFonts w:asciiTheme="minorHAnsi" w:hAnsiTheme="minorHAnsi"/>
          <w:color w:val="auto"/>
          <w:szCs w:val="24"/>
        </w:rPr>
        <w:t>rating</w:t>
      </w:r>
      <w:r w:rsidR="002545F8">
        <w:rPr>
          <w:rFonts w:asciiTheme="minorHAnsi" w:hAnsiTheme="minorHAnsi"/>
          <w:color w:val="auto"/>
          <w:szCs w:val="24"/>
        </w:rPr>
        <w:t xml:space="preserve"> examination performed </w:t>
      </w:r>
      <w:r w:rsidR="00772BF8">
        <w:rPr>
          <w:rFonts w:asciiTheme="minorHAnsi" w:hAnsiTheme="minorHAnsi"/>
          <w:color w:val="auto"/>
          <w:szCs w:val="24"/>
        </w:rPr>
        <w:t xml:space="preserve">contemporaneously with the MEB exam yielded the </w:t>
      </w:r>
      <w:r w:rsidR="00D65B12">
        <w:rPr>
          <w:rFonts w:asciiTheme="minorHAnsi" w:hAnsiTheme="minorHAnsi"/>
          <w:color w:val="auto"/>
          <w:szCs w:val="24"/>
        </w:rPr>
        <w:t xml:space="preserve">normal </w:t>
      </w:r>
      <w:r w:rsidR="00772BF8">
        <w:rPr>
          <w:rFonts w:asciiTheme="minorHAnsi" w:hAnsiTheme="minorHAnsi"/>
          <w:color w:val="auto"/>
          <w:szCs w:val="24"/>
        </w:rPr>
        <w:t>ROM measurements</w:t>
      </w:r>
      <w:r w:rsidR="001E4D6D">
        <w:rPr>
          <w:rFonts w:asciiTheme="minorHAnsi" w:hAnsiTheme="minorHAnsi"/>
          <w:color w:val="auto"/>
          <w:szCs w:val="24"/>
        </w:rPr>
        <w:t xml:space="preserve"> recorded above</w:t>
      </w:r>
      <w:r w:rsidR="00772BF8">
        <w:rPr>
          <w:rFonts w:asciiTheme="minorHAnsi" w:hAnsiTheme="minorHAnsi"/>
          <w:color w:val="auto"/>
          <w:szCs w:val="24"/>
        </w:rPr>
        <w:t>,</w:t>
      </w:r>
      <w:r w:rsidR="001E4D6D">
        <w:rPr>
          <w:rFonts w:asciiTheme="minorHAnsi" w:hAnsiTheme="minorHAnsi"/>
          <w:color w:val="auto"/>
          <w:szCs w:val="24"/>
        </w:rPr>
        <w:t xml:space="preserve"> “</w:t>
      </w:r>
      <w:r w:rsidR="00772BF8">
        <w:rPr>
          <w:rFonts w:asciiTheme="minorHAnsi" w:hAnsiTheme="minorHAnsi"/>
          <w:color w:val="auto"/>
          <w:szCs w:val="24"/>
        </w:rPr>
        <w:t>without pain</w:t>
      </w:r>
      <w:r w:rsidR="001E4D6D">
        <w:rPr>
          <w:rFonts w:asciiTheme="minorHAnsi" w:hAnsiTheme="minorHAnsi"/>
          <w:color w:val="auto"/>
          <w:szCs w:val="24"/>
        </w:rPr>
        <w:t xml:space="preserve">” but </w:t>
      </w:r>
      <w:r w:rsidR="00772BF8">
        <w:rPr>
          <w:rFonts w:asciiTheme="minorHAnsi" w:hAnsiTheme="minorHAnsi"/>
          <w:color w:val="auto"/>
          <w:szCs w:val="24"/>
        </w:rPr>
        <w:t xml:space="preserve">noting </w:t>
      </w:r>
      <w:r w:rsidR="00D65B12">
        <w:rPr>
          <w:rFonts w:asciiTheme="minorHAnsi" w:hAnsiTheme="minorHAnsi"/>
          <w:color w:val="auto"/>
          <w:szCs w:val="24"/>
        </w:rPr>
        <w:t>that “t</w:t>
      </w:r>
      <w:r w:rsidR="001E4D6D">
        <w:rPr>
          <w:rFonts w:asciiTheme="minorHAnsi" w:hAnsiTheme="minorHAnsi"/>
          <w:color w:val="auto"/>
          <w:szCs w:val="24"/>
        </w:rPr>
        <w:t xml:space="preserve">here may be a </w:t>
      </w:r>
      <w:r w:rsidR="00D65B12">
        <w:rPr>
          <w:rFonts w:asciiTheme="minorHAnsi" w:hAnsiTheme="minorHAnsi"/>
          <w:color w:val="auto"/>
          <w:szCs w:val="24"/>
        </w:rPr>
        <w:t>Deluca issue for the left ankle</w:t>
      </w:r>
      <w:r w:rsidR="00D55C13">
        <w:rPr>
          <w:rFonts w:asciiTheme="minorHAnsi" w:hAnsiTheme="minorHAnsi"/>
          <w:color w:val="auto"/>
          <w:szCs w:val="24"/>
        </w:rPr>
        <w:t>.</w:t>
      </w:r>
      <w:r w:rsidR="001E4D6D">
        <w:rPr>
          <w:rFonts w:asciiTheme="minorHAnsi" w:hAnsiTheme="minorHAnsi"/>
          <w:color w:val="auto"/>
          <w:szCs w:val="24"/>
        </w:rPr>
        <w:t>”</w:t>
      </w:r>
      <w:r w:rsidR="00E0006E">
        <w:rPr>
          <w:rFonts w:asciiTheme="minorHAnsi" w:hAnsiTheme="minorHAnsi"/>
          <w:color w:val="auto"/>
          <w:szCs w:val="24"/>
        </w:rPr>
        <w:t xml:space="preserve"> </w:t>
      </w:r>
      <w:r w:rsidR="003D6AEB">
        <w:rPr>
          <w:rFonts w:asciiTheme="minorHAnsi" w:hAnsiTheme="minorHAnsi"/>
          <w:color w:val="auto"/>
          <w:szCs w:val="24"/>
        </w:rPr>
        <w:t xml:space="preserve"> </w:t>
      </w:r>
      <w:r w:rsidR="00772BF8">
        <w:rPr>
          <w:rFonts w:asciiTheme="minorHAnsi" w:hAnsiTheme="minorHAnsi"/>
          <w:color w:val="auto"/>
          <w:szCs w:val="24"/>
        </w:rPr>
        <w:t>The VA r</w:t>
      </w:r>
      <w:r w:rsidR="00E0006E">
        <w:rPr>
          <w:rFonts w:asciiTheme="minorHAnsi" w:hAnsiTheme="minorHAnsi"/>
          <w:color w:val="auto"/>
          <w:szCs w:val="24"/>
        </w:rPr>
        <w:t xml:space="preserve">adiographs of both ankles were </w:t>
      </w:r>
      <w:r w:rsidR="00772BF8">
        <w:rPr>
          <w:rFonts w:asciiTheme="minorHAnsi" w:hAnsiTheme="minorHAnsi"/>
          <w:color w:val="auto"/>
          <w:szCs w:val="24"/>
        </w:rPr>
        <w:t>interpreted as normal.</w:t>
      </w:r>
      <w:r w:rsidR="003D6AEB">
        <w:rPr>
          <w:rFonts w:asciiTheme="minorHAnsi" w:hAnsiTheme="minorHAnsi"/>
          <w:color w:val="auto"/>
          <w:szCs w:val="24"/>
        </w:rPr>
        <w:t xml:space="preserve"> </w:t>
      </w:r>
      <w:r>
        <w:rPr>
          <w:rFonts w:asciiTheme="minorHAnsi" w:hAnsiTheme="minorHAnsi"/>
          <w:color w:val="auto"/>
          <w:szCs w:val="24"/>
        </w:rPr>
        <w:t xml:space="preserve"> </w:t>
      </w:r>
      <w:r w:rsidR="00D65B12">
        <w:rPr>
          <w:rFonts w:asciiTheme="minorHAnsi" w:hAnsiTheme="minorHAnsi"/>
          <w:color w:val="auto"/>
          <w:szCs w:val="24"/>
        </w:rPr>
        <w:t>In assessing the appropriate</w:t>
      </w:r>
      <w:r w:rsidR="00D55C13">
        <w:rPr>
          <w:rFonts w:asciiTheme="minorHAnsi" w:hAnsiTheme="minorHAnsi"/>
          <w:color w:val="auto"/>
          <w:szCs w:val="24"/>
        </w:rPr>
        <w:t xml:space="preserve"> the VA Schedule for Rating Disabilities (</w:t>
      </w:r>
      <w:r w:rsidR="00D65B12">
        <w:rPr>
          <w:rFonts w:asciiTheme="minorHAnsi" w:hAnsiTheme="minorHAnsi"/>
          <w:color w:val="auto"/>
          <w:szCs w:val="24"/>
        </w:rPr>
        <w:t>VASRD</w:t>
      </w:r>
      <w:r w:rsidR="00D55C13">
        <w:rPr>
          <w:rFonts w:asciiTheme="minorHAnsi" w:hAnsiTheme="minorHAnsi"/>
          <w:color w:val="auto"/>
          <w:szCs w:val="24"/>
        </w:rPr>
        <w:t>)</w:t>
      </w:r>
      <w:r w:rsidR="00D65B12">
        <w:rPr>
          <w:rFonts w:asciiTheme="minorHAnsi" w:hAnsiTheme="minorHAnsi"/>
          <w:color w:val="auto"/>
          <w:szCs w:val="24"/>
        </w:rPr>
        <w:t xml:space="preserve"> code</w:t>
      </w:r>
      <w:r w:rsidR="004D5B5B">
        <w:rPr>
          <w:rFonts w:asciiTheme="minorHAnsi" w:hAnsiTheme="minorHAnsi"/>
          <w:color w:val="auto"/>
          <w:szCs w:val="24"/>
        </w:rPr>
        <w:t xml:space="preserve"> for rating each ankle</w:t>
      </w:r>
      <w:r w:rsidR="00201678">
        <w:rPr>
          <w:rFonts w:asciiTheme="minorHAnsi" w:hAnsiTheme="minorHAnsi"/>
          <w:color w:val="auto"/>
          <w:szCs w:val="24"/>
        </w:rPr>
        <w:t xml:space="preserve">, the Board judges that the MEB’s ROM measurements (tempered somewhat by the much improved VA measurements) satisfy a </w:t>
      </w:r>
      <w:r w:rsidR="00273D9B">
        <w:rPr>
          <w:rFonts w:asciiTheme="minorHAnsi" w:hAnsiTheme="minorHAnsi"/>
          <w:color w:val="auto"/>
          <w:szCs w:val="24"/>
        </w:rPr>
        <w:t>threshold</w:t>
      </w:r>
      <w:r w:rsidR="00201678">
        <w:rPr>
          <w:rFonts w:asciiTheme="minorHAnsi" w:hAnsiTheme="minorHAnsi"/>
          <w:color w:val="auto"/>
          <w:szCs w:val="24"/>
        </w:rPr>
        <w:t xml:space="preserve"> for moderate limitation of motion under the </w:t>
      </w:r>
      <w:r w:rsidR="00273D9B">
        <w:rPr>
          <w:rFonts w:asciiTheme="minorHAnsi" w:hAnsiTheme="minorHAnsi"/>
          <w:color w:val="auto"/>
          <w:szCs w:val="24"/>
        </w:rPr>
        <w:t>5271 code for each ankle.  Even if compensable ROM impairment is not conceded</w:t>
      </w:r>
      <w:r w:rsidR="00FE2B40">
        <w:rPr>
          <w:rFonts w:asciiTheme="minorHAnsi" w:hAnsiTheme="minorHAnsi"/>
          <w:color w:val="auto"/>
          <w:szCs w:val="24"/>
        </w:rPr>
        <w:t xml:space="preserve"> and compensable ratings IAW VASRD §4.59 (painful motion) not substantiated, the record abundantly justifies application of §4.40 (functional loss)</w:t>
      </w:r>
      <w:r w:rsidR="00C31624">
        <w:rPr>
          <w:rFonts w:asciiTheme="minorHAnsi" w:hAnsiTheme="minorHAnsi"/>
          <w:color w:val="auto"/>
          <w:szCs w:val="24"/>
        </w:rPr>
        <w:t xml:space="preserve"> to achieve the</w:t>
      </w:r>
      <w:r w:rsidR="00FE2B40">
        <w:rPr>
          <w:rFonts w:asciiTheme="minorHAnsi" w:hAnsiTheme="minorHAnsi"/>
          <w:color w:val="auto"/>
          <w:szCs w:val="24"/>
        </w:rPr>
        <w:t xml:space="preserve"> minimum compensable rating (10%) for each ankle in this case.  </w:t>
      </w:r>
      <w:r w:rsidR="00573FA3">
        <w:rPr>
          <w:rFonts w:asciiTheme="minorHAnsi" w:hAnsiTheme="minorHAnsi"/>
          <w:color w:val="auto"/>
          <w:szCs w:val="24"/>
        </w:rPr>
        <w:t xml:space="preserve">The Board deliberated the option of recommending a 20% for the left ankle under the 5271 code for limited motion.  This would assign </w:t>
      </w:r>
      <w:r w:rsidR="00D55C13">
        <w:rPr>
          <w:rFonts w:asciiTheme="minorHAnsi" w:hAnsiTheme="minorHAnsi"/>
          <w:color w:val="auto"/>
          <w:szCs w:val="24"/>
        </w:rPr>
        <w:t>“m</w:t>
      </w:r>
      <w:r w:rsidR="00573FA3">
        <w:rPr>
          <w:rFonts w:asciiTheme="minorHAnsi" w:hAnsiTheme="minorHAnsi"/>
          <w:color w:val="auto"/>
          <w:szCs w:val="24"/>
        </w:rPr>
        <w:t>arked</w:t>
      </w:r>
      <w:r w:rsidR="00D55C13">
        <w:rPr>
          <w:rFonts w:asciiTheme="minorHAnsi" w:hAnsiTheme="minorHAnsi"/>
          <w:color w:val="auto"/>
          <w:szCs w:val="24"/>
        </w:rPr>
        <w:t>”</w:t>
      </w:r>
      <w:r w:rsidR="00573FA3">
        <w:rPr>
          <w:rFonts w:asciiTheme="minorHAnsi" w:hAnsiTheme="minorHAnsi"/>
          <w:color w:val="auto"/>
          <w:szCs w:val="24"/>
        </w:rPr>
        <w:t xml:space="preserve"> limitation reflecting the MEB measurement of 5</w:t>
      </w:r>
      <w:r w:rsidR="00573FA3">
        <w:rPr>
          <w:rFonts w:asciiTheme="minorHAnsi" w:hAnsiTheme="minorHAnsi" w:cstheme="minorHAnsi"/>
          <w:color w:val="auto"/>
          <w:szCs w:val="24"/>
        </w:rPr>
        <w:t>⁰</w:t>
      </w:r>
      <w:r w:rsidR="00573FA3">
        <w:rPr>
          <w:rFonts w:asciiTheme="minorHAnsi" w:hAnsiTheme="minorHAnsi"/>
          <w:color w:val="auto"/>
          <w:szCs w:val="24"/>
        </w:rPr>
        <w:t xml:space="preserve"> dorsiflexion (normal </w:t>
      </w:r>
      <w:r w:rsidR="00573FA3">
        <w:rPr>
          <w:rFonts w:asciiTheme="minorHAnsi" w:hAnsiTheme="minorHAnsi"/>
          <w:color w:val="auto"/>
          <w:szCs w:val="24"/>
        </w:rPr>
        <w:lastRenderedPageBreak/>
        <w:t>20</w:t>
      </w:r>
      <w:r w:rsidR="00573FA3">
        <w:rPr>
          <w:rFonts w:asciiTheme="minorHAnsi" w:hAnsiTheme="minorHAnsi" w:cstheme="minorHAnsi"/>
          <w:color w:val="auto"/>
          <w:szCs w:val="24"/>
        </w:rPr>
        <w:t>⁰</w:t>
      </w:r>
      <w:r w:rsidR="00573FA3">
        <w:rPr>
          <w:rFonts w:asciiTheme="minorHAnsi" w:hAnsiTheme="minorHAnsi"/>
          <w:color w:val="auto"/>
          <w:szCs w:val="24"/>
        </w:rPr>
        <w:t xml:space="preserve">).  This rationale was weakened, however, by the closely timed VA measurement of normal dorsiflexion </w:t>
      </w:r>
      <w:r w:rsidR="00D310A2">
        <w:rPr>
          <w:rFonts w:asciiTheme="minorHAnsi" w:hAnsiTheme="minorHAnsi"/>
          <w:color w:val="auto"/>
          <w:szCs w:val="24"/>
        </w:rPr>
        <w:t xml:space="preserve">and plantar flexion </w:t>
      </w:r>
      <w:r w:rsidR="00573FA3">
        <w:rPr>
          <w:rFonts w:asciiTheme="minorHAnsi" w:hAnsiTheme="minorHAnsi"/>
          <w:color w:val="auto"/>
          <w:szCs w:val="24"/>
        </w:rPr>
        <w:t xml:space="preserve">and the </w:t>
      </w:r>
      <w:r w:rsidR="00D310A2">
        <w:rPr>
          <w:rFonts w:asciiTheme="minorHAnsi" w:hAnsiTheme="minorHAnsi"/>
          <w:color w:val="auto"/>
          <w:szCs w:val="24"/>
        </w:rPr>
        <w:t>MEB’s concurrent</w:t>
      </w:r>
      <w:r w:rsidR="00573FA3">
        <w:rPr>
          <w:rFonts w:asciiTheme="minorHAnsi" w:hAnsiTheme="minorHAnsi"/>
          <w:color w:val="auto"/>
          <w:szCs w:val="24"/>
        </w:rPr>
        <w:t xml:space="preserve"> plantar flexion (the more critical motion from a functional standpoint) of 30</w:t>
      </w:r>
      <w:r w:rsidR="00573FA3">
        <w:rPr>
          <w:rFonts w:asciiTheme="minorHAnsi" w:hAnsiTheme="minorHAnsi" w:cstheme="minorHAnsi"/>
          <w:color w:val="auto"/>
          <w:szCs w:val="24"/>
        </w:rPr>
        <w:t>⁰</w:t>
      </w:r>
      <w:r w:rsidR="00D310A2">
        <w:rPr>
          <w:rFonts w:asciiTheme="minorHAnsi" w:hAnsiTheme="minorHAnsi"/>
          <w:color w:val="auto"/>
          <w:szCs w:val="24"/>
        </w:rPr>
        <w:t xml:space="preserve"> (normal 45</w:t>
      </w:r>
      <w:r w:rsidR="00D310A2">
        <w:rPr>
          <w:rFonts w:asciiTheme="minorHAnsi" w:hAnsiTheme="minorHAnsi" w:cstheme="minorHAnsi"/>
          <w:color w:val="auto"/>
          <w:szCs w:val="24"/>
        </w:rPr>
        <w:t>⁰</w:t>
      </w:r>
      <w:r w:rsidR="00D310A2">
        <w:rPr>
          <w:rFonts w:asciiTheme="minorHAnsi" w:hAnsiTheme="minorHAnsi"/>
          <w:color w:val="auto"/>
          <w:szCs w:val="24"/>
        </w:rPr>
        <w:t xml:space="preserve">).  </w:t>
      </w:r>
      <w:r w:rsidR="00FE2B40">
        <w:rPr>
          <w:rFonts w:asciiTheme="minorHAnsi" w:hAnsiTheme="minorHAnsi"/>
          <w:color w:val="auto"/>
          <w:szCs w:val="24"/>
        </w:rPr>
        <w:t>T</w:t>
      </w:r>
      <w:r w:rsidR="003E44F4" w:rsidRPr="003E44F4">
        <w:rPr>
          <w:rFonts w:asciiTheme="minorHAnsi" w:hAnsiTheme="minorHAnsi"/>
          <w:color w:val="auto"/>
          <w:szCs w:val="24"/>
        </w:rPr>
        <w:t xml:space="preserve">he Board </w:t>
      </w:r>
      <w:r w:rsidR="00FE2B40">
        <w:rPr>
          <w:rFonts w:asciiTheme="minorHAnsi" w:hAnsiTheme="minorHAnsi"/>
          <w:color w:val="auto"/>
          <w:szCs w:val="24"/>
        </w:rPr>
        <w:t xml:space="preserve">therefore recommends </w:t>
      </w:r>
      <w:r w:rsidR="003E44F4" w:rsidRPr="003E44F4">
        <w:rPr>
          <w:rFonts w:asciiTheme="minorHAnsi" w:hAnsiTheme="minorHAnsi"/>
          <w:color w:val="auto"/>
          <w:szCs w:val="24"/>
        </w:rPr>
        <w:t>separat</w:t>
      </w:r>
      <w:r w:rsidR="000C222C">
        <w:rPr>
          <w:rFonts w:asciiTheme="minorHAnsi" w:hAnsiTheme="minorHAnsi"/>
          <w:color w:val="auto"/>
          <w:szCs w:val="24"/>
        </w:rPr>
        <w:t>e</w:t>
      </w:r>
      <w:r w:rsidR="003E44F4" w:rsidRPr="003E44F4">
        <w:rPr>
          <w:rFonts w:asciiTheme="minorHAnsi" w:hAnsiTheme="minorHAnsi"/>
          <w:color w:val="auto"/>
          <w:szCs w:val="24"/>
        </w:rPr>
        <w:t xml:space="preserve"> rating</w:t>
      </w:r>
      <w:r w:rsidR="00FE2B40">
        <w:rPr>
          <w:rFonts w:asciiTheme="minorHAnsi" w:hAnsiTheme="minorHAnsi"/>
          <w:color w:val="auto"/>
          <w:szCs w:val="24"/>
        </w:rPr>
        <w:t>s</w:t>
      </w:r>
      <w:r w:rsidR="003E44F4" w:rsidRPr="003E44F4">
        <w:rPr>
          <w:rFonts w:asciiTheme="minorHAnsi" w:hAnsiTheme="minorHAnsi"/>
          <w:color w:val="auto"/>
          <w:szCs w:val="24"/>
        </w:rPr>
        <w:t xml:space="preserve"> of</w:t>
      </w:r>
      <w:r w:rsidR="003E44F4">
        <w:rPr>
          <w:rFonts w:asciiTheme="minorHAnsi" w:hAnsiTheme="minorHAnsi"/>
          <w:color w:val="auto"/>
          <w:szCs w:val="24"/>
        </w:rPr>
        <w:t xml:space="preserve"> 1</w:t>
      </w:r>
      <w:r w:rsidR="003E44F4" w:rsidRPr="003E44F4">
        <w:rPr>
          <w:rFonts w:asciiTheme="minorHAnsi" w:hAnsiTheme="minorHAnsi"/>
          <w:color w:val="auto"/>
          <w:szCs w:val="24"/>
        </w:rPr>
        <w:t xml:space="preserve">0% for </w:t>
      </w:r>
      <w:r w:rsidR="00FE2B40">
        <w:rPr>
          <w:rFonts w:asciiTheme="minorHAnsi" w:hAnsiTheme="minorHAnsi"/>
          <w:color w:val="auto"/>
          <w:szCs w:val="24"/>
        </w:rPr>
        <w:t>each ankle under the 5271 code.</w:t>
      </w:r>
      <w:r w:rsidR="0083292B">
        <w:rPr>
          <w:rFonts w:asciiTheme="minorHAnsi" w:hAnsiTheme="minorHAnsi"/>
          <w:color w:val="auto"/>
          <w:szCs w:val="24"/>
        </w:rPr>
        <w:t xml:space="preserve">  </w:t>
      </w:r>
    </w:p>
    <w:p w:rsidR="00D3201C" w:rsidRDefault="00D3201C" w:rsidP="00800A76">
      <w:pPr>
        <w:spacing w:line="240" w:lineRule="exact"/>
        <w:jc w:val="both"/>
        <w:rPr>
          <w:rFonts w:asciiTheme="minorHAnsi" w:eastAsia="HiddenHorzOCR" w:hAnsiTheme="minorHAnsi"/>
          <w:color w:val="auto"/>
          <w:szCs w:val="24"/>
          <w:u w:val="single"/>
        </w:rPr>
      </w:pPr>
    </w:p>
    <w:p w:rsidR="00B24D79" w:rsidRPr="00DA6476" w:rsidRDefault="00300F64" w:rsidP="00800A76">
      <w:pPr>
        <w:spacing w:line="240" w:lineRule="exact"/>
        <w:jc w:val="both"/>
        <w:rPr>
          <w:rFonts w:asciiTheme="minorHAnsi" w:hAnsiTheme="minorHAnsi"/>
          <w:color w:val="auto"/>
          <w:szCs w:val="24"/>
        </w:rPr>
      </w:pPr>
      <w:r w:rsidRPr="00300F64">
        <w:rPr>
          <w:rFonts w:asciiTheme="minorHAnsi" w:eastAsia="HiddenHorzOCR" w:hAnsiTheme="minorHAnsi"/>
          <w:color w:val="auto"/>
          <w:szCs w:val="24"/>
          <w:u w:val="single"/>
        </w:rPr>
        <w:t>Other Contended Conditions</w:t>
      </w:r>
      <w:r w:rsidRPr="00300F64">
        <w:rPr>
          <w:rFonts w:asciiTheme="minorHAnsi" w:eastAsia="HiddenHorzOCR" w:hAnsiTheme="minorHAnsi"/>
          <w:color w:val="auto"/>
          <w:szCs w:val="24"/>
        </w:rPr>
        <w:t xml:space="preserve">.  The CI’s application asserts that compensable ratings should be considered for </w:t>
      </w:r>
      <w:r w:rsidR="00CF3FE5">
        <w:rPr>
          <w:rFonts w:asciiTheme="minorHAnsi" w:eastAsia="HiddenHorzOCR" w:hAnsiTheme="minorHAnsi"/>
          <w:color w:val="auto"/>
          <w:szCs w:val="24"/>
        </w:rPr>
        <w:t>bilateral flat feet, knee, hip</w:t>
      </w:r>
      <w:r w:rsidR="000337F0">
        <w:rPr>
          <w:rFonts w:asciiTheme="minorHAnsi" w:eastAsia="HiddenHorzOCR" w:hAnsiTheme="minorHAnsi"/>
          <w:color w:val="auto"/>
          <w:szCs w:val="24"/>
        </w:rPr>
        <w:t xml:space="preserve"> </w:t>
      </w:r>
      <w:r w:rsidR="007F256E">
        <w:rPr>
          <w:rFonts w:asciiTheme="minorHAnsi" w:eastAsia="HiddenHorzOCR" w:hAnsiTheme="minorHAnsi"/>
          <w:color w:val="auto"/>
          <w:szCs w:val="24"/>
        </w:rPr>
        <w:t>and back pain</w:t>
      </w:r>
      <w:r w:rsidR="00F915C7">
        <w:rPr>
          <w:rFonts w:asciiTheme="minorHAnsi" w:eastAsia="HiddenHorzOCR" w:hAnsiTheme="minorHAnsi"/>
          <w:color w:val="auto"/>
          <w:szCs w:val="24"/>
        </w:rPr>
        <w:t xml:space="preserve"> secondary to his bilateral ankle condition</w:t>
      </w:r>
      <w:r w:rsidR="000337F0">
        <w:rPr>
          <w:rFonts w:asciiTheme="minorHAnsi" w:eastAsia="HiddenHorzOCR" w:hAnsiTheme="minorHAnsi"/>
          <w:color w:val="auto"/>
          <w:szCs w:val="24"/>
        </w:rPr>
        <w:t>.</w:t>
      </w:r>
      <w:r w:rsidR="00F915C7">
        <w:rPr>
          <w:rFonts w:asciiTheme="minorHAnsi" w:eastAsia="HiddenHorzOCR" w:hAnsiTheme="minorHAnsi"/>
          <w:color w:val="auto"/>
          <w:szCs w:val="24"/>
        </w:rPr>
        <w:t xml:space="preserve"> </w:t>
      </w:r>
      <w:r w:rsidR="00C41C05">
        <w:rPr>
          <w:rFonts w:asciiTheme="minorHAnsi" w:eastAsia="HiddenHorzOCR" w:hAnsiTheme="minorHAnsi"/>
          <w:color w:val="auto"/>
          <w:szCs w:val="24"/>
        </w:rPr>
        <w:t xml:space="preserve"> As elaborated above, </w:t>
      </w:r>
      <w:r w:rsidR="00526A1D">
        <w:rPr>
          <w:rFonts w:asciiTheme="minorHAnsi" w:eastAsia="HiddenHorzOCR" w:hAnsiTheme="minorHAnsi"/>
          <w:color w:val="auto"/>
          <w:szCs w:val="24"/>
        </w:rPr>
        <w:t xml:space="preserve">none of these conditions merit </w:t>
      </w:r>
      <w:r w:rsidR="00D55C13">
        <w:rPr>
          <w:rFonts w:asciiTheme="minorHAnsi" w:eastAsia="HiddenHorzOCR" w:hAnsiTheme="minorHAnsi"/>
          <w:color w:val="auto"/>
          <w:szCs w:val="24"/>
        </w:rPr>
        <w:t>a s</w:t>
      </w:r>
      <w:r w:rsidR="00526A1D">
        <w:rPr>
          <w:rFonts w:asciiTheme="minorHAnsi" w:eastAsia="HiddenHorzOCR" w:hAnsiTheme="minorHAnsi"/>
          <w:color w:val="auto"/>
          <w:szCs w:val="24"/>
        </w:rPr>
        <w:t xml:space="preserve">ervice rating solely on the basis of their association with the unfitting primary condition.  </w:t>
      </w:r>
      <w:r w:rsidR="002A436F">
        <w:rPr>
          <w:rFonts w:asciiTheme="minorHAnsi" w:hAnsiTheme="minorHAnsi"/>
          <w:color w:val="auto"/>
          <w:szCs w:val="24"/>
        </w:rPr>
        <w:t xml:space="preserve">Although the pes planus, knee and back complaints were mentioned on the MEB physical examination, they were not clinically active during the MEB period and were not </w:t>
      </w:r>
      <w:r w:rsidR="00E35E48">
        <w:rPr>
          <w:rFonts w:asciiTheme="minorHAnsi" w:hAnsiTheme="minorHAnsi"/>
          <w:color w:val="auto"/>
          <w:szCs w:val="24"/>
        </w:rPr>
        <w:t>noted in the MEB’s narrative summary.</w:t>
      </w:r>
      <w:r w:rsidR="002A436F">
        <w:rPr>
          <w:rFonts w:asciiTheme="minorHAnsi" w:hAnsiTheme="minorHAnsi"/>
          <w:color w:val="auto"/>
          <w:szCs w:val="24"/>
        </w:rPr>
        <w:t xml:space="preserve">  </w:t>
      </w:r>
      <w:r w:rsidR="00E35E48">
        <w:rPr>
          <w:rFonts w:asciiTheme="minorHAnsi" w:hAnsiTheme="minorHAnsi"/>
          <w:color w:val="auto"/>
          <w:szCs w:val="24"/>
        </w:rPr>
        <w:t xml:space="preserve">The </w:t>
      </w:r>
      <w:r w:rsidR="00D55C13">
        <w:rPr>
          <w:rFonts w:asciiTheme="minorHAnsi" w:hAnsiTheme="minorHAnsi"/>
          <w:color w:val="auto"/>
          <w:szCs w:val="24"/>
        </w:rPr>
        <w:t>c</w:t>
      </w:r>
      <w:r w:rsidR="00E35E48">
        <w:rPr>
          <w:rFonts w:asciiTheme="minorHAnsi" w:hAnsiTheme="minorHAnsi"/>
          <w:color w:val="auto"/>
          <w:szCs w:val="24"/>
        </w:rPr>
        <w:t xml:space="preserve">ommander’s statement and the physical profile documented only the ankle impairments, and therefore no link to fitness can be drawn for any of the other contended orthopedic conditions.  </w:t>
      </w:r>
      <w:r w:rsidR="00F915C7">
        <w:rPr>
          <w:rFonts w:asciiTheme="minorHAnsi" w:eastAsia="HiddenHorzOCR" w:hAnsiTheme="minorHAnsi"/>
          <w:color w:val="auto"/>
          <w:szCs w:val="24"/>
        </w:rPr>
        <w:t xml:space="preserve">The CI </w:t>
      </w:r>
      <w:r w:rsidR="007F256E">
        <w:rPr>
          <w:rFonts w:asciiTheme="minorHAnsi" w:eastAsia="HiddenHorzOCR" w:hAnsiTheme="minorHAnsi"/>
          <w:color w:val="auto"/>
          <w:szCs w:val="24"/>
        </w:rPr>
        <w:t>a</w:t>
      </w:r>
      <w:r w:rsidR="00F915C7">
        <w:rPr>
          <w:rFonts w:asciiTheme="minorHAnsi" w:eastAsia="HiddenHorzOCR" w:hAnsiTheme="minorHAnsi"/>
          <w:color w:val="auto"/>
          <w:szCs w:val="24"/>
        </w:rPr>
        <w:t>lso contends that</w:t>
      </w:r>
      <w:r w:rsidR="007F256E">
        <w:rPr>
          <w:rFonts w:asciiTheme="minorHAnsi" w:eastAsia="HiddenHorzOCR" w:hAnsiTheme="minorHAnsi"/>
          <w:color w:val="auto"/>
          <w:szCs w:val="24"/>
        </w:rPr>
        <w:t xml:space="preserve"> </w:t>
      </w:r>
      <w:r w:rsidR="00E35E48">
        <w:rPr>
          <w:rFonts w:asciiTheme="minorHAnsi" w:eastAsia="HiddenHorzOCR" w:hAnsiTheme="minorHAnsi"/>
          <w:color w:val="auto"/>
          <w:szCs w:val="24"/>
        </w:rPr>
        <w:t xml:space="preserve">the </w:t>
      </w:r>
      <w:r w:rsidR="007F256E">
        <w:rPr>
          <w:rFonts w:asciiTheme="minorHAnsi" w:eastAsia="HiddenHorzOCR" w:hAnsiTheme="minorHAnsi"/>
          <w:color w:val="auto"/>
          <w:szCs w:val="24"/>
        </w:rPr>
        <w:t>multiple subcutaneous lipoma</w:t>
      </w:r>
      <w:r w:rsidR="00E35E48">
        <w:rPr>
          <w:rFonts w:asciiTheme="minorHAnsi" w:eastAsia="HiddenHorzOCR" w:hAnsiTheme="minorHAnsi"/>
          <w:color w:val="auto"/>
          <w:szCs w:val="24"/>
        </w:rPr>
        <w:t>s</w:t>
      </w:r>
      <w:r w:rsidR="003023C1">
        <w:rPr>
          <w:rFonts w:asciiTheme="minorHAnsi" w:eastAsia="HiddenHorzOCR" w:hAnsiTheme="minorHAnsi"/>
          <w:color w:val="auto"/>
          <w:szCs w:val="24"/>
        </w:rPr>
        <w:t xml:space="preserve"> and bronchitis</w:t>
      </w:r>
      <w:r w:rsidR="00F915C7">
        <w:rPr>
          <w:rFonts w:asciiTheme="minorHAnsi" w:eastAsia="HiddenHorzOCR" w:hAnsiTheme="minorHAnsi"/>
          <w:color w:val="auto"/>
          <w:szCs w:val="24"/>
        </w:rPr>
        <w:t xml:space="preserve"> should be rated</w:t>
      </w:r>
      <w:r w:rsidR="00D725A1">
        <w:rPr>
          <w:rFonts w:asciiTheme="minorHAnsi" w:eastAsia="HiddenHorzOCR" w:hAnsiTheme="minorHAnsi"/>
          <w:color w:val="auto"/>
          <w:szCs w:val="24"/>
        </w:rPr>
        <w:t>, but these two medical conditions</w:t>
      </w:r>
      <w:r w:rsidR="00D55C13">
        <w:rPr>
          <w:rFonts w:asciiTheme="minorHAnsi" w:eastAsia="HiddenHorzOCR" w:hAnsiTheme="minorHAnsi"/>
          <w:color w:val="auto"/>
          <w:szCs w:val="24"/>
        </w:rPr>
        <w:t>,</w:t>
      </w:r>
      <w:r w:rsidR="00D725A1">
        <w:rPr>
          <w:rFonts w:asciiTheme="minorHAnsi" w:eastAsia="HiddenHorzOCR" w:hAnsiTheme="minorHAnsi"/>
          <w:color w:val="auto"/>
          <w:szCs w:val="24"/>
        </w:rPr>
        <w:t xml:space="preserve"> likewise</w:t>
      </w:r>
      <w:r w:rsidR="00D55C13">
        <w:rPr>
          <w:rFonts w:asciiTheme="minorHAnsi" w:eastAsia="HiddenHorzOCR" w:hAnsiTheme="minorHAnsi"/>
          <w:color w:val="auto"/>
          <w:szCs w:val="24"/>
        </w:rPr>
        <w:t>,</w:t>
      </w:r>
      <w:r w:rsidR="00D725A1">
        <w:rPr>
          <w:rFonts w:asciiTheme="minorHAnsi" w:eastAsia="HiddenHorzOCR" w:hAnsiTheme="minorHAnsi"/>
          <w:color w:val="auto"/>
          <w:szCs w:val="24"/>
        </w:rPr>
        <w:t xml:space="preserve"> are devoid of </w:t>
      </w:r>
      <w:r w:rsidR="0006711A">
        <w:rPr>
          <w:rFonts w:asciiTheme="minorHAnsi" w:eastAsia="HiddenHorzOCR" w:hAnsiTheme="minorHAnsi"/>
          <w:color w:val="auto"/>
          <w:szCs w:val="24"/>
        </w:rPr>
        <w:t>documentation</w:t>
      </w:r>
      <w:r w:rsidR="00D725A1">
        <w:rPr>
          <w:rFonts w:asciiTheme="minorHAnsi" w:eastAsia="HiddenHorzOCR" w:hAnsiTheme="minorHAnsi"/>
          <w:color w:val="auto"/>
          <w:szCs w:val="24"/>
        </w:rPr>
        <w:t xml:space="preserve"> justifying them as unfitting and ratable.  </w:t>
      </w:r>
      <w:r w:rsidR="00800A76" w:rsidRPr="00300F64">
        <w:rPr>
          <w:rFonts w:asciiTheme="minorHAnsi" w:eastAsia="HiddenHorzOCR" w:hAnsiTheme="minorHAnsi"/>
          <w:color w:val="auto"/>
          <w:szCs w:val="24"/>
        </w:rPr>
        <w:t>All</w:t>
      </w:r>
      <w:r w:rsidR="00800A76" w:rsidRPr="00300F64">
        <w:rPr>
          <w:rFonts w:ascii="Calibri" w:hAnsi="Calibri"/>
        </w:rPr>
        <w:t xml:space="preserve"> </w:t>
      </w:r>
      <w:r w:rsidR="00800A76" w:rsidRPr="00300F64">
        <w:rPr>
          <w:rFonts w:asciiTheme="minorHAnsi" w:hAnsiTheme="minorHAnsi"/>
          <w:color w:val="auto"/>
          <w:szCs w:val="24"/>
        </w:rPr>
        <w:t>of these conditions were r</w:t>
      </w:r>
      <w:r w:rsidR="00D725A1">
        <w:rPr>
          <w:rFonts w:asciiTheme="minorHAnsi" w:hAnsiTheme="minorHAnsi"/>
          <w:color w:val="auto"/>
          <w:szCs w:val="24"/>
        </w:rPr>
        <w:t xml:space="preserve">eviewed by the </w:t>
      </w:r>
      <w:r w:rsidR="00D55C13">
        <w:rPr>
          <w:rFonts w:asciiTheme="minorHAnsi" w:hAnsiTheme="minorHAnsi"/>
          <w:color w:val="auto"/>
          <w:szCs w:val="24"/>
        </w:rPr>
        <w:t>action o</w:t>
      </w:r>
      <w:r w:rsidR="00800A76" w:rsidRPr="00300F64">
        <w:rPr>
          <w:rFonts w:asciiTheme="minorHAnsi" w:hAnsiTheme="minorHAnsi"/>
          <w:color w:val="auto"/>
          <w:szCs w:val="24"/>
        </w:rPr>
        <w:t xml:space="preserve">fficer and considered by the Board.  </w:t>
      </w:r>
      <w:r w:rsidRPr="00300F64">
        <w:rPr>
          <w:rFonts w:asciiTheme="minorHAnsi" w:hAnsiTheme="minorHAnsi"/>
          <w:color w:val="auto"/>
          <w:szCs w:val="24"/>
        </w:rPr>
        <w:t>There was no evidence for concluding that any of the conditions interfered with duty performance to a degree that could be argued as unfitting.  The Board determined therefore that none of the stated conditions were subje</w:t>
      </w:r>
      <w:r w:rsidR="00DA6476">
        <w:rPr>
          <w:rFonts w:asciiTheme="minorHAnsi" w:hAnsiTheme="minorHAnsi"/>
          <w:color w:val="auto"/>
          <w:szCs w:val="24"/>
        </w:rPr>
        <w:t xml:space="preserve">ct to </w:t>
      </w:r>
      <w:r w:rsidR="00D55C13">
        <w:rPr>
          <w:rFonts w:asciiTheme="minorHAnsi" w:hAnsiTheme="minorHAnsi"/>
          <w:color w:val="auto"/>
          <w:szCs w:val="24"/>
        </w:rPr>
        <w:t>s</w:t>
      </w:r>
      <w:r w:rsidR="00DA6476">
        <w:rPr>
          <w:rFonts w:asciiTheme="minorHAnsi" w:hAnsiTheme="minorHAnsi"/>
          <w:color w:val="auto"/>
          <w:szCs w:val="24"/>
        </w:rPr>
        <w:t>ervice disability rating.</w:t>
      </w:r>
    </w:p>
    <w:p w:rsidR="00800A76" w:rsidRPr="00BD067C" w:rsidRDefault="00800A76" w:rsidP="00800A76">
      <w:pPr>
        <w:spacing w:line="240" w:lineRule="exact"/>
        <w:rPr>
          <w:rFonts w:asciiTheme="minorHAnsi" w:hAnsiTheme="minorHAnsi"/>
          <w:color w:val="auto"/>
          <w:szCs w:val="24"/>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Pr="00A90D55" w:rsidRDefault="00A90D55" w:rsidP="00AF1668">
      <w:pPr>
        <w:tabs>
          <w:tab w:val="left" w:pos="288"/>
          <w:tab w:val="left" w:pos="4752"/>
        </w:tabs>
        <w:spacing w:line="240" w:lineRule="exact"/>
        <w:rPr>
          <w:color w:val="000080"/>
        </w:rPr>
      </w:pPr>
    </w:p>
    <w:p w:rsidR="00800A76" w:rsidRPr="00800A76" w:rsidRDefault="00C56FC8" w:rsidP="00800A76">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000216C2" w:rsidRPr="00C34502">
        <w:rPr>
          <w:rFonts w:asciiTheme="minorHAnsi" w:eastAsiaTheme="minorHAnsi" w:hAnsiTheme="minorHAnsi"/>
          <w:color w:val="auto"/>
          <w:szCs w:val="24"/>
        </w:rPr>
        <w:t xml:space="preserve">As discussed above, PEB reliance on the USAPDA pain policy for </w:t>
      </w:r>
      <w:r w:rsidR="000216C2" w:rsidRPr="00D310A2">
        <w:rPr>
          <w:rFonts w:asciiTheme="minorHAnsi" w:eastAsiaTheme="minorHAnsi" w:hAnsiTheme="minorHAnsi"/>
          <w:color w:val="auto"/>
          <w:szCs w:val="24"/>
        </w:rPr>
        <w:t xml:space="preserve">rating bilateral ankle pain was operant in this case and the condition was adjudicated independently of that policy by the Board. </w:t>
      </w:r>
      <w:r w:rsidR="00800A76" w:rsidRPr="00D310A2">
        <w:rPr>
          <w:rFonts w:asciiTheme="minorHAnsi" w:eastAsiaTheme="minorHAnsi" w:hAnsiTheme="minorHAnsi"/>
          <w:color w:val="auto"/>
          <w:szCs w:val="24"/>
        </w:rPr>
        <w:t xml:space="preserve"> </w:t>
      </w:r>
      <w:r w:rsidR="000A41E3" w:rsidRPr="00D310A2">
        <w:rPr>
          <w:rFonts w:asciiTheme="minorHAnsi" w:eastAsiaTheme="minorHAnsi" w:hAnsiTheme="minorHAnsi"/>
          <w:color w:val="auto"/>
          <w:szCs w:val="24"/>
        </w:rPr>
        <w:t>In the matter of the bilateral</w:t>
      </w:r>
      <w:r w:rsidR="007675BB" w:rsidRPr="00D310A2">
        <w:rPr>
          <w:rFonts w:asciiTheme="minorHAnsi" w:eastAsiaTheme="minorHAnsi" w:hAnsiTheme="minorHAnsi"/>
          <w:color w:val="auto"/>
          <w:szCs w:val="24"/>
        </w:rPr>
        <w:t xml:space="preserve"> ankle pain</w:t>
      </w:r>
      <w:r w:rsidR="000A41E3" w:rsidRPr="00D310A2">
        <w:rPr>
          <w:rFonts w:asciiTheme="minorHAnsi" w:eastAsiaTheme="minorHAnsi" w:hAnsiTheme="minorHAnsi"/>
          <w:color w:val="auto"/>
          <w:szCs w:val="24"/>
        </w:rPr>
        <w:t xml:space="preserve"> condition, the Board unanimously recommends that each joint be separately adjudicated as follows: an unfitting right</w:t>
      </w:r>
      <w:r w:rsidR="007675BB" w:rsidRPr="00D310A2">
        <w:rPr>
          <w:rFonts w:asciiTheme="minorHAnsi" w:eastAsiaTheme="minorHAnsi" w:hAnsiTheme="minorHAnsi"/>
          <w:color w:val="auto"/>
          <w:szCs w:val="24"/>
        </w:rPr>
        <w:t xml:space="preserve"> ankle</w:t>
      </w:r>
      <w:r w:rsidR="000A41E3" w:rsidRPr="00D310A2">
        <w:rPr>
          <w:rFonts w:asciiTheme="minorHAnsi" w:eastAsiaTheme="minorHAnsi" w:hAnsiTheme="minorHAnsi"/>
          <w:color w:val="auto"/>
          <w:szCs w:val="24"/>
        </w:rPr>
        <w:t xml:space="preserve"> condition rated</w:t>
      </w:r>
      <w:r w:rsidR="007675BB" w:rsidRPr="00D310A2">
        <w:rPr>
          <w:rFonts w:asciiTheme="minorHAnsi" w:eastAsiaTheme="minorHAnsi" w:hAnsiTheme="minorHAnsi"/>
          <w:color w:val="auto"/>
          <w:szCs w:val="24"/>
        </w:rPr>
        <w:t xml:space="preserve"> 1</w:t>
      </w:r>
      <w:r w:rsidR="0006711A" w:rsidRPr="00D310A2">
        <w:rPr>
          <w:rFonts w:asciiTheme="minorHAnsi" w:eastAsiaTheme="minorHAnsi" w:hAnsiTheme="minorHAnsi"/>
          <w:color w:val="auto"/>
          <w:szCs w:val="24"/>
        </w:rPr>
        <w:t>0%, and</w:t>
      </w:r>
      <w:r w:rsidR="000A41E3" w:rsidRPr="00D310A2">
        <w:rPr>
          <w:rFonts w:asciiTheme="minorHAnsi" w:eastAsiaTheme="minorHAnsi" w:hAnsiTheme="minorHAnsi"/>
          <w:color w:val="auto"/>
          <w:szCs w:val="24"/>
        </w:rPr>
        <w:t xml:space="preserve"> an unfitting left </w:t>
      </w:r>
      <w:r w:rsidR="007675BB" w:rsidRPr="00D310A2">
        <w:rPr>
          <w:rFonts w:asciiTheme="minorHAnsi" w:eastAsiaTheme="minorHAnsi" w:hAnsiTheme="minorHAnsi"/>
          <w:color w:val="auto"/>
          <w:szCs w:val="24"/>
        </w:rPr>
        <w:t>ankle</w:t>
      </w:r>
      <w:r w:rsidR="000A41E3" w:rsidRPr="00D310A2">
        <w:rPr>
          <w:rFonts w:asciiTheme="minorHAnsi" w:eastAsiaTheme="minorHAnsi" w:hAnsiTheme="minorHAnsi"/>
          <w:color w:val="auto"/>
          <w:szCs w:val="24"/>
        </w:rPr>
        <w:t xml:space="preserve"> condition rated </w:t>
      </w:r>
      <w:r w:rsidR="007675BB" w:rsidRPr="00D310A2">
        <w:rPr>
          <w:rFonts w:asciiTheme="minorHAnsi" w:eastAsiaTheme="minorHAnsi" w:hAnsiTheme="minorHAnsi"/>
          <w:color w:val="auto"/>
          <w:szCs w:val="24"/>
        </w:rPr>
        <w:t>1</w:t>
      </w:r>
      <w:r w:rsidR="000A41E3" w:rsidRPr="00D310A2">
        <w:rPr>
          <w:rFonts w:asciiTheme="minorHAnsi" w:eastAsiaTheme="minorHAnsi" w:hAnsiTheme="minorHAnsi"/>
          <w:color w:val="auto"/>
          <w:szCs w:val="24"/>
        </w:rPr>
        <w:t xml:space="preserve">0%; </w:t>
      </w:r>
      <w:r w:rsidR="0006711A" w:rsidRPr="00D310A2">
        <w:rPr>
          <w:rFonts w:asciiTheme="minorHAnsi" w:eastAsiaTheme="minorHAnsi" w:hAnsiTheme="minorHAnsi"/>
          <w:color w:val="auto"/>
          <w:szCs w:val="24"/>
        </w:rPr>
        <w:t>each</w:t>
      </w:r>
      <w:r w:rsidR="000A41E3" w:rsidRPr="00D310A2">
        <w:rPr>
          <w:rFonts w:asciiTheme="minorHAnsi" w:eastAsiaTheme="minorHAnsi" w:hAnsiTheme="minorHAnsi"/>
          <w:color w:val="auto"/>
          <w:szCs w:val="24"/>
        </w:rPr>
        <w:t xml:space="preserve"> </w:t>
      </w:r>
      <w:r w:rsidR="0006711A" w:rsidRPr="00D310A2">
        <w:rPr>
          <w:rFonts w:asciiTheme="minorHAnsi" w:eastAsiaTheme="minorHAnsi" w:hAnsiTheme="minorHAnsi"/>
          <w:color w:val="auto"/>
          <w:szCs w:val="24"/>
        </w:rPr>
        <w:t xml:space="preserve">coded 5271 and rated </w:t>
      </w:r>
      <w:r w:rsidR="000A41E3" w:rsidRPr="00D310A2">
        <w:rPr>
          <w:rFonts w:asciiTheme="minorHAnsi" w:hAnsiTheme="minorHAnsi"/>
          <w:color w:val="auto"/>
          <w:szCs w:val="24"/>
        </w:rPr>
        <w:t xml:space="preserve">IAW VASRD §4.71a.  </w:t>
      </w:r>
      <w:r w:rsidR="00800A76" w:rsidRPr="00D310A2">
        <w:rPr>
          <w:rFonts w:asciiTheme="minorHAnsi" w:hAnsiTheme="minorHAnsi"/>
          <w:color w:val="auto"/>
          <w:szCs w:val="24"/>
        </w:rPr>
        <w:t xml:space="preserve">In the matter of the </w:t>
      </w:r>
      <w:r w:rsidR="00800A76" w:rsidRPr="00D310A2">
        <w:rPr>
          <w:rFonts w:asciiTheme="minorHAnsi" w:eastAsia="HiddenHorzOCR" w:hAnsiTheme="minorHAnsi"/>
          <w:color w:val="auto"/>
          <w:szCs w:val="24"/>
        </w:rPr>
        <w:t>bilateral flat feet, knee, hip, back pain, subcutaneous lipoma</w:t>
      </w:r>
      <w:r w:rsidR="0006711A" w:rsidRPr="00D310A2">
        <w:rPr>
          <w:rFonts w:asciiTheme="minorHAnsi" w:eastAsia="HiddenHorzOCR" w:hAnsiTheme="minorHAnsi"/>
          <w:color w:val="auto"/>
          <w:szCs w:val="24"/>
        </w:rPr>
        <w:t>s</w:t>
      </w:r>
      <w:r w:rsidR="00800A76" w:rsidRPr="00D310A2">
        <w:rPr>
          <w:rFonts w:asciiTheme="minorHAnsi" w:eastAsia="HiddenHorzOCR" w:hAnsiTheme="minorHAnsi"/>
          <w:color w:val="auto"/>
          <w:szCs w:val="24"/>
        </w:rPr>
        <w:t xml:space="preserve"> and bronchitis</w:t>
      </w:r>
      <w:r w:rsidR="00800A76" w:rsidRPr="00D310A2">
        <w:rPr>
          <w:rFonts w:asciiTheme="minorHAnsi" w:hAnsiTheme="minorHAnsi"/>
          <w:color w:val="auto"/>
          <w:szCs w:val="24"/>
        </w:rPr>
        <w:t xml:space="preserve"> conditions or any other medical conditions eligible for Board consideration</w:t>
      </w:r>
      <w:r w:rsidR="00D55C13">
        <w:rPr>
          <w:rFonts w:asciiTheme="minorHAnsi" w:hAnsiTheme="minorHAnsi"/>
          <w:color w:val="auto"/>
          <w:szCs w:val="24"/>
        </w:rPr>
        <w:t>,</w:t>
      </w:r>
      <w:r w:rsidR="00800A76" w:rsidRPr="00D310A2">
        <w:rPr>
          <w:rFonts w:asciiTheme="minorHAnsi" w:hAnsiTheme="minorHAnsi"/>
          <w:color w:val="auto"/>
          <w:szCs w:val="24"/>
        </w:rPr>
        <w:t xml:space="preserve"> the Board unanimously agrees that it cannot recommend any findings of unfit for additional rating at separation.</w:t>
      </w:r>
    </w:p>
    <w:p w:rsidR="002E289F" w:rsidRPr="00BD067C" w:rsidRDefault="002E289F" w:rsidP="00BD067C">
      <w:pPr>
        <w:spacing w:line="240" w:lineRule="exact"/>
        <w:rPr>
          <w:rFonts w:asciiTheme="minorHAnsi" w:hAnsiTheme="minorHAnsi"/>
          <w:color w:val="auto"/>
          <w:szCs w:val="24"/>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FB593A" w:rsidRPr="00D91DA6" w:rsidRDefault="00FB593A" w:rsidP="00AF1668">
      <w:pPr>
        <w:tabs>
          <w:tab w:val="left" w:pos="288"/>
          <w:tab w:val="left" w:pos="4752"/>
        </w:tabs>
        <w:spacing w:line="240" w:lineRule="exact"/>
        <w:rPr>
          <w:color w:val="000080"/>
        </w:rPr>
      </w:pPr>
    </w:p>
    <w:p w:rsidR="00CA3410" w:rsidRPr="00EB2C06" w:rsidRDefault="001A49F1" w:rsidP="00EB2C06">
      <w:pPr>
        <w:spacing w:line="240" w:lineRule="exact"/>
        <w:rPr>
          <w:rFonts w:asciiTheme="minorHAnsi" w:hAnsiTheme="minorHAnsi"/>
          <w:b/>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EB2C06">
        <w:rPr>
          <w:rFonts w:asciiTheme="minorHAnsi" w:hAnsiTheme="minorHAnsi"/>
          <w:color w:val="000080"/>
          <w:szCs w:val="24"/>
        </w:rPr>
        <w:t xml:space="preserve"> </w:t>
      </w:r>
      <w:r w:rsidR="00CA3410" w:rsidRPr="00CA3410">
        <w:rPr>
          <w:rFonts w:asciiTheme="minorHAnsi" w:hAnsiTheme="minorHAnsi"/>
          <w:color w:val="auto"/>
          <w:szCs w:val="24"/>
        </w:rPr>
        <w:t>The Board recommends that the CI’s prior determination be modified as follows, effective as of the date of his prior medical separation:</w:t>
      </w:r>
    </w:p>
    <w:p w:rsidR="00CA3410" w:rsidRPr="00CA3410" w:rsidRDefault="00CA3410" w:rsidP="00CA3410">
      <w:pPr>
        <w:tabs>
          <w:tab w:val="left" w:pos="288"/>
          <w:tab w:val="left" w:pos="4752"/>
        </w:tabs>
        <w:spacing w:line="240" w:lineRule="exact"/>
        <w:jc w:val="both"/>
        <w:rPr>
          <w:rFonts w:asciiTheme="minorHAnsi" w:hAnsiTheme="minorHAnsi"/>
          <w:color w:val="auto"/>
        </w:rPr>
      </w:pPr>
    </w:p>
    <w:tbl>
      <w:tblPr>
        <w:tblW w:w="0" w:type="auto"/>
        <w:jc w:val="center"/>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9"/>
        <w:gridCol w:w="869"/>
        <w:gridCol w:w="1570"/>
        <w:gridCol w:w="991"/>
      </w:tblGrid>
      <w:tr w:rsidR="00CA3410" w:rsidRPr="00CA3410" w:rsidTr="00D310A2">
        <w:trPr>
          <w:trHeight w:val="206"/>
          <w:jc w:val="center"/>
        </w:trPr>
        <w:tc>
          <w:tcPr>
            <w:tcW w:w="6678" w:type="dxa"/>
            <w:gridSpan w:val="2"/>
            <w:tcBorders>
              <w:right w:val="single" w:sz="4" w:space="0" w:color="auto"/>
            </w:tcBorders>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UNFITTING CONDITION</w:t>
            </w:r>
          </w:p>
        </w:tc>
        <w:tc>
          <w:tcPr>
            <w:tcW w:w="1570" w:type="dxa"/>
            <w:tcBorders>
              <w:left w:val="single" w:sz="4" w:space="0" w:color="auto"/>
            </w:tcBorders>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VASRD CODE</w:t>
            </w:r>
          </w:p>
        </w:tc>
        <w:tc>
          <w:tcPr>
            <w:tcW w:w="991"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RATING</w:t>
            </w:r>
          </w:p>
        </w:tc>
      </w:tr>
      <w:tr w:rsidR="00CA3410" w:rsidRPr="00CA3410" w:rsidTr="00D310A2">
        <w:trPr>
          <w:jc w:val="center"/>
        </w:trPr>
        <w:tc>
          <w:tcPr>
            <w:tcW w:w="6678" w:type="dxa"/>
            <w:gridSpan w:val="2"/>
            <w:tcBorders>
              <w:right w:val="single" w:sz="4" w:space="0" w:color="auto"/>
            </w:tcBorders>
            <w:vAlign w:val="center"/>
          </w:tcPr>
          <w:p w:rsidR="00CA3410" w:rsidRPr="00CA3410" w:rsidRDefault="00C41C05" w:rsidP="00C41C05">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A</w:t>
            </w:r>
            <w:r w:rsidR="00FE2B40">
              <w:rPr>
                <w:rFonts w:asciiTheme="minorHAnsi" w:hAnsiTheme="minorHAnsi"/>
                <w:color w:val="auto"/>
                <w:szCs w:val="24"/>
              </w:rPr>
              <w:t>rthritis</w:t>
            </w:r>
            <w:r w:rsidR="007E1078">
              <w:rPr>
                <w:rFonts w:asciiTheme="minorHAnsi" w:hAnsiTheme="minorHAnsi"/>
                <w:color w:val="auto"/>
                <w:szCs w:val="24"/>
              </w:rPr>
              <w:t xml:space="preserve"> with Surgical Residuals</w:t>
            </w:r>
            <w:r>
              <w:rPr>
                <w:rFonts w:asciiTheme="minorHAnsi" w:hAnsiTheme="minorHAnsi"/>
                <w:color w:val="auto"/>
                <w:szCs w:val="24"/>
              </w:rPr>
              <w:t>,</w:t>
            </w:r>
            <w:r w:rsidR="00FE2B40">
              <w:rPr>
                <w:rFonts w:asciiTheme="minorHAnsi" w:hAnsiTheme="minorHAnsi"/>
                <w:color w:val="auto"/>
                <w:szCs w:val="24"/>
              </w:rPr>
              <w:t xml:space="preserve"> </w:t>
            </w:r>
            <w:r>
              <w:rPr>
                <w:rFonts w:asciiTheme="minorHAnsi" w:hAnsiTheme="minorHAnsi"/>
                <w:color w:val="auto"/>
                <w:szCs w:val="24"/>
              </w:rPr>
              <w:t>Right A</w:t>
            </w:r>
            <w:r w:rsidR="0023698A">
              <w:rPr>
                <w:rFonts w:asciiTheme="minorHAnsi" w:hAnsiTheme="minorHAnsi"/>
                <w:color w:val="auto"/>
                <w:szCs w:val="24"/>
              </w:rPr>
              <w:t>nkle</w:t>
            </w:r>
          </w:p>
        </w:tc>
        <w:tc>
          <w:tcPr>
            <w:tcW w:w="1570" w:type="dxa"/>
            <w:tcBorders>
              <w:left w:val="single" w:sz="4" w:space="0" w:color="auto"/>
            </w:tcBorders>
            <w:vAlign w:val="center"/>
          </w:tcPr>
          <w:p w:rsidR="00CA3410" w:rsidRPr="00CA3410" w:rsidRDefault="00C41C05"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5271</w:t>
            </w:r>
          </w:p>
        </w:tc>
        <w:tc>
          <w:tcPr>
            <w:tcW w:w="991" w:type="dxa"/>
            <w:vAlign w:val="center"/>
          </w:tcPr>
          <w:p w:rsidR="00CA3410" w:rsidRPr="00CA3410" w:rsidRDefault="0023698A"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23698A" w:rsidRPr="00CA3410" w:rsidTr="00D310A2">
        <w:trPr>
          <w:jc w:val="center"/>
        </w:trPr>
        <w:tc>
          <w:tcPr>
            <w:tcW w:w="6678" w:type="dxa"/>
            <w:gridSpan w:val="2"/>
            <w:tcBorders>
              <w:right w:val="single" w:sz="4" w:space="0" w:color="auto"/>
            </w:tcBorders>
            <w:vAlign w:val="center"/>
          </w:tcPr>
          <w:p w:rsidR="0023698A" w:rsidRDefault="007E1078" w:rsidP="00C41C05">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Arthritis with Surgical Residuals</w:t>
            </w:r>
            <w:r w:rsidR="00C41C05">
              <w:rPr>
                <w:rFonts w:asciiTheme="minorHAnsi" w:hAnsiTheme="minorHAnsi"/>
                <w:color w:val="auto"/>
                <w:szCs w:val="24"/>
              </w:rPr>
              <w:t>, Left Ankle</w:t>
            </w:r>
          </w:p>
        </w:tc>
        <w:tc>
          <w:tcPr>
            <w:tcW w:w="1570" w:type="dxa"/>
            <w:tcBorders>
              <w:left w:val="single" w:sz="4" w:space="0" w:color="auto"/>
            </w:tcBorders>
            <w:vAlign w:val="center"/>
          </w:tcPr>
          <w:p w:rsidR="0023698A" w:rsidRDefault="007D16F2"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5271</w:t>
            </w:r>
          </w:p>
        </w:tc>
        <w:tc>
          <w:tcPr>
            <w:tcW w:w="991" w:type="dxa"/>
            <w:vAlign w:val="center"/>
          </w:tcPr>
          <w:p w:rsidR="0023698A" w:rsidRDefault="007D16F2"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CA3410" w:rsidRPr="00CA3410" w:rsidTr="00D310A2">
        <w:tblPrEx>
          <w:tblLook w:val="0000"/>
        </w:tblPrEx>
        <w:trPr>
          <w:gridBefore w:val="1"/>
          <w:wBefore w:w="5809" w:type="dxa"/>
          <w:trHeight w:val="143"/>
          <w:jc w:val="center"/>
        </w:trPr>
        <w:tc>
          <w:tcPr>
            <w:tcW w:w="2439" w:type="dxa"/>
            <w:gridSpan w:val="2"/>
            <w:tcBorders>
              <w:left w:val="single" w:sz="4" w:space="0" w:color="auto"/>
              <w:bottom w:val="single" w:sz="4" w:space="0" w:color="auto"/>
            </w:tcBorders>
            <w:shd w:val="clear" w:color="auto" w:fill="D9D9D9" w:themeFill="background1" w:themeFillShade="D9"/>
            <w:vAlign w:val="center"/>
          </w:tcPr>
          <w:p w:rsidR="00CA3410" w:rsidRPr="00CA3410" w:rsidRDefault="00DA6476" w:rsidP="00DA6476">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 (1.9%</w:t>
            </w:r>
            <w:r w:rsidR="006F5FD3">
              <w:rPr>
                <w:rFonts w:asciiTheme="minorHAnsi" w:hAnsiTheme="minorHAnsi"/>
                <w:b/>
                <w:color w:val="auto"/>
                <w:szCs w:val="24"/>
              </w:rPr>
              <w:t xml:space="preserve"> </w:t>
            </w:r>
            <w:r w:rsidR="00CA3410" w:rsidRPr="00CA3410">
              <w:rPr>
                <w:rFonts w:asciiTheme="minorHAnsi" w:hAnsiTheme="minorHAnsi"/>
                <w:b/>
                <w:color w:val="auto"/>
                <w:szCs w:val="24"/>
              </w:rPr>
              <w:t>BLF)</w:t>
            </w:r>
          </w:p>
        </w:tc>
        <w:tc>
          <w:tcPr>
            <w:tcW w:w="991" w:type="dxa"/>
            <w:tcBorders>
              <w:bottom w:val="single" w:sz="4" w:space="0" w:color="000000"/>
            </w:tcBorders>
            <w:shd w:val="clear" w:color="auto" w:fill="D9D9D9" w:themeFill="background1" w:themeFillShade="D9"/>
            <w:vAlign w:val="center"/>
          </w:tcPr>
          <w:p w:rsidR="00CA3410" w:rsidRPr="00CA3410" w:rsidRDefault="007D16F2" w:rsidP="00CA341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p>
        </w:tc>
      </w:tr>
    </w:tbl>
    <w:p w:rsidR="00D310A2" w:rsidRPr="00BD067C" w:rsidRDefault="002E289F" w:rsidP="00D310A2">
      <w:pPr>
        <w:spacing w:line="240" w:lineRule="exact"/>
        <w:rPr>
          <w:rFonts w:asciiTheme="minorHAnsi" w:hAnsiTheme="minorHAnsi"/>
          <w:color w:val="auto"/>
          <w:szCs w:val="24"/>
        </w:rPr>
      </w:pPr>
      <w:r w:rsidRPr="00EA53AC">
        <w:rPr>
          <w:rFonts w:asciiTheme="minorHAnsi" w:hAnsiTheme="minorHAnsi"/>
          <w:b/>
          <w:color w:val="auto"/>
          <w:u w:val="single"/>
        </w:rPr>
        <w:softHyphen/>
      </w:r>
      <w:r w:rsidR="00D310A2" w:rsidRPr="00EA53AC">
        <w:rPr>
          <w:rFonts w:asciiTheme="minorHAnsi" w:hAnsiTheme="minorHAnsi"/>
          <w:b/>
          <w:color w:val="auto"/>
          <w:u w:val="single"/>
        </w:rPr>
        <w:t>__</w:t>
      </w:r>
      <w:r w:rsidR="00D310A2" w:rsidRPr="00EA53AC">
        <w:rPr>
          <w:rFonts w:asciiTheme="minorHAnsi" w:hAnsiTheme="minorHAnsi"/>
          <w:b/>
          <w:color w:val="auto"/>
          <w:u w:val="single"/>
        </w:rPr>
        <w:softHyphen/>
        <w:t>____________________________________________________________________________</w:t>
      </w:r>
    </w:p>
    <w:p w:rsidR="00D310A2" w:rsidRPr="00D91DA6" w:rsidRDefault="00D310A2" w:rsidP="00D310A2">
      <w:pPr>
        <w:tabs>
          <w:tab w:val="left" w:pos="288"/>
          <w:tab w:val="left" w:pos="4752"/>
        </w:tabs>
        <w:spacing w:line="240" w:lineRule="exact"/>
        <w:rPr>
          <w:color w:val="000080"/>
        </w:rPr>
      </w:pPr>
    </w:p>
    <w:p w:rsidR="00D310A2" w:rsidRDefault="00D310A2" w:rsidP="00D310A2">
      <w:pPr>
        <w:tabs>
          <w:tab w:val="left" w:pos="288"/>
          <w:tab w:val="left" w:pos="4752"/>
        </w:tabs>
        <w:spacing w:line="240" w:lineRule="exact"/>
        <w:jc w:val="both"/>
        <w:rPr>
          <w:rFonts w:asciiTheme="minorHAnsi" w:hAnsiTheme="minorHAnsi"/>
          <w:color w:val="auto"/>
        </w:rPr>
      </w:pPr>
      <w:r>
        <w:rPr>
          <w:rFonts w:asciiTheme="minorHAnsi" w:hAnsiTheme="minorHAnsi"/>
          <w:color w:val="auto"/>
        </w:rPr>
        <w:br w:type="page"/>
      </w: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6766AF">
        <w:rPr>
          <w:rFonts w:asciiTheme="minorHAnsi" w:hAnsiTheme="minorHAnsi"/>
          <w:color w:val="auto"/>
        </w:rPr>
        <w:t xml:space="preserve">20100218 </w:t>
      </w:r>
      <w:r w:rsidR="00114F20" w:rsidRPr="0085089F">
        <w:rPr>
          <w:rFonts w:asciiTheme="minorHAnsi" w:hAnsiTheme="minorHAnsi"/>
          <w:color w:val="auto"/>
        </w:rPr>
        <w:t>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D863BD" w:rsidRDefault="00C30A97" w:rsidP="00190E48">
      <w:pPr>
        <w:tabs>
          <w:tab w:val="left" w:pos="0"/>
          <w:tab w:val="left" w:pos="4320"/>
        </w:tabs>
        <w:spacing w:line="240" w:lineRule="exact"/>
        <w:jc w:val="both"/>
        <w:rPr>
          <w:rFonts w:asciiTheme="minorHAnsi" w:hAnsiTheme="minorHAnsi"/>
          <w:b/>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863BD">
        <w:rPr>
          <w:rFonts w:asciiTheme="minorHAnsi" w:hAnsiTheme="minorHAnsi"/>
          <w:color w:val="auto"/>
        </w:rPr>
        <w:t>XXXXXXXXXXXXXX</w:t>
      </w:r>
      <w:bookmarkStart w:id="0" w:name="_GoBack"/>
      <w:bookmarkEnd w:id="0"/>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DA3E8F" w:rsidRDefault="00DA3E8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A3E8F" w:rsidRDefault="00DA3E8F">
      <w:pPr>
        <w:rPr>
          <w:rFonts w:asciiTheme="minorHAnsi" w:hAnsiTheme="minorHAnsi"/>
          <w:color w:val="auto"/>
        </w:rPr>
      </w:pPr>
      <w:r>
        <w:rPr>
          <w:rFonts w:asciiTheme="minorHAnsi" w:hAnsiTheme="minorHAnsi"/>
          <w:color w:val="auto"/>
        </w:rPr>
        <w:br w:type="page"/>
      </w: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lastRenderedPageBreak/>
        <w:t>SFMR-RB</w:t>
      </w:r>
    </w:p>
    <w:p w:rsidR="00DA3E8F" w:rsidRDefault="00DA3E8F" w:rsidP="00DA3E8F">
      <w:pPr>
        <w:autoSpaceDE w:val="0"/>
        <w:autoSpaceDN w:val="0"/>
        <w:adjustRightInd w:val="0"/>
        <w:rPr>
          <w:rFonts w:ascii="Arial" w:hAnsi="Arial" w:cs="Arial"/>
          <w:color w:val="auto"/>
          <w:sz w:val="20"/>
        </w:rPr>
      </w:pPr>
      <w:r>
        <w:rPr>
          <w:rFonts w:ascii="Arial" w:hAnsi="Arial" w:cs="Arial"/>
          <w:color w:val="auto"/>
          <w:sz w:val="20"/>
        </w:rPr>
        <w:t>DEPARTMENT OF THE ARMY</w:t>
      </w:r>
    </w:p>
    <w:p w:rsidR="00DA3E8F" w:rsidRDefault="00DA3E8F" w:rsidP="00DA3E8F">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DA3E8F" w:rsidRDefault="00DA3E8F" w:rsidP="00DA3E8F">
      <w:pPr>
        <w:autoSpaceDE w:val="0"/>
        <w:autoSpaceDN w:val="0"/>
        <w:adjustRightInd w:val="0"/>
        <w:rPr>
          <w:rFonts w:ascii="Arial" w:hAnsi="Arial" w:cs="Arial"/>
          <w:color w:val="auto"/>
          <w:sz w:val="14"/>
          <w:szCs w:val="14"/>
        </w:rPr>
      </w:pPr>
      <w:r>
        <w:rPr>
          <w:rFonts w:ascii="Arial" w:hAnsi="Arial" w:cs="Arial"/>
          <w:color w:val="auto"/>
          <w:sz w:val="14"/>
          <w:szCs w:val="14"/>
        </w:rPr>
        <w:t>19D1 SOUTH BELL STREET 2ND FLOOR</w:t>
      </w:r>
    </w:p>
    <w:p w:rsidR="00DA3E8F" w:rsidRDefault="00DA3E8F" w:rsidP="00DA3E8F">
      <w:pPr>
        <w:autoSpaceDE w:val="0"/>
        <w:autoSpaceDN w:val="0"/>
        <w:adjustRightInd w:val="0"/>
        <w:rPr>
          <w:rFonts w:ascii="Arial" w:hAnsi="Arial" w:cs="Arial"/>
          <w:color w:val="auto"/>
          <w:sz w:val="14"/>
          <w:szCs w:val="14"/>
        </w:rPr>
      </w:pPr>
      <w:r>
        <w:rPr>
          <w:rFonts w:ascii="Arial" w:hAnsi="Arial" w:cs="Arial"/>
          <w:color w:val="auto"/>
          <w:sz w:val="14"/>
          <w:szCs w:val="14"/>
        </w:rPr>
        <w:t>ARLINGTON, VA 222D2-4508</w:t>
      </w:r>
    </w:p>
    <w:p w:rsidR="00DA3E8F" w:rsidRDefault="00DA3E8F" w:rsidP="00DA3E8F">
      <w:pPr>
        <w:autoSpaceDE w:val="0"/>
        <w:autoSpaceDN w:val="0"/>
        <w:adjustRightInd w:val="0"/>
        <w:rPr>
          <w:rFonts w:ascii="Arial" w:hAnsi="Arial" w:cs="Arial"/>
          <w:color w:val="auto"/>
          <w:sz w:val="36"/>
          <w:szCs w:val="36"/>
        </w:rPr>
      </w:pPr>
    </w:p>
    <w:p w:rsidR="00DA3E8F" w:rsidRDefault="00DA3E8F" w:rsidP="00DA3E8F">
      <w:pPr>
        <w:autoSpaceDE w:val="0"/>
        <w:autoSpaceDN w:val="0"/>
        <w:adjustRightInd w:val="0"/>
        <w:rPr>
          <w:rFonts w:ascii="Arial" w:hAnsi="Arial" w:cs="Arial"/>
          <w:color w:val="auto"/>
          <w:sz w:val="36"/>
          <w:szCs w:val="36"/>
        </w:rPr>
      </w:pPr>
      <w:r>
        <w:rPr>
          <w:rFonts w:ascii="Arial" w:hAnsi="Arial" w:cs="Arial"/>
          <w:color w:val="auto"/>
          <w:sz w:val="36"/>
          <w:szCs w:val="36"/>
        </w:rPr>
        <w:t>11 AUG2011</w:t>
      </w:r>
    </w:p>
    <w:p w:rsidR="00DA3E8F" w:rsidRDefault="00DA3E8F" w:rsidP="00DA3E8F">
      <w:pPr>
        <w:autoSpaceDE w:val="0"/>
        <w:autoSpaceDN w:val="0"/>
        <w:adjustRightInd w:val="0"/>
        <w:rPr>
          <w:rFonts w:ascii="Arial" w:hAnsi="Arial" w:cs="Arial"/>
          <w:color w:val="auto"/>
          <w:sz w:val="22"/>
          <w:szCs w:val="22"/>
        </w:rPr>
      </w:pP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r>
        <w:rPr>
          <w:rFonts w:ascii="Arial" w:hAnsi="Arial" w:cs="Arial"/>
          <w:i/>
          <w:iCs/>
          <w:color w:val="auto"/>
          <w:szCs w:val="24"/>
        </w:rPr>
        <w:t xml:space="preserve">I </w:t>
      </w:r>
      <w:r>
        <w:rPr>
          <w:rFonts w:ascii="Arial" w:hAnsi="Arial" w:cs="Arial"/>
          <w:color w:val="auto"/>
          <w:sz w:val="22"/>
          <w:szCs w:val="22"/>
        </w:rPr>
        <w:t>WRAMC, Building 7, Washington, D.C. 20307-5001</w:t>
      </w:r>
    </w:p>
    <w:p w:rsidR="00DA3E8F" w:rsidRDefault="00DA3E8F" w:rsidP="00DA3E8F">
      <w:pPr>
        <w:autoSpaceDE w:val="0"/>
        <w:autoSpaceDN w:val="0"/>
        <w:adjustRightInd w:val="0"/>
        <w:rPr>
          <w:rFonts w:ascii="Arial" w:hAnsi="Arial" w:cs="Arial"/>
          <w:color w:val="auto"/>
          <w:sz w:val="22"/>
          <w:szCs w:val="22"/>
        </w:rPr>
      </w:pP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DA3E8F" w:rsidRDefault="00DA3E8F" w:rsidP="00DA3E8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 0015877 (PD201000096)</w:t>
      </w:r>
    </w:p>
    <w:p w:rsidR="00DA3E8F" w:rsidRDefault="00DA3E8F" w:rsidP="00DA3E8F">
      <w:pPr>
        <w:autoSpaceDE w:val="0"/>
        <w:autoSpaceDN w:val="0"/>
        <w:adjustRightInd w:val="0"/>
        <w:rPr>
          <w:rFonts w:ascii="Arial" w:hAnsi="Arial" w:cs="Arial"/>
          <w:color w:val="auto"/>
          <w:sz w:val="22"/>
          <w:szCs w:val="22"/>
        </w:rPr>
      </w:pP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1. I have reviewed the enclosed Department of Defense Physical Disability Board of</w:t>
      </w: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Review (</w:t>
      </w:r>
      <w:proofErr w:type="spellStart"/>
      <w:r>
        <w:rPr>
          <w:rFonts w:ascii="Arial" w:hAnsi="Arial" w:cs="Arial"/>
          <w:color w:val="auto"/>
          <w:sz w:val="22"/>
          <w:szCs w:val="22"/>
        </w:rPr>
        <w:t>DoD</w:t>
      </w:r>
      <w:proofErr w:type="spellEnd"/>
      <w:r>
        <w:rPr>
          <w:rFonts w:ascii="Arial" w:hAnsi="Arial" w:cs="Arial"/>
          <w:color w:val="auto"/>
          <w:sz w:val="22"/>
          <w:szCs w:val="22"/>
        </w:rPr>
        <w:t xml:space="preserve"> PDBR) recommendation and record of proceedings pertaining to the</w:t>
      </w:r>
    </w:p>
    <w:p w:rsidR="00DA3E8F" w:rsidRDefault="00DA3E8F" w:rsidP="00DA3E8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to modify the individual's disability rating to 20%</w:t>
      </w:r>
    </w:p>
    <w:p w:rsidR="00DA3E8F" w:rsidRDefault="00DA3E8F" w:rsidP="00DA3E8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without</w:t>
      </w:r>
      <w:proofErr w:type="gramEnd"/>
      <w:r>
        <w:rPr>
          <w:rFonts w:ascii="Arial" w:hAnsi="Arial" w:cs="Arial"/>
          <w:color w:val="auto"/>
          <w:sz w:val="22"/>
          <w:szCs w:val="22"/>
        </w:rPr>
        <w:t xml:space="preserve"> </w:t>
      </w:r>
      <w:proofErr w:type="spellStart"/>
      <w:r>
        <w:rPr>
          <w:rFonts w:ascii="Arial" w:hAnsi="Arial" w:cs="Arial"/>
          <w:color w:val="auto"/>
          <w:sz w:val="22"/>
          <w:szCs w:val="22"/>
        </w:rPr>
        <w:t>recharacterization</w:t>
      </w:r>
      <w:proofErr w:type="spellEnd"/>
      <w:r>
        <w:rPr>
          <w:rFonts w:ascii="Arial" w:hAnsi="Arial" w:cs="Arial"/>
          <w:color w:val="auto"/>
          <w:sz w:val="22"/>
          <w:szCs w:val="22"/>
        </w:rPr>
        <w:t xml:space="preserve"> of the individual's separation. This decision is final.</w:t>
      </w:r>
    </w:p>
    <w:p w:rsidR="00DA3E8F" w:rsidRDefault="00DA3E8F" w:rsidP="00DA3E8F">
      <w:pPr>
        <w:autoSpaceDE w:val="0"/>
        <w:autoSpaceDN w:val="0"/>
        <w:adjustRightInd w:val="0"/>
        <w:rPr>
          <w:rFonts w:ascii="Arial" w:hAnsi="Arial" w:cs="Arial"/>
          <w:color w:val="auto"/>
          <w:sz w:val="22"/>
          <w:szCs w:val="22"/>
        </w:rPr>
      </w:pP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2. I direct that all the Department of the Army records of the individual concerned be</w:t>
      </w:r>
    </w:p>
    <w:p w:rsidR="00DA3E8F" w:rsidRDefault="00DA3E8F" w:rsidP="00DA3E8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corrected</w:t>
      </w:r>
      <w:proofErr w:type="gramEnd"/>
      <w:r>
        <w:rPr>
          <w:rFonts w:ascii="Arial" w:hAnsi="Arial" w:cs="Arial"/>
          <w:color w:val="auto"/>
          <w:sz w:val="22"/>
          <w:szCs w:val="22"/>
        </w:rPr>
        <w:t xml:space="preserve"> accordingly no later than 120 days from the date of this memorandum.</w:t>
      </w:r>
    </w:p>
    <w:p w:rsidR="00DA3E8F" w:rsidRDefault="00DA3E8F" w:rsidP="00DA3E8F">
      <w:pPr>
        <w:autoSpaceDE w:val="0"/>
        <w:autoSpaceDN w:val="0"/>
        <w:adjustRightInd w:val="0"/>
        <w:rPr>
          <w:rFonts w:ascii="Arial" w:hAnsi="Arial" w:cs="Arial"/>
          <w:color w:val="auto"/>
          <w:sz w:val="22"/>
          <w:szCs w:val="22"/>
        </w:rPr>
      </w:pP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3. I request that a copy of the corrections and any related correspondence be provided</w:t>
      </w:r>
    </w:p>
    <w:p w:rsidR="00DA3E8F" w:rsidRDefault="00DA3E8F" w:rsidP="00DA3E8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to</w:t>
      </w:r>
      <w:proofErr w:type="gramEnd"/>
      <w:r>
        <w:rPr>
          <w:rFonts w:ascii="Arial" w:hAnsi="Arial" w:cs="Arial"/>
          <w:color w:val="auto"/>
          <w:sz w:val="22"/>
          <w:szCs w:val="22"/>
        </w:rPr>
        <w:t xml:space="preserve"> the individual concerned, counsel (if any), any Members of Congress who have</w:t>
      </w:r>
    </w:p>
    <w:p w:rsidR="00DA3E8F" w:rsidRDefault="00DA3E8F" w:rsidP="00DA3E8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shown</w:t>
      </w:r>
      <w:proofErr w:type="gramEnd"/>
      <w:r>
        <w:rPr>
          <w:rFonts w:ascii="Arial" w:hAnsi="Arial" w:cs="Arial"/>
          <w:color w:val="auto"/>
          <w:sz w:val="22"/>
          <w:szCs w:val="22"/>
        </w:rPr>
        <w:t xml:space="preserve"> interest, and to the Army Review Boards Agency with a copy of this</w:t>
      </w:r>
    </w:p>
    <w:p w:rsidR="00DA3E8F" w:rsidRDefault="00DA3E8F" w:rsidP="00DA3E8F">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memorandum</w:t>
      </w:r>
      <w:proofErr w:type="gramEnd"/>
      <w:r>
        <w:rPr>
          <w:rFonts w:ascii="Arial" w:hAnsi="Arial" w:cs="Arial"/>
          <w:color w:val="auto"/>
          <w:sz w:val="22"/>
          <w:szCs w:val="22"/>
        </w:rPr>
        <w:t xml:space="preserve"> without enclosures.</w:t>
      </w:r>
    </w:p>
    <w:p w:rsidR="00DA3E8F" w:rsidRDefault="00DA3E8F" w:rsidP="00DA3E8F">
      <w:pPr>
        <w:autoSpaceDE w:val="0"/>
        <w:autoSpaceDN w:val="0"/>
        <w:adjustRightInd w:val="0"/>
        <w:rPr>
          <w:rFonts w:ascii="Arial" w:hAnsi="Arial" w:cs="Arial"/>
          <w:color w:val="auto"/>
          <w:sz w:val="22"/>
          <w:szCs w:val="22"/>
        </w:rPr>
      </w:pP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DA3E8F" w:rsidRDefault="00DA3E8F" w:rsidP="00DA3E8F">
      <w:pPr>
        <w:autoSpaceDE w:val="0"/>
        <w:autoSpaceDN w:val="0"/>
        <w:adjustRightInd w:val="0"/>
        <w:rPr>
          <w:rFonts w:ascii="Arial" w:hAnsi="Arial" w:cs="Arial"/>
          <w:color w:val="auto"/>
          <w:sz w:val="22"/>
          <w:szCs w:val="22"/>
        </w:rPr>
      </w:pPr>
    </w:p>
    <w:p w:rsidR="00DA3E8F" w:rsidRDefault="00DA3E8F" w:rsidP="00DA3E8F">
      <w:pPr>
        <w:autoSpaceDE w:val="0"/>
        <w:autoSpaceDN w:val="0"/>
        <w:adjustRightInd w:val="0"/>
        <w:rPr>
          <w:rFonts w:ascii="Arial" w:hAnsi="Arial" w:cs="Arial"/>
          <w:color w:val="auto"/>
          <w:sz w:val="22"/>
          <w:szCs w:val="22"/>
        </w:rPr>
      </w:pP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DA3E8F" w:rsidRDefault="00DA3E8F" w:rsidP="00DA3E8F">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 xml:space="preserve">( ) </w:t>
      </w:r>
      <w:proofErr w:type="spellStart"/>
      <w:proofErr w:type="gramStart"/>
      <w:r>
        <w:rPr>
          <w:rFonts w:ascii="Arial" w:hAnsi="Arial" w:cs="Arial"/>
          <w:color w:val="auto"/>
          <w:sz w:val="22"/>
          <w:szCs w:val="22"/>
        </w:rPr>
        <w:t>DoD</w:t>
      </w:r>
      <w:proofErr w:type="spellEnd"/>
      <w:proofErr w:type="gramEnd"/>
      <w:r>
        <w:rPr>
          <w:rFonts w:ascii="Arial" w:hAnsi="Arial" w:cs="Arial"/>
          <w:color w:val="auto"/>
          <w:sz w:val="22"/>
          <w:szCs w:val="22"/>
        </w:rPr>
        <w:t xml:space="preserve"> PDBR</w:t>
      </w: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 ) DVA</w:t>
      </w:r>
    </w:p>
    <w:p w:rsidR="00DA3E8F" w:rsidRDefault="00DA3E8F" w:rsidP="00DA3E8F">
      <w:pPr>
        <w:autoSpaceDE w:val="0"/>
        <w:autoSpaceDN w:val="0"/>
        <w:adjustRightInd w:val="0"/>
        <w:rPr>
          <w:rFonts w:ascii="Arial" w:hAnsi="Arial" w:cs="Arial"/>
          <w:color w:val="auto"/>
          <w:sz w:val="22"/>
          <w:szCs w:val="22"/>
        </w:rPr>
      </w:pPr>
      <w:r>
        <w:rPr>
          <w:rFonts w:ascii="Arial" w:hAnsi="Arial" w:cs="Arial"/>
          <w:color w:val="auto"/>
          <w:sz w:val="22"/>
          <w:szCs w:val="22"/>
        </w:rPr>
        <w:t>Deputy Assistant Secretary</w:t>
      </w:r>
    </w:p>
    <w:p w:rsidR="00DA3E8F" w:rsidRDefault="00DA3E8F" w:rsidP="00DA3E8F">
      <w:pPr>
        <w:autoSpaceDE w:val="0"/>
        <w:autoSpaceDN w:val="0"/>
        <w:adjustRightInd w:val="0"/>
        <w:rPr>
          <w:rFonts w:ascii="Arial" w:hAnsi="Arial" w:cs="Arial"/>
          <w:color w:val="auto"/>
          <w:sz w:val="22"/>
          <w:szCs w:val="22"/>
        </w:rPr>
      </w:pPr>
      <w:r>
        <w:rPr>
          <w:rFonts w:ascii="Arial" w:hAnsi="Arial" w:cs="Arial"/>
          <w:i/>
          <w:iCs/>
          <w:color w:val="auto"/>
          <w:sz w:val="12"/>
          <w:szCs w:val="12"/>
        </w:rPr>
        <w:t xml:space="preserve"> </w:t>
      </w:r>
      <w:r>
        <w:rPr>
          <w:rFonts w:ascii="Arial" w:hAnsi="Arial" w:cs="Arial"/>
          <w:color w:val="auto"/>
          <w:sz w:val="22"/>
          <w:szCs w:val="22"/>
        </w:rPr>
        <w:t>(Army Review Boards)</w:t>
      </w:r>
    </w:p>
    <w:sectPr w:rsidR="00DA3E8F"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95" w:rsidRDefault="003B6095">
      <w:r>
        <w:separator/>
      </w:r>
    </w:p>
  </w:endnote>
  <w:endnote w:type="continuationSeparator" w:id="0">
    <w:p w:rsidR="003B6095" w:rsidRDefault="003B6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8A" w:rsidRDefault="00D51B25">
    <w:pPr>
      <w:pStyle w:val="Footer"/>
      <w:framePr w:wrap="around" w:vAnchor="text" w:hAnchor="margin" w:xAlign="center" w:y="1"/>
      <w:rPr>
        <w:rStyle w:val="PageNumber"/>
      </w:rPr>
    </w:pPr>
    <w:r>
      <w:rPr>
        <w:rStyle w:val="PageNumber"/>
      </w:rPr>
      <w:fldChar w:fldCharType="begin"/>
    </w:r>
    <w:r w:rsidR="0023698A">
      <w:rPr>
        <w:rStyle w:val="PageNumber"/>
      </w:rPr>
      <w:instrText xml:space="preserve">PAGE  </w:instrText>
    </w:r>
    <w:r>
      <w:rPr>
        <w:rStyle w:val="PageNumber"/>
      </w:rPr>
      <w:fldChar w:fldCharType="separate"/>
    </w:r>
    <w:r w:rsidR="0023698A">
      <w:rPr>
        <w:rStyle w:val="PageNumber"/>
        <w:noProof/>
      </w:rPr>
      <w:t>2</w:t>
    </w:r>
    <w:r>
      <w:rPr>
        <w:rStyle w:val="PageNumber"/>
      </w:rPr>
      <w:fldChar w:fldCharType="end"/>
    </w:r>
  </w:p>
  <w:p w:rsidR="0023698A" w:rsidRDefault="0023698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8A" w:rsidRPr="00AC713F" w:rsidRDefault="00D51B2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3698A"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A3E8F">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23698A" w:rsidRPr="00AC713F" w:rsidRDefault="0023698A"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1000096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95" w:rsidRDefault="003B6095">
      <w:r>
        <w:separator/>
      </w:r>
    </w:p>
  </w:footnote>
  <w:footnote w:type="continuationSeparator" w:id="0">
    <w:p w:rsidR="003B6095" w:rsidRDefault="003B6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118"/>
    <w:rsid w:val="00021361"/>
    <w:rsid w:val="000216C2"/>
    <w:rsid w:val="00023913"/>
    <w:rsid w:val="00023D43"/>
    <w:rsid w:val="00031CDC"/>
    <w:rsid w:val="00032E07"/>
    <w:rsid w:val="000332CA"/>
    <w:rsid w:val="0003374E"/>
    <w:rsid w:val="000337F0"/>
    <w:rsid w:val="000344E6"/>
    <w:rsid w:val="00035C3A"/>
    <w:rsid w:val="00036E4B"/>
    <w:rsid w:val="000379D0"/>
    <w:rsid w:val="00040FC4"/>
    <w:rsid w:val="000416F8"/>
    <w:rsid w:val="0004178A"/>
    <w:rsid w:val="00042C26"/>
    <w:rsid w:val="00043382"/>
    <w:rsid w:val="00051622"/>
    <w:rsid w:val="00052234"/>
    <w:rsid w:val="00053D7C"/>
    <w:rsid w:val="00054AC8"/>
    <w:rsid w:val="00055CF3"/>
    <w:rsid w:val="000577C9"/>
    <w:rsid w:val="0006174F"/>
    <w:rsid w:val="0006431E"/>
    <w:rsid w:val="0006711A"/>
    <w:rsid w:val="00072433"/>
    <w:rsid w:val="00075702"/>
    <w:rsid w:val="000757D4"/>
    <w:rsid w:val="000775C2"/>
    <w:rsid w:val="000806AD"/>
    <w:rsid w:val="00082482"/>
    <w:rsid w:val="00086761"/>
    <w:rsid w:val="0008708B"/>
    <w:rsid w:val="00092619"/>
    <w:rsid w:val="00092C66"/>
    <w:rsid w:val="00094E4F"/>
    <w:rsid w:val="000A17B1"/>
    <w:rsid w:val="000A23DC"/>
    <w:rsid w:val="000A2BCE"/>
    <w:rsid w:val="000A41E3"/>
    <w:rsid w:val="000A4BBA"/>
    <w:rsid w:val="000A5071"/>
    <w:rsid w:val="000B12AE"/>
    <w:rsid w:val="000B34C3"/>
    <w:rsid w:val="000B4C99"/>
    <w:rsid w:val="000B784F"/>
    <w:rsid w:val="000C06F6"/>
    <w:rsid w:val="000C1D34"/>
    <w:rsid w:val="000C222C"/>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616E"/>
    <w:rsid w:val="000F7181"/>
    <w:rsid w:val="001008C1"/>
    <w:rsid w:val="001023DB"/>
    <w:rsid w:val="00103CCF"/>
    <w:rsid w:val="0010417F"/>
    <w:rsid w:val="001042D2"/>
    <w:rsid w:val="0010530E"/>
    <w:rsid w:val="00105C07"/>
    <w:rsid w:val="00107EC5"/>
    <w:rsid w:val="001103CD"/>
    <w:rsid w:val="00113EC3"/>
    <w:rsid w:val="00114F20"/>
    <w:rsid w:val="00117BE4"/>
    <w:rsid w:val="001211AF"/>
    <w:rsid w:val="001219DF"/>
    <w:rsid w:val="001231DC"/>
    <w:rsid w:val="001272AE"/>
    <w:rsid w:val="001315DD"/>
    <w:rsid w:val="00135385"/>
    <w:rsid w:val="001364D1"/>
    <w:rsid w:val="00142EBA"/>
    <w:rsid w:val="00143B79"/>
    <w:rsid w:val="00150B8A"/>
    <w:rsid w:val="00150DCB"/>
    <w:rsid w:val="00151912"/>
    <w:rsid w:val="001531E3"/>
    <w:rsid w:val="00153740"/>
    <w:rsid w:val="001541C5"/>
    <w:rsid w:val="001554CC"/>
    <w:rsid w:val="0015623F"/>
    <w:rsid w:val="00156585"/>
    <w:rsid w:val="00156BA9"/>
    <w:rsid w:val="00161761"/>
    <w:rsid w:val="00166182"/>
    <w:rsid w:val="001709CC"/>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49F1"/>
    <w:rsid w:val="001A5320"/>
    <w:rsid w:val="001A5E62"/>
    <w:rsid w:val="001A7538"/>
    <w:rsid w:val="001B0B1A"/>
    <w:rsid w:val="001B227D"/>
    <w:rsid w:val="001B3F54"/>
    <w:rsid w:val="001B4EC2"/>
    <w:rsid w:val="001B5B59"/>
    <w:rsid w:val="001B60E0"/>
    <w:rsid w:val="001B6F2C"/>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4D6D"/>
    <w:rsid w:val="001E5D65"/>
    <w:rsid w:val="001E6459"/>
    <w:rsid w:val="001F3A59"/>
    <w:rsid w:val="00200AA0"/>
    <w:rsid w:val="00201678"/>
    <w:rsid w:val="00202325"/>
    <w:rsid w:val="00202736"/>
    <w:rsid w:val="00203652"/>
    <w:rsid w:val="002060B6"/>
    <w:rsid w:val="002066B5"/>
    <w:rsid w:val="0020695C"/>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3698A"/>
    <w:rsid w:val="0024174E"/>
    <w:rsid w:val="00241B20"/>
    <w:rsid w:val="0024227D"/>
    <w:rsid w:val="00242D14"/>
    <w:rsid w:val="002432D8"/>
    <w:rsid w:val="00246860"/>
    <w:rsid w:val="00246DFF"/>
    <w:rsid w:val="00246E89"/>
    <w:rsid w:val="00250008"/>
    <w:rsid w:val="0025183C"/>
    <w:rsid w:val="002528EC"/>
    <w:rsid w:val="002545F8"/>
    <w:rsid w:val="00255049"/>
    <w:rsid w:val="00256DFC"/>
    <w:rsid w:val="00257DE5"/>
    <w:rsid w:val="00260531"/>
    <w:rsid w:val="00262032"/>
    <w:rsid w:val="0026318D"/>
    <w:rsid w:val="00263304"/>
    <w:rsid w:val="00270864"/>
    <w:rsid w:val="002712F7"/>
    <w:rsid w:val="0027159C"/>
    <w:rsid w:val="00273D9B"/>
    <w:rsid w:val="00274549"/>
    <w:rsid w:val="00274E46"/>
    <w:rsid w:val="00275183"/>
    <w:rsid w:val="00276C86"/>
    <w:rsid w:val="00280FCE"/>
    <w:rsid w:val="002810A4"/>
    <w:rsid w:val="00281E68"/>
    <w:rsid w:val="002820C5"/>
    <w:rsid w:val="00284A26"/>
    <w:rsid w:val="00287006"/>
    <w:rsid w:val="00294437"/>
    <w:rsid w:val="002A3237"/>
    <w:rsid w:val="002A436F"/>
    <w:rsid w:val="002A58B7"/>
    <w:rsid w:val="002A685E"/>
    <w:rsid w:val="002A72C7"/>
    <w:rsid w:val="002B03B2"/>
    <w:rsid w:val="002B0749"/>
    <w:rsid w:val="002B1FB5"/>
    <w:rsid w:val="002B2645"/>
    <w:rsid w:val="002B2AE4"/>
    <w:rsid w:val="002B60A8"/>
    <w:rsid w:val="002B65CF"/>
    <w:rsid w:val="002B6FA0"/>
    <w:rsid w:val="002C1DCA"/>
    <w:rsid w:val="002C5F10"/>
    <w:rsid w:val="002C6E5B"/>
    <w:rsid w:val="002D0BF3"/>
    <w:rsid w:val="002D18B4"/>
    <w:rsid w:val="002D231A"/>
    <w:rsid w:val="002E1877"/>
    <w:rsid w:val="002E1C31"/>
    <w:rsid w:val="002E289F"/>
    <w:rsid w:val="002E32C1"/>
    <w:rsid w:val="002E333A"/>
    <w:rsid w:val="002E3474"/>
    <w:rsid w:val="002E400C"/>
    <w:rsid w:val="002E49C3"/>
    <w:rsid w:val="002E5114"/>
    <w:rsid w:val="002E7570"/>
    <w:rsid w:val="002E764B"/>
    <w:rsid w:val="002F0E28"/>
    <w:rsid w:val="002F287E"/>
    <w:rsid w:val="002F2D63"/>
    <w:rsid w:val="002F7F81"/>
    <w:rsid w:val="00300A36"/>
    <w:rsid w:val="00300CEE"/>
    <w:rsid w:val="00300F64"/>
    <w:rsid w:val="003023C1"/>
    <w:rsid w:val="0030678B"/>
    <w:rsid w:val="00310CD7"/>
    <w:rsid w:val="00312575"/>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3FB3"/>
    <w:rsid w:val="00395E12"/>
    <w:rsid w:val="00397DB7"/>
    <w:rsid w:val="003A27B2"/>
    <w:rsid w:val="003A30B1"/>
    <w:rsid w:val="003A40B4"/>
    <w:rsid w:val="003A41BA"/>
    <w:rsid w:val="003A49BD"/>
    <w:rsid w:val="003A6A99"/>
    <w:rsid w:val="003A7FF8"/>
    <w:rsid w:val="003B17AC"/>
    <w:rsid w:val="003B1990"/>
    <w:rsid w:val="003B227A"/>
    <w:rsid w:val="003B5854"/>
    <w:rsid w:val="003B6095"/>
    <w:rsid w:val="003B6764"/>
    <w:rsid w:val="003C3833"/>
    <w:rsid w:val="003C6068"/>
    <w:rsid w:val="003C69E3"/>
    <w:rsid w:val="003D2BA3"/>
    <w:rsid w:val="003D3C22"/>
    <w:rsid w:val="003D66FA"/>
    <w:rsid w:val="003D6AEB"/>
    <w:rsid w:val="003D7089"/>
    <w:rsid w:val="003D7DDB"/>
    <w:rsid w:val="003E02C7"/>
    <w:rsid w:val="003E0543"/>
    <w:rsid w:val="003E0B5A"/>
    <w:rsid w:val="003E31E3"/>
    <w:rsid w:val="003E44F4"/>
    <w:rsid w:val="003E46D1"/>
    <w:rsid w:val="003F2F7A"/>
    <w:rsid w:val="003F58B0"/>
    <w:rsid w:val="004007E9"/>
    <w:rsid w:val="004017F1"/>
    <w:rsid w:val="00401825"/>
    <w:rsid w:val="00401BBC"/>
    <w:rsid w:val="00403BFB"/>
    <w:rsid w:val="00404B45"/>
    <w:rsid w:val="00406CC5"/>
    <w:rsid w:val="004074A4"/>
    <w:rsid w:val="004101B2"/>
    <w:rsid w:val="004123D7"/>
    <w:rsid w:val="00412658"/>
    <w:rsid w:val="004149C4"/>
    <w:rsid w:val="004172DB"/>
    <w:rsid w:val="00421485"/>
    <w:rsid w:val="004216A2"/>
    <w:rsid w:val="00422B75"/>
    <w:rsid w:val="00433F36"/>
    <w:rsid w:val="0043503A"/>
    <w:rsid w:val="0044384F"/>
    <w:rsid w:val="00444F80"/>
    <w:rsid w:val="00446018"/>
    <w:rsid w:val="00451ABC"/>
    <w:rsid w:val="004543BC"/>
    <w:rsid w:val="0045645D"/>
    <w:rsid w:val="004574C6"/>
    <w:rsid w:val="00457BCF"/>
    <w:rsid w:val="00457DCE"/>
    <w:rsid w:val="00460E3F"/>
    <w:rsid w:val="00463CC1"/>
    <w:rsid w:val="004640D5"/>
    <w:rsid w:val="00466CED"/>
    <w:rsid w:val="00467592"/>
    <w:rsid w:val="00467690"/>
    <w:rsid w:val="00470C2C"/>
    <w:rsid w:val="004718E7"/>
    <w:rsid w:val="00472535"/>
    <w:rsid w:val="004756EB"/>
    <w:rsid w:val="004761CC"/>
    <w:rsid w:val="00480D4A"/>
    <w:rsid w:val="00481DA1"/>
    <w:rsid w:val="00485A49"/>
    <w:rsid w:val="00491BB3"/>
    <w:rsid w:val="0049255F"/>
    <w:rsid w:val="0049445D"/>
    <w:rsid w:val="00495350"/>
    <w:rsid w:val="00497156"/>
    <w:rsid w:val="004A24D2"/>
    <w:rsid w:val="004A3214"/>
    <w:rsid w:val="004A4136"/>
    <w:rsid w:val="004A417B"/>
    <w:rsid w:val="004B03F3"/>
    <w:rsid w:val="004B2536"/>
    <w:rsid w:val="004B496E"/>
    <w:rsid w:val="004B6AF3"/>
    <w:rsid w:val="004B715E"/>
    <w:rsid w:val="004B7169"/>
    <w:rsid w:val="004B79C9"/>
    <w:rsid w:val="004C3A5E"/>
    <w:rsid w:val="004C5E33"/>
    <w:rsid w:val="004C6CDA"/>
    <w:rsid w:val="004D10D4"/>
    <w:rsid w:val="004D16BD"/>
    <w:rsid w:val="004D2AAB"/>
    <w:rsid w:val="004D5B5B"/>
    <w:rsid w:val="004D6F2B"/>
    <w:rsid w:val="004D7923"/>
    <w:rsid w:val="004E00E9"/>
    <w:rsid w:val="004E0248"/>
    <w:rsid w:val="004E21A3"/>
    <w:rsid w:val="004E2DF5"/>
    <w:rsid w:val="004E32EA"/>
    <w:rsid w:val="004E456C"/>
    <w:rsid w:val="004E6866"/>
    <w:rsid w:val="004F3222"/>
    <w:rsid w:val="004F3BFA"/>
    <w:rsid w:val="005000AB"/>
    <w:rsid w:val="005025EE"/>
    <w:rsid w:val="005052D4"/>
    <w:rsid w:val="00510588"/>
    <w:rsid w:val="0051146C"/>
    <w:rsid w:val="00514449"/>
    <w:rsid w:val="00517AA4"/>
    <w:rsid w:val="005222E7"/>
    <w:rsid w:val="00523A5E"/>
    <w:rsid w:val="00523A8B"/>
    <w:rsid w:val="00523E04"/>
    <w:rsid w:val="0052590B"/>
    <w:rsid w:val="00526308"/>
    <w:rsid w:val="00526591"/>
    <w:rsid w:val="00526A1D"/>
    <w:rsid w:val="00527178"/>
    <w:rsid w:val="005278CB"/>
    <w:rsid w:val="00534013"/>
    <w:rsid w:val="005346C3"/>
    <w:rsid w:val="00534D42"/>
    <w:rsid w:val="005350A5"/>
    <w:rsid w:val="00536040"/>
    <w:rsid w:val="00536379"/>
    <w:rsid w:val="005369D5"/>
    <w:rsid w:val="00537238"/>
    <w:rsid w:val="005400C5"/>
    <w:rsid w:val="00540BEF"/>
    <w:rsid w:val="00542C9A"/>
    <w:rsid w:val="005436C2"/>
    <w:rsid w:val="005442D4"/>
    <w:rsid w:val="005451D8"/>
    <w:rsid w:val="0054586A"/>
    <w:rsid w:val="0054631F"/>
    <w:rsid w:val="0055288D"/>
    <w:rsid w:val="00552BD2"/>
    <w:rsid w:val="00553534"/>
    <w:rsid w:val="00555259"/>
    <w:rsid w:val="00560D57"/>
    <w:rsid w:val="00562A94"/>
    <w:rsid w:val="00564126"/>
    <w:rsid w:val="005709C2"/>
    <w:rsid w:val="005709F7"/>
    <w:rsid w:val="005710A9"/>
    <w:rsid w:val="00571D1B"/>
    <w:rsid w:val="00573FA3"/>
    <w:rsid w:val="005914FE"/>
    <w:rsid w:val="00593043"/>
    <w:rsid w:val="005938B1"/>
    <w:rsid w:val="00595BF0"/>
    <w:rsid w:val="005A1846"/>
    <w:rsid w:val="005A1A78"/>
    <w:rsid w:val="005A258C"/>
    <w:rsid w:val="005A27B5"/>
    <w:rsid w:val="005A3560"/>
    <w:rsid w:val="005A3C11"/>
    <w:rsid w:val="005A4E82"/>
    <w:rsid w:val="005A6C99"/>
    <w:rsid w:val="005A7D5D"/>
    <w:rsid w:val="005B011A"/>
    <w:rsid w:val="005B1D8F"/>
    <w:rsid w:val="005B1E94"/>
    <w:rsid w:val="005B3536"/>
    <w:rsid w:val="005B5B3D"/>
    <w:rsid w:val="005C16F3"/>
    <w:rsid w:val="005C1A89"/>
    <w:rsid w:val="005C3758"/>
    <w:rsid w:val="005C4872"/>
    <w:rsid w:val="005D15A1"/>
    <w:rsid w:val="005D3EF4"/>
    <w:rsid w:val="005E3064"/>
    <w:rsid w:val="005E72B2"/>
    <w:rsid w:val="005F1115"/>
    <w:rsid w:val="005F1AB6"/>
    <w:rsid w:val="005F24E2"/>
    <w:rsid w:val="005F27F2"/>
    <w:rsid w:val="005F3AFE"/>
    <w:rsid w:val="005F424D"/>
    <w:rsid w:val="005F6B6D"/>
    <w:rsid w:val="006005BD"/>
    <w:rsid w:val="006024F0"/>
    <w:rsid w:val="00605AAB"/>
    <w:rsid w:val="00606BEB"/>
    <w:rsid w:val="00610095"/>
    <w:rsid w:val="0061014A"/>
    <w:rsid w:val="0061054B"/>
    <w:rsid w:val="00611BA5"/>
    <w:rsid w:val="00613E26"/>
    <w:rsid w:val="00614E2F"/>
    <w:rsid w:val="00615641"/>
    <w:rsid w:val="00616959"/>
    <w:rsid w:val="006211D0"/>
    <w:rsid w:val="00624D0C"/>
    <w:rsid w:val="006307BA"/>
    <w:rsid w:val="006315BA"/>
    <w:rsid w:val="006338C2"/>
    <w:rsid w:val="00634C4A"/>
    <w:rsid w:val="0063532E"/>
    <w:rsid w:val="00637BDC"/>
    <w:rsid w:val="006418C9"/>
    <w:rsid w:val="00642BD6"/>
    <w:rsid w:val="00643E5B"/>
    <w:rsid w:val="00645046"/>
    <w:rsid w:val="0064527A"/>
    <w:rsid w:val="00645EA2"/>
    <w:rsid w:val="00650BF1"/>
    <w:rsid w:val="006544AF"/>
    <w:rsid w:val="006573F2"/>
    <w:rsid w:val="00662F08"/>
    <w:rsid w:val="00663589"/>
    <w:rsid w:val="006708E3"/>
    <w:rsid w:val="00670DDC"/>
    <w:rsid w:val="00671EB4"/>
    <w:rsid w:val="0067443B"/>
    <w:rsid w:val="006763FF"/>
    <w:rsid w:val="006766AF"/>
    <w:rsid w:val="00684E2B"/>
    <w:rsid w:val="00690FDA"/>
    <w:rsid w:val="00691E61"/>
    <w:rsid w:val="00693C5E"/>
    <w:rsid w:val="00694EEA"/>
    <w:rsid w:val="006955B4"/>
    <w:rsid w:val="00696476"/>
    <w:rsid w:val="006A10FA"/>
    <w:rsid w:val="006A40E6"/>
    <w:rsid w:val="006A4ACA"/>
    <w:rsid w:val="006A5C07"/>
    <w:rsid w:val="006A6E84"/>
    <w:rsid w:val="006A75FA"/>
    <w:rsid w:val="006B07D5"/>
    <w:rsid w:val="006B1309"/>
    <w:rsid w:val="006B1A42"/>
    <w:rsid w:val="006B3923"/>
    <w:rsid w:val="006B3F3E"/>
    <w:rsid w:val="006B5923"/>
    <w:rsid w:val="006B67D9"/>
    <w:rsid w:val="006B6C14"/>
    <w:rsid w:val="006B715E"/>
    <w:rsid w:val="006C01B6"/>
    <w:rsid w:val="006C19A1"/>
    <w:rsid w:val="006C1BEF"/>
    <w:rsid w:val="006C1D6E"/>
    <w:rsid w:val="006C3A68"/>
    <w:rsid w:val="006C4C78"/>
    <w:rsid w:val="006C6AB1"/>
    <w:rsid w:val="006C7813"/>
    <w:rsid w:val="006D2D39"/>
    <w:rsid w:val="006D4E0E"/>
    <w:rsid w:val="006D5CE2"/>
    <w:rsid w:val="006D7CE5"/>
    <w:rsid w:val="006E06D1"/>
    <w:rsid w:val="006E10D3"/>
    <w:rsid w:val="006E1313"/>
    <w:rsid w:val="006E1559"/>
    <w:rsid w:val="006E2DC8"/>
    <w:rsid w:val="006E7356"/>
    <w:rsid w:val="006E77C8"/>
    <w:rsid w:val="006F149D"/>
    <w:rsid w:val="006F1A46"/>
    <w:rsid w:val="006F5A4E"/>
    <w:rsid w:val="006F5FD3"/>
    <w:rsid w:val="00703B6C"/>
    <w:rsid w:val="00705C40"/>
    <w:rsid w:val="00706482"/>
    <w:rsid w:val="00706BEF"/>
    <w:rsid w:val="007116BC"/>
    <w:rsid w:val="00711ED3"/>
    <w:rsid w:val="007165CE"/>
    <w:rsid w:val="00720968"/>
    <w:rsid w:val="00721D12"/>
    <w:rsid w:val="00721F8B"/>
    <w:rsid w:val="007237CE"/>
    <w:rsid w:val="00724688"/>
    <w:rsid w:val="007301AF"/>
    <w:rsid w:val="0073062D"/>
    <w:rsid w:val="0073254D"/>
    <w:rsid w:val="00736A49"/>
    <w:rsid w:val="00737932"/>
    <w:rsid w:val="00743B71"/>
    <w:rsid w:val="00743C2D"/>
    <w:rsid w:val="00743E36"/>
    <w:rsid w:val="007446F7"/>
    <w:rsid w:val="00744EBB"/>
    <w:rsid w:val="00745B0A"/>
    <w:rsid w:val="007468AC"/>
    <w:rsid w:val="00746AE2"/>
    <w:rsid w:val="0074714B"/>
    <w:rsid w:val="00750C82"/>
    <w:rsid w:val="007536C7"/>
    <w:rsid w:val="0076100C"/>
    <w:rsid w:val="00761D15"/>
    <w:rsid w:val="007651ED"/>
    <w:rsid w:val="00766C87"/>
    <w:rsid w:val="007675BB"/>
    <w:rsid w:val="00772BF8"/>
    <w:rsid w:val="0078016E"/>
    <w:rsid w:val="00781BD4"/>
    <w:rsid w:val="00784832"/>
    <w:rsid w:val="0078526A"/>
    <w:rsid w:val="00785D77"/>
    <w:rsid w:val="00786111"/>
    <w:rsid w:val="00791AC6"/>
    <w:rsid w:val="00791F1E"/>
    <w:rsid w:val="00792C1D"/>
    <w:rsid w:val="00794F3D"/>
    <w:rsid w:val="00795A39"/>
    <w:rsid w:val="00796045"/>
    <w:rsid w:val="007968AC"/>
    <w:rsid w:val="007969AB"/>
    <w:rsid w:val="007A0B39"/>
    <w:rsid w:val="007A14A4"/>
    <w:rsid w:val="007A168F"/>
    <w:rsid w:val="007A28E4"/>
    <w:rsid w:val="007A3BB3"/>
    <w:rsid w:val="007A5AD1"/>
    <w:rsid w:val="007A5B7B"/>
    <w:rsid w:val="007B0A06"/>
    <w:rsid w:val="007B54A3"/>
    <w:rsid w:val="007B5778"/>
    <w:rsid w:val="007B5C5C"/>
    <w:rsid w:val="007B6F38"/>
    <w:rsid w:val="007B7B37"/>
    <w:rsid w:val="007B7C41"/>
    <w:rsid w:val="007C1801"/>
    <w:rsid w:val="007C3A85"/>
    <w:rsid w:val="007C433E"/>
    <w:rsid w:val="007C4452"/>
    <w:rsid w:val="007C4B3C"/>
    <w:rsid w:val="007C4DB1"/>
    <w:rsid w:val="007C6046"/>
    <w:rsid w:val="007D0292"/>
    <w:rsid w:val="007D16F2"/>
    <w:rsid w:val="007D21AC"/>
    <w:rsid w:val="007D3882"/>
    <w:rsid w:val="007D4621"/>
    <w:rsid w:val="007D498C"/>
    <w:rsid w:val="007D568A"/>
    <w:rsid w:val="007D574E"/>
    <w:rsid w:val="007D6BFE"/>
    <w:rsid w:val="007E0236"/>
    <w:rsid w:val="007E1078"/>
    <w:rsid w:val="007E2046"/>
    <w:rsid w:val="007E3883"/>
    <w:rsid w:val="007E4FBB"/>
    <w:rsid w:val="007E55BF"/>
    <w:rsid w:val="007E71B1"/>
    <w:rsid w:val="007E7B2C"/>
    <w:rsid w:val="007E7B4E"/>
    <w:rsid w:val="007F0CE2"/>
    <w:rsid w:val="007F0EFF"/>
    <w:rsid w:val="007F1375"/>
    <w:rsid w:val="007F1E31"/>
    <w:rsid w:val="007F256E"/>
    <w:rsid w:val="007F3C87"/>
    <w:rsid w:val="00800A76"/>
    <w:rsid w:val="00803850"/>
    <w:rsid w:val="00804385"/>
    <w:rsid w:val="0080527F"/>
    <w:rsid w:val="00805AFD"/>
    <w:rsid w:val="008078D8"/>
    <w:rsid w:val="00811D5B"/>
    <w:rsid w:val="00817713"/>
    <w:rsid w:val="00821BB7"/>
    <w:rsid w:val="008220F1"/>
    <w:rsid w:val="0082340B"/>
    <w:rsid w:val="00827DB6"/>
    <w:rsid w:val="008304B2"/>
    <w:rsid w:val="00830999"/>
    <w:rsid w:val="00830D5E"/>
    <w:rsid w:val="00830F69"/>
    <w:rsid w:val="0083292B"/>
    <w:rsid w:val="00833418"/>
    <w:rsid w:val="00834458"/>
    <w:rsid w:val="00835841"/>
    <w:rsid w:val="00836198"/>
    <w:rsid w:val="00837465"/>
    <w:rsid w:val="00841243"/>
    <w:rsid w:val="00841457"/>
    <w:rsid w:val="0084280B"/>
    <w:rsid w:val="0084374E"/>
    <w:rsid w:val="00844842"/>
    <w:rsid w:val="00844C88"/>
    <w:rsid w:val="00844DD0"/>
    <w:rsid w:val="0084689B"/>
    <w:rsid w:val="0085089F"/>
    <w:rsid w:val="0085206E"/>
    <w:rsid w:val="00852AD4"/>
    <w:rsid w:val="00852BA8"/>
    <w:rsid w:val="00853718"/>
    <w:rsid w:val="008541EF"/>
    <w:rsid w:val="00856930"/>
    <w:rsid w:val="00856AC7"/>
    <w:rsid w:val="00856AFF"/>
    <w:rsid w:val="00856FA4"/>
    <w:rsid w:val="00857B4B"/>
    <w:rsid w:val="0086162B"/>
    <w:rsid w:val="00861D5C"/>
    <w:rsid w:val="00863ABD"/>
    <w:rsid w:val="00863B36"/>
    <w:rsid w:val="00865207"/>
    <w:rsid w:val="008656A7"/>
    <w:rsid w:val="00867DC4"/>
    <w:rsid w:val="00871262"/>
    <w:rsid w:val="00871D4E"/>
    <w:rsid w:val="00871E7B"/>
    <w:rsid w:val="008759CF"/>
    <w:rsid w:val="00875B51"/>
    <w:rsid w:val="00875F2D"/>
    <w:rsid w:val="008764DC"/>
    <w:rsid w:val="0087719D"/>
    <w:rsid w:val="00877A41"/>
    <w:rsid w:val="00881427"/>
    <w:rsid w:val="00882CC2"/>
    <w:rsid w:val="00883930"/>
    <w:rsid w:val="00883C58"/>
    <w:rsid w:val="00890803"/>
    <w:rsid w:val="00892DFB"/>
    <w:rsid w:val="00894A2D"/>
    <w:rsid w:val="00896535"/>
    <w:rsid w:val="00896683"/>
    <w:rsid w:val="00897589"/>
    <w:rsid w:val="0089763A"/>
    <w:rsid w:val="008A2996"/>
    <w:rsid w:val="008A63A9"/>
    <w:rsid w:val="008A7F7E"/>
    <w:rsid w:val="008B04DB"/>
    <w:rsid w:val="008B27FD"/>
    <w:rsid w:val="008B3AF2"/>
    <w:rsid w:val="008B515D"/>
    <w:rsid w:val="008B5D31"/>
    <w:rsid w:val="008B65A3"/>
    <w:rsid w:val="008B6705"/>
    <w:rsid w:val="008C22F3"/>
    <w:rsid w:val="008C5FCA"/>
    <w:rsid w:val="008C76C8"/>
    <w:rsid w:val="008C7E37"/>
    <w:rsid w:val="008D795D"/>
    <w:rsid w:val="008D7B07"/>
    <w:rsid w:val="008E1E94"/>
    <w:rsid w:val="008E2A8F"/>
    <w:rsid w:val="008E2D99"/>
    <w:rsid w:val="008E4A60"/>
    <w:rsid w:val="008E744D"/>
    <w:rsid w:val="008F1E08"/>
    <w:rsid w:val="008F3C01"/>
    <w:rsid w:val="00900D8F"/>
    <w:rsid w:val="00900DA0"/>
    <w:rsid w:val="009014E3"/>
    <w:rsid w:val="009021D0"/>
    <w:rsid w:val="009026E8"/>
    <w:rsid w:val="009051C8"/>
    <w:rsid w:val="00906EB7"/>
    <w:rsid w:val="009102BF"/>
    <w:rsid w:val="009115F2"/>
    <w:rsid w:val="009133A0"/>
    <w:rsid w:val="00914ADB"/>
    <w:rsid w:val="009222B0"/>
    <w:rsid w:val="00923B25"/>
    <w:rsid w:val="0092402E"/>
    <w:rsid w:val="009259BA"/>
    <w:rsid w:val="00926FCB"/>
    <w:rsid w:val="0093311A"/>
    <w:rsid w:val="00937F0C"/>
    <w:rsid w:val="00942645"/>
    <w:rsid w:val="009472CB"/>
    <w:rsid w:val="00950A3A"/>
    <w:rsid w:val="0095340A"/>
    <w:rsid w:val="00954581"/>
    <w:rsid w:val="0095466C"/>
    <w:rsid w:val="00954E5B"/>
    <w:rsid w:val="009576BC"/>
    <w:rsid w:val="00960357"/>
    <w:rsid w:val="0096168C"/>
    <w:rsid w:val="00961840"/>
    <w:rsid w:val="009621E6"/>
    <w:rsid w:val="00962F2D"/>
    <w:rsid w:val="009648B3"/>
    <w:rsid w:val="009672CD"/>
    <w:rsid w:val="00972996"/>
    <w:rsid w:val="009732B8"/>
    <w:rsid w:val="00975C72"/>
    <w:rsid w:val="00976869"/>
    <w:rsid w:val="00977740"/>
    <w:rsid w:val="00977CB4"/>
    <w:rsid w:val="00980141"/>
    <w:rsid w:val="009809B8"/>
    <w:rsid w:val="0098222D"/>
    <w:rsid w:val="00985099"/>
    <w:rsid w:val="009905EB"/>
    <w:rsid w:val="00991E5E"/>
    <w:rsid w:val="0099421F"/>
    <w:rsid w:val="009A0DE3"/>
    <w:rsid w:val="009A1643"/>
    <w:rsid w:val="009A215A"/>
    <w:rsid w:val="009A3C0B"/>
    <w:rsid w:val="009A4F1B"/>
    <w:rsid w:val="009A66C5"/>
    <w:rsid w:val="009A79BA"/>
    <w:rsid w:val="009B1008"/>
    <w:rsid w:val="009B14D1"/>
    <w:rsid w:val="009B1534"/>
    <w:rsid w:val="009B15B0"/>
    <w:rsid w:val="009B2D10"/>
    <w:rsid w:val="009B4A3B"/>
    <w:rsid w:val="009B638D"/>
    <w:rsid w:val="009B69D3"/>
    <w:rsid w:val="009B7BA7"/>
    <w:rsid w:val="009C0938"/>
    <w:rsid w:val="009C0963"/>
    <w:rsid w:val="009C22C8"/>
    <w:rsid w:val="009C3F82"/>
    <w:rsid w:val="009C72DD"/>
    <w:rsid w:val="009C7DF5"/>
    <w:rsid w:val="009D056C"/>
    <w:rsid w:val="009D060F"/>
    <w:rsid w:val="009D1ADE"/>
    <w:rsid w:val="009D216A"/>
    <w:rsid w:val="009E09D0"/>
    <w:rsid w:val="009E1283"/>
    <w:rsid w:val="009E2A21"/>
    <w:rsid w:val="009E3A7F"/>
    <w:rsid w:val="009E57B1"/>
    <w:rsid w:val="009E6379"/>
    <w:rsid w:val="009F5145"/>
    <w:rsid w:val="009F7809"/>
    <w:rsid w:val="009F7AF5"/>
    <w:rsid w:val="00A00D14"/>
    <w:rsid w:val="00A01408"/>
    <w:rsid w:val="00A02457"/>
    <w:rsid w:val="00A02E8E"/>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530D"/>
    <w:rsid w:val="00A76094"/>
    <w:rsid w:val="00A768E2"/>
    <w:rsid w:val="00A82C52"/>
    <w:rsid w:val="00A84BA0"/>
    <w:rsid w:val="00A86570"/>
    <w:rsid w:val="00A86CB6"/>
    <w:rsid w:val="00A87ABB"/>
    <w:rsid w:val="00A90629"/>
    <w:rsid w:val="00A90D55"/>
    <w:rsid w:val="00A944D8"/>
    <w:rsid w:val="00A959E7"/>
    <w:rsid w:val="00A959F8"/>
    <w:rsid w:val="00A95BBA"/>
    <w:rsid w:val="00A961EE"/>
    <w:rsid w:val="00AA04B3"/>
    <w:rsid w:val="00AA1253"/>
    <w:rsid w:val="00AA28EF"/>
    <w:rsid w:val="00AA493E"/>
    <w:rsid w:val="00AA4CB6"/>
    <w:rsid w:val="00AA72C8"/>
    <w:rsid w:val="00AA73AF"/>
    <w:rsid w:val="00AB1754"/>
    <w:rsid w:val="00AB27DD"/>
    <w:rsid w:val="00AC1021"/>
    <w:rsid w:val="00AC38B1"/>
    <w:rsid w:val="00AC439D"/>
    <w:rsid w:val="00AC43A2"/>
    <w:rsid w:val="00AC713F"/>
    <w:rsid w:val="00AD067E"/>
    <w:rsid w:val="00AD2801"/>
    <w:rsid w:val="00AD298B"/>
    <w:rsid w:val="00AD2FE0"/>
    <w:rsid w:val="00AD6870"/>
    <w:rsid w:val="00AD68C5"/>
    <w:rsid w:val="00AD767A"/>
    <w:rsid w:val="00AE1273"/>
    <w:rsid w:val="00AE2D29"/>
    <w:rsid w:val="00AE4624"/>
    <w:rsid w:val="00AE5BCD"/>
    <w:rsid w:val="00AE5E14"/>
    <w:rsid w:val="00AE6115"/>
    <w:rsid w:val="00AE625B"/>
    <w:rsid w:val="00AE7F82"/>
    <w:rsid w:val="00AF1668"/>
    <w:rsid w:val="00AF4FA5"/>
    <w:rsid w:val="00AF5D75"/>
    <w:rsid w:val="00B0436B"/>
    <w:rsid w:val="00B07955"/>
    <w:rsid w:val="00B07AE2"/>
    <w:rsid w:val="00B12C0C"/>
    <w:rsid w:val="00B13757"/>
    <w:rsid w:val="00B13B12"/>
    <w:rsid w:val="00B14BB1"/>
    <w:rsid w:val="00B14FAA"/>
    <w:rsid w:val="00B15D30"/>
    <w:rsid w:val="00B20624"/>
    <w:rsid w:val="00B23436"/>
    <w:rsid w:val="00B24D79"/>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16F9"/>
    <w:rsid w:val="00B643A6"/>
    <w:rsid w:val="00B64DD6"/>
    <w:rsid w:val="00B6710C"/>
    <w:rsid w:val="00B6726B"/>
    <w:rsid w:val="00B70074"/>
    <w:rsid w:val="00B72076"/>
    <w:rsid w:val="00B72303"/>
    <w:rsid w:val="00B72563"/>
    <w:rsid w:val="00B737B4"/>
    <w:rsid w:val="00B80243"/>
    <w:rsid w:val="00B82277"/>
    <w:rsid w:val="00B85CE4"/>
    <w:rsid w:val="00B91676"/>
    <w:rsid w:val="00B94BCE"/>
    <w:rsid w:val="00B95833"/>
    <w:rsid w:val="00B965AB"/>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7F82"/>
    <w:rsid w:val="00BD067C"/>
    <w:rsid w:val="00BD40AB"/>
    <w:rsid w:val="00BD6297"/>
    <w:rsid w:val="00BD6806"/>
    <w:rsid w:val="00BD7433"/>
    <w:rsid w:val="00BD7831"/>
    <w:rsid w:val="00BD7C10"/>
    <w:rsid w:val="00BE046F"/>
    <w:rsid w:val="00BE0DEB"/>
    <w:rsid w:val="00BE2FC1"/>
    <w:rsid w:val="00BE37BD"/>
    <w:rsid w:val="00BE6365"/>
    <w:rsid w:val="00BE7780"/>
    <w:rsid w:val="00BF0B7F"/>
    <w:rsid w:val="00BF4720"/>
    <w:rsid w:val="00BF5094"/>
    <w:rsid w:val="00BF7B63"/>
    <w:rsid w:val="00C038EC"/>
    <w:rsid w:val="00C05C6D"/>
    <w:rsid w:val="00C1122B"/>
    <w:rsid w:val="00C13B34"/>
    <w:rsid w:val="00C13F26"/>
    <w:rsid w:val="00C14339"/>
    <w:rsid w:val="00C16E9F"/>
    <w:rsid w:val="00C1713D"/>
    <w:rsid w:val="00C177F1"/>
    <w:rsid w:val="00C218D9"/>
    <w:rsid w:val="00C22F3A"/>
    <w:rsid w:val="00C2328F"/>
    <w:rsid w:val="00C252E1"/>
    <w:rsid w:val="00C25978"/>
    <w:rsid w:val="00C261C6"/>
    <w:rsid w:val="00C26E7C"/>
    <w:rsid w:val="00C30A97"/>
    <w:rsid w:val="00C31624"/>
    <w:rsid w:val="00C31DDC"/>
    <w:rsid w:val="00C34326"/>
    <w:rsid w:val="00C34502"/>
    <w:rsid w:val="00C36201"/>
    <w:rsid w:val="00C368E8"/>
    <w:rsid w:val="00C36C3D"/>
    <w:rsid w:val="00C372C7"/>
    <w:rsid w:val="00C37848"/>
    <w:rsid w:val="00C41C05"/>
    <w:rsid w:val="00C41E47"/>
    <w:rsid w:val="00C42443"/>
    <w:rsid w:val="00C42CBA"/>
    <w:rsid w:val="00C45B9B"/>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5EC3"/>
    <w:rsid w:val="00C863E5"/>
    <w:rsid w:val="00C931FC"/>
    <w:rsid w:val="00C932C5"/>
    <w:rsid w:val="00C9650E"/>
    <w:rsid w:val="00C96B0D"/>
    <w:rsid w:val="00CA0342"/>
    <w:rsid w:val="00CA068D"/>
    <w:rsid w:val="00CA1228"/>
    <w:rsid w:val="00CA282D"/>
    <w:rsid w:val="00CA3410"/>
    <w:rsid w:val="00CA39C5"/>
    <w:rsid w:val="00CA4670"/>
    <w:rsid w:val="00CA67FC"/>
    <w:rsid w:val="00CA6B1A"/>
    <w:rsid w:val="00CA76D8"/>
    <w:rsid w:val="00CB1063"/>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934"/>
    <w:rsid w:val="00CE04DE"/>
    <w:rsid w:val="00CF0F2B"/>
    <w:rsid w:val="00CF158D"/>
    <w:rsid w:val="00CF2FF5"/>
    <w:rsid w:val="00CF3FE5"/>
    <w:rsid w:val="00CF4394"/>
    <w:rsid w:val="00CF5A78"/>
    <w:rsid w:val="00D000A9"/>
    <w:rsid w:val="00D005DB"/>
    <w:rsid w:val="00D0064E"/>
    <w:rsid w:val="00D00981"/>
    <w:rsid w:val="00D0280D"/>
    <w:rsid w:val="00D02C23"/>
    <w:rsid w:val="00D060CD"/>
    <w:rsid w:val="00D07A72"/>
    <w:rsid w:val="00D10577"/>
    <w:rsid w:val="00D1269D"/>
    <w:rsid w:val="00D1323B"/>
    <w:rsid w:val="00D14788"/>
    <w:rsid w:val="00D14BAE"/>
    <w:rsid w:val="00D15A07"/>
    <w:rsid w:val="00D1614C"/>
    <w:rsid w:val="00D1648B"/>
    <w:rsid w:val="00D16819"/>
    <w:rsid w:val="00D20AC0"/>
    <w:rsid w:val="00D2321B"/>
    <w:rsid w:val="00D23DE4"/>
    <w:rsid w:val="00D26873"/>
    <w:rsid w:val="00D310A2"/>
    <w:rsid w:val="00D31683"/>
    <w:rsid w:val="00D3201C"/>
    <w:rsid w:val="00D336C8"/>
    <w:rsid w:val="00D339E8"/>
    <w:rsid w:val="00D340D9"/>
    <w:rsid w:val="00D3662E"/>
    <w:rsid w:val="00D40B1F"/>
    <w:rsid w:val="00D40D75"/>
    <w:rsid w:val="00D449F0"/>
    <w:rsid w:val="00D50C8C"/>
    <w:rsid w:val="00D51B25"/>
    <w:rsid w:val="00D52393"/>
    <w:rsid w:val="00D523E4"/>
    <w:rsid w:val="00D5279D"/>
    <w:rsid w:val="00D52A1B"/>
    <w:rsid w:val="00D53F14"/>
    <w:rsid w:val="00D54BE4"/>
    <w:rsid w:val="00D55C13"/>
    <w:rsid w:val="00D60483"/>
    <w:rsid w:val="00D61ABB"/>
    <w:rsid w:val="00D62323"/>
    <w:rsid w:val="00D63577"/>
    <w:rsid w:val="00D65B12"/>
    <w:rsid w:val="00D67FD7"/>
    <w:rsid w:val="00D725A1"/>
    <w:rsid w:val="00D74261"/>
    <w:rsid w:val="00D7441B"/>
    <w:rsid w:val="00D76AB2"/>
    <w:rsid w:val="00D76D72"/>
    <w:rsid w:val="00D80490"/>
    <w:rsid w:val="00D829AD"/>
    <w:rsid w:val="00D82EE2"/>
    <w:rsid w:val="00D8326D"/>
    <w:rsid w:val="00D8545C"/>
    <w:rsid w:val="00D863BD"/>
    <w:rsid w:val="00D87788"/>
    <w:rsid w:val="00D877C8"/>
    <w:rsid w:val="00D910C2"/>
    <w:rsid w:val="00D9168C"/>
    <w:rsid w:val="00D9189B"/>
    <w:rsid w:val="00D91DA6"/>
    <w:rsid w:val="00D92067"/>
    <w:rsid w:val="00D9706F"/>
    <w:rsid w:val="00D972D4"/>
    <w:rsid w:val="00D97642"/>
    <w:rsid w:val="00D9788B"/>
    <w:rsid w:val="00DA195B"/>
    <w:rsid w:val="00DA3E8F"/>
    <w:rsid w:val="00DA3EBC"/>
    <w:rsid w:val="00DA6476"/>
    <w:rsid w:val="00DA6B55"/>
    <w:rsid w:val="00DB0015"/>
    <w:rsid w:val="00DB2AAD"/>
    <w:rsid w:val="00DB626D"/>
    <w:rsid w:val="00DB6365"/>
    <w:rsid w:val="00DC0BF1"/>
    <w:rsid w:val="00DC41C3"/>
    <w:rsid w:val="00DD3593"/>
    <w:rsid w:val="00DD41AE"/>
    <w:rsid w:val="00DE0C67"/>
    <w:rsid w:val="00DE6952"/>
    <w:rsid w:val="00DE7E74"/>
    <w:rsid w:val="00DF39D1"/>
    <w:rsid w:val="00DF6EF8"/>
    <w:rsid w:val="00E0006E"/>
    <w:rsid w:val="00E00A69"/>
    <w:rsid w:val="00E017F0"/>
    <w:rsid w:val="00E01A0E"/>
    <w:rsid w:val="00E0332F"/>
    <w:rsid w:val="00E041E4"/>
    <w:rsid w:val="00E1012B"/>
    <w:rsid w:val="00E103C8"/>
    <w:rsid w:val="00E1085B"/>
    <w:rsid w:val="00E1308B"/>
    <w:rsid w:val="00E14581"/>
    <w:rsid w:val="00E14AEE"/>
    <w:rsid w:val="00E15539"/>
    <w:rsid w:val="00E16541"/>
    <w:rsid w:val="00E23C72"/>
    <w:rsid w:val="00E2536E"/>
    <w:rsid w:val="00E25B8A"/>
    <w:rsid w:val="00E2632B"/>
    <w:rsid w:val="00E322F7"/>
    <w:rsid w:val="00E3369B"/>
    <w:rsid w:val="00E35163"/>
    <w:rsid w:val="00E35E48"/>
    <w:rsid w:val="00E36D76"/>
    <w:rsid w:val="00E405EA"/>
    <w:rsid w:val="00E408B7"/>
    <w:rsid w:val="00E41637"/>
    <w:rsid w:val="00E42789"/>
    <w:rsid w:val="00E43F59"/>
    <w:rsid w:val="00E464F0"/>
    <w:rsid w:val="00E50BEB"/>
    <w:rsid w:val="00E548FA"/>
    <w:rsid w:val="00E60684"/>
    <w:rsid w:val="00E6092F"/>
    <w:rsid w:val="00E62049"/>
    <w:rsid w:val="00E629DA"/>
    <w:rsid w:val="00E6469F"/>
    <w:rsid w:val="00E67FAC"/>
    <w:rsid w:val="00E70F41"/>
    <w:rsid w:val="00E7200B"/>
    <w:rsid w:val="00E738CB"/>
    <w:rsid w:val="00E73C88"/>
    <w:rsid w:val="00E74437"/>
    <w:rsid w:val="00E7443D"/>
    <w:rsid w:val="00E81C3E"/>
    <w:rsid w:val="00E82B6D"/>
    <w:rsid w:val="00E842CD"/>
    <w:rsid w:val="00E96E8C"/>
    <w:rsid w:val="00EA1177"/>
    <w:rsid w:val="00EA118B"/>
    <w:rsid w:val="00EA11B6"/>
    <w:rsid w:val="00EA2181"/>
    <w:rsid w:val="00EA2DD8"/>
    <w:rsid w:val="00EA4475"/>
    <w:rsid w:val="00EA53AC"/>
    <w:rsid w:val="00EA681F"/>
    <w:rsid w:val="00EA68F2"/>
    <w:rsid w:val="00EB04B0"/>
    <w:rsid w:val="00EB2C06"/>
    <w:rsid w:val="00EB3823"/>
    <w:rsid w:val="00EB42B5"/>
    <w:rsid w:val="00EB47D8"/>
    <w:rsid w:val="00EB4E4D"/>
    <w:rsid w:val="00EB57D3"/>
    <w:rsid w:val="00EB5EFD"/>
    <w:rsid w:val="00EB679F"/>
    <w:rsid w:val="00EB74AA"/>
    <w:rsid w:val="00EB76E4"/>
    <w:rsid w:val="00EB77EC"/>
    <w:rsid w:val="00EC0E65"/>
    <w:rsid w:val="00EC2938"/>
    <w:rsid w:val="00EC50C9"/>
    <w:rsid w:val="00EC56DD"/>
    <w:rsid w:val="00EC58B4"/>
    <w:rsid w:val="00EC59BE"/>
    <w:rsid w:val="00EC5BB2"/>
    <w:rsid w:val="00ED12F0"/>
    <w:rsid w:val="00ED4773"/>
    <w:rsid w:val="00ED47B0"/>
    <w:rsid w:val="00ED5680"/>
    <w:rsid w:val="00ED664B"/>
    <w:rsid w:val="00ED6A61"/>
    <w:rsid w:val="00ED791D"/>
    <w:rsid w:val="00ED7EF2"/>
    <w:rsid w:val="00EE03BB"/>
    <w:rsid w:val="00EE0B44"/>
    <w:rsid w:val="00EE6FE0"/>
    <w:rsid w:val="00EE704A"/>
    <w:rsid w:val="00EE7840"/>
    <w:rsid w:val="00EF4829"/>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291B"/>
    <w:rsid w:val="00F33D56"/>
    <w:rsid w:val="00F34E08"/>
    <w:rsid w:val="00F41D91"/>
    <w:rsid w:val="00F42363"/>
    <w:rsid w:val="00F46964"/>
    <w:rsid w:val="00F46F9A"/>
    <w:rsid w:val="00F5126A"/>
    <w:rsid w:val="00F57334"/>
    <w:rsid w:val="00F6636A"/>
    <w:rsid w:val="00F667C5"/>
    <w:rsid w:val="00F67830"/>
    <w:rsid w:val="00F67961"/>
    <w:rsid w:val="00F67E31"/>
    <w:rsid w:val="00F70531"/>
    <w:rsid w:val="00F718A8"/>
    <w:rsid w:val="00F72183"/>
    <w:rsid w:val="00F7645D"/>
    <w:rsid w:val="00F76D01"/>
    <w:rsid w:val="00F77146"/>
    <w:rsid w:val="00F81C35"/>
    <w:rsid w:val="00F82981"/>
    <w:rsid w:val="00F8311F"/>
    <w:rsid w:val="00F83248"/>
    <w:rsid w:val="00F83376"/>
    <w:rsid w:val="00F853AE"/>
    <w:rsid w:val="00F915C7"/>
    <w:rsid w:val="00F93C74"/>
    <w:rsid w:val="00F93DCC"/>
    <w:rsid w:val="00F9435D"/>
    <w:rsid w:val="00F97740"/>
    <w:rsid w:val="00FA2F7B"/>
    <w:rsid w:val="00FB09FE"/>
    <w:rsid w:val="00FB3780"/>
    <w:rsid w:val="00FB3924"/>
    <w:rsid w:val="00FB593A"/>
    <w:rsid w:val="00FB6410"/>
    <w:rsid w:val="00FB6E82"/>
    <w:rsid w:val="00FC0042"/>
    <w:rsid w:val="00FC2A13"/>
    <w:rsid w:val="00FC344B"/>
    <w:rsid w:val="00FC4284"/>
    <w:rsid w:val="00FC4576"/>
    <w:rsid w:val="00FC5B38"/>
    <w:rsid w:val="00FC7DBC"/>
    <w:rsid w:val="00FD076A"/>
    <w:rsid w:val="00FD0AA0"/>
    <w:rsid w:val="00FD1D5A"/>
    <w:rsid w:val="00FD5059"/>
    <w:rsid w:val="00FD554D"/>
    <w:rsid w:val="00FD7831"/>
    <w:rsid w:val="00FE2B40"/>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82303592">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675889686">
      <w:bodyDiv w:val="1"/>
      <w:marLeft w:val="0"/>
      <w:marRight w:val="0"/>
      <w:marTop w:val="0"/>
      <w:marBottom w:val="0"/>
      <w:divBdr>
        <w:top w:val="none" w:sz="0" w:space="0" w:color="auto"/>
        <w:left w:val="none" w:sz="0" w:space="0" w:color="auto"/>
        <w:bottom w:val="none" w:sz="0" w:space="0" w:color="auto"/>
        <w:right w:val="none" w:sz="0" w:space="0" w:color="auto"/>
      </w:divBdr>
    </w:div>
    <w:div w:id="120058250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7351737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8E83-A0C6-460A-B705-9BB701D0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1844</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alicia.dupree</cp:lastModifiedBy>
  <cp:revision>10</cp:revision>
  <cp:lastPrinted>2011-06-08T11:33:00Z</cp:lastPrinted>
  <dcterms:created xsi:type="dcterms:W3CDTF">2011-07-14T02:06:00Z</dcterms:created>
  <dcterms:modified xsi:type="dcterms:W3CDTF">2012-07-11T14:58:00Z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