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color w:val="auto"/>
        </w:rPr>
      </w:pPr>
      <w:r w:rsidRPr="00396779">
        <w:rPr>
          <w:color w:val="auto"/>
        </w:rPr>
        <w:t>RECORD OF PROCEEDINGS</w:t>
      </w:r>
    </w:p>
    <w:p w:rsidR="00540BEF" w:rsidRPr="00396779" w:rsidRDefault="00540BEF" w:rsidP="00510F9C">
      <w:pPr>
        <w:tabs>
          <w:tab w:val="left" w:pos="288"/>
          <w:tab w:val="left" w:pos="4752"/>
        </w:tabs>
        <w:spacing w:line="240" w:lineRule="exact"/>
        <w:jc w:val="center"/>
        <w:rPr>
          <w:color w:val="auto"/>
        </w:rPr>
      </w:pPr>
      <w:r w:rsidRPr="00396779">
        <w:rPr>
          <w:color w:val="auto"/>
        </w:rPr>
        <w:t>PHYSICAL DISABILITY BOARD OF REVIEW</w:t>
      </w:r>
    </w:p>
    <w:p w:rsidR="00540BEF" w:rsidRPr="00396779" w:rsidRDefault="00540BEF" w:rsidP="00510F9C">
      <w:pPr>
        <w:tabs>
          <w:tab w:val="left" w:pos="288"/>
          <w:tab w:val="left" w:pos="4752"/>
        </w:tabs>
        <w:spacing w:line="240" w:lineRule="exact"/>
        <w:jc w:val="both"/>
        <w:rPr>
          <w:caps/>
          <w:color w:val="auto"/>
        </w:rPr>
      </w:pPr>
    </w:p>
    <w:p w:rsidR="00E0346A" w:rsidRPr="00444DF4" w:rsidRDefault="00F629C0" w:rsidP="00093E31">
      <w:pPr>
        <w:tabs>
          <w:tab w:val="left" w:pos="288"/>
          <w:tab w:val="left" w:pos="4752"/>
          <w:tab w:val="left" w:pos="6120"/>
          <w:tab w:val="left" w:pos="9270"/>
        </w:tabs>
        <w:spacing w:line="240" w:lineRule="exact"/>
        <w:jc w:val="both"/>
        <w:rPr>
          <w:caps/>
          <w:color w:val="auto"/>
        </w:rPr>
      </w:pPr>
      <w:r w:rsidRPr="00444DF4">
        <w:rPr>
          <w:caps/>
          <w:color w:val="auto"/>
        </w:rPr>
        <w:t xml:space="preserve">NAME:  </w:t>
      </w:r>
      <w:r w:rsidR="00093E31">
        <w:rPr>
          <w:caps/>
          <w:color w:val="auto"/>
        </w:rPr>
        <w:t xml:space="preserve"> </w:t>
      </w:r>
      <w:r w:rsidR="00A46494" w:rsidRPr="00444DF4">
        <w:rPr>
          <w:caps/>
          <w:color w:val="auto"/>
        </w:rPr>
        <w:t xml:space="preserve">                    </w:t>
      </w:r>
      <w:r w:rsidR="00644982">
        <w:rPr>
          <w:caps/>
          <w:color w:val="auto"/>
        </w:rPr>
        <w:t xml:space="preserve">                            </w:t>
      </w:r>
      <w:r w:rsidR="00E96DEF">
        <w:rPr>
          <w:caps/>
          <w:color w:val="auto"/>
        </w:rPr>
        <w:t xml:space="preserve">      </w:t>
      </w:r>
      <w:r w:rsidR="00093E31">
        <w:rPr>
          <w:caps/>
          <w:color w:val="auto"/>
        </w:rPr>
        <w:tab/>
      </w:r>
      <w:r w:rsidR="00093E31">
        <w:rPr>
          <w:caps/>
          <w:color w:val="auto"/>
        </w:rPr>
        <w:tab/>
      </w:r>
      <w:r w:rsidRPr="00444DF4">
        <w:rPr>
          <w:caps/>
          <w:color w:val="auto"/>
        </w:rPr>
        <w:t xml:space="preserve">BRANCH OF SERVICE: </w:t>
      </w:r>
      <w:r w:rsidR="00E96DEF">
        <w:rPr>
          <w:caps/>
          <w:color w:val="auto"/>
        </w:rPr>
        <w:t xml:space="preserve"> </w:t>
      </w:r>
      <w:r w:rsidR="00133F66" w:rsidRPr="00444DF4">
        <w:rPr>
          <w:caps/>
          <w:color w:val="auto"/>
        </w:rPr>
        <w:t>air force</w:t>
      </w:r>
      <w:r w:rsidR="004C24C5" w:rsidRPr="00444DF4">
        <w:rPr>
          <w:caps/>
          <w:color w:val="auto"/>
        </w:rPr>
        <w:t xml:space="preserve"> </w:t>
      </w:r>
    </w:p>
    <w:p w:rsidR="00A1005D" w:rsidRDefault="00012733" w:rsidP="00A1005D">
      <w:pPr>
        <w:tabs>
          <w:tab w:val="left" w:pos="288"/>
          <w:tab w:val="left" w:pos="4752"/>
          <w:tab w:val="left" w:pos="5130"/>
          <w:tab w:val="left" w:pos="9270"/>
        </w:tabs>
        <w:spacing w:line="240" w:lineRule="exact"/>
        <w:jc w:val="both"/>
        <w:rPr>
          <w:color w:val="auto"/>
        </w:rPr>
      </w:pPr>
      <w:r w:rsidRPr="00444DF4">
        <w:rPr>
          <w:caps/>
          <w:color w:val="auto"/>
        </w:rPr>
        <w:t>C</w:t>
      </w:r>
      <w:r w:rsidR="00DE3AAD" w:rsidRPr="00444DF4">
        <w:rPr>
          <w:caps/>
          <w:color w:val="auto"/>
        </w:rPr>
        <w:t>ASE NUMBER:  PD1000</w:t>
      </w:r>
      <w:r w:rsidR="00133F66" w:rsidRPr="00444DF4">
        <w:rPr>
          <w:caps/>
          <w:color w:val="auto"/>
        </w:rPr>
        <w:t>053</w:t>
      </w:r>
      <w:r w:rsidR="00DE3AAD" w:rsidRPr="00444DF4">
        <w:rPr>
          <w:color w:val="auto"/>
        </w:rPr>
        <w:t xml:space="preserve"> </w:t>
      </w:r>
      <w:r w:rsidR="00DE3AAD" w:rsidRPr="00444DF4">
        <w:rPr>
          <w:color w:val="auto"/>
        </w:rPr>
        <w:tab/>
        <w:t xml:space="preserve">         </w:t>
      </w:r>
      <w:r w:rsidR="00644982">
        <w:rPr>
          <w:color w:val="auto"/>
        </w:rPr>
        <w:t xml:space="preserve">         </w:t>
      </w:r>
      <w:r w:rsidR="00A1005D">
        <w:rPr>
          <w:color w:val="auto"/>
        </w:rPr>
        <w:t xml:space="preserve">      SEPARATION DATE:  20010925                                                                                                              </w:t>
      </w:r>
    </w:p>
    <w:p w:rsidR="00B022DC" w:rsidRPr="00444DF4" w:rsidRDefault="004F3639" w:rsidP="00A1005D">
      <w:pPr>
        <w:tabs>
          <w:tab w:val="left" w:pos="288"/>
          <w:tab w:val="left" w:pos="4752"/>
          <w:tab w:val="left" w:pos="5130"/>
          <w:tab w:val="left" w:pos="9270"/>
        </w:tabs>
        <w:spacing w:line="240" w:lineRule="exact"/>
        <w:jc w:val="both"/>
        <w:rPr>
          <w:color w:val="auto"/>
        </w:rPr>
      </w:pPr>
      <w:r w:rsidRPr="00444DF4">
        <w:rPr>
          <w:caps/>
          <w:color w:val="auto"/>
        </w:rPr>
        <w:t>BOARD DATE:  2011</w:t>
      </w:r>
      <w:r w:rsidR="00355554">
        <w:rPr>
          <w:caps/>
          <w:color w:val="auto"/>
        </w:rPr>
        <w:t>1012</w:t>
      </w:r>
      <w:r w:rsidR="004A6872">
        <w:rPr>
          <w:caps/>
          <w:color w:val="auto"/>
        </w:rPr>
        <w:t xml:space="preserve">  </w:t>
      </w:r>
      <w:r w:rsidR="00E3400A">
        <w:rPr>
          <w:caps/>
          <w:color w:val="auto"/>
        </w:rPr>
        <w:t xml:space="preserve">                                </w:t>
      </w:r>
      <w:r w:rsidR="004A6872">
        <w:rPr>
          <w:caps/>
          <w:color w:val="auto"/>
        </w:rPr>
        <w:t xml:space="preserve">  </w:t>
      </w:r>
      <w:r w:rsidR="00F504D5">
        <w:rPr>
          <w:caps/>
          <w:color w:val="auto"/>
        </w:rPr>
        <w:t xml:space="preserve">                     </w:t>
      </w:r>
      <w:r w:rsidR="00644982">
        <w:rPr>
          <w:caps/>
          <w:color w:val="auto"/>
        </w:rPr>
        <w:t xml:space="preserve">  </w:t>
      </w:r>
      <w:r w:rsidR="00724AC3">
        <w:rPr>
          <w:caps/>
          <w:color w:val="auto"/>
        </w:rPr>
        <w:t xml:space="preserve">  </w:t>
      </w:r>
    </w:p>
    <w:p w:rsidR="008E0D8F" w:rsidRPr="00444DF4" w:rsidRDefault="008E0D8F" w:rsidP="00510F9C">
      <w:pPr>
        <w:pBdr>
          <w:bottom w:val="single" w:sz="12" w:space="1" w:color="auto"/>
        </w:pBdr>
        <w:tabs>
          <w:tab w:val="left" w:pos="288"/>
          <w:tab w:val="left" w:pos="4752"/>
        </w:tabs>
        <w:spacing w:line="240" w:lineRule="exact"/>
        <w:jc w:val="both"/>
        <w:rPr>
          <w:color w:val="auto"/>
          <w:u w:val="single"/>
        </w:rPr>
      </w:pPr>
    </w:p>
    <w:p w:rsidR="00FB0E80" w:rsidRPr="00444DF4" w:rsidRDefault="00FB0E80" w:rsidP="00FB0E80">
      <w:pPr>
        <w:tabs>
          <w:tab w:val="left" w:pos="288"/>
          <w:tab w:val="left" w:pos="4752"/>
        </w:tabs>
        <w:spacing w:line="240" w:lineRule="exact"/>
        <w:jc w:val="both"/>
        <w:rPr>
          <w:color w:val="auto"/>
        </w:rPr>
      </w:pPr>
    </w:p>
    <w:p w:rsidR="002F2981" w:rsidRPr="008D2AEE" w:rsidRDefault="00FB0E80" w:rsidP="00510F9C">
      <w:pPr>
        <w:tabs>
          <w:tab w:val="left" w:pos="288"/>
          <w:tab w:val="left" w:pos="4752"/>
        </w:tabs>
        <w:spacing w:line="240" w:lineRule="exact"/>
        <w:jc w:val="both"/>
        <w:rPr>
          <w:i/>
          <w:color w:val="auto"/>
          <w:szCs w:val="24"/>
        </w:rPr>
      </w:pPr>
      <w:r w:rsidRPr="00444DF4">
        <w:rPr>
          <w:color w:val="auto"/>
          <w:u w:val="single"/>
        </w:rPr>
        <w:t>SUMMARY OF CASE</w:t>
      </w:r>
      <w:r w:rsidRPr="00444DF4">
        <w:rPr>
          <w:color w:val="auto"/>
        </w:rPr>
        <w:t xml:space="preserve">:  </w:t>
      </w:r>
      <w:r w:rsidR="009759C2" w:rsidRPr="00444DF4">
        <w:rPr>
          <w:color w:val="auto"/>
        </w:rPr>
        <w:t>Data extracted from the available evidence of record reflects that this covered individual (CI)</w:t>
      </w:r>
      <w:r w:rsidR="00570754" w:rsidRPr="00444DF4">
        <w:rPr>
          <w:color w:val="auto"/>
        </w:rPr>
        <w:t xml:space="preserve"> </w:t>
      </w:r>
      <w:r w:rsidR="002C6E5B" w:rsidRPr="00444DF4">
        <w:rPr>
          <w:color w:val="auto"/>
          <w:szCs w:val="24"/>
        </w:rPr>
        <w:t xml:space="preserve">was </w:t>
      </w:r>
      <w:r w:rsidR="00EA2659">
        <w:rPr>
          <w:color w:val="auto"/>
          <w:szCs w:val="24"/>
        </w:rPr>
        <w:t xml:space="preserve">an </w:t>
      </w:r>
      <w:r w:rsidR="00E96DEF">
        <w:rPr>
          <w:color w:val="auto"/>
          <w:szCs w:val="24"/>
        </w:rPr>
        <w:t>a</w:t>
      </w:r>
      <w:r w:rsidR="00E96DEF" w:rsidRPr="00444DF4">
        <w:rPr>
          <w:color w:val="auto"/>
          <w:szCs w:val="24"/>
        </w:rPr>
        <w:t xml:space="preserve">ctive </w:t>
      </w:r>
      <w:r w:rsidR="00E96DEF">
        <w:rPr>
          <w:color w:val="auto"/>
          <w:szCs w:val="24"/>
        </w:rPr>
        <w:t>d</w:t>
      </w:r>
      <w:r w:rsidR="00E96DEF" w:rsidRPr="00444DF4">
        <w:rPr>
          <w:color w:val="auto"/>
          <w:szCs w:val="24"/>
        </w:rPr>
        <w:t xml:space="preserve">uty </w:t>
      </w:r>
      <w:r w:rsidR="000B3AC2">
        <w:rPr>
          <w:color w:val="auto"/>
          <w:szCs w:val="24"/>
        </w:rPr>
        <w:t>M</w:t>
      </w:r>
      <w:r w:rsidR="00E96DEF">
        <w:rPr>
          <w:color w:val="auto"/>
          <w:szCs w:val="24"/>
        </w:rPr>
        <w:t>ajor</w:t>
      </w:r>
      <w:r w:rsidR="00705C40" w:rsidRPr="00444DF4">
        <w:rPr>
          <w:color w:val="auto"/>
          <w:szCs w:val="24"/>
        </w:rPr>
        <w:t xml:space="preserve"> (</w:t>
      </w:r>
      <w:r w:rsidR="00133F66" w:rsidRPr="00444DF4">
        <w:rPr>
          <w:color w:val="auto"/>
          <w:szCs w:val="24"/>
        </w:rPr>
        <w:t>B031P3</w:t>
      </w:r>
      <w:r w:rsidR="00E96DEF">
        <w:rPr>
          <w:color w:val="auto"/>
          <w:szCs w:val="24"/>
        </w:rPr>
        <w:t xml:space="preserve">, </w:t>
      </w:r>
      <w:r w:rsidR="00133F66" w:rsidRPr="00444DF4">
        <w:rPr>
          <w:color w:val="auto"/>
          <w:szCs w:val="24"/>
        </w:rPr>
        <w:t>Security Forces</w:t>
      </w:r>
      <w:r w:rsidR="00E322F7" w:rsidRPr="00444DF4">
        <w:rPr>
          <w:color w:val="auto"/>
          <w:szCs w:val="24"/>
        </w:rPr>
        <w:t>)</w:t>
      </w:r>
      <w:r w:rsidR="00C75F3D" w:rsidRPr="00444DF4">
        <w:rPr>
          <w:color w:val="auto"/>
          <w:szCs w:val="24"/>
        </w:rPr>
        <w:t xml:space="preserve"> </w:t>
      </w:r>
      <w:r w:rsidR="002C6E5B" w:rsidRPr="00444DF4">
        <w:rPr>
          <w:color w:val="auto"/>
          <w:szCs w:val="24"/>
        </w:rPr>
        <w:t xml:space="preserve">medically separated for </w:t>
      </w:r>
      <w:r w:rsidR="00B64225">
        <w:rPr>
          <w:color w:val="auto"/>
          <w:szCs w:val="24"/>
        </w:rPr>
        <w:t>a</w:t>
      </w:r>
      <w:r w:rsidR="00F44001">
        <w:rPr>
          <w:color w:val="auto"/>
          <w:szCs w:val="24"/>
        </w:rPr>
        <w:t>nxiety disorder</w:t>
      </w:r>
      <w:r w:rsidR="00B64225">
        <w:rPr>
          <w:color w:val="auto"/>
          <w:szCs w:val="24"/>
        </w:rPr>
        <w:t xml:space="preserve"> after</w:t>
      </w:r>
      <w:r w:rsidR="00EB146B">
        <w:rPr>
          <w:color w:val="auto"/>
          <w:szCs w:val="24"/>
        </w:rPr>
        <w:t xml:space="preserve"> he experienced the</w:t>
      </w:r>
      <w:r w:rsidR="00C578C6">
        <w:rPr>
          <w:color w:val="auto"/>
          <w:szCs w:val="24"/>
        </w:rPr>
        <w:t xml:space="preserve"> volcano </w:t>
      </w:r>
      <w:r w:rsidR="004962EF">
        <w:rPr>
          <w:color w:val="auto"/>
          <w:szCs w:val="24"/>
        </w:rPr>
        <w:t xml:space="preserve">eruption </w:t>
      </w:r>
      <w:r w:rsidR="00C578C6">
        <w:rPr>
          <w:color w:val="auto"/>
          <w:szCs w:val="24"/>
        </w:rPr>
        <w:t xml:space="preserve">at </w:t>
      </w:r>
      <w:r w:rsidR="00DA4881">
        <w:rPr>
          <w:color w:val="auto"/>
          <w:szCs w:val="24"/>
        </w:rPr>
        <w:t>Mount Pinat</w:t>
      </w:r>
      <w:r w:rsidR="00C578C6">
        <w:rPr>
          <w:color w:val="auto"/>
          <w:szCs w:val="24"/>
        </w:rPr>
        <w:t>ubo</w:t>
      </w:r>
      <w:r w:rsidR="00EB146B">
        <w:rPr>
          <w:color w:val="auto"/>
          <w:szCs w:val="24"/>
        </w:rPr>
        <w:t xml:space="preserve"> in 1991</w:t>
      </w:r>
      <w:r w:rsidR="00C578C6">
        <w:rPr>
          <w:color w:val="auto"/>
          <w:szCs w:val="24"/>
        </w:rPr>
        <w:t>,</w:t>
      </w:r>
      <w:r w:rsidR="00B64225">
        <w:rPr>
          <w:color w:val="auto"/>
          <w:szCs w:val="24"/>
        </w:rPr>
        <w:t xml:space="preserve"> </w:t>
      </w:r>
      <w:r w:rsidR="00D7125E">
        <w:rPr>
          <w:color w:val="auto"/>
          <w:szCs w:val="24"/>
        </w:rPr>
        <w:t xml:space="preserve">followed </w:t>
      </w:r>
      <w:r w:rsidR="00053B34">
        <w:rPr>
          <w:color w:val="auto"/>
          <w:szCs w:val="24"/>
        </w:rPr>
        <w:t xml:space="preserve">by </w:t>
      </w:r>
      <w:r w:rsidR="00B64225">
        <w:rPr>
          <w:color w:val="auto"/>
          <w:szCs w:val="24"/>
        </w:rPr>
        <w:t>a typhoon</w:t>
      </w:r>
      <w:r w:rsidR="00053B34">
        <w:rPr>
          <w:color w:val="auto"/>
          <w:szCs w:val="24"/>
        </w:rPr>
        <w:t xml:space="preserve"> and</w:t>
      </w:r>
      <w:r w:rsidR="00936D9A">
        <w:rPr>
          <w:color w:val="auto"/>
          <w:szCs w:val="24"/>
        </w:rPr>
        <w:t xml:space="preserve"> daily earthquakes over the next</w:t>
      </w:r>
      <w:r w:rsidR="00F44001">
        <w:rPr>
          <w:color w:val="auto"/>
          <w:szCs w:val="24"/>
        </w:rPr>
        <w:t xml:space="preserve"> five months.  </w:t>
      </w:r>
      <w:r w:rsidR="00E322F7" w:rsidRPr="00444DF4">
        <w:rPr>
          <w:color w:val="auto"/>
          <w:szCs w:val="24"/>
        </w:rPr>
        <w:t xml:space="preserve">He did not respond adequately </w:t>
      </w:r>
      <w:r w:rsidR="00C75F3D" w:rsidRPr="00444DF4">
        <w:rPr>
          <w:color w:val="auto"/>
          <w:szCs w:val="24"/>
        </w:rPr>
        <w:t xml:space="preserve">to treatment and was unable to </w:t>
      </w:r>
      <w:r w:rsidR="00E322F7" w:rsidRPr="00444DF4">
        <w:rPr>
          <w:color w:val="auto"/>
          <w:szCs w:val="24"/>
        </w:rPr>
        <w:t>perform within his</w:t>
      </w:r>
      <w:r w:rsidR="00133F66" w:rsidRPr="00444DF4">
        <w:rPr>
          <w:color w:val="auto"/>
          <w:szCs w:val="24"/>
        </w:rPr>
        <w:t xml:space="preserve"> </w:t>
      </w:r>
      <w:r w:rsidR="009020ED" w:rsidRPr="00444DF4">
        <w:rPr>
          <w:color w:val="auto"/>
          <w:szCs w:val="24"/>
        </w:rPr>
        <w:t>Air Force Specialty (AFS)</w:t>
      </w:r>
      <w:r w:rsidR="00F765A3">
        <w:rPr>
          <w:color w:val="auto"/>
          <w:szCs w:val="24"/>
        </w:rPr>
        <w:t xml:space="preserve">. </w:t>
      </w:r>
      <w:r w:rsidR="00EA2659">
        <w:rPr>
          <w:color w:val="auto"/>
          <w:szCs w:val="24"/>
        </w:rPr>
        <w:t xml:space="preserve"> </w:t>
      </w:r>
      <w:r w:rsidR="00555C66" w:rsidRPr="00444DF4">
        <w:rPr>
          <w:color w:val="auto"/>
          <w:szCs w:val="24"/>
        </w:rPr>
        <w:t>He was issued</w:t>
      </w:r>
      <w:r w:rsidR="00E322F7" w:rsidRPr="00444DF4">
        <w:rPr>
          <w:color w:val="auto"/>
          <w:szCs w:val="24"/>
        </w:rPr>
        <w:t xml:space="preserve"> a permanent </w:t>
      </w:r>
      <w:r w:rsidR="0044411E" w:rsidRPr="00444DF4">
        <w:rPr>
          <w:color w:val="auto"/>
          <w:szCs w:val="24"/>
        </w:rPr>
        <w:t xml:space="preserve">S4 </w:t>
      </w:r>
      <w:r w:rsidR="00E322F7" w:rsidRPr="00444DF4">
        <w:rPr>
          <w:color w:val="auto"/>
          <w:szCs w:val="24"/>
        </w:rPr>
        <w:t xml:space="preserve">profile </w:t>
      </w:r>
      <w:r w:rsidR="00133F66" w:rsidRPr="00444DF4">
        <w:rPr>
          <w:color w:val="auto"/>
          <w:szCs w:val="24"/>
        </w:rPr>
        <w:t>a</w:t>
      </w:r>
      <w:r w:rsidR="00E322F7" w:rsidRPr="00444DF4">
        <w:rPr>
          <w:color w:val="auto"/>
          <w:szCs w:val="24"/>
        </w:rPr>
        <w:t xml:space="preserve">nd underwent a </w:t>
      </w:r>
      <w:r w:rsidR="00705C40" w:rsidRPr="00444DF4">
        <w:rPr>
          <w:color w:val="auto"/>
          <w:szCs w:val="24"/>
        </w:rPr>
        <w:t>Medical Evaluation Board (</w:t>
      </w:r>
      <w:r w:rsidR="00E322F7" w:rsidRPr="00444DF4">
        <w:rPr>
          <w:color w:val="auto"/>
          <w:szCs w:val="24"/>
        </w:rPr>
        <w:t>MEB</w:t>
      </w:r>
      <w:r w:rsidR="00705C40" w:rsidRPr="00444DF4">
        <w:rPr>
          <w:color w:val="auto"/>
          <w:szCs w:val="24"/>
        </w:rPr>
        <w:t>)</w:t>
      </w:r>
      <w:r w:rsidR="00E322F7" w:rsidRPr="00444DF4">
        <w:rPr>
          <w:color w:val="auto"/>
          <w:szCs w:val="24"/>
        </w:rPr>
        <w:t>.</w:t>
      </w:r>
      <w:r w:rsidR="009256F0">
        <w:rPr>
          <w:i/>
          <w:color w:val="auto"/>
          <w:szCs w:val="24"/>
        </w:rPr>
        <w:t xml:space="preserve"> </w:t>
      </w:r>
      <w:r w:rsidR="00E96DEF">
        <w:rPr>
          <w:i/>
          <w:color w:val="auto"/>
          <w:szCs w:val="24"/>
        </w:rPr>
        <w:t xml:space="preserve"> </w:t>
      </w:r>
      <w:r w:rsidR="00133F66" w:rsidRPr="00444DF4">
        <w:rPr>
          <w:color w:val="auto"/>
          <w:szCs w:val="24"/>
        </w:rPr>
        <w:t>Anxiety disorder was</w:t>
      </w:r>
      <w:r w:rsidR="000A33C8" w:rsidRPr="00444DF4">
        <w:rPr>
          <w:color w:val="auto"/>
          <w:szCs w:val="24"/>
        </w:rPr>
        <w:t xml:space="preserve"> forwarded to the Physical Evaluation Board (PEB) as medically unacceptable IAW </w:t>
      </w:r>
      <w:r w:rsidR="00376E08" w:rsidRPr="00444DF4">
        <w:rPr>
          <w:color w:val="auto"/>
          <w:szCs w:val="24"/>
        </w:rPr>
        <w:t>AFI 48-123.</w:t>
      </w:r>
      <w:r w:rsidR="009256F0">
        <w:rPr>
          <w:i/>
          <w:color w:val="auto"/>
          <w:szCs w:val="24"/>
        </w:rPr>
        <w:t xml:space="preserve"> </w:t>
      </w:r>
      <w:r w:rsidR="00EA2659">
        <w:rPr>
          <w:i/>
          <w:color w:val="auto"/>
          <w:szCs w:val="24"/>
        </w:rPr>
        <w:t xml:space="preserve"> </w:t>
      </w:r>
      <w:r w:rsidR="00133F66" w:rsidRPr="00444DF4">
        <w:rPr>
          <w:color w:val="auto"/>
          <w:szCs w:val="24"/>
        </w:rPr>
        <w:t>One</w:t>
      </w:r>
      <w:r w:rsidR="009C5C56" w:rsidRPr="00444DF4">
        <w:rPr>
          <w:color w:val="auto"/>
          <w:szCs w:val="24"/>
        </w:rPr>
        <w:t xml:space="preserve"> </w:t>
      </w:r>
      <w:r w:rsidR="00954E5B" w:rsidRPr="00444DF4">
        <w:rPr>
          <w:color w:val="auto"/>
          <w:szCs w:val="24"/>
        </w:rPr>
        <w:t>other condition, as identified in the rating chart below, w</w:t>
      </w:r>
      <w:r w:rsidR="00133F66" w:rsidRPr="00444DF4">
        <w:rPr>
          <w:color w:val="auto"/>
          <w:szCs w:val="24"/>
        </w:rPr>
        <w:t>as</w:t>
      </w:r>
      <w:r w:rsidR="00954E5B" w:rsidRPr="00444DF4">
        <w:rPr>
          <w:color w:val="auto"/>
          <w:szCs w:val="24"/>
        </w:rPr>
        <w:t xml:space="preserve"> forwarded on the </w:t>
      </w:r>
      <w:r w:rsidR="00B04562" w:rsidRPr="00444DF4">
        <w:rPr>
          <w:color w:val="auto"/>
          <w:szCs w:val="24"/>
        </w:rPr>
        <w:t xml:space="preserve">MEB submission </w:t>
      </w:r>
      <w:r w:rsidR="00954E5B" w:rsidRPr="00444DF4">
        <w:rPr>
          <w:color w:val="auto"/>
          <w:szCs w:val="24"/>
        </w:rPr>
        <w:t>as medically acceptable conditions</w:t>
      </w:r>
      <w:r w:rsidR="00B04562" w:rsidRPr="00444DF4">
        <w:rPr>
          <w:color w:val="auto"/>
          <w:szCs w:val="24"/>
        </w:rPr>
        <w:t>.</w:t>
      </w:r>
      <w:r w:rsidR="00F44001">
        <w:rPr>
          <w:color w:val="auto"/>
          <w:szCs w:val="24"/>
        </w:rPr>
        <w:t xml:space="preserve">  </w:t>
      </w:r>
      <w:r w:rsidR="00B20624" w:rsidRPr="00444DF4">
        <w:rPr>
          <w:color w:val="auto"/>
          <w:szCs w:val="24"/>
        </w:rPr>
        <w:t xml:space="preserve">The </w:t>
      </w:r>
      <w:r w:rsidR="00C665FE" w:rsidRPr="00444DF4">
        <w:rPr>
          <w:color w:val="auto"/>
          <w:szCs w:val="24"/>
        </w:rPr>
        <w:t>I</w:t>
      </w:r>
      <w:r w:rsidR="00FB792E" w:rsidRPr="00444DF4">
        <w:rPr>
          <w:color w:val="auto"/>
          <w:szCs w:val="24"/>
        </w:rPr>
        <w:t xml:space="preserve">nformal </w:t>
      </w:r>
      <w:r w:rsidR="00B20624" w:rsidRPr="00444DF4">
        <w:rPr>
          <w:color w:val="auto"/>
          <w:szCs w:val="24"/>
        </w:rPr>
        <w:t>PEB</w:t>
      </w:r>
      <w:r w:rsidR="007828B4" w:rsidRPr="00444DF4">
        <w:rPr>
          <w:color w:val="auto"/>
          <w:szCs w:val="24"/>
        </w:rPr>
        <w:t xml:space="preserve"> (IPEB)</w:t>
      </w:r>
      <w:r w:rsidR="00B20624" w:rsidRPr="00444DF4">
        <w:rPr>
          <w:color w:val="auto"/>
          <w:szCs w:val="24"/>
        </w:rPr>
        <w:t xml:space="preserve"> adjudicated the </w:t>
      </w:r>
      <w:r w:rsidR="00133F66" w:rsidRPr="00444DF4">
        <w:rPr>
          <w:color w:val="auto"/>
          <w:szCs w:val="24"/>
        </w:rPr>
        <w:t>anxiety disorder</w:t>
      </w:r>
      <w:r w:rsidR="00B20624" w:rsidRPr="00444DF4">
        <w:rPr>
          <w:color w:val="auto"/>
          <w:szCs w:val="24"/>
        </w:rPr>
        <w:t xml:space="preserve"> as unfitting, rated </w:t>
      </w:r>
      <w:r w:rsidR="00133F66" w:rsidRPr="00444DF4">
        <w:rPr>
          <w:color w:val="auto"/>
          <w:szCs w:val="24"/>
        </w:rPr>
        <w:t>10</w:t>
      </w:r>
      <w:r w:rsidR="00B20624" w:rsidRPr="00444DF4">
        <w:rPr>
          <w:color w:val="auto"/>
          <w:szCs w:val="24"/>
        </w:rPr>
        <w:t>%</w:t>
      </w:r>
      <w:r w:rsidR="00B80EDD" w:rsidRPr="00444DF4">
        <w:rPr>
          <w:color w:val="auto"/>
          <w:szCs w:val="24"/>
        </w:rPr>
        <w:t>,</w:t>
      </w:r>
      <w:r w:rsidR="00B20624" w:rsidRPr="00444DF4">
        <w:rPr>
          <w:color w:val="auto"/>
          <w:szCs w:val="24"/>
        </w:rPr>
        <w:t xml:space="preserve"> with application of DoDI 1332.39</w:t>
      </w:r>
      <w:r w:rsidR="00E96DEF">
        <w:rPr>
          <w:color w:val="auto"/>
          <w:szCs w:val="24"/>
        </w:rPr>
        <w:t xml:space="preserve"> </w:t>
      </w:r>
      <w:r w:rsidR="002B0204" w:rsidRPr="00444DF4">
        <w:rPr>
          <w:color w:val="auto"/>
          <w:szCs w:val="24"/>
        </w:rPr>
        <w:t>and Veterans’ Administration Schedule for Rating Disabilities (VASRD)</w:t>
      </w:r>
      <w:r w:rsidR="003F1206" w:rsidRPr="00444DF4">
        <w:rPr>
          <w:color w:val="auto"/>
          <w:szCs w:val="24"/>
        </w:rPr>
        <w:t>,</w:t>
      </w:r>
      <w:r w:rsidR="00B20624" w:rsidRPr="00444DF4">
        <w:rPr>
          <w:color w:val="auto"/>
          <w:szCs w:val="24"/>
        </w:rPr>
        <w:t xml:space="preserve"> respectively.</w:t>
      </w:r>
      <w:r w:rsidR="00F44001">
        <w:rPr>
          <w:i/>
          <w:color w:val="auto"/>
          <w:szCs w:val="24"/>
        </w:rPr>
        <w:t xml:space="preserve">  </w:t>
      </w:r>
      <w:r w:rsidR="00F44001">
        <w:rPr>
          <w:color w:val="auto"/>
          <w:szCs w:val="24"/>
        </w:rPr>
        <w:t xml:space="preserve">The </w:t>
      </w:r>
      <w:r w:rsidR="00AD7F8F" w:rsidRPr="00444DF4">
        <w:rPr>
          <w:color w:val="auto"/>
          <w:szCs w:val="24"/>
        </w:rPr>
        <w:t xml:space="preserve">CI </w:t>
      </w:r>
      <w:r w:rsidR="008B04DB" w:rsidRPr="00444DF4">
        <w:rPr>
          <w:color w:val="auto"/>
          <w:szCs w:val="24"/>
        </w:rPr>
        <w:t xml:space="preserve">was placed on </w:t>
      </w:r>
      <w:r w:rsidR="00705C40" w:rsidRPr="00444DF4">
        <w:rPr>
          <w:color w:val="auto"/>
          <w:szCs w:val="24"/>
        </w:rPr>
        <w:t>Temporary Disability Retired List (</w:t>
      </w:r>
      <w:r w:rsidR="008B04DB" w:rsidRPr="00444DF4">
        <w:rPr>
          <w:color w:val="auto"/>
          <w:szCs w:val="24"/>
        </w:rPr>
        <w:t>TDRL</w:t>
      </w:r>
      <w:r w:rsidR="00705C40" w:rsidRPr="00444DF4">
        <w:rPr>
          <w:color w:val="auto"/>
          <w:szCs w:val="24"/>
        </w:rPr>
        <w:t>)</w:t>
      </w:r>
      <w:r w:rsidR="00E96DEF">
        <w:rPr>
          <w:color w:val="auto"/>
          <w:szCs w:val="24"/>
        </w:rPr>
        <w:t>,</w:t>
      </w:r>
      <w:r w:rsidR="002F2981" w:rsidRPr="00444DF4">
        <w:rPr>
          <w:color w:val="auto"/>
          <w:szCs w:val="24"/>
        </w:rPr>
        <w:t xml:space="preserve"> </w:t>
      </w:r>
      <w:r w:rsidR="008B04DB" w:rsidRPr="00444DF4">
        <w:rPr>
          <w:color w:val="auto"/>
          <w:szCs w:val="24"/>
        </w:rPr>
        <w:t>with ratings a</w:t>
      </w:r>
      <w:r w:rsidR="00F44001">
        <w:rPr>
          <w:color w:val="auto"/>
          <w:szCs w:val="24"/>
        </w:rPr>
        <w:t xml:space="preserve">s reflected in the chart below.  </w:t>
      </w:r>
      <w:r w:rsidR="00437D77" w:rsidRPr="00444DF4">
        <w:rPr>
          <w:color w:val="auto"/>
        </w:rPr>
        <w:t xml:space="preserve">The CI appealed to </w:t>
      </w:r>
      <w:r w:rsidR="00E96DEF">
        <w:rPr>
          <w:color w:val="auto"/>
        </w:rPr>
        <w:t>AF Board of Corrections for Military Records (AFBCMR) a</w:t>
      </w:r>
      <w:r w:rsidR="00437D77" w:rsidRPr="00444DF4">
        <w:rPr>
          <w:color w:val="auto"/>
        </w:rPr>
        <w:t xml:space="preserve">nd was then medically separated with a </w:t>
      </w:r>
      <w:r w:rsidR="00133F66" w:rsidRPr="00444DF4">
        <w:rPr>
          <w:color w:val="auto"/>
        </w:rPr>
        <w:t>10</w:t>
      </w:r>
      <w:r w:rsidR="00437D77" w:rsidRPr="00444DF4">
        <w:rPr>
          <w:color w:val="auto"/>
        </w:rPr>
        <w:t>% disability rating.</w:t>
      </w:r>
    </w:p>
    <w:p w:rsidR="008E0D8F" w:rsidRPr="00444DF4" w:rsidRDefault="008E0D8F" w:rsidP="00510F9C">
      <w:pPr>
        <w:pBdr>
          <w:bottom w:val="single" w:sz="12" w:space="1" w:color="auto"/>
        </w:pBdr>
        <w:tabs>
          <w:tab w:val="left" w:pos="288"/>
          <w:tab w:val="left" w:pos="4752"/>
        </w:tabs>
        <w:spacing w:line="240" w:lineRule="exact"/>
        <w:jc w:val="both"/>
        <w:rPr>
          <w:color w:val="auto"/>
        </w:rPr>
      </w:pPr>
    </w:p>
    <w:p w:rsidR="00DE598A" w:rsidRPr="00444DF4" w:rsidRDefault="00DE598A" w:rsidP="00510F9C">
      <w:pPr>
        <w:tabs>
          <w:tab w:val="left" w:pos="288"/>
          <w:tab w:val="left" w:pos="4752"/>
        </w:tabs>
        <w:spacing w:line="240" w:lineRule="exact"/>
        <w:jc w:val="both"/>
        <w:rPr>
          <w:color w:val="auto"/>
          <w:u w:val="single"/>
        </w:rPr>
      </w:pPr>
    </w:p>
    <w:p w:rsidR="00085D7B" w:rsidRPr="00444DF4" w:rsidRDefault="002C6E5B" w:rsidP="00510F9C">
      <w:pPr>
        <w:tabs>
          <w:tab w:val="left" w:pos="288"/>
          <w:tab w:val="left" w:pos="4752"/>
        </w:tabs>
        <w:spacing w:line="240" w:lineRule="exact"/>
        <w:jc w:val="both"/>
        <w:rPr>
          <w:color w:val="auto"/>
        </w:rPr>
      </w:pPr>
      <w:r w:rsidRPr="00444DF4">
        <w:rPr>
          <w:color w:val="auto"/>
          <w:u w:val="single"/>
        </w:rPr>
        <w:t>CI CONTENTION</w:t>
      </w:r>
      <w:r w:rsidRPr="00444DF4">
        <w:rPr>
          <w:color w:val="auto"/>
        </w:rPr>
        <w:t>:</w:t>
      </w:r>
      <w:r w:rsidR="00133F66" w:rsidRPr="00444DF4">
        <w:rPr>
          <w:color w:val="auto"/>
        </w:rPr>
        <w:t xml:space="preserve"> </w:t>
      </w:r>
      <w:r w:rsidR="00E96DEF">
        <w:rPr>
          <w:color w:val="auto"/>
        </w:rPr>
        <w:t xml:space="preserve"> </w:t>
      </w:r>
      <w:r w:rsidR="00133F66" w:rsidRPr="00444DF4">
        <w:rPr>
          <w:color w:val="auto"/>
        </w:rPr>
        <w:t xml:space="preserve">“VA rating was 70% and 100% </w:t>
      </w:r>
      <w:r w:rsidR="006E358B">
        <w:rPr>
          <w:color w:val="auto"/>
        </w:rPr>
        <w:t>I</w:t>
      </w:r>
      <w:r w:rsidR="00133F66" w:rsidRPr="00444DF4">
        <w:rPr>
          <w:color w:val="auto"/>
        </w:rPr>
        <w:t xml:space="preserve">E </w:t>
      </w:r>
      <w:r w:rsidR="006E358B">
        <w:rPr>
          <w:color w:val="auto"/>
        </w:rPr>
        <w:t xml:space="preserve">[individual </w:t>
      </w:r>
      <w:proofErr w:type="spellStart"/>
      <w:r w:rsidR="006E358B">
        <w:rPr>
          <w:color w:val="auto"/>
        </w:rPr>
        <w:t>unemployability</w:t>
      </w:r>
      <w:proofErr w:type="spellEnd"/>
      <w:r w:rsidR="006E358B">
        <w:rPr>
          <w:color w:val="auto"/>
        </w:rPr>
        <w:t xml:space="preserve">) </w:t>
      </w:r>
      <w:r w:rsidR="00133F66" w:rsidRPr="00444DF4">
        <w:rPr>
          <w:color w:val="auto"/>
        </w:rPr>
        <w:t>due to service connected disability on 16 August 2000.  This was prior to my final IPEB rating of 10% conducted by the USAF on 13 August 2001.  I was severenced and discharged on 25 Sept 2001.  I feel I should have been retired at 50% and afforded the benefits and pay of my rank.</w:t>
      </w:r>
    </w:p>
    <w:p w:rsidR="000E3A85" w:rsidRPr="00444DF4" w:rsidRDefault="000E3A85" w:rsidP="000E3A85">
      <w:pPr>
        <w:pBdr>
          <w:bottom w:val="single" w:sz="12" w:space="1" w:color="auto"/>
        </w:pBdr>
        <w:tabs>
          <w:tab w:val="left" w:pos="288"/>
          <w:tab w:val="left" w:pos="4752"/>
        </w:tabs>
        <w:spacing w:line="240" w:lineRule="exact"/>
        <w:jc w:val="both"/>
        <w:rPr>
          <w:color w:val="auto"/>
        </w:rPr>
      </w:pPr>
    </w:p>
    <w:p w:rsidR="009818AF" w:rsidRPr="00444DF4" w:rsidRDefault="009818AF" w:rsidP="00510F9C">
      <w:pPr>
        <w:spacing w:line="240" w:lineRule="exact"/>
        <w:rPr>
          <w:color w:val="auto"/>
        </w:rPr>
      </w:pPr>
    </w:p>
    <w:p w:rsidR="000E3A85" w:rsidRPr="000E3A85" w:rsidRDefault="000E3A85" w:rsidP="000E3A85">
      <w:pPr>
        <w:tabs>
          <w:tab w:val="left" w:pos="288"/>
          <w:tab w:val="left" w:pos="4752"/>
        </w:tabs>
        <w:spacing w:line="240" w:lineRule="exact"/>
        <w:jc w:val="both"/>
        <w:rPr>
          <w:color w:val="auto"/>
          <w:szCs w:val="24"/>
        </w:rPr>
      </w:pPr>
      <w:r w:rsidRPr="000E3A85">
        <w:rPr>
          <w:color w:val="auto"/>
          <w:szCs w:val="24"/>
          <w:u w:val="single"/>
        </w:rPr>
        <w:t>RATING COMPARISON</w:t>
      </w:r>
      <w:r w:rsidRPr="000E3A85">
        <w:rPr>
          <w:color w:val="auto"/>
          <w:szCs w:val="24"/>
        </w:rPr>
        <w:t>:</w:t>
      </w:r>
    </w:p>
    <w:p w:rsidR="00C72DD6" w:rsidRPr="00444DF4" w:rsidRDefault="00C72DD6" w:rsidP="00510F9C">
      <w:pPr>
        <w:tabs>
          <w:tab w:val="left" w:pos="288"/>
          <w:tab w:val="left" w:pos="4752"/>
        </w:tabs>
        <w:spacing w:line="240" w:lineRule="exact"/>
        <w:jc w:val="both"/>
        <w:rPr>
          <w:b/>
          <w:color w:val="auto"/>
          <w:szCs w:val="24"/>
          <w:u w:val="single"/>
        </w:rPr>
      </w:pPr>
    </w:p>
    <w:tbl>
      <w:tblPr>
        <w:tblW w:w="9428" w:type="dxa"/>
        <w:jc w:val="center"/>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803"/>
        <w:gridCol w:w="639"/>
        <w:gridCol w:w="803"/>
        <w:gridCol w:w="2713"/>
        <w:gridCol w:w="770"/>
        <w:gridCol w:w="748"/>
        <w:gridCol w:w="946"/>
      </w:tblGrid>
      <w:tr w:rsidR="00BF70A6" w:rsidRPr="00444DF4" w:rsidTr="00E96DEF">
        <w:trPr>
          <w:trHeight w:val="233"/>
          <w:jc w:val="center"/>
        </w:trPr>
        <w:tc>
          <w:tcPr>
            <w:tcW w:w="4251" w:type="dxa"/>
            <w:gridSpan w:val="4"/>
            <w:tcBorders>
              <w:right w:val="thinThickThinSmallGap" w:sz="24" w:space="0" w:color="auto"/>
            </w:tcBorders>
            <w:shd w:val="clear" w:color="auto" w:fill="D9D9D9"/>
            <w:vAlign w:val="center"/>
          </w:tcPr>
          <w:p w:rsidR="00BF70A6" w:rsidRPr="0086710B" w:rsidRDefault="00BF70A6" w:rsidP="0086710B">
            <w:pPr>
              <w:spacing w:line="200" w:lineRule="exact"/>
              <w:contextualSpacing/>
              <w:jc w:val="center"/>
              <w:rPr>
                <w:rFonts w:eastAsia="Calibri"/>
                <w:b/>
                <w:color w:val="auto"/>
                <w:sz w:val="20"/>
              </w:rPr>
            </w:pPr>
            <w:r w:rsidRPr="0086710B">
              <w:rPr>
                <w:rFonts w:eastAsia="Calibri"/>
                <w:b/>
                <w:color w:val="auto"/>
                <w:sz w:val="20"/>
              </w:rPr>
              <w:t xml:space="preserve">Final Service </w:t>
            </w:r>
            <w:r w:rsidR="00133F66" w:rsidRPr="0086710B">
              <w:rPr>
                <w:rFonts w:eastAsia="Calibri"/>
                <w:b/>
                <w:color w:val="auto"/>
                <w:sz w:val="20"/>
              </w:rPr>
              <w:t>I</w:t>
            </w:r>
            <w:r w:rsidRPr="0086710B">
              <w:rPr>
                <w:rFonts w:eastAsia="Calibri"/>
                <w:b/>
                <w:color w:val="auto"/>
                <w:sz w:val="20"/>
              </w:rPr>
              <w:t>PEB – Dated 200</w:t>
            </w:r>
            <w:r w:rsidR="008960F8" w:rsidRPr="0086710B">
              <w:rPr>
                <w:rFonts w:eastAsia="Calibri"/>
                <w:b/>
                <w:color w:val="auto"/>
                <w:sz w:val="20"/>
              </w:rPr>
              <w:t>10813</w:t>
            </w:r>
          </w:p>
        </w:tc>
        <w:tc>
          <w:tcPr>
            <w:tcW w:w="5177" w:type="dxa"/>
            <w:gridSpan w:val="4"/>
            <w:tcBorders>
              <w:left w:val="thinThickThinSmallGap" w:sz="24" w:space="0" w:color="auto"/>
            </w:tcBorders>
            <w:shd w:val="clear" w:color="auto" w:fill="D9D9D9"/>
            <w:vAlign w:val="center"/>
          </w:tcPr>
          <w:p w:rsidR="00BF70A6" w:rsidRPr="0086710B" w:rsidRDefault="00BF70A6" w:rsidP="0086710B">
            <w:pPr>
              <w:spacing w:line="200" w:lineRule="exact"/>
              <w:contextualSpacing/>
              <w:jc w:val="center"/>
              <w:rPr>
                <w:rFonts w:eastAsia="Calibri"/>
                <w:b/>
                <w:color w:val="auto"/>
                <w:sz w:val="20"/>
              </w:rPr>
            </w:pPr>
            <w:r w:rsidRPr="0086710B">
              <w:rPr>
                <w:rFonts w:eastAsia="Calibri"/>
                <w:b/>
                <w:color w:val="auto"/>
                <w:sz w:val="20"/>
              </w:rPr>
              <w:t>VA – All Effective Date 200</w:t>
            </w:r>
            <w:r w:rsidR="008960F8" w:rsidRPr="0086710B">
              <w:rPr>
                <w:rFonts w:eastAsia="Calibri"/>
                <w:b/>
                <w:color w:val="auto"/>
                <w:sz w:val="20"/>
              </w:rPr>
              <w:t>00115</w:t>
            </w:r>
          </w:p>
        </w:tc>
      </w:tr>
      <w:tr w:rsidR="00E96DEF" w:rsidRPr="00444DF4" w:rsidTr="00E96DEF">
        <w:trPr>
          <w:trHeight w:val="233"/>
          <w:jc w:val="center"/>
        </w:trPr>
        <w:tc>
          <w:tcPr>
            <w:tcW w:w="2006" w:type="dxa"/>
            <w:tcBorders>
              <w:bottom w:val="single" w:sz="4" w:space="0" w:color="000000"/>
            </w:tcBorders>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Condition</w:t>
            </w:r>
          </w:p>
        </w:tc>
        <w:tc>
          <w:tcPr>
            <w:tcW w:w="803" w:type="dxa"/>
            <w:tcBorders>
              <w:bottom w:val="single" w:sz="4" w:space="0" w:color="000000"/>
            </w:tcBorders>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Code</w:t>
            </w:r>
          </w:p>
        </w:tc>
        <w:tc>
          <w:tcPr>
            <w:tcW w:w="1442" w:type="dxa"/>
            <w:gridSpan w:val="2"/>
            <w:tcBorders>
              <w:bottom w:val="single" w:sz="4" w:space="0" w:color="000000"/>
              <w:right w:val="thinThickThinSmallGap" w:sz="24" w:space="0" w:color="auto"/>
            </w:tcBorders>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Rating</w:t>
            </w:r>
          </w:p>
        </w:tc>
        <w:tc>
          <w:tcPr>
            <w:tcW w:w="2713" w:type="dxa"/>
            <w:vMerge w:val="restart"/>
            <w:tcBorders>
              <w:left w:val="thinThickThinSmallGap" w:sz="24" w:space="0" w:color="auto"/>
            </w:tcBorders>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Condition</w:t>
            </w:r>
          </w:p>
        </w:tc>
        <w:tc>
          <w:tcPr>
            <w:tcW w:w="770" w:type="dxa"/>
            <w:vMerge w:val="restart"/>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Code</w:t>
            </w:r>
          </w:p>
        </w:tc>
        <w:tc>
          <w:tcPr>
            <w:tcW w:w="748" w:type="dxa"/>
            <w:vMerge w:val="restart"/>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Rating</w:t>
            </w:r>
          </w:p>
        </w:tc>
        <w:tc>
          <w:tcPr>
            <w:tcW w:w="946" w:type="dxa"/>
            <w:vMerge w:val="restart"/>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Exam</w:t>
            </w:r>
          </w:p>
        </w:tc>
      </w:tr>
      <w:tr w:rsidR="00E96DEF" w:rsidRPr="00444DF4" w:rsidTr="00E96DEF">
        <w:trPr>
          <w:trHeight w:val="404"/>
          <w:jc w:val="center"/>
        </w:trPr>
        <w:tc>
          <w:tcPr>
            <w:tcW w:w="2006" w:type="dxa"/>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On TDRL –</w:t>
            </w:r>
            <w:r w:rsidR="008960F8" w:rsidRPr="0086710B">
              <w:rPr>
                <w:rFonts w:eastAsia="Calibri"/>
                <w:b/>
                <w:color w:val="auto"/>
                <w:sz w:val="20"/>
              </w:rPr>
              <w:t xml:space="preserve"> 19991115</w:t>
            </w:r>
          </w:p>
        </w:tc>
        <w:tc>
          <w:tcPr>
            <w:tcW w:w="803" w:type="dxa"/>
            <w:shd w:val="clear" w:color="auto" w:fill="D9D9D9"/>
            <w:vAlign w:val="center"/>
          </w:tcPr>
          <w:p w:rsidR="008902BE" w:rsidRPr="0086710B" w:rsidRDefault="008902BE" w:rsidP="0086710B">
            <w:pPr>
              <w:spacing w:line="200" w:lineRule="exact"/>
              <w:contextualSpacing/>
              <w:jc w:val="center"/>
              <w:rPr>
                <w:rFonts w:eastAsia="Calibri"/>
                <w:color w:val="auto"/>
                <w:sz w:val="20"/>
              </w:rPr>
            </w:pPr>
          </w:p>
        </w:tc>
        <w:tc>
          <w:tcPr>
            <w:tcW w:w="639" w:type="dxa"/>
            <w:tcBorders>
              <w:right w:val="single" w:sz="4" w:space="0" w:color="auto"/>
            </w:tcBorders>
            <w:shd w:val="clear" w:color="auto" w:fill="D9D9D9"/>
            <w:vAlign w:val="center"/>
          </w:tcPr>
          <w:p w:rsidR="008902BE" w:rsidRPr="0086710B" w:rsidRDefault="008902BE" w:rsidP="0086710B">
            <w:pPr>
              <w:spacing w:line="200" w:lineRule="exact"/>
              <w:contextualSpacing/>
              <w:jc w:val="center"/>
              <w:rPr>
                <w:rFonts w:eastAsia="Calibri"/>
                <w:b/>
                <w:color w:val="auto"/>
                <w:sz w:val="20"/>
              </w:rPr>
            </w:pPr>
            <w:r w:rsidRPr="0086710B">
              <w:rPr>
                <w:rFonts w:eastAsia="Calibri"/>
                <w:b/>
                <w:color w:val="auto"/>
                <w:sz w:val="20"/>
              </w:rPr>
              <w:t>TDRL</w:t>
            </w:r>
          </w:p>
        </w:tc>
        <w:tc>
          <w:tcPr>
            <w:tcW w:w="803" w:type="dxa"/>
            <w:tcBorders>
              <w:left w:val="single" w:sz="4" w:space="0" w:color="auto"/>
              <w:right w:val="thinThickThinSmallGap" w:sz="24" w:space="0" w:color="auto"/>
            </w:tcBorders>
            <w:shd w:val="clear" w:color="auto" w:fill="D9D9D9"/>
            <w:vAlign w:val="center"/>
          </w:tcPr>
          <w:p w:rsidR="008902BE" w:rsidRPr="0086710B" w:rsidRDefault="008902BE" w:rsidP="0086710B">
            <w:pPr>
              <w:tabs>
                <w:tab w:val="left" w:pos="206"/>
                <w:tab w:val="center" w:pos="387"/>
              </w:tabs>
              <w:spacing w:line="200" w:lineRule="exact"/>
              <w:contextualSpacing/>
              <w:jc w:val="center"/>
              <w:rPr>
                <w:rFonts w:eastAsia="Calibri"/>
                <w:b/>
                <w:color w:val="auto"/>
                <w:sz w:val="20"/>
              </w:rPr>
            </w:pPr>
            <w:r w:rsidRPr="0086710B">
              <w:rPr>
                <w:rFonts w:eastAsia="Calibri"/>
                <w:b/>
                <w:color w:val="auto"/>
                <w:sz w:val="20"/>
              </w:rPr>
              <w:t>Sep.</w:t>
            </w:r>
          </w:p>
        </w:tc>
        <w:tc>
          <w:tcPr>
            <w:tcW w:w="2713" w:type="dxa"/>
            <w:vMerge/>
            <w:tcBorders>
              <w:left w:val="thinThickThinSmallGap" w:sz="24" w:space="0" w:color="auto"/>
            </w:tcBorders>
            <w:shd w:val="clear" w:color="auto" w:fill="D9D9D9"/>
            <w:vAlign w:val="center"/>
          </w:tcPr>
          <w:p w:rsidR="008902BE" w:rsidRPr="0086710B" w:rsidRDefault="008902BE" w:rsidP="0086710B">
            <w:pPr>
              <w:spacing w:line="200" w:lineRule="exact"/>
              <w:contextualSpacing/>
              <w:rPr>
                <w:rFonts w:eastAsia="Calibri"/>
                <w:b/>
                <w:color w:val="auto"/>
                <w:sz w:val="20"/>
              </w:rPr>
            </w:pPr>
          </w:p>
        </w:tc>
        <w:tc>
          <w:tcPr>
            <w:tcW w:w="770" w:type="dxa"/>
            <w:vMerge/>
            <w:shd w:val="clear" w:color="auto" w:fill="C6D9F1"/>
          </w:tcPr>
          <w:p w:rsidR="008902BE" w:rsidRPr="0086710B" w:rsidRDefault="008902BE" w:rsidP="0086710B">
            <w:pPr>
              <w:spacing w:line="200" w:lineRule="exact"/>
              <w:contextualSpacing/>
              <w:jc w:val="center"/>
              <w:rPr>
                <w:rFonts w:eastAsia="Calibri"/>
                <w:color w:val="auto"/>
                <w:sz w:val="20"/>
              </w:rPr>
            </w:pPr>
          </w:p>
        </w:tc>
        <w:tc>
          <w:tcPr>
            <w:tcW w:w="748" w:type="dxa"/>
            <w:vMerge/>
            <w:shd w:val="clear" w:color="auto" w:fill="C6D9F1"/>
          </w:tcPr>
          <w:p w:rsidR="008902BE" w:rsidRPr="0086710B" w:rsidRDefault="008902BE" w:rsidP="0086710B">
            <w:pPr>
              <w:spacing w:line="200" w:lineRule="exact"/>
              <w:contextualSpacing/>
              <w:jc w:val="center"/>
              <w:rPr>
                <w:rFonts w:eastAsia="Calibri"/>
                <w:color w:val="auto"/>
                <w:sz w:val="20"/>
              </w:rPr>
            </w:pPr>
          </w:p>
        </w:tc>
        <w:tc>
          <w:tcPr>
            <w:tcW w:w="946" w:type="dxa"/>
            <w:vMerge/>
            <w:shd w:val="clear" w:color="auto" w:fill="C6D9F1"/>
          </w:tcPr>
          <w:p w:rsidR="008902BE" w:rsidRPr="0086710B" w:rsidRDefault="008902BE" w:rsidP="0086710B">
            <w:pPr>
              <w:spacing w:line="200" w:lineRule="exact"/>
              <w:contextualSpacing/>
              <w:jc w:val="center"/>
              <w:rPr>
                <w:rFonts w:eastAsia="Calibri"/>
                <w:color w:val="auto"/>
                <w:sz w:val="20"/>
              </w:rPr>
            </w:pPr>
          </w:p>
        </w:tc>
      </w:tr>
      <w:tr w:rsidR="00E96DEF" w:rsidRPr="00444DF4" w:rsidTr="00E96DEF">
        <w:trPr>
          <w:trHeight w:val="125"/>
          <w:jc w:val="center"/>
        </w:trPr>
        <w:tc>
          <w:tcPr>
            <w:tcW w:w="2006" w:type="dxa"/>
            <w:tcBorders>
              <w:right w:val="single" w:sz="4" w:space="0" w:color="auto"/>
            </w:tcBorders>
            <w:shd w:val="clear" w:color="auto" w:fill="FFFFFF"/>
          </w:tcPr>
          <w:p w:rsidR="00C72DD6" w:rsidRPr="0086710B" w:rsidRDefault="00C72DD6" w:rsidP="0086710B">
            <w:pPr>
              <w:spacing w:line="180" w:lineRule="exact"/>
              <w:contextualSpacing/>
              <w:rPr>
                <w:rFonts w:eastAsia="Calibri"/>
                <w:color w:val="auto"/>
                <w:sz w:val="18"/>
                <w:szCs w:val="18"/>
              </w:rPr>
            </w:pPr>
            <w:r w:rsidRPr="0086710B">
              <w:rPr>
                <w:rFonts w:eastAsia="Calibri"/>
                <w:color w:val="auto"/>
                <w:sz w:val="18"/>
                <w:szCs w:val="18"/>
              </w:rPr>
              <w:t>Anxiety Disorder</w:t>
            </w:r>
          </w:p>
        </w:tc>
        <w:tc>
          <w:tcPr>
            <w:tcW w:w="803" w:type="dxa"/>
            <w:tcBorders>
              <w:left w:val="single" w:sz="4" w:space="0" w:color="auto"/>
            </w:tcBorders>
            <w:shd w:val="clear" w:color="auto" w:fill="FFFFFF"/>
            <w:vAlign w:val="center"/>
          </w:tcPr>
          <w:p w:rsidR="00C72DD6" w:rsidRPr="0086710B" w:rsidRDefault="00C72DD6" w:rsidP="0086710B">
            <w:pPr>
              <w:spacing w:line="180" w:lineRule="exact"/>
              <w:contextualSpacing/>
              <w:rPr>
                <w:rFonts w:eastAsia="Calibri"/>
                <w:color w:val="auto"/>
                <w:sz w:val="18"/>
                <w:szCs w:val="18"/>
              </w:rPr>
            </w:pPr>
            <w:r w:rsidRPr="0086710B">
              <w:rPr>
                <w:rFonts w:eastAsia="Calibri"/>
                <w:color w:val="auto"/>
                <w:sz w:val="18"/>
                <w:szCs w:val="18"/>
              </w:rPr>
              <w:t>9400</w:t>
            </w:r>
          </w:p>
        </w:tc>
        <w:tc>
          <w:tcPr>
            <w:tcW w:w="639" w:type="dxa"/>
            <w:tcBorders>
              <w:right w:val="single" w:sz="4" w:space="0" w:color="auto"/>
            </w:tcBorders>
            <w:shd w:val="clear" w:color="auto" w:fill="FFFFFF"/>
            <w:vAlign w:val="center"/>
          </w:tcPr>
          <w:p w:rsidR="00C72DD6" w:rsidRPr="0086710B" w:rsidRDefault="00C72DD6" w:rsidP="008960F8">
            <w:pPr>
              <w:rPr>
                <w:rFonts w:eastAsia="Calibri"/>
                <w:color w:val="auto"/>
                <w:sz w:val="22"/>
                <w:szCs w:val="22"/>
              </w:rPr>
            </w:pPr>
            <w:r w:rsidRPr="0086710B">
              <w:rPr>
                <w:rFonts w:eastAsia="Calibri"/>
                <w:color w:val="auto"/>
                <w:sz w:val="18"/>
                <w:szCs w:val="18"/>
              </w:rPr>
              <w:t>30%</w:t>
            </w:r>
          </w:p>
        </w:tc>
        <w:tc>
          <w:tcPr>
            <w:tcW w:w="803" w:type="dxa"/>
            <w:tcBorders>
              <w:left w:val="single" w:sz="4" w:space="0" w:color="auto"/>
              <w:right w:val="thinThickThinSmallGap" w:sz="24" w:space="0" w:color="auto"/>
            </w:tcBorders>
            <w:shd w:val="clear" w:color="auto" w:fill="FFFFFF"/>
            <w:vAlign w:val="center"/>
          </w:tcPr>
          <w:p w:rsidR="00C72DD6" w:rsidRPr="0086710B" w:rsidRDefault="00C72DD6" w:rsidP="008960F8">
            <w:pPr>
              <w:rPr>
                <w:rFonts w:eastAsia="Calibri"/>
                <w:color w:val="auto"/>
                <w:sz w:val="22"/>
                <w:szCs w:val="22"/>
              </w:rPr>
            </w:pPr>
            <w:r w:rsidRPr="0086710B">
              <w:rPr>
                <w:rFonts w:eastAsia="Calibri"/>
                <w:color w:val="auto"/>
                <w:sz w:val="18"/>
                <w:szCs w:val="18"/>
              </w:rPr>
              <w:t>10%</w:t>
            </w:r>
          </w:p>
        </w:tc>
        <w:tc>
          <w:tcPr>
            <w:tcW w:w="2713" w:type="dxa"/>
            <w:vMerge w:val="restart"/>
            <w:tcBorders>
              <w:left w:val="thinThickThinSmallGap" w:sz="24" w:space="0" w:color="auto"/>
            </w:tcBorders>
            <w:shd w:val="clear" w:color="auto" w:fill="FFFFFF"/>
          </w:tcPr>
          <w:p w:rsidR="00C72DD6" w:rsidRPr="0086710B" w:rsidRDefault="00E3400A" w:rsidP="00E96DEF">
            <w:pPr>
              <w:spacing w:line="180" w:lineRule="exact"/>
              <w:contextualSpacing/>
              <w:jc w:val="both"/>
              <w:rPr>
                <w:rFonts w:eastAsia="Calibri"/>
                <w:color w:val="auto"/>
                <w:sz w:val="18"/>
                <w:szCs w:val="18"/>
              </w:rPr>
            </w:pPr>
            <w:r>
              <w:rPr>
                <w:rFonts w:eastAsia="Calibri"/>
                <w:color w:val="auto"/>
                <w:sz w:val="18"/>
                <w:szCs w:val="18"/>
              </w:rPr>
              <w:t xml:space="preserve">PTSD </w:t>
            </w:r>
            <w:r w:rsidR="00E96DEF">
              <w:rPr>
                <w:rFonts w:eastAsia="Calibri"/>
                <w:color w:val="auto"/>
                <w:sz w:val="18"/>
                <w:szCs w:val="18"/>
              </w:rPr>
              <w:t>Delayed Onset,</w:t>
            </w:r>
            <w:r w:rsidR="00E96DEF" w:rsidRPr="0086710B">
              <w:rPr>
                <w:rFonts w:eastAsia="Calibri"/>
                <w:color w:val="auto"/>
                <w:sz w:val="18"/>
                <w:szCs w:val="18"/>
              </w:rPr>
              <w:t xml:space="preserve"> </w:t>
            </w:r>
            <w:r>
              <w:rPr>
                <w:rFonts w:eastAsia="Calibri"/>
                <w:color w:val="auto"/>
                <w:sz w:val="18"/>
                <w:szCs w:val="18"/>
              </w:rPr>
              <w:t xml:space="preserve">MDD </w:t>
            </w:r>
            <w:r w:rsidR="00E96DEF">
              <w:rPr>
                <w:rFonts w:eastAsia="Calibri"/>
                <w:color w:val="auto"/>
                <w:sz w:val="18"/>
                <w:szCs w:val="18"/>
              </w:rPr>
              <w:t>Moderate, Recurrent,</w:t>
            </w:r>
            <w:r w:rsidR="00E96DEF" w:rsidRPr="0086710B">
              <w:rPr>
                <w:rFonts w:eastAsia="Calibri"/>
                <w:color w:val="auto"/>
                <w:sz w:val="18"/>
                <w:szCs w:val="18"/>
              </w:rPr>
              <w:t xml:space="preserve"> </w:t>
            </w:r>
            <w:r w:rsidR="00E96DEF">
              <w:rPr>
                <w:rFonts w:eastAsia="Calibri"/>
                <w:color w:val="auto"/>
                <w:sz w:val="18"/>
                <w:szCs w:val="18"/>
              </w:rPr>
              <w:t>Panic Disorder with Agoraphobia</w:t>
            </w:r>
            <w:r w:rsidR="00E96DEF" w:rsidRPr="0086710B">
              <w:rPr>
                <w:rFonts w:eastAsia="Calibri"/>
                <w:color w:val="auto"/>
                <w:sz w:val="18"/>
                <w:szCs w:val="18"/>
              </w:rPr>
              <w:t xml:space="preserve"> (Claimed </w:t>
            </w:r>
            <w:r w:rsidR="00E96DEF">
              <w:rPr>
                <w:rFonts w:eastAsia="Calibri"/>
                <w:color w:val="auto"/>
                <w:sz w:val="18"/>
                <w:szCs w:val="18"/>
              </w:rPr>
              <w:t>a</w:t>
            </w:r>
            <w:r w:rsidR="00E96DEF" w:rsidRPr="0086710B">
              <w:rPr>
                <w:rFonts w:eastAsia="Calibri"/>
                <w:color w:val="auto"/>
                <w:sz w:val="18"/>
                <w:szCs w:val="18"/>
              </w:rPr>
              <w:t xml:space="preserve">s </w:t>
            </w:r>
            <w:r w:rsidR="00C72DD6" w:rsidRPr="0086710B">
              <w:rPr>
                <w:rFonts w:eastAsia="Calibri"/>
                <w:color w:val="auto"/>
                <w:sz w:val="18"/>
                <w:szCs w:val="18"/>
              </w:rPr>
              <w:t>PTSD</w:t>
            </w:r>
            <w:r w:rsidR="00E96DEF" w:rsidRPr="0086710B">
              <w:rPr>
                <w:rFonts w:eastAsia="Calibri"/>
                <w:color w:val="auto"/>
                <w:sz w:val="18"/>
                <w:szCs w:val="18"/>
              </w:rPr>
              <w:t xml:space="preserve">, </w:t>
            </w:r>
            <w:r w:rsidR="00C72DD6" w:rsidRPr="0086710B">
              <w:rPr>
                <w:rFonts w:eastAsia="Calibri"/>
                <w:color w:val="auto"/>
                <w:sz w:val="18"/>
                <w:szCs w:val="18"/>
              </w:rPr>
              <w:t>Depression</w:t>
            </w:r>
            <w:r w:rsidR="00E96DEF" w:rsidRPr="0086710B">
              <w:rPr>
                <w:rFonts w:eastAsia="Calibri"/>
                <w:color w:val="auto"/>
                <w:sz w:val="18"/>
                <w:szCs w:val="18"/>
              </w:rPr>
              <w:t xml:space="preserve">, </w:t>
            </w:r>
            <w:r w:rsidR="00C72DD6" w:rsidRPr="0086710B">
              <w:rPr>
                <w:rFonts w:eastAsia="Calibri"/>
                <w:color w:val="auto"/>
                <w:sz w:val="18"/>
                <w:szCs w:val="18"/>
              </w:rPr>
              <w:t>Anxiety</w:t>
            </w:r>
            <w:r w:rsidR="00E96DEF" w:rsidRPr="0086710B">
              <w:rPr>
                <w:rFonts w:eastAsia="Calibri"/>
                <w:color w:val="auto"/>
                <w:sz w:val="18"/>
                <w:szCs w:val="18"/>
              </w:rPr>
              <w:t>)</w:t>
            </w:r>
          </w:p>
        </w:tc>
        <w:tc>
          <w:tcPr>
            <w:tcW w:w="770" w:type="dxa"/>
            <w:vMerge w:val="restart"/>
            <w:shd w:val="clear" w:color="auto" w:fill="FFFFFF"/>
            <w:vAlign w:val="center"/>
          </w:tcPr>
          <w:p w:rsidR="00C72DD6" w:rsidRPr="0086710B" w:rsidRDefault="00C72DD6" w:rsidP="0086710B">
            <w:pPr>
              <w:spacing w:line="180" w:lineRule="exact"/>
              <w:contextualSpacing/>
              <w:jc w:val="center"/>
              <w:rPr>
                <w:rFonts w:eastAsia="Calibri"/>
                <w:color w:val="auto"/>
                <w:sz w:val="18"/>
                <w:szCs w:val="18"/>
              </w:rPr>
            </w:pPr>
            <w:r w:rsidRPr="0086710B">
              <w:rPr>
                <w:rFonts w:eastAsia="Calibri"/>
                <w:color w:val="auto"/>
                <w:sz w:val="18"/>
                <w:szCs w:val="18"/>
              </w:rPr>
              <w:t>9411</w:t>
            </w:r>
          </w:p>
        </w:tc>
        <w:tc>
          <w:tcPr>
            <w:tcW w:w="748" w:type="dxa"/>
            <w:vMerge w:val="restart"/>
            <w:shd w:val="clear" w:color="auto" w:fill="FFFFFF"/>
            <w:vAlign w:val="center"/>
          </w:tcPr>
          <w:p w:rsidR="00C72DD6" w:rsidRPr="0086710B" w:rsidRDefault="00C72DD6" w:rsidP="0086710B">
            <w:pPr>
              <w:spacing w:line="180" w:lineRule="exact"/>
              <w:contextualSpacing/>
              <w:jc w:val="center"/>
              <w:rPr>
                <w:rFonts w:eastAsia="Calibri"/>
                <w:color w:val="auto"/>
                <w:sz w:val="18"/>
                <w:szCs w:val="18"/>
              </w:rPr>
            </w:pPr>
            <w:r w:rsidRPr="0086710B">
              <w:rPr>
                <w:rFonts w:eastAsia="Calibri"/>
                <w:color w:val="auto"/>
                <w:sz w:val="18"/>
                <w:szCs w:val="18"/>
              </w:rPr>
              <w:t>70%</w:t>
            </w:r>
          </w:p>
        </w:tc>
        <w:tc>
          <w:tcPr>
            <w:tcW w:w="946" w:type="dxa"/>
            <w:vMerge w:val="restart"/>
            <w:shd w:val="clear" w:color="auto" w:fill="FFFFFF"/>
            <w:vAlign w:val="center"/>
          </w:tcPr>
          <w:p w:rsidR="00C72DD6" w:rsidRPr="0086710B" w:rsidRDefault="00E26F33" w:rsidP="0086710B">
            <w:pPr>
              <w:spacing w:line="180" w:lineRule="exact"/>
              <w:contextualSpacing/>
              <w:jc w:val="center"/>
              <w:rPr>
                <w:rFonts w:eastAsia="Calibri"/>
                <w:color w:val="auto"/>
                <w:sz w:val="18"/>
                <w:szCs w:val="18"/>
              </w:rPr>
            </w:pPr>
            <w:r>
              <w:rPr>
                <w:rFonts w:eastAsia="Calibri"/>
                <w:color w:val="auto"/>
                <w:sz w:val="18"/>
                <w:szCs w:val="18"/>
              </w:rPr>
              <w:t>20000307</w:t>
            </w:r>
          </w:p>
        </w:tc>
      </w:tr>
      <w:tr w:rsidR="00E96DEF" w:rsidRPr="00444DF4" w:rsidTr="00E96DEF">
        <w:trPr>
          <w:trHeight w:val="125"/>
          <w:jc w:val="center"/>
        </w:trPr>
        <w:tc>
          <w:tcPr>
            <w:tcW w:w="3448" w:type="dxa"/>
            <w:gridSpan w:val="3"/>
            <w:tcBorders>
              <w:right w:val="single" w:sz="4" w:space="0" w:color="auto"/>
            </w:tcBorders>
            <w:shd w:val="clear" w:color="auto" w:fill="FFFFFF"/>
          </w:tcPr>
          <w:p w:rsidR="00E3400A" w:rsidRPr="0086710B" w:rsidRDefault="00E3400A" w:rsidP="00E96DEF">
            <w:pPr>
              <w:spacing w:line="180" w:lineRule="exact"/>
              <w:contextualSpacing/>
              <w:rPr>
                <w:rFonts w:eastAsia="Calibri"/>
                <w:color w:val="auto"/>
                <w:sz w:val="18"/>
                <w:szCs w:val="18"/>
              </w:rPr>
            </w:pPr>
            <w:r>
              <w:rPr>
                <w:rFonts w:eastAsia="Calibri"/>
                <w:color w:val="auto"/>
                <w:sz w:val="18"/>
                <w:szCs w:val="18"/>
              </w:rPr>
              <w:t>Depression</w:t>
            </w:r>
            <w:r w:rsidRPr="0086710B">
              <w:rPr>
                <w:rFonts w:eastAsia="Calibri"/>
                <w:color w:val="auto"/>
                <w:sz w:val="18"/>
                <w:szCs w:val="18"/>
              </w:rPr>
              <w:t xml:space="preserve"> </w:t>
            </w:r>
            <w:r w:rsidR="00E96DEF">
              <w:rPr>
                <w:rFonts w:eastAsia="Calibri"/>
                <w:color w:val="auto"/>
                <w:sz w:val="18"/>
                <w:szCs w:val="18"/>
              </w:rPr>
              <w:t>w</w:t>
            </w:r>
            <w:r w:rsidR="00E96DEF" w:rsidRPr="0086710B">
              <w:rPr>
                <w:rFonts w:eastAsia="Calibri"/>
                <w:color w:val="auto"/>
                <w:sz w:val="18"/>
                <w:szCs w:val="18"/>
              </w:rPr>
              <w:t xml:space="preserve">hile </w:t>
            </w:r>
            <w:r w:rsidR="00E96DEF">
              <w:rPr>
                <w:rFonts w:eastAsia="Calibri"/>
                <w:color w:val="auto"/>
                <w:sz w:val="18"/>
                <w:szCs w:val="18"/>
              </w:rPr>
              <w:t>o</w:t>
            </w:r>
            <w:r w:rsidR="00E96DEF" w:rsidRPr="0086710B">
              <w:rPr>
                <w:rFonts w:eastAsia="Calibri"/>
                <w:color w:val="auto"/>
                <w:sz w:val="18"/>
                <w:szCs w:val="18"/>
              </w:rPr>
              <w:t xml:space="preserve">n </w:t>
            </w:r>
            <w:r w:rsidRPr="0086710B">
              <w:rPr>
                <w:rFonts w:eastAsia="Calibri"/>
                <w:color w:val="auto"/>
                <w:sz w:val="18"/>
                <w:szCs w:val="18"/>
              </w:rPr>
              <w:t>TDRL</w:t>
            </w:r>
          </w:p>
        </w:tc>
        <w:tc>
          <w:tcPr>
            <w:tcW w:w="803" w:type="dxa"/>
            <w:tcBorders>
              <w:left w:val="single" w:sz="4" w:space="0" w:color="auto"/>
              <w:bottom w:val="nil"/>
              <w:right w:val="thinThickThinSmallGap" w:sz="24" w:space="0" w:color="auto"/>
            </w:tcBorders>
            <w:shd w:val="clear" w:color="auto" w:fill="FFFFFF"/>
          </w:tcPr>
          <w:p w:rsidR="00E3400A" w:rsidRPr="0086710B" w:rsidRDefault="00E3400A" w:rsidP="008960F8">
            <w:pPr>
              <w:rPr>
                <w:rFonts w:eastAsia="Calibri"/>
                <w:color w:val="auto"/>
                <w:sz w:val="18"/>
                <w:szCs w:val="18"/>
              </w:rPr>
            </w:pPr>
            <w:r w:rsidRPr="0086710B">
              <w:rPr>
                <w:rFonts w:eastAsia="Calibri"/>
                <w:color w:val="auto"/>
                <w:sz w:val="18"/>
                <w:szCs w:val="18"/>
              </w:rPr>
              <w:t>CAT II</w:t>
            </w:r>
          </w:p>
        </w:tc>
        <w:tc>
          <w:tcPr>
            <w:tcW w:w="2713" w:type="dxa"/>
            <w:vMerge/>
            <w:tcBorders>
              <w:left w:val="thinThickThinSmallGap" w:sz="24" w:space="0" w:color="auto"/>
            </w:tcBorders>
            <w:shd w:val="clear" w:color="auto" w:fill="FFFFFF"/>
          </w:tcPr>
          <w:p w:rsidR="00E3400A" w:rsidRPr="0086710B" w:rsidRDefault="00E3400A" w:rsidP="0086710B">
            <w:pPr>
              <w:spacing w:line="180" w:lineRule="exact"/>
              <w:contextualSpacing/>
              <w:jc w:val="both"/>
              <w:rPr>
                <w:rFonts w:eastAsia="Calibri"/>
                <w:color w:val="auto"/>
                <w:sz w:val="18"/>
                <w:szCs w:val="18"/>
              </w:rPr>
            </w:pPr>
          </w:p>
        </w:tc>
        <w:tc>
          <w:tcPr>
            <w:tcW w:w="770" w:type="dxa"/>
            <w:vMerge/>
            <w:shd w:val="clear" w:color="auto" w:fill="FFFFFF"/>
            <w:vAlign w:val="center"/>
          </w:tcPr>
          <w:p w:rsidR="00E3400A" w:rsidRPr="0086710B" w:rsidRDefault="00E3400A" w:rsidP="0086710B">
            <w:pPr>
              <w:spacing w:line="180" w:lineRule="exact"/>
              <w:contextualSpacing/>
              <w:jc w:val="center"/>
              <w:rPr>
                <w:rFonts w:eastAsia="Calibri"/>
                <w:color w:val="auto"/>
                <w:sz w:val="18"/>
                <w:szCs w:val="18"/>
              </w:rPr>
            </w:pPr>
          </w:p>
        </w:tc>
        <w:tc>
          <w:tcPr>
            <w:tcW w:w="748" w:type="dxa"/>
            <w:vMerge/>
            <w:shd w:val="clear" w:color="auto" w:fill="FFFFFF"/>
            <w:vAlign w:val="center"/>
          </w:tcPr>
          <w:p w:rsidR="00E3400A" w:rsidRPr="0086710B" w:rsidRDefault="00E3400A" w:rsidP="0086710B">
            <w:pPr>
              <w:spacing w:line="180" w:lineRule="exact"/>
              <w:contextualSpacing/>
              <w:jc w:val="center"/>
              <w:rPr>
                <w:rFonts w:eastAsia="Calibri"/>
                <w:color w:val="auto"/>
                <w:sz w:val="18"/>
                <w:szCs w:val="18"/>
              </w:rPr>
            </w:pPr>
          </w:p>
        </w:tc>
        <w:tc>
          <w:tcPr>
            <w:tcW w:w="946" w:type="dxa"/>
            <w:vMerge/>
            <w:shd w:val="clear" w:color="auto" w:fill="FFFFFF"/>
            <w:vAlign w:val="center"/>
          </w:tcPr>
          <w:p w:rsidR="00E3400A" w:rsidRPr="0086710B" w:rsidRDefault="00E3400A" w:rsidP="0086710B">
            <w:pPr>
              <w:spacing w:line="180" w:lineRule="exact"/>
              <w:contextualSpacing/>
              <w:jc w:val="center"/>
              <w:rPr>
                <w:rFonts w:eastAsia="Calibri"/>
                <w:color w:val="auto"/>
                <w:sz w:val="18"/>
                <w:szCs w:val="18"/>
              </w:rPr>
            </w:pPr>
          </w:p>
        </w:tc>
      </w:tr>
      <w:tr w:rsidR="00E3400A" w:rsidRPr="00444DF4" w:rsidTr="00E96DEF">
        <w:trPr>
          <w:trHeight w:val="125"/>
          <w:jc w:val="center"/>
        </w:trPr>
        <w:tc>
          <w:tcPr>
            <w:tcW w:w="4251" w:type="dxa"/>
            <w:gridSpan w:val="4"/>
            <w:vMerge w:val="restart"/>
            <w:tcBorders>
              <w:right w:val="thinThickThinSmallGap" w:sz="24" w:space="0" w:color="auto"/>
            </w:tcBorders>
            <w:shd w:val="clear" w:color="auto" w:fill="FFFFFF"/>
            <w:vAlign w:val="center"/>
          </w:tcPr>
          <w:p w:rsidR="00166FDD" w:rsidRPr="0086710B" w:rsidRDefault="00166FDD" w:rsidP="00166FDD">
            <w:pPr>
              <w:spacing w:line="180" w:lineRule="exact"/>
              <w:contextualSpacing/>
              <w:jc w:val="center"/>
              <w:rPr>
                <w:rFonts w:eastAsia="Calibri"/>
                <w:color w:val="auto"/>
                <w:sz w:val="18"/>
                <w:szCs w:val="18"/>
              </w:rPr>
            </w:pPr>
            <w:r w:rsidRPr="0086710B">
              <w:rPr>
                <w:rFonts w:eastAsia="Calibri"/>
                <w:color w:val="auto"/>
                <w:sz w:val="18"/>
                <w:szCs w:val="18"/>
              </w:rPr>
              <w:t>↓No Additional MEB/PEB Entries↓</w:t>
            </w:r>
          </w:p>
        </w:tc>
        <w:tc>
          <w:tcPr>
            <w:tcW w:w="2713" w:type="dxa"/>
            <w:tcBorders>
              <w:left w:val="thinThickThinSmallGap" w:sz="24" w:space="0" w:color="auto"/>
            </w:tcBorders>
            <w:shd w:val="clear" w:color="auto" w:fill="FFFFFF"/>
          </w:tcPr>
          <w:p w:rsidR="00166FDD" w:rsidRPr="0086710B" w:rsidRDefault="00E3400A" w:rsidP="00E96DEF">
            <w:pPr>
              <w:spacing w:line="180" w:lineRule="exact"/>
              <w:contextualSpacing/>
              <w:jc w:val="both"/>
              <w:rPr>
                <w:rFonts w:eastAsia="Calibri"/>
                <w:color w:val="auto"/>
                <w:sz w:val="18"/>
                <w:szCs w:val="18"/>
              </w:rPr>
            </w:pPr>
            <w:r>
              <w:rPr>
                <w:rFonts w:eastAsia="Calibri"/>
                <w:color w:val="auto"/>
                <w:sz w:val="18"/>
                <w:szCs w:val="18"/>
              </w:rPr>
              <w:t xml:space="preserve">Pes </w:t>
            </w:r>
            <w:r w:rsidR="00E96DEF">
              <w:rPr>
                <w:rFonts w:eastAsia="Calibri"/>
                <w:color w:val="auto"/>
                <w:sz w:val="18"/>
                <w:szCs w:val="18"/>
              </w:rPr>
              <w:t>Planus B</w:t>
            </w:r>
            <w:r w:rsidR="00E96DEF" w:rsidRPr="0086710B">
              <w:rPr>
                <w:rFonts w:eastAsia="Calibri"/>
                <w:color w:val="auto"/>
                <w:sz w:val="18"/>
                <w:szCs w:val="18"/>
              </w:rPr>
              <w:t xml:space="preserve">ilateral (Claimed </w:t>
            </w:r>
            <w:r w:rsidR="00E96DEF">
              <w:rPr>
                <w:rFonts w:eastAsia="Calibri"/>
                <w:color w:val="auto"/>
                <w:sz w:val="18"/>
                <w:szCs w:val="18"/>
              </w:rPr>
              <w:t>a</w:t>
            </w:r>
            <w:r w:rsidR="00E96DEF" w:rsidRPr="0086710B">
              <w:rPr>
                <w:rFonts w:eastAsia="Calibri"/>
                <w:color w:val="auto"/>
                <w:sz w:val="18"/>
                <w:szCs w:val="18"/>
              </w:rPr>
              <w:t>s Flat Feet)</w:t>
            </w:r>
          </w:p>
        </w:tc>
        <w:tc>
          <w:tcPr>
            <w:tcW w:w="770" w:type="dxa"/>
            <w:shd w:val="clear" w:color="auto" w:fill="FFFFFF"/>
            <w:vAlign w:val="center"/>
          </w:tcPr>
          <w:p w:rsidR="00166FDD" w:rsidRPr="0086710B" w:rsidRDefault="00166FDD" w:rsidP="0086710B">
            <w:pPr>
              <w:spacing w:line="180" w:lineRule="exact"/>
              <w:contextualSpacing/>
              <w:jc w:val="center"/>
              <w:rPr>
                <w:rFonts w:eastAsia="Calibri"/>
                <w:color w:val="auto"/>
                <w:sz w:val="18"/>
                <w:szCs w:val="18"/>
              </w:rPr>
            </w:pPr>
            <w:r w:rsidRPr="0086710B">
              <w:rPr>
                <w:rFonts w:eastAsia="Calibri"/>
                <w:color w:val="auto"/>
                <w:sz w:val="18"/>
                <w:szCs w:val="18"/>
              </w:rPr>
              <w:t>5276</w:t>
            </w:r>
          </w:p>
        </w:tc>
        <w:tc>
          <w:tcPr>
            <w:tcW w:w="748" w:type="dxa"/>
            <w:shd w:val="clear" w:color="auto" w:fill="FFFFFF"/>
            <w:vAlign w:val="center"/>
          </w:tcPr>
          <w:p w:rsidR="00166FDD" w:rsidRPr="0086710B" w:rsidRDefault="00166FDD" w:rsidP="0086710B">
            <w:pPr>
              <w:spacing w:line="180" w:lineRule="exact"/>
              <w:contextualSpacing/>
              <w:jc w:val="center"/>
              <w:rPr>
                <w:rFonts w:eastAsia="Calibri"/>
                <w:color w:val="auto"/>
                <w:sz w:val="18"/>
                <w:szCs w:val="18"/>
              </w:rPr>
            </w:pPr>
            <w:r w:rsidRPr="0086710B">
              <w:rPr>
                <w:rFonts w:eastAsia="Calibri"/>
                <w:color w:val="auto"/>
                <w:sz w:val="18"/>
                <w:szCs w:val="18"/>
              </w:rPr>
              <w:t>10%</w:t>
            </w:r>
          </w:p>
        </w:tc>
        <w:tc>
          <w:tcPr>
            <w:tcW w:w="946" w:type="dxa"/>
            <w:shd w:val="clear" w:color="auto" w:fill="FFFFFF"/>
            <w:vAlign w:val="center"/>
          </w:tcPr>
          <w:p w:rsidR="00166FDD" w:rsidRPr="0086710B" w:rsidRDefault="00166FDD" w:rsidP="0086710B">
            <w:pPr>
              <w:spacing w:line="180" w:lineRule="exact"/>
              <w:contextualSpacing/>
              <w:jc w:val="center"/>
              <w:rPr>
                <w:rFonts w:eastAsia="Calibri"/>
                <w:color w:val="auto"/>
                <w:sz w:val="18"/>
                <w:szCs w:val="18"/>
              </w:rPr>
            </w:pPr>
            <w:r w:rsidRPr="0086710B">
              <w:rPr>
                <w:rFonts w:eastAsia="Calibri"/>
                <w:color w:val="auto"/>
                <w:sz w:val="18"/>
                <w:szCs w:val="18"/>
              </w:rPr>
              <w:t>20000414</w:t>
            </w:r>
          </w:p>
        </w:tc>
      </w:tr>
      <w:tr w:rsidR="00E3400A" w:rsidRPr="00444DF4" w:rsidTr="00E96DEF">
        <w:trPr>
          <w:trHeight w:val="188"/>
          <w:jc w:val="center"/>
        </w:trPr>
        <w:tc>
          <w:tcPr>
            <w:tcW w:w="4251" w:type="dxa"/>
            <w:gridSpan w:val="4"/>
            <w:vMerge/>
            <w:tcBorders>
              <w:bottom w:val="single" w:sz="4" w:space="0" w:color="000000"/>
              <w:right w:val="thinThickThinSmallGap" w:sz="24" w:space="0" w:color="auto"/>
            </w:tcBorders>
            <w:shd w:val="clear" w:color="auto" w:fill="FFFFFF"/>
          </w:tcPr>
          <w:p w:rsidR="00166FDD" w:rsidRPr="0086710B" w:rsidRDefault="00166FDD" w:rsidP="0086710B">
            <w:pPr>
              <w:spacing w:line="180" w:lineRule="exact"/>
              <w:contextualSpacing/>
              <w:jc w:val="both"/>
              <w:rPr>
                <w:rFonts w:eastAsia="Calibri"/>
                <w:color w:val="auto"/>
                <w:sz w:val="18"/>
                <w:szCs w:val="18"/>
              </w:rPr>
            </w:pPr>
          </w:p>
        </w:tc>
        <w:tc>
          <w:tcPr>
            <w:tcW w:w="4231" w:type="dxa"/>
            <w:gridSpan w:val="3"/>
            <w:tcBorders>
              <w:left w:val="thinThickThinSmallGap" w:sz="24" w:space="0" w:color="auto"/>
              <w:bottom w:val="single" w:sz="4" w:space="0" w:color="000000"/>
            </w:tcBorders>
            <w:shd w:val="clear" w:color="auto" w:fill="FFFFFF"/>
            <w:vAlign w:val="center"/>
          </w:tcPr>
          <w:p w:rsidR="00166FDD" w:rsidRPr="0086710B" w:rsidRDefault="00166FDD" w:rsidP="0086710B">
            <w:pPr>
              <w:spacing w:line="180" w:lineRule="exact"/>
              <w:contextualSpacing/>
              <w:jc w:val="center"/>
              <w:rPr>
                <w:rFonts w:eastAsia="Calibri"/>
                <w:color w:val="auto"/>
                <w:sz w:val="18"/>
                <w:szCs w:val="18"/>
              </w:rPr>
            </w:pPr>
            <w:r w:rsidRPr="0086710B">
              <w:rPr>
                <w:rFonts w:eastAsia="Calibri"/>
                <w:color w:val="auto"/>
                <w:sz w:val="18"/>
                <w:szCs w:val="18"/>
              </w:rPr>
              <w:t>Not Service Connected x 1</w:t>
            </w:r>
          </w:p>
        </w:tc>
        <w:tc>
          <w:tcPr>
            <w:tcW w:w="946" w:type="dxa"/>
            <w:tcBorders>
              <w:bottom w:val="single" w:sz="4" w:space="0" w:color="000000"/>
            </w:tcBorders>
            <w:shd w:val="clear" w:color="auto" w:fill="FFFFFF"/>
            <w:vAlign w:val="center"/>
          </w:tcPr>
          <w:p w:rsidR="00166FDD" w:rsidRPr="0086710B" w:rsidRDefault="00166FDD" w:rsidP="0086710B">
            <w:pPr>
              <w:spacing w:line="180" w:lineRule="exact"/>
              <w:contextualSpacing/>
              <w:jc w:val="center"/>
              <w:rPr>
                <w:rFonts w:eastAsia="Calibri"/>
                <w:color w:val="auto"/>
                <w:sz w:val="18"/>
                <w:szCs w:val="18"/>
              </w:rPr>
            </w:pPr>
          </w:p>
        </w:tc>
      </w:tr>
      <w:tr w:rsidR="006D4250" w:rsidRPr="00444DF4" w:rsidTr="00E96DEF">
        <w:trPr>
          <w:trHeight w:val="242"/>
          <w:jc w:val="center"/>
        </w:trPr>
        <w:tc>
          <w:tcPr>
            <w:tcW w:w="4251" w:type="dxa"/>
            <w:gridSpan w:val="4"/>
            <w:tcBorders>
              <w:right w:val="thinThickThinSmallGap" w:sz="24" w:space="0" w:color="auto"/>
            </w:tcBorders>
            <w:shd w:val="clear" w:color="auto" w:fill="D9D9D9"/>
            <w:vAlign w:val="center"/>
          </w:tcPr>
          <w:p w:rsidR="006D4250" w:rsidRPr="0086710B" w:rsidRDefault="006D4250" w:rsidP="0086710B">
            <w:pPr>
              <w:spacing w:line="200" w:lineRule="exact"/>
              <w:contextualSpacing/>
              <w:jc w:val="center"/>
              <w:rPr>
                <w:rFonts w:eastAsia="Calibri"/>
                <w:b/>
                <w:color w:val="auto"/>
                <w:sz w:val="20"/>
              </w:rPr>
            </w:pPr>
            <w:r w:rsidRPr="0086710B">
              <w:rPr>
                <w:rFonts w:eastAsia="Calibri"/>
                <w:b/>
                <w:color w:val="auto"/>
                <w:sz w:val="20"/>
              </w:rPr>
              <w:t xml:space="preserve">Combined:  </w:t>
            </w:r>
            <w:r w:rsidR="008960F8" w:rsidRPr="0086710B">
              <w:rPr>
                <w:rFonts w:eastAsia="Calibri"/>
                <w:b/>
                <w:color w:val="auto"/>
                <w:sz w:val="20"/>
              </w:rPr>
              <w:t>10</w:t>
            </w:r>
            <w:r w:rsidRPr="0086710B">
              <w:rPr>
                <w:rFonts w:eastAsia="Calibri"/>
                <w:b/>
                <w:color w:val="auto"/>
                <w:sz w:val="20"/>
              </w:rPr>
              <w:t>%</w:t>
            </w:r>
          </w:p>
        </w:tc>
        <w:tc>
          <w:tcPr>
            <w:tcW w:w="5177" w:type="dxa"/>
            <w:gridSpan w:val="4"/>
            <w:tcBorders>
              <w:left w:val="thinThickThinSmallGap" w:sz="24" w:space="0" w:color="auto"/>
            </w:tcBorders>
            <w:shd w:val="clear" w:color="auto" w:fill="D9D9D9"/>
            <w:vAlign w:val="center"/>
          </w:tcPr>
          <w:p w:rsidR="006D4250" w:rsidRPr="0086710B" w:rsidRDefault="006D4250" w:rsidP="0086710B">
            <w:pPr>
              <w:spacing w:line="200" w:lineRule="exact"/>
              <w:contextualSpacing/>
              <w:jc w:val="center"/>
              <w:rPr>
                <w:rFonts w:eastAsia="Calibri"/>
                <w:b/>
                <w:color w:val="auto"/>
                <w:sz w:val="20"/>
              </w:rPr>
            </w:pPr>
            <w:r w:rsidRPr="0086710B">
              <w:rPr>
                <w:rFonts w:eastAsia="Calibri"/>
                <w:b/>
                <w:color w:val="auto"/>
                <w:sz w:val="20"/>
              </w:rPr>
              <w:t xml:space="preserve">Combined: </w:t>
            </w:r>
            <w:r w:rsidR="00E57FED" w:rsidRPr="0086710B">
              <w:rPr>
                <w:rFonts w:eastAsia="Calibri"/>
                <w:b/>
                <w:color w:val="auto"/>
                <w:sz w:val="20"/>
              </w:rPr>
              <w:t xml:space="preserve"> </w:t>
            </w:r>
            <w:r w:rsidR="008960F8" w:rsidRPr="0086710B">
              <w:rPr>
                <w:rFonts w:eastAsia="Calibri"/>
                <w:b/>
                <w:color w:val="auto"/>
                <w:sz w:val="20"/>
              </w:rPr>
              <w:t>7</w:t>
            </w:r>
            <w:r w:rsidR="006F0F9C" w:rsidRPr="0086710B">
              <w:rPr>
                <w:rFonts w:eastAsia="Calibri"/>
                <w:b/>
                <w:color w:val="auto"/>
                <w:sz w:val="20"/>
              </w:rPr>
              <w:t>0</w:t>
            </w:r>
            <w:r w:rsidRPr="0086710B">
              <w:rPr>
                <w:rFonts w:eastAsia="Calibri"/>
                <w:b/>
                <w:color w:val="auto"/>
                <w:sz w:val="20"/>
              </w:rPr>
              <w:t>%</w:t>
            </w:r>
          </w:p>
        </w:tc>
      </w:tr>
    </w:tbl>
    <w:p w:rsidR="00437D18" w:rsidRPr="00391858" w:rsidRDefault="00437D18" w:rsidP="007E26F1">
      <w:pPr>
        <w:pBdr>
          <w:bottom w:val="single" w:sz="12" w:space="1" w:color="auto"/>
        </w:pBdr>
        <w:tabs>
          <w:tab w:val="left" w:pos="288"/>
          <w:tab w:val="left" w:pos="4752"/>
        </w:tabs>
        <w:spacing w:line="240" w:lineRule="exact"/>
        <w:jc w:val="both"/>
        <w:rPr>
          <w:b/>
          <w:color w:val="auto"/>
          <w:u w:val="single"/>
        </w:rPr>
      </w:pPr>
    </w:p>
    <w:p w:rsidR="007E26F1" w:rsidRDefault="007E26F1" w:rsidP="007E26F1">
      <w:pPr>
        <w:spacing w:line="240" w:lineRule="exact"/>
        <w:rPr>
          <w:color w:val="auto"/>
          <w:szCs w:val="24"/>
          <w:u w:val="single"/>
        </w:rPr>
      </w:pPr>
    </w:p>
    <w:p w:rsidR="005E5D58" w:rsidRPr="00DD734B" w:rsidRDefault="002C6E5B" w:rsidP="005E5D58">
      <w:pPr>
        <w:spacing w:line="240" w:lineRule="exact"/>
        <w:jc w:val="both"/>
        <w:rPr>
          <w:rFonts w:asciiTheme="minorHAnsi" w:hAnsiTheme="minorHAnsi"/>
          <w:color w:val="auto"/>
          <w:szCs w:val="24"/>
        </w:rPr>
      </w:pPr>
      <w:r w:rsidRPr="00396779">
        <w:rPr>
          <w:color w:val="auto"/>
          <w:szCs w:val="24"/>
          <w:u w:val="single"/>
        </w:rPr>
        <w:t>ANALYSIS SUMMARY</w:t>
      </w:r>
      <w:r w:rsidRPr="00396779">
        <w:rPr>
          <w:color w:val="auto"/>
          <w:szCs w:val="24"/>
        </w:rPr>
        <w:t>:</w:t>
      </w:r>
      <w:r w:rsidR="005E5D58">
        <w:rPr>
          <w:color w:val="auto"/>
          <w:szCs w:val="24"/>
        </w:rPr>
        <w:t xml:space="preserve">  </w:t>
      </w:r>
      <w:r w:rsidR="005E5D58" w:rsidRPr="00DD734B">
        <w:rPr>
          <w:color w:val="auto"/>
          <w:szCs w:val="24"/>
        </w:rPr>
        <w:t xml:space="preserve">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Disability Evaluation System </w:t>
      </w:r>
      <w:r w:rsidR="005E5D58">
        <w:rPr>
          <w:color w:val="auto"/>
          <w:szCs w:val="24"/>
        </w:rPr>
        <w:t xml:space="preserve">(DES) </w:t>
      </w:r>
      <w:r w:rsidR="005E5D58" w:rsidRPr="00DD734B">
        <w:rPr>
          <w:color w:val="auto"/>
          <w:szCs w:val="24"/>
        </w:rPr>
        <w:t xml:space="preserve">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 operating under a different set of laws (Title 38, United States Code), is empowered to periodically re-evaluate </w:t>
      </w:r>
      <w:r w:rsidR="00E96DEF">
        <w:rPr>
          <w:color w:val="auto"/>
          <w:szCs w:val="24"/>
        </w:rPr>
        <w:lastRenderedPageBreak/>
        <w:t>v</w:t>
      </w:r>
      <w:r w:rsidR="005E5D58" w:rsidRPr="00DD734B">
        <w:rPr>
          <w:color w:val="auto"/>
          <w:szCs w:val="24"/>
        </w:rPr>
        <w:t xml:space="preserve">eterans for the purpose of adjusting the disability rating should </w:t>
      </w:r>
      <w:r w:rsidR="00E96DEF">
        <w:rPr>
          <w:color w:val="auto"/>
          <w:szCs w:val="24"/>
        </w:rPr>
        <w:t>the</w:t>
      </w:r>
      <w:r w:rsidR="005E5D58" w:rsidRPr="00DD734B">
        <w:rPr>
          <w:color w:val="auto"/>
          <w:szCs w:val="24"/>
        </w:rPr>
        <w:t xml:space="preserve"> degree of impairment vary over time.</w:t>
      </w:r>
    </w:p>
    <w:p w:rsidR="005E5D58" w:rsidRDefault="005E5D58" w:rsidP="005E5D58">
      <w:pPr>
        <w:spacing w:line="240" w:lineRule="exact"/>
        <w:jc w:val="both"/>
        <w:rPr>
          <w:color w:val="auto"/>
          <w:szCs w:val="24"/>
        </w:rPr>
      </w:pPr>
    </w:p>
    <w:p w:rsidR="00D377CE" w:rsidRDefault="00456265" w:rsidP="00D377CE">
      <w:pPr>
        <w:spacing w:line="240" w:lineRule="exact"/>
        <w:jc w:val="both"/>
        <w:rPr>
          <w:color w:val="auto"/>
          <w:szCs w:val="24"/>
        </w:rPr>
      </w:pPr>
      <w:proofErr w:type="gramStart"/>
      <w:r>
        <w:rPr>
          <w:color w:val="auto"/>
          <w:szCs w:val="24"/>
          <w:u w:val="single"/>
        </w:rPr>
        <w:t>Mental Condition/</w:t>
      </w:r>
      <w:r w:rsidR="00777E47">
        <w:rPr>
          <w:color w:val="auto"/>
          <w:szCs w:val="24"/>
          <w:u w:val="single"/>
        </w:rPr>
        <w:t>Anxiety</w:t>
      </w:r>
      <w:r>
        <w:rPr>
          <w:color w:val="auto"/>
          <w:szCs w:val="24"/>
          <w:u w:val="single"/>
        </w:rPr>
        <w:t>/Depression/P</w:t>
      </w:r>
      <w:r w:rsidR="00E96DEF">
        <w:rPr>
          <w:color w:val="auto"/>
          <w:szCs w:val="24"/>
          <w:u w:val="single"/>
        </w:rPr>
        <w:t>osttraumatic Stress Disorder.</w:t>
      </w:r>
      <w:proofErr w:type="gramEnd"/>
      <w:r w:rsidR="00777E47">
        <w:rPr>
          <w:color w:val="auto"/>
          <w:szCs w:val="24"/>
        </w:rPr>
        <w:t xml:space="preserve"> The CI developed </w:t>
      </w:r>
      <w:r w:rsidR="00777E47" w:rsidRPr="00777E47">
        <w:rPr>
          <w:color w:val="auto"/>
          <w:szCs w:val="24"/>
        </w:rPr>
        <w:t>anxiety</w:t>
      </w:r>
      <w:r w:rsidR="009B5837">
        <w:rPr>
          <w:color w:val="auto"/>
          <w:szCs w:val="24"/>
        </w:rPr>
        <w:t xml:space="preserve"> disorder</w:t>
      </w:r>
      <w:r w:rsidR="00777E47">
        <w:rPr>
          <w:color w:val="auto"/>
          <w:szCs w:val="24"/>
        </w:rPr>
        <w:t xml:space="preserve"> </w:t>
      </w:r>
      <w:r w:rsidR="009B5837">
        <w:rPr>
          <w:color w:val="auto"/>
          <w:szCs w:val="24"/>
        </w:rPr>
        <w:t>and symptoms of posttraumatic stress disorder (PTSD), including flashbacks, sleep disturbance with nightmares, and panic attacks</w:t>
      </w:r>
      <w:r w:rsidR="00777E47">
        <w:rPr>
          <w:color w:val="auto"/>
          <w:szCs w:val="24"/>
        </w:rPr>
        <w:t>, after he experienced the volcano eruption at Mount Pinatubo in 1991, followed by a typhoon</w:t>
      </w:r>
      <w:r w:rsidR="00C32E03">
        <w:rPr>
          <w:color w:val="auto"/>
          <w:szCs w:val="24"/>
        </w:rPr>
        <w:t>,</w:t>
      </w:r>
      <w:r w:rsidR="00777E47">
        <w:rPr>
          <w:color w:val="auto"/>
          <w:szCs w:val="24"/>
        </w:rPr>
        <w:t xml:space="preserve"> as well as daily earthquakes over the next five months.</w:t>
      </w:r>
      <w:r w:rsidR="009B5837">
        <w:rPr>
          <w:color w:val="auto"/>
          <w:szCs w:val="24"/>
        </w:rPr>
        <w:t xml:space="preserve">  O</w:t>
      </w:r>
      <w:r w:rsidR="00777E47">
        <w:rPr>
          <w:color w:val="auto"/>
          <w:szCs w:val="24"/>
        </w:rPr>
        <w:t>ver the next two years</w:t>
      </w:r>
      <w:r w:rsidR="00E96DEF">
        <w:rPr>
          <w:color w:val="auto"/>
          <w:szCs w:val="24"/>
        </w:rPr>
        <w:t>,</w:t>
      </w:r>
      <w:r w:rsidR="0039319A">
        <w:rPr>
          <w:color w:val="auto"/>
          <w:szCs w:val="24"/>
        </w:rPr>
        <w:t xml:space="preserve"> the PTSD symptoms</w:t>
      </w:r>
      <w:r w:rsidR="009B5837">
        <w:rPr>
          <w:color w:val="auto"/>
          <w:szCs w:val="24"/>
        </w:rPr>
        <w:t xml:space="preserve"> resolve</w:t>
      </w:r>
      <w:r w:rsidR="0039319A">
        <w:rPr>
          <w:color w:val="auto"/>
          <w:szCs w:val="24"/>
        </w:rPr>
        <w:t>d</w:t>
      </w:r>
      <w:r w:rsidR="009B5837">
        <w:rPr>
          <w:color w:val="auto"/>
          <w:szCs w:val="24"/>
        </w:rPr>
        <w:t>; however,</w:t>
      </w:r>
      <w:r w:rsidR="003E4922">
        <w:rPr>
          <w:color w:val="auto"/>
          <w:szCs w:val="24"/>
        </w:rPr>
        <w:t xml:space="preserve"> the</w:t>
      </w:r>
      <w:r w:rsidR="009B5837">
        <w:rPr>
          <w:color w:val="auto"/>
          <w:szCs w:val="24"/>
        </w:rPr>
        <w:t xml:space="preserve"> anxiety sy</w:t>
      </w:r>
      <w:r w:rsidR="0039319A">
        <w:rPr>
          <w:color w:val="auto"/>
          <w:szCs w:val="24"/>
        </w:rPr>
        <w:t xml:space="preserve">mptoms with social phobia </w:t>
      </w:r>
      <w:r w:rsidR="009B5837">
        <w:rPr>
          <w:color w:val="auto"/>
          <w:szCs w:val="24"/>
        </w:rPr>
        <w:t>worsen</w:t>
      </w:r>
      <w:r w:rsidR="0039319A">
        <w:rPr>
          <w:color w:val="auto"/>
          <w:szCs w:val="24"/>
        </w:rPr>
        <w:t>ed</w:t>
      </w:r>
      <w:r w:rsidR="009B5837">
        <w:rPr>
          <w:color w:val="auto"/>
          <w:szCs w:val="24"/>
        </w:rPr>
        <w:t>, especially related to public</w:t>
      </w:r>
      <w:r w:rsidR="00F44001">
        <w:rPr>
          <w:color w:val="auto"/>
          <w:szCs w:val="24"/>
        </w:rPr>
        <w:t xml:space="preserve"> speaking.  </w:t>
      </w:r>
      <w:r w:rsidR="005B0914">
        <w:rPr>
          <w:color w:val="auto"/>
          <w:szCs w:val="24"/>
        </w:rPr>
        <w:t>These symptoms</w:t>
      </w:r>
      <w:r w:rsidR="009B5837">
        <w:rPr>
          <w:color w:val="auto"/>
          <w:szCs w:val="24"/>
        </w:rPr>
        <w:t xml:space="preserve"> increase</w:t>
      </w:r>
      <w:r w:rsidR="005B0914">
        <w:rPr>
          <w:color w:val="auto"/>
          <w:szCs w:val="24"/>
        </w:rPr>
        <w:t>d through 1999, being refractory</w:t>
      </w:r>
      <w:r w:rsidR="009B5837">
        <w:rPr>
          <w:color w:val="auto"/>
          <w:szCs w:val="24"/>
        </w:rPr>
        <w:t xml:space="preserve"> to </w:t>
      </w:r>
      <w:r w:rsidR="00F44001">
        <w:rPr>
          <w:color w:val="auto"/>
          <w:szCs w:val="24"/>
        </w:rPr>
        <w:t xml:space="preserve">multiple medication regimens.  </w:t>
      </w:r>
      <w:r w:rsidR="009B5837">
        <w:rPr>
          <w:color w:val="auto"/>
          <w:szCs w:val="24"/>
        </w:rPr>
        <w:t>He was selected to attend</w:t>
      </w:r>
      <w:r w:rsidR="003E4922">
        <w:rPr>
          <w:color w:val="auto"/>
          <w:szCs w:val="24"/>
        </w:rPr>
        <w:t xml:space="preserve"> the Air Command Staff College</w:t>
      </w:r>
      <w:r w:rsidR="00053B34">
        <w:rPr>
          <w:color w:val="auto"/>
          <w:szCs w:val="24"/>
        </w:rPr>
        <w:t>; however</w:t>
      </w:r>
      <w:r w:rsidR="003E4922">
        <w:rPr>
          <w:color w:val="auto"/>
          <w:szCs w:val="24"/>
        </w:rPr>
        <w:t xml:space="preserve">, in August 1999 he experienced severe anxiety symptoms </w:t>
      </w:r>
      <w:r w:rsidR="00F27331">
        <w:rPr>
          <w:color w:val="auto"/>
          <w:szCs w:val="24"/>
        </w:rPr>
        <w:t>on the first day and was self-eliminated</w:t>
      </w:r>
      <w:r w:rsidR="003E4922">
        <w:rPr>
          <w:color w:val="auto"/>
          <w:szCs w:val="24"/>
        </w:rPr>
        <w:t xml:space="preserve"> from the school.  By October 1999 it was decided that his ongoing anxiety symptoms were intractable </w:t>
      </w:r>
      <w:r w:rsidR="00053B34">
        <w:rPr>
          <w:color w:val="auto"/>
          <w:szCs w:val="24"/>
        </w:rPr>
        <w:t xml:space="preserve">and </w:t>
      </w:r>
      <w:r w:rsidR="005B0914">
        <w:rPr>
          <w:color w:val="auto"/>
          <w:szCs w:val="24"/>
        </w:rPr>
        <w:t xml:space="preserve">that they </w:t>
      </w:r>
      <w:r w:rsidR="00053B34">
        <w:rPr>
          <w:color w:val="auto"/>
          <w:szCs w:val="24"/>
        </w:rPr>
        <w:t>prevented</w:t>
      </w:r>
      <w:r w:rsidR="003E4922">
        <w:rPr>
          <w:color w:val="auto"/>
          <w:szCs w:val="24"/>
        </w:rPr>
        <w:t xml:space="preserve"> performance of his military duties</w:t>
      </w:r>
      <w:r w:rsidR="008E659B">
        <w:rPr>
          <w:color w:val="auto"/>
          <w:szCs w:val="24"/>
        </w:rPr>
        <w:t xml:space="preserve">.  The </w:t>
      </w:r>
      <w:r w:rsidR="00E96DEF">
        <w:rPr>
          <w:color w:val="auto"/>
          <w:szCs w:val="24"/>
        </w:rPr>
        <w:t>narrative summary (</w:t>
      </w:r>
      <w:r w:rsidR="008E659B">
        <w:rPr>
          <w:color w:val="auto"/>
          <w:szCs w:val="24"/>
        </w:rPr>
        <w:t>NARSUM</w:t>
      </w:r>
      <w:r w:rsidR="00E96DEF">
        <w:rPr>
          <w:color w:val="auto"/>
          <w:szCs w:val="24"/>
        </w:rPr>
        <w:t>) on</w:t>
      </w:r>
      <w:r w:rsidR="003E4922">
        <w:rPr>
          <w:color w:val="auto"/>
          <w:szCs w:val="24"/>
        </w:rPr>
        <w:t xml:space="preserve"> 14 October 1999</w:t>
      </w:r>
      <w:r w:rsidR="008E659B">
        <w:rPr>
          <w:color w:val="auto"/>
          <w:szCs w:val="24"/>
        </w:rPr>
        <w:t>,</w:t>
      </w:r>
      <w:r w:rsidR="003E4922">
        <w:rPr>
          <w:color w:val="auto"/>
          <w:szCs w:val="24"/>
        </w:rPr>
        <w:t xml:space="preserve"> noted that the CI denied specific PTSD symptoms.  The mental status examination (MSE) documented thought processes cente</w:t>
      </w:r>
      <w:r w:rsidR="00B2600A">
        <w:rPr>
          <w:color w:val="auto"/>
          <w:szCs w:val="24"/>
        </w:rPr>
        <w:t xml:space="preserve">red </w:t>
      </w:r>
      <w:r w:rsidR="00042925">
        <w:rPr>
          <w:color w:val="auto"/>
          <w:szCs w:val="24"/>
        </w:rPr>
        <w:t>up</w:t>
      </w:r>
      <w:r w:rsidR="00B2600A">
        <w:rPr>
          <w:color w:val="auto"/>
          <w:szCs w:val="24"/>
        </w:rPr>
        <w:t>on anxiety symptoms with ter</w:t>
      </w:r>
      <w:r w:rsidR="003E4922">
        <w:rPr>
          <w:color w:val="auto"/>
          <w:szCs w:val="24"/>
        </w:rPr>
        <w:t xml:space="preserve">se speech.  The Axis I diagnosis was anxiety disorder, </w:t>
      </w:r>
      <w:r w:rsidR="00E96DEF">
        <w:rPr>
          <w:color w:val="auto"/>
          <w:szCs w:val="24"/>
        </w:rPr>
        <w:t>not otherwise specified (</w:t>
      </w:r>
      <w:r w:rsidR="003E4922">
        <w:rPr>
          <w:color w:val="auto"/>
          <w:szCs w:val="24"/>
        </w:rPr>
        <w:t>NOS</w:t>
      </w:r>
      <w:r w:rsidR="00E96DEF">
        <w:rPr>
          <w:color w:val="auto"/>
          <w:szCs w:val="24"/>
        </w:rPr>
        <w:t>)</w:t>
      </w:r>
      <w:r w:rsidR="003E4922">
        <w:rPr>
          <w:color w:val="auto"/>
          <w:szCs w:val="24"/>
        </w:rPr>
        <w:t>.  It noted that he had PTSD symptoms from 1991 through 1993, mostly resolving, with anxiety and socia</w:t>
      </w:r>
      <w:r w:rsidR="008C4BB5">
        <w:rPr>
          <w:color w:val="auto"/>
          <w:szCs w:val="24"/>
        </w:rPr>
        <w:t xml:space="preserve">l phobia worsening since 1993.  </w:t>
      </w:r>
      <w:r w:rsidR="003E4922">
        <w:rPr>
          <w:color w:val="auto"/>
          <w:szCs w:val="24"/>
        </w:rPr>
        <w:t xml:space="preserve">The Global </w:t>
      </w:r>
      <w:r w:rsidR="00E96DEF">
        <w:rPr>
          <w:color w:val="auto"/>
          <w:szCs w:val="24"/>
        </w:rPr>
        <w:t xml:space="preserve">assessment of functioning </w:t>
      </w:r>
      <w:r w:rsidR="003E4922">
        <w:rPr>
          <w:color w:val="auto"/>
          <w:szCs w:val="24"/>
        </w:rPr>
        <w:t>(GAF) was 60</w:t>
      </w:r>
      <w:r w:rsidR="008A6ACC">
        <w:rPr>
          <w:color w:val="auto"/>
          <w:szCs w:val="24"/>
        </w:rPr>
        <w:t>, indicating moderate</w:t>
      </w:r>
      <w:r w:rsidR="00D377CE">
        <w:rPr>
          <w:color w:val="auto"/>
          <w:szCs w:val="24"/>
        </w:rPr>
        <w:t xml:space="preserve"> symptoms.  His impairment was marked for continued military service and considerable for civilian, social and industrial function.</w:t>
      </w:r>
      <w:r w:rsidR="00B2600A">
        <w:rPr>
          <w:color w:val="auto"/>
          <w:szCs w:val="24"/>
        </w:rPr>
        <w:t xml:space="preserve">  </w:t>
      </w:r>
      <w:r w:rsidR="00D377CE">
        <w:rPr>
          <w:color w:val="auto"/>
          <w:szCs w:val="24"/>
        </w:rPr>
        <w:t>The IPEB on 15 November 1999 found the anxiety disorder NOS, as unfit, code</w:t>
      </w:r>
      <w:r w:rsidR="00B2600A">
        <w:rPr>
          <w:color w:val="auto"/>
          <w:szCs w:val="24"/>
        </w:rPr>
        <w:t>d</w:t>
      </w:r>
      <w:r w:rsidR="00D377CE">
        <w:rPr>
          <w:color w:val="auto"/>
          <w:szCs w:val="24"/>
        </w:rPr>
        <w:t xml:space="preserve"> 9400</w:t>
      </w:r>
      <w:r w:rsidR="00C32E03">
        <w:rPr>
          <w:color w:val="auto"/>
          <w:szCs w:val="24"/>
        </w:rPr>
        <w:t xml:space="preserve"> (generalized anxiety disorder)</w:t>
      </w:r>
      <w:r w:rsidR="00D377CE">
        <w:rPr>
          <w:color w:val="auto"/>
          <w:szCs w:val="24"/>
        </w:rPr>
        <w:t>, and recommended</w:t>
      </w:r>
      <w:r w:rsidR="00B2600A">
        <w:rPr>
          <w:color w:val="auto"/>
          <w:szCs w:val="24"/>
        </w:rPr>
        <w:t xml:space="preserve"> placement on the TDRL at 30%.  O</w:t>
      </w:r>
      <w:r w:rsidR="00A358FC">
        <w:rPr>
          <w:color w:val="auto"/>
          <w:szCs w:val="24"/>
        </w:rPr>
        <w:t>n 14 January 2000 he was separated to the TDRL.</w:t>
      </w:r>
    </w:p>
    <w:p w:rsidR="00A358FC" w:rsidRDefault="00A358FC" w:rsidP="00D377CE">
      <w:pPr>
        <w:spacing w:line="240" w:lineRule="exact"/>
        <w:jc w:val="both"/>
        <w:rPr>
          <w:color w:val="auto"/>
          <w:szCs w:val="24"/>
        </w:rPr>
      </w:pPr>
    </w:p>
    <w:p w:rsidR="00A358FC" w:rsidRPr="008A6ACC" w:rsidRDefault="00DD2324" w:rsidP="008A6ACC">
      <w:pPr>
        <w:spacing w:line="240" w:lineRule="exact"/>
        <w:jc w:val="both"/>
        <w:rPr>
          <w:rFonts w:asciiTheme="minorHAnsi" w:hAnsiTheme="minorHAnsi" w:cstheme="minorHAnsi"/>
          <w:color w:val="auto"/>
          <w:szCs w:val="24"/>
        </w:rPr>
      </w:pPr>
      <w:r>
        <w:rPr>
          <w:color w:val="auto"/>
          <w:szCs w:val="24"/>
        </w:rPr>
        <w:t xml:space="preserve">The VA </w:t>
      </w:r>
      <w:r w:rsidR="00E96DEF">
        <w:rPr>
          <w:color w:val="auto"/>
          <w:szCs w:val="24"/>
        </w:rPr>
        <w:t>compensation and pension (</w:t>
      </w:r>
      <w:r>
        <w:rPr>
          <w:color w:val="auto"/>
          <w:szCs w:val="24"/>
        </w:rPr>
        <w:t>C&amp;P</w:t>
      </w:r>
      <w:r w:rsidR="00E96DEF">
        <w:rPr>
          <w:color w:val="auto"/>
          <w:szCs w:val="24"/>
        </w:rPr>
        <w:t>)</w:t>
      </w:r>
      <w:r>
        <w:rPr>
          <w:color w:val="auto"/>
          <w:szCs w:val="24"/>
        </w:rPr>
        <w:t xml:space="preserve"> examination for PTSD on 7 March 2000, two months after placement on the TDRL, documented high levels of anxiety with panic attacks occurring two to three times </w:t>
      </w:r>
      <w:r w:rsidR="005F5750">
        <w:rPr>
          <w:color w:val="auto"/>
          <w:szCs w:val="24"/>
        </w:rPr>
        <w:t>per week</w:t>
      </w:r>
      <w:r>
        <w:rPr>
          <w:color w:val="auto"/>
          <w:szCs w:val="24"/>
        </w:rPr>
        <w:t>.  Other symptoms included sleep disturbance with nightmares, flashbacks, intrusive thoughts, decreased concentration, avoidance behaviors, crying spells and suicidal ideation without intent.  The CI had very little social functioning and was afraid to leave the house.  MSE showed restricted affect, anxious mood</w:t>
      </w:r>
      <w:r w:rsidR="005F5750">
        <w:rPr>
          <w:color w:val="auto"/>
          <w:szCs w:val="24"/>
        </w:rPr>
        <w:t>,</w:t>
      </w:r>
      <w:r>
        <w:rPr>
          <w:color w:val="auto"/>
          <w:szCs w:val="24"/>
        </w:rPr>
        <w:t xml:space="preserve"> and some immediate and recent memory impairment.  PTSD criteria were met and the Axis I diagnoses were PTSD, major depressive disorder (MDD) </w:t>
      </w:r>
      <w:r w:rsidR="00904A76" w:rsidRPr="008A6ACC">
        <w:rPr>
          <w:rFonts w:asciiTheme="minorHAnsi" w:hAnsiTheme="minorHAnsi" w:cstheme="minorHAnsi"/>
          <w:color w:val="auto"/>
          <w:szCs w:val="24"/>
        </w:rPr>
        <w:t xml:space="preserve">moderate recurrent </w:t>
      </w:r>
      <w:r w:rsidRPr="008A6ACC">
        <w:rPr>
          <w:rFonts w:asciiTheme="minorHAnsi" w:hAnsiTheme="minorHAnsi" w:cstheme="minorHAnsi"/>
          <w:color w:val="auto"/>
          <w:szCs w:val="24"/>
        </w:rPr>
        <w:t>and panic disorder with agoraphobia.  The GAF was 35.</w:t>
      </w:r>
    </w:p>
    <w:p w:rsidR="00F47864" w:rsidRPr="008A6ACC" w:rsidRDefault="00F47864" w:rsidP="008A6ACC">
      <w:pPr>
        <w:spacing w:line="240" w:lineRule="exact"/>
        <w:jc w:val="both"/>
        <w:rPr>
          <w:rFonts w:asciiTheme="minorHAnsi" w:hAnsiTheme="minorHAnsi" w:cstheme="minorHAnsi"/>
          <w:color w:val="auto"/>
          <w:szCs w:val="24"/>
        </w:rPr>
      </w:pPr>
    </w:p>
    <w:p w:rsidR="009A3627" w:rsidRDefault="00F47864" w:rsidP="005F5750">
      <w:pPr>
        <w:autoSpaceDE w:val="0"/>
        <w:autoSpaceDN w:val="0"/>
        <w:adjustRightInd w:val="0"/>
        <w:spacing w:line="240" w:lineRule="exact"/>
        <w:jc w:val="both"/>
        <w:rPr>
          <w:rFonts w:asciiTheme="minorHAnsi" w:hAnsiTheme="minorHAnsi" w:cstheme="minorHAnsi"/>
          <w:color w:val="auto"/>
          <w:szCs w:val="24"/>
        </w:rPr>
      </w:pPr>
      <w:r w:rsidRPr="008A6ACC">
        <w:rPr>
          <w:rFonts w:asciiTheme="minorHAnsi" w:hAnsiTheme="minorHAnsi" w:cstheme="minorHAnsi"/>
          <w:color w:val="auto"/>
          <w:szCs w:val="24"/>
        </w:rPr>
        <w:t xml:space="preserve">The TRDL examination on 24 May 2001 four months before separation from the TDRL noted that PTSD had been diagnosed </w:t>
      </w:r>
      <w:r w:rsidR="009D5E95" w:rsidRPr="008A6ACC">
        <w:rPr>
          <w:rFonts w:asciiTheme="minorHAnsi" w:hAnsiTheme="minorHAnsi" w:cstheme="minorHAnsi"/>
          <w:color w:val="auto"/>
          <w:szCs w:val="24"/>
        </w:rPr>
        <w:t xml:space="preserve">six months after the MEB and he was maintained on </w:t>
      </w:r>
      <w:proofErr w:type="spellStart"/>
      <w:r w:rsidR="00E96DEF" w:rsidRPr="008A6ACC">
        <w:rPr>
          <w:rFonts w:asciiTheme="minorHAnsi" w:hAnsiTheme="minorHAnsi" w:cstheme="minorHAnsi"/>
          <w:color w:val="auto"/>
          <w:szCs w:val="24"/>
        </w:rPr>
        <w:t>Lorazepam</w:t>
      </w:r>
      <w:proofErr w:type="spellEnd"/>
      <w:r w:rsidR="00E96DEF" w:rsidRPr="008A6ACC">
        <w:rPr>
          <w:rFonts w:asciiTheme="minorHAnsi" w:hAnsiTheme="minorHAnsi" w:cstheme="minorHAnsi"/>
          <w:color w:val="auto"/>
          <w:szCs w:val="24"/>
        </w:rPr>
        <w:t xml:space="preserve">, </w:t>
      </w:r>
      <w:proofErr w:type="spellStart"/>
      <w:r w:rsidR="00E96DEF" w:rsidRPr="008A6ACC">
        <w:rPr>
          <w:rFonts w:asciiTheme="minorHAnsi" w:hAnsiTheme="minorHAnsi" w:cstheme="minorHAnsi"/>
          <w:color w:val="auto"/>
          <w:szCs w:val="24"/>
        </w:rPr>
        <w:t>Clonazepam</w:t>
      </w:r>
      <w:proofErr w:type="spellEnd"/>
      <w:r w:rsidR="00E96DEF">
        <w:rPr>
          <w:rFonts w:asciiTheme="minorHAnsi" w:hAnsiTheme="minorHAnsi" w:cstheme="minorHAnsi"/>
          <w:color w:val="auto"/>
          <w:szCs w:val="24"/>
        </w:rPr>
        <w:t>,</w:t>
      </w:r>
      <w:r w:rsidR="00E96DEF" w:rsidRPr="008A6ACC">
        <w:rPr>
          <w:rFonts w:asciiTheme="minorHAnsi" w:hAnsiTheme="minorHAnsi" w:cstheme="minorHAnsi"/>
          <w:color w:val="auto"/>
          <w:szCs w:val="24"/>
        </w:rPr>
        <w:t xml:space="preserve"> </w:t>
      </w:r>
      <w:r w:rsidR="00E96DEF">
        <w:rPr>
          <w:rFonts w:asciiTheme="minorHAnsi" w:hAnsiTheme="minorHAnsi" w:cstheme="minorHAnsi"/>
          <w:color w:val="auto"/>
          <w:szCs w:val="24"/>
        </w:rPr>
        <w:t>a</w:t>
      </w:r>
      <w:r w:rsidR="00E96DEF" w:rsidRPr="008A6ACC">
        <w:rPr>
          <w:rFonts w:asciiTheme="minorHAnsi" w:hAnsiTheme="minorHAnsi" w:cstheme="minorHAnsi"/>
          <w:color w:val="auto"/>
          <w:szCs w:val="24"/>
        </w:rPr>
        <w:t xml:space="preserve">nd </w:t>
      </w:r>
      <w:proofErr w:type="spellStart"/>
      <w:r w:rsidR="00E96DEF" w:rsidRPr="008A6ACC">
        <w:rPr>
          <w:rFonts w:asciiTheme="minorHAnsi" w:hAnsiTheme="minorHAnsi" w:cstheme="minorHAnsi"/>
          <w:color w:val="auto"/>
          <w:szCs w:val="24"/>
        </w:rPr>
        <w:t>Trazodon</w:t>
      </w:r>
      <w:r w:rsidR="009D5E95" w:rsidRPr="008A6ACC">
        <w:rPr>
          <w:rFonts w:asciiTheme="minorHAnsi" w:hAnsiTheme="minorHAnsi" w:cstheme="minorHAnsi"/>
          <w:color w:val="auto"/>
          <w:szCs w:val="24"/>
        </w:rPr>
        <w:t>e</w:t>
      </w:r>
      <w:proofErr w:type="spellEnd"/>
      <w:r w:rsidR="009D5E95" w:rsidRPr="008A6ACC">
        <w:rPr>
          <w:rFonts w:asciiTheme="minorHAnsi" w:hAnsiTheme="minorHAnsi" w:cstheme="minorHAnsi"/>
          <w:color w:val="auto"/>
          <w:szCs w:val="24"/>
        </w:rPr>
        <w:t>.</w:t>
      </w:r>
      <w:r w:rsidR="008A6F0E" w:rsidRPr="008A6ACC">
        <w:rPr>
          <w:rFonts w:asciiTheme="minorHAnsi" w:hAnsiTheme="minorHAnsi" w:cstheme="minorHAnsi"/>
          <w:color w:val="auto"/>
          <w:szCs w:val="24"/>
        </w:rPr>
        <w:t xml:space="preserve">  </w:t>
      </w:r>
      <w:r w:rsidR="009D5E95" w:rsidRPr="008A6ACC">
        <w:rPr>
          <w:rFonts w:asciiTheme="minorHAnsi" w:hAnsiTheme="minorHAnsi" w:cstheme="minorHAnsi"/>
          <w:color w:val="auto"/>
          <w:szCs w:val="24"/>
        </w:rPr>
        <w:t>He flew to New York on a monthly basis for his VA follow-up appointments</w:t>
      </w:r>
      <w:r w:rsidR="005F5750">
        <w:rPr>
          <w:rFonts w:asciiTheme="minorHAnsi" w:hAnsiTheme="minorHAnsi" w:cstheme="minorHAnsi"/>
          <w:color w:val="auto"/>
          <w:szCs w:val="24"/>
        </w:rPr>
        <w:t>,</w:t>
      </w:r>
      <w:r w:rsidR="009D5E95" w:rsidRPr="008A6ACC">
        <w:rPr>
          <w:rFonts w:asciiTheme="minorHAnsi" w:hAnsiTheme="minorHAnsi" w:cstheme="minorHAnsi"/>
          <w:color w:val="auto"/>
          <w:szCs w:val="24"/>
        </w:rPr>
        <w:t xml:space="preserve"> and reported that he has not been employed since his medical retirement from the military</w:t>
      </w:r>
      <w:r w:rsidR="005F5750">
        <w:rPr>
          <w:rFonts w:asciiTheme="minorHAnsi" w:hAnsiTheme="minorHAnsi" w:cstheme="minorHAnsi"/>
          <w:color w:val="auto"/>
          <w:szCs w:val="24"/>
        </w:rPr>
        <w:t>,</w:t>
      </w:r>
      <w:r w:rsidR="009D5E95" w:rsidRPr="008A6ACC">
        <w:rPr>
          <w:rFonts w:asciiTheme="minorHAnsi" w:hAnsiTheme="minorHAnsi" w:cstheme="minorHAnsi"/>
          <w:color w:val="auto"/>
          <w:szCs w:val="24"/>
        </w:rPr>
        <w:t xml:space="preserve"> but noted that he owned eight home</w:t>
      </w:r>
      <w:r w:rsidR="008A6F0E" w:rsidRPr="008A6ACC">
        <w:rPr>
          <w:rFonts w:asciiTheme="minorHAnsi" w:hAnsiTheme="minorHAnsi" w:cstheme="minorHAnsi"/>
          <w:color w:val="auto"/>
          <w:szCs w:val="24"/>
        </w:rPr>
        <w:t>s across the country and managed</w:t>
      </w:r>
      <w:r w:rsidR="009D5E95" w:rsidRPr="008A6ACC">
        <w:rPr>
          <w:rFonts w:asciiTheme="minorHAnsi" w:hAnsiTheme="minorHAnsi" w:cstheme="minorHAnsi"/>
          <w:color w:val="auto"/>
          <w:szCs w:val="24"/>
        </w:rPr>
        <w:t xml:space="preserve"> this real-estate</w:t>
      </w:r>
      <w:r w:rsidR="008A6F0E" w:rsidRPr="008A6ACC">
        <w:rPr>
          <w:rFonts w:asciiTheme="minorHAnsi" w:hAnsiTheme="minorHAnsi" w:cstheme="minorHAnsi"/>
          <w:color w:val="auto"/>
          <w:szCs w:val="24"/>
        </w:rPr>
        <w:t xml:space="preserve">, which sometimes involved travel.  Future plans were to look for a job as a Security Analyst </w:t>
      </w:r>
      <w:r w:rsidR="00D36571">
        <w:rPr>
          <w:rFonts w:asciiTheme="minorHAnsi" w:hAnsiTheme="minorHAnsi" w:cstheme="minorHAnsi"/>
          <w:color w:val="auto"/>
          <w:szCs w:val="24"/>
        </w:rPr>
        <w:t xml:space="preserve">in the local D.C. area.  He </w:t>
      </w:r>
      <w:r w:rsidR="008A6F0E" w:rsidRPr="008A6ACC">
        <w:rPr>
          <w:rFonts w:asciiTheme="minorHAnsi" w:hAnsiTheme="minorHAnsi" w:cstheme="minorHAnsi"/>
          <w:color w:val="auto"/>
          <w:szCs w:val="24"/>
        </w:rPr>
        <w:t>continue</w:t>
      </w:r>
      <w:r w:rsidR="00D36571">
        <w:rPr>
          <w:rFonts w:asciiTheme="minorHAnsi" w:hAnsiTheme="minorHAnsi" w:cstheme="minorHAnsi"/>
          <w:color w:val="auto"/>
          <w:szCs w:val="24"/>
        </w:rPr>
        <w:t>d</w:t>
      </w:r>
      <w:r w:rsidR="008A6F0E" w:rsidRPr="008A6ACC">
        <w:rPr>
          <w:rFonts w:asciiTheme="minorHAnsi" w:hAnsiTheme="minorHAnsi" w:cstheme="minorHAnsi"/>
          <w:color w:val="auto"/>
          <w:szCs w:val="24"/>
        </w:rPr>
        <w:t xml:space="preserve"> to have significant depression, with </w:t>
      </w:r>
      <w:proofErr w:type="spellStart"/>
      <w:r w:rsidR="008A6F0E" w:rsidRPr="008A6ACC">
        <w:rPr>
          <w:rFonts w:asciiTheme="minorHAnsi" w:hAnsiTheme="minorHAnsi" w:cstheme="minorHAnsi"/>
          <w:color w:val="auto"/>
          <w:szCs w:val="24"/>
        </w:rPr>
        <w:t>neurovegetative</w:t>
      </w:r>
      <w:proofErr w:type="spellEnd"/>
      <w:r w:rsidR="008A6F0E" w:rsidRPr="008A6ACC">
        <w:rPr>
          <w:rFonts w:asciiTheme="minorHAnsi" w:hAnsiTheme="minorHAnsi" w:cstheme="minorHAnsi"/>
          <w:color w:val="auto"/>
          <w:szCs w:val="24"/>
        </w:rPr>
        <w:t xml:space="preserve"> symptoms and anxiety</w:t>
      </w:r>
      <w:r w:rsidR="005F5750">
        <w:rPr>
          <w:rFonts w:asciiTheme="minorHAnsi" w:hAnsiTheme="minorHAnsi" w:cstheme="minorHAnsi"/>
          <w:color w:val="auto"/>
          <w:szCs w:val="24"/>
        </w:rPr>
        <w:t>,</w:t>
      </w:r>
      <w:r w:rsidR="008A6F0E" w:rsidRPr="008A6ACC">
        <w:rPr>
          <w:rFonts w:asciiTheme="minorHAnsi" w:hAnsiTheme="minorHAnsi" w:cstheme="minorHAnsi"/>
          <w:color w:val="auto"/>
          <w:szCs w:val="24"/>
        </w:rPr>
        <w:t xml:space="preserve"> but </w:t>
      </w:r>
      <w:r w:rsidR="005F5750">
        <w:rPr>
          <w:rFonts w:asciiTheme="minorHAnsi" w:hAnsiTheme="minorHAnsi" w:cstheme="minorHAnsi"/>
          <w:color w:val="auto"/>
          <w:szCs w:val="24"/>
        </w:rPr>
        <w:t xml:space="preserve">he </w:t>
      </w:r>
      <w:r w:rsidR="008A6F0E" w:rsidRPr="008A6ACC">
        <w:rPr>
          <w:rFonts w:asciiTheme="minorHAnsi" w:hAnsiTheme="minorHAnsi" w:cstheme="minorHAnsi"/>
          <w:color w:val="auto"/>
          <w:szCs w:val="24"/>
        </w:rPr>
        <w:t>felt that finding employment would help him recover from depression and start a new life.  He hoped that someday he would be reunited with his wife and stated</w:t>
      </w:r>
      <w:r w:rsidR="005F5750">
        <w:rPr>
          <w:rFonts w:asciiTheme="minorHAnsi" w:hAnsiTheme="minorHAnsi" w:cstheme="minorHAnsi"/>
          <w:color w:val="auto"/>
          <w:szCs w:val="24"/>
        </w:rPr>
        <w:t>,</w:t>
      </w:r>
      <w:r w:rsidR="008A6F0E" w:rsidRPr="008A6ACC">
        <w:rPr>
          <w:rFonts w:asciiTheme="minorHAnsi" w:hAnsiTheme="minorHAnsi" w:cstheme="minorHAnsi"/>
          <w:color w:val="auto"/>
          <w:szCs w:val="24"/>
        </w:rPr>
        <w:t xml:space="preserve"> "I love the Air Force and I want back in."  The</w:t>
      </w:r>
      <w:r w:rsidR="008A6ACC" w:rsidRPr="008A6ACC">
        <w:rPr>
          <w:rFonts w:asciiTheme="minorHAnsi" w:hAnsiTheme="minorHAnsi" w:cstheme="minorHAnsi"/>
          <w:color w:val="auto"/>
          <w:szCs w:val="24"/>
        </w:rPr>
        <w:t xml:space="preserve"> </w:t>
      </w:r>
      <w:r w:rsidR="00E96DEF">
        <w:rPr>
          <w:rFonts w:asciiTheme="minorHAnsi" w:hAnsiTheme="minorHAnsi" w:cstheme="minorHAnsi"/>
          <w:color w:val="auto"/>
          <w:szCs w:val="24"/>
        </w:rPr>
        <w:t>A</w:t>
      </w:r>
      <w:r w:rsidR="008A6ACC" w:rsidRPr="008A6ACC">
        <w:rPr>
          <w:rFonts w:asciiTheme="minorHAnsi" w:hAnsiTheme="minorHAnsi" w:cstheme="minorHAnsi"/>
          <w:color w:val="auto"/>
          <w:szCs w:val="24"/>
        </w:rPr>
        <w:t xml:space="preserve">xis I diagnosis was anxiety disorder </w:t>
      </w:r>
      <w:r w:rsidR="00E96DEF">
        <w:rPr>
          <w:rFonts w:asciiTheme="minorHAnsi" w:hAnsiTheme="minorHAnsi" w:cstheme="minorHAnsi"/>
          <w:color w:val="auto"/>
          <w:szCs w:val="24"/>
        </w:rPr>
        <w:t>NOS</w:t>
      </w:r>
      <w:r w:rsidR="005816E5">
        <w:rPr>
          <w:rFonts w:asciiTheme="minorHAnsi" w:hAnsiTheme="minorHAnsi" w:cstheme="minorHAnsi"/>
          <w:color w:val="auto"/>
          <w:szCs w:val="24"/>
        </w:rPr>
        <w:t xml:space="preserve">, chronic severe </w:t>
      </w:r>
      <w:r w:rsidR="008A6ACC" w:rsidRPr="008A6ACC">
        <w:rPr>
          <w:rFonts w:asciiTheme="minorHAnsi" w:hAnsiTheme="minorHAnsi" w:cstheme="minorHAnsi"/>
          <w:color w:val="auto"/>
          <w:szCs w:val="24"/>
        </w:rPr>
        <w:t>in par</w:t>
      </w:r>
      <w:r w:rsidR="005816E5">
        <w:rPr>
          <w:rFonts w:asciiTheme="minorHAnsi" w:hAnsiTheme="minorHAnsi" w:cstheme="minorHAnsi"/>
          <w:color w:val="auto"/>
          <w:szCs w:val="24"/>
        </w:rPr>
        <w:t xml:space="preserve">tial remission on medications. </w:t>
      </w:r>
      <w:r w:rsidR="00E96DEF">
        <w:rPr>
          <w:rFonts w:asciiTheme="minorHAnsi" w:hAnsiTheme="minorHAnsi" w:cstheme="minorHAnsi"/>
          <w:color w:val="auto"/>
          <w:szCs w:val="24"/>
        </w:rPr>
        <w:t xml:space="preserve"> </w:t>
      </w:r>
      <w:r w:rsidR="005816E5">
        <w:rPr>
          <w:rFonts w:asciiTheme="minorHAnsi" w:hAnsiTheme="minorHAnsi" w:cstheme="minorHAnsi"/>
          <w:color w:val="auto"/>
          <w:szCs w:val="24"/>
        </w:rPr>
        <w:t>The GAF was 60.  His condition</w:t>
      </w:r>
      <w:r w:rsidR="008A6ACC" w:rsidRPr="008A6ACC">
        <w:rPr>
          <w:rFonts w:asciiTheme="minorHAnsi" w:hAnsiTheme="minorHAnsi" w:cstheme="minorHAnsi"/>
          <w:color w:val="auto"/>
          <w:szCs w:val="24"/>
        </w:rPr>
        <w:t xml:space="preserve"> continued to be medically unacceptable </w:t>
      </w:r>
      <w:r w:rsidR="00E96DEF">
        <w:rPr>
          <w:rFonts w:asciiTheme="minorHAnsi" w:hAnsiTheme="minorHAnsi" w:cstheme="minorHAnsi"/>
          <w:color w:val="auto"/>
          <w:szCs w:val="24"/>
        </w:rPr>
        <w:t>IAW</w:t>
      </w:r>
      <w:r w:rsidR="008A6ACC" w:rsidRPr="008A6ACC">
        <w:rPr>
          <w:rFonts w:asciiTheme="minorHAnsi" w:hAnsiTheme="minorHAnsi" w:cstheme="minorHAnsi"/>
          <w:color w:val="auto"/>
          <w:szCs w:val="24"/>
        </w:rPr>
        <w:t xml:space="preserve"> AFI 48-123 and AFI 36-3212 and was referred to the PEB for final adjudication.</w:t>
      </w:r>
      <w:r w:rsidR="00BB63F2">
        <w:rPr>
          <w:rFonts w:asciiTheme="minorHAnsi" w:hAnsiTheme="minorHAnsi" w:cstheme="minorHAnsi"/>
          <w:color w:val="auto"/>
          <w:szCs w:val="24"/>
        </w:rPr>
        <w:t xml:space="preserve">  </w:t>
      </w:r>
      <w:r w:rsidR="008A6ACC">
        <w:rPr>
          <w:rFonts w:asciiTheme="minorHAnsi" w:hAnsiTheme="minorHAnsi" w:cstheme="minorHAnsi"/>
          <w:color w:val="auto"/>
          <w:szCs w:val="24"/>
        </w:rPr>
        <w:t>The IPEB on 13 August 2001 one month before separation from the TDRL found the anxiety disorder in partial remission to be unfitting, code 9400</w:t>
      </w:r>
      <w:r w:rsidR="000B16D9">
        <w:rPr>
          <w:rFonts w:asciiTheme="minorHAnsi" w:hAnsiTheme="minorHAnsi" w:cstheme="minorHAnsi"/>
          <w:color w:val="auto"/>
          <w:szCs w:val="24"/>
        </w:rPr>
        <w:t xml:space="preserve"> with a 10% rating.  Depression, code 9434 (</w:t>
      </w:r>
      <w:r w:rsidR="00E96DEF">
        <w:rPr>
          <w:rFonts w:asciiTheme="minorHAnsi" w:hAnsiTheme="minorHAnsi" w:cstheme="minorHAnsi"/>
          <w:color w:val="auto"/>
          <w:szCs w:val="24"/>
        </w:rPr>
        <w:t>MDD</w:t>
      </w:r>
      <w:r w:rsidR="000B16D9">
        <w:rPr>
          <w:rFonts w:asciiTheme="minorHAnsi" w:hAnsiTheme="minorHAnsi" w:cstheme="minorHAnsi"/>
          <w:color w:val="auto"/>
          <w:szCs w:val="24"/>
        </w:rPr>
        <w:t>) was considered to be a category II condition.</w:t>
      </w:r>
      <w:r w:rsidR="005F5750">
        <w:rPr>
          <w:rFonts w:asciiTheme="minorHAnsi" w:hAnsiTheme="minorHAnsi" w:cstheme="minorHAnsi"/>
          <w:color w:val="auto"/>
          <w:szCs w:val="24"/>
        </w:rPr>
        <w:t xml:space="preserve">  The CI</w:t>
      </w:r>
      <w:r w:rsidR="009A3627" w:rsidRPr="008A6ACC">
        <w:rPr>
          <w:rFonts w:asciiTheme="minorHAnsi" w:hAnsiTheme="minorHAnsi" w:cstheme="minorHAnsi"/>
          <w:color w:val="auto"/>
          <w:szCs w:val="24"/>
        </w:rPr>
        <w:t xml:space="preserve"> petition</w:t>
      </w:r>
      <w:r w:rsidR="005F5750">
        <w:rPr>
          <w:rFonts w:asciiTheme="minorHAnsi" w:hAnsiTheme="minorHAnsi" w:cstheme="minorHAnsi"/>
          <w:color w:val="auto"/>
          <w:szCs w:val="24"/>
        </w:rPr>
        <w:t>ed</w:t>
      </w:r>
      <w:r w:rsidR="009A3627" w:rsidRPr="008A6ACC">
        <w:rPr>
          <w:rFonts w:asciiTheme="minorHAnsi" w:hAnsiTheme="minorHAnsi" w:cstheme="minorHAnsi"/>
          <w:color w:val="auto"/>
          <w:szCs w:val="24"/>
        </w:rPr>
        <w:t xml:space="preserve"> the A</w:t>
      </w:r>
      <w:r w:rsidR="00E96DEF">
        <w:rPr>
          <w:rFonts w:asciiTheme="minorHAnsi" w:hAnsiTheme="minorHAnsi" w:cstheme="minorHAnsi"/>
          <w:color w:val="auto"/>
          <w:szCs w:val="24"/>
        </w:rPr>
        <w:t>F</w:t>
      </w:r>
      <w:r w:rsidR="009A3627" w:rsidRPr="008A6ACC">
        <w:rPr>
          <w:rFonts w:asciiTheme="minorHAnsi" w:hAnsiTheme="minorHAnsi" w:cstheme="minorHAnsi"/>
          <w:color w:val="auto"/>
          <w:szCs w:val="24"/>
        </w:rPr>
        <w:t>B</w:t>
      </w:r>
      <w:r w:rsidR="00E96DEF">
        <w:rPr>
          <w:rFonts w:asciiTheme="minorHAnsi" w:hAnsiTheme="minorHAnsi" w:cstheme="minorHAnsi"/>
          <w:color w:val="auto"/>
          <w:szCs w:val="24"/>
        </w:rPr>
        <w:t>CMR</w:t>
      </w:r>
      <w:r w:rsidR="009A3627" w:rsidRPr="008A6ACC">
        <w:rPr>
          <w:rFonts w:asciiTheme="minorHAnsi" w:hAnsiTheme="minorHAnsi" w:cstheme="minorHAnsi"/>
          <w:color w:val="auto"/>
          <w:szCs w:val="24"/>
        </w:rPr>
        <w:t>, contesting the difference between the VA and service ratings.  On 26 January 2009 they found insufficient evidence for an error or injustice in the service rating for this condition.</w:t>
      </w:r>
    </w:p>
    <w:p w:rsidR="00327683" w:rsidRDefault="00327683" w:rsidP="008A6ACC">
      <w:pPr>
        <w:spacing w:line="240" w:lineRule="exact"/>
        <w:jc w:val="both"/>
        <w:rPr>
          <w:rFonts w:asciiTheme="minorHAnsi" w:hAnsiTheme="minorHAnsi" w:cstheme="minorHAnsi"/>
          <w:color w:val="auto"/>
          <w:szCs w:val="24"/>
        </w:rPr>
      </w:pPr>
    </w:p>
    <w:p w:rsidR="005816E5" w:rsidRDefault="000C58BF" w:rsidP="008A6ACC">
      <w:pPr>
        <w:spacing w:line="240" w:lineRule="exact"/>
        <w:jc w:val="both"/>
        <w:rPr>
          <w:color w:val="auto"/>
          <w:szCs w:val="24"/>
        </w:rPr>
      </w:pPr>
      <w:r w:rsidRPr="00E03A70">
        <w:rPr>
          <w:rFonts w:asciiTheme="minorHAnsi" w:hAnsiTheme="minorHAnsi" w:cstheme="minorHAnsi"/>
          <w:color w:val="auto"/>
          <w:szCs w:val="24"/>
        </w:rPr>
        <w:lastRenderedPageBreak/>
        <w:t>The Board considered at length</w:t>
      </w:r>
      <w:r w:rsidR="00F5604D" w:rsidRPr="00E03A70">
        <w:rPr>
          <w:rFonts w:asciiTheme="minorHAnsi" w:hAnsiTheme="minorHAnsi" w:cstheme="minorHAnsi"/>
          <w:color w:val="auto"/>
          <w:szCs w:val="24"/>
        </w:rPr>
        <w:t xml:space="preserve"> the </w:t>
      </w:r>
      <w:r w:rsidRPr="00E03A70">
        <w:rPr>
          <w:rFonts w:asciiTheme="minorHAnsi" w:hAnsiTheme="minorHAnsi" w:cstheme="minorHAnsi"/>
          <w:color w:val="auto"/>
          <w:szCs w:val="24"/>
        </w:rPr>
        <w:t xml:space="preserve">application of </w:t>
      </w:r>
      <w:r w:rsidRPr="00E03A70">
        <w:rPr>
          <w:color w:val="auto"/>
          <w:szCs w:val="24"/>
        </w:rPr>
        <w:t>§4.129, the</w:t>
      </w:r>
      <w:r w:rsidRPr="00E03A70">
        <w:rPr>
          <w:rFonts w:asciiTheme="minorHAnsi" w:hAnsiTheme="minorHAnsi" w:cstheme="minorHAnsi"/>
          <w:color w:val="auto"/>
          <w:szCs w:val="24"/>
        </w:rPr>
        <w:t xml:space="preserve"> </w:t>
      </w:r>
      <w:r w:rsidR="00F5604D" w:rsidRPr="00E03A70">
        <w:rPr>
          <w:rFonts w:asciiTheme="minorHAnsi" w:hAnsiTheme="minorHAnsi" w:cstheme="minorHAnsi"/>
          <w:color w:val="auto"/>
          <w:szCs w:val="24"/>
        </w:rPr>
        <w:t>TDRL rating</w:t>
      </w:r>
      <w:r w:rsidR="00314C29" w:rsidRPr="00E03A70">
        <w:rPr>
          <w:rFonts w:asciiTheme="minorHAnsi" w:hAnsiTheme="minorHAnsi" w:cstheme="minorHAnsi"/>
          <w:color w:val="auto"/>
          <w:szCs w:val="24"/>
        </w:rPr>
        <w:t>, the coding</w:t>
      </w:r>
      <w:r w:rsidR="00F5604D" w:rsidRPr="00E03A70">
        <w:rPr>
          <w:rFonts w:asciiTheme="minorHAnsi" w:hAnsiTheme="minorHAnsi" w:cstheme="minorHAnsi"/>
          <w:color w:val="auto"/>
          <w:szCs w:val="24"/>
        </w:rPr>
        <w:t xml:space="preserve"> and the final rating for</w:t>
      </w:r>
      <w:r w:rsidR="00327683" w:rsidRPr="00E03A70">
        <w:rPr>
          <w:rFonts w:asciiTheme="minorHAnsi" w:hAnsiTheme="minorHAnsi" w:cstheme="minorHAnsi"/>
          <w:color w:val="auto"/>
          <w:szCs w:val="24"/>
        </w:rPr>
        <w:t xml:space="preserve"> the anxiety disorder as unfitting at a 10% versus 30% level.  </w:t>
      </w:r>
      <w:r w:rsidR="000B71DC" w:rsidRPr="00E03A70">
        <w:rPr>
          <w:rFonts w:asciiTheme="minorHAnsi" w:hAnsiTheme="minorHAnsi" w:cstheme="minorHAnsi"/>
          <w:color w:val="auto"/>
          <w:szCs w:val="24"/>
        </w:rPr>
        <w:t xml:space="preserve">The Board did agree that application of </w:t>
      </w:r>
      <w:r w:rsidR="000B71DC" w:rsidRPr="00E03A70">
        <w:rPr>
          <w:color w:val="auto"/>
          <w:szCs w:val="24"/>
        </w:rPr>
        <w:t xml:space="preserve">§4.129 </w:t>
      </w:r>
      <w:proofErr w:type="gramStart"/>
      <w:r w:rsidR="000B71DC" w:rsidRPr="00E03A70">
        <w:rPr>
          <w:color w:val="auto"/>
          <w:szCs w:val="24"/>
        </w:rPr>
        <w:t>was</w:t>
      </w:r>
      <w:proofErr w:type="gramEnd"/>
      <w:r w:rsidR="000B71DC" w:rsidRPr="00E03A70">
        <w:rPr>
          <w:color w:val="auto"/>
          <w:szCs w:val="24"/>
        </w:rPr>
        <w:t xml:space="preserve"> appropriate</w:t>
      </w:r>
      <w:r w:rsidR="00314C29" w:rsidRPr="00E03A70">
        <w:rPr>
          <w:color w:val="auto"/>
          <w:szCs w:val="24"/>
        </w:rPr>
        <w:t xml:space="preserve"> given his </w:t>
      </w:r>
      <w:r w:rsidR="00314C29" w:rsidRPr="00E03A70">
        <w:rPr>
          <w:rFonts w:asciiTheme="minorHAnsi" w:hAnsiTheme="minorHAnsi" w:cstheme="minorHAnsi"/>
          <w:bCs/>
          <w:color w:val="auto"/>
          <w:szCs w:val="24"/>
        </w:rPr>
        <w:t>exposure to the eruption of Mount Pinatubo and the subsequent earthquakes and a typhoon.</w:t>
      </w:r>
      <w:r w:rsidR="000B71DC" w:rsidRPr="00E03A70">
        <w:rPr>
          <w:color w:val="auto"/>
          <w:szCs w:val="24"/>
        </w:rPr>
        <w:t xml:space="preserve">  IAW DoDI 6040.44 and DoD guidance (which applies current VASRD 4.129 to all Board cases), the Board is obligated to recommend a minimum 50% PTSD rating for a retroactive six-month period on the TDRL.  The Board must then determine the most appropriate fit with VASRD 4.130 criteria for its permanent rating recommendation. The Board agreed that the 50% rating was not exceeded for the TDRL period.  The Board next considered the permanent rating recommendation with discussion related to a final 10% versus 30% rating.  </w:t>
      </w:r>
    </w:p>
    <w:p w:rsidR="005816E5" w:rsidRDefault="005816E5" w:rsidP="008A6ACC">
      <w:pPr>
        <w:spacing w:line="240" w:lineRule="exact"/>
        <w:jc w:val="both"/>
        <w:rPr>
          <w:color w:val="auto"/>
          <w:szCs w:val="24"/>
        </w:rPr>
      </w:pPr>
    </w:p>
    <w:p w:rsidR="00812BDC" w:rsidRPr="00E03A70" w:rsidRDefault="000B71DC" w:rsidP="008A6ACC">
      <w:pPr>
        <w:spacing w:line="240" w:lineRule="exact"/>
        <w:jc w:val="both"/>
        <w:rPr>
          <w:rFonts w:asciiTheme="minorHAnsi" w:hAnsiTheme="minorHAnsi" w:cstheme="minorHAnsi"/>
          <w:bCs/>
          <w:color w:val="auto"/>
          <w:szCs w:val="24"/>
        </w:rPr>
      </w:pPr>
      <w:r w:rsidRPr="00E03A70">
        <w:rPr>
          <w:color w:val="auto"/>
          <w:szCs w:val="24"/>
        </w:rPr>
        <w:t xml:space="preserve">The Board </w:t>
      </w:r>
      <w:r w:rsidR="005816E5">
        <w:rPr>
          <w:color w:val="auto"/>
          <w:szCs w:val="24"/>
        </w:rPr>
        <w:t xml:space="preserve">majority </w:t>
      </w:r>
      <w:r w:rsidRPr="00E03A70">
        <w:rPr>
          <w:color w:val="auto"/>
          <w:szCs w:val="24"/>
        </w:rPr>
        <w:t xml:space="preserve">determined that the MEB and TDRL examinations </w:t>
      </w:r>
      <w:r w:rsidR="00314C29" w:rsidRPr="00E03A70">
        <w:rPr>
          <w:color w:val="auto"/>
          <w:szCs w:val="24"/>
        </w:rPr>
        <w:t>strongly supported a 10% rating</w:t>
      </w:r>
      <w:r w:rsidR="00E03A70" w:rsidRPr="00E03A70">
        <w:rPr>
          <w:color w:val="auto"/>
          <w:szCs w:val="24"/>
        </w:rPr>
        <w:t xml:space="preserve"> with minimal occupational and social impairment</w:t>
      </w:r>
      <w:r w:rsidR="00314C29" w:rsidRPr="00E03A70">
        <w:rPr>
          <w:color w:val="auto"/>
          <w:szCs w:val="24"/>
        </w:rPr>
        <w:t xml:space="preserve">. </w:t>
      </w:r>
      <w:r w:rsidR="005816E5">
        <w:rPr>
          <w:color w:val="auto"/>
          <w:szCs w:val="24"/>
        </w:rPr>
        <w:t>One Board minority considered the symptoms typical of 30% (</w:t>
      </w:r>
      <w:r w:rsidR="00323968">
        <w:rPr>
          <w:color w:val="auto"/>
          <w:szCs w:val="24"/>
        </w:rPr>
        <w:t>o</w:t>
      </w:r>
      <w:r w:rsidR="005816E5">
        <w:rPr>
          <w:color w:val="auto"/>
          <w:szCs w:val="24"/>
        </w:rPr>
        <w:t>ccupational and social impairment with occasional decrease in work efficiency and intermittent periods of inability to perform occupational tasks – although generally functioning satisfactorily with routine behavior self care and conversation normal</w:t>
      </w:r>
      <w:r w:rsidR="00323968">
        <w:rPr>
          <w:color w:val="auto"/>
          <w:szCs w:val="24"/>
        </w:rPr>
        <w:t>)</w:t>
      </w:r>
      <w:r w:rsidR="00314C29" w:rsidRPr="00E03A70">
        <w:rPr>
          <w:rFonts w:asciiTheme="minorHAnsi" w:hAnsiTheme="minorHAnsi" w:cstheme="minorHAnsi"/>
          <w:color w:val="auto"/>
          <w:szCs w:val="24"/>
        </w:rPr>
        <w:t>.  The Board considered coding options for code 9400 (anxiety disorder) and 9411 (PTSD)</w:t>
      </w:r>
      <w:r w:rsidR="005816E5">
        <w:rPr>
          <w:rFonts w:asciiTheme="minorHAnsi" w:hAnsiTheme="minorHAnsi" w:cstheme="minorHAnsi"/>
          <w:color w:val="auto"/>
          <w:szCs w:val="24"/>
        </w:rPr>
        <w:t xml:space="preserve"> as under the VASRD either coding option is rated the same way under a global mental health assessment there was no advantage of one code over the other</w:t>
      </w:r>
      <w:r w:rsidR="00314C29" w:rsidRPr="00E03A70">
        <w:rPr>
          <w:rFonts w:asciiTheme="minorHAnsi" w:hAnsiTheme="minorHAnsi" w:cstheme="minorHAnsi"/>
          <w:color w:val="auto"/>
          <w:szCs w:val="24"/>
        </w:rPr>
        <w:t xml:space="preserve">.  </w:t>
      </w:r>
      <w:r w:rsidR="00E03A70" w:rsidRPr="00E03A70">
        <w:rPr>
          <w:rFonts w:asciiTheme="minorHAnsi" w:hAnsiTheme="minorHAnsi" w:cstheme="minorHAnsi"/>
          <w:color w:val="auto"/>
          <w:szCs w:val="24"/>
        </w:rPr>
        <w:t>After careful consideration of all available evidence, t</w:t>
      </w:r>
      <w:r w:rsidR="00CB581D" w:rsidRPr="00E03A70">
        <w:rPr>
          <w:rFonts w:asciiTheme="minorHAnsi" w:hAnsiTheme="minorHAnsi" w:cstheme="minorHAnsi"/>
          <w:color w:val="auto"/>
          <w:szCs w:val="24"/>
        </w:rPr>
        <w:t>he Board</w:t>
      </w:r>
      <w:r w:rsidR="005F5750" w:rsidRPr="00E03A70">
        <w:rPr>
          <w:rFonts w:asciiTheme="minorHAnsi" w:hAnsiTheme="minorHAnsi" w:cstheme="minorHAnsi"/>
          <w:color w:val="auto"/>
          <w:szCs w:val="24"/>
        </w:rPr>
        <w:t>,</w:t>
      </w:r>
      <w:r w:rsidR="00CB581D" w:rsidRPr="00E03A70">
        <w:rPr>
          <w:rFonts w:asciiTheme="minorHAnsi" w:hAnsiTheme="minorHAnsi" w:cstheme="minorHAnsi"/>
          <w:color w:val="auto"/>
          <w:szCs w:val="24"/>
        </w:rPr>
        <w:t xml:space="preserve"> </w:t>
      </w:r>
      <w:r w:rsidR="00E03A70" w:rsidRPr="00E03A70">
        <w:rPr>
          <w:rFonts w:asciiTheme="minorHAnsi" w:hAnsiTheme="minorHAnsi" w:cstheme="minorHAnsi"/>
          <w:color w:val="auto"/>
          <w:szCs w:val="24"/>
        </w:rPr>
        <w:t xml:space="preserve">by simple majority, </w:t>
      </w:r>
      <w:r w:rsidR="00812BDC" w:rsidRPr="00E03A70">
        <w:rPr>
          <w:rFonts w:asciiTheme="minorHAnsi" w:hAnsiTheme="minorHAnsi" w:cstheme="minorHAnsi"/>
          <w:color w:val="auto"/>
          <w:szCs w:val="24"/>
        </w:rPr>
        <w:t>recommends a TDRL rating of 5</w:t>
      </w:r>
      <w:r w:rsidR="00CB581D" w:rsidRPr="00E03A70">
        <w:rPr>
          <w:rFonts w:asciiTheme="minorHAnsi" w:hAnsiTheme="minorHAnsi" w:cstheme="minorHAnsi"/>
          <w:color w:val="auto"/>
          <w:szCs w:val="24"/>
        </w:rPr>
        <w:t xml:space="preserve">0% and </w:t>
      </w:r>
      <w:r w:rsidR="000024F7" w:rsidRPr="00E03A70">
        <w:rPr>
          <w:rFonts w:asciiTheme="minorHAnsi" w:hAnsiTheme="minorHAnsi" w:cstheme="minorHAnsi"/>
          <w:color w:val="auto"/>
          <w:szCs w:val="24"/>
        </w:rPr>
        <w:t xml:space="preserve">a final rating of 10%, </w:t>
      </w:r>
      <w:r w:rsidR="000C58BF" w:rsidRPr="00E03A70">
        <w:rPr>
          <w:rFonts w:asciiTheme="minorHAnsi" w:hAnsiTheme="minorHAnsi" w:cstheme="minorHAnsi"/>
          <w:color w:val="auto"/>
          <w:szCs w:val="24"/>
        </w:rPr>
        <w:t xml:space="preserve">code 9400 </w:t>
      </w:r>
      <w:r w:rsidR="000024F7" w:rsidRPr="00E03A70">
        <w:rPr>
          <w:rFonts w:asciiTheme="minorHAnsi" w:hAnsiTheme="minorHAnsi" w:cstheme="minorHAnsi"/>
          <w:color w:val="auto"/>
          <w:szCs w:val="24"/>
        </w:rPr>
        <w:t xml:space="preserve">for the </w:t>
      </w:r>
      <w:r w:rsidR="005816E5">
        <w:rPr>
          <w:rFonts w:asciiTheme="minorHAnsi" w:hAnsiTheme="minorHAnsi" w:cstheme="minorHAnsi"/>
          <w:color w:val="auto"/>
          <w:szCs w:val="24"/>
        </w:rPr>
        <w:t>mental health</w:t>
      </w:r>
      <w:r w:rsidR="000024F7" w:rsidRPr="00E03A70">
        <w:rPr>
          <w:rFonts w:asciiTheme="minorHAnsi" w:hAnsiTheme="minorHAnsi" w:cstheme="minorHAnsi"/>
          <w:color w:val="auto"/>
          <w:szCs w:val="24"/>
        </w:rPr>
        <w:t xml:space="preserve"> condition</w:t>
      </w:r>
      <w:r w:rsidR="00CB581D" w:rsidRPr="00E03A70">
        <w:rPr>
          <w:rFonts w:asciiTheme="minorHAnsi" w:hAnsiTheme="minorHAnsi" w:cstheme="minorHAnsi"/>
          <w:color w:val="auto"/>
          <w:szCs w:val="24"/>
        </w:rPr>
        <w:t>.</w:t>
      </w:r>
      <w:r w:rsidR="00327683" w:rsidRPr="00E03A70">
        <w:rPr>
          <w:rFonts w:asciiTheme="minorHAnsi" w:hAnsiTheme="minorHAnsi" w:cstheme="minorHAnsi"/>
          <w:color w:val="auto"/>
          <w:szCs w:val="24"/>
        </w:rPr>
        <w:t xml:space="preserve"> </w:t>
      </w:r>
      <w:r w:rsidR="00297903" w:rsidRPr="00E03A70">
        <w:rPr>
          <w:rFonts w:asciiTheme="minorHAnsi" w:hAnsiTheme="minorHAnsi" w:cstheme="minorHAnsi"/>
          <w:color w:val="auto"/>
          <w:szCs w:val="24"/>
        </w:rPr>
        <w:t xml:space="preserve"> </w:t>
      </w:r>
      <w:r w:rsidR="00327683" w:rsidRPr="00E03A70">
        <w:rPr>
          <w:rFonts w:asciiTheme="minorHAnsi" w:hAnsiTheme="minorHAnsi" w:cstheme="minorHAnsi"/>
          <w:color w:val="auto"/>
          <w:szCs w:val="24"/>
        </w:rPr>
        <w:t xml:space="preserve"> </w:t>
      </w:r>
    </w:p>
    <w:p w:rsidR="00D36571" w:rsidRPr="00D36571" w:rsidRDefault="00D36571" w:rsidP="008A6ACC">
      <w:pPr>
        <w:spacing w:line="240" w:lineRule="exact"/>
        <w:jc w:val="both"/>
        <w:rPr>
          <w:rFonts w:asciiTheme="minorHAnsi" w:hAnsiTheme="minorHAnsi" w:cstheme="minorHAnsi"/>
          <w:bCs/>
          <w:color w:val="auto"/>
          <w:szCs w:val="24"/>
        </w:rPr>
      </w:pPr>
    </w:p>
    <w:p w:rsidR="00EC337D" w:rsidRPr="00777E47" w:rsidRDefault="004C60A3" w:rsidP="005E5D58">
      <w:pPr>
        <w:spacing w:line="240" w:lineRule="exact"/>
        <w:jc w:val="both"/>
        <w:rPr>
          <w:rFonts w:eastAsia="HiddenHorzOCR"/>
          <w:i/>
          <w:color w:val="auto"/>
          <w:sz w:val="20"/>
        </w:rPr>
      </w:pPr>
      <w:proofErr w:type="gramStart"/>
      <w:r w:rsidRPr="003F1206">
        <w:rPr>
          <w:rFonts w:eastAsia="HiddenHorzOCR"/>
          <w:color w:val="auto"/>
          <w:szCs w:val="24"/>
          <w:u w:val="single"/>
        </w:rPr>
        <w:t>Ot</w:t>
      </w:r>
      <w:r w:rsidR="003604A5" w:rsidRPr="003F1206">
        <w:rPr>
          <w:rFonts w:eastAsia="HiddenHorzOCR"/>
          <w:color w:val="auto"/>
          <w:szCs w:val="24"/>
          <w:u w:val="single"/>
        </w:rPr>
        <w:t xml:space="preserve">her </w:t>
      </w:r>
      <w:r w:rsidR="000B2FB8" w:rsidRPr="003F1206">
        <w:rPr>
          <w:rFonts w:eastAsia="HiddenHorzOCR"/>
          <w:color w:val="auto"/>
          <w:szCs w:val="24"/>
          <w:u w:val="single"/>
        </w:rPr>
        <w:t xml:space="preserve">PEB </w:t>
      </w:r>
      <w:r w:rsidR="003604A5" w:rsidRPr="003F1206">
        <w:rPr>
          <w:rFonts w:eastAsia="HiddenHorzOCR"/>
          <w:color w:val="auto"/>
          <w:szCs w:val="24"/>
          <w:u w:val="single"/>
        </w:rPr>
        <w:t>Conditions</w:t>
      </w:r>
      <w:r w:rsidR="003604A5" w:rsidRPr="00EC337D">
        <w:rPr>
          <w:rFonts w:eastAsia="HiddenHorzOCR"/>
          <w:color w:val="auto"/>
          <w:szCs w:val="24"/>
        </w:rPr>
        <w:t>.</w:t>
      </w:r>
      <w:proofErr w:type="gramEnd"/>
      <w:r w:rsidR="005E5D58">
        <w:rPr>
          <w:rFonts w:eastAsia="HiddenHorzOCR"/>
          <w:color w:val="auto"/>
          <w:szCs w:val="24"/>
        </w:rPr>
        <w:t xml:space="preserve"> </w:t>
      </w:r>
      <w:r w:rsidR="002F2981">
        <w:rPr>
          <w:rFonts w:eastAsia="HiddenHorzOCR"/>
          <w:color w:val="auto"/>
          <w:szCs w:val="24"/>
        </w:rPr>
        <w:t xml:space="preserve"> </w:t>
      </w:r>
      <w:r w:rsidR="005E5D58">
        <w:rPr>
          <w:rFonts w:eastAsia="HiddenHorzOCR"/>
          <w:color w:val="auto"/>
          <w:szCs w:val="24"/>
        </w:rPr>
        <w:t>H</w:t>
      </w:r>
      <w:r w:rsidR="005E5D58" w:rsidRPr="005860A9">
        <w:rPr>
          <w:rFonts w:eastAsia="HiddenHorzOCR"/>
          <w:color w:val="auto"/>
          <w:szCs w:val="24"/>
        </w:rPr>
        <w:t>emorrhoids</w:t>
      </w:r>
      <w:r w:rsidR="00777E47">
        <w:rPr>
          <w:rFonts w:eastAsia="HiddenHorzOCR"/>
          <w:i/>
          <w:color w:val="auto"/>
          <w:sz w:val="20"/>
        </w:rPr>
        <w:t xml:space="preserve"> </w:t>
      </w:r>
      <w:r w:rsidR="005E5D58">
        <w:rPr>
          <w:rFonts w:eastAsia="HiddenHorzOCR"/>
          <w:color w:val="auto"/>
          <w:szCs w:val="24"/>
        </w:rPr>
        <w:t>were</w:t>
      </w:r>
      <w:r w:rsidR="00EC337D" w:rsidRPr="005860A9">
        <w:rPr>
          <w:rFonts w:eastAsia="HiddenHorzOCR"/>
          <w:color w:val="auto"/>
          <w:szCs w:val="24"/>
        </w:rPr>
        <w:t xml:space="preserve"> forwarded by the MEB and adjudicated a</w:t>
      </w:r>
      <w:r w:rsidR="005E5D58">
        <w:rPr>
          <w:rFonts w:eastAsia="HiddenHorzOCR"/>
          <w:color w:val="auto"/>
          <w:szCs w:val="24"/>
        </w:rPr>
        <w:t xml:space="preserve">s not unfitting by the PEB.  </w:t>
      </w:r>
      <w:r w:rsidR="005860A9" w:rsidRPr="005860A9">
        <w:rPr>
          <w:rFonts w:eastAsia="HiddenHorzOCR"/>
          <w:color w:val="auto"/>
          <w:szCs w:val="24"/>
        </w:rPr>
        <w:t>This</w:t>
      </w:r>
      <w:r w:rsidR="00EC337D" w:rsidRPr="005860A9">
        <w:rPr>
          <w:rFonts w:eastAsia="HiddenHorzOCR"/>
          <w:color w:val="auto"/>
          <w:szCs w:val="24"/>
        </w:rPr>
        <w:t xml:space="preserve"> condition </w:t>
      </w:r>
      <w:r w:rsidR="005860A9" w:rsidRPr="005860A9">
        <w:rPr>
          <w:rFonts w:eastAsia="HiddenHorzOCR"/>
          <w:color w:val="auto"/>
          <w:szCs w:val="24"/>
        </w:rPr>
        <w:t>was not</w:t>
      </w:r>
      <w:r w:rsidR="00EC337D" w:rsidRPr="005860A9">
        <w:rPr>
          <w:rFonts w:eastAsia="HiddenHorzOCR"/>
          <w:color w:val="auto"/>
          <w:szCs w:val="24"/>
        </w:rPr>
        <w:t xml:space="preserve"> profiled, implicated in the </w:t>
      </w:r>
      <w:r w:rsidR="00323968">
        <w:rPr>
          <w:rFonts w:eastAsia="HiddenHorzOCR"/>
          <w:color w:val="auto"/>
          <w:szCs w:val="24"/>
        </w:rPr>
        <w:t>c</w:t>
      </w:r>
      <w:r w:rsidR="00EC337D" w:rsidRPr="005860A9">
        <w:rPr>
          <w:rFonts w:eastAsia="HiddenHorzOCR"/>
          <w:color w:val="auto"/>
          <w:szCs w:val="24"/>
        </w:rPr>
        <w:t>ommander’s</w:t>
      </w:r>
      <w:r w:rsidR="00774FFD" w:rsidRPr="005860A9">
        <w:rPr>
          <w:rFonts w:eastAsia="HiddenHorzOCR"/>
          <w:color w:val="auto"/>
          <w:szCs w:val="24"/>
        </w:rPr>
        <w:t xml:space="preserve"> statement</w:t>
      </w:r>
      <w:r w:rsidR="005860A9" w:rsidRPr="005860A9">
        <w:rPr>
          <w:rFonts w:eastAsia="HiddenHorzOCR"/>
          <w:color w:val="auto"/>
          <w:szCs w:val="24"/>
        </w:rPr>
        <w:t xml:space="preserve">, </w:t>
      </w:r>
      <w:r w:rsidR="00EC337D" w:rsidRPr="005860A9">
        <w:rPr>
          <w:rFonts w:eastAsia="HiddenHorzOCR"/>
          <w:color w:val="auto"/>
          <w:szCs w:val="24"/>
        </w:rPr>
        <w:t xml:space="preserve">or noted </w:t>
      </w:r>
      <w:r w:rsidR="005E5D58">
        <w:rPr>
          <w:rFonts w:eastAsia="HiddenHorzOCR"/>
          <w:color w:val="auto"/>
          <w:szCs w:val="24"/>
        </w:rPr>
        <w:t>as failing retention standards.</w:t>
      </w:r>
      <w:r w:rsidR="00EC337D" w:rsidRPr="005860A9">
        <w:rPr>
          <w:rFonts w:eastAsia="HiddenHorzOCR"/>
          <w:color w:val="auto"/>
          <w:szCs w:val="24"/>
        </w:rPr>
        <w:t xml:space="preserve"> </w:t>
      </w:r>
      <w:r w:rsidR="005E5D58">
        <w:rPr>
          <w:rFonts w:eastAsia="HiddenHorzOCR"/>
          <w:color w:val="auto"/>
          <w:szCs w:val="24"/>
        </w:rPr>
        <w:t xml:space="preserve"> It was</w:t>
      </w:r>
      <w:r w:rsidR="00EC337D" w:rsidRPr="005860A9">
        <w:rPr>
          <w:rFonts w:eastAsia="HiddenHorzOCR"/>
          <w:color w:val="auto"/>
          <w:szCs w:val="24"/>
        </w:rPr>
        <w:t xml:space="preserve"> reviewed by the </w:t>
      </w:r>
      <w:r w:rsidR="00323968">
        <w:rPr>
          <w:rFonts w:eastAsia="HiddenHorzOCR"/>
          <w:color w:val="auto"/>
          <w:szCs w:val="24"/>
        </w:rPr>
        <w:t>a</w:t>
      </w:r>
      <w:r w:rsidR="00323968" w:rsidRPr="005860A9">
        <w:rPr>
          <w:rFonts w:eastAsia="HiddenHorzOCR"/>
          <w:color w:val="auto"/>
          <w:szCs w:val="24"/>
        </w:rPr>
        <w:t xml:space="preserve">ction </w:t>
      </w:r>
      <w:r w:rsidR="00323968">
        <w:rPr>
          <w:rFonts w:eastAsia="HiddenHorzOCR"/>
          <w:color w:val="auto"/>
          <w:szCs w:val="24"/>
        </w:rPr>
        <w:t>o</w:t>
      </w:r>
      <w:r w:rsidR="00323968" w:rsidRPr="005860A9">
        <w:rPr>
          <w:rFonts w:eastAsia="HiddenHorzOCR"/>
          <w:color w:val="auto"/>
          <w:szCs w:val="24"/>
        </w:rPr>
        <w:t xml:space="preserve">fficer </w:t>
      </w:r>
      <w:r w:rsidR="00EC337D" w:rsidRPr="005860A9">
        <w:rPr>
          <w:rFonts w:eastAsia="HiddenHorzOCR"/>
          <w:color w:val="auto"/>
          <w:szCs w:val="24"/>
        </w:rPr>
        <w:t>and considered by the Board.  There was no indication f</w:t>
      </w:r>
      <w:r w:rsidR="005E5D58">
        <w:rPr>
          <w:rFonts w:eastAsia="HiddenHorzOCR"/>
          <w:color w:val="auto"/>
          <w:szCs w:val="24"/>
        </w:rPr>
        <w:t>rom the record that this condition</w:t>
      </w:r>
      <w:r w:rsidR="00EC337D" w:rsidRPr="005860A9">
        <w:rPr>
          <w:rFonts w:eastAsia="HiddenHorzOCR"/>
          <w:color w:val="auto"/>
          <w:szCs w:val="24"/>
        </w:rPr>
        <w:t xml:space="preserve"> significantly interfered with satisfactory </w:t>
      </w:r>
      <w:r w:rsidR="00323968">
        <w:rPr>
          <w:rFonts w:eastAsia="HiddenHorzOCR"/>
          <w:color w:val="auto"/>
          <w:szCs w:val="24"/>
        </w:rPr>
        <w:t xml:space="preserve">duty </w:t>
      </w:r>
      <w:r w:rsidR="00EC337D" w:rsidRPr="005860A9">
        <w:rPr>
          <w:rFonts w:eastAsia="HiddenHorzOCR"/>
          <w:color w:val="auto"/>
          <w:szCs w:val="24"/>
        </w:rPr>
        <w:t>performance</w:t>
      </w:r>
      <w:r w:rsidR="008C4BB5">
        <w:rPr>
          <w:rFonts w:eastAsia="HiddenHorzOCR"/>
          <w:color w:val="auto"/>
          <w:szCs w:val="24"/>
        </w:rPr>
        <w:t xml:space="preserve">.  </w:t>
      </w:r>
      <w:r w:rsidR="00EC337D" w:rsidRPr="005860A9">
        <w:rPr>
          <w:rFonts w:eastAsia="HiddenHorzOCR"/>
          <w:color w:val="auto"/>
          <w:szCs w:val="24"/>
        </w:rPr>
        <w:t>All evidence considered</w:t>
      </w:r>
      <w:proofErr w:type="gramStart"/>
      <w:r w:rsidR="00EC337D" w:rsidRPr="005860A9">
        <w:rPr>
          <w:rFonts w:eastAsia="HiddenHorzOCR"/>
          <w:color w:val="auto"/>
          <w:szCs w:val="24"/>
        </w:rPr>
        <w:t>,</w:t>
      </w:r>
      <w:proofErr w:type="gramEnd"/>
      <w:r w:rsidR="00EC337D" w:rsidRPr="005860A9">
        <w:rPr>
          <w:rFonts w:eastAsia="HiddenHorzOCR"/>
          <w:color w:val="auto"/>
          <w:szCs w:val="24"/>
        </w:rPr>
        <w:t xml:space="preserve"> there is not reasonable doubt in the CI’s favor supporting recharacterization of the PEB fitness adjudication for </w:t>
      </w:r>
      <w:r w:rsidR="005E5D58">
        <w:rPr>
          <w:rFonts w:eastAsia="HiddenHorzOCR"/>
          <w:color w:val="auto"/>
          <w:szCs w:val="24"/>
        </w:rPr>
        <w:t>the hemorrhoid condition</w:t>
      </w:r>
      <w:r w:rsidR="00EC337D" w:rsidRPr="005860A9">
        <w:rPr>
          <w:rFonts w:eastAsia="HiddenHorzOCR"/>
          <w:color w:val="auto"/>
          <w:szCs w:val="24"/>
        </w:rPr>
        <w:t>.</w:t>
      </w:r>
    </w:p>
    <w:p w:rsidR="00EC337D" w:rsidRPr="00EC337D" w:rsidRDefault="00EC337D" w:rsidP="00510F9C">
      <w:pPr>
        <w:spacing w:line="240" w:lineRule="exact"/>
        <w:jc w:val="both"/>
        <w:rPr>
          <w:rFonts w:eastAsia="HiddenHorzOCR"/>
          <w:color w:val="auto"/>
          <w:szCs w:val="24"/>
        </w:rPr>
      </w:pPr>
    </w:p>
    <w:p w:rsidR="00F6196E" w:rsidRDefault="00F6196E" w:rsidP="00510F9C">
      <w:pPr>
        <w:spacing w:line="240" w:lineRule="exact"/>
        <w:jc w:val="both"/>
        <w:rPr>
          <w:color w:val="auto"/>
          <w:szCs w:val="24"/>
        </w:rPr>
      </w:pPr>
      <w:proofErr w:type="gramStart"/>
      <w:r w:rsidRPr="00F6196E">
        <w:rPr>
          <w:color w:val="auto"/>
          <w:szCs w:val="24"/>
          <w:u w:val="single"/>
        </w:rPr>
        <w:t>Remaining Conditions</w:t>
      </w:r>
      <w:r>
        <w:rPr>
          <w:color w:val="auto"/>
          <w:szCs w:val="24"/>
        </w:rPr>
        <w:t>.</w:t>
      </w:r>
      <w:proofErr w:type="gramEnd"/>
      <w:r>
        <w:rPr>
          <w:color w:val="auto"/>
          <w:szCs w:val="24"/>
        </w:rPr>
        <w:t xml:space="preserve"> </w:t>
      </w:r>
      <w:r w:rsidR="00097314">
        <w:rPr>
          <w:color w:val="auto"/>
          <w:szCs w:val="24"/>
        </w:rPr>
        <w:t xml:space="preserve"> </w:t>
      </w:r>
      <w:r w:rsidR="008C4BB5">
        <w:rPr>
          <w:color w:val="auto"/>
          <w:szCs w:val="24"/>
        </w:rPr>
        <w:t>Pes planus bilateral was service connected</w:t>
      </w:r>
      <w:r w:rsidR="00323968">
        <w:rPr>
          <w:color w:val="auto"/>
          <w:szCs w:val="24"/>
        </w:rPr>
        <w:t>,</w:t>
      </w:r>
      <w:r w:rsidR="008C4BB5">
        <w:rPr>
          <w:color w:val="auto"/>
          <w:szCs w:val="24"/>
        </w:rPr>
        <w:t xml:space="preserve"> with a 10% VA rating.  This condition is not noted in the DES file. </w:t>
      </w:r>
      <w:r w:rsidR="00323968">
        <w:rPr>
          <w:color w:val="auto"/>
          <w:szCs w:val="24"/>
        </w:rPr>
        <w:t xml:space="preserve"> </w:t>
      </w:r>
      <w:r w:rsidRPr="00F6196E">
        <w:rPr>
          <w:color w:val="auto"/>
          <w:szCs w:val="24"/>
        </w:rPr>
        <w:t>No other conditions were noted in the NARSUM, identified by the CI on the MEB physical</w:t>
      </w:r>
      <w:r w:rsidR="00097314">
        <w:rPr>
          <w:color w:val="auto"/>
          <w:szCs w:val="24"/>
        </w:rPr>
        <w:t>,</w:t>
      </w:r>
      <w:r w:rsidRPr="00F6196E">
        <w:rPr>
          <w:color w:val="auto"/>
          <w:szCs w:val="24"/>
        </w:rPr>
        <w:t xml:space="preserve"> or found elsewhere in the DES file.  The Board does not have the authority under DoDI 6040.44 to render fitness or rating recommendations for any conditions not considered by the DES</w:t>
      </w:r>
      <w:r w:rsidRPr="00B56F3D">
        <w:rPr>
          <w:color w:val="auto"/>
          <w:szCs w:val="24"/>
        </w:rPr>
        <w:t xml:space="preserve">. </w:t>
      </w:r>
      <w:r w:rsidR="003C294B" w:rsidRPr="00B56F3D">
        <w:rPr>
          <w:color w:val="auto"/>
          <w:szCs w:val="24"/>
        </w:rPr>
        <w:t xml:space="preserve"> </w:t>
      </w:r>
      <w:r w:rsidR="00EB04C6" w:rsidRPr="00B56F3D">
        <w:rPr>
          <w:color w:val="auto"/>
          <w:szCs w:val="24"/>
        </w:rPr>
        <w:t>The Boa</w:t>
      </w:r>
      <w:r w:rsidR="00097314">
        <w:rPr>
          <w:color w:val="auto"/>
          <w:szCs w:val="24"/>
        </w:rPr>
        <w:t>rd therefore has no</w:t>
      </w:r>
      <w:r w:rsidR="00EB04C6" w:rsidRPr="00B56F3D">
        <w:rPr>
          <w:color w:val="auto"/>
          <w:szCs w:val="24"/>
        </w:rPr>
        <w:t xml:space="preserv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955666" w:rsidRPr="00BB63F2" w:rsidRDefault="00C56FC8" w:rsidP="00955666">
      <w:pPr>
        <w:spacing w:line="240" w:lineRule="exact"/>
        <w:jc w:val="both"/>
        <w:rPr>
          <w:rFonts w:asciiTheme="minorHAnsi" w:eastAsiaTheme="minorHAnsi" w:hAnsiTheme="minorHAnsi"/>
          <w:color w:val="auto"/>
          <w:szCs w:val="24"/>
        </w:rPr>
      </w:pPr>
      <w:r w:rsidRPr="00BB63F2">
        <w:rPr>
          <w:color w:val="auto"/>
          <w:szCs w:val="24"/>
          <w:u w:val="single"/>
        </w:rPr>
        <w:t>BOARD FINDINGS</w:t>
      </w:r>
      <w:r w:rsidRPr="00BB63F2">
        <w:rPr>
          <w:color w:val="auto"/>
          <w:szCs w:val="24"/>
        </w:rPr>
        <w:t>:</w:t>
      </w:r>
      <w:r w:rsidRPr="00BB63F2">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55666" w:rsidRPr="00BB63F2">
        <w:rPr>
          <w:rFonts w:eastAsia="Calibri"/>
          <w:color w:val="auto"/>
          <w:szCs w:val="24"/>
        </w:rPr>
        <w:t xml:space="preserve">  </w:t>
      </w:r>
      <w:r w:rsidR="00BB63F2" w:rsidRPr="00BB63F2">
        <w:rPr>
          <w:rFonts w:eastAsiaTheme="minorHAnsi"/>
          <w:color w:val="auto"/>
          <w:szCs w:val="24"/>
        </w:rPr>
        <w:t xml:space="preserve">The PEB did not apply VASRD §4.129 to the CI’s mental health adjudication as mandated by </w:t>
      </w:r>
      <w:r w:rsidR="00323968">
        <w:rPr>
          <w:rFonts w:eastAsiaTheme="minorHAnsi"/>
          <w:color w:val="auto"/>
          <w:szCs w:val="24"/>
        </w:rPr>
        <w:t xml:space="preserve">National Defense Authorization Act </w:t>
      </w:r>
      <w:r w:rsidR="00BB63F2" w:rsidRPr="00BB63F2">
        <w:rPr>
          <w:rFonts w:eastAsiaTheme="minorHAnsi"/>
          <w:color w:val="auto"/>
          <w:szCs w:val="24"/>
        </w:rPr>
        <w:t xml:space="preserve">2008.  </w:t>
      </w:r>
      <w:r w:rsidR="00456265">
        <w:rPr>
          <w:color w:val="auto"/>
          <w:szCs w:val="24"/>
        </w:rPr>
        <w:t>In the matter of the mental health condition</w:t>
      </w:r>
      <w:r w:rsidR="00BB63F2" w:rsidRPr="00BB63F2">
        <w:rPr>
          <w:color w:val="auto"/>
          <w:szCs w:val="24"/>
        </w:rPr>
        <w:t xml:space="preserve">, code 9400, the Board, by simple majority, recommends an initial TDRL rating of 50% IAW VASRD §4.129, and a </w:t>
      </w:r>
      <w:r w:rsidR="00E03A70">
        <w:rPr>
          <w:color w:val="auto"/>
          <w:szCs w:val="24"/>
        </w:rPr>
        <w:t>10</w:t>
      </w:r>
      <w:r w:rsidR="00BB63F2" w:rsidRPr="00BB63F2">
        <w:rPr>
          <w:color w:val="auto"/>
          <w:szCs w:val="24"/>
        </w:rPr>
        <w:t xml:space="preserve">% permanent rating IAW VASRD §4.130.  The single voter for dissent (who recommended code 9411 with a 30% permanent rating) did not elect to submit a minority opinion.  </w:t>
      </w:r>
      <w:r w:rsidR="00955666" w:rsidRPr="00BB63F2">
        <w:rPr>
          <w:rFonts w:asciiTheme="minorHAnsi" w:eastAsiaTheme="minorHAnsi" w:hAnsiTheme="minorHAnsi"/>
          <w:color w:val="auto"/>
          <w:szCs w:val="24"/>
        </w:rPr>
        <w:t>In the matter of the hemorrhoids or any other medical condition eligible for Board consideration</w:t>
      </w:r>
      <w:r w:rsidR="00323968">
        <w:rPr>
          <w:rFonts w:asciiTheme="minorHAnsi" w:eastAsiaTheme="minorHAnsi" w:hAnsiTheme="minorHAnsi"/>
          <w:color w:val="auto"/>
          <w:szCs w:val="24"/>
        </w:rPr>
        <w:t>,</w:t>
      </w:r>
      <w:r w:rsidR="00955666" w:rsidRPr="00BB63F2">
        <w:rPr>
          <w:rFonts w:asciiTheme="minorHAnsi" w:eastAsiaTheme="minorHAnsi" w:hAnsiTheme="minorHAnsi"/>
          <w:color w:val="auto"/>
          <w:szCs w:val="24"/>
        </w:rPr>
        <w:t xml:space="preserve"> the Board unanimously agrees that it cannot recommend a finding of unfit for additional rating at separation.</w:t>
      </w:r>
      <w:r w:rsidR="00955666" w:rsidRPr="00BB63F2">
        <w:rPr>
          <w:rFonts w:asciiTheme="minorHAnsi" w:hAnsiTheme="minorHAnsi"/>
          <w:color w:val="auto"/>
          <w:szCs w:val="24"/>
        </w:rPr>
        <w:t xml:space="preserve">  </w:t>
      </w:r>
    </w:p>
    <w:p w:rsidR="00955666" w:rsidRPr="00955666" w:rsidRDefault="00955666" w:rsidP="00955666">
      <w:pPr>
        <w:pBdr>
          <w:bottom w:val="single" w:sz="12" w:space="1" w:color="auto"/>
        </w:pBdr>
        <w:tabs>
          <w:tab w:val="left" w:pos="288"/>
          <w:tab w:val="left" w:pos="4752"/>
        </w:tabs>
        <w:spacing w:line="240" w:lineRule="exact"/>
        <w:jc w:val="both"/>
        <w:rPr>
          <w:b/>
          <w:color w:val="auto"/>
          <w:szCs w:val="24"/>
          <w:u w:val="single"/>
        </w:rPr>
      </w:pPr>
    </w:p>
    <w:p w:rsidR="00C56FC8" w:rsidRPr="009C78FD" w:rsidRDefault="00C56FC8" w:rsidP="00510F9C">
      <w:pPr>
        <w:spacing w:line="240" w:lineRule="exact"/>
        <w:jc w:val="both"/>
        <w:rPr>
          <w:rFonts w:eastAsia="Calibri"/>
          <w:color w:val="auto"/>
          <w:szCs w:val="24"/>
        </w:rPr>
      </w:pPr>
    </w:p>
    <w:p w:rsidR="00456265" w:rsidRDefault="00456265" w:rsidP="00510F9C">
      <w:pPr>
        <w:spacing w:line="240" w:lineRule="exact"/>
        <w:rPr>
          <w:color w:val="auto"/>
          <w:szCs w:val="24"/>
          <w:u w:val="single"/>
        </w:rPr>
      </w:pPr>
    </w:p>
    <w:p w:rsidR="00456265" w:rsidRDefault="00456265" w:rsidP="00510F9C">
      <w:pPr>
        <w:spacing w:line="240" w:lineRule="exact"/>
        <w:rPr>
          <w:color w:val="auto"/>
          <w:szCs w:val="24"/>
          <w:u w:val="single"/>
        </w:rPr>
      </w:pPr>
    </w:p>
    <w:p w:rsidR="008208C3" w:rsidRPr="004113BB" w:rsidRDefault="00C56FC8" w:rsidP="00323968">
      <w:pPr>
        <w:spacing w:line="240" w:lineRule="exact"/>
        <w:jc w:val="both"/>
        <w:rPr>
          <w:color w:val="auto"/>
          <w:szCs w:val="24"/>
        </w:rPr>
      </w:pPr>
      <w:r w:rsidRPr="00396779">
        <w:rPr>
          <w:color w:val="auto"/>
          <w:szCs w:val="24"/>
          <w:u w:val="single"/>
        </w:rPr>
        <w:lastRenderedPageBreak/>
        <w:t>RECOMMENDATION</w:t>
      </w:r>
      <w:r w:rsidR="004113BB">
        <w:rPr>
          <w:color w:val="auto"/>
          <w:szCs w:val="24"/>
        </w:rPr>
        <w:t xml:space="preserve">:  </w:t>
      </w:r>
      <w:r w:rsidR="004113BB" w:rsidRPr="00396779">
        <w:rPr>
          <w:color w:val="auto"/>
          <w:szCs w:val="24"/>
        </w:rPr>
        <w:t xml:space="preserve">The Board recommends that the CI’s prior determination be modified </w:t>
      </w:r>
      <w:r w:rsidR="004113BB" w:rsidRPr="00B427BB">
        <w:rPr>
          <w:color w:val="auto"/>
          <w:szCs w:val="24"/>
        </w:rPr>
        <w:t>as follows, effective as of the date of his</w:t>
      </w:r>
      <w:r w:rsidR="004113BB">
        <w:rPr>
          <w:color w:val="auto"/>
          <w:szCs w:val="24"/>
        </w:rPr>
        <w:t xml:space="preserve"> prior medical separation:</w:t>
      </w:r>
    </w:p>
    <w:p w:rsidR="00E57E75" w:rsidRPr="00AF01B2" w:rsidRDefault="00E57E75" w:rsidP="00E57E75">
      <w:pPr>
        <w:spacing w:line="240" w:lineRule="exact"/>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0"/>
        <w:gridCol w:w="1530"/>
        <w:gridCol w:w="1170"/>
        <w:gridCol w:w="1530"/>
      </w:tblGrid>
      <w:tr w:rsidR="00E57E75" w:rsidRPr="00AF01B2" w:rsidTr="005417F9">
        <w:trPr>
          <w:jc w:val="center"/>
        </w:trPr>
        <w:tc>
          <w:tcPr>
            <w:tcW w:w="5130" w:type="dxa"/>
            <w:shd w:val="clear" w:color="auto" w:fill="D9D9D9"/>
            <w:vAlign w:val="center"/>
          </w:tcPr>
          <w:p w:rsidR="00E57E75" w:rsidRPr="00AF01B2" w:rsidRDefault="00E57E75" w:rsidP="00BA38AD">
            <w:pPr>
              <w:tabs>
                <w:tab w:val="left" w:pos="288"/>
                <w:tab w:val="left" w:pos="4752"/>
              </w:tabs>
              <w:spacing w:line="240" w:lineRule="exact"/>
              <w:jc w:val="center"/>
              <w:rPr>
                <w:b/>
                <w:color w:val="auto"/>
                <w:szCs w:val="24"/>
              </w:rPr>
            </w:pPr>
            <w:r w:rsidRPr="00AF01B2">
              <w:rPr>
                <w:b/>
                <w:color w:val="auto"/>
                <w:szCs w:val="24"/>
              </w:rPr>
              <w:t>UNFITTING CONDITION</w:t>
            </w:r>
          </w:p>
        </w:tc>
        <w:tc>
          <w:tcPr>
            <w:tcW w:w="1530" w:type="dxa"/>
            <w:shd w:val="clear" w:color="auto" w:fill="D9D9D9"/>
            <w:vAlign w:val="center"/>
          </w:tcPr>
          <w:p w:rsidR="00E57E75" w:rsidRPr="00AF01B2" w:rsidRDefault="00E57E75" w:rsidP="00BA38AD">
            <w:pPr>
              <w:tabs>
                <w:tab w:val="left" w:pos="288"/>
                <w:tab w:val="left" w:pos="4752"/>
              </w:tabs>
              <w:spacing w:line="240" w:lineRule="exact"/>
              <w:jc w:val="center"/>
              <w:rPr>
                <w:b/>
                <w:color w:val="auto"/>
                <w:szCs w:val="24"/>
              </w:rPr>
            </w:pPr>
            <w:r w:rsidRPr="00AF01B2">
              <w:rPr>
                <w:b/>
                <w:color w:val="auto"/>
                <w:szCs w:val="24"/>
              </w:rPr>
              <w:t>VASRD CODE</w:t>
            </w:r>
          </w:p>
        </w:tc>
        <w:tc>
          <w:tcPr>
            <w:tcW w:w="1170" w:type="dxa"/>
            <w:shd w:val="clear" w:color="auto" w:fill="D9D9D9"/>
            <w:vAlign w:val="center"/>
          </w:tcPr>
          <w:p w:rsidR="00E57E75" w:rsidRPr="00AF01B2" w:rsidRDefault="00E57E75" w:rsidP="00BA38AD">
            <w:pPr>
              <w:tabs>
                <w:tab w:val="left" w:pos="288"/>
                <w:tab w:val="left" w:pos="4752"/>
              </w:tabs>
              <w:spacing w:line="240" w:lineRule="exact"/>
              <w:jc w:val="center"/>
              <w:rPr>
                <w:b/>
                <w:color w:val="auto"/>
                <w:szCs w:val="24"/>
              </w:rPr>
            </w:pPr>
            <w:r w:rsidRPr="00AF01B2">
              <w:rPr>
                <w:b/>
                <w:color w:val="auto"/>
                <w:szCs w:val="24"/>
              </w:rPr>
              <w:t>TDRL RATING</w:t>
            </w:r>
          </w:p>
        </w:tc>
        <w:tc>
          <w:tcPr>
            <w:tcW w:w="1530" w:type="dxa"/>
            <w:shd w:val="pct15" w:color="auto" w:fill="auto"/>
            <w:vAlign w:val="center"/>
          </w:tcPr>
          <w:p w:rsidR="00E57E75" w:rsidRPr="00AF01B2" w:rsidRDefault="00E57E75" w:rsidP="00BA38AD">
            <w:pPr>
              <w:tabs>
                <w:tab w:val="left" w:pos="288"/>
                <w:tab w:val="left" w:pos="4752"/>
              </w:tabs>
              <w:spacing w:line="240" w:lineRule="exact"/>
              <w:jc w:val="center"/>
              <w:rPr>
                <w:b/>
                <w:color w:val="auto"/>
                <w:szCs w:val="24"/>
              </w:rPr>
            </w:pPr>
            <w:r w:rsidRPr="00AF01B2">
              <w:rPr>
                <w:b/>
                <w:color w:val="auto"/>
                <w:szCs w:val="24"/>
              </w:rPr>
              <w:t>PERMANENT</w:t>
            </w:r>
          </w:p>
          <w:p w:rsidR="00E57E75" w:rsidRPr="00AF01B2" w:rsidRDefault="00E57E75" w:rsidP="00BA38AD">
            <w:pPr>
              <w:tabs>
                <w:tab w:val="left" w:pos="288"/>
                <w:tab w:val="left" w:pos="4752"/>
              </w:tabs>
              <w:spacing w:line="240" w:lineRule="exact"/>
              <w:jc w:val="center"/>
              <w:rPr>
                <w:b/>
                <w:color w:val="auto"/>
                <w:szCs w:val="24"/>
              </w:rPr>
            </w:pPr>
            <w:r w:rsidRPr="00AF01B2">
              <w:rPr>
                <w:b/>
                <w:color w:val="auto"/>
                <w:szCs w:val="24"/>
              </w:rPr>
              <w:t>RATING</w:t>
            </w:r>
          </w:p>
        </w:tc>
      </w:tr>
      <w:tr w:rsidR="00E57E75" w:rsidRPr="00AF01B2" w:rsidTr="005417F9">
        <w:trPr>
          <w:trHeight w:val="188"/>
          <w:jc w:val="center"/>
        </w:trPr>
        <w:tc>
          <w:tcPr>
            <w:tcW w:w="5130" w:type="dxa"/>
            <w:vAlign w:val="center"/>
          </w:tcPr>
          <w:p w:rsidR="00E57E75" w:rsidRPr="00456265" w:rsidRDefault="00456265" w:rsidP="00BA38AD">
            <w:pPr>
              <w:tabs>
                <w:tab w:val="left" w:pos="288"/>
                <w:tab w:val="left" w:pos="3538"/>
              </w:tabs>
              <w:spacing w:line="240" w:lineRule="exact"/>
              <w:rPr>
                <w:color w:val="auto"/>
                <w:szCs w:val="24"/>
              </w:rPr>
            </w:pPr>
            <w:r w:rsidRPr="00456265">
              <w:rPr>
                <w:color w:val="auto"/>
                <w:szCs w:val="24"/>
              </w:rPr>
              <w:t>Anxiety/Depression/P</w:t>
            </w:r>
            <w:r>
              <w:rPr>
                <w:color w:val="auto"/>
                <w:szCs w:val="24"/>
              </w:rPr>
              <w:t>TSD</w:t>
            </w:r>
          </w:p>
        </w:tc>
        <w:tc>
          <w:tcPr>
            <w:tcW w:w="1530" w:type="dxa"/>
            <w:tcBorders>
              <w:bottom w:val="single" w:sz="4" w:space="0" w:color="000000"/>
            </w:tcBorders>
            <w:vAlign w:val="center"/>
          </w:tcPr>
          <w:p w:rsidR="00E57E75" w:rsidRPr="00AF01B2" w:rsidRDefault="00E57E75" w:rsidP="00BA38AD">
            <w:pPr>
              <w:tabs>
                <w:tab w:val="left" w:pos="288"/>
                <w:tab w:val="left" w:pos="4752"/>
              </w:tabs>
              <w:spacing w:line="240" w:lineRule="exact"/>
              <w:jc w:val="center"/>
              <w:rPr>
                <w:color w:val="auto"/>
                <w:szCs w:val="24"/>
              </w:rPr>
            </w:pPr>
            <w:r w:rsidRPr="00AF01B2">
              <w:rPr>
                <w:color w:val="auto"/>
                <w:szCs w:val="24"/>
              </w:rPr>
              <w:t>94</w:t>
            </w:r>
            <w:r w:rsidR="000C58BF">
              <w:rPr>
                <w:color w:val="auto"/>
                <w:szCs w:val="24"/>
              </w:rPr>
              <w:t>00</w:t>
            </w:r>
          </w:p>
        </w:tc>
        <w:tc>
          <w:tcPr>
            <w:tcW w:w="1170" w:type="dxa"/>
            <w:tcBorders>
              <w:bottom w:val="single" w:sz="4" w:space="0" w:color="000000"/>
            </w:tcBorders>
            <w:vAlign w:val="center"/>
          </w:tcPr>
          <w:p w:rsidR="00E57E75" w:rsidRPr="001D6B4A" w:rsidRDefault="005417F9" w:rsidP="00BA38AD">
            <w:pPr>
              <w:tabs>
                <w:tab w:val="left" w:pos="288"/>
                <w:tab w:val="left" w:pos="4752"/>
              </w:tabs>
              <w:spacing w:line="240" w:lineRule="exact"/>
              <w:jc w:val="center"/>
              <w:rPr>
                <w:color w:val="auto"/>
                <w:szCs w:val="24"/>
              </w:rPr>
            </w:pPr>
            <w:r w:rsidRPr="001D6B4A">
              <w:rPr>
                <w:color w:val="auto"/>
                <w:szCs w:val="24"/>
              </w:rPr>
              <w:t>50%</w:t>
            </w:r>
          </w:p>
        </w:tc>
        <w:tc>
          <w:tcPr>
            <w:tcW w:w="1530" w:type="dxa"/>
            <w:tcBorders>
              <w:bottom w:val="single" w:sz="4" w:space="0" w:color="000000"/>
            </w:tcBorders>
            <w:vAlign w:val="center"/>
          </w:tcPr>
          <w:p w:rsidR="00E57E75" w:rsidRPr="001D6B4A" w:rsidRDefault="005D2430" w:rsidP="00BA38AD">
            <w:pPr>
              <w:tabs>
                <w:tab w:val="left" w:pos="288"/>
                <w:tab w:val="left" w:pos="4752"/>
              </w:tabs>
              <w:spacing w:line="240" w:lineRule="exact"/>
              <w:jc w:val="center"/>
              <w:rPr>
                <w:color w:val="auto"/>
                <w:szCs w:val="24"/>
              </w:rPr>
            </w:pPr>
            <w:r>
              <w:rPr>
                <w:color w:val="auto"/>
                <w:szCs w:val="24"/>
              </w:rPr>
              <w:t>1</w:t>
            </w:r>
            <w:r w:rsidR="00E57E75" w:rsidRPr="001D6B4A">
              <w:rPr>
                <w:color w:val="auto"/>
                <w:szCs w:val="24"/>
              </w:rPr>
              <w:t>0%</w:t>
            </w:r>
          </w:p>
        </w:tc>
      </w:tr>
      <w:tr w:rsidR="00E57E75" w:rsidRPr="00AF01B2" w:rsidTr="005417F9">
        <w:tblPrEx>
          <w:tblLook w:val="0000"/>
        </w:tblPrEx>
        <w:trPr>
          <w:gridBefore w:val="1"/>
          <w:wBefore w:w="5130" w:type="dxa"/>
          <w:trHeight w:val="188"/>
          <w:jc w:val="center"/>
        </w:trPr>
        <w:tc>
          <w:tcPr>
            <w:tcW w:w="1530" w:type="dxa"/>
            <w:tcBorders>
              <w:left w:val="single" w:sz="4" w:space="0" w:color="auto"/>
            </w:tcBorders>
            <w:shd w:val="pct15" w:color="auto" w:fill="auto"/>
            <w:vAlign w:val="center"/>
          </w:tcPr>
          <w:p w:rsidR="00E57E75" w:rsidRPr="00AF01B2" w:rsidRDefault="00E57E75" w:rsidP="00BA38AD">
            <w:pPr>
              <w:tabs>
                <w:tab w:val="left" w:pos="288"/>
                <w:tab w:val="left" w:pos="4752"/>
              </w:tabs>
              <w:spacing w:line="240" w:lineRule="exact"/>
              <w:jc w:val="center"/>
              <w:rPr>
                <w:b/>
                <w:color w:val="auto"/>
                <w:szCs w:val="24"/>
              </w:rPr>
            </w:pPr>
            <w:r w:rsidRPr="00AF01B2">
              <w:rPr>
                <w:b/>
                <w:color w:val="auto"/>
                <w:szCs w:val="24"/>
              </w:rPr>
              <w:t>COMBINED</w:t>
            </w:r>
          </w:p>
        </w:tc>
        <w:tc>
          <w:tcPr>
            <w:tcW w:w="1170" w:type="dxa"/>
            <w:tcBorders>
              <w:left w:val="single" w:sz="4" w:space="0" w:color="auto"/>
            </w:tcBorders>
            <w:shd w:val="pct15" w:color="auto" w:fill="auto"/>
            <w:vAlign w:val="center"/>
          </w:tcPr>
          <w:p w:rsidR="00E57E75" w:rsidRPr="001D6B4A" w:rsidRDefault="005417F9" w:rsidP="00BA38AD">
            <w:pPr>
              <w:tabs>
                <w:tab w:val="left" w:pos="288"/>
                <w:tab w:val="left" w:pos="4752"/>
              </w:tabs>
              <w:spacing w:line="240" w:lineRule="exact"/>
              <w:jc w:val="center"/>
              <w:rPr>
                <w:b/>
                <w:color w:val="auto"/>
                <w:szCs w:val="24"/>
              </w:rPr>
            </w:pPr>
            <w:r w:rsidRPr="001D6B4A">
              <w:rPr>
                <w:b/>
                <w:color w:val="auto"/>
                <w:szCs w:val="24"/>
              </w:rPr>
              <w:t>50%</w:t>
            </w:r>
          </w:p>
        </w:tc>
        <w:tc>
          <w:tcPr>
            <w:tcW w:w="1530" w:type="dxa"/>
            <w:shd w:val="pct15" w:color="auto" w:fill="auto"/>
            <w:vAlign w:val="center"/>
          </w:tcPr>
          <w:p w:rsidR="00E57E75" w:rsidRPr="001D6B4A" w:rsidRDefault="005D2430" w:rsidP="00BA38AD">
            <w:pPr>
              <w:tabs>
                <w:tab w:val="left" w:pos="288"/>
                <w:tab w:val="left" w:pos="4752"/>
              </w:tabs>
              <w:spacing w:line="240" w:lineRule="exact"/>
              <w:jc w:val="center"/>
              <w:rPr>
                <w:b/>
                <w:color w:val="auto"/>
                <w:szCs w:val="24"/>
              </w:rPr>
            </w:pPr>
            <w:r>
              <w:rPr>
                <w:b/>
                <w:color w:val="auto"/>
                <w:szCs w:val="24"/>
              </w:rPr>
              <w:t>1</w:t>
            </w:r>
            <w:r w:rsidR="00E57E75" w:rsidRPr="001D6B4A">
              <w:rPr>
                <w:b/>
                <w:color w:val="auto"/>
                <w:szCs w:val="24"/>
              </w:rPr>
              <w:t>0%</w:t>
            </w:r>
          </w:p>
        </w:tc>
      </w:tr>
    </w:tbl>
    <w:p w:rsidR="00A83C15" w:rsidRPr="00391858" w:rsidRDefault="00A83C15"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color w:val="auto"/>
        </w:rPr>
      </w:pPr>
      <w:r>
        <w:rPr>
          <w:color w:val="auto"/>
        </w:rPr>
        <w:t>The following documentary evidence was considered:</w:t>
      </w:r>
    </w:p>
    <w:p w:rsidR="00EB5EFD" w:rsidRPr="00006186" w:rsidRDefault="00EB5EFD" w:rsidP="00510F9C">
      <w:pPr>
        <w:tabs>
          <w:tab w:val="left" w:pos="288"/>
          <w:tab w:val="left" w:pos="4752"/>
        </w:tabs>
        <w:spacing w:line="240" w:lineRule="exact"/>
        <w:jc w:val="both"/>
        <w:rPr>
          <w:color w:val="auto"/>
        </w:rPr>
      </w:pPr>
    </w:p>
    <w:p w:rsidR="00114F20" w:rsidRPr="00006186" w:rsidRDefault="00FB1725" w:rsidP="00510F9C">
      <w:pPr>
        <w:tabs>
          <w:tab w:val="left" w:pos="288"/>
          <w:tab w:val="left" w:pos="4752"/>
        </w:tabs>
        <w:spacing w:line="240" w:lineRule="exact"/>
        <w:jc w:val="both"/>
        <w:rPr>
          <w:color w:val="auto"/>
        </w:rPr>
      </w:pPr>
      <w:r>
        <w:rPr>
          <w:color w:val="auto"/>
        </w:rPr>
        <w:t xml:space="preserve">Exhibit A.  DD Form </w:t>
      </w:r>
      <w:proofErr w:type="gramStart"/>
      <w:r>
        <w:rPr>
          <w:color w:val="auto"/>
        </w:rPr>
        <w:t>294,</w:t>
      </w:r>
      <w:proofErr w:type="gramEnd"/>
      <w:r>
        <w:rPr>
          <w:color w:val="auto"/>
        </w:rPr>
        <w:t xml:space="preserve"> dated </w:t>
      </w:r>
      <w:r w:rsidR="004E17CA">
        <w:rPr>
          <w:color w:val="auto"/>
        </w:rPr>
        <w:t>20100202</w:t>
      </w:r>
      <w:r w:rsidR="00A50F10">
        <w:rPr>
          <w:color w:val="auto"/>
        </w:rPr>
        <w:t>,</w:t>
      </w:r>
      <w:r>
        <w:rPr>
          <w:color w:val="auto"/>
        </w:rPr>
        <w:t xml:space="preserve"> w/</w:t>
      </w:r>
      <w:proofErr w:type="spellStart"/>
      <w:r>
        <w:rPr>
          <w:color w:val="auto"/>
        </w:rPr>
        <w:t>atchs</w:t>
      </w:r>
      <w:proofErr w:type="spellEnd"/>
      <w:r>
        <w:rPr>
          <w:color w:val="auto"/>
        </w:rPr>
        <w:t>.</w:t>
      </w:r>
    </w:p>
    <w:p w:rsidR="00114F20" w:rsidRPr="00006186" w:rsidRDefault="00FB1725" w:rsidP="00510F9C">
      <w:pPr>
        <w:tabs>
          <w:tab w:val="left" w:pos="288"/>
          <w:tab w:val="left" w:pos="4752"/>
        </w:tabs>
        <w:spacing w:line="240" w:lineRule="exact"/>
        <w:jc w:val="both"/>
        <w:rPr>
          <w:color w:val="auto"/>
        </w:rPr>
      </w:pPr>
      <w:r>
        <w:rPr>
          <w:color w:val="auto"/>
        </w:rPr>
        <w:t xml:space="preserve">Exhibit B.  </w:t>
      </w:r>
      <w:proofErr w:type="gramStart"/>
      <w:r>
        <w:rPr>
          <w:color w:val="auto"/>
        </w:rPr>
        <w:t>Service Treatment Record.</w:t>
      </w:r>
      <w:proofErr w:type="gramEnd"/>
    </w:p>
    <w:p w:rsidR="00114F20" w:rsidRPr="00006186" w:rsidRDefault="00FB1725" w:rsidP="00510F9C">
      <w:pPr>
        <w:tabs>
          <w:tab w:val="left" w:pos="288"/>
          <w:tab w:val="left" w:pos="4752"/>
        </w:tabs>
        <w:spacing w:line="240" w:lineRule="exact"/>
        <w:jc w:val="both"/>
        <w:rPr>
          <w:color w:val="auto"/>
        </w:rPr>
      </w:pPr>
      <w:r>
        <w:rPr>
          <w:color w:val="auto"/>
        </w:rPr>
        <w:t xml:space="preserve">Exhibit C.  </w:t>
      </w:r>
      <w:proofErr w:type="gramStart"/>
      <w:r>
        <w:rPr>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7756D6" w:rsidRPr="00DD469B" w:rsidRDefault="007756D6" w:rsidP="007756D6">
      <w:pPr>
        <w:tabs>
          <w:tab w:val="left" w:pos="288"/>
          <w:tab w:val="left" w:pos="4752"/>
        </w:tabs>
        <w:spacing w:line="240" w:lineRule="exact"/>
        <w:jc w:val="both"/>
        <w:rPr>
          <w:rFonts w:asciiTheme="minorHAnsi" w:hAnsiTheme="minorHAnsi"/>
          <w:color w:val="auto"/>
        </w:rPr>
      </w:pPr>
    </w:p>
    <w:p w:rsidR="007756D6" w:rsidRPr="00DD469B" w:rsidRDefault="007756D6" w:rsidP="007756D6">
      <w:pPr>
        <w:tabs>
          <w:tab w:val="left" w:pos="0"/>
          <w:tab w:val="left" w:pos="4320"/>
        </w:tabs>
        <w:spacing w:line="240" w:lineRule="exact"/>
        <w:jc w:val="both"/>
        <w:rPr>
          <w:rFonts w:asciiTheme="minorHAnsi" w:hAnsiTheme="minorHAnsi"/>
          <w:color w:val="auto"/>
        </w:rPr>
      </w:pPr>
      <w:r w:rsidRPr="00DD469B">
        <w:rPr>
          <w:rFonts w:asciiTheme="minorHAnsi" w:hAnsiTheme="minorHAnsi"/>
          <w:color w:val="auto"/>
        </w:rPr>
        <w:t xml:space="preserve">                       </w:t>
      </w:r>
      <w:r>
        <w:rPr>
          <w:rFonts w:asciiTheme="minorHAnsi" w:hAnsiTheme="minorHAnsi"/>
          <w:color w:val="auto"/>
        </w:rPr>
        <w:t xml:space="preserve">      </w:t>
      </w:r>
      <w:r>
        <w:rPr>
          <w:rFonts w:asciiTheme="minorHAnsi" w:hAnsiTheme="minorHAnsi"/>
          <w:color w:val="auto"/>
        </w:rPr>
        <w:tab/>
      </w:r>
      <w:r w:rsidR="00093E31">
        <w:rPr>
          <w:rFonts w:asciiTheme="minorHAnsi" w:hAnsiTheme="minorHAnsi"/>
          <w:color w:val="auto"/>
        </w:rPr>
        <w:t xml:space="preserve"> </w:t>
      </w:r>
    </w:p>
    <w:p w:rsidR="007756D6" w:rsidRPr="00DD469B" w:rsidRDefault="007756D6" w:rsidP="007756D6">
      <w:pPr>
        <w:tabs>
          <w:tab w:val="left" w:pos="0"/>
          <w:tab w:val="left" w:pos="4320"/>
        </w:tabs>
        <w:spacing w:line="240" w:lineRule="exact"/>
        <w:jc w:val="both"/>
        <w:rPr>
          <w:rFonts w:asciiTheme="minorHAnsi" w:hAnsiTheme="minorHAnsi"/>
          <w:color w:val="auto"/>
        </w:rPr>
      </w:pPr>
      <w:r w:rsidRPr="00DD469B">
        <w:rPr>
          <w:rFonts w:asciiTheme="minorHAnsi" w:hAnsiTheme="minorHAnsi"/>
          <w:color w:val="auto"/>
        </w:rPr>
        <w:t xml:space="preserve">              </w:t>
      </w: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093E31" w:rsidRDefault="007756D6" w:rsidP="007756D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DD469B">
        <w:rPr>
          <w:rFonts w:asciiTheme="minorHAnsi" w:hAnsiTheme="minorHAnsi"/>
          <w:color w:val="auto"/>
        </w:rPr>
        <w:tab/>
        <w:t xml:space="preserve">                           </w:t>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r>
      <w:r w:rsidRPr="00DD469B">
        <w:rPr>
          <w:rFonts w:asciiTheme="minorHAnsi" w:hAnsiTheme="minorHAnsi"/>
          <w:color w:val="auto"/>
        </w:rPr>
        <w:tab/>
        <w:t>Physical Disability Board of Review</w:t>
      </w:r>
    </w:p>
    <w:p w:rsidR="00093E31" w:rsidRDefault="00093E31">
      <w:pPr>
        <w:rPr>
          <w:rFonts w:asciiTheme="minorHAnsi" w:hAnsiTheme="minorHAnsi"/>
          <w:color w:val="auto"/>
        </w:rPr>
      </w:pPr>
      <w:r>
        <w:rPr>
          <w:rFonts w:asciiTheme="minorHAnsi" w:hAnsiTheme="minorHAnsi"/>
          <w:color w:val="auto"/>
        </w:rPr>
        <w:br w:type="page"/>
      </w:r>
    </w:p>
    <w:p w:rsidR="00093E31" w:rsidRPr="00093E31" w:rsidRDefault="00093E31" w:rsidP="00093E31">
      <w:pPr>
        <w:tabs>
          <w:tab w:val="left" w:pos="576"/>
        </w:tabs>
        <w:spacing w:line="240" w:lineRule="exact"/>
        <w:ind w:right="-1080"/>
        <w:rPr>
          <w:rFonts w:ascii="Times New Roman" w:hAnsi="Times New Roman"/>
          <w:color w:val="000080"/>
        </w:rPr>
      </w:pPr>
      <w:r w:rsidRPr="00093E31">
        <w:rPr>
          <w:rFonts w:ascii="Times New Roman" w:hAnsi="Times New Roman"/>
          <w:color w:val="000080"/>
        </w:rPr>
        <w:lastRenderedPageBreak/>
        <w:t>SAF/MRB</w:t>
      </w:r>
    </w:p>
    <w:p w:rsidR="00093E31" w:rsidRPr="00093E31" w:rsidRDefault="00093E31" w:rsidP="00093E31">
      <w:pPr>
        <w:tabs>
          <w:tab w:val="left" w:pos="576"/>
        </w:tabs>
        <w:spacing w:line="240" w:lineRule="exact"/>
        <w:ind w:right="-1080"/>
        <w:rPr>
          <w:rFonts w:ascii="Times New Roman" w:hAnsi="Times New Roman"/>
          <w:color w:val="000080"/>
        </w:rPr>
      </w:pPr>
      <w:r w:rsidRPr="00093E31">
        <w:rPr>
          <w:rFonts w:ascii="Times New Roman" w:hAnsi="Times New Roman"/>
          <w:color w:val="000080"/>
        </w:rPr>
        <w:t>1500 West Perimeter Road, Suite 3700</w:t>
      </w:r>
    </w:p>
    <w:p w:rsidR="00093E31" w:rsidRPr="00093E31" w:rsidRDefault="00093E31" w:rsidP="00093E31">
      <w:pPr>
        <w:tabs>
          <w:tab w:val="left" w:pos="576"/>
        </w:tabs>
        <w:spacing w:line="240" w:lineRule="exact"/>
        <w:ind w:right="-1080"/>
        <w:rPr>
          <w:rFonts w:ascii="Times New Roman" w:hAnsi="Times New Roman"/>
          <w:color w:val="000080"/>
        </w:rPr>
      </w:pPr>
      <w:r w:rsidRPr="00093E31">
        <w:rPr>
          <w:rFonts w:ascii="Times New Roman" w:hAnsi="Times New Roman"/>
          <w:color w:val="000080"/>
        </w:rPr>
        <w:t>Joint Base Andrews MD  20762</w:t>
      </w:r>
    </w:p>
    <w:p w:rsidR="00093E31" w:rsidRPr="00093E31" w:rsidRDefault="00093E31" w:rsidP="00093E31">
      <w:pPr>
        <w:tabs>
          <w:tab w:val="left" w:pos="576"/>
        </w:tabs>
        <w:spacing w:line="240" w:lineRule="exact"/>
        <w:ind w:right="-1080"/>
        <w:rPr>
          <w:rFonts w:ascii="Times New Roman" w:hAnsi="Times New Roman"/>
          <w:color w:val="000080"/>
        </w:rPr>
      </w:pPr>
    </w:p>
    <w:p w:rsidR="00093E31" w:rsidRPr="00093E31" w:rsidRDefault="00093E31" w:rsidP="00093E31">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093E31" w:rsidRPr="00093E31" w:rsidRDefault="00093E31" w:rsidP="00093E31">
      <w:pPr>
        <w:tabs>
          <w:tab w:val="left" w:pos="720"/>
        </w:tabs>
        <w:spacing w:line="240" w:lineRule="exact"/>
        <w:ind w:right="-1080"/>
        <w:rPr>
          <w:rFonts w:ascii="Times New Roman" w:hAnsi="Times New Roman"/>
          <w:color w:val="000080"/>
          <w:sz w:val="20"/>
        </w:rPr>
      </w:pPr>
    </w:p>
    <w:p w:rsidR="00093E31" w:rsidRPr="00093E31" w:rsidRDefault="00093E31" w:rsidP="00093E31">
      <w:pPr>
        <w:tabs>
          <w:tab w:val="left" w:pos="720"/>
        </w:tabs>
        <w:spacing w:line="240" w:lineRule="exact"/>
        <w:ind w:right="-360"/>
        <w:rPr>
          <w:rFonts w:ascii="Times New Roman" w:hAnsi="Times New Roman"/>
          <w:color w:val="000080"/>
        </w:rPr>
      </w:pPr>
      <w:r w:rsidRPr="00093E31">
        <w:rPr>
          <w:rFonts w:ascii="Times New Roman" w:hAnsi="Times New Roman"/>
          <w:color w:val="000080"/>
        </w:rPr>
        <w:tab/>
        <w:t xml:space="preserve">Reference your application submitted under the provisions of </w:t>
      </w:r>
      <w:proofErr w:type="spellStart"/>
      <w:r w:rsidRPr="00093E31">
        <w:rPr>
          <w:rFonts w:ascii="Times New Roman" w:hAnsi="Times New Roman"/>
          <w:color w:val="000080"/>
        </w:rPr>
        <w:t>DoDI</w:t>
      </w:r>
      <w:proofErr w:type="spellEnd"/>
      <w:r w:rsidRPr="00093E31">
        <w:rPr>
          <w:rFonts w:ascii="Times New Roman" w:hAnsi="Times New Roman"/>
          <w:color w:val="000080"/>
        </w:rPr>
        <w:t xml:space="preserve"> 6040.44 (Section 1554, 10 USC), PDBR Case Number PD-2010-00053.</w:t>
      </w:r>
    </w:p>
    <w:p w:rsidR="00093E31" w:rsidRPr="00093E31" w:rsidRDefault="00093E31" w:rsidP="00093E31">
      <w:pPr>
        <w:tabs>
          <w:tab w:val="left" w:pos="720"/>
        </w:tabs>
        <w:spacing w:line="240" w:lineRule="exact"/>
        <w:ind w:right="-1080"/>
        <w:rPr>
          <w:rFonts w:ascii="Times New Roman" w:hAnsi="Times New Roman"/>
          <w:color w:val="000080"/>
        </w:rPr>
      </w:pPr>
    </w:p>
    <w:p w:rsidR="00093E31" w:rsidRPr="00093E31" w:rsidRDefault="00093E31" w:rsidP="00093E31">
      <w:pPr>
        <w:tabs>
          <w:tab w:val="left" w:pos="720"/>
        </w:tabs>
        <w:spacing w:line="240" w:lineRule="exact"/>
        <w:ind w:right="-360"/>
        <w:rPr>
          <w:rFonts w:ascii="Times New Roman" w:hAnsi="Times New Roman"/>
          <w:color w:val="000080"/>
        </w:rPr>
      </w:pPr>
      <w:r w:rsidRPr="00093E31">
        <w:rPr>
          <w:rFonts w:ascii="Times New Roman" w:hAnsi="Times New Roman"/>
          <w:color w:val="000080"/>
        </w:rPr>
        <w:tab/>
        <w:t xml:space="preserve">After careful consideration of your application and treatment records, the Physical Disability Board of Review determined that the disposition at the time of your disability evaluation system processing was not appropriate under the guidelines of the Veterans Administration Schedule for Rating Disabilities.  Accordingly, the Board recommended modification of your records to reflect an assigned rating of 50% while on the Temporary Disability Retired List without change to your assigned disability rating and separation with severance pay, upon final disposition. </w:t>
      </w:r>
    </w:p>
    <w:p w:rsidR="00093E31" w:rsidRPr="00093E31" w:rsidRDefault="00093E31" w:rsidP="00093E31">
      <w:pPr>
        <w:tabs>
          <w:tab w:val="left" w:pos="720"/>
        </w:tabs>
        <w:spacing w:line="240" w:lineRule="exact"/>
        <w:ind w:right="-1080"/>
        <w:rPr>
          <w:rFonts w:ascii="Times New Roman" w:hAnsi="Times New Roman"/>
          <w:color w:val="000080"/>
        </w:rPr>
      </w:pPr>
    </w:p>
    <w:p w:rsidR="00093E31" w:rsidRPr="00093E31" w:rsidRDefault="00093E31" w:rsidP="00093E31">
      <w:pPr>
        <w:tabs>
          <w:tab w:val="left" w:pos="720"/>
        </w:tabs>
        <w:spacing w:line="240" w:lineRule="exact"/>
        <w:rPr>
          <w:rFonts w:ascii="Times New Roman" w:hAnsi="Times New Roman"/>
          <w:color w:val="000080"/>
        </w:rPr>
      </w:pPr>
      <w:r w:rsidRPr="00093E31">
        <w:rPr>
          <w:rFonts w:ascii="Times New Roman" w:hAnsi="Times New Roman"/>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093E31" w:rsidRPr="00093E31" w:rsidRDefault="00093E31" w:rsidP="00093E31">
      <w:pPr>
        <w:tabs>
          <w:tab w:val="left" w:pos="720"/>
        </w:tabs>
        <w:spacing w:line="240" w:lineRule="exact"/>
        <w:rPr>
          <w:rFonts w:ascii="Times New Roman" w:hAnsi="Times New Roman"/>
          <w:color w:val="000080"/>
        </w:rPr>
      </w:pPr>
    </w:p>
    <w:p w:rsidR="00093E31" w:rsidRPr="00093E31" w:rsidRDefault="00093E31" w:rsidP="00093E31">
      <w:pPr>
        <w:tabs>
          <w:tab w:val="left" w:pos="720"/>
        </w:tabs>
        <w:spacing w:line="240" w:lineRule="exact"/>
        <w:ind w:right="-360"/>
        <w:rPr>
          <w:rFonts w:ascii="Times New Roman" w:hAnsi="Times New Roman"/>
          <w:color w:val="000080"/>
        </w:rPr>
      </w:pPr>
      <w:r w:rsidRPr="00093E31">
        <w:rPr>
          <w:rFonts w:ascii="Times New Roman" w:hAnsi="Times New Roman"/>
          <w:color w:val="000080"/>
        </w:rPr>
        <w:tab/>
      </w:r>
      <w:r w:rsidRPr="00093E31">
        <w:rPr>
          <w:rFonts w:ascii="Times New Roman" w:hAnsi="Times New Roman"/>
          <w:color w:val="000080"/>
        </w:rPr>
        <w:tab/>
      </w:r>
      <w:r w:rsidRPr="00093E31">
        <w:rPr>
          <w:rFonts w:ascii="Times New Roman" w:hAnsi="Times New Roman"/>
          <w:color w:val="000080"/>
        </w:rPr>
        <w:tab/>
      </w:r>
      <w:r w:rsidRPr="00093E31">
        <w:rPr>
          <w:rFonts w:ascii="Times New Roman" w:hAnsi="Times New Roman"/>
          <w:color w:val="000080"/>
        </w:rPr>
        <w:tab/>
      </w:r>
      <w:r w:rsidRPr="00093E31">
        <w:rPr>
          <w:rFonts w:ascii="Times New Roman" w:hAnsi="Times New Roman"/>
          <w:color w:val="000080"/>
        </w:rPr>
        <w:tab/>
      </w:r>
      <w:r w:rsidRPr="00093E31">
        <w:rPr>
          <w:rFonts w:ascii="Times New Roman" w:hAnsi="Times New Roman"/>
          <w:color w:val="000080"/>
        </w:rPr>
        <w:tab/>
      </w:r>
      <w:r w:rsidRPr="00093E31">
        <w:rPr>
          <w:rFonts w:ascii="Times New Roman" w:hAnsi="Times New Roman"/>
          <w:color w:val="000080"/>
        </w:rPr>
        <w:tab/>
        <w:t>Sincerely,</w:t>
      </w:r>
    </w:p>
    <w:p w:rsidR="00093E31" w:rsidRPr="00093E31" w:rsidRDefault="00093E31" w:rsidP="00093E31">
      <w:pPr>
        <w:tabs>
          <w:tab w:val="left" w:pos="720"/>
        </w:tabs>
        <w:spacing w:line="240" w:lineRule="exact"/>
        <w:ind w:right="-360"/>
        <w:rPr>
          <w:rFonts w:ascii="Times New Roman" w:hAnsi="Times New Roman"/>
          <w:color w:val="000080"/>
        </w:rPr>
      </w:pPr>
    </w:p>
    <w:p w:rsidR="00093E31" w:rsidRPr="00093E31" w:rsidRDefault="00093E31" w:rsidP="00093E31">
      <w:pPr>
        <w:tabs>
          <w:tab w:val="left" w:pos="720"/>
        </w:tabs>
        <w:spacing w:line="240" w:lineRule="exact"/>
        <w:ind w:right="-1080"/>
        <w:rPr>
          <w:rFonts w:ascii="Times New Roman" w:hAnsi="Times New Roman"/>
          <w:color w:val="000080"/>
        </w:rPr>
      </w:pPr>
    </w:p>
    <w:p w:rsidR="00093E31" w:rsidRPr="00093E31" w:rsidRDefault="00093E31" w:rsidP="00093E31">
      <w:pPr>
        <w:tabs>
          <w:tab w:val="left" w:pos="720"/>
        </w:tabs>
        <w:spacing w:line="240" w:lineRule="exact"/>
        <w:ind w:right="-1080"/>
        <w:rPr>
          <w:rFonts w:ascii="Times New Roman" w:hAnsi="Times New Roman"/>
          <w:color w:val="000080"/>
        </w:rPr>
      </w:pPr>
    </w:p>
    <w:p w:rsidR="00093E31" w:rsidRPr="00093E31" w:rsidRDefault="00093E31" w:rsidP="00093E31">
      <w:pPr>
        <w:tabs>
          <w:tab w:val="left" w:pos="720"/>
        </w:tabs>
        <w:spacing w:line="240" w:lineRule="exact"/>
        <w:ind w:right="-1080"/>
        <w:rPr>
          <w:rFonts w:ascii="Times New Roman" w:hAnsi="Times New Roman"/>
          <w:color w:val="000080"/>
        </w:rPr>
      </w:pPr>
    </w:p>
    <w:p w:rsidR="00093E31" w:rsidRPr="00093E31" w:rsidRDefault="00093E31" w:rsidP="00093E31">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093E31" w:rsidRPr="00093E31" w:rsidRDefault="00093E31" w:rsidP="00093E31">
      <w:pPr>
        <w:tabs>
          <w:tab w:val="left" w:pos="720"/>
        </w:tabs>
        <w:spacing w:line="240" w:lineRule="exact"/>
        <w:ind w:left="5040" w:right="-1080"/>
        <w:rPr>
          <w:rFonts w:ascii="Times New Roman" w:hAnsi="Times New Roman"/>
          <w:color w:val="000080"/>
        </w:rPr>
      </w:pPr>
      <w:r w:rsidRPr="00093E31">
        <w:rPr>
          <w:rFonts w:ascii="Times New Roman" w:hAnsi="Times New Roman"/>
          <w:color w:val="000080"/>
        </w:rPr>
        <w:t>Director</w:t>
      </w:r>
    </w:p>
    <w:p w:rsidR="00093E31" w:rsidRPr="00093E31" w:rsidRDefault="00093E31" w:rsidP="00093E31">
      <w:pPr>
        <w:tabs>
          <w:tab w:val="left" w:pos="720"/>
        </w:tabs>
        <w:spacing w:line="240" w:lineRule="exact"/>
        <w:ind w:left="5040" w:right="-1080"/>
        <w:rPr>
          <w:rFonts w:ascii="Times New Roman" w:hAnsi="Times New Roman"/>
          <w:color w:val="000080"/>
        </w:rPr>
      </w:pPr>
      <w:r w:rsidRPr="00093E31">
        <w:rPr>
          <w:rFonts w:ascii="Times New Roman" w:hAnsi="Times New Roman"/>
          <w:color w:val="000080"/>
        </w:rPr>
        <w:t>Air Force Review Boards Agency</w:t>
      </w:r>
    </w:p>
    <w:p w:rsidR="00093E31" w:rsidRPr="00093E31" w:rsidRDefault="00093E31" w:rsidP="00093E31">
      <w:pPr>
        <w:tabs>
          <w:tab w:val="left" w:pos="720"/>
        </w:tabs>
        <w:spacing w:line="240" w:lineRule="exact"/>
        <w:ind w:right="-1080"/>
        <w:rPr>
          <w:rFonts w:ascii="Times New Roman" w:hAnsi="Times New Roman"/>
          <w:color w:val="000080"/>
        </w:rPr>
      </w:pPr>
    </w:p>
    <w:p w:rsidR="00093E31" w:rsidRPr="00093E31" w:rsidRDefault="00093E31" w:rsidP="00093E31">
      <w:pPr>
        <w:tabs>
          <w:tab w:val="left" w:pos="720"/>
        </w:tabs>
        <w:spacing w:line="240" w:lineRule="exact"/>
        <w:ind w:right="-1080"/>
        <w:rPr>
          <w:rFonts w:ascii="Times New Roman" w:hAnsi="Times New Roman"/>
          <w:color w:val="000080"/>
        </w:rPr>
      </w:pPr>
      <w:r w:rsidRPr="00093E31">
        <w:rPr>
          <w:rFonts w:ascii="Times New Roman" w:hAnsi="Times New Roman"/>
          <w:color w:val="000080"/>
        </w:rPr>
        <w:t>Attachments:</w:t>
      </w:r>
    </w:p>
    <w:p w:rsidR="00093E31" w:rsidRPr="00093E31" w:rsidRDefault="00093E31" w:rsidP="00093E31">
      <w:pPr>
        <w:tabs>
          <w:tab w:val="left" w:pos="720"/>
        </w:tabs>
        <w:spacing w:line="240" w:lineRule="exact"/>
        <w:ind w:right="-1080"/>
        <w:rPr>
          <w:rFonts w:ascii="Times New Roman" w:hAnsi="Times New Roman"/>
          <w:color w:val="000080"/>
        </w:rPr>
      </w:pPr>
      <w:r w:rsidRPr="00093E31">
        <w:rPr>
          <w:rFonts w:ascii="Times New Roman" w:hAnsi="Times New Roman"/>
          <w:color w:val="000080"/>
        </w:rPr>
        <w:t>1.  Directive</w:t>
      </w:r>
    </w:p>
    <w:p w:rsidR="00093E31" w:rsidRPr="00093E31" w:rsidRDefault="00093E31" w:rsidP="00093E31">
      <w:pPr>
        <w:tabs>
          <w:tab w:val="left" w:pos="720"/>
        </w:tabs>
        <w:spacing w:line="240" w:lineRule="exact"/>
        <w:ind w:right="-1080"/>
        <w:rPr>
          <w:rFonts w:ascii="Times New Roman" w:hAnsi="Times New Roman"/>
          <w:color w:val="000080"/>
        </w:rPr>
      </w:pPr>
      <w:r w:rsidRPr="00093E31">
        <w:rPr>
          <w:rFonts w:ascii="Times New Roman" w:hAnsi="Times New Roman"/>
          <w:color w:val="000080"/>
        </w:rPr>
        <w:t>2.  Record of Proceedings</w:t>
      </w:r>
    </w:p>
    <w:p w:rsidR="00093E31" w:rsidRPr="00093E31" w:rsidRDefault="00093E31" w:rsidP="00093E31">
      <w:pPr>
        <w:tabs>
          <w:tab w:val="left" w:pos="720"/>
        </w:tabs>
        <w:spacing w:line="240" w:lineRule="exact"/>
        <w:ind w:right="-1080"/>
        <w:rPr>
          <w:rFonts w:ascii="Times New Roman" w:hAnsi="Times New Roman"/>
          <w:color w:val="000080"/>
        </w:rPr>
      </w:pPr>
    </w:p>
    <w:p w:rsidR="00093E31" w:rsidRPr="00093E31" w:rsidRDefault="00093E31" w:rsidP="00093E31">
      <w:pPr>
        <w:tabs>
          <w:tab w:val="left" w:pos="720"/>
        </w:tabs>
        <w:spacing w:line="240" w:lineRule="exact"/>
        <w:ind w:right="-1080"/>
        <w:rPr>
          <w:rFonts w:ascii="Times New Roman" w:hAnsi="Times New Roman"/>
          <w:color w:val="000080"/>
        </w:rPr>
      </w:pPr>
      <w:r w:rsidRPr="00093E31">
        <w:rPr>
          <w:rFonts w:ascii="Times New Roman" w:hAnsi="Times New Roman"/>
          <w:color w:val="000080"/>
        </w:rPr>
        <w:t>cc:</w:t>
      </w:r>
    </w:p>
    <w:p w:rsidR="00093E31" w:rsidRPr="00093E31" w:rsidRDefault="00093E31" w:rsidP="00093E31">
      <w:pPr>
        <w:tabs>
          <w:tab w:val="left" w:pos="720"/>
        </w:tabs>
        <w:spacing w:line="240" w:lineRule="exact"/>
        <w:ind w:right="-1080"/>
        <w:rPr>
          <w:rFonts w:ascii="Times New Roman" w:hAnsi="Times New Roman"/>
          <w:color w:val="000080"/>
        </w:rPr>
      </w:pPr>
      <w:r w:rsidRPr="00093E31">
        <w:rPr>
          <w:rFonts w:ascii="Times New Roman" w:hAnsi="Times New Roman"/>
          <w:color w:val="000080"/>
        </w:rPr>
        <w:t>SAF/MRBR</w:t>
      </w:r>
    </w:p>
    <w:p w:rsidR="00093E31" w:rsidRDefault="00093E31" w:rsidP="00093E31">
      <w:pPr>
        <w:tabs>
          <w:tab w:val="left" w:pos="720"/>
        </w:tabs>
        <w:spacing w:line="240" w:lineRule="exact"/>
        <w:ind w:right="-1080"/>
        <w:rPr>
          <w:rFonts w:ascii="Times New Roman" w:hAnsi="Times New Roman"/>
          <w:color w:val="000080"/>
        </w:rPr>
      </w:pPr>
      <w:r w:rsidRPr="00093E31">
        <w:rPr>
          <w:rFonts w:ascii="Times New Roman" w:hAnsi="Times New Roman"/>
          <w:color w:val="000080"/>
        </w:rPr>
        <w:t>DFAS-IN</w:t>
      </w:r>
    </w:p>
    <w:p w:rsidR="00093E31" w:rsidRDefault="00093E31">
      <w:pPr>
        <w:rPr>
          <w:rFonts w:ascii="Times New Roman" w:hAnsi="Times New Roman"/>
          <w:color w:val="000080"/>
        </w:rPr>
      </w:pPr>
      <w:r>
        <w:rPr>
          <w:rFonts w:ascii="Times New Roman" w:hAnsi="Times New Roman"/>
          <w:color w:val="000080"/>
        </w:rPr>
        <w:br w:type="page"/>
      </w:r>
    </w:p>
    <w:p w:rsidR="00093E31" w:rsidRPr="00366E20" w:rsidRDefault="00093E31" w:rsidP="00093E31">
      <w:pPr>
        <w:tabs>
          <w:tab w:val="left" w:pos="720"/>
        </w:tabs>
        <w:spacing w:line="240" w:lineRule="exact"/>
        <w:outlineLvl w:val="0"/>
        <w:rPr>
          <w:rFonts w:ascii="Times New Roman" w:hAnsi="Times New Roman"/>
          <w:color w:val="000080"/>
        </w:rPr>
      </w:pPr>
      <w:r>
        <w:rPr>
          <w:rFonts w:ascii="Times New Roman" w:hAnsi="Times New Roman"/>
          <w:color w:val="000080"/>
        </w:rPr>
        <w:lastRenderedPageBreak/>
        <w:t>PDBR PD-2010-00053</w:t>
      </w:r>
    </w:p>
    <w:p w:rsidR="00093E31" w:rsidRPr="00366E20" w:rsidRDefault="00093E31" w:rsidP="00093E31">
      <w:pPr>
        <w:tabs>
          <w:tab w:val="left" w:pos="720"/>
        </w:tabs>
        <w:spacing w:line="240" w:lineRule="exact"/>
        <w:rPr>
          <w:rFonts w:ascii="Times New Roman" w:hAnsi="Times New Roman"/>
          <w:color w:val="000080"/>
        </w:rPr>
      </w:pPr>
    </w:p>
    <w:p w:rsidR="00093E31" w:rsidRPr="00366E20" w:rsidRDefault="00093E31" w:rsidP="00093E31">
      <w:pPr>
        <w:tabs>
          <w:tab w:val="left" w:pos="720"/>
        </w:tabs>
        <w:spacing w:line="240" w:lineRule="exact"/>
        <w:rPr>
          <w:rFonts w:ascii="Times New Roman" w:hAnsi="Times New Roman"/>
          <w:color w:val="000080"/>
        </w:rPr>
      </w:pPr>
    </w:p>
    <w:p w:rsidR="00093E31" w:rsidRPr="00366E20" w:rsidRDefault="00093E31" w:rsidP="00093E31">
      <w:pPr>
        <w:tabs>
          <w:tab w:val="left" w:pos="720"/>
        </w:tabs>
        <w:spacing w:line="240" w:lineRule="exact"/>
        <w:rPr>
          <w:rFonts w:ascii="Times New Roman" w:hAnsi="Times New Roman"/>
          <w:color w:val="000080"/>
        </w:rPr>
      </w:pPr>
    </w:p>
    <w:p w:rsidR="00093E31" w:rsidRPr="00366E20" w:rsidRDefault="00093E31" w:rsidP="00093E31">
      <w:pPr>
        <w:tabs>
          <w:tab w:val="left" w:pos="720"/>
        </w:tabs>
        <w:spacing w:line="240" w:lineRule="exact"/>
        <w:rPr>
          <w:rFonts w:ascii="Times New Roman" w:hAnsi="Times New Roman"/>
          <w:color w:val="000080"/>
        </w:rPr>
      </w:pPr>
    </w:p>
    <w:p w:rsidR="00093E31" w:rsidRDefault="00093E31" w:rsidP="00093E31">
      <w:pPr>
        <w:tabs>
          <w:tab w:val="left" w:pos="720"/>
        </w:tabs>
        <w:spacing w:line="240" w:lineRule="exact"/>
        <w:outlineLvl w:val="0"/>
        <w:rPr>
          <w:rFonts w:ascii="Times New Roman" w:hAnsi="Times New Roman"/>
          <w:color w:val="000080"/>
        </w:rPr>
      </w:pPr>
      <w:r w:rsidRPr="00366E20">
        <w:rPr>
          <w:rFonts w:ascii="Times New Roman" w:hAnsi="Times New Roman"/>
          <w:color w:val="000080"/>
        </w:rPr>
        <w:t>MEMORANDUM FOR THE CHIEF OF STAFF</w:t>
      </w:r>
    </w:p>
    <w:p w:rsidR="00093E31" w:rsidRPr="00366E20" w:rsidRDefault="00093E31" w:rsidP="00093E31">
      <w:pPr>
        <w:tabs>
          <w:tab w:val="left" w:pos="720"/>
        </w:tabs>
        <w:spacing w:line="240" w:lineRule="exact"/>
        <w:outlineLvl w:val="0"/>
        <w:rPr>
          <w:rFonts w:ascii="Times New Roman" w:hAnsi="Times New Roman"/>
          <w:color w:val="000080"/>
        </w:rPr>
      </w:pPr>
    </w:p>
    <w:p w:rsidR="00093E31" w:rsidRPr="00366E20" w:rsidRDefault="00093E31" w:rsidP="00093E31">
      <w:pPr>
        <w:tabs>
          <w:tab w:val="left" w:pos="720"/>
        </w:tabs>
        <w:spacing w:line="240" w:lineRule="exact"/>
        <w:rPr>
          <w:rFonts w:ascii="Times New Roman" w:hAnsi="Times New Roman"/>
          <w:color w:val="000080"/>
        </w:rPr>
      </w:pPr>
    </w:p>
    <w:p w:rsidR="00093E31" w:rsidRPr="00366E20" w:rsidRDefault="00093E31" w:rsidP="00093E31">
      <w:pPr>
        <w:tabs>
          <w:tab w:val="left" w:pos="720"/>
        </w:tabs>
        <w:spacing w:line="240" w:lineRule="exact"/>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093E31" w:rsidRPr="00366E20" w:rsidRDefault="00093E31" w:rsidP="00093E31">
      <w:pPr>
        <w:tabs>
          <w:tab w:val="left" w:pos="720"/>
        </w:tabs>
        <w:spacing w:line="240" w:lineRule="exact"/>
        <w:rPr>
          <w:rFonts w:ascii="Times New Roman" w:hAnsi="Times New Roman"/>
          <w:color w:val="000080"/>
        </w:rPr>
      </w:pPr>
    </w:p>
    <w:p w:rsidR="00093E31" w:rsidRDefault="00093E31" w:rsidP="00093E31">
      <w:pPr>
        <w:tabs>
          <w:tab w:val="left" w:pos="720"/>
        </w:tabs>
        <w:spacing w:line="240" w:lineRule="exact"/>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r>
        <w:rPr>
          <w:rFonts w:ascii="Times New Roman" w:hAnsi="Times New Roman"/>
          <w:color w:val="000080"/>
        </w:rPr>
        <w:t xml:space="preserve">xxxxxxxxxx, be corrected to show that on 15 January 2000 he was </w:t>
      </w:r>
      <w:proofErr w:type="spellStart"/>
      <w:r w:rsidRPr="00853D67">
        <w:rPr>
          <w:rFonts w:ascii="Times New Roman" w:hAnsi="Times New Roman"/>
          <w:color w:val="000080"/>
        </w:rPr>
        <w:t>was</w:t>
      </w:r>
      <w:proofErr w:type="spellEnd"/>
      <w:r w:rsidRPr="00853D67">
        <w:rPr>
          <w:rFonts w:ascii="Times New Roman" w:hAnsi="Times New Roman"/>
          <w:color w:val="000080"/>
        </w:rPr>
        <w:t xml:space="preserve"> placed on the Temporary Disability Retired List (TDRL), with a diagnosis of </w:t>
      </w:r>
      <w:r>
        <w:rPr>
          <w:rFonts w:ascii="Times New Roman" w:hAnsi="Times New Roman"/>
          <w:color w:val="000080"/>
        </w:rPr>
        <w:t xml:space="preserve">Anxiety Disorder, </w:t>
      </w:r>
      <w:r w:rsidRPr="00853D67">
        <w:rPr>
          <w:rFonts w:ascii="Times New Roman" w:hAnsi="Times New Roman"/>
          <w:color w:val="000080"/>
        </w:rPr>
        <w:t>VASRD code 94</w:t>
      </w:r>
      <w:r>
        <w:rPr>
          <w:rFonts w:ascii="Times New Roman" w:hAnsi="Times New Roman"/>
          <w:color w:val="000080"/>
        </w:rPr>
        <w:t>00</w:t>
      </w:r>
      <w:r w:rsidRPr="00853D67">
        <w:rPr>
          <w:rFonts w:ascii="Times New Roman" w:hAnsi="Times New Roman"/>
          <w:color w:val="000080"/>
        </w:rPr>
        <w:t>, rated at 50%</w:t>
      </w:r>
      <w:r>
        <w:rPr>
          <w:rFonts w:ascii="Times New Roman" w:hAnsi="Times New Roman"/>
          <w:color w:val="000080"/>
        </w:rPr>
        <w:t xml:space="preserve"> rather than 30%.</w:t>
      </w:r>
    </w:p>
    <w:p w:rsidR="00093E31" w:rsidRDefault="00093E31" w:rsidP="00093E31">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093E31" w:rsidRPr="00366E20" w:rsidRDefault="00093E31" w:rsidP="00093E31">
      <w:pPr>
        <w:pStyle w:val="BodyText"/>
        <w:ind w:right="0"/>
      </w:pPr>
    </w:p>
    <w:p w:rsidR="00093E31" w:rsidRDefault="00093E31" w:rsidP="00093E31">
      <w:pPr>
        <w:tabs>
          <w:tab w:val="left" w:pos="720"/>
        </w:tabs>
        <w:spacing w:line="240" w:lineRule="exact"/>
        <w:rPr>
          <w:rFonts w:ascii="Times New Roman" w:hAnsi="Times New Roman"/>
          <w:color w:val="000080"/>
        </w:rPr>
      </w:pPr>
    </w:p>
    <w:p w:rsidR="00093E31" w:rsidRDefault="00093E31" w:rsidP="00093E31">
      <w:pPr>
        <w:tabs>
          <w:tab w:val="left" w:pos="720"/>
        </w:tabs>
        <w:spacing w:line="240" w:lineRule="exact"/>
        <w:rPr>
          <w:rFonts w:ascii="Times New Roman" w:hAnsi="Times New Roman"/>
          <w:color w:val="000080"/>
        </w:rPr>
      </w:pPr>
    </w:p>
    <w:p w:rsidR="00093E31" w:rsidRDefault="00093E31" w:rsidP="00093E31">
      <w:pPr>
        <w:tabs>
          <w:tab w:val="left" w:pos="720"/>
        </w:tabs>
        <w:spacing w:line="240" w:lineRule="exact"/>
        <w:outlineLvl w:val="0"/>
        <w:rPr>
          <w:rFonts w:ascii="Times New Roman" w:hAnsi="Times New Roman"/>
          <w:color w:val="000080"/>
        </w:rPr>
      </w:pPr>
      <w:r>
        <w:rPr>
          <w:rFonts w:ascii="Times New Roman" w:hAnsi="Times New Roman"/>
          <w:color w:val="000080"/>
        </w:rPr>
        <w:t xml:space="preserve"> </w:t>
      </w:r>
    </w:p>
    <w:p w:rsidR="00093E31" w:rsidRDefault="00093E31" w:rsidP="00093E31">
      <w:pPr>
        <w:tabs>
          <w:tab w:val="left" w:pos="720"/>
        </w:tabs>
        <w:spacing w:line="240" w:lineRule="exact"/>
        <w:outlineLvl w:val="0"/>
        <w:rPr>
          <w:rFonts w:ascii="Times New Roman" w:hAnsi="Times New Roman"/>
          <w:color w:val="000080"/>
        </w:rPr>
      </w:pPr>
      <w:r>
        <w:rPr>
          <w:rFonts w:ascii="Times New Roman" w:hAnsi="Times New Roman"/>
          <w:color w:val="000080"/>
        </w:rPr>
        <w:t xml:space="preserve">                                                                            Director</w:t>
      </w:r>
    </w:p>
    <w:p w:rsidR="00093E31" w:rsidRDefault="00093E31" w:rsidP="00093E31">
      <w:pPr>
        <w:tabs>
          <w:tab w:val="left" w:pos="720"/>
        </w:tabs>
        <w:spacing w:line="240" w:lineRule="exact"/>
        <w:rPr>
          <w:rFonts w:ascii="Times New Roman" w:hAnsi="Times New Roman"/>
          <w:color w:val="000080"/>
        </w:rPr>
      </w:pPr>
      <w:r>
        <w:rPr>
          <w:rFonts w:ascii="Times New Roman" w:hAnsi="Times New Roman"/>
          <w:color w:val="000080"/>
        </w:rPr>
        <w:t xml:space="preserve">                                                                            Air Force Review Boards Agency</w:t>
      </w:r>
    </w:p>
    <w:p w:rsidR="00093E31" w:rsidRPr="00093E31" w:rsidRDefault="00093E31" w:rsidP="00093E31">
      <w:pPr>
        <w:tabs>
          <w:tab w:val="left" w:pos="720"/>
        </w:tabs>
        <w:spacing w:line="240" w:lineRule="exact"/>
        <w:ind w:right="-1080"/>
        <w:rPr>
          <w:rFonts w:ascii="Times New Roman" w:hAnsi="Times New Roman"/>
          <w:color w:val="000080"/>
        </w:rPr>
      </w:pPr>
    </w:p>
    <w:p w:rsidR="007756D6" w:rsidRPr="00DD469B" w:rsidRDefault="007756D6" w:rsidP="007756D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756D6" w:rsidRPr="00006186" w:rsidRDefault="007756D6" w:rsidP="007756D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E3A85" w:rsidRDefault="000E3A85" w:rsidP="007756D6">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0E3A85"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4F" w:rsidRDefault="00B5274F">
      <w:r>
        <w:separator/>
      </w:r>
    </w:p>
  </w:endnote>
  <w:endnote w:type="continuationSeparator" w:id="0">
    <w:p w:rsidR="00B5274F" w:rsidRDefault="00B527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25" w:rsidRPr="00684CE6" w:rsidRDefault="008A14FB" w:rsidP="00F65ED5">
    <w:pPr>
      <w:pStyle w:val="Footer"/>
      <w:jc w:val="right"/>
      <w:rPr>
        <w:color w:val="auto"/>
      </w:rPr>
    </w:pPr>
    <w:r w:rsidRPr="00CE27F2">
      <w:rPr>
        <w:color w:val="auto"/>
      </w:rPr>
      <w:fldChar w:fldCharType="begin"/>
    </w:r>
    <w:r w:rsidR="00B64225" w:rsidRPr="00CE27F2">
      <w:rPr>
        <w:color w:val="auto"/>
      </w:rPr>
      <w:instrText xml:space="preserve"> PAGE   \* MERGEFORMAT </w:instrText>
    </w:r>
    <w:r w:rsidRPr="00CE27F2">
      <w:rPr>
        <w:color w:val="auto"/>
      </w:rPr>
      <w:fldChar w:fldCharType="separate"/>
    </w:r>
    <w:r w:rsidR="00093E31">
      <w:rPr>
        <w:noProof/>
        <w:color w:val="auto"/>
      </w:rPr>
      <w:t>5</w:t>
    </w:r>
    <w:r w:rsidRPr="00CE27F2">
      <w:rPr>
        <w:color w:val="auto"/>
      </w:rPr>
      <w:fldChar w:fldCharType="end"/>
    </w:r>
    <w:r w:rsidR="00B64225" w:rsidRPr="00CE27F2">
      <w:rPr>
        <w:color w:val="auto"/>
      </w:rPr>
      <w:t xml:space="preserve">                                                           PD201000053</w:t>
    </w:r>
  </w:p>
  <w:p w:rsidR="00B64225" w:rsidRPr="00684CE6" w:rsidRDefault="00B64225">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25" w:rsidRPr="00DB4A6D" w:rsidRDefault="00B64225"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4F" w:rsidRDefault="00B5274F">
      <w:r>
        <w:separator/>
      </w:r>
    </w:p>
  </w:footnote>
  <w:footnote w:type="continuationSeparator" w:id="0">
    <w:p w:rsidR="00B5274F" w:rsidRDefault="00B52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8290"/>
  </w:hdrShapeDefaults>
  <w:footnotePr>
    <w:numRestart w:val="eachSect"/>
    <w:footnote w:id="-1"/>
    <w:footnote w:id="0"/>
  </w:footnotePr>
  <w:endnotePr>
    <w:endnote w:id="-1"/>
    <w:endnote w:id="0"/>
  </w:endnotePr>
  <w:compat/>
  <w:rsids>
    <w:rsidRoot w:val="001C28D1"/>
    <w:rsid w:val="000024F5"/>
    <w:rsid w:val="000024F7"/>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0FE7"/>
    <w:rsid w:val="00032E07"/>
    <w:rsid w:val="000332CA"/>
    <w:rsid w:val="0003374E"/>
    <w:rsid w:val="00034124"/>
    <w:rsid w:val="000344D8"/>
    <w:rsid w:val="000344E6"/>
    <w:rsid w:val="00035C3A"/>
    <w:rsid w:val="00036E4B"/>
    <w:rsid w:val="00037929"/>
    <w:rsid w:val="000379D0"/>
    <w:rsid w:val="00040FC4"/>
    <w:rsid w:val="000416F8"/>
    <w:rsid w:val="00042925"/>
    <w:rsid w:val="00042C26"/>
    <w:rsid w:val="00043382"/>
    <w:rsid w:val="00044623"/>
    <w:rsid w:val="000452D7"/>
    <w:rsid w:val="00051622"/>
    <w:rsid w:val="00051A11"/>
    <w:rsid w:val="00052234"/>
    <w:rsid w:val="00053B34"/>
    <w:rsid w:val="00053D7C"/>
    <w:rsid w:val="000575C5"/>
    <w:rsid w:val="000577C9"/>
    <w:rsid w:val="00060FFD"/>
    <w:rsid w:val="0006389A"/>
    <w:rsid w:val="0006431E"/>
    <w:rsid w:val="000652EA"/>
    <w:rsid w:val="00065E21"/>
    <w:rsid w:val="000673ED"/>
    <w:rsid w:val="00070DED"/>
    <w:rsid w:val="00070EA4"/>
    <w:rsid w:val="00072433"/>
    <w:rsid w:val="0007488B"/>
    <w:rsid w:val="00075702"/>
    <w:rsid w:val="00075A0C"/>
    <w:rsid w:val="000775C2"/>
    <w:rsid w:val="000806AD"/>
    <w:rsid w:val="00080BDF"/>
    <w:rsid w:val="00082482"/>
    <w:rsid w:val="00084CF2"/>
    <w:rsid w:val="00085D7B"/>
    <w:rsid w:val="0008708B"/>
    <w:rsid w:val="00092619"/>
    <w:rsid w:val="00092C66"/>
    <w:rsid w:val="00093E31"/>
    <w:rsid w:val="000949DD"/>
    <w:rsid w:val="00094E4F"/>
    <w:rsid w:val="00097314"/>
    <w:rsid w:val="000A2BCE"/>
    <w:rsid w:val="000A33C8"/>
    <w:rsid w:val="000A41E3"/>
    <w:rsid w:val="000A4BBA"/>
    <w:rsid w:val="000A5071"/>
    <w:rsid w:val="000B0AD2"/>
    <w:rsid w:val="000B1022"/>
    <w:rsid w:val="000B16D9"/>
    <w:rsid w:val="000B2FB8"/>
    <w:rsid w:val="000B3AC2"/>
    <w:rsid w:val="000B4C99"/>
    <w:rsid w:val="000B71DC"/>
    <w:rsid w:val="000C06F6"/>
    <w:rsid w:val="000C1D34"/>
    <w:rsid w:val="000C2362"/>
    <w:rsid w:val="000C2FA8"/>
    <w:rsid w:val="000C3C13"/>
    <w:rsid w:val="000C4D5F"/>
    <w:rsid w:val="000C53F9"/>
    <w:rsid w:val="000C5813"/>
    <w:rsid w:val="000C58BF"/>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A85"/>
    <w:rsid w:val="000E3F20"/>
    <w:rsid w:val="000E4CBF"/>
    <w:rsid w:val="000E5357"/>
    <w:rsid w:val="000E5577"/>
    <w:rsid w:val="000E69A5"/>
    <w:rsid w:val="000E7034"/>
    <w:rsid w:val="000F02BE"/>
    <w:rsid w:val="000F0928"/>
    <w:rsid w:val="000F2FC0"/>
    <w:rsid w:val="000F427B"/>
    <w:rsid w:val="000F43D0"/>
    <w:rsid w:val="000F4F18"/>
    <w:rsid w:val="000F688E"/>
    <w:rsid w:val="000F7181"/>
    <w:rsid w:val="001007CE"/>
    <w:rsid w:val="001008C1"/>
    <w:rsid w:val="001023DB"/>
    <w:rsid w:val="00102B8D"/>
    <w:rsid w:val="00103948"/>
    <w:rsid w:val="00103CCF"/>
    <w:rsid w:val="0010417F"/>
    <w:rsid w:val="001042D2"/>
    <w:rsid w:val="00105078"/>
    <w:rsid w:val="0010530E"/>
    <w:rsid w:val="00105C07"/>
    <w:rsid w:val="00106AD8"/>
    <w:rsid w:val="00107EC5"/>
    <w:rsid w:val="001103CD"/>
    <w:rsid w:val="00112599"/>
    <w:rsid w:val="00113D2A"/>
    <w:rsid w:val="00114F20"/>
    <w:rsid w:val="0011590B"/>
    <w:rsid w:val="00116AA1"/>
    <w:rsid w:val="001211AF"/>
    <w:rsid w:val="001219DF"/>
    <w:rsid w:val="0012220B"/>
    <w:rsid w:val="00122ABE"/>
    <w:rsid w:val="001231DC"/>
    <w:rsid w:val="0012489B"/>
    <w:rsid w:val="00127249"/>
    <w:rsid w:val="001272AE"/>
    <w:rsid w:val="00130756"/>
    <w:rsid w:val="001315DD"/>
    <w:rsid w:val="00133F66"/>
    <w:rsid w:val="0013525F"/>
    <w:rsid w:val="00135385"/>
    <w:rsid w:val="001364D1"/>
    <w:rsid w:val="001374C7"/>
    <w:rsid w:val="001421FD"/>
    <w:rsid w:val="001425C8"/>
    <w:rsid w:val="00142EBA"/>
    <w:rsid w:val="00143B79"/>
    <w:rsid w:val="00145965"/>
    <w:rsid w:val="00145C9C"/>
    <w:rsid w:val="00150B8A"/>
    <w:rsid w:val="00150DCB"/>
    <w:rsid w:val="00151912"/>
    <w:rsid w:val="00153740"/>
    <w:rsid w:val="00153D88"/>
    <w:rsid w:val="001541C5"/>
    <w:rsid w:val="0015623F"/>
    <w:rsid w:val="00156585"/>
    <w:rsid w:val="00156BA9"/>
    <w:rsid w:val="00161642"/>
    <w:rsid w:val="00161761"/>
    <w:rsid w:val="00166182"/>
    <w:rsid w:val="00166FDD"/>
    <w:rsid w:val="0017139A"/>
    <w:rsid w:val="001724C8"/>
    <w:rsid w:val="001732C4"/>
    <w:rsid w:val="0017406E"/>
    <w:rsid w:val="001745DD"/>
    <w:rsid w:val="00174FDE"/>
    <w:rsid w:val="00174FE3"/>
    <w:rsid w:val="0017667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0CB7"/>
    <w:rsid w:val="001A2182"/>
    <w:rsid w:val="001A323E"/>
    <w:rsid w:val="001A5320"/>
    <w:rsid w:val="001A5E62"/>
    <w:rsid w:val="001A6848"/>
    <w:rsid w:val="001A7538"/>
    <w:rsid w:val="001B06FB"/>
    <w:rsid w:val="001B0B1A"/>
    <w:rsid w:val="001B4C0B"/>
    <w:rsid w:val="001B4EC2"/>
    <w:rsid w:val="001B5B59"/>
    <w:rsid w:val="001B60E0"/>
    <w:rsid w:val="001B7452"/>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B4A"/>
    <w:rsid w:val="001D7A56"/>
    <w:rsid w:val="001E15C0"/>
    <w:rsid w:val="001E18E0"/>
    <w:rsid w:val="001E18E2"/>
    <w:rsid w:val="001E19D0"/>
    <w:rsid w:val="001E2A30"/>
    <w:rsid w:val="001E2FF1"/>
    <w:rsid w:val="001E41FE"/>
    <w:rsid w:val="001E4774"/>
    <w:rsid w:val="001E635C"/>
    <w:rsid w:val="001F0297"/>
    <w:rsid w:val="00200AA0"/>
    <w:rsid w:val="00202325"/>
    <w:rsid w:val="00202736"/>
    <w:rsid w:val="00203352"/>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402B"/>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A09"/>
    <w:rsid w:val="00242D14"/>
    <w:rsid w:val="002432F4"/>
    <w:rsid w:val="00246860"/>
    <w:rsid w:val="002468D9"/>
    <w:rsid w:val="00246DFF"/>
    <w:rsid w:val="00246E89"/>
    <w:rsid w:val="0025183C"/>
    <w:rsid w:val="00252351"/>
    <w:rsid w:val="002528EC"/>
    <w:rsid w:val="00253EAA"/>
    <w:rsid w:val="00255049"/>
    <w:rsid w:val="002566E0"/>
    <w:rsid w:val="00257AFF"/>
    <w:rsid w:val="00257DE5"/>
    <w:rsid w:val="00260531"/>
    <w:rsid w:val="00260B9A"/>
    <w:rsid w:val="00262EA5"/>
    <w:rsid w:val="0026318D"/>
    <w:rsid w:val="00264148"/>
    <w:rsid w:val="002660AF"/>
    <w:rsid w:val="00270864"/>
    <w:rsid w:val="002710D0"/>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C4B"/>
    <w:rsid w:val="00292397"/>
    <w:rsid w:val="00292AB2"/>
    <w:rsid w:val="00293DB6"/>
    <w:rsid w:val="00293FE8"/>
    <w:rsid w:val="00294437"/>
    <w:rsid w:val="00297903"/>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46FC"/>
    <w:rsid w:val="002C5C31"/>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1CEF"/>
    <w:rsid w:val="002F287E"/>
    <w:rsid w:val="002F2981"/>
    <w:rsid w:val="002F2D63"/>
    <w:rsid w:val="002F5774"/>
    <w:rsid w:val="002F6AD8"/>
    <w:rsid w:val="002F7F81"/>
    <w:rsid w:val="00300A36"/>
    <w:rsid w:val="00301B45"/>
    <w:rsid w:val="00305856"/>
    <w:rsid w:val="0030678B"/>
    <w:rsid w:val="00306D16"/>
    <w:rsid w:val="00307595"/>
    <w:rsid w:val="00310CD7"/>
    <w:rsid w:val="00313D7A"/>
    <w:rsid w:val="00314C29"/>
    <w:rsid w:val="0032136A"/>
    <w:rsid w:val="00323968"/>
    <w:rsid w:val="00323A90"/>
    <w:rsid w:val="00323E70"/>
    <w:rsid w:val="003258A7"/>
    <w:rsid w:val="00325BA2"/>
    <w:rsid w:val="003262BD"/>
    <w:rsid w:val="00326B1C"/>
    <w:rsid w:val="00326C08"/>
    <w:rsid w:val="00326F7F"/>
    <w:rsid w:val="00327657"/>
    <w:rsid w:val="00327683"/>
    <w:rsid w:val="00330311"/>
    <w:rsid w:val="00330D55"/>
    <w:rsid w:val="003320E8"/>
    <w:rsid w:val="003328FD"/>
    <w:rsid w:val="00332DE3"/>
    <w:rsid w:val="0033334F"/>
    <w:rsid w:val="00334514"/>
    <w:rsid w:val="0033555E"/>
    <w:rsid w:val="00336805"/>
    <w:rsid w:val="00336808"/>
    <w:rsid w:val="00337351"/>
    <w:rsid w:val="0034042D"/>
    <w:rsid w:val="00341A54"/>
    <w:rsid w:val="00344A4F"/>
    <w:rsid w:val="00344D17"/>
    <w:rsid w:val="0034669F"/>
    <w:rsid w:val="00351498"/>
    <w:rsid w:val="00352B22"/>
    <w:rsid w:val="00352CBF"/>
    <w:rsid w:val="00354547"/>
    <w:rsid w:val="003549F5"/>
    <w:rsid w:val="00355408"/>
    <w:rsid w:val="00355554"/>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27F6"/>
    <w:rsid w:val="00372CE8"/>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19A"/>
    <w:rsid w:val="00393651"/>
    <w:rsid w:val="00394926"/>
    <w:rsid w:val="00394FF9"/>
    <w:rsid w:val="00395651"/>
    <w:rsid w:val="00395E12"/>
    <w:rsid w:val="003962A8"/>
    <w:rsid w:val="00396779"/>
    <w:rsid w:val="00397DB7"/>
    <w:rsid w:val="003A27B2"/>
    <w:rsid w:val="003A40B4"/>
    <w:rsid w:val="003A41BA"/>
    <w:rsid w:val="003A4BF3"/>
    <w:rsid w:val="003A5491"/>
    <w:rsid w:val="003A5958"/>
    <w:rsid w:val="003A6A99"/>
    <w:rsid w:val="003A6E60"/>
    <w:rsid w:val="003A7FF8"/>
    <w:rsid w:val="003B053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384"/>
    <w:rsid w:val="003E3E93"/>
    <w:rsid w:val="003E46D1"/>
    <w:rsid w:val="003E4922"/>
    <w:rsid w:val="003E5D84"/>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13BB"/>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64C"/>
    <w:rsid w:val="00427F54"/>
    <w:rsid w:val="004316FD"/>
    <w:rsid w:val="00431DD0"/>
    <w:rsid w:val="00433A2C"/>
    <w:rsid w:val="00433F36"/>
    <w:rsid w:val="00433FC7"/>
    <w:rsid w:val="00434860"/>
    <w:rsid w:val="0043503A"/>
    <w:rsid w:val="00437B8A"/>
    <w:rsid w:val="00437D18"/>
    <w:rsid w:val="00437D77"/>
    <w:rsid w:val="004435BE"/>
    <w:rsid w:val="0044384F"/>
    <w:rsid w:val="0044411E"/>
    <w:rsid w:val="00444472"/>
    <w:rsid w:val="00444DF4"/>
    <w:rsid w:val="00444F80"/>
    <w:rsid w:val="00445599"/>
    <w:rsid w:val="00446018"/>
    <w:rsid w:val="0045027B"/>
    <w:rsid w:val="004504E7"/>
    <w:rsid w:val="00451F9D"/>
    <w:rsid w:val="00452668"/>
    <w:rsid w:val="00453167"/>
    <w:rsid w:val="004543BC"/>
    <w:rsid w:val="00456265"/>
    <w:rsid w:val="0045645D"/>
    <w:rsid w:val="004574C6"/>
    <w:rsid w:val="00457743"/>
    <w:rsid w:val="00457BCF"/>
    <w:rsid w:val="00457DCE"/>
    <w:rsid w:val="00457F37"/>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1F74"/>
    <w:rsid w:val="00483A2B"/>
    <w:rsid w:val="00484212"/>
    <w:rsid w:val="00484BA9"/>
    <w:rsid w:val="0048599A"/>
    <w:rsid w:val="00486818"/>
    <w:rsid w:val="0049136F"/>
    <w:rsid w:val="0049198E"/>
    <w:rsid w:val="0049255F"/>
    <w:rsid w:val="0049445D"/>
    <w:rsid w:val="00495350"/>
    <w:rsid w:val="00495E3C"/>
    <w:rsid w:val="004962EF"/>
    <w:rsid w:val="00497156"/>
    <w:rsid w:val="004A0C79"/>
    <w:rsid w:val="004A1667"/>
    <w:rsid w:val="004A24D2"/>
    <w:rsid w:val="004A3214"/>
    <w:rsid w:val="004A3DCC"/>
    <w:rsid w:val="004A4136"/>
    <w:rsid w:val="004A417B"/>
    <w:rsid w:val="004A4378"/>
    <w:rsid w:val="004A666B"/>
    <w:rsid w:val="004A6872"/>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30A"/>
    <w:rsid w:val="004D16BD"/>
    <w:rsid w:val="004D2AAB"/>
    <w:rsid w:val="004D6E90"/>
    <w:rsid w:val="004D6F2B"/>
    <w:rsid w:val="004E0248"/>
    <w:rsid w:val="004E17CA"/>
    <w:rsid w:val="004E21A3"/>
    <w:rsid w:val="004E32EA"/>
    <w:rsid w:val="004E6866"/>
    <w:rsid w:val="004F0C58"/>
    <w:rsid w:val="004F1C01"/>
    <w:rsid w:val="004F3222"/>
    <w:rsid w:val="004F3639"/>
    <w:rsid w:val="004F3BFA"/>
    <w:rsid w:val="004F4E3C"/>
    <w:rsid w:val="004F5A1A"/>
    <w:rsid w:val="004F77A3"/>
    <w:rsid w:val="004F7AFE"/>
    <w:rsid w:val="005000AB"/>
    <w:rsid w:val="00500F3C"/>
    <w:rsid w:val="005025EE"/>
    <w:rsid w:val="00502EA3"/>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10AC"/>
    <w:rsid w:val="00534D42"/>
    <w:rsid w:val="005350A5"/>
    <w:rsid w:val="00536379"/>
    <w:rsid w:val="00537238"/>
    <w:rsid w:val="005400C5"/>
    <w:rsid w:val="005404CD"/>
    <w:rsid w:val="00540BE0"/>
    <w:rsid w:val="00540BEF"/>
    <w:rsid w:val="005417F9"/>
    <w:rsid w:val="0054257A"/>
    <w:rsid w:val="00542C9A"/>
    <w:rsid w:val="005436C2"/>
    <w:rsid w:val="005442D4"/>
    <w:rsid w:val="005455DF"/>
    <w:rsid w:val="0054586A"/>
    <w:rsid w:val="00546137"/>
    <w:rsid w:val="0054631F"/>
    <w:rsid w:val="00546C24"/>
    <w:rsid w:val="005471BA"/>
    <w:rsid w:val="00547BE6"/>
    <w:rsid w:val="0055034F"/>
    <w:rsid w:val="0055288D"/>
    <w:rsid w:val="00555259"/>
    <w:rsid w:val="00555C66"/>
    <w:rsid w:val="005569EF"/>
    <w:rsid w:val="00556BDE"/>
    <w:rsid w:val="00560D57"/>
    <w:rsid w:val="005610D6"/>
    <w:rsid w:val="00562321"/>
    <w:rsid w:val="00562A94"/>
    <w:rsid w:val="00563FAD"/>
    <w:rsid w:val="005701C1"/>
    <w:rsid w:val="005703BF"/>
    <w:rsid w:val="00570754"/>
    <w:rsid w:val="005709F7"/>
    <w:rsid w:val="005710A9"/>
    <w:rsid w:val="00571B11"/>
    <w:rsid w:val="00571D1B"/>
    <w:rsid w:val="00571DA3"/>
    <w:rsid w:val="00572583"/>
    <w:rsid w:val="005738F5"/>
    <w:rsid w:val="00573D34"/>
    <w:rsid w:val="00575963"/>
    <w:rsid w:val="00575EBE"/>
    <w:rsid w:val="005772B7"/>
    <w:rsid w:val="0058039C"/>
    <w:rsid w:val="00580A63"/>
    <w:rsid w:val="005816E5"/>
    <w:rsid w:val="00583379"/>
    <w:rsid w:val="0058417C"/>
    <w:rsid w:val="005860A9"/>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0805"/>
    <w:rsid w:val="005B0914"/>
    <w:rsid w:val="005B1ADA"/>
    <w:rsid w:val="005B1D8F"/>
    <w:rsid w:val="005B1E94"/>
    <w:rsid w:val="005B5B3D"/>
    <w:rsid w:val="005B64CF"/>
    <w:rsid w:val="005C0E3D"/>
    <w:rsid w:val="005C0E87"/>
    <w:rsid w:val="005C16F3"/>
    <w:rsid w:val="005C2BEB"/>
    <w:rsid w:val="005C3758"/>
    <w:rsid w:val="005C4D72"/>
    <w:rsid w:val="005C50C1"/>
    <w:rsid w:val="005C62C2"/>
    <w:rsid w:val="005D2306"/>
    <w:rsid w:val="005D2430"/>
    <w:rsid w:val="005D4A74"/>
    <w:rsid w:val="005D5E91"/>
    <w:rsid w:val="005D67EF"/>
    <w:rsid w:val="005E3064"/>
    <w:rsid w:val="005E5D58"/>
    <w:rsid w:val="005E6AEE"/>
    <w:rsid w:val="005E72B2"/>
    <w:rsid w:val="005F1115"/>
    <w:rsid w:val="005F164D"/>
    <w:rsid w:val="005F1AB6"/>
    <w:rsid w:val="005F27F2"/>
    <w:rsid w:val="005F2B27"/>
    <w:rsid w:val="005F3567"/>
    <w:rsid w:val="005F3AFE"/>
    <w:rsid w:val="005F424D"/>
    <w:rsid w:val="005F4E2F"/>
    <w:rsid w:val="005F55F5"/>
    <w:rsid w:val="005F5750"/>
    <w:rsid w:val="005F5EC1"/>
    <w:rsid w:val="005F67A9"/>
    <w:rsid w:val="005F6B6D"/>
    <w:rsid w:val="006008F8"/>
    <w:rsid w:val="006020DC"/>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31E9"/>
    <w:rsid w:val="00644982"/>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37D1"/>
    <w:rsid w:val="00684CE6"/>
    <w:rsid w:val="00684E2B"/>
    <w:rsid w:val="00687C7E"/>
    <w:rsid w:val="00690569"/>
    <w:rsid w:val="00690FDA"/>
    <w:rsid w:val="006911FE"/>
    <w:rsid w:val="00691E61"/>
    <w:rsid w:val="006937C6"/>
    <w:rsid w:val="00693C5E"/>
    <w:rsid w:val="00693CEE"/>
    <w:rsid w:val="00694EEA"/>
    <w:rsid w:val="006955B4"/>
    <w:rsid w:val="00695DEF"/>
    <w:rsid w:val="00696476"/>
    <w:rsid w:val="00696C74"/>
    <w:rsid w:val="0069775D"/>
    <w:rsid w:val="006A10FA"/>
    <w:rsid w:val="006A40E6"/>
    <w:rsid w:val="006A516B"/>
    <w:rsid w:val="006A5362"/>
    <w:rsid w:val="006A543A"/>
    <w:rsid w:val="006A5C07"/>
    <w:rsid w:val="006A75FA"/>
    <w:rsid w:val="006B07D5"/>
    <w:rsid w:val="006B1309"/>
    <w:rsid w:val="006B1E85"/>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17DF"/>
    <w:rsid w:val="006E2DC8"/>
    <w:rsid w:val="006E358B"/>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4AC3"/>
    <w:rsid w:val="0072586B"/>
    <w:rsid w:val="007272F1"/>
    <w:rsid w:val="0073062D"/>
    <w:rsid w:val="0073093B"/>
    <w:rsid w:val="0073254D"/>
    <w:rsid w:val="007340F3"/>
    <w:rsid w:val="00734969"/>
    <w:rsid w:val="00735704"/>
    <w:rsid w:val="00736A49"/>
    <w:rsid w:val="00737A01"/>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756D6"/>
    <w:rsid w:val="00777E47"/>
    <w:rsid w:val="00780378"/>
    <w:rsid w:val="0078085E"/>
    <w:rsid w:val="00781BD4"/>
    <w:rsid w:val="007820A4"/>
    <w:rsid w:val="00782562"/>
    <w:rsid w:val="007828B4"/>
    <w:rsid w:val="00784832"/>
    <w:rsid w:val="00784EA0"/>
    <w:rsid w:val="00785D77"/>
    <w:rsid w:val="00786111"/>
    <w:rsid w:val="00790963"/>
    <w:rsid w:val="0079154B"/>
    <w:rsid w:val="00791F1E"/>
    <w:rsid w:val="007927BE"/>
    <w:rsid w:val="007935B8"/>
    <w:rsid w:val="00794ADE"/>
    <w:rsid w:val="00794F3D"/>
    <w:rsid w:val="007952A7"/>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19D"/>
    <w:rsid w:val="007B1C83"/>
    <w:rsid w:val="007B4181"/>
    <w:rsid w:val="007B5C5C"/>
    <w:rsid w:val="007B5E0B"/>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156F"/>
    <w:rsid w:val="007E2046"/>
    <w:rsid w:val="007E26F1"/>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2BDC"/>
    <w:rsid w:val="00813C51"/>
    <w:rsid w:val="00814BF1"/>
    <w:rsid w:val="00816CCB"/>
    <w:rsid w:val="00817572"/>
    <w:rsid w:val="00817713"/>
    <w:rsid w:val="008208C3"/>
    <w:rsid w:val="008220F1"/>
    <w:rsid w:val="0082340B"/>
    <w:rsid w:val="00823D6A"/>
    <w:rsid w:val="00827B29"/>
    <w:rsid w:val="00827DB6"/>
    <w:rsid w:val="0083020B"/>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290B"/>
    <w:rsid w:val="00865207"/>
    <w:rsid w:val="008656A7"/>
    <w:rsid w:val="00865FA3"/>
    <w:rsid w:val="00866231"/>
    <w:rsid w:val="0086710B"/>
    <w:rsid w:val="00867F03"/>
    <w:rsid w:val="00871262"/>
    <w:rsid w:val="0087170E"/>
    <w:rsid w:val="00871D4E"/>
    <w:rsid w:val="00871E7B"/>
    <w:rsid w:val="008721BB"/>
    <w:rsid w:val="00872FD0"/>
    <w:rsid w:val="0087566D"/>
    <w:rsid w:val="00875B50"/>
    <w:rsid w:val="00875B51"/>
    <w:rsid w:val="00875F2D"/>
    <w:rsid w:val="008764DC"/>
    <w:rsid w:val="008820A7"/>
    <w:rsid w:val="00882CC2"/>
    <w:rsid w:val="0088325A"/>
    <w:rsid w:val="00883930"/>
    <w:rsid w:val="00884535"/>
    <w:rsid w:val="008872E0"/>
    <w:rsid w:val="008902BE"/>
    <w:rsid w:val="0089038F"/>
    <w:rsid w:val="00890CDA"/>
    <w:rsid w:val="00891BBA"/>
    <w:rsid w:val="00892079"/>
    <w:rsid w:val="00892B90"/>
    <w:rsid w:val="008960F8"/>
    <w:rsid w:val="00896535"/>
    <w:rsid w:val="00896683"/>
    <w:rsid w:val="00896E71"/>
    <w:rsid w:val="0089750B"/>
    <w:rsid w:val="00897589"/>
    <w:rsid w:val="008A0D4F"/>
    <w:rsid w:val="008A14FB"/>
    <w:rsid w:val="008A39D7"/>
    <w:rsid w:val="008A55DE"/>
    <w:rsid w:val="008A5C34"/>
    <w:rsid w:val="008A63A9"/>
    <w:rsid w:val="008A6ACC"/>
    <w:rsid w:val="008A6F0E"/>
    <w:rsid w:val="008A7073"/>
    <w:rsid w:val="008A79F0"/>
    <w:rsid w:val="008A7F7E"/>
    <w:rsid w:val="008B04DB"/>
    <w:rsid w:val="008B09B4"/>
    <w:rsid w:val="008B1DF4"/>
    <w:rsid w:val="008B27FD"/>
    <w:rsid w:val="008B2FDB"/>
    <w:rsid w:val="008B3AF2"/>
    <w:rsid w:val="008B446D"/>
    <w:rsid w:val="008B515D"/>
    <w:rsid w:val="008B5D31"/>
    <w:rsid w:val="008B6705"/>
    <w:rsid w:val="008C09F4"/>
    <w:rsid w:val="008C22F3"/>
    <w:rsid w:val="008C3FD0"/>
    <w:rsid w:val="008C4BB5"/>
    <w:rsid w:val="008C4F01"/>
    <w:rsid w:val="008D1484"/>
    <w:rsid w:val="008D2564"/>
    <w:rsid w:val="008D29E7"/>
    <w:rsid w:val="008D2AEE"/>
    <w:rsid w:val="008D5104"/>
    <w:rsid w:val="008D75F4"/>
    <w:rsid w:val="008D795D"/>
    <w:rsid w:val="008D7B07"/>
    <w:rsid w:val="008E0419"/>
    <w:rsid w:val="008E0D8F"/>
    <w:rsid w:val="008E0F4E"/>
    <w:rsid w:val="008E1E94"/>
    <w:rsid w:val="008E2D99"/>
    <w:rsid w:val="008E30D4"/>
    <w:rsid w:val="008E38B0"/>
    <w:rsid w:val="008E4A60"/>
    <w:rsid w:val="008E659B"/>
    <w:rsid w:val="008E744D"/>
    <w:rsid w:val="008F1E08"/>
    <w:rsid w:val="008F2467"/>
    <w:rsid w:val="008F6FC8"/>
    <w:rsid w:val="0090045D"/>
    <w:rsid w:val="00900D8F"/>
    <w:rsid w:val="009014E3"/>
    <w:rsid w:val="009020ED"/>
    <w:rsid w:val="009026E8"/>
    <w:rsid w:val="00902FDD"/>
    <w:rsid w:val="00904A76"/>
    <w:rsid w:val="009052F7"/>
    <w:rsid w:val="0090578F"/>
    <w:rsid w:val="00905EEF"/>
    <w:rsid w:val="00906EB7"/>
    <w:rsid w:val="009102BF"/>
    <w:rsid w:val="00911490"/>
    <w:rsid w:val="009115F2"/>
    <w:rsid w:val="00911B11"/>
    <w:rsid w:val="00914ADB"/>
    <w:rsid w:val="0091600D"/>
    <w:rsid w:val="00917182"/>
    <w:rsid w:val="00923B25"/>
    <w:rsid w:val="0092402E"/>
    <w:rsid w:val="009256F0"/>
    <w:rsid w:val="009259BA"/>
    <w:rsid w:val="00926FCB"/>
    <w:rsid w:val="009303BB"/>
    <w:rsid w:val="0093108A"/>
    <w:rsid w:val="00932BD1"/>
    <w:rsid w:val="0093311A"/>
    <w:rsid w:val="009346D0"/>
    <w:rsid w:val="00936D9A"/>
    <w:rsid w:val="009419B4"/>
    <w:rsid w:val="00941A4C"/>
    <w:rsid w:val="00942645"/>
    <w:rsid w:val="009461E6"/>
    <w:rsid w:val="00950A3A"/>
    <w:rsid w:val="0095140E"/>
    <w:rsid w:val="0095340A"/>
    <w:rsid w:val="00953AF6"/>
    <w:rsid w:val="0095423E"/>
    <w:rsid w:val="00954581"/>
    <w:rsid w:val="0095466C"/>
    <w:rsid w:val="00954E5B"/>
    <w:rsid w:val="00955316"/>
    <w:rsid w:val="0095566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3FA"/>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2391"/>
    <w:rsid w:val="009A3627"/>
    <w:rsid w:val="009A49D3"/>
    <w:rsid w:val="009A4F1B"/>
    <w:rsid w:val="009A66C5"/>
    <w:rsid w:val="009A66E7"/>
    <w:rsid w:val="009A79BA"/>
    <w:rsid w:val="009B14D1"/>
    <w:rsid w:val="009B1534"/>
    <w:rsid w:val="009B4963"/>
    <w:rsid w:val="009B4A3B"/>
    <w:rsid w:val="009B5837"/>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5ADD"/>
    <w:rsid w:val="009D5E95"/>
    <w:rsid w:val="009E09D0"/>
    <w:rsid w:val="009E1283"/>
    <w:rsid w:val="009E2D7B"/>
    <w:rsid w:val="009E3A7F"/>
    <w:rsid w:val="009E4B8C"/>
    <w:rsid w:val="009E4C9B"/>
    <w:rsid w:val="009E4DFC"/>
    <w:rsid w:val="009E5789"/>
    <w:rsid w:val="009E57B1"/>
    <w:rsid w:val="009E6379"/>
    <w:rsid w:val="009F020F"/>
    <w:rsid w:val="009F0629"/>
    <w:rsid w:val="009F3B63"/>
    <w:rsid w:val="009F43E2"/>
    <w:rsid w:val="009F6292"/>
    <w:rsid w:val="009F7809"/>
    <w:rsid w:val="009F7AF5"/>
    <w:rsid w:val="00A006F1"/>
    <w:rsid w:val="00A007A7"/>
    <w:rsid w:val="00A00D14"/>
    <w:rsid w:val="00A01408"/>
    <w:rsid w:val="00A02457"/>
    <w:rsid w:val="00A03190"/>
    <w:rsid w:val="00A0404B"/>
    <w:rsid w:val="00A0632A"/>
    <w:rsid w:val="00A06F66"/>
    <w:rsid w:val="00A0798C"/>
    <w:rsid w:val="00A07BDD"/>
    <w:rsid w:val="00A07F12"/>
    <w:rsid w:val="00A1005D"/>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27DC"/>
    <w:rsid w:val="00A35385"/>
    <w:rsid w:val="00A358FC"/>
    <w:rsid w:val="00A409DE"/>
    <w:rsid w:val="00A40FFB"/>
    <w:rsid w:val="00A41468"/>
    <w:rsid w:val="00A414A9"/>
    <w:rsid w:val="00A44141"/>
    <w:rsid w:val="00A44CCA"/>
    <w:rsid w:val="00A44D75"/>
    <w:rsid w:val="00A46494"/>
    <w:rsid w:val="00A47CF1"/>
    <w:rsid w:val="00A50418"/>
    <w:rsid w:val="00A50F10"/>
    <w:rsid w:val="00A54A47"/>
    <w:rsid w:val="00A56D26"/>
    <w:rsid w:val="00A571A7"/>
    <w:rsid w:val="00A5749A"/>
    <w:rsid w:val="00A57BA8"/>
    <w:rsid w:val="00A608FB"/>
    <w:rsid w:val="00A60D83"/>
    <w:rsid w:val="00A60F68"/>
    <w:rsid w:val="00A63DF3"/>
    <w:rsid w:val="00A65C78"/>
    <w:rsid w:val="00A660A8"/>
    <w:rsid w:val="00A66A45"/>
    <w:rsid w:val="00A66E16"/>
    <w:rsid w:val="00A66EDB"/>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949"/>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3863"/>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06A7"/>
    <w:rsid w:val="00B20798"/>
    <w:rsid w:val="00B23436"/>
    <w:rsid w:val="00B237F1"/>
    <w:rsid w:val="00B23F10"/>
    <w:rsid w:val="00B24328"/>
    <w:rsid w:val="00B24B1D"/>
    <w:rsid w:val="00B24ED4"/>
    <w:rsid w:val="00B24F33"/>
    <w:rsid w:val="00B2600A"/>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77D4"/>
    <w:rsid w:val="00B50227"/>
    <w:rsid w:val="00B50510"/>
    <w:rsid w:val="00B522CD"/>
    <w:rsid w:val="00B5274F"/>
    <w:rsid w:val="00B55143"/>
    <w:rsid w:val="00B555C8"/>
    <w:rsid w:val="00B55917"/>
    <w:rsid w:val="00B5646A"/>
    <w:rsid w:val="00B56F3D"/>
    <w:rsid w:val="00B57921"/>
    <w:rsid w:val="00B57E78"/>
    <w:rsid w:val="00B57EB8"/>
    <w:rsid w:val="00B609F6"/>
    <w:rsid w:val="00B60E75"/>
    <w:rsid w:val="00B64225"/>
    <w:rsid w:val="00B643A6"/>
    <w:rsid w:val="00B64DD6"/>
    <w:rsid w:val="00B66099"/>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F9A"/>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3F2"/>
    <w:rsid w:val="00BB65CE"/>
    <w:rsid w:val="00BB7012"/>
    <w:rsid w:val="00BB73B9"/>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245"/>
    <w:rsid w:val="00BE6365"/>
    <w:rsid w:val="00BF01B7"/>
    <w:rsid w:val="00BF0B7F"/>
    <w:rsid w:val="00BF2988"/>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08A"/>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2E03"/>
    <w:rsid w:val="00C34168"/>
    <w:rsid w:val="00C34326"/>
    <w:rsid w:val="00C34CEB"/>
    <w:rsid w:val="00C36201"/>
    <w:rsid w:val="00C368E8"/>
    <w:rsid w:val="00C36C3D"/>
    <w:rsid w:val="00C372C7"/>
    <w:rsid w:val="00C42443"/>
    <w:rsid w:val="00C42497"/>
    <w:rsid w:val="00C42B5F"/>
    <w:rsid w:val="00C42CBA"/>
    <w:rsid w:val="00C4338C"/>
    <w:rsid w:val="00C43C2B"/>
    <w:rsid w:val="00C45B27"/>
    <w:rsid w:val="00C472C7"/>
    <w:rsid w:val="00C5019E"/>
    <w:rsid w:val="00C51962"/>
    <w:rsid w:val="00C5377C"/>
    <w:rsid w:val="00C53E8A"/>
    <w:rsid w:val="00C54DF3"/>
    <w:rsid w:val="00C560A7"/>
    <w:rsid w:val="00C56FC8"/>
    <w:rsid w:val="00C578C6"/>
    <w:rsid w:val="00C6094B"/>
    <w:rsid w:val="00C60F23"/>
    <w:rsid w:val="00C6170B"/>
    <w:rsid w:val="00C62EB2"/>
    <w:rsid w:val="00C64C87"/>
    <w:rsid w:val="00C665FE"/>
    <w:rsid w:val="00C71BEC"/>
    <w:rsid w:val="00C72DD6"/>
    <w:rsid w:val="00C74D3A"/>
    <w:rsid w:val="00C75F3D"/>
    <w:rsid w:val="00C80511"/>
    <w:rsid w:val="00C826F5"/>
    <w:rsid w:val="00C83740"/>
    <w:rsid w:val="00C84AD1"/>
    <w:rsid w:val="00C85579"/>
    <w:rsid w:val="00C862F1"/>
    <w:rsid w:val="00C863E5"/>
    <w:rsid w:val="00C86AA3"/>
    <w:rsid w:val="00C87BE6"/>
    <w:rsid w:val="00C87F76"/>
    <w:rsid w:val="00C915E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581D"/>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7F2"/>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0BB5"/>
    <w:rsid w:val="00D2321B"/>
    <w:rsid w:val="00D23350"/>
    <w:rsid w:val="00D237E7"/>
    <w:rsid w:val="00D23DE4"/>
    <w:rsid w:val="00D25A5C"/>
    <w:rsid w:val="00D26873"/>
    <w:rsid w:val="00D31683"/>
    <w:rsid w:val="00D336C8"/>
    <w:rsid w:val="00D339E8"/>
    <w:rsid w:val="00D3654A"/>
    <w:rsid w:val="00D36571"/>
    <w:rsid w:val="00D3662E"/>
    <w:rsid w:val="00D377C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693"/>
    <w:rsid w:val="00D61ABB"/>
    <w:rsid w:val="00D62046"/>
    <w:rsid w:val="00D62D5C"/>
    <w:rsid w:val="00D63577"/>
    <w:rsid w:val="00D6552F"/>
    <w:rsid w:val="00D67FD7"/>
    <w:rsid w:val="00D7125E"/>
    <w:rsid w:val="00D72410"/>
    <w:rsid w:val="00D7316E"/>
    <w:rsid w:val="00D73D53"/>
    <w:rsid w:val="00D7408A"/>
    <w:rsid w:val="00D74261"/>
    <w:rsid w:val="00D7441B"/>
    <w:rsid w:val="00D75589"/>
    <w:rsid w:val="00D76AB2"/>
    <w:rsid w:val="00D775FA"/>
    <w:rsid w:val="00D80490"/>
    <w:rsid w:val="00D829AD"/>
    <w:rsid w:val="00D82EE2"/>
    <w:rsid w:val="00D83D1B"/>
    <w:rsid w:val="00D84133"/>
    <w:rsid w:val="00D8545C"/>
    <w:rsid w:val="00D86E57"/>
    <w:rsid w:val="00D87788"/>
    <w:rsid w:val="00D877C8"/>
    <w:rsid w:val="00D87DD2"/>
    <w:rsid w:val="00D91040"/>
    <w:rsid w:val="00D910C2"/>
    <w:rsid w:val="00D9168C"/>
    <w:rsid w:val="00D9189B"/>
    <w:rsid w:val="00D91DA6"/>
    <w:rsid w:val="00D921A0"/>
    <w:rsid w:val="00D93A41"/>
    <w:rsid w:val="00D93B9A"/>
    <w:rsid w:val="00D95984"/>
    <w:rsid w:val="00D95C64"/>
    <w:rsid w:val="00D9706F"/>
    <w:rsid w:val="00D972D4"/>
    <w:rsid w:val="00DA097A"/>
    <w:rsid w:val="00DA195B"/>
    <w:rsid w:val="00DA27F3"/>
    <w:rsid w:val="00DA2D1E"/>
    <w:rsid w:val="00DA3EC8"/>
    <w:rsid w:val="00DA40C1"/>
    <w:rsid w:val="00DA4881"/>
    <w:rsid w:val="00DA5564"/>
    <w:rsid w:val="00DA6B55"/>
    <w:rsid w:val="00DA6B97"/>
    <w:rsid w:val="00DA6CEE"/>
    <w:rsid w:val="00DB0015"/>
    <w:rsid w:val="00DB0359"/>
    <w:rsid w:val="00DB0ABB"/>
    <w:rsid w:val="00DB2AAD"/>
    <w:rsid w:val="00DB44E2"/>
    <w:rsid w:val="00DB4A6D"/>
    <w:rsid w:val="00DB5941"/>
    <w:rsid w:val="00DB626D"/>
    <w:rsid w:val="00DB6365"/>
    <w:rsid w:val="00DB7A9B"/>
    <w:rsid w:val="00DC07B7"/>
    <w:rsid w:val="00DC0BF1"/>
    <w:rsid w:val="00DC17F2"/>
    <w:rsid w:val="00DC41C3"/>
    <w:rsid w:val="00DC4A3C"/>
    <w:rsid w:val="00DC4FA4"/>
    <w:rsid w:val="00DC5B37"/>
    <w:rsid w:val="00DD2324"/>
    <w:rsid w:val="00DD286D"/>
    <w:rsid w:val="00DD2CAF"/>
    <w:rsid w:val="00DD3593"/>
    <w:rsid w:val="00DD64E0"/>
    <w:rsid w:val="00DD7BE0"/>
    <w:rsid w:val="00DE0B4B"/>
    <w:rsid w:val="00DE0C67"/>
    <w:rsid w:val="00DE3AAD"/>
    <w:rsid w:val="00DE598A"/>
    <w:rsid w:val="00DE6952"/>
    <w:rsid w:val="00DE7E74"/>
    <w:rsid w:val="00DF071B"/>
    <w:rsid w:val="00DF3FAB"/>
    <w:rsid w:val="00DF5C84"/>
    <w:rsid w:val="00DF6EF8"/>
    <w:rsid w:val="00E00A69"/>
    <w:rsid w:val="00E017BC"/>
    <w:rsid w:val="00E017F0"/>
    <w:rsid w:val="00E01A0E"/>
    <w:rsid w:val="00E0346A"/>
    <w:rsid w:val="00E03A70"/>
    <w:rsid w:val="00E041E4"/>
    <w:rsid w:val="00E04AEE"/>
    <w:rsid w:val="00E1012B"/>
    <w:rsid w:val="00E103C8"/>
    <w:rsid w:val="00E1085B"/>
    <w:rsid w:val="00E1308B"/>
    <w:rsid w:val="00E14581"/>
    <w:rsid w:val="00E14623"/>
    <w:rsid w:val="00E15539"/>
    <w:rsid w:val="00E16541"/>
    <w:rsid w:val="00E17EC9"/>
    <w:rsid w:val="00E202F4"/>
    <w:rsid w:val="00E207C3"/>
    <w:rsid w:val="00E20C98"/>
    <w:rsid w:val="00E21386"/>
    <w:rsid w:val="00E242AF"/>
    <w:rsid w:val="00E24849"/>
    <w:rsid w:val="00E2536E"/>
    <w:rsid w:val="00E25B8A"/>
    <w:rsid w:val="00E25EF8"/>
    <w:rsid w:val="00E2632B"/>
    <w:rsid w:val="00E26F33"/>
    <w:rsid w:val="00E26F75"/>
    <w:rsid w:val="00E27423"/>
    <w:rsid w:val="00E3011C"/>
    <w:rsid w:val="00E322F7"/>
    <w:rsid w:val="00E3369B"/>
    <w:rsid w:val="00E3400A"/>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75"/>
    <w:rsid w:val="00E57ED4"/>
    <w:rsid w:val="00E57FED"/>
    <w:rsid w:val="00E6092F"/>
    <w:rsid w:val="00E62049"/>
    <w:rsid w:val="00E629DA"/>
    <w:rsid w:val="00E64374"/>
    <w:rsid w:val="00E6469F"/>
    <w:rsid w:val="00E65D39"/>
    <w:rsid w:val="00E670F8"/>
    <w:rsid w:val="00E6741B"/>
    <w:rsid w:val="00E67FAC"/>
    <w:rsid w:val="00E7200B"/>
    <w:rsid w:val="00E7228A"/>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4CEB"/>
    <w:rsid w:val="00E96DEF"/>
    <w:rsid w:val="00E9763D"/>
    <w:rsid w:val="00EA1177"/>
    <w:rsid w:val="00EA118B"/>
    <w:rsid w:val="00EA11B6"/>
    <w:rsid w:val="00EA2181"/>
    <w:rsid w:val="00EA2659"/>
    <w:rsid w:val="00EA2DD8"/>
    <w:rsid w:val="00EA4475"/>
    <w:rsid w:val="00EA52FE"/>
    <w:rsid w:val="00EA681F"/>
    <w:rsid w:val="00EB04C6"/>
    <w:rsid w:val="00EB06A6"/>
    <w:rsid w:val="00EB146B"/>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279"/>
    <w:rsid w:val="00ED12F0"/>
    <w:rsid w:val="00ED2658"/>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27331"/>
    <w:rsid w:val="00F3197A"/>
    <w:rsid w:val="00F32139"/>
    <w:rsid w:val="00F33D56"/>
    <w:rsid w:val="00F34E08"/>
    <w:rsid w:val="00F41D91"/>
    <w:rsid w:val="00F41F52"/>
    <w:rsid w:val="00F42363"/>
    <w:rsid w:val="00F427C4"/>
    <w:rsid w:val="00F43D6C"/>
    <w:rsid w:val="00F44001"/>
    <w:rsid w:val="00F46964"/>
    <w:rsid w:val="00F46F9A"/>
    <w:rsid w:val="00F470FD"/>
    <w:rsid w:val="00F47864"/>
    <w:rsid w:val="00F504D5"/>
    <w:rsid w:val="00F50F30"/>
    <w:rsid w:val="00F5126A"/>
    <w:rsid w:val="00F5126E"/>
    <w:rsid w:val="00F516EF"/>
    <w:rsid w:val="00F51755"/>
    <w:rsid w:val="00F5580D"/>
    <w:rsid w:val="00F55A0C"/>
    <w:rsid w:val="00F5604D"/>
    <w:rsid w:val="00F56EA1"/>
    <w:rsid w:val="00F606D5"/>
    <w:rsid w:val="00F611B3"/>
    <w:rsid w:val="00F6138F"/>
    <w:rsid w:val="00F6196E"/>
    <w:rsid w:val="00F624DD"/>
    <w:rsid w:val="00F629C0"/>
    <w:rsid w:val="00F63FC7"/>
    <w:rsid w:val="00F64AEB"/>
    <w:rsid w:val="00F65E1F"/>
    <w:rsid w:val="00F65ED5"/>
    <w:rsid w:val="00F6608B"/>
    <w:rsid w:val="00F6636A"/>
    <w:rsid w:val="00F667C5"/>
    <w:rsid w:val="00F67E31"/>
    <w:rsid w:val="00F718A8"/>
    <w:rsid w:val="00F72183"/>
    <w:rsid w:val="00F765A3"/>
    <w:rsid w:val="00F76D01"/>
    <w:rsid w:val="00F80B43"/>
    <w:rsid w:val="00F81C35"/>
    <w:rsid w:val="00F82981"/>
    <w:rsid w:val="00F8311F"/>
    <w:rsid w:val="00F83248"/>
    <w:rsid w:val="00F83376"/>
    <w:rsid w:val="00F84191"/>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24D"/>
    <w:rsid w:val="00FB593A"/>
    <w:rsid w:val="00FB6410"/>
    <w:rsid w:val="00FB6E82"/>
    <w:rsid w:val="00FB792E"/>
    <w:rsid w:val="00FB7CF0"/>
    <w:rsid w:val="00FC0042"/>
    <w:rsid w:val="00FC0A4D"/>
    <w:rsid w:val="00FC1E67"/>
    <w:rsid w:val="00FC2A13"/>
    <w:rsid w:val="00FC4284"/>
    <w:rsid w:val="00FC4576"/>
    <w:rsid w:val="00FC5FF5"/>
    <w:rsid w:val="00FC6285"/>
    <w:rsid w:val="00FC78FB"/>
    <w:rsid w:val="00FC7B48"/>
    <w:rsid w:val="00FC7DBC"/>
    <w:rsid w:val="00FD076A"/>
    <w:rsid w:val="00FD0AA0"/>
    <w:rsid w:val="00FD1D5A"/>
    <w:rsid w:val="00FD2462"/>
    <w:rsid w:val="00FD5059"/>
    <w:rsid w:val="00FD554D"/>
    <w:rsid w:val="00FD5BCC"/>
    <w:rsid w:val="00FD7740"/>
    <w:rsid w:val="00FD7B23"/>
    <w:rsid w:val="00FE2A48"/>
    <w:rsid w:val="00FE2EA7"/>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5C8B"/>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145C9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9011213">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4854716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0951-7235-4779-8D4C-E64B8F2E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2011-04-08T11:41:00Z</cp:lastPrinted>
  <dcterms:created xsi:type="dcterms:W3CDTF">2011-10-13T17:11:00Z</dcterms:created>
  <dcterms:modified xsi:type="dcterms:W3CDTF">2012-05-14T21:17:00Z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