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42806" w:rsidRDefault="00540BEF" w:rsidP="00540BEF">
      <w:pPr>
        <w:tabs>
          <w:tab w:val="left" w:pos="288"/>
          <w:tab w:val="left" w:pos="4752"/>
        </w:tabs>
        <w:spacing w:line="240" w:lineRule="exact"/>
        <w:jc w:val="center"/>
        <w:rPr>
          <w:rFonts w:asciiTheme="minorHAnsi" w:hAnsiTheme="minorHAnsi"/>
          <w:color w:val="auto"/>
        </w:rPr>
      </w:pPr>
      <w:r w:rsidRPr="00742806">
        <w:rPr>
          <w:rFonts w:asciiTheme="minorHAnsi" w:hAnsiTheme="minorHAnsi"/>
          <w:color w:val="auto"/>
        </w:rPr>
        <w:t xml:space="preserve">RECORD OF PROCEEDINGS </w:t>
      </w:r>
    </w:p>
    <w:p w:rsidR="00540BEF" w:rsidRPr="00742806" w:rsidRDefault="00540BEF" w:rsidP="00540BEF">
      <w:pPr>
        <w:tabs>
          <w:tab w:val="left" w:pos="288"/>
          <w:tab w:val="left" w:pos="4752"/>
        </w:tabs>
        <w:spacing w:line="240" w:lineRule="exact"/>
        <w:jc w:val="center"/>
        <w:rPr>
          <w:rFonts w:asciiTheme="minorHAnsi" w:hAnsiTheme="minorHAnsi"/>
          <w:color w:val="auto"/>
        </w:rPr>
      </w:pPr>
      <w:r w:rsidRPr="00742806">
        <w:rPr>
          <w:rFonts w:asciiTheme="minorHAnsi" w:hAnsiTheme="minorHAnsi"/>
          <w:color w:val="auto"/>
        </w:rPr>
        <w:t>PHYSICAL DISABILITY BOARD OF REVIEW</w:t>
      </w:r>
    </w:p>
    <w:p w:rsidR="00540BEF" w:rsidRPr="00742806" w:rsidRDefault="00540BEF" w:rsidP="00540BEF">
      <w:pPr>
        <w:tabs>
          <w:tab w:val="left" w:pos="288"/>
          <w:tab w:val="left" w:pos="4752"/>
        </w:tabs>
        <w:spacing w:line="240" w:lineRule="exact"/>
        <w:jc w:val="both"/>
        <w:rPr>
          <w:rFonts w:asciiTheme="minorHAnsi" w:hAnsiTheme="minorHAnsi"/>
          <w:color w:val="auto"/>
        </w:rPr>
      </w:pPr>
    </w:p>
    <w:p w:rsidR="00540BEF" w:rsidRPr="00742806" w:rsidRDefault="00540BEF" w:rsidP="00203451">
      <w:pPr>
        <w:tabs>
          <w:tab w:val="left" w:pos="288"/>
          <w:tab w:val="left" w:pos="5580"/>
        </w:tabs>
        <w:spacing w:line="240" w:lineRule="exact"/>
        <w:jc w:val="both"/>
        <w:rPr>
          <w:rFonts w:asciiTheme="minorHAnsi" w:hAnsiTheme="minorHAnsi"/>
          <w:color w:val="auto"/>
        </w:rPr>
      </w:pPr>
      <w:r w:rsidRPr="00742806">
        <w:rPr>
          <w:rFonts w:asciiTheme="minorHAnsi" w:hAnsiTheme="minorHAnsi"/>
          <w:color w:val="auto"/>
        </w:rPr>
        <w:t xml:space="preserve">NAME: </w:t>
      </w:r>
      <w:r w:rsidR="006C072C">
        <w:rPr>
          <w:rFonts w:asciiTheme="minorHAnsi" w:hAnsiTheme="minorHAnsi"/>
          <w:color w:val="auto"/>
        </w:rPr>
        <w:t xml:space="preserve"> </w:t>
      </w:r>
      <w:r w:rsidR="0071580A">
        <w:rPr>
          <w:rFonts w:asciiTheme="minorHAnsi" w:hAnsiTheme="minorHAnsi"/>
          <w:color w:val="auto"/>
        </w:rPr>
        <w:t>XXXXXXX</w:t>
      </w:r>
      <w:r w:rsidR="00203451">
        <w:rPr>
          <w:rFonts w:asciiTheme="minorHAnsi" w:hAnsiTheme="minorHAnsi"/>
          <w:color w:val="auto"/>
        </w:rPr>
        <w:t xml:space="preserve"> </w:t>
      </w:r>
      <w:r w:rsidR="00EA509B">
        <w:rPr>
          <w:rFonts w:asciiTheme="minorHAnsi" w:hAnsiTheme="minorHAnsi"/>
          <w:color w:val="auto"/>
        </w:rPr>
        <w:tab/>
        <w:t>BRANCH OF SERVICE: MARINE CORPS</w:t>
      </w:r>
    </w:p>
    <w:p w:rsidR="00540BEF" w:rsidRPr="00742806" w:rsidRDefault="00540BEF" w:rsidP="00203451">
      <w:pPr>
        <w:tabs>
          <w:tab w:val="left" w:pos="288"/>
          <w:tab w:val="left" w:pos="5580"/>
        </w:tabs>
        <w:spacing w:line="240" w:lineRule="exact"/>
        <w:jc w:val="both"/>
        <w:rPr>
          <w:rFonts w:asciiTheme="minorHAnsi" w:hAnsiTheme="minorHAnsi"/>
          <w:color w:val="auto"/>
        </w:rPr>
      </w:pPr>
      <w:r w:rsidRPr="00742806">
        <w:rPr>
          <w:rFonts w:asciiTheme="minorHAnsi" w:hAnsiTheme="minorHAnsi"/>
          <w:color w:val="auto"/>
        </w:rPr>
        <w:t>CASE NUMBER:  PD</w:t>
      </w:r>
      <w:r w:rsidR="00DF4535" w:rsidRPr="00742806">
        <w:rPr>
          <w:rFonts w:asciiTheme="minorHAnsi" w:hAnsiTheme="minorHAnsi"/>
          <w:color w:val="auto"/>
        </w:rPr>
        <w:t>1000045</w:t>
      </w:r>
      <w:r w:rsidR="00EA509B">
        <w:rPr>
          <w:rFonts w:asciiTheme="minorHAnsi" w:hAnsiTheme="minorHAnsi"/>
          <w:color w:val="auto"/>
        </w:rPr>
        <w:tab/>
      </w:r>
      <w:r w:rsidR="00203451" w:rsidRPr="00742806">
        <w:rPr>
          <w:rFonts w:asciiTheme="minorHAnsi" w:hAnsiTheme="minorHAnsi"/>
          <w:color w:val="auto"/>
        </w:rPr>
        <w:t xml:space="preserve">SEPARATION DATE: </w:t>
      </w:r>
      <w:r w:rsidR="00203451">
        <w:rPr>
          <w:rFonts w:asciiTheme="minorHAnsi" w:hAnsiTheme="minorHAnsi"/>
          <w:color w:val="auto"/>
        </w:rPr>
        <w:t xml:space="preserve"> </w:t>
      </w:r>
      <w:r w:rsidR="00203451" w:rsidRPr="00742806">
        <w:rPr>
          <w:rFonts w:asciiTheme="minorHAnsi" w:hAnsiTheme="minorHAnsi"/>
          <w:color w:val="auto"/>
        </w:rPr>
        <w:t>20070430</w:t>
      </w:r>
    </w:p>
    <w:p w:rsidR="00540BEF" w:rsidRPr="00742806" w:rsidRDefault="00540BEF" w:rsidP="00540BEF">
      <w:pPr>
        <w:tabs>
          <w:tab w:val="left" w:pos="288"/>
          <w:tab w:val="left" w:pos="4752"/>
        </w:tabs>
        <w:spacing w:line="240" w:lineRule="exact"/>
        <w:jc w:val="both"/>
        <w:rPr>
          <w:rFonts w:asciiTheme="minorHAnsi" w:hAnsiTheme="minorHAnsi"/>
          <w:color w:val="000080"/>
        </w:rPr>
      </w:pPr>
      <w:r w:rsidRPr="00742806">
        <w:rPr>
          <w:rFonts w:asciiTheme="minorHAnsi" w:hAnsiTheme="minorHAnsi"/>
          <w:color w:val="auto"/>
        </w:rPr>
        <w:t xml:space="preserve">BOARD DATE: </w:t>
      </w:r>
      <w:r w:rsidR="006C072C">
        <w:rPr>
          <w:rFonts w:asciiTheme="minorHAnsi" w:hAnsiTheme="minorHAnsi"/>
          <w:color w:val="auto"/>
        </w:rPr>
        <w:t xml:space="preserve"> </w:t>
      </w:r>
      <w:r w:rsidR="000F02BE" w:rsidRPr="00742806">
        <w:rPr>
          <w:rFonts w:asciiTheme="minorHAnsi" w:hAnsiTheme="minorHAnsi"/>
          <w:color w:val="auto"/>
        </w:rPr>
        <w:t>201</w:t>
      </w:r>
      <w:r w:rsidR="006C072C" w:rsidRPr="00203451">
        <w:rPr>
          <w:rFonts w:asciiTheme="minorHAnsi" w:hAnsiTheme="minorHAnsi"/>
          <w:color w:val="auto"/>
        </w:rPr>
        <w:t>1</w:t>
      </w:r>
      <w:r w:rsidR="00203451" w:rsidRPr="00203451">
        <w:rPr>
          <w:rFonts w:asciiTheme="minorHAnsi" w:hAnsiTheme="minorHAnsi"/>
          <w:color w:val="auto"/>
        </w:rPr>
        <w:t>0304</w:t>
      </w:r>
      <w:r w:rsidRPr="00742806">
        <w:rPr>
          <w:rFonts w:asciiTheme="minorHAnsi" w:hAnsiTheme="minorHAnsi"/>
          <w:color w:val="auto"/>
        </w:rPr>
        <w:tab/>
      </w:r>
      <w:r w:rsidRPr="00742806">
        <w:rPr>
          <w:rFonts w:asciiTheme="minorHAnsi" w:hAnsiTheme="minorHAnsi"/>
          <w:color w:val="auto"/>
        </w:rPr>
        <w:tab/>
      </w:r>
    </w:p>
    <w:p w:rsidR="00203451" w:rsidRDefault="00203451" w:rsidP="00203451">
      <w:pPr>
        <w:pBdr>
          <w:bottom w:val="single" w:sz="12" w:space="1" w:color="auto"/>
        </w:pBdr>
        <w:tabs>
          <w:tab w:val="left" w:pos="288"/>
          <w:tab w:val="left" w:pos="4752"/>
        </w:tabs>
        <w:spacing w:line="240" w:lineRule="exact"/>
        <w:rPr>
          <w:rFonts w:asciiTheme="minorHAnsi" w:hAnsiTheme="minorHAnsi"/>
          <w:b/>
          <w:color w:val="auto"/>
        </w:rPr>
      </w:pPr>
    </w:p>
    <w:p w:rsidR="00203451" w:rsidRDefault="00203451" w:rsidP="0061014A">
      <w:pPr>
        <w:tabs>
          <w:tab w:val="left" w:pos="288"/>
          <w:tab w:val="left" w:pos="4752"/>
        </w:tabs>
        <w:spacing w:line="240" w:lineRule="exact"/>
        <w:rPr>
          <w:rFonts w:ascii="Calibri" w:hAnsi="Calibri"/>
          <w:color w:val="auto"/>
          <w:u w:val="single"/>
        </w:rPr>
      </w:pPr>
    </w:p>
    <w:p w:rsidR="0061014A" w:rsidRPr="00CE0AFE" w:rsidRDefault="002C6E5B" w:rsidP="003279B8">
      <w:pPr>
        <w:tabs>
          <w:tab w:val="left" w:pos="288"/>
          <w:tab w:val="left" w:pos="4752"/>
        </w:tabs>
        <w:spacing w:line="240" w:lineRule="exact"/>
        <w:jc w:val="both"/>
        <w:rPr>
          <w:rFonts w:ascii="Calibri" w:hAnsi="Calibri"/>
          <w:color w:val="auto"/>
          <w:szCs w:val="24"/>
        </w:rPr>
      </w:pPr>
      <w:r w:rsidRPr="006C072C">
        <w:rPr>
          <w:rFonts w:ascii="Calibri" w:hAnsi="Calibri"/>
          <w:color w:val="auto"/>
          <w:u w:val="single"/>
        </w:rPr>
        <w:t>SUMMARY</w:t>
      </w:r>
      <w:r w:rsidRPr="00CE0AFE">
        <w:rPr>
          <w:rFonts w:ascii="Calibri" w:hAnsi="Calibri"/>
          <w:color w:val="auto"/>
          <w:u w:val="single"/>
        </w:rPr>
        <w:t xml:space="preserve"> OF CASE</w:t>
      </w:r>
      <w:r w:rsidRPr="00CE0AFE">
        <w:rPr>
          <w:rFonts w:ascii="Calibri" w:hAnsi="Calibri"/>
          <w:color w:val="auto"/>
        </w:rPr>
        <w:t xml:space="preserve">:  </w:t>
      </w:r>
      <w:r w:rsidR="001F3A33" w:rsidRPr="00EC337D">
        <w:rPr>
          <w:rFonts w:asciiTheme="minorHAnsi" w:hAnsiTheme="minorHAnsi"/>
          <w:color w:val="auto"/>
        </w:rPr>
        <w:t>Data extracted from the available evidence of record reflects that this</w:t>
      </w:r>
      <w:r w:rsidRPr="00CE0AFE">
        <w:rPr>
          <w:rFonts w:ascii="Calibri" w:hAnsi="Calibri"/>
          <w:color w:val="auto"/>
          <w:szCs w:val="24"/>
        </w:rPr>
        <w:t xml:space="preserve"> covered individual (CI) was </w:t>
      </w:r>
      <w:r w:rsidR="00E322F7" w:rsidRPr="00CE0AFE">
        <w:rPr>
          <w:rFonts w:ascii="Calibri" w:hAnsi="Calibri"/>
          <w:color w:val="auto"/>
          <w:szCs w:val="24"/>
        </w:rPr>
        <w:t xml:space="preserve">an active duty </w:t>
      </w:r>
      <w:r w:rsidR="00DF4535" w:rsidRPr="00CE0AFE">
        <w:rPr>
          <w:rFonts w:ascii="Calibri" w:hAnsi="Calibri"/>
          <w:color w:val="auto"/>
          <w:szCs w:val="24"/>
        </w:rPr>
        <w:t>E-6/SSgt</w:t>
      </w:r>
      <w:r w:rsidR="00E322F7" w:rsidRPr="00CE0AFE">
        <w:rPr>
          <w:rFonts w:ascii="Calibri" w:hAnsi="Calibri"/>
          <w:color w:val="auto"/>
          <w:szCs w:val="24"/>
        </w:rPr>
        <w:t xml:space="preserve"> (</w:t>
      </w:r>
      <w:r w:rsidR="00CE0AFE" w:rsidRPr="00CE0AFE">
        <w:rPr>
          <w:rFonts w:ascii="Calibri" w:hAnsi="Calibri"/>
          <w:color w:val="auto"/>
          <w:szCs w:val="24"/>
        </w:rPr>
        <w:t>5811/Military Police</w:t>
      </w:r>
      <w:r w:rsidR="00E322F7" w:rsidRPr="00CE0AFE">
        <w:rPr>
          <w:rFonts w:ascii="Calibri" w:hAnsi="Calibri"/>
          <w:color w:val="auto"/>
          <w:szCs w:val="24"/>
        </w:rPr>
        <w:t xml:space="preserve">) </w:t>
      </w:r>
      <w:r w:rsidRPr="00CE0AFE">
        <w:rPr>
          <w:rFonts w:ascii="Calibri" w:hAnsi="Calibri"/>
          <w:color w:val="auto"/>
          <w:szCs w:val="24"/>
        </w:rPr>
        <w:t xml:space="preserve">medically separated from the </w:t>
      </w:r>
      <w:r w:rsidR="00DF4535" w:rsidRPr="00CE0AFE">
        <w:rPr>
          <w:rFonts w:ascii="Calibri" w:hAnsi="Calibri"/>
          <w:color w:val="auto"/>
          <w:szCs w:val="24"/>
        </w:rPr>
        <w:t>Marine Corps</w:t>
      </w:r>
      <w:r w:rsidRPr="00CE0AFE">
        <w:rPr>
          <w:rFonts w:ascii="Calibri" w:hAnsi="Calibri"/>
          <w:color w:val="auto"/>
          <w:szCs w:val="24"/>
        </w:rPr>
        <w:t xml:space="preserve"> in 200</w:t>
      </w:r>
      <w:r w:rsidR="00DF4535" w:rsidRPr="00CE0AFE">
        <w:rPr>
          <w:rFonts w:ascii="Calibri" w:hAnsi="Calibri"/>
          <w:color w:val="auto"/>
          <w:szCs w:val="24"/>
        </w:rPr>
        <w:t>7</w:t>
      </w:r>
      <w:r w:rsidRPr="00CE0AFE">
        <w:rPr>
          <w:rFonts w:ascii="Calibri" w:hAnsi="Calibri"/>
          <w:color w:val="auto"/>
          <w:szCs w:val="24"/>
        </w:rPr>
        <w:t xml:space="preserve"> after </w:t>
      </w:r>
      <w:r w:rsidR="005D6927">
        <w:rPr>
          <w:rFonts w:ascii="Calibri" w:hAnsi="Calibri"/>
          <w:color w:val="auto"/>
          <w:szCs w:val="24"/>
        </w:rPr>
        <w:t>ten</w:t>
      </w:r>
      <w:r w:rsidRPr="00CE0AFE">
        <w:rPr>
          <w:rFonts w:ascii="Calibri" w:hAnsi="Calibri"/>
          <w:color w:val="auto"/>
          <w:szCs w:val="24"/>
        </w:rPr>
        <w:t xml:space="preserve"> years of service.  The medical basis for the separation was </w:t>
      </w:r>
      <w:r w:rsidR="005D6927">
        <w:rPr>
          <w:rFonts w:ascii="Calibri" w:hAnsi="Calibri"/>
          <w:color w:val="auto"/>
          <w:szCs w:val="24"/>
        </w:rPr>
        <w:t>b</w:t>
      </w:r>
      <w:r w:rsidR="00EB746C" w:rsidRPr="00281928">
        <w:rPr>
          <w:rFonts w:ascii="Calibri" w:hAnsi="Calibri"/>
          <w:color w:val="auto"/>
          <w:szCs w:val="24"/>
        </w:rPr>
        <w:t xml:space="preserve">ilateral </w:t>
      </w:r>
      <w:r w:rsidR="005D6927">
        <w:rPr>
          <w:rFonts w:ascii="Calibri" w:hAnsi="Calibri"/>
          <w:color w:val="auto"/>
          <w:szCs w:val="24"/>
        </w:rPr>
        <w:t>p</w:t>
      </w:r>
      <w:r w:rsidR="009340B7" w:rsidRPr="00281928">
        <w:rPr>
          <w:rFonts w:ascii="Calibri" w:hAnsi="Calibri"/>
          <w:color w:val="auto"/>
          <w:szCs w:val="24"/>
        </w:rPr>
        <w:t xml:space="preserve">lantar </w:t>
      </w:r>
      <w:r w:rsidR="005D6927">
        <w:rPr>
          <w:rFonts w:ascii="Calibri" w:hAnsi="Calibri"/>
          <w:color w:val="auto"/>
          <w:szCs w:val="24"/>
        </w:rPr>
        <w:t>f</w:t>
      </w:r>
      <w:r w:rsidR="009340B7" w:rsidRPr="00281928">
        <w:rPr>
          <w:rFonts w:ascii="Calibri" w:hAnsi="Calibri"/>
          <w:color w:val="auto"/>
          <w:szCs w:val="24"/>
        </w:rPr>
        <w:t>asciitis</w:t>
      </w:r>
      <w:r w:rsidR="00EB746C" w:rsidRPr="00281928">
        <w:rPr>
          <w:rFonts w:ascii="Calibri" w:hAnsi="Calibri"/>
          <w:color w:val="auto"/>
          <w:szCs w:val="24"/>
        </w:rPr>
        <w:t xml:space="preserve"> (PF)</w:t>
      </w:r>
      <w:r w:rsidRPr="00281928">
        <w:rPr>
          <w:rFonts w:ascii="Calibri" w:hAnsi="Calibri"/>
          <w:color w:val="auto"/>
          <w:szCs w:val="24"/>
        </w:rPr>
        <w:t>.</w:t>
      </w:r>
      <w:r w:rsidR="00017E04" w:rsidRPr="00281928">
        <w:rPr>
          <w:rFonts w:ascii="Calibri" w:hAnsi="Calibri"/>
          <w:color w:val="auto"/>
          <w:szCs w:val="24"/>
        </w:rPr>
        <w:t xml:space="preserve">  Despite </w:t>
      </w:r>
      <w:r w:rsidR="005D6927">
        <w:rPr>
          <w:rFonts w:ascii="Calibri" w:hAnsi="Calibri"/>
          <w:color w:val="auto"/>
          <w:szCs w:val="24"/>
        </w:rPr>
        <w:t>p</w:t>
      </w:r>
      <w:r w:rsidR="00017E04" w:rsidRPr="00281928">
        <w:rPr>
          <w:rFonts w:ascii="Calibri" w:hAnsi="Calibri"/>
          <w:color w:val="auto"/>
          <w:szCs w:val="24"/>
        </w:rPr>
        <w:t xml:space="preserve">hysical </w:t>
      </w:r>
      <w:r w:rsidR="005D6927">
        <w:rPr>
          <w:rFonts w:ascii="Calibri" w:hAnsi="Calibri"/>
          <w:color w:val="auto"/>
          <w:szCs w:val="24"/>
        </w:rPr>
        <w:t>t</w:t>
      </w:r>
      <w:r w:rsidR="00017E04" w:rsidRPr="00281928">
        <w:rPr>
          <w:rFonts w:ascii="Calibri" w:hAnsi="Calibri"/>
          <w:color w:val="auto"/>
          <w:szCs w:val="24"/>
        </w:rPr>
        <w:t>herapy (PT), medications, a non-weight bearing cast, orthotics</w:t>
      </w:r>
      <w:r w:rsidR="005D6927">
        <w:rPr>
          <w:rFonts w:ascii="Calibri" w:hAnsi="Calibri"/>
          <w:color w:val="auto"/>
          <w:szCs w:val="24"/>
        </w:rPr>
        <w:t>,</w:t>
      </w:r>
      <w:r w:rsidR="00017E04" w:rsidRPr="00281928">
        <w:rPr>
          <w:rFonts w:ascii="Calibri" w:hAnsi="Calibri"/>
          <w:color w:val="auto"/>
          <w:szCs w:val="24"/>
        </w:rPr>
        <w:t xml:space="preserve"> and surgery, h</w:t>
      </w:r>
      <w:r w:rsidR="00E322F7" w:rsidRPr="00281928">
        <w:rPr>
          <w:rFonts w:ascii="Calibri" w:hAnsi="Calibri"/>
          <w:color w:val="auto"/>
          <w:szCs w:val="24"/>
        </w:rPr>
        <w:t xml:space="preserve">e </w:t>
      </w:r>
      <w:r w:rsidR="005D6927">
        <w:rPr>
          <w:rFonts w:ascii="Calibri" w:hAnsi="Calibri"/>
          <w:color w:val="auto"/>
          <w:szCs w:val="24"/>
        </w:rPr>
        <w:t>was unable to</w:t>
      </w:r>
      <w:r w:rsidR="00E322F7" w:rsidRPr="00281928">
        <w:rPr>
          <w:rFonts w:ascii="Calibri" w:hAnsi="Calibri"/>
          <w:color w:val="auto"/>
          <w:szCs w:val="24"/>
        </w:rPr>
        <w:t xml:space="preserve"> perform within his </w:t>
      </w:r>
      <w:r w:rsidR="005D6927">
        <w:rPr>
          <w:rFonts w:ascii="Calibri" w:hAnsi="Calibri"/>
          <w:color w:val="auto"/>
          <w:szCs w:val="24"/>
        </w:rPr>
        <w:t>Military Occupational Specialty (</w:t>
      </w:r>
      <w:r w:rsidR="00E322F7" w:rsidRPr="00281928">
        <w:rPr>
          <w:rFonts w:ascii="Calibri" w:hAnsi="Calibri"/>
          <w:color w:val="auto"/>
          <w:szCs w:val="24"/>
        </w:rPr>
        <w:t>MOS</w:t>
      </w:r>
      <w:r w:rsidR="005D6927">
        <w:rPr>
          <w:rFonts w:ascii="Calibri" w:hAnsi="Calibri"/>
          <w:color w:val="auto"/>
          <w:szCs w:val="24"/>
        </w:rPr>
        <w:t>)</w:t>
      </w:r>
      <w:r w:rsidR="00E322F7" w:rsidRPr="00281928">
        <w:rPr>
          <w:rFonts w:ascii="Calibri" w:hAnsi="Calibri"/>
          <w:color w:val="auto"/>
          <w:szCs w:val="24"/>
        </w:rPr>
        <w:t xml:space="preserve"> or participate in the </w:t>
      </w:r>
      <w:r w:rsidR="00DF23D5" w:rsidRPr="00281928">
        <w:rPr>
          <w:rFonts w:ascii="Calibri" w:hAnsi="Calibri"/>
          <w:color w:val="auto"/>
          <w:szCs w:val="24"/>
        </w:rPr>
        <w:t>physical fitness test (</w:t>
      </w:r>
      <w:r w:rsidR="00E322F7" w:rsidRPr="00281928">
        <w:rPr>
          <w:rFonts w:ascii="Calibri" w:hAnsi="Calibri"/>
          <w:color w:val="auto"/>
          <w:szCs w:val="24"/>
        </w:rPr>
        <w:t>PFT</w:t>
      </w:r>
      <w:r w:rsidR="00DF23D5" w:rsidRPr="00281928">
        <w:rPr>
          <w:rFonts w:ascii="Calibri" w:hAnsi="Calibri"/>
          <w:color w:val="auto"/>
          <w:szCs w:val="24"/>
        </w:rPr>
        <w:t>)</w:t>
      </w:r>
      <w:r w:rsidR="00EB746C" w:rsidRPr="00281928">
        <w:rPr>
          <w:rFonts w:ascii="Calibri" w:hAnsi="Calibri"/>
          <w:color w:val="auto"/>
          <w:szCs w:val="24"/>
        </w:rPr>
        <w:t xml:space="preserve">.  He was placed in limited duty </w:t>
      </w:r>
      <w:r w:rsidR="008024C6" w:rsidRPr="00281928">
        <w:rPr>
          <w:rFonts w:ascii="Calibri" w:hAnsi="Calibri"/>
          <w:color w:val="auto"/>
          <w:szCs w:val="24"/>
        </w:rPr>
        <w:t xml:space="preserve">status </w:t>
      </w:r>
      <w:r w:rsidR="00EB746C" w:rsidRPr="00281928">
        <w:rPr>
          <w:rFonts w:ascii="Calibri" w:hAnsi="Calibri"/>
          <w:color w:val="auto"/>
          <w:szCs w:val="24"/>
        </w:rPr>
        <w:t>(LIMDU) twice</w:t>
      </w:r>
      <w:r w:rsidR="00313488" w:rsidRPr="00281928">
        <w:rPr>
          <w:rFonts w:ascii="Calibri" w:hAnsi="Calibri"/>
          <w:color w:val="auto"/>
          <w:szCs w:val="24"/>
        </w:rPr>
        <w:t xml:space="preserve"> </w:t>
      </w:r>
      <w:r w:rsidR="00E322F7" w:rsidRPr="00281928">
        <w:rPr>
          <w:rFonts w:ascii="Calibri" w:hAnsi="Calibri"/>
          <w:color w:val="auto"/>
          <w:szCs w:val="24"/>
        </w:rPr>
        <w:t xml:space="preserve">and underwent a </w:t>
      </w:r>
      <w:r w:rsidR="00313488" w:rsidRPr="00281928">
        <w:rPr>
          <w:rFonts w:ascii="Calibri" w:hAnsi="Calibri"/>
          <w:color w:val="auto"/>
          <w:szCs w:val="24"/>
        </w:rPr>
        <w:t>Medical Evaluation Board (</w:t>
      </w:r>
      <w:r w:rsidR="00E322F7" w:rsidRPr="00281928">
        <w:rPr>
          <w:rFonts w:ascii="Calibri" w:hAnsi="Calibri"/>
          <w:color w:val="auto"/>
          <w:szCs w:val="24"/>
        </w:rPr>
        <w:t>MEB</w:t>
      </w:r>
      <w:r w:rsidR="00313488" w:rsidRPr="00281928">
        <w:rPr>
          <w:rFonts w:ascii="Calibri" w:hAnsi="Calibri"/>
          <w:color w:val="auto"/>
          <w:szCs w:val="24"/>
        </w:rPr>
        <w:t>)</w:t>
      </w:r>
      <w:r w:rsidR="00E322F7" w:rsidRPr="00281928">
        <w:rPr>
          <w:rFonts w:ascii="Calibri" w:hAnsi="Calibri"/>
          <w:color w:val="auto"/>
          <w:szCs w:val="24"/>
        </w:rPr>
        <w:t>.</w:t>
      </w:r>
      <w:r w:rsidR="00017E04" w:rsidRPr="00281928">
        <w:rPr>
          <w:rFonts w:ascii="Calibri" w:hAnsi="Calibri"/>
          <w:color w:val="auto"/>
          <w:szCs w:val="24"/>
        </w:rPr>
        <w:t xml:space="preserve">  </w:t>
      </w:r>
      <w:r w:rsidR="006C2FDC" w:rsidRPr="00281928">
        <w:rPr>
          <w:rFonts w:ascii="Calibri" w:hAnsi="Calibri"/>
          <w:color w:val="auto"/>
          <w:szCs w:val="24"/>
        </w:rPr>
        <w:t xml:space="preserve">Status </w:t>
      </w:r>
      <w:proofErr w:type="gramStart"/>
      <w:r w:rsidR="005D6927">
        <w:rPr>
          <w:rFonts w:ascii="Calibri" w:hAnsi="Calibri"/>
          <w:color w:val="auto"/>
          <w:szCs w:val="24"/>
        </w:rPr>
        <w:t>p</w:t>
      </w:r>
      <w:r w:rsidR="006C2FDC" w:rsidRPr="00281928">
        <w:rPr>
          <w:rFonts w:ascii="Calibri" w:hAnsi="Calibri"/>
          <w:color w:val="auto"/>
          <w:szCs w:val="24"/>
        </w:rPr>
        <w:t>ost</w:t>
      </w:r>
      <w:r w:rsidR="007A63DE">
        <w:rPr>
          <w:rFonts w:ascii="Calibri" w:hAnsi="Calibri"/>
          <w:color w:val="auto"/>
          <w:szCs w:val="24"/>
        </w:rPr>
        <w:t xml:space="preserve"> (S/P)</w:t>
      </w:r>
      <w:r w:rsidR="006C2FDC" w:rsidRPr="00281928">
        <w:rPr>
          <w:rFonts w:ascii="Calibri" w:hAnsi="Calibri"/>
          <w:color w:val="auto"/>
          <w:szCs w:val="24"/>
        </w:rPr>
        <w:t xml:space="preserve"> </w:t>
      </w:r>
      <w:r w:rsidR="005D6927">
        <w:rPr>
          <w:rFonts w:ascii="Calibri" w:hAnsi="Calibri"/>
          <w:color w:val="auto"/>
          <w:szCs w:val="24"/>
        </w:rPr>
        <w:t>l</w:t>
      </w:r>
      <w:r w:rsidR="006C2FDC" w:rsidRPr="00281928">
        <w:rPr>
          <w:rFonts w:ascii="Calibri" w:hAnsi="Calibri"/>
          <w:color w:val="auto"/>
          <w:szCs w:val="24"/>
        </w:rPr>
        <w:t xml:space="preserve">eft </w:t>
      </w:r>
      <w:r w:rsidR="005D6927">
        <w:rPr>
          <w:rFonts w:ascii="Calibri" w:hAnsi="Calibri"/>
          <w:color w:val="auto"/>
          <w:szCs w:val="24"/>
        </w:rPr>
        <w:t>h</w:t>
      </w:r>
      <w:r w:rsidR="006C2FDC" w:rsidRPr="00281928">
        <w:rPr>
          <w:rFonts w:ascii="Calibri" w:hAnsi="Calibri"/>
          <w:color w:val="auto"/>
          <w:szCs w:val="24"/>
        </w:rPr>
        <w:t xml:space="preserve">eel </w:t>
      </w:r>
      <w:r w:rsidR="005D6927">
        <w:rPr>
          <w:rFonts w:ascii="Calibri" w:hAnsi="Calibri"/>
          <w:color w:val="auto"/>
          <w:szCs w:val="24"/>
        </w:rPr>
        <w:t>s</w:t>
      </w:r>
      <w:r w:rsidR="006C2FDC" w:rsidRPr="00281928">
        <w:rPr>
          <w:rFonts w:ascii="Calibri" w:hAnsi="Calibri"/>
          <w:color w:val="auto"/>
          <w:szCs w:val="24"/>
        </w:rPr>
        <w:t>pur</w:t>
      </w:r>
      <w:proofErr w:type="gramEnd"/>
      <w:r w:rsidR="006C2FDC" w:rsidRPr="00281928">
        <w:rPr>
          <w:rFonts w:ascii="Calibri" w:hAnsi="Calibri"/>
          <w:color w:val="auto"/>
          <w:szCs w:val="24"/>
        </w:rPr>
        <w:t xml:space="preserve"> </w:t>
      </w:r>
      <w:r w:rsidR="005D6927">
        <w:rPr>
          <w:rFonts w:ascii="Calibri" w:hAnsi="Calibri"/>
          <w:color w:val="auto"/>
          <w:szCs w:val="24"/>
        </w:rPr>
        <w:t>r</w:t>
      </w:r>
      <w:r w:rsidR="006C2FDC" w:rsidRPr="00281928">
        <w:rPr>
          <w:rFonts w:ascii="Calibri" w:hAnsi="Calibri"/>
          <w:color w:val="auto"/>
          <w:szCs w:val="24"/>
        </w:rPr>
        <w:t xml:space="preserve">esection; </w:t>
      </w:r>
      <w:r w:rsidR="005D6927">
        <w:rPr>
          <w:rFonts w:ascii="Calibri" w:hAnsi="Calibri"/>
          <w:color w:val="auto"/>
          <w:szCs w:val="24"/>
        </w:rPr>
        <w:t>d</w:t>
      </w:r>
      <w:r w:rsidR="006C2FDC" w:rsidRPr="00281928">
        <w:rPr>
          <w:rFonts w:ascii="Calibri" w:hAnsi="Calibri"/>
          <w:color w:val="auto"/>
          <w:szCs w:val="24"/>
        </w:rPr>
        <w:t xml:space="preserve">egenerative </w:t>
      </w:r>
      <w:r w:rsidR="005D6927">
        <w:rPr>
          <w:rFonts w:ascii="Calibri" w:hAnsi="Calibri"/>
          <w:color w:val="auto"/>
          <w:szCs w:val="24"/>
        </w:rPr>
        <w:t>c</w:t>
      </w:r>
      <w:r w:rsidR="006C2FDC" w:rsidRPr="00281928">
        <w:rPr>
          <w:rFonts w:ascii="Calibri" w:hAnsi="Calibri"/>
          <w:color w:val="auto"/>
          <w:szCs w:val="24"/>
        </w:rPr>
        <w:t xml:space="preserve">hanges of the </w:t>
      </w:r>
      <w:r w:rsidR="005D6927">
        <w:rPr>
          <w:rFonts w:ascii="Calibri" w:hAnsi="Calibri"/>
          <w:color w:val="auto"/>
          <w:szCs w:val="24"/>
        </w:rPr>
        <w:t>r</w:t>
      </w:r>
      <w:r w:rsidR="006C2FDC" w:rsidRPr="00281928">
        <w:rPr>
          <w:rFonts w:ascii="Calibri" w:hAnsi="Calibri"/>
          <w:color w:val="auto"/>
          <w:szCs w:val="24"/>
        </w:rPr>
        <w:t xml:space="preserve">ear </w:t>
      </w:r>
      <w:r w:rsidR="005D6927">
        <w:rPr>
          <w:rFonts w:ascii="Calibri" w:hAnsi="Calibri"/>
          <w:color w:val="auto"/>
          <w:szCs w:val="24"/>
        </w:rPr>
        <w:t>f</w:t>
      </w:r>
      <w:r w:rsidR="006C2FDC" w:rsidRPr="00281928">
        <w:rPr>
          <w:rFonts w:ascii="Calibri" w:hAnsi="Calibri"/>
          <w:color w:val="auto"/>
          <w:szCs w:val="24"/>
        </w:rPr>
        <w:t xml:space="preserve">oot </w:t>
      </w:r>
      <w:r w:rsidR="005D6927">
        <w:rPr>
          <w:rFonts w:ascii="Calibri" w:hAnsi="Calibri"/>
          <w:color w:val="auto"/>
          <w:szCs w:val="24"/>
        </w:rPr>
        <w:t>b</w:t>
      </w:r>
      <w:r w:rsidR="006C2FDC" w:rsidRPr="00281928">
        <w:rPr>
          <w:rFonts w:ascii="Calibri" w:hAnsi="Calibri"/>
          <w:color w:val="auto"/>
          <w:szCs w:val="24"/>
        </w:rPr>
        <w:t xml:space="preserve">ilaterally, worse on the left; and </w:t>
      </w:r>
      <w:r w:rsidR="005D6927">
        <w:rPr>
          <w:rFonts w:ascii="Calibri" w:hAnsi="Calibri"/>
          <w:color w:val="auto"/>
          <w:szCs w:val="24"/>
        </w:rPr>
        <w:t>p</w:t>
      </w:r>
      <w:r w:rsidR="006C2FDC" w:rsidRPr="00281928">
        <w:rPr>
          <w:rFonts w:ascii="Calibri" w:hAnsi="Calibri"/>
          <w:color w:val="auto"/>
          <w:szCs w:val="24"/>
        </w:rPr>
        <w:t xml:space="preserve">eroneal </w:t>
      </w:r>
      <w:r w:rsidR="005D6927">
        <w:rPr>
          <w:rFonts w:ascii="Calibri" w:hAnsi="Calibri"/>
          <w:color w:val="auto"/>
          <w:szCs w:val="24"/>
        </w:rPr>
        <w:t>t</w:t>
      </w:r>
      <w:r w:rsidR="006C2FDC" w:rsidRPr="00281928">
        <w:rPr>
          <w:rFonts w:ascii="Calibri" w:hAnsi="Calibri"/>
          <w:color w:val="auto"/>
          <w:szCs w:val="24"/>
        </w:rPr>
        <w:t xml:space="preserve">endonitis of the </w:t>
      </w:r>
      <w:r w:rsidR="005D6927">
        <w:rPr>
          <w:rFonts w:ascii="Calibri" w:hAnsi="Calibri"/>
          <w:color w:val="auto"/>
          <w:szCs w:val="24"/>
        </w:rPr>
        <w:t>l</w:t>
      </w:r>
      <w:r w:rsidR="006C2FDC" w:rsidRPr="00281928">
        <w:rPr>
          <w:rFonts w:ascii="Calibri" w:hAnsi="Calibri"/>
          <w:color w:val="auto"/>
          <w:szCs w:val="24"/>
        </w:rPr>
        <w:t xml:space="preserve">eft </w:t>
      </w:r>
      <w:r w:rsidR="005D6927">
        <w:rPr>
          <w:rFonts w:ascii="Calibri" w:hAnsi="Calibri"/>
          <w:color w:val="auto"/>
          <w:szCs w:val="24"/>
        </w:rPr>
        <w:t>f</w:t>
      </w:r>
      <w:r w:rsidR="006C2FDC" w:rsidRPr="00281928">
        <w:rPr>
          <w:rFonts w:ascii="Calibri" w:hAnsi="Calibri"/>
          <w:color w:val="auto"/>
          <w:szCs w:val="24"/>
        </w:rPr>
        <w:t xml:space="preserve">oot </w:t>
      </w:r>
      <w:r w:rsidR="005D6927">
        <w:rPr>
          <w:rFonts w:ascii="Calibri" w:hAnsi="Calibri"/>
          <w:color w:val="auto"/>
          <w:szCs w:val="24"/>
        </w:rPr>
        <w:t>a</w:t>
      </w:r>
      <w:r w:rsidR="006C2FDC" w:rsidRPr="00281928">
        <w:rPr>
          <w:rFonts w:ascii="Calibri" w:hAnsi="Calibri"/>
          <w:color w:val="auto"/>
          <w:szCs w:val="24"/>
        </w:rPr>
        <w:t xml:space="preserve">nkle were the NARSUM diagnoses.  However, </w:t>
      </w:r>
      <w:r w:rsidR="005D6927">
        <w:rPr>
          <w:rFonts w:ascii="Calibri" w:hAnsi="Calibri"/>
          <w:color w:val="auto"/>
          <w:szCs w:val="24"/>
        </w:rPr>
        <w:t>p</w:t>
      </w:r>
      <w:r w:rsidR="00313488" w:rsidRPr="00281928">
        <w:rPr>
          <w:rFonts w:ascii="Calibri" w:hAnsi="Calibri"/>
          <w:color w:val="auto"/>
          <w:szCs w:val="24"/>
        </w:rPr>
        <w:t xml:space="preserve">lantar </w:t>
      </w:r>
      <w:proofErr w:type="spellStart"/>
      <w:r w:rsidR="005D6927">
        <w:rPr>
          <w:rFonts w:ascii="Calibri" w:hAnsi="Calibri"/>
          <w:color w:val="auto"/>
          <w:szCs w:val="24"/>
        </w:rPr>
        <w:t>fascial</w:t>
      </w:r>
      <w:proofErr w:type="spellEnd"/>
      <w:r w:rsidR="005D6927">
        <w:rPr>
          <w:rFonts w:ascii="Calibri" w:hAnsi="Calibri"/>
          <w:color w:val="auto"/>
          <w:szCs w:val="24"/>
        </w:rPr>
        <w:t xml:space="preserve"> </w:t>
      </w:r>
      <w:proofErr w:type="spellStart"/>
      <w:r w:rsidR="005D6927">
        <w:rPr>
          <w:rFonts w:ascii="Calibri" w:hAnsi="Calibri"/>
          <w:color w:val="auto"/>
          <w:szCs w:val="24"/>
        </w:rPr>
        <w:t>f</w:t>
      </w:r>
      <w:r w:rsidR="00313488" w:rsidRPr="00281928">
        <w:rPr>
          <w:rFonts w:ascii="Calibri" w:hAnsi="Calibri"/>
          <w:color w:val="auto"/>
          <w:szCs w:val="24"/>
        </w:rPr>
        <w:t>ibromatosis</w:t>
      </w:r>
      <w:proofErr w:type="spellEnd"/>
      <w:r w:rsidR="00313488" w:rsidRPr="00281928">
        <w:rPr>
          <w:rFonts w:ascii="Calibri" w:hAnsi="Calibri"/>
          <w:color w:val="auto"/>
          <w:szCs w:val="24"/>
        </w:rPr>
        <w:t xml:space="preserve">, </w:t>
      </w:r>
      <w:r w:rsidR="005D6927">
        <w:rPr>
          <w:rFonts w:ascii="Calibri" w:hAnsi="Calibri"/>
          <w:color w:val="auto"/>
          <w:szCs w:val="24"/>
        </w:rPr>
        <w:t>o</w:t>
      </w:r>
      <w:r w:rsidR="00313488" w:rsidRPr="00281928">
        <w:rPr>
          <w:rFonts w:ascii="Calibri" w:hAnsi="Calibri"/>
          <w:color w:val="auto"/>
          <w:szCs w:val="24"/>
        </w:rPr>
        <w:t xml:space="preserve">ther </w:t>
      </w:r>
      <w:proofErr w:type="spellStart"/>
      <w:r w:rsidR="005D6927">
        <w:rPr>
          <w:rFonts w:ascii="Calibri" w:hAnsi="Calibri"/>
          <w:color w:val="auto"/>
          <w:szCs w:val="24"/>
        </w:rPr>
        <w:t>e</w:t>
      </w:r>
      <w:r w:rsidR="00313488" w:rsidRPr="00281928">
        <w:rPr>
          <w:rFonts w:ascii="Calibri" w:hAnsi="Calibri"/>
          <w:color w:val="auto"/>
          <w:szCs w:val="24"/>
        </w:rPr>
        <w:t>nthesopathy</w:t>
      </w:r>
      <w:proofErr w:type="spellEnd"/>
      <w:r w:rsidR="00313488" w:rsidRPr="00281928">
        <w:rPr>
          <w:rFonts w:ascii="Calibri" w:hAnsi="Calibri"/>
          <w:color w:val="auto"/>
          <w:szCs w:val="24"/>
        </w:rPr>
        <w:t xml:space="preserve"> of </w:t>
      </w:r>
      <w:r w:rsidR="005D6927">
        <w:rPr>
          <w:rFonts w:ascii="Calibri" w:hAnsi="Calibri"/>
          <w:color w:val="auto"/>
          <w:szCs w:val="24"/>
        </w:rPr>
        <w:t>a</w:t>
      </w:r>
      <w:r w:rsidR="00313488" w:rsidRPr="00281928">
        <w:rPr>
          <w:rFonts w:ascii="Calibri" w:hAnsi="Calibri"/>
          <w:color w:val="auto"/>
          <w:szCs w:val="24"/>
        </w:rPr>
        <w:t xml:space="preserve">nkle and </w:t>
      </w:r>
      <w:r w:rsidR="005D6927">
        <w:rPr>
          <w:rFonts w:ascii="Calibri" w:hAnsi="Calibri"/>
          <w:color w:val="auto"/>
          <w:szCs w:val="24"/>
        </w:rPr>
        <w:t>t</w:t>
      </w:r>
      <w:r w:rsidR="00313488" w:rsidRPr="00281928">
        <w:rPr>
          <w:rFonts w:ascii="Calibri" w:hAnsi="Calibri"/>
          <w:color w:val="auto"/>
          <w:szCs w:val="24"/>
        </w:rPr>
        <w:t xml:space="preserve">arsus (muscle/tendon attachment condition), and </w:t>
      </w:r>
      <w:proofErr w:type="spellStart"/>
      <w:r w:rsidR="005D6927">
        <w:rPr>
          <w:rFonts w:ascii="Calibri" w:hAnsi="Calibri"/>
          <w:color w:val="auto"/>
          <w:szCs w:val="24"/>
        </w:rPr>
        <w:t>e</w:t>
      </w:r>
      <w:r w:rsidR="00313488" w:rsidRPr="00281928">
        <w:rPr>
          <w:rFonts w:ascii="Calibri" w:hAnsi="Calibri"/>
          <w:color w:val="auto"/>
          <w:szCs w:val="24"/>
        </w:rPr>
        <w:t>quinus</w:t>
      </w:r>
      <w:proofErr w:type="spellEnd"/>
      <w:r w:rsidR="00313488" w:rsidRPr="00281928">
        <w:rPr>
          <w:rFonts w:ascii="Calibri" w:hAnsi="Calibri"/>
          <w:color w:val="auto"/>
          <w:szCs w:val="24"/>
        </w:rPr>
        <w:t xml:space="preserve"> </w:t>
      </w:r>
      <w:r w:rsidR="005D6927">
        <w:rPr>
          <w:rFonts w:ascii="Calibri" w:hAnsi="Calibri"/>
          <w:color w:val="auto"/>
          <w:szCs w:val="24"/>
        </w:rPr>
        <w:t>d</w:t>
      </w:r>
      <w:r w:rsidR="00313488" w:rsidRPr="00281928">
        <w:rPr>
          <w:rFonts w:ascii="Calibri" w:hAnsi="Calibri"/>
          <w:color w:val="auto"/>
          <w:szCs w:val="24"/>
        </w:rPr>
        <w:t xml:space="preserve">eformity of </w:t>
      </w:r>
      <w:r w:rsidR="005D6927">
        <w:rPr>
          <w:rFonts w:ascii="Calibri" w:hAnsi="Calibri"/>
          <w:color w:val="auto"/>
          <w:szCs w:val="24"/>
        </w:rPr>
        <w:t>f</w:t>
      </w:r>
      <w:r w:rsidR="00313488" w:rsidRPr="00281928">
        <w:rPr>
          <w:rFonts w:ascii="Calibri" w:hAnsi="Calibri"/>
          <w:color w:val="auto"/>
          <w:szCs w:val="24"/>
        </w:rPr>
        <w:t xml:space="preserve">oot (acquired) were forwarded to the Physical Evaluation Board (PEB).  </w:t>
      </w:r>
      <w:r w:rsidR="005D6927">
        <w:rPr>
          <w:rFonts w:ascii="Calibri" w:hAnsi="Calibri"/>
          <w:color w:val="auto"/>
          <w:szCs w:val="24"/>
        </w:rPr>
        <w:t>The PEB adjudicated PF</w:t>
      </w:r>
      <w:r w:rsidR="006C2FDC" w:rsidRPr="00281928">
        <w:rPr>
          <w:rFonts w:ascii="Calibri" w:hAnsi="Calibri"/>
          <w:color w:val="auto"/>
          <w:szCs w:val="24"/>
        </w:rPr>
        <w:t xml:space="preserve"> as unfitting at 10% with associated </w:t>
      </w:r>
      <w:r w:rsidR="00EB746C" w:rsidRPr="00281928">
        <w:rPr>
          <w:rFonts w:ascii="Calibri" w:hAnsi="Calibri"/>
          <w:color w:val="auto"/>
          <w:szCs w:val="24"/>
        </w:rPr>
        <w:t>Category 2</w:t>
      </w:r>
      <w:r w:rsidR="00E50504" w:rsidRPr="00281928">
        <w:rPr>
          <w:rFonts w:ascii="Calibri" w:hAnsi="Calibri"/>
          <w:color w:val="auto"/>
          <w:szCs w:val="24"/>
        </w:rPr>
        <w:t xml:space="preserve"> </w:t>
      </w:r>
      <w:r w:rsidR="00017E04" w:rsidRPr="00281928">
        <w:rPr>
          <w:rFonts w:ascii="Calibri" w:hAnsi="Calibri"/>
          <w:color w:val="auto"/>
          <w:szCs w:val="24"/>
        </w:rPr>
        <w:t>diagnos</w:t>
      </w:r>
      <w:r w:rsidR="005D6927">
        <w:rPr>
          <w:rFonts w:ascii="Calibri" w:hAnsi="Calibri"/>
          <w:color w:val="auto"/>
          <w:szCs w:val="24"/>
        </w:rPr>
        <w:t>e</w:t>
      </w:r>
      <w:r w:rsidR="00017E04" w:rsidRPr="00281928">
        <w:rPr>
          <w:rFonts w:ascii="Calibri" w:hAnsi="Calibri"/>
          <w:color w:val="auto"/>
          <w:szCs w:val="24"/>
        </w:rPr>
        <w:t>s</w:t>
      </w:r>
      <w:r w:rsidR="0069754B">
        <w:rPr>
          <w:rFonts w:ascii="Calibri" w:hAnsi="Calibri"/>
          <w:color w:val="auto"/>
          <w:szCs w:val="24"/>
        </w:rPr>
        <w:t xml:space="preserve"> </w:t>
      </w:r>
      <w:r w:rsidR="0069754B" w:rsidRPr="009428F2">
        <w:rPr>
          <w:rFonts w:asciiTheme="minorHAnsi" w:eastAsia="HiddenHorzOCR" w:hAnsiTheme="minorHAnsi"/>
          <w:color w:val="auto"/>
          <w:szCs w:val="24"/>
        </w:rPr>
        <w:t>(contributory, but not separately unfitting)</w:t>
      </w:r>
      <w:r w:rsidR="00017E04" w:rsidRPr="00281928">
        <w:rPr>
          <w:rFonts w:ascii="Calibri" w:hAnsi="Calibri"/>
          <w:color w:val="auto"/>
          <w:szCs w:val="24"/>
        </w:rPr>
        <w:t xml:space="preserve"> </w:t>
      </w:r>
      <w:r w:rsidR="006C2FDC" w:rsidRPr="00281928">
        <w:rPr>
          <w:rFonts w:ascii="Calibri" w:hAnsi="Calibri"/>
          <w:color w:val="auto"/>
          <w:szCs w:val="24"/>
        </w:rPr>
        <w:t xml:space="preserve">of </w:t>
      </w:r>
      <w:r w:rsidR="007A63DE">
        <w:rPr>
          <w:rFonts w:ascii="Calibri" w:hAnsi="Calibri"/>
          <w:color w:val="auto"/>
          <w:szCs w:val="24"/>
        </w:rPr>
        <w:t>SP</w:t>
      </w:r>
      <w:r w:rsidR="006C2FDC" w:rsidRPr="00281928">
        <w:rPr>
          <w:rFonts w:ascii="Calibri" w:hAnsi="Calibri"/>
          <w:color w:val="auto"/>
          <w:szCs w:val="24"/>
        </w:rPr>
        <w:t xml:space="preserve"> </w:t>
      </w:r>
      <w:r w:rsidR="005D6927">
        <w:rPr>
          <w:rFonts w:ascii="Calibri" w:hAnsi="Calibri"/>
          <w:color w:val="auto"/>
          <w:szCs w:val="24"/>
        </w:rPr>
        <w:t>l</w:t>
      </w:r>
      <w:r w:rsidR="006C2FDC" w:rsidRPr="00281928">
        <w:rPr>
          <w:rFonts w:ascii="Calibri" w:hAnsi="Calibri"/>
          <w:color w:val="auto"/>
          <w:szCs w:val="24"/>
        </w:rPr>
        <w:t xml:space="preserve">eft </w:t>
      </w:r>
      <w:r w:rsidR="005D6927">
        <w:rPr>
          <w:rFonts w:ascii="Calibri" w:hAnsi="Calibri"/>
          <w:color w:val="auto"/>
          <w:szCs w:val="24"/>
        </w:rPr>
        <w:t>h</w:t>
      </w:r>
      <w:r w:rsidR="006C2FDC" w:rsidRPr="00281928">
        <w:rPr>
          <w:rFonts w:ascii="Calibri" w:hAnsi="Calibri"/>
          <w:color w:val="auto"/>
          <w:szCs w:val="24"/>
        </w:rPr>
        <w:t xml:space="preserve">eel </w:t>
      </w:r>
      <w:r w:rsidR="005D6927">
        <w:rPr>
          <w:rFonts w:ascii="Calibri" w:hAnsi="Calibri"/>
          <w:color w:val="auto"/>
          <w:szCs w:val="24"/>
        </w:rPr>
        <w:t>s</w:t>
      </w:r>
      <w:r w:rsidR="006C2FDC" w:rsidRPr="00281928">
        <w:rPr>
          <w:rFonts w:ascii="Calibri" w:hAnsi="Calibri"/>
          <w:color w:val="auto"/>
          <w:szCs w:val="24"/>
        </w:rPr>
        <w:t xml:space="preserve">pur </w:t>
      </w:r>
      <w:r w:rsidR="005D6927">
        <w:rPr>
          <w:rFonts w:ascii="Calibri" w:hAnsi="Calibri"/>
          <w:color w:val="auto"/>
          <w:szCs w:val="24"/>
        </w:rPr>
        <w:t>r</w:t>
      </w:r>
      <w:r w:rsidR="006C2FDC" w:rsidRPr="00281928">
        <w:rPr>
          <w:rFonts w:ascii="Calibri" w:hAnsi="Calibri"/>
          <w:color w:val="auto"/>
          <w:szCs w:val="24"/>
        </w:rPr>
        <w:t xml:space="preserve">esection; </w:t>
      </w:r>
      <w:r w:rsidR="005D6927">
        <w:rPr>
          <w:rFonts w:ascii="Calibri" w:hAnsi="Calibri"/>
          <w:color w:val="auto"/>
          <w:szCs w:val="24"/>
        </w:rPr>
        <w:t>d</w:t>
      </w:r>
      <w:r w:rsidR="006C2FDC" w:rsidRPr="00281928">
        <w:rPr>
          <w:rFonts w:ascii="Calibri" w:hAnsi="Calibri"/>
          <w:color w:val="auto"/>
          <w:szCs w:val="24"/>
        </w:rPr>
        <w:t xml:space="preserve">egenerative </w:t>
      </w:r>
      <w:r w:rsidR="005D6927">
        <w:rPr>
          <w:rFonts w:ascii="Calibri" w:hAnsi="Calibri"/>
          <w:color w:val="auto"/>
          <w:szCs w:val="24"/>
        </w:rPr>
        <w:t>c</w:t>
      </w:r>
      <w:r w:rsidR="006C2FDC" w:rsidRPr="00281928">
        <w:rPr>
          <w:rFonts w:ascii="Calibri" w:hAnsi="Calibri"/>
          <w:color w:val="auto"/>
          <w:szCs w:val="24"/>
        </w:rPr>
        <w:t xml:space="preserve">hanges of the </w:t>
      </w:r>
      <w:r w:rsidR="005D6927">
        <w:rPr>
          <w:rFonts w:ascii="Calibri" w:hAnsi="Calibri"/>
          <w:color w:val="auto"/>
          <w:szCs w:val="24"/>
        </w:rPr>
        <w:t>r</w:t>
      </w:r>
      <w:r w:rsidR="006C2FDC" w:rsidRPr="00281928">
        <w:rPr>
          <w:rFonts w:ascii="Calibri" w:hAnsi="Calibri"/>
          <w:color w:val="auto"/>
          <w:szCs w:val="24"/>
        </w:rPr>
        <w:t xml:space="preserve">ear </w:t>
      </w:r>
      <w:r w:rsidR="005D6927">
        <w:rPr>
          <w:rFonts w:ascii="Calibri" w:hAnsi="Calibri"/>
          <w:color w:val="auto"/>
          <w:szCs w:val="24"/>
        </w:rPr>
        <w:t>f</w:t>
      </w:r>
      <w:r w:rsidR="006C2FDC" w:rsidRPr="00281928">
        <w:rPr>
          <w:rFonts w:ascii="Calibri" w:hAnsi="Calibri"/>
          <w:color w:val="auto"/>
          <w:szCs w:val="24"/>
        </w:rPr>
        <w:t xml:space="preserve">oot </w:t>
      </w:r>
      <w:r w:rsidR="005D6927">
        <w:rPr>
          <w:rFonts w:ascii="Calibri" w:hAnsi="Calibri"/>
          <w:color w:val="auto"/>
          <w:szCs w:val="24"/>
        </w:rPr>
        <w:t>b</w:t>
      </w:r>
      <w:r w:rsidR="006C2FDC" w:rsidRPr="00281928">
        <w:rPr>
          <w:rFonts w:ascii="Calibri" w:hAnsi="Calibri"/>
          <w:color w:val="auto"/>
          <w:szCs w:val="24"/>
        </w:rPr>
        <w:t xml:space="preserve">ilaterally, worse on the left; and </w:t>
      </w:r>
      <w:r w:rsidR="005D6927">
        <w:rPr>
          <w:rFonts w:ascii="Calibri" w:hAnsi="Calibri"/>
          <w:color w:val="auto"/>
          <w:szCs w:val="24"/>
        </w:rPr>
        <w:t>p</w:t>
      </w:r>
      <w:r w:rsidR="006C2FDC" w:rsidRPr="00281928">
        <w:rPr>
          <w:rFonts w:ascii="Calibri" w:hAnsi="Calibri"/>
          <w:color w:val="auto"/>
          <w:szCs w:val="24"/>
        </w:rPr>
        <w:t xml:space="preserve">eroneal </w:t>
      </w:r>
      <w:r w:rsidR="005D6927">
        <w:rPr>
          <w:rFonts w:ascii="Calibri" w:hAnsi="Calibri"/>
          <w:color w:val="auto"/>
          <w:szCs w:val="24"/>
        </w:rPr>
        <w:t>t</w:t>
      </w:r>
      <w:r w:rsidR="006C2FDC" w:rsidRPr="00281928">
        <w:rPr>
          <w:rFonts w:ascii="Calibri" w:hAnsi="Calibri"/>
          <w:color w:val="auto"/>
          <w:szCs w:val="24"/>
        </w:rPr>
        <w:t xml:space="preserve">endonitis of the </w:t>
      </w:r>
      <w:r w:rsidR="005D6927">
        <w:rPr>
          <w:rFonts w:ascii="Calibri" w:hAnsi="Calibri"/>
          <w:color w:val="auto"/>
          <w:szCs w:val="24"/>
        </w:rPr>
        <w:t>l</w:t>
      </w:r>
      <w:r w:rsidR="006C2FDC" w:rsidRPr="00281928">
        <w:rPr>
          <w:rFonts w:ascii="Calibri" w:hAnsi="Calibri"/>
          <w:color w:val="auto"/>
          <w:szCs w:val="24"/>
        </w:rPr>
        <w:t xml:space="preserve">eft </w:t>
      </w:r>
      <w:r w:rsidR="005D6927">
        <w:rPr>
          <w:rFonts w:ascii="Calibri" w:hAnsi="Calibri"/>
          <w:color w:val="auto"/>
          <w:szCs w:val="24"/>
        </w:rPr>
        <w:t>f</w:t>
      </w:r>
      <w:r w:rsidR="006C2FDC" w:rsidRPr="00281928">
        <w:rPr>
          <w:rFonts w:ascii="Calibri" w:hAnsi="Calibri"/>
          <w:color w:val="auto"/>
          <w:szCs w:val="24"/>
        </w:rPr>
        <w:t xml:space="preserve">oot </w:t>
      </w:r>
      <w:r w:rsidR="005D6927">
        <w:rPr>
          <w:rFonts w:ascii="Calibri" w:hAnsi="Calibri"/>
          <w:color w:val="auto"/>
          <w:szCs w:val="24"/>
        </w:rPr>
        <w:t>a</w:t>
      </w:r>
      <w:r w:rsidR="006C2FDC" w:rsidRPr="00281928">
        <w:rPr>
          <w:rFonts w:ascii="Calibri" w:hAnsi="Calibri"/>
          <w:color w:val="auto"/>
          <w:szCs w:val="24"/>
        </w:rPr>
        <w:t xml:space="preserve">nkle.  </w:t>
      </w:r>
      <w:r w:rsidR="00EB746C" w:rsidRPr="00281928">
        <w:rPr>
          <w:rFonts w:ascii="Calibri" w:hAnsi="Calibri"/>
          <w:color w:val="auto"/>
          <w:szCs w:val="24"/>
        </w:rPr>
        <w:t xml:space="preserve">Bilateral </w:t>
      </w:r>
      <w:proofErr w:type="spellStart"/>
      <w:r w:rsidR="00EB746C" w:rsidRPr="00281928">
        <w:rPr>
          <w:rFonts w:ascii="Calibri" w:hAnsi="Calibri"/>
          <w:color w:val="auto"/>
          <w:szCs w:val="24"/>
        </w:rPr>
        <w:t>gastrocnemius</w:t>
      </w:r>
      <w:proofErr w:type="spellEnd"/>
      <w:r w:rsidR="00EB746C" w:rsidRPr="00281928">
        <w:rPr>
          <w:rFonts w:ascii="Calibri" w:hAnsi="Calibri"/>
          <w:color w:val="auto"/>
          <w:szCs w:val="24"/>
        </w:rPr>
        <w:t xml:space="preserve"> </w:t>
      </w:r>
      <w:proofErr w:type="spellStart"/>
      <w:r w:rsidR="00EB746C" w:rsidRPr="00281928">
        <w:rPr>
          <w:rFonts w:ascii="Calibri" w:hAnsi="Calibri"/>
          <w:color w:val="auto"/>
          <w:szCs w:val="24"/>
        </w:rPr>
        <w:t>equinus</w:t>
      </w:r>
      <w:proofErr w:type="spellEnd"/>
      <w:r w:rsidR="00954E5B" w:rsidRPr="00281928">
        <w:rPr>
          <w:rFonts w:ascii="Calibri" w:hAnsi="Calibri"/>
          <w:color w:val="auto"/>
          <w:szCs w:val="24"/>
        </w:rPr>
        <w:t xml:space="preserve"> </w:t>
      </w:r>
      <w:r w:rsidR="006C2FDC" w:rsidRPr="00281928">
        <w:rPr>
          <w:rFonts w:ascii="Calibri" w:hAnsi="Calibri"/>
          <w:color w:val="auto"/>
          <w:szCs w:val="24"/>
        </w:rPr>
        <w:t xml:space="preserve">bilaterally </w:t>
      </w:r>
      <w:r w:rsidR="001F3A33" w:rsidRPr="00281928">
        <w:rPr>
          <w:rFonts w:ascii="Calibri" w:hAnsi="Calibri"/>
          <w:color w:val="auto"/>
          <w:szCs w:val="24"/>
        </w:rPr>
        <w:t>was</w:t>
      </w:r>
      <w:r w:rsidR="00954E5B" w:rsidRPr="00281928">
        <w:rPr>
          <w:rFonts w:ascii="Calibri" w:hAnsi="Calibri"/>
          <w:color w:val="auto"/>
          <w:szCs w:val="24"/>
        </w:rPr>
        <w:t xml:space="preserve"> </w:t>
      </w:r>
      <w:r w:rsidR="006C2FDC" w:rsidRPr="00281928">
        <w:rPr>
          <w:rFonts w:ascii="Calibri" w:hAnsi="Calibri"/>
          <w:color w:val="auto"/>
          <w:szCs w:val="24"/>
        </w:rPr>
        <w:t xml:space="preserve">adjudicated as not unfitting.  </w:t>
      </w:r>
      <w:r w:rsidR="00EB746C" w:rsidRPr="00281928">
        <w:rPr>
          <w:rFonts w:ascii="Calibri" w:hAnsi="Calibri"/>
          <w:color w:val="auto"/>
          <w:szCs w:val="24"/>
        </w:rPr>
        <w:t xml:space="preserve">The CI made no appeals and </w:t>
      </w:r>
      <w:r w:rsidR="0061014A" w:rsidRPr="00281928">
        <w:rPr>
          <w:rFonts w:ascii="Calibri" w:hAnsi="Calibri"/>
          <w:color w:val="auto"/>
          <w:szCs w:val="24"/>
        </w:rPr>
        <w:t xml:space="preserve">was medically separated with a disability rating of </w:t>
      </w:r>
      <w:r w:rsidR="004F6D04" w:rsidRPr="00281928">
        <w:rPr>
          <w:rFonts w:ascii="Calibri" w:hAnsi="Calibri"/>
          <w:color w:val="auto"/>
          <w:szCs w:val="24"/>
        </w:rPr>
        <w:t>1</w:t>
      </w:r>
      <w:r w:rsidR="0061014A" w:rsidRPr="00281928">
        <w:rPr>
          <w:rFonts w:ascii="Calibri" w:hAnsi="Calibri"/>
          <w:color w:val="auto"/>
          <w:szCs w:val="24"/>
        </w:rPr>
        <w:t>0%</w:t>
      </w:r>
      <w:r w:rsidR="006C2FDC" w:rsidRPr="00281928">
        <w:rPr>
          <w:rFonts w:ascii="Calibri" w:hAnsi="Calibri"/>
          <w:color w:val="auto"/>
          <w:szCs w:val="24"/>
        </w:rPr>
        <w:t xml:space="preserve"> following a requested period of </w:t>
      </w:r>
      <w:r w:rsidR="005D6927">
        <w:rPr>
          <w:rFonts w:ascii="Calibri" w:hAnsi="Calibri"/>
          <w:color w:val="auto"/>
          <w:szCs w:val="24"/>
        </w:rPr>
        <w:t>p</w:t>
      </w:r>
      <w:r w:rsidR="006C2FDC" w:rsidRPr="00281928">
        <w:rPr>
          <w:rFonts w:ascii="Calibri" w:hAnsi="Calibri"/>
          <w:color w:val="auto"/>
          <w:szCs w:val="24"/>
        </w:rPr>
        <w:t>ermanent L</w:t>
      </w:r>
      <w:r w:rsidR="005D6927">
        <w:rPr>
          <w:rFonts w:ascii="Calibri" w:hAnsi="Calibri"/>
          <w:color w:val="auto"/>
          <w:szCs w:val="24"/>
        </w:rPr>
        <w:t xml:space="preserve">IMDU. </w:t>
      </w:r>
      <w:r w:rsidR="006C2FDC">
        <w:rPr>
          <w:rFonts w:ascii="Calibri" w:hAnsi="Calibri"/>
          <w:color w:val="auto"/>
          <w:szCs w:val="24"/>
        </w:rPr>
        <w:t xml:space="preserve"> </w:t>
      </w:r>
    </w:p>
    <w:p w:rsidR="00203451" w:rsidRDefault="00203451" w:rsidP="003279B8">
      <w:pPr>
        <w:pBdr>
          <w:bottom w:val="single" w:sz="12" w:space="1" w:color="auto"/>
        </w:pBdr>
        <w:tabs>
          <w:tab w:val="left" w:pos="288"/>
          <w:tab w:val="left" w:pos="4752"/>
        </w:tabs>
        <w:spacing w:line="240" w:lineRule="exact"/>
        <w:jc w:val="both"/>
        <w:rPr>
          <w:rFonts w:asciiTheme="minorHAnsi" w:hAnsiTheme="minorHAnsi"/>
          <w:b/>
          <w:color w:val="auto"/>
        </w:rPr>
      </w:pPr>
    </w:p>
    <w:p w:rsidR="00203451" w:rsidRDefault="00203451" w:rsidP="003279B8">
      <w:pPr>
        <w:tabs>
          <w:tab w:val="left" w:pos="288"/>
          <w:tab w:val="left" w:pos="4752"/>
        </w:tabs>
        <w:spacing w:line="240" w:lineRule="exact"/>
        <w:jc w:val="both"/>
        <w:rPr>
          <w:rFonts w:ascii="Calibri" w:hAnsi="Calibri"/>
          <w:color w:val="auto"/>
          <w:u w:val="single"/>
        </w:rPr>
      </w:pPr>
    </w:p>
    <w:p w:rsidR="00841243" w:rsidRPr="00B71837" w:rsidRDefault="002C6E5B" w:rsidP="003279B8">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281928">
        <w:rPr>
          <w:rFonts w:ascii="Calibri" w:hAnsi="Calibri"/>
          <w:color w:val="auto"/>
          <w:szCs w:val="24"/>
        </w:rPr>
        <w:t>The CI states:</w:t>
      </w:r>
      <w:r w:rsidR="00C932C5" w:rsidRPr="00281928">
        <w:rPr>
          <w:rFonts w:ascii="Calibri" w:hAnsi="Calibri"/>
          <w:color w:val="auto"/>
          <w:szCs w:val="24"/>
        </w:rPr>
        <w:t xml:space="preserve"> </w:t>
      </w:r>
      <w:r w:rsidR="00DF4535" w:rsidRPr="00281928">
        <w:rPr>
          <w:rFonts w:ascii="Calibri" w:hAnsi="Calibri"/>
          <w:color w:val="auto"/>
          <w:szCs w:val="24"/>
        </w:rPr>
        <w:t>“The rating for the condition for which I was found unfit should be changed because it was present in both the left &amp; right feet and because it was considered chronic.  Regardless of the treatments or procedures to fix the problem, it never went away.  I also disagree with my ratings because the problem which caused me t</w:t>
      </w:r>
      <w:r w:rsidR="00742806" w:rsidRPr="00281928">
        <w:rPr>
          <w:rFonts w:ascii="Calibri" w:hAnsi="Calibri"/>
          <w:color w:val="auto"/>
          <w:szCs w:val="24"/>
        </w:rPr>
        <w:t>o</w:t>
      </w:r>
      <w:r w:rsidR="00DF4535" w:rsidRPr="00281928">
        <w:rPr>
          <w:rFonts w:ascii="Calibri" w:hAnsi="Calibri"/>
          <w:color w:val="auto"/>
          <w:szCs w:val="24"/>
        </w:rPr>
        <w:t xml:space="preserve"> be unfit (Plantar Fasciitis) le</w:t>
      </w:r>
      <w:r w:rsidR="00742806" w:rsidRPr="00281928">
        <w:rPr>
          <w:rFonts w:ascii="Calibri" w:hAnsi="Calibri"/>
          <w:color w:val="auto"/>
          <w:szCs w:val="24"/>
        </w:rPr>
        <w:t>d</w:t>
      </w:r>
      <w:r w:rsidR="00DF4535" w:rsidRPr="00281928">
        <w:rPr>
          <w:rFonts w:ascii="Calibri" w:hAnsi="Calibri"/>
          <w:color w:val="auto"/>
          <w:szCs w:val="24"/>
        </w:rPr>
        <w:t xml:space="preserve"> to and caused more problems, which were the real reason I could not perform at 100%.  The Plantar Fasciitis was severe enough that it caused </w:t>
      </w:r>
      <w:proofErr w:type="spellStart"/>
      <w:r w:rsidR="00DF4535" w:rsidRPr="00281928">
        <w:rPr>
          <w:rFonts w:ascii="Calibri" w:hAnsi="Calibri"/>
          <w:color w:val="auto"/>
          <w:szCs w:val="24"/>
        </w:rPr>
        <w:t>calcaneal</w:t>
      </w:r>
      <w:proofErr w:type="spellEnd"/>
      <w:r w:rsidR="00DF4535" w:rsidRPr="00281928">
        <w:rPr>
          <w:rFonts w:ascii="Calibri" w:hAnsi="Calibri"/>
          <w:color w:val="auto"/>
          <w:szCs w:val="24"/>
        </w:rPr>
        <w:t xml:space="preserve"> spurs (bone spurs) in both my feet, which I still have.  It led to and contributed to the degenerative changes in both my ankles and feet.  The orthotics I wear still do not relieve the pain in my feet or ankles.  Also, when it flare</w:t>
      </w:r>
      <w:r w:rsidR="00EA509B">
        <w:rPr>
          <w:rFonts w:ascii="Calibri" w:hAnsi="Calibri"/>
          <w:color w:val="auto"/>
          <w:szCs w:val="24"/>
        </w:rPr>
        <w:t>s</w:t>
      </w:r>
      <w:r w:rsidR="00DF4535" w:rsidRPr="00281928">
        <w:rPr>
          <w:rFonts w:ascii="Calibri" w:hAnsi="Calibri"/>
          <w:color w:val="auto"/>
          <w:szCs w:val="24"/>
        </w:rPr>
        <w:t xml:space="preserve"> up, I </w:t>
      </w:r>
      <w:r w:rsidR="004913DC">
        <w:rPr>
          <w:rFonts w:ascii="Calibri" w:hAnsi="Calibri"/>
          <w:color w:val="auto"/>
          <w:szCs w:val="24"/>
        </w:rPr>
        <w:t>c</w:t>
      </w:r>
      <w:r w:rsidR="00DF4535" w:rsidRPr="00281928">
        <w:rPr>
          <w:rFonts w:ascii="Calibri" w:hAnsi="Calibri"/>
          <w:color w:val="auto"/>
          <w:szCs w:val="24"/>
        </w:rPr>
        <w:t>an barely walk for the pain in my feet.</w:t>
      </w:r>
      <w:r w:rsidR="00AA5606" w:rsidRPr="00281928">
        <w:rPr>
          <w:rFonts w:ascii="Calibri" w:hAnsi="Calibri"/>
          <w:color w:val="auto"/>
          <w:szCs w:val="24"/>
        </w:rPr>
        <w:t>”</w:t>
      </w:r>
      <w:r w:rsidR="00DF4535" w:rsidRPr="00281928">
        <w:rPr>
          <w:rFonts w:ascii="Calibri" w:hAnsi="Calibri"/>
          <w:color w:val="auto"/>
          <w:szCs w:val="24"/>
        </w:rPr>
        <w:t xml:space="preserve">  </w:t>
      </w:r>
      <w:r w:rsidR="007819B0" w:rsidRPr="00281928">
        <w:rPr>
          <w:rFonts w:ascii="Calibri" w:hAnsi="Calibri"/>
          <w:color w:val="auto"/>
          <w:szCs w:val="24"/>
        </w:rPr>
        <w:t>The CI also lists</w:t>
      </w:r>
      <w:r w:rsidR="005D6927">
        <w:rPr>
          <w:rFonts w:ascii="Calibri" w:hAnsi="Calibri"/>
          <w:color w:val="auto"/>
          <w:szCs w:val="24"/>
        </w:rPr>
        <w:t>:</w:t>
      </w:r>
      <w:r w:rsidR="007819B0" w:rsidRPr="00281928">
        <w:rPr>
          <w:rFonts w:ascii="Calibri" w:hAnsi="Calibri"/>
          <w:color w:val="auto"/>
          <w:szCs w:val="24"/>
        </w:rPr>
        <w:t xml:space="preserve"> left ankle degenerative changes and strain left </w:t>
      </w:r>
      <w:r w:rsidR="0069754B" w:rsidRPr="00661EE6">
        <w:rPr>
          <w:rFonts w:asciiTheme="minorHAnsi" w:eastAsia="HiddenHorzOCR" w:hAnsiTheme="minorHAnsi"/>
          <w:color w:val="auto"/>
          <w:szCs w:val="24"/>
        </w:rPr>
        <w:t xml:space="preserve">patella femoral syndrome </w:t>
      </w:r>
      <w:r w:rsidR="0069754B">
        <w:rPr>
          <w:rFonts w:asciiTheme="minorHAnsi" w:eastAsia="HiddenHorzOCR" w:hAnsiTheme="minorHAnsi"/>
          <w:color w:val="auto"/>
          <w:szCs w:val="24"/>
        </w:rPr>
        <w:t>(</w:t>
      </w:r>
      <w:r w:rsidR="007819B0" w:rsidRPr="00281928">
        <w:rPr>
          <w:rFonts w:ascii="Calibri" w:hAnsi="Calibri"/>
          <w:color w:val="auto"/>
          <w:szCs w:val="24"/>
        </w:rPr>
        <w:t>PF</w:t>
      </w:r>
      <w:r w:rsidR="0069754B">
        <w:rPr>
          <w:rFonts w:ascii="Calibri" w:hAnsi="Calibri"/>
          <w:color w:val="auto"/>
          <w:szCs w:val="24"/>
        </w:rPr>
        <w:t>S)</w:t>
      </w:r>
      <w:r w:rsidR="007819B0" w:rsidRPr="00281928">
        <w:rPr>
          <w:rFonts w:ascii="Calibri" w:hAnsi="Calibri"/>
          <w:color w:val="auto"/>
          <w:szCs w:val="24"/>
        </w:rPr>
        <w:t xml:space="preserve">, </w:t>
      </w:r>
      <w:r w:rsidR="005D6927">
        <w:rPr>
          <w:rFonts w:ascii="Calibri" w:hAnsi="Calibri"/>
          <w:color w:val="auto"/>
          <w:szCs w:val="24"/>
        </w:rPr>
        <w:t>r</w:t>
      </w:r>
      <w:r w:rsidR="007819B0" w:rsidRPr="00281928">
        <w:rPr>
          <w:rFonts w:ascii="Calibri" w:hAnsi="Calibri"/>
          <w:color w:val="auto"/>
          <w:szCs w:val="24"/>
        </w:rPr>
        <w:t>ight PF</w:t>
      </w:r>
      <w:r w:rsidR="0069754B">
        <w:rPr>
          <w:rFonts w:ascii="Calibri" w:hAnsi="Calibri"/>
          <w:color w:val="auto"/>
          <w:szCs w:val="24"/>
        </w:rPr>
        <w:t>S</w:t>
      </w:r>
      <w:r w:rsidR="007819B0" w:rsidRPr="00281928">
        <w:rPr>
          <w:rFonts w:ascii="Calibri" w:hAnsi="Calibri"/>
          <w:color w:val="auto"/>
          <w:szCs w:val="24"/>
        </w:rPr>
        <w:t>, left wrist strain,</w:t>
      </w:r>
      <w:r w:rsidR="005D6927">
        <w:rPr>
          <w:rFonts w:ascii="Calibri" w:hAnsi="Calibri"/>
          <w:color w:val="auto"/>
          <w:szCs w:val="24"/>
        </w:rPr>
        <w:t xml:space="preserve"> lumbar spine</w:t>
      </w:r>
      <w:r w:rsidR="007819B0" w:rsidRPr="00281928">
        <w:rPr>
          <w:rFonts w:ascii="Calibri" w:hAnsi="Calibri"/>
          <w:color w:val="auto"/>
          <w:szCs w:val="24"/>
        </w:rPr>
        <w:t xml:space="preserve"> strain, </w:t>
      </w:r>
      <w:r w:rsidR="005D6927">
        <w:rPr>
          <w:rFonts w:ascii="Calibri" w:hAnsi="Calibri"/>
          <w:color w:val="auto"/>
          <w:szCs w:val="24"/>
        </w:rPr>
        <w:t>l</w:t>
      </w:r>
      <w:r w:rsidR="007819B0" w:rsidRPr="00281928">
        <w:rPr>
          <w:rFonts w:ascii="Calibri" w:hAnsi="Calibri"/>
          <w:color w:val="auto"/>
          <w:szCs w:val="24"/>
        </w:rPr>
        <w:t xml:space="preserve">eft and right plantar fasciitis and Achilles tendinitis with post </w:t>
      </w:r>
      <w:proofErr w:type="spellStart"/>
      <w:r w:rsidR="007819B0" w:rsidRPr="00281928">
        <w:rPr>
          <w:rFonts w:ascii="Calibri" w:hAnsi="Calibri"/>
          <w:color w:val="auto"/>
          <w:szCs w:val="24"/>
        </w:rPr>
        <w:t>calcaneal</w:t>
      </w:r>
      <w:proofErr w:type="spellEnd"/>
      <w:r w:rsidR="007819B0" w:rsidRPr="00281928">
        <w:rPr>
          <w:rFonts w:ascii="Calibri" w:hAnsi="Calibri"/>
          <w:color w:val="auto"/>
          <w:szCs w:val="24"/>
        </w:rPr>
        <w:t xml:space="preserve"> spurs, </w:t>
      </w:r>
      <w:r w:rsidR="0069754B" w:rsidRPr="00661EE6">
        <w:rPr>
          <w:rFonts w:asciiTheme="minorHAnsi" w:eastAsia="HiddenHorzOCR" w:hAnsiTheme="minorHAnsi"/>
          <w:color w:val="auto"/>
          <w:szCs w:val="24"/>
        </w:rPr>
        <w:t>gastro-esophageal reflux disease</w:t>
      </w:r>
      <w:r w:rsidR="0069754B" w:rsidRPr="00281928">
        <w:rPr>
          <w:rFonts w:ascii="Calibri" w:hAnsi="Calibri"/>
          <w:color w:val="auto"/>
          <w:szCs w:val="24"/>
        </w:rPr>
        <w:t xml:space="preserve"> </w:t>
      </w:r>
      <w:r w:rsidR="0069754B">
        <w:rPr>
          <w:rFonts w:ascii="Calibri" w:hAnsi="Calibri"/>
          <w:color w:val="auto"/>
          <w:szCs w:val="24"/>
        </w:rPr>
        <w:t>(</w:t>
      </w:r>
      <w:r w:rsidR="007819B0" w:rsidRPr="00281928">
        <w:rPr>
          <w:rFonts w:ascii="Calibri" w:hAnsi="Calibri"/>
          <w:color w:val="auto"/>
          <w:szCs w:val="24"/>
        </w:rPr>
        <w:t>GERD</w:t>
      </w:r>
      <w:r w:rsidR="0069754B">
        <w:rPr>
          <w:rFonts w:ascii="Calibri" w:hAnsi="Calibri"/>
          <w:color w:val="auto"/>
          <w:szCs w:val="24"/>
        </w:rPr>
        <w:t>)</w:t>
      </w:r>
      <w:r w:rsidR="007819B0" w:rsidRPr="00281928">
        <w:rPr>
          <w:rFonts w:ascii="Calibri" w:hAnsi="Calibri"/>
          <w:color w:val="auto"/>
          <w:szCs w:val="24"/>
        </w:rPr>
        <w:t xml:space="preserve"> with</w:t>
      </w:r>
      <w:r w:rsidR="00281928">
        <w:rPr>
          <w:rFonts w:ascii="Calibri" w:hAnsi="Calibri"/>
          <w:color w:val="auto"/>
          <w:szCs w:val="24"/>
        </w:rPr>
        <w:t xml:space="preserve"> non-erosive gastritis, status-post hee</w:t>
      </w:r>
      <w:r w:rsidR="007819B0" w:rsidRPr="00281928">
        <w:rPr>
          <w:rFonts w:ascii="Calibri" w:hAnsi="Calibri"/>
          <w:color w:val="auto"/>
          <w:szCs w:val="24"/>
        </w:rPr>
        <w:t>l spur removal with residual scar.  “Plantar fasciitis wa</w:t>
      </w:r>
      <w:r w:rsidR="00E62212" w:rsidRPr="00281928">
        <w:rPr>
          <w:rFonts w:ascii="Calibri" w:hAnsi="Calibri"/>
          <w:color w:val="auto"/>
          <w:szCs w:val="24"/>
        </w:rPr>
        <w:t>s</w:t>
      </w:r>
      <w:r w:rsidR="007819B0" w:rsidRPr="00281928">
        <w:rPr>
          <w:rFonts w:ascii="Calibri" w:hAnsi="Calibri"/>
          <w:color w:val="auto"/>
          <w:szCs w:val="24"/>
        </w:rPr>
        <w:t xml:space="preserve"> th</w:t>
      </w:r>
      <w:r w:rsidR="00E62212" w:rsidRPr="00281928">
        <w:rPr>
          <w:rFonts w:ascii="Calibri" w:hAnsi="Calibri"/>
          <w:color w:val="auto"/>
          <w:szCs w:val="24"/>
        </w:rPr>
        <w:t>e</w:t>
      </w:r>
      <w:r w:rsidR="007819B0" w:rsidRPr="00281928">
        <w:rPr>
          <w:rFonts w:ascii="Calibri" w:hAnsi="Calibri"/>
          <w:color w:val="auto"/>
          <w:szCs w:val="24"/>
        </w:rPr>
        <w:t xml:space="preserve"> initial cause which led to the other conditions.  It w</w:t>
      </w:r>
      <w:r w:rsidR="00E62212" w:rsidRPr="00281928">
        <w:rPr>
          <w:rFonts w:ascii="Calibri" w:hAnsi="Calibri"/>
          <w:color w:val="auto"/>
          <w:szCs w:val="24"/>
        </w:rPr>
        <w:t>a</w:t>
      </w:r>
      <w:r w:rsidR="007819B0" w:rsidRPr="00281928">
        <w:rPr>
          <w:rFonts w:ascii="Calibri" w:hAnsi="Calibri"/>
          <w:color w:val="auto"/>
          <w:szCs w:val="24"/>
        </w:rPr>
        <w:t>s recognized by the DOD and given a rating.  But the other conditions, even though they were more sever</w:t>
      </w:r>
      <w:r w:rsidR="00E62212" w:rsidRPr="00281928">
        <w:rPr>
          <w:rFonts w:ascii="Calibri" w:hAnsi="Calibri"/>
          <w:color w:val="auto"/>
          <w:szCs w:val="24"/>
        </w:rPr>
        <w:t>e</w:t>
      </w:r>
      <w:r w:rsidR="007819B0" w:rsidRPr="00281928">
        <w:rPr>
          <w:rFonts w:ascii="Calibri" w:hAnsi="Calibri"/>
          <w:color w:val="auto"/>
          <w:szCs w:val="24"/>
        </w:rPr>
        <w:t xml:space="preserve"> and </w:t>
      </w:r>
      <w:proofErr w:type="spellStart"/>
      <w:r w:rsidR="007819B0" w:rsidRPr="00281928">
        <w:rPr>
          <w:rFonts w:ascii="Calibri" w:hAnsi="Calibri"/>
          <w:color w:val="auto"/>
          <w:szCs w:val="24"/>
        </w:rPr>
        <w:t>disabilitating</w:t>
      </w:r>
      <w:proofErr w:type="spellEnd"/>
      <w:r w:rsidR="007819B0" w:rsidRPr="00281928">
        <w:rPr>
          <w:rFonts w:ascii="Calibri" w:hAnsi="Calibri"/>
          <w:color w:val="auto"/>
          <w:szCs w:val="24"/>
        </w:rPr>
        <w:t xml:space="preserve"> (sic), were not recognized by the DOD or the MEB.  I think</w:t>
      </w:r>
      <w:r w:rsidR="007819B0">
        <w:rPr>
          <w:rFonts w:ascii="Calibri" w:hAnsi="Calibri"/>
          <w:color w:val="auto"/>
          <w:szCs w:val="24"/>
        </w:rPr>
        <w:t xml:space="preserve"> </w:t>
      </w:r>
      <w:proofErr w:type="spellStart"/>
      <w:r w:rsidR="003279B8">
        <w:rPr>
          <w:rFonts w:ascii="Calibri" w:hAnsi="Calibri"/>
          <w:color w:val="auto"/>
          <w:szCs w:val="24"/>
        </w:rPr>
        <w:t>its</w:t>
      </w:r>
      <w:proofErr w:type="spellEnd"/>
      <w:r w:rsidR="007819B0">
        <w:rPr>
          <w:rFonts w:ascii="Calibri" w:hAnsi="Calibri"/>
          <w:color w:val="auto"/>
          <w:szCs w:val="24"/>
        </w:rPr>
        <w:t xml:space="preserve"> (sic) unfair way of evaluating a case.”</w:t>
      </w:r>
    </w:p>
    <w:p w:rsidR="00203451" w:rsidRDefault="00203451" w:rsidP="00203451">
      <w:pPr>
        <w:pBdr>
          <w:bottom w:val="single" w:sz="12" w:space="1" w:color="auto"/>
        </w:pBdr>
        <w:tabs>
          <w:tab w:val="left" w:pos="288"/>
          <w:tab w:val="left" w:pos="4752"/>
        </w:tabs>
        <w:spacing w:line="240" w:lineRule="exact"/>
        <w:rPr>
          <w:rFonts w:asciiTheme="minorHAnsi" w:hAnsiTheme="minorHAnsi"/>
          <w:b/>
          <w:color w:val="auto"/>
        </w:rPr>
      </w:pPr>
    </w:p>
    <w:p w:rsidR="00203451" w:rsidRDefault="00203451" w:rsidP="00203451">
      <w:pPr>
        <w:tabs>
          <w:tab w:val="left" w:pos="288"/>
          <w:tab w:val="left" w:pos="4752"/>
        </w:tabs>
        <w:spacing w:line="240" w:lineRule="exact"/>
        <w:rPr>
          <w:rFonts w:ascii="Calibri" w:hAnsi="Calibri"/>
          <w:color w:val="auto"/>
          <w:u w:val="single"/>
        </w:rPr>
      </w:pPr>
    </w:p>
    <w:p w:rsidR="00C07340" w:rsidRDefault="00C07340">
      <w:pPr>
        <w:rPr>
          <w:rFonts w:ascii="Calibri" w:hAnsi="Calibri"/>
          <w:color w:val="auto"/>
          <w:u w:val="single"/>
        </w:rPr>
      </w:pPr>
      <w:r>
        <w:rPr>
          <w:rFonts w:ascii="Calibri" w:hAnsi="Calibri"/>
          <w:color w:val="auto"/>
          <w:u w:val="single"/>
        </w:rPr>
        <w:br w:type="page"/>
      </w:r>
    </w:p>
    <w:p w:rsidR="002338CA" w:rsidRPr="00834049" w:rsidRDefault="002C6E5B" w:rsidP="00875F2D">
      <w:pPr>
        <w:tabs>
          <w:tab w:val="left" w:pos="288"/>
          <w:tab w:val="left" w:pos="4752"/>
        </w:tabs>
        <w:spacing w:line="240" w:lineRule="exact"/>
        <w:jc w:val="both"/>
        <w:rPr>
          <w:rFonts w:ascii="Calibri" w:hAnsi="Calibri"/>
          <w:color w:val="auto"/>
        </w:rPr>
      </w:pPr>
      <w:r w:rsidRPr="00834049">
        <w:rPr>
          <w:rFonts w:ascii="Calibri" w:hAnsi="Calibri"/>
          <w:color w:val="auto"/>
          <w:u w:val="single"/>
        </w:rPr>
        <w:lastRenderedPageBreak/>
        <w:t>RATING COMPARISON</w:t>
      </w:r>
      <w:r w:rsidRPr="00834049">
        <w:rPr>
          <w:rFonts w:ascii="Calibri" w:hAnsi="Calibri"/>
          <w:color w:val="auto"/>
        </w:rPr>
        <w:t>:</w:t>
      </w:r>
    </w:p>
    <w:p w:rsidR="00F82981" w:rsidRPr="00834049" w:rsidRDefault="00F82981" w:rsidP="00875F2D">
      <w:pPr>
        <w:tabs>
          <w:tab w:val="left" w:pos="288"/>
          <w:tab w:val="left" w:pos="4752"/>
        </w:tabs>
        <w:spacing w:line="240" w:lineRule="exact"/>
        <w:jc w:val="both"/>
        <w:rPr>
          <w:color w:val="auto"/>
        </w:rPr>
      </w:pPr>
    </w:p>
    <w:tbl>
      <w:tblPr>
        <w:tblStyle w:val="TableGrid"/>
        <w:tblW w:w="0" w:type="auto"/>
        <w:tblLayout w:type="fixed"/>
        <w:tblLook w:val="04A0"/>
      </w:tblPr>
      <w:tblGrid>
        <w:gridCol w:w="236"/>
        <w:gridCol w:w="1582"/>
        <w:gridCol w:w="1080"/>
        <w:gridCol w:w="789"/>
        <w:gridCol w:w="3081"/>
        <w:gridCol w:w="1080"/>
        <w:gridCol w:w="90"/>
        <w:gridCol w:w="692"/>
        <w:gridCol w:w="946"/>
      </w:tblGrid>
      <w:tr w:rsidR="00684E2B" w:rsidRPr="00281928" w:rsidTr="00834049">
        <w:trPr>
          <w:trHeight w:val="233"/>
        </w:trPr>
        <w:tc>
          <w:tcPr>
            <w:tcW w:w="3687" w:type="dxa"/>
            <w:gridSpan w:val="4"/>
            <w:tcBorders>
              <w:right w:val="thinThickThinSmallGap" w:sz="24" w:space="0" w:color="auto"/>
            </w:tcBorders>
            <w:shd w:val="clear" w:color="auto" w:fill="D9D9D9" w:themeFill="background1" w:themeFillShade="D9"/>
          </w:tcPr>
          <w:p w:rsidR="00684E2B" w:rsidRPr="00281928" w:rsidRDefault="00684E2B" w:rsidP="004F6D04">
            <w:pPr>
              <w:pStyle w:val="ListParagraph"/>
              <w:spacing w:after="0" w:line="240" w:lineRule="auto"/>
              <w:ind w:left="0"/>
              <w:jc w:val="center"/>
              <w:rPr>
                <w:rFonts w:cs="Times New Roman"/>
                <w:b/>
                <w:sz w:val="20"/>
                <w:szCs w:val="20"/>
              </w:rPr>
            </w:pPr>
            <w:r w:rsidRPr="00281928">
              <w:rPr>
                <w:rFonts w:cs="Times New Roman"/>
                <w:b/>
                <w:sz w:val="20"/>
                <w:szCs w:val="20"/>
              </w:rPr>
              <w:t xml:space="preserve">Service </w:t>
            </w:r>
            <w:r w:rsidR="00EA509B">
              <w:rPr>
                <w:rFonts w:cs="Times New Roman"/>
                <w:b/>
                <w:sz w:val="20"/>
                <w:szCs w:val="20"/>
              </w:rPr>
              <w:t>I</w:t>
            </w:r>
            <w:r w:rsidRPr="00281928">
              <w:rPr>
                <w:rFonts w:cs="Times New Roman"/>
                <w:b/>
                <w:sz w:val="20"/>
                <w:szCs w:val="20"/>
              </w:rPr>
              <w:t>PEB</w:t>
            </w:r>
            <w:r w:rsidR="002B2645" w:rsidRPr="00281928">
              <w:rPr>
                <w:rFonts w:cs="Times New Roman"/>
                <w:b/>
                <w:sz w:val="20"/>
                <w:szCs w:val="20"/>
              </w:rPr>
              <w:t xml:space="preserve"> – Dated </w:t>
            </w:r>
            <w:r w:rsidR="004F6D04" w:rsidRPr="00281928">
              <w:rPr>
                <w:rFonts w:cs="Times New Roman"/>
                <w:b/>
                <w:sz w:val="20"/>
                <w:szCs w:val="20"/>
              </w:rPr>
              <w:t>20061222</w:t>
            </w:r>
          </w:p>
        </w:tc>
        <w:tc>
          <w:tcPr>
            <w:tcW w:w="5889" w:type="dxa"/>
            <w:gridSpan w:val="5"/>
            <w:tcBorders>
              <w:left w:val="thinThickThinSmallGap" w:sz="24" w:space="0" w:color="auto"/>
            </w:tcBorders>
            <w:shd w:val="clear" w:color="auto" w:fill="D9D9D9" w:themeFill="background1" w:themeFillShade="D9"/>
          </w:tcPr>
          <w:p w:rsidR="00684E2B" w:rsidRPr="00281928" w:rsidRDefault="00684E2B" w:rsidP="006C072C">
            <w:pPr>
              <w:pStyle w:val="ListParagraph"/>
              <w:spacing w:after="0" w:line="240" w:lineRule="auto"/>
              <w:ind w:left="0"/>
              <w:jc w:val="center"/>
              <w:rPr>
                <w:rFonts w:cs="Times New Roman"/>
                <w:b/>
                <w:sz w:val="20"/>
                <w:szCs w:val="20"/>
              </w:rPr>
            </w:pPr>
            <w:r w:rsidRPr="00281928">
              <w:rPr>
                <w:rFonts w:cs="Times New Roman"/>
                <w:b/>
                <w:sz w:val="20"/>
                <w:szCs w:val="20"/>
              </w:rPr>
              <w:t>VA (</w:t>
            </w:r>
            <w:r w:rsidR="006C072C" w:rsidRPr="00281928">
              <w:rPr>
                <w:rFonts w:cs="Times New Roman"/>
                <w:b/>
                <w:sz w:val="20"/>
                <w:szCs w:val="20"/>
              </w:rPr>
              <w:t>2</w:t>
            </w:r>
            <w:r w:rsidRPr="00281928">
              <w:rPr>
                <w:rFonts w:cs="Times New Roman"/>
                <w:b/>
                <w:sz w:val="20"/>
                <w:szCs w:val="20"/>
              </w:rPr>
              <w:t xml:space="preserve"> Mo. </w:t>
            </w:r>
            <w:r w:rsidR="006C072C" w:rsidRPr="00281928">
              <w:rPr>
                <w:rFonts w:cs="Times New Roman"/>
                <w:b/>
                <w:sz w:val="20"/>
                <w:szCs w:val="20"/>
              </w:rPr>
              <w:t>Pre-</w:t>
            </w:r>
            <w:r w:rsidRPr="00281928">
              <w:rPr>
                <w:rFonts w:cs="Times New Roman"/>
                <w:b/>
                <w:sz w:val="20"/>
                <w:szCs w:val="20"/>
              </w:rPr>
              <w:t>Separation)</w:t>
            </w:r>
            <w:r w:rsidR="000C3C13" w:rsidRPr="00281928">
              <w:rPr>
                <w:rFonts w:cs="Times New Roman"/>
                <w:b/>
                <w:sz w:val="20"/>
                <w:szCs w:val="20"/>
              </w:rPr>
              <w:t xml:space="preserve"> – All Effective </w:t>
            </w:r>
            <w:r w:rsidR="004F6D04" w:rsidRPr="00281928">
              <w:rPr>
                <w:rFonts w:cs="Times New Roman"/>
                <w:b/>
                <w:sz w:val="20"/>
                <w:szCs w:val="20"/>
              </w:rPr>
              <w:t>20070501</w:t>
            </w:r>
          </w:p>
        </w:tc>
      </w:tr>
      <w:tr w:rsidR="002B2645" w:rsidRPr="00281928" w:rsidTr="00B450BB">
        <w:trPr>
          <w:trHeight w:val="233"/>
        </w:trPr>
        <w:tc>
          <w:tcPr>
            <w:tcW w:w="1818" w:type="dxa"/>
            <w:gridSpan w:val="2"/>
            <w:tcBorders>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Code</w:t>
            </w:r>
          </w:p>
        </w:tc>
        <w:tc>
          <w:tcPr>
            <w:tcW w:w="789" w:type="dxa"/>
            <w:tcBorders>
              <w:bottom w:val="single" w:sz="4" w:space="0" w:color="000000" w:themeColor="text1"/>
              <w:right w:val="thinThickThinSmallGap" w:sz="24" w:space="0" w:color="auto"/>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Rating</w:t>
            </w:r>
          </w:p>
        </w:tc>
        <w:tc>
          <w:tcPr>
            <w:tcW w:w="3081" w:type="dxa"/>
            <w:tcBorders>
              <w:left w:val="thinThickThinSmallGap" w:sz="24" w:space="0" w:color="auto"/>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Code</w:t>
            </w:r>
          </w:p>
        </w:tc>
        <w:tc>
          <w:tcPr>
            <w:tcW w:w="782" w:type="dxa"/>
            <w:gridSpan w:val="2"/>
            <w:tcBorders>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Rating</w:t>
            </w:r>
          </w:p>
        </w:tc>
        <w:tc>
          <w:tcPr>
            <w:tcW w:w="946" w:type="dxa"/>
            <w:tcBorders>
              <w:bottom w:val="single" w:sz="4" w:space="0" w:color="000000" w:themeColor="text1"/>
            </w:tcBorders>
            <w:shd w:val="clear" w:color="auto" w:fill="D9D9D9" w:themeFill="background1" w:themeFillShade="D9"/>
          </w:tcPr>
          <w:p w:rsidR="002B2645" w:rsidRPr="00281928" w:rsidRDefault="002B2645" w:rsidP="00AE6115">
            <w:pPr>
              <w:pStyle w:val="ListParagraph"/>
              <w:spacing w:after="0" w:line="240" w:lineRule="auto"/>
              <w:ind w:left="0"/>
              <w:jc w:val="center"/>
              <w:rPr>
                <w:rFonts w:cs="Times New Roman"/>
                <w:b/>
                <w:sz w:val="20"/>
                <w:szCs w:val="20"/>
              </w:rPr>
            </w:pPr>
            <w:r w:rsidRPr="00281928">
              <w:rPr>
                <w:rFonts w:cs="Times New Roman"/>
                <w:b/>
                <w:sz w:val="20"/>
                <w:szCs w:val="20"/>
              </w:rPr>
              <w:t>Exam</w:t>
            </w:r>
          </w:p>
        </w:tc>
      </w:tr>
      <w:tr w:rsidR="00EB746C" w:rsidRPr="00281928" w:rsidTr="00B450BB">
        <w:trPr>
          <w:trHeight w:val="125"/>
        </w:trPr>
        <w:tc>
          <w:tcPr>
            <w:tcW w:w="1818" w:type="dxa"/>
            <w:gridSpan w:val="2"/>
            <w:vMerge w:val="restart"/>
            <w:shd w:val="clear" w:color="auto" w:fill="FFFFFF" w:themeFill="background1"/>
          </w:tcPr>
          <w:p w:rsidR="00EB746C" w:rsidRPr="00281928" w:rsidRDefault="006C2FDC" w:rsidP="00AE6115">
            <w:pPr>
              <w:pStyle w:val="ListParagraph"/>
              <w:spacing w:after="0" w:line="240" w:lineRule="auto"/>
              <w:ind w:left="0"/>
              <w:rPr>
                <w:rFonts w:cs="Times New Roman"/>
                <w:sz w:val="18"/>
                <w:szCs w:val="18"/>
              </w:rPr>
            </w:pPr>
            <w:r w:rsidRPr="00281928">
              <w:rPr>
                <w:rFonts w:cs="Times New Roman"/>
                <w:sz w:val="18"/>
                <w:szCs w:val="18"/>
              </w:rPr>
              <w:t>Plantar Fasciitis</w:t>
            </w:r>
            <w:r w:rsidR="00B450BB" w:rsidRPr="00281928">
              <w:rPr>
                <w:rFonts w:cs="Times New Roman"/>
                <w:sz w:val="18"/>
                <w:szCs w:val="18"/>
              </w:rPr>
              <w:t xml:space="preserve"> Bilaterally</w:t>
            </w:r>
          </w:p>
        </w:tc>
        <w:tc>
          <w:tcPr>
            <w:tcW w:w="1080" w:type="dxa"/>
            <w:vMerge w:val="restart"/>
            <w:shd w:val="clear" w:color="auto" w:fill="FFFFFF" w:themeFill="background1"/>
          </w:tcPr>
          <w:p w:rsidR="00EB746C" w:rsidRPr="00281928" w:rsidRDefault="002D6088" w:rsidP="002D6088">
            <w:pPr>
              <w:pStyle w:val="ListParagraph"/>
              <w:spacing w:after="0" w:line="240" w:lineRule="auto"/>
              <w:ind w:left="0"/>
              <w:jc w:val="center"/>
              <w:rPr>
                <w:rFonts w:cs="Times New Roman"/>
                <w:sz w:val="18"/>
                <w:szCs w:val="18"/>
              </w:rPr>
            </w:pPr>
            <w:r w:rsidRPr="00281928">
              <w:rPr>
                <w:rFonts w:cs="Times New Roman"/>
                <w:sz w:val="18"/>
                <w:szCs w:val="18"/>
              </w:rPr>
              <w:t>5399-5310</w:t>
            </w:r>
          </w:p>
        </w:tc>
        <w:tc>
          <w:tcPr>
            <w:tcW w:w="789" w:type="dxa"/>
            <w:vMerge w:val="restart"/>
            <w:tcBorders>
              <w:right w:val="thinThickThinSmallGap" w:sz="24" w:space="0" w:color="auto"/>
            </w:tcBorders>
            <w:shd w:val="clear" w:color="auto" w:fill="FFFFFF" w:themeFill="background1"/>
          </w:tcPr>
          <w:p w:rsidR="00EB746C" w:rsidRPr="00281928" w:rsidRDefault="002D6088"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3081" w:type="dxa"/>
            <w:tcBorders>
              <w:left w:val="thinThickThinSmallGap" w:sz="24" w:space="0" w:color="auto"/>
            </w:tcBorders>
            <w:shd w:val="clear" w:color="auto" w:fill="FFFFFF" w:themeFill="background1"/>
          </w:tcPr>
          <w:p w:rsidR="00EB746C" w:rsidRPr="00281928" w:rsidRDefault="002D6088" w:rsidP="00EB746C">
            <w:pPr>
              <w:pStyle w:val="ListParagraph"/>
              <w:spacing w:after="0" w:line="240" w:lineRule="auto"/>
              <w:ind w:left="0"/>
              <w:rPr>
                <w:rFonts w:cs="Times New Roman"/>
                <w:sz w:val="18"/>
                <w:szCs w:val="18"/>
              </w:rPr>
            </w:pPr>
            <w:r w:rsidRPr="00281928">
              <w:rPr>
                <w:rFonts w:cs="Times New Roman"/>
                <w:sz w:val="18"/>
                <w:szCs w:val="18"/>
              </w:rPr>
              <w:t>L</w:t>
            </w:r>
            <w:r w:rsidR="00EB746C" w:rsidRPr="00281928">
              <w:rPr>
                <w:rFonts w:cs="Times New Roman"/>
                <w:sz w:val="18"/>
                <w:szCs w:val="18"/>
              </w:rPr>
              <w:t xml:space="preserve"> PF and Achilles Tendonitis with Spur</w:t>
            </w:r>
          </w:p>
        </w:tc>
        <w:tc>
          <w:tcPr>
            <w:tcW w:w="1080" w:type="dxa"/>
            <w:shd w:val="clear" w:color="auto" w:fill="FFFFFF" w:themeFill="background1"/>
          </w:tcPr>
          <w:p w:rsidR="00EB746C" w:rsidRPr="00281928" w:rsidRDefault="002D6088" w:rsidP="00AE6115">
            <w:pPr>
              <w:pStyle w:val="ListParagraph"/>
              <w:spacing w:after="0" w:line="240" w:lineRule="auto"/>
              <w:ind w:left="0"/>
              <w:jc w:val="center"/>
              <w:rPr>
                <w:rFonts w:cs="Times New Roman"/>
                <w:sz w:val="18"/>
                <w:szCs w:val="18"/>
              </w:rPr>
            </w:pPr>
            <w:r w:rsidRPr="00281928">
              <w:rPr>
                <w:rFonts w:cs="Times New Roman"/>
                <w:sz w:val="18"/>
                <w:szCs w:val="18"/>
              </w:rPr>
              <w:t>5399-5310</w:t>
            </w:r>
          </w:p>
        </w:tc>
        <w:tc>
          <w:tcPr>
            <w:tcW w:w="782" w:type="dxa"/>
            <w:gridSpan w:val="2"/>
            <w:shd w:val="clear" w:color="auto" w:fill="FFFFFF" w:themeFill="background1"/>
          </w:tcPr>
          <w:p w:rsidR="00EB746C" w:rsidRPr="00281928" w:rsidRDefault="00EB746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EB746C" w:rsidRPr="00281928" w:rsidRDefault="00EB746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185839" w:rsidRPr="00281928" w:rsidTr="00B450BB">
        <w:trPr>
          <w:trHeight w:val="125"/>
        </w:trPr>
        <w:tc>
          <w:tcPr>
            <w:tcW w:w="1818" w:type="dxa"/>
            <w:gridSpan w:val="2"/>
            <w:vMerge/>
            <w:shd w:val="clear" w:color="auto" w:fill="FFFFFF" w:themeFill="background1"/>
          </w:tcPr>
          <w:p w:rsidR="00185839" w:rsidRPr="00281928" w:rsidRDefault="00185839" w:rsidP="00AE6115">
            <w:pPr>
              <w:pStyle w:val="ListParagraph"/>
              <w:spacing w:after="0" w:line="240" w:lineRule="auto"/>
              <w:ind w:left="0"/>
              <w:rPr>
                <w:rFonts w:cs="Times New Roman"/>
                <w:sz w:val="18"/>
                <w:szCs w:val="18"/>
              </w:rPr>
            </w:pPr>
          </w:p>
        </w:tc>
        <w:tc>
          <w:tcPr>
            <w:tcW w:w="1080" w:type="dxa"/>
            <w:vMerge/>
            <w:shd w:val="clear" w:color="auto" w:fill="FFFFFF" w:themeFill="background1"/>
          </w:tcPr>
          <w:p w:rsidR="00185839" w:rsidRPr="00281928" w:rsidRDefault="00185839" w:rsidP="00AE6115">
            <w:pPr>
              <w:pStyle w:val="ListParagraph"/>
              <w:spacing w:after="0" w:line="240" w:lineRule="auto"/>
              <w:ind w:left="0"/>
              <w:jc w:val="center"/>
              <w:rPr>
                <w:rFonts w:cs="Times New Roman"/>
                <w:sz w:val="18"/>
                <w:szCs w:val="18"/>
              </w:rPr>
            </w:pPr>
          </w:p>
        </w:tc>
        <w:tc>
          <w:tcPr>
            <w:tcW w:w="789" w:type="dxa"/>
            <w:vMerge/>
            <w:tcBorders>
              <w:right w:val="thinThickThinSmallGap" w:sz="24" w:space="0" w:color="auto"/>
            </w:tcBorders>
            <w:shd w:val="clear" w:color="auto" w:fill="FFFFFF" w:themeFill="background1"/>
          </w:tcPr>
          <w:p w:rsidR="00185839" w:rsidRPr="00281928" w:rsidRDefault="00185839" w:rsidP="00AE6115">
            <w:pPr>
              <w:pStyle w:val="ListParagraph"/>
              <w:spacing w:after="0" w:line="240" w:lineRule="auto"/>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185839" w:rsidRPr="00281928" w:rsidRDefault="002D6088" w:rsidP="00EB746C">
            <w:pPr>
              <w:pStyle w:val="ListParagraph"/>
              <w:spacing w:after="0" w:line="240" w:lineRule="auto"/>
              <w:ind w:left="0"/>
              <w:rPr>
                <w:rFonts w:cs="Times New Roman"/>
                <w:sz w:val="18"/>
                <w:szCs w:val="18"/>
              </w:rPr>
            </w:pPr>
            <w:r w:rsidRPr="00281928">
              <w:rPr>
                <w:rFonts w:cs="Times New Roman"/>
                <w:sz w:val="18"/>
                <w:szCs w:val="18"/>
              </w:rPr>
              <w:t>R</w:t>
            </w:r>
            <w:r w:rsidR="00185839" w:rsidRPr="00281928">
              <w:rPr>
                <w:rFonts w:cs="Times New Roman"/>
                <w:sz w:val="18"/>
                <w:szCs w:val="18"/>
              </w:rPr>
              <w:t xml:space="preserve"> </w:t>
            </w:r>
            <w:r w:rsidR="00EB746C" w:rsidRPr="00281928">
              <w:rPr>
                <w:rFonts w:cs="Times New Roman"/>
                <w:sz w:val="18"/>
                <w:szCs w:val="18"/>
              </w:rPr>
              <w:t>PF</w:t>
            </w:r>
            <w:r w:rsidR="00185839" w:rsidRPr="00281928">
              <w:rPr>
                <w:rFonts w:cs="Times New Roman"/>
                <w:sz w:val="18"/>
                <w:szCs w:val="18"/>
              </w:rPr>
              <w:t xml:space="preserve"> and Achilles Tendonitis with Spur</w:t>
            </w:r>
          </w:p>
        </w:tc>
        <w:tc>
          <w:tcPr>
            <w:tcW w:w="1080" w:type="dxa"/>
            <w:shd w:val="clear" w:color="auto" w:fill="FFFFFF" w:themeFill="background1"/>
          </w:tcPr>
          <w:p w:rsidR="00185839" w:rsidRPr="00281928" w:rsidRDefault="00185839" w:rsidP="00AE6115">
            <w:pPr>
              <w:pStyle w:val="ListParagraph"/>
              <w:spacing w:after="0" w:line="240" w:lineRule="auto"/>
              <w:ind w:left="0"/>
              <w:jc w:val="center"/>
              <w:rPr>
                <w:rFonts w:cs="Times New Roman"/>
                <w:sz w:val="18"/>
                <w:szCs w:val="18"/>
              </w:rPr>
            </w:pPr>
            <w:r w:rsidRPr="00281928">
              <w:rPr>
                <w:rFonts w:cs="Times New Roman"/>
                <w:sz w:val="18"/>
                <w:szCs w:val="18"/>
              </w:rPr>
              <w:t>5399-5310</w:t>
            </w:r>
          </w:p>
        </w:tc>
        <w:tc>
          <w:tcPr>
            <w:tcW w:w="782" w:type="dxa"/>
            <w:gridSpan w:val="2"/>
            <w:shd w:val="clear" w:color="auto" w:fill="FFFFFF" w:themeFill="background1"/>
          </w:tcPr>
          <w:p w:rsidR="00185839" w:rsidRPr="00281928" w:rsidRDefault="00185839"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185839" w:rsidRPr="00281928" w:rsidRDefault="007834D5"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B450BB" w:rsidRPr="00281928" w:rsidTr="00B450BB">
        <w:trPr>
          <w:trHeight w:val="125"/>
        </w:trPr>
        <w:tc>
          <w:tcPr>
            <w:tcW w:w="236" w:type="dxa"/>
            <w:shd w:val="clear" w:color="auto" w:fill="D9D9D9" w:themeFill="background1" w:themeFillShade="D9"/>
          </w:tcPr>
          <w:p w:rsidR="00B450BB" w:rsidRPr="00281928" w:rsidRDefault="00B450BB" w:rsidP="002D6088">
            <w:pPr>
              <w:pStyle w:val="ListParagraph"/>
              <w:spacing w:after="0" w:line="240" w:lineRule="auto"/>
              <w:ind w:left="0"/>
              <w:rPr>
                <w:rFonts w:cs="Times New Roman"/>
                <w:sz w:val="18"/>
                <w:szCs w:val="18"/>
              </w:rPr>
            </w:pPr>
          </w:p>
        </w:tc>
        <w:tc>
          <w:tcPr>
            <w:tcW w:w="2662" w:type="dxa"/>
            <w:gridSpan w:val="2"/>
            <w:shd w:val="clear" w:color="auto" w:fill="FFFFFF" w:themeFill="background1"/>
          </w:tcPr>
          <w:p w:rsidR="00B450BB" w:rsidRPr="00281928" w:rsidRDefault="00B450BB" w:rsidP="002D6088">
            <w:pPr>
              <w:pStyle w:val="ListParagraph"/>
              <w:spacing w:after="0" w:line="240" w:lineRule="auto"/>
              <w:ind w:left="0"/>
              <w:rPr>
                <w:rFonts w:cs="Times New Roman"/>
                <w:sz w:val="18"/>
                <w:szCs w:val="18"/>
              </w:rPr>
            </w:pPr>
            <w:r w:rsidRPr="00281928">
              <w:rPr>
                <w:rFonts w:cs="Times New Roman"/>
                <w:sz w:val="18"/>
                <w:szCs w:val="18"/>
              </w:rPr>
              <w:t>L  Heel Spur Resection</w:t>
            </w:r>
          </w:p>
        </w:tc>
        <w:tc>
          <w:tcPr>
            <w:tcW w:w="789" w:type="dxa"/>
            <w:tcBorders>
              <w:right w:val="thinThickThinSmallGap" w:sz="24" w:space="0" w:color="auto"/>
            </w:tcBorders>
            <w:shd w:val="clear" w:color="auto" w:fill="FFFFFF" w:themeFill="background1"/>
          </w:tcPr>
          <w:p w:rsidR="00B450BB" w:rsidRPr="00281928" w:rsidRDefault="00B450BB" w:rsidP="00834049">
            <w:pPr>
              <w:pStyle w:val="ListParagraph"/>
              <w:spacing w:after="0" w:line="240" w:lineRule="auto"/>
              <w:ind w:left="0"/>
              <w:jc w:val="center"/>
              <w:rPr>
                <w:rFonts w:cs="Times New Roman"/>
                <w:sz w:val="18"/>
                <w:szCs w:val="18"/>
              </w:rPr>
            </w:pPr>
            <w:r w:rsidRPr="00281928">
              <w:rPr>
                <w:rFonts w:cs="Times New Roman"/>
                <w:sz w:val="18"/>
                <w:szCs w:val="18"/>
              </w:rPr>
              <w:t>Cat II</w:t>
            </w:r>
          </w:p>
        </w:tc>
        <w:tc>
          <w:tcPr>
            <w:tcW w:w="3081" w:type="dxa"/>
            <w:tcBorders>
              <w:left w:val="thinThickThinSmallGap" w:sz="24" w:space="0" w:color="auto"/>
            </w:tcBorders>
            <w:shd w:val="clear" w:color="auto" w:fill="FFFFFF" w:themeFill="background1"/>
          </w:tcPr>
          <w:p w:rsidR="00B450BB" w:rsidRPr="00281928" w:rsidRDefault="00B450BB" w:rsidP="00CC123B">
            <w:pPr>
              <w:pStyle w:val="ListParagraph"/>
              <w:spacing w:after="0" w:line="240" w:lineRule="auto"/>
              <w:ind w:left="0"/>
              <w:rPr>
                <w:rFonts w:cs="Times New Roman"/>
                <w:sz w:val="18"/>
                <w:szCs w:val="18"/>
              </w:rPr>
            </w:pPr>
            <w:r w:rsidRPr="00281928">
              <w:rPr>
                <w:rFonts w:cs="Times New Roman"/>
                <w:sz w:val="18"/>
                <w:szCs w:val="18"/>
              </w:rPr>
              <w:t>S/P L Heel Spur Removal with Scar</w:t>
            </w:r>
          </w:p>
        </w:tc>
        <w:tc>
          <w:tcPr>
            <w:tcW w:w="1080" w:type="dxa"/>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r w:rsidRPr="00281928">
              <w:rPr>
                <w:rFonts w:cs="Times New Roman"/>
                <w:sz w:val="18"/>
                <w:szCs w:val="18"/>
              </w:rPr>
              <w:t>7804</w:t>
            </w:r>
          </w:p>
        </w:tc>
        <w:tc>
          <w:tcPr>
            <w:tcW w:w="782" w:type="dxa"/>
            <w:gridSpan w:val="2"/>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B450BB" w:rsidRPr="00281928" w:rsidTr="00B450BB">
        <w:trPr>
          <w:trHeight w:val="125"/>
        </w:trPr>
        <w:tc>
          <w:tcPr>
            <w:tcW w:w="236" w:type="dxa"/>
            <w:shd w:val="clear" w:color="auto" w:fill="D9D9D9" w:themeFill="background1" w:themeFillShade="D9"/>
          </w:tcPr>
          <w:p w:rsidR="00B450BB" w:rsidRPr="00281928" w:rsidRDefault="00B450BB" w:rsidP="00CC123B">
            <w:pPr>
              <w:pStyle w:val="ListParagraph"/>
              <w:spacing w:after="0" w:line="240" w:lineRule="auto"/>
              <w:ind w:left="0"/>
              <w:rPr>
                <w:rFonts w:cs="Times New Roman"/>
                <w:sz w:val="18"/>
                <w:szCs w:val="18"/>
              </w:rPr>
            </w:pPr>
          </w:p>
        </w:tc>
        <w:tc>
          <w:tcPr>
            <w:tcW w:w="2662" w:type="dxa"/>
            <w:gridSpan w:val="2"/>
            <w:shd w:val="clear" w:color="auto" w:fill="FFFFFF" w:themeFill="background1"/>
          </w:tcPr>
          <w:p w:rsidR="00B450BB" w:rsidRPr="00281928" w:rsidRDefault="00B450BB" w:rsidP="00CC123B">
            <w:pPr>
              <w:pStyle w:val="ListParagraph"/>
              <w:spacing w:after="0" w:line="240" w:lineRule="auto"/>
              <w:ind w:left="0"/>
              <w:rPr>
                <w:rFonts w:cs="Times New Roman"/>
                <w:sz w:val="18"/>
                <w:szCs w:val="18"/>
              </w:rPr>
            </w:pPr>
            <w:r w:rsidRPr="00281928">
              <w:rPr>
                <w:rFonts w:cs="Times New Roman"/>
                <w:sz w:val="18"/>
                <w:szCs w:val="18"/>
              </w:rPr>
              <w:t>L&gt;R  Foot Deg Changes</w:t>
            </w:r>
          </w:p>
        </w:tc>
        <w:tc>
          <w:tcPr>
            <w:tcW w:w="789" w:type="dxa"/>
            <w:tcBorders>
              <w:right w:val="thinThickThinSmallGap" w:sz="24" w:space="0" w:color="auto"/>
            </w:tcBorders>
            <w:shd w:val="clear" w:color="auto" w:fill="FFFFFF" w:themeFill="background1"/>
          </w:tcPr>
          <w:p w:rsidR="00B450BB" w:rsidRPr="00281928" w:rsidRDefault="00B450BB" w:rsidP="00834049">
            <w:pPr>
              <w:pStyle w:val="ListParagraph"/>
              <w:spacing w:after="0" w:line="240" w:lineRule="auto"/>
              <w:ind w:left="0"/>
              <w:jc w:val="center"/>
              <w:rPr>
                <w:rFonts w:cs="Times New Roman"/>
                <w:sz w:val="18"/>
                <w:szCs w:val="18"/>
              </w:rPr>
            </w:pPr>
            <w:r w:rsidRPr="00281928">
              <w:rPr>
                <w:rFonts w:cs="Times New Roman"/>
                <w:sz w:val="18"/>
                <w:szCs w:val="18"/>
              </w:rPr>
              <w:t>Cat II</w:t>
            </w:r>
          </w:p>
        </w:tc>
        <w:tc>
          <w:tcPr>
            <w:tcW w:w="3081" w:type="dxa"/>
            <w:vMerge w:val="restart"/>
            <w:tcBorders>
              <w:left w:val="thinThickThinSmallGap" w:sz="24" w:space="0" w:color="auto"/>
            </w:tcBorders>
            <w:shd w:val="clear" w:color="auto" w:fill="FFFFFF" w:themeFill="background1"/>
          </w:tcPr>
          <w:p w:rsidR="00B450BB" w:rsidRPr="00281928" w:rsidRDefault="00B450BB" w:rsidP="00E62212">
            <w:pPr>
              <w:pStyle w:val="ListParagraph"/>
              <w:ind w:left="0"/>
              <w:rPr>
                <w:rFonts w:cs="Times New Roman"/>
                <w:sz w:val="18"/>
                <w:szCs w:val="18"/>
              </w:rPr>
            </w:pPr>
            <w:r w:rsidRPr="00281928">
              <w:rPr>
                <w:rFonts w:cs="Times New Roman"/>
                <w:sz w:val="18"/>
                <w:szCs w:val="18"/>
              </w:rPr>
              <w:t>L Ankle Degenerative Changes &amp; Strain</w:t>
            </w:r>
          </w:p>
        </w:tc>
        <w:tc>
          <w:tcPr>
            <w:tcW w:w="1080" w:type="dxa"/>
            <w:vMerge w:val="restart"/>
            <w:shd w:val="clear" w:color="auto" w:fill="FFFFFF" w:themeFill="background1"/>
          </w:tcPr>
          <w:p w:rsidR="00B450BB" w:rsidRPr="00281928" w:rsidRDefault="00B450BB" w:rsidP="00AE6115">
            <w:pPr>
              <w:pStyle w:val="ListParagraph"/>
              <w:ind w:left="0"/>
              <w:jc w:val="center"/>
              <w:rPr>
                <w:rFonts w:cs="Times New Roman"/>
                <w:sz w:val="18"/>
                <w:szCs w:val="18"/>
              </w:rPr>
            </w:pPr>
            <w:r w:rsidRPr="00281928">
              <w:rPr>
                <w:rFonts w:cs="Times New Roman"/>
                <w:sz w:val="18"/>
                <w:szCs w:val="18"/>
              </w:rPr>
              <w:t>5003</w:t>
            </w:r>
          </w:p>
        </w:tc>
        <w:tc>
          <w:tcPr>
            <w:tcW w:w="782" w:type="dxa"/>
            <w:gridSpan w:val="2"/>
            <w:vMerge w:val="restart"/>
            <w:shd w:val="clear" w:color="auto" w:fill="FFFFFF" w:themeFill="background1"/>
          </w:tcPr>
          <w:p w:rsidR="00B450BB" w:rsidRPr="00281928" w:rsidRDefault="00B450BB" w:rsidP="00AE6115">
            <w:pPr>
              <w:pStyle w:val="ListParagraph"/>
              <w:ind w:left="0"/>
              <w:jc w:val="center"/>
              <w:rPr>
                <w:rFonts w:cs="Times New Roman"/>
                <w:sz w:val="18"/>
                <w:szCs w:val="18"/>
              </w:rPr>
            </w:pPr>
            <w:r w:rsidRPr="00281928">
              <w:rPr>
                <w:rFonts w:cs="Times New Roman"/>
                <w:sz w:val="18"/>
                <w:szCs w:val="18"/>
              </w:rPr>
              <w:t>10%</w:t>
            </w:r>
          </w:p>
        </w:tc>
        <w:tc>
          <w:tcPr>
            <w:tcW w:w="946" w:type="dxa"/>
            <w:vMerge w:val="restart"/>
            <w:shd w:val="clear" w:color="auto" w:fill="FFFFFF" w:themeFill="background1"/>
          </w:tcPr>
          <w:p w:rsidR="00B450BB" w:rsidRPr="00281928" w:rsidRDefault="00B450BB" w:rsidP="00AE6115">
            <w:pPr>
              <w:pStyle w:val="ListParagraph"/>
              <w:ind w:left="0"/>
              <w:jc w:val="center"/>
              <w:rPr>
                <w:rFonts w:cs="Times New Roman"/>
                <w:sz w:val="18"/>
                <w:szCs w:val="18"/>
              </w:rPr>
            </w:pPr>
            <w:r w:rsidRPr="00281928">
              <w:rPr>
                <w:rFonts w:cs="Times New Roman"/>
                <w:sz w:val="18"/>
                <w:szCs w:val="18"/>
              </w:rPr>
              <w:t>20070207</w:t>
            </w:r>
          </w:p>
        </w:tc>
      </w:tr>
      <w:tr w:rsidR="00B450BB" w:rsidRPr="00281928" w:rsidTr="00B450BB">
        <w:trPr>
          <w:trHeight w:val="125"/>
        </w:trPr>
        <w:tc>
          <w:tcPr>
            <w:tcW w:w="236" w:type="dxa"/>
            <w:shd w:val="clear" w:color="auto" w:fill="D9D9D9" w:themeFill="background1" w:themeFillShade="D9"/>
          </w:tcPr>
          <w:p w:rsidR="00B450BB" w:rsidRPr="00281928" w:rsidRDefault="00B450BB" w:rsidP="00E62212">
            <w:pPr>
              <w:pStyle w:val="ListParagraph"/>
              <w:spacing w:after="0" w:line="240" w:lineRule="auto"/>
              <w:ind w:left="0"/>
              <w:rPr>
                <w:rFonts w:cs="Times New Roman"/>
                <w:sz w:val="18"/>
                <w:szCs w:val="18"/>
              </w:rPr>
            </w:pPr>
          </w:p>
        </w:tc>
        <w:tc>
          <w:tcPr>
            <w:tcW w:w="2662" w:type="dxa"/>
            <w:gridSpan w:val="2"/>
            <w:shd w:val="clear" w:color="auto" w:fill="FFFFFF" w:themeFill="background1"/>
          </w:tcPr>
          <w:p w:rsidR="00B450BB" w:rsidRPr="00281928" w:rsidRDefault="00B450BB" w:rsidP="00E62212">
            <w:pPr>
              <w:pStyle w:val="ListParagraph"/>
              <w:spacing w:after="0" w:line="240" w:lineRule="auto"/>
              <w:ind w:left="0"/>
              <w:rPr>
                <w:rFonts w:cs="Times New Roman"/>
                <w:sz w:val="18"/>
                <w:szCs w:val="18"/>
              </w:rPr>
            </w:pPr>
            <w:r w:rsidRPr="00281928">
              <w:rPr>
                <w:rFonts w:cs="Times New Roman"/>
                <w:sz w:val="18"/>
                <w:szCs w:val="18"/>
              </w:rPr>
              <w:t>L Peroneal Tendonitis</w:t>
            </w:r>
          </w:p>
        </w:tc>
        <w:tc>
          <w:tcPr>
            <w:tcW w:w="789" w:type="dxa"/>
            <w:tcBorders>
              <w:right w:val="thinThickThinSmallGap" w:sz="24" w:space="0" w:color="auto"/>
            </w:tcBorders>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r w:rsidRPr="00281928">
              <w:rPr>
                <w:rFonts w:cs="Times New Roman"/>
                <w:sz w:val="18"/>
                <w:szCs w:val="18"/>
              </w:rPr>
              <w:t>Cat II</w:t>
            </w:r>
          </w:p>
        </w:tc>
        <w:tc>
          <w:tcPr>
            <w:tcW w:w="3081" w:type="dxa"/>
            <w:vMerge/>
            <w:tcBorders>
              <w:left w:val="thinThickThinSmallGap" w:sz="24" w:space="0" w:color="auto"/>
            </w:tcBorders>
            <w:shd w:val="clear" w:color="auto" w:fill="FFFFFF" w:themeFill="background1"/>
          </w:tcPr>
          <w:p w:rsidR="00B450BB" w:rsidRPr="00281928" w:rsidRDefault="00B450BB" w:rsidP="00E62212">
            <w:pPr>
              <w:pStyle w:val="ListParagraph"/>
              <w:spacing w:after="0" w:line="240" w:lineRule="auto"/>
              <w:ind w:left="0"/>
              <w:rPr>
                <w:rFonts w:cs="Times New Roman"/>
                <w:sz w:val="18"/>
                <w:szCs w:val="18"/>
              </w:rPr>
            </w:pPr>
          </w:p>
        </w:tc>
        <w:tc>
          <w:tcPr>
            <w:tcW w:w="1080" w:type="dxa"/>
            <w:vMerge/>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p>
        </w:tc>
        <w:tc>
          <w:tcPr>
            <w:tcW w:w="782" w:type="dxa"/>
            <w:gridSpan w:val="2"/>
            <w:vMerge/>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p>
        </w:tc>
        <w:tc>
          <w:tcPr>
            <w:tcW w:w="946" w:type="dxa"/>
            <w:vMerge/>
            <w:shd w:val="clear" w:color="auto" w:fill="FFFFFF" w:themeFill="background1"/>
          </w:tcPr>
          <w:p w:rsidR="00B450BB" w:rsidRPr="00281928" w:rsidRDefault="00B450BB" w:rsidP="00AE6115">
            <w:pPr>
              <w:pStyle w:val="ListParagraph"/>
              <w:spacing w:after="0" w:line="240" w:lineRule="auto"/>
              <w:ind w:left="0"/>
              <w:jc w:val="center"/>
              <w:rPr>
                <w:rFonts w:cs="Times New Roman"/>
                <w:sz w:val="18"/>
                <w:szCs w:val="18"/>
              </w:rPr>
            </w:pPr>
          </w:p>
        </w:tc>
      </w:tr>
      <w:tr w:rsidR="00834049" w:rsidRPr="00281928" w:rsidTr="00A07918">
        <w:trPr>
          <w:trHeight w:val="125"/>
        </w:trPr>
        <w:tc>
          <w:tcPr>
            <w:tcW w:w="1818" w:type="dxa"/>
            <w:gridSpan w:val="2"/>
            <w:shd w:val="clear" w:color="auto" w:fill="FFFFFF" w:themeFill="background1"/>
          </w:tcPr>
          <w:p w:rsidR="00834049" w:rsidRPr="00281928" w:rsidRDefault="00834049" w:rsidP="00AE6115">
            <w:pPr>
              <w:pStyle w:val="ListParagraph"/>
              <w:spacing w:after="0" w:line="240" w:lineRule="auto"/>
              <w:ind w:left="0"/>
              <w:rPr>
                <w:rFonts w:cs="Times New Roman"/>
                <w:sz w:val="18"/>
                <w:szCs w:val="18"/>
              </w:rPr>
            </w:pPr>
            <w:proofErr w:type="spellStart"/>
            <w:r w:rsidRPr="00281928">
              <w:rPr>
                <w:rFonts w:cs="Times New Roman"/>
                <w:sz w:val="18"/>
                <w:szCs w:val="18"/>
              </w:rPr>
              <w:t>Bil</w:t>
            </w:r>
            <w:r w:rsidR="00A07918" w:rsidRPr="00281928">
              <w:rPr>
                <w:rFonts w:cs="Times New Roman"/>
                <w:sz w:val="18"/>
                <w:szCs w:val="18"/>
              </w:rPr>
              <w:t>at</w:t>
            </w:r>
            <w:proofErr w:type="spellEnd"/>
            <w:r w:rsidRPr="00281928">
              <w:rPr>
                <w:rFonts w:cs="Times New Roman"/>
                <w:sz w:val="18"/>
                <w:szCs w:val="18"/>
              </w:rPr>
              <w:t xml:space="preserve"> </w:t>
            </w:r>
            <w:proofErr w:type="spellStart"/>
            <w:r w:rsidRPr="00281928">
              <w:rPr>
                <w:rFonts w:cs="Times New Roman"/>
                <w:sz w:val="18"/>
                <w:szCs w:val="18"/>
              </w:rPr>
              <w:t>Gastroc</w:t>
            </w:r>
            <w:proofErr w:type="spellEnd"/>
            <w:r w:rsidRPr="00281928">
              <w:rPr>
                <w:rFonts w:cs="Times New Roman"/>
                <w:sz w:val="18"/>
                <w:szCs w:val="18"/>
              </w:rPr>
              <w:t xml:space="preserve"> </w:t>
            </w:r>
            <w:proofErr w:type="spellStart"/>
            <w:r w:rsidRPr="00281928">
              <w:rPr>
                <w:rFonts w:cs="Times New Roman"/>
                <w:sz w:val="18"/>
                <w:szCs w:val="18"/>
              </w:rPr>
              <w:t>Equinus</w:t>
            </w:r>
            <w:proofErr w:type="spellEnd"/>
            <w:r w:rsidRPr="00281928">
              <w:rPr>
                <w:rFonts w:cs="Times New Roman"/>
                <w:sz w:val="18"/>
                <w:szCs w:val="18"/>
              </w:rPr>
              <w:t xml:space="preserve"> </w:t>
            </w:r>
          </w:p>
        </w:tc>
        <w:tc>
          <w:tcPr>
            <w:tcW w:w="1869" w:type="dxa"/>
            <w:gridSpan w:val="2"/>
            <w:tcBorders>
              <w:right w:val="thinThickThinSmallGap" w:sz="24" w:space="0" w:color="auto"/>
            </w:tcBorders>
            <w:shd w:val="clear" w:color="auto" w:fill="FFFFFF" w:themeFill="background1"/>
          </w:tcPr>
          <w:p w:rsidR="00834049" w:rsidRPr="00281928" w:rsidRDefault="00834049" w:rsidP="00AE6115">
            <w:pPr>
              <w:pStyle w:val="ListParagraph"/>
              <w:spacing w:after="0" w:line="240" w:lineRule="auto"/>
              <w:ind w:left="0"/>
              <w:jc w:val="center"/>
              <w:rPr>
                <w:rFonts w:cs="Times New Roman"/>
                <w:sz w:val="18"/>
                <w:szCs w:val="18"/>
              </w:rPr>
            </w:pPr>
            <w:r w:rsidRPr="00281928">
              <w:rPr>
                <w:rFonts w:cs="Times New Roman"/>
                <w:sz w:val="18"/>
                <w:szCs w:val="18"/>
              </w:rPr>
              <w:t>Cat II</w:t>
            </w:r>
            <w:r w:rsidR="008024C6" w:rsidRPr="00281928">
              <w:rPr>
                <w:rFonts w:cs="Times New Roman"/>
                <w:sz w:val="18"/>
                <w:szCs w:val="18"/>
              </w:rPr>
              <w:t>I</w:t>
            </w:r>
          </w:p>
        </w:tc>
        <w:tc>
          <w:tcPr>
            <w:tcW w:w="5889" w:type="dxa"/>
            <w:gridSpan w:val="5"/>
            <w:tcBorders>
              <w:left w:val="thinThickThinSmallGap" w:sz="24" w:space="0" w:color="auto"/>
            </w:tcBorders>
            <w:shd w:val="clear" w:color="auto" w:fill="FFFFFF" w:themeFill="background1"/>
          </w:tcPr>
          <w:p w:rsidR="00834049" w:rsidRPr="00281928" w:rsidRDefault="005D6927" w:rsidP="00AE6115">
            <w:pPr>
              <w:pStyle w:val="ListParagraph"/>
              <w:spacing w:after="0" w:line="240" w:lineRule="auto"/>
              <w:ind w:left="0"/>
              <w:jc w:val="center"/>
              <w:rPr>
                <w:rFonts w:cs="Times New Roman"/>
                <w:sz w:val="18"/>
                <w:szCs w:val="18"/>
              </w:rPr>
            </w:pPr>
            <w:r>
              <w:rPr>
                <w:rFonts w:cs="Times New Roman"/>
                <w:sz w:val="18"/>
                <w:szCs w:val="18"/>
              </w:rPr>
              <w:t>No corresponding VA rating</w:t>
            </w:r>
          </w:p>
        </w:tc>
      </w:tr>
      <w:tr w:rsidR="006C072C" w:rsidRPr="00281928" w:rsidTr="006E4FEA">
        <w:trPr>
          <w:trHeight w:val="125"/>
        </w:trPr>
        <w:tc>
          <w:tcPr>
            <w:tcW w:w="3687" w:type="dxa"/>
            <w:gridSpan w:val="4"/>
            <w:vMerge w:val="restart"/>
            <w:tcBorders>
              <w:right w:val="thinThickThinSmallGap" w:sz="24" w:space="0" w:color="auto"/>
            </w:tcBorders>
            <w:shd w:val="clear" w:color="auto" w:fill="FFFFFF" w:themeFill="background1"/>
          </w:tcPr>
          <w:p w:rsidR="006C072C" w:rsidRPr="00281928" w:rsidRDefault="00281928" w:rsidP="00AE6115">
            <w:pPr>
              <w:pStyle w:val="ListParagraph"/>
              <w:ind w:left="0"/>
              <w:jc w:val="center"/>
              <w:rPr>
                <w:rFonts w:cs="Times New Roman"/>
                <w:sz w:val="18"/>
                <w:szCs w:val="18"/>
              </w:rPr>
            </w:pPr>
            <w:r w:rsidRPr="00281928">
              <w:rPr>
                <w:rFonts w:eastAsiaTheme="minorEastAsia"/>
                <w:sz w:val="18"/>
                <w:szCs w:val="18"/>
              </w:rPr>
              <w:t>↓No Additional PEB Entries↓</w:t>
            </w:r>
          </w:p>
        </w:tc>
        <w:tc>
          <w:tcPr>
            <w:tcW w:w="3081" w:type="dxa"/>
            <w:tcBorders>
              <w:left w:val="thinThickThinSmallGap" w:sz="24" w:space="0" w:color="auto"/>
            </w:tcBorders>
            <w:shd w:val="clear" w:color="auto" w:fill="FFFFFF" w:themeFill="background1"/>
          </w:tcPr>
          <w:p w:rsidR="006C072C" w:rsidRPr="00281928" w:rsidRDefault="006C072C" w:rsidP="006E4FEA">
            <w:pPr>
              <w:pStyle w:val="ListParagraph"/>
              <w:spacing w:after="0" w:line="240" w:lineRule="auto"/>
              <w:ind w:left="0"/>
              <w:rPr>
                <w:rFonts w:cs="Times New Roman"/>
                <w:sz w:val="18"/>
                <w:szCs w:val="18"/>
              </w:rPr>
            </w:pPr>
            <w:r w:rsidRPr="00281928">
              <w:rPr>
                <w:rFonts w:cs="Times New Roman"/>
                <w:sz w:val="18"/>
                <w:szCs w:val="18"/>
              </w:rPr>
              <w:t>Right Ankle Degenerative Changes</w:t>
            </w:r>
          </w:p>
        </w:tc>
        <w:tc>
          <w:tcPr>
            <w:tcW w:w="1170" w:type="dxa"/>
            <w:gridSpan w:val="2"/>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5003</w:t>
            </w:r>
          </w:p>
        </w:tc>
        <w:tc>
          <w:tcPr>
            <w:tcW w:w="692" w:type="dxa"/>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0%</w:t>
            </w:r>
          </w:p>
        </w:tc>
        <w:tc>
          <w:tcPr>
            <w:tcW w:w="946" w:type="dxa"/>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25"/>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6E4FEA">
            <w:pPr>
              <w:pStyle w:val="ListParagraph"/>
              <w:spacing w:after="0" w:line="240" w:lineRule="auto"/>
              <w:ind w:left="0"/>
              <w:rPr>
                <w:rFonts w:cs="Times New Roman"/>
                <w:sz w:val="18"/>
                <w:szCs w:val="18"/>
              </w:rPr>
            </w:pPr>
            <w:r w:rsidRPr="00281928">
              <w:rPr>
                <w:rFonts w:cs="Times New Roman"/>
                <w:sz w:val="18"/>
                <w:szCs w:val="18"/>
              </w:rPr>
              <w:t>Bilateral Pes Planus</w:t>
            </w:r>
          </w:p>
        </w:tc>
        <w:tc>
          <w:tcPr>
            <w:tcW w:w="1170" w:type="dxa"/>
            <w:gridSpan w:val="2"/>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5276</w:t>
            </w:r>
          </w:p>
        </w:tc>
        <w:tc>
          <w:tcPr>
            <w:tcW w:w="692" w:type="dxa"/>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0%</w:t>
            </w:r>
          </w:p>
        </w:tc>
        <w:tc>
          <w:tcPr>
            <w:tcW w:w="946" w:type="dxa"/>
            <w:shd w:val="clear" w:color="auto" w:fill="FFFFFF" w:themeFill="background1"/>
          </w:tcPr>
          <w:p w:rsidR="006C072C" w:rsidRPr="00281928" w:rsidRDefault="006C072C" w:rsidP="006E4FEA">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25"/>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GERD w/ gastritis</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7346</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25"/>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R PFS</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5099-5019</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25"/>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L PFS</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5099-5019</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88"/>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Left Wrist Strain</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5024</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88"/>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Lumbar Spine Strain</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5237</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10%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6C072C" w:rsidRPr="00281928" w:rsidTr="006E4FEA">
        <w:trPr>
          <w:trHeight w:val="188"/>
        </w:trPr>
        <w:tc>
          <w:tcPr>
            <w:tcW w:w="3687" w:type="dxa"/>
            <w:gridSpan w:val="4"/>
            <w:vMerge/>
            <w:tcBorders>
              <w:right w:val="thinThickThinSmallGap" w:sz="24" w:space="0" w:color="auto"/>
            </w:tcBorders>
            <w:shd w:val="clear" w:color="auto" w:fill="FFFFFF" w:themeFill="background1"/>
          </w:tcPr>
          <w:p w:rsidR="006C072C" w:rsidRPr="00281928" w:rsidRDefault="006C072C" w:rsidP="00AE6115">
            <w:pPr>
              <w:pStyle w:val="ListParagraph"/>
              <w:ind w:left="0"/>
              <w:jc w:val="center"/>
              <w:rPr>
                <w:rFonts w:cs="Times New Roman"/>
                <w:sz w:val="18"/>
                <w:szCs w:val="18"/>
              </w:rPr>
            </w:pPr>
          </w:p>
        </w:tc>
        <w:tc>
          <w:tcPr>
            <w:tcW w:w="3081" w:type="dxa"/>
            <w:tcBorders>
              <w:left w:val="thinThickThinSmallGap" w:sz="24" w:space="0" w:color="auto"/>
            </w:tcBorders>
            <w:shd w:val="clear" w:color="auto" w:fill="FFFFFF" w:themeFill="background1"/>
          </w:tcPr>
          <w:p w:rsidR="006C072C" w:rsidRPr="00281928" w:rsidRDefault="006C072C" w:rsidP="00AE6115">
            <w:pPr>
              <w:pStyle w:val="ListParagraph"/>
              <w:spacing w:after="0" w:line="240" w:lineRule="auto"/>
              <w:ind w:left="0"/>
              <w:rPr>
                <w:rFonts w:cs="Times New Roman"/>
                <w:sz w:val="18"/>
                <w:szCs w:val="18"/>
              </w:rPr>
            </w:pPr>
            <w:r w:rsidRPr="00281928">
              <w:rPr>
                <w:rFonts w:cs="Times New Roman"/>
                <w:sz w:val="18"/>
                <w:szCs w:val="18"/>
              </w:rPr>
              <w:t>Tension Headaches</w:t>
            </w:r>
          </w:p>
        </w:tc>
        <w:tc>
          <w:tcPr>
            <w:tcW w:w="1170" w:type="dxa"/>
            <w:gridSpan w:val="2"/>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8199-8100</w:t>
            </w:r>
          </w:p>
        </w:tc>
        <w:tc>
          <w:tcPr>
            <w:tcW w:w="692"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0%</w:t>
            </w:r>
          </w:p>
        </w:tc>
        <w:tc>
          <w:tcPr>
            <w:tcW w:w="946" w:type="dxa"/>
            <w:shd w:val="clear" w:color="auto" w:fill="FFFFFF" w:themeFill="background1"/>
          </w:tcPr>
          <w:p w:rsidR="006C072C" w:rsidRPr="00281928" w:rsidRDefault="006C072C" w:rsidP="00AE6115">
            <w:pPr>
              <w:pStyle w:val="ListParagraph"/>
              <w:spacing w:after="0" w:line="240" w:lineRule="auto"/>
              <w:ind w:left="0"/>
              <w:jc w:val="center"/>
              <w:rPr>
                <w:rFonts w:cs="Times New Roman"/>
                <w:sz w:val="18"/>
                <w:szCs w:val="18"/>
              </w:rPr>
            </w:pPr>
            <w:r w:rsidRPr="00281928">
              <w:rPr>
                <w:rFonts w:cs="Times New Roman"/>
                <w:sz w:val="18"/>
                <w:szCs w:val="18"/>
              </w:rPr>
              <w:t>20070207</w:t>
            </w:r>
          </w:p>
        </w:tc>
      </w:tr>
      <w:tr w:rsidR="00800D2B" w:rsidRPr="00281928" w:rsidTr="00834049">
        <w:trPr>
          <w:trHeight w:val="242"/>
        </w:trPr>
        <w:tc>
          <w:tcPr>
            <w:tcW w:w="3687" w:type="dxa"/>
            <w:gridSpan w:val="4"/>
            <w:tcBorders>
              <w:right w:val="thinThickThinSmallGap" w:sz="24" w:space="0" w:color="auto"/>
            </w:tcBorders>
            <w:shd w:val="clear" w:color="auto" w:fill="D9D9D9" w:themeFill="background1" w:themeFillShade="D9"/>
          </w:tcPr>
          <w:p w:rsidR="00800D2B" w:rsidRPr="00281928" w:rsidRDefault="00800D2B" w:rsidP="004F6D04">
            <w:pPr>
              <w:pStyle w:val="ListParagraph"/>
              <w:spacing w:after="0" w:line="240" w:lineRule="auto"/>
              <w:ind w:left="0"/>
              <w:jc w:val="center"/>
              <w:rPr>
                <w:rFonts w:cs="Times New Roman"/>
                <w:b/>
                <w:sz w:val="20"/>
                <w:szCs w:val="20"/>
              </w:rPr>
            </w:pPr>
            <w:r w:rsidRPr="00281928">
              <w:rPr>
                <w:rFonts w:cs="Times New Roman"/>
                <w:b/>
                <w:sz w:val="20"/>
                <w:szCs w:val="20"/>
              </w:rPr>
              <w:t>TOTAL Combined:  10%</w:t>
            </w:r>
          </w:p>
        </w:tc>
        <w:tc>
          <w:tcPr>
            <w:tcW w:w="5889" w:type="dxa"/>
            <w:gridSpan w:val="5"/>
            <w:tcBorders>
              <w:left w:val="thinThickThinSmallGap" w:sz="24" w:space="0" w:color="auto"/>
            </w:tcBorders>
            <w:shd w:val="clear" w:color="auto" w:fill="D9D9D9" w:themeFill="background1" w:themeFillShade="D9"/>
          </w:tcPr>
          <w:p w:rsidR="00800D2B" w:rsidRPr="00281928" w:rsidRDefault="00800D2B" w:rsidP="00834049">
            <w:pPr>
              <w:pStyle w:val="ListParagraph"/>
              <w:spacing w:after="0" w:line="240" w:lineRule="auto"/>
              <w:ind w:left="0"/>
              <w:jc w:val="center"/>
              <w:rPr>
                <w:rFonts w:cs="Times New Roman"/>
                <w:b/>
                <w:sz w:val="20"/>
                <w:szCs w:val="20"/>
              </w:rPr>
            </w:pPr>
            <w:r w:rsidRPr="00281928">
              <w:rPr>
                <w:rFonts w:cs="Times New Roman"/>
                <w:b/>
                <w:sz w:val="20"/>
                <w:szCs w:val="20"/>
              </w:rPr>
              <w:t>TOTAL Combined (</w:t>
            </w:r>
            <w:r w:rsidRPr="00281928">
              <w:rPr>
                <w:rFonts w:cs="Times New Roman"/>
                <w:b/>
                <w:i/>
                <w:sz w:val="20"/>
                <w:szCs w:val="20"/>
              </w:rPr>
              <w:t>Includes Non-PEB Conditions</w:t>
            </w:r>
            <w:r w:rsidRPr="00281928">
              <w:rPr>
                <w:rFonts w:cs="Times New Roman"/>
                <w:b/>
                <w:sz w:val="20"/>
                <w:szCs w:val="20"/>
              </w:rPr>
              <w:t xml:space="preserve">): </w:t>
            </w:r>
            <w:r w:rsidR="00834049" w:rsidRPr="00281928">
              <w:rPr>
                <w:rFonts w:cs="Times New Roman"/>
                <w:b/>
                <w:sz w:val="20"/>
                <w:szCs w:val="20"/>
              </w:rPr>
              <w:t xml:space="preserve"> </w:t>
            </w:r>
            <w:r w:rsidRPr="00281928">
              <w:rPr>
                <w:rFonts w:cs="Times New Roman"/>
                <w:b/>
                <w:sz w:val="20"/>
                <w:szCs w:val="20"/>
              </w:rPr>
              <w:t>60%</w:t>
            </w:r>
            <w:r w:rsidR="00B450BB" w:rsidRPr="00281928">
              <w:rPr>
                <w:rFonts w:cs="Times New Roman"/>
                <w:b/>
                <w:sz w:val="20"/>
                <w:szCs w:val="20"/>
              </w:rPr>
              <w:t xml:space="preserve"> (w/ BLF)</w:t>
            </w:r>
          </w:p>
        </w:tc>
      </w:tr>
    </w:tbl>
    <w:p w:rsidR="00203451" w:rsidRDefault="00203451" w:rsidP="00203451">
      <w:pPr>
        <w:pBdr>
          <w:bottom w:val="single" w:sz="12" w:space="1" w:color="auto"/>
        </w:pBdr>
        <w:tabs>
          <w:tab w:val="left" w:pos="288"/>
          <w:tab w:val="left" w:pos="4752"/>
        </w:tabs>
        <w:spacing w:line="240" w:lineRule="exact"/>
        <w:rPr>
          <w:rFonts w:asciiTheme="minorHAnsi" w:hAnsiTheme="minorHAnsi"/>
          <w:b/>
          <w:color w:val="auto"/>
        </w:rPr>
      </w:pPr>
    </w:p>
    <w:p w:rsidR="00203451" w:rsidRDefault="00203451" w:rsidP="00203451">
      <w:pPr>
        <w:tabs>
          <w:tab w:val="left" w:pos="288"/>
          <w:tab w:val="left" w:pos="4752"/>
        </w:tabs>
        <w:spacing w:line="240" w:lineRule="exact"/>
        <w:rPr>
          <w:rFonts w:ascii="Calibri" w:hAnsi="Calibri"/>
          <w:color w:val="auto"/>
          <w:u w:val="single"/>
        </w:rPr>
      </w:pPr>
    </w:p>
    <w:p w:rsidR="008E39B5" w:rsidRDefault="002C6E5B" w:rsidP="005B405D">
      <w:pPr>
        <w:tabs>
          <w:tab w:val="left" w:pos="288"/>
          <w:tab w:val="left" w:pos="4752"/>
        </w:tabs>
        <w:spacing w:line="240" w:lineRule="exact"/>
        <w:jc w:val="both"/>
        <w:rPr>
          <w:rFonts w:asciiTheme="minorHAnsi" w:hAnsiTheme="minorHAnsi"/>
          <w:color w:val="auto"/>
          <w:szCs w:val="24"/>
        </w:rPr>
      </w:pPr>
      <w:r w:rsidRPr="00281928">
        <w:rPr>
          <w:rFonts w:asciiTheme="minorHAnsi" w:hAnsiTheme="minorHAnsi"/>
          <w:color w:val="auto"/>
          <w:szCs w:val="24"/>
          <w:u w:val="single"/>
        </w:rPr>
        <w:t>ANALYSIS SUMMARY</w:t>
      </w:r>
      <w:r w:rsidRPr="00281928">
        <w:rPr>
          <w:rFonts w:asciiTheme="minorHAnsi" w:hAnsiTheme="minorHAnsi"/>
          <w:color w:val="auto"/>
          <w:szCs w:val="24"/>
        </w:rPr>
        <w:t>:</w:t>
      </w:r>
      <w:r w:rsidR="00313488" w:rsidRPr="00281928">
        <w:rPr>
          <w:rFonts w:asciiTheme="minorHAnsi" w:hAnsiTheme="minorHAnsi"/>
          <w:color w:val="auto"/>
          <w:szCs w:val="24"/>
        </w:rPr>
        <w:t xml:space="preserve">  </w:t>
      </w:r>
      <w:r w:rsidR="008E39B5" w:rsidRPr="00281928">
        <w:rPr>
          <w:rFonts w:ascii="Calibri" w:eastAsiaTheme="minorHAnsi" w:hAnsi="Calibri" w:cstheme="minorBidi"/>
          <w:color w:val="auto"/>
          <w:szCs w:val="24"/>
        </w:rPr>
        <w:t xml:space="preserve">The Board acknowledges the sentiment expressed in the CI’s application, i.e., that there should be additional disability assigned for </w:t>
      </w:r>
      <w:r w:rsidR="00532577" w:rsidRPr="00281928">
        <w:rPr>
          <w:rFonts w:ascii="Calibri" w:eastAsiaTheme="minorHAnsi" w:hAnsi="Calibri" w:cstheme="minorBidi"/>
          <w:color w:val="auto"/>
          <w:szCs w:val="24"/>
        </w:rPr>
        <w:t xml:space="preserve">either worsening of his service-incurred conditions or the </w:t>
      </w:r>
      <w:r w:rsidR="008E39B5" w:rsidRPr="00281928">
        <w:rPr>
          <w:rFonts w:ascii="Calibri" w:eastAsiaTheme="minorHAnsi" w:hAnsi="Calibri" w:cstheme="minorBidi"/>
          <w:color w:val="auto"/>
          <w:szCs w:val="24"/>
        </w:rPr>
        <w:t>significant impairment with which his service-incurred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r w:rsidR="00166C50">
        <w:rPr>
          <w:rFonts w:ascii="Calibri" w:eastAsiaTheme="minorHAnsi" w:hAnsi="Calibri" w:cstheme="minorBidi"/>
          <w:color w:val="auto"/>
          <w:szCs w:val="24"/>
        </w:rPr>
        <w:t xml:space="preserve"> </w:t>
      </w:r>
      <w:r w:rsidR="008E39B5" w:rsidRPr="00281928">
        <w:rPr>
          <w:rFonts w:ascii="Calibri" w:eastAsiaTheme="minorHAnsi" w:hAnsi="Calibri" w:cstheme="minorBidi"/>
          <w:color w:val="auto"/>
          <w:szCs w:val="24"/>
        </w:rPr>
        <w:t xml:space="preserve"> The Board evaluates VA evidence proximal to separation in arriving at its recommendations, but its authority resides in evaluating the fairness of DES fitness</w:t>
      </w:r>
      <w:r w:rsidR="008E39B5" w:rsidRPr="008E39B5">
        <w:rPr>
          <w:rFonts w:ascii="Calibri" w:eastAsiaTheme="minorHAnsi" w:hAnsi="Calibri" w:cstheme="minorBidi"/>
          <w:color w:val="auto"/>
          <w:szCs w:val="24"/>
        </w:rPr>
        <w:t xml:space="preserve"> decisions and rating determinations for disability at the time of separation.</w:t>
      </w:r>
      <w:r w:rsidR="00281928">
        <w:rPr>
          <w:rFonts w:ascii="Calibri" w:eastAsiaTheme="minorHAnsi" w:hAnsi="Calibri" w:cstheme="minorBidi"/>
          <w:color w:val="auto"/>
          <w:szCs w:val="24"/>
        </w:rPr>
        <w:t xml:space="preserve">  </w:t>
      </w:r>
      <w:r w:rsidR="00D25D83">
        <w:rPr>
          <w:rFonts w:ascii="Calibri" w:eastAsiaTheme="minorHAnsi" w:hAnsi="Calibri" w:cstheme="minorBidi"/>
          <w:color w:val="auto"/>
          <w:szCs w:val="24"/>
        </w:rPr>
        <w:t xml:space="preserve">Finally, </w:t>
      </w:r>
      <w:r w:rsidR="00281928">
        <w:rPr>
          <w:rFonts w:ascii="Calibri" w:eastAsiaTheme="minorHAnsi" w:hAnsi="Calibri" w:cstheme="minorBidi"/>
          <w:color w:val="auto"/>
          <w:szCs w:val="24"/>
        </w:rPr>
        <w:t xml:space="preserve">the </w:t>
      </w:r>
      <w:r w:rsidR="00D25D83">
        <w:rPr>
          <w:rFonts w:ascii="Calibri" w:eastAsiaTheme="minorHAnsi" w:hAnsi="Calibri" w:cstheme="minorBidi"/>
          <w:color w:val="auto"/>
          <w:szCs w:val="24"/>
        </w:rPr>
        <w:t>presence of a diagnosis is in</w:t>
      </w:r>
      <w:r w:rsidR="00281928">
        <w:rPr>
          <w:rFonts w:ascii="Calibri" w:eastAsiaTheme="minorHAnsi" w:hAnsi="Calibri" w:cstheme="minorBidi"/>
          <w:color w:val="auto"/>
          <w:szCs w:val="24"/>
        </w:rPr>
        <w:t>sufficient for an unfitting determination.</w:t>
      </w:r>
      <w:r w:rsidR="00532577">
        <w:rPr>
          <w:rFonts w:ascii="Calibri" w:eastAsiaTheme="minorHAnsi" w:hAnsi="Calibri" w:cstheme="minorBidi"/>
          <w:color w:val="auto"/>
          <w:szCs w:val="24"/>
        </w:rPr>
        <w:t xml:space="preserve">  </w:t>
      </w:r>
    </w:p>
    <w:p w:rsidR="00C36460" w:rsidRDefault="00C36460" w:rsidP="002C6E5B">
      <w:pPr>
        <w:tabs>
          <w:tab w:val="left" w:pos="288"/>
          <w:tab w:val="left" w:pos="4752"/>
        </w:tabs>
        <w:spacing w:line="240" w:lineRule="exact"/>
        <w:jc w:val="both"/>
        <w:rPr>
          <w:rFonts w:asciiTheme="minorHAnsi" w:hAnsiTheme="minorHAnsi"/>
          <w:color w:val="auto"/>
          <w:szCs w:val="24"/>
        </w:rPr>
      </w:pPr>
    </w:p>
    <w:p w:rsidR="00DA6F3A" w:rsidRDefault="009A439E" w:rsidP="007A63DE">
      <w:pPr>
        <w:tabs>
          <w:tab w:val="left" w:pos="288"/>
          <w:tab w:val="left" w:pos="4752"/>
        </w:tabs>
        <w:spacing w:line="240" w:lineRule="exact"/>
        <w:jc w:val="both"/>
        <w:rPr>
          <w:rFonts w:asciiTheme="minorHAnsi" w:hAnsiTheme="minorHAnsi"/>
          <w:color w:val="auto"/>
          <w:szCs w:val="24"/>
        </w:rPr>
      </w:pPr>
      <w:proofErr w:type="gramStart"/>
      <w:r w:rsidRPr="009A439E">
        <w:rPr>
          <w:rFonts w:asciiTheme="minorHAnsi" w:hAnsiTheme="minorHAnsi"/>
          <w:color w:val="auto"/>
          <w:szCs w:val="24"/>
          <w:u w:val="single"/>
        </w:rPr>
        <w:t>Bilateral Plantar Fasciitis</w:t>
      </w:r>
      <w:r>
        <w:rPr>
          <w:rFonts w:asciiTheme="minorHAnsi" w:hAnsiTheme="minorHAnsi"/>
          <w:color w:val="auto"/>
          <w:szCs w:val="24"/>
        </w:rPr>
        <w:t>.</w:t>
      </w:r>
      <w:proofErr w:type="gramEnd"/>
      <w:r>
        <w:rPr>
          <w:rFonts w:asciiTheme="minorHAnsi" w:hAnsiTheme="minorHAnsi"/>
          <w:color w:val="auto"/>
          <w:szCs w:val="24"/>
        </w:rPr>
        <w:t xml:space="preserve">  </w:t>
      </w:r>
      <w:r w:rsidR="00D25D83">
        <w:rPr>
          <w:rFonts w:asciiTheme="minorHAnsi" w:hAnsiTheme="minorHAnsi"/>
          <w:color w:val="auto"/>
          <w:szCs w:val="24"/>
        </w:rPr>
        <w:t>S</w:t>
      </w:r>
      <w:r w:rsidR="00B85388" w:rsidRPr="00CE392F">
        <w:rPr>
          <w:rFonts w:asciiTheme="minorHAnsi" w:hAnsiTheme="minorHAnsi"/>
          <w:color w:val="auto"/>
          <w:szCs w:val="24"/>
        </w:rPr>
        <w:t xml:space="preserve">ymptoms </w:t>
      </w:r>
      <w:r w:rsidR="00D25D83">
        <w:rPr>
          <w:rFonts w:asciiTheme="minorHAnsi" w:hAnsiTheme="minorHAnsi"/>
          <w:color w:val="auto"/>
          <w:szCs w:val="24"/>
        </w:rPr>
        <w:t>from PF</w:t>
      </w:r>
      <w:r w:rsidR="002006EE">
        <w:rPr>
          <w:rFonts w:asciiTheme="minorHAnsi" w:hAnsiTheme="minorHAnsi"/>
          <w:color w:val="auto"/>
          <w:szCs w:val="24"/>
        </w:rPr>
        <w:t xml:space="preserve"> </w:t>
      </w:r>
      <w:r w:rsidR="00D25D83">
        <w:rPr>
          <w:rFonts w:asciiTheme="minorHAnsi" w:hAnsiTheme="minorHAnsi"/>
          <w:color w:val="auto"/>
          <w:szCs w:val="24"/>
        </w:rPr>
        <w:t xml:space="preserve">began </w:t>
      </w:r>
      <w:r w:rsidR="00D25D83" w:rsidRPr="00CE392F">
        <w:rPr>
          <w:rFonts w:asciiTheme="minorHAnsi" w:hAnsiTheme="minorHAnsi"/>
          <w:color w:val="auto"/>
          <w:szCs w:val="24"/>
        </w:rPr>
        <w:t>insidious</w:t>
      </w:r>
      <w:r w:rsidR="00D25D83">
        <w:rPr>
          <w:rFonts w:asciiTheme="minorHAnsi" w:hAnsiTheme="minorHAnsi"/>
          <w:color w:val="auto"/>
          <w:szCs w:val="24"/>
        </w:rPr>
        <w:t xml:space="preserve">ly </w:t>
      </w:r>
      <w:r w:rsidR="00B85388">
        <w:rPr>
          <w:rFonts w:asciiTheme="minorHAnsi" w:hAnsiTheme="minorHAnsi"/>
          <w:color w:val="auto"/>
          <w:szCs w:val="24"/>
        </w:rPr>
        <w:t>in</w:t>
      </w:r>
      <w:r w:rsidR="00B85388" w:rsidRPr="00CE392F">
        <w:rPr>
          <w:rFonts w:asciiTheme="minorHAnsi" w:hAnsiTheme="minorHAnsi"/>
          <w:color w:val="auto"/>
          <w:szCs w:val="24"/>
        </w:rPr>
        <w:t xml:space="preserve"> 2003.</w:t>
      </w:r>
      <w:r w:rsidR="005D6927">
        <w:rPr>
          <w:rFonts w:asciiTheme="minorHAnsi" w:hAnsiTheme="minorHAnsi"/>
          <w:color w:val="auto"/>
          <w:szCs w:val="24"/>
        </w:rPr>
        <w:t xml:space="preserve"> </w:t>
      </w:r>
      <w:r w:rsidR="00B85388" w:rsidRPr="00CE392F">
        <w:rPr>
          <w:rFonts w:asciiTheme="minorHAnsi" w:hAnsiTheme="minorHAnsi"/>
          <w:color w:val="auto"/>
          <w:szCs w:val="24"/>
        </w:rPr>
        <w:t xml:space="preserve"> </w:t>
      </w:r>
      <w:r w:rsidR="00AD3432">
        <w:rPr>
          <w:rFonts w:asciiTheme="minorHAnsi" w:hAnsiTheme="minorHAnsi"/>
          <w:color w:val="auto"/>
          <w:szCs w:val="24"/>
        </w:rPr>
        <w:t>He was initially treated with orthotic</w:t>
      </w:r>
      <w:r w:rsidR="00B85388" w:rsidRPr="00CE392F">
        <w:rPr>
          <w:rFonts w:asciiTheme="minorHAnsi" w:hAnsiTheme="minorHAnsi"/>
          <w:color w:val="auto"/>
          <w:szCs w:val="24"/>
        </w:rPr>
        <w:t>s, anti-</w:t>
      </w:r>
      <w:r w:rsidR="00AD3432" w:rsidRPr="00CE392F">
        <w:rPr>
          <w:rFonts w:asciiTheme="minorHAnsi" w:hAnsiTheme="minorHAnsi"/>
          <w:color w:val="auto"/>
          <w:szCs w:val="24"/>
        </w:rPr>
        <w:t>inflammatory</w:t>
      </w:r>
      <w:r w:rsidR="00B85388" w:rsidRPr="00CE392F">
        <w:rPr>
          <w:rFonts w:asciiTheme="minorHAnsi" w:hAnsiTheme="minorHAnsi"/>
          <w:color w:val="auto"/>
          <w:szCs w:val="24"/>
        </w:rPr>
        <w:t xml:space="preserve"> </w:t>
      </w:r>
      <w:r w:rsidR="00AD3432">
        <w:rPr>
          <w:rFonts w:asciiTheme="minorHAnsi" w:hAnsiTheme="minorHAnsi"/>
          <w:color w:val="auto"/>
          <w:szCs w:val="24"/>
        </w:rPr>
        <w:t xml:space="preserve">medications and </w:t>
      </w:r>
      <w:r w:rsidR="00B913EA">
        <w:rPr>
          <w:rFonts w:asciiTheme="minorHAnsi" w:hAnsiTheme="minorHAnsi"/>
          <w:color w:val="auto"/>
          <w:szCs w:val="24"/>
        </w:rPr>
        <w:t>oral</w:t>
      </w:r>
      <w:r w:rsidR="00AD3432">
        <w:rPr>
          <w:rFonts w:asciiTheme="minorHAnsi" w:hAnsiTheme="minorHAnsi"/>
          <w:color w:val="auto"/>
          <w:szCs w:val="24"/>
        </w:rPr>
        <w:t xml:space="preserve"> steroid</w:t>
      </w:r>
      <w:r w:rsidR="00B913EA">
        <w:rPr>
          <w:rFonts w:asciiTheme="minorHAnsi" w:hAnsiTheme="minorHAnsi"/>
          <w:color w:val="auto"/>
          <w:szCs w:val="24"/>
        </w:rPr>
        <w:t xml:space="preserve">s </w:t>
      </w:r>
      <w:r w:rsidR="00AD3432">
        <w:rPr>
          <w:rFonts w:asciiTheme="minorHAnsi" w:hAnsiTheme="minorHAnsi"/>
          <w:color w:val="auto"/>
          <w:szCs w:val="24"/>
        </w:rPr>
        <w:t xml:space="preserve">with a favorable response.  However, his symptoms recurred in early 2005 and proved resistant to </w:t>
      </w:r>
      <w:r w:rsidR="002006EE">
        <w:rPr>
          <w:rFonts w:asciiTheme="minorHAnsi" w:hAnsiTheme="minorHAnsi"/>
          <w:color w:val="auto"/>
          <w:szCs w:val="24"/>
        </w:rPr>
        <w:t xml:space="preserve">further </w:t>
      </w:r>
      <w:r w:rsidR="00AD3432">
        <w:rPr>
          <w:rFonts w:asciiTheme="minorHAnsi" w:hAnsiTheme="minorHAnsi"/>
          <w:color w:val="auto"/>
          <w:szCs w:val="24"/>
        </w:rPr>
        <w:t xml:space="preserve">treatment </w:t>
      </w:r>
      <w:r w:rsidR="002006EE">
        <w:rPr>
          <w:rFonts w:asciiTheme="minorHAnsi" w:hAnsiTheme="minorHAnsi"/>
          <w:color w:val="auto"/>
          <w:szCs w:val="24"/>
        </w:rPr>
        <w:t>which also included</w:t>
      </w:r>
      <w:r w:rsidR="00AD3432">
        <w:rPr>
          <w:rFonts w:asciiTheme="minorHAnsi" w:hAnsiTheme="minorHAnsi"/>
          <w:color w:val="auto"/>
          <w:szCs w:val="24"/>
        </w:rPr>
        <w:t xml:space="preserve"> a non-weight bearing cast of the more symptomatic left foot</w:t>
      </w:r>
      <w:r w:rsidR="00B913EA">
        <w:rPr>
          <w:rFonts w:asciiTheme="minorHAnsi" w:hAnsiTheme="minorHAnsi"/>
          <w:color w:val="auto"/>
          <w:szCs w:val="24"/>
        </w:rPr>
        <w:t xml:space="preserve">, a steroid injection </w:t>
      </w:r>
      <w:r w:rsidR="00AD3432">
        <w:rPr>
          <w:rFonts w:asciiTheme="minorHAnsi" w:hAnsiTheme="minorHAnsi"/>
          <w:color w:val="auto"/>
          <w:szCs w:val="24"/>
        </w:rPr>
        <w:t xml:space="preserve">as well as surgery to remove a </w:t>
      </w:r>
      <w:proofErr w:type="spellStart"/>
      <w:r w:rsidR="00AD3432">
        <w:rPr>
          <w:rFonts w:asciiTheme="minorHAnsi" w:hAnsiTheme="minorHAnsi"/>
          <w:color w:val="auto"/>
          <w:szCs w:val="24"/>
        </w:rPr>
        <w:t>calcaneal</w:t>
      </w:r>
      <w:proofErr w:type="spellEnd"/>
      <w:r w:rsidR="00AD3432">
        <w:rPr>
          <w:rFonts w:asciiTheme="minorHAnsi" w:hAnsiTheme="minorHAnsi"/>
          <w:color w:val="auto"/>
          <w:szCs w:val="24"/>
        </w:rPr>
        <w:t xml:space="preserve"> spur.  He </w:t>
      </w:r>
      <w:r w:rsidR="00D25D83">
        <w:rPr>
          <w:rFonts w:asciiTheme="minorHAnsi" w:hAnsiTheme="minorHAnsi"/>
          <w:color w:val="auto"/>
          <w:szCs w:val="24"/>
        </w:rPr>
        <w:t xml:space="preserve">was seen regularly </w:t>
      </w:r>
      <w:r w:rsidR="00AD3432">
        <w:rPr>
          <w:rFonts w:asciiTheme="minorHAnsi" w:hAnsiTheme="minorHAnsi"/>
          <w:color w:val="auto"/>
          <w:szCs w:val="24"/>
        </w:rPr>
        <w:t xml:space="preserve">in the orthopedic, podiatric and </w:t>
      </w:r>
      <w:r w:rsidR="00D25D83">
        <w:rPr>
          <w:rFonts w:asciiTheme="minorHAnsi" w:hAnsiTheme="minorHAnsi"/>
          <w:color w:val="auto"/>
          <w:szCs w:val="24"/>
        </w:rPr>
        <w:t>PT</w:t>
      </w:r>
      <w:r w:rsidR="00AD3432">
        <w:rPr>
          <w:rFonts w:asciiTheme="minorHAnsi" w:hAnsiTheme="minorHAnsi"/>
          <w:color w:val="auto"/>
          <w:szCs w:val="24"/>
        </w:rPr>
        <w:t xml:space="preserve"> clinics.  A MRI </w:t>
      </w:r>
      <w:r w:rsidR="00FF2445">
        <w:rPr>
          <w:rFonts w:asciiTheme="minorHAnsi" w:hAnsiTheme="minorHAnsi"/>
          <w:color w:val="auto"/>
          <w:szCs w:val="24"/>
        </w:rPr>
        <w:t xml:space="preserve">of the left ankle </w:t>
      </w:r>
      <w:r w:rsidR="004F4631">
        <w:rPr>
          <w:rFonts w:asciiTheme="minorHAnsi" w:hAnsiTheme="minorHAnsi"/>
          <w:color w:val="auto"/>
          <w:szCs w:val="24"/>
        </w:rPr>
        <w:t>showed</w:t>
      </w:r>
      <w:r w:rsidR="00AD3432">
        <w:rPr>
          <w:rFonts w:asciiTheme="minorHAnsi" w:hAnsiTheme="minorHAnsi"/>
          <w:color w:val="auto"/>
          <w:szCs w:val="24"/>
        </w:rPr>
        <w:t xml:space="preserve"> minimal fluid in the posterior recess of the </w:t>
      </w:r>
      <w:proofErr w:type="spellStart"/>
      <w:r w:rsidR="00AD3432">
        <w:rPr>
          <w:rFonts w:asciiTheme="minorHAnsi" w:hAnsiTheme="minorHAnsi"/>
          <w:color w:val="auto"/>
          <w:szCs w:val="24"/>
        </w:rPr>
        <w:t>subtalar</w:t>
      </w:r>
      <w:proofErr w:type="spellEnd"/>
      <w:r w:rsidR="00AD3432">
        <w:rPr>
          <w:rFonts w:asciiTheme="minorHAnsi" w:hAnsiTheme="minorHAnsi"/>
          <w:color w:val="auto"/>
          <w:szCs w:val="24"/>
        </w:rPr>
        <w:t xml:space="preserve"> joint</w:t>
      </w:r>
      <w:r w:rsidR="004F4631">
        <w:rPr>
          <w:rFonts w:asciiTheme="minorHAnsi" w:hAnsiTheme="minorHAnsi"/>
          <w:color w:val="auto"/>
          <w:szCs w:val="24"/>
        </w:rPr>
        <w:t xml:space="preserve"> and was otherwise normal</w:t>
      </w:r>
      <w:r w:rsidR="00AD3432">
        <w:rPr>
          <w:rFonts w:asciiTheme="minorHAnsi" w:hAnsiTheme="minorHAnsi"/>
          <w:color w:val="auto"/>
          <w:szCs w:val="24"/>
        </w:rPr>
        <w:t>.  A bone sc</w:t>
      </w:r>
      <w:r w:rsidR="00532577">
        <w:rPr>
          <w:rFonts w:asciiTheme="minorHAnsi" w:hAnsiTheme="minorHAnsi"/>
          <w:color w:val="auto"/>
          <w:szCs w:val="24"/>
        </w:rPr>
        <w:t>an show</w:t>
      </w:r>
      <w:r w:rsidR="00D25D83">
        <w:rPr>
          <w:rFonts w:asciiTheme="minorHAnsi" w:hAnsiTheme="minorHAnsi"/>
          <w:color w:val="auto"/>
          <w:szCs w:val="24"/>
        </w:rPr>
        <w:t>ed no fractures, but did show</w:t>
      </w:r>
      <w:r w:rsidR="00532577">
        <w:rPr>
          <w:rFonts w:asciiTheme="minorHAnsi" w:hAnsiTheme="minorHAnsi"/>
          <w:color w:val="auto"/>
          <w:szCs w:val="24"/>
        </w:rPr>
        <w:t xml:space="preserve"> </w:t>
      </w:r>
      <w:r w:rsidR="00AD3432">
        <w:rPr>
          <w:rFonts w:asciiTheme="minorHAnsi" w:hAnsiTheme="minorHAnsi"/>
          <w:color w:val="auto"/>
          <w:szCs w:val="24"/>
        </w:rPr>
        <w:t xml:space="preserve">increased uptake consistent with </w:t>
      </w:r>
      <w:r w:rsidR="007C2323">
        <w:rPr>
          <w:rFonts w:asciiTheme="minorHAnsi" w:hAnsiTheme="minorHAnsi"/>
          <w:color w:val="auto"/>
          <w:szCs w:val="24"/>
        </w:rPr>
        <w:t xml:space="preserve">non-specific </w:t>
      </w:r>
      <w:r w:rsidR="00AD3432">
        <w:rPr>
          <w:rFonts w:asciiTheme="minorHAnsi" w:hAnsiTheme="minorHAnsi"/>
          <w:color w:val="auto"/>
          <w:szCs w:val="24"/>
        </w:rPr>
        <w:t xml:space="preserve">degenerative changes in both ankles and feet.  </w:t>
      </w:r>
      <w:r w:rsidR="00532577">
        <w:rPr>
          <w:rFonts w:asciiTheme="minorHAnsi" w:hAnsiTheme="minorHAnsi"/>
          <w:color w:val="auto"/>
          <w:szCs w:val="24"/>
        </w:rPr>
        <w:t xml:space="preserve">The CI </w:t>
      </w:r>
      <w:r w:rsidR="00AD3432">
        <w:rPr>
          <w:rFonts w:asciiTheme="minorHAnsi" w:hAnsiTheme="minorHAnsi"/>
          <w:color w:val="auto"/>
          <w:szCs w:val="24"/>
        </w:rPr>
        <w:t xml:space="preserve">was placed on LIMDU twice before referral to PEB and separation.  </w:t>
      </w:r>
      <w:r w:rsidR="007C2323">
        <w:rPr>
          <w:rFonts w:asciiTheme="minorHAnsi" w:hAnsiTheme="minorHAnsi"/>
          <w:color w:val="auto"/>
          <w:szCs w:val="24"/>
        </w:rPr>
        <w:t>The first LIMDU addressed both feet; h</w:t>
      </w:r>
      <w:r w:rsidR="00FF2445">
        <w:rPr>
          <w:rFonts w:asciiTheme="minorHAnsi" w:hAnsiTheme="minorHAnsi"/>
          <w:color w:val="auto"/>
          <w:szCs w:val="24"/>
        </w:rPr>
        <w:t>owever, the se</w:t>
      </w:r>
      <w:r w:rsidR="00532577">
        <w:rPr>
          <w:rFonts w:asciiTheme="minorHAnsi" w:hAnsiTheme="minorHAnsi"/>
          <w:color w:val="auto"/>
          <w:szCs w:val="24"/>
        </w:rPr>
        <w:t>c</w:t>
      </w:r>
      <w:r w:rsidR="00FF2445">
        <w:rPr>
          <w:rFonts w:asciiTheme="minorHAnsi" w:hAnsiTheme="minorHAnsi"/>
          <w:color w:val="auto"/>
          <w:szCs w:val="24"/>
        </w:rPr>
        <w:t xml:space="preserve">ond LIMDU was solely for </w:t>
      </w:r>
      <w:r w:rsidR="00FF2445" w:rsidRPr="00281928">
        <w:rPr>
          <w:rFonts w:asciiTheme="minorHAnsi" w:hAnsiTheme="minorHAnsi"/>
          <w:color w:val="auto"/>
          <w:szCs w:val="24"/>
        </w:rPr>
        <w:t xml:space="preserve">the left foot and ankle.  </w:t>
      </w:r>
      <w:r w:rsidR="009428F2">
        <w:rPr>
          <w:rFonts w:asciiTheme="minorHAnsi" w:hAnsiTheme="minorHAnsi"/>
          <w:color w:val="auto"/>
          <w:szCs w:val="24"/>
        </w:rPr>
        <w:t xml:space="preserve">Review of the service treatment record </w:t>
      </w:r>
      <w:r w:rsidR="004F4631">
        <w:rPr>
          <w:rFonts w:asciiTheme="minorHAnsi" w:hAnsiTheme="minorHAnsi"/>
          <w:color w:val="auto"/>
          <w:szCs w:val="24"/>
        </w:rPr>
        <w:t xml:space="preserve">proximate to the MEB timeframe and separation </w:t>
      </w:r>
      <w:r w:rsidR="00D25D83">
        <w:rPr>
          <w:rFonts w:asciiTheme="minorHAnsi" w:hAnsiTheme="minorHAnsi"/>
          <w:color w:val="auto"/>
          <w:szCs w:val="24"/>
        </w:rPr>
        <w:t xml:space="preserve">shows that it </w:t>
      </w:r>
      <w:r w:rsidR="009428F2">
        <w:rPr>
          <w:rFonts w:asciiTheme="minorHAnsi" w:hAnsiTheme="minorHAnsi"/>
          <w:color w:val="auto"/>
          <w:szCs w:val="24"/>
        </w:rPr>
        <w:t>is almost entirely concerned with the left foot and ankle and reveals little evidence of impairment from the right plantar fascia</w:t>
      </w:r>
      <w:r w:rsidR="007C2323">
        <w:rPr>
          <w:rFonts w:asciiTheme="minorHAnsi" w:hAnsiTheme="minorHAnsi"/>
          <w:color w:val="auto"/>
          <w:szCs w:val="24"/>
        </w:rPr>
        <w:t xml:space="preserve"> for the two years prior to separation</w:t>
      </w:r>
      <w:r w:rsidR="009428F2">
        <w:rPr>
          <w:rFonts w:asciiTheme="minorHAnsi" w:hAnsiTheme="minorHAnsi"/>
          <w:color w:val="auto"/>
          <w:szCs w:val="24"/>
        </w:rPr>
        <w:t xml:space="preserve">. </w:t>
      </w:r>
      <w:r w:rsidR="00166C50">
        <w:rPr>
          <w:rFonts w:asciiTheme="minorHAnsi" w:hAnsiTheme="minorHAnsi"/>
          <w:color w:val="auto"/>
          <w:szCs w:val="24"/>
        </w:rPr>
        <w:t xml:space="preserve"> </w:t>
      </w:r>
      <w:r w:rsidR="00AD3432" w:rsidRPr="00281928">
        <w:rPr>
          <w:rFonts w:asciiTheme="minorHAnsi" w:hAnsiTheme="minorHAnsi"/>
          <w:color w:val="auto"/>
          <w:szCs w:val="24"/>
        </w:rPr>
        <w:t>The MEB physical was over five months prior to separation</w:t>
      </w:r>
      <w:r w:rsidR="00532577" w:rsidRPr="00281928">
        <w:rPr>
          <w:rFonts w:asciiTheme="minorHAnsi" w:hAnsiTheme="minorHAnsi"/>
          <w:color w:val="auto"/>
          <w:szCs w:val="24"/>
        </w:rPr>
        <w:t xml:space="preserve"> and indicated bilateral plantar fasciitis</w:t>
      </w:r>
      <w:r w:rsidR="002006EE" w:rsidRPr="00281928">
        <w:rPr>
          <w:rFonts w:asciiTheme="minorHAnsi" w:hAnsiTheme="minorHAnsi"/>
          <w:color w:val="auto"/>
          <w:szCs w:val="24"/>
        </w:rPr>
        <w:t>.  The VA compensation and pension (C&amp;P)</w:t>
      </w:r>
      <w:r w:rsidR="007C2323">
        <w:rPr>
          <w:rFonts w:asciiTheme="minorHAnsi" w:hAnsiTheme="minorHAnsi"/>
          <w:color w:val="auto"/>
          <w:szCs w:val="24"/>
        </w:rPr>
        <w:t xml:space="preserve"> </w:t>
      </w:r>
      <w:r w:rsidR="002006EE" w:rsidRPr="00281928">
        <w:rPr>
          <w:rFonts w:asciiTheme="minorHAnsi" w:hAnsiTheme="minorHAnsi"/>
          <w:color w:val="auto"/>
          <w:szCs w:val="24"/>
        </w:rPr>
        <w:t>exam</w:t>
      </w:r>
      <w:r w:rsidR="007C2323">
        <w:rPr>
          <w:rFonts w:asciiTheme="minorHAnsi" w:hAnsiTheme="minorHAnsi"/>
          <w:color w:val="auto"/>
          <w:szCs w:val="24"/>
        </w:rPr>
        <w:t xml:space="preserve">, two months prior to separation, </w:t>
      </w:r>
      <w:r w:rsidR="002006EE" w:rsidRPr="00281928">
        <w:rPr>
          <w:rFonts w:asciiTheme="minorHAnsi" w:hAnsiTheme="minorHAnsi"/>
          <w:color w:val="auto"/>
          <w:szCs w:val="24"/>
        </w:rPr>
        <w:t>annotated moderate tenderness of the plantar surfaces and of the Achilles tendon</w:t>
      </w:r>
      <w:r w:rsidR="007C2323">
        <w:rPr>
          <w:rFonts w:asciiTheme="minorHAnsi" w:hAnsiTheme="minorHAnsi"/>
          <w:color w:val="auto"/>
          <w:szCs w:val="24"/>
        </w:rPr>
        <w:t>,</w:t>
      </w:r>
      <w:r w:rsidR="002006EE" w:rsidRPr="00281928">
        <w:rPr>
          <w:rFonts w:asciiTheme="minorHAnsi" w:hAnsiTheme="minorHAnsi"/>
          <w:color w:val="auto"/>
          <w:szCs w:val="24"/>
        </w:rPr>
        <w:t xml:space="preserve"> bilaterally.  Gait was normal as was posture</w:t>
      </w:r>
      <w:r w:rsidR="007C2323">
        <w:rPr>
          <w:rFonts w:asciiTheme="minorHAnsi" w:hAnsiTheme="minorHAnsi"/>
          <w:color w:val="auto"/>
          <w:szCs w:val="24"/>
        </w:rPr>
        <w:t xml:space="preserve">; </w:t>
      </w:r>
      <w:r w:rsidR="002006EE" w:rsidRPr="00281928">
        <w:rPr>
          <w:rFonts w:asciiTheme="minorHAnsi" w:hAnsiTheme="minorHAnsi"/>
          <w:color w:val="auto"/>
          <w:szCs w:val="24"/>
        </w:rPr>
        <w:t xml:space="preserve">no </w:t>
      </w:r>
      <w:r w:rsidR="00DA6F3A" w:rsidRPr="00281928">
        <w:rPr>
          <w:rFonts w:asciiTheme="minorHAnsi" w:hAnsiTheme="minorHAnsi"/>
          <w:color w:val="auto"/>
          <w:szCs w:val="24"/>
        </w:rPr>
        <w:t xml:space="preserve">ambulatory </w:t>
      </w:r>
      <w:r w:rsidR="002006EE" w:rsidRPr="00281928">
        <w:rPr>
          <w:rFonts w:asciiTheme="minorHAnsi" w:hAnsiTheme="minorHAnsi"/>
          <w:color w:val="auto"/>
          <w:szCs w:val="24"/>
        </w:rPr>
        <w:t xml:space="preserve">aids were required. </w:t>
      </w:r>
      <w:r w:rsidR="003279B8" w:rsidRPr="00281928">
        <w:rPr>
          <w:rFonts w:asciiTheme="minorHAnsi" w:hAnsiTheme="minorHAnsi"/>
          <w:color w:val="auto"/>
          <w:szCs w:val="24"/>
        </w:rPr>
        <w:t xml:space="preserve"> </w:t>
      </w:r>
      <w:r w:rsidR="009428F2" w:rsidRPr="00C07340">
        <w:rPr>
          <w:rFonts w:asciiTheme="minorHAnsi" w:eastAsia="HiddenHorzOCR" w:hAnsiTheme="minorHAnsi"/>
          <w:color w:val="auto"/>
          <w:szCs w:val="24"/>
        </w:rPr>
        <w:t>There</w:t>
      </w:r>
      <w:r w:rsidR="009428F2">
        <w:rPr>
          <w:rFonts w:asciiTheme="minorHAnsi" w:eastAsia="HiddenHorzOCR" w:hAnsiTheme="minorHAnsi"/>
          <w:color w:val="auto"/>
          <w:szCs w:val="24"/>
        </w:rPr>
        <w:t xml:space="preserve"> were multiple differences between the specific </w:t>
      </w:r>
      <w:r w:rsidR="009428F2" w:rsidRPr="00EC337D">
        <w:rPr>
          <w:rFonts w:asciiTheme="minorHAnsi" w:eastAsia="HiddenHorzOCR" w:hAnsiTheme="minorHAnsi"/>
          <w:color w:val="auto"/>
          <w:szCs w:val="24"/>
        </w:rPr>
        <w:t>conditions forwarded by the MEB and</w:t>
      </w:r>
      <w:r w:rsidR="009428F2">
        <w:rPr>
          <w:rFonts w:asciiTheme="minorHAnsi" w:eastAsia="HiddenHorzOCR" w:hAnsiTheme="minorHAnsi"/>
          <w:color w:val="auto"/>
          <w:szCs w:val="24"/>
        </w:rPr>
        <w:t xml:space="preserve"> the PEB </w:t>
      </w:r>
      <w:r w:rsidR="009428F2" w:rsidRPr="00EC337D">
        <w:rPr>
          <w:rFonts w:asciiTheme="minorHAnsi" w:eastAsia="HiddenHorzOCR" w:hAnsiTheme="minorHAnsi"/>
          <w:color w:val="auto"/>
          <w:szCs w:val="24"/>
        </w:rPr>
        <w:t xml:space="preserve">adjudicated </w:t>
      </w:r>
      <w:r w:rsidR="009428F2">
        <w:rPr>
          <w:rFonts w:asciiTheme="minorHAnsi" w:eastAsia="HiddenHorzOCR" w:hAnsiTheme="minorHAnsi"/>
          <w:color w:val="auto"/>
          <w:szCs w:val="24"/>
        </w:rPr>
        <w:t xml:space="preserve">conditions; however, all </w:t>
      </w:r>
      <w:r w:rsidR="009428F2" w:rsidRPr="009428F2">
        <w:rPr>
          <w:rFonts w:asciiTheme="minorHAnsi" w:eastAsia="HiddenHorzOCR" w:hAnsiTheme="minorHAnsi"/>
          <w:color w:val="auto"/>
          <w:szCs w:val="24"/>
        </w:rPr>
        <w:t>MEB and PEB conditions related to the lower extremities.  Other conditions adjudicated by the PEB as Cat</w:t>
      </w:r>
      <w:r w:rsidR="0069754B">
        <w:rPr>
          <w:rFonts w:asciiTheme="minorHAnsi" w:eastAsia="HiddenHorzOCR" w:hAnsiTheme="minorHAnsi"/>
          <w:color w:val="auto"/>
          <w:szCs w:val="24"/>
        </w:rPr>
        <w:t>egory</w:t>
      </w:r>
      <w:r w:rsidR="009428F2" w:rsidRPr="009428F2">
        <w:rPr>
          <w:rFonts w:asciiTheme="minorHAnsi" w:eastAsia="HiddenHorzOCR" w:hAnsiTheme="minorHAnsi"/>
          <w:color w:val="auto"/>
          <w:szCs w:val="24"/>
        </w:rPr>
        <w:t xml:space="preserve"> II were left heel spur resection, left greater than right degenerative changes of the rear foot, and peroneal tendonitis of the left foot and ankle.  The PEB also adjudicated </w:t>
      </w:r>
      <w:r w:rsidR="007C2323">
        <w:rPr>
          <w:rFonts w:asciiTheme="minorHAnsi" w:eastAsia="HiddenHorzOCR" w:hAnsiTheme="minorHAnsi"/>
          <w:color w:val="auto"/>
          <w:szCs w:val="24"/>
        </w:rPr>
        <w:t xml:space="preserve">bilateral </w:t>
      </w:r>
      <w:proofErr w:type="spellStart"/>
      <w:r w:rsidR="007C2323">
        <w:rPr>
          <w:rFonts w:asciiTheme="minorHAnsi" w:eastAsia="HiddenHorzOCR" w:hAnsiTheme="minorHAnsi"/>
          <w:color w:val="auto"/>
          <w:szCs w:val="24"/>
        </w:rPr>
        <w:t>gastrocnemius</w:t>
      </w:r>
      <w:proofErr w:type="spellEnd"/>
      <w:r w:rsidR="007C2323">
        <w:rPr>
          <w:rFonts w:asciiTheme="minorHAnsi" w:eastAsia="HiddenHorzOCR" w:hAnsiTheme="minorHAnsi"/>
          <w:color w:val="auto"/>
          <w:szCs w:val="24"/>
        </w:rPr>
        <w:t xml:space="preserve"> </w:t>
      </w:r>
      <w:proofErr w:type="spellStart"/>
      <w:r w:rsidR="007C2323">
        <w:rPr>
          <w:rFonts w:asciiTheme="minorHAnsi" w:eastAsia="HiddenHorzOCR" w:hAnsiTheme="minorHAnsi"/>
          <w:color w:val="auto"/>
          <w:szCs w:val="24"/>
        </w:rPr>
        <w:t>equinu</w:t>
      </w:r>
      <w:r w:rsidR="009428F2" w:rsidRPr="009428F2">
        <w:rPr>
          <w:rFonts w:asciiTheme="minorHAnsi" w:eastAsia="HiddenHorzOCR" w:hAnsiTheme="minorHAnsi"/>
          <w:color w:val="auto"/>
          <w:szCs w:val="24"/>
        </w:rPr>
        <w:t>s</w:t>
      </w:r>
      <w:proofErr w:type="spellEnd"/>
      <w:r w:rsidR="009428F2" w:rsidRPr="009428F2">
        <w:rPr>
          <w:rFonts w:asciiTheme="minorHAnsi" w:eastAsia="HiddenHorzOCR" w:hAnsiTheme="minorHAnsi"/>
          <w:color w:val="auto"/>
          <w:szCs w:val="24"/>
        </w:rPr>
        <w:t xml:space="preserve"> as Cat</w:t>
      </w:r>
      <w:r w:rsidR="0069754B">
        <w:rPr>
          <w:rFonts w:asciiTheme="minorHAnsi" w:eastAsia="HiddenHorzOCR" w:hAnsiTheme="minorHAnsi"/>
          <w:color w:val="auto"/>
          <w:szCs w:val="24"/>
        </w:rPr>
        <w:t>egory</w:t>
      </w:r>
      <w:r w:rsidR="009428F2" w:rsidRPr="009428F2">
        <w:rPr>
          <w:rFonts w:asciiTheme="minorHAnsi" w:eastAsia="HiddenHorzOCR" w:hAnsiTheme="minorHAnsi"/>
          <w:color w:val="auto"/>
          <w:szCs w:val="24"/>
        </w:rPr>
        <w:t xml:space="preserve"> III (not separately unfitting </w:t>
      </w:r>
      <w:r w:rsidR="009428F2" w:rsidRPr="009428F2">
        <w:rPr>
          <w:rFonts w:asciiTheme="minorHAnsi" w:eastAsia="HiddenHorzOCR" w:hAnsiTheme="minorHAnsi"/>
          <w:color w:val="auto"/>
          <w:szCs w:val="24"/>
        </w:rPr>
        <w:lastRenderedPageBreak/>
        <w:t>and do</w:t>
      </w:r>
      <w:r w:rsidR="009D489F">
        <w:rPr>
          <w:rFonts w:asciiTheme="minorHAnsi" w:eastAsia="HiddenHorzOCR" w:hAnsiTheme="minorHAnsi"/>
          <w:color w:val="auto"/>
          <w:szCs w:val="24"/>
        </w:rPr>
        <w:t>es</w:t>
      </w:r>
      <w:r w:rsidR="009428F2" w:rsidRPr="009428F2">
        <w:rPr>
          <w:rFonts w:asciiTheme="minorHAnsi" w:eastAsia="HiddenHorzOCR" w:hAnsiTheme="minorHAnsi"/>
          <w:color w:val="auto"/>
          <w:szCs w:val="24"/>
        </w:rPr>
        <w:t xml:space="preserve"> not contribute to the unfitting condition).</w:t>
      </w:r>
      <w:r w:rsidR="009428F2" w:rsidRPr="00C36460">
        <w:rPr>
          <w:rFonts w:asciiTheme="minorHAnsi" w:eastAsia="HiddenHorzOCR" w:hAnsiTheme="minorHAnsi"/>
          <w:color w:val="auto"/>
          <w:szCs w:val="24"/>
        </w:rPr>
        <w:t xml:space="preserve">  </w:t>
      </w:r>
      <w:r w:rsidR="009428F2">
        <w:rPr>
          <w:rFonts w:asciiTheme="minorHAnsi" w:eastAsia="HiddenHorzOCR" w:hAnsiTheme="minorHAnsi"/>
          <w:color w:val="auto"/>
          <w:szCs w:val="24"/>
        </w:rPr>
        <w:t xml:space="preserve">At the MEB exam, the CI was noted to have no swelling or effusion, to have tenderness along the left lateral </w:t>
      </w:r>
      <w:proofErr w:type="spellStart"/>
      <w:r w:rsidR="009428F2">
        <w:rPr>
          <w:rFonts w:asciiTheme="minorHAnsi" w:eastAsia="HiddenHorzOCR" w:hAnsiTheme="minorHAnsi"/>
          <w:color w:val="auto"/>
          <w:szCs w:val="24"/>
        </w:rPr>
        <w:t>malleolus</w:t>
      </w:r>
      <w:proofErr w:type="spellEnd"/>
      <w:r w:rsidR="009428F2">
        <w:rPr>
          <w:rFonts w:asciiTheme="minorHAnsi" w:eastAsia="HiddenHorzOCR" w:hAnsiTheme="minorHAnsi"/>
          <w:color w:val="auto"/>
          <w:szCs w:val="24"/>
        </w:rPr>
        <w:t xml:space="preserve"> and peroneal tendons, a non-</w:t>
      </w:r>
      <w:r w:rsidR="009428F2" w:rsidRPr="009D489F">
        <w:rPr>
          <w:rFonts w:asciiTheme="minorHAnsi" w:eastAsia="HiddenHorzOCR" w:hAnsiTheme="minorHAnsi"/>
          <w:color w:val="auto"/>
          <w:szCs w:val="24"/>
        </w:rPr>
        <w:t>localized “clicking sensation within the area of the lateral ankle</w:t>
      </w:r>
      <w:r w:rsidR="007C2323" w:rsidRPr="009D489F">
        <w:rPr>
          <w:rFonts w:asciiTheme="minorHAnsi" w:eastAsia="HiddenHorzOCR" w:hAnsiTheme="minorHAnsi"/>
          <w:color w:val="auto"/>
          <w:szCs w:val="24"/>
        </w:rPr>
        <w:t>;</w:t>
      </w:r>
      <w:r w:rsidR="009428F2" w:rsidRPr="009D489F">
        <w:rPr>
          <w:rFonts w:asciiTheme="minorHAnsi" w:eastAsia="HiddenHorzOCR" w:hAnsiTheme="minorHAnsi"/>
          <w:color w:val="auto"/>
          <w:szCs w:val="24"/>
        </w:rPr>
        <w:t xml:space="preserve"> however</w:t>
      </w:r>
      <w:r w:rsidR="007C2323" w:rsidRPr="009D489F">
        <w:rPr>
          <w:rFonts w:asciiTheme="minorHAnsi" w:eastAsia="HiddenHorzOCR" w:hAnsiTheme="minorHAnsi"/>
          <w:color w:val="auto"/>
          <w:szCs w:val="24"/>
        </w:rPr>
        <w:t>,</w:t>
      </w:r>
      <w:r w:rsidR="009428F2" w:rsidRPr="009D489F">
        <w:rPr>
          <w:rFonts w:asciiTheme="minorHAnsi" w:eastAsia="HiddenHorzOCR" w:hAnsiTheme="minorHAnsi"/>
          <w:color w:val="auto"/>
          <w:szCs w:val="24"/>
        </w:rPr>
        <w:t xml:space="preserve"> it is not clear whether there is a </w:t>
      </w:r>
      <w:proofErr w:type="spellStart"/>
      <w:r w:rsidR="009428F2" w:rsidRPr="009D489F">
        <w:rPr>
          <w:rFonts w:asciiTheme="minorHAnsi" w:eastAsia="HiddenHorzOCR" w:hAnsiTheme="minorHAnsi"/>
          <w:color w:val="auto"/>
          <w:szCs w:val="24"/>
        </w:rPr>
        <w:t>subluxation</w:t>
      </w:r>
      <w:proofErr w:type="spellEnd"/>
      <w:r w:rsidR="009428F2" w:rsidRPr="009D489F">
        <w:rPr>
          <w:rFonts w:asciiTheme="minorHAnsi" w:eastAsia="HiddenHorzOCR" w:hAnsiTheme="minorHAnsi"/>
          <w:color w:val="auto"/>
          <w:szCs w:val="24"/>
        </w:rPr>
        <w:t xml:space="preserve"> or what type of structure is causing the popping sensation.”  There was tenderness of the plantar fascia of both feet with reduced dorsiflexion (“just less than 5 degrees.</w:t>
      </w:r>
      <w:r w:rsidR="009D489F">
        <w:rPr>
          <w:rFonts w:asciiTheme="minorHAnsi" w:eastAsia="HiddenHorzOCR" w:hAnsiTheme="minorHAnsi"/>
          <w:color w:val="auto"/>
          <w:szCs w:val="24"/>
        </w:rPr>
        <w:t>.</w:t>
      </w:r>
      <w:r w:rsidR="009428F2" w:rsidRPr="009D489F">
        <w:rPr>
          <w:rFonts w:asciiTheme="minorHAnsi" w:eastAsia="HiddenHorzOCR" w:hAnsiTheme="minorHAnsi"/>
          <w:color w:val="auto"/>
          <w:szCs w:val="24"/>
        </w:rPr>
        <w:t>.with straight leg and just less than 10 degrees…bent knee” [normal 20°]) bilaterally.</w:t>
      </w:r>
      <w:r w:rsidR="009428F2">
        <w:rPr>
          <w:rFonts w:asciiTheme="minorHAnsi" w:eastAsia="HiddenHorzOCR" w:hAnsiTheme="minorHAnsi"/>
          <w:color w:val="auto"/>
          <w:szCs w:val="24"/>
        </w:rPr>
        <w:t xml:space="preserve">  The scar from the </w:t>
      </w:r>
      <w:proofErr w:type="spellStart"/>
      <w:r w:rsidR="009428F2">
        <w:rPr>
          <w:rFonts w:asciiTheme="minorHAnsi" w:eastAsia="HiddenHorzOCR" w:hAnsiTheme="minorHAnsi"/>
          <w:color w:val="auto"/>
          <w:szCs w:val="24"/>
        </w:rPr>
        <w:t>calcaneal</w:t>
      </w:r>
      <w:proofErr w:type="spellEnd"/>
      <w:r w:rsidR="009428F2">
        <w:rPr>
          <w:rFonts w:asciiTheme="minorHAnsi" w:eastAsia="HiddenHorzOCR" w:hAnsiTheme="minorHAnsi"/>
          <w:color w:val="auto"/>
          <w:szCs w:val="24"/>
        </w:rPr>
        <w:t xml:space="preserve"> spur resection was well healed. </w:t>
      </w:r>
      <w:r w:rsidR="009428F2" w:rsidRPr="009428F2">
        <w:rPr>
          <w:rFonts w:asciiTheme="minorHAnsi" w:eastAsia="HiddenHorzOCR" w:hAnsiTheme="minorHAnsi"/>
          <w:color w:val="auto"/>
          <w:szCs w:val="24"/>
        </w:rPr>
        <w:t xml:space="preserve"> </w:t>
      </w:r>
      <w:r w:rsidR="009428F2">
        <w:rPr>
          <w:rFonts w:asciiTheme="minorHAnsi" w:eastAsia="HiddenHorzOCR" w:hAnsiTheme="minorHAnsi"/>
          <w:color w:val="auto"/>
          <w:szCs w:val="24"/>
        </w:rPr>
        <w:t>On the C&amp;P exam, the left ankle was noted to be tender</w:t>
      </w:r>
      <w:r w:rsidR="00D25D83">
        <w:rPr>
          <w:rFonts w:asciiTheme="minorHAnsi" w:eastAsia="HiddenHorzOCR" w:hAnsiTheme="minorHAnsi"/>
          <w:color w:val="auto"/>
          <w:szCs w:val="24"/>
        </w:rPr>
        <w:t>, there was a scar from the spur excision and</w:t>
      </w:r>
      <w:r w:rsidR="00D25D83" w:rsidRPr="00D25D83">
        <w:rPr>
          <w:rFonts w:asciiTheme="minorHAnsi" w:eastAsia="HiddenHorzOCR" w:hAnsiTheme="minorHAnsi"/>
          <w:color w:val="auto"/>
          <w:szCs w:val="24"/>
        </w:rPr>
        <w:t xml:space="preserve"> </w:t>
      </w:r>
      <w:r w:rsidR="00D25D83">
        <w:rPr>
          <w:rFonts w:asciiTheme="minorHAnsi" w:eastAsia="HiddenHorzOCR" w:hAnsiTheme="minorHAnsi"/>
          <w:color w:val="auto"/>
          <w:szCs w:val="24"/>
        </w:rPr>
        <w:t xml:space="preserve">decreased </w:t>
      </w:r>
      <w:r w:rsidR="00D25D83">
        <w:rPr>
          <w:rFonts w:asciiTheme="minorHAnsi" w:hAnsiTheme="minorHAnsi"/>
          <w:color w:val="auto"/>
          <w:szCs w:val="24"/>
        </w:rPr>
        <w:t>range of motion (ROM)</w:t>
      </w:r>
      <w:r w:rsidR="009428F2">
        <w:rPr>
          <w:rFonts w:asciiTheme="minorHAnsi" w:eastAsia="HiddenHorzOCR" w:hAnsiTheme="minorHAnsi"/>
          <w:color w:val="auto"/>
          <w:szCs w:val="24"/>
        </w:rPr>
        <w:t xml:space="preserve">.  </w:t>
      </w:r>
      <w:r w:rsidR="00D25D83">
        <w:rPr>
          <w:rFonts w:asciiTheme="minorHAnsi" w:eastAsia="HiddenHorzOCR" w:hAnsiTheme="minorHAnsi"/>
          <w:color w:val="auto"/>
          <w:szCs w:val="24"/>
        </w:rPr>
        <w:t>N</w:t>
      </w:r>
      <w:r w:rsidR="009428F2">
        <w:rPr>
          <w:rFonts w:asciiTheme="minorHAnsi" w:eastAsia="HiddenHorzOCR" w:hAnsiTheme="minorHAnsi"/>
          <w:color w:val="auto"/>
          <w:szCs w:val="24"/>
        </w:rPr>
        <w:t xml:space="preserve">either ankle revealed edema, effusion, weakness, warmth, </w:t>
      </w:r>
      <w:proofErr w:type="spellStart"/>
      <w:r w:rsidR="009428F2">
        <w:rPr>
          <w:rFonts w:asciiTheme="minorHAnsi" w:eastAsia="HiddenHorzOCR" w:hAnsiTheme="minorHAnsi"/>
          <w:color w:val="auto"/>
          <w:szCs w:val="24"/>
        </w:rPr>
        <w:t>erythema</w:t>
      </w:r>
      <w:proofErr w:type="spellEnd"/>
      <w:r w:rsidR="009428F2">
        <w:rPr>
          <w:rFonts w:asciiTheme="minorHAnsi" w:eastAsia="HiddenHorzOCR" w:hAnsiTheme="minorHAnsi"/>
          <w:color w:val="auto"/>
          <w:szCs w:val="24"/>
        </w:rPr>
        <w:t xml:space="preserve">, guarding of movement or </w:t>
      </w:r>
      <w:proofErr w:type="spellStart"/>
      <w:r w:rsidR="009428F2">
        <w:rPr>
          <w:rFonts w:asciiTheme="minorHAnsi" w:eastAsia="HiddenHorzOCR" w:hAnsiTheme="minorHAnsi"/>
          <w:color w:val="auto"/>
          <w:szCs w:val="24"/>
        </w:rPr>
        <w:t>subluxation</w:t>
      </w:r>
      <w:proofErr w:type="spellEnd"/>
      <w:r w:rsidR="009428F2">
        <w:rPr>
          <w:rFonts w:asciiTheme="minorHAnsi" w:eastAsia="HiddenHorzOCR" w:hAnsiTheme="minorHAnsi"/>
          <w:color w:val="auto"/>
          <w:szCs w:val="24"/>
        </w:rPr>
        <w:t xml:space="preserve">.  </w:t>
      </w:r>
      <w:r w:rsidR="0069754B">
        <w:rPr>
          <w:rFonts w:asciiTheme="minorHAnsi" w:eastAsia="HiddenHorzOCR" w:hAnsiTheme="minorHAnsi"/>
          <w:color w:val="auto"/>
          <w:szCs w:val="24"/>
        </w:rPr>
        <w:t>The range of motion (</w:t>
      </w:r>
      <w:r w:rsidR="007C2323">
        <w:rPr>
          <w:rFonts w:asciiTheme="minorHAnsi" w:hAnsiTheme="minorHAnsi"/>
          <w:color w:val="auto"/>
          <w:szCs w:val="24"/>
        </w:rPr>
        <w:t>ROM</w:t>
      </w:r>
      <w:r w:rsidR="0069754B">
        <w:rPr>
          <w:rFonts w:asciiTheme="minorHAnsi" w:hAnsiTheme="minorHAnsi"/>
          <w:color w:val="auto"/>
          <w:szCs w:val="24"/>
        </w:rPr>
        <w:t>)</w:t>
      </w:r>
      <w:r w:rsidR="009428F2">
        <w:rPr>
          <w:rFonts w:asciiTheme="minorHAnsi" w:hAnsiTheme="minorHAnsi"/>
          <w:color w:val="auto"/>
          <w:szCs w:val="24"/>
        </w:rPr>
        <w:t xml:space="preserve"> was normal </w:t>
      </w:r>
      <w:r w:rsidR="007C2323">
        <w:rPr>
          <w:rFonts w:asciiTheme="minorHAnsi" w:hAnsiTheme="minorHAnsi"/>
          <w:color w:val="auto"/>
          <w:szCs w:val="24"/>
        </w:rPr>
        <w:t xml:space="preserve">and pain free </w:t>
      </w:r>
      <w:r w:rsidR="009428F2">
        <w:rPr>
          <w:rFonts w:asciiTheme="minorHAnsi" w:hAnsiTheme="minorHAnsi"/>
          <w:color w:val="auto"/>
          <w:szCs w:val="24"/>
        </w:rPr>
        <w:t xml:space="preserve">on the right, but reduced on the left with 10 degrees dorsiflexion, pain at 10 degrees, </w:t>
      </w:r>
      <w:r w:rsidR="009428F2" w:rsidRPr="009428F2">
        <w:rPr>
          <w:rFonts w:asciiTheme="minorHAnsi" w:hAnsiTheme="minorHAnsi"/>
          <w:color w:val="auto"/>
          <w:szCs w:val="24"/>
        </w:rPr>
        <w:t xml:space="preserve">and 30 degrees plantar flexion (normal </w:t>
      </w:r>
      <w:r w:rsidR="00D25D83">
        <w:rPr>
          <w:rFonts w:asciiTheme="minorHAnsi" w:hAnsiTheme="minorHAnsi"/>
          <w:color w:val="auto"/>
          <w:szCs w:val="24"/>
        </w:rPr>
        <w:t>20</w:t>
      </w:r>
      <w:r w:rsidR="00D25D83" w:rsidRPr="009428F2">
        <w:rPr>
          <w:rFonts w:asciiTheme="minorHAnsi" w:eastAsia="HiddenHorzOCR" w:hAnsiTheme="minorHAnsi"/>
          <w:color w:val="auto"/>
          <w:szCs w:val="24"/>
        </w:rPr>
        <w:t>°</w:t>
      </w:r>
      <w:r w:rsidR="00D25D83">
        <w:rPr>
          <w:rFonts w:asciiTheme="minorHAnsi" w:eastAsia="HiddenHorzOCR" w:hAnsiTheme="minorHAnsi"/>
          <w:color w:val="auto"/>
          <w:szCs w:val="24"/>
        </w:rPr>
        <w:t xml:space="preserve"> and</w:t>
      </w:r>
      <w:r w:rsidR="00D25D83">
        <w:rPr>
          <w:rFonts w:asciiTheme="minorHAnsi" w:hAnsiTheme="minorHAnsi"/>
          <w:color w:val="auto"/>
          <w:szCs w:val="24"/>
        </w:rPr>
        <w:t xml:space="preserve"> </w:t>
      </w:r>
      <w:r w:rsidR="009428F2" w:rsidRPr="009428F2">
        <w:rPr>
          <w:rFonts w:asciiTheme="minorHAnsi" w:hAnsiTheme="minorHAnsi"/>
          <w:color w:val="auto"/>
          <w:szCs w:val="24"/>
        </w:rPr>
        <w:t>45</w:t>
      </w:r>
      <w:r w:rsidR="00D25D83" w:rsidRPr="009428F2">
        <w:rPr>
          <w:rFonts w:asciiTheme="minorHAnsi" w:eastAsia="HiddenHorzOCR" w:hAnsiTheme="minorHAnsi"/>
          <w:color w:val="auto"/>
          <w:szCs w:val="24"/>
        </w:rPr>
        <w:t>°</w:t>
      </w:r>
      <w:r w:rsidR="00D25D83">
        <w:rPr>
          <w:rFonts w:asciiTheme="minorHAnsi" w:eastAsia="HiddenHorzOCR" w:hAnsiTheme="minorHAnsi"/>
          <w:color w:val="auto"/>
          <w:szCs w:val="24"/>
        </w:rPr>
        <w:t>, respectively</w:t>
      </w:r>
      <w:r w:rsidR="009428F2" w:rsidRPr="009428F2">
        <w:rPr>
          <w:rFonts w:asciiTheme="minorHAnsi" w:hAnsiTheme="minorHAnsi"/>
          <w:color w:val="auto"/>
          <w:szCs w:val="24"/>
        </w:rPr>
        <w:t>).</w:t>
      </w:r>
      <w:r w:rsidR="009428F2">
        <w:rPr>
          <w:rFonts w:asciiTheme="minorHAnsi" w:hAnsiTheme="minorHAnsi"/>
          <w:color w:val="auto"/>
          <w:szCs w:val="24"/>
        </w:rPr>
        <w:t xml:space="preserve">  </w:t>
      </w:r>
      <w:r w:rsidR="009428F2">
        <w:rPr>
          <w:rFonts w:asciiTheme="minorHAnsi" w:eastAsia="HiddenHorzOCR" w:hAnsiTheme="minorHAnsi"/>
          <w:color w:val="auto"/>
          <w:szCs w:val="24"/>
        </w:rPr>
        <w:t>The second LIMDU specifically cited the left heel spur resection and peroneal tendonitis</w:t>
      </w:r>
      <w:r w:rsidR="00D25D83">
        <w:rPr>
          <w:rFonts w:asciiTheme="minorHAnsi" w:eastAsia="HiddenHorzOCR" w:hAnsiTheme="minorHAnsi"/>
          <w:color w:val="auto"/>
          <w:szCs w:val="24"/>
        </w:rPr>
        <w:t xml:space="preserve"> and </w:t>
      </w:r>
      <w:r w:rsidR="009428F2" w:rsidRPr="00FF2445">
        <w:rPr>
          <w:rFonts w:asciiTheme="minorHAnsi" w:hAnsiTheme="minorHAnsi"/>
          <w:color w:val="auto"/>
          <w:szCs w:val="24"/>
        </w:rPr>
        <w:t xml:space="preserve">could have provided shelter for limitations from the </w:t>
      </w:r>
      <w:r w:rsidR="009428F2">
        <w:rPr>
          <w:rFonts w:asciiTheme="minorHAnsi" w:hAnsiTheme="minorHAnsi"/>
          <w:color w:val="auto"/>
          <w:szCs w:val="24"/>
        </w:rPr>
        <w:t>left ankle</w:t>
      </w:r>
      <w:r w:rsidR="009428F2" w:rsidRPr="00FF2445">
        <w:rPr>
          <w:rFonts w:asciiTheme="minorHAnsi" w:hAnsiTheme="minorHAnsi"/>
          <w:color w:val="auto"/>
          <w:szCs w:val="24"/>
        </w:rPr>
        <w:t xml:space="preserve"> condition</w:t>
      </w:r>
      <w:r w:rsidR="007A63DE">
        <w:rPr>
          <w:rFonts w:asciiTheme="minorHAnsi" w:hAnsiTheme="minorHAnsi"/>
          <w:color w:val="auto"/>
          <w:szCs w:val="24"/>
        </w:rPr>
        <w:t>.  T</w:t>
      </w:r>
      <w:r w:rsidR="009428F2">
        <w:rPr>
          <w:rFonts w:asciiTheme="minorHAnsi" w:hAnsiTheme="minorHAnsi"/>
          <w:color w:val="auto"/>
          <w:szCs w:val="24"/>
        </w:rPr>
        <w:t>he PEB condition of “</w:t>
      </w:r>
      <w:r w:rsidR="0069754B">
        <w:rPr>
          <w:rFonts w:asciiTheme="minorHAnsi" w:hAnsiTheme="minorHAnsi"/>
          <w:color w:val="auto"/>
          <w:szCs w:val="24"/>
        </w:rPr>
        <w:t>d</w:t>
      </w:r>
      <w:r w:rsidR="009428F2" w:rsidRPr="00CE0AFE">
        <w:rPr>
          <w:rFonts w:ascii="Calibri" w:hAnsi="Calibri"/>
          <w:color w:val="auto"/>
          <w:szCs w:val="24"/>
        </w:rPr>
        <w:t xml:space="preserve">egenerative </w:t>
      </w:r>
      <w:r w:rsidR="0069754B">
        <w:rPr>
          <w:rFonts w:ascii="Calibri" w:hAnsi="Calibri"/>
          <w:color w:val="auto"/>
          <w:szCs w:val="24"/>
        </w:rPr>
        <w:t>c</w:t>
      </w:r>
      <w:r w:rsidR="009428F2" w:rsidRPr="00CE0AFE">
        <w:rPr>
          <w:rFonts w:ascii="Calibri" w:hAnsi="Calibri"/>
          <w:color w:val="auto"/>
          <w:szCs w:val="24"/>
        </w:rPr>
        <w:t xml:space="preserve">hanges of the </w:t>
      </w:r>
      <w:r w:rsidR="0069754B">
        <w:rPr>
          <w:rFonts w:ascii="Calibri" w:hAnsi="Calibri"/>
          <w:color w:val="auto"/>
          <w:szCs w:val="24"/>
        </w:rPr>
        <w:t>r</w:t>
      </w:r>
      <w:r w:rsidR="009428F2" w:rsidRPr="00CE0AFE">
        <w:rPr>
          <w:rFonts w:ascii="Calibri" w:hAnsi="Calibri"/>
          <w:color w:val="auto"/>
          <w:szCs w:val="24"/>
        </w:rPr>
        <w:t xml:space="preserve">ear </w:t>
      </w:r>
      <w:r w:rsidR="0069754B">
        <w:rPr>
          <w:rFonts w:ascii="Calibri" w:hAnsi="Calibri"/>
          <w:color w:val="auto"/>
          <w:szCs w:val="24"/>
        </w:rPr>
        <w:t>f</w:t>
      </w:r>
      <w:r w:rsidR="009428F2" w:rsidRPr="00CE0AFE">
        <w:rPr>
          <w:rFonts w:ascii="Calibri" w:hAnsi="Calibri"/>
          <w:color w:val="auto"/>
          <w:szCs w:val="24"/>
        </w:rPr>
        <w:t xml:space="preserve">oot </w:t>
      </w:r>
      <w:r w:rsidR="0069754B">
        <w:rPr>
          <w:rFonts w:ascii="Calibri" w:hAnsi="Calibri"/>
          <w:color w:val="auto"/>
          <w:szCs w:val="24"/>
        </w:rPr>
        <w:t>b</w:t>
      </w:r>
      <w:r w:rsidR="009428F2" w:rsidRPr="00CE0AFE">
        <w:rPr>
          <w:rFonts w:ascii="Calibri" w:hAnsi="Calibri"/>
          <w:color w:val="auto"/>
          <w:szCs w:val="24"/>
        </w:rPr>
        <w:t>ilaterally</w:t>
      </w:r>
      <w:r w:rsidR="009428F2">
        <w:rPr>
          <w:rFonts w:ascii="Calibri" w:hAnsi="Calibri"/>
          <w:color w:val="auto"/>
          <w:szCs w:val="24"/>
        </w:rPr>
        <w:t xml:space="preserve">, </w:t>
      </w:r>
      <w:r w:rsidR="009428F2" w:rsidRPr="00CE0AFE">
        <w:rPr>
          <w:rFonts w:ascii="Calibri" w:hAnsi="Calibri"/>
          <w:color w:val="auto"/>
          <w:szCs w:val="24"/>
        </w:rPr>
        <w:t>worse on the left</w:t>
      </w:r>
      <w:r w:rsidR="009428F2">
        <w:rPr>
          <w:rFonts w:ascii="Calibri" w:hAnsi="Calibri"/>
          <w:color w:val="auto"/>
          <w:szCs w:val="24"/>
        </w:rPr>
        <w:t>” when coupled with the PEB condition “</w:t>
      </w:r>
      <w:r w:rsidR="0069754B">
        <w:rPr>
          <w:rFonts w:ascii="Calibri" w:hAnsi="Calibri"/>
          <w:color w:val="auto"/>
          <w:szCs w:val="24"/>
        </w:rPr>
        <w:t>p</w:t>
      </w:r>
      <w:r w:rsidR="009428F2" w:rsidRPr="00CE0AFE">
        <w:rPr>
          <w:rFonts w:ascii="Calibri" w:hAnsi="Calibri"/>
          <w:color w:val="auto"/>
          <w:szCs w:val="24"/>
        </w:rPr>
        <w:t xml:space="preserve">eroneal </w:t>
      </w:r>
      <w:r w:rsidR="0069754B">
        <w:rPr>
          <w:rFonts w:ascii="Calibri" w:hAnsi="Calibri"/>
          <w:color w:val="auto"/>
          <w:szCs w:val="24"/>
        </w:rPr>
        <w:t>t</w:t>
      </w:r>
      <w:r w:rsidR="009428F2" w:rsidRPr="00CE0AFE">
        <w:rPr>
          <w:rFonts w:ascii="Calibri" w:hAnsi="Calibri"/>
          <w:color w:val="auto"/>
          <w:szCs w:val="24"/>
        </w:rPr>
        <w:t>endonitis o</w:t>
      </w:r>
      <w:r w:rsidR="009428F2">
        <w:rPr>
          <w:rFonts w:ascii="Calibri" w:hAnsi="Calibri"/>
          <w:color w:val="auto"/>
          <w:szCs w:val="24"/>
        </w:rPr>
        <w:t>f</w:t>
      </w:r>
      <w:r w:rsidR="009428F2" w:rsidRPr="00CE0AFE">
        <w:rPr>
          <w:rFonts w:ascii="Calibri" w:hAnsi="Calibri"/>
          <w:color w:val="auto"/>
          <w:szCs w:val="24"/>
        </w:rPr>
        <w:t xml:space="preserve"> the </w:t>
      </w:r>
      <w:r w:rsidR="0069754B">
        <w:rPr>
          <w:rFonts w:ascii="Calibri" w:hAnsi="Calibri"/>
          <w:color w:val="auto"/>
          <w:szCs w:val="24"/>
        </w:rPr>
        <w:t>l</w:t>
      </w:r>
      <w:r w:rsidR="009428F2" w:rsidRPr="00CE0AFE">
        <w:rPr>
          <w:rFonts w:ascii="Calibri" w:hAnsi="Calibri"/>
          <w:color w:val="auto"/>
          <w:szCs w:val="24"/>
        </w:rPr>
        <w:t xml:space="preserve">eft </w:t>
      </w:r>
      <w:r w:rsidR="0069754B">
        <w:rPr>
          <w:rFonts w:ascii="Calibri" w:hAnsi="Calibri"/>
          <w:color w:val="auto"/>
          <w:szCs w:val="24"/>
        </w:rPr>
        <w:t>f</w:t>
      </w:r>
      <w:r w:rsidR="009428F2" w:rsidRPr="00CE0AFE">
        <w:rPr>
          <w:rFonts w:ascii="Calibri" w:hAnsi="Calibri"/>
          <w:color w:val="auto"/>
          <w:szCs w:val="24"/>
        </w:rPr>
        <w:t xml:space="preserve">oot </w:t>
      </w:r>
      <w:r w:rsidR="0069754B">
        <w:rPr>
          <w:rFonts w:ascii="Calibri" w:hAnsi="Calibri"/>
          <w:color w:val="auto"/>
          <w:szCs w:val="24"/>
        </w:rPr>
        <w:t>a</w:t>
      </w:r>
      <w:r w:rsidR="009428F2" w:rsidRPr="00CE0AFE">
        <w:rPr>
          <w:rFonts w:ascii="Calibri" w:hAnsi="Calibri"/>
          <w:color w:val="auto"/>
          <w:szCs w:val="24"/>
        </w:rPr>
        <w:t>nkle</w:t>
      </w:r>
      <w:r w:rsidR="009428F2">
        <w:rPr>
          <w:rFonts w:ascii="Calibri" w:hAnsi="Calibri"/>
          <w:color w:val="auto"/>
          <w:szCs w:val="24"/>
        </w:rPr>
        <w:t xml:space="preserve">” would indicate that degenerative changes in the left rear foot and ankle motion limitations/pain were part of the CI’s unfitness for duty.  </w:t>
      </w:r>
      <w:r w:rsidR="007C2323">
        <w:rPr>
          <w:rFonts w:asciiTheme="minorHAnsi" w:eastAsia="HiddenHorzOCR" w:hAnsiTheme="minorHAnsi"/>
          <w:color w:val="auto"/>
          <w:szCs w:val="24"/>
        </w:rPr>
        <w:t>The Board considered rating the left ankle degeneration</w:t>
      </w:r>
      <w:r w:rsidR="00166C50">
        <w:rPr>
          <w:rFonts w:asciiTheme="minorHAnsi" w:eastAsia="HiddenHorzOCR" w:hAnsiTheme="minorHAnsi"/>
          <w:color w:val="auto"/>
          <w:szCs w:val="24"/>
        </w:rPr>
        <w:t xml:space="preserve"> separately</w:t>
      </w:r>
      <w:r w:rsidR="007C2323">
        <w:rPr>
          <w:rFonts w:asciiTheme="minorHAnsi" w:eastAsia="HiddenHorzOCR" w:hAnsiTheme="minorHAnsi"/>
          <w:color w:val="auto"/>
          <w:szCs w:val="24"/>
        </w:rPr>
        <w:t xml:space="preserve">, but determined the rear-foot pain was best considered as </w:t>
      </w:r>
      <w:r w:rsidR="0069754B">
        <w:rPr>
          <w:rFonts w:asciiTheme="minorHAnsi" w:eastAsia="HiddenHorzOCR" w:hAnsiTheme="minorHAnsi"/>
          <w:color w:val="auto"/>
          <w:szCs w:val="24"/>
        </w:rPr>
        <w:t>d</w:t>
      </w:r>
      <w:r w:rsidR="007C2323" w:rsidRPr="00CE0AFE">
        <w:rPr>
          <w:rFonts w:ascii="Calibri" w:hAnsi="Calibri"/>
          <w:color w:val="auto"/>
          <w:szCs w:val="24"/>
        </w:rPr>
        <w:t xml:space="preserve">egenerative </w:t>
      </w:r>
      <w:r w:rsidR="0069754B">
        <w:rPr>
          <w:rFonts w:ascii="Calibri" w:hAnsi="Calibri"/>
          <w:color w:val="auto"/>
          <w:szCs w:val="24"/>
        </w:rPr>
        <w:t>c</w:t>
      </w:r>
      <w:r w:rsidR="007C2323" w:rsidRPr="00CE0AFE">
        <w:rPr>
          <w:rFonts w:ascii="Calibri" w:hAnsi="Calibri"/>
          <w:color w:val="auto"/>
          <w:szCs w:val="24"/>
        </w:rPr>
        <w:t xml:space="preserve">hanges of the </w:t>
      </w:r>
      <w:r w:rsidR="0069754B">
        <w:rPr>
          <w:rFonts w:ascii="Calibri" w:hAnsi="Calibri"/>
          <w:color w:val="auto"/>
          <w:szCs w:val="24"/>
        </w:rPr>
        <w:t>l</w:t>
      </w:r>
      <w:r w:rsidR="007C2323">
        <w:rPr>
          <w:rFonts w:ascii="Calibri" w:hAnsi="Calibri"/>
          <w:color w:val="auto"/>
          <w:szCs w:val="24"/>
        </w:rPr>
        <w:t xml:space="preserve">eft </w:t>
      </w:r>
      <w:r w:rsidR="0069754B">
        <w:rPr>
          <w:rFonts w:ascii="Calibri" w:hAnsi="Calibri"/>
          <w:color w:val="auto"/>
          <w:szCs w:val="24"/>
        </w:rPr>
        <w:t>r</w:t>
      </w:r>
      <w:r w:rsidR="007C2323" w:rsidRPr="00CE0AFE">
        <w:rPr>
          <w:rFonts w:ascii="Calibri" w:hAnsi="Calibri"/>
          <w:color w:val="auto"/>
          <w:szCs w:val="24"/>
        </w:rPr>
        <w:t xml:space="preserve">ear </w:t>
      </w:r>
      <w:r w:rsidR="0069754B">
        <w:rPr>
          <w:rFonts w:ascii="Calibri" w:hAnsi="Calibri"/>
          <w:color w:val="auto"/>
          <w:szCs w:val="24"/>
        </w:rPr>
        <w:t>f</w:t>
      </w:r>
      <w:r w:rsidR="007C2323" w:rsidRPr="007C2323">
        <w:rPr>
          <w:rFonts w:ascii="Calibri" w:hAnsi="Calibri"/>
          <w:color w:val="auto"/>
          <w:szCs w:val="24"/>
        </w:rPr>
        <w:t xml:space="preserve">oot which also contributed to the </w:t>
      </w:r>
      <w:r w:rsidR="007C2323" w:rsidRPr="007C2323">
        <w:rPr>
          <w:rFonts w:asciiTheme="minorHAnsi" w:eastAsia="HiddenHorzOCR" w:hAnsiTheme="minorHAnsi"/>
          <w:color w:val="auto"/>
          <w:szCs w:val="24"/>
        </w:rPr>
        <w:t>limitation of ankle motion</w:t>
      </w:r>
      <w:r w:rsidR="00166C50">
        <w:rPr>
          <w:rFonts w:asciiTheme="minorHAnsi" w:eastAsia="HiddenHorzOCR" w:hAnsiTheme="minorHAnsi"/>
          <w:color w:val="auto"/>
          <w:szCs w:val="24"/>
        </w:rPr>
        <w:t xml:space="preserve"> from the plantar fasciitis</w:t>
      </w:r>
      <w:r w:rsidR="007C2323" w:rsidRPr="007C2323">
        <w:rPr>
          <w:rFonts w:ascii="Calibri" w:hAnsi="Calibri"/>
          <w:color w:val="auto"/>
          <w:szCs w:val="24"/>
        </w:rPr>
        <w:t xml:space="preserve">.  </w:t>
      </w:r>
      <w:r w:rsidR="007C2323" w:rsidRPr="007C2323">
        <w:rPr>
          <w:rFonts w:asciiTheme="minorHAnsi" w:eastAsia="HiddenHorzOCR" w:hAnsiTheme="minorHAnsi"/>
          <w:color w:val="auto"/>
          <w:szCs w:val="24"/>
        </w:rPr>
        <w:t>The Board considered the left heel spur resection as part of the degenerative changes of the left rear foot, and the peroneal tendonitis of the left foot and ankle as part of the unfitting left plantar fasciitis.</w:t>
      </w:r>
      <w:r w:rsidR="007A63DE">
        <w:rPr>
          <w:rFonts w:asciiTheme="minorHAnsi" w:eastAsia="HiddenHorzOCR" w:hAnsiTheme="minorHAnsi"/>
          <w:color w:val="auto"/>
          <w:szCs w:val="24"/>
        </w:rPr>
        <w:t xml:space="preserve">  </w:t>
      </w:r>
      <w:r w:rsidR="00DA6F3A" w:rsidRPr="00281928">
        <w:rPr>
          <w:rFonts w:asciiTheme="minorHAnsi" w:eastAsiaTheme="minorHAnsi" w:hAnsiTheme="minorHAnsi"/>
          <w:color w:val="auto"/>
          <w:szCs w:val="24"/>
        </w:rPr>
        <w:t xml:space="preserve">In the matter of the bilateral PF condition, the Board recommends that each foot be separately adjudicated as follows: an unfitting right PF condition coded 5399-5310 and </w:t>
      </w:r>
      <w:r w:rsidR="00281928" w:rsidRPr="00281928">
        <w:rPr>
          <w:rFonts w:asciiTheme="minorHAnsi" w:eastAsiaTheme="minorHAnsi" w:hAnsiTheme="minorHAnsi"/>
          <w:color w:val="auto"/>
          <w:szCs w:val="24"/>
        </w:rPr>
        <w:t xml:space="preserve">rated </w:t>
      </w:r>
      <w:r w:rsidR="00DA6F3A" w:rsidRPr="00281928">
        <w:rPr>
          <w:rFonts w:asciiTheme="minorHAnsi" w:eastAsiaTheme="minorHAnsi" w:hAnsiTheme="minorHAnsi"/>
          <w:color w:val="auto"/>
          <w:szCs w:val="24"/>
        </w:rPr>
        <w:t xml:space="preserve">0% </w:t>
      </w:r>
      <w:r w:rsidR="007A63DE">
        <w:rPr>
          <w:rFonts w:asciiTheme="minorHAnsi" w:eastAsiaTheme="minorHAnsi" w:hAnsiTheme="minorHAnsi"/>
          <w:color w:val="auto"/>
          <w:szCs w:val="24"/>
        </w:rPr>
        <w:t>(</w:t>
      </w:r>
      <w:r w:rsidR="009428F2">
        <w:rPr>
          <w:rFonts w:asciiTheme="minorHAnsi" w:eastAsiaTheme="minorHAnsi" w:hAnsiTheme="minorHAnsi"/>
          <w:color w:val="auto"/>
          <w:szCs w:val="24"/>
        </w:rPr>
        <w:t>slight impairment</w:t>
      </w:r>
      <w:r w:rsidR="007A63DE">
        <w:rPr>
          <w:rFonts w:asciiTheme="minorHAnsi" w:eastAsiaTheme="minorHAnsi" w:hAnsiTheme="minorHAnsi"/>
          <w:color w:val="auto"/>
          <w:szCs w:val="24"/>
        </w:rPr>
        <w:t>)</w:t>
      </w:r>
      <w:r w:rsidR="009428F2">
        <w:rPr>
          <w:rFonts w:asciiTheme="minorHAnsi" w:eastAsiaTheme="minorHAnsi" w:hAnsiTheme="minorHAnsi"/>
          <w:color w:val="auto"/>
          <w:szCs w:val="24"/>
        </w:rPr>
        <w:t xml:space="preserve"> </w:t>
      </w:r>
      <w:r w:rsidR="00DA6F3A" w:rsidRPr="00281928">
        <w:rPr>
          <w:rFonts w:asciiTheme="minorHAnsi" w:eastAsiaTheme="minorHAnsi" w:hAnsiTheme="minorHAnsi"/>
          <w:color w:val="auto"/>
          <w:szCs w:val="24"/>
        </w:rPr>
        <w:t xml:space="preserve">and an unfitting left PF condition coded 5399-5310 and rated </w:t>
      </w:r>
      <w:r w:rsidR="00281928">
        <w:rPr>
          <w:rFonts w:asciiTheme="minorHAnsi" w:eastAsiaTheme="minorHAnsi" w:hAnsiTheme="minorHAnsi"/>
          <w:color w:val="auto"/>
          <w:szCs w:val="24"/>
        </w:rPr>
        <w:t>2</w:t>
      </w:r>
      <w:r w:rsidR="00DA6F3A" w:rsidRPr="00281928">
        <w:rPr>
          <w:rFonts w:asciiTheme="minorHAnsi" w:eastAsiaTheme="minorHAnsi" w:hAnsiTheme="minorHAnsi"/>
          <w:color w:val="auto"/>
          <w:szCs w:val="24"/>
        </w:rPr>
        <w:t>0%</w:t>
      </w:r>
      <w:r w:rsidR="009428F2">
        <w:rPr>
          <w:rFonts w:asciiTheme="minorHAnsi" w:eastAsiaTheme="minorHAnsi" w:hAnsiTheme="minorHAnsi"/>
          <w:color w:val="auto"/>
          <w:szCs w:val="24"/>
        </w:rPr>
        <w:t xml:space="preserve"> </w:t>
      </w:r>
      <w:r w:rsidR="009D489F">
        <w:rPr>
          <w:rFonts w:asciiTheme="minorHAnsi" w:eastAsiaTheme="minorHAnsi" w:hAnsiTheme="minorHAnsi"/>
          <w:color w:val="auto"/>
          <w:szCs w:val="24"/>
        </w:rPr>
        <w:t>(</w:t>
      </w:r>
      <w:r w:rsidR="009428F2">
        <w:rPr>
          <w:rFonts w:asciiTheme="minorHAnsi" w:eastAsiaTheme="minorHAnsi" w:hAnsiTheme="minorHAnsi"/>
          <w:color w:val="auto"/>
          <w:szCs w:val="24"/>
        </w:rPr>
        <w:t>for moderately severe impairment</w:t>
      </w:r>
      <w:r w:rsidR="007A63DE">
        <w:rPr>
          <w:rFonts w:asciiTheme="minorHAnsi" w:eastAsiaTheme="minorHAnsi" w:hAnsiTheme="minorHAnsi"/>
          <w:color w:val="auto"/>
          <w:szCs w:val="24"/>
        </w:rPr>
        <w:t>)</w:t>
      </w:r>
      <w:r w:rsidR="00DA6F3A" w:rsidRPr="00281928">
        <w:rPr>
          <w:rFonts w:asciiTheme="minorHAnsi" w:eastAsiaTheme="minorHAnsi" w:hAnsiTheme="minorHAnsi"/>
          <w:color w:val="auto"/>
          <w:szCs w:val="24"/>
        </w:rPr>
        <w:t xml:space="preserve">, </w:t>
      </w:r>
      <w:r w:rsidR="00DA6F3A" w:rsidRPr="00281928">
        <w:rPr>
          <w:rFonts w:asciiTheme="minorHAnsi" w:hAnsiTheme="minorHAnsi"/>
          <w:color w:val="auto"/>
          <w:szCs w:val="24"/>
        </w:rPr>
        <w:t xml:space="preserve">IAW </w:t>
      </w:r>
      <w:r w:rsidR="0069754B">
        <w:rPr>
          <w:rFonts w:asciiTheme="minorHAnsi" w:hAnsiTheme="minorHAnsi"/>
          <w:color w:val="auto"/>
          <w:szCs w:val="24"/>
        </w:rPr>
        <w:t>the VA Schedule for Rating Disabilities (</w:t>
      </w:r>
      <w:r w:rsidR="00DA6F3A" w:rsidRPr="00281928">
        <w:rPr>
          <w:rFonts w:asciiTheme="minorHAnsi" w:hAnsiTheme="minorHAnsi"/>
          <w:color w:val="auto"/>
          <w:szCs w:val="24"/>
        </w:rPr>
        <w:t>VASRD</w:t>
      </w:r>
      <w:r w:rsidR="0069754B">
        <w:rPr>
          <w:rFonts w:asciiTheme="minorHAnsi" w:hAnsiTheme="minorHAnsi"/>
          <w:color w:val="auto"/>
          <w:szCs w:val="24"/>
        </w:rPr>
        <w:t>)</w:t>
      </w:r>
      <w:r w:rsidR="00DA6F3A" w:rsidRPr="00281928">
        <w:rPr>
          <w:rFonts w:asciiTheme="minorHAnsi" w:hAnsiTheme="minorHAnsi"/>
          <w:color w:val="auto"/>
          <w:szCs w:val="24"/>
        </w:rPr>
        <w:t xml:space="preserve"> §4.7</w:t>
      </w:r>
      <w:r w:rsidR="00532577" w:rsidRPr="00281928">
        <w:rPr>
          <w:rFonts w:asciiTheme="minorHAnsi" w:hAnsiTheme="minorHAnsi"/>
          <w:color w:val="auto"/>
          <w:szCs w:val="24"/>
        </w:rPr>
        <w:t>3</w:t>
      </w:r>
      <w:r w:rsidR="00DA6F3A" w:rsidRPr="00281928">
        <w:rPr>
          <w:rFonts w:asciiTheme="minorHAnsi" w:hAnsiTheme="minorHAnsi"/>
          <w:color w:val="auto"/>
          <w:szCs w:val="24"/>
        </w:rPr>
        <w:t>.</w:t>
      </w:r>
      <w:r w:rsidR="00DA6F3A">
        <w:rPr>
          <w:rFonts w:asciiTheme="minorHAnsi" w:hAnsiTheme="minorHAnsi"/>
          <w:color w:val="auto"/>
          <w:szCs w:val="24"/>
        </w:rPr>
        <w:t xml:space="preserve">  </w:t>
      </w:r>
      <w:r w:rsidR="009D489F">
        <w:rPr>
          <w:rFonts w:asciiTheme="minorHAnsi" w:hAnsiTheme="minorHAnsi"/>
          <w:color w:val="auto"/>
          <w:szCs w:val="24"/>
        </w:rPr>
        <w:t xml:space="preserve">The Board recommends no additional separately unfitting foot or ankle condition, or change in the PEB adjudications other than PF, and all symptoms were considered under the separate 5399-5310 coding ratings above.  </w:t>
      </w:r>
    </w:p>
    <w:p w:rsidR="00661EE6" w:rsidRPr="00661EE6" w:rsidRDefault="00661EE6" w:rsidP="003279B8">
      <w:pPr>
        <w:tabs>
          <w:tab w:val="left" w:pos="288"/>
          <w:tab w:val="left" w:pos="4752"/>
        </w:tabs>
        <w:spacing w:line="240" w:lineRule="exact"/>
        <w:jc w:val="both"/>
        <w:rPr>
          <w:rFonts w:ascii="Calibri" w:hAnsi="Calibri"/>
          <w:color w:val="auto"/>
          <w:szCs w:val="24"/>
        </w:rPr>
      </w:pPr>
    </w:p>
    <w:p w:rsidR="003279B8" w:rsidRDefault="00B85388" w:rsidP="003279B8">
      <w:pPr>
        <w:pBdr>
          <w:bottom w:val="single" w:sz="12" w:space="1" w:color="auto"/>
        </w:pBdr>
        <w:tabs>
          <w:tab w:val="left" w:pos="288"/>
          <w:tab w:val="left" w:pos="4752"/>
        </w:tabs>
        <w:spacing w:line="240" w:lineRule="exact"/>
        <w:jc w:val="both"/>
        <w:rPr>
          <w:rFonts w:asciiTheme="minorHAnsi" w:hAnsiTheme="minorHAnsi"/>
          <w:color w:val="auto"/>
          <w:szCs w:val="24"/>
        </w:rPr>
      </w:pPr>
      <w:proofErr w:type="gramStart"/>
      <w:r w:rsidRPr="00661EE6">
        <w:rPr>
          <w:rFonts w:asciiTheme="minorHAnsi" w:eastAsia="HiddenHorzOCR" w:hAnsiTheme="minorHAnsi"/>
          <w:color w:val="auto"/>
          <w:szCs w:val="24"/>
          <w:u w:val="single"/>
        </w:rPr>
        <w:t>Other Contended Conditions</w:t>
      </w:r>
      <w:r w:rsidR="004A17D1" w:rsidRPr="00661EE6">
        <w:rPr>
          <w:rFonts w:asciiTheme="minorHAnsi" w:eastAsia="HiddenHorzOCR" w:hAnsiTheme="minorHAnsi"/>
          <w:color w:val="auto"/>
          <w:szCs w:val="24"/>
        </w:rPr>
        <w:t>.</w:t>
      </w:r>
      <w:proofErr w:type="gramEnd"/>
      <w:r w:rsidR="004A17D1" w:rsidRPr="00661EE6">
        <w:rPr>
          <w:rFonts w:asciiTheme="minorHAnsi" w:eastAsia="HiddenHorzOCR" w:hAnsiTheme="minorHAnsi"/>
          <w:color w:val="auto"/>
          <w:szCs w:val="24"/>
        </w:rPr>
        <w:t xml:space="preserve">  </w:t>
      </w:r>
      <w:r w:rsidR="00733DAD" w:rsidRPr="00661EE6">
        <w:rPr>
          <w:rFonts w:asciiTheme="minorHAnsi" w:hAnsiTheme="minorHAnsi"/>
          <w:color w:val="auto"/>
          <w:szCs w:val="24"/>
        </w:rPr>
        <w:t>Other conditions identified in the DES file were</w:t>
      </w:r>
      <w:r w:rsidRPr="00661EE6">
        <w:rPr>
          <w:rFonts w:asciiTheme="minorHAnsi" w:eastAsia="HiddenHorzOCR" w:hAnsiTheme="minorHAnsi"/>
          <w:color w:val="auto"/>
          <w:szCs w:val="24"/>
        </w:rPr>
        <w:t xml:space="preserve"> </w:t>
      </w:r>
      <w:r w:rsidR="004A17D1" w:rsidRPr="00661EE6">
        <w:rPr>
          <w:rFonts w:asciiTheme="minorHAnsi" w:eastAsia="HiddenHorzOCR" w:hAnsiTheme="minorHAnsi"/>
          <w:color w:val="auto"/>
          <w:szCs w:val="24"/>
        </w:rPr>
        <w:t>GERD with non-erosive gastritis, PF</w:t>
      </w:r>
      <w:r w:rsidR="004A17D1">
        <w:rPr>
          <w:rFonts w:asciiTheme="minorHAnsi" w:eastAsia="HiddenHorzOCR" w:hAnsiTheme="minorHAnsi"/>
          <w:color w:val="auto"/>
          <w:szCs w:val="24"/>
        </w:rPr>
        <w:t>S</w:t>
      </w:r>
      <w:r w:rsidR="002B411D">
        <w:rPr>
          <w:rFonts w:asciiTheme="minorHAnsi" w:eastAsia="HiddenHorzOCR" w:hAnsiTheme="minorHAnsi"/>
          <w:color w:val="auto"/>
          <w:szCs w:val="24"/>
        </w:rPr>
        <w:t xml:space="preserve"> (noted as knee pain on the MEB history)</w:t>
      </w:r>
      <w:r w:rsidR="004A17D1">
        <w:rPr>
          <w:rFonts w:asciiTheme="minorHAnsi" w:eastAsia="HiddenHorzOCR" w:hAnsiTheme="minorHAnsi"/>
          <w:color w:val="auto"/>
          <w:szCs w:val="24"/>
        </w:rPr>
        <w:t xml:space="preserve">, left wrist strain, lumbar spine strain, </w:t>
      </w:r>
      <w:r w:rsidR="008024C6">
        <w:rPr>
          <w:rFonts w:asciiTheme="minorHAnsi" w:eastAsia="HiddenHorzOCR" w:hAnsiTheme="minorHAnsi"/>
          <w:color w:val="auto"/>
          <w:szCs w:val="24"/>
        </w:rPr>
        <w:t xml:space="preserve">and </w:t>
      </w:r>
      <w:r w:rsidR="004A17D1">
        <w:rPr>
          <w:rFonts w:asciiTheme="minorHAnsi" w:eastAsia="HiddenHorzOCR" w:hAnsiTheme="minorHAnsi"/>
          <w:color w:val="auto"/>
          <w:szCs w:val="24"/>
        </w:rPr>
        <w:t>tension headaches</w:t>
      </w:r>
      <w:r w:rsidRPr="00EC337D">
        <w:rPr>
          <w:rFonts w:asciiTheme="minorHAnsi" w:eastAsia="HiddenHorzOCR" w:hAnsiTheme="minorHAnsi"/>
          <w:color w:val="auto"/>
          <w:szCs w:val="24"/>
        </w:rPr>
        <w:t xml:space="preserve">.  </w:t>
      </w:r>
      <w:r w:rsidR="00733DAD" w:rsidRPr="00F6196E">
        <w:rPr>
          <w:rFonts w:asciiTheme="minorHAnsi" w:hAnsiTheme="minorHAnsi"/>
          <w:color w:val="auto"/>
          <w:szCs w:val="24"/>
        </w:rPr>
        <w:t xml:space="preserve">None of these conditions were clinically </w:t>
      </w:r>
      <w:r w:rsidR="00733DAD" w:rsidRPr="007A63DE">
        <w:rPr>
          <w:rFonts w:asciiTheme="minorHAnsi" w:hAnsiTheme="minorHAnsi"/>
          <w:color w:val="auto"/>
          <w:szCs w:val="24"/>
        </w:rPr>
        <w:t>significant during the MEB period</w:t>
      </w:r>
      <w:r w:rsidR="00166C50">
        <w:rPr>
          <w:rFonts w:asciiTheme="minorHAnsi" w:hAnsiTheme="minorHAnsi"/>
          <w:color w:val="auto"/>
          <w:szCs w:val="24"/>
        </w:rPr>
        <w:t xml:space="preserve">, </w:t>
      </w:r>
      <w:r w:rsidR="00733DAD" w:rsidRPr="007A63DE">
        <w:rPr>
          <w:rFonts w:asciiTheme="minorHAnsi" w:hAnsiTheme="minorHAnsi"/>
          <w:color w:val="auto"/>
          <w:szCs w:val="24"/>
        </w:rPr>
        <w:t>carried attached profiles</w:t>
      </w:r>
      <w:r w:rsidR="00166C50">
        <w:rPr>
          <w:rFonts w:asciiTheme="minorHAnsi" w:hAnsiTheme="minorHAnsi"/>
          <w:color w:val="auto"/>
          <w:szCs w:val="24"/>
        </w:rPr>
        <w:t xml:space="preserve"> or</w:t>
      </w:r>
      <w:r w:rsidR="00733DAD" w:rsidRPr="007A63DE">
        <w:rPr>
          <w:rFonts w:asciiTheme="minorHAnsi" w:hAnsiTheme="minorHAnsi"/>
          <w:color w:val="auto"/>
          <w:szCs w:val="24"/>
        </w:rPr>
        <w:t xml:space="preserve"> were implicated in the </w:t>
      </w:r>
      <w:r w:rsidR="0069754B">
        <w:rPr>
          <w:rFonts w:asciiTheme="minorHAnsi" w:hAnsiTheme="minorHAnsi"/>
          <w:color w:val="auto"/>
          <w:szCs w:val="24"/>
        </w:rPr>
        <w:t>non-medical assessment</w:t>
      </w:r>
      <w:r w:rsidR="00733DAD" w:rsidRPr="007A63DE">
        <w:rPr>
          <w:rFonts w:asciiTheme="minorHAnsi" w:hAnsiTheme="minorHAnsi"/>
          <w:color w:val="auto"/>
          <w:szCs w:val="24"/>
        </w:rPr>
        <w:t>.  These</w:t>
      </w:r>
      <w:r w:rsidR="00733DAD" w:rsidRPr="00F6196E">
        <w:rPr>
          <w:rFonts w:asciiTheme="minorHAnsi" w:hAnsiTheme="minorHAnsi"/>
          <w:color w:val="auto"/>
          <w:szCs w:val="24"/>
        </w:rPr>
        <w:t xml:space="preserve"> conditions were reviewed by the Action Officer and considered by the Board.  It was determined that none could be argued as unfitting and subject to </w:t>
      </w:r>
      <w:r w:rsidR="008024C6">
        <w:rPr>
          <w:rFonts w:asciiTheme="minorHAnsi" w:hAnsiTheme="minorHAnsi"/>
          <w:color w:val="auto"/>
          <w:szCs w:val="24"/>
        </w:rPr>
        <w:t xml:space="preserve">additional </w:t>
      </w:r>
      <w:r w:rsidR="00733DAD" w:rsidRPr="00F6196E">
        <w:rPr>
          <w:rFonts w:asciiTheme="minorHAnsi" w:hAnsiTheme="minorHAnsi"/>
          <w:color w:val="auto"/>
          <w:szCs w:val="24"/>
        </w:rPr>
        <w:t xml:space="preserve">separation rating.  No other conditions were service connected with a compensable rating by the VA within </w:t>
      </w:r>
      <w:r w:rsidR="008024C6">
        <w:rPr>
          <w:rFonts w:asciiTheme="minorHAnsi" w:hAnsiTheme="minorHAnsi"/>
          <w:color w:val="auto"/>
          <w:szCs w:val="24"/>
        </w:rPr>
        <w:t>12</w:t>
      </w:r>
      <w:r w:rsidR="00733DAD" w:rsidRPr="00F6196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r w:rsidRPr="00EC337D">
        <w:rPr>
          <w:rFonts w:asciiTheme="minorHAnsi" w:hAnsiTheme="minorHAnsi"/>
          <w:color w:val="auto"/>
          <w:szCs w:val="24"/>
        </w:rPr>
        <w:t xml:space="preserve">  </w:t>
      </w:r>
    </w:p>
    <w:p w:rsidR="003279B8" w:rsidRDefault="003279B8" w:rsidP="003279B8">
      <w:pPr>
        <w:pBdr>
          <w:bottom w:val="single" w:sz="12" w:space="1" w:color="auto"/>
        </w:pBdr>
        <w:tabs>
          <w:tab w:val="left" w:pos="288"/>
          <w:tab w:val="left" w:pos="4752"/>
        </w:tabs>
        <w:spacing w:line="240" w:lineRule="exact"/>
        <w:jc w:val="both"/>
        <w:rPr>
          <w:rFonts w:asciiTheme="minorHAnsi" w:hAnsiTheme="minorHAnsi"/>
          <w:b/>
          <w:color w:val="auto"/>
        </w:rPr>
      </w:pPr>
    </w:p>
    <w:p w:rsidR="003279B8" w:rsidRDefault="003279B8" w:rsidP="003279B8">
      <w:pPr>
        <w:tabs>
          <w:tab w:val="left" w:pos="288"/>
          <w:tab w:val="left" w:pos="4752"/>
        </w:tabs>
        <w:spacing w:line="240" w:lineRule="exact"/>
        <w:jc w:val="both"/>
        <w:rPr>
          <w:rFonts w:ascii="Calibri" w:hAnsi="Calibri"/>
          <w:color w:val="auto"/>
          <w:u w:val="single"/>
        </w:rPr>
      </w:pPr>
    </w:p>
    <w:p w:rsidR="0059368D" w:rsidRPr="0059368D" w:rsidRDefault="00C56FC8" w:rsidP="003279B8">
      <w:pPr>
        <w:spacing w:line="240" w:lineRule="exact"/>
        <w:jc w:val="both"/>
        <w:rPr>
          <w:rFonts w:ascii="Calibri" w:eastAsiaTheme="minorHAnsi" w:hAnsi="Calibri" w:cstheme="minorBid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B450BB" w:rsidRPr="00B450BB">
        <w:rPr>
          <w:rFonts w:asciiTheme="minorHAnsi" w:eastAsiaTheme="minorHAnsi" w:hAnsiTheme="minorHAnsi"/>
          <w:color w:val="auto"/>
          <w:szCs w:val="24"/>
        </w:rPr>
        <w:t xml:space="preserve">In the matter of the bilateral </w:t>
      </w:r>
      <w:r w:rsidR="0069754B">
        <w:rPr>
          <w:rFonts w:asciiTheme="minorHAnsi" w:eastAsiaTheme="minorHAnsi" w:hAnsiTheme="minorHAnsi"/>
          <w:color w:val="auto"/>
          <w:szCs w:val="24"/>
        </w:rPr>
        <w:t>PF</w:t>
      </w:r>
      <w:r w:rsidR="00B450BB" w:rsidRPr="00AE3316">
        <w:rPr>
          <w:rFonts w:asciiTheme="minorHAnsi" w:eastAsiaTheme="minorHAnsi" w:hAnsiTheme="minorHAnsi"/>
          <w:color w:val="auto"/>
          <w:szCs w:val="24"/>
        </w:rPr>
        <w:t xml:space="preserve"> condition</w:t>
      </w:r>
      <w:r w:rsidR="00B450BB" w:rsidRPr="00B450BB">
        <w:rPr>
          <w:rFonts w:asciiTheme="minorHAnsi" w:eastAsiaTheme="minorHAnsi" w:hAnsiTheme="minorHAnsi"/>
          <w:color w:val="auto"/>
          <w:szCs w:val="24"/>
        </w:rPr>
        <w:t>, the Board</w:t>
      </w:r>
      <w:r w:rsidR="00166C50">
        <w:rPr>
          <w:rFonts w:asciiTheme="minorHAnsi" w:eastAsiaTheme="minorHAnsi" w:hAnsiTheme="minorHAnsi"/>
          <w:color w:val="auto"/>
          <w:szCs w:val="24"/>
        </w:rPr>
        <w:t>,</w:t>
      </w:r>
      <w:r w:rsidR="00B450BB" w:rsidRPr="00B450BB">
        <w:rPr>
          <w:rFonts w:asciiTheme="minorHAnsi" w:eastAsiaTheme="minorHAnsi" w:hAnsiTheme="minorHAnsi"/>
          <w:color w:val="auto"/>
          <w:szCs w:val="24"/>
        </w:rPr>
        <w:t xml:space="preserve"> </w:t>
      </w:r>
      <w:r w:rsidR="007A63DE">
        <w:rPr>
          <w:rFonts w:asciiTheme="minorHAnsi" w:eastAsiaTheme="minorHAnsi" w:hAnsiTheme="minorHAnsi"/>
          <w:color w:val="auto"/>
          <w:szCs w:val="24"/>
        </w:rPr>
        <w:t>by a vote of 2:1</w:t>
      </w:r>
      <w:r w:rsidR="00166C50">
        <w:rPr>
          <w:rFonts w:asciiTheme="minorHAnsi" w:eastAsiaTheme="minorHAnsi" w:hAnsiTheme="minorHAnsi"/>
          <w:color w:val="auto"/>
          <w:szCs w:val="24"/>
        </w:rPr>
        <w:t>,</w:t>
      </w:r>
      <w:r w:rsidR="00B450BB" w:rsidRPr="00B450BB">
        <w:rPr>
          <w:rFonts w:asciiTheme="minorHAnsi" w:eastAsiaTheme="minorHAnsi" w:hAnsiTheme="minorHAnsi"/>
          <w:color w:val="auto"/>
          <w:szCs w:val="24"/>
        </w:rPr>
        <w:t xml:space="preserve"> recommends that each </w:t>
      </w:r>
      <w:r w:rsidR="00D65EFF">
        <w:rPr>
          <w:rFonts w:asciiTheme="minorHAnsi" w:eastAsiaTheme="minorHAnsi" w:hAnsiTheme="minorHAnsi"/>
          <w:color w:val="auto"/>
          <w:szCs w:val="24"/>
        </w:rPr>
        <w:t>foot</w:t>
      </w:r>
      <w:r w:rsidR="00B450BB" w:rsidRPr="00B450BB">
        <w:rPr>
          <w:rFonts w:asciiTheme="minorHAnsi" w:eastAsiaTheme="minorHAnsi" w:hAnsiTheme="minorHAnsi"/>
          <w:color w:val="auto"/>
          <w:szCs w:val="24"/>
        </w:rPr>
        <w:t xml:space="preserve"> be separately adjudicated as follows: an unfitting right </w:t>
      </w:r>
      <w:r w:rsidR="0069754B">
        <w:rPr>
          <w:rFonts w:asciiTheme="minorHAnsi" w:eastAsiaTheme="minorHAnsi" w:hAnsiTheme="minorHAnsi"/>
          <w:color w:val="auto"/>
          <w:szCs w:val="24"/>
        </w:rPr>
        <w:t>PF</w:t>
      </w:r>
      <w:r w:rsidR="00B450BB" w:rsidRPr="00B450BB">
        <w:rPr>
          <w:rFonts w:asciiTheme="minorHAnsi" w:eastAsiaTheme="minorHAnsi" w:hAnsiTheme="minorHAnsi"/>
          <w:color w:val="auto"/>
          <w:szCs w:val="24"/>
        </w:rPr>
        <w:t xml:space="preserve"> condition coded </w:t>
      </w:r>
      <w:r w:rsidR="00D65EFF">
        <w:rPr>
          <w:rFonts w:asciiTheme="minorHAnsi" w:eastAsiaTheme="minorHAnsi" w:hAnsiTheme="minorHAnsi"/>
          <w:color w:val="auto"/>
          <w:szCs w:val="24"/>
        </w:rPr>
        <w:t>5399-5310</w:t>
      </w:r>
      <w:r w:rsidR="00D65EFF" w:rsidRPr="00AE3316">
        <w:rPr>
          <w:rFonts w:asciiTheme="minorHAnsi" w:eastAsiaTheme="minorHAnsi" w:hAnsiTheme="minorHAnsi"/>
          <w:color w:val="auto"/>
          <w:szCs w:val="24"/>
        </w:rPr>
        <w:t xml:space="preserve"> </w:t>
      </w:r>
      <w:r w:rsidR="00B450BB" w:rsidRPr="00B450BB">
        <w:rPr>
          <w:rFonts w:asciiTheme="minorHAnsi" w:eastAsiaTheme="minorHAnsi" w:hAnsiTheme="minorHAnsi"/>
          <w:color w:val="auto"/>
          <w:szCs w:val="24"/>
        </w:rPr>
        <w:t xml:space="preserve">and rated </w:t>
      </w:r>
      <w:r w:rsidR="00B450BB" w:rsidRPr="007A63DE">
        <w:rPr>
          <w:rFonts w:asciiTheme="minorHAnsi" w:eastAsiaTheme="minorHAnsi" w:hAnsiTheme="minorHAnsi"/>
          <w:color w:val="auto"/>
          <w:szCs w:val="24"/>
        </w:rPr>
        <w:t>0%;</w:t>
      </w:r>
      <w:r w:rsidR="00B450BB" w:rsidRPr="00B450BB">
        <w:rPr>
          <w:rFonts w:asciiTheme="minorHAnsi" w:eastAsiaTheme="minorHAnsi" w:hAnsiTheme="minorHAnsi"/>
          <w:color w:val="auto"/>
          <w:szCs w:val="24"/>
        </w:rPr>
        <w:t xml:space="preserve"> and, an unfitting left </w:t>
      </w:r>
      <w:r w:rsidR="0069754B">
        <w:rPr>
          <w:rFonts w:asciiTheme="minorHAnsi" w:eastAsiaTheme="minorHAnsi" w:hAnsiTheme="minorHAnsi"/>
          <w:color w:val="auto"/>
          <w:szCs w:val="24"/>
        </w:rPr>
        <w:t>PF</w:t>
      </w:r>
      <w:r w:rsidR="00B450BB" w:rsidRPr="00B450BB">
        <w:rPr>
          <w:rFonts w:asciiTheme="minorHAnsi" w:eastAsiaTheme="minorHAnsi" w:hAnsiTheme="minorHAnsi"/>
          <w:color w:val="auto"/>
          <w:szCs w:val="24"/>
        </w:rPr>
        <w:t xml:space="preserve"> condition coded </w:t>
      </w:r>
      <w:r w:rsidR="00D65EFF">
        <w:rPr>
          <w:rFonts w:asciiTheme="minorHAnsi" w:eastAsiaTheme="minorHAnsi" w:hAnsiTheme="minorHAnsi"/>
          <w:color w:val="auto"/>
          <w:szCs w:val="24"/>
        </w:rPr>
        <w:t>5399-5310</w:t>
      </w:r>
      <w:r w:rsidR="00D65EFF" w:rsidRPr="00AE3316">
        <w:rPr>
          <w:rFonts w:asciiTheme="minorHAnsi" w:eastAsiaTheme="minorHAnsi" w:hAnsiTheme="minorHAnsi"/>
          <w:color w:val="auto"/>
          <w:szCs w:val="24"/>
        </w:rPr>
        <w:t xml:space="preserve"> </w:t>
      </w:r>
      <w:r w:rsidR="00B450BB" w:rsidRPr="00B450BB">
        <w:rPr>
          <w:rFonts w:asciiTheme="minorHAnsi" w:eastAsiaTheme="minorHAnsi" w:hAnsiTheme="minorHAnsi"/>
          <w:color w:val="auto"/>
          <w:szCs w:val="24"/>
        </w:rPr>
        <w:t xml:space="preserve">and rated </w:t>
      </w:r>
      <w:r w:rsidR="007A63DE">
        <w:rPr>
          <w:rFonts w:asciiTheme="minorHAnsi" w:eastAsiaTheme="minorHAnsi" w:hAnsiTheme="minorHAnsi"/>
          <w:color w:val="auto"/>
          <w:szCs w:val="24"/>
        </w:rPr>
        <w:t>2</w:t>
      </w:r>
      <w:r w:rsidR="00B450BB" w:rsidRPr="007A63DE">
        <w:rPr>
          <w:rFonts w:asciiTheme="minorHAnsi" w:eastAsiaTheme="minorHAnsi" w:hAnsiTheme="minorHAnsi"/>
          <w:color w:val="auto"/>
          <w:szCs w:val="24"/>
        </w:rPr>
        <w:t>0%;</w:t>
      </w:r>
      <w:r w:rsidR="00B450BB" w:rsidRPr="00B450BB">
        <w:rPr>
          <w:rFonts w:asciiTheme="minorHAnsi" w:eastAsiaTheme="minorHAnsi" w:hAnsiTheme="minorHAnsi"/>
          <w:color w:val="auto"/>
          <w:szCs w:val="24"/>
        </w:rPr>
        <w:t xml:space="preserve"> both IAW VASRD </w:t>
      </w:r>
      <w:r w:rsidR="00B450BB" w:rsidRPr="007A63DE">
        <w:rPr>
          <w:rFonts w:asciiTheme="minorHAnsi" w:eastAsiaTheme="minorHAnsi" w:hAnsiTheme="minorHAnsi"/>
          <w:color w:val="auto"/>
          <w:szCs w:val="24"/>
        </w:rPr>
        <w:t>§4.73.</w:t>
      </w:r>
      <w:r w:rsidR="003279B8">
        <w:rPr>
          <w:rFonts w:asciiTheme="minorHAnsi" w:eastAsiaTheme="minorHAnsi" w:hAnsiTheme="minorHAnsi"/>
          <w:color w:val="auto"/>
          <w:szCs w:val="24"/>
        </w:rPr>
        <w:t xml:space="preserve"> </w:t>
      </w:r>
      <w:r w:rsidR="003207AD">
        <w:rPr>
          <w:rFonts w:asciiTheme="minorHAnsi" w:eastAsiaTheme="minorHAnsi" w:hAnsiTheme="minorHAnsi"/>
          <w:color w:val="auto"/>
          <w:szCs w:val="24"/>
        </w:rPr>
        <w:t xml:space="preserve"> </w:t>
      </w:r>
      <w:r w:rsidR="007A63DE">
        <w:rPr>
          <w:rFonts w:asciiTheme="minorHAnsi" w:hAnsiTheme="minorHAnsi"/>
          <w:color w:val="auto"/>
          <w:szCs w:val="24"/>
        </w:rPr>
        <w:t xml:space="preserve">The dissenting voter </w:t>
      </w:r>
      <w:r w:rsidR="00166C50">
        <w:rPr>
          <w:rFonts w:asciiTheme="minorHAnsi" w:hAnsiTheme="minorHAnsi"/>
          <w:color w:val="auto"/>
          <w:szCs w:val="24"/>
        </w:rPr>
        <w:t xml:space="preserve">recommended that the right foot be rated at 10%, </w:t>
      </w:r>
      <w:r w:rsidR="003207AD">
        <w:rPr>
          <w:rFonts w:asciiTheme="minorHAnsi" w:hAnsiTheme="minorHAnsi"/>
          <w:color w:val="auto"/>
          <w:szCs w:val="24"/>
        </w:rPr>
        <w:t xml:space="preserve">versus 0%, </w:t>
      </w:r>
      <w:r w:rsidR="00166C50">
        <w:rPr>
          <w:rFonts w:asciiTheme="minorHAnsi" w:hAnsiTheme="minorHAnsi"/>
          <w:color w:val="auto"/>
          <w:szCs w:val="24"/>
        </w:rPr>
        <w:t xml:space="preserve">but </w:t>
      </w:r>
      <w:r w:rsidR="007A63DE">
        <w:rPr>
          <w:rFonts w:asciiTheme="minorHAnsi" w:hAnsiTheme="minorHAnsi"/>
          <w:color w:val="auto"/>
          <w:szCs w:val="24"/>
        </w:rPr>
        <w:t xml:space="preserve">did not elect to submit a minority </w:t>
      </w:r>
      <w:r w:rsidR="007A63DE" w:rsidRPr="00A12511">
        <w:rPr>
          <w:rFonts w:asciiTheme="minorHAnsi" w:hAnsiTheme="minorHAnsi"/>
          <w:color w:val="000000" w:themeColor="text1"/>
          <w:szCs w:val="24"/>
        </w:rPr>
        <w:t>opinion.</w:t>
      </w:r>
      <w:r w:rsidR="003E53BD" w:rsidRPr="00A12511">
        <w:rPr>
          <w:rFonts w:ascii="Calibri" w:eastAsiaTheme="minorHAnsi" w:hAnsi="Calibri" w:cstheme="minorBidi"/>
          <w:color w:val="000000" w:themeColor="text1"/>
          <w:szCs w:val="24"/>
        </w:rPr>
        <w:t xml:space="preserve">  </w:t>
      </w:r>
      <w:r w:rsidR="009D489F" w:rsidRPr="00A12511">
        <w:rPr>
          <w:rFonts w:ascii="Calibri" w:eastAsiaTheme="minorHAnsi" w:hAnsi="Calibri" w:cstheme="minorBidi"/>
          <w:color w:val="000000" w:themeColor="text1"/>
          <w:szCs w:val="24"/>
        </w:rPr>
        <w:t xml:space="preserve">In the matter of the </w:t>
      </w:r>
      <w:r w:rsidR="0069754B">
        <w:rPr>
          <w:rFonts w:ascii="Calibri" w:eastAsiaTheme="minorHAnsi" w:hAnsi="Calibri" w:cstheme="minorBidi"/>
          <w:color w:val="000000" w:themeColor="text1"/>
          <w:szCs w:val="24"/>
        </w:rPr>
        <w:t>l</w:t>
      </w:r>
      <w:r w:rsidR="009D489F" w:rsidRPr="00A12511">
        <w:rPr>
          <w:rFonts w:ascii="Calibri" w:eastAsiaTheme="minorHAnsi" w:hAnsi="Calibri" w:cstheme="minorBidi"/>
          <w:color w:val="000000" w:themeColor="text1"/>
          <w:szCs w:val="24"/>
        </w:rPr>
        <w:t xml:space="preserve">eft </w:t>
      </w:r>
      <w:r w:rsidR="0069754B">
        <w:rPr>
          <w:rFonts w:ascii="Calibri" w:eastAsiaTheme="minorHAnsi" w:hAnsi="Calibri" w:cstheme="minorBidi"/>
          <w:color w:val="000000" w:themeColor="text1"/>
          <w:szCs w:val="24"/>
        </w:rPr>
        <w:t>h</w:t>
      </w:r>
      <w:r w:rsidR="009D489F" w:rsidRPr="00A12511">
        <w:rPr>
          <w:rFonts w:ascii="Calibri" w:eastAsiaTheme="minorHAnsi" w:hAnsi="Calibri" w:cstheme="minorBidi"/>
          <w:color w:val="000000" w:themeColor="text1"/>
          <w:szCs w:val="24"/>
        </w:rPr>
        <w:t xml:space="preserve">eel </w:t>
      </w:r>
      <w:r w:rsidR="0069754B">
        <w:rPr>
          <w:rFonts w:ascii="Calibri" w:eastAsiaTheme="minorHAnsi" w:hAnsi="Calibri" w:cstheme="minorBidi"/>
          <w:color w:val="000000" w:themeColor="text1"/>
          <w:szCs w:val="24"/>
        </w:rPr>
        <w:t>s</w:t>
      </w:r>
      <w:r w:rsidR="009D489F" w:rsidRPr="00A12511">
        <w:rPr>
          <w:rFonts w:ascii="Calibri" w:eastAsiaTheme="minorHAnsi" w:hAnsi="Calibri" w:cstheme="minorBidi"/>
          <w:color w:val="000000" w:themeColor="text1"/>
          <w:szCs w:val="24"/>
        </w:rPr>
        <w:t xml:space="preserve">pur </w:t>
      </w:r>
      <w:r w:rsidR="0069754B">
        <w:rPr>
          <w:rFonts w:ascii="Calibri" w:eastAsiaTheme="minorHAnsi" w:hAnsi="Calibri" w:cstheme="minorBidi"/>
          <w:color w:val="000000" w:themeColor="text1"/>
          <w:szCs w:val="24"/>
        </w:rPr>
        <w:t>r</w:t>
      </w:r>
      <w:r w:rsidR="009D489F" w:rsidRPr="00A12511">
        <w:rPr>
          <w:rFonts w:ascii="Calibri" w:eastAsiaTheme="minorHAnsi" w:hAnsi="Calibri" w:cstheme="minorBidi"/>
          <w:color w:val="000000" w:themeColor="text1"/>
          <w:szCs w:val="24"/>
        </w:rPr>
        <w:t xml:space="preserve">esection, bilateral foot degenerative changes, </w:t>
      </w:r>
      <w:r w:rsidR="0069754B">
        <w:rPr>
          <w:rFonts w:ascii="Calibri" w:eastAsiaTheme="minorHAnsi" w:hAnsi="Calibri" w:cstheme="minorBidi"/>
          <w:color w:val="000000" w:themeColor="text1"/>
          <w:szCs w:val="24"/>
        </w:rPr>
        <w:t>l</w:t>
      </w:r>
      <w:r w:rsidR="009D489F" w:rsidRPr="00A12511">
        <w:rPr>
          <w:rFonts w:ascii="Calibri" w:eastAsiaTheme="minorHAnsi" w:hAnsi="Calibri" w:cstheme="minorBidi"/>
          <w:color w:val="000000" w:themeColor="text1"/>
          <w:szCs w:val="24"/>
        </w:rPr>
        <w:t xml:space="preserve">eft peroneal tendinitis and bilateral </w:t>
      </w:r>
      <w:proofErr w:type="spellStart"/>
      <w:r w:rsidR="009D489F" w:rsidRPr="00A12511">
        <w:rPr>
          <w:rFonts w:ascii="Calibri" w:eastAsiaTheme="minorHAnsi" w:hAnsi="Calibri" w:cstheme="minorBidi"/>
          <w:color w:val="000000" w:themeColor="text1"/>
          <w:szCs w:val="24"/>
        </w:rPr>
        <w:t>gastrocnemius</w:t>
      </w:r>
      <w:proofErr w:type="spellEnd"/>
      <w:r w:rsidR="009D489F" w:rsidRPr="00A12511">
        <w:rPr>
          <w:rFonts w:ascii="Calibri" w:eastAsiaTheme="minorHAnsi" w:hAnsi="Calibri" w:cstheme="minorBidi"/>
          <w:color w:val="000000" w:themeColor="text1"/>
          <w:szCs w:val="24"/>
        </w:rPr>
        <w:t xml:space="preserve"> </w:t>
      </w:r>
      <w:proofErr w:type="spellStart"/>
      <w:r w:rsidR="00A614EC">
        <w:rPr>
          <w:rFonts w:ascii="Calibri" w:eastAsiaTheme="minorHAnsi" w:hAnsi="Calibri" w:cstheme="minorBidi"/>
          <w:color w:val="000000" w:themeColor="text1"/>
          <w:szCs w:val="24"/>
        </w:rPr>
        <w:t>e</w:t>
      </w:r>
      <w:r w:rsidR="009D489F" w:rsidRPr="00A12511">
        <w:rPr>
          <w:rFonts w:ascii="Calibri" w:eastAsiaTheme="minorHAnsi" w:hAnsi="Calibri" w:cstheme="minorBidi"/>
          <w:color w:val="000000" w:themeColor="text1"/>
          <w:szCs w:val="24"/>
        </w:rPr>
        <w:t>quinus</w:t>
      </w:r>
      <w:proofErr w:type="spellEnd"/>
      <w:r w:rsidR="009D489F" w:rsidRPr="00A12511">
        <w:rPr>
          <w:rFonts w:ascii="Calibri" w:eastAsiaTheme="minorHAnsi" w:hAnsi="Calibri" w:cstheme="minorBidi"/>
          <w:color w:val="000000" w:themeColor="text1"/>
          <w:szCs w:val="24"/>
        </w:rPr>
        <w:t xml:space="preserve"> conditions, the Board unanimously recommends no recharacterization of the PEB adjudications as not separately unfitting as </w:t>
      </w:r>
      <w:r w:rsidR="00A12511" w:rsidRPr="00A12511">
        <w:rPr>
          <w:rFonts w:asciiTheme="minorHAnsi" w:hAnsiTheme="minorHAnsi"/>
          <w:color w:val="000000" w:themeColor="text1"/>
          <w:szCs w:val="24"/>
        </w:rPr>
        <w:t>they</w:t>
      </w:r>
      <w:r w:rsidR="009D489F" w:rsidRPr="00A12511">
        <w:rPr>
          <w:rFonts w:asciiTheme="minorHAnsi" w:hAnsiTheme="minorHAnsi"/>
          <w:color w:val="000000" w:themeColor="text1"/>
          <w:szCs w:val="24"/>
        </w:rPr>
        <w:t xml:space="preserve"> were considered under the </w:t>
      </w:r>
      <w:r w:rsidR="00A12511" w:rsidRPr="00A12511">
        <w:rPr>
          <w:rFonts w:asciiTheme="minorHAnsi" w:hAnsiTheme="minorHAnsi"/>
          <w:color w:val="000000" w:themeColor="text1"/>
          <w:szCs w:val="24"/>
        </w:rPr>
        <w:t xml:space="preserve">unfitting left and right </w:t>
      </w:r>
      <w:r w:rsidR="00A12511" w:rsidRPr="00A12511">
        <w:rPr>
          <w:rFonts w:asciiTheme="minorHAnsi" w:eastAsiaTheme="minorHAnsi" w:hAnsiTheme="minorHAnsi"/>
          <w:color w:val="000000" w:themeColor="text1"/>
          <w:szCs w:val="24"/>
        </w:rPr>
        <w:t>plantar fasciitis condition</w:t>
      </w:r>
      <w:r w:rsidR="00A12511" w:rsidRPr="00A12511">
        <w:rPr>
          <w:rFonts w:asciiTheme="minorHAnsi" w:hAnsiTheme="minorHAnsi"/>
          <w:color w:val="000000" w:themeColor="text1"/>
          <w:szCs w:val="24"/>
        </w:rPr>
        <w:t xml:space="preserve"> </w:t>
      </w:r>
      <w:r w:rsidR="009D489F" w:rsidRPr="00A12511">
        <w:rPr>
          <w:rFonts w:asciiTheme="minorHAnsi" w:hAnsiTheme="minorHAnsi"/>
          <w:color w:val="000000" w:themeColor="text1"/>
          <w:szCs w:val="24"/>
        </w:rPr>
        <w:t xml:space="preserve">ratings.  </w:t>
      </w:r>
      <w:r w:rsidR="003E53BD" w:rsidRPr="00A12511">
        <w:rPr>
          <w:rFonts w:ascii="Calibri" w:eastAsiaTheme="minorHAnsi" w:hAnsi="Calibri" w:cstheme="minorBidi"/>
          <w:color w:val="000000" w:themeColor="text1"/>
          <w:szCs w:val="24"/>
        </w:rPr>
        <w:t xml:space="preserve">The Board unanimously agrees that there were no other conditions eligible </w:t>
      </w:r>
      <w:r w:rsidR="003E53BD" w:rsidRPr="00A12511">
        <w:rPr>
          <w:rFonts w:ascii="Calibri" w:eastAsiaTheme="minorHAnsi" w:hAnsi="Calibri" w:cstheme="minorBidi"/>
          <w:color w:val="000000" w:themeColor="text1"/>
          <w:szCs w:val="24"/>
        </w:rPr>
        <w:lastRenderedPageBreak/>
        <w:t xml:space="preserve">for Board consideration which </w:t>
      </w:r>
      <w:r w:rsidR="003E53BD" w:rsidRPr="003E53BD">
        <w:rPr>
          <w:rFonts w:ascii="Calibri" w:eastAsiaTheme="minorHAnsi" w:hAnsi="Calibri" w:cstheme="minorBidi"/>
          <w:color w:val="auto"/>
          <w:szCs w:val="24"/>
        </w:rPr>
        <w:t>could be recommended as additionally unfitting for rating at separation.</w:t>
      </w:r>
    </w:p>
    <w:p w:rsidR="003279B8" w:rsidRDefault="003279B8" w:rsidP="003279B8">
      <w:pPr>
        <w:pBdr>
          <w:bottom w:val="single" w:sz="12" w:space="1" w:color="auto"/>
        </w:pBdr>
        <w:tabs>
          <w:tab w:val="left" w:pos="288"/>
          <w:tab w:val="left" w:pos="4752"/>
        </w:tabs>
        <w:spacing w:line="240" w:lineRule="exact"/>
        <w:jc w:val="both"/>
        <w:rPr>
          <w:rFonts w:asciiTheme="minorHAnsi" w:hAnsiTheme="minorHAnsi"/>
          <w:b/>
          <w:color w:val="auto"/>
        </w:rPr>
      </w:pPr>
    </w:p>
    <w:p w:rsidR="003279B8" w:rsidRDefault="003279B8" w:rsidP="003279B8">
      <w:pPr>
        <w:tabs>
          <w:tab w:val="left" w:pos="288"/>
          <w:tab w:val="left" w:pos="4752"/>
        </w:tabs>
        <w:spacing w:line="240" w:lineRule="exact"/>
        <w:jc w:val="both"/>
        <w:rPr>
          <w:rFonts w:ascii="Calibri" w:hAnsi="Calibri"/>
          <w:color w:val="auto"/>
          <w:u w:val="single"/>
        </w:rPr>
      </w:pPr>
    </w:p>
    <w:p w:rsidR="00166C50" w:rsidRPr="00834049" w:rsidRDefault="00166C50" w:rsidP="00166C50">
      <w:pPr>
        <w:tabs>
          <w:tab w:val="left" w:pos="288"/>
          <w:tab w:val="left" w:pos="4752"/>
        </w:tabs>
        <w:spacing w:line="240" w:lineRule="exact"/>
        <w:jc w:val="both"/>
        <w:rPr>
          <w:color w:val="auto"/>
        </w:rPr>
      </w:pPr>
      <w:r w:rsidRPr="00834049">
        <w:rPr>
          <w:rFonts w:asciiTheme="minorHAnsi" w:hAnsiTheme="minorHAnsi"/>
          <w:color w:val="auto"/>
          <w:szCs w:val="24"/>
          <w:u w:val="single"/>
        </w:rPr>
        <w:t>RECOMMENDATION</w:t>
      </w:r>
      <w:r w:rsidRPr="00834049">
        <w:rPr>
          <w:rFonts w:asciiTheme="minorHAnsi" w:hAnsiTheme="minorHAnsi"/>
          <w:color w:val="auto"/>
          <w:szCs w:val="24"/>
        </w:rPr>
        <w:t xml:space="preserve">: </w:t>
      </w:r>
      <w:r>
        <w:rPr>
          <w:rFonts w:asciiTheme="minorHAnsi" w:hAnsiTheme="minorHAnsi"/>
          <w:color w:val="auto"/>
          <w:szCs w:val="24"/>
        </w:rPr>
        <w:t xml:space="preserve"> </w:t>
      </w:r>
      <w:r w:rsidRPr="00D65EFF">
        <w:rPr>
          <w:rFonts w:asciiTheme="minorHAnsi" w:hAnsiTheme="minorHAnsi"/>
          <w:color w:val="auto"/>
          <w:szCs w:val="24"/>
        </w:rPr>
        <w:t>The Board recommends that the CI’s prior determination be mo</w:t>
      </w:r>
      <w:r>
        <w:rPr>
          <w:rFonts w:asciiTheme="minorHAnsi" w:hAnsiTheme="minorHAnsi"/>
          <w:color w:val="auto"/>
          <w:szCs w:val="24"/>
        </w:rPr>
        <w:t>dified as follows</w:t>
      </w:r>
      <w:r w:rsidRPr="00D65EFF">
        <w:rPr>
          <w:rFonts w:asciiTheme="minorHAnsi" w:hAnsiTheme="minorHAnsi"/>
          <w:color w:val="auto"/>
          <w:szCs w:val="24"/>
        </w:rPr>
        <w:t>, effective as of the date of his prior medical separation.</w:t>
      </w:r>
    </w:p>
    <w:p w:rsidR="00166C50" w:rsidRPr="00834049" w:rsidRDefault="00166C50" w:rsidP="00166C50">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5"/>
        <w:gridCol w:w="2205"/>
        <w:gridCol w:w="1080"/>
      </w:tblGrid>
      <w:tr w:rsidR="00166C50" w:rsidRPr="00834049" w:rsidTr="00005B80">
        <w:trPr>
          <w:trHeight w:val="287"/>
          <w:jc w:val="center"/>
        </w:trPr>
        <w:tc>
          <w:tcPr>
            <w:tcW w:w="5985" w:type="dxa"/>
            <w:shd w:val="clear" w:color="auto" w:fill="D9D9D9"/>
          </w:tcPr>
          <w:p w:rsidR="00166C50" w:rsidRPr="00834049" w:rsidRDefault="00166C50" w:rsidP="00336778">
            <w:pPr>
              <w:tabs>
                <w:tab w:val="left" w:pos="288"/>
                <w:tab w:val="left" w:pos="4752"/>
              </w:tabs>
              <w:spacing w:before="40" w:line="240" w:lineRule="exact"/>
              <w:jc w:val="center"/>
              <w:rPr>
                <w:rFonts w:asciiTheme="minorHAnsi" w:hAnsiTheme="minorHAnsi"/>
                <w:b/>
                <w:color w:val="auto"/>
                <w:szCs w:val="24"/>
              </w:rPr>
            </w:pPr>
            <w:r w:rsidRPr="00834049">
              <w:rPr>
                <w:rFonts w:asciiTheme="minorHAnsi" w:hAnsiTheme="minorHAnsi"/>
                <w:b/>
                <w:color w:val="auto"/>
                <w:szCs w:val="24"/>
              </w:rPr>
              <w:t>UNFITTING CONDITION</w:t>
            </w:r>
          </w:p>
        </w:tc>
        <w:tc>
          <w:tcPr>
            <w:tcW w:w="2205" w:type="dxa"/>
            <w:shd w:val="clear" w:color="auto" w:fill="D9D9D9"/>
          </w:tcPr>
          <w:p w:rsidR="00166C50" w:rsidRPr="00834049" w:rsidRDefault="00166C50" w:rsidP="00336778">
            <w:pPr>
              <w:tabs>
                <w:tab w:val="left" w:pos="288"/>
                <w:tab w:val="left" w:pos="4752"/>
              </w:tabs>
              <w:spacing w:before="40" w:line="240" w:lineRule="exact"/>
              <w:jc w:val="center"/>
              <w:rPr>
                <w:rFonts w:asciiTheme="minorHAnsi" w:hAnsiTheme="minorHAnsi"/>
                <w:b/>
                <w:color w:val="auto"/>
                <w:szCs w:val="24"/>
              </w:rPr>
            </w:pPr>
            <w:r w:rsidRPr="00834049">
              <w:rPr>
                <w:rFonts w:asciiTheme="minorHAnsi" w:hAnsiTheme="minorHAnsi"/>
                <w:b/>
                <w:color w:val="auto"/>
                <w:szCs w:val="24"/>
              </w:rPr>
              <w:t>VASRD CODE</w:t>
            </w:r>
          </w:p>
        </w:tc>
        <w:tc>
          <w:tcPr>
            <w:tcW w:w="1080" w:type="dxa"/>
            <w:shd w:val="clear" w:color="auto" w:fill="D9D9D9"/>
          </w:tcPr>
          <w:p w:rsidR="00166C50" w:rsidRPr="00834049" w:rsidRDefault="00166C50" w:rsidP="00336778">
            <w:pPr>
              <w:tabs>
                <w:tab w:val="left" w:pos="288"/>
                <w:tab w:val="left" w:pos="4752"/>
              </w:tabs>
              <w:spacing w:before="40" w:line="240" w:lineRule="exact"/>
              <w:jc w:val="center"/>
              <w:rPr>
                <w:rFonts w:asciiTheme="minorHAnsi" w:hAnsiTheme="minorHAnsi"/>
                <w:b/>
                <w:color w:val="auto"/>
                <w:szCs w:val="24"/>
              </w:rPr>
            </w:pPr>
            <w:r w:rsidRPr="00834049">
              <w:rPr>
                <w:rFonts w:asciiTheme="minorHAnsi" w:hAnsiTheme="minorHAnsi"/>
                <w:b/>
                <w:color w:val="auto"/>
                <w:szCs w:val="24"/>
              </w:rPr>
              <w:t>RATING</w:t>
            </w:r>
          </w:p>
        </w:tc>
      </w:tr>
      <w:tr w:rsidR="00166C50" w:rsidRPr="00834049" w:rsidTr="00005B80">
        <w:trPr>
          <w:jc w:val="center"/>
        </w:trPr>
        <w:tc>
          <w:tcPr>
            <w:tcW w:w="5985" w:type="dxa"/>
          </w:tcPr>
          <w:p w:rsidR="00166C50" w:rsidRPr="00834049" w:rsidRDefault="00166C50" w:rsidP="00336778">
            <w:pPr>
              <w:tabs>
                <w:tab w:val="left" w:pos="288"/>
                <w:tab w:val="left" w:pos="4752"/>
              </w:tabs>
              <w:spacing w:before="20" w:after="20"/>
              <w:rPr>
                <w:rFonts w:asciiTheme="minorHAnsi" w:hAnsiTheme="minorHAnsi"/>
                <w:color w:val="auto"/>
                <w:szCs w:val="24"/>
              </w:rPr>
            </w:pPr>
            <w:r w:rsidRPr="00834049">
              <w:rPr>
                <w:rFonts w:asciiTheme="minorHAnsi" w:hAnsiTheme="minorHAnsi"/>
                <w:color w:val="auto"/>
                <w:szCs w:val="24"/>
              </w:rPr>
              <w:t xml:space="preserve">Left </w:t>
            </w:r>
            <w:r>
              <w:rPr>
                <w:rFonts w:asciiTheme="minorHAnsi" w:hAnsiTheme="minorHAnsi"/>
                <w:color w:val="auto"/>
                <w:szCs w:val="24"/>
              </w:rPr>
              <w:t>P</w:t>
            </w:r>
            <w:r w:rsidRPr="00834049">
              <w:rPr>
                <w:rFonts w:asciiTheme="minorHAnsi" w:hAnsiTheme="minorHAnsi"/>
                <w:color w:val="auto"/>
                <w:szCs w:val="24"/>
              </w:rPr>
              <w:t xml:space="preserve">lantar </w:t>
            </w:r>
            <w:r>
              <w:rPr>
                <w:rFonts w:asciiTheme="minorHAnsi" w:hAnsiTheme="minorHAnsi"/>
                <w:color w:val="auto"/>
                <w:szCs w:val="24"/>
              </w:rPr>
              <w:t>F</w:t>
            </w:r>
            <w:r w:rsidRPr="00834049">
              <w:rPr>
                <w:rFonts w:asciiTheme="minorHAnsi" w:hAnsiTheme="minorHAnsi"/>
                <w:color w:val="auto"/>
                <w:szCs w:val="24"/>
              </w:rPr>
              <w:t>asciitis</w:t>
            </w:r>
            <w:r>
              <w:rPr>
                <w:rFonts w:asciiTheme="minorHAnsi" w:hAnsiTheme="minorHAnsi"/>
                <w:color w:val="auto"/>
                <w:szCs w:val="24"/>
              </w:rPr>
              <w:t>, s/p left heel spur resection, degenerative changes in the rear foot and peroneal tendonitis on the left ankle</w:t>
            </w:r>
          </w:p>
        </w:tc>
        <w:tc>
          <w:tcPr>
            <w:tcW w:w="2205" w:type="dxa"/>
          </w:tcPr>
          <w:p w:rsidR="00166C50" w:rsidRPr="007A63DE" w:rsidRDefault="00166C50" w:rsidP="00336778">
            <w:pPr>
              <w:tabs>
                <w:tab w:val="left" w:pos="288"/>
                <w:tab w:val="left" w:pos="4752"/>
              </w:tabs>
              <w:spacing w:before="20" w:after="20" w:line="240" w:lineRule="exact"/>
              <w:jc w:val="center"/>
              <w:rPr>
                <w:rFonts w:asciiTheme="minorHAnsi" w:hAnsiTheme="minorHAnsi"/>
                <w:color w:val="auto"/>
                <w:szCs w:val="24"/>
              </w:rPr>
            </w:pPr>
            <w:r w:rsidRPr="007A63DE">
              <w:rPr>
                <w:rFonts w:asciiTheme="minorHAnsi" w:hAnsiTheme="minorHAnsi"/>
                <w:color w:val="auto"/>
                <w:szCs w:val="24"/>
              </w:rPr>
              <w:t>5399-5310</w:t>
            </w:r>
          </w:p>
        </w:tc>
        <w:tc>
          <w:tcPr>
            <w:tcW w:w="1080" w:type="dxa"/>
          </w:tcPr>
          <w:p w:rsidR="00166C50" w:rsidRPr="007A63DE" w:rsidRDefault="00166C50" w:rsidP="00336778">
            <w:pPr>
              <w:tabs>
                <w:tab w:val="left" w:pos="288"/>
                <w:tab w:val="left" w:pos="4752"/>
              </w:tabs>
              <w:spacing w:before="20" w:after="20" w:line="240" w:lineRule="exact"/>
              <w:jc w:val="center"/>
              <w:rPr>
                <w:rFonts w:asciiTheme="minorHAnsi" w:hAnsiTheme="minorHAnsi"/>
                <w:color w:val="auto"/>
                <w:szCs w:val="24"/>
              </w:rPr>
            </w:pPr>
            <w:r w:rsidRPr="007A63DE">
              <w:rPr>
                <w:rFonts w:asciiTheme="minorHAnsi" w:hAnsiTheme="minorHAnsi"/>
                <w:color w:val="auto"/>
                <w:szCs w:val="24"/>
              </w:rPr>
              <w:t>20%</w:t>
            </w:r>
          </w:p>
        </w:tc>
      </w:tr>
      <w:tr w:rsidR="00166C50" w:rsidRPr="00834049" w:rsidTr="00005B80">
        <w:trPr>
          <w:jc w:val="center"/>
        </w:trPr>
        <w:tc>
          <w:tcPr>
            <w:tcW w:w="5985" w:type="dxa"/>
          </w:tcPr>
          <w:p w:rsidR="00166C50" w:rsidRPr="00834049" w:rsidRDefault="00166C50" w:rsidP="00336778">
            <w:pPr>
              <w:tabs>
                <w:tab w:val="left" w:pos="288"/>
                <w:tab w:val="left" w:pos="4752"/>
              </w:tabs>
              <w:spacing w:before="20" w:after="20"/>
              <w:rPr>
                <w:rFonts w:asciiTheme="minorHAnsi" w:hAnsiTheme="minorHAnsi"/>
                <w:color w:val="auto"/>
                <w:szCs w:val="24"/>
              </w:rPr>
            </w:pPr>
            <w:r>
              <w:rPr>
                <w:rFonts w:asciiTheme="minorHAnsi" w:hAnsiTheme="minorHAnsi"/>
                <w:color w:val="auto"/>
                <w:szCs w:val="24"/>
              </w:rPr>
              <w:t>Right</w:t>
            </w:r>
            <w:r w:rsidRPr="00834049">
              <w:rPr>
                <w:rFonts w:asciiTheme="minorHAnsi" w:hAnsiTheme="minorHAnsi"/>
                <w:color w:val="auto"/>
                <w:szCs w:val="24"/>
              </w:rPr>
              <w:t xml:space="preserve"> </w:t>
            </w:r>
            <w:r>
              <w:rPr>
                <w:rFonts w:asciiTheme="minorHAnsi" w:hAnsiTheme="minorHAnsi"/>
                <w:color w:val="auto"/>
                <w:szCs w:val="24"/>
              </w:rPr>
              <w:t>P</w:t>
            </w:r>
            <w:r w:rsidRPr="00834049">
              <w:rPr>
                <w:rFonts w:asciiTheme="minorHAnsi" w:hAnsiTheme="minorHAnsi"/>
                <w:color w:val="auto"/>
                <w:szCs w:val="24"/>
              </w:rPr>
              <w:t xml:space="preserve">lantar </w:t>
            </w:r>
            <w:r>
              <w:rPr>
                <w:rFonts w:asciiTheme="minorHAnsi" w:hAnsiTheme="minorHAnsi"/>
                <w:color w:val="auto"/>
                <w:szCs w:val="24"/>
              </w:rPr>
              <w:t>F</w:t>
            </w:r>
            <w:r w:rsidRPr="00834049">
              <w:rPr>
                <w:rFonts w:asciiTheme="minorHAnsi" w:hAnsiTheme="minorHAnsi"/>
                <w:color w:val="auto"/>
                <w:szCs w:val="24"/>
              </w:rPr>
              <w:t>asciitis</w:t>
            </w:r>
          </w:p>
        </w:tc>
        <w:tc>
          <w:tcPr>
            <w:tcW w:w="2205" w:type="dxa"/>
          </w:tcPr>
          <w:p w:rsidR="00166C50" w:rsidRPr="007A63DE" w:rsidRDefault="00166C50" w:rsidP="00336778">
            <w:pPr>
              <w:tabs>
                <w:tab w:val="left" w:pos="288"/>
                <w:tab w:val="left" w:pos="4752"/>
              </w:tabs>
              <w:spacing w:before="20" w:after="20" w:line="240" w:lineRule="exact"/>
              <w:jc w:val="center"/>
              <w:rPr>
                <w:rFonts w:asciiTheme="minorHAnsi" w:hAnsiTheme="minorHAnsi"/>
                <w:color w:val="auto"/>
                <w:szCs w:val="24"/>
              </w:rPr>
            </w:pPr>
            <w:r w:rsidRPr="007A63DE">
              <w:rPr>
                <w:rFonts w:asciiTheme="minorHAnsi" w:hAnsiTheme="minorHAnsi"/>
                <w:color w:val="auto"/>
                <w:szCs w:val="24"/>
              </w:rPr>
              <w:t>5399-5310</w:t>
            </w:r>
          </w:p>
        </w:tc>
        <w:tc>
          <w:tcPr>
            <w:tcW w:w="1080" w:type="dxa"/>
          </w:tcPr>
          <w:p w:rsidR="00166C50" w:rsidRPr="007A63DE" w:rsidRDefault="00166C50" w:rsidP="00336778">
            <w:pPr>
              <w:tabs>
                <w:tab w:val="left" w:pos="288"/>
                <w:tab w:val="left" w:pos="4752"/>
              </w:tabs>
              <w:spacing w:before="20" w:after="20" w:line="240" w:lineRule="exact"/>
              <w:jc w:val="center"/>
              <w:rPr>
                <w:rFonts w:asciiTheme="minorHAnsi" w:hAnsiTheme="minorHAnsi"/>
                <w:color w:val="auto"/>
                <w:szCs w:val="24"/>
              </w:rPr>
            </w:pPr>
            <w:r w:rsidRPr="007A63DE">
              <w:rPr>
                <w:rFonts w:asciiTheme="minorHAnsi" w:hAnsiTheme="minorHAnsi"/>
                <w:color w:val="auto"/>
                <w:szCs w:val="24"/>
              </w:rPr>
              <w:t>0%</w:t>
            </w:r>
          </w:p>
        </w:tc>
      </w:tr>
      <w:tr w:rsidR="00166C50" w:rsidRPr="00834049" w:rsidTr="00005B80">
        <w:tblPrEx>
          <w:tblLook w:val="0000"/>
        </w:tblPrEx>
        <w:trPr>
          <w:gridBefore w:val="1"/>
          <w:wBefore w:w="5985" w:type="dxa"/>
          <w:trHeight w:val="287"/>
          <w:jc w:val="center"/>
        </w:trPr>
        <w:tc>
          <w:tcPr>
            <w:tcW w:w="2205" w:type="dxa"/>
            <w:tcBorders>
              <w:left w:val="single" w:sz="4" w:space="0" w:color="auto"/>
              <w:bottom w:val="single" w:sz="4" w:space="0" w:color="000000"/>
            </w:tcBorders>
            <w:shd w:val="clear" w:color="auto" w:fill="D9D9D9" w:themeFill="background1" w:themeFillShade="D9"/>
          </w:tcPr>
          <w:p w:rsidR="00166C50" w:rsidRPr="007A63DE" w:rsidRDefault="00166C50" w:rsidP="00336778">
            <w:pPr>
              <w:tabs>
                <w:tab w:val="left" w:pos="288"/>
                <w:tab w:val="left" w:pos="4752"/>
              </w:tabs>
              <w:spacing w:before="40" w:line="240" w:lineRule="exact"/>
              <w:jc w:val="center"/>
              <w:rPr>
                <w:rFonts w:asciiTheme="minorHAnsi" w:hAnsiTheme="minorHAnsi"/>
                <w:b/>
                <w:color w:val="auto"/>
                <w:szCs w:val="24"/>
              </w:rPr>
            </w:pPr>
            <w:r w:rsidRPr="007A63DE">
              <w:rPr>
                <w:rFonts w:asciiTheme="minorHAnsi" w:hAnsiTheme="minorHAnsi"/>
                <w:b/>
                <w:color w:val="auto"/>
                <w:szCs w:val="24"/>
              </w:rPr>
              <w:t>COMBINED (</w:t>
            </w:r>
            <w:proofErr w:type="spellStart"/>
            <w:r w:rsidRPr="007A63DE">
              <w:rPr>
                <w:rFonts w:asciiTheme="minorHAnsi" w:hAnsiTheme="minorHAnsi"/>
                <w:b/>
                <w:color w:val="auto"/>
                <w:szCs w:val="24"/>
              </w:rPr>
              <w:t>Incl</w:t>
            </w:r>
            <w:proofErr w:type="spellEnd"/>
            <w:r w:rsidRPr="007A63DE">
              <w:rPr>
                <w:rFonts w:asciiTheme="minorHAnsi" w:hAnsiTheme="minorHAnsi"/>
                <w:b/>
                <w:color w:val="auto"/>
                <w:szCs w:val="24"/>
              </w:rPr>
              <w:t xml:space="preserve"> BF)</w:t>
            </w:r>
          </w:p>
        </w:tc>
        <w:tc>
          <w:tcPr>
            <w:tcW w:w="1080" w:type="dxa"/>
            <w:tcBorders>
              <w:bottom w:val="single" w:sz="4" w:space="0" w:color="000000"/>
            </w:tcBorders>
            <w:shd w:val="clear" w:color="auto" w:fill="D9D9D9" w:themeFill="background1" w:themeFillShade="D9"/>
          </w:tcPr>
          <w:p w:rsidR="00166C50" w:rsidRPr="007A63DE" w:rsidRDefault="00166C50" w:rsidP="00336778">
            <w:pPr>
              <w:tabs>
                <w:tab w:val="left" w:pos="288"/>
                <w:tab w:val="left" w:pos="4752"/>
              </w:tabs>
              <w:spacing w:before="40" w:line="240" w:lineRule="exact"/>
              <w:jc w:val="center"/>
              <w:rPr>
                <w:rFonts w:asciiTheme="minorHAnsi" w:hAnsiTheme="minorHAnsi"/>
                <w:b/>
                <w:color w:val="auto"/>
                <w:szCs w:val="24"/>
              </w:rPr>
            </w:pPr>
            <w:r w:rsidRPr="007A63DE">
              <w:rPr>
                <w:rFonts w:asciiTheme="minorHAnsi" w:hAnsiTheme="minorHAnsi"/>
                <w:b/>
                <w:color w:val="auto"/>
                <w:szCs w:val="24"/>
              </w:rPr>
              <w:t>20%</w:t>
            </w:r>
          </w:p>
        </w:tc>
      </w:tr>
    </w:tbl>
    <w:p w:rsidR="00166C50" w:rsidRDefault="00166C50" w:rsidP="00166C50">
      <w:pPr>
        <w:pBdr>
          <w:bottom w:val="single" w:sz="12" w:space="1" w:color="auto"/>
        </w:pBdr>
        <w:tabs>
          <w:tab w:val="left" w:pos="288"/>
          <w:tab w:val="left" w:pos="4752"/>
        </w:tabs>
        <w:spacing w:line="240" w:lineRule="exact"/>
        <w:rPr>
          <w:rFonts w:asciiTheme="minorHAnsi" w:hAnsiTheme="minorHAnsi"/>
          <w:b/>
          <w:color w:val="auto"/>
        </w:rPr>
      </w:pPr>
    </w:p>
    <w:p w:rsidR="00166C50" w:rsidRDefault="00166C50" w:rsidP="00166C50">
      <w:pPr>
        <w:rPr>
          <w:rFonts w:ascii="Calibri" w:hAnsi="Calibri"/>
          <w:color w:val="auto"/>
        </w:rPr>
      </w:pPr>
    </w:p>
    <w:p w:rsidR="00D91DA6" w:rsidRPr="002B2015" w:rsidRDefault="00166C50" w:rsidP="00166C50">
      <w:pPr>
        <w:rPr>
          <w:rFonts w:asciiTheme="minorHAnsi" w:hAnsiTheme="minorHAnsi"/>
          <w:color w:val="auto"/>
        </w:rPr>
      </w:pPr>
      <w:r w:rsidRPr="00166C50">
        <w:rPr>
          <w:rFonts w:ascii="Calibri" w:hAnsi="Calibri"/>
          <w:color w:val="auto"/>
        </w:rPr>
        <w:t>T</w:t>
      </w:r>
      <w:r w:rsidR="00114F20" w:rsidRPr="00166C50">
        <w:rPr>
          <w:rFonts w:asciiTheme="minorHAnsi" w:hAnsiTheme="minorHAnsi"/>
          <w:color w:val="auto"/>
        </w:rPr>
        <w:t>he</w:t>
      </w:r>
      <w:r w:rsidR="00114F20" w:rsidRPr="00834049">
        <w:rPr>
          <w:rFonts w:asciiTheme="minorHAnsi" w:hAnsiTheme="minorHAnsi"/>
          <w:color w:val="auto"/>
        </w:rPr>
        <w:t xml:space="preserve"> following </w:t>
      </w:r>
      <w:r w:rsidR="00114F20" w:rsidRPr="002B2015">
        <w:rPr>
          <w:rFonts w:asciiTheme="minorHAnsi" w:hAnsiTheme="minorHAnsi"/>
          <w:color w:val="auto"/>
        </w:rPr>
        <w:t>documentary evidence was considered:</w:t>
      </w:r>
    </w:p>
    <w:p w:rsidR="00114F20" w:rsidRPr="002B2015" w:rsidRDefault="00114F20" w:rsidP="00875F2D">
      <w:pPr>
        <w:tabs>
          <w:tab w:val="left" w:pos="288"/>
          <w:tab w:val="left" w:pos="4752"/>
        </w:tabs>
        <w:spacing w:line="240" w:lineRule="exact"/>
        <w:jc w:val="both"/>
        <w:rPr>
          <w:rFonts w:asciiTheme="minorHAnsi" w:hAnsiTheme="minorHAnsi"/>
          <w:color w:val="auto"/>
        </w:rPr>
      </w:pPr>
    </w:p>
    <w:p w:rsidR="00114F20" w:rsidRPr="002B2015" w:rsidRDefault="0051146C" w:rsidP="00875F2D">
      <w:pPr>
        <w:tabs>
          <w:tab w:val="left" w:pos="288"/>
          <w:tab w:val="left" w:pos="4752"/>
        </w:tabs>
        <w:spacing w:line="240" w:lineRule="exact"/>
        <w:jc w:val="both"/>
        <w:rPr>
          <w:rFonts w:asciiTheme="minorHAnsi" w:hAnsiTheme="minorHAnsi"/>
          <w:color w:val="auto"/>
        </w:rPr>
      </w:pPr>
      <w:r w:rsidRPr="002B2015">
        <w:rPr>
          <w:rFonts w:asciiTheme="minorHAnsi" w:hAnsiTheme="minorHAnsi"/>
          <w:color w:val="auto"/>
        </w:rPr>
        <w:t xml:space="preserve">Exhibit A.  DD Form </w:t>
      </w:r>
      <w:proofErr w:type="gramStart"/>
      <w:r w:rsidRPr="002B2015">
        <w:rPr>
          <w:rFonts w:asciiTheme="minorHAnsi" w:hAnsiTheme="minorHAnsi"/>
          <w:color w:val="auto"/>
        </w:rPr>
        <w:t>294,</w:t>
      </w:r>
      <w:proofErr w:type="gramEnd"/>
      <w:r w:rsidRPr="002B2015">
        <w:rPr>
          <w:rFonts w:asciiTheme="minorHAnsi" w:hAnsiTheme="minorHAnsi"/>
          <w:color w:val="auto"/>
        </w:rPr>
        <w:t xml:space="preserve"> dated </w:t>
      </w:r>
      <w:r w:rsidR="007834D5" w:rsidRPr="002B2015">
        <w:rPr>
          <w:rFonts w:asciiTheme="minorHAnsi" w:hAnsiTheme="minorHAnsi"/>
          <w:color w:val="auto"/>
        </w:rPr>
        <w:t>20100125</w:t>
      </w:r>
      <w:r w:rsidR="00114F20" w:rsidRPr="002B2015">
        <w:rPr>
          <w:rFonts w:asciiTheme="minorHAnsi" w:hAnsiTheme="minorHAnsi"/>
          <w:color w:val="auto"/>
        </w:rPr>
        <w:t>, w/</w:t>
      </w:r>
      <w:proofErr w:type="spellStart"/>
      <w:r w:rsidR="00114F20" w:rsidRPr="002B2015">
        <w:rPr>
          <w:rFonts w:asciiTheme="minorHAnsi" w:hAnsiTheme="minorHAnsi"/>
          <w:color w:val="auto"/>
        </w:rPr>
        <w:t>atchs</w:t>
      </w:r>
      <w:proofErr w:type="spellEnd"/>
      <w:r w:rsidR="00114F20" w:rsidRPr="002B2015">
        <w:rPr>
          <w:rFonts w:asciiTheme="minorHAnsi" w:hAnsiTheme="minorHAnsi"/>
          <w:color w:val="auto"/>
        </w:rPr>
        <w:t>.</w:t>
      </w:r>
    </w:p>
    <w:p w:rsidR="00114F20" w:rsidRPr="002B2015" w:rsidRDefault="00114F20" w:rsidP="00875F2D">
      <w:pPr>
        <w:tabs>
          <w:tab w:val="left" w:pos="288"/>
          <w:tab w:val="left" w:pos="4752"/>
        </w:tabs>
        <w:spacing w:line="240" w:lineRule="exact"/>
        <w:jc w:val="both"/>
        <w:rPr>
          <w:rFonts w:asciiTheme="minorHAnsi" w:hAnsiTheme="minorHAnsi"/>
          <w:color w:val="auto"/>
        </w:rPr>
      </w:pPr>
      <w:r w:rsidRPr="002B2015">
        <w:rPr>
          <w:rFonts w:asciiTheme="minorHAnsi" w:hAnsiTheme="minorHAnsi"/>
          <w:color w:val="auto"/>
        </w:rPr>
        <w:t xml:space="preserve">Exhibit B.  </w:t>
      </w:r>
      <w:proofErr w:type="gramStart"/>
      <w:r w:rsidRPr="002B2015">
        <w:rPr>
          <w:rFonts w:asciiTheme="minorHAnsi" w:hAnsiTheme="minorHAnsi"/>
          <w:color w:val="auto"/>
        </w:rPr>
        <w:t>Service Treatment Record.</w:t>
      </w:r>
      <w:proofErr w:type="gramEnd"/>
    </w:p>
    <w:p w:rsidR="00114F20" w:rsidRPr="002B2015" w:rsidRDefault="00114F20" w:rsidP="00875F2D">
      <w:pPr>
        <w:tabs>
          <w:tab w:val="left" w:pos="288"/>
          <w:tab w:val="left" w:pos="4752"/>
        </w:tabs>
        <w:spacing w:line="240" w:lineRule="exact"/>
        <w:jc w:val="both"/>
        <w:rPr>
          <w:rFonts w:asciiTheme="minorHAnsi" w:hAnsiTheme="minorHAnsi"/>
          <w:color w:val="auto"/>
        </w:rPr>
      </w:pPr>
      <w:r w:rsidRPr="002B2015">
        <w:rPr>
          <w:rFonts w:asciiTheme="minorHAnsi" w:hAnsiTheme="minorHAnsi"/>
          <w:color w:val="auto"/>
        </w:rPr>
        <w:t xml:space="preserve">Exhibit C.  </w:t>
      </w:r>
      <w:proofErr w:type="gramStart"/>
      <w:r w:rsidRPr="002B2015">
        <w:rPr>
          <w:rFonts w:asciiTheme="minorHAnsi" w:hAnsiTheme="minorHAnsi"/>
          <w:color w:val="auto"/>
        </w:rPr>
        <w:t>Department of Veterans</w:t>
      </w:r>
      <w:r w:rsidR="00385D6F" w:rsidRPr="002B2015">
        <w:rPr>
          <w:rFonts w:asciiTheme="minorHAnsi" w:hAnsiTheme="minorHAnsi"/>
          <w:color w:val="auto"/>
        </w:rPr>
        <w:t>'</w:t>
      </w:r>
      <w:r w:rsidRPr="002B2015">
        <w:rPr>
          <w:rFonts w:asciiTheme="minorHAnsi" w:hAnsiTheme="minorHAnsi"/>
          <w:color w:val="auto"/>
        </w:rPr>
        <w:t xml:space="preserve"> Affairs Treatment Record.</w:t>
      </w:r>
      <w:proofErr w:type="gramEnd"/>
    </w:p>
    <w:p w:rsidR="00D91DA6" w:rsidRDefault="00D91DA6" w:rsidP="00875F2D">
      <w:pPr>
        <w:tabs>
          <w:tab w:val="left" w:pos="288"/>
          <w:tab w:val="left" w:pos="4752"/>
        </w:tabs>
        <w:spacing w:line="240" w:lineRule="exact"/>
        <w:jc w:val="both"/>
        <w:rPr>
          <w:rFonts w:asciiTheme="minorHAnsi" w:hAnsiTheme="minorHAnsi"/>
          <w:color w:val="auto"/>
        </w:rPr>
      </w:pPr>
    </w:p>
    <w:p w:rsidR="00166C50" w:rsidRPr="002B2015" w:rsidRDefault="00166C50" w:rsidP="00875F2D">
      <w:pPr>
        <w:tabs>
          <w:tab w:val="left" w:pos="288"/>
          <w:tab w:val="left" w:pos="4752"/>
        </w:tabs>
        <w:spacing w:line="240" w:lineRule="exact"/>
        <w:jc w:val="both"/>
        <w:rPr>
          <w:rFonts w:asciiTheme="minorHAnsi" w:hAnsiTheme="minorHAnsi"/>
          <w:color w:val="auto"/>
        </w:rPr>
      </w:pPr>
    </w:p>
    <w:p w:rsidR="00114F20" w:rsidRPr="002B2015" w:rsidRDefault="00114F20" w:rsidP="00875F2D">
      <w:pPr>
        <w:tabs>
          <w:tab w:val="left" w:pos="288"/>
          <w:tab w:val="left" w:pos="4752"/>
        </w:tabs>
        <w:spacing w:line="240" w:lineRule="exact"/>
        <w:jc w:val="both"/>
        <w:rPr>
          <w:rFonts w:asciiTheme="minorHAnsi" w:hAnsiTheme="minorHAnsi"/>
          <w:color w:val="auto"/>
        </w:rPr>
      </w:pPr>
    </w:p>
    <w:p w:rsidR="00114F20" w:rsidRPr="002B2015" w:rsidRDefault="00114F20" w:rsidP="00875F2D">
      <w:pPr>
        <w:tabs>
          <w:tab w:val="left" w:pos="288"/>
          <w:tab w:val="left" w:pos="4752"/>
        </w:tabs>
        <w:spacing w:line="240" w:lineRule="exact"/>
        <w:jc w:val="both"/>
        <w:rPr>
          <w:rFonts w:asciiTheme="minorHAnsi" w:hAnsiTheme="minorHAnsi"/>
          <w:color w:val="auto"/>
        </w:rPr>
      </w:pPr>
    </w:p>
    <w:p w:rsidR="002B2015" w:rsidRPr="00006186" w:rsidRDefault="002B2015" w:rsidP="002B2015">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p>
    <w:p w:rsidR="002B2015" w:rsidRPr="00006186" w:rsidRDefault="002B2015" w:rsidP="002B201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2B2015" w:rsidRPr="00006186" w:rsidRDefault="002B2015" w:rsidP="002B201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1580A" w:rsidRDefault="0071580A">
      <w:pPr>
        <w:rPr>
          <w:color w:val="auto"/>
        </w:rPr>
      </w:pPr>
      <w:r>
        <w:rPr>
          <w:color w:val="auto"/>
        </w:rPr>
        <w:br w:type="page"/>
      </w:r>
    </w:p>
    <w:p w:rsidR="0071580A" w:rsidRPr="0071580A" w:rsidRDefault="0071580A" w:rsidP="0071580A">
      <w:pPr>
        <w:rPr>
          <w:color w:val="auto"/>
        </w:rPr>
      </w:pPr>
      <w:r w:rsidRPr="0071580A">
        <w:rPr>
          <w:color w:val="auto"/>
        </w:rPr>
        <w:lastRenderedPageBreak/>
        <w:t>MEMORANDUM FOR DEPUTY COMMANDANT, MANPOWER &amp; RESERVE AFFAIRS</w:t>
      </w:r>
    </w:p>
    <w:p w:rsidR="0071580A" w:rsidRPr="0071580A" w:rsidRDefault="0071580A" w:rsidP="0071580A">
      <w:pPr>
        <w:rPr>
          <w:color w:val="auto"/>
        </w:rPr>
      </w:pPr>
    </w:p>
    <w:p w:rsidR="0071580A" w:rsidRPr="0071580A" w:rsidRDefault="0071580A" w:rsidP="0071580A">
      <w:pPr>
        <w:rPr>
          <w:color w:val="auto"/>
        </w:rPr>
      </w:pPr>
      <w:proofErr w:type="spellStart"/>
      <w:r w:rsidRPr="0071580A">
        <w:rPr>
          <w:color w:val="auto"/>
        </w:rPr>
        <w:t>Subj</w:t>
      </w:r>
      <w:proofErr w:type="spellEnd"/>
      <w:r w:rsidRPr="0071580A">
        <w:rPr>
          <w:color w:val="auto"/>
        </w:rPr>
        <w:t>:  PHYSICAL DISABILITY BOARD OF REVIEW (PDBR) RECOMMENDATION</w:t>
      </w:r>
    </w:p>
    <w:p w:rsidR="0071580A" w:rsidRPr="0071580A" w:rsidRDefault="0071580A" w:rsidP="0071580A">
      <w:pPr>
        <w:tabs>
          <w:tab w:val="left" w:pos="630"/>
        </w:tabs>
        <w:rPr>
          <w:color w:val="auto"/>
        </w:rPr>
      </w:pPr>
      <w:r w:rsidRPr="0071580A">
        <w:rPr>
          <w:color w:val="auto"/>
        </w:rPr>
        <w:t xml:space="preserve">          </w:t>
      </w:r>
      <w:r w:rsidRPr="0071580A">
        <w:rPr>
          <w:color w:val="auto"/>
        </w:rPr>
        <w:tab/>
        <w:t xml:space="preserve">ICO </w:t>
      </w:r>
      <w:r>
        <w:rPr>
          <w:color w:val="auto"/>
        </w:rPr>
        <w:t>XXXXX</w:t>
      </w:r>
      <w:r w:rsidRPr="0071580A">
        <w:rPr>
          <w:color w:val="auto"/>
        </w:rPr>
        <w:t xml:space="preserve">, FORMER USMC, XXX XX </w:t>
      </w:r>
      <w:r>
        <w:rPr>
          <w:color w:val="auto"/>
        </w:rPr>
        <w:t>XXXXX</w:t>
      </w:r>
    </w:p>
    <w:p w:rsidR="0071580A" w:rsidRPr="0071580A" w:rsidRDefault="0071580A" w:rsidP="0071580A">
      <w:pPr>
        <w:rPr>
          <w:color w:val="auto"/>
        </w:rPr>
      </w:pPr>
    </w:p>
    <w:p w:rsidR="0071580A" w:rsidRPr="0071580A" w:rsidRDefault="0071580A" w:rsidP="0071580A">
      <w:pPr>
        <w:rPr>
          <w:color w:val="auto"/>
        </w:rPr>
      </w:pPr>
      <w:r w:rsidRPr="0071580A">
        <w:rPr>
          <w:color w:val="auto"/>
        </w:rPr>
        <w:t>Ref:   (a) DoDI 6040.44</w:t>
      </w:r>
    </w:p>
    <w:p w:rsidR="0071580A" w:rsidRPr="0071580A" w:rsidRDefault="0071580A" w:rsidP="0071580A">
      <w:pPr>
        <w:rPr>
          <w:color w:val="auto"/>
        </w:rPr>
      </w:pPr>
      <w:r w:rsidRPr="0071580A">
        <w:rPr>
          <w:color w:val="auto"/>
        </w:rPr>
        <w:t xml:space="preserve">          (b) PDBR </w:t>
      </w:r>
      <w:proofErr w:type="spellStart"/>
      <w:r w:rsidRPr="0071580A">
        <w:rPr>
          <w:color w:val="auto"/>
        </w:rPr>
        <w:t>ltr</w:t>
      </w:r>
      <w:proofErr w:type="spellEnd"/>
      <w:r w:rsidRPr="0071580A">
        <w:rPr>
          <w:color w:val="auto"/>
        </w:rPr>
        <w:t xml:space="preserve"> </w:t>
      </w:r>
      <w:proofErr w:type="spellStart"/>
      <w:r w:rsidRPr="0071580A">
        <w:rPr>
          <w:color w:val="auto"/>
        </w:rPr>
        <w:t>dtd</w:t>
      </w:r>
      <w:proofErr w:type="spellEnd"/>
      <w:r w:rsidRPr="0071580A">
        <w:rPr>
          <w:color w:val="auto"/>
        </w:rPr>
        <w:t xml:space="preserve"> 17 Mar 11</w:t>
      </w:r>
    </w:p>
    <w:p w:rsidR="0071580A" w:rsidRPr="0071580A" w:rsidRDefault="0071580A" w:rsidP="0071580A">
      <w:pPr>
        <w:rPr>
          <w:color w:val="auto"/>
        </w:rPr>
      </w:pPr>
    </w:p>
    <w:p w:rsidR="0071580A" w:rsidRPr="0071580A" w:rsidRDefault="0071580A" w:rsidP="0071580A">
      <w:pPr>
        <w:rPr>
          <w:color w:val="auto"/>
        </w:rPr>
      </w:pPr>
      <w:r w:rsidRPr="0071580A">
        <w:rPr>
          <w:color w:val="auto"/>
        </w:rPr>
        <w:t>1.  I have reviewed the subject case pursuant to reference (a) and approve the recommendation of the PDBR (reference (b)).</w:t>
      </w:r>
    </w:p>
    <w:p w:rsidR="0071580A" w:rsidRPr="0071580A" w:rsidRDefault="0071580A" w:rsidP="0071580A">
      <w:pPr>
        <w:rPr>
          <w:color w:val="auto"/>
        </w:rPr>
      </w:pPr>
    </w:p>
    <w:p w:rsidR="0071580A" w:rsidRPr="0071580A" w:rsidRDefault="0071580A" w:rsidP="0071580A">
      <w:pPr>
        <w:rPr>
          <w:color w:val="auto"/>
        </w:rPr>
      </w:pPr>
      <w:r w:rsidRPr="0071580A">
        <w:rPr>
          <w:color w:val="auto"/>
        </w:rPr>
        <w:t>2.  The subject member’s official records are to be corrected to reflect the following disposition:</w:t>
      </w:r>
    </w:p>
    <w:p w:rsidR="0071580A" w:rsidRPr="0071580A" w:rsidRDefault="0071580A" w:rsidP="0071580A">
      <w:pPr>
        <w:rPr>
          <w:color w:val="auto"/>
        </w:rPr>
      </w:pPr>
    </w:p>
    <w:p w:rsidR="0071580A" w:rsidRPr="0071580A" w:rsidRDefault="0071580A" w:rsidP="0071580A">
      <w:pPr>
        <w:rPr>
          <w:color w:val="auto"/>
        </w:rPr>
      </w:pPr>
      <w:r w:rsidRPr="0071580A">
        <w:rPr>
          <w:color w:val="auto"/>
        </w:rPr>
        <w:tab/>
        <w:t>a. Separation from the naval service due to physical disability rated at 20 percent (increased from 10 percent) effective 30 April 2007.</w:t>
      </w:r>
    </w:p>
    <w:p w:rsidR="0071580A" w:rsidRPr="0071580A" w:rsidRDefault="0071580A" w:rsidP="0071580A">
      <w:pPr>
        <w:rPr>
          <w:color w:val="auto"/>
        </w:rPr>
      </w:pPr>
    </w:p>
    <w:p w:rsidR="0071580A" w:rsidRPr="0071580A" w:rsidRDefault="0071580A" w:rsidP="0071580A">
      <w:pPr>
        <w:rPr>
          <w:color w:val="auto"/>
        </w:rPr>
      </w:pPr>
      <w:r w:rsidRPr="0071580A">
        <w:rPr>
          <w:color w:val="auto"/>
        </w:rPr>
        <w:t>3.  Please ensure all necessary actions are taken to implement this decision including notification the subject member once those actions are completed.</w:t>
      </w:r>
    </w:p>
    <w:p w:rsidR="0071580A" w:rsidRPr="0071580A" w:rsidRDefault="0071580A" w:rsidP="0071580A">
      <w:pPr>
        <w:rPr>
          <w:color w:val="auto"/>
        </w:rPr>
      </w:pPr>
    </w:p>
    <w:p w:rsidR="0071580A" w:rsidRPr="0071580A" w:rsidRDefault="0071580A" w:rsidP="0071580A">
      <w:pPr>
        <w:rPr>
          <w:color w:val="auto"/>
        </w:rPr>
      </w:pPr>
    </w:p>
    <w:p w:rsidR="0071580A" w:rsidRPr="0071580A" w:rsidRDefault="0071580A" w:rsidP="0071580A">
      <w:pPr>
        <w:rPr>
          <w:color w:val="auto"/>
        </w:rPr>
      </w:pPr>
    </w:p>
    <w:p w:rsidR="0071580A" w:rsidRPr="0071580A" w:rsidRDefault="0071580A" w:rsidP="0071580A">
      <w:pPr>
        <w:tabs>
          <w:tab w:val="left" w:pos="4680"/>
        </w:tabs>
        <w:rPr>
          <w:color w:val="auto"/>
        </w:rPr>
      </w:pPr>
      <w:r w:rsidRPr="0071580A">
        <w:rPr>
          <w:color w:val="auto"/>
        </w:rPr>
        <w:tab/>
      </w:r>
      <w:r w:rsidRPr="0071580A">
        <w:rPr>
          <w:color w:val="auto"/>
        </w:rPr>
        <w:tab/>
        <w:t>Principal Deputy</w:t>
      </w:r>
    </w:p>
    <w:p w:rsidR="0071580A" w:rsidRPr="0071580A" w:rsidRDefault="0071580A" w:rsidP="0071580A">
      <w:pPr>
        <w:tabs>
          <w:tab w:val="left" w:pos="4680"/>
        </w:tabs>
        <w:rPr>
          <w:color w:val="auto"/>
        </w:rPr>
      </w:pPr>
      <w:r w:rsidRPr="0071580A">
        <w:rPr>
          <w:color w:val="auto"/>
        </w:rPr>
        <w:tab/>
        <w:t>Assistant Secretary of the Navy</w:t>
      </w:r>
    </w:p>
    <w:p w:rsidR="0071580A" w:rsidRDefault="0071580A" w:rsidP="0071580A">
      <w:pPr>
        <w:tabs>
          <w:tab w:val="left" w:pos="4680"/>
        </w:tabs>
      </w:pPr>
      <w:r w:rsidRPr="0071580A">
        <w:rPr>
          <w:color w:val="auto"/>
        </w:rPr>
        <w:tab/>
        <w:t xml:space="preserve">  (Manpower &amp; Reserve Affairs</w:t>
      </w:r>
      <w:r>
        <w:t>)</w:t>
      </w:r>
    </w:p>
    <w:p w:rsidR="0071580A" w:rsidRDefault="0071580A" w:rsidP="0071580A"/>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E9" w:rsidRDefault="00DE46E9">
      <w:r>
        <w:separator/>
      </w:r>
    </w:p>
  </w:endnote>
  <w:endnote w:type="continuationSeparator" w:id="0">
    <w:p w:rsidR="00DE46E9" w:rsidRDefault="00DE46E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2" w:rsidRDefault="00381785">
    <w:pPr>
      <w:pStyle w:val="Footer"/>
      <w:framePr w:wrap="around" w:vAnchor="text" w:hAnchor="margin" w:xAlign="center" w:y="1"/>
      <w:rPr>
        <w:rStyle w:val="PageNumber"/>
      </w:rPr>
    </w:pPr>
    <w:r>
      <w:rPr>
        <w:rStyle w:val="PageNumber"/>
      </w:rPr>
      <w:fldChar w:fldCharType="begin"/>
    </w:r>
    <w:r w:rsidR="00E62212">
      <w:rPr>
        <w:rStyle w:val="PageNumber"/>
      </w:rPr>
      <w:instrText xml:space="preserve">PAGE  </w:instrText>
    </w:r>
    <w:r>
      <w:rPr>
        <w:rStyle w:val="PageNumber"/>
      </w:rPr>
      <w:fldChar w:fldCharType="separate"/>
    </w:r>
    <w:r w:rsidR="00E62212">
      <w:rPr>
        <w:rStyle w:val="PageNumber"/>
        <w:noProof/>
      </w:rPr>
      <w:t>2</w:t>
    </w:r>
    <w:r>
      <w:rPr>
        <w:rStyle w:val="PageNumber"/>
      </w:rPr>
      <w:fldChar w:fldCharType="end"/>
    </w:r>
  </w:p>
  <w:p w:rsidR="00E62212" w:rsidRDefault="00E6221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2" w:rsidRPr="00185588" w:rsidRDefault="00381785" w:rsidP="00185588">
    <w:pPr>
      <w:pStyle w:val="Footer"/>
      <w:framePr w:wrap="around" w:vAnchor="text" w:hAnchor="page" w:x="6155" w:y="9"/>
      <w:rPr>
        <w:rStyle w:val="PageNumber"/>
        <w:rFonts w:asciiTheme="minorHAnsi" w:hAnsiTheme="minorHAnsi"/>
        <w:color w:val="auto"/>
      </w:rPr>
    </w:pPr>
    <w:r w:rsidRPr="00185588">
      <w:rPr>
        <w:rStyle w:val="PageNumber"/>
        <w:rFonts w:asciiTheme="minorHAnsi" w:hAnsiTheme="minorHAnsi"/>
        <w:color w:val="auto"/>
      </w:rPr>
      <w:fldChar w:fldCharType="begin"/>
    </w:r>
    <w:r w:rsidR="00E62212" w:rsidRPr="00185588">
      <w:rPr>
        <w:rStyle w:val="PageNumber"/>
        <w:rFonts w:asciiTheme="minorHAnsi" w:hAnsiTheme="minorHAnsi"/>
        <w:color w:val="auto"/>
      </w:rPr>
      <w:instrText xml:space="preserve">PAGE  </w:instrText>
    </w:r>
    <w:r w:rsidRPr="00185588">
      <w:rPr>
        <w:rStyle w:val="PageNumber"/>
        <w:rFonts w:asciiTheme="minorHAnsi" w:hAnsiTheme="minorHAnsi"/>
        <w:color w:val="auto"/>
      </w:rPr>
      <w:fldChar w:fldCharType="separate"/>
    </w:r>
    <w:r w:rsidR="0071580A">
      <w:rPr>
        <w:rStyle w:val="PageNumber"/>
        <w:rFonts w:asciiTheme="minorHAnsi" w:hAnsiTheme="minorHAnsi"/>
        <w:noProof/>
        <w:color w:val="auto"/>
      </w:rPr>
      <w:t>2</w:t>
    </w:r>
    <w:r w:rsidRPr="00185588">
      <w:rPr>
        <w:rStyle w:val="PageNumber"/>
        <w:rFonts w:asciiTheme="minorHAnsi" w:hAnsiTheme="minorHAnsi"/>
        <w:color w:val="auto"/>
      </w:rPr>
      <w:fldChar w:fldCharType="end"/>
    </w:r>
  </w:p>
  <w:p w:rsidR="00E62212" w:rsidRPr="00185588" w:rsidRDefault="00E62212" w:rsidP="002B0749">
    <w:pPr>
      <w:pStyle w:val="Footer"/>
      <w:jc w:val="right"/>
      <w:rPr>
        <w:rFonts w:asciiTheme="minorHAnsi" w:hAnsiTheme="minorHAnsi"/>
        <w:color w:val="auto"/>
      </w:rPr>
    </w:pPr>
    <w:r>
      <w:tab/>
    </w:r>
    <w:r>
      <w:tab/>
    </w:r>
    <w:r w:rsidRPr="00185588">
      <w:rPr>
        <w:rFonts w:asciiTheme="minorHAnsi" w:hAnsiTheme="minorHAnsi"/>
        <w:caps/>
        <w:color w:val="auto"/>
      </w:rPr>
      <w:t>PD1000045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E9" w:rsidRDefault="00DE46E9">
      <w:r>
        <w:separator/>
      </w:r>
    </w:p>
  </w:footnote>
  <w:footnote w:type="continuationSeparator" w:id="0">
    <w:p w:rsidR="00DE46E9" w:rsidRDefault="00DE4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21218"/>
  </w:hdrShapeDefaults>
  <w:footnotePr>
    <w:numRestart w:val="eachSect"/>
    <w:footnote w:id="-1"/>
    <w:footnote w:id="0"/>
  </w:footnotePr>
  <w:endnotePr>
    <w:endnote w:id="-1"/>
    <w:endnote w:id="0"/>
  </w:endnotePr>
  <w:compat/>
  <w:rsids>
    <w:rsidRoot w:val="001C28D1"/>
    <w:rsid w:val="000059FA"/>
    <w:rsid w:val="00005B80"/>
    <w:rsid w:val="00006F87"/>
    <w:rsid w:val="00010ABA"/>
    <w:rsid w:val="00012428"/>
    <w:rsid w:val="00013417"/>
    <w:rsid w:val="000145C2"/>
    <w:rsid w:val="0001473F"/>
    <w:rsid w:val="00017E04"/>
    <w:rsid w:val="00023D43"/>
    <w:rsid w:val="00032E07"/>
    <w:rsid w:val="000332CA"/>
    <w:rsid w:val="0003374E"/>
    <w:rsid w:val="000344E6"/>
    <w:rsid w:val="00035C3A"/>
    <w:rsid w:val="00036E4B"/>
    <w:rsid w:val="000379D0"/>
    <w:rsid w:val="00040FC4"/>
    <w:rsid w:val="000416F8"/>
    <w:rsid w:val="00051622"/>
    <w:rsid w:val="00052234"/>
    <w:rsid w:val="00053D7C"/>
    <w:rsid w:val="00056841"/>
    <w:rsid w:val="000577C9"/>
    <w:rsid w:val="0006431E"/>
    <w:rsid w:val="00072433"/>
    <w:rsid w:val="00075702"/>
    <w:rsid w:val="000775C2"/>
    <w:rsid w:val="000806AD"/>
    <w:rsid w:val="00082482"/>
    <w:rsid w:val="0008708B"/>
    <w:rsid w:val="00094E4F"/>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3740"/>
    <w:rsid w:val="001541C5"/>
    <w:rsid w:val="0015623F"/>
    <w:rsid w:val="00156BA9"/>
    <w:rsid w:val="00157E24"/>
    <w:rsid w:val="00166182"/>
    <w:rsid w:val="00166C50"/>
    <w:rsid w:val="00177659"/>
    <w:rsid w:val="001779E5"/>
    <w:rsid w:val="00182A4C"/>
    <w:rsid w:val="00182AEF"/>
    <w:rsid w:val="00183F77"/>
    <w:rsid w:val="00185588"/>
    <w:rsid w:val="00185839"/>
    <w:rsid w:val="00185DA8"/>
    <w:rsid w:val="00185ECB"/>
    <w:rsid w:val="001870F0"/>
    <w:rsid w:val="0019273F"/>
    <w:rsid w:val="00193AD5"/>
    <w:rsid w:val="00194930"/>
    <w:rsid w:val="001A08CD"/>
    <w:rsid w:val="001A5320"/>
    <w:rsid w:val="001A5E62"/>
    <w:rsid w:val="001A7538"/>
    <w:rsid w:val="001A7EE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1F3A33"/>
    <w:rsid w:val="002006EE"/>
    <w:rsid w:val="00200AA0"/>
    <w:rsid w:val="00202736"/>
    <w:rsid w:val="00203451"/>
    <w:rsid w:val="00203652"/>
    <w:rsid w:val="00203B40"/>
    <w:rsid w:val="002060B6"/>
    <w:rsid w:val="00216049"/>
    <w:rsid w:val="00217C09"/>
    <w:rsid w:val="002208FF"/>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6F25"/>
    <w:rsid w:val="00257DE5"/>
    <w:rsid w:val="00260531"/>
    <w:rsid w:val="0026318D"/>
    <w:rsid w:val="00270864"/>
    <w:rsid w:val="002712F7"/>
    <w:rsid w:val="0027159C"/>
    <w:rsid w:val="00274549"/>
    <w:rsid w:val="00274E46"/>
    <w:rsid w:val="00276C86"/>
    <w:rsid w:val="002810A4"/>
    <w:rsid w:val="00281928"/>
    <w:rsid w:val="00284A26"/>
    <w:rsid w:val="002A3237"/>
    <w:rsid w:val="002A685E"/>
    <w:rsid w:val="002A72C7"/>
    <w:rsid w:val="002B03B2"/>
    <w:rsid w:val="002B0749"/>
    <w:rsid w:val="002B2015"/>
    <w:rsid w:val="002B2645"/>
    <w:rsid w:val="002B411D"/>
    <w:rsid w:val="002C4D2F"/>
    <w:rsid w:val="002C5F10"/>
    <w:rsid w:val="002C6E5B"/>
    <w:rsid w:val="002D18B4"/>
    <w:rsid w:val="002D231A"/>
    <w:rsid w:val="002D6088"/>
    <w:rsid w:val="002E1877"/>
    <w:rsid w:val="002E1C31"/>
    <w:rsid w:val="002E333A"/>
    <w:rsid w:val="002E3474"/>
    <w:rsid w:val="002E400C"/>
    <w:rsid w:val="002E49C3"/>
    <w:rsid w:val="002E7570"/>
    <w:rsid w:val="002E764B"/>
    <w:rsid w:val="002F0E28"/>
    <w:rsid w:val="002F287E"/>
    <w:rsid w:val="002F2C19"/>
    <w:rsid w:val="002F2D63"/>
    <w:rsid w:val="002F7F81"/>
    <w:rsid w:val="00300A36"/>
    <w:rsid w:val="003019D5"/>
    <w:rsid w:val="0030678B"/>
    <w:rsid w:val="00310CD7"/>
    <w:rsid w:val="00313488"/>
    <w:rsid w:val="00316159"/>
    <w:rsid w:val="003207AD"/>
    <w:rsid w:val="0032136A"/>
    <w:rsid w:val="00323E70"/>
    <w:rsid w:val="00325BA2"/>
    <w:rsid w:val="00326F7F"/>
    <w:rsid w:val="003279B8"/>
    <w:rsid w:val="003320E8"/>
    <w:rsid w:val="0033555E"/>
    <w:rsid w:val="00336805"/>
    <w:rsid w:val="00337351"/>
    <w:rsid w:val="00341A54"/>
    <w:rsid w:val="0034669F"/>
    <w:rsid w:val="00351498"/>
    <w:rsid w:val="00352B22"/>
    <w:rsid w:val="003567DE"/>
    <w:rsid w:val="0036319E"/>
    <w:rsid w:val="003632A4"/>
    <w:rsid w:val="00363362"/>
    <w:rsid w:val="00370743"/>
    <w:rsid w:val="00370EF5"/>
    <w:rsid w:val="00372251"/>
    <w:rsid w:val="0037520D"/>
    <w:rsid w:val="0037628C"/>
    <w:rsid w:val="00376B81"/>
    <w:rsid w:val="00377BD2"/>
    <w:rsid w:val="00381785"/>
    <w:rsid w:val="003821E1"/>
    <w:rsid w:val="00384866"/>
    <w:rsid w:val="003857D4"/>
    <w:rsid w:val="00385D6F"/>
    <w:rsid w:val="00387095"/>
    <w:rsid w:val="00390092"/>
    <w:rsid w:val="003929BA"/>
    <w:rsid w:val="00393651"/>
    <w:rsid w:val="00393F89"/>
    <w:rsid w:val="003A41BA"/>
    <w:rsid w:val="003A6A99"/>
    <w:rsid w:val="003A7FF8"/>
    <w:rsid w:val="003B227A"/>
    <w:rsid w:val="003B5854"/>
    <w:rsid w:val="003B6764"/>
    <w:rsid w:val="003D2BA3"/>
    <w:rsid w:val="003D3C22"/>
    <w:rsid w:val="003D7089"/>
    <w:rsid w:val="003D7DDB"/>
    <w:rsid w:val="003E02C7"/>
    <w:rsid w:val="003E0543"/>
    <w:rsid w:val="003E0B5A"/>
    <w:rsid w:val="003E31E3"/>
    <w:rsid w:val="003E46D1"/>
    <w:rsid w:val="003E53BD"/>
    <w:rsid w:val="003F58B0"/>
    <w:rsid w:val="004007E9"/>
    <w:rsid w:val="00401825"/>
    <w:rsid w:val="00401BBC"/>
    <w:rsid w:val="00403BFB"/>
    <w:rsid w:val="00404B45"/>
    <w:rsid w:val="00406CC5"/>
    <w:rsid w:val="004074A4"/>
    <w:rsid w:val="004101B2"/>
    <w:rsid w:val="004123D7"/>
    <w:rsid w:val="004172DB"/>
    <w:rsid w:val="00421485"/>
    <w:rsid w:val="00422B75"/>
    <w:rsid w:val="00431370"/>
    <w:rsid w:val="00433F36"/>
    <w:rsid w:val="0043503A"/>
    <w:rsid w:val="0044178D"/>
    <w:rsid w:val="0044384F"/>
    <w:rsid w:val="00446018"/>
    <w:rsid w:val="004543BC"/>
    <w:rsid w:val="0045645D"/>
    <w:rsid w:val="004574C6"/>
    <w:rsid w:val="00457BCF"/>
    <w:rsid w:val="00457DCE"/>
    <w:rsid w:val="00460E3F"/>
    <w:rsid w:val="0046465B"/>
    <w:rsid w:val="00467592"/>
    <w:rsid w:val="00470793"/>
    <w:rsid w:val="004718E7"/>
    <w:rsid w:val="004761CC"/>
    <w:rsid w:val="00480D4A"/>
    <w:rsid w:val="00481DA1"/>
    <w:rsid w:val="004913DC"/>
    <w:rsid w:val="0049445D"/>
    <w:rsid w:val="00495350"/>
    <w:rsid w:val="00497156"/>
    <w:rsid w:val="004A17D1"/>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BFA"/>
    <w:rsid w:val="004F4631"/>
    <w:rsid w:val="004F6D04"/>
    <w:rsid w:val="00510588"/>
    <w:rsid w:val="0051146C"/>
    <w:rsid w:val="005222E7"/>
    <w:rsid w:val="00523E04"/>
    <w:rsid w:val="0052590B"/>
    <w:rsid w:val="00526591"/>
    <w:rsid w:val="00527178"/>
    <w:rsid w:val="00532577"/>
    <w:rsid w:val="005350A5"/>
    <w:rsid w:val="0053540A"/>
    <w:rsid w:val="00536379"/>
    <w:rsid w:val="00537238"/>
    <w:rsid w:val="005400C5"/>
    <w:rsid w:val="00540BEF"/>
    <w:rsid w:val="00542C9A"/>
    <w:rsid w:val="005436C2"/>
    <w:rsid w:val="0054586A"/>
    <w:rsid w:val="0055288D"/>
    <w:rsid w:val="00555259"/>
    <w:rsid w:val="00560D57"/>
    <w:rsid w:val="00562A94"/>
    <w:rsid w:val="005710A9"/>
    <w:rsid w:val="00593043"/>
    <w:rsid w:val="0059368D"/>
    <w:rsid w:val="00595BF0"/>
    <w:rsid w:val="005A258C"/>
    <w:rsid w:val="005A3560"/>
    <w:rsid w:val="005A6C99"/>
    <w:rsid w:val="005B011A"/>
    <w:rsid w:val="005B1D8F"/>
    <w:rsid w:val="005B1E94"/>
    <w:rsid w:val="005B405D"/>
    <w:rsid w:val="005B5B3D"/>
    <w:rsid w:val="005C3758"/>
    <w:rsid w:val="005C5463"/>
    <w:rsid w:val="005D6927"/>
    <w:rsid w:val="005E1078"/>
    <w:rsid w:val="005E3064"/>
    <w:rsid w:val="005F0CD2"/>
    <w:rsid w:val="005F1115"/>
    <w:rsid w:val="005F27F2"/>
    <w:rsid w:val="005F424D"/>
    <w:rsid w:val="005F643E"/>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5046"/>
    <w:rsid w:val="00645EA2"/>
    <w:rsid w:val="006573F2"/>
    <w:rsid w:val="00661EE6"/>
    <w:rsid w:val="00662F08"/>
    <w:rsid w:val="00663589"/>
    <w:rsid w:val="00670AA4"/>
    <w:rsid w:val="00670DDC"/>
    <w:rsid w:val="00671EB4"/>
    <w:rsid w:val="0067443B"/>
    <w:rsid w:val="00680B28"/>
    <w:rsid w:val="00684E2B"/>
    <w:rsid w:val="00690FDA"/>
    <w:rsid w:val="00694EEA"/>
    <w:rsid w:val="006955B4"/>
    <w:rsid w:val="00696476"/>
    <w:rsid w:val="0069754B"/>
    <w:rsid w:val="006A10FA"/>
    <w:rsid w:val="006A40E6"/>
    <w:rsid w:val="006A5C07"/>
    <w:rsid w:val="006A75FA"/>
    <w:rsid w:val="006B07D5"/>
    <w:rsid w:val="006B1309"/>
    <w:rsid w:val="006B5923"/>
    <w:rsid w:val="006B67D9"/>
    <w:rsid w:val="006B6C14"/>
    <w:rsid w:val="006C072C"/>
    <w:rsid w:val="006C1D6E"/>
    <w:rsid w:val="006C2FDC"/>
    <w:rsid w:val="006C3A68"/>
    <w:rsid w:val="006C6AB1"/>
    <w:rsid w:val="006D2D39"/>
    <w:rsid w:val="006E06D1"/>
    <w:rsid w:val="006E1313"/>
    <w:rsid w:val="006E2DC8"/>
    <w:rsid w:val="006E4FEA"/>
    <w:rsid w:val="006E6218"/>
    <w:rsid w:val="006E7356"/>
    <w:rsid w:val="006E77C8"/>
    <w:rsid w:val="006F149D"/>
    <w:rsid w:val="006F1A46"/>
    <w:rsid w:val="006F5A4E"/>
    <w:rsid w:val="00703B6C"/>
    <w:rsid w:val="00706482"/>
    <w:rsid w:val="00706BEF"/>
    <w:rsid w:val="007116BC"/>
    <w:rsid w:val="0071580A"/>
    <w:rsid w:val="007165CE"/>
    <w:rsid w:val="00720968"/>
    <w:rsid w:val="00721D12"/>
    <w:rsid w:val="00721F8B"/>
    <w:rsid w:val="0073254D"/>
    <w:rsid w:val="00733DAD"/>
    <w:rsid w:val="00736A49"/>
    <w:rsid w:val="00742806"/>
    <w:rsid w:val="00743B71"/>
    <w:rsid w:val="00743C2D"/>
    <w:rsid w:val="00743E36"/>
    <w:rsid w:val="007446F7"/>
    <w:rsid w:val="00744EBB"/>
    <w:rsid w:val="00745B0A"/>
    <w:rsid w:val="007468AC"/>
    <w:rsid w:val="00746AE2"/>
    <w:rsid w:val="00750C82"/>
    <w:rsid w:val="0076100C"/>
    <w:rsid w:val="007651ED"/>
    <w:rsid w:val="00766C87"/>
    <w:rsid w:val="00780B14"/>
    <w:rsid w:val="007819B0"/>
    <w:rsid w:val="00781BD4"/>
    <w:rsid w:val="007834D5"/>
    <w:rsid w:val="00784832"/>
    <w:rsid w:val="00785D77"/>
    <w:rsid w:val="00786111"/>
    <w:rsid w:val="00791F1E"/>
    <w:rsid w:val="00794F3D"/>
    <w:rsid w:val="007968AC"/>
    <w:rsid w:val="007969AB"/>
    <w:rsid w:val="007A0B39"/>
    <w:rsid w:val="007A14A4"/>
    <w:rsid w:val="007A168F"/>
    <w:rsid w:val="007A28E4"/>
    <w:rsid w:val="007A3BB3"/>
    <w:rsid w:val="007A5AD1"/>
    <w:rsid w:val="007A5B7B"/>
    <w:rsid w:val="007A63DE"/>
    <w:rsid w:val="007B0A06"/>
    <w:rsid w:val="007B5C5C"/>
    <w:rsid w:val="007B7B37"/>
    <w:rsid w:val="007B7C41"/>
    <w:rsid w:val="007C2323"/>
    <w:rsid w:val="007C433E"/>
    <w:rsid w:val="007C4DB1"/>
    <w:rsid w:val="007C6046"/>
    <w:rsid w:val="007D0292"/>
    <w:rsid w:val="007D21AC"/>
    <w:rsid w:val="007D3B55"/>
    <w:rsid w:val="007D568A"/>
    <w:rsid w:val="007D574E"/>
    <w:rsid w:val="007E2046"/>
    <w:rsid w:val="007E4FBB"/>
    <w:rsid w:val="007E55BF"/>
    <w:rsid w:val="007E71B1"/>
    <w:rsid w:val="007E7B4E"/>
    <w:rsid w:val="007F0CE2"/>
    <w:rsid w:val="007F0EFF"/>
    <w:rsid w:val="007F1375"/>
    <w:rsid w:val="00800D2B"/>
    <w:rsid w:val="008024C6"/>
    <w:rsid w:val="00803850"/>
    <w:rsid w:val="00805AFD"/>
    <w:rsid w:val="00811D5B"/>
    <w:rsid w:val="0081582E"/>
    <w:rsid w:val="00817713"/>
    <w:rsid w:val="008220F1"/>
    <w:rsid w:val="00827DB6"/>
    <w:rsid w:val="00830999"/>
    <w:rsid w:val="00830D5E"/>
    <w:rsid w:val="00830F69"/>
    <w:rsid w:val="0083404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84C29"/>
    <w:rsid w:val="00896535"/>
    <w:rsid w:val="00896683"/>
    <w:rsid w:val="008A3BCF"/>
    <w:rsid w:val="008A63A9"/>
    <w:rsid w:val="008B04DB"/>
    <w:rsid w:val="008B27FD"/>
    <w:rsid w:val="008B3AF2"/>
    <w:rsid w:val="008B515D"/>
    <w:rsid w:val="008B5D31"/>
    <w:rsid w:val="008B6705"/>
    <w:rsid w:val="008C2C46"/>
    <w:rsid w:val="008C439D"/>
    <w:rsid w:val="008D795D"/>
    <w:rsid w:val="008D7B07"/>
    <w:rsid w:val="008E2D99"/>
    <w:rsid w:val="008E39B5"/>
    <w:rsid w:val="008E4A60"/>
    <w:rsid w:val="008E4A96"/>
    <w:rsid w:val="009014E3"/>
    <w:rsid w:val="009026E8"/>
    <w:rsid w:val="00906EB7"/>
    <w:rsid w:val="009102BF"/>
    <w:rsid w:val="009115F2"/>
    <w:rsid w:val="00914ADB"/>
    <w:rsid w:val="00922B02"/>
    <w:rsid w:val="00923B25"/>
    <w:rsid w:val="0092402E"/>
    <w:rsid w:val="00926FCB"/>
    <w:rsid w:val="009340B7"/>
    <w:rsid w:val="00934C73"/>
    <w:rsid w:val="00936352"/>
    <w:rsid w:val="00942645"/>
    <w:rsid w:val="009428F2"/>
    <w:rsid w:val="00950A3A"/>
    <w:rsid w:val="0095340A"/>
    <w:rsid w:val="00954581"/>
    <w:rsid w:val="0095466C"/>
    <w:rsid w:val="00954E5B"/>
    <w:rsid w:val="009556A8"/>
    <w:rsid w:val="009576BC"/>
    <w:rsid w:val="00960357"/>
    <w:rsid w:val="0096168C"/>
    <w:rsid w:val="00961840"/>
    <w:rsid w:val="00962F2D"/>
    <w:rsid w:val="00964D5A"/>
    <w:rsid w:val="009672CD"/>
    <w:rsid w:val="00972996"/>
    <w:rsid w:val="009732B8"/>
    <w:rsid w:val="00975C72"/>
    <w:rsid w:val="00976869"/>
    <w:rsid w:val="00977740"/>
    <w:rsid w:val="00977CB4"/>
    <w:rsid w:val="009809B8"/>
    <w:rsid w:val="00984700"/>
    <w:rsid w:val="00985099"/>
    <w:rsid w:val="0099421F"/>
    <w:rsid w:val="009A0DE3"/>
    <w:rsid w:val="009A1643"/>
    <w:rsid w:val="009A215A"/>
    <w:rsid w:val="009A439E"/>
    <w:rsid w:val="009A4F1B"/>
    <w:rsid w:val="009A66C5"/>
    <w:rsid w:val="009A79BA"/>
    <w:rsid w:val="009B1534"/>
    <w:rsid w:val="009B4A3B"/>
    <w:rsid w:val="009B69D3"/>
    <w:rsid w:val="009B7BA7"/>
    <w:rsid w:val="009C0938"/>
    <w:rsid w:val="009C22C8"/>
    <w:rsid w:val="009C3F82"/>
    <w:rsid w:val="009C72DD"/>
    <w:rsid w:val="009C7DF5"/>
    <w:rsid w:val="009D056C"/>
    <w:rsid w:val="009D060F"/>
    <w:rsid w:val="009D1ADE"/>
    <w:rsid w:val="009D489F"/>
    <w:rsid w:val="009E09D0"/>
    <w:rsid w:val="009E1283"/>
    <w:rsid w:val="009E3A7F"/>
    <w:rsid w:val="009E57B1"/>
    <w:rsid w:val="009E5A80"/>
    <w:rsid w:val="009F7809"/>
    <w:rsid w:val="009F7AF5"/>
    <w:rsid w:val="00A00D14"/>
    <w:rsid w:val="00A01408"/>
    <w:rsid w:val="00A02457"/>
    <w:rsid w:val="00A03190"/>
    <w:rsid w:val="00A0404B"/>
    <w:rsid w:val="00A05399"/>
    <w:rsid w:val="00A07918"/>
    <w:rsid w:val="00A07BDD"/>
    <w:rsid w:val="00A1105B"/>
    <w:rsid w:val="00A12511"/>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4A47"/>
    <w:rsid w:val="00A56D26"/>
    <w:rsid w:val="00A608FB"/>
    <w:rsid w:val="00A60D83"/>
    <w:rsid w:val="00A60F68"/>
    <w:rsid w:val="00A614EC"/>
    <w:rsid w:val="00A654D5"/>
    <w:rsid w:val="00A65C78"/>
    <w:rsid w:val="00A67CA6"/>
    <w:rsid w:val="00A70E7B"/>
    <w:rsid w:val="00A73B84"/>
    <w:rsid w:val="00A7411D"/>
    <w:rsid w:val="00A76094"/>
    <w:rsid w:val="00A768E2"/>
    <w:rsid w:val="00A82C52"/>
    <w:rsid w:val="00A836F1"/>
    <w:rsid w:val="00A86CB6"/>
    <w:rsid w:val="00A90D55"/>
    <w:rsid w:val="00A959E7"/>
    <w:rsid w:val="00A95BBA"/>
    <w:rsid w:val="00A961EE"/>
    <w:rsid w:val="00AA04B3"/>
    <w:rsid w:val="00AA493E"/>
    <w:rsid w:val="00AA5606"/>
    <w:rsid w:val="00AA73AF"/>
    <w:rsid w:val="00AB1754"/>
    <w:rsid w:val="00AB27DD"/>
    <w:rsid w:val="00AC439D"/>
    <w:rsid w:val="00AD067E"/>
    <w:rsid w:val="00AD3432"/>
    <w:rsid w:val="00AD68C5"/>
    <w:rsid w:val="00AE1273"/>
    <w:rsid w:val="00AE2D29"/>
    <w:rsid w:val="00AE4624"/>
    <w:rsid w:val="00AE5E14"/>
    <w:rsid w:val="00AE6115"/>
    <w:rsid w:val="00AF4FA5"/>
    <w:rsid w:val="00B14FAA"/>
    <w:rsid w:val="00B15D30"/>
    <w:rsid w:val="00B23436"/>
    <w:rsid w:val="00B32179"/>
    <w:rsid w:val="00B3220A"/>
    <w:rsid w:val="00B331A9"/>
    <w:rsid w:val="00B40A3E"/>
    <w:rsid w:val="00B450BB"/>
    <w:rsid w:val="00B50227"/>
    <w:rsid w:val="00B522CD"/>
    <w:rsid w:val="00B55917"/>
    <w:rsid w:val="00B64DD6"/>
    <w:rsid w:val="00B71CBE"/>
    <w:rsid w:val="00B72303"/>
    <w:rsid w:val="00B82277"/>
    <w:rsid w:val="00B85388"/>
    <w:rsid w:val="00B913EA"/>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560"/>
    <w:rsid w:val="00BE0DEB"/>
    <w:rsid w:val="00BE2FC1"/>
    <w:rsid w:val="00BE6365"/>
    <w:rsid w:val="00BE6922"/>
    <w:rsid w:val="00BF0B7F"/>
    <w:rsid w:val="00BF4720"/>
    <w:rsid w:val="00C038EC"/>
    <w:rsid w:val="00C07340"/>
    <w:rsid w:val="00C11D3B"/>
    <w:rsid w:val="00C124A0"/>
    <w:rsid w:val="00C13B34"/>
    <w:rsid w:val="00C13F26"/>
    <w:rsid w:val="00C16E9F"/>
    <w:rsid w:val="00C1713D"/>
    <w:rsid w:val="00C177F1"/>
    <w:rsid w:val="00C23C82"/>
    <w:rsid w:val="00C25978"/>
    <w:rsid w:val="00C261C6"/>
    <w:rsid w:val="00C30A97"/>
    <w:rsid w:val="00C31DDC"/>
    <w:rsid w:val="00C34326"/>
    <w:rsid w:val="00C36201"/>
    <w:rsid w:val="00C36460"/>
    <w:rsid w:val="00C368E8"/>
    <w:rsid w:val="00C36C3D"/>
    <w:rsid w:val="00C372C7"/>
    <w:rsid w:val="00C42443"/>
    <w:rsid w:val="00C42CBA"/>
    <w:rsid w:val="00C5019E"/>
    <w:rsid w:val="00C53E8A"/>
    <w:rsid w:val="00C54DF3"/>
    <w:rsid w:val="00C560A7"/>
    <w:rsid w:val="00C56FC8"/>
    <w:rsid w:val="00C60F23"/>
    <w:rsid w:val="00C62EB2"/>
    <w:rsid w:val="00C71BEC"/>
    <w:rsid w:val="00C736B5"/>
    <w:rsid w:val="00C74D3A"/>
    <w:rsid w:val="00C758B2"/>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23B"/>
    <w:rsid w:val="00CC19B3"/>
    <w:rsid w:val="00CC2044"/>
    <w:rsid w:val="00CC39D2"/>
    <w:rsid w:val="00CC69EC"/>
    <w:rsid w:val="00CD15BE"/>
    <w:rsid w:val="00CD32BD"/>
    <w:rsid w:val="00CD34C7"/>
    <w:rsid w:val="00CD5E6D"/>
    <w:rsid w:val="00CD63C8"/>
    <w:rsid w:val="00CE0AFE"/>
    <w:rsid w:val="00CE392F"/>
    <w:rsid w:val="00CF158D"/>
    <w:rsid w:val="00CF4394"/>
    <w:rsid w:val="00CF7E21"/>
    <w:rsid w:val="00D10577"/>
    <w:rsid w:val="00D1150D"/>
    <w:rsid w:val="00D1323B"/>
    <w:rsid w:val="00D14BAE"/>
    <w:rsid w:val="00D1648B"/>
    <w:rsid w:val="00D16819"/>
    <w:rsid w:val="00D20AC0"/>
    <w:rsid w:val="00D25D83"/>
    <w:rsid w:val="00D26873"/>
    <w:rsid w:val="00D336C8"/>
    <w:rsid w:val="00D339E8"/>
    <w:rsid w:val="00D40B1F"/>
    <w:rsid w:val="00D40D75"/>
    <w:rsid w:val="00D50C8C"/>
    <w:rsid w:val="00D52393"/>
    <w:rsid w:val="00D523E4"/>
    <w:rsid w:val="00D53F14"/>
    <w:rsid w:val="00D54BE4"/>
    <w:rsid w:val="00D54C1D"/>
    <w:rsid w:val="00D60483"/>
    <w:rsid w:val="00D61ABB"/>
    <w:rsid w:val="00D63577"/>
    <w:rsid w:val="00D65EFF"/>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F3A"/>
    <w:rsid w:val="00DB0015"/>
    <w:rsid w:val="00DB2AAD"/>
    <w:rsid w:val="00DB626D"/>
    <w:rsid w:val="00DB6365"/>
    <w:rsid w:val="00DC0BF1"/>
    <w:rsid w:val="00DC41C3"/>
    <w:rsid w:val="00DC45C0"/>
    <w:rsid w:val="00DC7275"/>
    <w:rsid w:val="00DD3593"/>
    <w:rsid w:val="00DE0C67"/>
    <w:rsid w:val="00DE46E9"/>
    <w:rsid w:val="00DE6952"/>
    <w:rsid w:val="00DE7E74"/>
    <w:rsid w:val="00DF23D5"/>
    <w:rsid w:val="00DF2847"/>
    <w:rsid w:val="00DF4535"/>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50504"/>
    <w:rsid w:val="00E50BEB"/>
    <w:rsid w:val="00E6092F"/>
    <w:rsid w:val="00E62212"/>
    <w:rsid w:val="00E629DA"/>
    <w:rsid w:val="00E67FAC"/>
    <w:rsid w:val="00E7200B"/>
    <w:rsid w:val="00E738CB"/>
    <w:rsid w:val="00E73C88"/>
    <w:rsid w:val="00E74437"/>
    <w:rsid w:val="00E81C3E"/>
    <w:rsid w:val="00E82B6D"/>
    <w:rsid w:val="00EA1177"/>
    <w:rsid w:val="00EA118B"/>
    <w:rsid w:val="00EA11B6"/>
    <w:rsid w:val="00EA2181"/>
    <w:rsid w:val="00EA2DD8"/>
    <w:rsid w:val="00EA4475"/>
    <w:rsid w:val="00EA509B"/>
    <w:rsid w:val="00EA681F"/>
    <w:rsid w:val="00EB3823"/>
    <w:rsid w:val="00EB47D8"/>
    <w:rsid w:val="00EB57D3"/>
    <w:rsid w:val="00EB679F"/>
    <w:rsid w:val="00EB746C"/>
    <w:rsid w:val="00EB76E4"/>
    <w:rsid w:val="00EC0E65"/>
    <w:rsid w:val="00EC2938"/>
    <w:rsid w:val="00EC50C9"/>
    <w:rsid w:val="00EC5BB2"/>
    <w:rsid w:val="00ED664B"/>
    <w:rsid w:val="00EE0B44"/>
    <w:rsid w:val="00EE25E0"/>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B1E21"/>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2445"/>
    <w:rsid w:val="00FF3A38"/>
    <w:rsid w:val="00FF3C25"/>
    <w:rsid w:val="00FF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20364322">
      <w:bodyDiv w:val="1"/>
      <w:marLeft w:val="0"/>
      <w:marRight w:val="0"/>
      <w:marTop w:val="0"/>
      <w:marBottom w:val="0"/>
      <w:divBdr>
        <w:top w:val="none" w:sz="0" w:space="0" w:color="auto"/>
        <w:left w:val="none" w:sz="0" w:space="0" w:color="auto"/>
        <w:bottom w:val="none" w:sz="0" w:space="0" w:color="auto"/>
        <w:right w:val="none" w:sz="0" w:space="0" w:color="auto"/>
      </w:divBdr>
    </w:div>
    <w:div w:id="19846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29B9-6749-4A39-8551-D362EEA4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2012-03-07T01:26:00Z</dcterms:created>
  <dcterms:modified xsi:type="dcterms:W3CDTF">2012-03-07T01:26:00Z</dcterms:modified>
</cp:coreProperties>
</file>