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454" w:rsidRPr="00B20624" w:rsidRDefault="00A91454" w:rsidP="00A91454">
      <w:pPr>
        <w:tabs>
          <w:tab w:val="left" w:pos="288"/>
          <w:tab w:val="left" w:pos="4752"/>
        </w:tabs>
        <w:spacing w:line="240" w:lineRule="exact"/>
        <w:jc w:val="center"/>
      </w:pPr>
      <w:r w:rsidRPr="00B20624">
        <w:t>RECORD OF PROCEEDINGS</w:t>
      </w:r>
    </w:p>
    <w:p w:rsidR="00A91454" w:rsidRPr="00B20624" w:rsidRDefault="00A91454" w:rsidP="00A91454">
      <w:pPr>
        <w:tabs>
          <w:tab w:val="left" w:pos="288"/>
          <w:tab w:val="left" w:pos="4752"/>
        </w:tabs>
        <w:spacing w:line="240" w:lineRule="exact"/>
        <w:jc w:val="center"/>
      </w:pPr>
      <w:r w:rsidRPr="00B20624">
        <w:t>PHYSICAL DISABILITY BOARD OF REVIEW</w:t>
      </w:r>
    </w:p>
    <w:p w:rsidR="00A91454" w:rsidRPr="00B20624" w:rsidRDefault="00A91454" w:rsidP="00A91454">
      <w:pPr>
        <w:tabs>
          <w:tab w:val="left" w:pos="288"/>
          <w:tab w:val="left" w:pos="4752"/>
        </w:tabs>
        <w:spacing w:line="240" w:lineRule="exact"/>
        <w:jc w:val="both"/>
        <w:rPr>
          <w:caps/>
        </w:rPr>
      </w:pPr>
    </w:p>
    <w:p w:rsidR="00A91454" w:rsidRPr="00B20624" w:rsidRDefault="00A91454" w:rsidP="00A91454">
      <w:pPr>
        <w:tabs>
          <w:tab w:val="left" w:pos="288"/>
          <w:tab w:val="left" w:pos="4752"/>
        </w:tabs>
        <w:spacing w:line="240" w:lineRule="exact"/>
        <w:ind w:right="-1260"/>
        <w:jc w:val="both"/>
        <w:rPr>
          <w:caps/>
        </w:rPr>
      </w:pPr>
      <w:r w:rsidRPr="00B20624">
        <w:rPr>
          <w:caps/>
        </w:rPr>
        <w:t>NAME:</w:t>
      </w:r>
      <w:r>
        <w:rPr>
          <w:caps/>
        </w:rPr>
        <w:t xml:space="preserve">  XXXXXXXXXXXXXXXXX</w:t>
      </w:r>
      <w:r w:rsidRPr="00B20624">
        <w:rPr>
          <w:caps/>
        </w:rPr>
        <w:tab/>
      </w:r>
      <w:r w:rsidRPr="00B20624">
        <w:rPr>
          <w:caps/>
        </w:rPr>
        <w:tab/>
      </w:r>
      <w:r>
        <w:rPr>
          <w:caps/>
        </w:rPr>
        <w:tab/>
        <w:t xml:space="preserve">           </w:t>
      </w:r>
      <w:r w:rsidRPr="00B20624">
        <w:rPr>
          <w:caps/>
        </w:rPr>
        <w:t>BRANCH OF SERVICE:</w:t>
      </w:r>
      <w:r>
        <w:rPr>
          <w:caps/>
        </w:rPr>
        <w:t xml:space="preserve"> </w:t>
      </w:r>
      <w:r w:rsidRPr="00B20624">
        <w:rPr>
          <w:caps/>
        </w:rPr>
        <w:t xml:space="preserve"> </w:t>
      </w:r>
      <w:r w:rsidRPr="00972CDF">
        <w:rPr>
          <w:caps/>
        </w:rPr>
        <w:t>ARMY</w:t>
      </w:r>
      <w:r w:rsidRPr="00B20624">
        <w:rPr>
          <w:caps/>
        </w:rPr>
        <w:t xml:space="preserve"> </w:t>
      </w:r>
    </w:p>
    <w:p w:rsidR="00A91454" w:rsidRPr="00B20624" w:rsidRDefault="00A91454" w:rsidP="00A91454">
      <w:pPr>
        <w:tabs>
          <w:tab w:val="left" w:pos="288"/>
          <w:tab w:val="left" w:pos="4752"/>
        </w:tabs>
        <w:spacing w:line="240" w:lineRule="exact"/>
        <w:ind w:right="-900"/>
        <w:jc w:val="both"/>
        <w:rPr>
          <w:caps/>
        </w:rPr>
      </w:pPr>
      <w:r w:rsidRPr="00B20624">
        <w:rPr>
          <w:caps/>
        </w:rPr>
        <w:t xml:space="preserve">CASE NUMBER:  </w:t>
      </w:r>
      <w:r w:rsidRPr="00ED16E5">
        <w:rPr>
          <w:caps/>
        </w:rPr>
        <w:t>PD1000043</w:t>
      </w:r>
      <w:r w:rsidRPr="00B20624">
        <w:rPr>
          <w:caps/>
        </w:rPr>
        <w:tab/>
      </w:r>
      <w:r w:rsidRPr="00B20624">
        <w:rPr>
          <w:caps/>
        </w:rPr>
        <w:tab/>
      </w:r>
      <w:r>
        <w:rPr>
          <w:caps/>
        </w:rPr>
        <w:tab/>
        <w:t xml:space="preserve">           </w:t>
      </w:r>
      <w:r w:rsidRPr="00B20624">
        <w:rPr>
          <w:caps/>
        </w:rPr>
        <w:t>SEPARATION DATE:</w:t>
      </w:r>
      <w:r>
        <w:rPr>
          <w:caps/>
        </w:rPr>
        <w:t xml:space="preserve"> </w:t>
      </w:r>
      <w:r w:rsidRPr="00B20624">
        <w:rPr>
          <w:caps/>
        </w:rPr>
        <w:t xml:space="preserve"> </w:t>
      </w:r>
      <w:r w:rsidRPr="00972CDF">
        <w:rPr>
          <w:caps/>
        </w:rPr>
        <w:t>2006</w:t>
      </w:r>
      <w:r>
        <w:rPr>
          <w:caps/>
        </w:rPr>
        <w:t>0331</w:t>
      </w:r>
    </w:p>
    <w:p w:rsidR="00A91454" w:rsidRDefault="00A91454" w:rsidP="00A91454">
      <w:pPr>
        <w:tabs>
          <w:tab w:val="left" w:pos="288"/>
          <w:tab w:val="left" w:pos="4752"/>
        </w:tabs>
        <w:spacing w:line="240" w:lineRule="exact"/>
        <w:jc w:val="both"/>
        <w:rPr>
          <w:caps/>
        </w:rPr>
      </w:pPr>
      <w:r w:rsidRPr="00B20624">
        <w:rPr>
          <w:caps/>
        </w:rPr>
        <w:t>BOARD DATE:</w:t>
      </w:r>
      <w:r>
        <w:rPr>
          <w:caps/>
        </w:rPr>
        <w:t xml:space="preserve"> </w:t>
      </w:r>
      <w:r w:rsidRPr="00B20624">
        <w:rPr>
          <w:caps/>
        </w:rPr>
        <w:t xml:space="preserve"> 201</w:t>
      </w:r>
      <w:r>
        <w:rPr>
          <w:caps/>
        </w:rPr>
        <w:t>10812</w:t>
      </w:r>
      <w:r w:rsidRPr="00B20624">
        <w:rPr>
          <w:caps/>
        </w:rPr>
        <w:tab/>
      </w:r>
      <w:r w:rsidRPr="00B20624">
        <w:rPr>
          <w:caps/>
        </w:rPr>
        <w:tab/>
      </w:r>
      <w:r>
        <w:rPr>
          <w:caps/>
        </w:rPr>
        <w:tab/>
      </w:r>
      <w:r>
        <w:rPr>
          <w:caps/>
        </w:rPr>
        <w:tab/>
      </w:r>
    </w:p>
    <w:p w:rsidR="00A91454" w:rsidRDefault="00A91454" w:rsidP="00A91454">
      <w:pPr>
        <w:pBdr>
          <w:bottom w:val="single" w:sz="12" w:space="1" w:color="auto"/>
        </w:pBdr>
        <w:tabs>
          <w:tab w:val="left" w:pos="288"/>
          <w:tab w:val="left" w:pos="4752"/>
        </w:tabs>
        <w:spacing w:line="240" w:lineRule="exact"/>
        <w:jc w:val="both"/>
        <w:rPr>
          <w:szCs w:val="24"/>
        </w:rPr>
      </w:pPr>
    </w:p>
    <w:p w:rsidR="00A91454" w:rsidRPr="00D91DA6" w:rsidRDefault="00A91454" w:rsidP="00A91454">
      <w:pPr>
        <w:tabs>
          <w:tab w:val="left" w:pos="288"/>
          <w:tab w:val="left" w:pos="4752"/>
        </w:tabs>
        <w:spacing w:line="240" w:lineRule="exact"/>
        <w:jc w:val="both"/>
        <w:rPr>
          <w:color w:val="000080"/>
        </w:rPr>
      </w:pPr>
    </w:p>
    <w:p w:rsidR="00A91454" w:rsidRPr="00A315F3" w:rsidRDefault="00A91454" w:rsidP="00A91454">
      <w:pPr>
        <w:tabs>
          <w:tab w:val="left" w:pos="288"/>
          <w:tab w:val="left" w:pos="4752"/>
        </w:tabs>
        <w:spacing w:line="240" w:lineRule="exact"/>
        <w:jc w:val="both"/>
        <w:rPr>
          <w:szCs w:val="24"/>
        </w:rPr>
      </w:pPr>
      <w:r w:rsidRPr="00A315F3">
        <w:rPr>
          <w:u w:val="single"/>
        </w:rPr>
        <w:t>SUMMARY OF CASE</w:t>
      </w:r>
      <w:r w:rsidRPr="00A315F3">
        <w:t>:  Data extracted from the available evidence of record reflects that this</w:t>
      </w:r>
      <w:r w:rsidRPr="00A315F3">
        <w:rPr>
          <w:szCs w:val="24"/>
        </w:rPr>
        <w:t xml:space="preserve"> covered individual (CI) was an </w:t>
      </w:r>
      <w:r w:rsidRPr="007D15A4">
        <w:rPr>
          <w:szCs w:val="24"/>
        </w:rPr>
        <w:t xml:space="preserve">active duty </w:t>
      </w:r>
      <w:r>
        <w:rPr>
          <w:szCs w:val="24"/>
        </w:rPr>
        <w:t xml:space="preserve">Sergeant </w:t>
      </w:r>
      <w:r w:rsidRPr="007D15A4">
        <w:rPr>
          <w:szCs w:val="24"/>
        </w:rPr>
        <w:t>(92A, Automated Logistics)</w:t>
      </w:r>
      <w:r w:rsidRPr="00A315F3">
        <w:rPr>
          <w:szCs w:val="24"/>
        </w:rPr>
        <w:t xml:space="preserve"> medically separated for </w:t>
      </w:r>
      <w:r>
        <w:rPr>
          <w:szCs w:val="24"/>
        </w:rPr>
        <w:t>a lumbar spine condition</w:t>
      </w:r>
      <w:r w:rsidRPr="00A315F3">
        <w:rPr>
          <w:szCs w:val="24"/>
        </w:rPr>
        <w:t xml:space="preserve">.  The condition began in </w:t>
      </w:r>
      <w:r>
        <w:rPr>
          <w:szCs w:val="24"/>
        </w:rPr>
        <w:t xml:space="preserve">2002 as a consequence of falling onto his back, </w:t>
      </w:r>
      <w:r w:rsidRPr="00B36F4C">
        <w:rPr>
          <w:szCs w:val="24"/>
        </w:rPr>
        <w:t>and was not associated with a surgical indication.</w:t>
      </w:r>
      <w:r>
        <w:rPr>
          <w:szCs w:val="24"/>
        </w:rPr>
        <w:t xml:space="preserve">  </w:t>
      </w:r>
      <w:r w:rsidRPr="00446798">
        <w:rPr>
          <w:szCs w:val="24"/>
        </w:rPr>
        <w:t xml:space="preserve">He did not respond adequately to treatment and was unable to perform within his military occupational specialty (MOS) or meet physical fitness standards.  </w:t>
      </w:r>
      <w:r w:rsidRPr="00B36F4C">
        <w:rPr>
          <w:szCs w:val="24"/>
        </w:rPr>
        <w:t>He was issued a permanent L-3 profile and underwent a Medical Evaluation Board (MEB).</w:t>
      </w:r>
      <w:r>
        <w:rPr>
          <w:szCs w:val="24"/>
        </w:rPr>
        <w:t xml:space="preserve">  Low back pain was</w:t>
      </w:r>
      <w:r w:rsidRPr="00A315F3">
        <w:rPr>
          <w:szCs w:val="24"/>
        </w:rPr>
        <w:t xml:space="preserve"> </w:t>
      </w:r>
      <w:r w:rsidRPr="00446798">
        <w:rPr>
          <w:szCs w:val="24"/>
        </w:rPr>
        <w:t xml:space="preserve">forwarded to the </w:t>
      </w:r>
      <w:r w:rsidRPr="00A315F3">
        <w:rPr>
          <w:szCs w:val="24"/>
        </w:rPr>
        <w:t xml:space="preserve">Physical Evaluation Board (PEB) </w:t>
      </w:r>
      <w:r w:rsidRPr="00446798">
        <w:rPr>
          <w:szCs w:val="24"/>
        </w:rPr>
        <w:t>as medically unacceptable IAW AR 40-501.</w:t>
      </w:r>
      <w:r>
        <w:rPr>
          <w:szCs w:val="24"/>
        </w:rPr>
        <w:t xml:space="preserve">  Focal segmental </w:t>
      </w:r>
      <w:proofErr w:type="spellStart"/>
      <w:r>
        <w:rPr>
          <w:szCs w:val="24"/>
        </w:rPr>
        <w:t>glomerulosclerosis</w:t>
      </w:r>
      <w:proofErr w:type="spellEnd"/>
      <w:r>
        <w:rPr>
          <w:szCs w:val="24"/>
        </w:rPr>
        <w:t xml:space="preserve"> and obstructive sleep apnea (OSA) were also identified and forwarded as medically acceptable conditions.  </w:t>
      </w:r>
      <w:r w:rsidRPr="00A315F3">
        <w:rPr>
          <w:szCs w:val="24"/>
        </w:rPr>
        <w:t>Additional conditions supported in the Disability Evaluation System (DES) file are discussed below, but were not forwarded for PEB adjudication.</w:t>
      </w:r>
      <w:r>
        <w:rPr>
          <w:szCs w:val="24"/>
        </w:rPr>
        <w:t xml:space="preserve">  </w:t>
      </w:r>
      <w:r w:rsidRPr="00A315F3">
        <w:rPr>
          <w:szCs w:val="24"/>
        </w:rPr>
        <w:t xml:space="preserve">The PEB adjudicated the </w:t>
      </w:r>
      <w:r>
        <w:rPr>
          <w:szCs w:val="24"/>
        </w:rPr>
        <w:t>low back</w:t>
      </w:r>
      <w:r w:rsidRPr="00A315F3">
        <w:rPr>
          <w:szCs w:val="24"/>
        </w:rPr>
        <w:t xml:space="preserve"> condition as unfitting, rated </w:t>
      </w:r>
      <w:r>
        <w:rPr>
          <w:szCs w:val="24"/>
        </w:rPr>
        <w:t>0</w:t>
      </w:r>
      <w:r w:rsidRPr="00A315F3">
        <w:rPr>
          <w:szCs w:val="24"/>
        </w:rPr>
        <w:t xml:space="preserve">% with application of the </w:t>
      </w:r>
      <w:r w:rsidRPr="00446798">
        <w:rPr>
          <w:szCs w:val="24"/>
        </w:rPr>
        <w:t>US Army Physical Disability Agency (USAPDA) pain policy.</w:t>
      </w:r>
      <w:r w:rsidRPr="00A315F3">
        <w:rPr>
          <w:szCs w:val="24"/>
        </w:rPr>
        <w:t xml:space="preserve">  </w:t>
      </w:r>
      <w:r w:rsidRPr="00A315F3">
        <w:t xml:space="preserve">The CI made </w:t>
      </w:r>
      <w:r w:rsidRPr="00446798">
        <w:t>no appeals</w:t>
      </w:r>
      <w:r w:rsidRPr="00A315F3">
        <w:t>, and was</w:t>
      </w:r>
      <w:r>
        <w:t xml:space="preserve"> medically separated with a 0</w:t>
      </w:r>
      <w:r w:rsidRPr="00A315F3">
        <w:t xml:space="preserve">% disability rating.  </w:t>
      </w:r>
    </w:p>
    <w:p w:rsidR="00A91454" w:rsidRPr="007A51F4" w:rsidRDefault="00A91454" w:rsidP="00A91454">
      <w:pPr>
        <w:pBdr>
          <w:bottom w:val="single" w:sz="12" w:space="1" w:color="auto"/>
        </w:pBdr>
        <w:tabs>
          <w:tab w:val="left" w:pos="288"/>
          <w:tab w:val="left" w:pos="4752"/>
        </w:tabs>
        <w:spacing w:line="240" w:lineRule="exact"/>
        <w:jc w:val="both"/>
        <w:rPr>
          <w:b/>
          <w:szCs w:val="24"/>
        </w:rPr>
      </w:pPr>
    </w:p>
    <w:p w:rsidR="00A91454" w:rsidRPr="00AC713F" w:rsidRDefault="00A91454" w:rsidP="00A91454">
      <w:pPr>
        <w:tabs>
          <w:tab w:val="left" w:pos="288"/>
          <w:tab w:val="left" w:pos="4752"/>
        </w:tabs>
        <w:spacing w:line="240" w:lineRule="exact"/>
        <w:jc w:val="both"/>
        <w:rPr>
          <w:u w:val="single"/>
        </w:rPr>
      </w:pPr>
    </w:p>
    <w:p w:rsidR="00A91454" w:rsidRPr="00A315F3" w:rsidRDefault="00A91454" w:rsidP="00A91454">
      <w:pPr>
        <w:tabs>
          <w:tab w:val="left" w:pos="288"/>
          <w:tab w:val="left" w:pos="4752"/>
        </w:tabs>
        <w:spacing w:line="240" w:lineRule="exact"/>
        <w:jc w:val="both"/>
        <w:rPr>
          <w:szCs w:val="24"/>
        </w:rPr>
      </w:pPr>
      <w:r w:rsidRPr="00A315F3">
        <w:rPr>
          <w:u w:val="single"/>
        </w:rPr>
        <w:t>CI CONTENTION</w:t>
      </w:r>
      <w:r w:rsidRPr="00A315F3">
        <w:t>:</w:t>
      </w:r>
      <w:r w:rsidRPr="00A315F3">
        <w:rPr>
          <w:color w:val="000080"/>
        </w:rPr>
        <w:t xml:space="preserve">  </w:t>
      </w:r>
      <w:r>
        <w:rPr>
          <w:szCs w:val="24"/>
        </w:rPr>
        <w:t>“I was discharged for my lower back.  I am currently rated at 40% and my VA file is being reviewed for IU due to my back and injury and me not being able to maintain gainful employment due to my injury.”  In a submitted letter dated October 21, 2010, the CI also reports his condition has worsened since discharge and refers to all of his VA disability rating in the chart below.</w:t>
      </w:r>
      <w:r w:rsidRPr="00EE3294">
        <w:rPr>
          <w:szCs w:val="24"/>
        </w:rPr>
        <w:t xml:space="preserve"> </w:t>
      </w:r>
    </w:p>
    <w:p w:rsidR="00A91454" w:rsidRDefault="00A91454" w:rsidP="00A91454">
      <w:pPr>
        <w:pBdr>
          <w:bottom w:val="single" w:sz="12" w:space="1" w:color="auto"/>
        </w:pBdr>
        <w:tabs>
          <w:tab w:val="left" w:pos="288"/>
          <w:tab w:val="left" w:pos="4752"/>
        </w:tabs>
        <w:spacing w:line="240" w:lineRule="exact"/>
        <w:jc w:val="both"/>
        <w:rPr>
          <w:szCs w:val="24"/>
        </w:rPr>
      </w:pPr>
    </w:p>
    <w:p w:rsidR="00A91454" w:rsidRDefault="00A91454" w:rsidP="00A91454">
      <w:pPr>
        <w:spacing w:line="240" w:lineRule="exact"/>
        <w:jc w:val="both"/>
        <w:rPr>
          <w:rFonts w:ascii="Calibri" w:hAnsi="Calibri"/>
          <w:u w:val="single"/>
        </w:rPr>
      </w:pPr>
    </w:p>
    <w:p w:rsidR="00A91454" w:rsidRDefault="00A91454" w:rsidP="00A91454">
      <w:pPr>
        <w:spacing w:line="240" w:lineRule="exact"/>
        <w:jc w:val="both"/>
        <w:rPr>
          <w:rFonts w:ascii="Calibri" w:hAnsi="Calibri"/>
        </w:rPr>
      </w:pPr>
      <w:r w:rsidRPr="00542C9A">
        <w:rPr>
          <w:rFonts w:ascii="Calibri" w:hAnsi="Calibri"/>
          <w:u w:val="single"/>
        </w:rPr>
        <w:t>RATING COMPARISON</w:t>
      </w:r>
      <w:r w:rsidRPr="00542C9A">
        <w:rPr>
          <w:rFonts w:ascii="Calibri" w:hAnsi="Calibri"/>
        </w:rPr>
        <w:t>:</w:t>
      </w:r>
    </w:p>
    <w:p w:rsidR="00A91454" w:rsidRDefault="00A91454" w:rsidP="00A91454">
      <w:pPr>
        <w:tabs>
          <w:tab w:val="left" w:pos="288"/>
          <w:tab w:val="left" w:pos="4752"/>
        </w:tabs>
        <w:spacing w:line="240" w:lineRule="exact"/>
        <w:jc w:val="both"/>
        <w:rPr>
          <w:szCs w:val="24"/>
        </w:rPr>
      </w:pPr>
    </w:p>
    <w:tbl>
      <w:tblPr>
        <w:tblStyle w:val="TableGrid"/>
        <w:tblW w:w="9428" w:type="dxa"/>
        <w:jc w:val="center"/>
        <w:tblInd w:w="-45" w:type="dxa"/>
        <w:tblLayout w:type="fixed"/>
        <w:tblLook w:val="04A0"/>
      </w:tblPr>
      <w:tblGrid>
        <w:gridCol w:w="2188"/>
        <w:gridCol w:w="1082"/>
        <w:gridCol w:w="824"/>
        <w:gridCol w:w="2414"/>
        <w:gridCol w:w="1082"/>
        <w:gridCol w:w="814"/>
        <w:gridCol w:w="1024"/>
      </w:tblGrid>
      <w:tr w:rsidR="00A91454" w:rsidRPr="002A685E" w:rsidTr="00282C76">
        <w:trPr>
          <w:trHeight w:val="233"/>
          <w:jc w:val="center"/>
        </w:trPr>
        <w:tc>
          <w:tcPr>
            <w:tcW w:w="4094" w:type="dxa"/>
            <w:gridSpan w:val="3"/>
            <w:tcBorders>
              <w:right w:val="thinThickThinSmallGap" w:sz="24" w:space="0" w:color="auto"/>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 xml:space="preserve">Service </w:t>
            </w:r>
            <w:r>
              <w:rPr>
                <w:rFonts w:cs="Times New Roman"/>
                <w:b/>
                <w:sz w:val="20"/>
                <w:szCs w:val="20"/>
              </w:rPr>
              <w:t>I</w:t>
            </w:r>
            <w:r w:rsidRPr="0085089F">
              <w:rPr>
                <w:rFonts w:cs="Times New Roman"/>
                <w:b/>
                <w:sz w:val="20"/>
                <w:szCs w:val="20"/>
              </w:rPr>
              <w:t xml:space="preserve">PEB – Dated </w:t>
            </w:r>
            <w:r>
              <w:rPr>
                <w:rFonts w:cs="Times New Roman"/>
                <w:b/>
                <w:sz w:val="20"/>
                <w:szCs w:val="20"/>
              </w:rPr>
              <w:t>20060302</w:t>
            </w:r>
          </w:p>
        </w:tc>
        <w:tc>
          <w:tcPr>
            <w:tcW w:w="5334" w:type="dxa"/>
            <w:gridSpan w:val="4"/>
            <w:tcBorders>
              <w:left w:val="thinThickThinSmallGap" w:sz="24" w:space="0" w:color="auto"/>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VA (</w:t>
            </w:r>
            <w:r>
              <w:rPr>
                <w:rFonts w:cs="Times New Roman"/>
                <w:b/>
                <w:sz w:val="20"/>
                <w:szCs w:val="20"/>
              </w:rPr>
              <w:t>2</w:t>
            </w:r>
            <w:r w:rsidRPr="0085089F">
              <w:rPr>
                <w:rFonts w:cs="Times New Roman"/>
                <w:b/>
                <w:sz w:val="20"/>
                <w:szCs w:val="20"/>
              </w:rPr>
              <w:t xml:space="preserve"> Mo. </w:t>
            </w:r>
            <w:r>
              <w:rPr>
                <w:rFonts w:cs="Times New Roman"/>
                <w:b/>
                <w:sz w:val="20"/>
                <w:szCs w:val="20"/>
              </w:rPr>
              <w:t>before</w:t>
            </w:r>
            <w:r w:rsidRPr="0085089F">
              <w:rPr>
                <w:rFonts w:cs="Times New Roman"/>
                <w:b/>
                <w:sz w:val="20"/>
                <w:szCs w:val="20"/>
              </w:rPr>
              <w:t xml:space="preserve"> Separation) – All Effective </w:t>
            </w:r>
            <w:r>
              <w:rPr>
                <w:rFonts w:cs="Times New Roman"/>
                <w:b/>
                <w:sz w:val="20"/>
                <w:szCs w:val="20"/>
              </w:rPr>
              <w:t>20060401</w:t>
            </w:r>
          </w:p>
        </w:tc>
      </w:tr>
      <w:tr w:rsidR="00A91454" w:rsidRPr="002A685E" w:rsidTr="00282C76">
        <w:trPr>
          <w:trHeight w:val="224"/>
          <w:jc w:val="center"/>
        </w:trPr>
        <w:tc>
          <w:tcPr>
            <w:tcW w:w="2188" w:type="dxa"/>
            <w:tcBorders>
              <w:bottom w:val="single" w:sz="4" w:space="0" w:color="000000" w:themeColor="text1"/>
            </w:tcBorders>
            <w:shd w:val="clear" w:color="auto" w:fill="D9D9D9" w:themeFill="background1" w:themeFillShade="D9"/>
          </w:tcPr>
          <w:p w:rsidR="00A91454" w:rsidRPr="0085089F" w:rsidRDefault="00A91454" w:rsidP="00282C76">
            <w:pPr>
              <w:pStyle w:val="ListParagraph"/>
              <w:spacing w:line="240" w:lineRule="exact"/>
              <w:ind w:left="0"/>
              <w:jc w:val="both"/>
              <w:rPr>
                <w:rFonts w:cs="Times New Roman"/>
                <w:b/>
                <w:sz w:val="20"/>
                <w:szCs w:val="20"/>
              </w:rPr>
            </w:pPr>
            <w:r w:rsidRPr="0085089F">
              <w:rPr>
                <w:rFonts w:cs="Times New Roman"/>
                <w:b/>
                <w:sz w:val="20"/>
                <w:szCs w:val="20"/>
              </w:rPr>
              <w:t>Condition</w:t>
            </w:r>
          </w:p>
        </w:tc>
        <w:tc>
          <w:tcPr>
            <w:tcW w:w="1082" w:type="dxa"/>
            <w:tcBorders>
              <w:bottom w:val="single" w:sz="4" w:space="0" w:color="000000" w:themeColor="text1"/>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Code</w:t>
            </w:r>
          </w:p>
        </w:tc>
        <w:tc>
          <w:tcPr>
            <w:tcW w:w="824" w:type="dxa"/>
            <w:tcBorders>
              <w:bottom w:val="single" w:sz="4" w:space="0" w:color="000000" w:themeColor="text1"/>
              <w:right w:val="thinThickThinSmallGap" w:sz="24" w:space="0" w:color="auto"/>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Rating</w:t>
            </w:r>
          </w:p>
        </w:tc>
        <w:tc>
          <w:tcPr>
            <w:tcW w:w="2414" w:type="dxa"/>
            <w:tcBorders>
              <w:left w:val="thinThickThinSmallGap" w:sz="24" w:space="0" w:color="auto"/>
              <w:bottom w:val="single" w:sz="4" w:space="0" w:color="000000" w:themeColor="text1"/>
            </w:tcBorders>
            <w:shd w:val="clear" w:color="auto" w:fill="D9D9D9" w:themeFill="background1" w:themeFillShade="D9"/>
          </w:tcPr>
          <w:p w:rsidR="00A91454" w:rsidRPr="0085089F" w:rsidRDefault="00A91454" w:rsidP="00282C76">
            <w:pPr>
              <w:pStyle w:val="ListParagraph"/>
              <w:spacing w:line="240" w:lineRule="exact"/>
              <w:ind w:left="0"/>
              <w:jc w:val="both"/>
              <w:rPr>
                <w:rFonts w:cs="Times New Roman"/>
                <w:b/>
                <w:sz w:val="20"/>
                <w:szCs w:val="20"/>
              </w:rPr>
            </w:pPr>
            <w:r w:rsidRPr="0085089F">
              <w:rPr>
                <w:rFonts w:cs="Times New Roman"/>
                <w:b/>
                <w:sz w:val="20"/>
                <w:szCs w:val="20"/>
              </w:rPr>
              <w:t>Condition</w:t>
            </w:r>
          </w:p>
        </w:tc>
        <w:tc>
          <w:tcPr>
            <w:tcW w:w="1082" w:type="dxa"/>
            <w:tcBorders>
              <w:bottom w:val="single" w:sz="4" w:space="0" w:color="000000" w:themeColor="text1"/>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Code</w:t>
            </w:r>
          </w:p>
        </w:tc>
        <w:tc>
          <w:tcPr>
            <w:tcW w:w="814" w:type="dxa"/>
            <w:tcBorders>
              <w:bottom w:val="single" w:sz="4" w:space="0" w:color="000000" w:themeColor="text1"/>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Exam</w:t>
            </w:r>
          </w:p>
        </w:tc>
      </w:tr>
      <w:tr w:rsidR="00A91454" w:rsidRPr="002A685E" w:rsidTr="00282C76">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A91454" w:rsidRPr="00BC3538" w:rsidRDefault="00A91454" w:rsidP="00282C76">
            <w:pPr>
              <w:pStyle w:val="ListParagraph"/>
              <w:spacing w:line="200" w:lineRule="exact"/>
              <w:ind w:left="0"/>
              <w:rPr>
                <w:rFonts w:cs="Times New Roman"/>
                <w:sz w:val="18"/>
                <w:szCs w:val="18"/>
              </w:rPr>
            </w:pPr>
            <w:r>
              <w:rPr>
                <w:rFonts w:cs="Times New Roman"/>
                <w:sz w:val="18"/>
                <w:szCs w:val="18"/>
              </w:rPr>
              <w:t>Low Back Pain</w:t>
            </w:r>
          </w:p>
        </w:tc>
        <w:tc>
          <w:tcPr>
            <w:tcW w:w="1082" w:type="dxa"/>
            <w:tcBorders>
              <w:left w:val="single" w:sz="4" w:space="0" w:color="auto"/>
              <w:bottom w:val="single" w:sz="4" w:space="0" w:color="auto"/>
            </w:tcBorders>
            <w:shd w:val="clear" w:color="auto" w:fill="FFFFFF" w:themeFill="background1"/>
            <w:vAlign w:val="center"/>
          </w:tcPr>
          <w:p w:rsidR="00A91454" w:rsidRPr="00BC3538" w:rsidRDefault="00A91454" w:rsidP="00282C76">
            <w:pPr>
              <w:pStyle w:val="ListParagraph"/>
              <w:spacing w:line="200" w:lineRule="exact"/>
              <w:ind w:left="0"/>
              <w:jc w:val="center"/>
              <w:rPr>
                <w:rFonts w:cs="Times New Roman"/>
                <w:sz w:val="18"/>
                <w:szCs w:val="18"/>
              </w:rPr>
            </w:pPr>
            <w:r>
              <w:rPr>
                <w:rFonts w:cs="Times New Roman"/>
                <w:sz w:val="18"/>
                <w:szCs w:val="18"/>
              </w:rPr>
              <w:t>5243</w:t>
            </w:r>
          </w:p>
        </w:tc>
        <w:tc>
          <w:tcPr>
            <w:tcW w:w="824" w:type="dxa"/>
            <w:tcBorders>
              <w:bottom w:val="single" w:sz="4" w:space="0" w:color="auto"/>
              <w:right w:val="thinThickThinSmallGap" w:sz="24" w:space="0" w:color="auto"/>
            </w:tcBorders>
            <w:shd w:val="clear" w:color="auto" w:fill="FFFFFF" w:themeFill="background1"/>
            <w:vAlign w:val="center"/>
          </w:tcPr>
          <w:p w:rsidR="00A91454" w:rsidRPr="00BC3538" w:rsidRDefault="00A91454" w:rsidP="00282C76">
            <w:pPr>
              <w:pStyle w:val="ListParagraph"/>
              <w:spacing w:line="200" w:lineRule="exact"/>
              <w:ind w:left="0"/>
              <w:jc w:val="center"/>
              <w:rPr>
                <w:rFonts w:cs="Times New Roman"/>
                <w:sz w:val="18"/>
                <w:szCs w:val="18"/>
              </w:rPr>
            </w:pPr>
            <w:r>
              <w:rPr>
                <w:rFonts w:cs="Times New Roman"/>
                <w:sz w:val="18"/>
                <w:szCs w:val="18"/>
              </w:rPr>
              <w:t>0%</w:t>
            </w:r>
          </w:p>
        </w:tc>
        <w:tc>
          <w:tcPr>
            <w:tcW w:w="2414" w:type="dxa"/>
            <w:tcBorders>
              <w:left w:val="thinThickThinSmallGap" w:sz="24" w:space="0" w:color="auto"/>
              <w:bottom w:val="single" w:sz="4" w:space="0" w:color="auto"/>
            </w:tcBorders>
            <w:shd w:val="clear" w:color="auto" w:fill="FFFFFF" w:themeFill="background1"/>
            <w:vAlign w:val="center"/>
          </w:tcPr>
          <w:p w:rsidR="00A91454" w:rsidRPr="00BC3538" w:rsidRDefault="00A91454" w:rsidP="00282C76">
            <w:pPr>
              <w:pStyle w:val="ListParagraph"/>
              <w:spacing w:line="200" w:lineRule="exact"/>
              <w:ind w:left="0"/>
              <w:rPr>
                <w:rFonts w:cs="Times New Roman"/>
                <w:sz w:val="18"/>
                <w:szCs w:val="18"/>
              </w:rPr>
            </w:pPr>
            <w:r>
              <w:rPr>
                <w:rFonts w:cs="Times New Roman"/>
                <w:sz w:val="18"/>
                <w:szCs w:val="18"/>
              </w:rPr>
              <w:t>Degenerative Disc Disease</w:t>
            </w:r>
          </w:p>
        </w:tc>
        <w:tc>
          <w:tcPr>
            <w:tcW w:w="1082" w:type="dxa"/>
            <w:tcBorders>
              <w:bottom w:val="single" w:sz="4" w:space="0" w:color="auto"/>
            </w:tcBorders>
            <w:shd w:val="clear" w:color="auto" w:fill="FFFFFF" w:themeFill="background1"/>
          </w:tcPr>
          <w:p w:rsidR="00A91454" w:rsidRPr="00BC3538" w:rsidRDefault="00A91454" w:rsidP="00282C76">
            <w:pPr>
              <w:pStyle w:val="ListParagraph"/>
              <w:spacing w:line="200" w:lineRule="exact"/>
              <w:ind w:left="0"/>
              <w:jc w:val="center"/>
              <w:rPr>
                <w:rFonts w:cs="Times New Roman"/>
                <w:sz w:val="18"/>
                <w:szCs w:val="18"/>
              </w:rPr>
            </w:pPr>
            <w:r>
              <w:rPr>
                <w:rFonts w:cs="Times New Roman"/>
                <w:sz w:val="18"/>
                <w:szCs w:val="18"/>
              </w:rPr>
              <w:t>5242</w:t>
            </w:r>
          </w:p>
        </w:tc>
        <w:tc>
          <w:tcPr>
            <w:tcW w:w="814" w:type="dxa"/>
            <w:tcBorders>
              <w:bottom w:val="single" w:sz="4" w:space="0" w:color="auto"/>
            </w:tcBorders>
            <w:shd w:val="clear" w:color="auto" w:fill="FFFFFF" w:themeFill="background1"/>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10%</w:t>
            </w:r>
          </w:p>
        </w:tc>
        <w:tc>
          <w:tcPr>
            <w:tcW w:w="1024" w:type="dxa"/>
            <w:tcBorders>
              <w:bottom w:val="single" w:sz="4" w:space="0" w:color="auto"/>
            </w:tcBorders>
            <w:shd w:val="clear" w:color="auto" w:fill="FFFFFF" w:themeFill="background1"/>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20060109</w:t>
            </w:r>
          </w:p>
        </w:tc>
      </w:tr>
      <w:tr w:rsidR="00A91454" w:rsidRPr="002A685E" w:rsidTr="00282C76">
        <w:trPr>
          <w:trHeight w:val="206"/>
          <w:jc w:val="center"/>
        </w:trPr>
        <w:tc>
          <w:tcPr>
            <w:tcW w:w="2188" w:type="dxa"/>
            <w:tcBorders>
              <w:top w:val="single" w:sz="4" w:space="0" w:color="auto"/>
              <w:bottom w:val="nil"/>
              <w:right w:val="single" w:sz="4" w:space="0" w:color="auto"/>
            </w:tcBorders>
            <w:shd w:val="clear" w:color="auto" w:fill="FFFFFF" w:themeFill="background1"/>
            <w:vAlign w:val="center"/>
          </w:tcPr>
          <w:p w:rsidR="00A91454" w:rsidRDefault="00A91454" w:rsidP="00282C76">
            <w:pPr>
              <w:pStyle w:val="ListParagraph"/>
              <w:spacing w:line="200" w:lineRule="exact"/>
              <w:ind w:left="0"/>
              <w:rPr>
                <w:rFonts w:cs="Times New Roman"/>
                <w:sz w:val="18"/>
                <w:szCs w:val="18"/>
              </w:rPr>
            </w:pPr>
            <w:r>
              <w:rPr>
                <w:rFonts w:cs="Times New Roman"/>
                <w:sz w:val="18"/>
                <w:szCs w:val="18"/>
              </w:rPr>
              <w:t>Obstructive Sleep Apnea</w:t>
            </w:r>
          </w:p>
        </w:tc>
        <w:tc>
          <w:tcPr>
            <w:tcW w:w="1906" w:type="dxa"/>
            <w:gridSpan w:val="2"/>
            <w:tcBorders>
              <w:top w:val="single" w:sz="4" w:space="0" w:color="auto"/>
              <w:left w:val="single" w:sz="4" w:space="0" w:color="auto"/>
              <w:bottom w:val="nil"/>
              <w:right w:val="thinThickThinSmallGap" w:sz="24" w:space="0" w:color="auto"/>
            </w:tcBorders>
            <w:shd w:val="clear" w:color="auto" w:fill="FFFFFF" w:themeFill="background1"/>
            <w:vAlign w:val="center"/>
          </w:tcPr>
          <w:p w:rsidR="00A91454" w:rsidRDefault="00A91454" w:rsidP="00282C76">
            <w:pPr>
              <w:pStyle w:val="ListParagraph"/>
              <w:spacing w:line="200" w:lineRule="exact"/>
              <w:ind w:left="0"/>
              <w:jc w:val="center"/>
              <w:rPr>
                <w:rFonts w:cs="Times New Roman"/>
                <w:sz w:val="18"/>
                <w:szCs w:val="18"/>
              </w:rPr>
            </w:pPr>
            <w:r>
              <w:rPr>
                <w:rFonts w:cs="Times New Roman"/>
                <w:sz w:val="18"/>
                <w:szCs w:val="18"/>
              </w:rPr>
              <w:t>Not Unfitting</w:t>
            </w:r>
          </w:p>
        </w:tc>
        <w:tc>
          <w:tcPr>
            <w:tcW w:w="2414" w:type="dxa"/>
            <w:tcBorders>
              <w:top w:val="single" w:sz="4" w:space="0" w:color="auto"/>
              <w:left w:val="thinThickThinSmallGap" w:sz="24" w:space="0" w:color="auto"/>
            </w:tcBorders>
            <w:shd w:val="clear" w:color="auto" w:fill="FFFFFF" w:themeFill="background1"/>
            <w:vAlign w:val="center"/>
          </w:tcPr>
          <w:p w:rsidR="00A91454" w:rsidRPr="00BC3538" w:rsidRDefault="00A91454" w:rsidP="00282C76">
            <w:pPr>
              <w:pStyle w:val="ListParagraph"/>
              <w:spacing w:line="200" w:lineRule="exact"/>
              <w:ind w:left="0"/>
              <w:rPr>
                <w:rFonts w:cs="Times New Roman"/>
                <w:sz w:val="18"/>
                <w:szCs w:val="18"/>
              </w:rPr>
            </w:pPr>
            <w:r>
              <w:rPr>
                <w:rFonts w:cs="Times New Roman"/>
                <w:sz w:val="18"/>
                <w:szCs w:val="18"/>
              </w:rPr>
              <w:t>Obstructive Sleep Apnea</w:t>
            </w:r>
          </w:p>
        </w:tc>
        <w:tc>
          <w:tcPr>
            <w:tcW w:w="1082" w:type="dxa"/>
            <w:tcBorders>
              <w:top w:val="single" w:sz="4" w:space="0" w:color="auto"/>
            </w:tcBorders>
            <w:shd w:val="clear" w:color="auto" w:fill="FFFFFF" w:themeFill="background1"/>
            <w:vAlign w:val="center"/>
          </w:tcPr>
          <w:p w:rsidR="00A91454" w:rsidRPr="00BC3538" w:rsidRDefault="00A91454" w:rsidP="00282C76">
            <w:pPr>
              <w:pStyle w:val="ListParagraph"/>
              <w:spacing w:line="200" w:lineRule="exact"/>
              <w:ind w:left="0"/>
              <w:jc w:val="center"/>
              <w:rPr>
                <w:rFonts w:cs="Times New Roman"/>
                <w:sz w:val="18"/>
                <w:szCs w:val="18"/>
              </w:rPr>
            </w:pPr>
            <w:r>
              <w:rPr>
                <w:rFonts w:cs="Times New Roman"/>
                <w:sz w:val="18"/>
                <w:szCs w:val="18"/>
              </w:rPr>
              <w:t>6847</w:t>
            </w:r>
          </w:p>
        </w:tc>
        <w:tc>
          <w:tcPr>
            <w:tcW w:w="814" w:type="dxa"/>
            <w:tcBorders>
              <w:top w:val="single" w:sz="4" w:space="0" w:color="auto"/>
            </w:tcBorders>
            <w:shd w:val="clear" w:color="auto" w:fill="FFFFFF" w:themeFill="background1"/>
            <w:vAlign w:val="center"/>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50%</w:t>
            </w:r>
          </w:p>
        </w:tc>
        <w:tc>
          <w:tcPr>
            <w:tcW w:w="1024" w:type="dxa"/>
            <w:tcBorders>
              <w:top w:val="single" w:sz="4" w:space="0" w:color="auto"/>
            </w:tcBorders>
            <w:shd w:val="clear" w:color="auto" w:fill="FFFFFF" w:themeFill="background1"/>
            <w:vAlign w:val="center"/>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20060109</w:t>
            </w:r>
          </w:p>
        </w:tc>
      </w:tr>
      <w:tr w:rsidR="00A91454" w:rsidRPr="002A685E" w:rsidTr="00282C76">
        <w:trPr>
          <w:trHeight w:val="143"/>
          <w:jc w:val="center"/>
        </w:trPr>
        <w:tc>
          <w:tcPr>
            <w:tcW w:w="2188" w:type="dxa"/>
            <w:tcBorders>
              <w:top w:val="single" w:sz="4" w:space="0" w:color="auto"/>
              <w:bottom w:val="single" w:sz="4" w:space="0" w:color="auto"/>
              <w:right w:val="single" w:sz="4" w:space="0" w:color="auto"/>
            </w:tcBorders>
            <w:shd w:val="clear" w:color="auto" w:fill="FFFFFF" w:themeFill="background1"/>
          </w:tcPr>
          <w:p w:rsidR="00A91454" w:rsidRPr="00BC3538" w:rsidRDefault="00A91454" w:rsidP="00282C76">
            <w:pPr>
              <w:pStyle w:val="ListParagraph"/>
              <w:spacing w:line="200" w:lineRule="exact"/>
              <w:ind w:left="0"/>
              <w:rPr>
                <w:rFonts w:cs="Times New Roman"/>
                <w:sz w:val="18"/>
                <w:szCs w:val="18"/>
              </w:rPr>
            </w:pPr>
            <w:proofErr w:type="spellStart"/>
            <w:r>
              <w:rPr>
                <w:rFonts w:cs="Times New Roman"/>
                <w:sz w:val="18"/>
                <w:szCs w:val="18"/>
              </w:rPr>
              <w:t>Glomerulosclerosis</w:t>
            </w:r>
            <w:proofErr w:type="spellEnd"/>
          </w:p>
        </w:tc>
        <w:tc>
          <w:tcPr>
            <w:tcW w:w="1906" w:type="dxa"/>
            <w:gridSpan w:val="2"/>
            <w:tcBorders>
              <w:top w:val="single" w:sz="4" w:space="0" w:color="auto"/>
              <w:bottom w:val="single" w:sz="4" w:space="0" w:color="auto"/>
              <w:right w:val="thinThickThinSmallGap" w:sz="24" w:space="0" w:color="auto"/>
            </w:tcBorders>
            <w:shd w:val="clear" w:color="auto" w:fill="FFFFFF" w:themeFill="background1"/>
          </w:tcPr>
          <w:p w:rsidR="00A91454" w:rsidRPr="00BC3538" w:rsidRDefault="00A91454" w:rsidP="00282C76">
            <w:pPr>
              <w:pStyle w:val="ListParagraph"/>
              <w:spacing w:line="200" w:lineRule="exact"/>
              <w:ind w:left="0"/>
              <w:jc w:val="center"/>
              <w:rPr>
                <w:rFonts w:cs="Times New Roman"/>
                <w:sz w:val="18"/>
                <w:szCs w:val="18"/>
              </w:rPr>
            </w:pPr>
            <w:r>
              <w:rPr>
                <w:rFonts w:cs="Times New Roman"/>
                <w:sz w:val="18"/>
                <w:szCs w:val="18"/>
              </w:rPr>
              <w:t>Not Unfitting</w:t>
            </w:r>
          </w:p>
        </w:tc>
        <w:tc>
          <w:tcPr>
            <w:tcW w:w="2414" w:type="dxa"/>
            <w:tcBorders>
              <w:left w:val="thinThickThinSmallGap" w:sz="24" w:space="0" w:color="auto"/>
            </w:tcBorders>
            <w:shd w:val="clear" w:color="auto" w:fill="FFFFFF" w:themeFill="background1"/>
          </w:tcPr>
          <w:p w:rsidR="00A91454" w:rsidRPr="00BC3538" w:rsidRDefault="00A91454" w:rsidP="00282C76">
            <w:pPr>
              <w:pStyle w:val="ListParagraph"/>
              <w:spacing w:line="200" w:lineRule="exact"/>
              <w:ind w:left="0"/>
              <w:rPr>
                <w:rFonts w:cs="Times New Roman"/>
                <w:sz w:val="18"/>
                <w:szCs w:val="18"/>
              </w:rPr>
            </w:pPr>
            <w:proofErr w:type="spellStart"/>
            <w:r>
              <w:rPr>
                <w:rFonts w:cs="Times New Roman"/>
                <w:sz w:val="18"/>
                <w:szCs w:val="18"/>
              </w:rPr>
              <w:t>Glomerulosclerosis</w:t>
            </w:r>
            <w:proofErr w:type="spellEnd"/>
          </w:p>
        </w:tc>
        <w:tc>
          <w:tcPr>
            <w:tcW w:w="1082" w:type="dxa"/>
            <w:tcBorders>
              <w:right w:val="single" w:sz="4" w:space="0" w:color="auto"/>
            </w:tcBorders>
            <w:shd w:val="clear" w:color="auto" w:fill="FFFFFF" w:themeFill="background1"/>
          </w:tcPr>
          <w:p w:rsidR="00A91454" w:rsidRPr="00BC3538" w:rsidRDefault="00A91454" w:rsidP="00282C76">
            <w:pPr>
              <w:pStyle w:val="ListParagraph"/>
              <w:spacing w:line="200" w:lineRule="exact"/>
              <w:ind w:left="0"/>
              <w:jc w:val="center"/>
              <w:rPr>
                <w:rFonts w:cs="Times New Roman"/>
                <w:sz w:val="18"/>
                <w:szCs w:val="18"/>
              </w:rPr>
            </w:pPr>
            <w:r>
              <w:rPr>
                <w:rFonts w:cs="Times New Roman"/>
                <w:sz w:val="18"/>
                <w:szCs w:val="18"/>
              </w:rPr>
              <w:t>7101-7536</w:t>
            </w:r>
          </w:p>
        </w:tc>
        <w:tc>
          <w:tcPr>
            <w:tcW w:w="814" w:type="dxa"/>
            <w:tcBorders>
              <w:left w:val="single" w:sz="4" w:space="0" w:color="auto"/>
            </w:tcBorders>
            <w:shd w:val="clear" w:color="auto" w:fill="FFFFFF" w:themeFill="background1"/>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30%</w:t>
            </w:r>
          </w:p>
        </w:tc>
        <w:tc>
          <w:tcPr>
            <w:tcW w:w="1024" w:type="dxa"/>
            <w:shd w:val="clear" w:color="auto" w:fill="FFFFFF" w:themeFill="background1"/>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20060106</w:t>
            </w:r>
          </w:p>
        </w:tc>
      </w:tr>
      <w:tr w:rsidR="00A91454" w:rsidRPr="002A685E" w:rsidTr="00282C76">
        <w:trPr>
          <w:trHeight w:val="152"/>
          <w:jc w:val="center"/>
        </w:trPr>
        <w:tc>
          <w:tcPr>
            <w:tcW w:w="4094" w:type="dxa"/>
            <w:gridSpan w:val="3"/>
            <w:tcBorders>
              <w:top w:val="single" w:sz="4" w:space="0" w:color="auto"/>
              <w:right w:val="thinThickThinSmallGap" w:sz="24" w:space="0" w:color="auto"/>
            </w:tcBorders>
            <w:shd w:val="clear" w:color="auto" w:fill="FFFFFF" w:themeFill="background1"/>
          </w:tcPr>
          <w:p w:rsidR="00A91454" w:rsidRPr="00AF7266" w:rsidRDefault="00A91454" w:rsidP="00282C76">
            <w:pPr>
              <w:pStyle w:val="ListParagraph"/>
              <w:spacing w:line="200" w:lineRule="exact"/>
              <w:ind w:left="0"/>
              <w:jc w:val="center"/>
              <w:rPr>
                <w:rFonts w:cs="Times New Roman"/>
                <w:sz w:val="18"/>
                <w:szCs w:val="18"/>
                <w:highlight w:val="yellow"/>
              </w:rPr>
            </w:pPr>
            <w:r w:rsidRPr="00BC3538">
              <w:rPr>
                <w:rFonts w:cs="Times New Roman"/>
                <w:sz w:val="18"/>
                <w:szCs w:val="18"/>
              </w:rPr>
              <w:t>↓No Additional MEB Entries↓</w:t>
            </w:r>
          </w:p>
        </w:tc>
        <w:tc>
          <w:tcPr>
            <w:tcW w:w="4310" w:type="dxa"/>
            <w:gridSpan w:val="3"/>
            <w:tcBorders>
              <w:left w:val="thinThickThinSmallGap" w:sz="24" w:space="0" w:color="auto"/>
              <w:right w:val="single" w:sz="4" w:space="0" w:color="auto"/>
            </w:tcBorders>
            <w:shd w:val="clear" w:color="auto" w:fill="FFFFFF" w:themeFill="background1"/>
          </w:tcPr>
          <w:p w:rsidR="00A91454" w:rsidRPr="00542C9A" w:rsidRDefault="00A91454" w:rsidP="00282C76">
            <w:pPr>
              <w:pStyle w:val="ListParagraph"/>
              <w:spacing w:line="200" w:lineRule="exact"/>
              <w:ind w:left="0"/>
              <w:jc w:val="center"/>
              <w:rPr>
                <w:rFonts w:cs="Times New Roman"/>
                <w:sz w:val="18"/>
                <w:szCs w:val="18"/>
              </w:rPr>
            </w:pPr>
            <w:r>
              <w:rPr>
                <w:rFonts w:cs="Times New Roman"/>
                <w:sz w:val="18"/>
                <w:szCs w:val="18"/>
              </w:rPr>
              <w:t>1</w:t>
            </w:r>
            <w:r w:rsidRPr="0038532B">
              <w:rPr>
                <w:rFonts w:cs="Times New Roman"/>
                <w:sz w:val="18"/>
                <w:szCs w:val="18"/>
              </w:rPr>
              <w:t xml:space="preserve"> x 0%</w:t>
            </w:r>
            <w:r>
              <w:rPr>
                <w:rFonts w:cs="Times New Roman"/>
                <w:sz w:val="18"/>
                <w:szCs w:val="18"/>
              </w:rPr>
              <w:t>*</w:t>
            </w:r>
            <w:r w:rsidRPr="0038532B">
              <w:rPr>
                <w:rFonts w:cs="Times New Roman"/>
                <w:sz w:val="18"/>
                <w:szCs w:val="18"/>
              </w:rPr>
              <w:t xml:space="preserve"> / </w:t>
            </w:r>
            <w:r>
              <w:rPr>
                <w:rFonts w:cs="Times New Roman"/>
                <w:sz w:val="18"/>
                <w:szCs w:val="18"/>
              </w:rPr>
              <w:t xml:space="preserve">6 </w:t>
            </w:r>
            <w:r w:rsidRPr="0038532B">
              <w:rPr>
                <w:rFonts w:cs="Times New Roman"/>
                <w:sz w:val="18"/>
                <w:szCs w:val="18"/>
              </w:rPr>
              <w:t>x Not Service Connected</w:t>
            </w:r>
          </w:p>
        </w:tc>
        <w:tc>
          <w:tcPr>
            <w:tcW w:w="1024" w:type="dxa"/>
            <w:tcBorders>
              <w:left w:val="single" w:sz="4" w:space="0" w:color="auto"/>
            </w:tcBorders>
            <w:shd w:val="clear" w:color="auto" w:fill="FFFFFF" w:themeFill="background1"/>
          </w:tcPr>
          <w:p w:rsidR="00A91454" w:rsidRPr="0007472D" w:rsidRDefault="00A91454" w:rsidP="00282C76">
            <w:pPr>
              <w:pStyle w:val="ListParagraph"/>
              <w:spacing w:line="200" w:lineRule="exact"/>
              <w:ind w:left="0"/>
              <w:jc w:val="center"/>
              <w:rPr>
                <w:rFonts w:cs="Times New Roman"/>
                <w:sz w:val="18"/>
                <w:szCs w:val="18"/>
              </w:rPr>
            </w:pPr>
            <w:r w:rsidRPr="0007472D">
              <w:rPr>
                <w:rFonts w:cs="Times New Roman"/>
                <w:sz w:val="18"/>
                <w:szCs w:val="18"/>
              </w:rPr>
              <w:t>20060109</w:t>
            </w:r>
          </w:p>
        </w:tc>
      </w:tr>
      <w:tr w:rsidR="00A91454" w:rsidRPr="002A685E" w:rsidTr="00282C76">
        <w:trPr>
          <w:trHeight w:val="242"/>
          <w:jc w:val="center"/>
        </w:trPr>
        <w:tc>
          <w:tcPr>
            <w:tcW w:w="4094" w:type="dxa"/>
            <w:gridSpan w:val="3"/>
            <w:tcBorders>
              <w:right w:val="thinThickThinSmallGap" w:sz="24" w:space="0" w:color="auto"/>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 xml:space="preserve">Combined:  </w:t>
            </w:r>
            <w:r w:rsidRPr="00ED6A61">
              <w:rPr>
                <w:rFonts w:cs="Times New Roman"/>
                <w:b/>
                <w:sz w:val="20"/>
                <w:szCs w:val="20"/>
              </w:rPr>
              <w:t>0</w:t>
            </w:r>
            <w:r w:rsidRPr="0085089F">
              <w:rPr>
                <w:rFonts w:cs="Times New Roman"/>
                <w:b/>
                <w:sz w:val="20"/>
                <w:szCs w:val="20"/>
              </w:rPr>
              <w:t>%</w:t>
            </w:r>
          </w:p>
        </w:tc>
        <w:tc>
          <w:tcPr>
            <w:tcW w:w="5334" w:type="dxa"/>
            <w:gridSpan w:val="4"/>
            <w:tcBorders>
              <w:left w:val="thinThickThinSmallGap" w:sz="24" w:space="0" w:color="auto"/>
            </w:tcBorders>
            <w:shd w:val="clear" w:color="auto" w:fill="D9D9D9" w:themeFill="background1" w:themeFillShade="D9"/>
          </w:tcPr>
          <w:p w:rsidR="00A91454" w:rsidRPr="0085089F" w:rsidRDefault="00A91454" w:rsidP="00282C76">
            <w:pPr>
              <w:pStyle w:val="ListParagraph"/>
              <w:spacing w:line="240" w:lineRule="exact"/>
              <w:ind w:left="0"/>
              <w:jc w:val="center"/>
              <w:rPr>
                <w:rFonts w:cs="Times New Roman"/>
                <w:b/>
                <w:sz w:val="20"/>
                <w:szCs w:val="20"/>
              </w:rPr>
            </w:pPr>
            <w:r w:rsidRPr="0085089F">
              <w:rPr>
                <w:rFonts w:cs="Times New Roman"/>
                <w:b/>
                <w:sz w:val="20"/>
                <w:szCs w:val="20"/>
              </w:rPr>
              <w:t xml:space="preserve">Combined: </w:t>
            </w:r>
            <w:r>
              <w:rPr>
                <w:rFonts w:cs="Times New Roman"/>
                <w:b/>
                <w:sz w:val="20"/>
                <w:szCs w:val="20"/>
              </w:rPr>
              <w:t>7</w:t>
            </w:r>
            <w:r w:rsidRPr="00ED6A61">
              <w:rPr>
                <w:rFonts w:cs="Times New Roman"/>
                <w:b/>
                <w:sz w:val="20"/>
                <w:szCs w:val="20"/>
              </w:rPr>
              <w:t>0%</w:t>
            </w:r>
          </w:p>
        </w:tc>
      </w:tr>
    </w:tbl>
    <w:p w:rsidR="00A91454" w:rsidRPr="00FA3B84" w:rsidRDefault="00A91454" w:rsidP="00A91454">
      <w:pPr>
        <w:pBdr>
          <w:bottom w:val="single" w:sz="12" w:space="1" w:color="auto"/>
        </w:pBdr>
        <w:tabs>
          <w:tab w:val="left" w:pos="288"/>
          <w:tab w:val="left" w:pos="4752"/>
        </w:tabs>
        <w:spacing w:line="240" w:lineRule="exact"/>
        <w:jc w:val="both"/>
        <w:rPr>
          <w:sz w:val="18"/>
          <w:szCs w:val="18"/>
        </w:rPr>
      </w:pPr>
      <w:r>
        <w:rPr>
          <w:sz w:val="18"/>
          <w:szCs w:val="18"/>
        </w:rPr>
        <w:tab/>
        <w:t xml:space="preserve">                                                                                             </w:t>
      </w:r>
      <w:r w:rsidRPr="00FA3B84">
        <w:rPr>
          <w:sz w:val="18"/>
          <w:szCs w:val="18"/>
        </w:rPr>
        <w:t>*</w:t>
      </w:r>
      <w:r>
        <w:rPr>
          <w:sz w:val="18"/>
          <w:szCs w:val="18"/>
        </w:rPr>
        <w:t>Left knee condition i</w:t>
      </w:r>
      <w:r w:rsidRPr="00FA3B84">
        <w:rPr>
          <w:sz w:val="18"/>
          <w:szCs w:val="18"/>
        </w:rPr>
        <w:t>ncreased to 10% effective 20070104</w:t>
      </w:r>
    </w:p>
    <w:p w:rsidR="00A91454" w:rsidRDefault="00A91454" w:rsidP="00A91454">
      <w:pPr>
        <w:pBdr>
          <w:bottom w:val="single" w:sz="12" w:space="1" w:color="auto"/>
        </w:pBdr>
        <w:tabs>
          <w:tab w:val="left" w:pos="288"/>
          <w:tab w:val="left" w:pos="4752"/>
        </w:tabs>
        <w:spacing w:line="240" w:lineRule="exact"/>
        <w:jc w:val="both"/>
        <w:rPr>
          <w:szCs w:val="24"/>
        </w:rPr>
      </w:pPr>
    </w:p>
    <w:p w:rsidR="00A91454" w:rsidRDefault="00A91454" w:rsidP="00A91454">
      <w:pPr>
        <w:tabs>
          <w:tab w:val="left" w:pos="288"/>
          <w:tab w:val="left" w:pos="4752"/>
        </w:tabs>
        <w:spacing w:line="240" w:lineRule="exact"/>
        <w:jc w:val="both"/>
        <w:rPr>
          <w:color w:val="000080"/>
        </w:rPr>
      </w:pPr>
    </w:p>
    <w:p w:rsidR="00A91454" w:rsidRDefault="00A91454" w:rsidP="00A91454">
      <w:pPr>
        <w:tabs>
          <w:tab w:val="left" w:pos="288"/>
          <w:tab w:val="left" w:pos="4752"/>
        </w:tabs>
        <w:spacing w:line="240" w:lineRule="exact"/>
        <w:jc w:val="both"/>
        <w:rPr>
          <w:szCs w:val="24"/>
        </w:rPr>
      </w:pPr>
      <w:r w:rsidRPr="00542C9A">
        <w:rPr>
          <w:szCs w:val="24"/>
          <w:u w:val="single"/>
        </w:rPr>
        <w:t>ANALYSIS SUMMARY</w:t>
      </w:r>
      <w:r w:rsidRPr="00542C9A">
        <w:rPr>
          <w:szCs w:val="24"/>
        </w:rPr>
        <w:t>:</w:t>
      </w:r>
      <w:r>
        <w:rPr>
          <w:szCs w:val="24"/>
        </w:rPr>
        <w:t xml:space="preserve"> </w:t>
      </w:r>
      <w:r w:rsidRPr="004D7AA7">
        <w:rPr>
          <w:szCs w:val="24"/>
        </w:rPr>
        <w:t>The Board acknowledges the sentiment expressed in the CI’s application regarding the significant impact that his service-incurred condition has had on his quality of life.  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w:t>
      </w:r>
    </w:p>
    <w:p w:rsidR="00A91454" w:rsidRPr="00542C9A" w:rsidRDefault="00A91454" w:rsidP="00A91454">
      <w:pPr>
        <w:tabs>
          <w:tab w:val="left" w:pos="2980"/>
        </w:tabs>
        <w:spacing w:line="240" w:lineRule="exact"/>
        <w:jc w:val="both"/>
        <w:rPr>
          <w:szCs w:val="24"/>
        </w:rPr>
      </w:pPr>
      <w:r>
        <w:rPr>
          <w:szCs w:val="24"/>
        </w:rPr>
        <w:tab/>
      </w:r>
    </w:p>
    <w:p w:rsidR="00A91454" w:rsidRDefault="00A91454" w:rsidP="00A91454">
      <w:pPr>
        <w:tabs>
          <w:tab w:val="left" w:pos="288"/>
          <w:tab w:val="left" w:pos="4752"/>
        </w:tabs>
        <w:spacing w:line="240" w:lineRule="exact"/>
        <w:jc w:val="both"/>
        <w:rPr>
          <w:szCs w:val="24"/>
        </w:rPr>
      </w:pPr>
      <w:proofErr w:type="gramStart"/>
      <w:r>
        <w:rPr>
          <w:szCs w:val="24"/>
          <w:u w:val="single"/>
        </w:rPr>
        <w:t>Low Back Pain</w:t>
      </w:r>
      <w:r w:rsidRPr="00542C9A">
        <w:rPr>
          <w:szCs w:val="24"/>
          <w:u w:val="single"/>
        </w:rPr>
        <w:t xml:space="preserve"> Condition</w:t>
      </w:r>
      <w:r>
        <w:rPr>
          <w:szCs w:val="24"/>
          <w:u w:val="single"/>
        </w:rPr>
        <w:t>.</w:t>
      </w:r>
      <w:proofErr w:type="gramEnd"/>
      <w:r w:rsidRPr="00542C9A">
        <w:rPr>
          <w:szCs w:val="24"/>
        </w:rPr>
        <w:t xml:space="preserve">  There</w:t>
      </w:r>
      <w:r>
        <w:rPr>
          <w:szCs w:val="24"/>
        </w:rPr>
        <w:t xml:space="preserve"> were two </w:t>
      </w:r>
      <w:r w:rsidRPr="004F495F">
        <w:rPr>
          <w:szCs w:val="24"/>
        </w:rPr>
        <w:t>goniometric</w:t>
      </w:r>
      <w:r>
        <w:rPr>
          <w:szCs w:val="24"/>
        </w:rPr>
        <w:t xml:space="preserve"> </w:t>
      </w:r>
      <w:proofErr w:type="gramStart"/>
      <w:r>
        <w:rPr>
          <w:szCs w:val="24"/>
        </w:rPr>
        <w:t>range</w:t>
      </w:r>
      <w:proofErr w:type="gramEnd"/>
      <w:r>
        <w:rPr>
          <w:szCs w:val="24"/>
        </w:rPr>
        <w:t xml:space="preserve"> of motion (ROM) evaluations in evidence which the Board </w:t>
      </w:r>
      <w:r w:rsidRPr="00743E36">
        <w:rPr>
          <w:szCs w:val="24"/>
        </w:rPr>
        <w:t>weighed in arriving at its rating recommendation</w:t>
      </w:r>
      <w:r>
        <w:rPr>
          <w:szCs w:val="24"/>
        </w:rPr>
        <w:t xml:space="preserve">.  </w:t>
      </w:r>
      <w:r w:rsidRPr="004F495F">
        <w:rPr>
          <w:szCs w:val="24"/>
        </w:rPr>
        <w:t>Both</w:t>
      </w:r>
      <w:r>
        <w:rPr>
          <w:szCs w:val="24"/>
        </w:rPr>
        <w:t xml:space="preserve"> of these exams are summarized in the following chart.</w:t>
      </w:r>
    </w:p>
    <w:p w:rsidR="00A91454" w:rsidRDefault="00A91454" w:rsidP="00A91454">
      <w:pPr>
        <w:tabs>
          <w:tab w:val="left" w:pos="288"/>
          <w:tab w:val="left" w:pos="4752"/>
        </w:tabs>
        <w:spacing w:line="240" w:lineRule="exact"/>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524"/>
      </w:tblGrid>
      <w:tr w:rsidR="00A91454" w:rsidRPr="00C34CEB" w:rsidTr="00282C76">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1454" w:rsidRPr="00FB42B7" w:rsidRDefault="00A91454" w:rsidP="00282C76">
            <w:pPr>
              <w:pStyle w:val="ListParagraph"/>
              <w:spacing w:after="0" w:line="200" w:lineRule="exact"/>
              <w:ind w:left="0"/>
              <w:jc w:val="center"/>
              <w:rPr>
                <w:rFonts w:eastAsia="Calibri" w:cs="Times New Roman"/>
                <w:b/>
                <w:sz w:val="20"/>
                <w:szCs w:val="20"/>
              </w:rPr>
            </w:pPr>
            <w:r w:rsidRPr="00FB42B7">
              <w:rPr>
                <w:rFonts w:eastAsia="Calibri"/>
                <w:sz w:val="20"/>
                <w:szCs w:val="20"/>
              </w:rPr>
              <w:t xml:space="preserve">Goniometric ROM - </w:t>
            </w:r>
            <w:proofErr w:type="spellStart"/>
            <w:r w:rsidRPr="00FB42B7">
              <w:rPr>
                <w:rFonts w:eastAsia="Calibri"/>
                <w:sz w:val="20"/>
                <w:szCs w:val="20"/>
              </w:rPr>
              <w:t>Thoracolumbar</w:t>
            </w:r>
            <w:proofErr w:type="spellEnd"/>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1454" w:rsidRPr="00FB42B7" w:rsidRDefault="00A91454" w:rsidP="00282C76">
            <w:pPr>
              <w:spacing w:line="200" w:lineRule="exact"/>
              <w:contextualSpacing/>
              <w:jc w:val="center"/>
              <w:rPr>
                <w:rFonts w:eastAsia="Calibri"/>
                <w:sz w:val="20"/>
              </w:rPr>
            </w:pPr>
            <w:r w:rsidRPr="00FB42B7">
              <w:rPr>
                <w:rFonts w:eastAsia="Calibri"/>
                <w:sz w:val="20"/>
              </w:rPr>
              <w:t xml:space="preserve">PT ~  </w:t>
            </w:r>
            <w:r>
              <w:rPr>
                <w:rFonts w:eastAsia="Calibri"/>
                <w:sz w:val="20"/>
              </w:rPr>
              <w:t xml:space="preserve">3 </w:t>
            </w:r>
            <w:r w:rsidRPr="00FB42B7">
              <w:rPr>
                <w:rFonts w:eastAsia="Calibri"/>
                <w:sz w:val="20"/>
              </w:rPr>
              <w:t>Mo. Pre-Sep</w:t>
            </w:r>
          </w:p>
        </w:tc>
        <w:tc>
          <w:tcPr>
            <w:tcW w:w="25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91454" w:rsidRPr="00FB42B7" w:rsidRDefault="00A91454" w:rsidP="00282C76">
            <w:pPr>
              <w:spacing w:line="200" w:lineRule="exact"/>
              <w:contextualSpacing/>
              <w:jc w:val="center"/>
              <w:rPr>
                <w:sz w:val="20"/>
              </w:rPr>
            </w:pPr>
            <w:r w:rsidRPr="00FB42B7">
              <w:rPr>
                <w:rFonts w:eastAsia="Calibri"/>
                <w:sz w:val="20"/>
              </w:rPr>
              <w:t>VA</w:t>
            </w:r>
            <w:r w:rsidRPr="00FB42B7">
              <w:rPr>
                <w:sz w:val="20"/>
              </w:rPr>
              <w:t xml:space="preserve"> C&amp;P </w:t>
            </w:r>
            <w:r>
              <w:rPr>
                <w:rFonts w:eastAsia="Calibri"/>
                <w:sz w:val="20"/>
              </w:rPr>
              <w:t xml:space="preserve">~ 2 </w:t>
            </w:r>
            <w:r w:rsidRPr="00FB42B7">
              <w:rPr>
                <w:rFonts w:eastAsia="Calibri"/>
                <w:sz w:val="20"/>
              </w:rPr>
              <w:t xml:space="preserve">Mo. </w:t>
            </w:r>
            <w:r>
              <w:rPr>
                <w:rFonts w:eastAsia="Calibri"/>
                <w:sz w:val="20"/>
              </w:rPr>
              <w:t xml:space="preserve"> Pre-</w:t>
            </w:r>
            <w:r w:rsidRPr="00FB42B7">
              <w:rPr>
                <w:rFonts w:eastAsia="Calibri"/>
                <w:sz w:val="20"/>
              </w:rPr>
              <w:t>Sep</w:t>
            </w:r>
          </w:p>
        </w:tc>
      </w:tr>
      <w:tr w:rsidR="00A91454" w:rsidRPr="00C34CEB" w:rsidTr="00282C76">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91454" w:rsidRPr="00C34CEB" w:rsidRDefault="00A91454" w:rsidP="00282C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0-90</w:t>
            </w:r>
            <w:r w:rsidRPr="00C34CEB">
              <w:rPr>
                <w:rFonts w:eastAsia="Calibri"/>
                <w:sz w:val="18"/>
                <w:szCs w:val="18"/>
              </w:rPr>
              <w:t>⁰</w:t>
            </w:r>
            <w:r>
              <w:rPr>
                <w:rFonts w:eastAsia="Calibri"/>
                <w:sz w:val="18"/>
                <w:szCs w:val="18"/>
              </w:rPr>
              <w:t xml:space="preserve">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A91454" w:rsidRPr="00C34CEB" w:rsidRDefault="00A91454" w:rsidP="00282C76">
            <w:pPr>
              <w:spacing w:line="180" w:lineRule="exact"/>
              <w:contextualSpacing/>
              <w:jc w:val="center"/>
              <w:rPr>
                <w:rFonts w:eastAsia="Calibri"/>
                <w:sz w:val="18"/>
                <w:szCs w:val="18"/>
              </w:rPr>
            </w:pPr>
            <w:r>
              <w:rPr>
                <w:rFonts w:eastAsia="Calibri"/>
                <w:sz w:val="18"/>
                <w:szCs w:val="18"/>
              </w:rPr>
              <w:t>55</w:t>
            </w:r>
            <w:r w:rsidRPr="00C34CEB">
              <w:rPr>
                <w:rFonts w:eastAsia="Calibri"/>
                <w:sz w:val="18"/>
                <w:szCs w:val="18"/>
              </w:rPr>
              <w:t>⁰</w:t>
            </w:r>
          </w:p>
        </w:tc>
        <w:tc>
          <w:tcPr>
            <w:tcW w:w="2524" w:type="dxa"/>
            <w:tcBorders>
              <w:top w:val="single" w:sz="4" w:space="0" w:color="000000"/>
              <w:left w:val="single" w:sz="4" w:space="0" w:color="000000"/>
              <w:bottom w:val="single" w:sz="4" w:space="0" w:color="000000"/>
              <w:right w:val="single" w:sz="4" w:space="0" w:color="000000"/>
            </w:tcBorders>
            <w:vAlign w:val="center"/>
          </w:tcPr>
          <w:p w:rsidR="00A91454" w:rsidRPr="00C34CEB" w:rsidRDefault="00A91454" w:rsidP="00282C76">
            <w:pPr>
              <w:spacing w:line="180" w:lineRule="exact"/>
              <w:contextualSpacing/>
              <w:jc w:val="center"/>
              <w:rPr>
                <w:rFonts w:eastAsia="Calibri"/>
                <w:sz w:val="18"/>
                <w:szCs w:val="18"/>
              </w:rPr>
            </w:pPr>
            <w:r>
              <w:rPr>
                <w:rFonts w:eastAsia="Calibri"/>
                <w:sz w:val="18"/>
                <w:szCs w:val="18"/>
              </w:rPr>
              <w:t>80</w:t>
            </w:r>
            <w:r w:rsidRPr="00C34CEB">
              <w:rPr>
                <w:rFonts w:eastAsia="Calibri"/>
                <w:sz w:val="18"/>
                <w:szCs w:val="18"/>
              </w:rPr>
              <w:t>⁰</w:t>
            </w:r>
          </w:p>
        </w:tc>
      </w:tr>
      <w:tr w:rsidR="00A91454" w:rsidRPr="00C34CEB" w:rsidTr="00282C76">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91454" w:rsidRPr="00C34CEB" w:rsidRDefault="00A91454" w:rsidP="00282C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A91454" w:rsidRPr="00C34CEB" w:rsidRDefault="00A91454" w:rsidP="00282C76">
            <w:pPr>
              <w:pStyle w:val="ListParagraph"/>
              <w:spacing w:after="0" w:line="180" w:lineRule="exact"/>
              <w:ind w:left="0"/>
              <w:jc w:val="center"/>
              <w:rPr>
                <w:rFonts w:eastAsia="Calibri" w:cs="Times New Roman"/>
                <w:sz w:val="18"/>
                <w:szCs w:val="18"/>
              </w:rPr>
            </w:pPr>
            <w:r>
              <w:rPr>
                <w:rFonts w:eastAsia="Calibri" w:cs="Times New Roman"/>
                <w:sz w:val="18"/>
                <w:szCs w:val="18"/>
              </w:rPr>
              <w:t>224</w:t>
            </w:r>
            <w:r w:rsidRPr="00C34CEB">
              <w:rPr>
                <w:rFonts w:eastAsia="Calibri" w:cs="Times New Roman"/>
                <w:sz w:val="18"/>
                <w:szCs w:val="18"/>
              </w:rPr>
              <w:t>⁰</w:t>
            </w:r>
          </w:p>
        </w:tc>
        <w:tc>
          <w:tcPr>
            <w:tcW w:w="2524" w:type="dxa"/>
            <w:tcBorders>
              <w:top w:val="single" w:sz="4" w:space="0" w:color="000000"/>
              <w:left w:val="single" w:sz="4" w:space="0" w:color="000000"/>
              <w:bottom w:val="single" w:sz="4" w:space="0" w:color="000000"/>
              <w:right w:val="single" w:sz="4" w:space="0" w:color="000000"/>
            </w:tcBorders>
            <w:vAlign w:val="center"/>
          </w:tcPr>
          <w:p w:rsidR="00A91454" w:rsidRPr="00C34CEB" w:rsidRDefault="00A91454" w:rsidP="00282C76">
            <w:pPr>
              <w:spacing w:line="180" w:lineRule="exact"/>
              <w:jc w:val="center"/>
              <w:rPr>
                <w:sz w:val="18"/>
                <w:szCs w:val="18"/>
              </w:rPr>
            </w:pPr>
            <w:r>
              <w:rPr>
                <w:rFonts w:eastAsia="Calibri"/>
                <w:sz w:val="18"/>
                <w:szCs w:val="18"/>
              </w:rPr>
              <w:t>195</w:t>
            </w:r>
            <w:r w:rsidRPr="00C34CEB">
              <w:rPr>
                <w:rFonts w:eastAsia="Calibri"/>
                <w:sz w:val="18"/>
                <w:szCs w:val="18"/>
              </w:rPr>
              <w:t>⁰</w:t>
            </w:r>
          </w:p>
        </w:tc>
      </w:tr>
      <w:tr w:rsidR="00A91454" w:rsidRPr="00C34CEB" w:rsidTr="00282C76">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91454" w:rsidRPr="00C34CEB" w:rsidRDefault="00A91454" w:rsidP="00282C76">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A91454" w:rsidRPr="00C34CEB" w:rsidRDefault="00A91454" w:rsidP="00282C76">
            <w:pPr>
              <w:tabs>
                <w:tab w:val="left" w:pos="288"/>
                <w:tab w:val="left" w:pos="4752"/>
              </w:tabs>
              <w:spacing w:line="180" w:lineRule="exact"/>
              <w:jc w:val="center"/>
              <w:rPr>
                <w:sz w:val="18"/>
                <w:szCs w:val="18"/>
              </w:rPr>
            </w:pPr>
            <w:r>
              <w:rPr>
                <w:sz w:val="18"/>
                <w:szCs w:val="18"/>
              </w:rPr>
              <w:t>20</w:t>
            </w:r>
            <w:r w:rsidRPr="00C34CEB">
              <w:rPr>
                <w:sz w:val="18"/>
                <w:szCs w:val="18"/>
              </w:rPr>
              <w:t>%</w:t>
            </w:r>
            <w:r>
              <w:rPr>
                <w:sz w:val="18"/>
                <w:szCs w:val="18"/>
              </w:rPr>
              <w:t>*</w:t>
            </w:r>
          </w:p>
        </w:tc>
        <w:tc>
          <w:tcPr>
            <w:tcW w:w="2524" w:type="dxa"/>
            <w:tcBorders>
              <w:top w:val="single" w:sz="4" w:space="0" w:color="000000"/>
              <w:left w:val="single" w:sz="4" w:space="0" w:color="000000"/>
              <w:bottom w:val="single" w:sz="4" w:space="0" w:color="000000"/>
              <w:right w:val="single" w:sz="4" w:space="0" w:color="000000"/>
            </w:tcBorders>
            <w:vAlign w:val="center"/>
          </w:tcPr>
          <w:p w:rsidR="00A91454" w:rsidRPr="00C34CEB" w:rsidRDefault="00A91454" w:rsidP="00282C76">
            <w:pPr>
              <w:tabs>
                <w:tab w:val="left" w:pos="288"/>
                <w:tab w:val="left" w:pos="4752"/>
              </w:tabs>
              <w:spacing w:line="180" w:lineRule="exact"/>
              <w:jc w:val="center"/>
              <w:rPr>
                <w:sz w:val="18"/>
                <w:szCs w:val="18"/>
              </w:rPr>
            </w:pPr>
            <w:r>
              <w:rPr>
                <w:sz w:val="18"/>
                <w:szCs w:val="18"/>
              </w:rPr>
              <w:t>10</w:t>
            </w:r>
            <w:r w:rsidRPr="00C34CEB">
              <w:rPr>
                <w:sz w:val="18"/>
                <w:szCs w:val="18"/>
              </w:rPr>
              <w:t>%</w:t>
            </w:r>
          </w:p>
        </w:tc>
      </w:tr>
    </w:tbl>
    <w:p w:rsidR="00A91454" w:rsidRPr="00B306D7" w:rsidRDefault="00A91454" w:rsidP="00A91454">
      <w:pPr>
        <w:tabs>
          <w:tab w:val="left" w:pos="288"/>
          <w:tab w:val="left" w:pos="4752"/>
        </w:tabs>
        <w:spacing w:line="240" w:lineRule="exact"/>
        <w:rPr>
          <w:sz w:val="20"/>
        </w:rPr>
      </w:pPr>
      <w:r>
        <w:rPr>
          <w:szCs w:val="24"/>
        </w:rPr>
        <w:tab/>
        <w:t xml:space="preserve">                     </w:t>
      </w:r>
      <w:r w:rsidRPr="00B306D7">
        <w:rPr>
          <w:sz w:val="20"/>
        </w:rPr>
        <w:t>*Based on flexion component</w:t>
      </w:r>
      <w:r>
        <w:rPr>
          <w:sz w:val="20"/>
        </w:rPr>
        <w:t xml:space="preserve"> only</w:t>
      </w:r>
    </w:p>
    <w:p w:rsidR="00A91454" w:rsidRDefault="00A91454" w:rsidP="00A91454">
      <w:pPr>
        <w:tabs>
          <w:tab w:val="left" w:pos="288"/>
          <w:tab w:val="left" w:pos="4752"/>
        </w:tabs>
        <w:spacing w:line="240" w:lineRule="exact"/>
        <w:rPr>
          <w:szCs w:val="24"/>
        </w:rPr>
      </w:pPr>
    </w:p>
    <w:p w:rsidR="00A91454" w:rsidRDefault="00A91454" w:rsidP="00A91454">
      <w:pPr>
        <w:spacing w:line="240" w:lineRule="exact"/>
        <w:jc w:val="both"/>
        <w:rPr>
          <w:szCs w:val="24"/>
        </w:rPr>
      </w:pPr>
      <w:r>
        <w:rPr>
          <w:szCs w:val="24"/>
        </w:rPr>
        <w:t xml:space="preserve">The narrative summary (NARSUM) examination was silent regarding gait, muscle tenderness, spasm and contour.  Magnetic resonance imaging reported a small annular tear with </w:t>
      </w:r>
      <w:r w:rsidRPr="000F1B0D">
        <w:rPr>
          <w:szCs w:val="24"/>
        </w:rPr>
        <w:t xml:space="preserve">mild </w:t>
      </w:r>
      <w:r>
        <w:rPr>
          <w:szCs w:val="24"/>
        </w:rPr>
        <w:t>degenerative disc disease and</w:t>
      </w:r>
      <w:r w:rsidRPr="000F1B0D">
        <w:rPr>
          <w:szCs w:val="24"/>
        </w:rPr>
        <w:t xml:space="preserve"> </w:t>
      </w:r>
      <w:r>
        <w:rPr>
          <w:szCs w:val="24"/>
        </w:rPr>
        <w:t xml:space="preserve">a herniated disc at L4-5.  The compensation and pension (C&amp;P) examiner noted normal gait and posture, and no localized tenderness.  Strength, sensory and reflex findings were normal, and straight leg raise testing was negative.  Because the C&amp;P examination was significantly more detailed than the NARSUM exam, it was considered by the Board for rating purposes.  The PEB’s 0% rating required application of </w:t>
      </w:r>
      <w:r w:rsidRPr="000335EE">
        <w:rPr>
          <w:szCs w:val="24"/>
        </w:rPr>
        <w:t>the USAPDA pain policy</w:t>
      </w:r>
      <w:r>
        <w:rPr>
          <w:szCs w:val="24"/>
        </w:rPr>
        <w:t xml:space="preserve">, since the VA Schedule for Rating Disabilities (VASRD) </w:t>
      </w:r>
      <w:r w:rsidRPr="00AE3316">
        <w:rPr>
          <w:szCs w:val="24"/>
        </w:rPr>
        <w:t>§</w:t>
      </w:r>
      <w:r w:rsidRPr="000F1B0D">
        <w:rPr>
          <w:szCs w:val="24"/>
        </w:rPr>
        <w:t>4.71a</w:t>
      </w:r>
      <w:r>
        <w:rPr>
          <w:szCs w:val="24"/>
        </w:rPr>
        <w:t xml:space="preserve"> yields a 10% or 20% rating based upon the ROM in evidence.  </w:t>
      </w:r>
      <w:r w:rsidRPr="00AE3316">
        <w:rPr>
          <w:szCs w:val="24"/>
        </w:rPr>
        <w:t>The</w:t>
      </w:r>
      <w:r>
        <w:rPr>
          <w:szCs w:val="24"/>
        </w:rPr>
        <w:t xml:space="preserve"> PEB and VA chose different coding options for the condition, but this did not bear on rating.  The Board also considered rating </w:t>
      </w:r>
      <w:proofErr w:type="spellStart"/>
      <w:r>
        <w:rPr>
          <w:szCs w:val="24"/>
        </w:rPr>
        <w:t>intervertebral</w:t>
      </w:r>
      <w:proofErr w:type="spellEnd"/>
      <w:r>
        <w:rPr>
          <w:szCs w:val="24"/>
        </w:rPr>
        <w:t xml:space="preserve"> disc disease under the alternative formula for incapacitating episodes, but could not find sufficient evidence which would meet even 10% criteria under that formula.  There was no evidence of ratable peripheral nerve impairment in this case.  After due deliberation, considering all of the</w:t>
      </w:r>
      <w:r w:rsidRPr="00AE3316">
        <w:rPr>
          <w:szCs w:val="24"/>
        </w:rPr>
        <w:t xml:space="preserve"> evidence </w:t>
      </w:r>
      <w:r w:rsidRPr="000E4325">
        <w:rPr>
          <w:szCs w:val="24"/>
        </w:rPr>
        <w:t>and mindful of VASRD §4.3 (reasonable doubt)</w:t>
      </w:r>
      <w:r>
        <w:rPr>
          <w:szCs w:val="24"/>
        </w:rPr>
        <w:t>, the Board recommends</w:t>
      </w:r>
      <w:r w:rsidRPr="00AE3316">
        <w:rPr>
          <w:szCs w:val="24"/>
        </w:rPr>
        <w:t xml:space="preserve"> a separation rating of </w:t>
      </w:r>
      <w:r>
        <w:rPr>
          <w:szCs w:val="24"/>
        </w:rPr>
        <w:t>1</w:t>
      </w:r>
      <w:r w:rsidRPr="00AE3316">
        <w:rPr>
          <w:szCs w:val="24"/>
        </w:rPr>
        <w:t xml:space="preserve">0% for the </w:t>
      </w:r>
      <w:r>
        <w:rPr>
          <w:szCs w:val="24"/>
        </w:rPr>
        <w:t>lumbar spine condition, and agrees with the PEB’s coding choice of 5243.</w:t>
      </w:r>
    </w:p>
    <w:p w:rsidR="00A91454" w:rsidRDefault="00A91454" w:rsidP="00A91454">
      <w:pPr>
        <w:spacing w:line="240" w:lineRule="exact"/>
        <w:jc w:val="both"/>
        <w:rPr>
          <w:szCs w:val="24"/>
        </w:rPr>
      </w:pPr>
    </w:p>
    <w:p w:rsidR="00A91454" w:rsidRPr="007344DE" w:rsidRDefault="00A91454" w:rsidP="00A91454">
      <w:pPr>
        <w:spacing w:line="240" w:lineRule="exact"/>
        <w:jc w:val="both"/>
        <w:rPr>
          <w:szCs w:val="24"/>
        </w:rPr>
      </w:pPr>
      <w:proofErr w:type="gramStart"/>
      <w:r>
        <w:rPr>
          <w:szCs w:val="24"/>
          <w:u w:val="single"/>
        </w:rPr>
        <w:t>Renal</w:t>
      </w:r>
      <w:r w:rsidRPr="007344DE">
        <w:rPr>
          <w:szCs w:val="24"/>
          <w:u w:val="single"/>
        </w:rPr>
        <w:t xml:space="preserve"> Condition</w:t>
      </w:r>
      <w:r>
        <w:rPr>
          <w:szCs w:val="24"/>
          <w:u w:val="single"/>
        </w:rPr>
        <w:t>.</w:t>
      </w:r>
      <w:proofErr w:type="gramEnd"/>
      <w:r>
        <w:rPr>
          <w:szCs w:val="24"/>
        </w:rPr>
        <w:t xml:space="preserve">  The CI had a history since childhood of significant </w:t>
      </w:r>
      <w:proofErr w:type="spellStart"/>
      <w:r>
        <w:rPr>
          <w:szCs w:val="24"/>
        </w:rPr>
        <w:t>proteinuria</w:t>
      </w:r>
      <w:proofErr w:type="spellEnd"/>
      <w:r>
        <w:rPr>
          <w:szCs w:val="24"/>
        </w:rPr>
        <w:t xml:space="preserve">.  A pre-enlistment biopsy established the diagnosis of focal segmental </w:t>
      </w:r>
      <w:proofErr w:type="spellStart"/>
      <w:r>
        <w:rPr>
          <w:szCs w:val="24"/>
        </w:rPr>
        <w:t>glomerulosclerosis</w:t>
      </w:r>
      <w:proofErr w:type="spellEnd"/>
      <w:r>
        <w:rPr>
          <w:szCs w:val="24"/>
        </w:rPr>
        <w:t xml:space="preserve">, although his entrance physical did not report the condition and showed no </w:t>
      </w:r>
      <w:proofErr w:type="spellStart"/>
      <w:r>
        <w:rPr>
          <w:szCs w:val="24"/>
        </w:rPr>
        <w:t>proteinuria</w:t>
      </w:r>
      <w:proofErr w:type="spellEnd"/>
      <w:r>
        <w:rPr>
          <w:szCs w:val="24"/>
        </w:rPr>
        <w:t xml:space="preserve">.  While on active duty, he was followed by a civilian </w:t>
      </w:r>
      <w:proofErr w:type="spellStart"/>
      <w:r>
        <w:rPr>
          <w:szCs w:val="24"/>
        </w:rPr>
        <w:t>nephrologist</w:t>
      </w:r>
      <w:proofErr w:type="spellEnd"/>
      <w:r>
        <w:rPr>
          <w:szCs w:val="24"/>
        </w:rPr>
        <w:t xml:space="preserve"> for at least one year prior to the MEB, but these records are not in evidence.  He was also being treated for hypertension, which was considered a complication of the renal condition and was reasonably controlled on medication.  The MEB nephrology addendum assessed stable, mildly diminished renal function, but with the possibility of kidney failure several years in the future.  The </w:t>
      </w:r>
      <w:proofErr w:type="spellStart"/>
      <w:r>
        <w:rPr>
          <w:szCs w:val="24"/>
        </w:rPr>
        <w:t>nephrologist</w:t>
      </w:r>
      <w:proofErr w:type="spellEnd"/>
      <w:r>
        <w:rPr>
          <w:szCs w:val="24"/>
        </w:rPr>
        <w:t xml:space="preserve"> stated that the renal condition caused no specific functional impairment, no restriction for worldwide duty and no requirement for a permanent profile.  The VA granted a 30% rating based on recurring </w:t>
      </w:r>
      <w:proofErr w:type="spellStart"/>
      <w:r>
        <w:rPr>
          <w:szCs w:val="24"/>
        </w:rPr>
        <w:t>proteinuria</w:t>
      </w:r>
      <w:proofErr w:type="spellEnd"/>
      <w:r>
        <w:rPr>
          <w:szCs w:val="24"/>
        </w:rPr>
        <w:t xml:space="preserve"> with hypertension.  After due deliberation in consideration of the totality of the evidence, the Board concluded that there was insufficient cause to recommend a change from the PEB fitness adjudication for the renal condition.  </w:t>
      </w:r>
    </w:p>
    <w:p w:rsidR="00A91454" w:rsidRDefault="00A91454" w:rsidP="00A91454">
      <w:pPr>
        <w:tabs>
          <w:tab w:val="left" w:pos="288"/>
          <w:tab w:val="left" w:pos="4752"/>
        </w:tabs>
        <w:spacing w:line="240" w:lineRule="exact"/>
        <w:jc w:val="both"/>
        <w:rPr>
          <w:szCs w:val="24"/>
        </w:rPr>
      </w:pPr>
    </w:p>
    <w:p w:rsidR="00A91454" w:rsidRDefault="00A91454" w:rsidP="00A91454">
      <w:pPr>
        <w:tabs>
          <w:tab w:val="left" w:pos="288"/>
          <w:tab w:val="left" w:pos="4752"/>
        </w:tabs>
        <w:spacing w:line="240" w:lineRule="exact"/>
        <w:jc w:val="both"/>
        <w:rPr>
          <w:szCs w:val="24"/>
        </w:rPr>
      </w:pPr>
      <w:proofErr w:type="gramStart"/>
      <w:r w:rsidRPr="00E42F1D">
        <w:rPr>
          <w:szCs w:val="24"/>
          <w:u w:val="single"/>
        </w:rPr>
        <w:t>Other PEB</w:t>
      </w:r>
      <w:r>
        <w:rPr>
          <w:szCs w:val="24"/>
          <w:u w:val="single"/>
        </w:rPr>
        <w:t xml:space="preserve"> Conditions.</w:t>
      </w:r>
      <w:proofErr w:type="gramEnd"/>
      <w:r>
        <w:rPr>
          <w:szCs w:val="24"/>
        </w:rPr>
        <w:t xml:space="preserve"> </w:t>
      </w:r>
      <w:r w:rsidRPr="00E42F1D">
        <w:rPr>
          <w:szCs w:val="24"/>
        </w:rPr>
        <w:t xml:space="preserve"> The other condition forwarded by the MEB and adjudicated as not unfitting by the PEB </w:t>
      </w:r>
      <w:r>
        <w:rPr>
          <w:szCs w:val="24"/>
        </w:rPr>
        <w:t>was OSA</w:t>
      </w:r>
      <w:r w:rsidRPr="00E42F1D">
        <w:rPr>
          <w:szCs w:val="24"/>
        </w:rPr>
        <w:t xml:space="preserve">.  </w:t>
      </w:r>
      <w:r>
        <w:rPr>
          <w:szCs w:val="24"/>
        </w:rPr>
        <w:t>The condition was diagnosed in 2005 and subsequent treatment with continuous positive airway pressure (CPAP) device was successful.  T</w:t>
      </w:r>
      <w:r w:rsidRPr="008F54A6">
        <w:rPr>
          <w:szCs w:val="24"/>
        </w:rPr>
        <w:t xml:space="preserve">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 </w:t>
      </w:r>
      <w:r>
        <w:rPr>
          <w:szCs w:val="24"/>
        </w:rPr>
        <w:t xml:space="preserve"> This </w:t>
      </w:r>
      <w:r w:rsidRPr="00E42F1D">
        <w:rPr>
          <w:szCs w:val="24"/>
        </w:rPr>
        <w:t>condition w</w:t>
      </w:r>
      <w:r>
        <w:rPr>
          <w:szCs w:val="24"/>
        </w:rPr>
        <w:t>as not</w:t>
      </w:r>
      <w:r w:rsidRPr="00E42F1D">
        <w:rPr>
          <w:szCs w:val="24"/>
        </w:rPr>
        <w:t xml:space="preserve"> profiled, implicated in the </w:t>
      </w:r>
      <w:r>
        <w:rPr>
          <w:szCs w:val="24"/>
        </w:rPr>
        <w:t>c</w:t>
      </w:r>
      <w:r w:rsidRPr="00E42F1D">
        <w:rPr>
          <w:szCs w:val="24"/>
        </w:rPr>
        <w:t xml:space="preserve">ommander’s statement or noted as failing retention standards.  </w:t>
      </w:r>
      <w:r>
        <w:rPr>
          <w:szCs w:val="24"/>
        </w:rPr>
        <w:t>It was</w:t>
      </w:r>
      <w:r w:rsidRPr="00E42F1D">
        <w:rPr>
          <w:szCs w:val="24"/>
        </w:rPr>
        <w:t xml:space="preserve"> reviewed by the </w:t>
      </w:r>
      <w:r>
        <w:rPr>
          <w:szCs w:val="24"/>
        </w:rPr>
        <w:t>a</w:t>
      </w:r>
      <w:r w:rsidRPr="00E42F1D">
        <w:rPr>
          <w:szCs w:val="24"/>
        </w:rPr>
        <w:t xml:space="preserve">ction </w:t>
      </w:r>
      <w:r>
        <w:rPr>
          <w:szCs w:val="24"/>
        </w:rPr>
        <w:t>o</w:t>
      </w:r>
      <w:r w:rsidRPr="00E42F1D">
        <w:rPr>
          <w:szCs w:val="24"/>
        </w:rPr>
        <w:t xml:space="preserve">fficer and considered by the Board.  There was no indication from the record that </w:t>
      </w:r>
      <w:r>
        <w:rPr>
          <w:szCs w:val="24"/>
        </w:rPr>
        <w:t>it</w:t>
      </w:r>
      <w:r w:rsidRPr="00E42F1D">
        <w:rPr>
          <w:szCs w:val="24"/>
        </w:rPr>
        <w:t xml:space="preserve"> significantly interfered with satisfactory performance of MOS requirements.  All evidence considered</w:t>
      </w:r>
      <w:proofErr w:type="gramStart"/>
      <w:r w:rsidRPr="00E42F1D">
        <w:rPr>
          <w:szCs w:val="24"/>
        </w:rPr>
        <w:t>,</w:t>
      </w:r>
      <w:proofErr w:type="gramEnd"/>
      <w:r w:rsidRPr="00E42F1D">
        <w:rPr>
          <w:szCs w:val="24"/>
        </w:rPr>
        <w:t xml:space="preserve"> there is not reasonable doubt in the CI’s favor supporting </w:t>
      </w:r>
      <w:proofErr w:type="spellStart"/>
      <w:r w:rsidRPr="00E42F1D">
        <w:rPr>
          <w:szCs w:val="24"/>
        </w:rPr>
        <w:t>recharacterization</w:t>
      </w:r>
      <w:proofErr w:type="spellEnd"/>
      <w:r w:rsidRPr="00E42F1D">
        <w:rPr>
          <w:szCs w:val="24"/>
        </w:rPr>
        <w:t xml:space="preserve"> of the PEB fitness adjudication for </w:t>
      </w:r>
      <w:r>
        <w:rPr>
          <w:szCs w:val="24"/>
        </w:rPr>
        <w:t>the OSA</w:t>
      </w:r>
      <w:r w:rsidRPr="00E42F1D">
        <w:rPr>
          <w:szCs w:val="24"/>
        </w:rPr>
        <w:t xml:space="preserve"> condition.  </w:t>
      </w:r>
    </w:p>
    <w:p w:rsidR="00A91454" w:rsidRDefault="00A91454" w:rsidP="00A91454">
      <w:pPr>
        <w:tabs>
          <w:tab w:val="left" w:pos="288"/>
          <w:tab w:val="left" w:pos="4752"/>
        </w:tabs>
        <w:spacing w:line="240" w:lineRule="exact"/>
        <w:jc w:val="both"/>
        <w:rPr>
          <w:szCs w:val="24"/>
        </w:rPr>
      </w:pPr>
    </w:p>
    <w:p w:rsidR="00A91454" w:rsidRDefault="00A91454" w:rsidP="00A91454">
      <w:pPr>
        <w:tabs>
          <w:tab w:val="left" w:pos="288"/>
          <w:tab w:val="left" w:pos="4752"/>
        </w:tabs>
        <w:spacing w:line="240" w:lineRule="exact"/>
        <w:jc w:val="both"/>
        <w:rPr>
          <w:szCs w:val="24"/>
        </w:rPr>
      </w:pPr>
      <w:proofErr w:type="gramStart"/>
      <w:r w:rsidRPr="00E42F1D">
        <w:rPr>
          <w:szCs w:val="24"/>
          <w:u w:val="single"/>
        </w:rPr>
        <w:t>Remaining</w:t>
      </w:r>
      <w:r>
        <w:rPr>
          <w:szCs w:val="24"/>
          <w:u w:val="single"/>
        </w:rPr>
        <w:t xml:space="preserve"> Conditions.</w:t>
      </w:r>
      <w:proofErr w:type="gramEnd"/>
      <w:r>
        <w:rPr>
          <w:szCs w:val="24"/>
        </w:rPr>
        <w:t xml:space="preserve"> </w:t>
      </w:r>
      <w:r w:rsidRPr="00E42F1D">
        <w:rPr>
          <w:szCs w:val="24"/>
        </w:rPr>
        <w:t xml:space="preserve"> </w:t>
      </w:r>
      <w:r w:rsidRPr="00B8188C">
        <w:rPr>
          <w:szCs w:val="24"/>
        </w:rPr>
        <w:t xml:space="preserve">Other conditions identified in the DES file were </w:t>
      </w:r>
      <w:r>
        <w:rPr>
          <w:szCs w:val="24"/>
        </w:rPr>
        <w:t xml:space="preserve">left knee pain, bilateral ankle pain and obesity.  </w:t>
      </w:r>
      <w:r w:rsidRPr="00B8188C">
        <w:rPr>
          <w:szCs w:val="24"/>
        </w:rPr>
        <w:t>None of these conditions were clinical</w:t>
      </w:r>
      <w:r>
        <w:rPr>
          <w:szCs w:val="24"/>
        </w:rPr>
        <w:t>ly active during the MEB period, none carried attached profiles and</w:t>
      </w:r>
      <w:r w:rsidRPr="00B8188C">
        <w:rPr>
          <w:szCs w:val="24"/>
        </w:rPr>
        <w:t xml:space="preserve"> none were implicated in the </w:t>
      </w:r>
      <w:r>
        <w:rPr>
          <w:szCs w:val="24"/>
        </w:rPr>
        <w:t>c</w:t>
      </w:r>
      <w:r w:rsidRPr="00B8188C">
        <w:rPr>
          <w:szCs w:val="24"/>
        </w:rPr>
        <w:t xml:space="preserve">ommander’s statement.  These conditions were reviewed by the </w:t>
      </w:r>
      <w:r>
        <w:rPr>
          <w:szCs w:val="24"/>
        </w:rPr>
        <w:t>a</w:t>
      </w:r>
      <w:r w:rsidRPr="00B8188C">
        <w:rPr>
          <w:szCs w:val="24"/>
        </w:rPr>
        <w:t xml:space="preserve">ction </w:t>
      </w:r>
      <w:r>
        <w:rPr>
          <w:szCs w:val="24"/>
        </w:rPr>
        <w:t>o</w:t>
      </w:r>
      <w:r w:rsidRPr="00B8188C">
        <w:rPr>
          <w:szCs w:val="24"/>
        </w:rPr>
        <w:t xml:space="preserve">fficer and considered by the Board.  It was determined that none could be argued as unfitting and subject to separation rating.  Additionally </w:t>
      </w:r>
      <w:r>
        <w:rPr>
          <w:szCs w:val="24"/>
        </w:rPr>
        <w:t>posttraumatic stress disorder, bilateral cataracts, and a right knee condition</w:t>
      </w:r>
      <w:r w:rsidRPr="00B8188C">
        <w:rPr>
          <w:szCs w:val="24"/>
        </w:rPr>
        <w:t xml:space="preserve"> were noted in the VA rating decision proximal to separation, but were not documented in the DES file.  The Board does not have the authority under </w:t>
      </w:r>
      <w:proofErr w:type="spellStart"/>
      <w:r w:rsidRPr="00B8188C">
        <w:rPr>
          <w:szCs w:val="24"/>
        </w:rPr>
        <w:t>DoDI</w:t>
      </w:r>
      <w:proofErr w:type="spellEnd"/>
      <w:r w:rsidRPr="00B8188C">
        <w:rPr>
          <w:szCs w:val="24"/>
        </w:rPr>
        <w:t xml:space="preserve"> 6040.44 to render fitness or rating recommendations for any conditions not considered by the DES.</w:t>
      </w:r>
    </w:p>
    <w:p w:rsidR="00A91454" w:rsidRDefault="00A91454" w:rsidP="00A91454">
      <w:pPr>
        <w:pBdr>
          <w:bottom w:val="single" w:sz="12" w:space="1" w:color="auto"/>
        </w:pBdr>
        <w:tabs>
          <w:tab w:val="left" w:pos="288"/>
          <w:tab w:val="left" w:pos="4752"/>
        </w:tabs>
        <w:spacing w:line="240" w:lineRule="exact"/>
        <w:jc w:val="both"/>
        <w:rPr>
          <w:szCs w:val="24"/>
        </w:rPr>
      </w:pPr>
    </w:p>
    <w:p w:rsidR="00A91454" w:rsidRDefault="00A91454" w:rsidP="00A91454">
      <w:pPr>
        <w:tabs>
          <w:tab w:val="left" w:pos="288"/>
          <w:tab w:val="left" w:pos="4752"/>
        </w:tabs>
        <w:spacing w:line="240" w:lineRule="exact"/>
        <w:jc w:val="both"/>
        <w:rPr>
          <w:u w:val="single"/>
        </w:rPr>
      </w:pPr>
    </w:p>
    <w:p w:rsidR="00A91454" w:rsidRPr="004229C0" w:rsidRDefault="00A91454" w:rsidP="00A91454">
      <w:pPr>
        <w:spacing w:line="240" w:lineRule="exact"/>
        <w:jc w:val="both"/>
        <w:rPr>
          <w:szCs w:val="24"/>
        </w:rPr>
      </w:pPr>
      <w:r w:rsidRPr="00542C9A">
        <w:rPr>
          <w:szCs w:val="24"/>
          <w:u w:val="single"/>
        </w:rPr>
        <w:t>BOARD FINDINGS</w:t>
      </w:r>
      <w:r w:rsidRPr="00542C9A">
        <w:rPr>
          <w:szCs w:val="24"/>
        </w:rPr>
        <w:t>:  IAW</w:t>
      </w:r>
      <w:r w:rsidRPr="00AE3316">
        <w:rPr>
          <w:szCs w:val="24"/>
        </w:rPr>
        <w:t xml:space="preserve"> </w:t>
      </w:r>
      <w:proofErr w:type="spellStart"/>
      <w:r w:rsidRPr="00AE3316">
        <w:rPr>
          <w:szCs w:val="24"/>
        </w:rPr>
        <w:t>DoDI</w:t>
      </w:r>
      <w:proofErr w:type="spellEnd"/>
      <w:r w:rsidRPr="00AE3316">
        <w:rPr>
          <w:szCs w:val="24"/>
        </w:rPr>
        <w:t xml:space="preserve"> 6040.44, provisions of </w:t>
      </w:r>
      <w:proofErr w:type="spellStart"/>
      <w:r w:rsidRPr="00AE3316">
        <w:rPr>
          <w:szCs w:val="24"/>
        </w:rPr>
        <w:t>DoD</w:t>
      </w:r>
      <w:proofErr w:type="spellEnd"/>
      <w:r w:rsidRPr="00AE3316">
        <w:rPr>
          <w:szCs w:val="24"/>
        </w:rPr>
        <w:t xml:space="preserve"> or Military Department regulations or guidelines relied upon by the PEB will not be considered by the Board to the extent they were inconsistent with the VASRD in effect at the time of the adjudication</w:t>
      </w:r>
      <w:r>
        <w:rPr>
          <w:szCs w:val="24"/>
        </w:rPr>
        <w:t xml:space="preserve">.  </w:t>
      </w:r>
      <w:r w:rsidRPr="00A764BD">
        <w:rPr>
          <w:szCs w:val="24"/>
        </w:rPr>
        <w:t xml:space="preserve">As discussed above, PEB reliance on the USAPDA pain policy for rating </w:t>
      </w:r>
      <w:r>
        <w:rPr>
          <w:szCs w:val="24"/>
        </w:rPr>
        <w:t>lumbar spine condition</w:t>
      </w:r>
      <w:r w:rsidRPr="00A764BD">
        <w:rPr>
          <w:szCs w:val="24"/>
        </w:rPr>
        <w:t xml:space="preserve"> was operant in this case and the condition was adjudicated independently of that policy by the Board.</w:t>
      </w:r>
      <w:r>
        <w:rPr>
          <w:szCs w:val="24"/>
        </w:rPr>
        <w:t xml:space="preserve">  </w:t>
      </w:r>
      <w:r w:rsidRPr="00AE3316">
        <w:rPr>
          <w:szCs w:val="24"/>
        </w:rPr>
        <w:t xml:space="preserve">In the matter of the </w:t>
      </w:r>
      <w:r>
        <w:rPr>
          <w:szCs w:val="24"/>
        </w:rPr>
        <w:t>low back pain</w:t>
      </w:r>
      <w:r w:rsidRPr="00AE3316">
        <w:rPr>
          <w:szCs w:val="24"/>
        </w:rPr>
        <w:t xml:space="preserve"> condition, the Board </w:t>
      </w:r>
      <w:r w:rsidRPr="00ED16E5">
        <w:rPr>
          <w:szCs w:val="24"/>
        </w:rPr>
        <w:t>unanimously</w:t>
      </w:r>
      <w:r w:rsidRPr="00AE3316">
        <w:rPr>
          <w:szCs w:val="24"/>
        </w:rPr>
        <w:t xml:space="preserve"> recommends a rating of </w:t>
      </w:r>
      <w:r>
        <w:rPr>
          <w:szCs w:val="24"/>
        </w:rPr>
        <w:t>1</w:t>
      </w:r>
      <w:r w:rsidRPr="00AE3316">
        <w:rPr>
          <w:szCs w:val="24"/>
        </w:rPr>
        <w:t xml:space="preserve">0% coded </w:t>
      </w:r>
      <w:r>
        <w:rPr>
          <w:szCs w:val="24"/>
        </w:rPr>
        <w:t>5243</w:t>
      </w:r>
      <w:r w:rsidRPr="00AE3316">
        <w:rPr>
          <w:szCs w:val="24"/>
        </w:rPr>
        <w:t xml:space="preserve"> IAW VASRD §</w:t>
      </w:r>
      <w:r w:rsidRPr="004229C0">
        <w:rPr>
          <w:szCs w:val="24"/>
        </w:rPr>
        <w:t>4.71a</w:t>
      </w:r>
      <w:r w:rsidRPr="00AE3316">
        <w:rPr>
          <w:szCs w:val="24"/>
        </w:rPr>
        <w:t>.</w:t>
      </w:r>
      <w:r>
        <w:rPr>
          <w:szCs w:val="24"/>
        </w:rPr>
        <w:t xml:space="preserve">  </w:t>
      </w:r>
      <w:r w:rsidRPr="00AE3316">
        <w:rPr>
          <w:szCs w:val="24"/>
        </w:rPr>
        <w:t xml:space="preserve">In the matter of the </w:t>
      </w:r>
      <w:proofErr w:type="spellStart"/>
      <w:r>
        <w:rPr>
          <w:szCs w:val="24"/>
        </w:rPr>
        <w:t>glomeruloscerosis</w:t>
      </w:r>
      <w:proofErr w:type="spellEnd"/>
      <w:r>
        <w:rPr>
          <w:szCs w:val="24"/>
        </w:rPr>
        <w:t xml:space="preserve"> and OSA co</w:t>
      </w:r>
      <w:r w:rsidRPr="00AE3316">
        <w:rPr>
          <w:szCs w:val="24"/>
        </w:rPr>
        <w:t>ndition</w:t>
      </w:r>
      <w:r w:rsidRPr="004229C0">
        <w:rPr>
          <w:szCs w:val="24"/>
        </w:rPr>
        <w:t>s</w:t>
      </w:r>
      <w:r w:rsidRPr="00AE3316">
        <w:rPr>
          <w:szCs w:val="24"/>
        </w:rPr>
        <w:t xml:space="preserve">, the Board </w:t>
      </w:r>
      <w:r w:rsidRPr="00C84A49">
        <w:rPr>
          <w:szCs w:val="24"/>
        </w:rPr>
        <w:t>unanimously</w:t>
      </w:r>
      <w:r w:rsidRPr="00AE3316">
        <w:rPr>
          <w:szCs w:val="24"/>
        </w:rPr>
        <w:t xml:space="preserve"> recommends no </w:t>
      </w:r>
      <w:r>
        <w:rPr>
          <w:szCs w:val="24"/>
        </w:rPr>
        <w:t>change from</w:t>
      </w:r>
      <w:r w:rsidRPr="00AE3316">
        <w:rPr>
          <w:szCs w:val="24"/>
        </w:rPr>
        <w:t xml:space="preserve"> the PEB adjudication</w:t>
      </w:r>
      <w:r w:rsidRPr="004229C0">
        <w:rPr>
          <w:szCs w:val="24"/>
        </w:rPr>
        <w:t>s</w:t>
      </w:r>
      <w:r w:rsidRPr="00AE3316">
        <w:rPr>
          <w:szCs w:val="24"/>
        </w:rPr>
        <w:t xml:space="preserve"> as not unfitting.</w:t>
      </w:r>
      <w:r>
        <w:rPr>
          <w:szCs w:val="24"/>
        </w:rPr>
        <w:t xml:space="preserve">  </w:t>
      </w:r>
      <w:r w:rsidRPr="004229C0">
        <w:rPr>
          <w:szCs w:val="24"/>
        </w:rPr>
        <w:t>The Board unanimously agrees that there were no other conditions eligible for Board consideration which could be recommended as additionally unfitting for rating at separation.</w:t>
      </w:r>
      <w:r>
        <w:rPr>
          <w:szCs w:val="24"/>
        </w:rPr>
        <w:t xml:space="preserve"> </w:t>
      </w:r>
    </w:p>
    <w:p w:rsidR="00A91454" w:rsidRDefault="00A91454" w:rsidP="00A91454">
      <w:pPr>
        <w:pBdr>
          <w:bottom w:val="single" w:sz="12" w:space="1" w:color="auto"/>
        </w:pBdr>
        <w:tabs>
          <w:tab w:val="left" w:pos="288"/>
          <w:tab w:val="left" w:pos="4752"/>
        </w:tabs>
        <w:spacing w:line="240" w:lineRule="exact"/>
        <w:jc w:val="both"/>
        <w:rPr>
          <w:szCs w:val="24"/>
        </w:rPr>
      </w:pPr>
    </w:p>
    <w:p w:rsidR="00A91454" w:rsidRPr="00D91DA6" w:rsidRDefault="00A91454" w:rsidP="00A91454">
      <w:pPr>
        <w:tabs>
          <w:tab w:val="left" w:pos="288"/>
          <w:tab w:val="left" w:pos="4752"/>
        </w:tabs>
        <w:spacing w:line="240" w:lineRule="exact"/>
        <w:rPr>
          <w:color w:val="000080"/>
        </w:rPr>
      </w:pPr>
    </w:p>
    <w:p w:rsidR="00A91454" w:rsidRDefault="00A91454" w:rsidP="00A91454">
      <w:pPr>
        <w:tabs>
          <w:tab w:val="left" w:pos="288"/>
          <w:tab w:val="left" w:pos="4752"/>
        </w:tabs>
        <w:spacing w:line="240" w:lineRule="exact"/>
        <w:jc w:val="both"/>
        <w:rPr>
          <w:color w:val="000080"/>
        </w:rPr>
      </w:pPr>
      <w:r w:rsidRPr="00542C9A">
        <w:rPr>
          <w:szCs w:val="24"/>
          <w:u w:val="single"/>
        </w:rPr>
        <w:t>RECOMMENDATION</w:t>
      </w:r>
      <w:r w:rsidRPr="00542C9A">
        <w:rPr>
          <w:szCs w:val="24"/>
        </w:rPr>
        <w:t>:</w:t>
      </w:r>
      <w:r w:rsidRPr="00B95833">
        <w:rPr>
          <w:szCs w:val="24"/>
        </w:rPr>
        <w:t xml:space="preserve"> </w:t>
      </w:r>
      <w:r>
        <w:rPr>
          <w:szCs w:val="24"/>
        </w:rPr>
        <w:t xml:space="preserve"> </w:t>
      </w:r>
      <w:r w:rsidRPr="00B95833">
        <w:rPr>
          <w:szCs w:val="24"/>
        </w:rPr>
        <w:t>The Board recommends that the CI’s prior determination be modified as follows, effective as of the date of his prior medical separation.</w:t>
      </w:r>
    </w:p>
    <w:p w:rsidR="00A91454" w:rsidRPr="004229C0" w:rsidRDefault="00A91454" w:rsidP="00A91454">
      <w:pPr>
        <w:tabs>
          <w:tab w:val="left" w:pos="288"/>
          <w:tab w:val="left" w:pos="4752"/>
        </w:tabs>
        <w:spacing w:line="240" w:lineRule="exact"/>
        <w:jc w:val="both"/>
        <w:rPr>
          <w:color w:val="0000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1454" w:rsidRPr="00AC713F" w:rsidTr="00282C76">
        <w:trPr>
          <w:trHeight w:val="287"/>
          <w:jc w:val="center"/>
        </w:trPr>
        <w:tc>
          <w:tcPr>
            <w:tcW w:w="6480" w:type="dxa"/>
            <w:shd w:val="clear" w:color="auto" w:fill="D9D9D9"/>
          </w:tcPr>
          <w:p w:rsidR="00A91454" w:rsidRPr="00AC713F" w:rsidRDefault="00A91454" w:rsidP="00282C76">
            <w:pPr>
              <w:tabs>
                <w:tab w:val="left" w:pos="288"/>
                <w:tab w:val="left" w:pos="4752"/>
              </w:tabs>
              <w:spacing w:line="240" w:lineRule="exact"/>
              <w:jc w:val="both"/>
              <w:rPr>
                <w:b/>
                <w:szCs w:val="24"/>
              </w:rPr>
            </w:pPr>
            <w:r w:rsidRPr="00AC713F">
              <w:rPr>
                <w:b/>
                <w:szCs w:val="24"/>
              </w:rPr>
              <w:t>UNFITTING CONDITION</w:t>
            </w:r>
          </w:p>
        </w:tc>
        <w:tc>
          <w:tcPr>
            <w:tcW w:w="1710" w:type="dxa"/>
            <w:shd w:val="clear" w:color="auto" w:fill="D9D9D9"/>
          </w:tcPr>
          <w:p w:rsidR="00A91454" w:rsidRPr="00AC713F" w:rsidRDefault="00A91454" w:rsidP="00282C76">
            <w:pPr>
              <w:tabs>
                <w:tab w:val="left" w:pos="288"/>
                <w:tab w:val="left" w:pos="4752"/>
              </w:tabs>
              <w:spacing w:line="240" w:lineRule="exact"/>
              <w:jc w:val="center"/>
              <w:rPr>
                <w:b/>
                <w:szCs w:val="24"/>
              </w:rPr>
            </w:pPr>
            <w:r w:rsidRPr="00AC713F">
              <w:rPr>
                <w:b/>
                <w:szCs w:val="24"/>
              </w:rPr>
              <w:t>VASRD CODE</w:t>
            </w:r>
          </w:p>
        </w:tc>
        <w:tc>
          <w:tcPr>
            <w:tcW w:w="1170" w:type="dxa"/>
            <w:shd w:val="clear" w:color="auto" w:fill="D9D9D9"/>
          </w:tcPr>
          <w:p w:rsidR="00A91454" w:rsidRPr="00AC713F" w:rsidRDefault="00A91454" w:rsidP="00282C76">
            <w:pPr>
              <w:tabs>
                <w:tab w:val="left" w:pos="288"/>
                <w:tab w:val="left" w:pos="4752"/>
              </w:tabs>
              <w:spacing w:line="240" w:lineRule="exact"/>
              <w:jc w:val="center"/>
              <w:rPr>
                <w:b/>
                <w:szCs w:val="24"/>
              </w:rPr>
            </w:pPr>
            <w:r w:rsidRPr="00AC713F">
              <w:rPr>
                <w:b/>
                <w:szCs w:val="24"/>
              </w:rPr>
              <w:t>RATING</w:t>
            </w:r>
          </w:p>
        </w:tc>
      </w:tr>
      <w:tr w:rsidR="00A91454" w:rsidRPr="00AC713F" w:rsidTr="00282C76">
        <w:trPr>
          <w:jc w:val="center"/>
        </w:trPr>
        <w:tc>
          <w:tcPr>
            <w:tcW w:w="6480" w:type="dxa"/>
          </w:tcPr>
          <w:p w:rsidR="00A91454" w:rsidRPr="00AC713F" w:rsidRDefault="00A91454" w:rsidP="00282C76">
            <w:pPr>
              <w:tabs>
                <w:tab w:val="left" w:pos="288"/>
                <w:tab w:val="left" w:pos="4752"/>
              </w:tabs>
              <w:spacing w:line="240" w:lineRule="exact"/>
              <w:jc w:val="both"/>
              <w:rPr>
                <w:szCs w:val="24"/>
              </w:rPr>
            </w:pPr>
            <w:r>
              <w:rPr>
                <w:szCs w:val="24"/>
              </w:rPr>
              <w:t>Low Back Pain</w:t>
            </w:r>
          </w:p>
        </w:tc>
        <w:tc>
          <w:tcPr>
            <w:tcW w:w="1710" w:type="dxa"/>
          </w:tcPr>
          <w:p w:rsidR="00A91454" w:rsidRPr="00AC713F" w:rsidRDefault="00A91454" w:rsidP="00282C76">
            <w:pPr>
              <w:tabs>
                <w:tab w:val="left" w:pos="288"/>
                <w:tab w:val="left" w:pos="4752"/>
              </w:tabs>
              <w:spacing w:line="240" w:lineRule="exact"/>
              <w:jc w:val="center"/>
              <w:rPr>
                <w:szCs w:val="24"/>
              </w:rPr>
            </w:pPr>
            <w:r>
              <w:rPr>
                <w:szCs w:val="24"/>
              </w:rPr>
              <w:t>5243</w:t>
            </w:r>
          </w:p>
        </w:tc>
        <w:tc>
          <w:tcPr>
            <w:tcW w:w="1170" w:type="dxa"/>
          </w:tcPr>
          <w:p w:rsidR="00A91454" w:rsidRPr="00AC713F" w:rsidRDefault="00A91454" w:rsidP="00282C76">
            <w:pPr>
              <w:tabs>
                <w:tab w:val="left" w:pos="288"/>
                <w:tab w:val="left" w:pos="4752"/>
              </w:tabs>
              <w:spacing w:line="240" w:lineRule="exact"/>
              <w:jc w:val="center"/>
              <w:rPr>
                <w:szCs w:val="24"/>
              </w:rPr>
            </w:pPr>
            <w:r>
              <w:rPr>
                <w:szCs w:val="24"/>
              </w:rPr>
              <w:t>1</w:t>
            </w:r>
            <w:r w:rsidRPr="00AC713F">
              <w:rPr>
                <w:szCs w:val="24"/>
              </w:rPr>
              <w:t>0%</w:t>
            </w:r>
          </w:p>
        </w:tc>
      </w:tr>
    </w:tbl>
    <w:p w:rsidR="00A91454" w:rsidRDefault="00A91454" w:rsidP="00A91454">
      <w:pPr>
        <w:pBdr>
          <w:bottom w:val="single" w:sz="12" w:space="1" w:color="auto"/>
        </w:pBdr>
        <w:tabs>
          <w:tab w:val="left" w:pos="288"/>
          <w:tab w:val="left" w:pos="4752"/>
        </w:tabs>
        <w:spacing w:line="240" w:lineRule="exact"/>
        <w:jc w:val="both"/>
        <w:rPr>
          <w:szCs w:val="24"/>
        </w:rPr>
      </w:pPr>
    </w:p>
    <w:p w:rsidR="00A91454" w:rsidRPr="0085089F" w:rsidRDefault="00A91454" w:rsidP="00A91454">
      <w:pPr>
        <w:tabs>
          <w:tab w:val="left" w:pos="288"/>
          <w:tab w:val="left" w:pos="4752"/>
        </w:tabs>
        <w:spacing w:line="240" w:lineRule="exact"/>
        <w:jc w:val="both"/>
      </w:pPr>
    </w:p>
    <w:p w:rsidR="00A91454" w:rsidRPr="0085089F" w:rsidRDefault="00A91454" w:rsidP="00A91454">
      <w:pPr>
        <w:tabs>
          <w:tab w:val="left" w:pos="288"/>
          <w:tab w:val="left" w:pos="4752"/>
        </w:tabs>
        <w:spacing w:line="240" w:lineRule="exact"/>
        <w:jc w:val="both"/>
      </w:pPr>
      <w:r w:rsidRPr="0085089F">
        <w:t>The following documentary evidence was considered:</w:t>
      </w:r>
    </w:p>
    <w:p w:rsidR="00A91454" w:rsidRPr="0085089F" w:rsidRDefault="00A91454" w:rsidP="00A91454">
      <w:pPr>
        <w:tabs>
          <w:tab w:val="left" w:pos="288"/>
          <w:tab w:val="left" w:pos="4752"/>
        </w:tabs>
        <w:spacing w:line="240" w:lineRule="exact"/>
        <w:jc w:val="both"/>
      </w:pPr>
    </w:p>
    <w:p w:rsidR="00A91454" w:rsidRPr="0085089F" w:rsidRDefault="00A91454" w:rsidP="00A91454">
      <w:pPr>
        <w:tabs>
          <w:tab w:val="left" w:pos="288"/>
          <w:tab w:val="left" w:pos="4752"/>
        </w:tabs>
        <w:spacing w:line="240" w:lineRule="exact"/>
        <w:jc w:val="both"/>
      </w:pPr>
      <w:r w:rsidRPr="0085089F">
        <w:t xml:space="preserve">Exhibit A.  DD Form </w:t>
      </w:r>
      <w:proofErr w:type="gramStart"/>
      <w:r w:rsidRPr="0085089F">
        <w:t>294,</w:t>
      </w:r>
      <w:proofErr w:type="gramEnd"/>
      <w:r w:rsidRPr="0085089F">
        <w:t xml:space="preserve"> dated 20</w:t>
      </w:r>
      <w:r>
        <w:t>100126</w:t>
      </w:r>
      <w:r w:rsidRPr="0085089F">
        <w:t>, w/</w:t>
      </w:r>
      <w:proofErr w:type="spellStart"/>
      <w:r w:rsidRPr="0085089F">
        <w:t>atchs</w:t>
      </w:r>
      <w:proofErr w:type="spellEnd"/>
      <w:r w:rsidRPr="0085089F">
        <w:t>.</w:t>
      </w:r>
    </w:p>
    <w:p w:rsidR="00A91454" w:rsidRPr="0085089F" w:rsidRDefault="00A91454" w:rsidP="00A91454">
      <w:pPr>
        <w:tabs>
          <w:tab w:val="left" w:pos="288"/>
          <w:tab w:val="left" w:pos="4752"/>
        </w:tabs>
        <w:spacing w:line="240" w:lineRule="exact"/>
        <w:jc w:val="both"/>
      </w:pPr>
      <w:r w:rsidRPr="0085089F">
        <w:t xml:space="preserve">Exhibit B.  </w:t>
      </w:r>
      <w:proofErr w:type="gramStart"/>
      <w:r w:rsidRPr="0085089F">
        <w:t>Service Treatment Record.</w:t>
      </w:r>
      <w:proofErr w:type="gramEnd"/>
    </w:p>
    <w:p w:rsidR="00A91454" w:rsidRPr="0085089F" w:rsidRDefault="00A91454" w:rsidP="00A91454">
      <w:pPr>
        <w:tabs>
          <w:tab w:val="left" w:pos="288"/>
          <w:tab w:val="left" w:pos="4752"/>
        </w:tabs>
        <w:spacing w:line="240" w:lineRule="exact"/>
        <w:jc w:val="both"/>
      </w:pPr>
      <w:r w:rsidRPr="0085089F">
        <w:t xml:space="preserve">Exhibit C.  </w:t>
      </w:r>
      <w:proofErr w:type="gramStart"/>
      <w:r w:rsidRPr="0085089F">
        <w:t>Department of Veterans' Affairs Treatment Record.</w:t>
      </w:r>
      <w:proofErr w:type="gramEnd"/>
    </w:p>
    <w:p w:rsidR="00A91454" w:rsidRPr="0085089F" w:rsidRDefault="00A91454" w:rsidP="00A91454">
      <w:pPr>
        <w:tabs>
          <w:tab w:val="left" w:pos="288"/>
          <w:tab w:val="left" w:pos="4752"/>
        </w:tabs>
        <w:spacing w:line="240" w:lineRule="exact"/>
        <w:jc w:val="both"/>
      </w:pPr>
    </w:p>
    <w:p w:rsidR="00A91454" w:rsidRPr="0085089F" w:rsidRDefault="00A91454" w:rsidP="00A91454">
      <w:pPr>
        <w:tabs>
          <w:tab w:val="left" w:pos="288"/>
          <w:tab w:val="left" w:pos="4752"/>
        </w:tabs>
        <w:spacing w:line="240" w:lineRule="exact"/>
        <w:jc w:val="both"/>
      </w:pPr>
    </w:p>
    <w:p w:rsidR="00A91454" w:rsidRPr="0085089F" w:rsidRDefault="00A91454" w:rsidP="00A91454">
      <w:pPr>
        <w:tabs>
          <w:tab w:val="left" w:pos="288"/>
          <w:tab w:val="left" w:pos="4752"/>
        </w:tabs>
        <w:spacing w:line="240" w:lineRule="exact"/>
        <w:jc w:val="both"/>
      </w:pPr>
    </w:p>
    <w:p w:rsidR="00A91454" w:rsidRPr="0085089F" w:rsidRDefault="00A91454" w:rsidP="00A91454">
      <w:pPr>
        <w:tabs>
          <w:tab w:val="left" w:pos="288"/>
          <w:tab w:val="left" w:pos="4752"/>
        </w:tabs>
        <w:spacing w:line="240" w:lineRule="exact"/>
        <w:jc w:val="both"/>
      </w:pPr>
    </w:p>
    <w:p w:rsidR="00A91454" w:rsidRPr="0085089F" w:rsidRDefault="00A91454" w:rsidP="00A91454">
      <w:pPr>
        <w:tabs>
          <w:tab w:val="left" w:pos="0"/>
          <w:tab w:val="left" w:pos="4320"/>
        </w:tabs>
        <w:spacing w:line="240" w:lineRule="exact"/>
        <w:jc w:val="both"/>
      </w:pPr>
      <w:r w:rsidRPr="0085089F">
        <w:t xml:space="preserve">                             </w:t>
      </w:r>
      <w:r>
        <w:tab/>
      </w:r>
      <w:r>
        <w:tab/>
        <w:t>XXX</w:t>
      </w:r>
      <w:bookmarkStart w:id="0" w:name="_GoBack"/>
      <w:bookmarkEnd w:id="0"/>
    </w:p>
    <w:p w:rsidR="00A91454" w:rsidRPr="0085089F" w:rsidRDefault="00A91454" w:rsidP="00A91454">
      <w:pPr>
        <w:tabs>
          <w:tab w:val="left" w:pos="0"/>
          <w:tab w:val="left" w:pos="4320"/>
        </w:tabs>
        <w:spacing w:line="240" w:lineRule="exact"/>
        <w:jc w:val="both"/>
      </w:pPr>
      <w:r w:rsidRPr="0085089F">
        <w:t xml:space="preserve">                             </w:t>
      </w:r>
      <w:r>
        <w:tab/>
      </w:r>
      <w:r>
        <w:tab/>
        <w:t>President</w:t>
      </w:r>
    </w:p>
    <w:p w:rsidR="00A91454" w:rsidRPr="0085089F" w:rsidRDefault="00A91454" w:rsidP="00A91454">
      <w:pPr>
        <w:tabs>
          <w:tab w:val="left" w:pos="288"/>
          <w:tab w:val="left" w:pos="4320"/>
          <w:tab w:val="left" w:pos="4410"/>
          <w:tab w:val="left" w:pos="4770"/>
          <w:tab w:val="left" w:pos="4860"/>
          <w:tab w:val="left" w:pos="5040"/>
        </w:tabs>
        <w:spacing w:line="240" w:lineRule="exact"/>
        <w:jc w:val="both"/>
      </w:pPr>
      <w:r w:rsidRPr="0085089F">
        <w:tab/>
        <w:t xml:space="preserve">                           </w:t>
      </w:r>
      <w:r>
        <w:tab/>
      </w:r>
      <w:r>
        <w:tab/>
      </w:r>
      <w:r>
        <w:tab/>
      </w:r>
      <w:r>
        <w:tab/>
      </w:r>
      <w:r>
        <w:tab/>
      </w:r>
      <w:r w:rsidRPr="0085089F">
        <w:t>Physical Disability Board of Review</w:t>
      </w:r>
    </w:p>
    <w:p w:rsidR="00A91454" w:rsidRDefault="00A91454">
      <w:pPr>
        <w:rPr>
          <w:sz w:val="24"/>
          <w:szCs w:val="24"/>
        </w:rPr>
      </w:pPr>
    </w:p>
    <w:p w:rsidR="00A91454" w:rsidRDefault="00A91454">
      <w:pPr>
        <w:rPr>
          <w:sz w:val="24"/>
          <w:szCs w:val="24"/>
        </w:rPr>
      </w:pPr>
      <w:r>
        <w:rPr>
          <w:sz w:val="24"/>
          <w:szCs w:val="24"/>
        </w:rPr>
        <w:br w:type="page"/>
      </w:r>
    </w:p>
    <w:p w:rsidR="0030079B" w:rsidRDefault="0030079B">
      <w:pPr>
        <w:rPr>
          <w:sz w:val="24"/>
          <w:szCs w:val="24"/>
        </w:rPr>
      </w:pPr>
      <w:r w:rsidRPr="0030079B">
        <w:rPr>
          <w:sz w:val="24"/>
          <w:szCs w:val="24"/>
        </w:rPr>
        <w:lastRenderedPageBreak/>
        <w:t xml:space="preserve">SFMR-RB DEPARTMENT OF THE ARMY </w:t>
      </w:r>
      <w:proofErr w:type="spellStart"/>
      <w:r w:rsidRPr="0030079B">
        <w:rPr>
          <w:sz w:val="24"/>
          <w:szCs w:val="24"/>
        </w:rPr>
        <w:t>ARMY</w:t>
      </w:r>
      <w:proofErr w:type="spellEnd"/>
      <w:r w:rsidRPr="0030079B">
        <w:rPr>
          <w:sz w:val="24"/>
          <w:szCs w:val="24"/>
        </w:rPr>
        <w:t xml:space="preserve"> REVIEW BOARDS AGENCY 1901 SOUTH BELL STREET 2ND FLOOR ARLINGTON, VA 22202-4508 </w:t>
      </w:r>
    </w:p>
    <w:p w:rsidR="0030079B" w:rsidRDefault="0030079B">
      <w:pPr>
        <w:rPr>
          <w:sz w:val="24"/>
          <w:szCs w:val="24"/>
        </w:rPr>
      </w:pPr>
      <w:r w:rsidRPr="0030079B">
        <w:rPr>
          <w:sz w:val="24"/>
          <w:szCs w:val="24"/>
        </w:rPr>
        <w:t xml:space="preserve">29 SEP 2011 MEMORANDUM FOR Commander, US Army Physical Disability Agency (TAPD-ZB </w:t>
      </w:r>
      <w:r w:rsidRPr="0030079B">
        <w:rPr>
          <w:i/>
          <w:iCs/>
          <w:sz w:val="24"/>
          <w:szCs w:val="24"/>
        </w:rPr>
        <w:t xml:space="preserve">I </w:t>
      </w:r>
      <w:r w:rsidRPr="0030079B">
        <w:rPr>
          <w:sz w:val="24"/>
          <w:szCs w:val="24"/>
        </w:rPr>
        <w:t xml:space="preserve">WRAMC, Building 7, Washington, D.C. 20307-5001 </w:t>
      </w:r>
    </w:p>
    <w:p w:rsidR="0030079B" w:rsidRDefault="0030079B">
      <w:pPr>
        <w:rPr>
          <w:sz w:val="24"/>
          <w:szCs w:val="24"/>
        </w:rPr>
      </w:pPr>
      <w:r w:rsidRPr="0030079B">
        <w:rPr>
          <w:sz w:val="24"/>
          <w:szCs w:val="24"/>
        </w:rPr>
        <w:t xml:space="preserve">SUBJECT: Department of Defense Physical Disability Board of Review Recommendation for AR20110018892 (PD201000043) </w:t>
      </w:r>
    </w:p>
    <w:p w:rsidR="0030079B" w:rsidRPr="0030079B" w:rsidRDefault="0030079B" w:rsidP="0030079B">
      <w:pPr>
        <w:rPr>
          <w:sz w:val="24"/>
          <w:szCs w:val="24"/>
        </w:rPr>
      </w:pPr>
      <w:r w:rsidRPr="0030079B">
        <w:rPr>
          <w:sz w:val="24"/>
          <w:szCs w:val="24"/>
        </w:rPr>
        <w:t>I have reviewed the enclosed Department of Defense Physical Disability Board of Review (</w:t>
      </w:r>
      <w:proofErr w:type="spellStart"/>
      <w:r w:rsidRPr="0030079B">
        <w:rPr>
          <w:sz w:val="24"/>
          <w:szCs w:val="24"/>
        </w:rPr>
        <w:t>DoD</w:t>
      </w:r>
      <w:proofErr w:type="spellEnd"/>
      <w:r w:rsidRPr="0030079B">
        <w:rPr>
          <w:sz w:val="24"/>
          <w:szCs w:val="24"/>
        </w:rP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rsidRPr="0030079B">
        <w:rPr>
          <w:sz w:val="24"/>
          <w:szCs w:val="24"/>
        </w:rPr>
        <w:t>recharacterization</w:t>
      </w:r>
      <w:proofErr w:type="spellEnd"/>
      <w:r w:rsidRPr="0030079B">
        <w:rPr>
          <w:sz w:val="24"/>
          <w:szCs w:val="24"/>
        </w:rPr>
        <w:t xml:space="preserve"> of the individual's separation. This decision is final. 2. I direct that all the Department of the Army records of the individual concerned be corrected accordingly no later than 120 days from the date of this memorandum. 3. I request that a copy of the corrections and any related correspondence be provided to the individual concerned, counsel (if any), any Members of Congress who have shown interest, and to the Army Review Boards Agency with a copy of this memorandum without enclosures. </w:t>
      </w:r>
    </w:p>
    <w:p w:rsidR="0030079B" w:rsidRPr="0030079B" w:rsidRDefault="0030079B" w:rsidP="0030079B">
      <w:pPr>
        <w:rPr>
          <w:sz w:val="24"/>
          <w:szCs w:val="24"/>
        </w:rPr>
      </w:pPr>
    </w:p>
    <w:p w:rsidR="001206FD" w:rsidRPr="0030079B" w:rsidRDefault="0030079B" w:rsidP="0030079B">
      <w:pPr>
        <w:rPr>
          <w:sz w:val="24"/>
          <w:szCs w:val="24"/>
        </w:rPr>
      </w:pPr>
      <w:r w:rsidRPr="0030079B">
        <w:rPr>
          <w:sz w:val="24"/>
          <w:szCs w:val="24"/>
        </w:rPr>
        <w:t xml:space="preserve">BY ORDER OF THE SECRETARY OF THE ARMY: Encl </w:t>
      </w:r>
      <w:r w:rsidRPr="0030079B">
        <w:rPr>
          <w:rFonts w:ascii="Times New Roman" w:hAnsi="Times New Roman" w:cs="Times New Roman"/>
          <w:sz w:val="24"/>
          <w:szCs w:val="24"/>
        </w:rPr>
        <w:t xml:space="preserve">CF: </w:t>
      </w:r>
      <w:r w:rsidRPr="0030079B">
        <w:rPr>
          <w:sz w:val="24"/>
          <w:szCs w:val="24"/>
        </w:rPr>
        <w:t xml:space="preserve">( ) </w:t>
      </w:r>
      <w:proofErr w:type="spellStart"/>
      <w:proofErr w:type="gramStart"/>
      <w:r w:rsidRPr="0030079B">
        <w:rPr>
          <w:sz w:val="24"/>
          <w:szCs w:val="24"/>
        </w:rPr>
        <w:t>DoD</w:t>
      </w:r>
      <w:proofErr w:type="spellEnd"/>
      <w:proofErr w:type="gramEnd"/>
      <w:r w:rsidRPr="0030079B">
        <w:rPr>
          <w:sz w:val="24"/>
          <w:szCs w:val="24"/>
        </w:rPr>
        <w:t xml:space="preserve"> PDBR ( ) DVA</w:t>
      </w:r>
    </w:p>
    <w:sectPr w:rsidR="001206FD" w:rsidRPr="0030079B" w:rsidSect="00120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83472"/>
    <w:multiLevelType w:val="hybridMultilevel"/>
    <w:tmpl w:val="4190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079B"/>
    <w:rsid w:val="001206FD"/>
    <w:rsid w:val="0030079B"/>
    <w:rsid w:val="00A91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79B"/>
    <w:pPr>
      <w:ind w:left="720"/>
      <w:contextualSpacing/>
    </w:pPr>
  </w:style>
  <w:style w:type="table" w:styleId="TableGrid">
    <w:name w:val="Table Grid"/>
    <w:basedOn w:val="TableNormal"/>
    <w:uiPriority w:val="59"/>
    <w:rsid w:val="00A914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1575</Words>
  <Characters>8981</Characters>
  <Application>Microsoft Office Word</Application>
  <DocSecurity>0</DocSecurity>
  <Lines>74</Lines>
  <Paragraphs>21</Paragraphs>
  <ScaleCrop>false</ScaleCrop>
  <Company>U.S. Air Force</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alicia.dupree</dc:creator>
  <cp:lastModifiedBy>alicia.dupree</cp:lastModifiedBy>
  <cp:revision>2</cp:revision>
  <dcterms:created xsi:type="dcterms:W3CDTF">2012-07-09T15:35:00Z</dcterms:created>
  <dcterms:modified xsi:type="dcterms:W3CDTF">2012-07-09T15:40:00Z</dcterms:modified>
</cp:coreProperties>
</file>