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AE6669" w:rsidRDefault="00540BEF" w:rsidP="00AE6669">
      <w:pPr>
        <w:tabs>
          <w:tab w:val="left" w:pos="288"/>
          <w:tab w:val="left" w:pos="4752"/>
        </w:tabs>
        <w:spacing w:line="240" w:lineRule="exact"/>
        <w:jc w:val="center"/>
        <w:rPr>
          <w:rFonts w:asciiTheme="minorHAnsi" w:hAnsiTheme="minorHAnsi"/>
          <w:color w:val="auto"/>
        </w:rPr>
      </w:pPr>
      <w:r w:rsidRPr="00AE6669">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2B3C31">
      <w:pPr>
        <w:tabs>
          <w:tab w:val="left" w:pos="288"/>
          <w:tab w:val="left" w:pos="5940"/>
        </w:tabs>
        <w:spacing w:line="240" w:lineRule="exact"/>
        <w:jc w:val="both"/>
        <w:rPr>
          <w:rFonts w:asciiTheme="minorHAnsi" w:hAnsiTheme="minorHAnsi"/>
          <w:caps/>
          <w:color w:val="auto"/>
        </w:rPr>
      </w:pPr>
      <w:r w:rsidRPr="00B20624">
        <w:rPr>
          <w:rFonts w:asciiTheme="minorHAnsi" w:hAnsiTheme="minorHAnsi"/>
          <w:caps/>
          <w:color w:val="auto"/>
        </w:rPr>
        <w:t>NAME:</w:t>
      </w:r>
      <w:r w:rsidR="004244B8">
        <w:rPr>
          <w:rFonts w:asciiTheme="minorHAnsi" w:hAnsiTheme="minorHAnsi"/>
          <w:caps/>
          <w:color w:val="auto"/>
        </w:rPr>
        <w:t xml:space="preserve"> </w:t>
      </w:r>
      <w:r w:rsidR="00FD41DF">
        <w:rPr>
          <w:rFonts w:asciiTheme="minorHAnsi" w:hAnsiTheme="minorHAnsi"/>
          <w:caps/>
          <w:color w:val="auto"/>
        </w:rPr>
        <w:t xml:space="preserve"> </w:t>
      </w:r>
      <w:r w:rsidR="002B3C31">
        <w:rPr>
          <w:rFonts w:asciiTheme="minorHAnsi" w:hAnsiTheme="minorHAnsi"/>
          <w:caps/>
          <w:color w:val="auto"/>
        </w:rPr>
        <w:tab/>
      </w:r>
      <w:r w:rsidRPr="00B20624">
        <w:rPr>
          <w:rFonts w:asciiTheme="minorHAnsi" w:hAnsiTheme="minorHAnsi"/>
          <w:caps/>
          <w:color w:val="auto"/>
        </w:rPr>
        <w:t xml:space="preserve">BRANCH OF SERVICE: </w:t>
      </w:r>
      <w:r w:rsidR="00FD41DF">
        <w:rPr>
          <w:rFonts w:asciiTheme="minorHAnsi" w:hAnsiTheme="minorHAnsi"/>
          <w:caps/>
          <w:color w:val="auto"/>
        </w:rPr>
        <w:t xml:space="preserve"> </w:t>
      </w:r>
      <w:r w:rsidR="000E0993" w:rsidRPr="004244B8">
        <w:rPr>
          <w:rFonts w:asciiTheme="minorHAnsi" w:hAnsiTheme="minorHAnsi"/>
          <w:caps/>
          <w:color w:val="auto"/>
        </w:rPr>
        <w:t>ARMY</w:t>
      </w:r>
      <w:r w:rsidR="007E3883" w:rsidRPr="00B20624">
        <w:rPr>
          <w:rFonts w:asciiTheme="minorHAnsi" w:hAnsiTheme="minorHAnsi"/>
          <w:caps/>
          <w:color w:val="auto"/>
        </w:rPr>
        <w:t xml:space="preserve"> </w:t>
      </w:r>
    </w:p>
    <w:p w:rsidR="00540BEF" w:rsidRPr="004244B8" w:rsidRDefault="00540BEF" w:rsidP="002B3C31">
      <w:pPr>
        <w:tabs>
          <w:tab w:val="left" w:pos="288"/>
          <w:tab w:val="left" w:pos="5940"/>
        </w:tabs>
        <w:spacing w:line="240" w:lineRule="exact"/>
        <w:jc w:val="both"/>
        <w:rPr>
          <w:rFonts w:asciiTheme="minorHAnsi" w:hAnsiTheme="minorHAnsi"/>
          <w:caps/>
          <w:color w:val="auto"/>
        </w:rPr>
      </w:pPr>
      <w:r w:rsidRPr="00B20624">
        <w:rPr>
          <w:rFonts w:asciiTheme="minorHAnsi" w:hAnsiTheme="minorHAnsi"/>
          <w:caps/>
          <w:color w:val="auto"/>
        </w:rPr>
        <w:t xml:space="preserve">CASE NUMBER:  </w:t>
      </w:r>
      <w:r w:rsidRPr="004244B8">
        <w:rPr>
          <w:rFonts w:asciiTheme="minorHAnsi" w:hAnsiTheme="minorHAnsi"/>
          <w:caps/>
          <w:color w:val="auto"/>
        </w:rPr>
        <w:t>PD</w:t>
      </w:r>
      <w:r w:rsidR="00D00981" w:rsidRPr="004244B8">
        <w:rPr>
          <w:rFonts w:asciiTheme="minorHAnsi" w:hAnsiTheme="minorHAnsi"/>
          <w:caps/>
          <w:color w:val="auto"/>
        </w:rPr>
        <w:t>10</w:t>
      </w:r>
      <w:r w:rsidRPr="004244B8">
        <w:rPr>
          <w:rFonts w:asciiTheme="minorHAnsi" w:hAnsiTheme="minorHAnsi"/>
          <w:caps/>
          <w:color w:val="auto"/>
        </w:rPr>
        <w:t>00</w:t>
      </w:r>
      <w:r w:rsidR="004244B8" w:rsidRPr="004244B8">
        <w:rPr>
          <w:rFonts w:asciiTheme="minorHAnsi" w:hAnsiTheme="minorHAnsi"/>
          <w:caps/>
          <w:color w:val="auto"/>
        </w:rPr>
        <w:t>037</w:t>
      </w:r>
      <w:r w:rsidR="002B3C31">
        <w:rPr>
          <w:rFonts w:asciiTheme="minorHAnsi" w:hAnsiTheme="minorHAnsi"/>
          <w:caps/>
          <w:color w:val="auto"/>
        </w:rPr>
        <w:tab/>
      </w:r>
      <w:r w:rsidR="00C22F3A" w:rsidRPr="004244B8">
        <w:rPr>
          <w:rFonts w:asciiTheme="minorHAnsi" w:hAnsiTheme="minorHAnsi"/>
          <w:caps/>
          <w:color w:val="auto"/>
        </w:rPr>
        <w:t>SEPARATION DATE</w:t>
      </w:r>
      <w:r w:rsidR="00C22F3A" w:rsidRPr="00412A06">
        <w:rPr>
          <w:rFonts w:asciiTheme="minorHAnsi" w:hAnsiTheme="minorHAnsi"/>
          <w:caps/>
          <w:color w:val="auto"/>
        </w:rPr>
        <w:t xml:space="preserve">: </w:t>
      </w:r>
      <w:r w:rsidR="00FD41DF">
        <w:rPr>
          <w:rFonts w:asciiTheme="minorHAnsi" w:hAnsiTheme="minorHAnsi"/>
          <w:caps/>
          <w:color w:val="auto"/>
        </w:rPr>
        <w:t xml:space="preserve"> </w:t>
      </w:r>
      <w:r w:rsidR="00C22F3A" w:rsidRPr="00412A06">
        <w:rPr>
          <w:rFonts w:asciiTheme="minorHAnsi" w:hAnsiTheme="minorHAnsi"/>
          <w:caps/>
          <w:color w:val="auto"/>
        </w:rPr>
        <w:t>200</w:t>
      </w:r>
      <w:r w:rsidR="00412A06" w:rsidRPr="00412A06">
        <w:rPr>
          <w:rFonts w:asciiTheme="minorHAnsi" w:hAnsiTheme="minorHAnsi"/>
          <w:caps/>
          <w:color w:val="auto"/>
        </w:rPr>
        <w:t>3</w:t>
      </w:r>
      <w:r w:rsidR="004244B8" w:rsidRPr="00412A06">
        <w:rPr>
          <w:rFonts w:asciiTheme="minorHAnsi" w:hAnsiTheme="minorHAnsi"/>
          <w:caps/>
          <w:color w:val="auto"/>
        </w:rPr>
        <w:t>0723</w:t>
      </w:r>
    </w:p>
    <w:p w:rsidR="00540BEF" w:rsidRPr="00EC4A5E" w:rsidRDefault="00540BEF" w:rsidP="002B3C31">
      <w:pPr>
        <w:tabs>
          <w:tab w:val="left" w:pos="288"/>
          <w:tab w:val="left" w:pos="5940"/>
        </w:tabs>
        <w:spacing w:line="240" w:lineRule="exact"/>
        <w:jc w:val="both"/>
        <w:rPr>
          <w:rFonts w:asciiTheme="minorHAnsi" w:hAnsiTheme="minorHAnsi"/>
          <w:caps/>
          <w:color w:val="auto"/>
        </w:rPr>
      </w:pPr>
      <w:r w:rsidRPr="00EC4A5E">
        <w:rPr>
          <w:rFonts w:asciiTheme="minorHAnsi" w:hAnsiTheme="minorHAnsi"/>
          <w:caps/>
          <w:color w:val="auto"/>
        </w:rPr>
        <w:t xml:space="preserve">BOARD DATE: </w:t>
      </w:r>
      <w:r w:rsidR="00FD41DF" w:rsidRPr="00EC4A5E">
        <w:rPr>
          <w:rFonts w:asciiTheme="minorHAnsi" w:hAnsiTheme="minorHAnsi"/>
          <w:caps/>
          <w:color w:val="auto"/>
        </w:rPr>
        <w:t xml:space="preserve"> </w:t>
      </w:r>
      <w:r w:rsidR="000F02BE" w:rsidRPr="00EC4A5E">
        <w:rPr>
          <w:rFonts w:asciiTheme="minorHAnsi" w:hAnsiTheme="minorHAnsi"/>
          <w:caps/>
          <w:color w:val="auto"/>
        </w:rPr>
        <w:t>201</w:t>
      </w:r>
      <w:r w:rsidR="00105FBE" w:rsidRPr="00EC4A5E">
        <w:rPr>
          <w:rFonts w:asciiTheme="minorHAnsi" w:hAnsiTheme="minorHAnsi"/>
          <w:caps/>
          <w:color w:val="auto"/>
        </w:rPr>
        <w:t>1</w:t>
      </w:r>
      <w:r w:rsidR="00EC4A5E">
        <w:rPr>
          <w:rFonts w:asciiTheme="minorHAnsi" w:hAnsiTheme="minorHAnsi"/>
          <w:caps/>
          <w:color w:val="auto"/>
        </w:rPr>
        <w:t>0209</w:t>
      </w:r>
      <w:r w:rsidR="002B3C31" w:rsidRPr="00EC4A5E">
        <w:rPr>
          <w:rFonts w:asciiTheme="minorHAnsi" w:hAnsiTheme="minorHAnsi"/>
          <w:caps/>
          <w:color w:val="auto"/>
        </w:rPr>
        <w:tab/>
      </w:r>
      <w:r w:rsidR="002751C0" w:rsidRPr="00EC4A5E">
        <w:rPr>
          <w:rFonts w:asciiTheme="minorHAnsi" w:hAnsiTheme="minorHAnsi"/>
          <w:caps/>
          <w:color w:val="auto"/>
        </w:rPr>
        <w:t>TDRL</w:t>
      </w:r>
      <w:r w:rsidR="00105FBE" w:rsidRPr="00EC4A5E">
        <w:rPr>
          <w:rFonts w:asciiTheme="minorHAnsi" w:hAnsiTheme="minorHAnsi"/>
          <w:caps/>
          <w:color w:val="auto"/>
        </w:rPr>
        <w:t>:</w:t>
      </w:r>
      <w:r w:rsidR="002751C0" w:rsidRPr="00EC4A5E">
        <w:rPr>
          <w:rFonts w:asciiTheme="minorHAnsi" w:hAnsiTheme="minorHAnsi"/>
          <w:caps/>
          <w:color w:val="auto"/>
        </w:rPr>
        <w:t xml:space="preserve"> </w:t>
      </w:r>
      <w:r w:rsidR="00FD41DF" w:rsidRPr="00EC4A5E">
        <w:rPr>
          <w:rFonts w:asciiTheme="minorHAnsi" w:hAnsiTheme="minorHAnsi"/>
          <w:caps/>
          <w:color w:val="auto"/>
        </w:rPr>
        <w:t xml:space="preserve"> </w:t>
      </w:r>
      <w:r w:rsidR="00412A06" w:rsidRPr="00EC4A5E">
        <w:rPr>
          <w:rFonts w:asciiTheme="minorHAnsi" w:hAnsiTheme="minorHAnsi"/>
          <w:caps/>
          <w:color w:val="auto"/>
        </w:rPr>
        <w:t>19990722</w:t>
      </w:r>
    </w:p>
    <w:p w:rsidR="00C90E4F" w:rsidRDefault="00C90E4F" w:rsidP="00190E48">
      <w:pPr>
        <w:pBdr>
          <w:bottom w:val="single" w:sz="12" w:space="1" w:color="auto"/>
        </w:pBdr>
        <w:tabs>
          <w:tab w:val="left" w:pos="288"/>
          <w:tab w:val="left" w:pos="4752"/>
        </w:tabs>
        <w:spacing w:line="240" w:lineRule="exact"/>
        <w:jc w:val="both"/>
        <w:rPr>
          <w:rFonts w:asciiTheme="minorHAnsi" w:hAnsiTheme="minorHAnsi"/>
          <w:caps/>
          <w:color w:val="auto"/>
        </w:rPr>
      </w:pPr>
    </w:p>
    <w:p w:rsidR="00C90E4F" w:rsidRPr="00D91DA6" w:rsidRDefault="00C90E4F" w:rsidP="00C90E4F">
      <w:pPr>
        <w:tabs>
          <w:tab w:val="left" w:pos="288"/>
          <w:tab w:val="left" w:pos="4752"/>
        </w:tabs>
        <w:spacing w:line="240" w:lineRule="exact"/>
        <w:jc w:val="both"/>
        <w:rPr>
          <w:color w:val="000080"/>
        </w:rPr>
      </w:pPr>
    </w:p>
    <w:p w:rsidR="00B20624" w:rsidRDefault="002C6E5B" w:rsidP="002B3C31">
      <w:pPr>
        <w:pBdr>
          <w:bottom w:val="single" w:sz="12" w:space="1" w:color="auto"/>
        </w:pBdr>
        <w:tabs>
          <w:tab w:val="left" w:pos="288"/>
          <w:tab w:val="left" w:pos="4752"/>
        </w:tabs>
        <w:spacing w:line="240" w:lineRule="exact"/>
        <w:jc w:val="both"/>
        <w:rPr>
          <w:rFonts w:asciiTheme="minorHAnsi" w:hAnsiTheme="minorHAnsi"/>
          <w:color w:val="auto"/>
        </w:rPr>
      </w:pPr>
      <w:r w:rsidRPr="00542C9A">
        <w:rPr>
          <w:rFonts w:ascii="Calibri" w:hAnsi="Calibri"/>
          <w:color w:val="auto"/>
          <w:u w:val="single"/>
        </w:rPr>
        <w:t>SUMMARY OF CASE</w:t>
      </w:r>
      <w:r w:rsidRPr="00542C9A">
        <w:rPr>
          <w:rFonts w:ascii="Calibri" w:hAnsi="Calibri"/>
          <w:color w:val="auto"/>
        </w:rPr>
        <w:t xml:space="preserve">:  </w:t>
      </w:r>
      <w:r w:rsidR="004E51C1" w:rsidRPr="004E51C1">
        <w:rPr>
          <w:rFonts w:asciiTheme="minorHAnsi" w:hAnsiTheme="minorHAnsi"/>
          <w:color w:val="auto"/>
        </w:rPr>
        <w:t>Data extracted from the available evidence of record reflects that this covered individual (CI)</w:t>
      </w:r>
      <w:r w:rsidR="002751C0">
        <w:rPr>
          <w:rFonts w:asciiTheme="minorHAnsi" w:hAnsiTheme="minorHAnsi"/>
          <w:color w:val="auto"/>
        </w:rPr>
        <w:t xml:space="preserve"> </w:t>
      </w:r>
      <w:r w:rsidRPr="004E51C1">
        <w:rPr>
          <w:rFonts w:asciiTheme="minorHAnsi" w:hAnsiTheme="minorHAnsi"/>
          <w:color w:val="auto"/>
          <w:szCs w:val="24"/>
        </w:rPr>
        <w:t xml:space="preserve">was </w:t>
      </w:r>
      <w:r w:rsidR="00E322F7" w:rsidRPr="004E51C1">
        <w:rPr>
          <w:rFonts w:asciiTheme="minorHAnsi" w:hAnsiTheme="minorHAnsi"/>
          <w:color w:val="auto"/>
          <w:szCs w:val="24"/>
        </w:rPr>
        <w:t xml:space="preserve">a </w:t>
      </w:r>
      <w:r w:rsidR="00144482">
        <w:rPr>
          <w:rFonts w:asciiTheme="minorHAnsi" w:hAnsiTheme="minorHAnsi"/>
          <w:color w:val="auto"/>
          <w:szCs w:val="24"/>
        </w:rPr>
        <w:t>R</w:t>
      </w:r>
      <w:r w:rsidR="006D4E0E" w:rsidRPr="004E51C1">
        <w:rPr>
          <w:rFonts w:asciiTheme="minorHAnsi" w:hAnsiTheme="minorHAnsi"/>
          <w:color w:val="auto"/>
          <w:szCs w:val="24"/>
        </w:rPr>
        <w:t xml:space="preserve">eserve </w:t>
      </w:r>
      <w:r w:rsidR="004244B8" w:rsidRPr="004E51C1">
        <w:rPr>
          <w:rFonts w:asciiTheme="minorHAnsi" w:hAnsiTheme="minorHAnsi"/>
          <w:color w:val="auto"/>
          <w:szCs w:val="24"/>
        </w:rPr>
        <w:t xml:space="preserve">SSG </w:t>
      </w:r>
      <w:r w:rsidR="00705C40" w:rsidRPr="004E51C1">
        <w:rPr>
          <w:rFonts w:asciiTheme="minorHAnsi" w:hAnsiTheme="minorHAnsi"/>
          <w:color w:val="auto"/>
          <w:szCs w:val="24"/>
        </w:rPr>
        <w:t>(</w:t>
      </w:r>
      <w:r w:rsidR="004244B8" w:rsidRPr="004E51C1">
        <w:rPr>
          <w:rFonts w:asciiTheme="minorHAnsi" w:hAnsiTheme="minorHAnsi"/>
          <w:color w:val="auto"/>
          <w:szCs w:val="24"/>
        </w:rPr>
        <w:t>54B30</w:t>
      </w:r>
      <w:r w:rsidR="00E322F7" w:rsidRPr="004E51C1">
        <w:rPr>
          <w:rFonts w:asciiTheme="minorHAnsi" w:hAnsiTheme="minorHAnsi"/>
          <w:color w:val="auto"/>
          <w:szCs w:val="24"/>
        </w:rPr>
        <w:t xml:space="preserve">, </w:t>
      </w:r>
      <w:r w:rsidR="004244B8" w:rsidRPr="004E51C1">
        <w:rPr>
          <w:rFonts w:asciiTheme="minorHAnsi" w:hAnsiTheme="minorHAnsi"/>
          <w:color w:val="auto"/>
          <w:szCs w:val="24"/>
        </w:rPr>
        <w:t>Chemical Operations Specialist</w:t>
      </w:r>
      <w:r w:rsidR="00E322F7" w:rsidRPr="004E51C1">
        <w:rPr>
          <w:rFonts w:asciiTheme="minorHAnsi" w:hAnsiTheme="minorHAnsi"/>
          <w:color w:val="auto"/>
          <w:szCs w:val="24"/>
        </w:rPr>
        <w:t xml:space="preserve">) </w:t>
      </w:r>
      <w:r w:rsidRPr="004E51C1">
        <w:rPr>
          <w:rFonts w:asciiTheme="minorHAnsi" w:hAnsiTheme="minorHAnsi"/>
          <w:color w:val="auto"/>
          <w:szCs w:val="24"/>
        </w:rPr>
        <w:t xml:space="preserve">medically separated from the </w:t>
      </w:r>
      <w:r w:rsidR="004244B8" w:rsidRPr="004E51C1">
        <w:rPr>
          <w:rFonts w:asciiTheme="minorHAnsi" w:hAnsiTheme="minorHAnsi"/>
          <w:color w:val="auto"/>
          <w:szCs w:val="24"/>
        </w:rPr>
        <w:t xml:space="preserve">Army </w:t>
      </w:r>
      <w:r w:rsidRPr="004E51C1">
        <w:rPr>
          <w:rFonts w:asciiTheme="minorHAnsi" w:hAnsiTheme="minorHAnsi"/>
          <w:color w:val="auto"/>
          <w:szCs w:val="24"/>
        </w:rPr>
        <w:t>in 200</w:t>
      </w:r>
      <w:r w:rsidR="004244B8" w:rsidRPr="004E51C1">
        <w:rPr>
          <w:rFonts w:asciiTheme="minorHAnsi" w:hAnsiTheme="minorHAnsi"/>
          <w:color w:val="auto"/>
          <w:szCs w:val="24"/>
        </w:rPr>
        <w:t>3</w:t>
      </w:r>
      <w:r w:rsidR="00144482">
        <w:rPr>
          <w:rFonts w:asciiTheme="minorHAnsi" w:hAnsiTheme="minorHAnsi"/>
          <w:color w:val="auto"/>
          <w:szCs w:val="24"/>
        </w:rPr>
        <w:t xml:space="preserve">. </w:t>
      </w:r>
      <w:r w:rsidRPr="00EC4A5E">
        <w:rPr>
          <w:rFonts w:ascii="Calibri" w:hAnsi="Calibri"/>
          <w:color w:val="auto"/>
          <w:szCs w:val="24"/>
        </w:rPr>
        <w:t xml:space="preserve"> The medical basis for the separation was </w:t>
      </w:r>
      <w:r w:rsidR="0036692C" w:rsidRPr="00EC4A5E">
        <w:rPr>
          <w:rFonts w:ascii="Calibri" w:hAnsi="Calibri"/>
          <w:color w:val="auto"/>
          <w:szCs w:val="24"/>
        </w:rPr>
        <w:t xml:space="preserve">Major Depressive Disorder </w:t>
      </w:r>
      <w:r w:rsidR="00F14C6F" w:rsidRPr="00EC4A5E">
        <w:rPr>
          <w:rFonts w:ascii="Calibri" w:hAnsi="Calibri"/>
          <w:color w:val="auto"/>
          <w:szCs w:val="24"/>
        </w:rPr>
        <w:t xml:space="preserve">(MDD) </w:t>
      </w:r>
      <w:r w:rsidR="0036692C" w:rsidRPr="00EC4A5E">
        <w:rPr>
          <w:rFonts w:ascii="Calibri" w:hAnsi="Calibri"/>
          <w:color w:val="auto"/>
          <w:szCs w:val="24"/>
        </w:rPr>
        <w:t xml:space="preserve">and </w:t>
      </w:r>
      <w:r w:rsidR="00144482">
        <w:rPr>
          <w:rFonts w:ascii="Calibri" w:hAnsi="Calibri"/>
          <w:color w:val="auto"/>
          <w:szCs w:val="24"/>
        </w:rPr>
        <w:t>c</w:t>
      </w:r>
      <w:r w:rsidR="0036692C" w:rsidRPr="00EC4A5E">
        <w:rPr>
          <w:rFonts w:ascii="Calibri" w:hAnsi="Calibri"/>
          <w:color w:val="auto"/>
          <w:szCs w:val="24"/>
        </w:rPr>
        <w:t xml:space="preserve">hronic </w:t>
      </w:r>
      <w:r w:rsidR="00144482">
        <w:rPr>
          <w:rFonts w:ascii="Calibri" w:hAnsi="Calibri"/>
          <w:color w:val="auto"/>
          <w:szCs w:val="24"/>
        </w:rPr>
        <w:t>l</w:t>
      </w:r>
      <w:r w:rsidR="0036692C" w:rsidRPr="00EC4A5E">
        <w:rPr>
          <w:rFonts w:ascii="Calibri" w:hAnsi="Calibri"/>
          <w:color w:val="auto"/>
          <w:szCs w:val="24"/>
        </w:rPr>
        <w:t xml:space="preserve">ow </w:t>
      </w:r>
      <w:r w:rsidR="00144482">
        <w:rPr>
          <w:rFonts w:ascii="Calibri" w:hAnsi="Calibri"/>
          <w:color w:val="auto"/>
          <w:szCs w:val="24"/>
        </w:rPr>
        <w:t>b</w:t>
      </w:r>
      <w:r w:rsidR="0036692C" w:rsidRPr="00EC4A5E">
        <w:rPr>
          <w:rFonts w:ascii="Calibri" w:hAnsi="Calibri"/>
          <w:color w:val="auto"/>
          <w:szCs w:val="24"/>
        </w:rPr>
        <w:t xml:space="preserve">ack </w:t>
      </w:r>
      <w:r w:rsidR="00144482">
        <w:rPr>
          <w:rFonts w:ascii="Calibri" w:hAnsi="Calibri"/>
          <w:color w:val="auto"/>
          <w:szCs w:val="24"/>
        </w:rPr>
        <w:t>p</w:t>
      </w:r>
      <w:r w:rsidR="0036692C" w:rsidRPr="00EC4A5E">
        <w:rPr>
          <w:rFonts w:ascii="Calibri" w:hAnsi="Calibri"/>
          <w:color w:val="auto"/>
          <w:szCs w:val="24"/>
        </w:rPr>
        <w:t xml:space="preserve">ain. </w:t>
      </w:r>
      <w:r w:rsidR="00B918A1" w:rsidRPr="00EC4A5E">
        <w:rPr>
          <w:rFonts w:ascii="Calibri" w:hAnsi="Calibri"/>
          <w:color w:val="auto"/>
          <w:szCs w:val="24"/>
        </w:rPr>
        <w:t xml:space="preserve"> </w:t>
      </w:r>
      <w:r w:rsidR="00F14C6F" w:rsidRPr="00EC4A5E">
        <w:rPr>
          <w:rFonts w:ascii="Calibri" w:hAnsi="Calibri"/>
          <w:color w:val="auto"/>
          <w:szCs w:val="24"/>
        </w:rPr>
        <w:t xml:space="preserve">He did not respond adequately to perform within his military occupational specialty or participate in </w:t>
      </w:r>
      <w:r w:rsidR="004E51C1" w:rsidRPr="00EC4A5E">
        <w:rPr>
          <w:rFonts w:ascii="Calibri" w:hAnsi="Calibri"/>
          <w:color w:val="auto"/>
          <w:szCs w:val="24"/>
        </w:rPr>
        <w:t>a physical</w:t>
      </w:r>
      <w:r w:rsidR="00F14C6F" w:rsidRPr="00EC4A5E">
        <w:rPr>
          <w:rFonts w:ascii="Calibri" w:hAnsi="Calibri"/>
          <w:color w:val="auto"/>
          <w:szCs w:val="24"/>
        </w:rPr>
        <w:t xml:space="preserve"> fitness test</w:t>
      </w:r>
      <w:r w:rsidR="00B918A1" w:rsidRPr="00EC4A5E">
        <w:rPr>
          <w:rFonts w:ascii="Calibri" w:hAnsi="Calibri"/>
          <w:color w:val="auto"/>
          <w:szCs w:val="24"/>
        </w:rPr>
        <w:t>.  He</w:t>
      </w:r>
      <w:r w:rsidR="00F14C6F" w:rsidRPr="00EC4A5E">
        <w:rPr>
          <w:rFonts w:ascii="Calibri" w:hAnsi="Calibri"/>
          <w:color w:val="auto"/>
          <w:szCs w:val="24"/>
        </w:rPr>
        <w:t xml:space="preserve"> was issued a permanent P-3, U-3, L-3, S-4 profile and underwent a Medical Evaluation Board (MEB). </w:t>
      </w:r>
      <w:r w:rsidR="00B918A1" w:rsidRPr="00EC4A5E">
        <w:rPr>
          <w:rFonts w:ascii="Calibri" w:hAnsi="Calibri"/>
          <w:color w:val="auto"/>
          <w:szCs w:val="24"/>
        </w:rPr>
        <w:t xml:space="preserve"> </w:t>
      </w:r>
      <w:r w:rsidR="00F14C6F" w:rsidRPr="00EC4A5E">
        <w:rPr>
          <w:rFonts w:ascii="Calibri" w:hAnsi="Calibri"/>
          <w:color w:val="auto"/>
          <w:szCs w:val="24"/>
        </w:rPr>
        <w:t xml:space="preserve">MDD and </w:t>
      </w:r>
      <w:r w:rsidR="00144482">
        <w:rPr>
          <w:rFonts w:ascii="Calibri" w:hAnsi="Calibri"/>
          <w:color w:val="auto"/>
          <w:szCs w:val="24"/>
        </w:rPr>
        <w:t>c</w:t>
      </w:r>
      <w:r w:rsidR="00F14C6F" w:rsidRPr="00EC4A5E">
        <w:rPr>
          <w:rFonts w:ascii="Calibri" w:hAnsi="Calibri"/>
          <w:color w:val="auto"/>
          <w:szCs w:val="24"/>
        </w:rPr>
        <w:t>hronic</w:t>
      </w:r>
      <w:r w:rsidR="00144482">
        <w:rPr>
          <w:rFonts w:ascii="Calibri" w:hAnsi="Calibri"/>
          <w:color w:val="auto"/>
          <w:szCs w:val="24"/>
        </w:rPr>
        <w:t xml:space="preserve"> low back pain</w:t>
      </w:r>
      <w:r w:rsidR="00F14C6F" w:rsidRPr="00EC4A5E">
        <w:rPr>
          <w:rFonts w:ascii="Calibri" w:hAnsi="Calibri"/>
          <w:color w:val="auto"/>
          <w:szCs w:val="24"/>
        </w:rPr>
        <w:t xml:space="preserve"> </w:t>
      </w:r>
      <w:r w:rsidR="002C069A" w:rsidRPr="00EC4A5E">
        <w:rPr>
          <w:rFonts w:ascii="Calibri" w:hAnsi="Calibri"/>
          <w:color w:val="auto"/>
          <w:szCs w:val="24"/>
        </w:rPr>
        <w:t xml:space="preserve">as well as </w:t>
      </w:r>
      <w:r w:rsidR="00144482">
        <w:rPr>
          <w:rFonts w:ascii="Calibri" w:hAnsi="Calibri"/>
          <w:color w:val="auto"/>
          <w:szCs w:val="24"/>
        </w:rPr>
        <w:t>c</w:t>
      </w:r>
      <w:r w:rsidR="002C069A" w:rsidRPr="00EC4A5E">
        <w:rPr>
          <w:rFonts w:ascii="Calibri" w:hAnsi="Calibri"/>
          <w:color w:val="auto"/>
          <w:szCs w:val="24"/>
        </w:rPr>
        <w:t xml:space="preserve">ervical </w:t>
      </w:r>
      <w:r w:rsidR="00144482">
        <w:rPr>
          <w:rFonts w:ascii="Calibri" w:hAnsi="Calibri"/>
          <w:color w:val="auto"/>
          <w:szCs w:val="24"/>
        </w:rPr>
        <w:t>p</w:t>
      </w:r>
      <w:r w:rsidR="002C069A" w:rsidRPr="00EC4A5E">
        <w:rPr>
          <w:rFonts w:ascii="Calibri" w:hAnsi="Calibri"/>
          <w:color w:val="auto"/>
          <w:szCs w:val="24"/>
        </w:rPr>
        <w:t xml:space="preserve">ain </w:t>
      </w:r>
      <w:r w:rsidR="00F14C6F" w:rsidRPr="00EC4A5E">
        <w:rPr>
          <w:rFonts w:ascii="Calibri" w:hAnsi="Calibri"/>
          <w:color w:val="auto"/>
          <w:szCs w:val="24"/>
        </w:rPr>
        <w:t xml:space="preserve">were addressed in the narrative summary (NARSUM) and forwarded to the Physical Evaluation Board (PEB) on the </w:t>
      </w:r>
      <w:r w:rsidR="00693A3C" w:rsidRPr="00EC4A5E">
        <w:rPr>
          <w:rFonts w:ascii="Calibri" w:hAnsi="Calibri"/>
          <w:color w:val="auto"/>
          <w:szCs w:val="24"/>
        </w:rPr>
        <w:t xml:space="preserve">MEB </w:t>
      </w:r>
      <w:r w:rsidR="00F14C6F" w:rsidRPr="00EC4A5E">
        <w:rPr>
          <w:rFonts w:ascii="Calibri" w:hAnsi="Calibri"/>
          <w:color w:val="auto"/>
          <w:szCs w:val="24"/>
        </w:rPr>
        <w:t>NAVMED 6100/1 as medically unacceptable.  He was place</w:t>
      </w:r>
      <w:r w:rsidR="00144482">
        <w:rPr>
          <w:rFonts w:ascii="Calibri" w:hAnsi="Calibri"/>
          <w:color w:val="auto"/>
          <w:szCs w:val="24"/>
        </w:rPr>
        <w:t>d</w:t>
      </w:r>
      <w:r w:rsidR="00F14C6F" w:rsidRPr="00EC4A5E">
        <w:rPr>
          <w:rFonts w:ascii="Calibri" w:hAnsi="Calibri"/>
          <w:color w:val="auto"/>
          <w:szCs w:val="24"/>
        </w:rPr>
        <w:t xml:space="preserve"> on </w:t>
      </w:r>
      <w:r w:rsidR="00144482">
        <w:rPr>
          <w:rFonts w:ascii="Calibri" w:hAnsi="Calibri"/>
          <w:color w:val="auto"/>
          <w:szCs w:val="24"/>
        </w:rPr>
        <w:t>the Temporary Disability Retired List (</w:t>
      </w:r>
      <w:r w:rsidR="00F14C6F" w:rsidRPr="00EC4A5E">
        <w:rPr>
          <w:rFonts w:ascii="Calibri" w:hAnsi="Calibri"/>
          <w:color w:val="auto"/>
          <w:szCs w:val="24"/>
        </w:rPr>
        <w:t>TDRL</w:t>
      </w:r>
      <w:r w:rsidR="00144482">
        <w:rPr>
          <w:rFonts w:ascii="Calibri" w:hAnsi="Calibri"/>
          <w:color w:val="auto"/>
          <w:szCs w:val="24"/>
        </w:rPr>
        <w:t>)</w:t>
      </w:r>
      <w:r w:rsidR="00F14C6F" w:rsidRPr="00EC4A5E">
        <w:rPr>
          <w:rFonts w:ascii="Calibri" w:hAnsi="Calibri"/>
          <w:color w:val="auto"/>
          <w:szCs w:val="24"/>
        </w:rPr>
        <w:t xml:space="preserve"> in 1999 with a 50% rating (30% for MDD and 20% for </w:t>
      </w:r>
      <w:r w:rsidR="00144482">
        <w:rPr>
          <w:rFonts w:ascii="Calibri" w:hAnsi="Calibri"/>
          <w:color w:val="auto"/>
          <w:szCs w:val="24"/>
        </w:rPr>
        <w:t>c</w:t>
      </w:r>
      <w:r w:rsidR="00F14C6F" w:rsidRPr="00EC4A5E">
        <w:rPr>
          <w:rFonts w:ascii="Calibri" w:hAnsi="Calibri"/>
          <w:color w:val="auto"/>
          <w:szCs w:val="24"/>
        </w:rPr>
        <w:t xml:space="preserve">ervical and </w:t>
      </w:r>
      <w:r w:rsidR="00144482">
        <w:rPr>
          <w:rFonts w:ascii="Calibri" w:hAnsi="Calibri"/>
          <w:color w:val="auto"/>
          <w:szCs w:val="24"/>
        </w:rPr>
        <w:t>low back pain</w:t>
      </w:r>
      <w:r w:rsidR="00F14C6F" w:rsidRPr="00EC4A5E">
        <w:rPr>
          <w:rFonts w:ascii="Calibri" w:hAnsi="Calibri"/>
          <w:color w:val="auto"/>
          <w:szCs w:val="24"/>
        </w:rPr>
        <w:t xml:space="preserve">).  </w:t>
      </w:r>
      <w:r w:rsidR="00C54F13" w:rsidRPr="00EC4A5E">
        <w:rPr>
          <w:rFonts w:ascii="Calibri" w:hAnsi="Calibri"/>
          <w:color w:val="auto"/>
          <w:szCs w:val="24"/>
        </w:rPr>
        <w:t xml:space="preserve">No other conditions appeared on the MEB’s submission.  Other conditions included in the NARSUM and </w:t>
      </w:r>
      <w:r w:rsidR="00144482">
        <w:rPr>
          <w:rFonts w:ascii="Calibri" w:hAnsi="Calibri"/>
          <w:color w:val="auto"/>
          <w:szCs w:val="24"/>
        </w:rPr>
        <w:t>Disability Evaluation System (</w:t>
      </w:r>
      <w:r w:rsidR="00C54F13" w:rsidRPr="00EC4A5E">
        <w:rPr>
          <w:rFonts w:ascii="Calibri" w:hAnsi="Calibri"/>
          <w:color w:val="auto"/>
          <w:szCs w:val="24"/>
        </w:rPr>
        <w:t>DES</w:t>
      </w:r>
      <w:r w:rsidR="00144482">
        <w:rPr>
          <w:rFonts w:ascii="Calibri" w:hAnsi="Calibri"/>
          <w:color w:val="auto"/>
          <w:szCs w:val="24"/>
        </w:rPr>
        <w:t>)</w:t>
      </w:r>
      <w:r w:rsidR="00C54F13" w:rsidRPr="00EC4A5E">
        <w:rPr>
          <w:rFonts w:ascii="Calibri" w:hAnsi="Calibri"/>
          <w:color w:val="auto"/>
          <w:szCs w:val="24"/>
        </w:rPr>
        <w:t xml:space="preserve"> packet will be discussed below.  The CI </w:t>
      </w:r>
      <w:r w:rsidR="00F14C6F" w:rsidRPr="00EC4A5E">
        <w:rPr>
          <w:rFonts w:ascii="Calibri" w:hAnsi="Calibri"/>
          <w:color w:val="auto"/>
          <w:szCs w:val="24"/>
        </w:rPr>
        <w:t xml:space="preserve">was re-evaluated in 2000 and the PEB found that his </w:t>
      </w:r>
      <w:r w:rsidR="00144482">
        <w:rPr>
          <w:rFonts w:ascii="Calibri" w:hAnsi="Calibri"/>
          <w:color w:val="auto"/>
          <w:szCs w:val="24"/>
        </w:rPr>
        <w:t>c</w:t>
      </w:r>
      <w:r w:rsidR="00F14C6F" w:rsidRPr="00EC4A5E">
        <w:rPr>
          <w:rFonts w:ascii="Calibri" w:hAnsi="Calibri"/>
          <w:color w:val="auto"/>
          <w:szCs w:val="24"/>
        </w:rPr>
        <w:t xml:space="preserve">ervical </w:t>
      </w:r>
      <w:r w:rsidR="00144482">
        <w:rPr>
          <w:rFonts w:ascii="Calibri" w:hAnsi="Calibri"/>
          <w:color w:val="auto"/>
          <w:szCs w:val="24"/>
        </w:rPr>
        <w:t>p</w:t>
      </w:r>
      <w:r w:rsidR="00F14C6F" w:rsidRPr="00EC4A5E">
        <w:rPr>
          <w:rFonts w:ascii="Calibri" w:hAnsi="Calibri"/>
          <w:color w:val="auto"/>
          <w:szCs w:val="24"/>
        </w:rPr>
        <w:t xml:space="preserve">ain was resolved and </w:t>
      </w:r>
      <w:r w:rsidR="002C069A" w:rsidRPr="00EC4A5E">
        <w:rPr>
          <w:rFonts w:ascii="Calibri" w:hAnsi="Calibri"/>
          <w:color w:val="auto"/>
          <w:szCs w:val="24"/>
        </w:rPr>
        <w:t>no longer</w:t>
      </w:r>
      <w:r w:rsidR="00F14C6F" w:rsidRPr="00EC4A5E">
        <w:rPr>
          <w:rFonts w:ascii="Calibri" w:hAnsi="Calibri"/>
          <w:color w:val="auto"/>
          <w:szCs w:val="24"/>
        </w:rPr>
        <w:t xml:space="preserve"> unfitting</w:t>
      </w:r>
      <w:r w:rsidR="002C069A" w:rsidRPr="00EC4A5E">
        <w:rPr>
          <w:rFonts w:ascii="Calibri" w:hAnsi="Calibri"/>
          <w:color w:val="auto"/>
          <w:szCs w:val="24"/>
        </w:rPr>
        <w:t xml:space="preserve">.  </w:t>
      </w:r>
      <w:r w:rsidR="00F14C6F" w:rsidRPr="00EC4A5E">
        <w:rPr>
          <w:rFonts w:ascii="Calibri" w:hAnsi="Calibri"/>
          <w:color w:val="auto"/>
          <w:szCs w:val="24"/>
        </w:rPr>
        <w:t>He was re-evaluated again in 2002</w:t>
      </w:r>
      <w:r w:rsidR="002C069A" w:rsidRPr="00EC4A5E">
        <w:rPr>
          <w:rFonts w:ascii="Calibri" w:hAnsi="Calibri"/>
          <w:color w:val="auto"/>
          <w:szCs w:val="24"/>
        </w:rPr>
        <w:t xml:space="preserve"> and kept on TDRL status</w:t>
      </w:r>
      <w:r w:rsidR="00C54F13" w:rsidRPr="00EC4A5E">
        <w:rPr>
          <w:rFonts w:ascii="Calibri" w:hAnsi="Calibri"/>
          <w:color w:val="auto"/>
          <w:szCs w:val="24"/>
        </w:rPr>
        <w:t>, with a final re-evaluation in 2003</w:t>
      </w:r>
      <w:r w:rsidR="002C069A" w:rsidRPr="00EC4A5E">
        <w:rPr>
          <w:rFonts w:ascii="Calibri" w:hAnsi="Calibri"/>
          <w:color w:val="auto"/>
          <w:szCs w:val="24"/>
        </w:rPr>
        <w:t xml:space="preserve">.  </w:t>
      </w:r>
      <w:r w:rsidR="00C54F13" w:rsidRPr="00EC4A5E">
        <w:rPr>
          <w:rFonts w:ascii="Calibri" w:hAnsi="Calibri"/>
          <w:color w:val="auto"/>
          <w:szCs w:val="24"/>
        </w:rPr>
        <w:t>The PEB</w:t>
      </w:r>
      <w:r w:rsidR="00F14C6F" w:rsidRPr="00EC4A5E">
        <w:rPr>
          <w:rFonts w:ascii="Calibri" w:hAnsi="Calibri"/>
          <w:color w:val="auto"/>
          <w:szCs w:val="24"/>
        </w:rPr>
        <w:t xml:space="preserve"> </w:t>
      </w:r>
      <w:r w:rsidR="00C54F13" w:rsidRPr="00EC4A5E">
        <w:rPr>
          <w:rFonts w:ascii="Calibri" w:hAnsi="Calibri"/>
          <w:color w:val="auto"/>
          <w:szCs w:val="24"/>
        </w:rPr>
        <w:t xml:space="preserve">adjudicated the MDD as unfitting at 10% and the </w:t>
      </w:r>
      <w:r w:rsidR="00144482">
        <w:rPr>
          <w:rFonts w:ascii="Calibri" w:hAnsi="Calibri"/>
          <w:color w:val="auto"/>
          <w:szCs w:val="24"/>
        </w:rPr>
        <w:t>lower back pain as</w:t>
      </w:r>
      <w:r w:rsidR="00C54F13" w:rsidRPr="00EC4A5E">
        <w:rPr>
          <w:rFonts w:ascii="Calibri" w:hAnsi="Calibri"/>
          <w:color w:val="auto"/>
          <w:szCs w:val="24"/>
        </w:rPr>
        <w:t xml:space="preserve"> unfitting at 10%</w:t>
      </w:r>
      <w:r w:rsidR="00B449EA">
        <w:rPr>
          <w:rFonts w:ascii="Calibri" w:hAnsi="Calibri"/>
          <w:color w:val="auto"/>
          <w:szCs w:val="24"/>
        </w:rPr>
        <w:t>,</w:t>
      </w:r>
      <w:r w:rsidR="00C54F13" w:rsidRPr="00EC4A5E">
        <w:rPr>
          <w:rFonts w:ascii="Calibri" w:hAnsi="Calibri"/>
          <w:color w:val="auto"/>
          <w:szCs w:val="24"/>
        </w:rPr>
        <w:t xml:space="preserve"> with application of </w:t>
      </w:r>
      <w:proofErr w:type="spellStart"/>
      <w:r w:rsidR="00C54F13" w:rsidRPr="00EC4A5E">
        <w:rPr>
          <w:rFonts w:ascii="Calibri" w:hAnsi="Calibri"/>
          <w:color w:val="auto"/>
          <w:szCs w:val="24"/>
        </w:rPr>
        <w:t>DoDI</w:t>
      </w:r>
      <w:proofErr w:type="spellEnd"/>
      <w:r w:rsidR="00C54F13" w:rsidRPr="00EC4A5E">
        <w:rPr>
          <w:rFonts w:ascii="Calibri" w:hAnsi="Calibri"/>
          <w:color w:val="auto"/>
          <w:szCs w:val="24"/>
        </w:rPr>
        <w:t xml:space="preserve"> 1332.39 </w:t>
      </w:r>
      <w:r w:rsidR="00E500BF" w:rsidRPr="00EC4A5E">
        <w:rPr>
          <w:rFonts w:ascii="Calibri" w:hAnsi="Calibri"/>
          <w:color w:val="auto"/>
          <w:szCs w:val="24"/>
        </w:rPr>
        <w:t>for both conditions</w:t>
      </w:r>
      <w:r w:rsidR="00C54F13" w:rsidRPr="00EC4A5E">
        <w:rPr>
          <w:rFonts w:ascii="Calibri" w:hAnsi="Calibri"/>
          <w:color w:val="auto"/>
          <w:szCs w:val="24"/>
        </w:rPr>
        <w:t xml:space="preserve">.  </w:t>
      </w:r>
      <w:r w:rsidR="00B20624" w:rsidRPr="00EC4A5E">
        <w:rPr>
          <w:rFonts w:asciiTheme="minorHAnsi" w:hAnsiTheme="minorHAnsi"/>
          <w:color w:val="auto"/>
        </w:rPr>
        <w:t xml:space="preserve">The CI </w:t>
      </w:r>
      <w:r w:rsidR="00190E48" w:rsidRPr="00EC4A5E">
        <w:rPr>
          <w:rFonts w:asciiTheme="minorHAnsi" w:hAnsiTheme="minorHAnsi"/>
          <w:color w:val="auto"/>
        </w:rPr>
        <w:t xml:space="preserve">made no appeals </w:t>
      </w:r>
      <w:r w:rsidR="00B20624" w:rsidRPr="00EC4A5E">
        <w:rPr>
          <w:rFonts w:asciiTheme="minorHAnsi" w:hAnsiTheme="minorHAnsi"/>
          <w:color w:val="auto"/>
        </w:rPr>
        <w:t>and</w:t>
      </w:r>
      <w:r w:rsidR="00C90E4F" w:rsidRPr="00EC4A5E">
        <w:rPr>
          <w:rFonts w:asciiTheme="minorHAnsi" w:hAnsiTheme="minorHAnsi"/>
          <w:color w:val="auto"/>
        </w:rPr>
        <w:t xml:space="preserve"> </w:t>
      </w:r>
      <w:r w:rsidR="00B20624" w:rsidRPr="00EC4A5E">
        <w:rPr>
          <w:rFonts w:asciiTheme="minorHAnsi" w:hAnsiTheme="minorHAnsi"/>
          <w:color w:val="auto"/>
        </w:rPr>
        <w:t xml:space="preserve">was medically separated with a </w:t>
      </w:r>
      <w:r w:rsidR="00F14C6F" w:rsidRPr="00EC4A5E">
        <w:rPr>
          <w:rFonts w:asciiTheme="minorHAnsi" w:hAnsiTheme="minorHAnsi"/>
          <w:color w:val="auto"/>
        </w:rPr>
        <w:t>20</w:t>
      </w:r>
      <w:r w:rsidR="00B20624" w:rsidRPr="00EC4A5E">
        <w:rPr>
          <w:rFonts w:asciiTheme="minorHAnsi" w:hAnsiTheme="minorHAnsi"/>
          <w:color w:val="auto"/>
        </w:rPr>
        <w:t>% combined</w:t>
      </w:r>
      <w:r w:rsidR="00B20624" w:rsidRPr="00F14C6F">
        <w:rPr>
          <w:rFonts w:asciiTheme="minorHAnsi" w:hAnsiTheme="minorHAnsi"/>
          <w:color w:val="auto"/>
        </w:rPr>
        <w:t xml:space="preserve"> disability rating.</w:t>
      </w:r>
      <w:r w:rsidR="00B20624" w:rsidRPr="00861D5C">
        <w:rPr>
          <w:rFonts w:asciiTheme="minorHAnsi" w:hAnsiTheme="minorHAnsi"/>
          <w:color w:val="auto"/>
        </w:rPr>
        <w:t xml:space="preserve">  </w:t>
      </w:r>
    </w:p>
    <w:p w:rsidR="00C90E4F" w:rsidRPr="00AE3316" w:rsidRDefault="00C90E4F" w:rsidP="002B3C31">
      <w:pPr>
        <w:pBdr>
          <w:bottom w:val="single" w:sz="12" w:space="1" w:color="auto"/>
        </w:pBdr>
        <w:tabs>
          <w:tab w:val="left" w:pos="288"/>
          <w:tab w:val="left" w:pos="4752"/>
        </w:tabs>
        <w:spacing w:line="240" w:lineRule="exact"/>
        <w:jc w:val="both"/>
        <w:rPr>
          <w:rFonts w:ascii="Calibri" w:hAnsi="Calibri"/>
          <w:color w:val="auto"/>
          <w:szCs w:val="24"/>
        </w:rPr>
      </w:pPr>
    </w:p>
    <w:p w:rsidR="00C90E4F" w:rsidRPr="00AC713F" w:rsidRDefault="00C90E4F" w:rsidP="002B3C31">
      <w:pPr>
        <w:tabs>
          <w:tab w:val="left" w:pos="288"/>
          <w:tab w:val="left" w:pos="4752"/>
        </w:tabs>
        <w:spacing w:line="240" w:lineRule="exact"/>
        <w:jc w:val="both"/>
        <w:rPr>
          <w:rFonts w:asciiTheme="minorHAnsi" w:hAnsiTheme="minorHAnsi"/>
          <w:color w:val="auto"/>
          <w:u w:val="single"/>
        </w:rPr>
      </w:pPr>
    </w:p>
    <w:p w:rsidR="00691E61" w:rsidRPr="00105FBE" w:rsidRDefault="002C6E5B" w:rsidP="002B3C31">
      <w:pPr>
        <w:pStyle w:val="Default"/>
        <w:spacing w:line="240" w:lineRule="exact"/>
        <w:jc w:val="both"/>
        <w:rPr>
          <w:color w:val="auto"/>
        </w:rPr>
      </w:pPr>
      <w:r w:rsidRPr="00EC4A5E">
        <w:rPr>
          <w:color w:val="auto"/>
          <w:u w:val="single"/>
        </w:rPr>
        <w:t>CI CONTENTION</w:t>
      </w:r>
      <w:r w:rsidRPr="00EC4A5E">
        <w:rPr>
          <w:color w:val="auto"/>
        </w:rPr>
        <w:t>:</w:t>
      </w:r>
      <w:r w:rsidRPr="00EC4A5E">
        <w:rPr>
          <w:color w:val="000080"/>
        </w:rPr>
        <w:t xml:space="preserve">  </w:t>
      </w:r>
      <w:r w:rsidRPr="00EC4A5E">
        <w:rPr>
          <w:color w:val="auto"/>
        </w:rPr>
        <w:t>The CI states:</w:t>
      </w:r>
      <w:r w:rsidR="00C932C5" w:rsidRPr="00EC4A5E">
        <w:rPr>
          <w:color w:val="auto"/>
        </w:rPr>
        <w:t xml:space="preserve"> </w:t>
      </w:r>
      <w:r w:rsidR="0055026C" w:rsidRPr="00EC4A5E">
        <w:rPr>
          <w:color w:val="auto"/>
        </w:rPr>
        <w:t xml:space="preserve">“VA exams much more extensive and was found 50% rating vs. Army 20%. </w:t>
      </w:r>
      <w:r w:rsidR="00105FBE" w:rsidRPr="00EC4A5E">
        <w:rPr>
          <w:color w:val="auto"/>
        </w:rPr>
        <w:t xml:space="preserve"> </w:t>
      </w:r>
      <w:r w:rsidR="0055026C" w:rsidRPr="00EC4A5E">
        <w:rPr>
          <w:color w:val="auto"/>
        </w:rPr>
        <w:t xml:space="preserve">I went to Great Lakes Naval Hospital for </w:t>
      </w:r>
      <w:r w:rsidR="00144482">
        <w:rPr>
          <w:color w:val="auto"/>
        </w:rPr>
        <w:t>e</w:t>
      </w:r>
      <w:r w:rsidR="0055026C" w:rsidRPr="00EC4A5E">
        <w:rPr>
          <w:color w:val="auto"/>
        </w:rPr>
        <w:t>xams and all exams very quick and out the door.  I do not feel I was given the right ratings.</w:t>
      </w:r>
      <w:r w:rsidR="00C90E4F" w:rsidRPr="00EC4A5E">
        <w:rPr>
          <w:color w:val="auto"/>
        </w:rPr>
        <w:t>”</w:t>
      </w:r>
      <w:r w:rsidR="00B633D0" w:rsidRPr="00EC4A5E">
        <w:rPr>
          <w:color w:val="auto"/>
        </w:rPr>
        <w:t xml:space="preserve">  </w:t>
      </w:r>
      <w:r w:rsidR="00B633D0" w:rsidRPr="00EC4A5E">
        <w:t xml:space="preserve">He elaborates </w:t>
      </w:r>
      <w:r w:rsidR="00B633D0" w:rsidRPr="00EC4A5E">
        <w:rPr>
          <w:color w:val="auto"/>
        </w:rPr>
        <w:t>no additionally contended conditions.  As a matter of policy, all service conditions are</w:t>
      </w:r>
      <w:r w:rsidR="00B633D0" w:rsidRPr="00105FBE">
        <w:rPr>
          <w:color w:val="auto"/>
        </w:rPr>
        <w:t xml:space="preserve"> reviewed by the Board for their potential contribution to its rating recommendations.</w:t>
      </w:r>
      <w:r w:rsidR="00105FBE" w:rsidRPr="00105FBE">
        <w:rPr>
          <w:color w:val="auto"/>
        </w:rPr>
        <w:t xml:space="preserve">  </w:t>
      </w:r>
    </w:p>
    <w:p w:rsidR="00C90E4F" w:rsidRPr="00105FBE" w:rsidRDefault="00C90E4F" w:rsidP="00AF1668">
      <w:pPr>
        <w:pBdr>
          <w:bottom w:val="single" w:sz="12" w:space="1" w:color="auto"/>
        </w:pBdr>
        <w:tabs>
          <w:tab w:val="left" w:pos="288"/>
          <w:tab w:val="left" w:pos="4752"/>
        </w:tabs>
        <w:spacing w:line="240" w:lineRule="exact"/>
        <w:rPr>
          <w:rFonts w:ascii="Calibri" w:hAnsi="Calibri"/>
          <w:color w:val="auto"/>
          <w:szCs w:val="24"/>
        </w:rPr>
      </w:pPr>
    </w:p>
    <w:p w:rsidR="00C90E4F" w:rsidRPr="00105FBE" w:rsidRDefault="00C90E4F" w:rsidP="00C90E4F">
      <w:pPr>
        <w:tabs>
          <w:tab w:val="left" w:pos="288"/>
          <w:tab w:val="left" w:pos="4752"/>
        </w:tabs>
        <w:spacing w:line="240" w:lineRule="exact"/>
        <w:rPr>
          <w:rFonts w:asciiTheme="minorHAnsi" w:hAnsiTheme="minorHAnsi"/>
          <w:color w:val="auto"/>
          <w:sz w:val="18"/>
          <w:szCs w:val="18"/>
          <w:u w:val="single"/>
        </w:rPr>
      </w:pPr>
    </w:p>
    <w:p w:rsidR="0055026C" w:rsidRPr="00105FBE" w:rsidRDefault="0055026C" w:rsidP="0055026C">
      <w:pPr>
        <w:tabs>
          <w:tab w:val="left" w:pos="288"/>
          <w:tab w:val="left" w:pos="4752"/>
        </w:tabs>
        <w:spacing w:line="240" w:lineRule="exact"/>
        <w:jc w:val="both"/>
        <w:rPr>
          <w:rFonts w:asciiTheme="minorHAnsi" w:hAnsiTheme="minorHAnsi"/>
          <w:color w:val="auto"/>
          <w:sz w:val="18"/>
          <w:szCs w:val="18"/>
          <w:u w:val="single"/>
        </w:rPr>
      </w:pPr>
      <w:r w:rsidRPr="00105FBE">
        <w:rPr>
          <w:rFonts w:ascii="Calibri" w:hAnsi="Calibri"/>
          <w:color w:val="auto"/>
          <w:u w:val="single"/>
        </w:rPr>
        <w:t>RATING COMPARISON</w:t>
      </w:r>
      <w:r w:rsidRPr="00B21284">
        <w:rPr>
          <w:rFonts w:ascii="Calibri" w:hAnsi="Calibri"/>
          <w:color w:val="auto"/>
        </w:rPr>
        <w:t>:</w:t>
      </w:r>
      <w:r w:rsidR="00B21284">
        <w:rPr>
          <w:rFonts w:ascii="Calibri" w:hAnsi="Calibri"/>
          <w:color w:val="auto"/>
          <w:u w:val="single"/>
        </w:rPr>
        <w:t xml:space="preserve">  </w:t>
      </w:r>
    </w:p>
    <w:p w:rsidR="0055026C" w:rsidRPr="00105FBE" w:rsidRDefault="0055026C" w:rsidP="0055026C">
      <w:pPr>
        <w:tabs>
          <w:tab w:val="left" w:pos="288"/>
          <w:tab w:val="left" w:pos="4752"/>
        </w:tabs>
        <w:spacing w:line="240" w:lineRule="exact"/>
        <w:jc w:val="both"/>
        <w:rPr>
          <w:rFonts w:asciiTheme="minorHAnsi" w:hAnsiTheme="minorHAnsi"/>
          <w:color w:val="auto"/>
          <w:sz w:val="18"/>
          <w:szCs w:val="18"/>
          <w:u w:val="single"/>
        </w:rPr>
      </w:pPr>
    </w:p>
    <w:tbl>
      <w:tblPr>
        <w:tblStyle w:val="TableGrid"/>
        <w:tblW w:w="5046" w:type="pct"/>
        <w:jc w:val="center"/>
        <w:tblInd w:w="158" w:type="dxa"/>
        <w:tblLayout w:type="fixed"/>
        <w:tblLook w:val="04A0"/>
      </w:tblPr>
      <w:tblGrid>
        <w:gridCol w:w="1903"/>
        <w:gridCol w:w="1162"/>
        <w:gridCol w:w="721"/>
        <w:gridCol w:w="1355"/>
        <w:gridCol w:w="2037"/>
        <w:gridCol w:w="721"/>
        <w:gridCol w:w="810"/>
        <w:gridCol w:w="955"/>
      </w:tblGrid>
      <w:tr w:rsidR="002B7F38" w:rsidRPr="00105FBE" w:rsidTr="00D45001">
        <w:trPr>
          <w:trHeight w:val="233"/>
          <w:jc w:val="center"/>
        </w:trPr>
        <w:tc>
          <w:tcPr>
            <w:tcW w:w="2660" w:type="pct"/>
            <w:gridSpan w:val="4"/>
            <w:shd w:val="clear" w:color="auto" w:fill="D9D9D9" w:themeFill="background1" w:themeFillShade="D9"/>
          </w:tcPr>
          <w:p w:rsidR="0055026C" w:rsidRPr="002B3C31" w:rsidRDefault="0055026C" w:rsidP="00105FBE">
            <w:pPr>
              <w:pStyle w:val="ListParagraph"/>
              <w:spacing w:after="0" w:line="240" w:lineRule="exact"/>
              <w:ind w:left="0"/>
              <w:jc w:val="center"/>
              <w:rPr>
                <w:rFonts w:cs="Times New Roman"/>
                <w:b/>
                <w:sz w:val="20"/>
                <w:szCs w:val="20"/>
              </w:rPr>
            </w:pPr>
            <w:r w:rsidRPr="002B3C31">
              <w:rPr>
                <w:rFonts w:cs="Times New Roman"/>
                <w:b/>
                <w:sz w:val="20"/>
                <w:szCs w:val="20"/>
              </w:rPr>
              <w:t>Service IPEB</w:t>
            </w:r>
            <w:r w:rsidR="00C90E4F" w:rsidRPr="002B3C31">
              <w:rPr>
                <w:rFonts w:cs="Times New Roman"/>
                <w:b/>
                <w:sz w:val="20"/>
                <w:szCs w:val="20"/>
              </w:rPr>
              <w:t xml:space="preserve"> (2 weeks prior to Separation)</w:t>
            </w:r>
            <w:r w:rsidRPr="002B3C31">
              <w:rPr>
                <w:rFonts w:cs="Times New Roman"/>
                <w:b/>
                <w:sz w:val="20"/>
                <w:szCs w:val="20"/>
              </w:rPr>
              <w:t xml:space="preserve"> </w:t>
            </w:r>
            <w:r w:rsidR="00C90E4F" w:rsidRPr="002B3C31">
              <w:rPr>
                <w:rFonts w:cs="Times New Roman"/>
                <w:b/>
                <w:sz w:val="20"/>
                <w:szCs w:val="20"/>
              </w:rPr>
              <w:t>–</w:t>
            </w:r>
            <w:r w:rsidRPr="002B3C31">
              <w:rPr>
                <w:rFonts w:cs="Times New Roman"/>
                <w:b/>
                <w:sz w:val="20"/>
                <w:szCs w:val="20"/>
              </w:rPr>
              <w:t xml:space="preserve"> </w:t>
            </w:r>
            <w:r w:rsidR="006F1B9D" w:rsidRPr="002B3C31">
              <w:rPr>
                <w:rFonts w:cs="Times New Roman"/>
                <w:b/>
                <w:sz w:val="20"/>
                <w:szCs w:val="20"/>
              </w:rPr>
              <w:t>2003</w:t>
            </w:r>
            <w:r w:rsidRPr="002B3C31">
              <w:rPr>
                <w:rFonts w:cs="Times New Roman"/>
                <w:b/>
                <w:sz w:val="20"/>
                <w:szCs w:val="20"/>
              </w:rPr>
              <w:t>0710</w:t>
            </w:r>
          </w:p>
        </w:tc>
        <w:tc>
          <w:tcPr>
            <w:tcW w:w="2340" w:type="pct"/>
            <w:gridSpan w:val="4"/>
            <w:shd w:val="clear" w:color="auto" w:fill="D9D9D9" w:themeFill="background1" w:themeFillShade="D9"/>
          </w:tcPr>
          <w:p w:rsidR="0055026C" w:rsidRPr="002B3C31" w:rsidRDefault="0055026C" w:rsidP="00105FBE">
            <w:pPr>
              <w:pStyle w:val="ListParagraph"/>
              <w:spacing w:after="0" w:line="240" w:lineRule="exact"/>
              <w:ind w:left="0"/>
              <w:jc w:val="center"/>
              <w:rPr>
                <w:rFonts w:cs="Times New Roman"/>
                <w:b/>
                <w:sz w:val="20"/>
                <w:szCs w:val="20"/>
              </w:rPr>
            </w:pPr>
            <w:r w:rsidRPr="002B3C31">
              <w:rPr>
                <w:rFonts w:cs="Times New Roman"/>
                <w:b/>
                <w:sz w:val="20"/>
                <w:szCs w:val="20"/>
              </w:rPr>
              <w:t>VA (</w:t>
            </w:r>
            <w:r w:rsidR="006F1B9D" w:rsidRPr="002B3C31">
              <w:rPr>
                <w:rFonts w:cs="Times New Roman"/>
                <w:b/>
                <w:sz w:val="20"/>
                <w:szCs w:val="20"/>
              </w:rPr>
              <w:t>9</w:t>
            </w:r>
            <w:r w:rsidR="00C90E4F" w:rsidRPr="002B3C31">
              <w:rPr>
                <w:rFonts w:cs="Times New Roman"/>
                <w:b/>
                <w:sz w:val="20"/>
                <w:szCs w:val="20"/>
              </w:rPr>
              <w:t xml:space="preserve"> </w:t>
            </w:r>
            <w:r w:rsidRPr="002B3C31">
              <w:rPr>
                <w:rFonts w:cs="Times New Roman"/>
                <w:b/>
                <w:sz w:val="20"/>
                <w:szCs w:val="20"/>
              </w:rPr>
              <w:t>Mo. Prior to Separation) – 20010419</w:t>
            </w:r>
          </w:p>
        </w:tc>
      </w:tr>
      <w:tr w:rsidR="00D45001" w:rsidRPr="00105FBE" w:rsidTr="00711EC4">
        <w:trPr>
          <w:trHeight w:val="233"/>
          <w:jc w:val="center"/>
        </w:trPr>
        <w:tc>
          <w:tcPr>
            <w:tcW w:w="985" w:type="pct"/>
            <w:shd w:val="clear" w:color="auto" w:fill="D9D9D9" w:themeFill="background1" w:themeFillShade="D9"/>
          </w:tcPr>
          <w:p w:rsidR="0055026C" w:rsidRPr="002B3C31" w:rsidRDefault="0055026C" w:rsidP="00B633D0">
            <w:pPr>
              <w:pStyle w:val="ListParagraph"/>
              <w:spacing w:after="0" w:line="240" w:lineRule="exact"/>
              <w:ind w:left="0"/>
              <w:rPr>
                <w:rFonts w:cs="Times New Roman"/>
                <w:b/>
                <w:sz w:val="20"/>
                <w:szCs w:val="20"/>
              </w:rPr>
            </w:pPr>
            <w:r w:rsidRPr="002B3C31">
              <w:rPr>
                <w:rFonts w:cs="Times New Roman"/>
                <w:b/>
                <w:sz w:val="20"/>
                <w:szCs w:val="20"/>
              </w:rPr>
              <w:t>Condition</w:t>
            </w:r>
          </w:p>
        </w:tc>
        <w:tc>
          <w:tcPr>
            <w:tcW w:w="601" w:type="pct"/>
            <w:vMerge w:val="restart"/>
            <w:shd w:val="clear" w:color="auto" w:fill="D9D9D9" w:themeFill="background1" w:themeFillShade="D9"/>
          </w:tcPr>
          <w:p w:rsidR="0055026C" w:rsidRPr="002B3C31" w:rsidRDefault="0055026C" w:rsidP="00B633D0">
            <w:pPr>
              <w:pStyle w:val="ListParagraph"/>
              <w:spacing w:after="0" w:line="240" w:lineRule="exact"/>
              <w:ind w:left="0"/>
              <w:jc w:val="center"/>
              <w:rPr>
                <w:rFonts w:cs="Times New Roman"/>
                <w:b/>
                <w:sz w:val="20"/>
                <w:szCs w:val="20"/>
              </w:rPr>
            </w:pPr>
            <w:r w:rsidRPr="002B3C31">
              <w:rPr>
                <w:rFonts w:cs="Times New Roman"/>
                <w:b/>
                <w:sz w:val="20"/>
                <w:szCs w:val="20"/>
              </w:rPr>
              <w:t>Code</w:t>
            </w:r>
          </w:p>
        </w:tc>
        <w:tc>
          <w:tcPr>
            <w:tcW w:w="1074" w:type="pct"/>
            <w:gridSpan w:val="2"/>
            <w:shd w:val="clear" w:color="auto" w:fill="D9D9D9" w:themeFill="background1" w:themeFillShade="D9"/>
          </w:tcPr>
          <w:p w:rsidR="0055026C" w:rsidRPr="006364CB" w:rsidRDefault="0055026C" w:rsidP="00B633D0">
            <w:pPr>
              <w:pStyle w:val="ListParagraph"/>
              <w:spacing w:after="0" w:line="240" w:lineRule="exact"/>
              <w:ind w:left="0"/>
              <w:jc w:val="center"/>
              <w:rPr>
                <w:rFonts w:cs="Times New Roman"/>
                <w:b/>
                <w:sz w:val="20"/>
                <w:szCs w:val="20"/>
              </w:rPr>
            </w:pPr>
            <w:r w:rsidRPr="006364CB">
              <w:rPr>
                <w:rFonts w:cs="Times New Roman"/>
                <w:b/>
                <w:sz w:val="20"/>
                <w:szCs w:val="20"/>
              </w:rPr>
              <w:t>Rating</w:t>
            </w:r>
          </w:p>
        </w:tc>
        <w:tc>
          <w:tcPr>
            <w:tcW w:w="1054" w:type="pct"/>
            <w:shd w:val="clear" w:color="auto" w:fill="D9D9D9" w:themeFill="background1" w:themeFillShade="D9"/>
          </w:tcPr>
          <w:p w:rsidR="0055026C" w:rsidRPr="006364CB" w:rsidRDefault="0055026C" w:rsidP="00B633D0">
            <w:pPr>
              <w:pStyle w:val="ListParagraph"/>
              <w:spacing w:after="0" w:line="240" w:lineRule="exact"/>
              <w:ind w:left="0"/>
              <w:jc w:val="both"/>
              <w:rPr>
                <w:rFonts w:cs="Times New Roman"/>
                <w:b/>
                <w:sz w:val="20"/>
                <w:szCs w:val="20"/>
              </w:rPr>
            </w:pPr>
            <w:r w:rsidRPr="006364CB">
              <w:rPr>
                <w:rFonts w:cs="Times New Roman"/>
                <w:b/>
                <w:sz w:val="20"/>
                <w:szCs w:val="20"/>
              </w:rPr>
              <w:t>Condition</w:t>
            </w:r>
          </w:p>
        </w:tc>
        <w:tc>
          <w:tcPr>
            <w:tcW w:w="373" w:type="pct"/>
            <w:vMerge w:val="restart"/>
            <w:shd w:val="clear" w:color="auto" w:fill="D9D9D9" w:themeFill="background1" w:themeFillShade="D9"/>
          </w:tcPr>
          <w:p w:rsidR="0055026C" w:rsidRPr="006364CB" w:rsidRDefault="0055026C" w:rsidP="00E507F1">
            <w:pPr>
              <w:pStyle w:val="ListParagraph"/>
              <w:spacing w:after="0" w:line="240" w:lineRule="exact"/>
              <w:ind w:left="0"/>
              <w:jc w:val="center"/>
              <w:rPr>
                <w:rFonts w:cs="Times New Roman"/>
                <w:b/>
                <w:sz w:val="20"/>
                <w:szCs w:val="20"/>
              </w:rPr>
            </w:pPr>
            <w:r w:rsidRPr="006364CB">
              <w:rPr>
                <w:rFonts w:cs="Times New Roman"/>
                <w:b/>
                <w:sz w:val="20"/>
                <w:szCs w:val="20"/>
              </w:rPr>
              <w:t>Code</w:t>
            </w:r>
          </w:p>
        </w:tc>
        <w:tc>
          <w:tcPr>
            <w:tcW w:w="419" w:type="pct"/>
            <w:vMerge w:val="restart"/>
            <w:shd w:val="clear" w:color="auto" w:fill="D9D9D9" w:themeFill="background1" w:themeFillShade="D9"/>
          </w:tcPr>
          <w:p w:rsidR="0055026C" w:rsidRPr="006364CB" w:rsidRDefault="0055026C" w:rsidP="00E507F1">
            <w:pPr>
              <w:pStyle w:val="ListParagraph"/>
              <w:spacing w:after="0" w:line="240" w:lineRule="exact"/>
              <w:ind w:left="0"/>
              <w:jc w:val="center"/>
              <w:rPr>
                <w:rFonts w:cs="Times New Roman"/>
                <w:b/>
                <w:sz w:val="20"/>
                <w:szCs w:val="20"/>
              </w:rPr>
            </w:pPr>
            <w:r w:rsidRPr="006364CB">
              <w:rPr>
                <w:rFonts w:cs="Times New Roman"/>
                <w:b/>
                <w:sz w:val="20"/>
                <w:szCs w:val="20"/>
              </w:rPr>
              <w:t>Rating</w:t>
            </w:r>
          </w:p>
        </w:tc>
        <w:tc>
          <w:tcPr>
            <w:tcW w:w="494" w:type="pct"/>
            <w:vMerge w:val="restart"/>
            <w:shd w:val="clear" w:color="auto" w:fill="D9D9D9" w:themeFill="background1" w:themeFillShade="D9"/>
          </w:tcPr>
          <w:p w:rsidR="0055026C" w:rsidRPr="006364CB" w:rsidRDefault="0055026C" w:rsidP="00E507F1">
            <w:pPr>
              <w:pStyle w:val="ListParagraph"/>
              <w:spacing w:after="0" w:line="240" w:lineRule="exact"/>
              <w:ind w:left="0"/>
              <w:jc w:val="center"/>
              <w:rPr>
                <w:rFonts w:cs="Times New Roman"/>
                <w:b/>
                <w:sz w:val="18"/>
                <w:szCs w:val="18"/>
              </w:rPr>
            </w:pPr>
            <w:r w:rsidRPr="006364CB">
              <w:rPr>
                <w:rFonts w:cs="Times New Roman"/>
                <w:b/>
                <w:sz w:val="18"/>
                <w:szCs w:val="18"/>
              </w:rPr>
              <w:t>Exam</w:t>
            </w:r>
          </w:p>
        </w:tc>
      </w:tr>
      <w:tr w:rsidR="00D45001" w:rsidRPr="00105FBE" w:rsidTr="00711EC4">
        <w:trPr>
          <w:trHeight w:val="152"/>
          <w:jc w:val="center"/>
        </w:trPr>
        <w:tc>
          <w:tcPr>
            <w:tcW w:w="985" w:type="pct"/>
            <w:shd w:val="clear" w:color="auto" w:fill="D9D9D9" w:themeFill="background1" w:themeFillShade="D9"/>
          </w:tcPr>
          <w:p w:rsidR="0055026C" w:rsidRPr="002B3C31" w:rsidRDefault="0055026C" w:rsidP="0055026C">
            <w:pPr>
              <w:pStyle w:val="ListParagraph"/>
              <w:spacing w:after="0" w:line="240" w:lineRule="exact"/>
              <w:ind w:left="0"/>
              <w:rPr>
                <w:rFonts w:cs="Times New Roman"/>
                <w:b/>
                <w:sz w:val="20"/>
                <w:szCs w:val="20"/>
              </w:rPr>
            </w:pPr>
            <w:r w:rsidRPr="002B3C31">
              <w:rPr>
                <w:rFonts w:cs="Times New Roman"/>
                <w:b/>
                <w:sz w:val="20"/>
                <w:szCs w:val="20"/>
              </w:rPr>
              <w:t>On TDRL - 19990217</w:t>
            </w:r>
          </w:p>
        </w:tc>
        <w:tc>
          <w:tcPr>
            <w:tcW w:w="601" w:type="pct"/>
            <w:vMerge/>
            <w:shd w:val="clear" w:color="auto" w:fill="D9D9D9" w:themeFill="background1" w:themeFillShade="D9"/>
          </w:tcPr>
          <w:p w:rsidR="0055026C" w:rsidRPr="002B3C31" w:rsidRDefault="0055026C" w:rsidP="00B633D0">
            <w:pPr>
              <w:pStyle w:val="ListParagraph"/>
              <w:spacing w:after="0" w:line="240" w:lineRule="exact"/>
              <w:ind w:left="0"/>
              <w:jc w:val="center"/>
              <w:rPr>
                <w:rFonts w:cs="Times New Roman"/>
                <w:sz w:val="20"/>
                <w:szCs w:val="20"/>
              </w:rPr>
            </w:pPr>
          </w:p>
        </w:tc>
        <w:tc>
          <w:tcPr>
            <w:tcW w:w="373" w:type="pct"/>
            <w:shd w:val="clear" w:color="auto" w:fill="D9D9D9" w:themeFill="background1" w:themeFillShade="D9"/>
          </w:tcPr>
          <w:p w:rsidR="0055026C" w:rsidRPr="006364CB" w:rsidRDefault="0055026C" w:rsidP="00E507F1">
            <w:pPr>
              <w:pStyle w:val="ListParagraph"/>
              <w:spacing w:after="0" w:line="240" w:lineRule="exact"/>
              <w:ind w:left="0"/>
              <w:jc w:val="center"/>
              <w:rPr>
                <w:rFonts w:cs="Times New Roman"/>
                <w:b/>
                <w:sz w:val="20"/>
                <w:szCs w:val="20"/>
              </w:rPr>
            </w:pPr>
            <w:r w:rsidRPr="006364CB">
              <w:rPr>
                <w:rFonts w:cs="Times New Roman"/>
                <w:b/>
                <w:sz w:val="20"/>
                <w:szCs w:val="20"/>
              </w:rPr>
              <w:t>TDRL</w:t>
            </w:r>
          </w:p>
        </w:tc>
        <w:tc>
          <w:tcPr>
            <w:tcW w:w="701" w:type="pct"/>
            <w:shd w:val="clear" w:color="auto" w:fill="D9D9D9" w:themeFill="background1" w:themeFillShade="D9"/>
          </w:tcPr>
          <w:p w:rsidR="0055026C" w:rsidRPr="006364CB" w:rsidRDefault="0055026C" w:rsidP="00E507F1">
            <w:pPr>
              <w:pStyle w:val="ListParagraph"/>
              <w:spacing w:after="0" w:line="240" w:lineRule="exact"/>
              <w:ind w:left="0"/>
              <w:jc w:val="center"/>
              <w:rPr>
                <w:rFonts w:cs="Times New Roman"/>
                <w:b/>
                <w:sz w:val="20"/>
                <w:szCs w:val="20"/>
              </w:rPr>
            </w:pPr>
            <w:r w:rsidRPr="006364CB">
              <w:rPr>
                <w:rFonts w:cs="Times New Roman"/>
                <w:b/>
                <w:sz w:val="20"/>
                <w:szCs w:val="20"/>
              </w:rPr>
              <w:t>Sep.</w:t>
            </w:r>
          </w:p>
        </w:tc>
        <w:tc>
          <w:tcPr>
            <w:tcW w:w="1054" w:type="pct"/>
            <w:shd w:val="clear" w:color="auto" w:fill="D9D9D9" w:themeFill="background1" w:themeFillShade="D9"/>
          </w:tcPr>
          <w:p w:rsidR="0055026C" w:rsidRPr="006364CB" w:rsidRDefault="00F33C86" w:rsidP="00F33C86">
            <w:pPr>
              <w:pStyle w:val="ListParagraph"/>
              <w:spacing w:after="0" w:line="240" w:lineRule="exact"/>
              <w:ind w:left="0"/>
              <w:jc w:val="both"/>
              <w:rPr>
                <w:rFonts w:cs="Times New Roman"/>
                <w:b/>
                <w:sz w:val="20"/>
                <w:szCs w:val="20"/>
              </w:rPr>
            </w:pPr>
            <w:r w:rsidRPr="006364CB">
              <w:rPr>
                <w:rFonts w:cs="Times New Roman"/>
                <w:b/>
                <w:sz w:val="20"/>
                <w:szCs w:val="20"/>
              </w:rPr>
              <w:t>30%</w:t>
            </w:r>
            <w:r w:rsidR="0055026C" w:rsidRPr="006364CB">
              <w:rPr>
                <w:rFonts w:cs="Times New Roman"/>
                <w:b/>
                <w:sz w:val="20"/>
                <w:szCs w:val="20"/>
              </w:rPr>
              <w:t xml:space="preserve"> VA </w:t>
            </w:r>
            <w:r w:rsidRPr="006364CB">
              <w:rPr>
                <w:rFonts w:cs="Times New Roman"/>
                <w:b/>
                <w:sz w:val="20"/>
                <w:szCs w:val="20"/>
              </w:rPr>
              <w:t xml:space="preserve">MDD </w:t>
            </w:r>
            <w:r w:rsidR="0055026C" w:rsidRPr="006364CB">
              <w:rPr>
                <w:rFonts w:cs="Times New Roman"/>
                <w:b/>
                <w:sz w:val="20"/>
                <w:szCs w:val="20"/>
              </w:rPr>
              <w:t>at TDRL</w:t>
            </w:r>
          </w:p>
        </w:tc>
        <w:tc>
          <w:tcPr>
            <w:tcW w:w="373" w:type="pct"/>
            <w:vMerge/>
            <w:shd w:val="clear" w:color="auto" w:fill="C6D9F1" w:themeFill="text2" w:themeFillTint="33"/>
          </w:tcPr>
          <w:p w:rsidR="0055026C" w:rsidRPr="006364CB" w:rsidRDefault="0055026C" w:rsidP="00B633D0">
            <w:pPr>
              <w:pStyle w:val="ListParagraph"/>
              <w:spacing w:after="0" w:line="240" w:lineRule="exact"/>
              <w:ind w:left="0"/>
              <w:jc w:val="center"/>
              <w:rPr>
                <w:rFonts w:cs="Times New Roman"/>
                <w:sz w:val="20"/>
                <w:szCs w:val="20"/>
              </w:rPr>
            </w:pPr>
          </w:p>
        </w:tc>
        <w:tc>
          <w:tcPr>
            <w:tcW w:w="419" w:type="pct"/>
            <w:vMerge/>
            <w:shd w:val="clear" w:color="auto" w:fill="C6D9F1" w:themeFill="text2" w:themeFillTint="33"/>
          </w:tcPr>
          <w:p w:rsidR="0055026C" w:rsidRPr="006364CB" w:rsidRDefault="0055026C" w:rsidP="00B633D0">
            <w:pPr>
              <w:pStyle w:val="ListParagraph"/>
              <w:spacing w:after="0" w:line="240" w:lineRule="exact"/>
              <w:ind w:left="0"/>
              <w:jc w:val="center"/>
              <w:rPr>
                <w:rFonts w:cs="Times New Roman"/>
                <w:sz w:val="20"/>
                <w:szCs w:val="20"/>
              </w:rPr>
            </w:pPr>
          </w:p>
        </w:tc>
        <w:tc>
          <w:tcPr>
            <w:tcW w:w="494" w:type="pct"/>
            <w:vMerge/>
            <w:shd w:val="clear" w:color="auto" w:fill="C6D9F1" w:themeFill="text2" w:themeFillTint="33"/>
          </w:tcPr>
          <w:p w:rsidR="0055026C" w:rsidRPr="006364CB" w:rsidRDefault="0055026C" w:rsidP="00B633D0">
            <w:pPr>
              <w:pStyle w:val="ListParagraph"/>
              <w:spacing w:after="0" w:line="240" w:lineRule="exact"/>
              <w:ind w:left="0"/>
              <w:jc w:val="center"/>
              <w:rPr>
                <w:rFonts w:cs="Times New Roman"/>
                <w:sz w:val="18"/>
                <w:szCs w:val="18"/>
              </w:rPr>
            </w:pPr>
          </w:p>
        </w:tc>
      </w:tr>
      <w:tr w:rsidR="00D45001" w:rsidRPr="00105FBE" w:rsidTr="00711EC4">
        <w:trPr>
          <w:trHeight w:val="125"/>
          <w:jc w:val="center"/>
        </w:trPr>
        <w:tc>
          <w:tcPr>
            <w:tcW w:w="985" w:type="pct"/>
            <w:shd w:val="clear" w:color="auto" w:fill="FFFFFF" w:themeFill="background1"/>
          </w:tcPr>
          <w:p w:rsidR="0055026C" w:rsidRPr="002B3C31" w:rsidRDefault="00C90E4F" w:rsidP="0055026C">
            <w:pPr>
              <w:pStyle w:val="ListParagraph"/>
              <w:spacing w:after="0" w:line="240" w:lineRule="exact"/>
              <w:ind w:left="0"/>
              <w:rPr>
                <w:rFonts w:cs="Times New Roman"/>
                <w:sz w:val="20"/>
                <w:szCs w:val="20"/>
                <w:highlight w:val="yellow"/>
              </w:rPr>
            </w:pPr>
            <w:r w:rsidRPr="002B3C31">
              <w:rPr>
                <w:rFonts w:cs="Times New Roman"/>
                <w:sz w:val="20"/>
                <w:szCs w:val="20"/>
              </w:rPr>
              <w:t>MDD</w:t>
            </w:r>
          </w:p>
        </w:tc>
        <w:tc>
          <w:tcPr>
            <w:tcW w:w="601" w:type="pct"/>
            <w:shd w:val="clear" w:color="auto" w:fill="FFFFFF" w:themeFill="background1"/>
          </w:tcPr>
          <w:p w:rsidR="0055026C" w:rsidRPr="002B3C31" w:rsidRDefault="0055026C" w:rsidP="0055026C">
            <w:pPr>
              <w:pStyle w:val="ListParagraph"/>
              <w:spacing w:after="0" w:line="240" w:lineRule="exact"/>
              <w:ind w:left="0"/>
              <w:jc w:val="center"/>
              <w:rPr>
                <w:rFonts w:cs="Times New Roman"/>
                <w:sz w:val="20"/>
                <w:szCs w:val="20"/>
              </w:rPr>
            </w:pPr>
            <w:r w:rsidRPr="002B3C31">
              <w:rPr>
                <w:rFonts w:cs="Times New Roman"/>
                <w:sz w:val="20"/>
                <w:szCs w:val="20"/>
              </w:rPr>
              <w:t>9434</w:t>
            </w:r>
          </w:p>
        </w:tc>
        <w:tc>
          <w:tcPr>
            <w:tcW w:w="373" w:type="pct"/>
            <w:shd w:val="clear" w:color="auto" w:fill="FFFFFF" w:themeFill="background1"/>
          </w:tcPr>
          <w:p w:rsidR="0055026C" w:rsidRPr="006364CB" w:rsidRDefault="0055026C" w:rsidP="00070C7C">
            <w:pPr>
              <w:pStyle w:val="ListParagraph"/>
              <w:spacing w:after="0" w:line="240" w:lineRule="exact"/>
              <w:ind w:left="0"/>
              <w:jc w:val="center"/>
              <w:rPr>
                <w:rFonts w:cs="Times New Roman"/>
                <w:sz w:val="20"/>
                <w:szCs w:val="20"/>
              </w:rPr>
            </w:pPr>
            <w:r w:rsidRPr="006364CB">
              <w:rPr>
                <w:rFonts w:cs="Times New Roman"/>
                <w:sz w:val="20"/>
                <w:szCs w:val="20"/>
              </w:rPr>
              <w:t>30%</w:t>
            </w:r>
          </w:p>
        </w:tc>
        <w:tc>
          <w:tcPr>
            <w:tcW w:w="701" w:type="pct"/>
            <w:shd w:val="clear" w:color="auto" w:fill="FFFFFF" w:themeFill="background1"/>
          </w:tcPr>
          <w:p w:rsidR="0055026C" w:rsidRPr="006364CB" w:rsidRDefault="0055026C" w:rsidP="00070C7C">
            <w:pPr>
              <w:pStyle w:val="ListParagraph"/>
              <w:spacing w:after="0" w:line="240" w:lineRule="exact"/>
              <w:ind w:left="0"/>
              <w:jc w:val="center"/>
              <w:rPr>
                <w:rFonts w:cs="Times New Roman"/>
                <w:sz w:val="20"/>
                <w:szCs w:val="20"/>
              </w:rPr>
            </w:pPr>
            <w:r w:rsidRPr="006364CB">
              <w:rPr>
                <w:rFonts w:cs="Times New Roman"/>
                <w:sz w:val="20"/>
                <w:szCs w:val="20"/>
              </w:rPr>
              <w:t>10%</w:t>
            </w:r>
          </w:p>
        </w:tc>
        <w:tc>
          <w:tcPr>
            <w:tcW w:w="1054" w:type="pct"/>
            <w:shd w:val="clear" w:color="auto" w:fill="FFFFFF" w:themeFill="background1"/>
          </w:tcPr>
          <w:p w:rsidR="0055026C" w:rsidRPr="006364CB" w:rsidRDefault="00C90E4F" w:rsidP="00B57CF6">
            <w:pPr>
              <w:pStyle w:val="ListParagraph"/>
              <w:spacing w:after="0" w:line="240" w:lineRule="exact"/>
              <w:ind w:left="0"/>
              <w:rPr>
                <w:rFonts w:cs="Times New Roman"/>
                <w:sz w:val="20"/>
                <w:szCs w:val="20"/>
              </w:rPr>
            </w:pPr>
            <w:r w:rsidRPr="006364CB">
              <w:rPr>
                <w:rFonts w:cs="Times New Roman"/>
                <w:sz w:val="20"/>
                <w:szCs w:val="20"/>
              </w:rPr>
              <w:t>MDD</w:t>
            </w:r>
          </w:p>
        </w:tc>
        <w:tc>
          <w:tcPr>
            <w:tcW w:w="373" w:type="pct"/>
            <w:shd w:val="clear" w:color="auto" w:fill="FFFFFF" w:themeFill="background1"/>
          </w:tcPr>
          <w:p w:rsidR="0055026C" w:rsidRPr="006364CB" w:rsidRDefault="0055026C" w:rsidP="0055026C">
            <w:pPr>
              <w:pStyle w:val="ListParagraph"/>
              <w:spacing w:after="0" w:line="240" w:lineRule="exact"/>
              <w:ind w:left="0"/>
              <w:jc w:val="center"/>
              <w:rPr>
                <w:rFonts w:cs="Times New Roman"/>
                <w:sz w:val="20"/>
                <w:szCs w:val="20"/>
              </w:rPr>
            </w:pPr>
            <w:r w:rsidRPr="006364CB">
              <w:rPr>
                <w:rFonts w:cs="Times New Roman"/>
                <w:sz w:val="20"/>
                <w:szCs w:val="20"/>
              </w:rPr>
              <w:t>9434</w:t>
            </w:r>
          </w:p>
        </w:tc>
        <w:tc>
          <w:tcPr>
            <w:tcW w:w="419" w:type="pct"/>
            <w:shd w:val="clear" w:color="auto" w:fill="FFFFFF" w:themeFill="background1"/>
          </w:tcPr>
          <w:p w:rsidR="0055026C" w:rsidRPr="006364CB" w:rsidRDefault="0055026C" w:rsidP="0055026C">
            <w:pPr>
              <w:pStyle w:val="ListParagraph"/>
              <w:spacing w:after="0" w:line="240" w:lineRule="exact"/>
              <w:ind w:left="0"/>
              <w:jc w:val="center"/>
              <w:rPr>
                <w:rFonts w:cs="Times New Roman"/>
                <w:sz w:val="20"/>
                <w:szCs w:val="20"/>
              </w:rPr>
            </w:pPr>
            <w:r w:rsidRPr="006364CB">
              <w:rPr>
                <w:rFonts w:cs="Times New Roman"/>
                <w:sz w:val="20"/>
                <w:szCs w:val="20"/>
              </w:rPr>
              <w:t>50%</w:t>
            </w:r>
          </w:p>
        </w:tc>
        <w:tc>
          <w:tcPr>
            <w:tcW w:w="494" w:type="pct"/>
            <w:shd w:val="clear" w:color="auto" w:fill="FFFFFF" w:themeFill="background1"/>
          </w:tcPr>
          <w:p w:rsidR="0055026C" w:rsidRPr="006364CB" w:rsidRDefault="0055026C" w:rsidP="0055026C">
            <w:pPr>
              <w:pStyle w:val="ListParagraph"/>
              <w:spacing w:after="0" w:line="240" w:lineRule="exact"/>
              <w:ind w:left="0"/>
              <w:jc w:val="center"/>
              <w:rPr>
                <w:rFonts w:cs="Times New Roman"/>
                <w:sz w:val="18"/>
                <w:szCs w:val="18"/>
              </w:rPr>
            </w:pPr>
            <w:r w:rsidRPr="006364CB">
              <w:rPr>
                <w:rFonts w:cs="Times New Roman"/>
                <w:sz w:val="18"/>
                <w:szCs w:val="18"/>
              </w:rPr>
              <w:t>20021015</w:t>
            </w:r>
          </w:p>
        </w:tc>
      </w:tr>
      <w:tr w:rsidR="00D45001" w:rsidRPr="00105FBE" w:rsidTr="00711EC4">
        <w:trPr>
          <w:trHeight w:val="188"/>
          <w:jc w:val="center"/>
        </w:trPr>
        <w:tc>
          <w:tcPr>
            <w:tcW w:w="985" w:type="pct"/>
            <w:shd w:val="clear" w:color="auto" w:fill="FFFFFF" w:themeFill="background1"/>
          </w:tcPr>
          <w:p w:rsidR="00070C7C" w:rsidRPr="002B3C31" w:rsidRDefault="00070C7C" w:rsidP="00144482">
            <w:pPr>
              <w:pStyle w:val="ListParagraph"/>
              <w:spacing w:after="0" w:line="240" w:lineRule="exact"/>
              <w:ind w:left="0"/>
              <w:jc w:val="both"/>
              <w:rPr>
                <w:rFonts w:cs="Times New Roman"/>
                <w:sz w:val="20"/>
                <w:szCs w:val="20"/>
              </w:rPr>
            </w:pPr>
            <w:r w:rsidRPr="002B3C31">
              <w:rPr>
                <w:rFonts w:cs="Times New Roman"/>
                <w:sz w:val="20"/>
                <w:szCs w:val="20"/>
              </w:rPr>
              <w:t xml:space="preserve">Chronic </w:t>
            </w:r>
            <w:r w:rsidR="00C90E4F" w:rsidRPr="002B3C31">
              <w:rPr>
                <w:rFonts w:cs="Times New Roman"/>
                <w:sz w:val="20"/>
                <w:szCs w:val="20"/>
              </w:rPr>
              <w:t>L</w:t>
            </w:r>
            <w:r w:rsidR="00144482">
              <w:rPr>
                <w:rFonts w:cs="Times New Roman"/>
                <w:sz w:val="20"/>
                <w:szCs w:val="20"/>
              </w:rPr>
              <w:t>ow Back Pain</w:t>
            </w:r>
            <w:r w:rsidRPr="002B3C31">
              <w:rPr>
                <w:rFonts w:cs="Times New Roman"/>
                <w:sz w:val="20"/>
                <w:szCs w:val="20"/>
              </w:rPr>
              <w:t>*</w:t>
            </w:r>
          </w:p>
        </w:tc>
        <w:tc>
          <w:tcPr>
            <w:tcW w:w="601" w:type="pct"/>
            <w:shd w:val="clear" w:color="auto" w:fill="FFFFFF" w:themeFill="background1"/>
          </w:tcPr>
          <w:p w:rsidR="00070C7C" w:rsidRPr="002B3C31" w:rsidRDefault="002B3C31" w:rsidP="00070C7C">
            <w:pPr>
              <w:pStyle w:val="ListParagraph"/>
              <w:spacing w:after="0" w:line="240" w:lineRule="exact"/>
              <w:ind w:left="0"/>
              <w:jc w:val="center"/>
              <w:rPr>
                <w:rFonts w:cs="Times New Roman"/>
                <w:sz w:val="20"/>
                <w:szCs w:val="20"/>
              </w:rPr>
            </w:pPr>
            <w:r>
              <w:rPr>
                <w:rFonts w:cs="Times New Roman"/>
                <w:sz w:val="20"/>
                <w:szCs w:val="20"/>
              </w:rPr>
              <w:t>5299-</w:t>
            </w:r>
            <w:r w:rsidR="00070C7C" w:rsidRPr="002B3C31">
              <w:rPr>
                <w:rFonts w:cs="Times New Roman"/>
                <w:sz w:val="20"/>
                <w:szCs w:val="20"/>
              </w:rPr>
              <w:t>5295</w:t>
            </w:r>
          </w:p>
        </w:tc>
        <w:tc>
          <w:tcPr>
            <w:tcW w:w="373" w:type="pct"/>
            <w:shd w:val="clear" w:color="auto" w:fill="FFFFFF" w:themeFill="background1"/>
          </w:tcPr>
          <w:p w:rsidR="00070C7C" w:rsidRPr="006364CB" w:rsidRDefault="00070C7C" w:rsidP="00070C7C">
            <w:pPr>
              <w:pStyle w:val="ListParagraph"/>
              <w:spacing w:after="0" w:line="240" w:lineRule="exact"/>
              <w:ind w:left="0"/>
              <w:jc w:val="center"/>
              <w:rPr>
                <w:rFonts w:cs="Times New Roman"/>
                <w:sz w:val="20"/>
                <w:szCs w:val="20"/>
              </w:rPr>
            </w:pPr>
            <w:r w:rsidRPr="006364CB">
              <w:rPr>
                <w:rFonts w:cs="Times New Roman"/>
                <w:sz w:val="20"/>
                <w:szCs w:val="20"/>
              </w:rPr>
              <w:t>20%</w:t>
            </w:r>
          </w:p>
        </w:tc>
        <w:tc>
          <w:tcPr>
            <w:tcW w:w="701" w:type="pct"/>
            <w:shd w:val="clear" w:color="auto" w:fill="FFFFFF" w:themeFill="background1"/>
          </w:tcPr>
          <w:p w:rsidR="00070C7C" w:rsidRPr="006364CB" w:rsidRDefault="00070C7C" w:rsidP="00070C7C">
            <w:pPr>
              <w:pStyle w:val="ListParagraph"/>
              <w:spacing w:after="0" w:line="240" w:lineRule="exact"/>
              <w:ind w:left="0"/>
              <w:jc w:val="center"/>
              <w:rPr>
                <w:rFonts w:cs="Times New Roman"/>
                <w:sz w:val="20"/>
                <w:szCs w:val="20"/>
              </w:rPr>
            </w:pPr>
            <w:r w:rsidRPr="006364CB">
              <w:rPr>
                <w:rFonts w:cs="Times New Roman"/>
                <w:sz w:val="20"/>
                <w:szCs w:val="20"/>
              </w:rPr>
              <w:t>10%</w:t>
            </w:r>
          </w:p>
        </w:tc>
        <w:tc>
          <w:tcPr>
            <w:tcW w:w="1054" w:type="pct"/>
            <w:shd w:val="clear" w:color="auto" w:fill="FFFFFF" w:themeFill="background1"/>
          </w:tcPr>
          <w:p w:rsidR="00070C7C" w:rsidRPr="006364CB" w:rsidRDefault="00070C7C" w:rsidP="00B21284">
            <w:pPr>
              <w:pStyle w:val="ListParagraph"/>
              <w:spacing w:after="0" w:line="240" w:lineRule="exact"/>
              <w:ind w:left="0"/>
              <w:jc w:val="both"/>
              <w:rPr>
                <w:rFonts w:cs="Times New Roman"/>
                <w:sz w:val="20"/>
                <w:szCs w:val="20"/>
              </w:rPr>
            </w:pPr>
            <w:r w:rsidRPr="006364CB">
              <w:rPr>
                <w:rFonts w:cs="Times New Roman"/>
                <w:sz w:val="20"/>
                <w:szCs w:val="20"/>
              </w:rPr>
              <w:t>L</w:t>
            </w:r>
            <w:r w:rsidR="00B21284" w:rsidRPr="006364CB">
              <w:rPr>
                <w:rFonts w:cs="Times New Roman"/>
                <w:sz w:val="20"/>
                <w:szCs w:val="20"/>
              </w:rPr>
              <w:t>umbar</w:t>
            </w:r>
            <w:r w:rsidRPr="006364CB">
              <w:rPr>
                <w:rFonts w:cs="Times New Roman"/>
                <w:sz w:val="20"/>
                <w:szCs w:val="20"/>
              </w:rPr>
              <w:t xml:space="preserve"> Strain</w:t>
            </w:r>
          </w:p>
        </w:tc>
        <w:tc>
          <w:tcPr>
            <w:tcW w:w="373" w:type="pct"/>
            <w:shd w:val="clear" w:color="auto" w:fill="FFFFFF" w:themeFill="background1"/>
          </w:tcPr>
          <w:p w:rsidR="00070C7C" w:rsidRPr="006364CB" w:rsidRDefault="00070C7C" w:rsidP="00B633D0">
            <w:pPr>
              <w:pStyle w:val="ListParagraph"/>
              <w:spacing w:after="0" w:line="240" w:lineRule="exact"/>
              <w:ind w:left="0"/>
              <w:jc w:val="center"/>
              <w:rPr>
                <w:rFonts w:cs="Times New Roman"/>
                <w:sz w:val="20"/>
                <w:szCs w:val="20"/>
              </w:rPr>
            </w:pPr>
            <w:r w:rsidRPr="006364CB">
              <w:rPr>
                <w:rFonts w:cs="Times New Roman"/>
                <w:sz w:val="20"/>
                <w:szCs w:val="20"/>
              </w:rPr>
              <w:t>5295</w:t>
            </w:r>
          </w:p>
        </w:tc>
        <w:tc>
          <w:tcPr>
            <w:tcW w:w="419" w:type="pct"/>
            <w:shd w:val="clear" w:color="auto" w:fill="FFFFFF" w:themeFill="background1"/>
          </w:tcPr>
          <w:p w:rsidR="00070C7C" w:rsidRPr="006364CB" w:rsidRDefault="00070C7C" w:rsidP="00B633D0">
            <w:pPr>
              <w:pStyle w:val="ListParagraph"/>
              <w:spacing w:after="0" w:line="240" w:lineRule="exact"/>
              <w:ind w:left="0"/>
              <w:jc w:val="center"/>
              <w:rPr>
                <w:rFonts w:cs="Times New Roman"/>
                <w:sz w:val="20"/>
                <w:szCs w:val="20"/>
              </w:rPr>
            </w:pPr>
            <w:r w:rsidRPr="006364CB">
              <w:rPr>
                <w:rFonts w:cs="Times New Roman"/>
                <w:sz w:val="20"/>
                <w:szCs w:val="20"/>
              </w:rPr>
              <w:t>20%</w:t>
            </w:r>
          </w:p>
        </w:tc>
        <w:tc>
          <w:tcPr>
            <w:tcW w:w="494" w:type="pct"/>
            <w:shd w:val="clear" w:color="auto" w:fill="FFFFFF" w:themeFill="background1"/>
          </w:tcPr>
          <w:p w:rsidR="00070C7C" w:rsidRPr="006364CB" w:rsidRDefault="00070C7C" w:rsidP="00B633D0">
            <w:pPr>
              <w:pStyle w:val="ListParagraph"/>
              <w:spacing w:after="0" w:line="240" w:lineRule="exact"/>
              <w:ind w:left="0"/>
              <w:jc w:val="center"/>
              <w:rPr>
                <w:rFonts w:cs="Times New Roman"/>
                <w:sz w:val="18"/>
                <w:szCs w:val="18"/>
              </w:rPr>
            </w:pPr>
            <w:r w:rsidRPr="006364CB">
              <w:rPr>
                <w:rFonts w:cs="Times New Roman"/>
                <w:sz w:val="18"/>
                <w:szCs w:val="18"/>
              </w:rPr>
              <w:t>19990510</w:t>
            </w:r>
          </w:p>
        </w:tc>
      </w:tr>
      <w:tr w:rsidR="00711EC4" w:rsidRPr="00105FBE" w:rsidTr="00711EC4">
        <w:trPr>
          <w:trHeight w:val="188"/>
          <w:jc w:val="center"/>
        </w:trPr>
        <w:tc>
          <w:tcPr>
            <w:tcW w:w="985" w:type="pct"/>
            <w:shd w:val="clear" w:color="auto" w:fill="FFFFFF" w:themeFill="background1"/>
          </w:tcPr>
          <w:p w:rsidR="00105FBE" w:rsidRPr="002B3C31" w:rsidRDefault="00105FBE" w:rsidP="00105FBE">
            <w:pPr>
              <w:pStyle w:val="ListParagraph"/>
              <w:spacing w:after="0" w:line="240" w:lineRule="exact"/>
              <w:ind w:left="0"/>
              <w:jc w:val="both"/>
              <w:rPr>
                <w:rFonts w:cs="Times New Roman"/>
                <w:sz w:val="20"/>
                <w:szCs w:val="20"/>
              </w:rPr>
            </w:pPr>
            <w:r w:rsidRPr="002B3C31">
              <w:rPr>
                <w:rFonts w:cs="Times New Roman"/>
                <w:sz w:val="20"/>
                <w:szCs w:val="20"/>
              </w:rPr>
              <w:t>Cervical Neck Pain**</w:t>
            </w:r>
          </w:p>
        </w:tc>
        <w:tc>
          <w:tcPr>
            <w:tcW w:w="974" w:type="pct"/>
            <w:gridSpan w:val="2"/>
            <w:shd w:val="clear" w:color="auto" w:fill="FFFFFF" w:themeFill="background1"/>
          </w:tcPr>
          <w:p w:rsidR="00105FBE" w:rsidRPr="006364CB" w:rsidRDefault="00105FBE" w:rsidP="00693A3C">
            <w:pPr>
              <w:pStyle w:val="ListParagraph"/>
              <w:spacing w:after="0" w:line="240" w:lineRule="exact"/>
              <w:ind w:left="0"/>
              <w:jc w:val="center"/>
              <w:rPr>
                <w:rFonts w:cs="Times New Roman"/>
                <w:sz w:val="20"/>
                <w:szCs w:val="20"/>
              </w:rPr>
            </w:pPr>
            <w:r w:rsidRPr="006364CB">
              <w:rPr>
                <w:rFonts w:cs="Times New Roman"/>
                <w:sz w:val="20"/>
                <w:szCs w:val="20"/>
              </w:rPr>
              <w:t>W</w:t>
            </w:r>
            <w:r w:rsidR="00693A3C" w:rsidRPr="006364CB">
              <w:rPr>
                <w:rFonts w:cs="Times New Roman"/>
                <w:sz w:val="20"/>
                <w:szCs w:val="20"/>
              </w:rPr>
              <w:t>/</w:t>
            </w:r>
            <w:r w:rsidRPr="006364CB">
              <w:rPr>
                <w:rFonts w:cs="Times New Roman"/>
                <w:sz w:val="20"/>
                <w:szCs w:val="20"/>
              </w:rPr>
              <w:t xml:space="preserve"> LBP</w:t>
            </w:r>
            <w:r w:rsidR="00693A3C" w:rsidRPr="006364CB">
              <w:rPr>
                <w:rFonts w:cs="Times New Roman"/>
                <w:sz w:val="20"/>
                <w:szCs w:val="20"/>
              </w:rPr>
              <w:t>: 5299-5003</w:t>
            </w:r>
          </w:p>
        </w:tc>
        <w:tc>
          <w:tcPr>
            <w:tcW w:w="701" w:type="pct"/>
            <w:shd w:val="clear" w:color="auto" w:fill="FFFFFF" w:themeFill="background1"/>
          </w:tcPr>
          <w:p w:rsidR="00105FBE" w:rsidRPr="006364CB" w:rsidRDefault="00105FBE" w:rsidP="00105FBE">
            <w:pPr>
              <w:pStyle w:val="ListParagraph"/>
              <w:spacing w:after="0" w:line="240" w:lineRule="exact"/>
              <w:ind w:left="0"/>
              <w:jc w:val="both"/>
              <w:rPr>
                <w:rFonts w:cs="Times New Roman"/>
                <w:sz w:val="20"/>
                <w:szCs w:val="20"/>
              </w:rPr>
            </w:pPr>
            <w:r w:rsidRPr="006364CB">
              <w:rPr>
                <w:rFonts w:cs="Times New Roman"/>
                <w:sz w:val="20"/>
                <w:szCs w:val="20"/>
              </w:rPr>
              <w:t>Not Unfitting</w:t>
            </w:r>
          </w:p>
        </w:tc>
        <w:tc>
          <w:tcPr>
            <w:tcW w:w="1054" w:type="pct"/>
            <w:shd w:val="clear" w:color="auto" w:fill="FFFFFF" w:themeFill="background1"/>
          </w:tcPr>
          <w:p w:rsidR="00105FBE" w:rsidRPr="006364CB" w:rsidRDefault="00105FBE" w:rsidP="00B633D0">
            <w:pPr>
              <w:pStyle w:val="ListParagraph"/>
              <w:spacing w:after="0" w:line="240" w:lineRule="exact"/>
              <w:ind w:left="0"/>
              <w:jc w:val="both"/>
              <w:rPr>
                <w:rFonts w:cs="Times New Roman"/>
                <w:sz w:val="20"/>
                <w:szCs w:val="20"/>
              </w:rPr>
            </w:pPr>
            <w:r w:rsidRPr="006364CB">
              <w:rPr>
                <w:rFonts w:cs="Times New Roman"/>
                <w:sz w:val="20"/>
                <w:szCs w:val="20"/>
              </w:rPr>
              <w:t>Cervical Muscle Strain</w:t>
            </w:r>
          </w:p>
        </w:tc>
        <w:tc>
          <w:tcPr>
            <w:tcW w:w="373" w:type="pct"/>
            <w:shd w:val="clear" w:color="auto" w:fill="FFFFFF" w:themeFill="background1"/>
          </w:tcPr>
          <w:p w:rsidR="00105FBE" w:rsidRPr="006364CB" w:rsidRDefault="00105FBE" w:rsidP="00C90E4F">
            <w:pPr>
              <w:pStyle w:val="ListParagraph"/>
              <w:spacing w:after="0" w:line="240" w:lineRule="exact"/>
              <w:ind w:left="0"/>
              <w:jc w:val="center"/>
              <w:rPr>
                <w:rFonts w:cs="Times New Roman"/>
                <w:sz w:val="20"/>
                <w:szCs w:val="20"/>
              </w:rPr>
            </w:pPr>
            <w:r w:rsidRPr="006364CB">
              <w:rPr>
                <w:rFonts w:cs="Times New Roman"/>
                <w:sz w:val="20"/>
                <w:szCs w:val="20"/>
              </w:rPr>
              <w:t>5290</w:t>
            </w:r>
          </w:p>
        </w:tc>
        <w:tc>
          <w:tcPr>
            <w:tcW w:w="419" w:type="pct"/>
            <w:shd w:val="clear" w:color="auto" w:fill="FFFFFF" w:themeFill="background1"/>
          </w:tcPr>
          <w:p w:rsidR="00105FBE" w:rsidRPr="006364CB" w:rsidRDefault="00105FBE" w:rsidP="00C90E4F">
            <w:pPr>
              <w:pStyle w:val="ListParagraph"/>
              <w:spacing w:after="0" w:line="240" w:lineRule="exact"/>
              <w:ind w:left="0"/>
              <w:jc w:val="center"/>
              <w:rPr>
                <w:rFonts w:cs="Times New Roman"/>
                <w:sz w:val="20"/>
                <w:szCs w:val="20"/>
              </w:rPr>
            </w:pPr>
            <w:r w:rsidRPr="006364CB">
              <w:rPr>
                <w:rFonts w:cs="Times New Roman"/>
                <w:sz w:val="20"/>
                <w:szCs w:val="20"/>
              </w:rPr>
              <w:t>10%</w:t>
            </w:r>
          </w:p>
        </w:tc>
        <w:tc>
          <w:tcPr>
            <w:tcW w:w="494" w:type="pct"/>
            <w:shd w:val="clear" w:color="auto" w:fill="FFFFFF" w:themeFill="background1"/>
          </w:tcPr>
          <w:p w:rsidR="00105FBE" w:rsidRPr="006364CB" w:rsidRDefault="00105FBE" w:rsidP="00C90E4F">
            <w:pPr>
              <w:pStyle w:val="ListParagraph"/>
              <w:spacing w:after="0" w:line="240" w:lineRule="exact"/>
              <w:ind w:left="0"/>
              <w:jc w:val="center"/>
              <w:rPr>
                <w:rFonts w:cs="Times New Roman"/>
                <w:sz w:val="18"/>
                <w:szCs w:val="18"/>
              </w:rPr>
            </w:pPr>
            <w:r w:rsidRPr="006364CB">
              <w:rPr>
                <w:rFonts w:cs="Times New Roman"/>
                <w:sz w:val="18"/>
                <w:szCs w:val="18"/>
              </w:rPr>
              <w:t>19990510</w:t>
            </w:r>
          </w:p>
        </w:tc>
      </w:tr>
      <w:tr w:rsidR="00711EC4" w:rsidRPr="00105FBE" w:rsidTr="00711EC4">
        <w:trPr>
          <w:trHeight w:val="188"/>
          <w:jc w:val="center"/>
        </w:trPr>
        <w:tc>
          <w:tcPr>
            <w:tcW w:w="2660" w:type="pct"/>
            <w:gridSpan w:val="4"/>
            <w:vMerge w:val="restart"/>
            <w:shd w:val="clear" w:color="auto" w:fill="FFFFFF" w:themeFill="background1"/>
          </w:tcPr>
          <w:p w:rsidR="00711EC4" w:rsidRPr="002B3C31" w:rsidRDefault="00711EC4" w:rsidP="00105FBE">
            <w:pPr>
              <w:pStyle w:val="ListParagraph"/>
              <w:spacing w:after="0" w:line="240" w:lineRule="exact"/>
              <w:ind w:left="0"/>
              <w:jc w:val="center"/>
              <w:rPr>
                <w:rFonts w:cs="Times New Roman"/>
                <w:sz w:val="20"/>
                <w:szCs w:val="20"/>
              </w:rPr>
            </w:pPr>
            <w:r w:rsidRPr="002B3C31">
              <w:rPr>
                <w:rFonts w:cs="Times New Roman"/>
                <w:sz w:val="20"/>
                <w:szCs w:val="20"/>
              </w:rPr>
              <w:t>↓No Additional MEB/PEB Entries↓</w:t>
            </w:r>
          </w:p>
        </w:tc>
        <w:tc>
          <w:tcPr>
            <w:tcW w:w="1054" w:type="pct"/>
            <w:shd w:val="clear" w:color="auto" w:fill="FFFFFF" w:themeFill="background1"/>
          </w:tcPr>
          <w:p w:rsidR="00711EC4" w:rsidRPr="002B3C31" w:rsidRDefault="00711EC4" w:rsidP="00B633D0">
            <w:pPr>
              <w:pStyle w:val="ListParagraph"/>
              <w:spacing w:after="0" w:line="240" w:lineRule="exact"/>
              <w:ind w:left="0"/>
              <w:jc w:val="both"/>
              <w:rPr>
                <w:rFonts w:cs="Times New Roman"/>
                <w:sz w:val="20"/>
                <w:szCs w:val="20"/>
              </w:rPr>
            </w:pPr>
            <w:r w:rsidRPr="002B3C31">
              <w:rPr>
                <w:rFonts w:cs="Times New Roman"/>
                <w:sz w:val="20"/>
                <w:szCs w:val="20"/>
              </w:rPr>
              <w:t>Hypertension</w:t>
            </w:r>
          </w:p>
        </w:tc>
        <w:tc>
          <w:tcPr>
            <w:tcW w:w="373" w:type="pct"/>
            <w:shd w:val="clear" w:color="auto" w:fill="FFFFFF" w:themeFill="background1"/>
          </w:tcPr>
          <w:p w:rsidR="00711EC4" w:rsidRPr="002B3C31" w:rsidRDefault="00711EC4" w:rsidP="00913501">
            <w:pPr>
              <w:pStyle w:val="ListParagraph"/>
              <w:spacing w:after="0" w:line="240" w:lineRule="exact"/>
              <w:ind w:left="0"/>
              <w:jc w:val="center"/>
              <w:rPr>
                <w:rFonts w:cs="Times New Roman"/>
                <w:sz w:val="20"/>
                <w:szCs w:val="20"/>
              </w:rPr>
            </w:pPr>
            <w:r w:rsidRPr="002B3C31">
              <w:rPr>
                <w:rFonts w:cs="Times New Roman"/>
                <w:sz w:val="20"/>
                <w:szCs w:val="20"/>
              </w:rPr>
              <w:t>7101</w:t>
            </w:r>
          </w:p>
        </w:tc>
        <w:tc>
          <w:tcPr>
            <w:tcW w:w="419" w:type="pct"/>
            <w:shd w:val="clear" w:color="auto" w:fill="FFFFFF" w:themeFill="background1"/>
          </w:tcPr>
          <w:p w:rsidR="00711EC4" w:rsidRPr="002B3C31" w:rsidRDefault="00711EC4" w:rsidP="00913501">
            <w:pPr>
              <w:pStyle w:val="ListParagraph"/>
              <w:spacing w:after="0" w:line="240" w:lineRule="exact"/>
              <w:ind w:left="0"/>
              <w:jc w:val="center"/>
              <w:rPr>
                <w:rFonts w:cs="Times New Roman"/>
                <w:sz w:val="20"/>
                <w:szCs w:val="20"/>
              </w:rPr>
            </w:pPr>
            <w:r w:rsidRPr="002B3C31">
              <w:rPr>
                <w:rFonts w:cs="Times New Roman"/>
                <w:sz w:val="20"/>
                <w:szCs w:val="20"/>
              </w:rPr>
              <w:t>0%</w:t>
            </w:r>
          </w:p>
        </w:tc>
        <w:tc>
          <w:tcPr>
            <w:tcW w:w="494" w:type="pct"/>
            <w:shd w:val="clear" w:color="auto" w:fill="FFFFFF" w:themeFill="background1"/>
          </w:tcPr>
          <w:p w:rsidR="00711EC4" w:rsidRPr="00913501" w:rsidRDefault="00711EC4" w:rsidP="00913501">
            <w:pPr>
              <w:pStyle w:val="ListParagraph"/>
              <w:spacing w:after="0" w:line="240" w:lineRule="exact"/>
              <w:ind w:left="0"/>
              <w:jc w:val="center"/>
              <w:rPr>
                <w:rFonts w:cs="Times New Roman"/>
                <w:sz w:val="18"/>
                <w:szCs w:val="18"/>
              </w:rPr>
            </w:pPr>
            <w:r w:rsidRPr="006364CB">
              <w:rPr>
                <w:rFonts w:cs="Times New Roman"/>
                <w:sz w:val="18"/>
                <w:szCs w:val="18"/>
              </w:rPr>
              <w:t>19990510</w:t>
            </w:r>
          </w:p>
        </w:tc>
      </w:tr>
      <w:tr w:rsidR="00711EC4" w:rsidRPr="00105FBE" w:rsidTr="00711EC4">
        <w:trPr>
          <w:trHeight w:val="188"/>
          <w:jc w:val="center"/>
        </w:trPr>
        <w:tc>
          <w:tcPr>
            <w:tcW w:w="2660" w:type="pct"/>
            <w:gridSpan w:val="4"/>
            <w:vMerge/>
            <w:shd w:val="clear" w:color="auto" w:fill="FFFFFF" w:themeFill="background1"/>
          </w:tcPr>
          <w:p w:rsidR="00711EC4" w:rsidRPr="002B3C31" w:rsidRDefault="00711EC4" w:rsidP="00105FBE">
            <w:pPr>
              <w:pStyle w:val="ListParagraph"/>
              <w:spacing w:after="0" w:line="240" w:lineRule="exact"/>
              <w:ind w:left="0"/>
              <w:jc w:val="center"/>
              <w:rPr>
                <w:rFonts w:cs="Times New Roman"/>
                <w:sz w:val="20"/>
                <w:szCs w:val="20"/>
              </w:rPr>
            </w:pPr>
          </w:p>
        </w:tc>
        <w:tc>
          <w:tcPr>
            <w:tcW w:w="2340" w:type="pct"/>
            <w:gridSpan w:val="4"/>
            <w:shd w:val="clear" w:color="auto" w:fill="FFFFFF" w:themeFill="background1"/>
          </w:tcPr>
          <w:p w:rsidR="00711EC4" w:rsidRPr="006364CB" w:rsidRDefault="00711EC4" w:rsidP="00711EC4">
            <w:pPr>
              <w:pStyle w:val="ListParagraph"/>
              <w:spacing w:after="0" w:line="240" w:lineRule="exact"/>
              <w:ind w:left="0"/>
              <w:jc w:val="center"/>
              <w:rPr>
                <w:rFonts w:cs="Times New Roman"/>
                <w:sz w:val="18"/>
                <w:szCs w:val="18"/>
              </w:rPr>
            </w:pPr>
            <w:r w:rsidRPr="00711EC4">
              <w:rPr>
                <w:rFonts w:cs="Times New Roman"/>
                <w:sz w:val="20"/>
                <w:szCs w:val="20"/>
              </w:rPr>
              <w:t>2 X NSC</w:t>
            </w:r>
          </w:p>
        </w:tc>
      </w:tr>
      <w:tr w:rsidR="002B7F38" w:rsidRPr="00105FBE" w:rsidTr="00D45001">
        <w:trPr>
          <w:trHeight w:val="242"/>
          <w:jc w:val="center"/>
        </w:trPr>
        <w:tc>
          <w:tcPr>
            <w:tcW w:w="2660" w:type="pct"/>
            <w:gridSpan w:val="4"/>
            <w:shd w:val="clear" w:color="auto" w:fill="D9D9D9" w:themeFill="background1" w:themeFillShade="D9"/>
          </w:tcPr>
          <w:p w:rsidR="0055026C" w:rsidRPr="002B3C31" w:rsidRDefault="0055026C" w:rsidP="00105FBE">
            <w:pPr>
              <w:pStyle w:val="ListParagraph"/>
              <w:spacing w:after="0" w:line="240" w:lineRule="exact"/>
              <w:ind w:left="0"/>
              <w:jc w:val="center"/>
              <w:rPr>
                <w:rFonts w:cs="Times New Roman"/>
                <w:b/>
                <w:sz w:val="20"/>
                <w:szCs w:val="20"/>
              </w:rPr>
            </w:pPr>
            <w:r w:rsidRPr="002B3C31">
              <w:rPr>
                <w:rFonts w:cs="Times New Roman"/>
                <w:b/>
                <w:sz w:val="20"/>
                <w:szCs w:val="20"/>
              </w:rPr>
              <w:t xml:space="preserve">TOTAL Combined:  </w:t>
            </w:r>
            <w:r w:rsidR="00070C7C" w:rsidRPr="002B3C31">
              <w:rPr>
                <w:rFonts w:cs="Times New Roman"/>
                <w:b/>
                <w:sz w:val="20"/>
                <w:szCs w:val="20"/>
              </w:rPr>
              <w:t>20</w:t>
            </w:r>
            <w:r w:rsidRPr="002B3C31">
              <w:rPr>
                <w:rFonts w:cs="Times New Roman"/>
                <w:b/>
                <w:sz w:val="20"/>
                <w:szCs w:val="20"/>
              </w:rPr>
              <w:t>%</w:t>
            </w:r>
          </w:p>
        </w:tc>
        <w:tc>
          <w:tcPr>
            <w:tcW w:w="2340" w:type="pct"/>
            <w:gridSpan w:val="4"/>
            <w:shd w:val="clear" w:color="auto" w:fill="D9D9D9" w:themeFill="background1" w:themeFillShade="D9"/>
          </w:tcPr>
          <w:p w:rsidR="0055026C" w:rsidRPr="002B3C31" w:rsidRDefault="0055026C" w:rsidP="00105FBE">
            <w:pPr>
              <w:pStyle w:val="ListParagraph"/>
              <w:spacing w:after="0" w:line="240" w:lineRule="exact"/>
              <w:ind w:left="0"/>
              <w:jc w:val="center"/>
              <w:rPr>
                <w:rFonts w:cs="Times New Roman"/>
                <w:b/>
                <w:sz w:val="20"/>
                <w:szCs w:val="20"/>
              </w:rPr>
            </w:pPr>
            <w:r w:rsidRPr="002B3C31">
              <w:rPr>
                <w:rFonts w:cs="Times New Roman"/>
                <w:b/>
                <w:sz w:val="20"/>
                <w:szCs w:val="20"/>
              </w:rPr>
              <w:t>TOTAL Combined (</w:t>
            </w:r>
            <w:proofErr w:type="spellStart"/>
            <w:r w:rsidRPr="002B3C31">
              <w:rPr>
                <w:rFonts w:cs="Times New Roman"/>
                <w:b/>
                <w:i/>
                <w:sz w:val="20"/>
                <w:szCs w:val="20"/>
              </w:rPr>
              <w:t>Incl</w:t>
            </w:r>
            <w:proofErr w:type="spellEnd"/>
            <w:r w:rsidRPr="002B3C31">
              <w:rPr>
                <w:rFonts w:cs="Times New Roman"/>
                <w:b/>
                <w:i/>
                <w:sz w:val="20"/>
                <w:szCs w:val="20"/>
              </w:rPr>
              <w:t xml:space="preserve"> Non-PEB Conditions</w:t>
            </w:r>
            <w:r w:rsidRPr="002B3C31">
              <w:rPr>
                <w:rFonts w:cs="Times New Roman"/>
                <w:b/>
                <w:sz w:val="20"/>
                <w:szCs w:val="20"/>
              </w:rPr>
              <w:t xml:space="preserve">): </w:t>
            </w:r>
            <w:r w:rsidR="00105FBE" w:rsidRPr="002B3C31">
              <w:rPr>
                <w:rFonts w:cs="Times New Roman"/>
                <w:b/>
                <w:sz w:val="20"/>
                <w:szCs w:val="20"/>
              </w:rPr>
              <w:t xml:space="preserve"> </w:t>
            </w:r>
            <w:r w:rsidR="00070C7C" w:rsidRPr="002B3C31">
              <w:rPr>
                <w:rFonts w:cs="Times New Roman"/>
                <w:b/>
                <w:sz w:val="20"/>
                <w:szCs w:val="20"/>
              </w:rPr>
              <w:t>6</w:t>
            </w:r>
            <w:r w:rsidRPr="002B3C31">
              <w:rPr>
                <w:rFonts w:cs="Times New Roman"/>
                <w:b/>
                <w:sz w:val="20"/>
                <w:szCs w:val="20"/>
              </w:rPr>
              <w:t>0%</w:t>
            </w:r>
          </w:p>
        </w:tc>
      </w:tr>
    </w:tbl>
    <w:p w:rsidR="00156BA9" w:rsidRPr="00105FBE" w:rsidRDefault="00070C7C" w:rsidP="006F1B9D">
      <w:pPr>
        <w:spacing w:line="240" w:lineRule="exact"/>
        <w:jc w:val="both"/>
        <w:rPr>
          <w:rFonts w:asciiTheme="minorHAnsi" w:hAnsiTheme="minorHAnsi"/>
          <w:color w:val="auto"/>
          <w:sz w:val="18"/>
          <w:szCs w:val="18"/>
        </w:rPr>
      </w:pPr>
      <w:r w:rsidRPr="00B21284">
        <w:rPr>
          <w:rFonts w:asciiTheme="minorHAnsi" w:hAnsiTheme="minorHAnsi"/>
          <w:b/>
          <w:color w:val="auto"/>
          <w:sz w:val="18"/>
          <w:szCs w:val="18"/>
        </w:rPr>
        <w:t>Initial TDRL</w:t>
      </w:r>
      <w:r w:rsidR="0051245B">
        <w:rPr>
          <w:rFonts w:asciiTheme="minorHAnsi" w:hAnsiTheme="minorHAnsi"/>
          <w:b/>
          <w:color w:val="auto"/>
          <w:sz w:val="18"/>
          <w:szCs w:val="18"/>
        </w:rPr>
        <w:t xml:space="preserve">: </w:t>
      </w:r>
      <w:r w:rsidRPr="00B21284">
        <w:rPr>
          <w:rFonts w:asciiTheme="minorHAnsi" w:hAnsiTheme="minorHAnsi"/>
          <w:b/>
          <w:color w:val="auto"/>
          <w:sz w:val="18"/>
          <w:szCs w:val="18"/>
        </w:rPr>
        <w:t xml:space="preserve"> *Chronic</w:t>
      </w:r>
      <w:r w:rsidR="00144482">
        <w:rPr>
          <w:rFonts w:asciiTheme="minorHAnsi" w:hAnsiTheme="minorHAnsi"/>
          <w:b/>
          <w:color w:val="auto"/>
          <w:sz w:val="18"/>
          <w:szCs w:val="18"/>
        </w:rPr>
        <w:t xml:space="preserve"> low back pain</w:t>
      </w:r>
      <w:r w:rsidRPr="00B21284">
        <w:rPr>
          <w:rFonts w:asciiTheme="minorHAnsi" w:hAnsiTheme="minorHAnsi"/>
          <w:b/>
          <w:color w:val="auto"/>
          <w:sz w:val="18"/>
          <w:szCs w:val="18"/>
        </w:rPr>
        <w:t xml:space="preserve"> and **Cervical </w:t>
      </w:r>
      <w:r w:rsidR="007E40DE">
        <w:rPr>
          <w:rFonts w:asciiTheme="minorHAnsi" w:hAnsiTheme="minorHAnsi"/>
          <w:b/>
          <w:color w:val="auto"/>
          <w:sz w:val="18"/>
          <w:szCs w:val="18"/>
        </w:rPr>
        <w:t>n</w:t>
      </w:r>
      <w:r w:rsidRPr="00B21284">
        <w:rPr>
          <w:rFonts w:asciiTheme="minorHAnsi" w:hAnsiTheme="minorHAnsi"/>
          <w:b/>
          <w:color w:val="auto"/>
          <w:sz w:val="18"/>
          <w:szCs w:val="18"/>
        </w:rPr>
        <w:t xml:space="preserve">eck </w:t>
      </w:r>
      <w:r w:rsidR="007E40DE">
        <w:rPr>
          <w:rFonts w:asciiTheme="minorHAnsi" w:hAnsiTheme="minorHAnsi"/>
          <w:b/>
          <w:color w:val="auto"/>
          <w:sz w:val="18"/>
          <w:szCs w:val="18"/>
        </w:rPr>
        <w:t>p</w:t>
      </w:r>
      <w:r w:rsidRPr="00B21284">
        <w:rPr>
          <w:rFonts w:asciiTheme="minorHAnsi" w:hAnsiTheme="minorHAnsi"/>
          <w:b/>
          <w:color w:val="auto"/>
          <w:sz w:val="18"/>
          <w:szCs w:val="18"/>
        </w:rPr>
        <w:t>ain were combined</w:t>
      </w:r>
      <w:r w:rsidR="00693A3C">
        <w:rPr>
          <w:rFonts w:asciiTheme="minorHAnsi" w:hAnsiTheme="minorHAnsi"/>
          <w:b/>
          <w:color w:val="auto"/>
          <w:sz w:val="18"/>
          <w:szCs w:val="18"/>
        </w:rPr>
        <w:t xml:space="preserve"> under 5299-5003</w:t>
      </w:r>
      <w:r w:rsidR="00D45001">
        <w:rPr>
          <w:rFonts w:asciiTheme="minorHAnsi" w:hAnsiTheme="minorHAnsi"/>
          <w:b/>
          <w:color w:val="auto"/>
          <w:sz w:val="18"/>
          <w:szCs w:val="18"/>
        </w:rPr>
        <w:t xml:space="preserve"> @20%</w:t>
      </w:r>
      <w:r w:rsidRPr="00B21284">
        <w:rPr>
          <w:rFonts w:asciiTheme="minorHAnsi" w:hAnsiTheme="minorHAnsi"/>
          <w:b/>
          <w:color w:val="auto"/>
          <w:sz w:val="18"/>
          <w:szCs w:val="18"/>
        </w:rPr>
        <w:t xml:space="preserve">.  During </w:t>
      </w:r>
      <w:r w:rsidR="00105FBE" w:rsidRPr="00B21284">
        <w:rPr>
          <w:rFonts w:asciiTheme="minorHAnsi" w:hAnsiTheme="minorHAnsi"/>
          <w:b/>
          <w:color w:val="auto"/>
          <w:sz w:val="18"/>
          <w:szCs w:val="18"/>
        </w:rPr>
        <w:t>r</w:t>
      </w:r>
      <w:r w:rsidRPr="00B21284">
        <w:rPr>
          <w:rFonts w:asciiTheme="minorHAnsi" w:hAnsiTheme="minorHAnsi"/>
          <w:b/>
          <w:color w:val="auto"/>
          <w:sz w:val="18"/>
          <w:szCs w:val="18"/>
        </w:rPr>
        <w:t>e-</w:t>
      </w:r>
      <w:r w:rsidR="00105FBE" w:rsidRPr="00B21284">
        <w:rPr>
          <w:rFonts w:asciiTheme="minorHAnsi" w:hAnsiTheme="minorHAnsi"/>
          <w:b/>
          <w:color w:val="auto"/>
          <w:sz w:val="18"/>
          <w:szCs w:val="18"/>
        </w:rPr>
        <w:t>e</w:t>
      </w:r>
      <w:r w:rsidRPr="00B21284">
        <w:rPr>
          <w:rFonts w:asciiTheme="minorHAnsi" w:hAnsiTheme="minorHAnsi"/>
          <w:b/>
          <w:color w:val="auto"/>
          <w:sz w:val="18"/>
          <w:szCs w:val="18"/>
        </w:rPr>
        <w:t xml:space="preserve">valuation dated 20000918 </w:t>
      </w:r>
      <w:proofErr w:type="gramStart"/>
      <w:r w:rsidRPr="00B21284">
        <w:rPr>
          <w:rFonts w:asciiTheme="minorHAnsi" w:hAnsiTheme="minorHAnsi"/>
          <w:b/>
          <w:color w:val="auto"/>
          <w:sz w:val="18"/>
          <w:szCs w:val="18"/>
        </w:rPr>
        <w:t>Cervical</w:t>
      </w:r>
      <w:proofErr w:type="gramEnd"/>
      <w:r w:rsidRPr="00B21284">
        <w:rPr>
          <w:rFonts w:asciiTheme="minorHAnsi" w:hAnsiTheme="minorHAnsi"/>
          <w:b/>
          <w:color w:val="auto"/>
          <w:sz w:val="18"/>
          <w:szCs w:val="18"/>
        </w:rPr>
        <w:t xml:space="preserve"> </w:t>
      </w:r>
      <w:r w:rsidR="007E40DE">
        <w:rPr>
          <w:rFonts w:asciiTheme="minorHAnsi" w:hAnsiTheme="minorHAnsi"/>
          <w:b/>
          <w:color w:val="auto"/>
          <w:sz w:val="18"/>
          <w:szCs w:val="18"/>
        </w:rPr>
        <w:t>n</w:t>
      </w:r>
      <w:r w:rsidRPr="00B21284">
        <w:rPr>
          <w:rFonts w:asciiTheme="minorHAnsi" w:hAnsiTheme="minorHAnsi"/>
          <w:b/>
          <w:color w:val="auto"/>
          <w:sz w:val="18"/>
          <w:szCs w:val="18"/>
        </w:rPr>
        <w:t xml:space="preserve">eck </w:t>
      </w:r>
      <w:r w:rsidR="007E40DE">
        <w:rPr>
          <w:rFonts w:asciiTheme="minorHAnsi" w:hAnsiTheme="minorHAnsi"/>
          <w:b/>
          <w:color w:val="auto"/>
          <w:sz w:val="18"/>
          <w:szCs w:val="18"/>
        </w:rPr>
        <w:t>p</w:t>
      </w:r>
      <w:r w:rsidRPr="00B21284">
        <w:rPr>
          <w:rFonts w:asciiTheme="minorHAnsi" w:hAnsiTheme="minorHAnsi"/>
          <w:b/>
          <w:color w:val="auto"/>
          <w:sz w:val="18"/>
          <w:szCs w:val="18"/>
        </w:rPr>
        <w:t>ain was</w:t>
      </w:r>
      <w:r w:rsidR="00C90E4F" w:rsidRPr="00B21284">
        <w:rPr>
          <w:rFonts w:asciiTheme="minorHAnsi" w:hAnsiTheme="minorHAnsi"/>
          <w:b/>
          <w:color w:val="auto"/>
          <w:sz w:val="18"/>
          <w:szCs w:val="18"/>
        </w:rPr>
        <w:t xml:space="preserve"> considered resolved and adjudicat</w:t>
      </w:r>
      <w:r w:rsidRPr="00B21284">
        <w:rPr>
          <w:rFonts w:asciiTheme="minorHAnsi" w:hAnsiTheme="minorHAnsi"/>
          <w:b/>
          <w:color w:val="auto"/>
          <w:sz w:val="18"/>
          <w:szCs w:val="18"/>
        </w:rPr>
        <w:t>ed</w:t>
      </w:r>
      <w:r w:rsidR="00C90E4F" w:rsidRPr="00B21284">
        <w:rPr>
          <w:rFonts w:asciiTheme="minorHAnsi" w:hAnsiTheme="minorHAnsi"/>
          <w:b/>
          <w:color w:val="auto"/>
          <w:sz w:val="18"/>
          <w:szCs w:val="18"/>
        </w:rPr>
        <w:t xml:space="preserve"> as</w:t>
      </w:r>
      <w:r w:rsidRPr="00B21284">
        <w:rPr>
          <w:rFonts w:asciiTheme="minorHAnsi" w:hAnsiTheme="minorHAnsi"/>
          <w:b/>
          <w:color w:val="auto"/>
          <w:sz w:val="18"/>
          <w:szCs w:val="18"/>
        </w:rPr>
        <w:t xml:space="preserve"> </w:t>
      </w:r>
      <w:r w:rsidR="00C90E4F" w:rsidRPr="00B21284">
        <w:rPr>
          <w:rFonts w:asciiTheme="minorHAnsi" w:hAnsiTheme="minorHAnsi"/>
          <w:b/>
          <w:color w:val="auto"/>
          <w:sz w:val="18"/>
          <w:szCs w:val="18"/>
        </w:rPr>
        <w:t>“</w:t>
      </w:r>
      <w:r w:rsidRPr="00B21284">
        <w:rPr>
          <w:rFonts w:asciiTheme="minorHAnsi" w:hAnsiTheme="minorHAnsi"/>
          <w:b/>
          <w:color w:val="auto"/>
          <w:sz w:val="18"/>
          <w:szCs w:val="18"/>
        </w:rPr>
        <w:t>Not Unfitting</w:t>
      </w:r>
      <w:r w:rsidR="00B21284">
        <w:rPr>
          <w:rFonts w:asciiTheme="minorHAnsi" w:hAnsiTheme="minorHAnsi"/>
          <w:b/>
          <w:color w:val="auto"/>
          <w:sz w:val="18"/>
          <w:szCs w:val="18"/>
        </w:rPr>
        <w:t>.</w:t>
      </w:r>
      <w:r w:rsidR="00C90E4F" w:rsidRPr="00B21284">
        <w:rPr>
          <w:rFonts w:asciiTheme="minorHAnsi" w:hAnsiTheme="minorHAnsi"/>
          <w:b/>
          <w:color w:val="auto"/>
          <w:sz w:val="18"/>
          <w:szCs w:val="18"/>
        </w:rPr>
        <w:t>”</w:t>
      </w:r>
      <w:r w:rsidR="00B21284">
        <w:rPr>
          <w:rFonts w:asciiTheme="minorHAnsi" w:hAnsiTheme="minorHAnsi"/>
          <w:b/>
          <w:color w:val="auto"/>
          <w:sz w:val="18"/>
          <w:szCs w:val="18"/>
        </w:rPr>
        <w:t xml:space="preserve">  </w:t>
      </w:r>
      <w:r w:rsidR="00693A3C">
        <w:rPr>
          <w:rFonts w:asciiTheme="minorHAnsi" w:hAnsiTheme="minorHAnsi"/>
          <w:b/>
          <w:color w:val="auto"/>
          <w:sz w:val="18"/>
          <w:szCs w:val="18"/>
        </w:rPr>
        <w:t>Final LBP coding was 5299-5295</w:t>
      </w:r>
    </w:p>
    <w:p w:rsidR="002B3C31" w:rsidRPr="00105FBE" w:rsidRDefault="002B3C31" w:rsidP="002B3C31">
      <w:pPr>
        <w:pBdr>
          <w:bottom w:val="single" w:sz="12" w:space="1" w:color="auto"/>
        </w:pBdr>
        <w:tabs>
          <w:tab w:val="left" w:pos="288"/>
          <w:tab w:val="left" w:pos="4752"/>
        </w:tabs>
        <w:spacing w:line="240" w:lineRule="exact"/>
        <w:rPr>
          <w:rFonts w:ascii="Calibri" w:hAnsi="Calibri"/>
          <w:color w:val="auto"/>
          <w:szCs w:val="24"/>
        </w:rPr>
      </w:pPr>
    </w:p>
    <w:p w:rsidR="002B3C31" w:rsidRPr="00105FBE" w:rsidRDefault="002B3C31" w:rsidP="002B3C31">
      <w:pPr>
        <w:tabs>
          <w:tab w:val="left" w:pos="288"/>
          <w:tab w:val="left" w:pos="4752"/>
        </w:tabs>
        <w:spacing w:line="240" w:lineRule="exact"/>
        <w:rPr>
          <w:rFonts w:asciiTheme="minorHAnsi" w:hAnsiTheme="minorHAnsi"/>
          <w:color w:val="auto"/>
          <w:sz w:val="18"/>
          <w:szCs w:val="18"/>
          <w:u w:val="single"/>
        </w:rPr>
      </w:pPr>
    </w:p>
    <w:p w:rsidR="00EC4A5E" w:rsidRDefault="00EC4A5E" w:rsidP="002B3C31">
      <w:pPr>
        <w:tabs>
          <w:tab w:val="left" w:pos="288"/>
          <w:tab w:val="left" w:pos="4752"/>
        </w:tabs>
        <w:spacing w:line="240" w:lineRule="exact"/>
        <w:jc w:val="both"/>
        <w:rPr>
          <w:rFonts w:asciiTheme="minorHAnsi" w:hAnsiTheme="minorHAnsi"/>
          <w:color w:val="auto"/>
          <w:szCs w:val="24"/>
          <w:u w:val="single"/>
        </w:rPr>
      </w:pPr>
    </w:p>
    <w:p w:rsidR="00412A06" w:rsidRDefault="002C6E5B" w:rsidP="002B3C31">
      <w:pPr>
        <w:tabs>
          <w:tab w:val="left" w:pos="288"/>
          <w:tab w:val="left" w:pos="4752"/>
        </w:tabs>
        <w:spacing w:line="240" w:lineRule="exact"/>
        <w:jc w:val="both"/>
        <w:rPr>
          <w:rFonts w:asciiTheme="minorHAnsi" w:hAnsiTheme="minorHAnsi"/>
          <w:color w:val="auto"/>
          <w:szCs w:val="24"/>
        </w:rPr>
      </w:pPr>
      <w:r w:rsidRPr="00B21284">
        <w:rPr>
          <w:rFonts w:asciiTheme="minorHAnsi" w:hAnsiTheme="minorHAnsi"/>
          <w:color w:val="auto"/>
          <w:szCs w:val="24"/>
          <w:u w:val="single"/>
        </w:rPr>
        <w:lastRenderedPageBreak/>
        <w:t>ANALYSIS SUMMARY</w:t>
      </w:r>
      <w:r w:rsidRPr="00B21284">
        <w:rPr>
          <w:rFonts w:asciiTheme="minorHAnsi" w:hAnsiTheme="minorHAnsi"/>
          <w:color w:val="auto"/>
          <w:szCs w:val="24"/>
        </w:rPr>
        <w:t>:</w:t>
      </w:r>
      <w:r w:rsidR="004E51C1" w:rsidRPr="00B21284">
        <w:rPr>
          <w:rFonts w:asciiTheme="minorHAnsi" w:hAnsiTheme="minorHAnsi"/>
          <w:color w:val="auto"/>
          <w:szCs w:val="24"/>
        </w:rPr>
        <w:t xml:space="preserve">  </w:t>
      </w:r>
      <w:r w:rsidR="0051245B">
        <w:rPr>
          <w:rFonts w:asciiTheme="minorHAnsi" w:hAnsiTheme="minorHAnsi"/>
          <w:color w:val="auto"/>
          <w:szCs w:val="24"/>
        </w:rPr>
        <w:t>There was no evidence of a highly stressful event leading to his MDD and</w:t>
      </w:r>
      <w:r w:rsidR="007E40DE">
        <w:rPr>
          <w:rFonts w:asciiTheme="minorHAnsi" w:hAnsiTheme="minorHAnsi"/>
          <w:color w:val="auto"/>
          <w:szCs w:val="24"/>
        </w:rPr>
        <w:t>,</w:t>
      </w:r>
      <w:r w:rsidR="0051245B">
        <w:rPr>
          <w:rFonts w:asciiTheme="minorHAnsi" w:hAnsiTheme="minorHAnsi"/>
          <w:color w:val="auto"/>
          <w:szCs w:val="24"/>
        </w:rPr>
        <w:t xml:space="preserve"> therefore, the tenants of </w:t>
      </w:r>
      <w:r w:rsidR="0051245B" w:rsidRPr="00AE3316">
        <w:rPr>
          <w:rFonts w:asciiTheme="minorHAnsi" w:hAnsiTheme="minorHAnsi"/>
          <w:color w:val="auto"/>
          <w:szCs w:val="24"/>
        </w:rPr>
        <w:t>§</w:t>
      </w:r>
      <w:r w:rsidR="0051245B">
        <w:rPr>
          <w:rFonts w:asciiTheme="minorHAnsi" w:hAnsiTheme="minorHAnsi"/>
          <w:color w:val="auto"/>
          <w:szCs w:val="24"/>
        </w:rPr>
        <w:t xml:space="preserve">4.129 do not apply in this case.  Additionally, the CI had already been on a period of TDRL prior to final separation rating.  </w:t>
      </w:r>
      <w:r w:rsidR="00412A06">
        <w:rPr>
          <w:rFonts w:asciiTheme="minorHAnsi" w:hAnsiTheme="minorHAnsi"/>
          <w:color w:val="auto"/>
          <w:szCs w:val="24"/>
        </w:rPr>
        <w:t>This case is also adjudicated under the “old” spine rules</w:t>
      </w:r>
      <w:r w:rsidR="00FD41DF">
        <w:rPr>
          <w:rFonts w:asciiTheme="minorHAnsi" w:hAnsiTheme="minorHAnsi"/>
          <w:color w:val="auto"/>
          <w:szCs w:val="24"/>
        </w:rPr>
        <w:t xml:space="preserve"> (2003</w:t>
      </w:r>
      <w:r w:rsidR="00B449EA">
        <w:rPr>
          <w:rFonts w:asciiTheme="minorHAnsi" w:hAnsiTheme="minorHAnsi"/>
          <w:color w:val="auto"/>
          <w:szCs w:val="24"/>
        </w:rPr>
        <w:t xml:space="preserve"> Veterans Administration Schedule of Rating Disabilities [</w:t>
      </w:r>
      <w:r w:rsidR="00FD41DF">
        <w:rPr>
          <w:rFonts w:asciiTheme="minorHAnsi" w:hAnsiTheme="minorHAnsi"/>
          <w:color w:val="auto"/>
          <w:szCs w:val="24"/>
        </w:rPr>
        <w:t>VASRD</w:t>
      </w:r>
      <w:r w:rsidR="00B449EA">
        <w:rPr>
          <w:rFonts w:asciiTheme="minorHAnsi" w:hAnsiTheme="minorHAnsi"/>
          <w:color w:val="auto"/>
          <w:szCs w:val="24"/>
        </w:rPr>
        <w:t>]</w:t>
      </w:r>
      <w:r w:rsidR="00FD41DF">
        <w:rPr>
          <w:rFonts w:asciiTheme="minorHAnsi" w:hAnsiTheme="minorHAnsi"/>
          <w:color w:val="auto"/>
          <w:szCs w:val="24"/>
        </w:rPr>
        <w:t>).  T</w:t>
      </w:r>
      <w:r w:rsidR="00412A06">
        <w:rPr>
          <w:rFonts w:asciiTheme="minorHAnsi" w:hAnsiTheme="minorHAnsi"/>
          <w:color w:val="auto"/>
          <w:szCs w:val="24"/>
        </w:rPr>
        <w:t xml:space="preserve">he current General Rating Formula for the Spine was </w:t>
      </w:r>
      <w:r w:rsidR="00FD41DF">
        <w:rPr>
          <w:rFonts w:asciiTheme="minorHAnsi" w:hAnsiTheme="minorHAnsi"/>
          <w:color w:val="auto"/>
          <w:szCs w:val="24"/>
        </w:rPr>
        <w:t>not effective until 20030826, and the VASRD spine rule changes of 20020823 (</w:t>
      </w:r>
      <w:r w:rsidR="00FD41DF" w:rsidRPr="00FD41DF">
        <w:rPr>
          <w:rFonts w:asciiTheme="minorHAnsi" w:hAnsiTheme="minorHAnsi"/>
          <w:color w:val="auto"/>
          <w:szCs w:val="24"/>
        </w:rPr>
        <w:t>52</w:t>
      </w:r>
      <w:r w:rsidR="00FD41DF">
        <w:rPr>
          <w:rFonts w:asciiTheme="minorHAnsi" w:hAnsiTheme="minorHAnsi"/>
          <w:color w:val="auto"/>
          <w:szCs w:val="24"/>
        </w:rPr>
        <w:t xml:space="preserve">93 </w:t>
      </w:r>
      <w:proofErr w:type="spellStart"/>
      <w:r w:rsidR="00FD41DF">
        <w:rPr>
          <w:rFonts w:asciiTheme="minorHAnsi" w:hAnsiTheme="minorHAnsi"/>
          <w:color w:val="auto"/>
          <w:szCs w:val="24"/>
        </w:rPr>
        <w:t>Intervertebral</w:t>
      </w:r>
      <w:proofErr w:type="spellEnd"/>
      <w:r w:rsidR="00FD41DF">
        <w:rPr>
          <w:rFonts w:asciiTheme="minorHAnsi" w:hAnsiTheme="minorHAnsi"/>
          <w:color w:val="auto"/>
          <w:szCs w:val="24"/>
        </w:rPr>
        <w:t xml:space="preserve"> </w:t>
      </w:r>
      <w:r w:rsidR="007E40DE">
        <w:rPr>
          <w:rFonts w:asciiTheme="minorHAnsi" w:hAnsiTheme="minorHAnsi"/>
          <w:color w:val="auto"/>
          <w:szCs w:val="24"/>
        </w:rPr>
        <w:t>D</w:t>
      </w:r>
      <w:r w:rsidR="00FD41DF">
        <w:rPr>
          <w:rFonts w:asciiTheme="minorHAnsi" w:hAnsiTheme="minorHAnsi"/>
          <w:color w:val="auto"/>
          <w:szCs w:val="24"/>
        </w:rPr>
        <w:t xml:space="preserve">isc </w:t>
      </w:r>
      <w:r w:rsidR="007E40DE">
        <w:rPr>
          <w:rFonts w:asciiTheme="minorHAnsi" w:hAnsiTheme="minorHAnsi"/>
          <w:color w:val="auto"/>
          <w:szCs w:val="24"/>
        </w:rPr>
        <w:t>S</w:t>
      </w:r>
      <w:r w:rsidR="00FD41DF">
        <w:rPr>
          <w:rFonts w:asciiTheme="minorHAnsi" w:hAnsiTheme="minorHAnsi"/>
          <w:color w:val="auto"/>
          <w:szCs w:val="24"/>
        </w:rPr>
        <w:t xml:space="preserve">yndrome) were considered but did not apply in this case.  </w:t>
      </w:r>
    </w:p>
    <w:p w:rsidR="0051245B" w:rsidRDefault="0051245B" w:rsidP="002B3C31">
      <w:pPr>
        <w:tabs>
          <w:tab w:val="left" w:pos="288"/>
          <w:tab w:val="left" w:pos="4752"/>
        </w:tabs>
        <w:spacing w:line="240" w:lineRule="exact"/>
        <w:jc w:val="both"/>
        <w:rPr>
          <w:rFonts w:asciiTheme="minorHAnsi" w:hAnsiTheme="minorHAnsi"/>
          <w:color w:val="auto"/>
          <w:szCs w:val="24"/>
        </w:rPr>
      </w:pPr>
    </w:p>
    <w:p w:rsidR="00412A06" w:rsidRDefault="006F1B9D" w:rsidP="002B3C31">
      <w:pPr>
        <w:autoSpaceDE w:val="0"/>
        <w:autoSpaceDN w:val="0"/>
        <w:adjustRightInd w:val="0"/>
        <w:spacing w:line="240" w:lineRule="exact"/>
        <w:jc w:val="both"/>
        <w:rPr>
          <w:rFonts w:asciiTheme="minorHAnsi" w:hAnsiTheme="minorHAnsi"/>
          <w:color w:val="auto"/>
          <w:szCs w:val="24"/>
        </w:rPr>
      </w:pPr>
      <w:r w:rsidRPr="00B57CF6">
        <w:rPr>
          <w:rFonts w:asciiTheme="minorHAnsi" w:hAnsiTheme="minorHAnsi"/>
          <w:color w:val="auto"/>
          <w:szCs w:val="24"/>
          <w:u w:val="single"/>
        </w:rPr>
        <w:t>Major Depressive Disorder</w:t>
      </w:r>
      <w:r w:rsidR="00B57CF6">
        <w:rPr>
          <w:rFonts w:asciiTheme="minorHAnsi" w:hAnsiTheme="minorHAnsi"/>
          <w:color w:val="auto"/>
          <w:szCs w:val="24"/>
          <w:u w:val="single"/>
        </w:rPr>
        <w:t>:</w:t>
      </w:r>
      <w:r w:rsidR="00B57CF6">
        <w:rPr>
          <w:rFonts w:asciiTheme="minorHAnsi" w:hAnsiTheme="minorHAnsi"/>
          <w:color w:val="auto"/>
          <w:szCs w:val="24"/>
        </w:rPr>
        <w:t xml:space="preserve"> </w:t>
      </w:r>
      <w:r w:rsidR="00E507F1">
        <w:rPr>
          <w:rFonts w:asciiTheme="minorHAnsi" w:hAnsiTheme="minorHAnsi"/>
          <w:color w:val="auto"/>
          <w:szCs w:val="24"/>
        </w:rPr>
        <w:t xml:space="preserve"> </w:t>
      </w:r>
      <w:r w:rsidR="00C82554">
        <w:rPr>
          <w:rFonts w:asciiTheme="minorHAnsi" w:hAnsiTheme="minorHAnsi"/>
          <w:color w:val="auto"/>
          <w:szCs w:val="24"/>
        </w:rPr>
        <w:t>T</w:t>
      </w:r>
      <w:r w:rsidR="00417F6F" w:rsidRPr="00417F6F">
        <w:rPr>
          <w:rFonts w:asciiTheme="minorHAnsi" w:hAnsiTheme="minorHAnsi"/>
          <w:color w:val="auto"/>
          <w:szCs w:val="24"/>
        </w:rPr>
        <w:t xml:space="preserve">he </w:t>
      </w:r>
      <w:r w:rsidR="00CB534E">
        <w:rPr>
          <w:rFonts w:asciiTheme="minorHAnsi" w:hAnsiTheme="minorHAnsi"/>
          <w:color w:val="auto"/>
          <w:szCs w:val="24"/>
        </w:rPr>
        <w:t xml:space="preserve">CI </w:t>
      </w:r>
      <w:r w:rsidR="00417F6F" w:rsidRPr="00417F6F">
        <w:rPr>
          <w:rFonts w:asciiTheme="minorHAnsi" w:hAnsiTheme="minorHAnsi"/>
          <w:color w:val="auto"/>
          <w:szCs w:val="24"/>
        </w:rPr>
        <w:t>noted the gradual onset</w:t>
      </w:r>
      <w:r w:rsidR="00417F6F">
        <w:rPr>
          <w:rFonts w:asciiTheme="minorHAnsi" w:hAnsiTheme="minorHAnsi"/>
          <w:color w:val="auto"/>
          <w:szCs w:val="24"/>
        </w:rPr>
        <w:t xml:space="preserve"> </w:t>
      </w:r>
      <w:r w:rsidR="00417F6F" w:rsidRPr="00417F6F">
        <w:rPr>
          <w:rFonts w:asciiTheme="minorHAnsi" w:hAnsiTheme="minorHAnsi"/>
          <w:color w:val="auto"/>
          <w:szCs w:val="24"/>
        </w:rPr>
        <w:t xml:space="preserve">of a progressively worsening </w:t>
      </w:r>
      <w:proofErr w:type="spellStart"/>
      <w:r w:rsidR="00417F6F" w:rsidRPr="00417F6F">
        <w:rPr>
          <w:rFonts w:asciiTheme="minorHAnsi" w:hAnsiTheme="minorHAnsi"/>
          <w:color w:val="auto"/>
          <w:szCs w:val="24"/>
        </w:rPr>
        <w:t>dysphoric</w:t>
      </w:r>
      <w:proofErr w:type="spellEnd"/>
      <w:r w:rsidR="00417F6F" w:rsidRPr="00417F6F">
        <w:rPr>
          <w:rFonts w:asciiTheme="minorHAnsi" w:hAnsiTheme="minorHAnsi"/>
          <w:color w:val="auto"/>
          <w:szCs w:val="24"/>
        </w:rPr>
        <w:t xml:space="preserve"> mood associated with pervasive</w:t>
      </w:r>
      <w:r w:rsidR="00417F6F">
        <w:rPr>
          <w:rFonts w:asciiTheme="minorHAnsi" w:hAnsiTheme="minorHAnsi"/>
          <w:color w:val="auto"/>
          <w:szCs w:val="24"/>
        </w:rPr>
        <w:t xml:space="preserve"> </w:t>
      </w:r>
      <w:proofErr w:type="spellStart"/>
      <w:r w:rsidR="00417F6F" w:rsidRPr="00417F6F">
        <w:rPr>
          <w:rFonts w:asciiTheme="minorHAnsi" w:hAnsiTheme="minorHAnsi"/>
          <w:color w:val="auto"/>
          <w:szCs w:val="24"/>
        </w:rPr>
        <w:t>anhedonia</w:t>
      </w:r>
      <w:proofErr w:type="spellEnd"/>
      <w:r w:rsidR="00417F6F" w:rsidRPr="00417F6F">
        <w:rPr>
          <w:rFonts w:asciiTheme="minorHAnsi" w:hAnsiTheme="minorHAnsi"/>
          <w:color w:val="auto"/>
          <w:szCs w:val="24"/>
        </w:rPr>
        <w:t>, early morning awakening, ten pound weight loss, difficulty</w:t>
      </w:r>
      <w:r w:rsidR="00417F6F">
        <w:rPr>
          <w:rFonts w:asciiTheme="minorHAnsi" w:hAnsiTheme="minorHAnsi"/>
          <w:color w:val="auto"/>
          <w:szCs w:val="24"/>
        </w:rPr>
        <w:t xml:space="preserve"> </w:t>
      </w:r>
      <w:r w:rsidR="00CB534E">
        <w:rPr>
          <w:rFonts w:asciiTheme="minorHAnsi" w:hAnsiTheme="minorHAnsi"/>
          <w:color w:val="auto"/>
          <w:szCs w:val="24"/>
        </w:rPr>
        <w:t xml:space="preserve">with both </w:t>
      </w:r>
      <w:r w:rsidR="00417F6F" w:rsidRPr="00417F6F">
        <w:rPr>
          <w:rFonts w:asciiTheme="minorHAnsi" w:hAnsiTheme="minorHAnsi"/>
          <w:color w:val="auto"/>
          <w:szCs w:val="24"/>
        </w:rPr>
        <w:t>c</w:t>
      </w:r>
      <w:r w:rsidR="003454DF">
        <w:rPr>
          <w:rFonts w:asciiTheme="minorHAnsi" w:hAnsiTheme="minorHAnsi"/>
          <w:color w:val="auto"/>
          <w:szCs w:val="24"/>
        </w:rPr>
        <w:t>oncentrati</w:t>
      </w:r>
      <w:r w:rsidR="00CB534E">
        <w:rPr>
          <w:rFonts w:asciiTheme="minorHAnsi" w:hAnsiTheme="minorHAnsi"/>
          <w:color w:val="auto"/>
          <w:szCs w:val="24"/>
        </w:rPr>
        <w:t>o</w:t>
      </w:r>
      <w:r w:rsidR="003454DF">
        <w:rPr>
          <w:rFonts w:asciiTheme="minorHAnsi" w:hAnsiTheme="minorHAnsi"/>
          <w:color w:val="auto"/>
          <w:szCs w:val="24"/>
        </w:rPr>
        <w:t xml:space="preserve">n and </w:t>
      </w:r>
      <w:r w:rsidR="00CB534E">
        <w:rPr>
          <w:rFonts w:asciiTheme="minorHAnsi" w:hAnsiTheme="minorHAnsi"/>
          <w:color w:val="auto"/>
          <w:szCs w:val="24"/>
        </w:rPr>
        <w:t>memory</w:t>
      </w:r>
      <w:r w:rsidR="003454DF">
        <w:rPr>
          <w:rFonts w:asciiTheme="minorHAnsi" w:hAnsiTheme="minorHAnsi"/>
          <w:color w:val="auto"/>
          <w:szCs w:val="24"/>
        </w:rPr>
        <w:t xml:space="preserve">, </w:t>
      </w:r>
      <w:proofErr w:type="spellStart"/>
      <w:r w:rsidR="003454DF">
        <w:rPr>
          <w:rFonts w:asciiTheme="minorHAnsi" w:hAnsiTheme="minorHAnsi"/>
          <w:color w:val="auto"/>
          <w:szCs w:val="24"/>
        </w:rPr>
        <w:t>an</w:t>
      </w:r>
      <w:r w:rsidR="00417F6F" w:rsidRPr="00417F6F">
        <w:rPr>
          <w:rFonts w:asciiTheme="minorHAnsi" w:hAnsiTheme="minorHAnsi"/>
          <w:color w:val="auto"/>
          <w:szCs w:val="24"/>
        </w:rPr>
        <w:t>ergia</w:t>
      </w:r>
      <w:proofErr w:type="spellEnd"/>
      <w:r w:rsidR="00417F6F" w:rsidRPr="00417F6F">
        <w:rPr>
          <w:rFonts w:asciiTheme="minorHAnsi" w:hAnsiTheme="minorHAnsi"/>
          <w:color w:val="auto"/>
          <w:szCs w:val="24"/>
        </w:rPr>
        <w:t>, and periods of behavioral change</w:t>
      </w:r>
      <w:r w:rsidR="00417F6F">
        <w:rPr>
          <w:rFonts w:asciiTheme="minorHAnsi" w:hAnsiTheme="minorHAnsi"/>
          <w:color w:val="auto"/>
          <w:szCs w:val="24"/>
        </w:rPr>
        <w:t xml:space="preserve"> </w:t>
      </w:r>
      <w:r w:rsidR="00CB534E">
        <w:rPr>
          <w:rFonts w:asciiTheme="minorHAnsi" w:hAnsiTheme="minorHAnsi"/>
          <w:color w:val="auto"/>
          <w:szCs w:val="24"/>
        </w:rPr>
        <w:t xml:space="preserve">which were </w:t>
      </w:r>
      <w:r w:rsidR="00417F6F" w:rsidRPr="00417F6F">
        <w:rPr>
          <w:rFonts w:asciiTheme="minorHAnsi" w:hAnsiTheme="minorHAnsi"/>
          <w:color w:val="auto"/>
          <w:szCs w:val="24"/>
        </w:rPr>
        <w:t xml:space="preserve">marked by agitation </w:t>
      </w:r>
      <w:r w:rsidR="00CB534E">
        <w:rPr>
          <w:rFonts w:asciiTheme="minorHAnsi" w:hAnsiTheme="minorHAnsi"/>
          <w:color w:val="auto"/>
          <w:szCs w:val="24"/>
        </w:rPr>
        <w:t xml:space="preserve">in which he had </w:t>
      </w:r>
      <w:r w:rsidR="00417F6F" w:rsidRPr="00417F6F">
        <w:rPr>
          <w:rFonts w:asciiTheme="minorHAnsi" w:hAnsiTheme="minorHAnsi"/>
          <w:color w:val="auto"/>
          <w:szCs w:val="24"/>
        </w:rPr>
        <w:t xml:space="preserve">difficulty expressing himself. </w:t>
      </w:r>
      <w:r w:rsidR="0051245B">
        <w:rPr>
          <w:rFonts w:asciiTheme="minorHAnsi" w:hAnsiTheme="minorHAnsi"/>
          <w:color w:val="auto"/>
          <w:szCs w:val="24"/>
        </w:rPr>
        <w:t xml:space="preserve"> </w:t>
      </w:r>
      <w:r w:rsidR="00417F6F" w:rsidRPr="00417F6F">
        <w:rPr>
          <w:rFonts w:asciiTheme="minorHAnsi" w:hAnsiTheme="minorHAnsi"/>
          <w:color w:val="auto"/>
          <w:szCs w:val="24"/>
        </w:rPr>
        <w:t>His</w:t>
      </w:r>
      <w:r w:rsidR="00417F6F">
        <w:rPr>
          <w:rFonts w:asciiTheme="minorHAnsi" w:hAnsiTheme="minorHAnsi"/>
          <w:color w:val="auto"/>
          <w:szCs w:val="24"/>
        </w:rPr>
        <w:t xml:space="preserve"> </w:t>
      </w:r>
      <w:r w:rsidR="00417F6F" w:rsidRPr="00417F6F">
        <w:rPr>
          <w:rFonts w:asciiTheme="minorHAnsi" w:hAnsiTheme="minorHAnsi"/>
          <w:color w:val="auto"/>
          <w:szCs w:val="24"/>
        </w:rPr>
        <w:t>commanding officer recognized th</w:t>
      </w:r>
      <w:r w:rsidR="00CB534E">
        <w:rPr>
          <w:rFonts w:asciiTheme="minorHAnsi" w:hAnsiTheme="minorHAnsi"/>
          <w:color w:val="auto"/>
          <w:szCs w:val="24"/>
        </w:rPr>
        <w:t>e</w:t>
      </w:r>
      <w:r w:rsidR="00417F6F" w:rsidRPr="00417F6F">
        <w:rPr>
          <w:rFonts w:asciiTheme="minorHAnsi" w:hAnsiTheme="minorHAnsi"/>
          <w:color w:val="auto"/>
          <w:szCs w:val="24"/>
        </w:rPr>
        <w:t xml:space="preserve"> </w:t>
      </w:r>
      <w:r w:rsidR="00CB534E">
        <w:rPr>
          <w:rFonts w:asciiTheme="minorHAnsi" w:hAnsiTheme="minorHAnsi"/>
          <w:color w:val="auto"/>
          <w:szCs w:val="24"/>
        </w:rPr>
        <w:t xml:space="preserve">problem </w:t>
      </w:r>
      <w:r w:rsidR="00417F6F" w:rsidRPr="00417F6F">
        <w:rPr>
          <w:rFonts w:asciiTheme="minorHAnsi" w:hAnsiTheme="minorHAnsi"/>
          <w:color w:val="auto"/>
          <w:szCs w:val="24"/>
        </w:rPr>
        <w:t>and agreed</w:t>
      </w:r>
      <w:r w:rsidR="00417F6F">
        <w:rPr>
          <w:rFonts w:asciiTheme="minorHAnsi" w:hAnsiTheme="minorHAnsi"/>
          <w:color w:val="auto"/>
          <w:szCs w:val="24"/>
        </w:rPr>
        <w:t xml:space="preserve"> </w:t>
      </w:r>
      <w:r w:rsidR="00CB534E">
        <w:rPr>
          <w:rFonts w:asciiTheme="minorHAnsi" w:hAnsiTheme="minorHAnsi"/>
          <w:color w:val="auto"/>
          <w:szCs w:val="24"/>
        </w:rPr>
        <w:t>with the</w:t>
      </w:r>
      <w:r w:rsidR="00417F6F" w:rsidRPr="00417F6F">
        <w:rPr>
          <w:rFonts w:asciiTheme="minorHAnsi" w:hAnsiTheme="minorHAnsi"/>
          <w:color w:val="auto"/>
          <w:szCs w:val="24"/>
        </w:rPr>
        <w:t xml:space="preserve"> psychiatric referral.</w:t>
      </w:r>
      <w:r w:rsidR="00417F6F">
        <w:rPr>
          <w:rFonts w:asciiTheme="minorHAnsi" w:hAnsiTheme="minorHAnsi"/>
          <w:color w:val="auto"/>
          <w:szCs w:val="24"/>
        </w:rPr>
        <w:t xml:space="preserve"> </w:t>
      </w:r>
      <w:r w:rsidR="00CB534E">
        <w:rPr>
          <w:rFonts w:asciiTheme="minorHAnsi" w:hAnsiTheme="minorHAnsi"/>
          <w:color w:val="auto"/>
          <w:szCs w:val="24"/>
        </w:rPr>
        <w:t xml:space="preserve"> </w:t>
      </w:r>
      <w:r w:rsidR="00417F6F" w:rsidRPr="00417F6F">
        <w:rPr>
          <w:rFonts w:asciiTheme="minorHAnsi" w:hAnsiTheme="minorHAnsi"/>
          <w:color w:val="auto"/>
          <w:szCs w:val="24"/>
        </w:rPr>
        <w:t xml:space="preserve">The </w:t>
      </w:r>
      <w:r w:rsidR="00417F6F" w:rsidRPr="00EC4A5E">
        <w:rPr>
          <w:rFonts w:asciiTheme="minorHAnsi" w:hAnsiTheme="minorHAnsi"/>
          <w:color w:val="auto"/>
          <w:szCs w:val="24"/>
        </w:rPr>
        <w:t xml:space="preserve">mental status examination </w:t>
      </w:r>
      <w:r w:rsidR="00C86400" w:rsidRPr="00EC4A5E">
        <w:rPr>
          <w:rFonts w:asciiTheme="minorHAnsi" w:hAnsiTheme="minorHAnsi"/>
          <w:color w:val="auto"/>
          <w:szCs w:val="24"/>
        </w:rPr>
        <w:t xml:space="preserve">(MSE) </w:t>
      </w:r>
      <w:r w:rsidR="00E507F1" w:rsidRPr="00EC4A5E">
        <w:rPr>
          <w:rFonts w:asciiTheme="minorHAnsi" w:hAnsiTheme="minorHAnsi"/>
          <w:color w:val="auto"/>
          <w:szCs w:val="24"/>
        </w:rPr>
        <w:t>i</w:t>
      </w:r>
      <w:r w:rsidR="00417F6F" w:rsidRPr="00EC4A5E">
        <w:rPr>
          <w:rFonts w:asciiTheme="minorHAnsi" w:hAnsiTheme="minorHAnsi"/>
          <w:color w:val="auto"/>
          <w:szCs w:val="24"/>
        </w:rPr>
        <w:t xml:space="preserve">n November 1997 </w:t>
      </w:r>
      <w:r w:rsidR="00C82554" w:rsidRPr="00EC4A5E">
        <w:rPr>
          <w:rFonts w:asciiTheme="minorHAnsi" w:hAnsiTheme="minorHAnsi"/>
          <w:color w:val="auto"/>
          <w:szCs w:val="24"/>
        </w:rPr>
        <w:t>noted</w:t>
      </w:r>
      <w:r w:rsidR="00E507F1" w:rsidRPr="00EC4A5E">
        <w:rPr>
          <w:rFonts w:asciiTheme="minorHAnsi" w:hAnsiTheme="minorHAnsi"/>
          <w:color w:val="auto"/>
          <w:szCs w:val="24"/>
        </w:rPr>
        <w:t xml:space="preserve"> constricted </w:t>
      </w:r>
      <w:r w:rsidR="00E534D1" w:rsidRPr="00EC4A5E">
        <w:rPr>
          <w:rFonts w:asciiTheme="minorHAnsi" w:hAnsiTheme="minorHAnsi"/>
          <w:color w:val="auto"/>
          <w:szCs w:val="24"/>
        </w:rPr>
        <w:t>a</w:t>
      </w:r>
      <w:r w:rsidR="00417F6F" w:rsidRPr="00EC4A5E">
        <w:rPr>
          <w:rFonts w:asciiTheme="minorHAnsi" w:hAnsiTheme="minorHAnsi"/>
          <w:color w:val="auto"/>
          <w:szCs w:val="24"/>
        </w:rPr>
        <w:t>ffect and agitated and depressed mood</w:t>
      </w:r>
      <w:r w:rsidR="00C82554" w:rsidRPr="00EC4A5E">
        <w:rPr>
          <w:rFonts w:asciiTheme="minorHAnsi" w:hAnsiTheme="minorHAnsi"/>
          <w:color w:val="auto"/>
          <w:szCs w:val="24"/>
        </w:rPr>
        <w:t>, and was otherwise normal</w:t>
      </w:r>
      <w:r w:rsidR="00417F6F" w:rsidRPr="00EC4A5E">
        <w:rPr>
          <w:rFonts w:asciiTheme="minorHAnsi" w:hAnsiTheme="minorHAnsi"/>
          <w:color w:val="auto"/>
          <w:szCs w:val="24"/>
        </w:rPr>
        <w:t xml:space="preserve">. </w:t>
      </w:r>
      <w:r w:rsidR="00E507F1" w:rsidRPr="00EC4A5E">
        <w:rPr>
          <w:rFonts w:asciiTheme="minorHAnsi" w:hAnsiTheme="minorHAnsi"/>
          <w:color w:val="auto"/>
          <w:szCs w:val="24"/>
        </w:rPr>
        <w:t xml:space="preserve"> </w:t>
      </w:r>
      <w:r w:rsidR="00C82554" w:rsidRPr="00EC4A5E">
        <w:rPr>
          <w:rFonts w:asciiTheme="minorHAnsi" w:hAnsiTheme="minorHAnsi"/>
          <w:color w:val="auto"/>
          <w:szCs w:val="24"/>
        </w:rPr>
        <w:t xml:space="preserve">The CI started treatment </w:t>
      </w:r>
      <w:r w:rsidR="005E488D" w:rsidRPr="00EC4A5E">
        <w:rPr>
          <w:rFonts w:asciiTheme="minorHAnsi" w:hAnsiTheme="minorHAnsi"/>
          <w:color w:val="auto"/>
          <w:szCs w:val="24"/>
        </w:rPr>
        <w:t>with moderate results</w:t>
      </w:r>
      <w:r w:rsidR="007E40DE">
        <w:rPr>
          <w:rFonts w:asciiTheme="minorHAnsi" w:hAnsiTheme="minorHAnsi"/>
          <w:color w:val="auto"/>
          <w:szCs w:val="24"/>
        </w:rPr>
        <w:t>.  He c</w:t>
      </w:r>
      <w:r w:rsidR="005E488D" w:rsidRPr="00EC4A5E">
        <w:rPr>
          <w:rFonts w:asciiTheme="minorHAnsi" w:hAnsiTheme="minorHAnsi"/>
          <w:color w:val="auto"/>
          <w:szCs w:val="24"/>
        </w:rPr>
        <w:t>ould “</w:t>
      </w:r>
      <w:r w:rsidR="00417F6F" w:rsidRPr="00EC4A5E">
        <w:rPr>
          <w:rFonts w:asciiTheme="minorHAnsi" w:hAnsiTheme="minorHAnsi"/>
          <w:color w:val="auto"/>
          <w:szCs w:val="24"/>
        </w:rPr>
        <w:t>do most of his duties</w:t>
      </w:r>
      <w:r w:rsidR="005E488D" w:rsidRPr="00EC4A5E">
        <w:rPr>
          <w:rFonts w:asciiTheme="minorHAnsi" w:hAnsiTheme="minorHAnsi"/>
          <w:color w:val="auto"/>
          <w:szCs w:val="24"/>
        </w:rPr>
        <w:t>” with increased symptoms when he was off medication.  H</w:t>
      </w:r>
      <w:r w:rsidR="009753B8" w:rsidRPr="00EC4A5E">
        <w:rPr>
          <w:rFonts w:asciiTheme="minorHAnsi" w:hAnsiTheme="minorHAnsi"/>
          <w:color w:val="auto"/>
          <w:szCs w:val="24"/>
        </w:rPr>
        <w:t>is course waxed and waned and the MDD continued to impair</w:t>
      </w:r>
      <w:r w:rsidR="007E40DE">
        <w:rPr>
          <w:rFonts w:asciiTheme="minorHAnsi" w:hAnsiTheme="minorHAnsi"/>
          <w:color w:val="auto"/>
          <w:szCs w:val="24"/>
        </w:rPr>
        <w:t xml:space="preserve"> his</w:t>
      </w:r>
      <w:r w:rsidR="009753B8" w:rsidRPr="00EC4A5E">
        <w:rPr>
          <w:rFonts w:asciiTheme="minorHAnsi" w:hAnsiTheme="minorHAnsi"/>
          <w:color w:val="auto"/>
          <w:szCs w:val="24"/>
        </w:rPr>
        <w:t xml:space="preserve"> duty performance.  He was initially place on TDRL </w:t>
      </w:r>
      <w:r w:rsidR="001142FB" w:rsidRPr="00EC4A5E">
        <w:rPr>
          <w:rFonts w:asciiTheme="minorHAnsi" w:hAnsiTheme="minorHAnsi"/>
          <w:color w:val="auto"/>
          <w:szCs w:val="24"/>
        </w:rPr>
        <w:t>(</w:t>
      </w:r>
      <w:r w:rsidR="009753B8" w:rsidRPr="00EC4A5E">
        <w:rPr>
          <w:rFonts w:asciiTheme="minorHAnsi" w:hAnsiTheme="minorHAnsi"/>
          <w:color w:val="auto"/>
          <w:szCs w:val="24"/>
        </w:rPr>
        <w:t>19990702</w:t>
      </w:r>
      <w:r w:rsidR="001142FB" w:rsidRPr="00EC4A5E">
        <w:rPr>
          <w:rFonts w:asciiTheme="minorHAnsi" w:hAnsiTheme="minorHAnsi"/>
          <w:color w:val="auto"/>
          <w:szCs w:val="24"/>
        </w:rPr>
        <w:t>) with a 30% rating for MDD.  The Dec</w:t>
      </w:r>
      <w:r w:rsidR="007E40DE">
        <w:rPr>
          <w:rFonts w:asciiTheme="minorHAnsi" w:hAnsiTheme="minorHAnsi"/>
          <w:color w:val="auto"/>
          <w:szCs w:val="24"/>
        </w:rPr>
        <w:t>ember 19</w:t>
      </w:r>
      <w:r w:rsidR="001142FB" w:rsidRPr="00EC4A5E">
        <w:rPr>
          <w:rFonts w:asciiTheme="minorHAnsi" w:hAnsiTheme="minorHAnsi"/>
          <w:color w:val="auto"/>
          <w:szCs w:val="24"/>
        </w:rPr>
        <w:t>98 MEB indicated</w:t>
      </w:r>
      <w:r w:rsidR="001142FB" w:rsidRPr="00D75092">
        <w:rPr>
          <w:rFonts w:asciiTheme="minorHAnsi" w:hAnsiTheme="minorHAnsi"/>
          <w:color w:val="auto"/>
          <w:szCs w:val="24"/>
        </w:rPr>
        <w:t xml:space="preserve"> “</w:t>
      </w:r>
      <w:r w:rsidR="003B7BF2">
        <w:rPr>
          <w:rFonts w:asciiTheme="minorHAnsi" w:hAnsiTheme="minorHAnsi"/>
          <w:color w:val="auto"/>
          <w:szCs w:val="24"/>
        </w:rPr>
        <w:t>MDD</w:t>
      </w:r>
      <w:r w:rsidR="001142FB" w:rsidRPr="00D75092">
        <w:rPr>
          <w:rFonts w:asciiTheme="minorHAnsi" w:hAnsiTheme="minorHAnsi"/>
          <w:color w:val="auto"/>
          <w:szCs w:val="24"/>
        </w:rPr>
        <w:t>, Single Episode, Severe”, the evaluator noted “I</w:t>
      </w:r>
      <w:r w:rsidR="007E40DE">
        <w:rPr>
          <w:rFonts w:asciiTheme="minorHAnsi" w:hAnsiTheme="minorHAnsi"/>
          <w:color w:val="auto"/>
          <w:szCs w:val="24"/>
        </w:rPr>
        <w:t>m</w:t>
      </w:r>
      <w:r w:rsidR="00B449EA">
        <w:rPr>
          <w:rFonts w:asciiTheme="minorHAnsi" w:hAnsiTheme="minorHAnsi"/>
          <w:color w:val="auto"/>
          <w:szCs w:val="24"/>
        </w:rPr>
        <w:t>pair</w:t>
      </w:r>
      <w:r w:rsidR="007E40DE">
        <w:rPr>
          <w:rFonts w:asciiTheme="minorHAnsi" w:hAnsiTheme="minorHAnsi"/>
          <w:color w:val="auto"/>
          <w:szCs w:val="24"/>
        </w:rPr>
        <w:t>ment</w:t>
      </w:r>
      <w:r w:rsidR="001142FB" w:rsidRPr="00D75092">
        <w:rPr>
          <w:rFonts w:asciiTheme="minorHAnsi" w:hAnsiTheme="minorHAnsi"/>
          <w:color w:val="auto"/>
          <w:szCs w:val="24"/>
        </w:rPr>
        <w:t>:</w:t>
      </w:r>
      <w:r w:rsidR="00B449EA">
        <w:rPr>
          <w:rFonts w:asciiTheme="minorHAnsi" w:hAnsiTheme="minorHAnsi"/>
          <w:color w:val="auto"/>
          <w:szCs w:val="24"/>
        </w:rPr>
        <w:t xml:space="preserve"> m</w:t>
      </w:r>
      <w:r w:rsidR="001142FB" w:rsidRPr="00D75092">
        <w:rPr>
          <w:rFonts w:asciiTheme="minorHAnsi" w:hAnsiTheme="minorHAnsi"/>
          <w:color w:val="auto"/>
          <w:szCs w:val="24"/>
        </w:rPr>
        <w:t>oderate for civilian employment” and indicated that the commander agreed that the CI was only performing 50% of his work (adm</w:t>
      </w:r>
      <w:r w:rsidR="007E40DE">
        <w:rPr>
          <w:rFonts w:asciiTheme="minorHAnsi" w:hAnsiTheme="minorHAnsi"/>
          <w:color w:val="auto"/>
          <w:szCs w:val="24"/>
        </w:rPr>
        <w:t>inistrative in garrison).  The c</w:t>
      </w:r>
      <w:r w:rsidR="001142FB" w:rsidRPr="00D75092">
        <w:rPr>
          <w:rFonts w:asciiTheme="minorHAnsi" w:hAnsiTheme="minorHAnsi"/>
          <w:color w:val="auto"/>
          <w:szCs w:val="24"/>
        </w:rPr>
        <w:t xml:space="preserve">ommander’s statement also </w:t>
      </w:r>
      <w:r w:rsidR="001142FB" w:rsidRPr="00EC4A5E">
        <w:rPr>
          <w:rFonts w:asciiTheme="minorHAnsi" w:hAnsiTheme="minorHAnsi"/>
          <w:color w:val="auto"/>
          <w:szCs w:val="24"/>
        </w:rPr>
        <w:t>indicated consistent work difficulties with concentration and anxiety.</w:t>
      </w:r>
      <w:r w:rsidR="009753B8" w:rsidRPr="00EC4A5E">
        <w:rPr>
          <w:rFonts w:asciiTheme="minorHAnsi" w:hAnsiTheme="minorHAnsi"/>
          <w:color w:val="auto"/>
          <w:szCs w:val="24"/>
        </w:rPr>
        <w:t xml:space="preserve"> </w:t>
      </w:r>
      <w:r w:rsidR="001142FB" w:rsidRPr="00EC4A5E">
        <w:rPr>
          <w:rFonts w:asciiTheme="minorHAnsi" w:hAnsiTheme="minorHAnsi"/>
          <w:color w:val="auto"/>
          <w:szCs w:val="24"/>
        </w:rPr>
        <w:t xml:space="preserve"> Absent the provisions of </w:t>
      </w:r>
      <w:proofErr w:type="spellStart"/>
      <w:r w:rsidR="001142FB" w:rsidRPr="00EC4A5E">
        <w:rPr>
          <w:rFonts w:asciiTheme="minorHAnsi" w:hAnsiTheme="minorHAnsi"/>
          <w:color w:val="auto"/>
          <w:szCs w:val="24"/>
        </w:rPr>
        <w:t>DoDI</w:t>
      </w:r>
      <w:proofErr w:type="spellEnd"/>
      <w:r w:rsidR="001142FB" w:rsidRPr="00EC4A5E">
        <w:rPr>
          <w:rFonts w:asciiTheme="minorHAnsi" w:hAnsiTheme="minorHAnsi"/>
          <w:color w:val="auto"/>
          <w:szCs w:val="24"/>
        </w:rPr>
        <w:t xml:space="preserve"> 1332.39 and IAW </w:t>
      </w:r>
      <w:r w:rsidR="00CC0646" w:rsidRPr="00EC4A5E">
        <w:rPr>
          <w:rFonts w:asciiTheme="minorHAnsi" w:hAnsiTheme="minorHAnsi"/>
          <w:color w:val="auto"/>
          <w:szCs w:val="24"/>
        </w:rPr>
        <w:t>§</w:t>
      </w:r>
      <w:r w:rsidR="001142FB" w:rsidRPr="00EC4A5E">
        <w:rPr>
          <w:rFonts w:asciiTheme="minorHAnsi" w:hAnsiTheme="minorHAnsi"/>
          <w:color w:val="auto"/>
          <w:szCs w:val="24"/>
        </w:rPr>
        <w:t>4.</w:t>
      </w:r>
      <w:r w:rsidR="00EC4A5E">
        <w:rPr>
          <w:rFonts w:asciiTheme="minorHAnsi" w:hAnsiTheme="minorHAnsi"/>
          <w:color w:val="auto"/>
          <w:szCs w:val="24"/>
        </w:rPr>
        <w:t>1</w:t>
      </w:r>
      <w:r w:rsidR="001142FB" w:rsidRPr="00EC4A5E">
        <w:rPr>
          <w:rFonts w:asciiTheme="minorHAnsi" w:hAnsiTheme="minorHAnsi"/>
          <w:color w:val="auto"/>
          <w:szCs w:val="24"/>
        </w:rPr>
        <w:t>30 criteria</w:t>
      </w:r>
      <w:r w:rsidR="00CC0646" w:rsidRPr="00EC4A5E">
        <w:rPr>
          <w:rFonts w:asciiTheme="minorHAnsi" w:hAnsiTheme="minorHAnsi"/>
          <w:color w:val="auto"/>
          <w:szCs w:val="24"/>
        </w:rPr>
        <w:t>, this exam would rate at 50% for “</w:t>
      </w:r>
      <w:r w:rsidR="007E40DE">
        <w:rPr>
          <w:rFonts w:asciiTheme="minorHAnsi" w:hAnsiTheme="minorHAnsi"/>
          <w:color w:val="auto"/>
          <w:szCs w:val="24"/>
        </w:rPr>
        <w:t>o</w:t>
      </w:r>
      <w:r w:rsidR="00CC0646" w:rsidRPr="00EC4A5E">
        <w:rPr>
          <w:rFonts w:asciiTheme="minorHAnsi" w:hAnsiTheme="minorHAnsi"/>
          <w:color w:val="auto"/>
          <w:szCs w:val="24"/>
        </w:rPr>
        <w:t>ccupational and social impairment with reduced reliability and productivity</w:t>
      </w:r>
      <w:r w:rsidR="00CC0646" w:rsidRPr="00D75092">
        <w:rPr>
          <w:rFonts w:asciiTheme="minorHAnsi" w:hAnsiTheme="minorHAnsi"/>
          <w:color w:val="auto"/>
          <w:szCs w:val="24"/>
        </w:rPr>
        <w:t>.”  The VA exam from two months prior to TDRL</w:t>
      </w:r>
      <w:r w:rsidR="00B449EA">
        <w:rPr>
          <w:rFonts w:asciiTheme="minorHAnsi" w:hAnsiTheme="minorHAnsi"/>
          <w:color w:val="auto"/>
          <w:szCs w:val="24"/>
        </w:rPr>
        <w:t xml:space="preserve"> </w:t>
      </w:r>
      <w:r w:rsidR="00CC0646" w:rsidRPr="00D75092">
        <w:rPr>
          <w:rFonts w:asciiTheme="minorHAnsi" w:hAnsiTheme="minorHAnsi"/>
          <w:color w:val="auto"/>
          <w:szCs w:val="24"/>
        </w:rPr>
        <w:t xml:space="preserve">entry indicated </w:t>
      </w:r>
      <w:r w:rsidR="00B449EA">
        <w:rPr>
          <w:rFonts w:asciiTheme="minorHAnsi" w:hAnsiTheme="minorHAnsi"/>
          <w:color w:val="auto"/>
          <w:szCs w:val="24"/>
        </w:rPr>
        <w:t xml:space="preserve">a </w:t>
      </w:r>
      <w:r w:rsidR="007E40DE">
        <w:rPr>
          <w:rFonts w:asciiTheme="minorHAnsi" w:hAnsiTheme="minorHAnsi"/>
          <w:color w:val="auto"/>
          <w:szCs w:val="24"/>
        </w:rPr>
        <w:t>g</w:t>
      </w:r>
      <w:r w:rsidR="00CC0646" w:rsidRPr="00D75092">
        <w:rPr>
          <w:rFonts w:asciiTheme="minorHAnsi" w:hAnsiTheme="minorHAnsi"/>
          <w:color w:val="auto"/>
          <w:szCs w:val="24"/>
        </w:rPr>
        <w:t xml:space="preserve">lobal </w:t>
      </w:r>
      <w:r w:rsidR="007E40DE">
        <w:rPr>
          <w:rFonts w:asciiTheme="minorHAnsi" w:hAnsiTheme="minorHAnsi"/>
          <w:color w:val="auto"/>
          <w:szCs w:val="24"/>
        </w:rPr>
        <w:t xml:space="preserve">assessment of </w:t>
      </w:r>
      <w:r w:rsidR="00CC0646" w:rsidRPr="00D75092">
        <w:rPr>
          <w:rFonts w:asciiTheme="minorHAnsi" w:hAnsiTheme="minorHAnsi"/>
          <w:color w:val="auto"/>
          <w:szCs w:val="24"/>
        </w:rPr>
        <w:t>functioning</w:t>
      </w:r>
      <w:r w:rsidR="007E40DE">
        <w:rPr>
          <w:rFonts w:asciiTheme="minorHAnsi" w:hAnsiTheme="minorHAnsi"/>
          <w:color w:val="auto"/>
          <w:szCs w:val="24"/>
        </w:rPr>
        <w:t xml:space="preserve"> (GAF)</w:t>
      </w:r>
      <w:r w:rsidR="00CC0646" w:rsidRPr="00D75092">
        <w:rPr>
          <w:rFonts w:asciiTheme="minorHAnsi" w:hAnsiTheme="minorHAnsi"/>
          <w:color w:val="auto"/>
          <w:szCs w:val="24"/>
        </w:rPr>
        <w:t xml:space="preserve"> in the moderate symptoms range (GAF=51) with an exam that was rat</w:t>
      </w:r>
      <w:r w:rsidR="00F33C86">
        <w:rPr>
          <w:rFonts w:asciiTheme="minorHAnsi" w:hAnsiTheme="minorHAnsi"/>
          <w:color w:val="auto"/>
          <w:szCs w:val="24"/>
        </w:rPr>
        <w:t>ed</w:t>
      </w:r>
      <w:r w:rsidR="00CC0646" w:rsidRPr="00D75092">
        <w:rPr>
          <w:rFonts w:asciiTheme="minorHAnsi" w:hAnsiTheme="minorHAnsi"/>
          <w:color w:val="auto"/>
          <w:szCs w:val="24"/>
        </w:rPr>
        <w:t xml:space="preserve"> at </w:t>
      </w:r>
      <w:r w:rsidR="00F33C86">
        <w:rPr>
          <w:rFonts w:asciiTheme="minorHAnsi" w:hAnsiTheme="minorHAnsi"/>
          <w:color w:val="auto"/>
          <w:szCs w:val="24"/>
        </w:rPr>
        <w:t>3</w:t>
      </w:r>
      <w:r w:rsidR="00CC0646" w:rsidRPr="00D75092">
        <w:rPr>
          <w:rFonts w:asciiTheme="minorHAnsi" w:hAnsiTheme="minorHAnsi"/>
          <w:color w:val="auto"/>
          <w:szCs w:val="24"/>
        </w:rPr>
        <w:t>0%</w:t>
      </w:r>
      <w:r w:rsidR="00F33C86">
        <w:rPr>
          <w:rFonts w:asciiTheme="minorHAnsi" w:hAnsiTheme="minorHAnsi"/>
          <w:color w:val="auto"/>
          <w:szCs w:val="24"/>
        </w:rPr>
        <w:t xml:space="preserve"> by the VA.  Independent rating might support a 50% rating; however, symptom severity </w:t>
      </w:r>
      <w:r w:rsidR="00CC0646" w:rsidRPr="00D75092">
        <w:rPr>
          <w:rFonts w:asciiTheme="minorHAnsi" w:hAnsiTheme="minorHAnsi"/>
          <w:color w:val="auto"/>
          <w:szCs w:val="24"/>
        </w:rPr>
        <w:t xml:space="preserve">may have been influenced by the significant </w:t>
      </w:r>
      <w:r w:rsidR="00D75092" w:rsidRPr="00D75092">
        <w:rPr>
          <w:rFonts w:asciiTheme="minorHAnsi" w:hAnsiTheme="minorHAnsi"/>
          <w:color w:val="auto"/>
          <w:szCs w:val="24"/>
        </w:rPr>
        <w:t xml:space="preserve">transient </w:t>
      </w:r>
      <w:r w:rsidR="00CC0646" w:rsidRPr="00D75092">
        <w:rPr>
          <w:rFonts w:asciiTheme="minorHAnsi" w:hAnsiTheme="minorHAnsi"/>
          <w:color w:val="auto"/>
          <w:szCs w:val="24"/>
        </w:rPr>
        <w:t xml:space="preserve">stressors </w:t>
      </w:r>
      <w:r w:rsidR="00C73291">
        <w:rPr>
          <w:rFonts w:asciiTheme="minorHAnsi" w:hAnsiTheme="minorHAnsi"/>
          <w:color w:val="auto"/>
          <w:szCs w:val="24"/>
        </w:rPr>
        <w:t>of pending military separation</w:t>
      </w:r>
      <w:r w:rsidR="008D22F9">
        <w:rPr>
          <w:rFonts w:asciiTheme="minorHAnsi" w:hAnsiTheme="minorHAnsi"/>
          <w:color w:val="auto"/>
          <w:szCs w:val="24"/>
        </w:rPr>
        <w:t xml:space="preserve"> (MEB which led to his TDRL)</w:t>
      </w:r>
      <w:r w:rsidR="00C73291">
        <w:rPr>
          <w:rFonts w:asciiTheme="minorHAnsi" w:hAnsiTheme="minorHAnsi"/>
          <w:color w:val="auto"/>
          <w:szCs w:val="24"/>
        </w:rPr>
        <w:t>.</w:t>
      </w:r>
      <w:r w:rsidR="009753B8" w:rsidRPr="00D75092">
        <w:rPr>
          <w:rFonts w:asciiTheme="minorHAnsi" w:hAnsiTheme="minorHAnsi"/>
          <w:color w:val="auto"/>
          <w:szCs w:val="24"/>
        </w:rPr>
        <w:t xml:space="preserve">  </w:t>
      </w:r>
      <w:r w:rsidR="00C86400">
        <w:rPr>
          <w:rFonts w:asciiTheme="minorHAnsi" w:hAnsiTheme="minorHAnsi"/>
          <w:color w:val="auto"/>
          <w:szCs w:val="24"/>
        </w:rPr>
        <w:t xml:space="preserve">At the </w:t>
      </w:r>
      <w:r w:rsidR="00C73291" w:rsidRPr="00D75092">
        <w:rPr>
          <w:rFonts w:asciiTheme="minorHAnsi" w:hAnsiTheme="minorHAnsi"/>
          <w:color w:val="auto"/>
          <w:szCs w:val="24"/>
        </w:rPr>
        <w:t xml:space="preserve">third </w:t>
      </w:r>
      <w:r w:rsidR="00C73291">
        <w:rPr>
          <w:rFonts w:asciiTheme="minorHAnsi" w:hAnsiTheme="minorHAnsi"/>
          <w:color w:val="auto"/>
          <w:szCs w:val="24"/>
        </w:rPr>
        <w:t>(</w:t>
      </w:r>
      <w:r w:rsidR="00C73291" w:rsidRPr="00D75092">
        <w:rPr>
          <w:rFonts w:asciiTheme="minorHAnsi" w:hAnsiTheme="minorHAnsi"/>
          <w:color w:val="auto"/>
          <w:szCs w:val="24"/>
        </w:rPr>
        <w:t>final</w:t>
      </w:r>
      <w:r w:rsidR="00C73291">
        <w:rPr>
          <w:rFonts w:asciiTheme="minorHAnsi" w:hAnsiTheme="minorHAnsi"/>
          <w:color w:val="auto"/>
          <w:szCs w:val="24"/>
        </w:rPr>
        <w:t>)</w:t>
      </w:r>
      <w:r w:rsidR="00C73291" w:rsidRPr="00D75092">
        <w:rPr>
          <w:rFonts w:asciiTheme="minorHAnsi" w:hAnsiTheme="minorHAnsi"/>
          <w:color w:val="auto"/>
          <w:szCs w:val="24"/>
        </w:rPr>
        <w:t xml:space="preserve"> TDRL re-evaluation</w:t>
      </w:r>
      <w:r w:rsidR="00C73291">
        <w:rPr>
          <w:rFonts w:asciiTheme="minorHAnsi" w:hAnsiTheme="minorHAnsi"/>
          <w:color w:val="auto"/>
          <w:szCs w:val="24"/>
        </w:rPr>
        <w:t xml:space="preserve">, </w:t>
      </w:r>
      <w:r w:rsidR="005E488D">
        <w:rPr>
          <w:rFonts w:asciiTheme="minorHAnsi" w:hAnsiTheme="minorHAnsi"/>
          <w:color w:val="auto"/>
          <w:szCs w:val="24"/>
        </w:rPr>
        <w:t>performed</w:t>
      </w:r>
      <w:r w:rsidR="00C86400">
        <w:rPr>
          <w:rFonts w:asciiTheme="minorHAnsi" w:hAnsiTheme="minorHAnsi"/>
          <w:color w:val="auto"/>
          <w:szCs w:val="24"/>
        </w:rPr>
        <w:t xml:space="preserve"> two months prior to separation</w:t>
      </w:r>
      <w:r w:rsidR="00E507F1">
        <w:rPr>
          <w:rFonts w:asciiTheme="minorHAnsi" w:hAnsiTheme="minorHAnsi"/>
          <w:color w:val="auto"/>
          <w:szCs w:val="24"/>
        </w:rPr>
        <w:t xml:space="preserve"> </w:t>
      </w:r>
      <w:r w:rsidR="00E507F1" w:rsidRPr="00EC4A5E">
        <w:rPr>
          <w:rFonts w:asciiTheme="minorHAnsi" w:hAnsiTheme="minorHAnsi"/>
          <w:color w:val="auto"/>
          <w:szCs w:val="24"/>
        </w:rPr>
        <w:t>(20030508)</w:t>
      </w:r>
      <w:r w:rsidR="00B308AD" w:rsidRPr="00EC4A5E">
        <w:rPr>
          <w:rFonts w:asciiTheme="minorHAnsi" w:hAnsiTheme="minorHAnsi"/>
          <w:color w:val="auto"/>
          <w:szCs w:val="24"/>
        </w:rPr>
        <w:t xml:space="preserve"> from TDRL</w:t>
      </w:r>
      <w:r w:rsidR="00C86400">
        <w:rPr>
          <w:rFonts w:asciiTheme="minorHAnsi" w:hAnsiTheme="minorHAnsi"/>
          <w:color w:val="auto"/>
          <w:szCs w:val="24"/>
        </w:rPr>
        <w:t xml:space="preserve">, </w:t>
      </w:r>
      <w:r w:rsidR="00E507F1">
        <w:rPr>
          <w:rFonts w:asciiTheme="minorHAnsi" w:hAnsiTheme="minorHAnsi"/>
          <w:color w:val="auto"/>
          <w:szCs w:val="24"/>
        </w:rPr>
        <w:t>t</w:t>
      </w:r>
      <w:r w:rsidR="00C86400">
        <w:rPr>
          <w:rFonts w:asciiTheme="minorHAnsi" w:hAnsiTheme="minorHAnsi"/>
          <w:color w:val="auto"/>
          <w:szCs w:val="24"/>
        </w:rPr>
        <w:t xml:space="preserve">he </w:t>
      </w:r>
      <w:r w:rsidR="00E507F1">
        <w:rPr>
          <w:rFonts w:asciiTheme="minorHAnsi" w:hAnsiTheme="minorHAnsi"/>
          <w:color w:val="auto"/>
          <w:szCs w:val="24"/>
        </w:rPr>
        <w:t xml:space="preserve">CI </w:t>
      </w:r>
      <w:r w:rsidR="00C86400">
        <w:rPr>
          <w:rFonts w:asciiTheme="minorHAnsi" w:hAnsiTheme="minorHAnsi"/>
          <w:color w:val="auto"/>
          <w:szCs w:val="24"/>
        </w:rPr>
        <w:t xml:space="preserve">was </w:t>
      </w:r>
      <w:r w:rsidR="0051245B">
        <w:rPr>
          <w:rFonts w:asciiTheme="minorHAnsi" w:hAnsiTheme="minorHAnsi"/>
          <w:color w:val="auto"/>
          <w:szCs w:val="24"/>
        </w:rPr>
        <w:t xml:space="preserve">being treated with medications </w:t>
      </w:r>
      <w:r w:rsidR="00112140">
        <w:rPr>
          <w:rFonts w:asciiTheme="minorHAnsi" w:hAnsiTheme="minorHAnsi"/>
          <w:color w:val="auto"/>
          <w:szCs w:val="24"/>
        </w:rPr>
        <w:t xml:space="preserve">and </w:t>
      </w:r>
      <w:r w:rsidR="0051245B">
        <w:rPr>
          <w:rFonts w:asciiTheme="minorHAnsi" w:hAnsiTheme="minorHAnsi"/>
          <w:color w:val="auto"/>
          <w:szCs w:val="24"/>
        </w:rPr>
        <w:t>described a good relationship with his family</w:t>
      </w:r>
      <w:r w:rsidR="00112140">
        <w:rPr>
          <w:rFonts w:asciiTheme="minorHAnsi" w:hAnsiTheme="minorHAnsi"/>
          <w:color w:val="auto"/>
          <w:szCs w:val="24"/>
        </w:rPr>
        <w:t xml:space="preserve">.  The work history </w:t>
      </w:r>
      <w:r w:rsidR="007E40DE">
        <w:rPr>
          <w:rFonts w:asciiTheme="minorHAnsi" w:hAnsiTheme="minorHAnsi"/>
          <w:color w:val="auto"/>
          <w:szCs w:val="24"/>
        </w:rPr>
        <w:t xml:space="preserve">noted </w:t>
      </w:r>
      <w:r w:rsidR="00112140">
        <w:rPr>
          <w:rFonts w:asciiTheme="minorHAnsi" w:hAnsiTheme="minorHAnsi"/>
          <w:color w:val="auto"/>
          <w:szCs w:val="24"/>
        </w:rPr>
        <w:t>that the CI had requested a transfer from a higher paying job (</w:t>
      </w:r>
      <w:r w:rsidR="00B449EA">
        <w:rPr>
          <w:rFonts w:asciiTheme="minorHAnsi" w:hAnsiTheme="minorHAnsi"/>
          <w:color w:val="auto"/>
          <w:szCs w:val="24"/>
        </w:rPr>
        <w:t>s</w:t>
      </w:r>
      <w:r w:rsidR="00112140">
        <w:rPr>
          <w:rFonts w:asciiTheme="minorHAnsi" w:hAnsiTheme="minorHAnsi"/>
          <w:color w:val="auto"/>
          <w:szCs w:val="24"/>
        </w:rPr>
        <w:t xml:space="preserve">ite </w:t>
      </w:r>
      <w:r w:rsidR="00B449EA">
        <w:rPr>
          <w:rFonts w:asciiTheme="minorHAnsi" w:hAnsiTheme="minorHAnsi"/>
          <w:color w:val="auto"/>
          <w:szCs w:val="24"/>
        </w:rPr>
        <w:t>t</w:t>
      </w:r>
      <w:r w:rsidR="00112140">
        <w:rPr>
          <w:rFonts w:asciiTheme="minorHAnsi" w:hAnsiTheme="minorHAnsi"/>
          <w:color w:val="auto"/>
          <w:szCs w:val="24"/>
        </w:rPr>
        <w:t>echnician for the state) in Jun</w:t>
      </w:r>
      <w:r w:rsidR="007E40DE">
        <w:rPr>
          <w:rFonts w:asciiTheme="minorHAnsi" w:hAnsiTheme="minorHAnsi"/>
          <w:color w:val="auto"/>
          <w:szCs w:val="24"/>
        </w:rPr>
        <w:t>e</w:t>
      </w:r>
      <w:r w:rsidR="00112140">
        <w:rPr>
          <w:rFonts w:asciiTheme="minorHAnsi" w:hAnsiTheme="minorHAnsi"/>
          <w:color w:val="auto"/>
          <w:szCs w:val="24"/>
        </w:rPr>
        <w:t xml:space="preserve"> 2000 due to the stresses of dealing with the public (“easily overwhelmed him”) as well as the </w:t>
      </w:r>
      <w:r w:rsidR="00C73291">
        <w:rPr>
          <w:rFonts w:asciiTheme="minorHAnsi" w:hAnsiTheme="minorHAnsi"/>
          <w:color w:val="auto"/>
          <w:szCs w:val="24"/>
        </w:rPr>
        <w:t xml:space="preserve">job’s </w:t>
      </w:r>
      <w:r w:rsidR="00112140">
        <w:rPr>
          <w:rFonts w:asciiTheme="minorHAnsi" w:hAnsiTheme="minorHAnsi"/>
          <w:color w:val="auto"/>
          <w:szCs w:val="24"/>
        </w:rPr>
        <w:t xml:space="preserve">physical demands.  The CI was </w:t>
      </w:r>
      <w:r w:rsidR="0051245B">
        <w:rPr>
          <w:rFonts w:asciiTheme="minorHAnsi" w:hAnsiTheme="minorHAnsi"/>
          <w:color w:val="auto"/>
          <w:szCs w:val="24"/>
        </w:rPr>
        <w:t>working as a building and grounds keeper</w:t>
      </w:r>
      <w:r w:rsidR="00B308AD">
        <w:rPr>
          <w:rFonts w:asciiTheme="minorHAnsi" w:hAnsiTheme="minorHAnsi"/>
          <w:color w:val="auto"/>
          <w:szCs w:val="24"/>
        </w:rPr>
        <w:t xml:space="preserve"> </w:t>
      </w:r>
      <w:r w:rsidR="00112140">
        <w:rPr>
          <w:rFonts w:asciiTheme="minorHAnsi" w:hAnsiTheme="minorHAnsi"/>
          <w:color w:val="auto"/>
          <w:szCs w:val="24"/>
        </w:rPr>
        <w:t xml:space="preserve">for the state </w:t>
      </w:r>
      <w:r w:rsidR="00B308AD">
        <w:rPr>
          <w:rFonts w:asciiTheme="minorHAnsi" w:hAnsiTheme="minorHAnsi"/>
          <w:color w:val="auto"/>
          <w:szCs w:val="24"/>
        </w:rPr>
        <w:t>since 2003</w:t>
      </w:r>
      <w:r w:rsidR="001650CE">
        <w:rPr>
          <w:rFonts w:asciiTheme="minorHAnsi" w:hAnsiTheme="minorHAnsi"/>
          <w:color w:val="auto"/>
          <w:szCs w:val="24"/>
        </w:rPr>
        <w:t xml:space="preserve">. </w:t>
      </w:r>
      <w:r w:rsidR="0051245B">
        <w:rPr>
          <w:rFonts w:asciiTheme="minorHAnsi" w:hAnsiTheme="minorHAnsi"/>
          <w:color w:val="auto"/>
          <w:szCs w:val="24"/>
        </w:rPr>
        <w:t xml:space="preserve"> The CI was </w:t>
      </w:r>
      <w:r w:rsidR="00C86400">
        <w:rPr>
          <w:rFonts w:asciiTheme="minorHAnsi" w:hAnsiTheme="minorHAnsi"/>
          <w:color w:val="auto"/>
          <w:szCs w:val="24"/>
        </w:rPr>
        <w:t xml:space="preserve">noted to have </w:t>
      </w:r>
      <w:r w:rsidR="0051245B">
        <w:rPr>
          <w:rFonts w:asciiTheme="minorHAnsi" w:hAnsiTheme="minorHAnsi"/>
          <w:color w:val="auto"/>
          <w:szCs w:val="24"/>
        </w:rPr>
        <w:t xml:space="preserve">a </w:t>
      </w:r>
      <w:proofErr w:type="spellStart"/>
      <w:r w:rsidR="00C86400" w:rsidRPr="00112140">
        <w:rPr>
          <w:rFonts w:asciiTheme="minorHAnsi" w:hAnsiTheme="minorHAnsi"/>
          <w:color w:val="auto"/>
          <w:szCs w:val="24"/>
        </w:rPr>
        <w:t>dysthymic</w:t>
      </w:r>
      <w:proofErr w:type="spellEnd"/>
      <w:r w:rsidR="00C86400" w:rsidRPr="00112140">
        <w:rPr>
          <w:rFonts w:asciiTheme="minorHAnsi" w:hAnsiTheme="minorHAnsi"/>
          <w:color w:val="auto"/>
          <w:szCs w:val="24"/>
        </w:rPr>
        <w:t xml:space="preserve"> mood and restricted affect, </w:t>
      </w:r>
      <w:r w:rsidR="00E507F1" w:rsidRPr="00112140">
        <w:rPr>
          <w:rFonts w:asciiTheme="minorHAnsi" w:hAnsiTheme="minorHAnsi"/>
          <w:color w:val="auto"/>
          <w:szCs w:val="24"/>
        </w:rPr>
        <w:t>with</w:t>
      </w:r>
      <w:r w:rsidR="00126629" w:rsidRPr="00112140">
        <w:rPr>
          <w:rFonts w:asciiTheme="minorHAnsi" w:hAnsiTheme="minorHAnsi"/>
          <w:color w:val="auto"/>
          <w:szCs w:val="24"/>
        </w:rPr>
        <w:t>out</w:t>
      </w:r>
      <w:r w:rsidR="00E507F1">
        <w:rPr>
          <w:rFonts w:asciiTheme="minorHAnsi" w:hAnsiTheme="minorHAnsi"/>
          <w:color w:val="auto"/>
          <w:szCs w:val="24"/>
        </w:rPr>
        <w:t xml:space="preserve"> other</w:t>
      </w:r>
      <w:r w:rsidR="00126629">
        <w:rPr>
          <w:rFonts w:asciiTheme="minorHAnsi" w:hAnsiTheme="minorHAnsi"/>
          <w:color w:val="auto"/>
          <w:szCs w:val="24"/>
        </w:rPr>
        <w:t xml:space="preserve"> significant finding on the </w:t>
      </w:r>
      <w:r w:rsidR="00C86400">
        <w:rPr>
          <w:rFonts w:asciiTheme="minorHAnsi" w:hAnsiTheme="minorHAnsi"/>
          <w:color w:val="auto"/>
          <w:szCs w:val="24"/>
        </w:rPr>
        <w:t>MSE</w:t>
      </w:r>
      <w:r w:rsidR="0051245B">
        <w:rPr>
          <w:rFonts w:asciiTheme="minorHAnsi" w:hAnsiTheme="minorHAnsi"/>
          <w:color w:val="auto"/>
          <w:szCs w:val="24"/>
        </w:rPr>
        <w:t xml:space="preserve"> (mirror</w:t>
      </w:r>
      <w:r w:rsidR="005E488D">
        <w:rPr>
          <w:rFonts w:asciiTheme="minorHAnsi" w:hAnsiTheme="minorHAnsi"/>
          <w:color w:val="auto"/>
          <w:szCs w:val="24"/>
        </w:rPr>
        <w:t>ed</w:t>
      </w:r>
      <w:r w:rsidR="0051245B">
        <w:rPr>
          <w:rFonts w:asciiTheme="minorHAnsi" w:hAnsiTheme="minorHAnsi"/>
          <w:color w:val="auto"/>
          <w:szCs w:val="24"/>
        </w:rPr>
        <w:t xml:space="preserve"> other evaluations</w:t>
      </w:r>
      <w:r w:rsidR="00B8436E">
        <w:rPr>
          <w:rFonts w:asciiTheme="minorHAnsi" w:hAnsiTheme="minorHAnsi"/>
          <w:color w:val="auto"/>
          <w:szCs w:val="24"/>
        </w:rPr>
        <w:t>--</w:t>
      </w:r>
      <w:r w:rsidR="0051245B">
        <w:rPr>
          <w:rFonts w:asciiTheme="minorHAnsi" w:hAnsiTheme="minorHAnsi"/>
          <w:color w:val="auto"/>
          <w:szCs w:val="24"/>
        </w:rPr>
        <w:t>mood and affect were the predominate findings)</w:t>
      </w:r>
      <w:r w:rsidR="00C86400">
        <w:rPr>
          <w:rFonts w:asciiTheme="minorHAnsi" w:hAnsiTheme="minorHAnsi"/>
          <w:color w:val="auto"/>
          <w:szCs w:val="24"/>
        </w:rPr>
        <w:t>.</w:t>
      </w:r>
      <w:r w:rsidR="00AA0368">
        <w:rPr>
          <w:rFonts w:asciiTheme="minorHAnsi" w:hAnsiTheme="minorHAnsi"/>
          <w:color w:val="auto"/>
          <w:szCs w:val="24"/>
        </w:rPr>
        <w:t xml:space="preserve">  </w:t>
      </w:r>
      <w:r w:rsidR="00C86400">
        <w:rPr>
          <w:rFonts w:asciiTheme="minorHAnsi" w:hAnsiTheme="minorHAnsi"/>
          <w:color w:val="auto"/>
          <w:szCs w:val="24"/>
        </w:rPr>
        <w:t xml:space="preserve">A Beck </w:t>
      </w:r>
      <w:r w:rsidR="009F2F05">
        <w:rPr>
          <w:rFonts w:asciiTheme="minorHAnsi" w:hAnsiTheme="minorHAnsi"/>
          <w:color w:val="auto"/>
          <w:szCs w:val="24"/>
        </w:rPr>
        <w:t>D</w:t>
      </w:r>
      <w:r w:rsidR="00C86400">
        <w:rPr>
          <w:rFonts w:asciiTheme="minorHAnsi" w:hAnsiTheme="minorHAnsi"/>
          <w:color w:val="auto"/>
          <w:szCs w:val="24"/>
        </w:rPr>
        <w:t xml:space="preserve">epression </w:t>
      </w:r>
      <w:r w:rsidR="009F2F05">
        <w:rPr>
          <w:rFonts w:asciiTheme="minorHAnsi" w:hAnsiTheme="minorHAnsi"/>
          <w:color w:val="auto"/>
          <w:szCs w:val="24"/>
        </w:rPr>
        <w:t>I</w:t>
      </w:r>
      <w:r w:rsidR="00C86400">
        <w:rPr>
          <w:rFonts w:asciiTheme="minorHAnsi" w:hAnsiTheme="minorHAnsi"/>
          <w:color w:val="auto"/>
          <w:szCs w:val="24"/>
        </w:rPr>
        <w:t>nventory was 15</w:t>
      </w:r>
      <w:r w:rsidR="00B8436E">
        <w:rPr>
          <w:rFonts w:asciiTheme="minorHAnsi" w:hAnsiTheme="minorHAnsi"/>
          <w:color w:val="auto"/>
          <w:szCs w:val="24"/>
        </w:rPr>
        <w:t>,</w:t>
      </w:r>
      <w:r w:rsidR="00C86400">
        <w:rPr>
          <w:rFonts w:asciiTheme="minorHAnsi" w:hAnsiTheme="minorHAnsi"/>
          <w:color w:val="auto"/>
          <w:szCs w:val="24"/>
        </w:rPr>
        <w:t xml:space="preserve"> consistent with mild</w:t>
      </w:r>
      <w:r w:rsidR="00126629">
        <w:rPr>
          <w:rFonts w:asciiTheme="minorHAnsi" w:hAnsiTheme="minorHAnsi"/>
          <w:color w:val="auto"/>
          <w:szCs w:val="24"/>
        </w:rPr>
        <w:t>-to-moderate</w:t>
      </w:r>
      <w:r w:rsidR="00C86400">
        <w:rPr>
          <w:rFonts w:asciiTheme="minorHAnsi" w:hAnsiTheme="minorHAnsi"/>
          <w:color w:val="auto"/>
          <w:szCs w:val="24"/>
        </w:rPr>
        <w:t xml:space="preserve"> depression</w:t>
      </w:r>
      <w:r w:rsidR="00E500BF">
        <w:rPr>
          <w:rFonts w:asciiTheme="minorHAnsi" w:hAnsiTheme="minorHAnsi"/>
          <w:color w:val="auto"/>
          <w:szCs w:val="24"/>
        </w:rPr>
        <w:t xml:space="preserve"> and determined by the evaluator to be moderate. </w:t>
      </w:r>
      <w:r w:rsidR="00C86400">
        <w:rPr>
          <w:rFonts w:asciiTheme="minorHAnsi" w:hAnsiTheme="minorHAnsi"/>
          <w:color w:val="auto"/>
          <w:szCs w:val="24"/>
        </w:rPr>
        <w:t xml:space="preserve"> T</w:t>
      </w:r>
      <w:r w:rsidR="001650CE">
        <w:rPr>
          <w:rFonts w:asciiTheme="minorHAnsi" w:hAnsiTheme="minorHAnsi"/>
          <w:color w:val="auto"/>
          <w:szCs w:val="24"/>
        </w:rPr>
        <w:t xml:space="preserve">he examiner stated the diagnosis as “MDD, </w:t>
      </w:r>
      <w:r w:rsidR="003461F2">
        <w:rPr>
          <w:rFonts w:asciiTheme="minorHAnsi" w:hAnsiTheme="minorHAnsi"/>
          <w:color w:val="auto"/>
          <w:szCs w:val="24"/>
        </w:rPr>
        <w:t>R</w:t>
      </w:r>
      <w:r w:rsidR="001650CE">
        <w:rPr>
          <w:rFonts w:asciiTheme="minorHAnsi" w:hAnsiTheme="minorHAnsi"/>
          <w:color w:val="auto"/>
          <w:szCs w:val="24"/>
        </w:rPr>
        <w:t xml:space="preserve">ecurrent, </w:t>
      </w:r>
      <w:r w:rsidR="003461F2">
        <w:rPr>
          <w:rFonts w:asciiTheme="minorHAnsi" w:hAnsiTheme="minorHAnsi"/>
          <w:color w:val="auto"/>
          <w:szCs w:val="24"/>
        </w:rPr>
        <w:t>M</w:t>
      </w:r>
      <w:r w:rsidR="001650CE">
        <w:rPr>
          <w:rFonts w:asciiTheme="minorHAnsi" w:hAnsiTheme="minorHAnsi"/>
          <w:color w:val="auto"/>
          <w:szCs w:val="24"/>
        </w:rPr>
        <w:t xml:space="preserve">oderate, </w:t>
      </w:r>
      <w:r w:rsidR="006364CB">
        <w:rPr>
          <w:rFonts w:asciiTheme="minorHAnsi" w:hAnsiTheme="minorHAnsi"/>
          <w:color w:val="auto"/>
          <w:szCs w:val="24"/>
        </w:rPr>
        <w:t>and Chronic</w:t>
      </w:r>
      <w:r w:rsidR="001650CE">
        <w:rPr>
          <w:rFonts w:asciiTheme="minorHAnsi" w:hAnsiTheme="minorHAnsi"/>
          <w:color w:val="auto"/>
          <w:szCs w:val="24"/>
        </w:rPr>
        <w:t xml:space="preserve">” and stated that social and industrial impairments were “definite.”  </w:t>
      </w:r>
      <w:r w:rsidR="003461F2">
        <w:rPr>
          <w:rFonts w:asciiTheme="minorHAnsi" w:hAnsiTheme="minorHAnsi"/>
          <w:color w:val="auto"/>
          <w:szCs w:val="24"/>
        </w:rPr>
        <w:t>The examiner noted that</w:t>
      </w:r>
      <w:r w:rsidR="001650CE">
        <w:rPr>
          <w:rFonts w:asciiTheme="minorHAnsi" w:hAnsiTheme="minorHAnsi"/>
          <w:color w:val="auto"/>
          <w:szCs w:val="24"/>
        </w:rPr>
        <w:t xml:space="preserve"> </w:t>
      </w:r>
      <w:r w:rsidR="003461F2">
        <w:rPr>
          <w:rFonts w:asciiTheme="minorHAnsi" w:hAnsiTheme="minorHAnsi"/>
          <w:color w:val="auto"/>
          <w:szCs w:val="24"/>
        </w:rPr>
        <w:t>“…</w:t>
      </w:r>
      <w:r w:rsidR="003461F2" w:rsidRPr="00222A51">
        <w:rPr>
          <w:rFonts w:asciiTheme="minorHAnsi" w:hAnsiTheme="minorHAnsi"/>
          <w:color w:val="auto"/>
          <w:szCs w:val="24"/>
        </w:rPr>
        <w:t>depressive symptoms continue to interfere with his ability to work to his capacity.  Despite concerns, he appears to have adapted very well by limiting his commitments and responsibilities and recognizing and accepting his limitation</w:t>
      </w:r>
      <w:r w:rsidR="00222A51">
        <w:rPr>
          <w:rFonts w:asciiTheme="minorHAnsi" w:hAnsiTheme="minorHAnsi"/>
          <w:color w:val="auto"/>
          <w:szCs w:val="24"/>
        </w:rPr>
        <w:t>s</w:t>
      </w:r>
      <w:r w:rsidR="003461F2" w:rsidRPr="00222A51">
        <w:rPr>
          <w:rFonts w:asciiTheme="minorHAnsi" w:hAnsiTheme="minorHAnsi"/>
          <w:color w:val="auto"/>
          <w:szCs w:val="24"/>
        </w:rPr>
        <w:t>.</w:t>
      </w:r>
      <w:r w:rsidR="003461F2">
        <w:rPr>
          <w:rFonts w:asciiTheme="minorHAnsi" w:hAnsiTheme="minorHAnsi"/>
          <w:color w:val="auto"/>
          <w:szCs w:val="24"/>
        </w:rPr>
        <w:t>”  Global functioning</w:t>
      </w:r>
      <w:r w:rsidR="00C86400">
        <w:rPr>
          <w:rFonts w:asciiTheme="minorHAnsi" w:hAnsiTheme="minorHAnsi"/>
          <w:color w:val="auto"/>
          <w:szCs w:val="24"/>
        </w:rPr>
        <w:t xml:space="preserve"> was </w:t>
      </w:r>
      <w:r w:rsidR="003461F2">
        <w:rPr>
          <w:rFonts w:asciiTheme="minorHAnsi" w:hAnsiTheme="minorHAnsi"/>
          <w:color w:val="auto"/>
          <w:szCs w:val="24"/>
        </w:rPr>
        <w:t xml:space="preserve">assessed </w:t>
      </w:r>
      <w:r w:rsidR="001650CE">
        <w:rPr>
          <w:rFonts w:asciiTheme="minorHAnsi" w:hAnsiTheme="minorHAnsi"/>
          <w:color w:val="auto"/>
          <w:szCs w:val="24"/>
        </w:rPr>
        <w:t>in the mild symptoms range (GAF=65)</w:t>
      </w:r>
      <w:r w:rsidR="0037270D">
        <w:rPr>
          <w:rFonts w:asciiTheme="minorHAnsi" w:hAnsiTheme="minorHAnsi"/>
          <w:color w:val="auto"/>
          <w:szCs w:val="24"/>
        </w:rPr>
        <w:t xml:space="preserve">, </w:t>
      </w:r>
      <w:r w:rsidR="001650CE">
        <w:rPr>
          <w:rFonts w:asciiTheme="minorHAnsi" w:hAnsiTheme="minorHAnsi"/>
          <w:color w:val="auto"/>
          <w:szCs w:val="24"/>
        </w:rPr>
        <w:t>which</w:t>
      </w:r>
      <w:r w:rsidR="0037270D" w:rsidRPr="00222A51">
        <w:rPr>
          <w:rFonts w:asciiTheme="minorHAnsi" w:hAnsiTheme="minorHAnsi"/>
          <w:color w:val="auto"/>
          <w:szCs w:val="24"/>
        </w:rPr>
        <w:t xml:space="preserve"> </w:t>
      </w:r>
      <w:r w:rsidR="001650CE" w:rsidRPr="00222A51">
        <w:rPr>
          <w:rFonts w:asciiTheme="minorHAnsi" w:hAnsiTheme="minorHAnsi"/>
          <w:color w:val="auto"/>
          <w:szCs w:val="24"/>
        </w:rPr>
        <w:t>was</w:t>
      </w:r>
      <w:r w:rsidR="0037270D" w:rsidRPr="00222A51">
        <w:rPr>
          <w:rFonts w:asciiTheme="minorHAnsi" w:hAnsiTheme="minorHAnsi"/>
          <w:color w:val="auto"/>
          <w:szCs w:val="24"/>
        </w:rPr>
        <w:t xml:space="preserve"> </w:t>
      </w:r>
      <w:r w:rsidR="00365C48" w:rsidRPr="00222A51">
        <w:rPr>
          <w:rFonts w:asciiTheme="minorHAnsi" w:hAnsiTheme="minorHAnsi"/>
          <w:color w:val="auto"/>
          <w:szCs w:val="24"/>
        </w:rPr>
        <w:t xml:space="preserve">significantly </w:t>
      </w:r>
      <w:r w:rsidR="009F2F05" w:rsidRPr="00222A51">
        <w:rPr>
          <w:rFonts w:asciiTheme="minorHAnsi" w:hAnsiTheme="minorHAnsi"/>
          <w:color w:val="auto"/>
          <w:szCs w:val="24"/>
        </w:rPr>
        <w:t>improved from</w:t>
      </w:r>
      <w:r w:rsidR="0037270D" w:rsidRPr="00222A51">
        <w:rPr>
          <w:rFonts w:asciiTheme="minorHAnsi" w:hAnsiTheme="minorHAnsi"/>
          <w:color w:val="auto"/>
          <w:szCs w:val="24"/>
        </w:rPr>
        <w:t xml:space="preserve"> the </w:t>
      </w:r>
      <w:r w:rsidR="00126629" w:rsidRPr="00222A51">
        <w:rPr>
          <w:rFonts w:asciiTheme="minorHAnsi" w:hAnsiTheme="minorHAnsi"/>
          <w:color w:val="auto"/>
          <w:szCs w:val="24"/>
        </w:rPr>
        <w:t>GAF</w:t>
      </w:r>
      <w:r w:rsidR="0037270D" w:rsidRPr="00222A51">
        <w:rPr>
          <w:rFonts w:asciiTheme="minorHAnsi" w:hAnsiTheme="minorHAnsi"/>
          <w:color w:val="auto"/>
          <w:szCs w:val="24"/>
        </w:rPr>
        <w:t xml:space="preserve"> of 50 noted on the VA Compensation and Pension (C&amp;P) </w:t>
      </w:r>
      <w:r w:rsidR="00222A51">
        <w:rPr>
          <w:rFonts w:asciiTheme="minorHAnsi" w:hAnsiTheme="minorHAnsi"/>
          <w:color w:val="auto"/>
          <w:szCs w:val="24"/>
        </w:rPr>
        <w:t>e</w:t>
      </w:r>
      <w:r w:rsidR="0037270D" w:rsidRPr="00222A51">
        <w:rPr>
          <w:rFonts w:asciiTheme="minorHAnsi" w:hAnsiTheme="minorHAnsi"/>
          <w:color w:val="auto"/>
          <w:szCs w:val="24"/>
        </w:rPr>
        <w:t>xam accomplished nine months prior to separation</w:t>
      </w:r>
      <w:r w:rsidR="00126629" w:rsidRPr="00222A51">
        <w:rPr>
          <w:rFonts w:asciiTheme="minorHAnsi" w:hAnsiTheme="minorHAnsi"/>
          <w:color w:val="auto"/>
          <w:szCs w:val="24"/>
        </w:rPr>
        <w:t xml:space="preserve"> (20021015)</w:t>
      </w:r>
      <w:r w:rsidR="0037270D" w:rsidRPr="00222A51">
        <w:rPr>
          <w:rFonts w:asciiTheme="minorHAnsi" w:hAnsiTheme="minorHAnsi"/>
          <w:color w:val="auto"/>
          <w:szCs w:val="24"/>
        </w:rPr>
        <w:t xml:space="preserve">, and consistent with scores (70) annotated in outpatient visits in 2000 and 2001.  It is also </w:t>
      </w:r>
      <w:r w:rsidR="00222A51">
        <w:rPr>
          <w:rFonts w:asciiTheme="minorHAnsi" w:hAnsiTheme="minorHAnsi"/>
          <w:color w:val="auto"/>
          <w:szCs w:val="24"/>
        </w:rPr>
        <w:t>n</w:t>
      </w:r>
      <w:r w:rsidR="0037270D" w:rsidRPr="00222A51">
        <w:rPr>
          <w:rFonts w:asciiTheme="minorHAnsi" w:hAnsiTheme="minorHAnsi"/>
          <w:color w:val="auto"/>
          <w:szCs w:val="24"/>
        </w:rPr>
        <w:t xml:space="preserve">oted that at an exam six months earlier, </w:t>
      </w:r>
      <w:r w:rsidR="00126629" w:rsidRPr="00222A51">
        <w:rPr>
          <w:rFonts w:asciiTheme="minorHAnsi" w:hAnsiTheme="minorHAnsi"/>
          <w:color w:val="auto"/>
          <w:szCs w:val="24"/>
        </w:rPr>
        <w:t>the CI was likely not taking his medications (</w:t>
      </w:r>
      <w:r w:rsidR="0037270D" w:rsidRPr="00222A51">
        <w:rPr>
          <w:rFonts w:asciiTheme="minorHAnsi" w:hAnsiTheme="minorHAnsi"/>
          <w:color w:val="auto"/>
          <w:szCs w:val="24"/>
        </w:rPr>
        <w:t xml:space="preserve">a </w:t>
      </w:r>
      <w:proofErr w:type="spellStart"/>
      <w:r w:rsidR="0037270D" w:rsidRPr="00222A51">
        <w:rPr>
          <w:rFonts w:asciiTheme="minorHAnsi" w:hAnsiTheme="minorHAnsi"/>
          <w:color w:val="auto"/>
          <w:szCs w:val="24"/>
        </w:rPr>
        <w:t>Serzone</w:t>
      </w:r>
      <w:proofErr w:type="spellEnd"/>
      <w:r w:rsidR="0037270D" w:rsidRPr="00222A51">
        <w:rPr>
          <w:rFonts w:asciiTheme="minorHAnsi" w:hAnsiTheme="minorHAnsi"/>
          <w:color w:val="auto"/>
          <w:szCs w:val="24"/>
        </w:rPr>
        <w:t xml:space="preserve"> blood level was “undetectable”</w:t>
      </w:r>
      <w:r w:rsidR="00126629" w:rsidRPr="00222A51">
        <w:rPr>
          <w:rFonts w:asciiTheme="minorHAnsi" w:hAnsiTheme="minorHAnsi"/>
          <w:color w:val="auto"/>
          <w:szCs w:val="24"/>
        </w:rPr>
        <w:t>)</w:t>
      </w:r>
      <w:r w:rsidR="0037270D" w:rsidRPr="00222A51">
        <w:rPr>
          <w:rFonts w:asciiTheme="minorHAnsi" w:hAnsiTheme="minorHAnsi"/>
          <w:color w:val="auto"/>
          <w:szCs w:val="24"/>
        </w:rPr>
        <w:t xml:space="preserve">.  </w:t>
      </w:r>
      <w:r w:rsidR="008D22F9" w:rsidRPr="00222A51">
        <w:rPr>
          <w:rFonts w:asciiTheme="minorHAnsi" w:hAnsiTheme="minorHAnsi"/>
          <w:color w:val="auto"/>
          <w:szCs w:val="24"/>
        </w:rPr>
        <w:t xml:space="preserve">The VA examiner did more fully describe the CI’s work situation with frequent inability to report to work on time due to depressive symptoms.  </w:t>
      </w:r>
      <w:r w:rsidR="00222A51">
        <w:rPr>
          <w:rFonts w:asciiTheme="minorHAnsi" w:hAnsiTheme="minorHAnsi"/>
          <w:color w:val="auto"/>
          <w:szCs w:val="24"/>
        </w:rPr>
        <w:t>With</w:t>
      </w:r>
      <w:r w:rsidR="009F2F05" w:rsidRPr="009F2F05">
        <w:rPr>
          <w:rFonts w:asciiTheme="minorHAnsi" w:hAnsiTheme="minorHAnsi"/>
          <w:color w:val="auto"/>
          <w:szCs w:val="24"/>
        </w:rPr>
        <w:t xml:space="preserve"> regard</w:t>
      </w:r>
      <w:r w:rsidR="00222A51">
        <w:rPr>
          <w:rFonts w:asciiTheme="minorHAnsi" w:hAnsiTheme="minorHAnsi"/>
          <w:color w:val="auto"/>
          <w:szCs w:val="24"/>
        </w:rPr>
        <w:t xml:space="preserve"> to the</w:t>
      </w:r>
      <w:r w:rsidR="009F2F05" w:rsidRPr="009F2F05">
        <w:rPr>
          <w:rFonts w:asciiTheme="minorHAnsi" w:hAnsiTheme="minorHAnsi"/>
          <w:color w:val="auto"/>
          <w:szCs w:val="24"/>
        </w:rPr>
        <w:t xml:space="preserve"> permanent rating recommendation, all members agreed that the §4.130 threshold for a </w:t>
      </w:r>
      <w:r w:rsidR="003461F2">
        <w:rPr>
          <w:rFonts w:asciiTheme="minorHAnsi" w:hAnsiTheme="minorHAnsi"/>
          <w:color w:val="auto"/>
          <w:szCs w:val="24"/>
        </w:rPr>
        <w:t>7</w:t>
      </w:r>
      <w:r w:rsidR="009F2F05" w:rsidRPr="009F2F05">
        <w:rPr>
          <w:rFonts w:asciiTheme="minorHAnsi" w:hAnsiTheme="minorHAnsi"/>
          <w:color w:val="auto"/>
          <w:szCs w:val="24"/>
        </w:rPr>
        <w:t xml:space="preserve">0% rating was not </w:t>
      </w:r>
      <w:r w:rsidR="009F2F05" w:rsidRPr="00EC4A5E">
        <w:rPr>
          <w:rFonts w:asciiTheme="minorHAnsi" w:hAnsiTheme="minorHAnsi"/>
          <w:color w:val="auto"/>
          <w:szCs w:val="24"/>
        </w:rPr>
        <w:t xml:space="preserve">approached and that the criteria for a 0% rating were well exceeded.  </w:t>
      </w:r>
      <w:r w:rsidR="003461F2" w:rsidRPr="00EC4A5E">
        <w:rPr>
          <w:rFonts w:asciiTheme="minorHAnsi" w:hAnsiTheme="minorHAnsi"/>
          <w:color w:val="auto"/>
          <w:szCs w:val="24"/>
        </w:rPr>
        <w:t xml:space="preserve">The Board deliberated between 50%, 30% or 10% ratings.  </w:t>
      </w:r>
      <w:r w:rsidR="009F2F05" w:rsidRPr="00EC4A5E">
        <w:rPr>
          <w:rFonts w:asciiTheme="minorHAnsi" w:hAnsiTheme="minorHAnsi"/>
          <w:color w:val="auto"/>
          <w:szCs w:val="24"/>
        </w:rPr>
        <w:t>The VA rating decision (50%) was based on exam nine months prior to separation (20021015).  The MEB exam a little</w:t>
      </w:r>
      <w:r w:rsidR="00B8436E">
        <w:rPr>
          <w:rFonts w:asciiTheme="minorHAnsi" w:hAnsiTheme="minorHAnsi"/>
          <w:color w:val="auto"/>
          <w:szCs w:val="24"/>
        </w:rPr>
        <w:t xml:space="preserve"> more than </w:t>
      </w:r>
      <w:r w:rsidR="009F2F05" w:rsidRPr="00EC4A5E">
        <w:rPr>
          <w:rFonts w:asciiTheme="minorHAnsi" w:hAnsiTheme="minorHAnsi"/>
          <w:color w:val="auto"/>
          <w:szCs w:val="24"/>
        </w:rPr>
        <w:t>two months before separation (20030508) was closer to separation</w:t>
      </w:r>
      <w:r w:rsidR="009F2F05" w:rsidRPr="00412A06">
        <w:rPr>
          <w:rFonts w:asciiTheme="minorHAnsi" w:hAnsiTheme="minorHAnsi"/>
          <w:color w:val="auto"/>
          <w:szCs w:val="24"/>
        </w:rPr>
        <w:t xml:space="preserve"> and is given a higher probative value for chronological proximity.  The military exam showed improvement which was </w:t>
      </w:r>
      <w:r w:rsidR="009F2F05" w:rsidRPr="00412A06">
        <w:rPr>
          <w:rFonts w:asciiTheme="minorHAnsi" w:hAnsiTheme="minorHAnsi"/>
          <w:color w:val="auto"/>
          <w:szCs w:val="24"/>
        </w:rPr>
        <w:lastRenderedPageBreak/>
        <w:t>consistent with the treatment notes and</w:t>
      </w:r>
      <w:r w:rsidR="009F2F05">
        <w:rPr>
          <w:rFonts w:asciiTheme="minorHAnsi" w:hAnsiTheme="minorHAnsi"/>
          <w:color w:val="auto"/>
          <w:szCs w:val="24"/>
        </w:rPr>
        <w:t xml:space="preserve"> medication stabilization.  </w:t>
      </w:r>
      <w:r w:rsidR="003461F2">
        <w:rPr>
          <w:rFonts w:asciiTheme="minorHAnsi" w:hAnsiTheme="minorHAnsi"/>
          <w:color w:val="auto"/>
          <w:szCs w:val="24"/>
        </w:rPr>
        <w:t xml:space="preserve">Of special attention is the mismatch between the military examiner’s diagnosis of “MDD, Recurrent, Moderate, Chronic” which agrees with the VA diagnosis of </w:t>
      </w:r>
      <w:r w:rsidR="00D93C7B">
        <w:rPr>
          <w:rFonts w:asciiTheme="minorHAnsi" w:hAnsiTheme="minorHAnsi"/>
          <w:color w:val="auto"/>
          <w:szCs w:val="24"/>
        </w:rPr>
        <w:t>“</w:t>
      </w:r>
      <w:r w:rsidR="00D93C7B" w:rsidRPr="00EC4A5E">
        <w:rPr>
          <w:rFonts w:asciiTheme="minorHAnsi" w:hAnsiTheme="minorHAnsi"/>
          <w:color w:val="auto"/>
          <w:szCs w:val="24"/>
        </w:rPr>
        <w:t>MDD</w:t>
      </w:r>
      <w:r w:rsidR="003461F2" w:rsidRPr="00EC4A5E">
        <w:rPr>
          <w:rFonts w:asciiTheme="minorHAnsi" w:hAnsiTheme="minorHAnsi"/>
          <w:color w:val="auto"/>
          <w:szCs w:val="24"/>
        </w:rPr>
        <w:t xml:space="preserve"> </w:t>
      </w:r>
      <w:r w:rsidR="00D93C7B" w:rsidRPr="00EC4A5E">
        <w:rPr>
          <w:rFonts w:asciiTheme="minorHAnsi" w:hAnsiTheme="minorHAnsi"/>
          <w:color w:val="auto"/>
          <w:szCs w:val="24"/>
        </w:rPr>
        <w:t xml:space="preserve">recurrent and of moderate severity”, </w:t>
      </w:r>
      <w:r w:rsidR="003461F2" w:rsidRPr="00EC4A5E">
        <w:rPr>
          <w:rFonts w:asciiTheme="minorHAnsi" w:hAnsiTheme="minorHAnsi"/>
          <w:color w:val="auto"/>
          <w:szCs w:val="24"/>
        </w:rPr>
        <w:t xml:space="preserve">and the PEB diagnosis of “MDD, Single Episode.”  </w:t>
      </w:r>
      <w:r w:rsidR="00412A06" w:rsidRPr="00EC4A5E">
        <w:rPr>
          <w:rFonts w:asciiTheme="minorHAnsi" w:hAnsiTheme="minorHAnsi"/>
          <w:color w:val="auto"/>
          <w:szCs w:val="24"/>
        </w:rPr>
        <w:t xml:space="preserve">The Board </w:t>
      </w:r>
      <w:r w:rsidR="00D93C7B" w:rsidRPr="00EC4A5E">
        <w:rPr>
          <w:rFonts w:asciiTheme="minorHAnsi" w:hAnsiTheme="minorHAnsi"/>
          <w:color w:val="auto"/>
          <w:szCs w:val="24"/>
        </w:rPr>
        <w:t xml:space="preserve">considered the MDD recurrent and </w:t>
      </w:r>
      <w:r w:rsidR="00412A06" w:rsidRPr="00EC4A5E">
        <w:rPr>
          <w:rFonts w:asciiTheme="minorHAnsi" w:hAnsiTheme="minorHAnsi"/>
          <w:color w:val="auto"/>
          <w:szCs w:val="24"/>
        </w:rPr>
        <w:t xml:space="preserve">the treatment records and history </w:t>
      </w:r>
      <w:r w:rsidR="00B8436E">
        <w:rPr>
          <w:rFonts w:asciiTheme="minorHAnsi" w:hAnsiTheme="minorHAnsi"/>
          <w:color w:val="auto"/>
          <w:szCs w:val="24"/>
        </w:rPr>
        <w:t xml:space="preserve">which </w:t>
      </w:r>
      <w:r w:rsidR="00D93C7B" w:rsidRPr="00EC4A5E">
        <w:rPr>
          <w:rFonts w:asciiTheme="minorHAnsi" w:hAnsiTheme="minorHAnsi"/>
          <w:color w:val="auto"/>
          <w:szCs w:val="24"/>
        </w:rPr>
        <w:t>indicated</w:t>
      </w:r>
      <w:r w:rsidR="00412A06" w:rsidRPr="00EC4A5E">
        <w:rPr>
          <w:rFonts w:asciiTheme="minorHAnsi" w:hAnsiTheme="minorHAnsi"/>
          <w:color w:val="auto"/>
          <w:szCs w:val="24"/>
        </w:rPr>
        <w:t xml:space="preserve"> waxing and waning symptoms </w:t>
      </w:r>
      <w:r w:rsidR="00C9085A" w:rsidRPr="00EC4A5E">
        <w:rPr>
          <w:rFonts w:asciiTheme="minorHAnsi" w:hAnsiTheme="minorHAnsi"/>
          <w:color w:val="auto"/>
          <w:szCs w:val="24"/>
        </w:rPr>
        <w:t xml:space="preserve">and </w:t>
      </w:r>
      <w:r w:rsidR="00D93C7B" w:rsidRPr="00EC4A5E">
        <w:rPr>
          <w:rFonts w:asciiTheme="minorHAnsi" w:hAnsiTheme="minorHAnsi"/>
          <w:color w:val="auto"/>
          <w:szCs w:val="24"/>
        </w:rPr>
        <w:t xml:space="preserve">the </w:t>
      </w:r>
      <w:r w:rsidR="00C9085A" w:rsidRPr="00EC4A5E">
        <w:rPr>
          <w:rFonts w:asciiTheme="minorHAnsi" w:hAnsiTheme="minorHAnsi"/>
          <w:color w:val="auto"/>
          <w:szCs w:val="24"/>
        </w:rPr>
        <w:t xml:space="preserve">switch to a less demanding </w:t>
      </w:r>
      <w:r w:rsidR="008D22F9" w:rsidRPr="00EC4A5E">
        <w:rPr>
          <w:rFonts w:asciiTheme="minorHAnsi" w:hAnsiTheme="minorHAnsi"/>
          <w:color w:val="auto"/>
          <w:szCs w:val="24"/>
        </w:rPr>
        <w:t xml:space="preserve">(lower paying) </w:t>
      </w:r>
      <w:r w:rsidR="00C9085A" w:rsidRPr="00EC4A5E">
        <w:rPr>
          <w:rFonts w:asciiTheme="minorHAnsi" w:hAnsiTheme="minorHAnsi"/>
          <w:color w:val="auto"/>
          <w:szCs w:val="24"/>
        </w:rPr>
        <w:t>employment</w:t>
      </w:r>
      <w:r w:rsidR="00B8436E">
        <w:rPr>
          <w:rFonts w:asciiTheme="minorHAnsi" w:hAnsiTheme="minorHAnsi"/>
          <w:color w:val="auto"/>
          <w:szCs w:val="24"/>
        </w:rPr>
        <w:t xml:space="preserve">.  This information </w:t>
      </w:r>
      <w:r w:rsidR="00412A06" w:rsidRPr="00EC4A5E">
        <w:rPr>
          <w:rFonts w:asciiTheme="minorHAnsi" w:hAnsiTheme="minorHAnsi"/>
          <w:color w:val="auto"/>
          <w:szCs w:val="24"/>
        </w:rPr>
        <w:t>supported a 30% rating recommendation</w:t>
      </w:r>
      <w:r w:rsidR="00BA2A43" w:rsidRPr="00EC4A5E">
        <w:rPr>
          <w:rFonts w:asciiTheme="minorHAnsi" w:hAnsiTheme="minorHAnsi"/>
          <w:color w:val="auto"/>
          <w:szCs w:val="24"/>
        </w:rPr>
        <w:t xml:space="preserve"> [“…with occasional decrease in work efficiency and intermittent periods of inability to perform occupational tasks (although generally functioning satisfactorily, with routine behavior, self-care, and conversation normal)…”]</w:t>
      </w:r>
      <w:r w:rsidR="00412A06" w:rsidRPr="00EC4A5E">
        <w:rPr>
          <w:rFonts w:asciiTheme="minorHAnsi" w:hAnsiTheme="minorHAnsi"/>
          <w:color w:val="auto"/>
          <w:szCs w:val="24"/>
        </w:rPr>
        <w:t xml:space="preserve">, although a </w:t>
      </w:r>
      <w:r w:rsidR="00D93C7B" w:rsidRPr="00EC4A5E">
        <w:rPr>
          <w:rFonts w:asciiTheme="minorHAnsi" w:hAnsiTheme="minorHAnsi"/>
          <w:color w:val="auto"/>
          <w:szCs w:val="24"/>
        </w:rPr>
        <w:t>5</w:t>
      </w:r>
      <w:r w:rsidR="00412A06" w:rsidRPr="00EC4A5E">
        <w:rPr>
          <w:rFonts w:asciiTheme="minorHAnsi" w:hAnsiTheme="minorHAnsi"/>
          <w:color w:val="auto"/>
          <w:szCs w:val="24"/>
        </w:rPr>
        <w:t xml:space="preserve">0% </w:t>
      </w:r>
      <w:r w:rsidR="00D93C7B" w:rsidRPr="00EC4A5E">
        <w:rPr>
          <w:rFonts w:asciiTheme="minorHAnsi" w:hAnsiTheme="minorHAnsi"/>
          <w:color w:val="auto"/>
          <w:szCs w:val="24"/>
        </w:rPr>
        <w:t xml:space="preserve">or 10% </w:t>
      </w:r>
      <w:r w:rsidR="00412A06" w:rsidRPr="00EC4A5E">
        <w:rPr>
          <w:rFonts w:asciiTheme="minorHAnsi" w:hAnsiTheme="minorHAnsi"/>
          <w:color w:val="auto"/>
          <w:szCs w:val="24"/>
        </w:rPr>
        <w:t xml:space="preserve">rating </w:t>
      </w:r>
      <w:r w:rsidR="00D93C7B" w:rsidRPr="00EC4A5E">
        <w:rPr>
          <w:rFonts w:asciiTheme="minorHAnsi" w:hAnsiTheme="minorHAnsi"/>
          <w:color w:val="auto"/>
          <w:szCs w:val="24"/>
        </w:rPr>
        <w:t>may have been supportable</w:t>
      </w:r>
      <w:r w:rsidR="00412A06" w:rsidRPr="00EC4A5E">
        <w:rPr>
          <w:rFonts w:asciiTheme="minorHAnsi" w:hAnsiTheme="minorHAnsi"/>
          <w:color w:val="auto"/>
          <w:szCs w:val="24"/>
        </w:rPr>
        <w:t xml:space="preserve">.  After due deliberation, considering the totality of the evidence and mindful of VASRD §4.3 (reasonable doubt), the Board </w:t>
      </w:r>
      <w:r w:rsidR="00EC4A5E">
        <w:rPr>
          <w:rFonts w:asciiTheme="minorHAnsi" w:hAnsiTheme="minorHAnsi"/>
          <w:color w:val="auto"/>
          <w:szCs w:val="24"/>
        </w:rPr>
        <w:t xml:space="preserve">unanimously </w:t>
      </w:r>
      <w:r w:rsidR="00412A06" w:rsidRPr="00EC4A5E">
        <w:rPr>
          <w:rFonts w:asciiTheme="minorHAnsi" w:hAnsiTheme="minorHAnsi"/>
          <w:color w:val="auto"/>
          <w:szCs w:val="24"/>
        </w:rPr>
        <w:t>recommends a</w:t>
      </w:r>
      <w:r w:rsidR="00C73291" w:rsidRPr="00EC4A5E">
        <w:rPr>
          <w:rFonts w:asciiTheme="minorHAnsi" w:hAnsiTheme="minorHAnsi"/>
          <w:color w:val="auto"/>
          <w:szCs w:val="24"/>
        </w:rPr>
        <w:t xml:space="preserve"> TDRL entry rating for MDD as 9343 at </w:t>
      </w:r>
      <w:r w:rsidR="00F33C86" w:rsidRPr="00EC4A5E">
        <w:rPr>
          <w:rFonts w:asciiTheme="minorHAnsi" w:hAnsiTheme="minorHAnsi"/>
          <w:color w:val="auto"/>
          <w:szCs w:val="24"/>
        </w:rPr>
        <w:t>3</w:t>
      </w:r>
      <w:r w:rsidR="00C73291" w:rsidRPr="00EC4A5E">
        <w:rPr>
          <w:rFonts w:asciiTheme="minorHAnsi" w:hAnsiTheme="minorHAnsi"/>
          <w:color w:val="auto"/>
          <w:szCs w:val="24"/>
        </w:rPr>
        <w:t xml:space="preserve">0% and </w:t>
      </w:r>
      <w:r w:rsidR="00222A51">
        <w:rPr>
          <w:rFonts w:asciiTheme="minorHAnsi" w:hAnsiTheme="minorHAnsi"/>
          <w:color w:val="auto"/>
          <w:szCs w:val="24"/>
        </w:rPr>
        <w:t xml:space="preserve">a </w:t>
      </w:r>
      <w:r w:rsidR="00412A06" w:rsidRPr="00EC4A5E">
        <w:rPr>
          <w:rFonts w:asciiTheme="minorHAnsi" w:hAnsiTheme="minorHAnsi"/>
          <w:color w:val="auto"/>
          <w:szCs w:val="24"/>
        </w:rPr>
        <w:t xml:space="preserve">permanent </w:t>
      </w:r>
      <w:r w:rsidR="00C73291" w:rsidRPr="00EC4A5E">
        <w:rPr>
          <w:rFonts w:asciiTheme="minorHAnsi" w:hAnsiTheme="minorHAnsi"/>
          <w:color w:val="auto"/>
          <w:szCs w:val="24"/>
        </w:rPr>
        <w:t>TDRL separation</w:t>
      </w:r>
      <w:r w:rsidR="00412A06" w:rsidRPr="00EC4A5E">
        <w:rPr>
          <w:rFonts w:asciiTheme="minorHAnsi" w:hAnsiTheme="minorHAnsi"/>
          <w:color w:val="auto"/>
          <w:szCs w:val="24"/>
        </w:rPr>
        <w:t xml:space="preserve"> </w:t>
      </w:r>
      <w:r w:rsidR="00C73291" w:rsidRPr="00EC4A5E">
        <w:rPr>
          <w:rFonts w:asciiTheme="minorHAnsi" w:hAnsiTheme="minorHAnsi"/>
          <w:color w:val="auto"/>
          <w:szCs w:val="24"/>
        </w:rPr>
        <w:t xml:space="preserve">MDD </w:t>
      </w:r>
      <w:r w:rsidR="00412A06" w:rsidRPr="00EC4A5E">
        <w:rPr>
          <w:rFonts w:asciiTheme="minorHAnsi" w:hAnsiTheme="minorHAnsi"/>
          <w:color w:val="auto"/>
          <w:szCs w:val="24"/>
        </w:rPr>
        <w:t>disability rating of 30% in this case.</w:t>
      </w:r>
      <w:r w:rsidR="00412A06">
        <w:rPr>
          <w:rFonts w:asciiTheme="minorHAnsi" w:hAnsiTheme="minorHAnsi"/>
          <w:color w:val="auto"/>
          <w:szCs w:val="24"/>
        </w:rPr>
        <w:t xml:space="preserve">  </w:t>
      </w:r>
    </w:p>
    <w:p w:rsidR="00412A06" w:rsidRDefault="00412A06" w:rsidP="002B3C31">
      <w:pPr>
        <w:tabs>
          <w:tab w:val="left" w:pos="288"/>
          <w:tab w:val="left" w:pos="4752"/>
        </w:tabs>
        <w:spacing w:line="240" w:lineRule="exact"/>
        <w:jc w:val="both"/>
        <w:rPr>
          <w:rFonts w:asciiTheme="minorHAnsi" w:hAnsiTheme="minorHAnsi"/>
          <w:color w:val="auto"/>
          <w:szCs w:val="24"/>
        </w:rPr>
      </w:pPr>
    </w:p>
    <w:p w:rsidR="0010179D" w:rsidRDefault="006D41F8" w:rsidP="002B3C31">
      <w:pPr>
        <w:tabs>
          <w:tab w:val="left" w:pos="288"/>
          <w:tab w:val="left" w:pos="4752"/>
        </w:tabs>
        <w:spacing w:line="240" w:lineRule="exact"/>
        <w:jc w:val="both"/>
        <w:rPr>
          <w:rFonts w:ascii="Calibri" w:eastAsia="Calibri" w:hAnsi="Calibri"/>
          <w:color w:val="auto"/>
          <w:szCs w:val="24"/>
        </w:rPr>
      </w:pPr>
      <w:proofErr w:type="gramStart"/>
      <w:r>
        <w:rPr>
          <w:rFonts w:asciiTheme="minorHAnsi" w:hAnsiTheme="minorHAnsi"/>
          <w:color w:val="auto"/>
          <w:szCs w:val="24"/>
          <w:u w:val="single"/>
        </w:rPr>
        <w:t xml:space="preserve">Low </w:t>
      </w:r>
      <w:r w:rsidR="00926FCB" w:rsidRPr="00542C9A">
        <w:rPr>
          <w:rFonts w:asciiTheme="minorHAnsi" w:hAnsiTheme="minorHAnsi"/>
          <w:color w:val="auto"/>
          <w:szCs w:val="24"/>
          <w:u w:val="single"/>
        </w:rPr>
        <w:t>Back</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BA2A43">
        <w:rPr>
          <w:rFonts w:asciiTheme="minorHAnsi" w:hAnsiTheme="minorHAnsi"/>
          <w:color w:val="auto"/>
          <w:szCs w:val="24"/>
        </w:rPr>
        <w:t xml:space="preserve">As noted, this case precedes the newer VASRD </w:t>
      </w:r>
      <w:r w:rsidR="00222A51">
        <w:rPr>
          <w:rFonts w:asciiTheme="minorHAnsi" w:hAnsiTheme="minorHAnsi"/>
          <w:color w:val="auto"/>
          <w:szCs w:val="24"/>
        </w:rPr>
        <w:t>s</w:t>
      </w:r>
      <w:r w:rsidR="00BA2A43">
        <w:rPr>
          <w:rFonts w:asciiTheme="minorHAnsi" w:hAnsiTheme="minorHAnsi"/>
          <w:color w:val="auto"/>
          <w:szCs w:val="24"/>
        </w:rPr>
        <w:t xml:space="preserve">pine rules that </w:t>
      </w:r>
      <w:r w:rsidR="0003007E">
        <w:rPr>
          <w:rFonts w:asciiTheme="minorHAnsi" w:hAnsiTheme="minorHAnsi"/>
          <w:color w:val="auto"/>
          <w:szCs w:val="24"/>
        </w:rPr>
        <w:t xml:space="preserve">heavily rely on goniometric range of motions (ROMs). </w:t>
      </w:r>
      <w:r w:rsidR="00BA2A43">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C45B2F" w:rsidRPr="00C45B2F">
        <w:rPr>
          <w:rFonts w:asciiTheme="minorHAnsi" w:hAnsiTheme="minorHAnsi"/>
          <w:color w:val="auto"/>
          <w:szCs w:val="24"/>
        </w:rPr>
        <w:t xml:space="preserve">no </w:t>
      </w:r>
      <w:r w:rsidR="00BD722B">
        <w:rPr>
          <w:rFonts w:asciiTheme="minorHAnsi" w:hAnsiTheme="minorHAnsi"/>
          <w:color w:val="auto"/>
          <w:szCs w:val="24"/>
        </w:rPr>
        <w:t xml:space="preserve">full </w:t>
      </w:r>
      <w:r w:rsidR="007C6046">
        <w:rPr>
          <w:rFonts w:asciiTheme="minorHAnsi" w:hAnsiTheme="minorHAnsi"/>
          <w:color w:val="auto"/>
          <w:szCs w:val="24"/>
        </w:rPr>
        <w:t xml:space="preserve">ROM evaluations </w:t>
      </w:r>
      <w:r w:rsidR="00C45B2F">
        <w:rPr>
          <w:rFonts w:asciiTheme="minorHAnsi" w:hAnsiTheme="minorHAnsi"/>
          <w:color w:val="auto"/>
          <w:szCs w:val="24"/>
        </w:rPr>
        <w:t xml:space="preserve">from either the </w:t>
      </w:r>
      <w:r w:rsidR="00BD722B">
        <w:rPr>
          <w:rFonts w:asciiTheme="minorHAnsi" w:hAnsiTheme="minorHAnsi"/>
          <w:color w:val="auto"/>
          <w:szCs w:val="24"/>
        </w:rPr>
        <w:t>military</w:t>
      </w:r>
      <w:r w:rsidR="00C45B2F">
        <w:rPr>
          <w:rFonts w:asciiTheme="minorHAnsi" w:hAnsiTheme="minorHAnsi"/>
          <w:color w:val="auto"/>
          <w:szCs w:val="24"/>
        </w:rPr>
        <w:t xml:space="preserve"> or the VA.  </w:t>
      </w:r>
      <w:r w:rsidR="00BD722B">
        <w:rPr>
          <w:rFonts w:asciiTheme="minorHAnsi" w:hAnsiTheme="minorHAnsi"/>
          <w:color w:val="auto"/>
          <w:szCs w:val="24"/>
        </w:rPr>
        <w:t xml:space="preserve">The VA C&amp;P </w:t>
      </w:r>
      <w:r w:rsidR="00BD722B" w:rsidRPr="00EC4A5E">
        <w:rPr>
          <w:rFonts w:asciiTheme="minorHAnsi" w:hAnsiTheme="minorHAnsi"/>
          <w:color w:val="auto"/>
          <w:szCs w:val="24"/>
        </w:rPr>
        <w:t xml:space="preserve">examination </w:t>
      </w:r>
      <w:r w:rsidR="0003007E" w:rsidRPr="00EC4A5E">
        <w:rPr>
          <w:rFonts w:asciiTheme="minorHAnsi" w:hAnsiTheme="minorHAnsi"/>
          <w:color w:val="auto"/>
          <w:szCs w:val="24"/>
        </w:rPr>
        <w:t>(19990510) and clinic visits</w:t>
      </w:r>
      <w:r w:rsidR="0003007E">
        <w:rPr>
          <w:rFonts w:asciiTheme="minorHAnsi" w:hAnsiTheme="minorHAnsi"/>
          <w:color w:val="auto"/>
          <w:szCs w:val="24"/>
        </w:rPr>
        <w:t xml:space="preserve"> were two months</w:t>
      </w:r>
      <w:r w:rsidR="00BD722B">
        <w:rPr>
          <w:rFonts w:asciiTheme="minorHAnsi" w:hAnsiTheme="minorHAnsi"/>
          <w:color w:val="auto"/>
          <w:szCs w:val="24"/>
        </w:rPr>
        <w:t xml:space="preserve"> prior to</w:t>
      </w:r>
      <w:r w:rsidR="0003007E">
        <w:rPr>
          <w:rFonts w:asciiTheme="minorHAnsi" w:hAnsiTheme="minorHAnsi"/>
          <w:color w:val="auto"/>
          <w:szCs w:val="24"/>
        </w:rPr>
        <w:t xml:space="preserve"> the CI’s entry into</w:t>
      </w:r>
      <w:r w:rsidR="00222A51">
        <w:rPr>
          <w:rFonts w:asciiTheme="minorHAnsi" w:hAnsiTheme="minorHAnsi"/>
          <w:color w:val="auto"/>
          <w:szCs w:val="24"/>
        </w:rPr>
        <w:t xml:space="preserve"> the</w:t>
      </w:r>
      <w:r w:rsidR="0003007E">
        <w:rPr>
          <w:rFonts w:asciiTheme="minorHAnsi" w:hAnsiTheme="minorHAnsi"/>
          <w:color w:val="auto"/>
          <w:szCs w:val="24"/>
        </w:rPr>
        <w:t xml:space="preserve"> TDRL.  They are not useful for final separation rating, but are useful for rating upon entry into the TDRL period.  The PEB rating bundled the </w:t>
      </w:r>
      <w:r w:rsidR="00B8436E">
        <w:rPr>
          <w:rFonts w:asciiTheme="minorHAnsi" w:hAnsiTheme="minorHAnsi"/>
          <w:color w:val="auto"/>
          <w:szCs w:val="24"/>
        </w:rPr>
        <w:t>low back pain</w:t>
      </w:r>
      <w:r w:rsidR="0003007E">
        <w:rPr>
          <w:rFonts w:asciiTheme="minorHAnsi" w:hAnsiTheme="minorHAnsi"/>
          <w:color w:val="auto"/>
          <w:szCs w:val="24"/>
        </w:rPr>
        <w:t xml:space="preserve"> and cervical conditions rated together as 5299-5003 at 20% for “</w:t>
      </w:r>
      <w:r w:rsidR="00B8436E">
        <w:rPr>
          <w:rFonts w:asciiTheme="minorHAnsi" w:hAnsiTheme="minorHAnsi"/>
          <w:color w:val="auto"/>
          <w:szCs w:val="24"/>
        </w:rPr>
        <w:t>c</w:t>
      </w:r>
      <w:r w:rsidR="0003007E">
        <w:rPr>
          <w:rFonts w:asciiTheme="minorHAnsi" w:hAnsiTheme="minorHAnsi"/>
          <w:color w:val="auto"/>
          <w:szCs w:val="24"/>
        </w:rPr>
        <w:t xml:space="preserve">ervical and </w:t>
      </w:r>
      <w:r w:rsidR="00B8436E">
        <w:rPr>
          <w:rFonts w:asciiTheme="minorHAnsi" w:hAnsiTheme="minorHAnsi"/>
          <w:color w:val="auto"/>
          <w:szCs w:val="24"/>
        </w:rPr>
        <w:t>low back pain</w:t>
      </w:r>
      <w:r w:rsidR="0003007E">
        <w:rPr>
          <w:rFonts w:asciiTheme="minorHAnsi" w:hAnsiTheme="minorHAnsi"/>
          <w:color w:val="auto"/>
          <w:szCs w:val="24"/>
        </w:rPr>
        <w:t>”.  In addition to pain-limited flexion to 60</w:t>
      </w:r>
      <w:r w:rsidR="0003007E" w:rsidRPr="008D478D">
        <w:rPr>
          <w:rFonts w:ascii="Calibri" w:eastAsia="Calibri" w:hAnsi="Calibri"/>
          <w:color w:val="auto"/>
          <w:szCs w:val="24"/>
        </w:rPr>
        <w:t>⁰</w:t>
      </w:r>
      <w:r w:rsidR="0003007E">
        <w:rPr>
          <w:rFonts w:asciiTheme="minorHAnsi" w:hAnsiTheme="minorHAnsi"/>
          <w:color w:val="auto"/>
          <w:szCs w:val="24"/>
        </w:rPr>
        <w:t xml:space="preserve"> the VA exam documented lumbar muscle spasm</w:t>
      </w:r>
      <w:r w:rsidR="00396CCD">
        <w:rPr>
          <w:rFonts w:asciiTheme="minorHAnsi" w:hAnsiTheme="minorHAnsi"/>
          <w:color w:val="auto"/>
          <w:szCs w:val="24"/>
        </w:rPr>
        <w:t xml:space="preserve">, loss of normal </w:t>
      </w:r>
      <w:proofErr w:type="spellStart"/>
      <w:r w:rsidR="00396CCD">
        <w:rPr>
          <w:rFonts w:asciiTheme="minorHAnsi" w:hAnsiTheme="minorHAnsi"/>
          <w:color w:val="auto"/>
          <w:szCs w:val="24"/>
        </w:rPr>
        <w:t>lordosis</w:t>
      </w:r>
      <w:proofErr w:type="spellEnd"/>
      <w:r w:rsidR="00396CCD">
        <w:rPr>
          <w:rFonts w:asciiTheme="minorHAnsi" w:hAnsiTheme="minorHAnsi"/>
          <w:color w:val="auto"/>
          <w:szCs w:val="24"/>
        </w:rPr>
        <w:t xml:space="preserve">, and no extension.  There was </w:t>
      </w:r>
      <w:r w:rsidR="0003007E">
        <w:rPr>
          <w:rFonts w:asciiTheme="minorHAnsi" w:hAnsiTheme="minorHAnsi"/>
          <w:color w:val="auto"/>
          <w:szCs w:val="24"/>
        </w:rPr>
        <w:t xml:space="preserve">no </w:t>
      </w:r>
      <w:proofErr w:type="spellStart"/>
      <w:r w:rsidR="0003007E">
        <w:rPr>
          <w:rFonts w:asciiTheme="minorHAnsi" w:hAnsiTheme="minorHAnsi"/>
          <w:color w:val="auto"/>
          <w:szCs w:val="24"/>
        </w:rPr>
        <w:t>radiculopathy</w:t>
      </w:r>
      <w:proofErr w:type="spellEnd"/>
      <w:r w:rsidR="00396CCD">
        <w:rPr>
          <w:rFonts w:asciiTheme="minorHAnsi" w:hAnsiTheme="minorHAnsi"/>
          <w:color w:val="auto"/>
          <w:szCs w:val="24"/>
        </w:rPr>
        <w:t xml:space="preserve"> noted</w:t>
      </w:r>
      <w:r w:rsidR="0003007E">
        <w:rPr>
          <w:rFonts w:asciiTheme="minorHAnsi" w:hAnsiTheme="minorHAnsi"/>
          <w:color w:val="auto"/>
          <w:szCs w:val="24"/>
        </w:rPr>
        <w:t xml:space="preserve">.  The CI’s </w:t>
      </w:r>
      <w:r w:rsidR="00B8436E">
        <w:rPr>
          <w:rFonts w:asciiTheme="minorHAnsi" w:hAnsiTheme="minorHAnsi"/>
          <w:color w:val="auto"/>
          <w:szCs w:val="24"/>
        </w:rPr>
        <w:t>low back pain</w:t>
      </w:r>
      <w:r w:rsidR="0003007E">
        <w:rPr>
          <w:rFonts w:asciiTheme="minorHAnsi" w:hAnsiTheme="minorHAnsi"/>
          <w:color w:val="auto"/>
          <w:szCs w:val="24"/>
        </w:rPr>
        <w:t xml:space="preserve"> condition</w:t>
      </w:r>
      <w:r w:rsidR="00B8436E">
        <w:rPr>
          <w:rFonts w:asciiTheme="minorHAnsi" w:hAnsiTheme="minorHAnsi"/>
          <w:color w:val="auto"/>
          <w:szCs w:val="24"/>
        </w:rPr>
        <w:t>,</w:t>
      </w:r>
      <w:r w:rsidR="0003007E">
        <w:rPr>
          <w:rFonts w:asciiTheme="minorHAnsi" w:hAnsiTheme="minorHAnsi"/>
          <w:color w:val="auto"/>
          <w:szCs w:val="24"/>
        </w:rPr>
        <w:t xml:space="preserve"> therefore</w:t>
      </w:r>
      <w:r w:rsidR="00B8436E">
        <w:rPr>
          <w:rFonts w:asciiTheme="minorHAnsi" w:hAnsiTheme="minorHAnsi"/>
          <w:color w:val="auto"/>
          <w:szCs w:val="24"/>
        </w:rPr>
        <w:t>,</w:t>
      </w:r>
      <w:r w:rsidR="0003007E">
        <w:rPr>
          <w:rFonts w:asciiTheme="minorHAnsi" w:hAnsiTheme="minorHAnsi"/>
          <w:color w:val="auto"/>
          <w:szCs w:val="24"/>
        </w:rPr>
        <w:t xml:space="preserve"> met the 20% </w:t>
      </w:r>
      <w:r w:rsidR="00396CCD">
        <w:rPr>
          <w:rFonts w:asciiTheme="minorHAnsi" w:hAnsiTheme="minorHAnsi"/>
          <w:color w:val="auto"/>
          <w:szCs w:val="24"/>
        </w:rPr>
        <w:t xml:space="preserve">criteria for </w:t>
      </w:r>
      <w:r w:rsidR="00396CCD" w:rsidRPr="00396CCD">
        <w:rPr>
          <w:rFonts w:asciiTheme="minorHAnsi" w:hAnsiTheme="minorHAnsi"/>
          <w:color w:val="auto"/>
          <w:szCs w:val="24"/>
        </w:rPr>
        <w:t xml:space="preserve">5295 </w:t>
      </w:r>
      <w:proofErr w:type="spellStart"/>
      <w:r w:rsidR="0080757F">
        <w:rPr>
          <w:rFonts w:asciiTheme="minorHAnsi" w:hAnsiTheme="minorHAnsi"/>
          <w:color w:val="auto"/>
          <w:szCs w:val="24"/>
        </w:rPr>
        <w:t>l</w:t>
      </w:r>
      <w:r w:rsidR="00396CCD" w:rsidRPr="00396CCD">
        <w:rPr>
          <w:rFonts w:asciiTheme="minorHAnsi" w:hAnsiTheme="minorHAnsi"/>
          <w:color w:val="auto"/>
          <w:szCs w:val="24"/>
        </w:rPr>
        <w:t>umbosacral</w:t>
      </w:r>
      <w:proofErr w:type="spellEnd"/>
      <w:r w:rsidR="00396CCD" w:rsidRPr="00396CCD">
        <w:rPr>
          <w:rFonts w:asciiTheme="minorHAnsi" w:hAnsiTheme="minorHAnsi"/>
          <w:color w:val="auto"/>
          <w:szCs w:val="24"/>
        </w:rPr>
        <w:t xml:space="preserve"> strain</w:t>
      </w:r>
      <w:r w:rsidR="00396CCD">
        <w:rPr>
          <w:rFonts w:asciiTheme="minorHAnsi" w:hAnsiTheme="minorHAnsi"/>
          <w:color w:val="auto"/>
          <w:szCs w:val="24"/>
        </w:rPr>
        <w:t xml:space="preserve"> for entry into the TDRL period (absent the USAPDA pain policy).  The final TDRL exam indicated intermittent right S1 </w:t>
      </w:r>
      <w:proofErr w:type="spellStart"/>
      <w:r w:rsidR="00396CCD">
        <w:rPr>
          <w:rFonts w:asciiTheme="minorHAnsi" w:hAnsiTheme="minorHAnsi"/>
          <w:color w:val="auto"/>
          <w:szCs w:val="24"/>
        </w:rPr>
        <w:t>radiculopathy</w:t>
      </w:r>
      <w:proofErr w:type="spellEnd"/>
      <w:r w:rsidR="00396CCD">
        <w:rPr>
          <w:rFonts w:asciiTheme="minorHAnsi" w:hAnsiTheme="minorHAnsi"/>
          <w:color w:val="auto"/>
          <w:szCs w:val="24"/>
        </w:rPr>
        <w:t xml:space="preserve"> which was not to the level of being unfitting.  The examiner noted the CI reportedly wore a back brace for work</w:t>
      </w:r>
      <w:r w:rsidR="00770237">
        <w:rPr>
          <w:rFonts w:asciiTheme="minorHAnsi" w:hAnsiTheme="minorHAnsi"/>
          <w:color w:val="auto"/>
          <w:szCs w:val="24"/>
        </w:rPr>
        <w:t xml:space="preserve"> (also noted in prior VA exams)</w:t>
      </w:r>
      <w:r w:rsidR="00396CCD">
        <w:rPr>
          <w:rFonts w:asciiTheme="minorHAnsi" w:hAnsiTheme="minorHAnsi"/>
          <w:color w:val="auto"/>
          <w:szCs w:val="24"/>
        </w:rPr>
        <w:t xml:space="preserve">, episodically visited a chiropractor with temporary relief, </w:t>
      </w:r>
      <w:r w:rsidR="00EC4A5E">
        <w:rPr>
          <w:rFonts w:asciiTheme="minorHAnsi" w:hAnsiTheme="minorHAnsi"/>
          <w:color w:val="auto"/>
          <w:szCs w:val="24"/>
        </w:rPr>
        <w:t xml:space="preserve">and </w:t>
      </w:r>
      <w:r w:rsidR="00396CCD">
        <w:rPr>
          <w:rFonts w:asciiTheme="minorHAnsi" w:hAnsiTheme="minorHAnsi"/>
          <w:color w:val="auto"/>
          <w:szCs w:val="24"/>
        </w:rPr>
        <w:t xml:space="preserve">was not a surgical candidate.  Exam of the back was incomplete with no mention of tenderness, spasm, gait, </w:t>
      </w:r>
      <w:proofErr w:type="spellStart"/>
      <w:r w:rsidR="00396CCD">
        <w:rPr>
          <w:rFonts w:asciiTheme="minorHAnsi" w:hAnsiTheme="minorHAnsi"/>
          <w:color w:val="auto"/>
          <w:szCs w:val="24"/>
        </w:rPr>
        <w:t>lordosis</w:t>
      </w:r>
      <w:proofErr w:type="spellEnd"/>
      <w:r w:rsidR="00396CCD">
        <w:rPr>
          <w:rFonts w:asciiTheme="minorHAnsi" w:hAnsiTheme="minorHAnsi"/>
          <w:color w:val="auto"/>
          <w:szCs w:val="24"/>
        </w:rPr>
        <w:t>, but states</w:t>
      </w:r>
      <w:r w:rsidR="00B8436E">
        <w:rPr>
          <w:rFonts w:asciiTheme="minorHAnsi" w:hAnsiTheme="minorHAnsi"/>
          <w:color w:val="auto"/>
          <w:szCs w:val="24"/>
        </w:rPr>
        <w:t>,</w:t>
      </w:r>
      <w:r w:rsidR="00396CCD">
        <w:rPr>
          <w:rFonts w:asciiTheme="minorHAnsi" w:hAnsiTheme="minorHAnsi"/>
          <w:color w:val="auto"/>
          <w:szCs w:val="24"/>
        </w:rPr>
        <w:t xml:space="preserve"> “In the examination of his back shows no change from previous.”  </w:t>
      </w:r>
      <w:r w:rsidR="00B308AD">
        <w:rPr>
          <w:rFonts w:asciiTheme="minorHAnsi" w:hAnsiTheme="minorHAnsi"/>
          <w:color w:val="auto"/>
          <w:szCs w:val="24"/>
        </w:rPr>
        <w:t>“The patient has a</w:t>
      </w:r>
      <w:r w:rsidR="00396CCD">
        <w:rPr>
          <w:rFonts w:asciiTheme="minorHAnsi" w:hAnsiTheme="minorHAnsi"/>
          <w:color w:val="auto"/>
          <w:szCs w:val="24"/>
        </w:rPr>
        <w:t xml:space="preserve"> positive straight leg test on the right</w:t>
      </w:r>
      <w:r w:rsidR="00B308AD">
        <w:rPr>
          <w:rFonts w:asciiTheme="minorHAnsi" w:hAnsiTheme="minorHAnsi"/>
          <w:color w:val="auto"/>
          <w:szCs w:val="24"/>
        </w:rPr>
        <w:t xml:space="preserve"> with a distribution of the right S1 at approximately </w:t>
      </w:r>
      <w:r w:rsidR="00396CCD">
        <w:rPr>
          <w:rFonts w:asciiTheme="minorHAnsi" w:hAnsiTheme="minorHAnsi"/>
          <w:color w:val="auto"/>
          <w:szCs w:val="24"/>
        </w:rPr>
        <w:t>6</w:t>
      </w:r>
      <w:r w:rsidR="00396CCD" w:rsidRPr="008D478D">
        <w:rPr>
          <w:rFonts w:ascii="Calibri" w:eastAsia="Calibri" w:hAnsi="Calibri"/>
          <w:color w:val="auto"/>
          <w:szCs w:val="24"/>
        </w:rPr>
        <w:t>⁰</w:t>
      </w:r>
      <w:r w:rsidR="00396CCD">
        <w:rPr>
          <w:rFonts w:ascii="Calibri" w:eastAsia="Calibri" w:hAnsi="Calibri"/>
          <w:color w:val="auto"/>
          <w:szCs w:val="24"/>
        </w:rPr>
        <w:t xml:space="preserve"> </w:t>
      </w:r>
      <w:r w:rsidR="00B308AD">
        <w:rPr>
          <w:rFonts w:ascii="Calibri" w:eastAsia="Calibri" w:hAnsi="Calibri"/>
          <w:color w:val="auto"/>
          <w:szCs w:val="24"/>
        </w:rPr>
        <w:t>of elevation</w:t>
      </w:r>
      <w:r w:rsidR="00D41A96">
        <w:rPr>
          <w:rFonts w:ascii="Calibri" w:eastAsia="Calibri" w:hAnsi="Calibri"/>
          <w:color w:val="auto"/>
          <w:szCs w:val="24"/>
        </w:rPr>
        <w:t xml:space="preserve"> (</w:t>
      </w:r>
      <w:r w:rsidR="00396CCD">
        <w:rPr>
          <w:rFonts w:asciiTheme="minorHAnsi" w:hAnsiTheme="minorHAnsi"/>
          <w:color w:val="auto"/>
          <w:szCs w:val="24"/>
        </w:rPr>
        <w:t>6</w:t>
      </w:r>
      <w:r w:rsidR="00396CCD" w:rsidRPr="008D478D">
        <w:rPr>
          <w:rFonts w:ascii="Calibri" w:eastAsia="Calibri" w:hAnsi="Calibri"/>
          <w:color w:val="auto"/>
          <w:szCs w:val="24"/>
        </w:rPr>
        <w:t>⁰</w:t>
      </w:r>
      <w:r w:rsidR="00396CCD">
        <w:rPr>
          <w:rFonts w:ascii="Calibri" w:eastAsia="Calibri" w:hAnsi="Calibri"/>
          <w:color w:val="auto"/>
          <w:szCs w:val="24"/>
        </w:rPr>
        <w:t xml:space="preserve"> is almost certainly a typo </w:t>
      </w:r>
      <w:r w:rsidR="00B308AD">
        <w:rPr>
          <w:rFonts w:ascii="Calibri" w:eastAsia="Calibri" w:hAnsi="Calibri"/>
          <w:color w:val="auto"/>
          <w:szCs w:val="24"/>
        </w:rPr>
        <w:t>for 60</w:t>
      </w:r>
      <w:r w:rsidR="00B308AD" w:rsidRPr="008D478D">
        <w:rPr>
          <w:rFonts w:ascii="Calibri" w:eastAsia="Calibri" w:hAnsi="Calibri"/>
          <w:color w:val="auto"/>
          <w:szCs w:val="24"/>
        </w:rPr>
        <w:t>⁰</w:t>
      </w:r>
      <w:r w:rsidR="00B308AD">
        <w:rPr>
          <w:rFonts w:ascii="Calibri" w:eastAsia="Calibri" w:hAnsi="Calibri"/>
          <w:color w:val="auto"/>
          <w:szCs w:val="24"/>
        </w:rPr>
        <w:t xml:space="preserve"> </w:t>
      </w:r>
      <w:r w:rsidR="00396CCD">
        <w:rPr>
          <w:rFonts w:ascii="Calibri" w:eastAsia="Calibri" w:hAnsi="Calibri"/>
          <w:color w:val="auto"/>
          <w:szCs w:val="24"/>
        </w:rPr>
        <w:t>given the remainder of the note</w:t>
      </w:r>
      <w:r w:rsidR="00D41A96">
        <w:rPr>
          <w:rFonts w:ascii="Calibri" w:eastAsia="Calibri" w:hAnsi="Calibri"/>
          <w:color w:val="auto"/>
          <w:szCs w:val="24"/>
        </w:rPr>
        <w:t>).”</w:t>
      </w:r>
      <w:r w:rsidR="00396CCD">
        <w:rPr>
          <w:rFonts w:ascii="Calibri" w:eastAsia="Calibri" w:hAnsi="Calibri"/>
          <w:color w:val="auto"/>
          <w:szCs w:val="24"/>
        </w:rPr>
        <w:t xml:space="preserve">  </w:t>
      </w:r>
      <w:r w:rsidR="00B308AD">
        <w:rPr>
          <w:rFonts w:ascii="Calibri" w:eastAsia="Calibri" w:hAnsi="Calibri"/>
          <w:color w:val="auto"/>
          <w:szCs w:val="24"/>
        </w:rPr>
        <w:t xml:space="preserve">Sensory and motor exams were normal.  </w:t>
      </w:r>
      <w:r w:rsidR="00BD722B">
        <w:rPr>
          <w:rFonts w:asciiTheme="minorHAnsi" w:hAnsiTheme="minorHAnsi"/>
          <w:color w:val="auto"/>
          <w:szCs w:val="24"/>
        </w:rPr>
        <w:t>The TDRL re-exams refer to clinic notes which are not in the record, but each state</w:t>
      </w:r>
      <w:r w:rsidR="00B8436E">
        <w:rPr>
          <w:rFonts w:asciiTheme="minorHAnsi" w:hAnsiTheme="minorHAnsi"/>
          <w:color w:val="auto"/>
          <w:szCs w:val="24"/>
        </w:rPr>
        <w:t>,</w:t>
      </w:r>
      <w:r w:rsidR="00BD722B">
        <w:rPr>
          <w:rFonts w:asciiTheme="minorHAnsi" w:hAnsiTheme="minorHAnsi"/>
          <w:color w:val="auto"/>
          <w:szCs w:val="24"/>
        </w:rPr>
        <w:t xml:space="preserve"> “unchanged from previous exam”</w:t>
      </w:r>
      <w:r w:rsidR="00B308AD">
        <w:rPr>
          <w:rFonts w:asciiTheme="minorHAnsi" w:hAnsiTheme="minorHAnsi"/>
          <w:color w:val="auto"/>
          <w:szCs w:val="24"/>
        </w:rPr>
        <w:t xml:space="preserve"> and the </w:t>
      </w:r>
      <w:r w:rsidR="008D478D">
        <w:rPr>
          <w:rFonts w:asciiTheme="minorHAnsi" w:hAnsiTheme="minorHAnsi"/>
          <w:color w:val="auto"/>
          <w:szCs w:val="24"/>
        </w:rPr>
        <w:t>20000814 exam annotate</w:t>
      </w:r>
      <w:r w:rsidR="00B308AD">
        <w:rPr>
          <w:rFonts w:asciiTheme="minorHAnsi" w:hAnsiTheme="minorHAnsi"/>
          <w:color w:val="auto"/>
          <w:szCs w:val="24"/>
        </w:rPr>
        <w:t>d</w:t>
      </w:r>
      <w:r w:rsidR="008D478D">
        <w:rPr>
          <w:rFonts w:asciiTheme="minorHAnsi" w:hAnsiTheme="minorHAnsi"/>
          <w:color w:val="auto"/>
          <w:szCs w:val="24"/>
        </w:rPr>
        <w:t xml:space="preserve"> lumbar flexion of </w:t>
      </w:r>
      <w:r w:rsidR="008D478D" w:rsidRPr="008D478D">
        <w:rPr>
          <w:rFonts w:asciiTheme="minorHAnsi" w:hAnsiTheme="minorHAnsi"/>
          <w:color w:val="auto"/>
          <w:szCs w:val="24"/>
        </w:rPr>
        <w:t>45</w:t>
      </w:r>
      <w:r w:rsidR="008D478D" w:rsidRPr="008D478D">
        <w:rPr>
          <w:rFonts w:ascii="Calibri" w:eastAsia="Calibri" w:hAnsi="Calibri"/>
          <w:color w:val="auto"/>
          <w:szCs w:val="24"/>
        </w:rPr>
        <w:t>⁰</w:t>
      </w:r>
      <w:r w:rsidR="008D478D">
        <w:rPr>
          <w:rFonts w:ascii="Calibri" w:eastAsia="Calibri" w:hAnsi="Calibri"/>
          <w:color w:val="auto"/>
          <w:szCs w:val="24"/>
        </w:rPr>
        <w:t xml:space="preserve">.  </w:t>
      </w:r>
      <w:r w:rsidR="00C9085A">
        <w:rPr>
          <w:rFonts w:ascii="Calibri" w:eastAsia="Calibri" w:hAnsi="Calibri"/>
          <w:color w:val="auto"/>
          <w:szCs w:val="24"/>
        </w:rPr>
        <w:t>T</w:t>
      </w:r>
      <w:r w:rsidR="00C9085A" w:rsidRPr="00C9085A">
        <w:rPr>
          <w:rFonts w:ascii="Calibri" w:eastAsia="Calibri" w:hAnsi="Calibri"/>
          <w:color w:val="auto"/>
          <w:szCs w:val="24"/>
        </w:rPr>
        <w:t xml:space="preserve">he Board reconciles (to the extent possible) its opinion regarding degree of severity for 5292 </w:t>
      </w:r>
      <w:r w:rsidR="00C9085A">
        <w:rPr>
          <w:rFonts w:ascii="Calibri" w:eastAsia="Calibri" w:hAnsi="Calibri"/>
          <w:color w:val="auto"/>
          <w:szCs w:val="24"/>
        </w:rPr>
        <w:t>(</w:t>
      </w:r>
      <w:r w:rsidR="00B8436E">
        <w:rPr>
          <w:rFonts w:ascii="Calibri" w:eastAsia="Calibri" w:hAnsi="Calibri"/>
          <w:color w:val="auto"/>
          <w:szCs w:val="24"/>
        </w:rPr>
        <w:t>s</w:t>
      </w:r>
      <w:r w:rsidR="00C9085A" w:rsidRPr="00C9085A">
        <w:rPr>
          <w:rFonts w:ascii="Calibri" w:eastAsia="Calibri" w:hAnsi="Calibri"/>
          <w:color w:val="auto"/>
          <w:szCs w:val="24"/>
        </w:rPr>
        <w:t>pine, limitation of motion of, lumbar</w:t>
      </w:r>
      <w:r w:rsidR="00C9085A">
        <w:rPr>
          <w:rFonts w:ascii="Calibri" w:eastAsia="Calibri" w:hAnsi="Calibri"/>
          <w:color w:val="auto"/>
          <w:szCs w:val="24"/>
        </w:rPr>
        <w:t xml:space="preserve">) </w:t>
      </w:r>
      <w:r w:rsidR="00C9085A" w:rsidRPr="00C9085A">
        <w:rPr>
          <w:rFonts w:ascii="Calibri" w:eastAsia="Calibri" w:hAnsi="Calibri"/>
          <w:color w:val="auto"/>
          <w:szCs w:val="24"/>
        </w:rPr>
        <w:t xml:space="preserve">with the objective thresholds specified in the current §4.71a general rating formula for the spine. This promotes uniformity of its recommendations for different cases from the same period and more conformity across dates of separation, without sacrificing compliance with the </w:t>
      </w:r>
      <w:proofErr w:type="spellStart"/>
      <w:r w:rsidR="00C9085A" w:rsidRPr="00C9085A">
        <w:rPr>
          <w:rFonts w:ascii="Calibri" w:eastAsia="Calibri" w:hAnsi="Calibri"/>
          <w:color w:val="auto"/>
          <w:szCs w:val="24"/>
        </w:rPr>
        <w:t>DoDI</w:t>
      </w:r>
      <w:proofErr w:type="spellEnd"/>
      <w:r w:rsidR="00C9085A">
        <w:rPr>
          <w:rFonts w:ascii="Calibri" w:eastAsia="Calibri" w:hAnsi="Calibri"/>
          <w:color w:val="auto"/>
          <w:szCs w:val="24"/>
        </w:rPr>
        <w:t xml:space="preserve"> </w:t>
      </w:r>
      <w:r w:rsidR="00C9085A" w:rsidRPr="00C9085A">
        <w:rPr>
          <w:rFonts w:ascii="Calibri" w:eastAsia="Calibri" w:hAnsi="Calibri"/>
          <w:color w:val="auto"/>
          <w:szCs w:val="24"/>
        </w:rPr>
        <w:t>6040.44 requirement for rating IAW the VASRD in effect at the time of separation.</w:t>
      </w:r>
      <w:r w:rsidR="00C9085A">
        <w:rPr>
          <w:rFonts w:ascii="Calibri" w:eastAsia="Calibri" w:hAnsi="Calibri"/>
          <w:color w:val="auto"/>
          <w:szCs w:val="24"/>
        </w:rPr>
        <w:t xml:space="preserve">  </w:t>
      </w:r>
      <w:r w:rsidR="0010179D">
        <w:rPr>
          <w:rFonts w:ascii="Calibri" w:eastAsia="Calibri" w:hAnsi="Calibri"/>
          <w:color w:val="auto"/>
          <w:szCs w:val="24"/>
        </w:rPr>
        <w:t xml:space="preserve">The Board considered </w:t>
      </w:r>
      <w:r w:rsidR="00C9085A">
        <w:rPr>
          <w:rFonts w:ascii="Calibri" w:eastAsia="Calibri" w:hAnsi="Calibri"/>
          <w:color w:val="auto"/>
          <w:szCs w:val="24"/>
        </w:rPr>
        <w:t>the VA 20% rating for 5295 at 20% (spasm and abnormal contour)</w:t>
      </w:r>
      <w:r w:rsidR="0010179D">
        <w:rPr>
          <w:rFonts w:ascii="Calibri" w:eastAsia="Calibri" w:hAnsi="Calibri"/>
          <w:color w:val="auto"/>
          <w:szCs w:val="24"/>
        </w:rPr>
        <w:t xml:space="preserve"> distant from separation, and </w:t>
      </w:r>
      <w:r w:rsidR="00C9085A">
        <w:rPr>
          <w:rFonts w:ascii="Calibri" w:eastAsia="Calibri" w:hAnsi="Calibri"/>
          <w:color w:val="auto"/>
          <w:szCs w:val="24"/>
        </w:rPr>
        <w:t>the only military flexion measurement of 45</w:t>
      </w:r>
      <w:r w:rsidR="00C9085A" w:rsidRPr="008D478D">
        <w:rPr>
          <w:rFonts w:ascii="Calibri" w:eastAsia="Calibri" w:hAnsi="Calibri"/>
          <w:color w:val="auto"/>
          <w:szCs w:val="24"/>
        </w:rPr>
        <w:t>⁰</w:t>
      </w:r>
      <w:r w:rsidR="00C9085A">
        <w:rPr>
          <w:rFonts w:ascii="Calibri" w:eastAsia="Calibri" w:hAnsi="Calibri"/>
          <w:color w:val="auto"/>
          <w:szCs w:val="24"/>
        </w:rPr>
        <w:t xml:space="preserve"> limited by pain, and the </w:t>
      </w:r>
      <w:r w:rsidR="00C9085A" w:rsidRPr="00EC4A5E">
        <w:rPr>
          <w:rFonts w:ascii="Calibri" w:eastAsia="Calibri" w:hAnsi="Calibri"/>
          <w:color w:val="auto"/>
          <w:szCs w:val="24"/>
        </w:rPr>
        <w:t xml:space="preserve">current </w:t>
      </w:r>
      <w:r w:rsidR="003224D4" w:rsidRPr="00EC4A5E">
        <w:rPr>
          <w:rFonts w:asciiTheme="minorHAnsi" w:hAnsiTheme="minorHAnsi"/>
          <w:color w:val="auto"/>
          <w:szCs w:val="24"/>
        </w:rPr>
        <w:t xml:space="preserve">VASRD </w:t>
      </w:r>
      <w:r w:rsidR="00D45001" w:rsidRPr="00EC4A5E">
        <w:rPr>
          <w:rFonts w:ascii="Calibri" w:eastAsia="Calibri" w:hAnsi="Calibri"/>
          <w:color w:val="auto"/>
          <w:szCs w:val="24"/>
        </w:rPr>
        <w:t>§</w:t>
      </w:r>
      <w:r w:rsidR="003224D4" w:rsidRPr="00EC4A5E">
        <w:rPr>
          <w:rFonts w:asciiTheme="minorHAnsi" w:hAnsiTheme="minorHAnsi"/>
          <w:color w:val="auto"/>
          <w:szCs w:val="24"/>
        </w:rPr>
        <w:t>4.71a</w:t>
      </w:r>
      <w:r w:rsidR="008D478D" w:rsidRPr="00EC4A5E">
        <w:rPr>
          <w:rFonts w:asciiTheme="minorHAnsi" w:hAnsiTheme="minorHAnsi"/>
          <w:color w:val="auto"/>
          <w:szCs w:val="24"/>
        </w:rPr>
        <w:t xml:space="preserve"> </w:t>
      </w:r>
      <w:r w:rsidR="0010179D" w:rsidRPr="00EC4A5E">
        <w:rPr>
          <w:rFonts w:asciiTheme="minorHAnsi" w:hAnsiTheme="minorHAnsi"/>
          <w:color w:val="auto"/>
          <w:szCs w:val="24"/>
        </w:rPr>
        <w:t xml:space="preserve">equivalence to a 20% rating for </w:t>
      </w:r>
      <w:r w:rsidR="008D478D" w:rsidRPr="00EC4A5E">
        <w:rPr>
          <w:rFonts w:asciiTheme="minorHAnsi" w:hAnsiTheme="minorHAnsi"/>
          <w:color w:val="auto"/>
          <w:szCs w:val="24"/>
        </w:rPr>
        <w:t>“</w:t>
      </w:r>
      <w:r w:rsidR="003224D4" w:rsidRPr="00EC4A5E">
        <w:rPr>
          <w:rFonts w:asciiTheme="minorHAnsi" w:hAnsiTheme="minorHAnsi"/>
          <w:color w:val="auto"/>
          <w:szCs w:val="24"/>
        </w:rPr>
        <w:t xml:space="preserve">flexion of the </w:t>
      </w:r>
      <w:proofErr w:type="spellStart"/>
      <w:r w:rsidR="003224D4" w:rsidRPr="00EC4A5E">
        <w:rPr>
          <w:rFonts w:asciiTheme="minorHAnsi" w:hAnsiTheme="minorHAnsi"/>
          <w:color w:val="auto"/>
          <w:szCs w:val="24"/>
        </w:rPr>
        <w:t>thoraco</w:t>
      </w:r>
      <w:proofErr w:type="spellEnd"/>
      <w:r w:rsidR="008D478D" w:rsidRPr="00EC4A5E">
        <w:rPr>
          <w:rFonts w:asciiTheme="minorHAnsi" w:hAnsiTheme="minorHAnsi"/>
          <w:color w:val="auto"/>
          <w:szCs w:val="24"/>
        </w:rPr>
        <w:t>-</w:t>
      </w:r>
      <w:r w:rsidR="003224D4" w:rsidRPr="00EC4A5E">
        <w:rPr>
          <w:rFonts w:asciiTheme="minorHAnsi" w:hAnsiTheme="minorHAnsi"/>
          <w:color w:val="auto"/>
          <w:szCs w:val="24"/>
        </w:rPr>
        <w:t>lumbar spine greater than 30</w:t>
      </w:r>
      <w:r w:rsidR="008D478D" w:rsidRPr="00EC4A5E">
        <w:rPr>
          <w:rFonts w:ascii="Calibri" w:eastAsia="Calibri" w:hAnsi="Calibri"/>
          <w:color w:val="auto"/>
          <w:szCs w:val="24"/>
        </w:rPr>
        <w:t>⁰</w:t>
      </w:r>
      <w:r w:rsidR="003224D4" w:rsidRPr="00EC4A5E">
        <w:rPr>
          <w:rFonts w:asciiTheme="minorHAnsi" w:hAnsiTheme="minorHAnsi"/>
          <w:color w:val="auto"/>
          <w:szCs w:val="24"/>
        </w:rPr>
        <w:t xml:space="preserve"> degrees but not greater than 60</w:t>
      </w:r>
      <w:r w:rsidR="008D478D" w:rsidRPr="00EC4A5E">
        <w:rPr>
          <w:rFonts w:ascii="Calibri" w:eastAsia="Calibri" w:hAnsi="Calibri"/>
          <w:color w:val="auto"/>
          <w:szCs w:val="24"/>
        </w:rPr>
        <w:t>⁰</w:t>
      </w:r>
      <w:r w:rsidR="0010179D" w:rsidRPr="00EC4A5E">
        <w:rPr>
          <w:rFonts w:ascii="Calibri" w:eastAsia="Calibri" w:hAnsi="Calibri"/>
          <w:color w:val="auto"/>
          <w:szCs w:val="24"/>
        </w:rPr>
        <w:t>.”  After due deliberation, considering all of the evidence and mindful of VASRD §4.3 (reasonable doubt),</w:t>
      </w:r>
      <w:r w:rsidR="0010179D" w:rsidRPr="0010179D">
        <w:rPr>
          <w:rFonts w:ascii="Calibri" w:eastAsia="Calibri" w:hAnsi="Calibri"/>
          <w:color w:val="auto"/>
          <w:szCs w:val="24"/>
        </w:rPr>
        <w:t xml:space="preserve"> the Board </w:t>
      </w:r>
      <w:r w:rsidR="00EC4A5E">
        <w:rPr>
          <w:rFonts w:ascii="Calibri" w:eastAsia="Calibri" w:hAnsi="Calibri"/>
          <w:color w:val="auto"/>
          <w:szCs w:val="24"/>
        </w:rPr>
        <w:t xml:space="preserve">unanimously </w:t>
      </w:r>
      <w:r w:rsidR="0010179D" w:rsidRPr="0010179D">
        <w:rPr>
          <w:rFonts w:ascii="Calibri" w:eastAsia="Calibri" w:hAnsi="Calibri"/>
          <w:color w:val="auto"/>
          <w:szCs w:val="24"/>
        </w:rPr>
        <w:t xml:space="preserve">recommends a separation rating of </w:t>
      </w:r>
      <w:r w:rsidR="0010179D">
        <w:rPr>
          <w:rFonts w:ascii="Calibri" w:eastAsia="Calibri" w:hAnsi="Calibri"/>
          <w:color w:val="auto"/>
          <w:szCs w:val="24"/>
        </w:rPr>
        <w:t>2</w:t>
      </w:r>
      <w:r w:rsidR="0010179D" w:rsidRPr="0010179D">
        <w:rPr>
          <w:rFonts w:ascii="Calibri" w:eastAsia="Calibri" w:hAnsi="Calibri"/>
          <w:color w:val="auto"/>
          <w:szCs w:val="24"/>
        </w:rPr>
        <w:t xml:space="preserve">0% for the </w:t>
      </w:r>
      <w:r w:rsidR="00B8436E">
        <w:rPr>
          <w:rFonts w:ascii="Calibri" w:eastAsia="Calibri" w:hAnsi="Calibri"/>
          <w:color w:val="auto"/>
          <w:szCs w:val="24"/>
        </w:rPr>
        <w:t>low back pain</w:t>
      </w:r>
      <w:r w:rsidR="0010179D" w:rsidRPr="0010179D">
        <w:rPr>
          <w:rFonts w:ascii="Calibri" w:eastAsia="Calibri" w:hAnsi="Calibri"/>
          <w:color w:val="auto"/>
          <w:szCs w:val="24"/>
        </w:rPr>
        <w:t xml:space="preserve"> condition</w:t>
      </w:r>
      <w:r w:rsidR="0010179D">
        <w:rPr>
          <w:rFonts w:ascii="Calibri" w:eastAsia="Calibri" w:hAnsi="Calibri"/>
          <w:color w:val="auto"/>
          <w:szCs w:val="24"/>
        </w:rPr>
        <w:t xml:space="preserve"> coded 5292</w:t>
      </w:r>
      <w:r w:rsidR="0010179D" w:rsidRPr="0010179D">
        <w:rPr>
          <w:rFonts w:ascii="Calibri" w:eastAsia="Calibri" w:hAnsi="Calibri"/>
          <w:color w:val="auto"/>
          <w:szCs w:val="24"/>
        </w:rPr>
        <w:t xml:space="preserve">. </w:t>
      </w:r>
      <w:r w:rsidR="0010179D">
        <w:rPr>
          <w:rFonts w:ascii="Calibri" w:eastAsia="Calibri" w:hAnsi="Calibri"/>
          <w:color w:val="auto"/>
          <w:szCs w:val="24"/>
        </w:rPr>
        <w:t xml:space="preserve"> </w:t>
      </w:r>
    </w:p>
    <w:p w:rsidR="0010179D" w:rsidRDefault="0010179D" w:rsidP="002B3C31">
      <w:pPr>
        <w:tabs>
          <w:tab w:val="left" w:pos="288"/>
          <w:tab w:val="left" w:pos="4752"/>
        </w:tabs>
        <w:spacing w:line="240" w:lineRule="exact"/>
        <w:jc w:val="both"/>
        <w:rPr>
          <w:rFonts w:ascii="Calibri" w:eastAsia="Calibri" w:hAnsi="Calibri"/>
          <w:color w:val="auto"/>
          <w:szCs w:val="24"/>
        </w:rPr>
      </w:pPr>
    </w:p>
    <w:p w:rsidR="008D478D" w:rsidRDefault="007518E9" w:rsidP="002B3C31">
      <w:pPr>
        <w:tabs>
          <w:tab w:val="left" w:pos="288"/>
          <w:tab w:val="left" w:pos="4752"/>
        </w:tabs>
        <w:spacing w:line="240" w:lineRule="exact"/>
        <w:jc w:val="both"/>
        <w:rPr>
          <w:rFonts w:asciiTheme="minorHAnsi" w:hAnsiTheme="minorHAnsi"/>
          <w:color w:val="auto"/>
          <w:szCs w:val="24"/>
        </w:rPr>
      </w:pPr>
      <w:r>
        <w:rPr>
          <w:rFonts w:asciiTheme="minorHAnsi" w:eastAsia="HiddenHorzOCR" w:hAnsiTheme="minorHAnsi"/>
          <w:color w:val="auto"/>
          <w:szCs w:val="24"/>
          <w:u w:val="single"/>
        </w:rPr>
        <w:t xml:space="preserve">Other </w:t>
      </w:r>
      <w:proofErr w:type="gramStart"/>
      <w:r>
        <w:rPr>
          <w:rFonts w:asciiTheme="minorHAnsi" w:eastAsia="HiddenHorzOCR" w:hAnsiTheme="minorHAnsi"/>
          <w:color w:val="auto"/>
          <w:szCs w:val="24"/>
          <w:u w:val="single"/>
        </w:rPr>
        <w:t>PEB  Conditions</w:t>
      </w:r>
      <w:proofErr w:type="gramEnd"/>
      <w:r>
        <w:rPr>
          <w:rFonts w:asciiTheme="minorHAnsi" w:eastAsia="HiddenHorzOCR" w:hAnsiTheme="minorHAnsi"/>
          <w:color w:val="auto"/>
          <w:szCs w:val="24"/>
        </w:rPr>
        <w:t>.</w:t>
      </w:r>
      <w:r w:rsidR="008D478D" w:rsidRPr="008D478D">
        <w:rPr>
          <w:rFonts w:asciiTheme="minorHAnsi" w:hAnsiTheme="minorHAnsi"/>
          <w:color w:val="auto"/>
          <w:szCs w:val="24"/>
        </w:rPr>
        <w:t xml:space="preserve">  </w:t>
      </w:r>
      <w:r w:rsidR="0010179D">
        <w:rPr>
          <w:rFonts w:asciiTheme="minorHAnsi" w:hAnsiTheme="minorHAnsi"/>
          <w:color w:val="auto"/>
          <w:szCs w:val="24"/>
        </w:rPr>
        <w:t xml:space="preserve">For entry into the TDRL period, the cervical condition was bundled with the </w:t>
      </w:r>
      <w:r w:rsidR="00B8436E">
        <w:rPr>
          <w:rFonts w:asciiTheme="minorHAnsi" w:hAnsiTheme="minorHAnsi"/>
          <w:color w:val="auto"/>
          <w:szCs w:val="24"/>
        </w:rPr>
        <w:t>low back pain</w:t>
      </w:r>
      <w:r w:rsidR="0010179D">
        <w:rPr>
          <w:rFonts w:asciiTheme="minorHAnsi" w:hAnsiTheme="minorHAnsi"/>
          <w:color w:val="auto"/>
          <w:szCs w:val="24"/>
        </w:rPr>
        <w:t xml:space="preserve"> condition as noted </w:t>
      </w:r>
      <w:r w:rsidR="0010179D" w:rsidRPr="00770237">
        <w:rPr>
          <w:rFonts w:asciiTheme="minorHAnsi" w:hAnsiTheme="minorHAnsi"/>
          <w:color w:val="auto"/>
          <w:szCs w:val="24"/>
        </w:rPr>
        <w:t xml:space="preserve">above.  </w:t>
      </w:r>
      <w:r w:rsidR="00770237" w:rsidRPr="00770237">
        <w:rPr>
          <w:rFonts w:asciiTheme="minorHAnsi" w:hAnsiTheme="minorHAnsi"/>
          <w:color w:val="auto"/>
          <w:szCs w:val="24"/>
        </w:rPr>
        <w:t xml:space="preserve">Absent the USAPDA pain policy, either the military or VA pre-TDRL exams would be rated at 10% for slight limited motion under 5290 or IAW §4.59 for painful motion.  </w:t>
      </w:r>
      <w:r w:rsidR="00D45001">
        <w:rPr>
          <w:rFonts w:asciiTheme="minorHAnsi" w:hAnsiTheme="minorHAnsi"/>
          <w:color w:val="auto"/>
          <w:szCs w:val="24"/>
        </w:rPr>
        <w:t>A</w:t>
      </w:r>
      <w:r w:rsidR="00D45001" w:rsidRPr="00770237">
        <w:rPr>
          <w:rFonts w:asciiTheme="minorHAnsi" w:hAnsiTheme="minorHAnsi"/>
          <w:color w:val="auto"/>
          <w:szCs w:val="24"/>
        </w:rPr>
        <w:t>t the final TDRL re-evaluation</w:t>
      </w:r>
      <w:r w:rsidR="00D45001">
        <w:rPr>
          <w:rFonts w:asciiTheme="minorHAnsi" w:hAnsiTheme="minorHAnsi"/>
          <w:color w:val="auto"/>
          <w:szCs w:val="24"/>
        </w:rPr>
        <w:t>,</w:t>
      </w:r>
      <w:r w:rsidR="00D45001" w:rsidRPr="00770237">
        <w:rPr>
          <w:rFonts w:asciiTheme="minorHAnsi" w:hAnsiTheme="minorHAnsi"/>
          <w:color w:val="auto"/>
          <w:szCs w:val="24"/>
        </w:rPr>
        <w:t xml:space="preserve"> </w:t>
      </w:r>
      <w:r w:rsidR="00D45001">
        <w:rPr>
          <w:rFonts w:asciiTheme="minorHAnsi" w:hAnsiTheme="minorHAnsi"/>
          <w:color w:val="auto"/>
          <w:szCs w:val="24"/>
        </w:rPr>
        <w:t>t</w:t>
      </w:r>
      <w:r w:rsidR="008D478D" w:rsidRPr="00770237">
        <w:rPr>
          <w:rFonts w:asciiTheme="minorHAnsi" w:hAnsiTheme="minorHAnsi"/>
          <w:color w:val="auto"/>
          <w:szCs w:val="24"/>
        </w:rPr>
        <w:t>he neck was noted to be asymptomatic with normal range of mot</w:t>
      </w:r>
      <w:r w:rsidR="00770237" w:rsidRPr="00770237">
        <w:rPr>
          <w:rFonts w:asciiTheme="minorHAnsi" w:hAnsiTheme="minorHAnsi"/>
          <w:color w:val="auto"/>
          <w:szCs w:val="24"/>
        </w:rPr>
        <w:t>ion and</w:t>
      </w:r>
      <w:r w:rsidR="00770237">
        <w:rPr>
          <w:rFonts w:asciiTheme="minorHAnsi" w:hAnsiTheme="minorHAnsi"/>
          <w:color w:val="auto"/>
          <w:szCs w:val="24"/>
        </w:rPr>
        <w:t xml:space="preserve"> without tenderness.</w:t>
      </w:r>
      <w:r w:rsidR="008D478D">
        <w:rPr>
          <w:rFonts w:asciiTheme="minorHAnsi" w:hAnsiTheme="minorHAnsi"/>
          <w:color w:val="auto"/>
          <w:szCs w:val="24"/>
        </w:rPr>
        <w:t xml:space="preserve"> </w:t>
      </w:r>
      <w:r w:rsidR="008D478D" w:rsidRPr="008D478D">
        <w:rPr>
          <w:rFonts w:asciiTheme="minorHAnsi" w:hAnsiTheme="minorHAnsi"/>
          <w:color w:val="auto"/>
          <w:szCs w:val="24"/>
        </w:rPr>
        <w:t xml:space="preserve"> </w:t>
      </w:r>
      <w:r w:rsidR="00B633D0" w:rsidRPr="00B633D0">
        <w:rPr>
          <w:rFonts w:asciiTheme="minorHAnsi" w:hAnsiTheme="minorHAnsi"/>
          <w:color w:val="auto"/>
          <w:szCs w:val="24"/>
        </w:rPr>
        <w:t xml:space="preserve">All evidence </w:t>
      </w:r>
      <w:r w:rsidR="00D45001" w:rsidRPr="00B633D0">
        <w:rPr>
          <w:rFonts w:asciiTheme="minorHAnsi" w:hAnsiTheme="minorHAnsi"/>
          <w:color w:val="auto"/>
          <w:szCs w:val="24"/>
        </w:rPr>
        <w:t>considered</w:t>
      </w:r>
      <w:r w:rsidR="00B633D0" w:rsidRPr="00B633D0">
        <w:rPr>
          <w:rFonts w:asciiTheme="minorHAnsi" w:hAnsiTheme="minorHAnsi"/>
          <w:color w:val="auto"/>
          <w:szCs w:val="24"/>
        </w:rPr>
        <w:t xml:space="preserve"> </w:t>
      </w:r>
      <w:r w:rsidR="00770237">
        <w:rPr>
          <w:rFonts w:asciiTheme="minorHAnsi" w:hAnsiTheme="minorHAnsi"/>
          <w:color w:val="auto"/>
          <w:szCs w:val="24"/>
        </w:rPr>
        <w:t xml:space="preserve">the neck condition should be separately </w:t>
      </w:r>
      <w:r w:rsidR="00770237" w:rsidRPr="00EC4A5E">
        <w:rPr>
          <w:rFonts w:asciiTheme="minorHAnsi" w:hAnsiTheme="minorHAnsi"/>
          <w:color w:val="auto"/>
          <w:szCs w:val="24"/>
        </w:rPr>
        <w:t>rated as 5290 at 10% for entry</w:t>
      </w:r>
      <w:r w:rsidR="00770237">
        <w:rPr>
          <w:rFonts w:asciiTheme="minorHAnsi" w:hAnsiTheme="minorHAnsi"/>
          <w:color w:val="auto"/>
          <w:szCs w:val="24"/>
        </w:rPr>
        <w:t xml:space="preserve"> into the TDRL period and </w:t>
      </w:r>
      <w:r w:rsidR="00B633D0" w:rsidRPr="00B633D0">
        <w:rPr>
          <w:rFonts w:asciiTheme="minorHAnsi" w:hAnsiTheme="minorHAnsi"/>
          <w:color w:val="auto"/>
          <w:szCs w:val="24"/>
        </w:rPr>
        <w:t>there is not reasonable doubt in the CI’s favor supporting re</w:t>
      </w:r>
      <w:r w:rsidR="00B633D0">
        <w:rPr>
          <w:rFonts w:asciiTheme="minorHAnsi" w:hAnsiTheme="minorHAnsi"/>
          <w:color w:val="auto"/>
          <w:szCs w:val="24"/>
        </w:rPr>
        <w:t>-</w:t>
      </w:r>
      <w:r w:rsidR="00B633D0" w:rsidRPr="00B633D0">
        <w:rPr>
          <w:rFonts w:asciiTheme="minorHAnsi" w:hAnsiTheme="minorHAnsi"/>
          <w:color w:val="auto"/>
          <w:szCs w:val="24"/>
        </w:rPr>
        <w:t>characterization of the P</w:t>
      </w:r>
      <w:r w:rsidR="002A29C9">
        <w:rPr>
          <w:rFonts w:asciiTheme="minorHAnsi" w:hAnsiTheme="minorHAnsi"/>
          <w:color w:val="auto"/>
          <w:szCs w:val="24"/>
        </w:rPr>
        <w:t xml:space="preserve">EB </w:t>
      </w:r>
      <w:r w:rsidR="0010179D">
        <w:rPr>
          <w:rFonts w:asciiTheme="minorHAnsi" w:hAnsiTheme="minorHAnsi"/>
          <w:color w:val="auto"/>
          <w:szCs w:val="24"/>
        </w:rPr>
        <w:t xml:space="preserve">final </w:t>
      </w:r>
      <w:r w:rsidR="002A29C9">
        <w:rPr>
          <w:rFonts w:asciiTheme="minorHAnsi" w:hAnsiTheme="minorHAnsi"/>
          <w:color w:val="auto"/>
          <w:szCs w:val="24"/>
        </w:rPr>
        <w:t>fitness adjudication for the</w:t>
      </w:r>
      <w:r w:rsidR="00913501">
        <w:rPr>
          <w:rFonts w:asciiTheme="minorHAnsi" w:hAnsiTheme="minorHAnsi"/>
          <w:color w:val="auto"/>
          <w:szCs w:val="24"/>
        </w:rPr>
        <w:t xml:space="preserve"> cervical</w:t>
      </w:r>
      <w:r w:rsidR="002A29C9">
        <w:rPr>
          <w:rFonts w:asciiTheme="minorHAnsi" w:hAnsiTheme="minorHAnsi"/>
          <w:color w:val="auto"/>
          <w:szCs w:val="24"/>
        </w:rPr>
        <w:t xml:space="preserve"> </w:t>
      </w:r>
      <w:r w:rsidR="00B633D0" w:rsidRPr="00B633D0">
        <w:rPr>
          <w:rFonts w:asciiTheme="minorHAnsi" w:hAnsiTheme="minorHAnsi"/>
          <w:color w:val="auto"/>
          <w:szCs w:val="24"/>
        </w:rPr>
        <w:t>condition.</w:t>
      </w:r>
      <w:r w:rsidR="00770237">
        <w:rPr>
          <w:rFonts w:asciiTheme="minorHAnsi" w:hAnsiTheme="minorHAnsi"/>
          <w:color w:val="auto"/>
          <w:szCs w:val="24"/>
        </w:rPr>
        <w:t xml:space="preserve">  </w:t>
      </w:r>
    </w:p>
    <w:p w:rsidR="00913501" w:rsidRPr="008D478D" w:rsidRDefault="007518E9" w:rsidP="00B8436E">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lastRenderedPageBreak/>
        <w:t>Remaining Conditions</w:t>
      </w:r>
      <w:r>
        <w:rPr>
          <w:rFonts w:asciiTheme="minorHAnsi" w:hAnsiTheme="minorHAnsi"/>
          <w:color w:val="auto"/>
          <w:szCs w:val="24"/>
        </w:rPr>
        <w:t>.</w:t>
      </w:r>
      <w:proofErr w:type="gramEnd"/>
      <w:r>
        <w:rPr>
          <w:rFonts w:asciiTheme="minorHAnsi" w:hAnsiTheme="minorHAnsi"/>
          <w:color w:val="auto"/>
          <w:szCs w:val="24"/>
        </w:rPr>
        <w:t xml:space="preserve">  Other conditions identified in the DES file were </w:t>
      </w:r>
      <w:r w:rsidR="00B8436E">
        <w:rPr>
          <w:rFonts w:asciiTheme="minorHAnsi" w:hAnsiTheme="minorHAnsi"/>
          <w:color w:val="auto"/>
          <w:szCs w:val="24"/>
        </w:rPr>
        <w:t>h</w:t>
      </w:r>
      <w:r w:rsidR="006364CB">
        <w:rPr>
          <w:rFonts w:asciiTheme="minorHAnsi" w:hAnsiTheme="minorHAnsi"/>
          <w:color w:val="auto"/>
          <w:szCs w:val="24"/>
        </w:rPr>
        <w:t xml:space="preserve">ypertension, </w:t>
      </w:r>
      <w:r w:rsidR="00B8436E">
        <w:rPr>
          <w:rFonts w:asciiTheme="minorHAnsi" w:hAnsiTheme="minorHAnsi"/>
          <w:color w:val="auto"/>
          <w:szCs w:val="24"/>
        </w:rPr>
        <w:t>s</w:t>
      </w:r>
      <w:r w:rsidR="006364CB">
        <w:rPr>
          <w:rFonts w:asciiTheme="minorHAnsi" w:hAnsiTheme="minorHAnsi"/>
          <w:color w:val="auto"/>
          <w:szCs w:val="24"/>
        </w:rPr>
        <w:t>tomach problems (</w:t>
      </w:r>
      <w:r w:rsidR="00D45001">
        <w:rPr>
          <w:rFonts w:asciiTheme="minorHAnsi" w:hAnsiTheme="minorHAnsi"/>
          <w:color w:val="auto"/>
          <w:szCs w:val="24"/>
        </w:rPr>
        <w:t>likely</w:t>
      </w:r>
      <w:r w:rsidR="006364CB">
        <w:rPr>
          <w:rFonts w:asciiTheme="minorHAnsi" w:hAnsiTheme="minorHAnsi"/>
          <w:color w:val="auto"/>
          <w:szCs w:val="24"/>
        </w:rPr>
        <w:t xml:space="preserve"> </w:t>
      </w:r>
      <w:proofErr w:type="spellStart"/>
      <w:r w:rsidR="006364CB">
        <w:rPr>
          <w:rFonts w:asciiTheme="minorHAnsi" w:hAnsiTheme="minorHAnsi"/>
          <w:color w:val="auto"/>
          <w:szCs w:val="24"/>
        </w:rPr>
        <w:t>gastroesophageal</w:t>
      </w:r>
      <w:proofErr w:type="spellEnd"/>
      <w:r w:rsidR="006364CB">
        <w:rPr>
          <w:rFonts w:asciiTheme="minorHAnsi" w:hAnsiTheme="minorHAnsi"/>
          <w:color w:val="auto"/>
          <w:szCs w:val="24"/>
        </w:rPr>
        <w:t xml:space="preserve"> reflux disease), </w:t>
      </w:r>
      <w:r w:rsidR="00B8436E">
        <w:rPr>
          <w:rFonts w:asciiTheme="minorHAnsi" w:hAnsiTheme="minorHAnsi"/>
          <w:color w:val="auto"/>
          <w:szCs w:val="24"/>
        </w:rPr>
        <w:t>h</w:t>
      </w:r>
      <w:r w:rsidR="006364CB">
        <w:rPr>
          <w:rFonts w:asciiTheme="minorHAnsi" w:hAnsiTheme="minorHAnsi"/>
          <w:color w:val="auto"/>
          <w:szCs w:val="24"/>
        </w:rPr>
        <w:t xml:space="preserve">eadaches, </w:t>
      </w:r>
      <w:proofErr w:type="gramStart"/>
      <w:r w:rsidR="00B8436E">
        <w:rPr>
          <w:rFonts w:asciiTheme="minorHAnsi" w:hAnsiTheme="minorHAnsi"/>
          <w:color w:val="auto"/>
          <w:szCs w:val="24"/>
        </w:rPr>
        <w:t>s</w:t>
      </w:r>
      <w:r w:rsidR="006364CB">
        <w:rPr>
          <w:rFonts w:asciiTheme="minorHAnsi" w:hAnsiTheme="minorHAnsi"/>
          <w:color w:val="auto"/>
          <w:szCs w:val="24"/>
        </w:rPr>
        <w:t>inusitis</w:t>
      </w:r>
      <w:proofErr w:type="gramEnd"/>
      <w:r w:rsidR="006364CB">
        <w:rPr>
          <w:rFonts w:asciiTheme="minorHAnsi" w:hAnsiTheme="minorHAnsi"/>
          <w:color w:val="auto"/>
          <w:szCs w:val="24"/>
        </w:rPr>
        <w:t xml:space="preserve"> and </w:t>
      </w:r>
      <w:r w:rsidR="00B8436E">
        <w:rPr>
          <w:rFonts w:asciiTheme="minorHAnsi" w:hAnsiTheme="minorHAnsi"/>
          <w:color w:val="auto"/>
          <w:szCs w:val="24"/>
        </w:rPr>
        <w:t>s</w:t>
      </w:r>
      <w:r w:rsidR="006364CB">
        <w:rPr>
          <w:rFonts w:asciiTheme="minorHAnsi" w:hAnsiTheme="minorHAnsi"/>
          <w:color w:val="auto"/>
          <w:szCs w:val="24"/>
        </w:rPr>
        <w:t xml:space="preserve">inus </w:t>
      </w:r>
      <w:r w:rsidR="00B8436E">
        <w:rPr>
          <w:rFonts w:asciiTheme="minorHAnsi" w:hAnsiTheme="minorHAnsi"/>
          <w:color w:val="auto"/>
          <w:szCs w:val="24"/>
        </w:rPr>
        <w:t>c</w:t>
      </w:r>
      <w:r w:rsidR="006364CB">
        <w:rPr>
          <w:rFonts w:asciiTheme="minorHAnsi" w:hAnsiTheme="minorHAnsi"/>
          <w:color w:val="auto"/>
          <w:szCs w:val="24"/>
        </w:rPr>
        <w:t>ongestion</w:t>
      </w:r>
      <w:r>
        <w:rPr>
          <w:rFonts w:asciiTheme="minorHAnsi" w:hAnsiTheme="minorHAnsi"/>
          <w:color w:val="auto"/>
          <w:szCs w:val="24"/>
        </w:rPr>
        <w:t xml:space="preserve">.  Several additional non-acute conditions or medical complaints were also documented.  None of these conditions were clinically </w:t>
      </w:r>
      <w:r w:rsidR="006364CB">
        <w:rPr>
          <w:rFonts w:asciiTheme="minorHAnsi" w:hAnsiTheme="minorHAnsi"/>
          <w:color w:val="auto"/>
          <w:szCs w:val="24"/>
        </w:rPr>
        <w:t xml:space="preserve">significant </w:t>
      </w:r>
      <w:r>
        <w:rPr>
          <w:rFonts w:asciiTheme="minorHAnsi" w:hAnsiTheme="minorHAnsi"/>
          <w:color w:val="auto"/>
          <w:szCs w:val="24"/>
        </w:rPr>
        <w:t>during the MEB period</w:t>
      </w:r>
      <w:r w:rsidR="00B8436E">
        <w:rPr>
          <w:rFonts w:asciiTheme="minorHAnsi" w:hAnsiTheme="minorHAnsi"/>
          <w:color w:val="auto"/>
          <w:szCs w:val="24"/>
        </w:rPr>
        <w:t xml:space="preserve">; </w:t>
      </w:r>
      <w:r>
        <w:rPr>
          <w:rFonts w:asciiTheme="minorHAnsi" w:hAnsiTheme="minorHAnsi"/>
          <w:color w:val="auto"/>
          <w:szCs w:val="24"/>
        </w:rPr>
        <w:t xml:space="preserve">none carried attached profiles; and, none were implicated in the </w:t>
      </w:r>
      <w:r w:rsidR="00B8436E">
        <w:rPr>
          <w:rFonts w:asciiTheme="minorHAnsi" w:hAnsiTheme="minorHAnsi"/>
          <w:color w:val="auto"/>
          <w:szCs w:val="24"/>
        </w:rPr>
        <w:t>c</w:t>
      </w:r>
      <w:r>
        <w:rPr>
          <w:rFonts w:asciiTheme="minorHAnsi" w:hAnsiTheme="minorHAnsi"/>
          <w:color w:val="auto"/>
          <w:szCs w:val="24"/>
        </w:rPr>
        <w:t xml:space="preserve">ommander’s statement.  These conditions were reviewed by the </w:t>
      </w:r>
      <w:r w:rsidR="00B8436E">
        <w:rPr>
          <w:rFonts w:asciiTheme="minorHAnsi" w:hAnsiTheme="minorHAnsi"/>
          <w:color w:val="auto"/>
          <w:szCs w:val="24"/>
        </w:rPr>
        <w:t>a</w:t>
      </w:r>
      <w:r>
        <w:rPr>
          <w:rFonts w:asciiTheme="minorHAnsi" w:hAnsiTheme="minorHAnsi"/>
          <w:color w:val="auto"/>
          <w:szCs w:val="24"/>
        </w:rPr>
        <w:t xml:space="preserve">ction </w:t>
      </w:r>
      <w:r w:rsidR="00B8436E">
        <w:rPr>
          <w:rFonts w:asciiTheme="minorHAnsi" w:hAnsiTheme="minorHAnsi"/>
          <w:color w:val="auto"/>
          <w:szCs w:val="24"/>
        </w:rPr>
        <w:t>o</w:t>
      </w:r>
      <w:r>
        <w:rPr>
          <w:rFonts w:asciiTheme="minorHAnsi" w:hAnsiTheme="minorHAnsi"/>
          <w:color w:val="auto"/>
          <w:szCs w:val="24"/>
        </w:rPr>
        <w:t xml:space="preserve">fficer and considered by the Board.  It was determined that none could be argued as unfitting and subject to separation rating.  </w:t>
      </w:r>
      <w:r w:rsidR="00711EC4" w:rsidRPr="00711EC4">
        <w:rPr>
          <w:rFonts w:asciiTheme="minorHAnsi" w:hAnsiTheme="minorHAnsi"/>
          <w:color w:val="auto"/>
          <w:szCs w:val="24"/>
        </w:rPr>
        <w:t>No other conditions were contended in the application or identified by the VA within 12 months of separation.  The Board</w:t>
      </w:r>
      <w:r w:rsidR="00B8436E">
        <w:rPr>
          <w:rFonts w:asciiTheme="minorHAnsi" w:hAnsiTheme="minorHAnsi"/>
          <w:color w:val="auto"/>
          <w:szCs w:val="24"/>
        </w:rPr>
        <w:t>,</w:t>
      </w:r>
      <w:r w:rsidR="00711EC4" w:rsidRPr="00711EC4">
        <w:rPr>
          <w:rFonts w:asciiTheme="minorHAnsi" w:hAnsiTheme="minorHAnsi"/>
          <w:color w:val="auto"/>
          <w:szCs w:val="24"/>
        </w:rPr>
        <w:t xml:space="preserve"> therefore</w:t>
      </w:r>
      <w:r w:rsidR="00B8436E">
        <w:rPr>
          <w:rFonts w:asciiTheme="minorHAnsi" w:hAnsiTheme="minorHAnsi"/>
          <w:color w:val="auto"/>
          <w:szCs w:val="24"/>
        </w:rPr>
        <w:t>,</w:t>
      </w:r>
      <w:r w:rsidR="00711EC4" w:rsidRPr="00711EC4">
        <w:rPr>
          <w:rFonts w:asciiTheme="minorHAnsi" w:hAnsiTheme="minorHAnsi"/>
          <w:color w:val="auto"/>
          <w:szCs w:val="24"/>
        </w:rPr>
        <w:t xml:space="preserve"> has no basis for consideration of any other conditions eligible for additional rating at separation</w:t>
      </w:r>
      <w:r w:rsidR="00711EC4">
        <w:rPr>
          <w:rFonts w:asciiTheme="minorHAnsi" w:hAnsiTheme="minorHAnsi"/>
          <w:color w:val="auto"/>
          <w:szCs w:val="24"/>
        </w:rPr>
        <w:t xml:space="preserve">.  </w:t>
      </w:r>
    </w:p>
    <w:p w:rsidR="002B3C31" w:rsidRPr="00105FBE" w:rsidRDefault="002B3C31" w:rsidP="002B3C31">
      <w:pPr>
        <w:pBdr>
          <w:bottom w:val="single" w:sz="12" w:space="1" w:color="auto"/>
        </w:pBdr>
        <w:tabs>
          <w:tab w:val="left" w:pos="288"/>
          <w:tab w:val="left" w:pos="4752"/>
        </w:tabs>
        <w:spacing w:line="240" w:lineRule="exact"/>
        <w:rPr>
          <w:rFonts w:ascii="Calibri" w:hAnsi="Calibri"/>
          <w:color w:val="auto"/>
          <w:szCs w:val="24"/>
        </w:rPr>
      </w:pPr>
    </w:p>
    <w:p w:rsidR="002B3C31" w:rsidRPr="00105FBE" w:rsidRDefault="002B3C31" w:rsidP="002B3C31">
      <w:pPr>
        <w:tabs>
          <w:tab w:val="left" w:pos="288"/>
          <w:tab w:val="left" w:pos="4752"/>
        </w:tabs>
        <w:spacing w:line="240" w:lineRule="exact"/>
        <w:rPr>
          <w:rFonts w:asciiTheme="minorHAnsi" w:hAnsiTheme="minorHAnsi"/>
          <w:color w:val="auto"/>
          <w:sz w:val="18"/>
          <w:szCs w:val="18"/>
          <w:u w:val="single"/>
        </w:rPr>
      </w:pPr>
    </w:p>
    <w:p w:rsidR="00412658" w:rsidRDefault="00C56FC8" w:rsidP="002B3C31">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w:t>
      </w:r>
      <w:proofErr w:type="spellStart"/>
      <w:r w:rsidRPr="00AE3316">
        <w:rPr>
          <w:rFonts w:asciiTheme="minorHAnsi" w:eastAsiaTheme="minorHAnsi" w:hAnsiTheme="minorHAnsi"/>
          <w:color w:val="auto"/>
          <w:szCs w:val="24"/>
        </w:rPr>
        <w:t>DoD</w:t>
      </w:r>
      <w:proofErr w:type="spellEnd"/>
      <w:r w:rsidRPr="00AE3316">
        <w:rPr>
          <w:rFonts w:asciiTheme="minorHAnsi" w:eastAsiaTheme="minorHAnsi" w:hAnsiTheme="minorHAnsi"/>
          <w:color w:val="auto"/>
          <w:szCs w:val="24"/>
        </w:rPr>
        <w:t xml:space="preserve"> or Military Department regulations or </w:t>
      </w:r>
      <w:r w:rsidRPr="00EC4A5E">
        <w:rPr>
          <w:rFonts w:asciiTheme="minorHAnsi" w:eastAsiaTheme="minorHAnsi" w:hAnsiTheme="minorHAnsi"/>
          <w:color w:val="auto"/>
          <w:szCs w:val="24"/>
        </w:rPr>
        <w:t xml:space="preserve">guidelines relied upon by the PEB will not be considered by the Board to the extent they were inconsistent with the VASRD in effect at the time of the adjudication. </w:t>
      </w:r>
      <w:r w:rsidR="001D68CF" w:rsidRPr="00EC4A5E">
        <w:rPr>
          <w:rFonts w:asciiTheme="minorHAnsi" w:eastAsiaTheme="minorHAnsi" w:hAnsiTheme="minorHAnsi"/>
          <w:color w:val="auto"/>
          <w:szCs w:val="24"/>
        </w:rPr>
        <w:t xml:space="preserve"> </w:t>
      </w:r>
      <w:r w:rsidR="00C82554" w:rsidRPr="00EC4A5E">
        <w:rPr>
          <w:rFonts w:asciiTheme="minorHAnsi" w:eastAsiaTheme="minorHAnsi" w:hAnsiTheme="minorHAnsi"/>
          <w:color w:val="auto"/>
          <w:szCs w:val="24"/>
        </w:rPr>
        <w:t xml:space="preserve">As discussed above, PEB reliance on </w:t>
      </w:r>
      <w:proofErr w:type="spellStart"/>
      <w:r w:rsidR="00C82554" w:rsidRPr="00EC4A5E">
        <w:rPr>
          <w:rFonts w:asciiTheme="minorHAnsi" w:eastAsiaTheme="minorHAnsi" w:hAnsiTheme="minorHAnsi"/>
          <w:color w:val="auto"/>
          <w:szCs w:val="24"/>
        </w:rPr>
        <w:t>DoDI</w:t>
      </w:r>
      <w:proofErr w:type="spellEnd"/>
      <w:r w:rsidR="00C82554" w:rsidRPr="00EC4A5E">
        <w:rPr>
          <w:rFonts w:asciiTheme="minorHAnsi" w:eastAsiaTheme="minorHAnsi" w:hAnsiTheme="minorHAnsi"/>
          <w:color w:val="auto"/>
          <w:szCs w:val="24"/>
        </w:rPr>
        <w:t xml:space="preserve"> 1332.39 for </w:t>
      </w:r>
      <w:r w:rsidR="00E500BF" w:rsidRPr="00EC4A5E">
        <w:rPr>
          <w:rFonts w:asciiTheme="minorHAnsi" w:eastAsiaTheme="minorHAnsi" w:hAnsiTheme="minorHAnsi"/>
          <w:color w:val="auto"/>
          <w:szCs w:val="24"/>
        </w:rPr>
        <w:t xml:space="preserve">final </w:t>
      </w:r>
      <w:r w:rsidR="00C82554" w:rsidRPr="00EC4A5E">
        <w:rPr>
          <w:rFonts w:asciiTheme="minorHAnsi" w:eastAsiaTheme="minorHAnsi" w:hAnsiTheme="minorHAnsi"/>
          <w:color w:val="auto"/>
          <w:szCs w:val="24"/>
        </w:rPr>
        <w:t xml:space="preserve">rating </w:t>
      </w:r>
      <w:r w:rsidR="00E500BF" w:rsidRPr="00EC4A5E">
        <w:rPr>
          <w:rFonts w:asciiTheme="minorHAnsi" w:eastAsiaTheme="minorHAnsi" w:hAnsiTheme="minorHAnsi"/>
          <w:color w:val="auto"/>
          <w:szCs w:val="24"/>
        </w:rPr>
        <w:t xml:space="preserve">for </w:t>
      </w:r>
      <w:r w:rsidR="00C82554" w:rsidRPr="00EC4A5E">
        <w:rPr>
          <w:rFonts w:asciiTheme="minorHAnsi" w:eastAsiaTheme="minorHAnsi" w:hAnsiTheme="minorHAnsi"/>
          <w:color w:val="auto"/>
          <w:szCs w:val="24"/>
        </w:rPr>
        <w:t xml:space="preserve">the MDD and </w:t>
      </w:r>
      <w:r w:rsidR="00E500BF" w:rsidRPr="00EC4A5E">
        <w:rPr>
          <w:rFonts w:asciiTheme="minorHAnsi" w:eastAsiaTheme="minorHAnsi" w:hAnsiTheme="minorHAnsi"/>
          <w:color w:val="auto"/>
          <w:szCs w:val="24"/>
        </w:rPr>
        <w:t xml:space="preserve">LBP and </w:t>
      </w:r>
      <w:r w:rsidR="00C82554" w:rsidRPr="00EC4A5E">
        <w:rPr>
          <w:rFonts w:asciiTheme="minorHAnsi" w:eastAsiaTheme="minorHAnsi" w:hAnsiTheme="minorHAnsi"/>
          <w:color w:val="auto"/>
          <w:szCs w:val="24"/>
        </w:rPr>
        <w:t xml:space="preserve">the USAPDA pain policy for </w:t>
      </w:r>
      <w:r w:rsidR="00E500BF" w:rsidRPr="00EC4A5E">
        <w:rPr>
          <w:rFonts w:asciiTheme="minorHAnsi" w:eastAsiaTheme="minorHAnsi" w:hAnsiTheme="minorHAnsi"/>
          <w:color w:val="auto"/>
          <w:szCs w:val="24"/>
        </w:rPr>
        <w:t xml:space="preserve">initial TDRL </w:t>
      </w:r>
      <w:r w:rsidR="00C82554" w:rsidRPr="00EC4A5E">
        <w:rPr>
          <w:rFonts w:asciiTheme="minorHAnsi" w:eastAsiaTheme="minorHAnsi" w:hAnsiTheme="minorHAnsi"/>
          <w:color w:val="auto"/>
          <w:szCs w:val="24"/>
        </w:rPr>
        <w:t>rating</w:t>
      </w:r>
      <w:r w:rsidR="00E500BF" w:rsidRPr="00EC4A5E">
        <w:rPr>
          <w:rFonts w:asciiTheme="minorHAnsi" w:eastAsiaTheme="minorHAnsi" w:hAnsiTheme="minorHAnsi"/>
          <w:color w:val="auto"/>
          <w:szCs w:val="24"/>
        </w:rPr>
        <w:t>s</w:t>
      </w:r>
      <w:r w:rsidR="00C82554" w:rsidRPr="00EC4A5E">
        <w:rPr>
          <w:rFonts w:asciiTheme="minorHAnsi" w:eastAsiaTheme="minorHAnsi" w:hAnsiTheme="minorHAnsi"/>
          <w:color w:val="auto"/>
          <w:szCs w:val="24"/>
        </w:rPr>
        <w:t xml:space="preserve"> </w:t>
      </w:r>
      <w:r w:rsidR="00E500BF" w:rsidRPr="00EC4A5E">
        <w:rPr>
          <w:rFonts w:asciiTheme="minorHAnsi" w:eastAsiaTheme="minorHAnsi" w:hAnsiTheme="minorHAnsi"/>
          <w:color w:val="auto"/>
          <w:szCs w:val="24"/>
        </w:rPr>
        <w:t xml:space="preserve">for </w:t>
      </w:r>
      <w:r w:rsidR="00C82554" w:rsidRPr="00EC4A5E">
        <w:rPr>
          <w:rFonts w:asciiTheme="minorHAnsi" w:eastAsiaTheme="minorHAnsi" w:hAnsiTheme="minorHAnsi"/>
          <w:color w:val="auto"/>
          <w:szCs w:val="24"/>
        </w:rPr>
        <w:t xml:space="preserve">the lumbar and cervical spine conditions were likely operant in this case and the conditions were adjudicated independently of that regulation and policy by the Board.  </w:t>
      </w:r>
      <w:r w:rsidR="000B58DF" w:rsidRPr="00EC4A5E">
        <w:rPr>
          <w:rFonts w:asciiTheme="minorHAnsi" w:eastAsiaTheme="minorHAnsi" w:hAnsiTheme="minorHAnsi"/>
          <w:color w:val="auto"/>
          <w:szCs w:val="24"/>
        </w:rPr>
        <w:t>In the matter of the MDD, the Board unanimously recommends a</w:t>
      </w:r>
      <w:r w:rsidR="00E500BF" w:rsidRPr="00EC4A5E">
        <w:rPr>
          <w:rFonts w:asciiTheme="minorHAnsi" w:eastAsiaTheme="minorHAnsi" w:hAnsiTheme="minorHAnsi"/>
          <w:color w:val="auto"/>
          <w:szCs w:val="24"/>
        </w:rPr>
        <w:t xml:space="preserve">n initial TDRL entry rating of </w:t>
      </w:r>
      <w:r w:rsidR="00EC4A5E" w:rsidRPr="00EC4A5E">
        <w:rPr>
          <w:rFonts w:asciiTheme="minorHAnsi" w:eastAsiaTheme="minorHAnsi" w:hAnsiTheme="minorHAnsi"/>
          <w:color w:val="auto"/>
          <w:szCs w:val="24"/>
        </w:rPr>
        <w:t>3</w:t>
      </w:r>
      <w:r w:rsidR="00E500BF" w:rsidRPr="00EC4A5E">
        <w:rPr>
          <w:rFonts w:asciiTheme="minorHAnsi" w:eastAsiaTheme="minorHAnsi" w:hAnsiTheme="minorHAnsi"/>
          <w:color w:val="auto"/>
          <w:szCs w:val="24"/>
        </w:rPr>
        <w:t>0% and a</w:t>
      </w:r>
      <w:r w:rsidR="000B58DF" w:rsidRPr="00EC4A5E">
        <w:rPr>
          <w:rFonts w:asciiTheme="minorHAnsi" w:eastAsiaTheme="minorHAnsi" w:hAnsiTheme="minorHAnsi"/>
          <w:color w:val="auto"/>
          <w:szCs w:val="24"/>
        </w:rPr>
        <w:t xml:space="preserve"> final separation rating of 30% </w:t>
      </w:r>
      <w:r w:rsidR="008D22F9" w:rsidRPr="00EC4A5E">
        <w:rPr>
          <w:rFonts w:asciiTheme="minorHAnsi" w:eastAsiaTheme="minorHAnsi" w:hAnsiTheme="minorHAnsi"/>
          <w:color w:val="auto"/>
          <w:szCs w:val="24"/>
        </w:rPr>
        <w:t xml:space="preserve"> </w:t>
      </w:r>
      <w:r w:rsidR="000B58DF" w:rsidRPr="00EC4A5E">
        <w:rPr>
          <w:rFonts w:asciiTheme="minorHAnsi" w:eastAsiaTheme="minorHAnsi" w:hAnsiTheme="minorHAnsi"/>
          <w:color w:val="auto"/>
          <w:szCs w:val="24"/>
        </w:rPr>
        <w:t xml:space="preserve">coded 9434 </w:t>
      </w:r>
      <w:r w:rsidR="000B58DF" w:rsidRPr="00EC4A5E">
        <w:rPr>
          <w:rFonts w:asciiTheme="minorHAnsi" w:hAnsiTheme="minorHAnsi"/>
          <w:color w:val="auto"/>
          <w:szCs w:val="24"/>
        </w:rPr>
        <w:t xml:space="preserve">IAW VASRD §4.130. </w:t>
      </w:r>
      <w:r w:rsidR="00C82554" w:rsidRPr="00EC4A5E">
        <w:rPr>
          <w:rFonts w:asciiTheme="minorHAnsi" w:hAnsiTheme="minorHAnsi"/>
          <w:color w:val="auto"/>
          <w:szCs w:val="24"/>
        </w:rPr>
        <w:t xml:space="preserve"> </w:t>
      </w:r>
      <w:r w:rsidR="00412658" w:rsidRPr="00EC4A5E">
        <w:rPr>
          <w:rFonts w:asciiTheme="minorHAnsi" w:eastAsiaTheme="minorHAnsi" w:hAnsiTheme="minorHAnsi"/>
          <w:color w:val="auto"/>
          <w:szCs w:val="24"/>
        </w:rPr>
        <w:t xml:space="preserve">In the matter of the </w:t>
      </w:r>
      <w:r w:rsidR="003224D4" w:rsidRPr="00EC4A5E">
        <w:rPr>
          <w:rFonts w:asciiTheme="minorHAnsi" w:eastAsiaTheme="minorHAnsi" w:hAnsiTheme="minorHAnsi"/>
          <w:color w:val="auto"/>
          <w:szCs w:val="24"/>
        </w:rPr>
        <w:t xml:space="preserve">Chronic Low Back Pain </w:t>
      </w:r>
      <w:r w:rsidR="00412658" w:rsidRPr="00EC4A5E">
        <w:rPr>
          <w:rFonts w:asciiTheme="minorHAnsi" w:eastAsiaTheme="minorHAnsi" w:hAnsiTheme="minorHAnsi"/>
          <w:color w:val="auto"/>
          <w:szCs w:val="24"/>
        </w:rPr>
        <w:t xml:space="preserve">condition, the Board unanimously recommends a </w:t>
      </w:r>
      <w:r w:rsidR="00E500BF" w:rsidRPr="00EC4A5E">
        <w:rPr>
          <w:rFonts w:asciiTheme="minorHAnsi" w:eastAsiaTheme="minorHAnsi" w:hAnsiTheme="minorHAnsi"/>
          <w:color w:val="auto"/>
          <w:szCs w:val="24"/>
        </w:rPr>
        <w:t xml:space="preserve">TDRL entry rating of </w:t>
      </w:r>
      <w:r w:rsidR="00770237" w:rsidRPr="00EC4A5E">
        <w:rPr>
          <w:rFonts w:asciiTheme="minorHAnsi" w:eastAsiaTheme="minorHAnsi" w:hAnsiTheme="minorHAnsi"/>
          <w:color w:val="auto"/>
          <w:szCs w:val="24"/>
        </w:rPr>
        <w:t>20%</w:t>
      </w:r>
      <w:r w:rsidR="00E500BF" w:rsidRPr="00EC4A5E">
        <w:rPr>
          <w:rFonts w:asciiTheme="minorHAnsi" w:eastAsiaTheme="minorHAnsi" w:hAnsiTheme="minorHAnsi"/>
          <w:color w:val="auto"/>
          <w:szCs w:val="24"/>
        </w:rPr>
        <w:t xml:space="preserve"> and a permanent separation rating </w:t>
      </w:r>
      <w:r w:rsidR="00412658" w:rsidRPr="00EC4A5E">
        <w:rPr>
          <w:rFonts w:asciiTheme="minorHAnsi" w:eastAsiaTheme="minorHAnsi" w:hAnsiTheme="minorHAnsi"/>
          <w:color w:val="auto"/>
          <w:szCs w:val="24"/>
        </w:rPr>
        <w:t xml:space="preserve">of </w:t>
      </w:r>
      <w:r w:rsidR="003224D4" w:rsidRPr="00EC4A5E">
        <w:rPr>
          <w:rFonts w:asciiTheme="minorHAnsi" w:eastAsiaTheme="minorHAnsi" w:hAnsiTheme="minorHAnsi"/>
          <w:color w:val="auto"/>
          <w:szCs w:val="24"/>
        </w:rPr>
        <w:t>2</w:t>
      </w:r>
      <w:r w:rsidR="00412658" w:rsidRPr="00EC4A5E">
        <w:rPr>
          <w:rFonts w:asciiTheme="minorHAnsi" w:eastAsiaTheme="minorHAnsi" w:hAnsiTheme="minorHAnsi"/>
          <w:color w:val="auto"/>
          <w:szCs w:val="24"/>
        </w:rPr>
        <w:t xml:space="preserve">0% </w:t>
      </w:r>
      <w:r w:rsidR="000B58DF" w:rsidRPr="00EC4A5E">
        <w:rPr>
          <w:rFonts w:asciiTheme="minorHAnsi" w:eastAsiaTheme="minorHAnsi" w:hAnsiTheme="minorHAnsi"/>
          <w:color w:val="auto"/>
          <w:szCs w:val="24"/>
        </w:rPr>
        <w:t>coded 52</w:t>
      </w:r>
      <w:r w:rsidR="00081644" w:rsidRPr="00EC4A5E">
        <w:rPr>
          <w:rFonts w:asciiTheme="minorHAnsi" w:eastAsiaTheme="minorHAnsi" w:hAnsiTheme="minorHAnsi"/>
          <w:color w:val="auto"/>
          <w:szCs w:val="24"/>
        </w:rPr>
        <w:t>9</w:t>
      </w:r>
      <w:r w:rsidR="00C9085A" w:rsidRPr="00EC4A5E">
        <w:rPr>
          <w:rFonts w:asciiTheme="minorHAnsi" w:eastAsiaTheme="minorHAnsi" w:hAnsiTheme="minorHAnsi"/>
          <w:color w:val="auto"/>
          <w:szCs w:val="24"/>
        </w:rPr>
        <w:t>2</w:t>
      </w:r>
      <w:r w:rsidR="000B58DF" w:rsidRPr="00EC4A5E">
        <w:rPr>
          <w:rFonts w:asciiTheme="minorHAnsi" w:hAnsiTheme="minorHAnsi"/>
          <w:color w:val="auto"/>
          <w:szCs w:val="24"/>
        </w:rPr>
        <w:t xml:space="preserve"> IAW VASRD §4.71a</w:t>
      </w:r>
      <w:r w:rsidR="000B58DF" w:rsidRPr="00EC4A5E">
        <w:rPr>
          <w:rFonts w:asciiTheme="minorHAnsi" w:eastAsiaTheme="minorHAnsi" w:hAnsiTheme="minorHAnsi"/>
          <w:color w:val="auto"/>
          <w:szCs w:val="24"/>
        </w:rPr>
        <w:t>.</w:t>
      </w:r>
      <w:r w:rsidR="00C82554" w:rsidRPr="00EC4A5E">
        <w:rPr>
          <w:rFonts w:asciiTheme="minorHAnsi" w:eastAsiaTheme="minorHAnsi" w:hAnsiTheme="minorHAnsi"/>
          <w:color w:val="auto"/>
          <w:szCs w:val="24"/>
        </w:rPr>
        <w:t xml:space="preserve">  In the matter of the cervical spine condition</w:t>
      </w:r>
      <w:r w:rsidR="00D41A96">
        <w:rPr>
          <w:rFonts w:asciiTheme="minorHAnsi" w:eastAsiaTheme="minorHAnsi" w:hAnsiTheme="minorHAnsi"/>
          <w:color w:val="auto"/>
          <w:szCs w:val="24"/>
        </w:rPr>
        <w:t>,</w:t>
      </w:r>
      <w:r w:rsidR="00C82554" w:rsidRPr="00EC4A5E">
        <w:rPr>
          <w:rFonts w:asciiTheme="minorHAnsi" w:eastAsiaTheme="minorHAnsi" w:hAnsiTheme="minorHAnsi"/>
          <w:color w:val="auto"/>
          <w:szCs w:val="24"/>
        </w:rPr>
        <w:t xml:space="preserve"> the Board unanimously recommends </w:t>
      </w:r>
      <w:r w:rsidR="00E500BF" w:rsidRPr="00EC4A5E">
        <w:rPr>
          <w:rFonts w:asciiTheme="minorHAnsi" w:eastAsiaTheme="minorHAnsi" w:hAnsiTheme="minorHAnsi"/>
          <w:color w:val="auto"/>
          <w:szCs w:val="24"/>
        </w:rPr>
        <w:t xml:space="preserve">an initial TDRL entry rating of </w:t>
      </w:r>
      <w:r w:rsidR="00770237" w:rsidRPr="00EC4A5E">
        <w:rPr>
          <w:rFonts w:asciiTheme="minorHAnsi" w:eastAsiaTheme="minorHAnsi" w:hAnsiTheme="minorHAnsi"/>
          <w:color w:val="auto"/>
          <w:szCs w:val="24"/>
        </w:rPr>
        <w:t xml:space="preserve">10% coded 5290 </w:t>
      </w:r>
      <w:r w:rsidR="00770237" w:rsidRPr="00EC4A5E">
        <w:rPr>
          <w:rFonts w:asciiTheme="minorHAnsi" w:hAnsiTheme="minorHAnsi"/>
          <w:color w:val="auto"/>
          <w:szCs w:val="24"/>
        </w:rPr>
        <w:t>IAW VASRD §</w:t>
      </w:r>
      <w:proofErr w:type="gramStart"/>
      <w:r w:rsidR="00770237" w:rsidRPr="00EC4A5E">
        <w:rPr>
          <w:rFonts w:asciiTheme="minorHAnsi" w:hAnsiTheme="minorHAnsi"/>
          <w:color w:val="auto"/>
          <w:szCs w:val="24"/>
        </w:rPr>
        <w:t>4.71a</w:t>
      </w:r>
      <w:r w:rsidR="00770237" w:rsidRPr="00EC4A5E">
        <w:rPr>
          <w:rFonts w:asciiTheme="minorHAnsi" w:eastAsiaTheme="minorHAnsi" w:hAnsiTheme="minorHAnsi"/>
          <w:color w:val="auto"/>
          <w:szCs w:val="24"/>
        </w:rPr>
        <w:t>.,</w:t>
      </w:r>
      <w:proofErr w:type="gramEnd"/>
      <w:r w:rsidR="00E500BF" w:rsidRPr="00EC4A5E">
        <w:rPr>
          <w:rFonts w:asciiTheme="minorHAnsi" w:eastAsiaTheme="minorHAnsi" w:hAnsiTheme="minorHAnsi"/>
          <w:color w:val="auto"/>
          <w:szCs w:val="24"/>
        </w:rPr>
        <w:t xml:space="preserve"> and </w:t>
      </w:r>
      <w:r w:rsidR="00C82554" w:rsidRPr="00EC4A5E">
        <w:rPr>
          <w:rFonts w:asciiTheme="minorHAnsi" w:eastAsiaTheme="minorHAnsi" w:hAnsiTheme="minorHAnsi"/>
          <w:color w:val="auto"/>
          <w:szCs w:val="24"/>
        </w:rPr>
        <w:t xml:space="preserve">no </w:t>
      </w:r>
      <w:proofErr w:type="spellStart"/>
      <w:r w:rsidR="00C82554" w:rsidRPr="00EC4A5E">
        <w:rPr>
          <w:rFonts w:asciiTheme="minorHAnsi" w:eastAsiaTheme="minorHAnsi" w:hAnsiTheme="minorHAnsi"/>
          <w:color w:val="auto"/>
          <w:szCs w:val="24"/>
        </w:rPr>
        <w:t>recharacterization</w:t>
      </w:r>
      <w:proofErr w:type="spellEnd"/>
      <w:r w:rsidR="00C82554" w:rsidRPr="00EC4A5E">
        <w:rPr>
          <w:rFonts w:asciiTheme="minorHAnsi" w:eastAsiaTheme="minorHAnsi" w:hAnsiTheme="minorHAnsi"/>
          <w:color w:val="auto"/>
          <w:szCs w:val="24"/>
        </w:rPr>
        <w:t xml:space="preserve"> of the PEB </w:t>
      </w:r>
      <w:r w:rsidR="00E500BF" w:rsidRPr="00EC4A5E">
        <w:rPr>
          <w:rFonts w:asciiTheme="minorHAnsi" w:eastAsiaTheme="minorHAnsi" w:hAnsiTheme="minorHAnsi"/>
          <w:color w:val="auto"/>
          <w:szCs w:val="24"/>
        </w:rPr>
        <w:t xml:space="preserve">final </w:t>
      </w:r>
      <w:r w:rsidR="00C82554" w:rsidRPr="00EC4A5E">
        <w:rPr>
          <w:rFonts w:asciiTheme="minorHAnsi" w:eastAsiaTheme="minorHAnsi" w:hAnsiTheme="minorHAnsi"/>
          <w:color w:val="auto"/>
          <w:szCs w:val="24"/>
        </w:rPr>
        <w:t>adjudication as not unfitting</w:t>
      </w:r>
      <w:r w:rsidR="00770237" w:rsidRPr="00EC4A5E">
        <w:rPr>
          <w:rFonts w:asciiTheme="minorHAnsi" w:eastAsiaTheme="minorHAnsi" w:hAnsiTheme="minorHAnsi"/>
          <w:color w:val="auto"/>
          <w:szCs w:val="24"/>
        </w:rPr>
        <w:t xml:space="preserve"> and not ratable</w:t>
      </w:r>
      <w:r w:rsidR="00C82554" w:rsidRPr="00EC4A5E">
        <w:rPr>
          <w:rFonts w:asciiTheme="minorHAnsi" w:eastAsiaTheme="minorHAnsi" w:hAnsiTheme="minorHAnsi"/>
          <w:color w:val="auto"/>
          <w:szCs w:val="24"/>
        </w:rPr>
        <w:t>.  In the matter of the sinus condition or any other medical conditions eligible for Board consideration</w:t>
      </w:r>
      <w:r w:rsidR="00D41A96">
        <w:rPr>
          <w:rFonts w:asciiTheme="minorHAnsi" w:eastAsiaTheme="minorHAnsi" w:hAnsiTheme="minorHAnsi"/>
          <w:color w:val="auto"/>
          <w:szCs w:val="24"/>
        </w:rPr>
        <w:t>,</w:t>
      </w:r>
      <w:r w:rsidR="00C82554" w:rsidRPr="00EC4A5E">
        <w:rPr>
          <w:rFonts w:asciiTheme="minorHAnsi" w:eastAsiaTheme="minorHAnsi" w:hAnsiTheme="minorHAnsi"/>
          <w:color w:val="auto"/>
          <w:szCs w:val="24"/>
        </w:rPr>
        <w:t xml:space="preserve"> the Board unanimously agrees that it cannot recommend any findings of unfit for additional rating at separation.</w:t>
      </w:r>
      <w:r w:rsidR="00C82554">
        <w:rPr>
          <w:rFonts w:asciiTheme="minorHAnsi" w:eastAsiaTheme="minorHAnsi" w:hAnsiTheme="minorHAnsi"/>
          <w:color w:val="auto"/>
          <w:szCs w:val="24"/>
        </w:rPr>
        <w:t xml:space="preserve">  </w:t>
      </w:r>
    </w:p>
    <w:p w:rsidR="002B3C31" w:rsidRPr="00105FBE" w:rsidRDefault="002B3C31" w:rsidP="00D3457C">
      <w:pPr>
        <w:pBdr>
          <w:bottom w:val="single" w:sz="12" w:space="1" w:color="auto"/>
        </w:pBdr>
        <w:tabs>
          <w:tab w:val="left" w:pos="288"/>
          <w:tab w:val="left" w:pos="4752"/>
        </w:tabs>
        <w:spacing w:line="240" w:lineRule="exact"/>
        <w:ind w:firstLine="720"/>
        <w:rPr>
          <w:rFonts w:ascii="Calibri" w:hAnsi="Calibri"/>
          <w:color w:val="auto"/>
          <w:szCs w:val="24"/>
        </w:rPr>
      </w:pPr>
    </w:p>
    <w:p w:rsidR="002B3C31" w:rsidRPr="00105FBE" w:rsidRDefault="002B3C31" w:rsidP="002B3C31">
      <w:pPr>
        <w:tabs>
          <w:tab w:val="left" w:pos="288"/>
          <w:tab w:val="left" w:pos="4752"/>
        </w:tabs>
        <w:spacing w:line="240" w:lineRule="exact"/>
        <w:rPr>
          <w:rFonts w:asciiTheme="minorHAnsi" w:hAnsiTheme="minorHAnsi"/>
          <w:color w:val="auto"/>
          <w:sz w:val="18"/>
          <w:szCs w:val="18"/>
          <w:u w:val="single"/>
        </w:rPr>
      </w:pPr>
    </w:p>
    <w:p w:rsidR="00FB593A" w:rsidRPr="00C82554" w:rsidRDefault="00C56FC8" w:rsidP="002B3C31">
      <w:pPr>
        <w:tabs>
          <w:tab w:val="left" w:pos="288"/>
          <w:tab w:val="left" w:pos="4752"/>
        </w:tabs>
        <w:spacing w:line="240" w:lineRule="exact"/>
        <w:jc w:val="both"/>
        <w:rPr>
          <w:color w:val="auto"/>
          <w:sz w:val="28"/>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0B58DF">
        <w:rPr>
          <w:rFonts w:asciiTheme="minorHAnsi" w:hAnsiTheme="minorHAnsi"/>
          <w:color w:val="000080"/>
          <w:szCs w:val="24"/>
        </w:rPr>
        <w:t xml:space="preserve">  </w:t>
      </w:r>
      <w:r w:rsidRPr="00B95833">
        <w:rPr>
          <w:rFonts w:asciiTheme="minorHAnsi" w:hAnsiTheme="minorHAnsi"/>
          <w:color w:val="auto"/>
          <w:szCs w:val="24"/>
        </w:rPr>
        <w:t>The Board recommends that the CI’s prior determination be modified as follows and that the discharge with severance pay be re</w:t>
      </w:r>
      <w:r w:rsidR="00BD722B">
        <w:rPr>
          <w:rFonts w:asciiTheme="minorHAnsi" w:hAnsiTheme="minorHAnsi"/>
          <w:color w:val="auto"/>
          <w:szCs w:val="24"/>
        </w:rPr>
        <w:t>-</w:t>
      </w:r>
      <w:r w:rsidRPr="00B95833">
        <w:rPr>
          <w:rFonts w:asciiTheme="minorHAnsi" w:hAnsiTheme="minorHAnsi"/>
          <w:color w:val="auto"/>
          <w:szCs w:val="24"/>
        </w:rPr>
        <w:t xml:space="preserve">characterized to reflect permanent disability </w:t>
      </w:r>
      <w:r w:rsidRPr="00081644">
        <w:rPr>
          <w:rFonts w:asciiTheme="minorHAnsi" w:hAnsiTheme="minorHAnsi"/>
          <w:color w:val="auto"/>
          <w:szCs w:val="24"/>
        </w:rPr>
        <w:t>retirement, effective as of the date of his prior medical separation.</w:t>
      </w:r>
      <w:r w:rsidR="00081644" w:rsidRPr="00081644">
        <w:rPr>
          <w:rFonts w:asciiTheme="minorHAnsi" w:hAnsiTheme="minorHAnsi"/>
          <w:color w:val="auto"/>
          <w:szCs w:val="24"/>
        </w:rPr>
        <w:t xml:space="preserve">  </w:t>
      </w:r>
    </w:p>
    <w:p w:rsidR="00FB593A" w:rsidRPr="00081644" w:rsidRDefault="00FB593A" w:rsidP="00AF1668">
      <w:pPr>
        <w:tabs>
          <w:tab w:val="left" w:pos="288"/>
          <w:tab w:val="left" w:pos="4752"/>
        </w:tabs>
        <w:spacing w:line="240" w:lineRule="exact"/>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081644" w:rsidRPr="00EC4A5E" w:rsidTr="00081644">
        <w:trPr>
          <w:jc w:val="center"/>
        </w:trPr>
        <w:tc>
          <w:tcPr>
            <w:tcW w:w="4950" w:type="dxa"/>
            <w:tcBorders>
              <w:top w:val="single" w:sz="4" w:space="0" w:color="000000"/>
              <w:left w:val="single" w:sz="4" w:space="0" w:color="000000"/>
              <w:bottom w:val="single" w:sz="4" w:space="0" w:color="000000"/>
              <w:right w:val="single" w:sz="4" w:space="0" w:color="000000"/>
            </w:tcBorders>
            <w:shd w:val="clear" w:color="auto" w:fill="D9D9D9"/>
            <w:hideMark/>
          </w:tcPr>
          <w:p w:rsidR="00081644" w:rsidRPr="00EC4A5E" w:rsidRDefault="00081644" w:rsidP="00081644">
            <w:pPr>
              <w:tabs>
                <w:tab w:val="left" w:pos="288"/>
                <w:tab w:val="left" w:pos="4752"/>
              </w:tabs>
              <w:spacing w:line="240" w:lineRule="exact"/>
              <w:jc w:val="both"/>
              <w:rPr>
                <w:rFonts w:asciiTheme="minorHAnsi" w:hAnsiTheme="minorHAnsi"/>
                <w:b/>
                <w:color w:val="auto"/>
                <w:szCs w:val="24"/>
              </w:rPr>
            </w:pPr>
            <w:r w:rsidRPr="00EC4A5E">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081644" w:rsidRPr="00EC4A5E" w:rsidRDefault="00081644" w:rsidP="00081644">
            <w:pPr>
              <w:tabs>
                <w:tab w:val="left" w:pos="288"/>
                <w:tab w:val="left" w:pos="4752"/>
              </w:tabs>
              <w:spacing w:line="240" w:lineRule="exact"/>
              <w:jc w:val="center"/>
              <w:rPr>
                <w:rFonts w:asciiTheme="minorHAnsi" w:hAnsiTheme="minorHAnsi"/>
                <w:b/>
                <w:color w:val="auto"/>
                <w:szCs w:val="24"/>
              </w:rPr>
            </w:pPr>
            <w:r w:rsidRPr="00EC4A5E">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rsidR="00081644" w:rsidRPr="00EC4A5E" w:rsidRDefault="00081644" w:rsidP="00081644">
            <w:pPr>
              <w:tabs>
                <w:tab w:val="left" w:pos="288"/>
                <w:tab w:val="left" w:pos="4752"/>
              </w:tabs>
              <w:spacing w:line="240" w:lineRule="exact"/>
              <w:jc w:val="center"/>
              <w:rPr>
                <w:rFonts w:asciiTheme="minorHAnsi" w:hAnsiTheme="minorHAnsi"/>
                <w:b/>
                <w:color w:val="auto"/>
                <w:szCs w:val="24"/>
              </w:rPr>
            </w:pPr>
            <w:r w:rsidRPr="00EC4A5E">
              <w:rPr>
                <w:rFonts w:asciiTheme="minorHAnsi" w:hAnsiTheme="minorHAnsi"/>
                <w:b/>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081644" w:rsidRPr="00EC4A5E" w:rsidRDefault="00081644" w:rsidP="00081644">
            <w:pPr>
              <w:tabs>
                <w:tab w:val="left" w:pos="288"/>
                <w:tab w:val="left" w:pos="4752"/>
              </w:tabs>
              <w:spacing w:line="240" w:lineRule="exact"/>
              <w:jc w:val="center"/>
              <w:rPr>
                <w:rFonts w:asciiTheme="minorHAnsi" w:hAnsiTheme="minorHAnsi"/>
                <w:b/>
                <w:color w:val="auto"/>
                <w:szCs w:val="24"/>
              </w:rPr>
            </w:pPr>
            <w:r w:rsidRPr="00EC4A5E">
              <w:rPr>
                <w:rFonts w:asciiTheme="minorHAnsi" w:hAnsiTheme="minorHAnsi"/>
                <w:b/>
                <w:color w:val="auto"/>
                <w:szCs w:val="24"/>
              </w:rPr>
              <w:t>PERMANENT</w:t>
            </w:r>
          </w:p>
          <w:p w:rsidR="00081644" w:rsidRPr="00EC4A5E" w:rsidRDefault="00081644" w:rsidP="00081644">
            <w:pPr>
              <w:tabs>
                <w:tab w:val="left" w:pos="288"/>
                <w:tab w:val="left" w:pos="4752"/>
              </w:tabs>
              <w:spacing w:line="240" w:lineRule="exact"/>
              <w:jc w:val="center"/>
              <w:rPr>
                <w:rFonts w:asciiTheme="minorHAnsi" w:hAnsiTheme="minorHAnsi"/>
                <w:b/>
                <w:color w:val="auto"/>
                <w:szCs w:val="24"/>
              </w:rPr>
            </w:pPr>
            <w:r w:rsidRPr="00EC4A5E">
              <w:rPr>
                <w:rFonts w:asciiTheme="minorHAnsi" w:hAnsiTheme="minorHAnsi"/>
                <w:b/>
                <w:color w:val="auto"/>
                <w:szCs w:val="24"/>
              </w:rPr>
              <w:t>RATING</w:t>
            </w:r>
          </w:p>
        </w:tc>
      </w:tr>
      <w:tr w:rsidR="00081644" w:rsidRPr="00EC4A5E" w:rsidTr="00081644">
        <w:trPr>
          <w:trHeight w:val="188"/>
          <w:jc w:val="center"/>
        </w:trPr>
        <w:tc>
          <w:tcPr>
            <w:tcW w:w="4950" w:type="dxa"/>
            <w:tcBorders>
              <w:top w:val="single" w:sz="4" w:space="0" w:color="000000"/>
              <w:left w:val="single" w:sz="4" w:space="0" w:color="000000"/>
              <w:bottom w:val="single" w:sz="4" w:space="0" w:color="000000"/>
              <w:right w:val="single" w:sz="4" w:space="0" w:color="000000"/>
            </w:tcBorders>
            <w:hideMark/>
          </w:tcPr>
          <w:p w:rsidR="00081644" w:rsidRPr="00EC4A5E" w:rsidRDefault="00081644" w:rsidP="0003007E">
            <w:pPr>
              <w:tabs>
                <w:tab w:val="left" w:pos="288"/>
                <w:tab w:val="left" w:pos="4752"/>
              </w:tabs>
              <w:spacing w:line="240" w:lineRule="exact"/>
              <w:jc w:val="both"/>
              <w:rPr>
                <w:rFonts w:asciiTheme="minorHAnsi" w:hAnsiTheme="minorHAnsi"/>
                <w:color w:val="auto"/>
                <w:szCs w:val="24"/>
              </w:rPr>
            </w:pPr>
            <w:r w:rsidRPr="00EC4A5E">
              <w:rPr>
                <w:rFonts w:asciiTheme="minorHAnsi" w:hAnsiTheme="minorHAnsi"/>
                <w:color w:val="auto"/>
                <w:szCs w:val="24"/>
              </w:rPr>
              <w:t>Major Depressive Disorder</w:t>
            </w:r>
          </w:p>
        </w:tc>
        <w:tc>
          <w:tcPr>
            <w:tcW w:w="1710" w:type="dxa"/>
            <w:tcBorders>
              <w:top w:val="single" w:sz="4" w:space="0" w:color="000000"/>
              <w:left w:val="single" w:sz="4" w:space="0" w:color="000000"/>
              <w:bottom w:val="single" w:sz="4" w:space="0" w:color="000000"/>
              <w:right w:val="single" w:sz="4" w:space="0" w:color="000000"/>
            </w:tcBorders>
            <w:hideMark/>
          </w:tcPr>
          <w:p w:rsidR="00081644" w:rsidRPr="00EC4A5E" w:rsidRDefault="00081644" w:rsidP="00081644">
            <w:pPr>
              <w:tabs>
                <w:tab w:val="left" w:pos="288"/>
                <w:tab w:val="left" w:pos="4752"/>
              </w:tabs>
              <w:spacing w:line="240" w:lineRule="exact"/>
              <w:jc w:val="center"/>
              <w:rPr>
                <w:rFonts w:asciiTheme="minorHAnsi" w:hAnsiTheme="minorHAnsi"/>
                <w:color w:val="auto"/>
                <w:szCs w:val="24"/>
              </w:rPr>
            </w:pPr>
            <w:r w:rsidRPr="00EC4A5E">
              <w:rPr>
                <w:rFonts w:asciiTheme="minorHAnsi" w:hAnsiTheme="minorHAnsi"/>
                <w:color w:val="auto"/>
                <w:szCs w:val="24"/>
              </w:rPr>
              <w:t>9434</w:t>
            </w:r>
          </w:p>
        </w:tc>
        <w:tc>
          <w:tcPr>
            <w:tcW w:w="1170" w:type="dxa"/>
            <w:tcBorders>
              <w:top w:val="single" w:sz="4" w:space="0" w:color="000000"/>
              <w:left w:val="single" w:sz="4" w:space="0" w:color="000000"/>
              <w:bottom w:val="single" w:sz="4" w:space="0" w:color="000000"/>
              <w:right w:val="single" w:sz="4" w:space="0" w:color="000000"/>
            </w:tcBorders>
            <w:hideMark/>
          </w:tcPr>
          <w:p w:rsidR="00081644" w:rsidRPr="00EC4A5E" w:rsidRDefault="00F33C86" w:rsidP="00081644">
            <w:pPr>
              <w:tabs>
                <w:tab w:val="left" w:pos="288"/>
                <w:tab w:val="left" w:pos="4752"/>
              </w:tabs>
              <w:spacing w:line="240" w:lineRule="exact"/>
              <w:jc w:val="center"/>
              <w:rPr>
                <w:rFonts w:asciiTheme="minorHAnsi" w:hAnsiTheme="minorHAnsi"/>
                <w:color w:val="auto"/>
                <w:szCs w:val="24"/>
              </w:rPr>
            </w:pPr>
            <w:r w:rsidRPr="00EC4A5E">
              <w:rPr>
                <w:rFonts w:asciiTheme="minorHAnsi" w:hAnsiTheme="minorHAnsi"/>
                <w:color w:val="auto"/>
                <w:szCs w:val="24"/>
              </w:rPr>
              <w:t>3</w:t>
            </w:r>
            <w:r w:rsidR="001142FB" w:rsidRPr="00EC4A5E">
              <w:rPr>
                <w:rFonts w:asciiTheme="minorHAnsi" w:hAnsiTheme="minorHAnsi"/>
                <w:color w:val="auto"/>
                <w:szCs w:val="24"/>
              </w:rPr>
              <w:t>0%</w:t>
            </w:r>
          </w:p>
        </w:tc>
        <w:tc>
          <w:tcPr>
            <w:tcW w:w="1530" w:type="dxa"/>
            <w:tcBorders>
              <w:top w:val="single" w:sz="4" w:space="0" w:color="000000"/>
              <w:left w:val="single" w:sz="4" w:space="0" w:color="000000"/>
              <w:bottom w:val="single" w:sz="4" w:space="0" w:color="000000"/>
              <w:right w:val="single" w:sz="4" w:space="0" w:color="000000"/>
            </w:tcBorders>
            <w:hideMark/>
          </w:tcPr>
          <w:p w:rsidR="00081644" w:rsidRPr="00EC4A5E" w:rsidRDefault="00081644" w:rsidP="00081644">
            <w:pPr>
              <w:tabs>
                <w:tab w:val="left" w:pos="288"/>
                <w:tab w:val="left" w:pos="4752"/>
              </w:tabs>
              <w:spacing w:line="240" w:lineRule="exact"/>
              <w:jc w:val="center"/>
              <w:rPr>
                <w:rFonts w:asciiTheme="minorHAnsi" w:hAnsiTheme="minorHAnsi"/>
                <w:color w:val="auto"/>
                <w:szCs w:val="24"/>
              </w:rPr>
            </w:pPr>
            <w:r w:rsidRPr="00EC4A5E">
              <w:rPr>
                <w:rFonts w:asciiTheme="minorHAnsi" w:hAnsiTheme="minorHAnsi"/>
                <w:color w:val="auto"/>
                <w:szCs w:val="24"/>
              </w:rPr>
              <w:t>30%</w:t>
            </w:r>
          </w:p>
        </w:tc>
      </w:tr>
      <w:tr w:rsidR="00081644" w:rsidRPr="00EC4A5E" w:rsidTr="00081644">
        <w:trPr>
          <w:trHeight w:val="188"/>
          <w:jc w:val="center"/>
        </w:trPr>
        <w:tc>
          <w:tcPr>
            <w:tcW w:w="4950" w:type="dxa"/>
            <w:tcBorders>
              <w:top w:val="single" w:sz="4" w:space="0" w:color="000000"/>
              <w:left w:val="single" w:sz="4" w:space="0" w:color="000000"/>
              <w:bottom w:val="single" w:sz="4" w:space="0" w:color="000000"/>
              <w:right w:val="single" w:sz="4" w:space="0" w:color="000000"/>
            </w:tcBorders>
            <w:hideMark/>
          </w:tcPr>
          <w:p w:rsidR="00081644" w:rsidRPr="00EC4A5E" w:rsidRDefault="00081644" w:rsidP="00081644">
            <w:pPr>
              <w:tabs>
                <w:tab w:val="left" w:pos="288"/>
                <w:tab w:val="left" w:pos="4752"/>
              </w:tabs>
              <w:spacing w:line="240" w:lineRule="exact"/>
              <w:jc w:val="both"/>
              <w:rPr>
                <w:rFonts w:asciiTheme="minorHAnsi" w:hAnsiTheme="minorHAnsi"/>
                <w:color w:val="auto"/>
                <w:szCs w:val="24"/>
              </w:rPr>
            </w:pPr>
            <w:r w:rsidRPr="00EC4A5E">
              <w:rPr>
                <w:rFonts w:asciiTheme="minorHAnsi" w:hAnsiTheme="minorHAnsi"/>
                <w:color w:val="auto"/>
                <w:szCs w:val="24"/>
              </w:rPr>
              <w:t xml:space="preserve">Chronic Low Back Pain </w:t>
            </w:r>
          </w:p>
        </w:tc>
        <w:tc>
          <w:tcPr>
            <w:tcW w:w="1710" w:type="dxa"/>
            <w:tcBorders>
              <w:top w:val="single" w:sz="4" w:space="0" w:color="000000"/>
              <w:left w:val="single" w:sz="4" w:space="0" w:color="000000"/>
              <w:bottom w:val="single" w:sz="4" w:space="0" w:color="000000"/>
              <w:right w:val="single" w:sz="4" w:space="0" w:color="000000"/>
            </w:tcBorders>
            <w:hideMark/>
          </w:tcPr>
          <w:p w:rsidR="00081644" w:rsidRPr="00EC4A5E" w:rsidRDefault="00081644" w:rsidP="00C9085A">
            <w:pPr>
              <w:tabs>
                <w:tab w:val="left" w:pos="288"/>
                <w:tab w:val="left" w:pos="4752"/>
              </w:tabs>
              <w:spacing w:line="240" w:lineRule="exact"/>
              <w:jc w:val="center"/>
              <w:rPr>
                <w:rFonts w:asciiTheme="minorHAnsi" w:hAnsiTheme="minorHAnsi"/>
                <w:color w:val="auto"/>
                <w:szCs w:val="24"/>
              </w:rPr>
            </w:pPr>
            <w:r w:rsidRPr="00EC4A5E">
              <w:rPr>
                <w:rFonts w:asciiTheme="minorHAnsi" w:hAnsiTheme="minorHAnsi"/>
                <w:color w:val="auto"/>
                <w:szCs w:val="24"/>
              </w:rPr>
              <w:t>529</w:t>
            </w:r>
            <w:r w:rsidR="00C9085A" w:rsidRPr="00EC4A5E">
              <w:rPr>
                <w:rFonts w:asciiTheme="minorHAnsi" w:hAnsiTheme="minorHAnsi"/>
                <w:color w:val="auto"/>
                <w:szCs w:val="24"/>
              </w:rPr>
              <w:t>2</w:t>
            </w:r>
          </w:p>
        </w:tc>
        <w:tc>
          <w:tcPr>
            <w:tcW w:w="1170" w:type="dxa"/>
            <w:tcBorders>
              <w:top w:val="single" w:sz="4" w:space="0" w:color="000000"/>
              <w:left w:val="single" w:sz="4" w:space="0" w:color="000000"/>
              <w:bottom w:val="single" w:sz="4" w:space="0" w:color="000000"/>
              <w:right w:val="single" w:sz="4" w:space="0" w:color="000000"/>
            </w:tcBorders>
            <w:hideMark/>
          </w:tcPr>
          <w:p w:rsidR="00081644" w:rsidRPr="00EC4A5E" w:rsidRDefault="00081644" w:rsidP="00081644">
            <w:pPr>
              <w:tabs>
                <w:tab w:val="left" w:pos="288"/>
                <w:tab w:val="left" w:pos="4752"/>
              </w:tabs>
              <w:spacing w:line="240" w:lineRule="exact"/>
              <w:jc w:val="center"/>
              <w:rPr>
                <w:rFonts w:asciiTheme="minorHAnsi" w:hAnsiTheme="minorHAnsi"/>
                <w:color w:val="auto"/>
                <w:szCs w:val="24"/>
              </w:rPr>
            </w:pPr>
            <w:r w:rsidRPr="00EC4A5E">
              <w:rPr>
                <w:rFonts w:asciiTheme="minorHAnsi" w:hAnsiTheme="minorHAnsi"/>
                <w:color w:val="auto"/>
                <w:szCs w:val="24"/>
              </w:rPr>
              <w:t>20%</w:t>
            </w:r>
          </w:p>
        </w:tc>
        <w:tc>
          <w:tcPr>
            <w:tcW w:w="1530" w:type="dxa"/>
            <w:tcBorders>
              <w:top w:val="single" w:sz="4" w:space="0" w:color="000000"/>
              <w:left w:val="single" w:sz="4" w:space="0" w:color="000000"/>
              <w:bottom w:val="single" w:sz="4" w:space="0" w:color="000000"/>
              <w:right w:val="single" w:sz="4" w:space="0" w:color="000000"/>
            </w:tcBorders>
            <w:hideMark/>
          </w:tcPr>
          <w:p w:rsidR="00081644" w:rsidRPr="00EC4A5E" w:rsidRDefault="00081644" w:rsidP="00081644">
            <w:pPr>
              <w:tabs>
                <w:tab w:val="left" w:pos="288"/>
                <w:tab w:val="left" w:pos="4752"/>
              </w:tabs>
              <w:spacing w:line="240" w:lineRule="exact"/>
              <w:jc w:val="center"/>
              <w:rPr>
                <w:rFonts w:asciiTheme="minorHAnsi" w:hAnsiTheme="minorHAnsi"/>
                <w:color w:val="auto"/>
                <w:szCs w:val="24"/>
              </w:rPr>
            </w:pPr>
            <w:r w:rsidRPr="00EC4A5E">
              <w:rPr>
                <w:rFonts w:asciiTheme="minorHAnsi" w:hAnsiTheme="minorHAnsi"/>
                <w:color w:val="auto"/>
                <w:szCs w:val="24"/>
              </w:rPr>
              <w:t>20%</w:t>
            </w:r>
          </w:p>
        </w:tc>
      </w:tr>
      <w:tr w:rsidR="00081644" w:rsidRPr="00EC4A5E" w:rsidTr="00081644">
        <w:trPr>
          <w:trHeight w:val="188"/>
          <w:jc w:val="center"/>
        </w:trPr>
        <w:tc>
          <w:tcPr>
            <w:tcW w:w="4950" w:type="dxa"/>
            <w:tcBorders>
              <w:top w:val="single" w:sz="4" w:space="0" w:color="000000"/>
              <w:left w:val="single" w:sz="4" w:space="0" w:color="000000"/>
              <w:bottom w:val="single" w:sz="4" w:space="0" w:color="000000"/>
              <w:right w:val="single" w:sz="4" w:space="0" w:color="000000"/>
            </w:tcBorders>
            <w:hideMark/>
          </w:tcPr>
          <w:p w:rsidR="00081644" w:rsidRPr="00EC4A5E" w:rsidRDefault="00081644" w:rsidP="00081644">
            <w:pPr>
              <w:tabs>
                <w:tab w:val="left" w:pos="288"/>
                <w:tab w:val="left" w:pos="4752"/>
              </w:tabs>
              <w:spacing w:line="240" w:lineRule="exact"/>
              <w:jc w:val="both"/>
              <w:rPr>
                <w:rFonts w:asciiTheme="minorHAnsi" w:hAnsiTheme="minorHAnsi"/>
                <w:color w:val="auto"/>
                <w:szCs w:val="24"/>
              </w:rPr>
            </w:pPr>
            <w:r w:rsidRPr="00EC4A5E">
              <w:rPr>
                <w:rFonts w:asciiTheme="minorHAnsi" w:hAnsiTheme="minorHAnsi"/>
                <w:color w:val="auto"/>
                <w:szCs w:val="24"/>
              </w:rPr>
              <w:t>Chronic Cervical Pain</w:t>
            </w:r>
          </w:p>
        </w:tc>
        <w:tc>
          <w:tcPr>
            <w:tcW w:w="1710" w:type="dxa"/>
            <w:tcBorders>
              <w:top w:val="single" w:sz="4" w:space="0" w:color="000000"/>
              <w:left w:val="single" w:sz="4" w:space="0" w:color="000000"/>
              <w:bottom w:val="single" w:sz="4" w:space="0" w:color="000000"/>
              <w:right w:val="single" w:sz="4" w:space="0" w:color="000000"/>
            </w:tcBorders>
            <w:hideMark/>
          </w:tcPr>
          <w:p w:rsidR="00081644" w:rsidRPr="00EC4A5E" w:rsidRDefault="00081644" w:rsidP="00081644">
            <w:pPr>
              <w:tabs>
                <w:tab w:val="left" w:pos="288"/>
                <w:tab w:val="left" w:pos="4752"/>
              </w:tabs>
              <w:spacing w:line="240" w:lineRule="exact"/>
              <w:jc w:val="center"/>
              <w:rPr>
                <w:rFonts w:asciiTheme="minorHAnsi" w:hAnsiTheme="minorHAnsi"/>
                <w:color w:val="auto"/>
                <w:szCs w:val="24"/>
              </w:rPr>
            </w:pPr>
            <w:r w:rsidRPr="00EC4A5E">
              <w:rPr>
                <w:rFonts w:asciiTheme="minorHAnsi" w:hAnsiTheme="minorHAnsi"/>
                <w:color w:val="auto"/>
                <w:szCs w:val="24"/>
              </w:rPr>
              <w:t>5290</w:t>
            </w:r>
          </w:p>
        </w:tc>
        <w:tc>
          <w:tcPr>
            <w:tcW w:w="1170" w:type="dxa"/>
            <w:tcBorders>
              <w:top w:val="single" w:sz="4" w:space="0" w:color="000000"/>
              <w:left w:val="single" w:sz="4" w:space="0" w:color="000000"/>
              <w:bottom w:val="single" w:sz="4" w:space="0" w:color="000000"/>
              <w:right w:val="single" w:sz="4" w:space="0" w:color="000000"/>
            </w:tcBorders>
            <w:hideMark/>
          </w:tcPr>
          <w:p w:rsidR="00081644" w:rsidRPr="00EC4A5E" w:rsidRDefault="00081644" w:rsidP="00081644">
            <w:pPr>
              <w:tabs>
                <w:tab w:val="left" w:pos="288"/>
                <w:tab w:val="left" w:pos="4752"/>
              </w:tabs>
              <w:spacing w:line="240" w:lineRule="exact"/>
              <w:jc w:val="center"/>
              <w:rPr>
                <w:rFonts w:asciiTheme="minorHAnsi" w:hAnsiTheme="minorHAnsi"/>
                <w:color w:val="auto"/>
                <w:szCs w:val="24"/>
              </w:rPr>
            </w:pPr>
            <w:r w:rsidRPr="00EC4A5E">
              <w:rPr>
                <w:rFonts w:asciiTheme="minorHAnsi" w:hAnsiTheme="minorHAnsi"/>
                <w:color w:val="auto"/>
                <w:szCs w:val="24"/>
              </w:rPr>
              <w:t>10%</w:t>
            </w:r>
          </w:p>
        </w:tc>
        <w:tc>
          <w:tcPr>
            <w:tcW w:w="1530" w:type="dxa"/>
            <w:tcBorders>
              <w:top w:val="single" w:sz="4" w:space="0" w:color="000000"/>
              <w:left w:val="single" w:sz="4" w:space="0" w:color="000000"/>
              <w:bottom w:val="single" w:sz="4" w:space="0" w:color="000000"/>
              <w:right w:val="single" w:sz="4" w:space="0" w:color="000000"/>
            </w:tcBorders>
            <w:hideMark/>
          </w:tcPr>
          <w:p w:rsidR="00081644" w:rsidRPr="00EC4A5E" w:rsidRDefault="00081644" w:rsidP="00E500BF">
            <w:pPr>
              <w:tabs>
                <w:tab w:val="left" w:pos="288"/>
                <w:tab w:val="left" w:pos="4752"/>
              </w:tabs>
              <w:spacing w:line="240" w:lineRule="exact"/>
              <w:jc w:val="center"/>
              <w:rPr>
                <w:rFonts w:asciiTheme="minorHAnsi" w:hAnsiTheme="minorHAnsi"/>
                <w:color w:val="auto"/>
                <w:szCs w:val="24"/>
              </w:rPr>
            </w:pPr>
            <w:r w:rsidRPr="00EC4A5E">
              <w:rPr>
                <w:rFonts w:asciiTheme="minorHAnsi" w:hAnsiTheme="minorHAnsi"/>
                <w:color w:val="auto"/>
                <w:szCs w:val="24"/>
              </w:rPr>
              <w:t xml:space="preserve">Not </w:t>
            </w:r>
            <w:r w:rsidR="00E500BF" w:rsidRPr="00EC4A5E">
              <w:rPr>
                <w:rFonts w:asciiTheme="minorHAnsi" w:hAnsiTheme="minorHAnsi"/>
                <w:color w:val="auto"/>
                <w:szCs w:val="24"/>
              </w:rPr>
              <w:t>Unfitting</w:t>
            </w:r>
          </w:p>
        </w:tc>
      </w:tr>
      <w:tr w:rsidR="00081644" w:rsidRPr="00EC4A5E" w:rsidTr="00081644">
        <w:trPr>
          <w:gridBefore w:val="1"/>
          <w:wBefore w:w="4950" w:type="dxa"/>
          <w:trHeight w:val="188"/>
          <w:jc w:val="center"/>
        </w:trPr>
        <w:tc>
          <w:tcPr>
            <w:tcW w:w="1710" w:type="dxa"/>
            <w:tcBorders>
              <w:top w:val="single" w:sz="4" w:space="0" w:color="000000"/>
              <w:left w:val="single" w:sz="4" w:space="0" w:color="auto"/>
              <w:bottom w:val="single" w:sz="4" w:space="0" w:color="000000"/>
              <w:right w:val="single" w:sz="4" w:space="0" w:color="000000"/>
            </w:tcBorders>
            <w:shd w:val="pct15" w:color="auto" w:fill="auto"/>
            <w:hideMark/>
          </w:tcPr>
          <w:p w:rsidR="00081644" w:rsidRPr="00EC4A5E" w:rsidRDefault="00081644" w:rsidP="00081644">
            <w:pPr>
              <w:tabs>
                <w:tab w:val="left" w:pos="288"/>
                <w:tab w:val="left" w:pos="4752"/>
              </w:tabs>
              <w:spacing w:line="240" w:lineRule="exact"/>
              <w:jc w:val="both"/>
              <w:rPr>
                <w:rFonts w:asciiTheme="minorHAnsi" w:hAnsiTheme="minorHAnsi"/>
                <w:b/>
                <w:color w:val="auto"/>
                <w:szCs w:val="24"/>
              </w:rPr>
            </w:pPr>
            <w:r w:rsidRPr="00EC4A5E">
              <w:rPr>
                <w:rFonts w:asciiTheme="minorHAnsi" w:hAnsiTheme="minorHAnsi"/>
                <w:b/>
                <w:color w:val="auto"/>
                <w:szCs w:val="24"/>
              </w:rPr>
              <w:t>COMBINED</w:t>
            </w:r>
          </w:p>
        </w:tc>
        <w:tc>
          <w:tcPr>
            <w:tcW w:w="1170" w:type="dxa"/>
            <w:tcBorders>
              <w:top w:val="single" w:sz="4" w:space="0" w:color="000000"/>
              <w:left w:val="single" w:sz="4" w:space="0" w:color="auto"/>
              <w:bottom w:val="single" w:sz="4" w:space="0" w:color="000000"/>
              <w:right w:val="single" w:sz="4" w:space="0" w:color="000000"/>
            </w:tcBorders>
            <w:shd w:val="pct15" w:color="auto" w:fill="auto"/>
            <w:hideMark/>
          </w:tcPr>
          <w:p w:rsidR="00081644" w:rsidRPr="00EC4A5E" w:rsidRDefault="00F33C86" w:rsidP="00081644">
            <w:pPr>
              <w:tabs>
                <w:tab w:val="left" w:pos="288"/>
                <w:tab w:val="left" w:pos="4752"/>
              </w:tabs>
              <w:spacing w:line="240" w:lineRule="exact"/>
              <w:jc w:val="center"/>
              <w:rPr>
                <w:rFonts w:asciiTheme="minorHAnsi" w:hAnsiTheme="minorHAnsi"/>
                <w:b/>
                <w:color w:val="auto"/>
                <w:szCs w:val="24"/>
              </w:rPr>
            </w:pPr>
            <w:r w:rsidRPr="00EC4A5E">
              <w:rPr>
                <w:rFonts w:asciiTheme="minorHAnsi" w:hAnsiTheme="minorHAnsi"/>
                <w:b/>
                <w:color w:val="auto"/>
                <w:szCs w:val="24"/>
              </w:rPr>
              <w:t>5</w:t>
            </w:r>
            <w:r w:rsidR="00081644" w:rsidRPr="00EC4A5E">
              <w:rPr>
                <w:rFonts w:asciiTheme="minorHAnsi" w:hAnsiTheme="minorHAnsi"/>
                <w:b/>
                <w:color w:val="auto"/>
                <w:szCs w:val="24"/>
              </w:rPr>
              <w:t>0%</w:t>
            </w:r>
            <w:r w:rsidR="001142FB" w:rsidRPr="00EC4A5E">
              <w:rPr>
                <w:rFonts w:asciiTheme="minorHAnsi" w:hAnsiTheme="minorHAnsi"/>
                <w:b/>
                <w:color w:val="auto"/>
                <w:szCs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081644" w:rsidRPr="00EC4A5E" w:rsidRDefault="00081644" w:rsidP="00081644">
            <w:pPr>
              <w:tabs>
                <w:tab w:val="left" w:pos="288"/>
                <w:tab w:val="left" w:pos="4752"/>
              </w:tabs>
              <w:spacing w:line="240" w:lineRule="exact"/>
              <w:jc w:val="center"/>
              <w:rPr>
                <w:rFonts w:asciiTheme="minorHAnsi" w:hAnsiTheme="minorHAnsi"/>
                <w:b/>
                <w:color w:val="auto"/>
                <w:szCs w:val="24"/>
              </w:rPr>
            </w:pPr>
            <w:r w:rsidRPr="00EC4A5E">
              <w:rPr>
                <w:rFonts w:asciiTheme="minorHAnsi" w:hAnsiTheme="minorHAnsi"/>
                <w:b/>
                <w:color w:val="auto"/>
                <w:szCs w:val="24"/>
              </w:rPr>
              <w:t>40%</w:t>
            </w:r>
          </w:p>
        </w:tc>
      </w:tr>
    </w:tbl>
    <w:p w:rsidR="002B3C31" w:rsidRPr="00105FBE" w:rsidRDefault="002B3C31" w:rsidP="002B3C31">
      <w:pPr>
        <w:pBdr>
          <w:bottom w:val="single" w:sz="12" w:space="1" w:color="auto"/>
        </w:pBdr>
        <w:tabs>
          <w:tab w:val="left" w:pos="288"/>
          <w:tab w:val="left" w:pos="4752"/>
        </w:tabs>
        <w:spacing w:line="240" w:lineRule="exact"/>
        <w:rPr>
          <w:rFonts w:ascii="Calibri" w:hAnsi="Calibri"/>
          <w:color w:val="auto"/>
          <w:szCs w:val="24"/>
        </w:rPr>
      </w:pPr>
    </w:p>
    <w:p w:rsidR="002B3C31" w:rsidRPr="00105FBE" w:rsidRDefault="002B3C31" w:rsidP="002B3C31">
      <w:pPr>
        <w:tabs>
          <w:tab w:val="left" w:pos="288"/>
          <w:tab w:val="left" w:pos="4752"/>
        </w:tabs>
        <w:spacing w:line="240" w:lineRule="exact"/>
        <w:rPr>
          <w:rFonts w:asciiTheme="minorHAnsi" w:hAnsiTheme="minorHAnsi"/>
          <w:color w:val="auto"/>
          <w:sz w:val="18"/>
          <w:szCs w:val="18"/>
          <w:u w:val="single"/>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54855">
        <w:rPr>
          <w:rFonts w:asciiTheme="minorHAnsi" w:hAnsiTheme="minorHAnsi"/>
          <w:color w:val="auto"/>
        </w:rPr>
        <w:t>20100108</w:t>
      </w:r>
      <w:r w:rsidR="00114F20" w:rsidRPr="0085089F">
        <w:rPr>
          <w:rFonts w:asciiTheme="minorHAnsi" w:hAnsiTheme="minorHAnsi"/>
          <w:color w:val="auto"/>
        </w:rPr>
        <w:t xml:space="preserve">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EF5B2E" w:rsidRDefault="00EF5B2E" w:rsidP="00EF5B2E">
      <w:pPr>
        <w:pStyle w:val="Default"/>
        <w:framePr w:w="13000" w:wrap="auto" w:vAnchor="page" w:hAnchor="page" w:x="1" w:y="1"/>
      </w:pPr>
      <w:r>
        <w:rPr>
          <w:noProof/>
        </w:rPr>
        <w:lastRenderedPageBreak/>
        <w:drawing>
          <wp:inline distT="0" distB="0" distL="0" distR="0">
            <wp:extent cx="7744460" cy="1003046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44460" cy="10030460"/>
                    </a:xfrm>
                    <a:prstGeom prst="rect">
                      <a:avLst/>
                    </a:prstGeom>
                    <a:noFill/>
                    <a:ln w="9525">
                      <a:noFill/>
                      <a:miter lim="800000"/>
                      <a:headEnd/>
                      <a:tailEnd/>
                    </a:ln>
                  </pic:spPr>
                </pic:pic>
              </a:graphicData>
            </a:graphic>
          </wp:inline>
        </w:drawing>
      </w:r>
    </w:p>
    <w:p w:rsidR="00EF5B2E" w:rsidRDefault="00EF5B2E" w:rsidP="00EF5B2E">
      <w:pPr>
        <w:pStyle w:val="Default"/>
        <w:framePr w:w="13000" w:wrap="auto" w:vAnchor="page" w:hAnchor="page" w:x="1" w:y="1"/>
      </w:pPr>
    </w:p>
    <w:p w:rsidR="00EF5B2E" w:rsidRDefault="00EF5B2E" w:rsidP="00EF5B2E">
      <w:pPr>
        <w:pStyle w:val="Default"/>
        <w:pageBreakBefore/>
        <w:framePr w:w="15288" w:wrap="auto" w:vAnchor="page" w:hAnchor="page" w:x="1" w:y="1"/>
      </w:pPr>
    </w:p>
    <w:p w:rsidR="00EF5B2E" w:rsidRDefault="00EF5B2E" w:rsidP="00EF5B2E">
      <w:pPr>
        <w:pStyle w:val="Default"/>
        <w:pageBreakBefore/>
        <w:framePr w:w="13000" w:wrap="auto" w:vAnchor="page" w:hAnchor="page" w:x="1" w:y="1"/>
      </w:pPr>
    </w:p>
    <w:p w:rsidR="00EF5B2E" w:rsidRDefault="00AD6A75" w:rsidP="00EF5B2E">
      <w:pPr>
        <w:pStyle w:val="Default"/>
        <w:pageBreakBefore/>
        <w:framePr w:w="15323" w:wrap="auto" w:vAnchor="page" w:hAnchor="page" w:x="1" w:y="1"/>
      </w:pPr>
      <w:r>
        <w:t xml:space="preserve"> </w:t>
      </w:r>
    </w:p>
    <w:p w:rsidR="00EF5B2E" w:rsidRDefault="00EF5B2E">
      <w:pPr>
        <w:rPr>
          <w:rFonts w:asciiTheme="minorHAnsi" w:hAnsiTheme="minorHAnsi"/>
          <w:color w:val="auto"/>
        </w:rPr>
      </w:pPr>
      <w:r>
        <w:rPr>
          <w:noProof/>
        </w:rPr>
        <w:drawing>
          <wp:inline distT="0" distB="0" distL="0" distR="0">
            <wp:extent cx="5943600" cy="7698024"/>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7698024"/>
                    </a:xfrm>
                    <a:prstGeom prst="rect">
                      <a:avLst/>
                    </a:prstGeom>
                    <a:noFill/>
                    <a:ln w="9525">
                      <a:noFill/>
                      <a:miter lim="800000"/>
                      <a:headEnd/>
                      <a:tailEnd/>
                    </a:ln>
                  </pic:spPr>
                </pic:pic>
              </a:graphicData>
            </a:graphic>
          </wp:inline>
        </w:drawing>
      </w:r>
      <w:r>
        <w:rPr>
          <w:rFonts w:asciiTheme="minorHAnsi" w:hAnsiTheme="minorHAnsi"/>
          <w:color w:val="auto"/>
        </w:rPr>
        <w:br w:type="page"/>
      </w:r>
    </w:p>
    <w:p w:rsidR="00EF5B2E" w:rsidRDefault="00EF5B2E">
      <w:pPr>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B522CD" w:rsidRPr="0085089F" w:rsidRDefault="00B522CD" w:rsidP="007518E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522CD" w:rsidRPr="0085089F"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86A" w:rsidRDefault="006B786A">
      <w:r>
        <w:separator/>
      </w:r>
    </w:p>
  </w:endnote>
  <w:endnote w:type="continuationSeparator" w:id="0">
    <w:p w:rsidR="006B786A" w:rsidRDefault="006B786A">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7E" w:rsidRDefault="005765B8">
    <w:pPr>
      <w:pStyle w:val="Footer"/>
      <w:framePr w:wrap="around" w:vAnchor="text" w:hAnchor="margin" w:xAlign="center" w:y="1"/>
      <w:rPr>
        <w:rStyle w:val="PageNumber"/>
      </w:rPr>
    </w:pPr>
    <w:r>
      <w:rPr>
        <w:rStyle w:val="PageNumber"/>
      </w:rPr>
      <w:fldChar w:fldCharType="begin"/>
    </w:r>
    <w:r w:rsidR="0003007E">
      <w:rPr>
        <w:rStyle w:val="PageNumber"/>
      </w:rPr>
      <w:instrText xml:space="preserve">PAGE  </w:instrText>
    </w:r>
    <w:r>
      <w:rPr>
        <w:rStyle w:val="PageNumber"/>
      </w:rPr>
      <w:fldChar w:fldCharType="separate"/>
    </w:r>
    <w:r w:rsidR="0003007E">
      <w:rPr>
        <w:rStyle w:val="PageNumber"/>
        <w:noProof/>
      </w:rPr>
      <w:t>2</w:t>
    </w:r>
    <w:r>
      <w:rPr>
        <w:rStyle w:val="PageNumber"/>
      </w:rPr>
      <w:fldChar w:fldCharType="end"/>
    </w:r>
  </w:p>
  <w:p w:rsidR="0003007E" w:rsidRDefault="0003007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7E" w:rsidRPr="00AC713F" w:rsidRDefault="005765B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3007E"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AD6A75">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03007E" w:rsidRPr="009F2F05" w:rsidRDefault="0003007E" w:rsidP="002B0749">
    <w:pPr>
      <w:pStyle w:val="Footer"/>
      <w:jc w:val="right"/>
      <w:rPr>
        <w:rFonts w:asciiTheme="minorHAnsi" w:hAnsiTheme="minorHAnsi"/>
        <w:color w:val="auto"/>
      </w:rPr>
    </w:pPr>
    <w:r>
      <w:tab/>
    </w:r>
    <w:r w:rsidRPr="009F2F05">
      <w:rPr>
        <w:color w:val="auto"/>
      </w:rPr>
      <w:tab/>
    </w:r>
    <w:r w:rsidRPr="009F2F05">
      <w:rPr>
        <w:rFonts w:asciiTheme="minorHAnsi" w:hAnsiTheme="minorHAnsi"/>
        <w:caps/>
        <w:color w:val="auto"/>
      </w:rPr>
      <w:t>PD1000037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86A" w:rsidRDefault="006B786A">
      <w:r>
        <w:separator/>
      </w:r>
    </w:p>
  </w:footnote>
  <w:footnote w:type="continuationSeparator" w:id="0">
    <w:p w:rsidR="006B786A" w:rsidRDefault="006B78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4945"/>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007E"/>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5DD0"/>
    <w:rsid w:val="000577C9"/>
    <w:rsid w:val="0006431E"/>
    <w:rsid w:val="00070C7C"/>
    <w:rsid w:val="00072433"/>
    <w:rsid w:val="00075702"/>
    <w:rsid w:val="000775C2"/>
    <w:rsid w:val="000806AD"/>
    <w:rsid w:val="00081644"/>
    <w:rsid w:val="00082482"/>
    <w:rsid w:val="0008708B"/>
    <w:rsid w:val="00092619"/>
    <w:rsid w:val="00092C66"/>
    <w:rsid w:val="00094E4F"/>
    <w:rsid w:val="000A2BCE"/>
    <w:rsid w:val="000A41E3"/>
    <w:rsid w:val="000A4BBA"/>
    <w:rsid w:val="000A5071"/>
    <w:rsid w:val="000B1B68"/>
    <w:rsid w:val="000B4C99"/>
    <w:rsid w:val="000B58DF"/>
    <w:rsid w:val="000C06F6"/>
    <w:rsid w:val="000C1C9D"/>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179D"/>
    <w:rsid w:val="001023DB"/>
    <w:rsid w:val="00103CCF"/>
    <w:rsid w:val="0010417F"/>
    <w:rsid w:val="001042D2"/>
    <w:rsid w:val="00105218"/>
    <w:rsid w:val="0010530E"/>
    <w:rsid w:val="00105C07"/>
    <w:rsid w:val="00105FBE"/>
    <w:rsid w:val="00107EC5"/>
    <w:rsid w:val="001103CD"/>
    <w:rsid w:val="00112140"/>
    <w:rsid w:val="001142FB"/>
    <w:rsid w:val="00114F20"/>
    <w:rsid w:val="001211AF"/>
    <w:rsid w:val="001219DF"/>
    <w:rsid w:val="001231DC"/>
    <w:rsid w:val="00126629"/>
    <w:rsid w:val="001272AE"/>
    <w:rsid w:val="001315DD"/>
    <w:rsid w:val="00135385"/>
    <w:rsid w:val="001364D1"/>
    <w:rsid w:val="00142EBA"/>
    <w:rsid w:val="00143B79"/>
    <w:rsid w:val="00144482"/>
    <w:rsid w:val="00150B8A"/>
    <w:rsid w:val="00150DCB"/>
    <w:rsid w:val="00151912"/>
    <w:rsid w:val="00153740"/>
    <w:rsid w:val="001541C5"/>
    <w:rsid w:val="00154855"/>
    <w:rsid w:val="0015623F"/>
    <w:rsid w:val="00156585"/>
    <w:rsid w:val="00156BA9"/>
    <w:rsid w:val="00161761"/>
    <w:rsid w:val="001650CE"/>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4EC2"/>
    <w:rsid w:val="001B5B59"/>
    <w:rsid w:val="001B60E0"/>
    <w:rsid w:val="001B7C8C"/>
    <w:rsid w:val="001C181A"/>
    <w:rsid w:val="001C1877"/>
    <w:rsid w:val="001C2053"/>
    <w:rsid w:val="001C252F"/>
    <w:rsid w:val="001C28D1"/>
    <w:rsid w:val="001C5CFC"/>
    <w:rsid w:val="001C7418"/>
    <w:rsid w:val="001D0051"/>
    <w:rsid w:val="001D2224"/>
    <w:rsid w:val="001D4F88"/>
    <w:rsid w:val="001D68CF"/>
    <w:rsid w:val="001D6A8C"/>
    <w:rsid w:val="001D7A56"/>
    <w:rsid w:val="001E15C0"/>
    <w:rsid w:val="001E18E0"/>
    <w:rsid w:val="001E18E2"/>
    <w:rsid w:val="001E2A30"/>
    <w:rsid w:val="00200AA0"/>
    <w:rsid w:val="00202325"/>
    <w:rsid w:val="00202736"/>
    <w:rsid w:val="00203652"/>
    <w:rsid w:val="002060B6"/>
    <w:rsid w:val="00215ED6"/>
    <w:rsid w:val="00216049"/>
    <w:rsid w:val="00217606"/>
    <w:rsid w:val="00217C09"/>
    <w:rsid w:val="00220F5C"/>
    <w:rsid w:val="00222A51"/>
    <w:rsid w:val="00225196"/>
    <w:rsid w:val="00225CB4"/>
    <w:rsid w:val="0023049F"/>
    <w:rsid w:val="002316F6"/>
    <w:rsid w:val="00232C9B"/>
    <w:rsid w:val="00232F09"/>
    <w:rsid w:val="002333DA"/>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51C0"/>
    <w:rsid w:val="00276C86"/>
    <w:rsid w:val="002810A4"/>
    <w:rsid w:val="00284A26"/>
    <w:rsid w:val="00287006"/>
    <w:rsid w:val="002928B2"/>
    <w:rsid w:val="00294437"/>
    <w:rsid w:val="002A29C9"/>
    <w:rsid w:val="002A3237"/>
    <w:rsid w:val="002A58B7"/>
    <w:rsid w:val="002A685E"/>
    <w:rsid w:val="002A72C7"/>
    <w:rsid w:val="002B03B2"/>
    <w:rsid w:val="002B0749"/>
    <w:rsid w:val="002B1815"/>
    <w:rsid w:val="002B2645"/>
    <w:rsid w:val="002B3C31"/>
    <w:rsid w:val="002B6FA0"/>
    <w:rsid w:val="002B7F38"/>
    <w:rsid w:val="002C069A"/>
    <w:rsid w:val="002C5F10"/>
    <w:rsid w:val="002C6E5B"/>
    <w:rsid w:val="002D18B4"/>
    <w:rsid w:val="002D231A"/>
    <w:rsid w:val="002D6230"/>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2C2E"/>
    <w:rsid w:val="0030678B"/>
    <w:rsid w:val="00310CD7"/>
    <w:rsid w:val="0032136A"/>
    <w:rsid w:val="003224D4"/>
    <w:rsid w:val="00323E70"/>
    <w:rsid w:val="00325BA2"/>
    <w:rsid w:val="00326F7F"/>
    <w:rsid w:val="003320E8"/>
    <w:rsid w:val="0033555E"/>
    <w:rsid w:val="00336805"/>
    <w:rsid w:val="00337351"/>
    <w:rsid w:val="00341A54"/>
    <w:rsid w:val="003454DF"/>
    <w:rsid w:val="003461F2"/>
    <w:rsid w:val="0034669F"/>
    <w:rsid w:val="00351498"/>
    <w:rsid w:val="00352B22"/>
    <w:rsid w:val="00354547"/>
    <w:rsid w:val="003567DE"/>
    <w:rsid w:val="003574F3"/>
    <w:rsid w:val="0036319E"/>
    <w:rsid w:val="003632A4"/>
    <w:rsid w:val="00363362"/>
    <w:rsid w:val="00365C48"/>
    <w:rsid w:val="0036692C"/>
    <w:rsid w:val="00367D4F"/>
    <w:rsid w:val="00370743"/>
    <w:rsid w:val="00370EF5"/>
    <w:rsid w:val="0037135B"/>
    <w:rsid w:val="00372251"/>
    <w:rsid w:val="0037270D"/>
    <w:rsid w:val="00372F8B"/>
    <w:rsid w:val="0037520D"/>
    <w:rsid w:val="00375809"/>
    <w:rsid w:val="0037628C"/>
    <w:rsid w:val="00376B81"/>
    <w:rsid w:val="00377BD2"/>
    <w:rsid w:val="003821E1"/>
    <w:rsid w:val="00384866"/>
    <w:rsid w:val="003857D4"/>
    <w:rsid w:val="00385D6F"/>
    <w:rsid w:val="00387095"/>
    <w:rsid w:val="00390092"/>
    <w:rsid w:val="00393651"/>
    <w:rsid w:val="00395E12"/>
    <w:rsid w:val="00396CCD"/>
    <w:rsid w:val="00397DB7"/>
    <w:rsid w:val="003A27B2"/>
    <w:rsid w:val="003A40B4"/>
    <w:rsid w:val="003A41BA"/>
    <w:rsid w:val="003A6A99"/>
    <w:rsid w:val="003A7FF8"/>
    <w:rsid w:val="003B17AC"/>
    <w:rsid w:val="003B227A"/>
    <w:rsid w:val="003B5854"/>
    <w:rsid w:val="003B6764"/>
    <w:rsid w:val="003B7BF2"/>
    <w:rsid w:val="003C6068"/>
    <w:rsid w:val="003D2BA3"/>
    <w:rsid w:val="003D3C22"/>
    <w:rsid w:val="003D7089"/>
    <w:rsid w:val="003D7DDB"/>
    <w:rsid w:val="003E02C7"/>
    <w:rsid w:val="003E0543"/>
    <w:rsid w:val="003E0B5A"/>
    <w:rsid w:val="003E31E3"/>
    <w:rsid w:val="003E46D1"/>
    <w:rsid w:val="003F4FED"/>
    <w:rsid w:val="003F58B0"/>
    <w:rsid w:val="004007E9"/>
    <w:rsid w:val="00401825"/>
    <w:rsid w:val="00401BBC"/>
    <w:rsid w:val="00403BFB"/>
    <w:rsid w:val="00404B45"/>
    <w:rsid w:val="00405026"/>
    <w:rsid w:val="00406CC5"/>
    <w:rsid w:val="004074A4"/>
    <w:rsid w:val="004101B2"/>
    <w:rsid w:val="004123D7"/>
    <w:rsid w:val="00412658"/>
    <w:rsid w:val="00412A06"/>
    <w:rsid w:val="004172DB"/>
    <w:rsid w:val="00417F6F"/>
    <w:rsid w:val="00421485"/>
    <w:rsid w:val="00422B75"/>
    <w:rsid w:val="004244B8"/>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82039"/>
    <w:rsid w:val="0049255F"/>
    <w:rsid w:val="0049445D"/>
    <w:rsid w:val="00495350"/>
    <w:rsid w:val="00497156"/>
    <w:rsid w:val="004A24D2"/>
    <w:rsid w:val="004A3214"/>
    <w:rsid w:val="004A4136"/>
    <w:rsid w:val="004A417B"/>
    <w:rsid w:val="004B03F3"/>
    <w:rsid w:val="004B2536"/>
    <w:rsid w:val="004B6535"/>
    <w:rsid w:val="004B6AF3"/>
    <w:rsid w:val="004B715E"/>
    <w:rsid w:val="004B7169"/>
    <w:rsid w:val="004B79C9"/>
    <w:rsid w:val="004C5E33"/>
    <w:rsid w:val="004C6CDA"/>
    <w:rsid w:val="004D10D4"/>
    <w:rsid w:val="004D16BD"/>
    <w:rsid w:val="004D2AAB"/>
    <w:rsid w:val="004D6F2B"/>
    <w:rsid w:val="004E0248"/>
    <w:rsid w:val="004E21A3"/>
    <w:rsid w:val="004E32EA"/>
    <w:rsid w:val="004E51C1"/>
    <w:rsid w:val="004E6866"/>
    <w:rsid w:val="004F3222"/>
    <w:rsid w:val="004F3BFA"/>
    <w:rsid w:val="005000AB"/>
    <w:rsid w:val="005025EE"/>
    <w:rsid w:val="00510588"/>
    <w:rsid w:val="0051146C"/>
    <w:rsid w:val="0051245B"/>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026C"/>
    <w:rsid w:val="0055288D"/>
    <w:rsid w:val="00555259"/>
    <w:rsid w:val="00560D57"/>
    <w:rsid w:val="00562A94"/>
    <w:rsid w:val="005710A9"/>
    <w:rsid w:val="00571D1B"/>
    <w:rsid w:val="005765B8"/>
    <w:rsid w:val="00593043"/>
    <w:rsid w:val="00595BF0"/>
    <w:rsid w:val="0059640B"/>
    <w:rsid w:val="005A1846"/>
    <w:rsid w:val="005A258C"/>
    <w:rsid w:val="005A3560"/>
    <w:rsid w:val="005A3E09"/>
    <w:rsid w:val="005A6C99"/>
    <w:rsid w:val="005A7D5D"/>
    <w:rsid w:val="005B011A"/>
    <w:rsid w:val="005B1D8F"/>
    <w:rsid w:val="005B1E94"/>
    <w:rsid w:val="005B5B3D"/>
    <w:rsid w:val="005C16F3"/>
    <w:rsid w:val="005C3758"/>
    <w:rsid w:val="005E3064"/>
    <w:rsid w:val="005E488D"/>
    <w:rsid w:val="005E72B2"/>
    <w:rsid w:val="005F1115"/>
    <w:rsid w:val="005F1AB6"/>
    <w:rsid w:val="005F27F2"/>
    <w:rsid w:val="005F3AFE"/>
    <w:rsid w:val="005F424D"/>
    <w:rsid w:val="005F6B6D"/>
    <w:rsid w:val="00605AAB"/>
    <w:rsid w:val="00606BEB"/>
    <w:rsid w:val="0061014A"/>
    <w:rsid w:val="00613E26"/>
    <w:rsid w:val="00615641"/>
    <w:rsid w:val="00616959"/>
    <w:rsid w:val="006211D0"/>
    <w:rsid w:val="00623C66"/>
    <w:rsid w:val="00624D0C"/>
    <w:rsid w:val="006307BA"/>
    <w:rsid w:val="006315BA"/>
    <w:rsid w:val="00634C4A"/>
    <w:rsid w:val="0063532E"/>
    <w:rsid w:val="006364CB"/>
    <w:rsid w:val="00637BDC"/>
    <w:rsid w:val="006418C9"/>
    <w:rsid w:val="00642BD6"/>
    <w:rsid w:val="00645046"/>
    <w:rsid w:val="0064527A"/>
    <w:rsid w:val="00645EA2"/>
    <w:rsid w:val="00655677"/>
    <w:rsid w:val="006573F2"/>
    <w:rsid w:val="00662F08"/>
    <w:rsid w:val="00663589"/>
    <w:rsid w:val="006653E0"/>
    <w:rsid w:val="006708E3"/>
    <w:rsid w:val="00670DDC"/>
    <w:rsid w:val="00671EB4"/>
    <w:rsid w:val="0067443B"/>
    <w:rsid w:val="00684E2B"/>
    <w:rsid w:val="006900FF"/>
    <w:rsid w:val="00690FDA"/>
    <w:rsid w:val="00691E61"/>
    <w:rsid w:val="00693A3C"/>
    <w:rsid w:val="00693C5E"/>
    <w:rsid w:val="00694EEA"/>
    <w:rsid w:val="006955B4"/>
    <w:rsid w:val="00696476"/>
    <w:rsid w:val="006A10FA"/>
    <w:rsid w:val="006A40E6"/>
    <w:rsid w:val="006A5C07"/>
    <w:rsid w:val="006A75FA"/>
    <w:rsid w:val="006B07D5"/>
    <w:rsid w:val="006B1309"/>
    <w:rsid w:val="006B3923"/>
    <w:rsid w:val="006B3F3E"/>
    <w:rsid w:val="006B56FF"/>
    <w:rsid w:val="006B5923"/>
    <w:rsid w:val="006B67D9"/>
    <w:rsid w:val="006B6C14"/>
    <w:rsid w:val="006B715E"/>
    <w:rsid w:val="006B786A"/>
    <w:rsid w:val="006C1D6E"/>
    <w:rsid w:val="006C3A68"/>
    <w:rsid w:val="006C6AB1"/>
    <w:rsid w:val="006D2D39"/>
    <w:rsid w:val="006D41F8"/>
    <w:rsid w:val="006D4E0E"/>
    <w:rsid w:val="006D5CE2"/>
    <w:rsid w:val="006E06D1"/>
    <w:rsid w:val="006E1313"/>
    <w:rsid w:val="006E2DC8"/>
    <w:rsid w:val="006E7356"/>
    <w:rsid w:val="006E77C8"/>
    <w:rsid w:val="006F149D"/>
    <w:rsid w:val="006F1A46"/>
    <w:rsid w:val="006F1B9D"/>
    <w:rsid w:val="006F3846"/>
    <w:rsid w:val="006F59F5"/>
    <w:rsid w:val="006F5A4E"/>
    <w:rsid w:val="00703B6C"/>
    <w:rsid w:val="00705C40"/>
    <w:rsid w:val="00706482"/>
    <w:rsid w:val="00706BEF"/>
    <w:rsid w:val="007116BC"/>
    <w:rsid w:val="00711EC4"/>
    <w:rsid w:val="007165CE"/>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518E9"/>
    <w:rsid w:val="0076100C"/>
    <w:rsid w:val="007651ED"/>
    <w:rsid w:val="00766C87"/>
    <w:rsid w:val="00770237"/>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568A"/>
    <w:rsid w:val="007D574E"/>
    <w:rsid w:val="007E2046"/>
    <w:rsid w:val="007E3883"/>
    <w:rsid w:val="007E40DE"/>
    <w:rsid w:val="007E4FBB"/>
    <w:rsid w:val="007E55BF"/>
    <w:rsid w:val="007E71B1"/>
    <w:rsid w:val="007E7B4E"/>
    <w:rsid w:val="007F0CE2"/>
    <w:rsid w:val="007F0EFF"/>
    <w:rsid w:val="007F1375"/>
    <w:rsid w:val="007F61AE"/>
    <w:rsid w:val="00803850"/>
    <w:rsid w:val="00804385"/>
    <w:rsid w:val="00805797"/>
    <w:rsid w:val="00805AFD"/>
    <w:rsid w:val="0080757F"/>
    <w:rsid w:val="008078D8"/>
    <w:rsid w:val="00811D5B"/>
    <w:rsid w:val="00817713"/>
    <w:rsid w:val="00817F77"/>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67895"/>
    <w:rsid w:val="00871262"/>
    <w:rsid w:val="00871D4E"/>
    <w:rsid w:val="00871E7B"/>
    <w:rsid w:val="00875B51"/>
    <w:rsid w:val="00875F2D"/>
    <w:rsid w:val="008764DC"/>
    <w:rsid w:val="00882CC2"/>
    <w:rsid w:val="00883930"/>
    <w:rsid w:val="00896535"/>
    <w:rsid w:val="00896683"/>
    <w:rsid w:val="00897589"/>
    <w:rsid w:val="008A63A9"/>
    <w:rsid w:val="008A7F7E"/>
    <w:rsid w:val="008B04DB"/>
    <w:rsid w:val="008B27FD"/>
    <w:rsid w:val="008B3AF2"/>
    <w:rsid w:val="008B515D"/>
    <w:rsid w:val="008B5D31"/>
    <w:rsid w:val="008B6705"/>
    <w:rsid w:val="008C22F3"/>
    <w:rsid w:val="008D22F9"/>
    <w:rsid w:val="008D478D"/>
    <w:rsid w:val="008D795D"/>
    <w:rsid w:val="008D7B07"/>
    <w:rsid w:val="008E2D99"/>
    <w:rsid w:val="008E4A60"/>
    <w:rsid w:val="008E744D"/>
    <w:rsid w:val="008F0625"/>
    <w:rsid w:val="008F1E08"/>
    <w:rsid w:val="00900D8F"/>
    <w:rsid w:val="009014E3"/>
    <w:rsid w:val="009026E8"/>
    <w:rsid w:val="00906EB7"/>
    <w:rsid w:val="009102BF"/>
    <w:rsid w:val="009115F2"/>
    <w:rsid w:val="00913501"/>
    <w:rsid w:val="00914ADB"/>
    <w:rsid w:val="009156EF"/>
    <w:rsid w:val="00923B25"/>
    <w:rsid w:val="0092402E"/>
    <w:rsid w:val="009259BA"/>
    <w:rsid w:val="00926FCB"/>
    <w:rsid w:val="00927047"/>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3B8"/>
    <w:rsid w:val="00975C72"/>
    <w:rsid w:val="00976869"/>
    <w:rsid w:val="00977740"/>
    <w:rsid w:val="00977CB4"/>
    <w:rsid w:val="009809B8"/>
    <w:rsid w:val="0098222D"/>
    <w:rsid w:val="00985099"/>
    <w:rsid w:val="0099421F"/>
    <w:rsid w:val="009A0DE3"/>
    <w:rsid w:val="009A1643"/>
    <w:rsid w:val="009A215A"/>
    <w:rsid w:val="009A4F1B"/>
    <w:rsid w:val="009A508D"/>
    <w:rsid w:val="009A66C5"/>
    <w:rsid w:val="009A79BA"/>
    <w:rsid w:val="009B095E"/>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2F05"/>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25BD2"/>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77B8B"/>
    <w:rsid w:val="00A82C52"/>
    <w:rsid w:val="00A86CB6"/>
    <w:rsid w:val="00A90D55"/>
    <w:rsid w:val="00A944D8"/>
    <w:rsid w:val="00A959E7"/>
    <w:rsid w:val="00A95BBA"/>
    <w:rsid w:val="00A961EE"/>
    <w:rsid w:val="00AA0368"/>
    <w:rsid w:val="00AA04B3"/>
    <w:rsid w:val="00AA1253"/>
    <w:rsid w:val="00AA28EF"/>
    <w:rsid w:val="00AA493E"/>
    <w:rsid w:val="00AA73AF"/>
    <w:rsid w:val="00AB1754"/>
    <w:rsid w:val="00AB27DD"/>
    <w:rsid w:val="00AC439D"/>
    <w:rsid w:val="00AC713F"/>
    <w:rsid w:val="00AD067E"/>
    <w:rsid w:val="00AD2801"/>
    <w:rsid w:val="00AD6870"/>
    <w:rsid w:val="00AD68C5"/>
    <w:rsid w:val="00AD6A75"/>
    <w:rsid w:val="00AE1273"/>
    <w:rsid w:val="00AE2D29"/>
    <w:rsid w:val="00AE4624"/>
    <w:rsid w:val="00AE5E14"/>
    <w:rsid w:val="00AE6115"/>
    <w:rsid w:val="00AE625B"/>
    <w:rsid w:val="00AE6669"/>
    <w:rsid w:val="00AF1668"/>
    <w:rsid w:val="00AF4FA5"/>
    <w:rsid w:val="00B00D28"/>
    <w:rsid w:val="00B07955"/>
    <w:rsid w:val="00B14FAA"/>
    <w:rsid w:val="00B15D30"/>
    <w:rsid w:val="00B20624"/>
    <w:rsid w:val="00B21284"/>
    <w:rsid w:val="00B23436"/>
    <w:rsid w:val="00B26354"/>
    <w:rsid w:val="00B26CA0"/>
    <w:rsid w:val="00B27368"/>
    <w:rsid w:val="00B308AD"/>
    <w:rsid w:val="00B32179"/>
    <w:rsid w:val="00B331A9"/>
    <w:rsid w:val="00B36569"/>
    <w:rsid w:val="00B40A05"/>
    <w:rsid w:val="00B40A3E"/>
    <w:rsid w:val="00B449EA"/>
    <w:rsid w:val="00B50227"/>
    <w:rsid w:val="00B50510"/>
    <w:rsid w:val="00B522CD"/>
    <w:rsid w:val="00B55143"/>
    <w:rsid w:val="00B55917"/>
    <w:rsid w:val="00B57CF6"/>
    <w:rsid w:val="00B633D0"/>
    <w:rsid w:val="00B643A6"/>
    <w:rsid w:val="00B64DD6"/>
    <w:rsid w:val="00B6710C"/>
    <w:rsid w:val="00B72076"/>
    <w:rsid w:val="00B72303"/>
    <w:rsid w:val="00B82277"/>
    <w:rsid w:val="00B8436E"/>
    <w:rsid w:val="00B91676"/>
    <w:rsid w:val="00B918A1"/>
    <w:rsid w:val="00B95833"/>
    <w:rsid w:val="00BA1824"/>
    <w:rsid w:val="00BA2A43"/>
    <w:rsid w:val="00BA2D98"/>
    <w:rsid w:val="00BA30D1"/>
    <w:rsid w:val="00BA4609"/>
    <w:rsid w:val="00BA5BE2"/>
    <w:rsid w:val="00BA7F46"/>
    <w:rsid w:val="00BB0A0A"/>
    <w:rsid w:val="00BB45B5"/>
    <w:rsid w:val="00BB6064"/>
    <w:rsid w:val="00BC09D1"/>
    <w:rsid w:val="00BC7F82"/>
    <w:rsid w:val="00BD2093"/>
    <w:rsid w:val="00BD40AB"/>
    <w:rsid w:val="00BD6297"/>
    <w:rsid w:val="00BD6806"/>
    <w:rsid w:val="00BD722B"/>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F26"/>
    <w:rsid w:val="00C16E9F"/>
    <w:rsid w:val="00C1713D"/>
    <w:rsid w:val="00C177F1"/>
    <w:rsid w:val="00C22F3A"/>
    <w:rsid w:val="00C25978"/>
    <w:rsid w:val="00C261C6"/>
    <w:rsid w:val="00C26E7C"/>
    <w:rsid w:val="00C30A97"/>
    <w:rsid w:val="00C31DDC"/>
    <w:rsid w:val="00C337D7"/>
    <w:rsid w:val="00C34326"/>
    <w:rsid w:val="00C36201"/>
    <w:rsid w:val="00C368E8"/>
    <w:rsid w:val="00C36C3D"/>
    <w:rsid w:val="00C372C7"/>
    <w:rsid w:val="00C42443"/>
    <w:rsid w:val="00C42CBA"/>
    <w:rsid w:val="00C45B2F"/>
    <w:rsid w:val="00C5019E"/>
    <w:rsid w:val="00C5377C"/>
    <w:rsid w:val="00C53E8A"/>
    <w:rsid w:val="00C54DF3"/>
    <w:rsid w:val="00C54F13"/>
    <w:rsid w:val="00C560A7"/>
    <w:rsid w:val="00C56FC8"/>
    <w:rsid w:val="00C60F23"/>
    <w:rsid w:val="00C62EB2"/>
    <w:rsid w:val="00C71BEC"/>
    <w:rsid w:val="00C73291"/>
    <w:rsid w:val="00C74D3A"/>
    <w:rsid w:val="00C80511"/>
    <w:rsid w:val="00C82554"/>
    <w:rsid w:val="00C826F5"/>
    <w:rsid w:val="00C83740"/>
    <w:rsid w:val="00C84AD1"/>
    <w:rsid w:val="00C85579"/>
    <w:rsid w:val="00C863E5"/>
    <w:rsid w:val="00C86400"/>
    <w:rsid w:val="00C9085A"/>
    <w:rsid w:val="00C90E4F"/>
    <w:rsid w:val="00C931FC"/>
    <w:rsid w:val="00C932C5"/>
    <w:rsid w:val="00C9650E"/>
    <w:rsid w:val="00CA068D"/>
    <w:rsid w:val="00CA1228"/>
    <w:rsid w:val="00CA282D"/>
    <w:rsid w:val="00CA4670"/>
    <w:rsid w:val="00CA6B1A"/>
    <w:rsid w:val="00CB20DC"/>
    <w:rsid w:val="00CB23DC"/>
    <w:rsid w:val="00CB2487"/>
    <w:rsid w:val="00CB28E2"/>
    <w:rsid w:val="00CB534E"/>
    <w:rsid w:val="00CB7A3E"/>
    <w:rsid w:val="00CB7FF7"/>
    <w:rsid w:val="00CC0646"/>
    <w:rsid w:val="00CC0D0E"/>
    <w:rsid w:val="00CC19B3"/>
    <w:rsid w:val="00CC2044"/>
    <w:rsid w:val="00CC2F58"/>
    <w:rsid w:val="00CC39D2"/>
    <w:rsid w:val="00CC3F1A"/>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80D"/>
    <w:rsid w:val="00D07A72"/>
    <w:rsid w:val="00D10577"/>
    <w:rsid w:val="00D1323B"/>
    <w:rsid w:val="00D14BAE"/>
    <w:rsid w:val="00D1648B"/>
    <w:rsid w:val="00D16819"/>
    <w:rsid w:val="00D20AC0"/>
    <w:rsid w:val="00D2321B"/>
    <w:rsid w:val="00D26873"/>
    <w:rsid w:val="00D312D1"/>
    <w:rsid w:val="00D31683"/>
    <w:rsid w:val="00D336C8"/>
    <w:rsid w:val="00D339E8"/>
    <w:rsid w:val="00D3457C"/>
    <w:rsid w:val="00D3662E"/>
    <w:rsid w:val="00D40B1F"/>
    <w:rsid w:val="00D40D75"/>
    <w:rsid w:val="00D41A96"/>
    <w:rsid w:val="00D449F0"/>
    <w:rsid w:val="00D45001"/>
    <w:rsid w:val="00D50C8C"/>
    <w:rsid w:val="00D52393"/>
    <w:rsid w:val="00D523E4"/>
    <w:rsid w:val="00D5279D"/>
    <w:rsid w:val="00D52A1B"/>
    <w:rsid w:val="00D53F14"/>
    <w:rsid w:val="00D54BE4"/>
    <w:rsid w:val="00D60483"/>
    <w:rsid w:val="00D61ABB"/>
    <w:rsid w:val="00D63577"/>
    <w:rsid w:val="00D67FD7"/>
    <w:rsid w:val="00D74261"/>
    <w:rsid w:val="00D7441B"/>
    <w:rsid w:val="00D75092"/>
    <w:rsid w:val="00D76AB2"/>
    <w:rsid w:val="00D80490"/>
    <w:rsid w:val="00D829AD"/>
    <w:rsid w:val="00D82EE2"/>
    <w:rsid w:val="00D8545C"/>
    <w:rsid w:val="00D87788"/>
    <w:rsid w:val="00D877C8"/>
    <w:rsid w:val="00D910C2"/>
    <w:rsid w:val="00D9168C"/>
    <w:rsid w:val="00D9189B"/>
    <w:rsid w:val="00D91DA6"/>
    <w:rsid w:val="00D93C7B"/>
    <w:rsid w:val="00D9706F"/>
    <w:rsid w:val="00D972D4"/>
    <w:rsid w:val="00DA195B"/>
    <w:rsid w:val="00DA6B55"/>
    <w:rsid w:val="00DB0015"/>
    <w:rsid w:val="00DB2AAD"/>
    <w:rsid w:val="00DB626D"/>
    <w:rsid w:val="00DB6365"/>
    <w:rsid w:val="00DC0BF1"/>
    <w:rsid w:val="00DC41C3"/>
    <w:rsid w:val="00DD3593"/>
    <w:rsid w:val="00DE0C67"/>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202D"/>
    <w:rsid w:val="00E2536E"/>
    <w:rsid w:val="00E25B8A"/>
    <w:rsid w:val="00E2632B"/>
    <w:rsid w:val="00E322F7"/>
    <w:rsid w:val="00E3369B"/>
    <w:rsid w:val="00E36D76"/>
    <w:rsid w:val="00E37DBB"/>
    <w:rsid w:val="00E405EA"/>
    <w:rsid w:val="00E408B7"/>
    <w:rsid w:val="00E41637"/>
    <w:rsid w:val="00E42789"/>
    <w:rsid w:val="00E43F59"/>
    <w:rsid w:val="00E464F0"/>
    <w:rsid w:val="00E500BF"/>
    <w:rsid w:val="00E507F1"/>
    <w:rsid w:val="00E50BEB"/>
    <w:rsid w:val="00E534D1"/>
    <w:rsid w:val="00E548FA"/>
    <w:rsid w:val="00E6092F"/>
    <w:rsid w:val="00E62049"/>
    <w:rsid w:val="00E629DA"/>
    <w:rsid w:val="00E6469F"/>
    <w:rsid w:val="00E660BF"/>
    <w:rsid w:val="00E67FAC"/>
    <w:rsid w:val="00E7200B"/>
    <w:rsid w:val="00E738CB"/>
    <w:rsid w:val="00E73C88"/>
    <w:rsid w:val="00E74437"/>
    <w:rsid w:val="00E7443D"/>
    <w:rsid w:val="00E81C3E"/>
    <w:rsid w:val="00E82B6D"/>
    <w:rsid w:val="00EA1177"/>
    <w:rsid w:val="00EA118B"/>
    <w:rsid w:val="00EA11B6"/>
    <w:rsid w:val="00EA2181"/>
    <w:rsid w:val="00EA22F5"/>
    <w:rsid w:val="00EA2DD8"/>
    <w:rsid w:val="00EA4475"/>
    <w:rsid w:val="00EA681F"/>
    <w:rsid w:val="00EB3823"/>
    <w:rsid w:val="00EB47D8"/>
    <w:rsid w:val="00EB57D3"/>
    <w:rsid w:val="00EB5EFD"/>
    <w:rsid w:val="00EB679F"/>
    <w:rsid w:val="00EB76E4"/>
    <w:rsid w:val="00EC0E65"/>
    <w:rsid w:val="00EC2938"/>
    <w:rsid w:val="00EC4A5E"/>
    <w:rsid w:val="00EC50C9"/>
    <w:rsid w:val="00EC58B4"/>
    <w:rsid w:val="00EC5BB2"/>
    <w:rsid w:val="00ED12F0"/>
    <w:rsid w:val="00ED464C"/>
    <w:rsid w:val="00ED4773"/>
    <w:rsid w:val="00ED664B"/>
    <w:rsid w:val="00ED6A61"/>
    <w:rsid w:val="00EE03BB"/>
    <w:rsid w:val="00EE0B44"/>
    <w:rsid w:val="00EE5B55"/>
    <w:rsid w:val="00EE6FE0"/>
    <w:rsid w:val="00EE704A"/>
    <w:rsid w:val="00EE7840"/>
    <w:rsid w:val="00EF4C74"/>
    <w:rsid w:val="00EF5268"/>
    <w:rsid w:val="00EF5B2E"/>
    <w:rsid w:val="00EF608E"/>
    <w:rsid w:val="00F0044B"/>
    <w:rsid w:val="00F04957"/>
    <w:rsid w:val="00F05807"/>
    <w:rsid w:val="00F07052"/>
    <w:rsid w:val="00F0706C"/>
    <w:rsid w:val="00F11EBE"/>
    <w:rsid w:val="00F12BA8"/>
    <w:rsid w:val="00F130D0"/>
    <w:rsid w:val="00F14933"/>
    <w:rsid w:val="00F14C6F"/>
    <w:rsid w:val="00F1516A"/>
    <w:rsid w:val="00F1546D"/>
    <w:rsid w:val="00F22A26"/>
    <w:rsid w:val="00F24072"/>
    <w:rsid w:val="00F26432"/>
    <w:rsid w:val="00F3197A"/>
    <w:rsid w:val="00F32139"/>
    <w:rsid w:val="00F33C86"/>
    <w:rsid w:val="00F33D56"/>
    <w:rsid w:val="00F34E08"/>
    <w:rsid w:val="00F41D91"/>
    <w:rsid w:val="00F42363"/>
    <w:rsid w:val="00F46964"/>
    <w:rsid w:val="00F46F9A"/>
    <w:rsid w:val="00F5126A"/>
    <w:rsid w:val="00F52CA1"/>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A2F7B"/>
    <w:rsid w:val="00FA3DB0"/>
    <w:rsid w:val="00FB09FE"/>
    <w:rsid w:val="00FB593A"/>
    <w:rsid w:val="00FB6410"/>
    <w:rsid w:val="00FB6E82"/>
    <w:rsid w:val="00FC0042"/>
    <w:rsid w:val="00FC2A13"/>
    <w:rsid w:val="00FC4284"/>
    <w:rsid w:val="00FC4576"/>
    <w:rsid w:val="00FC7DBC"/>
    <w:rsid w:val="00FD076A"/>
    <w:rsid w:val="00FD0AA0"/>
    <w:rsid w:val="00FD1D5A"/>
    <w:rsid w:val="00FD41DF"/>
    <w:rsid w:val="00FD5059"/>
    <w:rsid w:val="00FD554D"/>
    <w:rsid w:val="00FE6469"/>
    <w:rsid w:val="00FF0FF7"/>
    <w:rsid w:val="00FF1438"/>
    <w:rsid w:val="00FF3A38"/>
    <w:rsid w:val="00FF3C25"/>
    <w:rsid w:val="00FF61BD"/>
    <w:rsid w:val="00FF64F0"/>
    <w:rsid w:val="00FF7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4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B633D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4317165">
      <w:bodyDiv w:val="1"/>
      <w:marLeft w:val="0"/>
      <w:marRight w:val="0"/>
      <w:marTop w:val="0"/>
      <w:marBottom w:val="0"/>
      <w:divBdr>
        <w:top w:val="none" w:sz="0" w:space="0" w:color="auto"/>
        <w:left w:val="none" w:sz="0" w:space="0" w:color="auto"/>
        <w:bottom w:val="none" w:sz="0" w:space="0" w:color="auto"/>
        <w:right w:val="none" w:sz="0" w:space="0" w:color="auto"/>
      </w:divBdr>
    </w:div>
    <w:div w:id="202597525">
      <w:bodyDiv w:val="1"/>
      <w:marLeft w:val="0"/>
      <w:marRight w:val="0"/>
      <w:marTop w:val="0"/>
      <w:marBottom w:val="0"/>
      <w:divBdr>
        <w:top w:val="none" w:sz="0" w:space="0" w:color="auto"/>
        <w:left w:val="none" w:sz="0" w:space="0" w:color="auto"/>
        <w:bottom w:val="none" w:sz="0" w:space="0" w:color="auto"/>
        <w:right w:val="none" w:sz="0" w:space="0" w:color="auto"/>
      </w:divBdr>
    </w:div>
    <w:div w:id="309408682">
      <w:bodyDiv w:val="1"/>
      <w:marLeft w:val="0"/>
      <w:marRight w:val="0"/>
      <w:marTop w:val="0"/>
      <w:marBottom w:val="0"/>
      <w:divBdr>
        <w:top w:val="none" w:sz="0" w:space="0" w:color="auto"/>
        <w:left w:val="none" w:sz="0" w:space="0" w:color="auto"/>
        <w:bottom w:val="none" w:sz="0" w:space="0" w:color="auto"/>
        <w:right w:val="none" w:sz="0" w:space="0" w:color="auto"/>
      </w:divBdr>
    </w:div>
    <w:div w:id="395126444">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663167957">
      <w:bodyDiv w:val="1"/>
      <w:marLeft w:val="0"/>
      <w:marRight w:val="0"/>
      <w:marTop w:val="0"/>
      <w:marBottom w:val="0"/>
      <w:divBdr>
        <w:top w:val="none" w:sz="0" w:space="0" w:color="auto"/>
        <w:left w:val="none" w:sz="0" w:space="0" w:color="auto"/>
        <w:bottom w:val="none" w:sz="0" w:space="0" w:color="auto"/>
        <w:right w:val="none" w:sz="0" w:space="0" w:color="auto"/>
      </w:divBdr>
    </w:div>
    <w:div w:id="976952824">
      <w:bodyDiv w:val="1"/>
      <w:marLeft w:val="0"/>
      <w:marRight w:val="0"/>
      <w:marTop w:val="0"/>
      <w:marBottom w:val="0"/>
      <w:divBdr>
        <w:top w:val="none" w:sz="0" w:space="0" w:color="auto"/>
        <w:left w:val="none" w:sz="0" w:space="0" w:color="auto"/>
        <w:bottom w:val="none" w:sz="0" w:space="0" w:color="auto"/>
        <w:right w:val="none" w:sz="0" w:space="0" w:color="auto"/>
      </w:divBdr>
    </w:div>
    <w:div w:id="125948376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7816568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141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74F9-F916-4255-A036-F0F04459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2383</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2011-02-15T20:39:00Z</cp:lastPrinted>
  <dcterms:created xsi:type="dcterms:W3CDTF">2012-01-11T18:47:00Z</dcterms:created>
  <dcterms:modified xsi:type="dcterms:W3CDTF">2012-03-21T18:14:00Z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