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5F" w:rsidRDefault="00DC045F" w:rsidP="00BF70A6">
      <w:pPr>
        <w:spacing w:line="180" w:lineRule="exact"/>
        <w:contextualSpacing/>
        <w:jc w:val="center"/>
        <w:rPr>
          <w:rFonts w:asciiTheme="minorHAnsi" w:hAnsiTheme="minorHAnsi"/>
          <w:color w:val="auto"/>
        </w:rPr>
      </w:pPr>
    </w:p>
    <w:p w:rsidR="00CA4670" w:rsidRPr="00396779" w:rsidRDefault="00540BEF" w:rsidP="00BF70A6">
      <w:pPr>
        <w:spacing w:line="180" w:lineRule="exact"/>
        <w:contextualSpacing/>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2663C3"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AA4CC0">
        <w:rPr>
          <w:rFonts w:asciiTheme="minorHAnsi" w:hAnsiTheme="minorHAnsi"/>
          <w:caps/>
          <w:color w:val="auto"/>
        </w:rPr>
        <w:t xml:space="preserve"> </w:t>
      </w:r>
      <w:r w:rsidR="008A73DD">
        <w:rPr>
          <w:rFonts w:asciiTheme="minorHAnsi" w:hAnsiTheme="minorHAnsi"/>
          <w:caps/>
          <w:color w:val="auto"/>
        </w:rPr>
        <w:tab/>
      </w:r>
      <w:r w:rsidR="008A73DD">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4C24C5" w:rsidRPr="002663C3">
        <w:rPr>
          <w:rFonts w:asciiTheme="minorHAnsi" w:hAnsiTheme="minorHAnsi"/>
          <w:caps/>
          <w:color w:val="auto"/>
        </w:rPr>
        <w:t xml:space="preserve"> </w:t>
      </w:r>
      <w:r w:rsidR="002663C3" w:rsidRPr="002663C3">
        <w:rPr>
          <w:rFonts w:asciiTheme="minorHAnsi" w:hAnsiTheme="minorHAnsi"/>
          <w:caps/>
          <w:color w:val="auto"/>
        </w:rPr>
        <w:t>m</w:t>
      </w:r>
      <w:r w:rsidR="00332DE3" w:rsidRPr="002663C3">
        <w:rPr>
          <w:rFonts w:asciiTheme="minorHAnsi" w:hAnsiTheme="minorHAnsi"/>
          <w:caps/>
          <w:color w:val="auto"/>
        </w:rPr>
        <w:t xml:space="preserve">arine corps </w:t>
      </w:r>
    </w:p>
    <w:p w:rsidR="00DE3AAD" w:rsidRPr="002663C3"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2663C3">
        <w:rPr>
          <w:rFonts w:asciiTheme="minorHAnsi" w:hAnsiTheme="minorHAnsi"/>
          <w:caps/>
          <w:color w:val="auto"/>
        </w:rPr>
        <w:t>C</w:t>
      </w:r>
      <w:r w:rsidR="00DE3AAD" w:rsidRPr="002663C3">
        <w:rPr>
          <w:rFonts w:asciiTheme="minorHAnsi" w:hAnsiTheme="minorHAnsi"/>
          <w:caps/>
          <w:color w:val="auto"/>
        </w:rPr>
        <w:t>ASE NUMBER:  PD1000</w:t>
      </w:r>
      <w:r w:rsidR="002663C3">
        <w:rPr>
          <w:rFonts w:asciiTheme="minorHAnsi" w:hAnsiTheme="minorHAnsi"/>
          <w:caps/>
          <w:color w:val="auto"/>
        </w:rPr>
        <w:t>025</w:t>
      </w:r>
      <w:r w:rsidR="008A73DD">
        <w:rPr>
          <w:rFonts w:asciiTheme="minorHAnsi" w:hAnsiTheme="minorHAnsi"/>
          <w:caps/>
          <w:color w:val="auto"/>
        </w:rPr>
        <w:tab/>
      </w:r>
      <w:r w:rsidR="008A73DD">
        <w:rPr>
          <w:rFonts w:asciiTheme="minorHAnsi" w:hAnsiTheme="minorHAnsi"/>
          <w:caps/>
          <w:color w:val="auto"/>
        </w:rPr>
        <w:tab/>
      </w:r>
      <w:r w:rsidR="00DE3AAD" w:rsidRPr="002663C3">
        <w:rPr>
          <w:rFonts w:asciiTheme="minorHAnsi" w:hAnsiTheme="minorHAnsi"/>
          <w:color w:val="auto"/>
        </w:rPr>
        <w:t xml:space="preserve">SEPARATION DATE:  </w:t>
      </w:r>
      <w:r w:rsidR="002663C3" w:rsidRPr="00A87A5A">
        <w:rPr>
          <w:rFonts w:asciiTheme="minorHAnsi" w:hAnsiTheme="minorHAnsi"/>
          <w:caps/>
          <w:color w:val="auto"/>
        </w:rPr>
        <w:t>19990331</w:t>
      </w:r>
    </w:p>
    <w:p w:rsidR="004F3639" w:rsidRPr="002663C3" w:rsidRDefault="004F3639" w:rsidP="00510F9C">
      <w:pPr>
        <w:tabs>
          <w:tab w:val="left" w:pos="288"/>
          <w:tab w:val="left" w:pos="5130"/>
        </w:tabs>
        <w:spacing w:line="240" w:lineRule="exact"/>
        <w:jc w:val="both"/>
        <w:rPr>
          <w:rFonts w:asciiTheme="minorHAnsi" w:hAnsiTheme="minorHAnsi"/>
          <w:color w:val="auto"/>
        </w:rPr>
      </w:pPr>
      <w:r w:rsidRPr="002663C3">
        <w:rPr>
          <w:rFonts w:asciiTheme="minorHAnsi" w:hAnsiTheme="minorHAnsi"/>
          <w:caps/>
          <w:color w:val="auto"/>
        </w:rPr>
        <w:t>BOARD DATE:  2011</w:t>
      </w:r>
      <w:r w:rsidR="008A73DD">
        <w:rPr>
          <w:rFonts w:asciiTheme="minorHAnsi" w:hAnsiTheme="minorHAnsi"/>
          <w:caps/>
          <w:color w:val="auto"/>
        </w:rPr>
        <w:t>1011</w:t>
      </w:r>
      <w:r w:rsidR="008A73DD">
        <w:rPr>
          <w:rFonts w:asciiTheme="minorHAnsi" w:hAnsiTheme="minorHAnsi"/>
          <w:caps/>
          <w:color w:val="auto"/>
        </w:rPr>
        <w:tab/>
      </w:r>
      <w:r w:rsidR="00551BD4" w:rsidRPr="00DC045F">
        <w:rPr>
          <w:rFonts w:asciiTheme="minorHAnsi" w:hAnsiTheme="minorHAnsi"/>
          <w:caps/>
          <w:color w:val="auto"/>
        </w:rPr>
        <w:t>TDRL END</w:t>
      </w:r>
      <w:r w:rsidR="009A0F97" w:rsidRPr="00DC045F">
        <w:rPr>
          <w:rFonts w:asciiTheme="minorHAnsi" w:hAnsiTheme="minorHAnsi"/>
          <w:caps/>
          <w:color w:val="auto"/>
        </w:rPr>
        <w:t xml:space="preserve"> DATE: </w:t>
      </w:r>
      <w:r w:rsidR="00E161B9" w:rsidRPr="00DC045F">
        <w:rPr>
          <w:rFonts w:asciiTheme="minorHAnsi" w:hAnsiTheme="minorHAnsi"/>
          <w:caps/>
          <w:color w:val="auto"/>
        </w:rPr>
        <w:t>200</w:t>
      </w:r>
      <w:r w:rsidR="00DC045F" w:rsidRPr="00DC045F">
        <w:rPr>
          <w:rFonts w:asciiTheme="minorHAnsi" w:hAnsiTheme="minorHAnsi"/>
          <w:caps/>
          <w:color w:val="auto"/>
        </w:rPr>
        <w:t>30101</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C472C7" w:rsidRDefault="00FB0E80" w:rsidP="002A5AA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10792F">
        <w:rPr>
          <w:rFonts w:asciiTheme="minorHAnsi" w:hAnsiTheme="minorHAnsi"/>
          <w:color w:val="auto"/>
          <w:szCs w:val="24"/>
        </w:rPr>
        <w:t xml:space="preserve">a </w:t>
      </w:r>
      <w:r w:rsidR="002E65E6" w:rsidRPr="0010792F">
        <w:rPr>
          <w:rFonts w:asciiTheme="minorHAnsi" w:hAnsiTheme="minorHAnsi"/>
          <w:color w:val="auto"/>
          <w:szCs w:val="24"/>
        </w:rPr>
        <w:t>R</w:t>
      </w:r>
      <w:r w:rsidR="006D4E0E" w:rsidRPr="0010792F">
        <w:rPr>
          <w:rFonts w:asciiTheme="minorHAnsi" w:hAnsiTheme="minorHAnsi"/>
          <w:color w:val="auto"/>
          <w:szCs w:val="24"/>
        </w:rPr>
        <w:t xml:space="preserve">eserve </w:t>
      </w:r>
      <w:r w:rsidR="009A0F97" w:rsidRPr="0010792F">
        <w:rPr>
          <w:rFonts w:asciiTheme="minorHAnsi" w:hAnsiTheme="minorHAnsi"/>
          <w:color w:val="auto"/>
          <w:szCs w:val="24"/>
        </w:rPr>
        <w:t>PV2</w:t>
      </w:r>
      <w:r w:rsidR="00705C40" w:rsidRPr="0010792F">
        <w:rPr>
          <w:rFonts w:asciiTheme="minorHAnsi" w:hAnsiTheme="minorHAnsi"/>
          <w:color w:val="auto"/>
          <w:szCs w:val="24"/>
        </w:rPr>
        <w:t xml:space="preserve"> (</w:t>
      </w:r>
      <w:r w:rsidR="009A0F97">
        <w:rPr>
          <w:rFonts w:asciiTheme="minorHAnsi" w:hAnsiTheme="minorHAnsi"/>
          <w:color w:val="auto"/>
          <w:szCs w:val="24"/>
        </w:rPr>
        <w:t>Recruit</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851859">
        <w:rPr>
          <w:rFonts w:asciiTheme="minorHAnsi" w:hAnsiTheme="minorHAnsi"/>
          <w:color w:val="auto"/>
          <w:szCs w:val="24"/>
        </w:rPr>
        <w:t xml:space="preserve">a left </w:t>
      </w:r>
      <w:r w:rsidR="009A0F97" w:rsidRPr="009A0F97">
        <w:rPr>
          <w:rFonts w:asciiTheme="minorHAnsi" w:hAnsiTheme="minorHAnsi"/>
          <w:color w:val="auto"/>
          <w:szCs w:val="24"/>
        </w:rPr>
        <w:t xml:space="preserve">anterior cruciate ligament </w:t>
      </w:r>
      <w:r w:rsidR="00851859">
        <w:rPr>
          <w:rFonts w:asciiTheme="minorHAnsi" w:hAnsiTheme="minorHAnsi"/>
          <w:color w:val="auto"/>
          <w:szCs w:val="24"/>
        </w:rPr>
        <w:t>(ACL)</w:t>
      </w:r>
      <w:r w:rsidR="00EC2C65">
        <w:rPr>
          <w:rFonts w:asciiTheme="minorHAnsi" w:hAnsiTheme="minorHAnsi"/>
          <w:color w:val="auto"/>
          <w:szCs w:val="24"/>
        </w:rPr>
        <w:t xml:space="preserve"> </w:t>
      </w:r>
      <w:r w:rsidR="00851859">
        <w:rPr>
          <w:rFonts w:asciiTheme="minorHAnsi" w:hAnsiTheme="minorHAnsi"/>
          <w:color w:val="auto"/>
          <w:szCs w:val="24"/>
        </w:rPr>
        <w:t>reconstruction and medial meniscus tear repair with persistent chronic left knee pain</w:t>
      </w:r>
      <w:r w:rsidR="009A0F97">
        <w:rPr>
          <w:rFonts w:asciiTheme="minorHAnsi" w:hAnsiTheme="minorHAnsi"/>
          <w:i/>
          <w:color w:val="auto"/>
          <w:szCs w:val="24"/>
        </w:rPr>
        <w:t>.</w:t>
      </w:r>
      <w:r w:rsidR="00851859">
        <w:rPr>
          <w:rFonts w:asciiTheme="minorHAnsi" w:hAnsiTheme="minorHAnsi"/>
          <w:color w:val="auto"/>
          <w:szCs w:val="24"/>
        </w:rPr>
        <w:t xml:space="preserve"> </w:t>
      </w:r>
      <w:r w:rsidR="00EC2C65">
        <w:rPr>
          <w:rFonts w:asciiTheme="minorHAnsi" w:hAnsiTheme="minorHAnsi"/>
          <w:color w:val="auto"/>
          <w:szCs w:val="24"/>
        </w:rPr>
        <w:t xml:space="preserve"> </w:t>
      </w:r>
      <w:r w:rsidR="00851859">
        <w:rPr>
          <w:rFonts w:asciiTheme="minorHAnsi" w:hAnsiTheme="minorHAnsi"/>
          <w:color w:val="auto"/>
          <w:szCs w:val="24"/>
        </w:rPr>
        <w:t>The initial i</w:t>
      </w:r>
      <w:r w:rsidR="009A0F97">
        <w:rPr>
          <w:rFonts w:asciiTheme="minorHAnsi" w:hAnsiTheme="minorHAnsi"/>
          <w:color w:val="auto"/>
          <w:szCs w:val="24"/>
        </w:rPr>
        <w:t xml:space="preserve">njury occurred during </w:t>
      </w:r>
      <w:r w:rsidR="00851859">
        <w:rPr>
          <w:rFonts w:asciiTheme="minorHAnsi" w:hAnsiTheme="minorHAnsi"/>
          <w:color w:val="auto"/>
          <w:szCs w:val="24"/>
        </w:rPr>
        <w:t xml:space="preserve">a basic </w:t>
      </w:r>
      <w:r w:rsidR="009A0F97">
        <w:rPr>
          <w:rFonts w:asciiTheme="minorHAnsi" w:hAnsiTheme="minorHAnsi"/>
          <w:color w:val="auto"/>
          <w:szCs w:val="24"/>
        </w:rPr>
        <w:t xml:space="preserve">training accident in 1998. </w:t>
      </w:r>
      <w:r w:rsidR="00EC2C65">
        <w:rPr>
          <w:rFonts w:asciiTheme="minorHAnsi" w:hAnsiTheme="minorHAns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851859">
        <w:rPr>
          <w:rFonts w:asciiTheme="minorHAnsi" w:hAnsiTheme="minorHAnsi"/>
          <w:color w:val="auto"/>
          <w:szCs w:val="24"/>
        </w:rPr>
        <w:t xml:space="preserve">complete training </w:t>
      </w:r>
      <w:r w:rsidR="002752AE">
        <w:rPr>
          <w:rFonts w:asciiTheme="minorHAnsi" w:hAnsiTheme="minorHAnsi"/>
          <w:color w:val="auto"/>
          <w:szCs w:val="24"/>
        </w:rPr>
        <w:t xml:space="preserve">or </w:t>
      </w:r>
      <w:r w:rsidR="00FD43DA">
        <w:rPr>
          <w:rFonts w:asciiTheme="minorHAnsi" w:hAnsiTheme="minorHAnsi"/>
          <w:color w:val="auto"/>
          <w:szCs w:val="24"/>
        </w:rPr>
        <w:t xml:space="preserve">to </w:t>
      </w:r>
      <w:r w:rsidR="002752AE">
        <w:rPr>
          <w:rFonts w:asciiTheme="minorHAnsi" w:hAnsiTheme="minorHAnsi"/>
          <w:color w:val="auto"/>
          <w:szCs w:val="24"/>
        </w:rPr>
        <w:t xml:space="preserve">meet </w:t>
      </w:r>
      <w:r w:rsidR="0044411E" w:rsidRPr="00C472C7">
        <w:rPr>
          <w:rFonts w:asciiTheme="minorHAnsi" w:hAnsiTheme="minorHAnsi"/>
          <w:color w:val="auto"/>
          <w:szCs w:val="24"/>
        </w:rPr>
        <w:t xml:space="preserve">physical fitness </w:t>
      </w:r>
      <w:r w:rsidR="002752AE">
        <w:rPr>
          <w:rFonts w:asciiTheme="minorHAnsi" w:hAnsiTheme="minorHAnsi"/>
          <w:color w:val="auto"/>
          <w:szCs w:val="24"/>
        </w:rPr>
        <w:t>standards</w:t>
      </w:r>
      <w:r w:rsidR="00555C66">
        <w:rPr>
          <w:rFonts w:asciiTheme="minorHAnsi" w:hAnsiTheme="minorHAnsi"/>
          <w:color w:val="auto"/>
          <w:szCs w:val="24"/>
        </w:rPr>
        <w:t xml:space="preserve">.  </w:t>
      </w:r>
      <w:r w:rsidR="00555C66" w:rsidRPr="00555C66">
        <w:rPr>
          <w:rFonts w:asciiTheme="minorHAnsi" w:hAnsiTheme="minorHAnsi"/>
          <w:color w:val="auto"/>
          <w:szCs w:val="24"/>
        </w:rPr>
        <w:t xml:space="preserve">He was </w:t>
      </w:r>
      <w:r w:rsidR="002E65E6" w:rsidRPr="003C1B81">
        <w:rPr>
          <w:rFonts w:asciiTheme="minorHAnsi" w:hAnsiTheme="minorHAnsi"/>
          <w:color w:val="auto"/>
          <w:szCs w:val="24"/>
        </w:rPr>
        <w:t>placed on l</w:t>
      </w:r>
      <w:r w:rsidR="0044411E" w:rsidRPr="003C1B81">
        <w:rPr>
          <w:rFonts w:asciiTheme="minorHAnsi" w:hAnsiTheme="minorHAnsi"/>
          <w:color w:val="auto"/>
          <w:szCs w:val="24"/>
        </w:rPr>
        <w:t xml:space="preserve">imited </w:t>
      </w:r>
      <w:r w:rsidR="002E65E6" w:rsidRPr="003C1B81">
        <w:rPr>
          <w:rFonts w:asciiTheme="minorHAnsi" w:hAnsiTheme="minorHAnsi"/>
          <w:color w:val="auto"/>
          <w:szCs w:val="24"/>
        </w:rPr>
        <w:t>d</w:t>
      </w:r>
      <w:r w:rsidR="0044411E" w:rsidRPr="003C1B81">
        <w:rPr>
          <w:rFonts w:asciiTheme="minorHAnsi" w:hAnsiTheme="minorHAnsi"/>
          <w:color w:val="auto"/>
          <w:szCs w:val="24"/>
        </w:rPr>
        <w:t>uty</w:t>
      </w:r>
      <w:r w:rsidR="00B32341" w:rsidRPr="003C1B81">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2A5AAC">
        <w:rPr>
          <w:rFonts w:asciiTheme="minorHAnsi" w:hAnsiTheme="minorHAnsi"/>
          <w:color w:val="auto"/>
          <w:szCs w:val="24"/>
        </w:rPr>
        <w:t xml:space="preserve"> </w:t>
      </w:r>
      <w:r w:rsidR="00EC2C65">
        <w:rPr>
          <w:rFonts w:asciiTheme="minorHAnsi" w:hAnsiTheme="minorHAnsi"/>
          <w:color w:val="auto"/>
          <w:szCs w:val="24"/>
        </w:rPr>
        <w:t xml:space="preserve"> </w:t>
      </w:r>
      <w:r w:rsidR="003C1B81" w:rsidRPr="003C1B81">
        <w:rPr>
          <w:rFonts w:asciiTheme="minorHAnsi" w:hAnsiTheme="minorHAnsi"/>
          <w:color w:val="auto"/>
          <w:szCs w:val="24"/>
        </w:rPr>
        <w:t>Tear</w:t>
      </w:r>
      <w:r w:rsidR="00851859">
        <w:rPr>
          <w:rFonts w:asciiTheme="minorHAnsi" w:hAnsiTheme="minorHAnsi"/>
          <w:color w:val="auto"/>
          <w:szCs w:val="24"/>
        </w:rPr>
        <w:t xml:space="preserve">, </w:t>
      </w:r>
      <w:r w:rsidR="003C1B81" w:rsidRPr="003C1B81">
        <w:rPr>
          <w:rFonts w:asciiTheme="minorHAnsi" w:hAnsiTheme="minorHAnsi"/>
          <w:color w:val="auto"/>
          <w:szCs w:val="24"/>
        </w:rPr>
        <w:t>anterior cruciate ligament</w:t>
      </w:r>
      <w:r w:rsidR="00851859">
        <w:rPr>
          <w:rFonts w:asciiTheme="minorHAnsi" w:hAnsiTheme="minorHAnsi"/>
          <w:color w:val="auto"/>
          <w:szCs w:val="24"/>
        </w:rPr>
        <w:t>,</w:t>
      </w:r>
      <w:r w:rsidR="003C1B81" w:rsidRPr="003C1B81">
        <w:rPr>
          <w:rFonts w:asciiTheme="minorHAnsi" w:hAnsiTheme="minorHAnsi"/>
          <w:color w:val="auto"/>
          <w:szCs w:val="24"/>
        </w:rPr>
        <w:t xml:space="preserve"> left knee</w:t>
      </w:r>
      <w:r w:rsidR="00851859">
        <w:rPr>
          <w:rFonts w:asciiTheme="minorHAnsi" w:hAnsiTheme="minorHAnsi"/>
          <w:color w:val="auto"/>
          <w:szCs w:val="24"/>
        </w:rPr>
        <w:t xml:space="preserve"> (with) complex tear of the posterior horn of the medial meniscus (and) strain, medial meniscus ligament, left knee were</w:t>
      </w:r>
      <w:r w:rsidR="003C1B81" w:rsidRPr="00C472C7">
        <w:rPr>
          <w:rFonts w:asciiTheme="minorHAnsi" w:hAnsiTheme="minorHAnsi"/>
          <w:color w:val="auto"/>
          <w:szCs w:val="24"/>
        </w:rPr>
        <w:t xml:space="preserve"> </w:t>
      </w:r>
      <w:r w:rsidR="000A33C8" w:rsidRPr="00C472C7">
        <w:rPr>
          <w:rFonts w:asciiTheme="minorHAnsi" w:hAnsiTheme="minorHAnsi"/>
          <w:color w:val="auto"/>
          <w:szCs w:val="24"/>
        </w:rPr>
        <w:t xml:space="preserve">forwarded </w:t>
      </w:r>
      <w:r w:rsidR="00851859">
        <w:rPr>
          <w:rFonts w:asciiTheme="minorHAnsi" w:hAnsiTheme="minorHAnsi"/>
          <w:color w:val="auto"/>
          <w:szCs w:val="24"/>
        </w:rPr>
        <w:t xml:space="preserve">on the NAVMED 6100/1 </w:t>
      </w:r>
      <w:r w:rsidR="000A33C8" w:rsidRPr="00C472C7">
        <w:rPr>
          <w:rFonts w:asciiTheme="minorHAnsi" w:hAnsiTheme="minorHAnsi"/>
          <w:color w:val="auto"/>
          <w:szCs w:val="24"/>
        </w:rPr>
        <w:t xml:space="preserve">to the Physical Evaluation Board (PEB) as medically unacceptable IAW </w:t>
      </w:r>
      <w:r w:rsidR="00AB1F8D" w:rsidRPr="003C1B81">
        <w:rPr>
          <w:rFonts w:asciiTheme="minorHAnsi" w:hAnsiTheme="minorHAnsi"/>
          <w:color w:val="auto"/>
          <w:szCs w:val="24"/>
        </w:rPr>
        <w:t>SECNAVINST 1850.4E</w:t>
      </w:r>
      <w:r w:rsidR="00376E08" w:rsidRPr="00C472C7">
        <w:rPr>
          <w:rFonts w:asciiTheme="minorHAnsi" w:hAnsiTheme="minorHAnsi"/>
          <w:color w:val="auto"/>
          <w:szCs w:val="24"/>
        </w:rPr>
        <w:t>.</w:t>
      </w:r>
      <w:r w:rsidR="002A5AAC">
        <w:rPr>
          <w:rFonts w:asciiTheme="minorHAnsi" w:hAnsiTheme="minorHAnsi"/>
          <w:color w:val="auto"/>
          <w:szCs w:val="24"/>
        </w:rPr>
        <w:t xml:space="preserve"> </w:t>
      </w:r>
      <w:r w:rsidR="00851859">
        <w:rPr>
          <w:rFonts w:asciiTheme="minorHAnsi" w:hAnsiTheme="minorHAnsi"/>
          <w:color w:val="auto"/>
          <w:szCs w:val="24"/>
        </w:rPr>
        <w:t xml:space="preserve"> </w:t>
      </w:r>
      <w:r w:rsidR="00B20624" w:rsidRPr="002A5AAC">
        <w:rPr>
          <w:rFonts w:asciiTheme="minorHAnsi" w:hAnsiTheme="minorHAnsi"/>
          <w:color w:val="auto"/>
          <w:szCs w:val="24"/>
        </w:rPr>
        <w:t xml:space="preserve">The </w:t>
      </w:r>
      <w:r w:rsidR="00C665FE" w:rsidRPr="002A5AAC">
        <w:rPr>
          <w:rFonts w:asciiTheme="minorHAnsi" w:hAnsiTheme="minorHAnsi"/>
          <w:color w:val="auto"/>
          <w:szCs w:val="24"/>
        </w:rPr>
        <w:t>I</w:t>
      </w:r>
      <w:r w:rsidR="00FB792E" w:rsidRPr="002A5AAC">
        <w:rPr>
          <w:rFonts w:asciiTheme="minorHAnsi" w:hAnsiTheme="minorHAnsi"/>
          <w:color w:val="auto"/>
          <w:szCs w:val="24"/>
        </w:rPr>
        <w:t xml:space="preserve">nformal </w:t>
      </w:r>
      <w:r w:rsidR="00B20624" w:rsidRPr="002A5AAC">
        <w:rPr>
          <w:rFonts w:asciiTheme="minorHAnsi" w:hAnsiTheme="minorHAnsi"/>
          <w:color w:val="auto"/>
          <w:szCs w:val="24"/>
        </w:rPr>
        <w:t>PEB</w:t>
      </w:r>
      <w:r w:rsidR="007828B4" w:rsidRPr="002A5AAC">
        <w:rPr>
          <w:rFonts w:asciiTheme="minorHAnsi" w:hAnsiTheme="minorHAnsi"/>
          <w:color w:val="auto"/>
          <w:szCs w:val="24"/>
        </w:rPr>
        <w:t xml:space="preserve"> (IPEB)</w:t>
      </w:r>
      <w:r w:rsidR="00B20624" w:rsidRPr="002A5AAC">
        <w:rPr>
          <w:rFonts w:asciiTheme="minorHAnsi" w:hAnsiTheme="minorHAnsi"/>
          <w:color w:val="auto"/>
          <w:szCs w:val="24"/>
        </w:rPr>
        <w:t xml:space="preserve"> adjudicated the </w:t>
      </w:r>
      <w:r w:rsidR="00851859">
        <w:rPr>
          <w:rFonts w:asciiTheme="minorHAnsi" w:hAnsiTheme="minorHAnsi"/>
          <w:color w:val="auto"/>
          <w:szCs w:val="24"/>
        </w:rPr>
        <w:t>tear</w:t>
      </w:r>
      <w:r w:rsidR="002A5AAC" w:rsidRPr="002A5AAC">
        <w:rPr>
          <w:rFonts w:asciiTheme="minorHAnsi" w:hAnsiTheme="minorHAnsi"/>
          <w:color w:val="auto"/>
          <w:szCs w:val="24"/>
        </w:rPr>
        <w:t xml:space="preserve"> </w:t>
      </w:r>
      <w:r w:rsidR="00851859">
        <w:rPr>
          <w:rFonts w:asciiTheme="minorHAnsi" w:hAnsiTheme="minorHAnsi"/>
          <w:color w:val="auto"/>
          <w:szCs w:val="24"/>
        </w:rPr>
        <w:t xml:space="preserve">ACL, left knee, strain medial meniscus ligament left knee and complex tear of the posterior horn of the medial meniscus with fragment displaced medially to the notch of the left knee </w:t>
      </w:r>
      <w:proofErr w:type="spellStart"/>
      <w:r w:rsidR="00851859">
        <w:rPr>
          <w:rFonts w:asciiTheme="minorHAnsi" w:hAnsiTheme="minorHAnsi"/>
          <w:color w:val="auto"/>
          <w:szCs w:val="24"/>
        </w:rPr>
        <w:t>posteriorly</w:t>
      </w:r>
      <w:proofErr w:type="spellEnd"/>
      <w:r w:rsidR="00B20624" w:rsidRPr="002A5AAC">
        <w:rPr>
          <w:rFonts w:asciiTheme="minorHAnsi" w:hAnsiTheme="minorHAnsi"/>
          <w:color w:val="auto"/>
          <w:szCs w:val="24"/>
        </w:rPr>
        <w:t xml:space="preserve"> as unfitting, rated </w:t>
      </w:r>
      <w:r w:rsidR="002A5AAC">
        <w:rPr>
          <w:rFonts w:asciiTheme="minorHAnsi" w:hAnsiTheme="minorHAnsi"/>
          <w:color w:val="auto"/>
          <w:szCs w:val="24"/>
        </w:rPr>
        <w:t>30</w:t>
      </w:r>
      <w:r w:rsidR="00B20624" w:rsidRPr="002A5AAC">
        <w:rPr>
          <w:rFonts w:asciiTheme="minorHAnsi" w:hAnsiTheme="minorHAnsi"/>
          <w:color w:val="auto"/>
          <w:szCs w:val="24"/>
        </w:rPr>
        <w:t>%</w:t>
      </w:r>
      <w:r w:rsidR="00B80EDD" w:rsidRPr="002A5AAC">
        <w:rPr>
          <w:rFonts w:asciiTheme="minorHAnsi" w:hAnsiTheme="minorHAnsi"/>
          <w:color w:val="auto"/>
          <w:szCs w:val="24"/>
        </w:rPr>
        <w:t>,</w:t>
      </w:r>
      <w:r w:rsidR="00B20624" w:rsidRPr="002A5AAC">
        <w:rPr>
          <w:rFonts w:asciiTheme="minorHAnsi" w:hAnsiTheme="minorHAnsi"/>
          <w:color w:val="auto"/>
          <w:szCs w:val="24"/>
        </w:rPr>
        <w:t xml:space="preserve"> with application </w:t>
      </w:r>
      <w:r w:rsidR="00065E21" w:rsidRPr="002A5AAC">
        <w:rPr>
          <w:rFonts w:asciiTheme="minorHAnsi" w:hAnsiTheme="minorHAnsi"/>
          <w:color w:val="auto"/>
          <w:szCs w:val="24"/>
        </w:rPr>
        <w:t>SECNAVINST 1850.4E</w:t>
      </w:r>
      <w:r w:rsidR="002B0204" w:rsidRPr="002A5AAC">
        <w:rPr>
          <w:rFonts w:asciiTheme="minorHAnsi" w:hAnsiTheme="minorHAnsi"/>
          <w:color w:val="auto"/>
          <w:szCs w:val="24"/>
        </w:rPr>
        <w:t xml:space="preserve"> </w:t>
      </w:r>
      <w:r w:rsidR="003A5958" w:rsidRPr="002A5AAC">
        <w:rPr>
          <w:rFonts w:asciiTheme="minorHAnsi" w:hAnsiTheme="minorHAnsi"/>
          <w:color w:val="auto"/>
          <w:szCs w:val="24"/>
        </w:rPr>
        <w:t xml:space="preserve">and </w:t>
      </w:r>
      <w:r w:rsidR="00B20624" w:rsidRPr="002A5AAC">
        <w:rPr>
          <w:rFonts w:asciiTheme="minorHAnsi" w:hAnsiTheme="minorHAnsi"/>
          <w:color w:val="auto"/>
          <w:szCs w:val="24"/>
        </w:rPr>
        <w:t xml:space="preserve">DoDI 1332.39 </w:t>
      </w:r>
      <w:r w:rsidR="00F871D3">
        <w:rPr>
          <w:rFonts w:asciiTheme="minorHAnsi" w:hAnsiTheme="minorHAnsi"/>
          <w:color w:val="auto"/>
          <w:szCs w:val="24"/>
        </w:rPr>
        <w:t xml:space="preserve">and recommended placement on the </w:t>
      </w:r>
      <w:r w:rsidR="00705C40" w:rsidRPr="00C472C7">
        <w:rPr>
          <w:rFonts w:asciiTheme="minorHAnsi" w:hAnsiTheme="minorHAnsi"/>
          <w:color w:val="auto"/>
          <w:szCs w:val="24"/>
        </w:rPr>
        <w:t>Temporary Disability Retired List (</w:t>
      </w:r>
      <w:r w:rsidR="008B04DB" w:rsidRPr="00C472C7">
        <w:rPr>
          <w:rFonts w:asciiTheme="minorHAnsi" w:hAnsiTheme="minorHAnsi"/>
          <w:color w:val="auto"/>
          <w:szCs w:val="24"/>
        </w:rPr>
        <w:t>TDRL</w:t>
      </w:r>
      <w:r w:rsidR="00705C40" w:rsidRPr="00C472C7">
        <w:rPr>
          <w:rFonts w:asciiTheme="minorHAnsi" w:hAnsiTheme="minorHAnsi"/>
          <w:color w:val="auto"/>
          <w:szCs w:val="24"/>
        </w:rPr>
        <w:t>)</w:t>
      </w:r>
      <w:r w:rsidR="008B04DB" w:rsidRPr="00C472C7">
        <w:rPr>
          <w:rFonts w:asciiTheme="minorHAnsi" w:hAnsiTheme="minorHAnsi"/>
          <w:color w:val="auto"/>
          <w:szCs w:val="24"/>
        </w:rPr>
        <w:t>.</w:t>
      </w:r>
      <w:r w:rsidR="002A5AAC">
        <w:rPr>
          <w:rFonts w:asciiTheme="minorHAnsi" w:hAnsiTheme="minorHAnsi"/>
          <w:color w:val="auto"/>
          <w:szCs w:val="24"/>
        </w:rPr>
        <w:t xml:space="preserve"> </w:t>
      </w:r>
      <w:r w:rsidR="00FD43DA">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made no appeals</w:t>
      </w:r>
      <w:r w:rsidR="00F871D3">
        <w:rPr>
          <w:rFonts w:asciiTheme="minorHAnsi" w:hAnsiTheme="minorHAnsi"/>
          <w:color w:val="auto"/>
        </w:rPr>
        <w:t xml:space="preserve"> </w:t>
      </w:r>
      <w:r w:rsidR="00B20624" w:rsidRPr="00C472C7">
        <w:rPr>
          <w:rFonts w:asciiTheme="minorHAnsi" w:hAnsiTheme="minorHAnsi"/>
          <w:color w:val="auto"/>
        </w:rPr>
        <w:t xml:space="preserve">and was </w:t>
      </w:r>
      <w:r w:rsidR="00F871D3">
        <w:rPr>
          <w:rFonts w:asciiTheme="minorHAnsi" w:hAnsiTheme="minorHAnsi"/>
          <w:color w:val="auto"/>
        </w:rPr>
        <w:t>placed on TDRL</w:t>
      </w:r>
      <w:r w:rsidR="00B20624" w:rsidRPr="00C472C7">
        <w:rPr>
          <w:rFonts w:asciiTheme="minorHAnsi" w:hAnsiTheme="minorHAnsi"/>
          <w:color w:val="auto"/>
        </w:rPr>
        <w:t xml:space="preserve"> with a </w:t>
      </w:r>
      <w:r w:rsidR="002A5AAC" w:rsidRPr="002A5AAC">
        <w:rPr>
          <w:rFonts w:asciiTheme="minorHAnsi" w:hAnsiTheme="minorHAnsi"/>
          <w:color w:val="auto"/>
        </w:rPr>
        <w:t>30</w:t>
      </w:r>
      <w:r w:rsidR="00B20624" w:rsidRPr="002A5AAC">
        <w:rPr>
          <w:rFonts w:asciiTheme="minorHAnsi" w:hAnsiTheme="minorHAnsi"/>
          <w:color w:val="auto"/>
        </w:rPr>
        <w:t>%</w:t>
      </w:r>
      <w:r w:rsidR="00B20624" w:rsidRPr="00C472C7">
        <w:rPr>
          <w:rFonts w:asciiTheme="minorHAnsi" w:hAnsiTheme="minorHAnsi"/>
          <w:color w:val="auto"/>
        </w:rPr>
        <w:t xml:space="preserve"> disability rating.</w:t>
      </w:r>
      <w:r w:rsidR="00FD43DA">
        <w:rPr>
          <w:rFonts w:asciiTheme="minorHAnsi" w:hAnsiTheme="minorHAnsi"/>
          <w:color w:val="auto"/>
        </w:rPr>
        <w:t xml:space="preserve">  </w:t>
      </w:r>
      <w:r w:rsidR="00851859">
        <w:rPr>
          <w:rFonts w:asciiTheme="minorHAnsi" w:hAnsiTheme="minorHAnsi"/>
          <w:color w:val="auto"/>
        </w:rPr>
        <w:t xml:space="preserve">At a periodic reevaluation </w:t>
      </w:r>
      <w:r w:rsidR="00D73144">
        <w:rPr>
          <w:rFonts w:asciiTheme="minorHAnsi" w:hAnsiTheme="minorHAnsi"/>
          <w:color w:val="auto"/>
        </w:rPr>
        <w:t xml:space="preserve">on 16 October 2000, he was retained on TDRL status.  The 18 October 2002 IPEB recommended permanent separation for left ACL reconstruction and medial meniscus tear repair with persistent chronic left knee pain </w:t>
      </w:r>
      <w:r w:rsidR="002A5AAC">
        <w:rPr>
          <w:rFonts w:asciiTheme="minorHAnsi" w:hAnsiTheme="minorHAnsi"/>
          <w:color w:val="auto"/>
        </w:rPr>
        <w:t xml:space="preserve">with a 10% disability rating. </w:t>
      </w:r>
      <w:r w:rsidR="00D73144">
        <w:rPr>
          <w:rFonts w:asciiTheme="minorHAnsi" w:hAnsiTheme="minorHAnsi"/>
          <w:color w:val="auto"/>
        </w:rPr>
        <w:t xml:space="preserve"> Strain medial meniscus ligament left knee, complex tear of the posterior horn of the medial meniscus with fragment displaced medially to the notch of the left knee </w:t>
      </w:r>
      <w:proofErr w:type="spellStart"/>
      <w:r w:rsidR="00D73144">
        <w:rPr>
          <w:rFonts w:asciiTheme="minorHAnsi" w:hAnsiTheme="minorHAnsi"/>
          <w:color w:val="auto"/>
        </w:rPr>
        <w:t>posteriorly</w:t>
      </w:r>
      <w:proofErr w:type="spellEnd"/>
      <w:r w:rsidR="00D73144">
        <w:rPr>
          <w:rFonts w:asciiTheme="minorHAnsi" w:hAnsiTheme="minorHAnsi"/>
          <w:color w:val="auto"/>
        </w:rPr>
        <w:t xml:space="preserve"> and tear of the ACL, left knee were category II conditions (condition that contribute to the un</w:t>
      </w:r>
      <w:r w:rsidR="00FD43DA">
        <w:rPr>
          <w:rFonts w:asciiTheme="minorHAnsi" w:hAnsiTheme="minorHAnsi"/>
          <w:color w:val="auto"/>
        </w:rPr>
        <w:t xml:space="preserve">fitting condition).  The CI </w:t>
      </w:r>
      <w:r w:rsidR="00D73144">
        <w:rPr>
          <w:rFonts w:asciiTheme="minorHAnsi" w:hAnsiTheme="minorHAnsi"/>
          <w:color w:val="auto"/>
        </w:rPr>
        <w:t>appeal</w:t>
      </w:r>
      <w:r w:rsidR="00FD43DA">
        <w:rPr>
          <w:rFonts w:asciiTheme="minorHAnsi" w:hAnsiTheme="minorHAnsi"/>
          <w:color w:val="auto"/>
        </w:rPr>
        <w:t>ed</w:t>
      </w:r>
      <w:r w:rsidR="00D73144">
        <w:rPr>
          <w:rFonts w:asciiTheme="minorHAnsi" w:hAnsiTheme="minorHAnsi"/>
          <w:color w:val="auto"/>
        </w:rPr>
        <w:t xml:space="preserve"> the IPEB adjudication</w:t>
      </w:r>
      <w:r w:rsidR="00EC2C65">
        <w:rPr>
          <w:rFonts w:asciiTheme="minorHAnsi" w:hAnsiTheme="minorHAnsi"/>
          <w:color w:val="auto"/>
        </w:rPr>
        <w:t>,</w:t>
      </w:r>
      <w:r w:rsidR="00D73144">
        <w:rPr>
          <w:rFonts w:asciiTheme="minorHAnsi" w:hAnsiTheme="minorHAnsi"/>
          <w:color w:val="auto"/>
        </w:rPr>
        <w:t xml:space="preserve"> and the Naval Council of Personnel Boards responded on 14 January 2003 that his case was closed in the PEB system and that he could petition the Board for Correction of Naval Records.  There is no record that he pursued this option.</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1C37C6">
        <w:rPr>
          <w:rFonts w:asciiTheme="minorHAnsi" w:hAnsiTheme="minorHAnsi"/>
          <w:color w:val="auto"/>
          <w:szCs w:val="24"/>
        </w:rPr>
        <w:t xml:space="preserve"> </w:t>
      </w:r>
      <w:r w:rsidR="002A5AAC" w:rsidRPr="00A87A5A">
        <w:rPr>
          <w:rFonts w:asciiTheme="minorHAnsi" w:hAnsiTheme="minorHAnsi"/>
          <w:color w:val="auto"/>
          <w:szCs w:val="24"/>
        </w:rPr>
        <w:t xml:space="preserve"> “Disability rating seems to be to</w:t>
      </w:r>
      <w:r w:rsidR="002A5AAC">
        <w:rPr>
          <w:rFonts w:asciiTheme="minorHAnsi" w:hAnsiTheme="minorHAnsi"/>
          <w:color w:val="auto"/>
          <w:szCs w:val="24"/>
        </w:rPr>
        <w:t>o</w:t>
      </w:r>
      <w:r w:rsidR="002A5AAC" w:rsidRPr="00A87A5A">
        <w:rPr>
          <w:rFonts w:asciiTheme="minorHAnsi" w:hAnsiTheme="minorHAnsi"/>
          <w:color w:val="auto"/>
          <w:szCs w:val="24"/>
        </w:rPr>
        <w:t xml:space="preserve"> low for the impairment of the condition and does not seem to be on par with the scale used by the VA.”</w:t>
      </w:r>
      <w:r w:rsidR="002A5AAC">
        <w:rPr>
          <w:rFonts w:asciiTheme="minorHAnsi" w:hAnsiTheme="minorHAnsi"/>
          <w:color w:val="auto"/>
          <w:szCs w:val="24"/>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5B0040" w:rsidRDefault="005B0040">
      <w:pPr>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E57703" w:rsidRPr="00FF1022" w:rsidRDefault="00E57703" w:rsidP="00510F9C">
      <w:pPr>
        <w:tabs>
          <w:tab w:val="left" w:pos="288"/>
          <w:tab w:val="left" w:pos="4752"/>
        </w:tabs>
        <w:spacing w:line="240" w:lineRule="exact"/>
        <w:jc w:val="both"/>
        <w:rPr>
          <w:rFonts w:asciiTheme="minorHAnsi" w:hAnsiTheme="minorHAnsi"/>
          <w:b/>
          <w:color w:val="auto"/>
          <w:szCs w:val="24"/>
          <w:u w:val="single"/>
        </w:rPr>
      </w:pPr>
    </w:p>
    <w:tbl>
      <w:tblPr>
        <w:tblStyle w:val="TableGrid"/>
        <w:tblW w:w="9681" w:type="dxa"/>
        <w:jc w:val="center"/>
        <w:tblInd w:w="633" w:type="dxa"/>
        <w:tblLayout w:type="fixed"/>
        <w:tblLook w:val="04A0"/>
      </w:tblPr>
      <w:tblGrid>
        <w:gridCol w:w="2321"/>
        <w:gridCol w:w="810"/>
        <w:gridCol w:w="810"/>
        <w:gridCol w:w="1080"/>
        <w:gridCol w:w="1890"/>
        <w:gridCol w:w="880"/>
        <w:gridCol w:w="810"/>
        <w:gridCol w:w="1080"/>
      </w:tblGrid>
      <w:tr w:rsidR="00BF70A6" w:rsidRPr="00FF1022" w:rsidTr="00EC2C65">
        <w:trPr>
          <w:trHeight w:val="233"/>
          <w:jc w:val="center"/>
        </w:trPr>
        <w:tc>
          <w:tcPr>
            <w:tcW w:w="5021" w:type="dxa"/>
            <w:gridSpan w:val="4"/>
            <w:tcBorders>
              <w:right w:val="thinThickThinSmallGap" w:sz="24" w:space="0" w:color="auto"/>
            </w:tcBorders>
            <w:shd w:val="clear" w:color="auto" w:fill="D9D9D9" w:themeFill="background1" w:themeFillShade="D9"/>
            <w:vAlign w:val="center"/>
          </w:tcPr>
          <w:p w:rsidR="00BF70A6" w:rsidRPr="00B06930" w:rsidRDefault="00BF70A6" w:rsidP="002A5AAC">
            <w:pPr>
              <w:spacing w:line="200" w:lineRule="exact"/>
              <w:contextualSpacing/>
              <w:jc w:val="center"/>
              <w:rPr>
                <w:b/>
                <w:color w:val="auto"/>
                <w:sz w:val="20"/>
                <w:szCs w:val="20"/>
              </w:rPr>
            </w:pPr>
            <w:r w:rsidRPr="00B06930">
              <w:rPr>
                <w:b/>
                <w:color w:val="auto"/>
                <w:sz w:val="20"/>
                <w:szCs w:val="20"/>
              </w:rPr>
              <w:t xml:space="preserve">Final Service </w:t>
            </w:r>
            <w:r w:rsidR="002A5AAC">
              <w:rPr>
                <w:b/>
                <w:color w:val="auto"/>
                <w:sz w:val="20"/>
                <w:szCs w:val="20"/>
              </w:rPr>
              <w:t>I</w:t>
            </w:r>
            <w:r w:rsidRPr="00B06930">
              <w:rPr>
                <w:b/>
                <w:color w:val="auto"/>
                <w:sz w:val="20"/>
                <w:szCs w:val="20"/>
              </w:rPr>
              <w:t xml:space="preserve">PEB – Dated </w:t>
            </w:r>
            <w:r w:rsidR="004C135D" w:rsidRPr="004C135D">
              <w:rPr>
                <w:b/>
                <w:color w:val="auto"/>
                <w:sz w:val="20"/>
                <w:szCs w:val="20"/>
              </w:rPr>
              <w:t>20021021</w:t>
            </w:r>
          </w:p>
        </w:tc>
        <w:tc>
          <w:tcPr>
            <w:tcW w:w="4660" w:type="dxa"/>
            <w:gridSpan w:val="4"/>
            <w:tcBorders>
              <w:left w:val="thinThickThinSmallGap" w:sz="24" w:space="0" w:color="auto"/>
            </w:tcBorders>
            <w:shd w:val="clear" w:color="auto" w:fill="D9D9D9" w:themeFill="background1" w:themeFillShade="D9"/>
            <w:vAlign w:val="center"/>
          </w:tcPr>
          <w:p w:rsidR="00BF70A6" w:rsidRPr="00B06930" w:rsidRDefault="00BF70A6" w:rsidP="00437D18">
            <w:pPr>
              <w:spacing w:line="200" w:lineRule="exact"/>
              <w:contextualSpacing/>
              <w:jc w:val="center"/>
              <w:rPr>
                <w:b/>
                <w:color w:val="auto"/>
                <w:sz w:val="20"/>
                <w:szCs w:val="20"/>
              </w:rPr>
            </w:pPr>
            <w:r w:rsidRPr="006937C6">
              <w:rPr>
                <w:b/>
                <w:color w:val="auto"/>
                <w:sz w:val="20"/>
                <w:szCs w:val="20"/>
              </w:rPr>
              <w:t>VA</w:t>
            </w:r>
            <w:r w:rsidR="00437D18" w:rsidRPr="006937C6">
              <w:rPr>
                <w:b/>
                <w:color w:val="auto"/>
                <w:sz w:val="20"/>
                <w:szCs w:val="20"/>
              </w:rPr>
              <w:t>*</w:t>
            </w:r>
            <w:r w:rsidRPr="00B06930">
              <w:rPr>
                <w:b/>
                <w:color w:val="auto"/>
                <w:sz w:val="20"/>
                <w:szCs w:val="20"/>
              </w:rPr>
              <w:t xml:space="preserve"> – All Effective </w:t>
            </w:r>
            <w:r w:rsidR="004C135D" w:rsidRPr="00A87A5A">
              <w:rPr>
                <w:rFonts w:eastAsia="Times New Roman" w:cs="Times New Roman"/>
                <w:b/>
                <w:color w:val="auto"/>
                <w:sz w:val="24"/>
                <w:szCs w:val="20"/>
              </w:rPr>
              <w:t>19990401</w:t>
            </w:r>
          </w:p>
        </w:tc>
      </w:tr>
      <w:tr w:rsidR="008902BE" w:rsidRPr="00FF1022" w:rsidTr="00EC2C65">
        <w:trPr>
          <w:trHeight w:val="233"/>
          <w:jc w:val="center"/>
        </w:trPr>
        <w:tc>
          <w:tcPr>
            <w:tcW w:w="2321" w:type="dxa"/>
            <w:tcBorders>
              <w:bottom w:val="single" w:sz="4" w:space="0" w:color="000000" w:themeColor="text1"/>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Condition</w:t>
            </w:r>
          </w:p>
        </w:tc>
        <w:tc>
          <w:tcPr>
            <w:tcW w:w="810" w:type="dxa"/>
            <w:tcBorders>
              <w:bottom w:val="single" w:sz="4" w:space="0" w:color="000000" w:themeColor="text1"/>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Code</w:t>
            </w:r>
          </w:p>
        </w:tc>
        <w:tc>
          <w:tcPr>
            <w:tcW w:w="189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Rating</w:t>
            </w:r>
          </w:p>
        </w:tc>
        <w:tc>
          <w:tcPr>
            <w:tcW w:w="1890" w:type="dxa"/>
            <w:vMerge w:val="restart"/>
            <w:tcBorders>
              <w:left w:val="thinThickThinSmallGap" w:sz="24" w:space="0" w:color="auto"/>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Condition</w:t>
            </w:r>
          </w:p>
        </w:tc>
        <w:tc>
          <w:tcPr>
            <w:tcW w:w="880" w:type="dxa"/>
            <w:vMerge w:val="restart"/>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Code</w:t>
            </w:r>
          </w:p>
        </w:tc>
        <w:tc>
          <w:tcPr>
            <w:tcW w:w="810" w:type="dxa"/>
            <w:vMerge w:val="restart"/>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Rating</w:t>
            </w:r>
          </w:p>
        </w:tc>
        <w:tc>
          <w:tcPr>
            <w:tcW w:w="1080" w:type="dxa"/>
            <w:vMerge w:val="restart"/>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Exam</w:t>
            </w:r>
          </w:p>
        </w:tc>
      </w:tr>
      <w:tr w:rsidR="008902BE" w:rsidRPr="00FF1022" w:rsidTr="00EC2C65">
        <w:trPr>
          <w:trHeight w:val="152"/>
          <w:jc w:val="center"/>
        </w:trPr>
        <w:tc>
          <w:tcPr>
            <w:tcW w:w="2321" w:type="dxa"/>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 xml:space="preserve">On TDRL </w:t>
            </w:r>
            <w:r>
              <w:rPr>
                <w:b/>
                <w:color w:val="auto"/>
                <w:sz w:val="20"/>
                <w:szCs w:val="20"/>
              </w:rPr>
              <w:t>–</w:t>
            </w:r>
            <w:r w:rsidRPr="00B06930">
              <w:rPr>
                <w:b/>
                <w:color w:val="auto"/>
                <w:sz w:val="20"/>
                <w:szCs w:val="20"/>
              </w:rPr>
              <w:t xml:space="preserve"> </w:t>
            </w:r>
            <w:r w:rsidR="004C135D" w:rsidRPr="004C135D">
              <w:rPr>
                <w:b/>
                <w:color w:val="auto"/>
                <w:sz w:val="20"/>
                <w:szCs w:val="20"/>
              </w:rPr>
              <w:t>19990301</w:t>
            </w:r>
          </w:p>
        </w:tc>
        <w:tc>
          <w:tcPr>
            <w:tcW w:w="810" w:type="dxa"/>
            <w:shd w:val="clear" w:color="auto" w:fill="D9D9D9" w:themeFill="background1" w:themeFillShade="D9"/>
            <w:vAlign w:val="center"/>
          </w:tcPr>
          <w:p w:rsidR="008902BE" w:rsidRPr="00B06930" w:rsidRDefault="008902BE" w:rsidP="0042528C">
            <w:pPr>
              <w:spacing w:line="200" w:lineRule="exact"/>
              <w:contextualSpacing/>
              <w:jc w:val="center"/>
              <w:rPr>
                <w:color w:val="auto"/>
                <w:sz w:val="20"/>
                <w:szCs w:val="20"/>
              </w:rPr>
            </w:pPr>
          </w:p>
        </w:tc>
        <w:tc>
          <w:tcPr>
            <w:tcW w:w="810" w:type="dxa"/>
            <w:tcBorders>
              <w:right w:val="single" w:sz="4" w:space="0" w:color="auto"/>
            </w:tcBorders>
            <w:shd w:val="clear" w:color="auto" w:fill="D9D9D9" w:themeFill="background1" w:themeFillShade="D9"/>
            <w:vAlign w:val="center"/>
          </w:tcPr>
          <w:p w:rsidR="008902BE" w:rsidRPr="00B06930" w:rsidRDefault="008902BE" w:rsidP="0042528C">
            <w:pPr>
              <w:spacing w:line="200" w:lineRule="exact"/>
              <w:contextualSpacing/>
              <w:jc w:val="center"/>
              <w:rPr>
                <w:b/>
                <w:color w:val="auto"/>
                <w:sz w:val="20"/>
                <w:szCs w:val="20"/>
              </w:rPr>
            </w:pPr>
            <w:r w:rsidRPr="00B06930">
              <w:rPr>
                <w:b/>
                <w:color w:val="auto"/>
                <w:sz w:val="20"/>
                <w:szCs w:val="20"/>
              </w:rPr>
              <w:t>TDRL</w:t>
            </w:r>
          </w:p>
        </w:tc>
        <w:tc>
          <w:tcPr>
            <w:tcW w:w="1080" w:type="dxa"/>
            <w:tcBorders>
              <w:left w:val="single" w:sz="4" w:space="0" w:color="auto"/>
              <w:right w:val="thinThickThinSmallGap" w:sz="24" w:space="0" w:color="auto"/>
            </w:tcBorders>
            <w:shd w:val="clear" w:color="auto" w:fill="D9D9D9" w:themeFill="background1" w:themeFillShade="D9"/>
            <w:vAlign w:val="center"/>
          </w:tcPr>
          <w:p w:rsidR="008902BE" w:rsidRPr="00B06930" w:rsidRDefault="008902BE" w:rsidP="0042528C">
            <w:pPr>
              <w:tabs>
                <w:tab w:val="left" w:pos="206"/>
                <w:tab w:val="center" w:pos="387"/>
              </w:tabs>
              <w:spacing w:line="200" w:lineRule="exact"/>
              <w:contextualSpacing/>
              <w:jc w:val="center"/>
              <w:rPr>
                <w:b/>
                <w:color w:val="auto"/>
                <w:sz w:val="20"/>
                <w:szCs w:val="20"/>
              </w:rPr>
            </w:pPr>
            <w:r w:rsidRPr="00B06930">
              <w:rPr>
                <w:b/>
                <w:color w:val="auto"/>
                <w:sz w:val="20"/>
                <w:szCs w:val="20"/>
              </w:rPr>
              <w:t>Sep.</w:t>
            </w:r>
          </w:p>
        </w:tc>
        <w:tc>
          <w:tcPr>
            <w:tcW w:w="1890" w:type="dxa"/>
            <w:vMerge/>
            <w:tcBorders>
              <w:left w:val="thinThickThinSmallGap" w:sz="24" w:space="0" w:color="auto"/>
            </w:tcBorders>
            <w:shd w:val="clear" w:color="auto" w:fill="D9D9D9" w:themeFill="background1" w:themeFillShade="D9"/>
            <w:vAlign w:val="center"/>
          </w:tcPr>
          <w:p w:rsidR="008902BE" w:rsidRPr="00B06930" w:rsidRDefault="008902BE" w:rsidP="0042528C">
            <w:pPr>
              <w:spacing w:line="200" w:lineRule="exact"/>
              <w:contextualSpacing/>
              <w:rPr>
                <w:b/>
                <w:color w:val="auto"/>
                <w:sz w:val="20"/>
                <w:szCs w:val="20"/>
              </w:rPr>
            </w:pPr>
          </w:p>
        </w:tc>
        <w:tc>
          <w:tcPr>
            <w:tcW w:w="880" w:type="dxa"/>
            <w:vMerge/>
            <w:shd w:val="clear" w:color="auto" w:fill="C6D9F1" w:themeFill="text2" w:themeFillTint="33"/>
          </w:tcPr>
          <w:p w:rsidR="008902BE" w:rsidRPr="00B06930" w:rsidRDefault="008902BE" w:rsidP="0042528C">
            <w:pPr>
              <w:spacing w:line="200" w:lineRule="exact"/>
              <w:contextualSpacing/>
              <w:jc w:val="center"/>
              <w:rPr>
                <w:color w:val="auto"/>
                <w:sz w:val="20"/>
                <w:szCs w:val="20"/>
              </w:rPr>
            </w:pPr>
          </w:p>
        </w:tc>
        <w:tc>
          <w:tcPr>
            <w:tcW w:w="810" w:type="dxa"/>
            <w:vMerge/>
            <w:shd w:val="clear" w:color="auto" w:fill="C6D9F1" w:themeFill="text2" w:themeFillTint="33"/>
          </w:tcPr>
          <w:p w:rsidR="008902BE" w:rsidRPr="00B06930" w:rsidRDefault="008902BE" w:rsidP="0042528C">
            <w:pPr>
              <w:spacing w:line="200" w:lineRule="exact"/>
              <w:contextualSpacing/>
              <w:jc w:val="center"/>
              <w:rPr>
                <w:color w:val="auto"/>
                <w:sz w:val="20"/>
                <w:szCs w:val="20"/>
              </w:rPr>
            </w:pPr>
          </w:p>
        </w:tc>
        <w:tc>
          <w:tcPr>
            <w:tcW w:w="1080" w:type="dxa"/>
            <w:vMerge/>
            <w:shd w:val="clear" w:color="auto" w:fill="C6D9F1" w:themeFill="text2" w:themeFillTint="33"/>
          </w:tcPr>
          <w:p w:rsidR="008902BE" w:rsidRPr="00B06930" w:rsidRDefault="008902BE" w:rsidP="0042528C">
            <w:pPr>
              <w:spacing w:line="200" w:lineRule="exact"/>
              <w:contextualSpacing/>
              <w:jc w:val="center"/>
              <w:rPr>
                <w:color w:val="auto"/>
                <w:sz w:val="20"/>
                <w:szCs w:val="20"/>
              </w:rPr>
            </w:pPr>
          </w:p>
        </w:tc>
      </w:tr>
      <w:tr w:rsidR="00300FF3" w:rsidRPr="00FF1022" w:rsidTr="00EC2C65">
        <w:trPr>
          <w:trHeight w:val="125"/>
          <w:jc w:val="center"/>
        </w:trPr>
        <w:tc>
          <w:tcPr>
            <w:tcW w:w="2321" w:type="dxa"/>
            <w:tcBorders>
              <w:right w:val="single" w:sz="4" w:space="0" w:color="auto"/>
            </w:tcBorders>
            <w:shd w:val="clear" w:color="auto" w:fill="FFFFFF" w:themeFill="background1"/>
            <w:vAlign w:val="center"/>
          </w:tcPr>
          <w:p w:rsidR="00300FF3" w:rsidRPr="004C135D" w:rsidRDefault="001C37C6" w:rsidP="0010792F">
            <w:pPr>
              <w:spacing w:line="180" w:lineRule="exact"/>
              <w:contextualSpacing/>
              <w:rPr>
                <w:color w:val="auto"/>
                <w:sz w:val="18"/>
                <w:szCs w:val="18"/>
              </w:rPr>
            </w:pPr>
            <w:r>
              <w:rPr>
                <w:color w:val="auto"/>
                <w:sz w:val="18"/>
                <w:szCs w:val="18"/>
              </w:rPr>
              <w:t>L</w:t>
            </w:r>
            <w:r w:rsidR="00300FF3" w:rsidRPr="004C135D">
              <w:rPr>
                <w:color w:val="auto"/>
                <w:sz w:val="18"/>
                <w:szCs w:val="18"/>
              </w:rPr>
              <w:t xml:space="preserve"> </w:t>
            </w:r>
            <w:r w:rsidR="00300FF3">
              <w:rPr>
                <w:color w:val="auto"/>
                <w:sz w:val="18"/>
                <w:szCs w:val="18"/>
              </w:rPr>
              <w:t>ACL</w:t>
            </w:r>
            <w:r w:rsidR="00EC2C65">
              <w:rPr>
                <w:color w:val="auto"/>
                <w:sz w:val="18"/>
                <w:szCs w:val="18"/>
              </w:rPr>
              <w:t>…Medial Meniscus T</w:t>
            </w:r>
            <w:r w:rsidR="00EC2C65" w:rsidRPr="004C135D">
              <w:rPr>
                <w:color w:val="auto"/>
                <w:sz w:val="18"/>
                <w:szCs w:val="18"/>
              </w:rPr>
              <w:t>ear</w:t>
            </w:r>
            <w:r w:rsidR="00EC2C65">
              <w:rPr>
                <w:color w:val="auto"/>
                <w:sz w:val="18"/>
                <w:szCs w:val="18"/>
              </w:rPr>
              <w:t xml:space="preserve">… Chronic </w:t>
            </w:r>
            <w:r w:rsidR="00300FF3">
              <w:rPr>
                <w:color w:val="auto"/>
                <w:sz w:val="18"/>
                <w:szCs w:val="18"/>
              </w:rPr>
              <w:t xml:space="preserve">L </w:t>
            </w:r>
            <w:r w:rsidR="00EC2C65">
              <w:rPr>
                <w:color w:val="auto"/>
                <w:sz w:val="18"/>
                <w:szCs w:val="18"/>
              </w:rPr>
              <w:t>Knee Pain</w:t>
            </w:r>
          </w:p>
        </w:tc>
        <w:tc>
          <w:tcPr>
            <w:tcW w:w="810" w:type="dxa"/>
            <w:tcBorders>
              <w:left w:val="single" w:sz="4" w:space="0" w:color="auto"/>
            </w:tcBorders>
            <w:shd w:val="clear" w:color="auto" w:fill="FFFFFF" w:themeFill="background1"/>
            <w:vAlign w:val="center"/>
          </w:tcPr>
          <w:p w:rsidR="00300FF3" w:rsidRPr="0086102A" w:rsidRDefault="00EC2C65" w:rsidP="00BF70A6">
            <w:pPr>
              <w:spacing w:line="180" w:lineRule="exact"/>
              <w:contextualSpacing/>
              <w:jc w:val="center"/>
              <w:rPr>
                <w:color w:val="auto"/>
                <w:sz w:val="18"/>
                <w:szCs w:val="18"/>
              </w:rPr>
            </w:pPr>
            <w:r w:rsidRPr="004C135D">
              <w:rPr>
                <w:color w:val="auto"/>
                <w:sz w:val="18"/>
                <w:szCs w:val="18"/>
              </w:rPr>
              <w:t>5257</w:t>
            </w:r>
          </w:p>
        </w:tc>
        <w:tc>
          <w:tcPr>
            <w:tcW w:w="810" w:type="dxa"/>
            <w:tcBorders>
              <w:right w:val="single" w:sz="4" w:space="0" w:color="auto"/>
            </w:tcBorders>
            <w:shd w:val="clear" w:color="auto" w:fill="FFFFFF" w:themeFill="background1"/>
            <w:vAlign w:val="center"/>
          </w:tcPr>
          <w:p w:rsidR="00300FF3" w:rsidRPr="000D2CFD" w:rsidRDefault="00300FF3" w:rsidP="000D2CFD">
            <w:pPr>
              <w:jc w:val="center"/>
              <w:rPr>
                <w:color w:val="auto"/>
              </w:rPr>
            </w:pPr>
            <w:r w:rsidRPr="004C135D">
              <w:rPr>
                <w:color w:val="auto"/>
                <w:sz w:val="18"/>
                <w:szCs w:val="18"/>
              </w:rPr>
              <w:t>30%</w:t>
            </w:r>
          </w:p>
        </w:tc>
        <w:tc>
          <w:tcPr>
            <w:tcW w:w="1080" w:type="dxa"/>
            <w:tcBorders>
              <w:left w:val="single" w:sz="4" w:space="0" w:color="auto"/>
              <w:bottom w:val="single" w:sz="4" w:space="0" w:color="auto"/>
              <w:right w:val="thinThickThinSmallGap" w:sz="24" w:space="0" w:color="auto"/>
            </w:tcBorders>
            <w:shd w:val="clear" w:color="auto" w:fill="FFFFFF" w:themeFill="background1"/>
            <w:vAlign w:val="center"/>
          </w:tcPr>
          <w:p w:rsidR="00300FF3" w:rsidRPr="000D2CFD" w:rsidRDefault="00300FF3" w:rsidP="000D2CFD">
            <w:pPr>
              <w:jc w:val="center"/>
              <w:rPr>
                <w:color w:val="auto"/>
              </w:rPr>
            </w:pPr>
            <w:r w:rsidRPr="004C135D">
              <w:rPr>
                <w:color w:val="auto"/>
                <w:sz w:val="18"/>
                <w:szCs w:val="18"/>
              </w:rPr>
              <w:t>10%</w:t>
            </w:r>
          </w:p>
        </w:tc>
        <w:tc>
          <w:tcPr>
            <w:tcW w:w="1890" w:type="dxa"/>
            <w:vMerge w:val="restart"/>
            <w:tcBorders>
              <w:left w:val="thinThickThinSmallGap" w:sz="24" w:space="0" w:color="auto"/>
            </w:tcBorders>
            <w:shd w:val="clear" w:color="auto" w:fill="FFFFFF" w:themeFill="background1"/>
          </w:tcPr>
          <w:p w:rsidR="00300FF3" w:rsidRPr="0042528C" w:rsidRDefault="0010792F" w:rsidP="00BF70A6">
            <w:pPr>
              <w:spacing w:line="180" w:lineRule="exact"/>
              <w:contextualSpacing/>
              <w:jc w:val="both"/>
              <w:rPr>
                <w:color w:val="auto"/>
                <w:sz w:val="18"/>
                <w:szCs w:val="18"/>
                <w:highlight w:val="yellow"/>
              </w:rPr>
            </w:pPr>
            <w:r>
              <w:rPr>
                <w:color w:val="auto"/>
                <w:sz w:val="18"/>
                <w:szCs w:val="18"/>
              </w:rPr>
              <w:t>ACL</w:t>
            </w:r>
            <w:r w:rsidR="00300FF3">
              <w:rPr>
                <w:color w:val="auto"/>
                <w:sz w:val="18"/>
                <w:szCs w:val="18"/>
              </w:rPr>
              <w:t xml:space="preserve"> and Medial Meniscus Tear, L</w:t>
            </w:r>
            <w:r w:rsidR="00300FF3" w:rsidRPr="004C135D">
              <w:rPr>
                <w:color w:val="auto"/>
                <w:sz w:val="18"/>
                <w:szCs w:val="18"/>
              </w:rPr>
              <w:t xml:space="preserve"> Knee</w:t>
            </w:r>
          </w:p>
        </w:tc>
        <w:tc>
          <w:tcPr>
            <w:tcW w:w="880" w:type="dxa"/>
            <w:vMerge w:val="restart"/>
            <w:shd w:val="clear" w:color="auto" w:fill="FFFFFF" w:themeFill="background1"/>
          </w:tcPr>
          <w:p w:rsidR="00300FF3" w:rsidRPr="001E0633" w:rsidRDefault="00300FF3" w:rsidP="001C37C6">
            <w:pPr>
              <w:spacing w:line="180" w:lineRule="exact"/>
              <w:contextualSpacing/>
              <w:jc w:val="center"/>
              <w:rPr>
                <w:color w:val="auto"/>
                <w:sz w:val="18"/>
                <w:szCs w:val="18"/>
                <w:highlight w:val="yellow"/>
              </w:rPr>
            </w:pPr>
            <w:r w:rsidRPr="001E0633">
              <w:rPr>
                <w:rFonts w:eastAsia="Times New Roman" w:cs="Times New Roman"/>
                <w:color w:val="auto"/>
                <w:sz w:val="18"/>
                <w:szCs w:val="18"/>
              </w:rPr>
              <w:t>525</w:t>
            </w:r>
            <w:r>
              <w:rPr>
                <w:rFonts w:eastAsia="Times New Roman" w:cs="Times New Roman"/>
                <w:color w:val="auto"/>
                <w:sz w:val="18"/>
                <w:szCs w:val="18"/>
              </w:rPr>
              <w:t>7</w:t>
            </w:r>
          </w:p>
        </w:tc>
        <w:tc>
          <w:tcPr>
            <w:tcW w:w="810" w:type="dxa"/>
            <w:vMerge w:val="restart"/>
            <w:shd w:val="clear" w:color="auto" w:fill="FFFFFF" w:themeFill="background1"/>
          </w:tcPr>
          <w:p w:rsidR="00300FF3" w:rsidRPr="0042528C" w:rsidRDefault="00300FF3" w:rsidP="001C37C6">
            <w:pPr>
              <w:spacing w:line="180" w:lineRule="exact"/>
              <w:contextualSpacing/>
              <w:jc w:val="center"/>
              <w:rPr>
                <w:color w:val="auto"/>
                <w:sz w:val="18"/>
                <w:szCs w:val="18"/>
                <w:highlight w:val="yellow"/>
              </w:rPr>
            </w:pPr>
            <w:r>
              <w:rPr>
                <w:color w:val="auto"/>
                <w:sz w:val="18"/>
                <w:szCs w:val="18"/>
              </w:rPr>
              <w:t>3</w:t>
            </w:r>
            <w:r w:rsidRPr="001E0633">
              <w:rPr>
                <w:color w:val="auto"/>
                <w:sz w:val="18"/>
                <w:szCs w:val="18"/>
              </w:rPr>
              <w:t>0%</w:t>
            </w:r>
            <w:r>
              <w:rPr>
                <w:color w:val="auto"/>
                <w:sz w:val="18"/>
                <w:szCs w:val="18"/>
              </w:rPr>
              <w:t>**</w:t>
            </w:r>
          </w:p>
        </w:tc>
        <w:tc>
          <w:tcPr>
            <w:tcW w:w="1080" w:type="dxa"/>
            <w:vMerge w:val="restart"/>
            <w:shd w:val="clear" w:color="auto" w:fill="FFFFFF" w:themeFill="background1"/>
          </w:tcPr>
          <w:p w:rsidR="00300FF3" w:rsidRPr="0042528C" w:rsidRDefault="00300FF3" w:rsidP="001C37C6">
            <w:pPr>
              <w:spacing w:line="180" w:lineRule="exact"/>
              <w:contextualSpacing/>
              <w:jc w:val="center"/>
              <w:rPr>
                <w:color w:val="auto"/>
                <w:sz w:val="18"/>
                <w:szCs w:val="18"/>
                <w:highlight w:val="yellow"/>
              </w:rPr>
            </w:pPr>
            <w:r w:rsidRPr="001E0633">
              <w:rPr>
                <w:color w:val="auto"/>
                <w:sz w:val="18"/>
                <w:szCs w:val="18"/>
              </w:rPr>
              <w:t>19990603</w:t>
            </w:r>
          </w:p>
        </w:tc>
      </w:tr>
      <w:tr w:rsidR="00300FF3" w:rsidRPr="00FF1022" w:rsidTr="00EC2C65">
        <w:trPr>
          <w:trHeight w:val="125"/>
          <w:jc w:val="center"/>
        </w:trPr>
        <w:tc>
          <w:tcPr>
            <w:tcW w:w="3131" w:type="dxa"/>
            <w:gridSpan w:val="2"/>
            <w:shd w:val="clear" w:color="auto" w:fill="FFFFFF" w:themeFill="background1"/>
            <w:vAlign w:val="center"/>
          </w:tcPr>
          <w:p w:rsidR="00300FF3" w:rsidRPr="004C135D" w:rsidRDefault="00300FF3" w:rsidP="00300FF3">
            <w:pPr>
              <w:spacing w:line="180" w:lineRule="exact"/>
              <w:contextualSpacing/>
              <w:rPr>
                <w:color w:val="auto"/>
                <w:sz w:val="18"/>
                <w:szCs w:val="18"/>
              </w:rPr>
            </w:pPr>
            <w:r>
              <w:rPr>
                <w:color w:val="auto"/>
                <w:sz w:val="18"/>
                <w:szCs w:val="18"/>
              </w:rPr>
              <w:t xml:space="preserve">Strain </w:t>
            </w:r>
            <w:r w:rsidR="00EC2C65">
              <w:rPr>
                <w:color w:val="auto"/>
                <w:sz w:val="18"/>
                <w:szCs w:val="18"/>
              </w:rPr>
              <w:t xml:space="preserve">Medial Meniscus </w:t>
            </w:r>
            <w:r w:rsidR="00EC2C65" w:rsidRPr="004C135D">
              <w:rPr>
                <w:color w:val="auto"/>
                <w:sz w:val="18"/>
                <w:szCs w:val="18"/>
              </w:rPr>
              <w:t xml:space="preserve"> </w:t>
            </w:r>
            <w:r w:rsidRPr="004C135D">
              <w:rPr>
                <w:color w:val="auto"/>
                <w:sz w:val="18"/>
                <w:szCs w:val="18"/>
              </w:rPr>
              <w:t>L Knee</w:t>
            </w:r>
          </w:p>
        </w:tc>
        <w:tc>
          <w:tcPr>
            <w:tcW w:w="1890" w:type="dxa"/>
            <w:gridSpan w:val="2"/>
            <w:tcBorders>
              <w:right w:val="thinThickThinSmallGap" w:sz="24" w:space="0" w:color="auto"/>
            </w:tcBorders>
            <w:shd w:val="clear" w:color="auto" w:fill="FFFFFF" w:themeFill="background1"/>
            <w:vAlign w:val="center"/>
          </w:tcPr>
          <w:p w:rsidR="00300FF3" w:rsidRPr="004C135D" w:rsidRDefault="00300FF3" w:rsidP="000D2CFD">
            <w:pPr>
              <w:jc w:val="center"/>
              <w:rPr>
                <w:color w:val="auto"/>
                <w:sz w:val="18"/>
                <w:szCs w:val="18"/>
              </w:rPr>
            </w:pPr>
            <w:r w:rsidRPr="004C135D">
              <w:rPr>
                <w:color w:val="auto"/>
                <w:sz w:val="18"/>
                <w:szCs w:val="18"/>
              </w:rPr>
              <w:t>Cat II</w:t>
            </w:r>
          </w:p>
        </w:tc>
        <w:tc>
          <w:tcPr>
            <w:tcW w:w="1890" w:type="dxa"/>
            <w:vMerge/>
            <w:tcBorders>
              <w:left w:val="thinThickThinSmallGap" w:sz="24" w:space="0" w:color="auto"/>
            </w:tcBorders>
            <w:shd w:val="clear" w:color="auto" w:fill="FFFFFF" w:themeFill="background1"/>
          </w:tcPr>
          <w:p w:rsidR="00300FF3" w:rsidRPr="004C135D" w:rsidRDefault="00300FF3" w:rsidP="00BF70A6">
            <w:pPr>
              <w:spacing w:line="180" w:lineRule="exact"/>
              <w:contextualSpacing/>
              <w:jc w:val="both"/>
              <w:rPr>
                <w:color w:val="auto"/>
                <w:sz w:val="18"/>
                <w:szCs w:val="18"/>
              </w:rPr>
            </w:pPr>
          </w:p>
        </w:tc>
        <w:tc>
          <w:tcPr>
            <w:tcW w:w="880" w:type="dxa"/>
            <w:vMerge/>
            <w:shd w:val="clear" w:color="auto" w:fill="FFFFFF" w:themeFill="background1"/>
            <w:vAlign w:val="center"/>
          </w:tcPr>
          <w:p w:rsidR="00300FF3" w:rsidRPr="001E0633" w:rsidRDefault="00300FF3" w:rsidP="001E0633">
            <w:pPr>
              <w:spacing w:line="180" w:lineRule="exact"/>
              <w:contextualSpacing/>
              <w:jc w:val="center"/>
              <w:rPr>
                <w:color w:val="auto"/>
                <w:sz w:val="18"/>
                <w:szCs w:val="18"/>
              </w:rPr>
            </w:pPr>
          </w:p>
        </w:tc>
        <w:tc>
          <w:tcPr>
            <w:tcW w:w="810" w:type="dxa"/>
            <w:vMerge/>
            <w:shd w:val="clear" w:color="auto" w:fill="FFFFFF" w:themeFill="background1"/>
            <w:vAlign w:val="center"/>
          </w:tcPr>
          <w:p w:rsidR="00300FF3" w:rsidRDefault="00300FF3" w:rsidP="00BF70A6">
            <w:pPr>
              <w:spacing w:line="180" w:lineRule="exact"/>
              <w:contextualSpacing/>
              <w:jc w:val="center"/>
              <w:rPr>
                <w:color w:val="auto"/>
                <w:sz w:val="18"/>
                <w:szCs w:val="18"/>
              </w:rPr>
            </w:pPr>
          </w:p>
        </w:tc>
        <w:tc>
          <w:tcPr>
            <w:tcW w:w="1080" w:type="dxa"/>
            <w:vMerge/>
            <w:shd w:val="clear" w:color="auto" w:fill="FFFFFF" w:themeFill="background1"/>
            <w:vAlign w:val="center"/>
          </w:tcPr>
          <w:p w:rsidR="00300FF3" w:rsidRPr="001E0633" w:rsidRDefault="00300FF3" w:rsidP="00BF70A6">
            <w:pPr>
              <w:spacing w:line="180" w:lineRule="exact"/>
              <w:contextualSpacing/>
              <w:jc w:val="center"/>
              <w:rPr>
                <w:color w:val="auto"/>
                <w:sz w:val="18"/>
                <w:szCs w:val="18"/>
              </w:rPr>
            </w:pPr>
          </w:p>
        </w:tc>
      </w:tr>
      <w:tr w:rsidR="00300FF3" w:rsidRPr="00FF1022" w:rsidTr="00EC2C65">
        <w:trPr>
          <w:trHeight w:val="125"/>
          <w:jc w:val="center"/>
        </w:trPr>
        <w:tc>
          <w:tcPr>
            <w:tcW w:w="3131" w:type="dxa"/>
            <w:gridSpan w:val="2"/>
            <w:shd w:val="clear" w:color="auto" w:fill="FFFFFF" w:themeFill="background1"/>
            <w:vAlign w:val="center"/>
          </w:tcPr>
          <w:p w:rsidR="00300FF3" w:rsidRPr="004C135D" w:rsidRDefault="00300FF3" w:rsidP="0010792F">
            <w:pPr>
              <w:spacing w:line="180" w:lineRule="exact"/>
              <w:contextualSpacing/>
              <w:rPr>
                <w:color w:val="auto"/>
                <w:sz w:val="18"/>
                <w:szCs w:val="18"/>
              </w:rPr>
            </w:pPr>
            <w:r>
              <w:rPr>
                <w:color w:val="auto"/>
                <w:sz w:val="18"/>
                <w:szCs w:val="18"/>
              </w:rPr>
              <w:t xml:space="preserve">Complex </w:t>
            </w:r>
            <w:r w:rsidR="00EC2C65">
              <w:rPr>
                <w:color w:val="auto"/>
                <w:sz w:val="18"/>
                <w:szCs w:val="18"/>
              </w:rPr>
              <w:t>Tear P</w:t>
            </w:r>
            <w:r w:rsidR="00EC2C65" w:rsidRPr="004C135D">
              <w:rPr>
                <w:color w:val="auto"/>
                <w:sz w:val="18"/>
                <w:szCs w:val="18"/>
              </w:rPr>
              <w:t xml:space="preserve">osterior </w:t>
            </w:r>
            <w:r w:rsidR="00EC2C65">
              <w:rPr>
                <w:color w:val="auto"/>
                <w:sz w:val="18"/>
                <w:szCs w:val="18"/>
              </w:rPr>
              <w:t>H</w:t>
            </w:r>
            <w:r w:rsidR="00EC2C65" w:rsidRPr="004C135D">
              <w:rPr>
                <w:color w:val="auto"/>
                <w:sz w:val="18"/>
                <w:szCs w:val="18"/>
              </w:rPr>
              <w:t>orn</w:t>
            </w:r>
            <w:r w:rsidR="00EC2C65">
              <w:rPr>
                <w:color w:val="auto"/>
                <w:sz w:val="18"/>
                <w:szCs w:val="18"/>
              </w:rPr>
              <w:t xml:space="preserve"> Of The Medial Meniscus…</w:t>
            </w:r>
            <w:r>
              <w:rPr>
                <w:color w:val="auto"/>
                <w:sz w:val="18"/>
                <w:szCs w:val="18"/>
              </w:rPr>
              <w:t xml:space="preserve">L </w:t>
            </w:r>
            <w:r w:rsidR="00EC2C65">
              <w:rPr>
                <w:color w:val="auto"/>
                <w:sz w:val="18"/>
                <w:szCs w:val="18"/>
              </w:rPr>
              <w:t xml:space="preserve">Knee </w:t>
            </w:r>
            <w:proofErr w:type="spellStart"/>
            <w:r w:rsidR="00EC2C65">
              <w:rPr>
                <w:color w:val="auto"/>
                <w:sz w:val="18"/>
                <w:szCs w:val="18"/>
              </w:rPr>
              <w:t>Posteriorly</w:t>
            </w:r>
            <w:proofErr w:type="spellEnd"/>
          </w:p>
        </w:tc>
        <w:tc>
          <w:tcPr>
            <w:tcW w:w="1890" w:type="dxa"/>
            <w:gridSpan w:val="2"/>
            <w:tcBorders>
              <w:right w:val="thinThickThinSmallGap" w:sz="24" w:space="0" w:color="auto"/>
            </w:tcBorders>
            <w:shd w:val="clear" w:color="auto" w:fill="FFFFFF" w:themeFill="background1"/>
            <w:vAlign w:val="center"/>
          </w:tcPr>
          <w:p w:rsidR="00300FF3" w:rsidRPr="004C135D" w:rsidRDefault="00300FF3" w:rsidP="000D2CFD">
            <w:pPr>
              <w:jc w:val="center"/>
              <w:rPr>
                <w:color w:val="auto"/>
                <w:sz w:val="18"/>
                <w:szCs w:val="18"/>
              </w:rPr>
            </w:pPr>
            <w:r w:rsidRPr="004C135D">
              <w:rPr>
                <w:color w:val="auto"/>
                <w:sz w:val="18"/>
                <w:szCs w:val="18"/>
              </w:rPr>
              <w:t>Cat II</w:t>
            </w:r>
          </w:p>
        </w:tc>
        <w:tc>
          <w:tcPr>
            <w:tcW w:w="1890" w:type="dxa"/>
            <w:vMerge/>
            <w:tcBorders>
              <w:left w:val="thinThickThinSmallGap" w:sz="24" w:space="0" w:color="auto"/>
            </w:tcBorders>
            <w:shd w:val="clear" w:color="auto" w:fill="FFFFFF" w:themeFill="background1"/>
          </w:tcPr>
          <w:p w:rsidR="00300FF3" w:rsidRPr="004C135D" w:rsidRDefault="00300FF3" w:rsidP="00BF70A6">
            <w:pPr>
              <w:spacing w:line="180" w:lineRule="exact"/>
              <w:contextualSpacing/>
              <w:jc w:val="both"/>
              <w:rPr>
                <w:color w:val="auto"/>
                <w:sz w:val="18"/>
                <w:szCs w:val="18"/>
              </w:rPr>
            </w:pPr>
          </w:p>
        </w:tc>
        <w:tc>
          <w:tcPr>
            <w:tcW w:w="880" w:type="dxa"/>
            <w:vMerge/>
            <w:shd w:val="clear" w:color="auto" w:fill="FFFFFF" w:themeFill="background1"/>
            <w:vAlign w:val="center"/>
          </w:tcPr>
          <w:p w:rsidR="00300FF3" w:rsidRPr="001E0633" w:rsidRDefault="00300FF3" w:rsidP="001E0633">
            <w:pPr>
              <w:spacing w:line="180" w:lineRule="exact"/>
              <w:contextualSpacing/>
              <w:jc w:val="center"/>
              <w:rPr>
                <w:color w:val="auto"/>
                <w:sz w:val="18"/>
                <w:szCs w:val="18"/>
              </w:rPr>
            </w:pPr>
          </w:p>
        </w:tc>
        <w:tc>
          <w:tcPr>
            <w:tcW w:w="810" w:type="dxa"/>
            <w:vMerge/>
            <w:shd w:val="clear" w:color="auto" w:fill="FFFFFF" w:themeFill="background1"/>
            <w:vAlign w:val="center"/>
          </w:tcPr>
          <w:p w:rsidR="00300FF3" w:rsidRDefault="00300FF3" w:rsidP="00BF70A6">
            <w:pPr>
              <w:spacing w:line="180" w:lineRule="exact"/>
              <w:contextualSpacing/>
              <w:jc w:val="center"/>
              <w:rPr>
                <w:color w:val="auto"/>
                <w:sz w:val="18"/>
                <w:szCs w:val="18"/>
              </w:rPr>
            </w:pPr>
          </w:p>
        </w:tc>
        <w:tc>
          <w:tcPr>
            <w:tcW w:w="1080" w:type="dxa"/>
            <w:vMerge/>
            <w:shd w:val="clear" w:color="auto" w:fill="FFFFFF" w:themeFill="background1"/>
            <w:vAlign w:val="center"/>
          </w:tcPr>
          <w:p w:rsidR="00300FF3" w:rsidRPr="001E0633" w:rsidRDefault="00300FF3" w:rsidP="00BF70A6">
            <w:pPr>
              <w:spacing w:line="180" w:lineRule="exact"/>
              <w:contextualSpacing/>
              <w:jc w:val="center"/>
              <w:rPr>
                <w:color w:val="auto"/>
                <w:sz w:val="18"/>
                <w:szCs w:val="18"/>
              </w:rPr>
            </w:pPr>
          </w:p>
        </w:tc>
      </w:tr>
      <w:tr w:rsidR="00300FF3" w:rsidRPr="00FF1022" w:rsidTr="00EC2C65">
        <w:trPr>
          <w:trHeight w:val="125"/>
          <w:jc w:val="center"/>
        </w:trPr>
        <w:tc>
          <w:tcPr>
            <w:tcW w:w="3131" w:type="dxa"/>
            <w:gridSpan w:val="2"/>
            <w:shd w:val="clear" w:color="auto" w:fill="FFFFFF" w:themeFill="background1"/>
            <w:vAlign w:val="center"/>
          </w:tcPr>
          <w:p w:rsidR="00300FF3" w:rsidRPr="004C135D" w:rsidRDefault="00EC2C65" w:rsidP="00EC2C65">
            <w:pPr>
              <w:spacing w:line="180" w:lineRule="exact"/>
              <w:contextualSpacing/>
              <w:jc w:val="both"/>
              <w:rPr>
                <w:color w:val="auto"/>
                <w:sz w:val="18"/>
                <w:szCs w:val="18"/>
              </w:rPr>
            </w:pPr>
            <w:r w:rsidRPr="004C135D">
              <w:rPr>
                <w:color w:val="auto"/>
                <w:sz w:val="18"/>
                <w:szCs w:val="18"/>
              </w:rPr>
              <w:t xml:space="preserve">Tear </w:t>
            </w:r>
            <w:r>
              <w:rPr>
                <w:color w:val="auto"/>
                <w:sz w:val="18"/>
                <w:szCs w:val="18"/>
              </w:rPr>
              <w:t>ACL L Knee</w:t>
            </w:r>
          </w:p>
        </w:tc>
        <w:tc>
          <w:tcPr>
            <w:tcW w:w="1890" w:type="dxa"/>
            <w:gridSpan w:val="2"/>
            <w:tcBorders>
              <w:right w:val="thinThickThinSmallGap" w:sz="24" w:space="0" w:color="auto"/>
            </w:tcBorders>
            <w:shd w:val="clear" w:color="auto" w:fill="FFFFFF" w:themeFill="background1"/>
            <w:vAlign w:val="center"/>
          </w:tcPr>
          <w:p w:rsidR="00300FF3" w:rsidRPr="004C135D" w:rsidRDefault="00300FF3" w:rsidP="000D2CFD">
            <w:pPr>
              <w:jc w:val="center"/>
              <w:rPr>
                <w:color w:val="auto"/>
                <w:sz w:val="18"/>
                <w:szCs w:val="18"/>
              </w:rPr>
            </w:pPr>
            <w:r w:rsidRPr="004C135D">
              <w:rPr>
                <w:color w:val="auto"/>
                <w:sz w:val="18"/>
                <w:szCs w:val="18"/>
              </w:rPr>
              <w:t>Cat I</w:t>
            </w:r>
            <w:r>
              <w:rPr>
                <w:color w:val="auto"/>
                <w:sz w:val="18"/>
                <w:szCs w:val="18"/>
              </w:rPr>
              <w:t>I</w:t>
            </w:r>
          </w:p>
        </w:tc>
        <w:tc>
          <w:tcPr>
            <w:tcW w:w="1890" w:type="dxa"/>
            <w:vMerge/>
            <w:tcBorders>
              <w:left w:val="thinThickThinSmallGap" w:sz="24" w:space="0" w:color="auto"/>
              <w:bottom w:val="single" w:sz="4" w:space="0" w:color="auto"/>
            </w:tcBorders>
            <w:shd w:val="clear" w:color="auto" w:fill="FFFFFF" w:themeFill="background1"/>
          </w:tcPr>
          <w:p w:rsidR="00300FF3" w:rsidRPr="004C135D" w:rsidRDefault="00300FF3" w:rsidP="00BF70A6">
            <w:pPr>
              <w:spacing w:line="180" w:lineRule="exact"/>
              <w:contextualSpacing/>
              <w:jc w:val="both"/>
              <w:rPr>
                <w:color w:val="auto"/>
                <w:sz w:val="18"/>
                <w:szCs w:val="18"/>
              </w:rPr>
            </w:pPr>
          </w:p>
        </w:tc>
        <w:tc>
          <w:tcPr>
            <w:tcW w:w="880" w:type="dxa"/>
            <w:vMerge/>
            <w:shd w:val="clear" w:color="auto" w:fill="FFFFFF" w:themeFill="background1"/>
            <w:vAlign w:val="center"/>
          </w:tcPr>
          <w:p w:rsidR="00300FF3" w:rsidRPr="001E0633" w:rsidRDefault="00300FF3" w:rsidP="001E0633">
            <w:pPr>
              <w:spacing w:line="180" w:lineRule="exact"/>
              <w:contextualSpacing/>
              <w:jc w:val="center"/>
              <w:rPr>
                <w:color w:val="auto"/>
                <w:sz w:val="18"/>
                <w:szCs w:val="18"/>
              </w:rPr>
            </w:pPr>
          </w:p>
        </w:tc>
        <w:tc>
          <w:tcPr>
            <w:tcW w:w="810" w:type="dxa"/>
            <w:vMerge/>
            <w:shd w:val="clear" w:color="auto" w:fill="FFFFFF" w:themeFill="background1"/>
            <w:vAlign w:val="center"/>
          </w:tcPr>
          <w:p w:rsidR="00300FF3" w:rsidRDefault="00300FF3" w:rsidP="00BF70A6">
            <w:pPr>
              <w:spacing w:line="180" w:lineRule="exact"/>
              <w:contextualSpacing/>
              <w:jc w:val="center"/>
              <w:rPr>
                <w:color w:val="auto"/>
                <w:sz w:val="18"/>
                <w:szCs w:val="18"/>
              </w:rPr>
            </w:pPr>
          </w:p>
        </w:tc>
        <w:tc>
          <w:tcPr>
            <w:tcW w:w="1080" w:type="dxa"/>
            <w:vMerge/>
            <w:shd w:val="clear" w:color="auto" w:fill="FFFFFF" w:themeFill="background1"/>
            <w:vAlign w:val="center"/>
          </w:tcPr>
          <w:p w:rsidR="00300FF3" w:rsidRPr="001E0633" w:rsidRDefault="00300FF3" w:rsidP="00BF70A6">
            <w:pPr>
              <w:spacing w:line="180" w:lineRule="exact"/>
              <w:contextualSpacing/>
              <w:jc w:val="center"/>
              <w:rPr>
                <w:color w:val="auto"/>
                <w:sz w:val="18"/>
                <w:szCs w:val="18"/>
              </w:rPr>
            </w:pPr>
          </w:p>
        </w:tc>
      </w:tr>
      <w:tr w:rsidR="00300FF3" w:rsidRPr="00FF1022" w:rsidTr="00EC2C65">
        <w:trPr>
          <w:trHeight w:val="125"/>
          <w:jc w:val="center"/>
        </w:trPr>
        <w:tc>
          <w:tcPr>
            <w:tcW w:w="5021" w:type="dxa"/>
            <w:gridSpan w:val="4"/>
            <w:tcBorders>
              <w:right w:val="thinThickThinSmallGap" w:sz="24" w:space="0" w:color="auto"/>
            </w:tcBorders>
            <w:shd w:val="clear" w:color="auto" w:fill="FFFFFF" w:themeFill="background1"/>
            <w:vAlign w:val="center"/>
          </w:tcPr>
          <w:p w:rsidR="00300FF3" w:rsidRPr="004C135D" w:rsidRDefault="00300FF3" w:rsidP="000D2CFD">
            <w:pPr>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660" w:type="dxa"/>
            <w:gridSpan w:val="4"/>
            <w:tcBorders>
              <w:left w:val="thinThickThinSmallGap" w:sz="24" w:space="0" w:color="auto"/>
              <w:bottom w:val="single" w:sz="4" w:space="0" w:color="auto"/>
            </w:tcBorders>
            <w:shd w:val="clear" w:color="auto" w:fill="FFFFFF" w:themeFill="background1"/>
          </w:tcPr>
          <w:p w:rsidR="00300FF3" w:rsidRPr="001E0633" w:rsidRDefault="00300FF3" w:rsidP="00BF70A6">
            <w:pPr>
              <w:spacing w:line="180" w:lineRule="exact"/>
              <w:contextualSpacing/>
              <w:jc w:val="center"/>
              <w:rPr>
                <w:color w:val="auto"/>
                <w:sz w:val="18"/>
                <w:szCs w:val="18"/>
              </w:rPr>
            </w:pPr>
            <w:r w:rsidRPr="00E161B9">
              <w:rPr>
                <w:color w:val="auto"/>
                <w:sz w:val="18"/>
                <w:szCs w:val="18"/>
              </w:rPr>
              <w:t xml:space="preserve">0% x </w:t>
            </w:r>
            <w:r>
              <w:rPr>
                <w:color w:val="auto"/>
                <w:sz w:val="18"/>
                <w:szCs w:val="18"/>
              </w:rPr>
              <w:t>0</w:t>
            </w:r>
            <w:r w:rsidRPr="00E161B9">
              <w:rPr>
                <w:color w:val="auto"/>
                <w:sz w:val="18"/>
                <w:szCs w:val="18"/>
              </w:rPr>
              <w:t xml:space="preserve">/Not Service Connected x </w:t>
            </w:r>
            <w:r>
              <w:rPr>
                <w:color w:val="auto"/>
                <w:sz w:val="18"/>
                <w:szCs w:val="18"/>
              </w:rPr>
              <w:t>0</w:t>
            </w:r>
          </w:p>
        </w:tc>
      </w:tr>
      <w:tr w:rsidR="006D4250" w:rsidRPr="00FF1022" w:rsidTr="00EC2C65">
        <w:trPr>
          <w:trHeight w:val="242"/>
          <w:jc w:val="center"/>
        </w:trPr>
        <w:tc>
          <w:tcPr>
            <w:tcW w:w="5021" w:type="dxa"/>
            <w:gridSpan w:val="4"/>
            <w:tcBorders>
              <w:right w:val="thinThickThinSmallGap" w:sz="24" w:space="0" w:color="auto"/>
            </w:tcBorders>
            <w:shd w:val="clear" w:color="auto" w:fill="D9D9D9" w:themeFill="background1" w:themeFillShade="D9"/>
            <w:vAlign w:val="center"/>
          </w:tcPr>
          <w:p w:rsidR="006D4250" w:rsidRPr="00B06930" w:rsidRDefault="00F871D3" w:rsidP="004C135D">
            <w:pPr>
              <w:spacing w:line="200" w:lineRule="exact"/>
              <w:contextualSpacing/>
              <w:jc w:val="center"/>
              <w:rPr>
                <w:b/>
                <w:color w:val="auto"/>
                <w:sz w:val="20"/>
                <w:szCs w:val="20"/>
              </w:rPr>
            </w:pPr>
            <w:r>
              <w:rPr>
                <w:b/>
                <w:color w:val="auto"/>
                <w:sz w:val="20"/>
                <w:szCs w:val="20"/>
              </w:rPr>
              <w:t xml:space="preserve">Final </w:t>
            </w:r>
            <w:r w:rsidR="006D4250" w:rsidRPr="00B06930">
              <w:rPr>
                <w:b/>
                <w:color w:val="auto"/>
                <w:sz w:val="20"/>
                <w:szCs w:val="20"/>
              </w:rPr>
              <w:t xml:space="preserve">Combined:  </w:t>
            </w:r>
            <w:r w:rsidR="004C135D">
              <w:rPr>
                <w:b/>
                <w:color w:val="auto"/>
                <w:sz w:val="20"/>
                <w:szCs w:val="20"/>
              </w:rPr>
              <w:t>10</w:t>
            </w:r>
            <w:r w:rsidR="006D4250" w:rsidRPr="00B06930">
              <w:rPr>
                <w:b/>
                <w:color w:val="auto"/>
                <w:sz w:val="20"/>
                <w:szCs w:val="20"/>
              </w:rPr>
              <w:t>%</w:t>
            </w:r>
          </w:p>
        </w:tc>
        <w:tc>
          <w:tcPr>
            <w:tcW w:w="4660" w:type="dxa"/>
            <w:gridSpan w:val="4"/>
            <w:tcBorders>
              <w:left w:val="thinThickThinSmallGap" w:sz="24" w:space="0" w:color="auto"/>
            </w:tcBorders>
            <w:shd w:val="clear" w:color="auto" w:fill="D9D9D9" w:themeFill="background1" w:themeFillShade="D9"/>
            <w:vAlign w:val="center"/>
          </w:tcPr>
          <w:p w:rsidR="006D4250" w:rsidRPr="00B06930" w:rsidRDefault="00F871D3" w:rsidP="001E0633">
            <w:pPr>
              <w:spacing w:line="200" w:lineRule="exact"/>
              <w:contextualSpacing/>
              <w:jc w:val="center"/>
              <w:rPr>
                <w:b/>
                <w:color w:val="auto"/>
                <w:sz w:val="20"/>
                <w:szCs w:val="20"/>
              </w:rPr>
            </w:pPr>
            <w:r>
              <w:rPr>
                <w:b/>
                <w:color w:val="auto"/>
                <w:sz w:val="20"/>
                <w:szCs w:val="20"/>
              </w:rPr>
              <w:t xml:space="preserve">Total </w:t>
            </w:r>
            <w:r w:rsidR="006D4250" w:rsidRPr="00B06930">
              <w:rPr>
                <w:b/>
                <w:color w:val="auto"/>
                <w:sz w:val="20"/>
                <w:szCs w:val="20"/>
              </w:rPr>
              <w:t xml:space="preserve">Combined: </w:t>
            </w:r>
            <w:r w:rsidR="00E57FED" w:rsidRPr="00B06930">
              <w:rPr>
                <w:b/>
                <w:color w:val="auto"/>
                <w:sz w:val="20"/>
                <w:szCs w:val="20"/>
              </w:rPr>
              <w:t xml:space="preserve"> </w:t>
            </w:r>
            <w:r w:rsidR="001E0633">
              <w:rPr>
                <w:b/>
                <w:color w:val="auto"/>
                <w:sz w:val="20"/>
                <w:szCs w:val="20"/>
              </w:rPr>
              <w:t>3</w:t>
            </w:r>
            <w:r w:rsidR="006F0F9C">
              <w:rPr>
                <w:b/>
                <w:color w:val="auto"/>
                <w:sz w:val="20"/>
                <w:szCs w:val="20"/>
              </w:rPr>
              <w:t>0</w:t>
            </w:r>
            <w:r w:rsidR="006D4250" w:rsidRPr="00B06930">
              <w:rPr>
                <w:b/>
                <w:color w:val="auto"/>
                <w:sz w:val="20"/>
                <w:szCs w:val="20"/>
              </w:rPr>
              <w:t>%</w:t>
            </w:r>
          </w:p>
        </w:tc>
      </w:tr>
    </w:tbl>
    <w:p w:rsidR="00300FF3" w:rsidRDefault="00437D18"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p>
    <w:p w:rsidR="00F1737C" w:rsidRDefault="00300FF3" w:rsidP="00510F9C">
      <w:pPr>
        <w:pBdr>
          <w:bottom w:val="single" w:sz="12" w:space="1" w:color="auto"/>
        </w:pBdr>
        <w:tabs>
          <w:tab w:val="left" w:pos="288"/>
          <w:tab w:val="left" w:pos="4752"/>
        </w:tabs>
        <w:spacing w:line="240" w:lineRule="exact"/>
        <w:jc w:val="both"/>
        <w:rPr>
          <w:color w:val="auto"/>
          <w:sz w:val="18"/>
          <w:szCs w:val="18"/>
        </w:rPr>
      </w:pPr>
      <w:r>
        <w:rPr>
          <w:color w:val="auto"/>
          <w:sz w:val="18"/>
          <w:szCs w:val="18"/>
        </w:rPr>
        <w:t>**Raised</w:t>
      </w:r>
      <w:r w:rsidR="00C74193">
        <w:rPr>
          <w:color w:val="auto"/>
          <w:sz w:val="18"/>
          <w:szCs w:val="18"/>
        </w:rPr>
        <w:t xml:space="preserve"> from 20% on additional </w:t>
      </w:r>
      <w:r>
        <w:rPr>
          <w:color w:val="auto"/>
          <w:sz w:val="18"/>
          <w:szCs w:val="18"/>
        </w:rPr>
        <w:t>information</w:t>
      </w:r>
      <w:r w:rsidR="00C74193">
        <w:rPr>
          <w:color w:val="auto"/>
          <w:sz w:val="18"/>
          <w:szCs w:val="18"/>
        </w:rPr>
        <w:t xml:space="preserve"> on 20001028</w:t>
      </w:r>
      <w:r>
        <w:rPr>
          <w:color w:val="auto"/>
          <w:sz w:val="18"/>
          <w:szCs w:val="18"/>
        </w:rPr>
        <w:t>; 100% after surgery and during recovery</w:t>
      </w:r>
    </w:p>
    <w:p w:rsidR="00700BDE" w:rsidRPr="00700BDE" w:rsidRDefault="002C6E5B" w:rsidP="0010792F">
      <w:pPr>
        <w:spacing w:line="240" w:lineRule="exact"/>
        <w:jc w:val="both"/>
        <w:rPr>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10792F" w:rsidRPr="0010792F">
        <w:rPr>
          <w:color w:val="auto"/>
          <w:szCs w:val="24"/>
        </w:rPr>
        <w:t xml:space="preserve"> </w:t>
      </w:r>
      <w:r w:rsidR="00700BDE">
        <w:rPr>
          <w:color w:val="auto"/>
          <w:szCs w:val="24"/>
        </w:rPr>
        <w:t xml:space="preserve"> </w:t>
      </w:r>
      <w:r w:rsidR="00700BDE" w:rsidRPr="00700BDE">
        <w:rPr>
          <w:rFonts w:asciiTheme="minorHAnsi" w:hAnsiTheme="minorHAnsi"/>
          <w:color w:val="auto"/>
          <w:szCs w:val="24"/>
        </w:rPr>
        <w:t xml:space="preserve">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Disability Evaluation System 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 operating under a different set of laws (Title 38, United States Code), is empowered to periodically re-evaluate Veterans for the purpose of adjusting the disability rating should </w:t>
      </w:r>
      <w:r w:rsidR="00EC2C65">
        <w:rPr>
          <w:rFonts w:asciiTheme="minorHAnsi" w:hAnsiTheme="minorHAnsi"/>
          <w:color w:val="auto"/>
          <w:szCs w:val="24"/>
        </w:rPr>
        <w:t>the</w:t>
      </w:r>
      <w:r w:rsidR="00700BDE" w:rsidRPr="00700BDE">
        <w:rPr>
          <w:rFonts w:asciiTheme="minorHAnsi" w:hAnsiTheme="minorHAnsi"/>
          <w:color w:val="auto"/>
          <w:szCs w:val="24"/>
        </w:rPr>
        <w:t xml:space="preserve"> degree of impairment vary over time, and to compensate for all service connected conditions</w:t>
      </w:r>
      <w:r w:rsidR="00EC2C65">
        <w:rPr>
          <w:rFonts w:asciiTheme="minorHAnsi" w:hAnsiTheme="minorHAnsi"/>
          <w:color w:val="auto"/>
          <w:szCs w:val="24"/>
        </w:rPr>
        <w:t>,</w:t>
      </w:r>
      <w:r w:rsidR="00700BDE" w:rsidRPr="00700BDE">
        <w:rPr>
          <w:rFonts w:asciiTheme="minorHAnsi" w:hAnsiTheme="minorHAnsi"/>
          <w:color w:val="auto"/>
          <w:szCs w:val="24"/>
        </w:rPr>
        <w:t xml:space="preserve"> without </w:t>
      </w:r>
      <w:r w:rsidR="00EC2C65">
        <w:rPr>
          <w:rFonts w:asciiTheme="minorHAnsi" w:hAnsiTheme="minorHAnsi"/>
          <w:color w:val="auto"/>
          <w:szCs w:val="24"/>
        </w:rPr>
        <w:t xml:space="preserve">a </w:t>
      </w:r>
      <w:r w:rsidR="00700BDE" w:rsidRPr="00700BDE">
        <w:rPr>
          <w:rFonts w:asciiTheme="minorHAnsi" w:hAnsiTheme="minorHAnsi"/>
          <w:color w:val="auto"/>
          <w:szCs w:val="24"/>
        </w:rPr>
        <w:t>tie to fitness.</w:t>
      </w:r>
    </w:p>
    <w:p w:rsidR="001C37C6" w:rsidRDefault="001C37C6" w:rsidP="001C37C6">
      <w:pPr>
        <w:spacing w:line="240" w:lineRule="exact"/>
        <w:jc w:val="both"/>
        <w:rPr>
          <w:rFonts w:asciiTheme="minorHAnsi" w:hAnsiTheme="minorHAnsi"/>
          <w:color w:val="auto"/>
          <w:szCs w:val="24"/>
          <w:u w:val="single"/>
        </w:rPr>
      </w:pPr>
    </w:p>
    <w:p w:rsidR="005D46A7" w:rsidRDefault="00A01B04" w:rsidP="001C37C6">
      <w:pPr>
        <w:spacing w:line="240" w:lineRule="exact"/>
        <w:jc w:val="both"/>
        <w:rPr>
          <w:rFonts w:asciiTheme="minorHAnsi" w:hAnsiTheme="minorHAnsi"/>
          <w:color w:val="auto"/>
          <w:szCs w:val="24"/>
        </w:rPr>
      </w:pPr>
      <w:proofErr w:type="gramStart"/>
      <w:r w:rsidRPr="00A01B04">
        <w:rPr>
          <w:rFonts w:asciiTheme="minorHAnsi" w:hAnsiTheme="minorHAnsi"/>
          <w:color w:val="auto"/>
          <w:szCs w:val="24"/>
          <w:u w:val="single"/>
        </w:rPr>
        <w:t xml:space="preserve">Left ACL </w:t>
      </w:r>
      <w:r w:rsidR="00EC2C65" w:rsidRPr="00A01B04">
        <w:rPr>
          <w:rFonts w:asciiTheme="minorHAnsi" w:hAnsiTheme="minorHAnsi"/>
          <w:color w:val="auto"/>
          <w:szCs w:val="24"/>
          <w:u w:val="single"/>
        </w:rPr>
        <w:t xml:space="preserve">Reconstruction </w:t>
      </w:r>
      <w:r w:rsidR="00EC2C65">
        <w:rPr>
          <w:rFonts w:asciiTheme="minorHAnsi" w:hAnsiTheme="minorHAnsi"/>
          <w:color w:val="auto"/>
          <w:szCs w:val="24"/>
          <w:u w:val="single"/>
        </w:rPr>
        <w:t>a</w:t>
      </w:r>
      <w:r w:rsidR="00EC2C65" w:rsidRPr="00A01B04">
        <w:rPr>
          <w:rFonts w:asciiTheme="minorHAnsi" w:hAnsiTheme="minorHAnsi"/>
          <w:color w:val="auto"/>
          <w:szCs w:val="24"/>
          <w:u w:val="single"/>
        </w:rPr>
        <w:t xml:space="preserve">nd Medial Meniscus Repair </w:t>
      </w:r>
      <w:r w:rsidR="00EC2C65">
        <w:rPr>
          <w:rFonts w:asciiTheme="minorHAnsi" w:hAnsiTheme="minorHAnsi"/>
          <w:color w:val="auto"/>
          <w:szCs w:val="24"/>
          <w:u w:val="single"/>
        </w:rPr>
        <w:t>w</w:t>
      </w:r>
      <w:r w:rsidR="00EC2C65" w:rsidRPr="00A01B04">
        <w:rPr>
          <w:rFonts w:asciiTheme="minorHAnsi" w:hAnsiTheme="minorHAnsi"/>
          <w:color w:val="auto"/>
          <w:szCs w:val="24"/>
          <w:u w:val="single"/>
        </w:rPr>
        <w:t>ith Chronic Pain</w:t>
      </w:r>
      <w:r>
        <w:rPr>
          <w:rFonts w:asciiTheme="minorHAnsi" w:hAnsiTheme="minorHAnsi"/>
          <w:color w:val="auto"/>
          <w:szCs w:val="24"/>
        </w:rPr>
        <w:t>.</w:t>
      </w:r>
      <w:proofErr w:type="gramEnd"/>
      <w:r>
        <w:rPr>
          <w:rFonts w:asciiTheme="minorHAnsi" w:hAnsiTheme="minorHAnsi"/>
          <w:color w:val="auto"/>
          <w:szCs w:val="24"/>
        </w:rPr>
        <w:t xml:space="preserve">  The CI was four weeks into basic trai</w:t>
      </w:r>
      <w:r w:rsidR="00DC045F">
        <w:rPr>
          <w:rFonts w:asciiTheme="minorHAnsi" w:hAnsiTheme="minorHAnsi"/>
          <w:color w:val="auto"/>
          <w:szCs w:val="24"/>
        </w:rPr>
        <w:t>ni</w:t>
      </w:r>
      <w:r>
        <w:rPr>
          <w:rFonts w:asciiTheme="minorHAnsi" w:hAnsiTheme="minorHAnsi"/>
          <w:color w:val="auto"/>
          <w:szCs w:val="24"/>
        </w:rPr>
        <w:t>ng when he twis</w:t>
      </w:r>
      <w:r w:rsidR="002427F1">
        <w:rPr>
          <w:rFonts w:asciiTheme="minorHAnsi" w:hAnsiTheme="minorHAnsi"/>
          <w:color w:val="auto"/>
          <w:szCs w:val="24"/>
        </w:rPr>
        <w:t xml:space="preserve">ted his left knee in </w:t>
      </w:r>
      <w:proofErr w:type="spellStart"/>
      <w:r w:rsidR="002427F1">
        <w:rPr>
          <w:rFonts w:asciiTheme="minorHAnsi" w:hAnsiTheme="minorHAnsi"/>
          <w:color w:val="auto"/>
          <w:szCs w:val="24"/>
        </w:rPr>
        <w:t>pugil</w:t>
      </w:r>
      <w:proofErr w:type="spellEnd"/>
      <w:r w:rsidR="002427F1">
        <w:rPr>
          <w:rFonts w:asciiTheme="minorHAnsi" w:hAnsiTheme="minorHAnsi"/>
          <w:color w:val="auto"/>
          <w:szCs w:val="24"/>
        </w:rPr>
        <w:t xml:space="preserve"> stick training.  Orthopedic exam several weeks later noted a 1+ effusion with a 1+ Lachman test</w:t>
      </w:r>
      <w:r w:rsidR="00FD43DA">
        <w:rPr>
          <w:rFonts w:asciiTheme="minorHAnsi" w:hAnsiTheme="minorHAnsi"/>
          <w:color w:val="auto"/>
          <w:szCs w:val="24"/>
        </w:rPr>
        <w:t xml:space="preserve"> (i.e.</w:t>
      </w:r>
      <w:r w:rsidR="0047318C">
        <w:rPr>
          <w:rFonts w:asciiTheme="minorHAnsi" w:hAnsiTheme="minorHAnsi"/>
          <w:color w:val="auto"/>
          <w:szCs w:val="24"/>
        </w:rPr>
        <w:t>,</w:t>
      </w:r>
      <w:r w:rsidR="00FD43DA">
        <w:rPr>
          <w:rFonts w:asciiTheme="minorHAnsi" w:hAnsiTheme="minorHAnsi"/>
          <w:color w:val="auto"/>
          <w:szCs w:val="24"/>
        </w:rPr>
        <w:t xml:space="preserve"> positive anterior instability)</w:t>
      </w:r>
      <w:r w:rsidR="002427F1">
        <w:rPr>
          <w:rFonts w:asciiTheme="minorHAnsi" w:hAnsiTheme="minorHAnsi"/>
          <w:color w:val="auto"/>
          <w:szCs w:val="24"/>
        </w:rPr>
        <w:t>.  No medial or lat</w:t>
      </w:r>
      <w:r w:rsidR="00FD43DA">
        <w:rPr>
          <w:rFonts w:asciiTheme="minorHAnsi" w:hAnsiTheme="minorHAnsi"/>
          <w:color w:val="auto"/>
          <w:szCs w:val="24"/>
        </w:rPr>
        <w:t xml:space="preserve">eral instability was noted.  </w:t>
      </w:r>
      <w:r w:rsidR="00EC2C65">
        <w:rPr>
          <w:rFonts w:asciiTheme="minorHAnsi" w:hAnsiTheme="minorHAnsi"/>
          <w:color w:val="auto"/>
          <w:szCs w:val="24"/>
        </w:rPr>
        <w:t xml:space="preserve">Magnetic resonance imaging </w:t>
      </w:r>
      <w:r w:rsidR="002427F1">
        <w:rPr>
          <w:rFonts w:asciiTheme="minorHAnsi" w:hAnsiTheme="minorHAnsi"/>
          <w:color w:val="auto"/>
          <w:szCs w:val="24"/>
        </w:rPr>
        <w:t>showed a tear of the ACL and posterior horn of the medial meniscus with a fragm</w:t>
      </w:r>
      <w:r w:rsidR="00FD43DA">
        <w:rPr>
          <w:rFonts w:asciiTheme="minorHAnsi" w:hAnsiTheme="minorHAnsi"/>
          <w:color w:val="auto"/>
          <w:szCs w:val="24"/>
        </w:rPr>
        <w:t>ent displaced toward</w:t>
      </w:r>
      <w:r w:rsidR="002427F1">
        <w:rPr>
          <w:rFonts w:asciiTheme="minorHAnsi" w:hAnsiTheme="minorHAnsi"/>
          <w:color w:val="auto"/>
          <w:szCs w:val="24"/>
        </w:rPr>
        <w:t xml:space="preserve"> the notch.  There was also evidence of medial collateral ligament strain.  It was determined that he would not be able to finish training in a reasonable period of time and MEB </w:t>
      </w:r>
      <w:r w:rsidR="00FD43DA">
        <w:rPr>
          <w:rFonts w:asciiTheme="minorHAnsi" w:hAnsiTheme="minorHAnsi"/>
          <w:color w:val="auto"/>
          <w:szCs w:val="24"/>
        </w:rPr>
        <w:t xml:space="preserve">was </w:t>
      </w:r>
      <w:r w:rsidR="002427F1">
        <w:rPr>
          <w:rFonts w:asciiTheme="minorHAnsi" w:hAnsiTheme="minorHAnsi"/>
          <w:color w:val="auto"/>
          <w:szCs w:val="24"/>
        </w:rPr>
        <w:t>recommended.  Range of motion (ROM) was not documented</w:t>
      </w:r>
      <w:r w:rsidR="00EC2C65">
        <w:rPr>
          <w:rFonts w:asciiTheme="minorHAnsi" w:hAnsiTheme="minorHAnsi"/>
          <w:color w:val="auto"/>
          <w:szCs w:val="24"/>
        </w:rPr>
        <w:t>,</w:t>
      </w:r>
      <w:r w:rsidR="002427F1">
        <w:rPr>
          <w:rFonts w:asciiTheme="minorHAnsi" w:hAnsiTheme="minorHAnsi"/>
          <w:color w:val="auto"/>
          <w:szCs w:val="24"/>
        </w:rPr>
        <w:t xml:space="preserve"> although at a previous appointment it was noted to be 30-115 degrees.  He was placed on TDRL effective 1 April 1999</w:t>
      </w:r>
      <w:r w:rsidR="00C74193">
        <w:rPr>
          <w:rFonts w:asciiTheme="minorHAnsi" w:hAnsiTheme="minorHAnsi"/>
          <w:color w:val="auto"/>
          <w:szCs w:val="24"/>
        </w:rPr>
        <w:t xml:space="preserve"> with a 30% disability rating</w:t>
      </w:r>
      <w:r w:rsidR="002427F1">
        <w:rPr>
          <w:rFonts w:asciiTheme="minorHAnsi" w:hAnsiTheme="minorHAnsi"/>
          <w:color w:val="auto"/>
          <w:szCs w:val="24"/>
        </w:rPr>
        <w:t>.</w:t>
      </w:r>
      <w:r w:rsidR="00DC045F">
        <w:rPr>
          <w:rFonts w:asciiTheme="minorHAnsi" w:hAnsiTheme="minorHAnsi"/>
          <w:color w:val="auto"/>
          <w:szCs w:val="24"/>
        </w:rPr>
        <w:t xml:space="preserve">  Two months later</w:t>
      </w:r>
      <w:r w:rsidR="00890364">
        <w:rPr>
          <w:rFonts w:asciiTheme="minorHAnsi" w:hAnsiTheme="minorHAnsi"/>
          <w:color w:val="auto"/>
          <w:szCs w:val="24"/>
        </w:rPr>
        <w:t>, the</w:t>
      </w:r>
      <w:r w:rsidR="00DC045F">
        <w:rPr>
          <w:rFonts w:asciiTheme="minorHAnsi" w:hAnsiTheme="minorHAnsi"/>
          <w:color w:val="auto"/>
          <w:szCs w:val="24"/>
        </w:rPr>
        <w:t xml:space="preserve"> </w:t>
      </w:r>
      <w:r w:rsidR="00226344">
        <w:rPr>
          <w:rFonts w:asciiTheme="minorHAnsi" w:hAnsiTheme="minorHAnsi"/>
          <w:color w:val="auto"/>
          <w:szCs w:val="24"/>
        </w:rPr>
        <w:t xml:space="preserve">VA compensation and pension (C&amp;P) exam </w:t>
      </w:r>
      <w:r w:rsidR="00DC045F">
        <w:rPr>
          <w:rFonts w:asciiTheme="minorHAnsi" w:hAnsiTheme="minorHAnsi"/>
          <w:color w:val="auto"/>
          <w:szCs w:val="24"/>
        </w:rPr>
        <w:t xml:space="preserve">on </w:t>
      </w:r>
      <w:r w:rsidR="00226344">
        <w:rPr>
          <w:rFonts w:asciiTheme="minorHAnsi" w:hAnsiTheme="minorHAnsi"/>
          <w:color w:val="auto"/>
          <w:szCs w:val="24"/>
        </w:rPr>
        <w:t>3 June 1999</w:t>
      </w:r>
      <w:r w:rsidR="00FD43DA">
        <w:rPr>
          <w:rFonts w:asciiTheme="minorHAnsi" w:hAnsiTheme="minorHAnsi"/>
          <w:color w:val="auto"/>
          <w:szCs w:val="24"/>
        </w:rPr>
        <w:t xml:space="preserve"> showed</w:t>
      </w:r>
      <w:r w:rsidR="00226344">
        <w:rPr>
          <w:rFonts w:asciiTheme="minorHAnsi" w:hAnsiTheme="minorHAnsi"/>
          <w:color w:val="auto"/>
          <w:szCs w:val="24"/>
        </w:rPr>
        <w:t xml:space="preserve"> that he complained of s</w:t>
      </w:r>
      <w:r w:rsidR="00FD43DA">
        <w:rPr>
          <w:rFonts w:asciiTheme="minorHAnsi" w:hAnsiTheme="minorHAnsi"/>
          <w:color w:val="auto"/>
          <w:szCs w:val="24"/>
        </w:rPr>
        <w:t>welling and used a brace.  A</w:t>
      </w:r>
      <w:r w:rsidR="00226344">
        <w:rPr>
          <w:rFonts w:asciiTheme="minorHAnsi" w:hAnsiTheme="minorHAnsi"/>
          <w:color w:val="auto"/>
          <w:szCs w:val="24"/>
        </w:rPr>
        <w:t xml:space="preserve"> slight limp was noted with the left knee brace.  Mild muscle atrophy was noted below the knee.  ROM of the right knee was noted to be within normal limits with extension from 0-100 degrees and flexion from 0-140 degrees.  </w:t>
      </w:r>
      <w:r w:rsidR="002562F1">
        <w:rPr>
          <w:rFonts w:asciiTheme="minorHAnsi" w:hAnsiTheme="minorHAnsi"/>
          <w:color w:val="auto"/>
          <w:szCs w:val="24"/>
        </w:rPr>
        <w:t>ROM of the left knee was slightly decreased with extension from 0-170 degrees and flexion from 0-140 degrees</w:t>
      </w:r>
      <w:r w:rsidR="00EC2C65">
        <w:rPr>
          <w:rFonts w:asciiTheme="minorHAnsi" w:hAnsiTheme="minorHAnsi"/>
          <w:color w:val="auto"/>
          <w:szCs w:val="24"/>
        </w:rPr>
        <w:t xml:space="preserve"> </w:t>
      </w:r>
      <w:r w:rsidR="00700BDE">
        <w:rPr>
          <w:rFonts w:asciiTheme="minorHAnsi" w:hAnsiTheme="minorHAnsi"/>
          <w:color w:val="auto"/>
          <w:szCs w:val="24"/>
        </w:rPr>
        <w:t>(</w:t>
      </w:r>
      <w:r w:rsidR="00EC2C65">
        <w:rPr>
          <w:rFonts w:asciiTheme="minorHAnsi" w:hAnsiTheme="minorHAnsi"/>
          <w:color w:val="auto"/>
          <w:szCs w:val="24"/>
        </w:rPr>
        <w:t>t</w:t>
      </w:r>
      <w:r w:rsidR="00700BDE">
        <w:rPr>
          <w:rFonts w:asciiTheme="minorHAnsi" w:hAnsiTheme="minorHAnsi"/>
          <w:color w:val="auto"/>
          <w:szCs w:val="24"/>
        </w:rPr>
        <w:t>hese may represent</w:t>
      </w:r>
      <w:r w:rsidR="002562F1" w:rsidRPr="0010792F">
        <w:rPr>
          <w:rFonts w:asciiTheme="minorHAnsi" w:hAnsiTheme="minorHAnsi"/>
          <w:color w:val="auto"/>
          <w:szCs w:val="24"/>
        </w:rPr>
        <w:t xml:space="preserve"> typos)</w:t>
      </w:r>
      <w:r w:rsidR="00EC2C65">
        <w:rPr>
          <w:rFonts w:asciiTheme="minorHAnsi" w:hAnsiTheme="minorHAnsi"/>
          <w:color w:val="auto"/>
          <w:szCs w:val="24"/>
        </w:rPr>
        <w:t>.</w:t>
      </w:r>
      <w:r w:rsidR="002562F1" w:rsidRPr="0010792F">
        <w:rPr>
          <w:rFonts w:asciiTheme="minorHAnsi" w:hAnsiTheme="minorHAnsi"/>
          <w:color w:val="auto"/>
          <w:szCs w:val="24"/>
        </w:rPr>
        <w:t xml:space="preserve">  The drawers test was positive with slightly dec</w:t>
      </w:r>
      <w:r w:rsidR="002562F1">
        <w:rPr>
          <w:rFonts w:asciiTheme="minorHAnsi" w:hAnsiTheme="minorHAnsi"/>
          <w:color w:val="auto"/>
          <w:szCs w:val="24"/>
        </w:rPr>
        <w:t xml:space="preserve">reased motor strength.  </w:t>
      </w:r>
      <w:r w:rsidR="00C74193">
        <w:rPr>
          <w:rFonts w:asciiTheme="minorHAnsi" w:hAnsiTheme="minorHAnsi"/>
          <w:color w:val="auto"/>
          <w:szCs w:val="24"/>
        </w:rPr>
        <w:t>The CI was initially granted 20% disability for dislocation of the semilunar cartilage with pain and effusion on the 1 D</w:t>
      </w:r>
      <w:r w:rsidR="00EC2C65">
        <w:rPr>
          <w:rFonts w:asciiTheme="minorHAnsi" w:hAnsiTheme="minorHAnsi"/>
          <w:color w:val="auto"/>
          <w:szCs w:val="24"/>
        </w:rPr>
        <w:t>ecember 1999 VA rating decision</w:t>
      </w:r>
      <w:r w:rsidR="00C74193">
        <w:rPr>
          <w:rFonts w:asciiTheme="minorHAnsi" w:hAnsiTheme="minorHAnsi"/>
          <w:color w:val="auto"/>
          <w:szCs w:val="24"/>
        </w:rPr>
        <w:t>.  On review, the VA upheld this decision</w:t>
      </w:r>
      <w:r w:rsidR="00EC2C65">
        <w:rPr>
          <w:rFonts w:asciiTheme="minorHAnsi" w:hAnsiTheme="minorHAnsi"/>
          <w:color w:val="auto"/>
          <w:szCs w:val="24"/>
        </w:rPr>
        <w:t xml:space="preserve"> (</w:t>
      </w:r>
      <w:r w:rsidR="00C74193">
        <w:rPr>
          <w:rFonts w:asciiTheme="minorHAnsi" w:hAnsiTheme="minorHAnsi"/>
          <w:color w:val="auto"/>
          <w:szCs w:val="24"/>
        </w:rPr>
        <w:t>3 February 2000 VA</w:t>
      </w:r>
      <w:r w:rsidR="00EC2C65">
        <w:rPr>
          <w:rFonts w:asciiTheme="minorHAnsi" w:hAnsiTheme="minorHAnsi"/>
          <w:color w:val="auto"/>
          <w:szCs w:val="24"/>
        </w:rPr>
        <w:t xml:space="preserve"> rating decision)</w:t>
      </w:r>
      <w:r w:rsidR="00C74193">
        <w:rPr>
          <w:rFonts w:asciiTheme="minorHAnsi" w:hAnsiTheme="minorHAnsi"/>
          <w:color w:val="auto"/>
          <w:szCs w:val="24"/>
        </w:rPr>
        <w:t>.  The CI appealed</w:t>
      </w:r>
      <w:r w:rsidR="00EC2C65">
        <w:rPr>
          <w:rFonts w:asciiTheme="minorHAnsi" w:hAnsiTheme="minorHAnsi"/>
          <w:color w:val="auto"/>
          <w:szCs w:val="24"/>
        </w:rPr>
        <w:t>,</w:t>
      </w:r>
      <w:r w:rsidR="00C74193">
        <w:rPr>
          <w:rFonts w:asciiTheme="minorHAnsi" w:hAnsiTheme="minorHAnsi"/>
          <w:color w:val="auto"/>
          <w:szCs w:val="24"/>
        </w:rPr>
        <w:t xml:space="preserve"> and the VA increased the disabi</w:t>
      </w:r>
      <w:r w:rsidR="00B44EB9">
        <w:rPr>
          <w:rFonts w:asciiTheme="minorHAnsi" w:hAnsiTheme="minorHAnsi"/>
          <w:color w:val="auto"/>
          <w:szCs w:val="24"/>
        </w:rPr>
        <w:t xml:space="preserve">lity </w:t>
      </w:r>
      <w:r w:rsidR="00EC2C65">
        <w:rPr>
          <w:rFonts w:asciiTheme="minorHAnsi" w:hAnsiTheme="minorHAnsi"/>
          <w:color w:val="auto"/>
          <w:szCs w:val="24"/>
        </w:rPr>
        <w:t xml:space="preserve">rating </w:t>
      </w:r>
      <w:r w:rsidR="00B44EB9">
        <w:rPr>
          <w:rFonts w:asciiTheme="minorHAnsi" w:hAnsiTheme="minorHAnsi"/>
          <w:color w:val="auto"/>
          <w:szCs w:val="24"/>
        </w:rPr>
        <w:t>to 30%</w:t>
      </w:r>
      <w:r w:rsidR="00C74193">
        <w:rPr>
          <w:rFonts w:asciiTheme="minorHAnsi" w:hAnsiTheme="minorHAnsi"/>
          <w:color w:val="auto"/>
          <w:szCs w:val="24"/>
        </w:rPr>
        <w:t>.  The VA granted 100% disability from 22 November 2000 to 31 January 2001 for recovery from surgery</w:t>
      </w:r>
      <w:r w:rsidR="00775B90">
        <w:rPr>
          <w:rFonts w:asciiTheme="minorHAnsi" w:hAnsiTheme="minorHAnsi"/>
          <w:color w:val="auto"/>
          <w:szCs w:val="24"/>
        </w:rPr>
        <w:t xml:space="preserve">, but there is no record that </w:t>
      </w:r>
      <w:r w:rsidR="00FD43DA">
        <w:rPr>
          <w:rFonts w:asciiTheme="minorHAnsi" w:hAnsiTheme="minorHAnsi"/>
          <w:color w:val="auto"/>
          <w:szCs w:val="24"/>
        </w:rPr>
        <w:t>the</w:t>
      </w:r>
      <w:r w:rsidR="00775B90">
        <w:rPr>
          <w:rFonts w:asciiTheme="minorHAnsi" w:hAnsiTheme="minorHAnsi"/>
          <w:color w:val="auto"/>
          <w:szCs w:val="24"/>
        </w:rPr>
        <w:t xml:space="preserve"> CI </w:t>
      </w:r>
      <w:r w:rsidR="00FD43DA">
        <w:rPr>
          <w:rFonts w:asciiTheme="minorHAnsi" w:hAnsiTheme="minorHAnsi"/>
          <w:color w:val="auto"/>
          <w:szCs w:val="24"/>
        </w:rPr>
        <w:t xml:space="preserve">was reevaluated </w:t>
      </w:r>
      <w:r w:rsidR="00890364">
        <w:rPr>
          <w:rFonts w:asciiTheme="minorHAnsi" w:hAnsiTheme="minorHAnsi"/>
          <w:color w:val="auto"/>
          <w:szCs w:val="24"/>
        </w:rPr>
        <w:t>after</w:t>
      </w:r>
      <w:r w:rsidR="00775B90">
        <w:rPr>
          <w:rFonts w:asciiTheme="minorHAnsi" w:hAnsiTheme="minorHAnsi"/>
          <w:color w:val="auto"/>
          <w:szCs w:val="24"/>
        </w:rPr>
        <w:t xml:space="preserve"> the surgery</w:t>
      </w:r>
      <w:r w:rsidR="00C74193">
        <w:rPr>
          <w:rFonts w:asciiTheme="minorHAnsi" w:hAnsiTheme="minorHAnsi"/>
          <w:color w:val="auto"/>
          <w:szCs w:val="24"/>
        </w:rPr>
        <w:t xml:space="preserve">.  On 22 November 2000, the CI underwent left knee </w:t>
      </w:r>
      <w:r w:rsidR="00775B90">
        <w:rPr>
          <w:rFonts w:asciiTheme="minorHAnsi" w:hAnsiTheme="minorHAnsi"/>
          <w:color w:val="auto"/>
          <w:szCs w:val="24"/>
        </w:rPr>
        <w:t>arthroscopy</w:t>
      </w:r>
      <w:r w:rsidR="00C74193">
        <w:rPr>
          <w:rFonts w:asciiTheme="minorHAnsi" w:hAnsiTheme="minorHAnsi"/>
          <w:color w:val="auto"/>
          <w:szCs w:val="24"/>
        </w:rPr>
        <w:t xml:space="preserve"> and had reconstruction of the ACL</w:t>
      </w:r>
      <w:r w:rsidR="00775B90">
        <w:rPr>
          <w:rFonts w:asciiTheme="minorHAnsi" w:hAnsiTheme="minorHAnsi"/>
          <w:color w:val="auto"/>
          <w:szCs w:val="24"/>
        </w:rPr>
        <w:t xml:space="preserve"> and</w:t>
      </w:r>
      <w:r w:rsidR="00C74193">
        <w:rPr>
          <w:rFonts w:asciiTheme="minorHAnsi" w:hAnsiTheme="minorHAnsi"/>
          <w:color w:val="auto"/>
          <w:szCs w:val="24"/>
        </w:rPr>
        <w:t xml:space="preserve"> a sub-total </w:t>
      </w:r>
      <w:proofErr w:type="spellStart"/>
      <w:r w:rsidR="00C74193">
        <w:rPr>
          <w:rFonts w:asciiTheme="minorHAnsi" w:hAnsiTheme="minorHAnsi"/>
          <w:color w:val="auto"/>
          <w:szCs w:val="24"/>
        </w:rPr>
        <w:t>meniscectomy</w:t>
      </w:r>
      <w:proofErr w:type="spellEnd"/>
      <w:r w:rsidR="00C74193">
        <w:rPr>
          <w:rFonts w:asciiTheme="minorHAnsi" w:hAnsiTheme="minorHAnsi"/>
          <w:color w:val="auto"/>
          <w:szCs w:val="24"/>
        </w:rPr>
        <w:t xml:space="preserve"> of the </w:t>
      </w:r>
      <w:r w:rsidR="00C74193" w:rsidRPr="0010792F">
        <w:rPr>
          <w:rFonts w:asciiTheme="minorHAnsi" w:hAnsiTheme="minorHAnsi"/>
          <w:color w:val="auto"/>
          <w:szCs w:val="24"/>
        </w:rPr>
        <w:t>medial meniscus</w:t>
      </w:r>
      <w:r w:rsidR="00775B90" w:rsidRPr="0010792F">
        <w:rPr>
          <w:rFonts w:asciiTheme="minorHAnsi" w:hAnsiTheme="minorHAnsi"/>
          <w:color w:val="auto"/>
          <w:szCs w:val="24"/>
        </w:rPr>
        <w:t xml:space="preserve">.  The portion of the meniscus lodged in the notch was reduced and then debrided.  He was next seen </w:t>
      </w:r>
      <w:r w:rsidR="00EC2C65">
        <w:rPr>
          <w:rFonts w:asciiTheme="minorHAnsi" w:hAnsiTheme="minorHAnsi"/>
          <w:color w:val="auto"/>
          <w:szCs w:val="24"/>
        </w:rPr>
        <w:t xml:space="preserve">on </w:t>
      </w:r>
      <w:r w:rsidR="00A00D99" w:rsidRPr="0010792F">
        <w:rPr>
          <w:rFonts w:asciiTheme="minorHAnsi" w:hAnsiTheme="minorHAnsi"/>
          <w:color w:val="auto"/>
          <w:szCs w:val="24"/>
        </w:rPr>
        <w:t>1 July 2002 when it was noted that he reinjured his knee after being struck by a drunk driver several months previously</w:t>
      </w:r>
      <w:r w:rsidR="00700BDE">
        <w:rPr>
          <w:rFonts w:asciiTheme="minorHAnsi" w:hAnsiTheme="minorHAnsi"/>
          <w:color w:val="auto"/>
          <w:szCs w:val="24"/>
        </w:rPr>
        <w:t>, not in the line of duty</w:t>
      </w:r>
      <w:r w:rsidR="00A00D99" w:rsidRPr="0010792F">
        <w:rPr>
          <w:rFonts w:asciiTheme="minorHAnsi" w:hAnsiTheme="minorHAnsi"/>
          <w:color w:val="auto"/>
          <w:szCs w:val="24"/>
        </w:rPr>
        <w:t>.</w:t>
      </w:r>
      <w:r w:rsidR="00A00D99">
        <w:rPr>
          <w:rFonts w:asciiTheme="minorHAnsi" w:hAnsiTheme="minorHAnsi"/>
          <w:color w:val="auto"/>
          <w:szCs w:val="24"/>
        </w:rPr>
        <w:t xml:space="preserve">  He had problems with uneven surfaces and with kneeling.  On exam, he was noted to have stability to </w:t>
      </w:r>
      <w:proofErr w:type="spellStart"/>
      <w:r w:rsidR="00A00D99">
        <w:rPr>
          <w:rFonts w:asciiTheme="minorHAnsi" w:hAnsiTheme="minorHAnsi"/>
          <w:color w:val="auto"/>
          <w:szCs w:val="24"/>
        </w:rPr>
        <w:t>valgus</w:t>
      </w:r>
      <w:proofErr w:type="spellEnd"/>
      <w:r w:rsidR="00A00D99">
        <w:rPr>
          <w:rFonts w:asciiTheme="minorHAnsi" w:hAnsiTheme="minorHAnsi"/>
          <w:color w:val="auto"/>
          <w:szCs w:val="24"/>
        </w:rPr>
        <w:t xml:space="preserve"> and </w:t>
      </w:r>
      <w:proofErr w:type="spellStart"/>
      <w:r w:rsidR="00A00D99">
        <w:rPr>
          <w:rFonts w:asciiTheme="minorHAnsi" w:hAnsiTheme="minorHAnsi"/>
          <w:color w:val="auto"/>
          <w:szCs w:val="24"/>
        </w:rPr>
        <w:t>varus</w:t>
      </w:r>
      <w:proofErr w:type="spellEnd"/>
      <w:r w:rsidR="00A00D99">
        <w:rPr>
          <w:rFonts w:asciiTheme="minorHAnsi" w:hAnsiTheme="minorHAnsi"/>
          <w:color w:val="auto"/>
          <w:szCs w:val="24"/>
        </w:rPr>
        <w:t xml:space="preserve"> stress with a negative </w:t>
      </w:r>
      <w:proofErr w:type="spellStart"/>
      <w:r w:rsidR="00A00D99">
        <w:rPr>
          <w:rFonts w:asciiTheme="minorHAnsi" w:hAnsiTheme="minorHAnsi"/>
          <w:color w:val="auto"/>
          <w:szCs w:val="24"/>
        </w:rPr>
        <w:t>Lachman’s</w:t>
      </w:r>
      <w:proofErr w:type="spellEnd"/>
      <w:r w:rsidR="00A00D99">
        <w:rPr>
          <w:rFonts w:asciiTheme="minorHAnsi" w:hAnsiTheme="minorHAnsi"/>
          <w:color w:val="auto"/>
          <w:szCs w:val="24"/>
        </w:rPr>
        <w:t xml:space="preserve"> with a definite endpoint.  There was mild clicking on McMurray’s</w:t>
      </w:r>
      <w:r w:rsidR="00746E66">
        <w:rPr>
          <w:rFonts w:asciiTheme="minorHAnsi" w:hAnsiTheme="minorHAnsi"/>
          <w:color w:val="auto"/>
          <w:szCs w:val="24"/>
        </w:rPr>
        <w:t>,</w:t>
      </w:r>
      <w:r w:rsidR="00A00D99">
        <w:rPr>
          <w:rFonts w:asciiTheme="minorHAnsi" w:hAnsiTheme="minorHAnsi"/>
          <w:color w:val="auto"/>
          <w:szCs w:val="24"/>
        </w:rPr>
        <w:t xml:space="preserve"> but no lateral or medial joint line tenderness.  A </w:t>
      </w:r>
      <w:r w:rsidR="005D46A7">
        <w:rPr>
          <w:rFonts w:asciiTheme="minorHAnsi" w:hAnsiTheme="minorHAnsi"/>
          <w:color w:val="auto"/>
          <w:szCs w:val="24"/>
        </w:rPr>
        <w:t xml:space="preserve">chart note of the </w:t>
      </w:r>
      <w:r w:rsidR="00A00D99">
        <w:rPr>
          <w:rFonts w:asciiTheme="minorHAnsi" w:hAnsiTheme="minorHAnsi"/>
          <w:color w:val="auto"/>
          <w:szCs w:val="24"/>
        </w:rPr>
        <w:t>second orthopedic exam</w:t>
      </w:r>
      <w:r w:rsidR="00890364" w:rsidRPr="00890364">
        <w:rPr>
          <w:rFonts w:asciiTheme="minorHAnsi" w:hAnsiTheme="minorHAnsi"/>
          <w:color w:val="auto"/>
          <w:szCs w:val="24"/>
        </w:rPr>
        <w:t xml:space="preserve"> </w:t>
      </w:r>
      <w:r w:rsidR="00890364">
        <w:rPr>
          <w:rFonts w:asciiTheme="minorHAnsi" w:hAnsiTheme="minorHAnsi"/>
          <w:color w:val="auto"/>
          <w:szCs w:val="24"/>
        </w:rPr>
        <w:t>for TDRL purposes</w:t>
      </w:r>
      <w:r w:rsidR="00A00D99">
        <w:rPr>
          <w:rFonts w:asciiTheme="minorHAnsi" w:hAnsiTheme="minorHAnsi"/>
          <w:color w:val="auto"/>
          <w:szCs w:val="24"/>
        </w:rPr>
        <w:t>, dated 29 Jul</w:t>
      </w:r>
      <w:r w:rsidR="00EC2C65">
        <w:rPr>
          <w:rFonts w:asciiTheme="minorHAnsi" w:hAnsiTheme="minorHAnsi"/>
          <w:color w:val="auto"/>
          <w:szCs w:val="24"/>
        </w:rPr>
        <w:t>y</w:t>
      </w:r>
      <w:r w:rsidR="00A00D99">
        <w:rPr>
          <w:rFonts w:asciiTheme="minorHAnsi" w:hAnsiTheme="minorHAnsi"/>
          <w:color w:val="auto"/>
          <w:szCs w:val="24"/>
        </w:rPr>
        <w:t xml:space="preserve"> 2002, is illegible, but the </w:t>
      </w:r>
      <w:r w:rsidR="005D46A7">
        <w:rPr>
          <w:rFonts w:asciiTheme="minorHAnsi" w:hAnsiTheme="minorHAnsi"/>
          <w:color w:val="auto"/>
          <w:szCs w:val="24"/>
        </w:rPr>
        <w:t>report of the exam is included</w:t>
      </w:r>
      <w:r w:rsidR="00DC045F">
        <w:rPr>
          <w:rFonts w:asciiTheme="minorHAnsi" w:hAnsiTheme="minorHAnsi"/>
          <w:color w:val="auto"/>
          <w:szCs w:val="24"/>
        </w:rPr>
        <w:t xml:space="preserve"> in the </w:t>
      </w:r>
      <w:r w:rsidR="00EC2C65">
        <w:rPr>
          <w:rFonts w:asciiTheme="minorHAnsi" w:hAnsiTheme="minorHAnsi"/>
          <w:color w:val="auto"/>
          <w:szCs w:val="24"/>
        </w:rPr>
        <w:t>narrative summary</w:t>
      </w:r>
      <w:r w:rsidR="00A00D99">
        <w:rPr>
          <w:rFonts w:asciiTheme="minorHAnsi" w:hAnsiTheme="minorHAnsi"/>
          <w:color w:val="auto"/>
          <w:szCs w:val="24"/>
        </w:rPr>
        <w:t xml:space="preserve">.  </w:t>
      </w:r>
      <w:r w:rsidR="005D46A7">
        <w:rPr>
          <w:rFonts w:asciiTheme="minorHAnsi" w:hAnsiTheme="minorHAnsi"/>
          <w:color w:val="auto"/>
          <w:szCs w:val="24"/>
        </w:rPr>
        <w:t xml:space="preserve">It </w:t>
      </w:r>
      <w:r w:rsidR="00746E66">
        <w:rPr>
          <w:rFonts w:asciiTheme="minorHAnsi" w:hAnsiTheme="minorHAnsi"/>
          <w:color w:val="auto"/>
          <w:szCs w:val="24"/>
        </w:rPr>
        <w:t xml:space="preserve">was </w:t>
      </w:r>
      <w:r w:rsidR="005D46A7">
        <w:rPr>
          <w:rFonts w:asciiTheme="minorHAnsi" w:hAnsiTheme="minorHAnsi"/>
          <w:color w:val="auto"/>
          <w:szCs w:val="24"/>
        </w:rPr>
        <w:t xml:space="preserve">noted that he had persistent pain and could not run nor stand for prolonged periods of time.  Full </w:t>
      </w:r>
      <w:r w:rsidR="00EC2C65">
        <w:rPr>
          <w:rFonts w:asciiTheme="minorHAnsi" w:hAnsiTheme="minorHAnsi"/>
          <w:color w:val="auto"/>
          <w:szCs w:val="24"/>
        </w:rPr>
        <w:t>ROM</w:t>
      </w:r>
      <w:r w:rsidR="005D46A7">
        <w:rPr>
          <w:rFonts w:asciiTheme="minorHAnsi" w:hAnsiTheme="minorHAnsi"/>
          <w:color w:val="auto"/>
          <w:szCs w:val="24"/>
        </w:rPr>
        <w:t xml:space="preserve"> was noted without effusion.  Positive quadriceps inhibition was noted as was tenderness over the patellar facets.  Minimal medial joint line tenderness was present without lateral joint line tenderness.  The Lachman showed 5mm of laxity compared with 4mm of the unaffected right knee.  Both had solid endpoints.  There was no evidence of </w:t>
      </w:r>
      <w:proofErr w:type="spellStart"/>
      <w:r w:rsidR="005D46A7">
        <w:rPr>
          <w:rFonts w:asciiTheme="minorHAnsi" w:hAnsiTheme="minorHAnsi"/>
          <w:color w:val="auto"/>
          <w:szCs w:val="24"/>
        </w:rPr>
        <w:t>valgus</w:t>
      </w:r>
      <w:proofErr w:type="spellEnd"/>
      <w:r w:rsidR="005D46A7">
        <w:rPr>
          <w:rFonts w:asciiTheme="minorHAnsi" w:hAnsiTheme="minorHAnsi"/>
          <w:color w:val="auto"/>
          <w:szCs w:val="24"/>
        </w:rPr>
        <w:t xml:space="preserve"> or </w:t>
      </w:r>
      <w:proofErr w:type="spellStart"/>
      <w:r w:rsidR="005D46A7">
        <w:rPr>
          <w:rFonts w:asciiTheme="minorHAnsi" w:hAnsiTheme="minorHAnsi"/>
          <w:color w:val="auto"/>
          <w:szCs w:val="24"/>
        </w:rPr>
        <w:t>varus</w:t>
      </w:r>
      <w:proofErr w:type="spellEnd"/>
      <w:r w:rsidR="005D46A7">
        <w:rPr>
          <w:rFonts w:asciiTheme="minorHAnsi" w:hAnsiTheme="minorHAnsi"/>
          <w:color w:val="auto"/>
          <w:szCs w:val="24"/>
        </w:rPr>
        <w:t xml:space="preserve"> laxity.  </w:t>
      </w:r>
      <w:r w:rsidR="00A00D99">
        <w:rPr>
          <w:rFonts w:asciiTheme="minorHAnsi" w:hAnsiTheme="minorHAnsi"/>
          <w:color w:val="auto"/>
          <w:szCs w:val="24"/>
        </w:rPr>
        <w:t xml:space="preserve">A </w:t>
      </w:r>
      <w:r w:rsidR="005D46A7">
        <w:rPr>
          <w:rFonts w:asciiTheme="minorHAnsi" w:hAnsiTheme="minorHAnsi"/>
          <w:color w:val="auto"/>
          <w:szCs w:val="24"/>
        </w:rPr>
        <w:t>civilian</w:t>
      </w:r>
      <w:r w:rsidR="00A00D99">
        <w:rPr>
          <w:rFonts w:asciiTheme="minorHAnsi" w:hAnsiTheme="minorHAnsi"/>
          <w:color w:val="auto"/>
          <w:szCs w:val="24"/>
        </w:rPr>
        <w:t xml:space="preserve"> orthopedic </w:t>
      </w:r>
      <w:r w:rsidR="00746E66">
        <w:rPr>
          <w:rFonts w:asciiTheme="minorHAnsi" w:hAnsiTheme="minorHAnsi"/>
          <w:color w:val="auto"/>
          <w:szCs w:val="24"/>
        </w:rPr>
        <w:t xml:space="preserve">exam dated 21 November 2002 noted </w:t>
      </w:r>
      <w:r w:rsidR="00A00D99">
        <w:rPr>
          <w:rFonts w:asciiTheme="minorHAnsi" w:hAnsiTheme="minorHAnsi"/>
          <w:color w:val="auto"/>
          <w:szCs w:val="24"/>
        </w:rPr>
        <w:t>full passive ROM</w:t>
      </w:r>
      <w:r w:rsidR="00EC2C65">
        <w:rPr>
          <w:rFonts w:asciiTheme="minorHAnsi" w:hAnsiTheme="minorHAnsi"/>
          <w:color w:val="auto"/>
          <w:szCs w:val="24"/>
        </w:rPr>
        <w:t>,</w:t>
      </w:r>
      <w:r w:rsidR="00A00D99">
        <w:rPr>
          <w:rFonts w:asciiTheme="minorHAnsi" w:hAnsiTheme="minorHAnsi"/>
          <w:color w:val="auto"/>
          <w:szCs w:val="24"/>
        </w:rPr>
        <w:t xml:space="preserve"> without effusion or deformity.  Lachman and McMurray were negative</w:t>
      </w:r>
      <w:r w:rsidR="00A00D99" w:rsidRPr="0010792F">
        <w:rPr>
          <w:rFonts w:asciiTheme="minorHAnsi" w:hAnsiTheme="minorHAnsi"/>
          <w:color w:val="auto"/>
          <w:szCs w:val="24"/>
        </w:rPr>
        <w:t xml:space="preserve">.  An apprehension test was positive and </w:t>
      </w:r>
      <w:proofErr w:type="spellStart"/>
      <w:r w:rsidR="00A00D99" w:rsidRPr="0010792F">
        <w:rPr>
          <w:rFonts w:asciiTheme="minorHAnsi" w:hAnsiTheme="minorHAnsi"/>
          <w:color w:val="auto"/>
          <w:szCs w:val="24"/>
        </w:rPr>
        <w:t>crepitus</w:t>
      </w:r>
      <w:proofErr w:type="spellEnd"/>
      <w:r w:rsidR="00A00D99" w:rsidRPr="0010792F">
        <w:rPr>
          <w:rFonts w:asciiTheme="minorHAnsi" w:hAnsiTheme="minorHAnsi"/>
          <w:color w:val="auto"/>
          <w:szCs w:val="24"/>
        </w:rPr>
        <w:t xml:space="preserve"> was present when rising from a squat.  The left calf was 1 cm smaller than the right.</w:t>
      </w:r>
      <w:r w:rsidR="005D46A7" w:rsidRPr="0010792F">
        <w:rPr>
          <w:rFonts w:asciiTheme="minorHAnsi" w:hAnsiTheme="minorHAnsi"/>
          <w:color w:val="auto"/>
          <w:szCs w:val="24"/>
        </w:rPr>
        <w:t xml:space="preserve">  </w:t>
      </w:r>
      <w:r w:rsidR="003830BF" w:rsidRPr="0010792F">
        <w:rPr>
          <w:rFonts w:asciiTheme="minorHAnsi" w:hAnsiTheme="minorHAnsi"/>
          <w:color w:val="auto"/>
          <w:szCs w:val="24"/>
        </w:rPr>
        <w:t xml:space="preserve">The CI noted that he had continued popping and occasional giving way.  </w:t>
      </w:r>
      <w:r w:rsidR="0047318C">
        <w:rPr>
          <w:rFonts w:asciiTheme="minorHAnsi" w:hAnsiTheme="minorHAnsi"/>
          <w:color w:val="auto"/>
          <w:szCs w:val="24"/>
        </w:rPr>
        <w:t>T</w:t>
      </w:r>
      <w:r w:rsidR="003830BF" w:rsidRPr="0010792F">
        <w:rPr>
          <w:rFonts w:asciiTheme="minorHAnsi" w:hAnsiTheme="minorHAnsi"/>
          <w:color w:val="auto"/>
          <w:szCs w:val="24"/>
        </w:rPr>
        <w:t xml:space="preserve">he record reveals </w:t>
      </w:r>
      <w:r w:rsidR="002F08CD" w:rsidRPr="0010792F">
        <w:rPr>
          <w:rFonts w:asciiTheme="minorHAnsi" w:hAnsiTheme="minorHAnsi"/>
          <w:color w:val="auto"/>
          <w:szCs w:val="24"/>
        </w:rPr>
        <w:t>a</w:t>
      </w:r>
      <w:r w:rsidR="003830BF" w:rsidRPr="0010792F">
        <w:rPr>
          <w:rFonts w:asciiTheme="minorHAnsi" w:hAnsiTheme="minorHAnsi"/>
          <w:color w:val="auto"/>
          <w:szCs w:val="24"/>
        </w:rPr>
        <w:t xml:space="preserve"> history of </w:t>
      </w:r>
      <w:r w:rsidR="002F08CD" w:rsidRPr="0010792F">
        <w:rPr>
          <w:rFonts w:asciiTheme="minorHAnsi" w:hAnsiTheme="minorHAnsi"/>
          <w:color w:val="auto"/>
          <w:szCs w:val="24"/>
        </w:rPr>
        <w:t xml:space="preserve">occasional </w:t>
      </w:r>
      <w:r w:rsidR="003830BF" w:rsidRPr="0010792F">
        <w:rPr>
          <w:rFonts w:asciiTheme="minorHAnsi" w:hAnsiTheme="minorHAnsi"/>
          <w:color w:val="auto"/>
          <w:szCs w:val="24"/>
        </w:rPr>
        <w:t>locking</w:t>
      </w:r>
      <w:r w:rsidR="002F08CD" w:rsidRPr="0010792F">
        <w:rPr>
          <w:rFonts w:asciiTheme="minorHAnsi" w:hAnsiTheme="minorHAnsi"/>
          <w:color w:val="auto"/>
          <w:szCs w:val="24"/>
        </w:rPr>
        <w:t xml:space="preserve"> on the 3 June 1999 VA exam and also </w:t>
      </w:r>
      <w:r w:rsidR="003830BF" w:rsidRPr="0010792F">
        <w:rPr>
          <w:rFonts w:asciiTheme="minorHAnsi" w:hAnsiTheme="minorHAnsi"/>
          <w:color w:val="auto"/>
          <w:szCs w:val="24"/>
        </w:rPr>
        <w:t>of</w:t>
      </w:r>
      <w:r w:rsidR="003830BF">
        <w:rPr>
          <w:rFonts w:asciiTheme="minorHAnsi" w:hAnsiTheme="minorHAnsi"/>
          <w:color w:val="auto"/>
          <w:szCs w:val="24"/>
        </w:rPr>
        <w:t xml:space="preserve"> the knee “popping” out of joint prior to surgery.  </w:t>
      </w:r>
      <w:r w:rsidR="005D46A7">
        <w:rPr>
          <w:rFonts w:asciiTheme="minorHAnsi" w:hAnsiTheme="minorHAnsi"/>
          <w:color w:val="auto"/>
          <w:szCs w:val="24"/>
        </w:rPr>
        <w:t>Three goniometric examinations are available for review.  Of the two proximate to TDR</w:t>
      </w:r>
      <w:r w:rsidR="002E7422">
        <w:rPr>
          <w:rFonts w:asciiTheme="minorHAnsi" w:hAnsiTheme="minorHAnsi"/>
          <w:color w:val="auto"/>
          <w:szCs w:val="24"/>
        </w:rPr>
        <w:t>L</w:t>
      </w:r>
      <w:r w:rsidR="005D46A7">
        <w:rPr>
          <w:rFonts w:asciiTheme="minorHAnsi" w:hAnsiTheme="minorHAnsi"/>
          <w:color w:val="auto"/>
          <w:szCs w:val="24"/>
        </w:rPr>
        <w:t xml:space="preserve"> entry, the </w:t>
      </w:r>
      <w:r w:rsidR="0047318C">
        <w:rPr>
          <w:rFonts w:asciiTheme="minorHAnsi" w:hAnsiTheme="minorHAnsi"/>
          <w:color w:val="auto"/>
          <w:szCs w:val="24"/>
        </w:rPr>
        <w:t>physical therapy</w:t>
      </w:r>
      <w:r w:rsidR="005D46A7">
        <w:rPr>
          <w:rFonts w:asciiTheme="minorHAnsi" w:hAnsiTheme="minorHAnsi"/>
          <w:color w:val="auto"/>
          <w:szCs w:val="24"/>
        </w:rPr>
        <w:t xml:space="preserve"> exam is more remote and still reflects the acute injury.  T</w:t>
      </w:r>
      <w:r w:rsidR="00746E66">
        <w:rPr>
          <w:rFonts w:asciiTheme="minorHAnsi" w:hAnsiTheme="minorHAnsi"/>
          <w:color w:val="auto"/>
          <w:szCs w:val="24"/>
        </w:rPr>
        <w:t>hu</w:t>
      </w:r>
      <w:r w:rsidR="0047318C">
        <w:rPr>
          <w:rFonts w:asciiTheme="minorHAnsi" w:hAnsiTheme="minorHAnsi"/>
          <w:color w:val="auto"/>
          <w:szCs w:val="24"/>
        </w:rPr>
        <w:t>s,</w:t>
      </w:r>
      <w:r w:rsidR="00746E66">
        <w:rPr>
          <w:rFonts w:asciiTheme="minorHAnsi" w:hAnsiTheme="minorHAnsi"/>
          <w:color w:val="auto"/>
          <w:szCs w:val="24"/>
        </w:rPr>
        <w:t xml:space="preserve"> t</w:t>
      </w:r>
      <w:r w:rsidR="005D46A7">
        <w:rPr>
          <w:rFonts w:asciiTheme="minorHAnsi" w:hAnsiTheme="minorHAnsi"/>
          <w:color w:val="auto"/>
          <w:szCs w:val="24"/>
        </w:rPr>
        <w:t>he VA exam is thought to have higher probative value.  There is only one exam proximate to TDRL exit.</w:t>
      </w:r>
    </w:p>
    <w:p w:rsidR="005D46A7" w:rsidRDefault="005D46A7" w:rsidP="005D46A7">
      <w:pPr>
        <w:spacing w:line="240" w:lineRule="exact"/>
        <w:rPr>
          <w:rFonts w:asciiTheme="minorHAnsi" w:hAnsiTheme="minorHAnsi"/>
          <w:color w:val="auto"/>
          <w:szCs w:val="24"/>
        </w:rPr>
      </w:pPr>
    </w:p>
    <w:tbl>
      <w:tblPr>
        <w:tblW w:w="8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4"/>
        <w:gridCol w:w="2310"/>
        <w:gridCol w:w="2310"/>
        <w:gridCol w:w="2310"/>
      </w:tblGrid>
      <w:tr w:rsidR="00226344" w:rsidRPr="00BC6F46" w:rsidTr="005D46A7">
        <w:trPr>
          <w:jc w:val="center"/>
        </w:trPr>
        <w:tc>
          <w:tcPr>
            <w:tcW w:w="1884" w:type="dxa"/>
            <w:vMerge w:val="restart"/>
            <w:shd w:val="clear" w:color="auto" w:fill="D9D9D9" w:themeFill="background1" w:themeFillShade="D9"/>
          </w:tcPr>
          <w:p w:rsidR="00226344" w:rsidRPr="00BC6F46" w:rsidRDefault="00226344" w:rsidP="00C74193">
            <w:pPr>
              <w:spacing w:line="240" w:lineRule="exact"/>
              <w:contextualSpacing/>
              <w:jc w:val="center"/>
              <w:rPr>
                <w:rFonts w:eastAsia="Calibri"/>
                <w:color w:val="auto"/>
                <w:sz w:val="20"/>
              </w:rPr>
            </w:pPr>
            <w:r>
              <w:rPr>
                <w:rFonts w:eastAsia="Calibri"/>
                <w:color w:val="auto"/>
                <w:sz w:val="20"/>
              </w:rPr>
              <w:t>Goniometric ROM</w:t>
            </w:r>
          </w:p>
          <w:p w:rsidR="00226344" w:rsidRPr="00BC6F46" w:rsidRDefault="00226344" w:rsidP="00C74193">
            <w:pPr>
              <w:spacing w:line="240" w:lineRule="exact"/>
              <w:contextualSpacing/>
              <w:jc w:val="center"/>
              <w:rPr>
                <w:rFonts w:eastAsia="Calibri"/>
                <w:color w:val="auto"/>
                <w:sz w:val="20"/>
              </w:rPr>
            </w:pPr>
            <w:r w:rsidRPr="00BC6F46">
              <w:rPr>
                <w:rFonts w:eastAsia="Calibri"/>
                <w:color w:val="auto"/>
                <w:sz w:val="20"/>
              </w:rPr>
              <w:t>Knees</w:t>
            </w:r>
          </w:p>
        </w:tc>
        <w:tc>
          <w:tcPr>
            <w:tcW w:w="2310" w:type="dxa"/>
            <w:shd w:val="clear" w:color="auto" w:fill="D9D9D9" w:themeFill="background1" w:themeFillShade="D9"/>
            <w:vAlign w:val="center"/>
          </w:tcPr>
          <w:p w:rsidR="00226344" w:rsidRPr="00BC6F46" w:rsidRDefault="00226344" w:rsidP="002562F1">
            <w:pPr>
              <w:spacing w:line="240" w:lineRule="exact"/>
              <w:contextualSpacing/>
              <w:jc w:val="center"/>
              <w:rPr>
                <w:rFonts w:eastAsia="Calibri"/>
                <w:color w:val="auto"/>
                <w:sz w:val="20"/>
              </w:rPr>
            </w:pPr>
            <w:r>
              <w:rPr>
                <w:rFonts w:asciiTheme="minorHAnsi" w:eastAsia="Calibri" w:hAnsiTheme="minorHAnsi"/>
                <w:color w:val="auto"/>
                <w:sz w:val="20"/>
              </w:rPr>
              <w:t>PT</w:t>
            </w:r>
            <w:r w:rsidRPr="0013147A">
              <w:rPr>
                <w:rFonts w:asciiTheme="minorHAnsi" w:eastAsia="Calibri" w:hAnsiTheme="minorHAnsi"/>
                <w:color w:val="auto"/>
                <w:sz w:val="20"/>
              </w:rPr>
              <w:t xml:space="preserve"> ~ </w:t>
            </w:r>
            <w:r>
              <w:rPr>
                <w:rFonts w:asciiTheme="minorHAnsi" w:eastAsia="Calibri" w:hAnsiTheme="minorHAnsi"/>
                <w:color w:val="auto"/>
                <w:sz w:val="20"/>
              </w:rPr>
              <w:t xml:space="preserve">4 </w:t>
            </w:r>
            <w:r w:rsidRPr="0013147A">
              <w:rPr>
                <w:rFonts w:asciiTheme="minorHAnsi" w:eastAsia="Calibri" w:hAnsiTheme="minorHAnsi"/>
                <w:color w:val="auto"/>
                <w:sz w:val="20"/>
              </w:rPr>
              <w:t>Mo. Pre-</w:t>
            </w:r>
            <w:r>
              <w:rPr>
                <w:rFonts w:asciiTheme="minorHAnsi" w:eastAsia="Calibri" w:hAnsiTheme="minorHAnsi"/>
                <w:color w:val="auto"/>
                <w:sz w:val="20"/>
              </w:rPr>
              <w:t>TDRL</w:t>
            </w:r>
            <w:r w:rsidR="002562F1">
              <w:rPr>
                <w:rFonts w:asciiTheme="minorHAnsi" w:eastAsia="Calibri" w:hAnsiTheme="minorHAnsi"/>
                <w:color w:val="auto"/>
                <w:sz w:val="20"/>
              </w:rPr>
              <w:t xml:space="preserve"> entry</w:t>
            </w:r>
          </w:p>
        </w:tc>
        <w:tc>
          <w:tcPr>
            <w:tcW w:w="2310" w:type="dxa"/>
            <w:shd w:val="clear" w:color="auto" w:fill="D9D9D9" w:themeFill="background1" w:themeFillShade="D9"/>
            <w:vAlign w:val="center"/>
          </w:tcPr>
          <w:p w:rsidR="00226344" w:rsidRPr="00BC6F46" w:rsidRDefault="00226344" w:rsidP="00226344">
            <w:pPr>
              <w:spacing w:line="240" w:lineRule="exact"/>
              <w:contextualSpacing/>
              <w:jc w:val="center"/>
              <w:rPr>
                <w:rFonts w:eastAsia="Calibri"/>
                <w:color w:val="auto"/>
                <w:sz w:val="20"/>
              </w:rPr>
            </w:pPr>
            <w:r w:rsidRPr="0013147A">
              <w:rPr>
                <w:rFonts w:asciiTheme="minorHAnsi" w:eastAsia="Calibri" w:hAnsiTheme="minorHAnsi"/>
                <w:color w:val="auto"/>
                <w:sz w:val="20"/>
              </w:rPr>
              <w:t>VA</w:t>
            </w:r>
            <w:r w:rsidRPr="0013147A">
              <w:rPr>
                <w:rFonts w:asciiTheme="minorHAnsi" w:eastAsiaTheme="minorHAnsi" w:hAnsiTheme="minorHAnsi" w:cstheme="minorBidi"/>
                <w:color w:val="auto"/>
                <w:sz w:val="20"/>
              </w:rPr>
              <w:t xml:space="preserve"> C&amp;P </w:t>
            </w:r>
            <w:r w:rsidRPr="0013147A">
              <w:rPr>
                <w:rFonts w:asciiTheme="minorHAnsi" w:eastAsia="Calibri" w:hAnsiTheme="minorHAnsi"/>
                <w:color w:val="auto"/>
                <w:sz w:val="20"/>
              </w:rPr>
              <w:t xml:space="preserve">~ </w:t>
            </w:r>
            <w:r>
              <w:rPr>
                <w:rFonts w:asciiTheme="minorHAnsi" w:eastAsia="Calibri" w:hAnsiTheme="minorHAnsi"/>
                <w:color w:val="auto"/>
                <w:sz w:val="20"/>
              </w:rPr>
              <w:t>2</w:t>
            </w:r>
            <w:r w:rsidRPr="0013147A">
              <w:rPr>
                <w:rFonts w:asciiTheme="minorHAnsi" w:eastAsia="Calibri" w:hAnsiTheme="minorHAnsi"/>
                <w:color w:val="auto"/>
                <w:sz w:val="20"/>
              </w:rPr>
              <w:t xml:space="preserve"> Mo. After-</w:t>
            </w:r>
            <w:r>
              <w:rPr>
                <w:rFonts w:asciiTheme="minorHAnsi" w:eastAsia="Calibri" w:hAnsiTheme="minorHAnsi"/>
                <w:color w:val="auto"/>
                <w:sz w:val="20"/>
              </w:rPr>
              <w:t>TDRL</w:t>
            </w:r>
            <w:r w:rsidR="002562F1">
              <w:rPr>
                <w:rFonts w:asciiTheme="minorHAnsi" w:eastAsia="Calibri" w:hAnsiTheme="minorHAnsi"/>
                <w:color w:val="auto"/>
                <w:sz w:val="20"/>
              </w:rPr>
              <w:t xml:space="preserve"> entry</w:t>
            </w:r>
          </w:p>
        </w:tc>
        <w:tc>
          <w:tcPr>
            <w:tcW w:w="2310" w:type="dxa"/>
            <w:shd w:val="clear" w:color="auto" w:fill="D9D9D9" w:themeFill="background1" w:themeFillShade="D9"/>
          </w:tcPr>
          <w:p w:rsidR="00226344" w:rsidRDefault="005D46A7" w:rsidP="00C74193">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Ortho 29 Jul 02</w:t>
            </w:r>
          </w:p>
          <w:p w:rsidR="005D46A7" w:rsidRPr="0013147A" w:rsidRDefault="001D7445" w:rsidP="005D46A7">
            <w:pPr>
              <w:spacing w:line="240" w:lineRule="exact"/>
              <w:contextualSpacing/>
              <w:jc w:val="center"/>
              <w:rPr>
                <w:rFonts w:asciiTheme="minorHAnsi" w:eastAsia="Calibri" w:hAnsiTheme="minorHAnsi"/>
                <w:color w:val="auto"/>
                <w:sz w:val="20"/>
              </w:rPr>
            </w:pPr>
            <w:r>
              <w:rPr>
                <w:rFonts w:asciiTheme="minorHAnsi" w:eastAsia="Calibri" w:hAnsiTheme="minorHAnsi"/>
                <w:color w:val="auto"/>
                <w:sz w:val="20"/>
              </w:rPr>
              <w:t>5</w:t>
            </w:r>
            <w:r w:rsidR="005D46A7">
              <w:rPr>
                <w:rFonts w:asciiTheme="minorHAnsi" w:eastAsia="Calibri" w:hAnsiTheme="minorHAnsi"/>
                <w:color w:val="auto"/>
                <w:sz w:val="20"/>
              </w:rPr>
              <w:t xml:space="preserve"> Mo. Pre-TDRL exit</w:t>
            </w:r>
          </w:p>
        </w:tc>
      </w:tr>
      <w:tr w:rsidR="00226344" w:rsidRPr="00BC6F46" w:rsidTr="005D46A7">
        <w:trPr>
          <w:jc w:val="center"/>
        </w:trPr>
        <w:tc>
          <w:tcPr>
            <w:tcW w:w="1884" w:type="dxa"/>
            <w:vMerge/>
            <w:shd w:val="clear" w:color="auto" w:fill="D9D9D9" w:themeFill="background1" w:themeFillShade="D9"/>
          </w:tcPr>
          <w:p w:rsidR="00226344" w:rsidRPr="00BC6F46" w:rsidRDefault="00226344" w:rsidP="00C74193">
            <w:pPr>
              <w:spacing w:line="240" w:lineRule="exact"/>
              <w:contextualSpacing/>
              <w:jc w:val="center"/>
              <w:rPr>
                <w:rFonts w:eastAsia="Calibri"/>
                <w:color w:val="auto"/>
                <w:sz w:val="20"/>
              </w:rPr>
            </w:pPr>
          </w:p>
        </w:tc>
        <w:tc>
          <w:tcPr>
            <w:tcW w:w="2310" w:type="dxa"/>
            <w:shd w:val="clear" w:color="auto" w:fill="D9D9D9" w:themeFill="background1" w:themeFillShade="D9"/>
            <w:vAlign w:val="center"/>
          </w:tcPr>
          <w:p w:rsidR="00226344" w:rsidRPr="00BC6F46" w:rsidRDefault="00226344" w:rsidP="00C74193">
            <w:pPr>
              <w:spacing w:line="240" w:lineRule="exact"/>
              <w:contextualSpacing/>
              <w:jc w:val="center"/>
              <w:rPr>
                <w:rFonts w:eastAsia="Calibri"/>
                <w:color w:val="auto"/>
                <w:sz w:val="20"/>
              </w:rPr>
            </w:pPr>
            <w:r w:rsidRPr="00BC6F46">
              <w:rPr>
                <w:rFonts w:eastAsia="Calibri"/>
                <w:color w:val="auto"/>
                <w:sz w:val="20"/>
              </w:rPr>
              <w:t>Left</w:t>
            </w:r>
          </w:p>
        </w:tc>
        <w:tc>
          <w:tcPr>
            <w:tcW w:w="2310" w:type="dxa"/>
            <w:shd w:val="clear" w:color="auto" w:fill="D9D9D9" w:themeFill="background1" w:themeFillShade="D9"/>
            <w:vAlign w:val="center"/>
          </w:tcPr>
          <w:p w:rsidR="00226344" w:rsidRPr="00BC6F46" w:rsidRDefault="00226344" w:rsidP="00C74193">
            <w:pPr>
              <w:spacing w:line="240" w:lineRule="exact"/>
              <w:contextualSpacing/>
              <w:jc w:val="center"/>
              <w:rPr>
                <w:rFonts w:eastAsia="Calibri"/>
                <w:color w:val="auto"/>
                <w:sz w:val="20"/>
              </w:rPr>
            </w:pPr>
            <w:r w:rsidRPr="00BC6F46">
              <w:rPr>
                <w:rFonts w:eastAsia="Calibri"/>
                <w:color w:val="auto"/>
                <w:sz w:val="20"/>
              </w:rPr>
              <w:t>Left</w:t>
            </w:r>
          </w:p>
        </w:tc>
        <w:tc>
          <w:tcPr>
            <w:tcW w:w="2310" w:type="dxa"/>
            <w:shd w:val="clear" w:color="auto" w:fill="D9D9D9" w:themeFill="background1" w:themeFillShade="D9"/>
          </w:tcPr>
          <w:p w:rsidR="00226344" w:rsidRPr="00BC6F46" w:rsidRDefault="005D46A7" w:rsidP="00C74193">
            <w:pPr>
              <w:spacing w:line="240" w:lineRule="exact"/>
              <w:contextualSpacing/>
              <w:jc w:val="center"/>
              <w:rPr>
                <w:rFonts w:eastAsia="Calibri"/>
                <w:color w:val="auto"/>
                <w:sz w:val="20"/>
              </w:rPr>
            </w:pPr>
            <w:r>
              <w:rPr>
                <w:rFonts w:eastAsia="Calibri"/>
                <w:color w:val="auto"/>
                <w:sz w:val="20"/>
              </w:rPr>
              <w:t>Left</w:t>
            </w:r>
          </w:p>
        </w:tc>
      </w:tr>
      <w:tr w:rsidR="00226344" w:rsidRPr="0013147A" w:rsidTr="005D46A7">
        <w:trPr>
          <w:jc w:val="center"/>
        </w:trPr>
        <w:tc>
          <w:tcPr>
            <w:tcW w:w="1884" w:type="dxa"/>
          </w:tcPr>
          <w:p w:rsidR="00226344" w:rsidRPr="0013147A" w:rsidRDefault="00226344" w:rsidP="00C74193">
            <w:pPr>
              <w:spacing w:line="240" w:lineRule="exact"/>
              <w:contextualSpacing/>
              <w:jc w:val="center"/>
              <w:rPr>
                <w:rFonts w:eastAsia="Calibri"/>
                <w:color w:val="auto"/>
                <w:sz w:val="18"/>
                <w:szCs w:val="18"/>
              </w:rPr>
            </w:pPr>
            <w:r w:rsidRPr="0013147A">
              <w:rPr>
                <w:rFonts w:eastAsia="Calibri"/>
                <w:color w:val="auto"/>
                <w:sz w:val="18"/>
                <w:szCs w:val="18"/>
              </w:rPr>
              <w:t>Flexion (140⁰ normal)</w:t>
            </w:r>
          </w:p>
        </w:tc>
        <w:tc>
          <w:tcPr>
            <w:tcW w:w="2310" w:type="dxa"/>
          </w:tcPr>
          <w:p w:rsidR="00226344" w:rsidRPr="0013147A" w:rsidRDefault="00226344" w:rsidP="00C74193">
            <w:pPr>
              <w:spacing w:line="240" w:lineRule="exact"/>
              <w:contextualSpacing/>
              <w:jc w:val="center"/>
              <w:rPr>
                <w:rFonts w:eastAsia="Calibri"/>
                <w:color w:val="auto"/>
                <w:sz w:val="18"/>
                <w:szCs w:val="18"/>
              </w:rPr>
            </w:pPr>
            <w:r>
              <w:rPr>
                <w:rFonts w:eastAsia="Calibri"/>
                <w:color w:val="auto"/>
                <w:sz w:val="18"/>
                <w:szCs w:val="18"/>
              </w:rPr>
              <w:t>115</w:t>
            </w:r>
            <w:r w:rsidRPr="0013147A">
              <w:rPr>
                <w:rFonts w:eastAsia="Calibri"/>
                <w:color w:val="auto"/>
                <w:sz w:val="18"/>
                <w:szCs w:val="18"/>
              </w:rPr>
              <w:t xml:space="preserve">⁰ </w:t>
            </w:r>
          </w:p>
        </w:tc>
        <w:tc>
          <w:tcPr>
            <w:tcW w:w="2310" w:type="dxa"/>
          </w:tcPr>
          <w:p w:rsidR="00226344" w:rsidRPr="0013147A" w:rsidRDefault="00226344" w:rsidP="002562F1">
            <w:pPr>
              <w:spacing w:line="240" w:lineRule="exact"/>
              <w:contextualSpacing/>
              <w:jc w:val="center"/>
              <w:rPr>
                <w:rFonts w:eastAsia="Calibri"/>
                <w:color w:val="auto"/>
                <w:sz w:val="18"/>
                <w:szCs w:val="18"/>
              </w:rPr>
            </w:pPr>
            <w:r w:rsidRPr="0013147A">
              <w:rPr>
                <w:rFonts w:eastAsia="Calibri"/>
                <w:color w:val="auto"/>
                <w:sz w:val="18"/>
                <w:szCs w:val="18"/>
              </w:rPr>
              <w:t>1</w:t>
            </w:r>
            <w:r w:rsidR="002562F1">
              <w:rPr>
                <w:rFonts w:eastAsia="Calibri"/>
                <w:color w:val="auto"/>
                <w:sz w:val="18"/>
                <w:szCs w:val="18"/>
              </w:rPr>
              <w:t>4</w:t>
            </w:r>
            <w:r w:rsidRPr="0013147A">
              <w:rPr>
                <w:rFonts w:eastAsia="Calibri"/>
                <w:color w:val="auto"/>
                <w:sz w:val="18"/>
                <w:szCs w:val="18"/>
              </w:rPr>
              <w:t>0⁰</w:t>
            </w:r>
          </w:p>
        </w:tc>
        <w:tc>
          <w:tcPr>
            <w:tcW w:w="2310" w:type="dxa"/>
          </w:tcPr>
          <w:p w:rsidR="00226344" w:rsidRPr="0013147A" w:rsidRDefault="005D46A7" w:rsidP="00C74193">
            <w:pPr>
              <w:spacing w:line="240" w:lineRule="exact"/>
              <w:contextualSpacing/>
              <w:jc w:val="center"/>
              <w:rPr>
                <w:rFonts w:eastAsia="Calibri"/>
                <w:color w:val="auto"/>
                <w:sz w:val="18"/>
                <w:szCs w:val="18"/>
              </w:rPr>
            </w:pPr>
            <w:r>
              <w:rPr>
                <w:rFonts w:eastAsia="Calibri"/>
                <w:color w:val="auto"/>
                <w:sz w:val="18"/>
                <w:szCs w:val="18"/>
              </w:rPr>
              <w:t>135</w:t>
            </w:r>
            <w:r w:rsidRPr="0013147A">
              <w:rPr>
                <w:rFonts w:eastAsia="Calibri"/>
                <w:color w:val="auto"/>
                <w:sz w:val="18"/>
                <w:szCs w:val="18"/>
              </w:rPr>
              <w:t>⁰</w:t>
            </w:r>
          </w:p>
        </w:tc>
      </w:tr>
      <w:tr w:rsidR="00226344" w:rsidRPr="0013147A" w:rsidTr="005D46A7">
        <w:trPr>
          <w:jc w:val="center"/>
        </w:trPr>
        <w:tc>
          <w:tcPr>
            <w:tcW w:w="1884" w:type="dxa"/>
            <w:tcBorders>
              <w:bottom w:val="single" w:sz="4" w:space="0" w:color="auto"/>
            </w:tcBorders>
          </w:tcPr>
          <w:p w:rsidR="00226344" w:rsidRPr="0013147A" w:rsidRDefault="00226344" w:rsidP="00C74193">
            <w:pPr>
              <w:spacing w:line="240" w:lineRule="exact"/>
              <w:contextualSpacing/>
              <w:jc w:val="center"/>
              <w:rPr>
                <w:rFonts w:eastAsia="Calibri"/>
                <w:color w:val="auto"/>
                <w:sz w:val="18"/>
                <w:szCs w:val="18"/>
              </w:rPr>
            </w:pPr>
            <w:r w:rsidRPr="0013147A">
              <w:rPr>
                <w:rFonts w:eastAsia="Calibri"/>
                <w:color w:val="auto"/>
                <w:sz w:val="18"/>
                <w:szCs w:val="18"/>
              </w:rPr>
              <w:t>Extension (0⁰ normal)</w:t>
            </w:r>
          </w:p>
        </w:tc>
        <w:tc>
          <w:tcPr>
            <w:tcW w:w="2310" w:type="dxa"/>
            <w:tcBorders>
              <w:bottom w:val="single" w:sz="4" w:space="0" w:color="auto"/>
            </w:tcBorders>
          </w:tcPr>
          <w:p w:rsidR="00226344" w:rsidRPr="0013147A" w:rsidRDefault="00226344" w:rsidP="00C74193">
            <w:pPr>
              <w:spacing w:line="240" w:lineRule="exact"/>
              <w:contextualSpacing/>
              <w:jc w:val="center"/>
              <w:rPr>
                <w:rFonts w:eastAsia="Calibri"/>
                <w:color w:val="auto"/>
                <w:sz w:val="18"/>
                <w:szCs w:val="18"/>
              </w:rPr>
            </w:pPr>
            <w:r>
              <w:rPr>
                <w:rFonts w:eastAsia="Calibri"/>
                <w:color w:val="auto"/>
                <w:sz w:val="18"/>
                <w:szCs w:val="18"/>
              </w:rPr>
              <w:t>3</w:t>
            </w:r>
            <w:r w:rsidRPr="0013147A">
              <w:rPr>
                <w:rFonts w:eastAsia="Calibri"/>
                <w:color w:val="auto"/>
                <w:sz w:val="18"/>
                <w:szCs w:val="18"/>
              </w:rPr>
              <w:t>0⁰</w:t>
            </w:r>
          </w:p>
        </w:tc>
        <w:tc>
          <w:tcPr>
            <w:tcW w:w="2310" w:type="dxa"/>
            <w:tcBorders>
              <w:bottom w:val="single" w:sz="4" w:space="0" w:color="auto"/>
            </w:tcBorders>
          </w:tcPr>
          <w:p w:rsidR="00226344" w:rsidRPr="0013147A" w:rsidRDefault="00226344" w:rsidP="00C74193">
            <w:pPr>
              <w:spacing w:line="240" w:lineRule="exact"/>
              <w:contextualSpacing/>
              <w:jc w:val="center"/>
              <w:rPr>
                <w:rFonts w:eastAsia="Calibri"/>
                <w:color w:val="auto"/>
                <w:sz w:val="18"/>
                <w:szCs w:val="18"/>
              </w:rPr>
            </w:pPr>
            <w:r w:rsidRPr="0013147A">
              <w:rPr>
                <w:rFonts w:eastAsia="Calibri"/>
                <w:color w:val="auto"/>
                <w:sz w:val="18"/>
                <w:szCs w:val="18"/>
              </w:rPr>
              <w:t>0⁰</w:t>
            </w:r>
          </w:p>
        </w:tc>
        <w:tc>
          <w:tcPr>
            <w:tcW w:w="2310" w:type="dxa"/>
            <w:tcBorders>
              <w:bottom w:val="single" w:sz="4" w:space="0" w:color="auto"/>
            </w:tcBorders>
          </w:tcPr>
          <w:p w:rsidR="00226344" w:rsidRPr="0013147A" w:rsidRDefault="005D46A7" w:rsidP="00C74193">
            <w:pPr>
              <w:spacing w:line="240" w:lineRule="exact"/>
              <w:contextualSpacing/>
              <w:jc w:val="center"/>
              <w:rPr>
                <w:rFonts w:eastAsia="Calibri"/>
                <w:color w:val="auto"/>
                <w:sz w:val="18"/>
                <w:szCs w:val="18"/>
              </w:rPr>
            </w:pPr>
            <w:r w:rsidRPr="0013147A">
              <w:rPr>
                <w:rFonts w:eastAsia="Calibri"/>
                <w:color w:val="auto"/>
                <w:sz w:val="18"/>
                <w:szCs w:val="18"/>
              </w:rPr>
              <w:t>0⁰</w:t>
            </w:r>
          </w:p>
        </w:tc>
      </w:tr>
      <w:tr w:rsidR="00226344" w:rsidRPr="0013147A" w:rsidTr="005D46A7">
        <w:trPr>
          <w:trHeight w:val="1200"/>
          <w:jc w:val="center"/>
        </w:trPr>
        <w:tc>
          <w:tcPr>
            <w:tcW w:w="1884" w:type="dxa"/>
          </w:tcPr>
          <w:p w:rsidR="00226344" w:rsidRPr="0013147A" w:rsidRDefault="00226344" w:rsidP="00C74193">
            <w:pPr>
              <w:spacing w:line="240" w:lineRule="exact"/>
              <w:contextualSpacing/>
              <w:jc w:val="center"/>
              <w:rPr>
                <w:rFonts w:eastAsia="Calibri"/>
                <w:color w:val="auto"/>
                <w:sz w:val="18"/>
                <w:szCs w:val="18"/>
              </w:rPr>
            </w:pPr>
            <w:r w:rsidRPr="0013147A">
              <w:rPr>
                <w:rFonts w:eastAsia="Calibri"/>
                <w:color w:val="auto"/>
                <w:sz w:val="18"/>
                <w:szCs w:val="18"/>
              </w:rPr>
              <w:t>Comments</w:t>
            </w:r>
          </w:p>
        </w:tc>
        <w:tc>
          <w:tcPr>
            <w:tcW w:w="2310" w:type="dxa"/>
          </w:tcPr>
          <w:p w:rsidR="00226344" w:rsidRPr="0013147A" w:rsidRDefault="00226344" w:rsidP="00C74193">
            <w:pPr>
              <w:spacing w:line="240" w:lineRule="exact"/>
              <w:contextualSpacing/>
              <w:rPr>
                <w:rFonts w:eastAsia="Calibri"/>
                <w:color w:val="auto"/>
                <w:sz w:val="18"/>
                <w:szCs w:val="18"/>
              </w:rPr>
            </w:pPr>
            <w:r>
              <w:rPr>
                <w:rFonts w:eastAsia="Calibri"/>
                <w:color w:val="auto"/>
                <w:sz w:val="18"/>
                <w:szCs w:val="18"/>
              </w:rPr>
              <w:t>Two weeks after acute injury</w:t>
            </w:r>
            <w:r w:rsidR="002562F1">
              <w:rPr>
                <w:rFonts w:eastAsia="Calibri"/>
                <w:color w:val="auto"/>
                <w:sz w:val="18"/>
                <w:szCs w:val="18"/>
              </w:rPr>
              <w:t>; persistent swelling; unable to assess McMurray</w:t>
            </w:r>
            <w:r w:rsidR="006A2A16">
              <w:rPr>
                <w:rFonts w:eastAsia="Calibri"/>
                <w:color w:val="auto"/>
                <w:sz w:val="18"/>
                <w:szCs w:val="18"/>
              </w:rPr>
              <w:t xml:space="preserve">.  This reduces the probative value of this exam.  </w:t>
            </w:r>
          </w:p>
        </w:tc>
        <w:tc>
          <w:tcPr>
            <w:tcW w:w="2310" w:type="dxa"/>
          </w:tcPr>
          <w:p w:rsidR="00226344" w:rsidRPr="0013147A" w:rsidRDefault="00226344" w:rsidP="00C74193">
            <w:pPr>
              <w:spacing w:line="240" w:lineRule="exact"/>
              <w:contextualSpacing/>
              <w:rPr>
                <w:rFonts w:eastAsia="Calibri"/>
                <w:color w:val="auto"/>
                <w:sz w:val="18"/>
                <w:szCs w:val="18"/>
              </w:rPr>
            </w:pPr>
            <w:r w:rsidRPr="0013147A">
              <w:rPr>
                <w:rFonts w:eastAsia="Calibri"/>
                <w:color w:val="auto"/>
                <w:sz w:val="18"/>
                <w:szCs w:val="18"/>
              </w:rPr>
              <w:t xml:space="preserve">TTP, effusion; antalgic gait (favor left); + </w:t>
            </w:r>
            <w:proofErr w:type="spellStart"/>
            <w:r w:rsidRPr="0013147A">
              <w:rPr>
                <w:rFonts w:eastAsia="Calibri"/>
                <w:color w:val="auto"/>
                <w:sz w:val="18"/>
                <w:szCs w:val="18"/>
              </w:rPr>
              <w:t>incoord</w:t>
            </w:r>
            <w:proofErr w:type="spellEnd"/>
            <w:r w:rsidRPr="0013147A">
              <w:rPr>
                <w:rFonts w:eastAsia="Calibri"/>
                <w:color w:val="auto"/>
                <w:sz w:val="18"/>
                <w:szCs w:val="18"/>
              </w:rPr>
              <w:t xml:space="preserve"> rising fr</w:t>
            </w:r>
            <w:r w:rsidR="002562F1">
              <w:rPr>
                <w:rFonts w:eastAsia="Calibri"/>
                <w:color w:val="auto"/>
                <w:sz w:val="18"/>
                <w:szCs w:val="18"/>
              </w:rPr>
              <w:t>om</w:t>
            </w:r>
            <w:r w:rsidRPr="0013147A">
              <w:rPr>
                <w:rFonts w:eastAsia="Calibri"/>
                <w:color w:val="auto"/>
                <w:sz w:val="18"/>
                <w:szCs w:val="18"/>
              </w:rPr>
              <w:t xml:space="preserve"> </w:t>
            </w:r>
            <w:r w:rsidRPr="0010792F">
              <w:rPr>
                <w:rFonts w:eastAsia="Calibri"/>
                <w:color w:val="auto"/>
                <w:sz w:val="18"/>
                <w:szCs w:val="18"/>
              </w:rPr>
              <w:t xml:space="preserve">chair; no instability; no pain on motion; Flexion limited by body </w:t>
            </w:r>
            <w:proofErr w:type="spellStart"/>
            <w:r w:rsidRPr="0010792F">
              <w:rPr>
                <w:rFonts w:eastAsia="Calibri"/>
                <w:color w:val="auto"/>
                <w:sz w:val="18"/>
                <w:szCs w:val="18"/>
              </w:rPr>
              <w:t>habitus</w:t>
            </w:r>
            <w:proofErr w:type="spellEnd"/>
            <w:r w:rsidRPr="0010792F">
              <w:rPr>
                <w:rFonts w:eastAsia="Calibri"/>
                <w:color w:val="auto"/>
                <w:sz w:val="18"/>
                <w:szCs w:val="18"/>
              </w:rPr>
              <w:t>;</w:t>
            </w:r>
          </w:p>
        </w:tc>
        <w:tc>
          <w:tcPr>
            <w:tcW w:w="2310" w:type="dxa"/>
          </w:tcPr>
          <w:p w:rsidR="00226344" w:rsidRPr="0013147A" w:rsidRDefault="00226344" w:rsidP="00C74193">
            <w:pPr>
              <w:spacing w:line="240" w:lineRule="exact"/>
              <w:contextualSpacing/>
              <w:rPr>
                <w:rFonts w:eastAsia="Calibri"/>
                <w:color w:val="auto"/>
                <w:sz w:val="18"/>
                <w:szCs w:val="18"/>
              </w:rPr>
            </w:pPr>
          </w:p>
        </w:tc>
      </w:tr>
      <w:tr w:rsidR="00226344" w:rsidRPr="0013147A" w:rsidTr="005D46A7">
        <w:trPr>
          <w:jc w:val="center"/>
        </w:trPr>
        <w:tc>
          <w:tcPr>
            <w:tcW w:w="1884" w:type="dxa"/>
            <w:tcBorders>
              <w:top w:val="single" w:sz="4" w:space="0" w:color="auto"/>
              <w:left w:val="single" w:sz="4" w:space="0" w:color="auto"/>
              <w:bottom w:val="single" w:sz="4" w:space="0" w:color="auto"/>
              <w:right w:val="single" w:sz="4" w:space="0" w:color="auto"/>
            </w:tcBorders>
          </w:tcPr>
          <w:p w:rsidR="00226344" w:rsidRPr="0013147A" w:rsidRDefault="00226344" w:rsidP="00C74193">
            <w:pPr>
              <w:tabs>
                <w:tab w:val="left" w:pos="288"/>
                <w:tab w:val="left" w:pos="4752"/>
              </w:tabs>
              <w:spacing w:line="240" w:lineRule="exact"/>
              <w:jc w:val="center"/>
              <w:rPr>
                <w:rFonts w:asciiTheme="minorHAnsi" w:eastAsiaTheme="minorHAnsi" w:hAnsiTheme="minorHAnsi"/>
                <w:color w:val="auto"/>
                <w:sz w:val="18"/>
                <w:szCs w:val="18"/>
              </w:rPr>
            </w:pPr>
            <w:r w:rsidRPr="0013147A">
              <w:rPr>
                <w:rFonts w:asciiTheme="minorHAnsi" w:eastAsiaTheme="minorHAnsi" w:hAnsiTheme="minorHAnsi"/>
                <w:color w:val="auto"/>
                <w:sz w:val="18"/>
                <w:szCs w:val="18"/>
              </w:rPr>
              <w:t>§4.71a Rating</w:t>
            </w:r>
          </w:p>
        </w:tc>
        <w:tc>
          <w:tcPr>
            <w:tcW w:w="2310" w:type="dxa"/>
            <w:tcBorders>
              <w:top w:val="single" w:sz="4" w:space="0" w:color="auto"/>
              <w:left w:val="single" w:sz="4" w:space="0" w:color="auto"/>
              <w:bottom w:val="single" w:sz="4" w:space="0" w:color="auto"/>
              <w:right w:val="single" w:sz="4" w:space="0" w:color="auto"/>
            </w:tcBorders>
          </w:tcPr>
          <w:p w:rsidR="00226344" w:rsidRPr="0013147A" w:rsidRDefault="002562F1" w:rsidP="00C7419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40</w:t>
            </w:r>
            <w:r w:rsidR="00226344" w:rsidRPr="0013147A">
              <w:rPr>
                <w:rFonts w:asciiTheme="minorHAnsi" w:eastAsiaTheme="minorHAnsi" w:hAnsiTheme="minorHAnsi"/>
                <w:color w:val="auto"/>
                <w:sz w:val="18"/>
                <w:szCs w:val="18"/>
              </w:rPr>
              <w:t>%</w:t>
            </w:r>
          </w:p>
        </w:tc>
        <w:tc>
          <w:tcPr>
            <w:tcW w:w="2310" w:type="dxa"/>
            <w:tcBorders>
              <w:top w:val="single" w:sz="4" w:space="0" w:color="auto"/>
              <w:left w:val="single" w:sz="4" w:space="0" w:color="auto"/>
              <w:bottom w:val="single" w:sz="4" w:space="0" w:color="auto"/>
              <w:right w:val="single" w:sz="4" w:space="0" w:color="auto"/>
            </w:tcBorders>
          </w:tcPr>
          <w:p w:rsidR="00226344" w:rsidRPr="0013147A" w:rsidRDefault="002562F1" w:rsidP="00C74193">
            <w:pPr>
              <w:tabs>
                <w:tab w:val="left" w:pos="288"/>
                <w:tab w:val="left" w:pos="4752"/>
              </w:tabs>
              <w:spacing w:line="240" w:lineRule="exact"/>
              <w:jc w:val="center"/>
              <w:rPr>
                <w:rFonts w:asciiTheme="minorHAnsi" w:eastAsiaTheme="minorHAnsi" w:hAnsiTheme="minorHAnsi"/>
                <w:color w:val="auto"/>
                <w:sz w:val="18"/>
                <w:szCs w:val="18"/>
              </w:rPr>
            </w:pPr>
            <w:r>
              <w:rPr>
                <w:rFonts w:asciiTheme="minorHAnsi" w:eastAsia="Calibri" w:hAnsiTheme="minorHAnsi"/>
                <w:color w:val="auto"/>
                <w:sz w:val="18"/>
                <w:szCs w:val="18"/>
              </w:rPr>
              <w:t>10</w:t>
            </w:r>
            <w:r w:rsidR="00226344" w:rsidRPr="0013147A">
              <w:rPr>
                <w:rFonts w:asciiTheme="minorHAnsi" w:eastAsia="Calibri" w:hAnsiTheme="minorHAnsi"/>
                <w:color w:val="auto"/>
                <w:sz w:val="18"/>
                <w:szCs w:val="18"/>
              </w:rPr>
              <w:t>%</w:t>
            </w:r>
          </w:p>
        </w:tc>
        <w:tc>
          <w:tcPr>
            <w:tcW w:w="2310" w:type="dxa"/>
            <w:tcBorders>
              <w:top w:val="single" w:sz="4" w:space="0" w:color="auto"/>
              <w:left w:val="single" w:sz="4" w:space="0" w:color="auto"/>
              <w:bottom w:val="single" w:sz="4" w:space="0" w:color="auto"/>
              <w:right w:val="single" w:sz="4" w:space="0" w:color="auto"/>
            </w:tcBorders>
          </w:tcPr>
          <w:p w:rsidR="00226344" w:rsidRPr="0013147A" w:rsidRDefault="005D46A7" w:rsidP="00C74193">
            <w:pPr>
              <w:tabs>
                <w:tab w:val="left" w:pos="288"/>
                <w:tab w:val="left" w:pos="4752"/>
              </w:tabs>
              <w:spacing w:line="24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10%</w:t>
            </w:r>
          </w:p>
        </w:tc>
      </w:tr>
    </w:tbl>
    <w:p w:rsidR="002716CD" w:rsidRPr="00746E66" w:rsidRDefault="005D46A7" w:rsidP="00746E66">
      <w:pPr>
        <w:pStyle w:val="PlainText"/>
        <w:spacing w:before="240" w:line="240" w:lineRule="exact"/>
        <w:jc w:val="both"/>
        <w:rPr>
          <w:rFonts w:asciiTheme="minorHAnsi" w:hAnsiTheme="minorHAnsi" w:cs="Arial"/>
          <w:color w:val="000000"/>
          <w:sz w:val="24"/>
          <w:szCs w:val="24"/>
        </w:rPr>
      </w:pPr>
      <w:r w:rsidRPr="002716CD">
        <w:rPr>
          <w:rFonts w:asciiTheme="minorHAnsi" w:hAnsiTheme="minorHAnsi"/>
          <w:sz w:val="24"/>
          <w:szCs w:val="24"/>
        </w:rPr>
        <w:t xml:space="preserve">The Board first considered the TDRL entry rating.  It </w:t>
      </w:r>
      <w:r w:rsidR="00B44EB9">
        <w:rPr>
          <w:rFonts w:asciiTheme="minorHAnsi" w:hAnsiTheme="minorHAnsi"/>
          <w:sz w:val="24"/>
          <w:szCs w:val="24"/>
        </w:rPr>
        <w:t xml:space="preserve">was </w:t>
      </w:r>
      <w:r w:rsidRPr="002716CD">
        <w:rPr>
          <w:rFonts w:asciiTheme="minorHAnsi" w:hAnsiTheme="minorHAnsi"/>
          <w:sz w:val="24"/>
          <w:szCs w:val="24"/>
        </w:rPr>
        <w:t xml:space="preserve">noted that both the VA and PEB coded the condition as 5257 (knee, other impairment).  The </w:t>
      </w:r>
      <w:r w:rsidR="0047318C">
        <w:rPr>
          <w:rFonts w:asciiTheme="minorHAnsi" w:hAnsiTheme="minorHAnsi"/>
          <w:sz w:val="24"/>
          <w:szCs w:val="24"/>
        </w:rPr>
        <w:t>I</w:t>
      </w:r>
      <w:r w:rsidRPr="002716CD">
        <w:rPr>
          <w:rFonts w:asciiTheme="minorHAnsi" w:hAnsiTheme="minorHAnsi"/>
          <w:sz w:val="24"/>
          <w:szCs w:val="24"/>
        </w:rPr>
        <w:t>PEB granted 30%</w:t>
      </w:r>
      <w:r w:rsidR="003830BF" w:rsidRPr="002716CD">
        <w:rPr>
          <w:rFonts w:asciiTheme="minorHAnsi" w:hAnsiTheme="minorHAnsi"/>
          <w:sz w:val="24"/>
          <w:szCs w:val="24"/>
        </w:rPr>
        <w:t xml:space="preserve"> disability.  The VA awarded 20% initially, but raised the disability to 30% after review of additional information</w:t>
      </w:r>
      <w:r w:rsidR="002F08CD" w:rsidRPr="002716CD">
        <w:rPr>
          <w:rFonts w:asciiTheme="minorHAnsi" w:hAnsiTheme="minorHAnsi"/>
          <w:sz w:val="24"/>
          <w:szCs w:val="24"/>
        </w:rPr>
        <w:t xml:space="preserve"> indicating further</w:t>
      </w:r>
      <w:r w:rsidR="00481B9C">
        <w:rPr>
          <w:rFonts w:asciiTheme="minorHAnsi" w:hAnsiTheme="minorHAnsi"/>
          <w:sz w:val="24"/>
          <w:szCs w:val="24"/>
        </w:rPr>
        <w:t xml:space="preserve"> disability</w:t>
      </w:r>
      <w:r w:rsidR="006A2A16">
        <w:rPr>
          <w:rFonts w:asciiTheme="minorHAnsi" w:hAnsiTheme="minorHAnsi"/>
          <w:sz w:val="24"/>
          <w:szCs w:val="24"/>
        </w:rPr>
        <w:t>.</w:t>
      </w:r>
      <w:r w:rsidR="002F08CD" w:rsidRPr="002716CD">
        <w:rPr>
          <w:rFonts w:asciiTheme="minorHAnsi" w:hAnsiTheme="minorHAnsi"/>
          <w:sz w:val="24"/>
          <w:szCs w:val="24"/>
        </w:rPr>
        <w:t xml:space="preserve"> </w:t>
      </w:r>
      <w:r w:rsidR="0047318C">
        <w:rPr>
          <w:rFonts w:asciiTheme="minorHAnsi" w:hAnsiTheme="minorHAnsi"/>
          <w:sz w:val="24"/>
          <w:szCs w:val="24"/>
        </w:rPr>
        <w:t xml:space="preserve"> </w:t>
      </w:r>
      <w:r w:rsidR="002F08CD" w:rsidRPr="002716CD">
        <w:rPr>
          <w:rFonts w:asciiTheme="minorHAnsi" w:hAnsiTheme="minorHAnsi"/>
          <w:sz w:val="24"/>
          <w:szCs w:val="24"/>
        </w:rPr>
        <w:t xml:space="preserve">The Board considered </w:t>
      </w:r>
      <w:r w:rsidR="00746E66">
        <w:rPr>
          <w:rFonts w:asciiTheme="minorHAnsi" w:hAnsiTheme="minorHAnsi"/>
          <w:sz w:val="24"/>
          <w:szCs w:val="24"/>
        </w:rPr>
        <w:t>whether</w:t>
      </w:r>
      <w:r w:rsidR="002F08CD" w:rsidRPr="002716CD">
        <w:rPr>
          <w:rFonts w:asciiTheme="minorHAnsi" w:hAnsiTheme="minorHAnsi"/>
          <w:sz w:val="24"/>
          <w:szCs w:val="24"/>
        </w:rPr>
        <w:t xml:space="preserve"> the knee instability rose to the level of </w:t>
      </w:r>
      <w:r w:rsidR="0010792F">
        <w:rPr>
          <w:rFonts w:asciiTheme="minorHAnsi" w:hAnsiTheme="minorHAnsi"/>
          <w:sz w:val="24"/>
          <w:szCs w:val="24"/>
        </w:rPr>
        <w:t xml:space="preserve">moderate or </w:t>
      </w:r>
      <w:r w:rsidR="002F08CD" w:rsidRPr="002716CD">
        <w:rPr>
          <w:rFonts w:asciiTheme="minorHAnsi" w:hAnsiTheme="minorHAnsi"/>
          <w:sz w:val="24"/>
          <w:szCs w:val="24"/>
        </w:rPr>
        <w:t>severe and noted that the CI was able to function without a brace, albeit with increased pain.  The Board also considered code 5258 (cartilage, semilunar, dislocated, with frequent episodes of “locking</w:t>
      </w:r>
      <w:r w:rsidR="0047318C">
        <w:rPr>
          <w:rFonts w:asciiTheme="minorHAnsi" w:hAnsiTheme="minorHAnsi"/>
          <w:sz w:val="24"/>
          <w:szCs w:val="24"/>
        </w:rPr>
        <w:t>,</w:t>
      </w:r>
      <w:r w:rsidR="002F08CD" w:rsidRPr="002716CD">
        <w:rPr>
          <w:rFonts w:asciiTheme="minorHAnsi" w:hAnsiTheme="minorHAnsi"/>
          <w:sz w:val="24"/>
          <w:szCs w:val="24"/>
        </w:rPr>
        <w:t xml:space="preserve">” pain and effusion).  </w:t>
      </w:r>
      <w:r w:rsidR="00746E66">
        <w:rPr>
          <w:rFonts w:asciiTheme="minorHAnsi" w:hAnsiTheme="minorHAnsi"/>
          <w:sz w:val="24"/>
          <w:szCs w:val="24"/>
        </w:rPr>
        <w:t>The Board</w:t>
      </w:r>
      <w:r w:rsidR="002F08CD" w:rsidRPr="002716CD">
        <w:rPr>
          <w:rFonts w:asciiTheme="minorHAnsi" w:hAnsiTheme="minorHAnsi"/>
          <w:sz w:val="24"/>
          <w:szCs w:val="24"/>
        </w:rPr>
        <w:t xml:space="preserve"> noted that while pain and effusions </w:t>
      </w:r>
      <w:r w:rsidR="00746E66">
        <w:rPr>
          <w:rFonts w:asciiTheme="minorHAnsi" w:hAnsiTheme="minorHAnsi"/>
          <w:sz w:val="24"/>
          <w:szCs w:val="24"/>
        </w:rPr>
        <w:t xml:space="preserve">were noted, the locking </w:t>
      </w:r>
      <w:r w:rsidR="00746E66" w:rsidRPr="006A2A16">
        <w:rPr>
          <w:rFonts w:asciiTheme="minorHAnsi" w:hAnsiTheme="minorHAnsi"/>
          <w:sz w:val="24"/>
          <w:szCs w:val="24"/>
        </w:rPr>
        <w:t>was</w:t>
      </w:r>
      <w:r w:rsidR="002F08CD" w:rsidRPr="006A2A16">
        <w:rPr>
          <w:rFonts w:asciiTheme="minorHAnsi" w:hAnsiTheme="minorHAnsi"/>
          <w:sz w:val="24"/>
          <w:szCs w:val="24"/>
        </w:rPr>
        <w:t xml:space="preserve"> occasional.</w:t>
      </w:r>
      <w:r w:rsidR="002F08CD" w:rsidRPr="002716CD">
        <w:rPr>
          <w:rFonts w:asciiTheme="minorHAnsi" w:hAnsiTheme="minorHAnsi"/>
          <w:sz w:val="24"/>
          <w:szCs w:val="24"/>
        </w:rPr>
        <w:t xml:space="preserve">  Therefore, the Board determined that the 30% disabil</w:t>
      </w:r>
      <w:r w:rsidR="006A2A16">
        <w:rPr>
          <w:rFonts w:asciiTheme="minorHAnsi" w:hAnsiTheme="minorHAnsi"/>
          <w:sz w:val="24"/>
          <w:szCs w:val="24"/>
        </w:rPr>
        <w:t>ity rating for TDRL entry</w:t>
      </w:r>
      <w:r w:rsidR="002F08CD" w:rsidRPr="002716CD">
        <w:rPr>
          <w:rFonts w:asciiTheme="minorHAnsi" w:hAnsiTheme="minorHAnsi"/>
          <w:sz w:val="24"/>
          <w:szCs w:val="24"/>
        </w:rPr>
        <w:t xml:space="preserve"> was appropriate.  The Board next considered the permanent disability rating.  It </w:t>
      </w:r>
      <w:r w:rsidR="00B44EB9">
        <w:rPr>
          <w:rFonts w:asciiTheme="minorHAnsi" w:hAnsiTheme="minorHAnsi"/>
          <w:sz w:val="24"/>
          <w:szCs w:val="24"/>
        </w:rPr>
        <w:t xml:space="preserve">was </w:t>
      </w:r>
      <w:r w:rsidR="002F08CD" w:rsidRPr="002716CD">
        <w:rPr>
          <w:rFonts w:asciiTheme="minorHAnsi" w:hAnsiTheme="minorHAnsi"/>
          <w:sz w:val="24"/>
          <w:szCs w:val="24"/>
        </w:rPr>
        <w:t>noted that the exams proximate to TDRL exit documented no effusion</w:t>
      </w:r>
      <w:r w:rsidR="00EA3620">
        <w:rPr>
          <w:rFonts w:asciiTheme="minorHAnsi" w:hAnsiTheme="minorHAnsi"/>
          <w:sz w:val="24"/>
          <w:szCs w:val="24"/>
        </w:rPr>
        <w:t xml:space="preserve"> and </w:t>
      </w:r>
      <w:r w:rsidR="002F08CD" w:rsidRPr="002716CD">
        <w:rPr>
          <w:rFonts w:asciiTheme="minorHAnsi" w:hAnsiTheme="minorHAnsi"/>
          <w:sz w:val="24"/>
          <w:szCs w:val="24"/>
        </w:rPr>
        <w:t xml:space="preserve">no </w:t>
      </w:r>
      <w:r w:rsidR="00EA3620">
        <w:rPr>
          <w:rFonts w:asciiTheme="minorHAnsi" w:hAnsiTheme="minorHAnsi"/>
          <w:sz w:val="24"/>
          <w:szCs w:val="24"/>
        </w:rPr>
        <w:t xml:space="preserve">objective </w:t>
      </w:r>
      <w:r w:rsidR="002F08CD" w:rsidRPr="002716CD">
        <w:rPr>
          <w:rFonts w:asciiTheme="minorHAnsi" w:hAnsiTheme="minorHAnsi"/>
          <w:sz w:val="24"/>
          <w:szCs w:val="24"/>
        </w:rPr>
        <w:t xml:space="preserve">instability although there was a history of </w:t>
      </w:r>
      <w:r w:rsidR="002F08CD" w:rsidRPr="006A2A16">
        <w:rPr>
          <w:rFonts w:asciiTheme="minorHAnsi" w:hAnsiTheme="minorHAnsi"/>
          <w:sz w:val="24"/>
          <w:szCs w:val="24"/>
        </w:rPr>
        <w:t>occasional popping and giving way.</w:t>
      </w:r>
      <w:r w:rsidR="002F08CD" w:rsidRPr="002716CD">
        <w:rPr>
          <w:rFonts w:asciiTheme="minorHAnsi" w:hAnsiTheme="minorHAnsi"/>
          <w:sz w:val="24"/>
          <w:szCs w:val="24"/>
        </w:rPr>
        <w:t xml:space="preserve">  </w:t>
      </w:r>
      <w:r w:rsidR="00B44EB9">
        <w:rPr>
          <w:rFonts w:asciiTheme="minorHAnsi" w:hAnsiTheme="minorHAnsi"/>
          <w:sz w:val="24"/>
          <w:szCs w:val="24"/>
        </w:rPr>
        <w:t>The Board determined that the lack of objective instability with occasional subjective instability</w:t>
      </w:r>
      <w:r w:rsidR="0010792F">
        <w:rPr>
          <w:rFonts w:asciiTheme="minorHAnsi" w:hAnsiTheme="minorHAnsi"/>
          <w:sz w:val="24"/>
          <w:szCs w:val="24"/>
        </w:rPr>
        <w:t xml:space="preserve"> was more consistent with a slight disability rather than a moderate disability</w:t>
      </w:r>
      <w:r w:rsidR="00B44EB9">
        <w:rPr>
          <w:rFonts w:asciiTheme="minorHAnsi" w:hAnsiTheme="minorHAnsi"/>
          <w:sz w:val="24"/>
          <w:szCs w:val="24"/>
        </w:rPr>
        <w:t xml:space="preserve"> under code 5257</w:t>
      </w:r>
      <w:r w:rsidR="0010792F">
        <w:rPr>
          <w:rFonts w:asciiTheme="minorHAnsi" w:hAnsiTheme="minorHAnsi"/>
          <w:sz w:val="24"/>
          <w:szCs w:val="24"/>
        </w:rPr>
        <w:t xml:space="preserve">.  </w:t>
      </w:r>
      <w:r w:rsidR="002716CD" w:rsidRPr="002716CD">
        <w:rPr>
          <w:rFonts w:asciiTheme="minorHAnsi" w:hAnsiTheme="minorHAnsi"/>
          <w:sz w:val="24"/>
          <w:szCs w:val="24"/>
        </w:rPr>
        <w:t xml:space="preserve">It </w:t>
      </w:r>
      <w:r w:rsidR="00746E66">
        <w:rPr>
          <w:rFonts w:asciiTheme="minorHAnsi" w:hAnsiTheme="minorHAnsi"/>
          <w:sz w:val="24"/>
          <w:szCs w:val="24"/>
        </w:rPr>
        <w:t xml:space="preserve">was </w:t>
      </w:r>
      <w:r w:rsidR="002716CD" w:rsidRPr="002716CD">
        <w:rPr>
          <w:rFonts w:asciiTheme="minorHAnsi" w:hAnsiTheme="minorHAnsi"/>
          <w:sz w:val="24"/>
          <w:szCs w:val="24"/>
        </w:rPr>
        <w:t xml:space="preserve">also noted that there was persistent pain after the partial </w:t>
      </w:r>
      <w:proofErr w:type="spellStart"/>
      <w:r w:rsidR="002716CD" w:rsidRPr="002716CD">
        <w:rPr>
          <w:rFonts w:asciiTheme="minorHAnsi" w:hAnsiTheme="minorHAnsi"/>
          <w:sz w:val="24"/>
          <w:szCs w:val="24"/>
        </w:rPr>
        <w:t>meniscectomy</w:t>
      </w:r>
      <w:proofErr w:type="spellEnd"/>
      <w:r w:rsidR="002716CD" w:rsidRPr="002716CD">
        <w:rPr>
          <w:rFonts w:asciiTheme="minorHAnsi" w:hAnsiTheme="minorHAnsi"/>
          <w:sz w:val="24"/>
          <w:szCs w:val="24"/>
        </w:rPr>
        <w:t xml:space="preserve">.  </w:t>
      </w:r>
      <w:r w:rsidR="002716CD" w:rsidRPr="0010792F">
        <w:rPr>
          <w:rFonts w:asciiTheme="minorHAnsi" w:hAnsiTheme="minorHAnsi" w:cs="Arial"/>
          <w:color w:val="000000"/>
          <w:sz w:val="24"/>
          <w:szCs w:val="24"/>
        </w:rPr>
        <w:t>After due deliberation in consideration of the totality of the evidence, the Board unanimously concluded that there should be additional disability assigned under code 5259 (cartilage, semilunar, removal of, symptomatic) at a 10% rating in addition to the 10% assigned for code 5257</w:t>
      </w:r>
      <w:r w:rsidR="00746E66" w:rsidRPr="0010792F">
        <w:rPr>
          <w:rFonts w:asciiTheme="minorHAnsi" w:hAnsiTheme="minorHAnsi" w:cs="Arial"/>
          <w:color w:val="000000"/>
          <w:sz w:val="24"/>
          <w:szCs w:val="24"/>
        </w:rPr>
        <w:t xml:space="preserve"> (</w:t>
      </w:r>
      <w:r w:rsidR="0047318C">
        <w:rPr>
          <w:rFonts w:asciiTheme="minorHAnsi" w:hAnsiTheme="minorHAnsi" w:cs="Arial"/>
          <w:color w:val="000000"/>
          <w:sz w:val="24"/>
          <w:szCs w:val="24"/>
        </w:rPr>
        <w:t>r</w:t>
      </w:r>
      <w:r w:rsidR="00746E66" w:rsidRPr="0010792F">
        <w:rPr>
          <w:rFonts w:asciiTheme="minorHAnsi" w:hAnsiTheme="minorHAnsi" w:cstheme="minorHAnsi"/>
          <w:sz w:val="24"/>
          <w:szCs w:val="24"/>
        </w:rPr>
        <w:t xml:space="preserve">ecurrent </w:t>
      </w:r>
      <w:proofErr w:type="spellStart"/>
      <w:r w:rsidR="00746E66" w:rsidRPr="0010792F">
        <w:rPr>
          <w:rFonts w:asciiTheme="minorHAnsi" w:hAnsiTheme="minorHAnsi" w:cstheme="minorHAnsi"/>
          <w:sz w:val="24"/>
          <w:szCs w:val="24"/>
        </w:rPr>
        <w:t>subluxation</w:t>
      </w:r>
      <w:proofErr w:type="spellEnd"/>
      <w:r w:rsidR="00746E66" w:rsidRPr="0010792F">
        <w:rPr>
          <w:rFonts w:asciiTheme="minorHAnsi" w:hAnsiTheme="minorHAnsi" w:cstheme="minorHAnsi"/>
          <w:sz w:val="24"/>
          <w:szCs w:val="24"/>
        </w:rPr>
        <w:t xml:space="preserve"> or lateral instability)</w:t>
      </w:r>
      <w:r w:rsidR="002716CD" w:rsidRPr="0010792F">
        <w:rPr>
          <w:rFonts w:asciiTheme="minorHAnsi" w:hAnsiTheme="minorHAnsi" w:cs="Arial"/>
          <w:color w:val="000000"/>
          <w:sz w:val="24"/>
          <w:szCs w:val="24"/>
        </w:rPr>
        <w:t>.</w:t>
      </w:r>
    </w:p>
    <w:p w:rsidR="002C18DD" w:rsidRPr="00746E66" w:rsidRDefault="002C18DD" w:rsidP="001C37C6">
      <w:pPr>
        <w:pStyle w:val="PlainText"/>
        <w:spacing w:line="240" w:lineRule="exact"/>
        <w:jc w:val="both"/>
        <w:rPr>
          <w:rFonts w:asciiTheme="minorHAnsi" w:hAnsiTheme="minorHAnsi" w:cs="Arial"/>
          <w:color w:val="000000"/>
          <w:sz w:val="24"/>
          <w:szCs w:val="24"/>
        </w:rPr>
      </w:pPr>
    </w:p>
    <w:p w:rsidR="002C18DD" w:rsidRPr="002C18DD" w:rsidRDefault="00C56FC8" w:rsidP="001C37C6">
      <w:pPr>
        <w:spacing w:line="240" w:lineRule="exact"/>
        <w:jc w:val="both"/>
        <w:rPr>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C18DD">
        <w:rPr>
          <w:rFonts w:asciiTheme="minorHAnsi" w:eastAsiaTheme="minorHAnsi" w:hAnsiTheme="minorHAnsi"/>
          <w:color w:val="auto"/>
          <w:szCs w:val="24"/>
        </w:rPr>
        <w:t xml:space="preserve">  </w:t>
      </w:r>
      <w:r w:rsidR="002C18DD" w:rsidRPr="002C18DD">
        <w:rPr>
          <w:color w:val="auto"/>
          <w:szCs w:val="24"/>
        </w:rPr>
        <w:t xml:space="preserve">After due deliberation, considering all of the evidence and mindful of VASRD §4.3 (reasonable </w:t>
      </w:r>
      <w:r w:rsidR="002C18DD" w:rsidRPr="0027460A">
        <w:rPr>
          <w:color w:val="auto"/>
          <w:szCs w:val="24"/>
        </w:rPr>
        <w:t>doubt), the</w:t>
      </w:r>
      <w:r w:rsidR="002C18DD" w:rsidRPr="002C18DD">
        <w:rPr>
          <w:color w:val="auto"/>
          <w:szCs w:val="24"/>
        </w:rPr>
        <w:t xml:space="preserve"> Board </w:t>
      </w:r>
      <w:r w:rsidR="0027460A">
        <w:rPr>
          <w:color w:val="auto"/>
          <w:szCs w:val="24"/>
        </w:rPr>
        <w:t xml:space="preserve">unanimously </w:t>
      </w:r>
      <w:r w:rsidR="002C18DD" w:rsidRPr="002C18DD">
        <w:rPr>
          <w:color w:val="auto"/>
          <w:szCs w:val="24"/>
        </w:rPr>
        <w:t xml:space="preserve">recommends a separation rating of </w:t>
      </w:r>
      <w:r w:rsidR="002C18DD">
        <w:rPr>
          <w:color w:val="auto"/>
          <w:szCs w:val="24"/>
        </w:rPr>
        <w:t>1</w:t>
      </w:r>
      <w:r w:rsidR="002C18DD" w:rsidRPr="002C18DD">
        <w:rPr>
          <w:color w:val="auto"/>
          <w:szCs w:val="24"/>
        </w:rPr>
        <w:t xml:space="preserve">0% for the </w:t>
      </w:r>
      <w:r w:rsidR="002C18DD">
        <w:rPr>
          <w:color w:val="auto"/>
          <w:szCs w:val="24"/>
        </w:rPr>
        <w:t xml:space="preserve">left knee </w:t>
      </w:r>
      <w:r w:rsidR="002A7C31">
        <w:rPr>
          <w:color w:val="auto"/>
          <w:szCs w:val="24"/>
        </w:rPr>
        <w:t xml:space="preserve">ACL </w:t>
      </w:r>
      <w:r w:rsidR="002C18DD">
        <w:rPr>
          <w:color w:val="auto"/>
          <w:szCs w:val="24"/>
        </w:rPr>
        <w:t>condition coded 5257 and 10% for the medial meniscus</w:t>
      </w:r>
      <w:r w:rsidR="002C18DD" w:rsidRPr="002C18DD">
        <w:rPr>
          <w:color w:val="auto"/>
          <w:szCs w:val="24"/>
        </w:rPr>
        <w:t xml:space="preserve"> condition</w:t>
      </w:r>
      <w:r w:rsidR="002C18DD">
        <w:rPr>
          <w:color w:val="auto"/>
          <w:szCs w:val="24"/>
        </w:rPr>
        <w:t xml:space="preserve"> coded 5259 for a combined rating of 20%</w:t>
      </w:r>
      <w:r w:rsidR="002C18DD" w:rsidRPr="002C18DD">
        <w:rPr>
          <w:color w:val="auto"/>
          <w:szCs w:val="24"/>
        </w:rPr>
        <w:t>.</w:t>
      </w:r>
    </w:p>
    <w:p w:rsidR="00F1737C" w:rsidRPr="00391858" w:rsidRDefault="00F1737C" w:rsidP="001C37C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1C37C6">
      <w:pPr>
        <w:spacing w:line="240" w:lineRule="exact"/>
        <w:jc w:val="both"/>
        <w:rPr>
          <w:rFonts w:asciiTheme="minorHAnsi" w:hAnsiTheme="minorHAnsi"/>
          <w:color w:val="auto"/>
          <w:szCs w:val="24"/>
          <w:u w:val="single"/>
        </w:rPr>
      </w:pPr>
    </w:p>
    <w:p w:rsidR="00C56FC8" w:rsidRPr="00B427BB" w:rsidRDefault="00C56FC8" w:rsidP="001C37C6">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as follows, effective as of the date of his</w:t>
      </w:r>
      <w:r w:rsidR="00911B11">
        <w:rPr>
          <w:rFonts w:asciiTheme="minorHAnsi" w:hAnsiTheme="minorHAnsi"/>
          <w:color w:val="auto"/>
          <w:szCs w:val="24"/>
        </w:rPr>
        <w:t xml:space="preserve"> prior medical separation:</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10792F" w:rsidRDefault="00E161B9" w:rsidP="0047318C">
            <w:pPr>
              <w:tabs>
                <w:tab w:val="left" w:pos="288"/>
                <w:tab w:val="left" w:pos="4752"/>
              </w:tabs>
              <w:spacing w:line="240" w:lineRule="exact"/>
              <w:rPr>
                <w:rFonts w:asciiTheme="minorHAnsi" w:hAnsiTheme="minorHAnsi"/>
                <w:color w:val="auto"/>
                <w:szCs w:val="24"/>
              </w:rPr>
            </w:pPr>
            <w:r w:rsidRPr="0010792F">
              <w:rPr>
                <w:rFonts w:asciiTheme="minorHAnsi" w:hAnsiTheme="minorHAnsi"/>
                <w:color w:val="auto"/>
                <w:szCs w:val="24"/>
              </w:rPr>
              <w:t xml:space="preserve">Left </w:t>
            </w:r>
            <w:r w:rsidR="002C18DD" w:rsidRPr="0010792F">
              <w:rPr>
                <w:rFonts w:asciiTheme="minorHAnsi" w:hAnsiTheme="minorHAnsi"/>
                <w:color w:val="auto"/>
                <w:szCs w:val="24"/>
              </w:rPr>
              <w:t xml:space="preserve">ACL </w:t>
            </w:r>
            <w:r w:rsidR="0047318C" w:rsidRPr="0010792F">
              <w:rPr>
                <w:rFonts w:asciiTheme="minorHAnsi" w:hAnsiTheme="minorHAnsi"/>
                <w:color w:val="auto"/>
                <w:szCs w:val="24"/>
              </w:rPr>
              <w:t xml:space="preserve">Reconstruction </w:t>
            </w:r>
            <w:r w:rsidR="0047318C">
              <w:rPr>
                <w:rFonts w:asciiTheme="minorHAnsi" w:hAnsiTheme="minorHAnsi"/>
                <w:color w:val="auto"/>
                <w:szCs w:val="24"/>
              </w:rPr>
              <w:t>w</w:t>
            </w:r>
            <w:r w:rsidR="0047318C" w:rsidRPr="0010792F">
              <w:rPr>
                <w:rFonts w:asciiTheme="minorHAnsi" w:hAnsiTheme="minorHAnsi"/>
                <w:color w:val="auto"/>
                <w:szCs w:val="24"/>
              </w:rPr>
              <w:t xml:space="preserve">ith Instability </w:t>
            </w:r>
          </w:p>
        </w:tc>
        <w:tc>
          <w:tcPr>
            <w:tcW w:w="1710" w:type="dxa"/>
            <w:vAlign w:val="center"/>
          </w:tcPr>
          <w:p w:rsidR="00A95BBA" w:rsidRPr="0010792F" w:rsidRDefault="00E161B9" w:rsidP="00103948">
            <w:pPr>
              <w:tabs>
                <w:tab w:val="left" w:pos="288"/>
                <w:tab w:val="left" w:pos="4752"/>
              </w:tabs>
              <w:spacing w:line="240" w:lineRule="exact"/>
              <w:jc w:val="center"/>
              <w:rPr>
                <w:rFonts w:asciiTheme="minorHAnsi" w:hAnsiTheme="minorHAnsi"/>
                <w:color w:val="auto"/>
                <w:szCs w:val="24"/>
              </w:rPr>
            </w:pPr>
            <w:r w:rsidRPr="0010792F">
              <w:rPr>
                <w:rFonts w:asciiTheme="minorHAnsi" w:hAnsiTheme="minorHAnsi"/>
                <w:color w:val="auto"/>
                <w:szCs w:val="24"/>
              </w:rPr>
              <w:t>5257</w:t>
            </w:r>
          </w:p>
        </w:tc>
        <w:tc>
          <w:tcPr>
            <w:tcW w:w="1170" w:type="dxa"/>
            <w:vAlign w:val="center"/>
          </w:tcPr>
          <w:p w:rsidR="00A95BBA" w:rsidRPr="0010792F" w:rsidRDefault="002C18DD" w:rsidP="00103948">
            <w:pPr>
              <w:tabs>
                <w:tab w:val="left" w:pos="288"/>
                <w:tab w:val="left" w:pos="4752"/>
              </w:tabs>
              <w:spacing w:line="240" w:lineRule="exact"/>
              <w:jc w:val="center"/>
              <w:rPr>
                <w:rFonts w:asciiTheme="minorHAnsi" w:hAnsiTheme="minorHAnsi"/>
                <w:color w:val="auto"/>
                <w:szCs w:val="24"/>
              </w:rPr>
            </w:pPr>
            <w:r w:rsidRPr="0010792F">
              <w:rPr>
                <w:rFonts w:asciiTheme="minorHAnsi" w:hAnsiTheme="minorHAnsi"/>
                <w:color w:val="auto"/>
                <w:szCs w:val="24"/>
              </w:rPr>
              <w:t>1</w:t>
            </w:r>
            <w:r w:rsidR="00A95BBA" w:rsidRPr="0010792F">
              <w:rPr>
                <w:rFonts w:asciiTheme="minorHAnsi" w:hAnsiTheme="minorHAnsi"/>
                <w:color w:val="auto"/>
                <w:szCs w:val="24"/>
              </w:rPr>
              <w:t>0%</w:t>
            </w:r>
          </w:p>
        </w:tc>
      </w:tr>
      <w:tr w:rsidR="002C18DD" w:rsidRPr="00AF01B2" w:rsidTr="00103948">
        <w:trPr>
          <w:jc w:val="center"/>
        </w:trPr>
        <w:tc>
          <w:tcPr>
            <w:tcW w:w="6480" w:type="dxa"/>
            <w:vAlign w:val="center"/>
          </w:tcPr>
          <w:p w:rsidR="002C18DD" w:rsidRPr="0010792F" w:rsidRDefault="002C18DD" w:rsidP="0047318C">
            <w:pPr>
              <w:tabs>
                <w:tab w:val="left" w:pos="288"/>
                <w:tab w:val="left" w:pos="4752"/>
              </w:tabs>
              <w:spacing w:line="240" w:lineRule="exact"/>
              <w:rPr>
                <w:rFonts w:asciiTheme="minorHAnsi" w:hAnsiTheme="minorHAnsi"/>
                <w:color w:val="auto"/>
                <w:szCs w:val="24"/>
              </w:rPr>
            </w:pPr>
            <w:r w:rsidRPr="0010792F">
              <w:rPr>
                <w:rFonts w:asciiTheme="minorHAnsi" w:hAnsiTheme="minorHAnsi"/>
                <w:color w:val="auto"/>
                <w:szCs w:val="24"/>
              </w:rPr>
              <w:t xml:space="preserve">Symptomatic </w:t>
            </w:r>
            <w:r w:rsidR="0047318C" w:rsidRPr="0010792F">
              <w:rPr>
                <w:rFonts w:asciiTheme="minorHAnsi" w:hAnsiTheme="minorHAnsi"/>
                <w:color w:val="auto"/>
                <w:szCs w:val="24"/>
              </w:rPr>
              <w:t xml:space="preserve">Removal </w:t>
            </w:r>
            <w:r w:rsidR="0047318C">
              <w:rPr>
                <w:rFonts w:asciiTheme="minorHAnsi" w:hAnsiTheme="minorHAnsi"/>
                <w:color w:val="auto"/>
                <w:szCs w:val="24"/>
              </w:rPr>
              <w:t>o</w:t>
            </w:r>
            <w:r w:rsidR="0047318C" w:rsidRPr="0010792F">
              <w:rPr>
                <w:rFonts w:asciiTheme="minorHAnsi" w:hAnsiTheme="minorHAnsi"/>
                <w:color w:val="auto"/>
                <w:szCs w:val="24"/>
              </w:rPr>
              <w:t xml:space="preserve">f </w:t>
            </w:r>
            <w:r w:rsidR="0047318C">
              <w:rPr>
                <w:rFonts w:asciiTheme="minorHAnsi" w:hAnsiTheme="minorHAnsi"/>
                <w:color w:val="auto"/>
                <w:szCs w:val="24"/>
              </w:rPr>
              <w:t>t</w:t>
            </w:r>
            <w:r w:rsidR="0047318C" w:rsidRPr="0010792F">
              <w:rPr>
                <w:rFonts w:asciiTheme="minorHAnsi" w:hAnsiTheme="minorHAnsi"/>
                <w:color w:val="auto"/>
                <w:szCs w:val="24"/>
              </w:rPr>
              <w:t>he Left Medial Meniscus</w:t>
            </w:r>
          </w:p>
        </w:tc>
        <w:tc>
          <w:tcPr>
            <w:tcW w:w="1710" w:type="dxa"/>
            <w:vAlign w:val="center"/>
          </w:tcPr>
          <w:p w:rsidR="002C18DD" w:rsidRPr="0010792F" w:rsidRDefault="002C18DD" w:rsidP="00103948">
            <w:pPr>
              <w:tabs>
                <w:tab w:val="left" w:pos="288"/>
                <w:tab w:val="left" w:pos="4752"/>
              </w:tabs>
              <w:spacing w:line="240" w:lineRule="exact"/>
              <w:jc w:val="center"/>
              <w:rPr>
                <w:rFonts w:asciiTheme="minorHAnsi" w:hAnsiTheme="minorHAnsi"/>
                <w:color w:val="auto"/>
                <w:szCs w:val="24"/>
              </w:rPr>
            </w:pPr>
            <w:r w:rsidRPr="0010792F">
              <w:rPr>
                <w:rFonts w:asciiTheme="minorHAnsi" w:hAnsiTheme="minorHAnsi"/>
                <w:color w:val="auto"/>
                <w:szCs w:val="24"/>
              </w:rPr>
              <w:t>5259</w:t>
            </w:r>
          </w:p>
        </w:tc>
        <w:tc>
          <w:tcPr>
            <w:tcW w:w="1170" w:type="dxa"/>
            <w:vAlign w:val="center"/>
          </w:tcPr>
          <w:p w:rsidR="002C18DD" w:rsidRPr="0010792F" w:rsidRDefault="002C18DD" w:rsidP="00103948">
            <w:pPr>
              <w:tabs>
                <w:tab w:val="left" w:pos="288"/>
                <w:tab w:val="left" w:pos="4752"/>
              </w:tabs>
              <w:spacing w:line="240" w:lineRule="exact"/>
              <w:jc w:val="center"/>
              <w:rPr>
                <w:rFonts w:asciiTheme="minorHAnsi" w:hAnsiTheme="minorHAnsi"/>
                <w:color w:val="auto"/>
                <w:szCs w:val="24"/>
              </w:rPr>
            </w:pPr>
            <w:r w:rsidRPr="0010792F">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0792F" w:rsidRDefault="00A95BBA" w:rsidP="00103948">
            <w:pPr>
              <w:tabs>
                <w:tab w:val="left" w:pos="288"/>
                <w:tab w:val="left" w:pos="4752"/>
              </w:tabs>
              <w:spacing w:line="240" w:lineRule="exact"/>
              <w:jc w:val="center"/>
              <w:rPr>
                <w:rFonts w:asciiTheme="minorHAnsi" w:hAnsiTheme="minorHAnsi"/>
                <w:b/>
                <w:color w:val="auto"/>
                <w:szCs w:val="24"/>
              </w:rPr>
            </w:pPr>
            <w:r w:rsidRPr="0010792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10792F" w:rsidRDefault="002C18DD" w:rsidP="00103948">
            <w:pPr>
              <w:tabs>
                <w:tab w:val="left" w:pos="288"/>
                <w:tab w:val="left" w:pos="4752"/>
              </w:tabs>
              <w:spacing w:line="240" w:lineRule="exact"/>
              <w:jc w:val="center"/>
              <w:rPr>
                <w:rFonts w:asciiTheme="minorHAnsi" w:hAnsiTheme="minorHAnsi"/>
                <w:b/>
                <w:color w:val="auto"/>
                <w:szCs w:val="24"/>
              </w:rPr>
            </w:pPr>
            <w:r w:rsidRPr="0010792F">
              <w:rPr>
                <w:rFonts w:asciiTheme="minorHAnsi" w:hAnsiTheme="minorHAnsi"/>
                <w:b/>
                <w:color w:val="auto"/>
                <w:szCs w:val="24"/>
              </w:rPr>
              <w:t>2</w:t>
            </w:r>
            <w:r w:rsidR="00A95BBA" w:rsidRPr="0010792F">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w:t>
      </w:r>
      <w:r w:rsidR="00890364">
        <w:rPr>
          <w:rFonts w:asciiTheme="minorHAnsi" w:hAnsiTheme="minorHAnsi"/>
          <w:b/>
          <w:color w:val="auto"/>
          <w:u w:val="single"/>
        </w:rPr>
        <w:t>________________________________</w:t>
      </w:r>
      <w:r w:rsidRPr="00391858">
        <w:rPr>
          <w:rFonts w:asciiTheme="minorHAnsi" w:hAnsiTheme="minorHAnsi"/>
          <w:b/>
          <w:color w:val="auto"/>
          <w:u w:val="single"/>
        </w:rPr>
        <w:t>_____</w:t>
      </w:r>
    </w:p>
    <w:p w:rsidR="00106AD8" w:rsidRPr="00391858" w:rsidRDefault="00106AD8" w:rsidP="00510F9C">
      <w:pPr>
        <w:tabs>
          <w:tab w:val="left" w:pos="288"/>
          <w:tab w:val="left" w:pos="4752"/>
        </w:tabs>
        <w:spacing w:line="240" w:lineRule="exact"/>
        <w:rPr>
          <w:b/>
          <w:color w:val="auto"/>
          <w:szCs w:val="24"/>
        </w:rPr>
      </w:pPr>
    </w:p>
    <w:p w:rsidR="0047318C" w:rsidRDefault="0047318C" w:rsidP="00510F9C">
      <w:pPr>
        <w:tabs>
          <w:tab w:val="left" w:pos="288"/>
          <w:tab w:val="left" w:pos="4752"/>
        </w:tabs>
        <w:spacing w:line="240" w:lineRule="exact"/>
        <w:jc w:val="both"/>
        <w:rPr>
          <w:rFonts w:asciiTheme="minorHAnsi" w:hAnsiTheme="minorHAnsi"/>
          <w:color w:val="auto"/>
        </w:rPr>
      </w:pPr>
    </w:p>
    <w:p w:rsidR="0047318C" w:rsidRDefault="0047318C" w:rsidP="00510F9C">
      <w:pPr>
        <w:tabs>
          <w:tab w:val="left" w:pos="288"/>
          <w:tab w:val="left" w:pos="4752"/>
        </w:tabs>
        <w:spacing w:line="240" w:lineRule="exact"/>
        <w:jc w:val="both"/>
        <w:rPr>
          <w:rFonts w:asciiTheme="minorHAnsi" w:hAnsiTheme="minorHAnsi"/>
          <w:color w:val="auto"/>
        </w:rPr>
      </w:pPr>
    </w:p>
    <w:p w:rsidR="0047318C" w:rsidRDefault="0047318C" w:rsidP="00510F9C">
      <w:pPr>
        <w:tabs>
          <w:tab w:val="left" w:pos="288"/>
          <w:tab w:val="left" w:pos="4752"/>
        </w:tabs>
        <w:spacing w:line="240" w:lineRule="exact"/>
        <w:jc w:val="both"/>
        <w:rPr>
          <w:rFonts w:asciiTheme="minorHAnsi" w:hAnsiTheme="minorHAnsi"/>
          <w:color w:val="auto"/>
        </w:rPr>
      </w:pPr>
    </w:p>
    <w:p w:rsidR="0047318C" w:rsidRDefault="0047318C"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w:t>
      </w:r>
      <w:r w:rsidR="0048612C" w:rsidRPr="0048612C">
        <w:rPr>
          <w:rFonts w:asciiTheme="minorHAnsi" w:hAnsiTheme="minorHAnsi"/>
          <w:color w:val="auto"/>
        </w:rPr>
        <w:t>20100112</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F871D3" w:rsidRPr="00F871D3" w:rsidRDefault="00FB1725" w:rsidP="00F871D3">
      <w:pPr>
        <w:pStyle w:val="PlainText"/>
        <w:spacing w:line="240" w:lineRule="exact"/>
        <w:rPr>
          <w:rFonts w:asciiTheme="minorHAnsi" w:hAnsiTheme="minorHAnsi" w:cstheme="minorHAnsi"/>
          <w:sz w:val="24"/>
          <w:szCs w:val="24"/>
        </w:rPr>
      </w:pPr>
      <w:r>
        <w:rPr>
          <w:rFonts w:asciiTheme="minorHAnsi" w:hAnsiTheme="minorHAnsi"/>
        </w:rPr>
        <w:t xml:space="preserve">                             </w:t>
      </w:r>
      <w:r>
        <w:rPr>
          <w:rFonts w:asciiTheme="minorHAnsi" w:hAnsiTheme="minorHAnsi"/>
        </w:rPr>
        <w:tab/>
      </w:r>
      <w:r>
        <w:rPr>
          <w:rFonts w:asciiTheme="minorHAnsi" w:hAnsiTheme="minorHAnsi"/>
        </w:rPr>
        <w:tab/>
      </w:r>
      <w:r w:rsidR="00F871D3">
        <w:rPr>
          <w:rFonts w:asciiTheme="minorHAnsi" w:hAnsiTheme="minorHAnsi"/>
        </w:rPr>
        <w:tab/>
      </w:r>
      <w:r w:rsidR="00F871D3">
        <w:rPr>
          <w:rFonts w:asciiTheme="minorHAnsi" w:hAnsiTheme="minorHAnsi"/>
        </w:rPr>
        <w:tab/>
      </w:r>
      <w:r w:rsidR="00F871D3">
        <w:rPr>
          <w:rFonts w:asciiTheme="minorHAnsi" w:hAnsiTheme="minorHAnsi"/>
        </w:rPr>
        <w:tab/>
      </w:r>
      <w:r w:rsidR="00AA4CC0">
        <w:rPr>
          <w:rFonts w:asciiTheme="minorHAnsi" w:hAnsiTheme="minorHAnsi" w:cstheme="minorHAnsi"/>
          <w:sz w:val="24"/>
          <w:szCs w:val="24"/>
        </w:rPr>
        <w:t xml:space="preserve"> </w:t>
      </w:r>
    </w:p>
    <w:p w:rsidR="00300FF3" w:rsidRDefault="00F871D3" w:rsidP="00F871D3">
      <w:pPr>
        <w:pStyle w:val="PlainText"/>
        <w:spacing w:line="240" w:lineRule="exact"/>
        <w:ind w:left="4320"/>
        <w:rPr>
          <w:rFonts w:asciiTheme="minorHAnsi" w:hAnsiTheme="minorHAnsi" w:cstheme="minorHAnsi"/>
          <w:sz w:val="24"/>
          <w:szCs w:val="24"/>
        </w:rPr>
      </w:pPr>
      <w:r>
        <w:rPr>
          <w:rFonts w:asciiTheme="minorHAnsi" w:hAnsiTheme="minorHAnsi" w:cstheme="minorHAnsi"/>
          <w:sz w:val="24"/>
          <w:szCs w:val="24"/>
        </w:rPr>
        <w:t>P</w:t>
      </w:r>
      <w:r w:rsidRPr="00F871D3">
        <w:rPr>
          <w:rFonts w:asciiTheme="minorHAnsi" w:hAnsiTheme="minorHAnsi" w:cstheme="minorHAnsi"/>
          <w:sz w:val="24"/>
          <w:szCs w:val="24"/>
        </w:rPr>
        <w:t>resident</w:t>
      </w:r>
    </w:p>
    <w:p w:rsidR="00AA4CC0" w:rsidRDefault="00F871D3" w:rsidP="00F871D3">
      <w:pPr>
        <w:pStyle w:val="PlainText"/>
        <w:spacing w:line="240" w:lineRule="exact"/>
        <w:ind w:left="4320"/>
        <w:rPr>
          <w:rFonts w:asciiTheme="minorHAnsi" w:hAnsiTheme="minorHAnsi" w:cstheme="minorHAnsi"/>
          <w:sz w:val="24"/>
          <w:szCs w:val="24"/>
        </w:rPr>
      </w:pPr>
      <w:r w:rsidRPr="00F871D3">
        <w:rPr>
          <w:rFonts w:asciiTheme="minorHAnsi" w:hAnsiTheme="minorHAnsi" w:cstheme="minorHAnsi"/>
          <w:sz w:val="24"/>
          <w:szCs w:val="24"/>
        </w:rPr>
        <w:t>Physical Disability Board of Review</w:t>
      </w:r>
    </w:p>
    <w:p w:rsidR="00AA4CC0" w:rsidRDefault="00AA4CC0">
      <w:pPr>
        <w:rPr>
          <w:rFonts w:asciiTheme="minorHAnsi" w:eastAsia="Calibri" w:hAnsiTheme="minorHAnsi" w:cstheme="minorHAnsi"/>
          <w:color w:val="auto"/>
          <w:szCs w:val="24"/>
        </w:rPr>
      </w:pPr>
      <w:r>
        <w:rPr>
          <w:rFonts w:asciiTheme="minorHAnsi" w:hAnsiTheme="minorHAnsi" w:cstheme="minorHAnsi"/>
          <w:szCs w:val="24"/>
        </w:rPr>
        <w:br w:type="page"/>
      </w: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lastRenderedPageBreak/>
        <w:t>MEMORANDUM FOR DEPUTY COMMANDANT, MANPOWER &amp; RESERVE AFFAIRS</w:t>
      </w: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ab/>
        <w:t xml:space="preserve">         COMMANDER, NAVY PERSONNEL COMMAND</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proofErr w:type="spellStart"/>
      <w:r w:rsidRPr="00306EBD">
        <w:rPr>
          <w:rFonts w:ascii="Courier New" w:hAnsi="Courier New" w:cs="Courier New"/>
          <w:color w:val="auto"/>
          <w:sz w:val="20"/>
        </w:rPr>
        <w:t>Subj</w:t>
      </w:r>
      <w:proofErr w:type="spellEnd"/>
      <w:r w:rsidRPr="00306EBD">
        <w:rPr>
          <w:rFonts w:ascii="Courier New" w:hAnsi="Courier New" w:cs="Courier New"/>
          <w:color w:val="auto"/>
          <w:sz w:val="20"/>
        </w:rPr>
        <w:t xml:space="preserve">:  PHYSICAL DISABILITY BOARD OF REVIEW (PDBR) RECOMMENDATIONS          </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Ref:   (a) </w:t>
      </w:r>
      <w:proofErr w:type="spellStart"/>
      <w:r w:rsidRPr="00306EBD">
        <w:rPr>
          <w:rFonts w:ascii="Courier New" w:hAnsi="Courier New" w:cs="Courier New"/>
          <w:color w:val="auto"/>
          <w:sz w:val="20"/>
        </w:rPr>
        <w:t>DoDI</w:t>
      </w:r>
      <w:proofErr w:type="spellEnd"/>
      <w:r w:rsidRPr="00306EBD">
        <w:rPr>
          <w:rFonts w:ascii="Courier New" w:hAnsi="Courier New" w:cs="Courier New"/>
          <w:color w:val="auto"/>
          <w:sz w:val="20"/>
        </w:rPr>
        <w:t xml:space="preserve"> 6040.44</w:t>
      </w: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(b)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17 Oct 11 ICO </w:t>
      </w:r>
      <w:proofErr w:type="spellStart"/>
      <w:r>
        <w:rPr>
          <w:rFonts w:ascii="Courier New" w:hAnsi="Courier New" w:cs="Courier New"/>
          <w:color w:val="auto"/>
          <w:sz w:val="20"/>
        </w:rPr>
        <w:t>xxxxxxxxxxxxxxxx</w:t>
      </w:r>
      <w:proofErr w:type="spellEnd"/>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(c)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25 Oct 11 ICO </w:t>
      </w:r>
      <w:proofErr w:type="spellStart"/>
      <w:r>
        <w:rPr>
          <w:rFonts w:ascii="Courier New" w:hAnsi="Courier New" w:cs="Courier New"/>
          <w:color w:val="auto"/>
          <w:sz w:val="20"/>
        </w:rPr>
        <w:t>xxxxxxxxxxxxxxxx</w:t>
      </w:r>
      <w:proofErr w:type="spellEnd"/>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(d)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(e)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(f)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20 Oct 11 ICO </w:t>
      </w:r>
      <w:proofErr w:type="spellStart"/>
      <w:r>
        <w:rPr>
          <w:rFonts w:ascii="Courier New" w:hAnsi="Courier New" w:cs="Courier New"/>
          <w:color w:val="auto"/>
          <w:sz w:val="20"/>
        </w:rPr>
        <w:t>xxxxxxxxxxxxxxxx</w:t>
      </w:r>
      <w:proofErr w:type="spellEnd"/>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1.  Pursuant to reference (a) I approve the recommendations of the Physical Disability Board of Review set forth in references (b) through (f).</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2.  The official records of the following individuals are to be corrected to reflect the stated disposition:</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a.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w:t>
      </w:r>
      <w:r w:rsidR="007D7C75">
        <w:rPr>
          <w:rFonts w:ascii="Courier New" w:hAnsi="Courier New" w:cs="Courier New"/>
          <w:color w:val="auto"/>
          <w:sz w:val="20"/>
          <w:u w:val="single"/>
        </w:rPr>
        <w:t>XXXX</w:t>
      </w:r>
      <w:r w:rsidRPr="00306EBD">
        <w:rPr>
          <w:rFonts w:ascii="Courier New" w:hAnsi="Courier New" w:cs="Courier New"/>
          <w:color w:val="auto"/>
          <w:sz w:val="20"/>
        </w:rPr>
        <w:t>:  Placement on the Permanent Disability Retired List with a 30 percent disability rating (increased from 10 percent) effective 15 January 2006.</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b.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w:t>
      </w:r>
      <w:r w:rsidR="007D7C75">
        <w:rPr>
          <w:rFonts w:ascii="Courier New" w:hAnsi="Courier New" w:cs="Courier New"/>
          <w:color w:val="auto"/>
          <w:sz w:val="20"/>
          <w:u w:val="single"/>
        </w:rPr>
        <w:t>XXXX</w:t>
      </w:r>
      <w:r w:rsidRPr="00306EBD">
        <w:rPr>
          <w:rFonts w:ascii="Courier New" w:hAnsi="Courier New" w:cs="Courier New"/>
          <w:color w:val="auto"/>
          <w:sz w:val="20"/>
        </w:rPr>
        <w:t>:  Separation from the Naval Service due to physical disability rated at 20 percent (increased from 10 percent) effective 1 December 2002.</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c.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-XX-</w:t>
      </w:r>
      <w:r w:rsidR="007D7C75">
        <w:rPr>
          <w:rFonts w:ascii="Courier New" w:hAnsi="Courier New" w:cs="Courier New"/>
          <w:color w:val="auto"/>
          <w:sz w:val="20"/>
          <w:u w:val="single"/>
        </w:rPr>
        <w:t>XXXX</w:t>
      </w:r>
      <w:r w:rsidRPr="00306EBD">
        <w:rPr>
          <w:rFonts w:ascii="Courier New" w:hAnsi="Courier New" w:cs="Courier New"/>
          <w:color w:val="auto"/>
          <w:sz w:val="20"/>
        </w:rPr>
        <w:t>:  Separation from the Naval Service due to physical disability rated at 10 percent (increased from 0 percent) effective 15 November 2004.</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d.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w:t>
      </w:r>
      <w:r w:rsidR="007D7C75">
        <w:rPr>
          <w:rFonts w:ascii="Courier New" w:hAnsi="Courier New" w:cs="Courier New"/>
          <w:color w:val="auto"/>
          <w:sz w:val="20"/>
          <w:u w:val="single"/>
        </w:rPr>
        <w:t>XXXX</w:t>
      </w:r>
      <w:r w:rsidRPr="00306EBD">
        <w:rPr>
          <w:rFonts w:ascii="Courier New" w:hAnsi="Courier New" w:cs="Courier New"/>
          <w:color w:val="auto"/>
          <w:sz w:val="20"/>
        </w:rPr>
        <w:t>:  Placement on the Temporary Disability Retired List at 50 percent from 15 February 2008 through 14 August 2008 with final disability separation on 15 August 2008 with a 10 percent disability rating.</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e.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6809</w:t>
      </w:r>
      <w:r w:rsidRPr="00306EBD">
        <w:rPr>
          <w:rFonts w:ascii="Courier New" w:hAnsi="Courier New" w:cs="Courier New"/>
          <w:color w:val="auto"/>
          <w:sz w:val="20"/>
        </w:rPr>
        <w:t>:  Separation from the Naval Service due to physical disability rated at 20 percent (increased from 10 percent) effective 30 March 2009.</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r w:rsidRPr="00306EBD">
        <w:rPr>
          <w:rFonts w:ascii="Courier New" w:hAnsi="Courier New" w:cs="Courier New"/>
          <w:color w:val="auto"/>
          <w:sz w:val="20"/>
        </w:rPr>
        <w:t>3.  Please ensure all necessary actions are taken to implement these decisions and the subject members are notified once those actions are completed.</w:t>
      </w: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p>
    <w:p w:rsidR="00AA4CC0" w:rsidRPr="00306EBD" w:rsidRDefault="00AA4CC0" w:rsidP="00AA4CC0">
      <w:pPr>
        <w:rPr>
          <w:rFonts w:ascii="Courier New" w:hAnsi="Courier New" w:cs="Courier New"/>
          <w:color w:val="auto"/>
          <w:sz w:val="20"/>
        </w:rPr>
      </w:pPr>
    </w:p>
    <w:p w:rsidR="00AA4CC0" w:rsidRPr="00306EBD" w:rsidRDefault="00AA4CC0" w:rsidP="00AA4CC0">
      <w:pPr>
        <w:tabs>
          <w:tab w:val="left" w:pos="4680"/>
        </w:tabs>
        <w:rPr>
          <w:rFonts w:ascii="Courier New" w:hAnsi="Courier New" w:cs="Courier New"/>
          <w:color w:val="auto"/>
          <w:sz w:val="20"/>
        </w:rPr>
      </w:pPr>
      <w:r w:rsidRPr="00306EBD">
        <w:rPr>
          <w:rFonts w:ascii="Courier New" w:hAnsi="Courier New" w:cs="Courier New"/>
          <w:color w:val="auto"/>
          <w:sz w:val="20"/>
        </w:rPr>
        <w:tab/>
      </w:r>
      <w:r>
        <w:rPr>
          <w:rFonts w:ascii="Courier New" w:hAnsi="Courier New" w:cs="Courier New"/>
          <w:color w:val="auto"/>
          <w:sz w:val="20"/>
        </w:rPr>
        <w:t xml:space="preserve"> </w:t>
      </w:r>
    </w:p>
    <w:p w:rsidR="00AA4CC0" w:rsidRPr="00306EBD" w:rsidRDefault="00AA4CC0" w:rsidP="00AA4CC0">
      <w:pPr>
        <w:tabs>
          <w:tab w:val="left" w:pos="4680"/>
        </w:tabs>
        <w:rPr>
          <w:rFonts w:ascii="Courier New" w:hAnsi="Courier New" w:cs="Courier New"/>
          <w:color w:val="auto"/>
          <w:sz w:val="20"/>
        </w:rPr>
      </w:pPr>
      <w:r w:rsidRPr="00306EBD">
        <w:rPr>
          <w:rFonts w:ascii="Courier New" w:hAnsi="Courier New" w:cs="Courier New"/>
          <w:color w:val="auto"/>
          <w:sz w:val="20"/>
        </w:rPr>
        <w:tab/>
        <w:t>Assistant General Counsel</w:t>
      </w:r>
    </w:p>
    <w:p w:rsidR="00AA4CC0" w:rsidRPr="00306EBD" w:rsidRDefault="00AA4CC0" w:rsidP="00AA4CC0">
      <w:pPr>
        <w:tabs>
          <w:tab w:val="left" w:pos="4680"/>
        </w:tabs>
        <w:rPr>
          <w:rFonts w:ascii="Courier New" w:hAnsi="Courier New" w:cs="Courier New"/>
          <w:color w:val="auto"/>
          <w:sz w:val="20"/>
        </w:rPr>
      </w:pPr>
      <w:r w:rsidRPr="00306EBD">
        <w:rPr>
          <w:rFonts w:ascii="Courier New" w:hAnsi="Courier New" w:cs="Courier New"/>
          <w:color w:val="auto"/>
          <w:sz w:val="20"/>
        </w:rPr>
        <w:tab/>
        <w:t xml:space="preserve">  (Manpower &amp; Reserve Affairs)</w:t>
      </w:r>
    </w:p>
    <w:p w:rsidR="00AA4CC0" w:rsidRPr="00C25746" w:rsidRDefault="00AA4CC0" w:rsidP="00AA4CC0">
      <w:pPr>
        <w:tabs>
          <w:tab w:val="left" w:pos="0"/>
          <w:tab w:val="left" w:pos="4320"/>
        </w:tabs>
        <w:spacing w:line="240" w:lineRule="exact"/>
        <w:rPr>
          <w:rFonts w:asciiTheme="minorHAnsi" w:hAnsiTheme="minorHAnsi"/>
          <w:color w:val="auto"/>
        </w:rPr>
      </w:pPr>
    </w:p>
    <w:p w:rsidR="00F871D3" w:rsidRPr="00F871D3" w:rsidRDefault="00F871D3" w:rsidP="00AA4CC0">
      <w:pPr>
        <w:pStyle w:val="PlainText"/>
        <w:spacing w:line="240" w:lineRule="exact"/>
        <w:rPr>
          <w:rFonts w:asciiTheme="minorHAnsi" w:hAnsiTheme="minorHAnsi" w:cstheme="minorHAnsi"/>
          <w:sz w:val="24"/>
          <w:szCs w:val="24"/>
        </w:rPr>
      </w:pPr>
    </w:p>
    <w:p w:rsidR="00B522CD" w:rsidRPr="00F871D3" w:rsidRDefault="00FB1725" w:rsidP="00F871D3">
      <w:pPr>
        <w:tabs>
          <w:tab w:val="left" w:pos="0"/>
          <w:tab w:val="left" w:pos="4320"/>
        </w:tabs>
        <w:spacing w:line="240" w:lineRule="exact"/>
        <w:jc w:val="both"/>
        <w:rPr>
          <w:rFonts w:asciiTheme="minorHAnsi" w:hAnsiTheme="minorHAnsi" w:cstheme="minorHAnsi"/>
          <w:color w:val="auto"/>
          <w:szCs w:val="24"/>
        </w:rPr>
      </w:pPr>
      <w:r w:rsidRPr="00F871D3">
        <w:rPr>
          <w:rFonts w:asciiTheme="minorHAnsi" w:hAnsiTheme="minorHAnsi" w:cstheme="minorHAnsi"/>
          <w:color w:val="auto"/>
          <w:szCs w:val="24"/>
        </w:rPr>
        <w:tab/>
        <w:t xml:space="preserve">                           </w:t>
      </w:r>
      <w:r w:rsidRPr="00F871D3">
        <w:rPr>
          <w:rFonts w:asciiTheme="minorHAnsi" w:hAnsiTheme="minorHAnsi" w:cstheme="minorHAnsi"/>
          <w:color w:val="auto"/>
          <w:szCs w:val="24"/>
        </w:rPr>
        <w:tab/>
      </w:r>
      <w:r w:rsidRPr="00F871D3">
        <w:rPr>
          <w:rFonts w:asciiTheme="minorHAnsi" w:hAnsiTheme="minorHAnsi" w:cstheme="minorHAnsi"/>
          <w:color w:val="auto"/>
          <w:szCs w:val="24"/>
        </w:rPr>
        <w:tab/>
      </w:r>
      <w:r w:rsidRPr="00F871D3">
        <w:rPr>
          <w:rFonts w:asciiTheme="minorHAnsi" w:hAnsiTheme="minorHAnsi" w:cstheme="minorHAnsi"/>
          <w:color w:val="auto"/>
          <w:szCs w:val="24"/>
        </w:rPr>
        <w:tab/>
      </w:r>
      <w:r w:rsidRPr="00F871D3">
        <w:rPr>
          <w:rFonts w:asciiTheme="minorHAnsi" w:hAnsiTheme="minorHAnsi" w:cstheme="minorHAnsi"/>
          <w:color w:val="auto"/>
          <w:szCs w:val="24"/>
        </w:rPr>
        <w:tab/>
      </w:r>
      <w:r w:rsidRPr="00F871D3">
        <w:rPr>
          <w:rFonts w:asciiTheme="minorHAnsi" w:hAnsiTheme="minorHAnsi" w:cstheme="minorHAnsi"/>
          <w:color w:val="auto"/>
          <w:szCs w:val="24"/>
        </w:rPr>
        <w:tab/>
      </w: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41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4F" w:rsidRDefault="00F60D4F">
      <w:r>
        <w:separator/>
      </w:r>
    </w:p>
  </w:endnote>
  <w:endnote w:type="continuationSeparator" w:id="0">
    <w:p w:rsidR="00F60D4F" w:rsidRDefault="00F60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F08CD" w:rsidRPr="00684CE6" w:rsidRDefault="001F5B78" w:rsidP="00F65ED5">
        <w:pPr>
          <w:pStyle w:val="Footer"/>
          <w:jc w:val="right"/>
          <w:rPr>
            <w:color w:val="auto"/>
          </w:rPr>
        </w:pPr>
        <w:r w:rsidRPr="00684CE6">
          <w:rPr>
            <w:color w:val="auto"/>
          </w:rPr>
          <w:fldChar w:fldCharType="begin"/>
        </w:r>
        <w:r w:rsidR="002F08CD" w:rsidRPr="00684CE6">
          <w:rPr>
            <w:color w:val="auto"/>
          </w:rPr>
          <w:instrText xml:space="preserve"> PAGE   \* MERGEFORMAT </w:instrText>
        </w:r>
        <w:r w:rsidRPr="00684CE6">
          <w:rPr>
            <w:color w:val="auto"/>
          </w:rPr>
          <w:fldChar w:fldCharType="separate"/>
        </w:r>
        <w:r w:rsidR="007D7C75">
          <w:rPr>
            <w:noProof/>
            <w:color w:val="auto"/>
          </w:rPr>
          <w:t>2</w:t>
        </w:r>
        <w:r w:rsidRPr="00684CE6">
          <w:rPr>
            <w:color w:val="auto"/>
          </w:rPr>
          <w:fldChar w:fldCharType="end"/>
        </w:r>
        <w:r w:rsidR="002F08CD" w:rsidRPr="00684CE6">
          <w:rPr>
            <w:color w:val="auto"/>
          </w:rPr>
          <w:t xml:space="preserve">                                                           </w:t>
        </w:r>
        <w:r w:rsidR="002F08CD" w:rsidRPr="00396779">
          <w:rPr>
            <w:rFonts w:asciiTheme="minorHAnsi" w:hAnsiTheme="minorHAnsi"/>
            <w:caps/>
            <w:color w:val="auto"/>
          </w:rPr>
          <w:t>PD</w:t>
        </w:r>
        <w:r w:rsidR="002F08CD">
          <w:rPr>
            <w:rFonts w:asciiTheme="minorHAnsi" w:hAnsiTheme="minorHAnsi"/>
            <w:caps/>
            <w:color w:val="auto"/>
          </w:rPr>
          <w:t>1000025</w:t>
        </w:r>
      </w:p>
    </w:sdtContent>
  </w:sdt>
  <w:p w:rsidR="002F08CD" w:rsidRPr="00684CE6" w:rsidRDefault="002F08CD">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CD" w:rsidRPr="00DB4A6D" w:rsidRDefault="002F08CD"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4F" w:rsidRDefault="00F60D4F">
      <w:r>
        <w:separator/>
      </w:r>
    </w:p>
  </w:footnote>
  <w:footnote w:type="continuationSeparator" w:id="0">
    <w:p w:rsidR="00F60D4F" w:rsidRDefault="00F60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8113"/>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24CA"/>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78"/>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92F"/>
    <w:rsid w:val="00107EC5"/>
    <w:rsid w:val="001103CD"/>
    <w:rsid w:val="00110A4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0761"/>
    <w:rsid w:val="001C181A"/>
    <w:rsid w:val="001C1877"/>
    <w:rsid w:val="001C2053"/>
    <w:rsid w:val="001C252F"/>
    <w:rsid w:val="001C28D1"/>
    <w:rsid w:val="001C3473"/>
    <w:rsid w:val="001C37C6"/>
    <w:rsid w:val="001C5BDA"/>
    <w:rsid w:val="001C5CFC"/>
    <w:rsid w:val="001C7231"/>
    <w:rsid w:val="001C7418"/>
    <w:rsid w:val="001C7EBE"/>
    <w:rsid w:val="001D0051"/>
    <w:rsid w:val="001D169A"/>
    <w:rsid w:val="001D2224"/>
    <w:rsid w:val="001D31AA"/>
    <w:rsid w:val="001D3DC0"/>
    <w:rsid w:val="001D4F88"/>
    <w:rsid w:val="001D68CF"/>
    <w:rsid w:val="001D6A8C"/>
    <w:rsid w:val="001D7445"/>
    <w:rsid w:val="001D7A56"/>
    <w:rsid w:val="001E0633"/>
    <w:rsid w:val="001E15C0"/>
    <w:rsid w:val="001E18E0"/>
    <w:rsid w:val="001E18E2"/>
    <w:rsid w:val="001E19D0"/>
    <w:rsid w:val="001E2A30"/>
    <w:rsid w:val="001E2FF1"/>
    <w:rsid w:val="001E41FE"/>
    <w:rsid w:val="001E635C"/>
    <w:rsid w:val="001F0297"/>
    <w:rsid w:val="001F5B78"/>
    <w:rsid w:val="00200AA0"/>
    <w:rsid w:val="002015CB"/>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4F68"/>
    <w:rsid w:val="00225080"/>
    <w:rsid w:val="00225196"/>
    <w:rsid w:val="00225684"/>
    <w:rsid w:val="00225CB4"/>
    <w:rsid w:val="0022634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7F1"/>
    <w:rsid w:val="00242D14"/>
    <w:rsid w:val="002432F4"/>
    <w:rsid w:val="00246860"/>
    <w:rsid w:val="002468D9"/>
    <w:rsid w:val="00246DFF"/>
    <w:rsid w:val="00246E89"/>
    <w:rsid w:val="0025183C"/>
    <w:rsid w:val="00252351"/>
    <w:rsid w:val="002528EC"/>
    <w:rsid w:val="00253EAA"/>
    <w:rsid w:val="00255049"/>
    <w:rsid w:val="002562F1"/>
    <w:rsid w:val="00257AFF"/>
    <w:rsid w:val="00257DE5"/>
    <w:rsid w:val="00260531"/>
    <w:rsid w:val="00260B9A"/>
    <w:rsid w:val="00262EA5"/>
    <w:rsid w:val="0026318D"/>
    <w:rsid w:val="00264148"/>
    <w:rsid w:val="002660AF"/>
    <w:rsid w:val="002663C3"/>
    <w:rsid w:val="00270864"/>
    <w:rsid w:val="002712F7"/>
    <w:rsid w:val="0027159C"/>
    <w:rsid w:val="002716CD"/>
    <w:rsid w:val="002722F2"/>
    <w:rsid w:val="00274549"/>
    <w:rsid w:val="0027460A"/>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AAC"/>
    <w:rsid w:val="002A5C3C"/>
    <w:rsid w:val="002A685E"/>
    <w:rsid w:val="002A72C7"/>
    <w:rsid w:val="002A7C31"/>
    <w:rsid w:val="002B0204"/>
    <w:rsid w:val="002B03B2"/>
    <w:rsid w:val="002B0749"/>
    <w:rsid w:val="002B2645"/>
    <w:rsid w:val="002B303A"/>
    <w:rsid w:val="002B32E9"/>
    <w:rsid w:val="002B4E22"/>
    <w:rsid w:val="002B6FA0"/>
    <w:rsid w:val="002C0DEA"/>
    <w:rsid w:val="002C18DD"/>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3ED6"/>
    <w:rsid w:val="002E400C"/>
    <w:rsid w:val="002E49C3"/>
    <w:rsid w:val="002E5114"/>
    <w:rsid w:val="002E5988"/>
    <w:rsid w:val="002E65E6"/>
    <w:rsid w:val="002E7072"/>
    <w:rsid w:val="002E7422"/>
    <w:rsid w:val="002E7570"/>
    <w:rsid w:val="002E764B"/>
    <w:rsid w:val="002F08CD"/>
    <w:rsid w:val="002F0D6A"/>
    <w:rsid w:val="002F0E28"/>
    <w:rsid w:val="002F287E"/>
    <w:rsid w:val="002F2981"/>
    <w:rsid w:val="002F2D63"/>
    <w:rsid w:val="002F6AD8"/>
    <w:rsid w:val="002F7A49"/>
    <w:rsid w:val="002F7F81"/>
    <w:rsid w:val="00300A36"/>
    <w:rsid w:val="00300FF3"/>
    <w:rsid w:val="00301B45"/>
    <w:rsid w:val="00305856"/>
    <w:rsid w:val="0030678B"/>
    <w:rsid w:val="00306D16"/>
    <w:rsid w:val="00307595"/>
    <w:rsid w:val="00310CD7"/>
    <w:rsid w:val="00313D7A"/>
    <w:rsid w:val="00320150"/>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81"/>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30BF"/>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1B81"/>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318C"/>
    <w:rsid w:val="004761CC"/>
    <w:rsid w:val="004766C9"/>
    <w:rsid w:val="00480D4A"/>
    <w:rsid w:val="00481B9C"/>
    <w:rsid w:val="00481DA1"/>
    <w:rsid w:val="00483A2B"/>
    <w:rsid w:val="00484212"/>
    <w:rsid w:val="00484BA9"/>
    <w:rsid w:val="0048599A"/>
    <w:rsid w:val="0048612C"/>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35D"/>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030"/>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1BD4"/>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46FB"/>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6A7"/>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777"/>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1E6"/>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4621"/>
    <w:rsid w:val="006555E7"/>
    <w:rsid w:val="00655695"/>
    <w:rsid w:val="00655E2E"/>
    <w:rsid w:val="006560B6"/>
    <w:rsid w:val="006573F2"/>
    <w:rsid w:val="00662AD0"/>
    <w:rsid w:val="00662F08"/>
    <w:rsid w:val="00663589"/>
    <w:rsid w:val="006649CD"/>
    <w:rsid w:val="00665D75"/>
    <w:rsid w:val="006708E3"/>
    <w:rsid w:val="00670DDC"/>
    <w:rsid w:val="00671389"/>
    <w:rsid w:val="00671EB4"/>
    <w:rsid w:val="00673CDC"/>
    <w:rsid w:val="0067443B"/>
    <w:rsid w:val="006754A2"/>
    <w:rsid w:val="006770AA"/>
    <w:rsid w:val="00682486"/>
    <w:rsid w:val="0068451C"/>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2A16"/>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0BDE"/>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6E66"/>
    <w:rsid w:val="00750C82"/>
    <w:rsid w:val="00750E3A"/>
    <w:rsid w:val="00752035"/>
    <w:rsid w:val="0076100C"/>
    <w:rsid w:val="007612A5"/>
    <w:rsid w:val="00763CAE"/>
    <w:rsid w:val="00763F95"/>
    <w:rsid w:val="007651ED"/>
    <w:rsid w:val="00766C87"/>
    <w:rsid w:val="00771043"/>
    <w:rsid w:val="00773AF7"/>
    <w:rsid w:val="00774FFD"/>
    <w:rsid w:val="00775B90"/>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A7486"/>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0DE7"/>
    <w:rsid w:val="007D136C"/>
    <w:rsid w:val="007D21AC"/>
    <w:rsid w:val="007D24B0"/>
    <w:rsid w:val="007D3882"/>
    <w:rsid w:val="007D39E4"/>
    <w:rsid w:val="007D3FE7"/>
    <w:rsid w:val="007D568A"/>
    <w:rsid w:val="007D574E"/>
    <w:rsid w:val="007D57C0"/>
    <w:rsid w:val="007D67CB"/>
    <w:rsid w:val="007D6BFE"/>
    <w:rsid w:val="007D7C75"/>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8D4"/>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7DA"/>
    <w:rsid w:val="00844842"/>
    <w:rsid w:val="00844A53"/>
    <w:rsid w:val="00844B99"/>
    <w:rsid w:val="00844DD0"/>
    <w:rsid w:val="008455C8"/>
    <w:rsid w:val="00846407"/>
    <w:rsid w:val="0085006A"/>
    <w:rsid w:val="0085089F"/>
    <w:rsid w:val="00851859"/>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5E0C"/>
    <w:rsid w:val="00886C4A"/>
    <w:rsid w:val="008902BE"/>
    <w:rsid w:val="00890364"/>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3DD"/>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39E0"/>
    <w:rsid w:val="008E4A60"/>
    <w:rsid w:val="008E744D"/>
    <w:rsid w:val="008F1E08"/>
    <w:rsid w:val="008F4304"/>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0F97"/>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20"/>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45A"/>
    <w:rsid w:val="009F7809"/>
    <w:rsid w:val="009F7AF5"/>
    <w:rsid w:val="00A006F1"/>
    <w:rsid w:val="00A007A7"/>
    <w:rsid w:val="00A00D14"/>
    <w:rsid w:val="00A00D99"/>
    <w:rsid w:val="00A01408"/>
    <w:rsid w:val="00A01B04"/>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2197"/>
    <w:rsid w:val="00A7226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4CC0"/>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710"/>
    <w:rsid w:val="00AE4B3E"/>
    <w:rsid w:val="00AE5E14"/>
    <w:rsid w:val="00AE6115"/>
    <w:rsid w:val="00AE625B"/>
    <w:rsid w:val="00AF01B2"/>
    <w:rsid w:val="00AF1103"/>
    <w:rsid w:val="00AF1668"/>
    <w:rsid w:val="00AF28DE"/>
    <w:rsid w:val="00AF4FA5"/>
    <w:rsid w:val="00AF5760"/>
    <w:rsid w:val="00AF6ECC"/>
    <w:rsid w:val="00B022DC"/>
    <w:rsid w:val="00B04562"/>
    <w:rsid w:val="00B0472F"/>
    <w:rsid w:val="00B06930"/>
    <w:rsid w:val="00B0773A"/>
    <w:rsid w:val="00B07955"/>
    <w:rsid w:val="00B1176B"/>
    <w:rsid w:val="00B140B8"/>
    <w:rsid w:val="00B14FAA"/>
    <w:rsid w:val="00B15BED"/>
    <w:rsid w:val="00B15D30"/>
    <w:rsid w:val="00B168BB"/>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A9A"/>
    <w:rsid w:val="00B32C2B"/>
    <w:rsid w:val="00B33007"/>
    <w:rsid w:val="00B331A9"/>
    <w:rsid w:val="00B33498"/>
    <w:rsid w:val="00B33598"/>
    <w:rsid w:val="00B36569"/>
    <w:rsid w:val="00B37345"/>
    <w:rsid w:val="00B37F53"/>
    <w:rsid w:val="00B40A05"/>
    <w:rsid w:val="00B40A3E"/>
    <w:rsid w:val="00B427BB"/>
    <w:rsid w:val="00B43BA2"/>
    <w:rsid w:val="00B449EE"/>
    <w:rsid w:val="00B44EB9"/>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9794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3473"/>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2A50"/>
    <w:rsid w:val="00C5377C"/>
    <w:rsid w:val="00C53E8A"/>
    <w:rsid w:val="00C54DF3"/>
    <w:rsid w:val="00C560A7"/>
    <w:rsid w:val="00C56FC8"/>
    <w:rsid w:val="00C60F23"/>
    <w:rsid w:val="00C6170B"/>
    <w:rsid w:val="00C62EB2"/>
    <w:rsid w:val="00C64C87"/>
    <w:rsid w:val="00C665FE"/>
    <w:rsid w:val="00C71BEC"/>
    <w:rsid w:val="00C74193"/>
    <w:rsid w:val="00C74D3A"/>
    <w:rsid w:val="00C75F3D"/>
    <w:rsid w:val="00C80511"/>
    <w:rsid w:val="00C826F5"/>
    <w:rsid w:val="00C83740"/>
    <w:rsid w:val="00C84AD1"/>
    <w:rsid w:val="00C85579"/>
    <w:rsid w:val="00C862F1"/>
    <w:rsid w:val="00C863E5"/>
    <w:rsid w:val="00C86F23"/>
    <w:rsid w:val="00C87BE6"/>
    <w:rsid w:val="00C87F76"/>
    <w:rsid w:val="00C931FC"/>
    <w:rsid w:val="00C932C5"/>
    <w:rsid w:val="00C94CB6"/>
    <w:rsid w:val="00C95299"/>
    <w:rsid w:val="00C95A72"/>
    <w:rsid w:val="00C9650E"/>
    <w:rsid w:val="00C97000"/>
    <w:rsid w:val="00C975BD"/>
    <w:rsid w:val="00CA068D"/>
    <w:rsid w:val="00CA1228"/>
    <w:rsid w:val="00CA1C73"/>
    <w:rsid w:val="00CA2174"/>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144"/>
    <w:rsid w:val="00D73D53"/>
    <w:rsid w:val="00D7408A"/>
    <w:rsid w:val="00D74261"/>
    <w:rsid w:val="00D7441B"/>
    <w:rsid w:val="00D75589"/>
    <w:rsid w:val="00D75EC3"/>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45F"/>
    <w:rsid w:val="00DC07B7"/>
    <w:rsid w:val="00DC0BF1"/>
    <w:rsid w:val="00DC17F2"/>
    <w:rsid w:val="00DC41C3"/>
    <w:rsid w:val="00DC4A3C"/>
    <w:rsid w:val="00DC4FA4"/>
    <w:rsid w:val="00DC5B37"/>
    <w:rsid w:val="00DD286D"/>
    <w:rsid w:val="00DD2CAF"/>
    <w:rsid w:val="00DD3593"/>
    <w:rsid w:val="00DD64E0"/>
    <w:rsid w:val="00DD7BE0"/>
    <w:rsid w:val="00DE032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1B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3620"/>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2C65"/>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ED9"/>
    <w:rsid w:val="00EE6FE0"/>
    <w:rsid w:val="00EE704A"/>
    <w:rsid w:val="00EE7840"/>
    <w:rsid w:val="00EF2E75"/>
    <w:rsid w:val="00EF4C74"/>
    <w:rsid w:val="00EF5268"/>
    <w:rsid w:val="00EF608E"/>
    <w:rsid w:val="00EF6C4A"/>
    <w:rsid w:val="00F0044B"/>
    <w:rsid w:val="00F03525"/>
    <w:rsid w:val="00F0424D"/>
    <w:rsid w:val="00F04957"/>
    <w:rsid w:val="00F0541C"/>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565B"/>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0D4F"/>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71D3"/>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34A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3DA"/>
    <w:rsid w:val="00FD4DAE"/>
    <w:rsid w:val="00FD5059"/>
    <w:rsid w:val="00FD554D"/>
    <w:rsid w:val="00FD5BCC"/>
    <w:rsid w:val="00FD6137"/>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2716CD"/>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07668239">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9F92-0F2C-4A46-9372-33240B0D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2095</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2011-04-08T11:41:00Z</cp:lastPrinted>
  <dcterms:created xsi:type="dcterms:W3CDTF">2011-10-12T14:39:00Z</dcterms:created>
  <dcterms:modified xsi:type="dcterms:W3CDTF">2012-06-04T11:27:00Z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