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2E" w:rsidRPr="00695AC9" w:rsidRDefault="0010672E" w:rsidP="0010672E">
      <w:pPr>
        <w:tabs>
          <w:tab w:val="left" w:pos="288"/>
          <w:tab w:val="left" w:pos="4752"/>
        </w:tabs>
        <w:spacing w:after="0" w:line="240" w:lineRule="exact"/>
        <w:jc w:val="center"/>
        <w:rPr>
          <w:rFonts w:eastAsia="Times New Roman" w:cs="Times New Roman"/>
          <w:sz w:val="24"/>
          <w:szCs w:val="20"/>
        </w:rPr>
      </w:pPr>
      <w:r w:rsidRPr="00695AC9">
        <w:rPr>
          <w:rFonts w:eastAsia="Times New Roman" w:cs="Times New Roman"/>
          <w:sz w:val="24"/>
          <w:szCs w:val="20"/>
        </w:rPr>
        <w:t>RECORD OF PROCEEDINGS</w:t>
      </w:r>
    </w:p>
    <w:p w:rsidR="0010672E" w:rsidRPr="00695AC9" w:rsidRDefault="0010672E" w:rsidP="0010672E">
      <w:pPr>
        <w:tabs>
          <w:tab w:val="left" w:pos="288"/>
          <w:tab w:val="left" w:pos="4752"/>
        </w:tabs>
        <w:spacing w:after="0" w:line="240" w:lineRule="exact"/>
        <w:jc w:val="center"/>
        <w:rPr>
          <w:rFonts w:eastAsia="Times New Roman" w:cs="Times New Roman"/>
          <w:sz w:val="24"/>
          <w:szCs w:val="20"/>
        </w:rPr>
      </w:pPr>
      <w:r w:rsidRPr="00695AC9">
        <w:rPr>
          <w:rFonts w:eastAsia="Times New Roman" w:cs="Times New Roman"/>
          <w:sz w:val="24"/>
          <w:szCs w:val="20"/>
        </w:rPr>
        <w:t>PHYSICAL DISABILITY BOARD OF REVIEW</w:t>
      </w:r>
    </w:p>
    <w:p w:rsidR="0010672E" w:rsidRPr="00695AC9" w:rsidRDefault="00AC744A" w:rsidP="00AC744A">
      <w:pPr>
        <w:tabs>
          <w:tab w:val="left" w:pos="3594"/>
        </w:tabs>
        <w:spacing w:after="0" w:line="240" w:lineRule="exact"/>
        <w:jc w:val="both"/>
        <w:rPr>
          <w:rFonts w:eastAsia="Times New Roman" w:cs="Times New Roman"/>
          <w:caps/>
          <w:sz w:val="24"/>
          <w:szCs w:val="20"/>
        </w:rPr>
      </w:pPr>
      <w:r>
        <w:rPr>
          <w:rFonts w:eastAsia="Times New Roman" w:cs="Times New Roman"/>
          <w:caps/>
          <w:sz w:val="24"/>
          <w:szCs w:val="20"/>
        </w:rPr>
        <w:tab/>
      </w:r>
    </w:p>
    <w:p w:rsidR="0010672E" w:rsidRPr="00695AC9" w:rsidRDefault="0010672E" w:rsidP="0010672E">
      <w:pPr>
        <w:tabs>
          <w:tab w:val="left" w:pos="288"/>
          <w:tab w:val="left" w:pos="4752"/>
          <w:tab w:val="left" w:pos="5130"/>
          <w:tab w:val="left" w:pos="9270"/>
        </w:tabs>
        <w:spacing w:after="0" w:line="240" w:lineRule="exact"/>
        <w:jc w:val="both"/>
        <w:rPr>
          <w:rFonts w:eastAsia="Times New Roman" w:cs="Times New Roman"/>
          <w:caps/>
          <w:sz w:val="24"/>
          <w:szCs w:val="20"/>
        </w:rPr>
      </w:pPr>
      <w:r w:rsidRPr="00695AC9">
        <w:rPr>
          <w:rFonts w:eastAsia="Times New Roman" w:cs="Times New Roman"/>
          <w:caps/>
          <w:sz w:val="24"/>
          <w:szCs w:val="20"/>
        </w:rPr>
        <w:t xml:space="preserve">NAME:  </w:t>
      </w:r>
      <w:r w:rsidRPr="00695AC9">
        <w:rPr>
          <w:rFonts w:eastAsia="Times New Roman" w:cs="Times New Roman"/>
          <w:caps/>
          <w:sz w:val="24"/>
          <w:szCs w:val="20"/>
        </w:rPr>
        <w:tab/>
      </w:r>
      <w:r w:rsidRPr="00695AC9">
        <w:rPr>
          <w:rFonts w:eastAsia="Times New Roman" w:cs="Times New Roman"/>
          <w:caps/>
          <w:sz w:val="24"/>
          <w:szCs w:val="20"/>
        </w:rPr>
        <w:tab/>
        <w:t xml:space="preserve">              </w:t>
      </w:r>
      <w:r w:rsidR="00D90738">
        <w:rPr>
          <w:rFonts w:eastAsia="Times New Roman" w:cs="Times New Roman"/>
          <w:caps/>
          <w:sz w:val="24"/>
          <w:szCs w:val="20"/>
        </w:rPr>
        <w:t xml:space="preserve">    </w:t>
      </w:r>
      <w:r w:rsidRPr="00695AC9">
        <w:rPr>
          <w:rFonts w:eastAsia="Times New Roman" w:cs="Times New Roman"/>
          <w:caps/>
          <w:sz w:val="24"/>
          <w:szCs w:val="20"/>
        </w:rPr>
        <w:t xml:space="preserve">BRANCH OF SERVICE: </w:t>
      </w:r>
      <w:r w:rsidR="00AC6DF7" w:rsidRPr="00695AC9">
        <w:rPr>
          <w:rFonts w:eastAsia="Times New Roman" w:cs="Times New Roman"/>
          <w:caps/>
          <w:sz w:val="24"/>
          <w:szCs w:val="20"/>
        </w:rPr>
        <w:t xml:space="preserve"> </w:t>
      </w:r>
      <w:r w:rsidRPr="00695AC9">
        <w:rPr>
          <w:rFonts w:eastAsia="Times New Roman" w:cs="Times New Roman"/>
          <w:caps/>
          <w:sz w:val="24"/>
          <w:szCs w:val="20"/>
        </w:rPr>
        <w:t>Air force</w:t>
      </w:r>
    </w:p>
    <w:p w:rsidR="0010672E" w:rsidRPr="00695AC9" w:rsidRDefault="0010672E" w:rsidP="0010672E">
      <w:pPr>
        <w:tabs>
          <w:tab w:val="left" w:pos="288"/>
          <w:tab w:val="left" w:pos="4752"/>
          <w:tab w:val="left" w:pos="5130"/>
          <w:tab w:val="left" w:pos="9270"/>
        </w:tabs>
        <w:spacing w:after="0" w:line="240" w:lineRule="exact"/>
        <w:jc w:val="both"/>
        <w:rPr>
          <w:rFonts w:eastAsia="Times New Roman" w:cs="Times New Roman"/>
          <w:caps/>
          <w:sz w:val="24"/>
          <w:szCs w:val="20"/>
        </w:rPr>
      </w:pPr>
      <w:r w:rsidRPr="00695AC9">
        <w:rPr>
          <w:rFonts w:eastAsia="Times New Roman" w:cs="Times New Roman"/>
          <w:caps/>
          <w:sz w:val="24"/>
          <w:szCs w:val="20"/>
        </w:rPr>
        <w:t>CASE NUMBER:  PD201000024</w:t>
      </w:r>
      <w:r w:rsidRPr="00695AC9">
        <w:rPr>
          <w:rFonts w:eastAsia="Times New Roman" w:cs="Times New Roman"/>
          <w:sz w:val="24"/>
          <w:szCs w:val="20"/>
        </w:rPr>
        <w:t xml:space="preserve"> </w:t>
      </w:r>
      <w:r w:rsidRPr="00695AC9">
        <w:rPr>
          <w:rFonts w:eastAsia="Times New Roman" w:cs="Times New Roman"/>
          <w:sz w:val="24"/>
          <w:szCs w:val="20"/>
        </w:rPr>
        <w:tab/>
        <w:t xml:space="preserve">                    </w:t>
      </w:r>
      <w:r w:rsidR="00AC6DF7" w:rsidRPr="00695AC9">
        <w:rPr>
          <w:rFonts w:eastAsia="Times New Roman" w:cs="Times New Roman"/>
          <w:sz w:val="24"/>
          <w:szCs w:val="20"/>
        </w:rPr>
        <w:t xml:space="preserve">     </w:t>
      </w:r>
      <w:r w:rsidR="00D90738">
        <w:rPr>
          <w:rFonts w:eastAsia="Times New Roman" w:cs="Times New Roman"/>
          <w:sz w:val="24"/>
          <w:szCs w:val="20"/>
        </w:rPr>
        <w:t xml:space="preserve">     </w:t>
      </w:r>
      <w:r w:rsidRPr="00695AC9">
        <w:rPr>
          <w:rFonts w:eastAsia="Times New Roman" w:cs="Times New Roman"/>
          <w:sz w:val="24"/>
          <w:szCs w:val="20"/>
        </w:rPr>
        <w:t xml:space="preserve">SEPARATION DATE: </w:t>
      </w:r>
      <w:r w:rsidR="00AC6DF7" w:rsidRPr="00695AC9">
        <w:rPr>
          <w:rFonts w:eastAsia="Times New Roman" w:cs="Times New Roman"/>
          <w:sz w:val="24"/>
          <w:szCs w:val="20"/>
        </w:rPr>
        <w:t xml:space="preserve"> </w:t>
      </w:r>
      <w:r w:rsidRPr="00695AC9">
        <w:rPr>
          <w:rFonts w:eastAsia="Times New Roman" w:cs="Times New Roman"/>
          <w:sz w:val="24"/>
          <w:szCs w:val="20"/>
        </w:rPr>
        <w:t>20030206</w:t>
      </w:r>
    </w:p>
    <w:p w:rsidR="0010672E" w:rsidRPr="00695AC9" w:rsidRDefault="0010672E" w:rsidP="00AC6DF7">
      <w:pPr>
        <w:tabs>
          <w:tab w:val="left" w:pos="288"/>
          <w:tab w:val="left" w:pos="4752"/>
          <w:tab w:val="left" w:pos="5130"/>
          <w:tab w:val="left" w:pos="9270"/>
        </w:tabs>
        <w:spacing w:after="0" w:line="240" w:lineRule="exact"/>
        <w:jc w:val="both"/>
        <w:rPr>
          <w:rFonts w:eastAsia="Times New Roman" w:cs="Times New Roman"/>
          <w:sz w:val="24"/>
          <w:szCs w:val="20"/>
        </w:rPr>
      </w:pPr>
      <w:r w:rsidRPr="00695AC9">
        <w:rPr>
          <w:rFonts w:eastAsia="Times New Roman" w:cs="Times New Roman"/>
          <w:caps/>
          <w:sz w:val="24"/>
          <w:szCs w:val="20"/>
        </w:rPr>
        <w:t>BOARD DATE:  2011</w:t>
      </w:r>
      <w:r w:rsidR="00006351" w:rsidRPr="00695AC9">
        <w:rPr>
          <w:rFonts w:eastAsia="Times New Roman" w:cs="Times New Roman"/>
          <w:caps/>
          <w:sz w:val="24"/>
          <w:szCs w:val="20"/>
        </w:rPr>
        <w:t>0607</w:t>
      </w:r>
    </w:p>
    <w:p w:rsidR="00D90738" w:rsidRPr="00D90738" w:rsidRDefault="00D90738" w:rsidP="00D90738">
      <w:pPr>
        <w:pBdr>
          <w:bottom w:val="single" w:sz="12" w:space="1" w:color="auto"/>
        </w:pBdr>
        <w:tabs>
          <w:tab w:val="left" w:pos="288"/>
          <w:tab w:val="left" w:pos="4752"/>
        </w:tabs>
        <w:spacing w:after="0" w:line="240" w:lineRule="exact"/>
        <w:jc w:val="both"/>
        <w:rPr>
          <w:rFonts w:eastAsia="Times New Roman" w:cs="Times New Roman"/>
          <w:sz w:val="24"/>
          <w:szCs w:val="20"/>
          <w:u w:val="single"/>
        </w:rPr>
      </w:pPr>
    </w:p>
    <w:p w:rsidR="00D90738" w:rsidRPr="00D90738" w:rsidRDefault="00D90738" w:rsidP="00D90738">
      <w:pPr>
        <w:tabs>
          <w:tab w:val="left" w:pos="288"/>
          <w:tab w:val="left" w:pos="4752"/>
        </w:tabs>
        <w:spacing w:after="0" w:line="240" w:lineRule="exact"/>
        <w:jc w:val="both"/>
        <w:rPr>
          <w:rFonts w:eastAsia="Times New Roman" w:cs="Times New Roman"/>
          <w:sz w:val="24"/>
          <w:szCs w:val="20"/>
        </w:rPr>
      </w:pPr>
    </w:p>
    <w:p w:rsidR="0010672E" w:rsidRPr="00695AC9" w:rsidRDefault="0010672E" w:rsidP="0010672E">
      <w:pPr>
        <w:tabs>
          <w:tab w:val="left" w:pos="288"/>
          <w:tab w:val="left" w:pos="4752"/>
        </w:tabs>
        <w:spacing w:after="0" w:line="240" w:lineRule="exact"/>
        <w:jc w:val="both"/>
        <w:rPr>
          <w:rFonts w:eastAsia="Times New Roman" w:cs="Times New Roman"/>
          <w:sz w:val="24"/>
          <w:szCs w:val="24"/>
        </w:rPr>
      </w:pPr>
      <w:r w:rsidRPr="00695AC9">
        <w:rPr>
          <w:rFonts w:eastAsia="Times New Roman" w:cs="Times New Roman"/>
          <w:sz w:val="24"/>
          <w:szCs w:val="20"/>
          <w:u w:val="single"/>
        </w:rPr>
        <w:t>SUMMARY OF CASE</w:t>
      </w:r>
      <w:r w:rsidRPr="00695AC9">
        <w:rPr>
          <w:rFonts w:eastAsia="Times New Roman" w:cs="Times New Roman"/>
          <w:sz w:val="24"/>
          <w:szCs w:val="20"/>
        </w:rPr>
        <w:t xml:space="preserve">:  Data extracted from the available evidence of record reflects that this covered individual (CI) </w:t>
      </w:r>
      <w:r w:rsidRPr="00695AC9">
        <w:rPr>
          <w:rFonts w:eastAsia="Times New Roman" w:cs="Times New Roman"/>
          <w:sz w:val="24"/>
          <w:szCs w:val="24"/>
        </w:rPr>
        <w:t xml:space="preserve">was an active duty SSGT (2E151/Satellite, Wideband &amp; Tele Systems) medically separated for asthma.  </w:t>
      </w:r>
      <w:r w:rsidR="00BE55BC" w:rsidRPr="00695AC9">
        <w:rPr>
          <w:rFonts w:eastAsia="Times New Roman" w:cs="Times New Roman"/>
          <w:sz w:val="24"/>
          <w:szCs w:val="24"/>
        </w:rPr>
        <w:t>By policy</w:t>
      </w:r>
      <w:r w:rsidR="001C1BDD">
        <w:rPr>
          <w:rFonts w:eastAsia="Times New Roman" w:cs="Times New Roman"/>
          <w:sz w:val="24"/>
          <w:szCs w:val="24"/>
        </w:rPr>
        <w:t>,</w:t>
      </w:r>
      <w:r w:rsidR="00BE55BC" w:rsidRPr="00695AC9">
        <w:rPr>
          <w:rFonts w:eastAsia="Times New Roman" w:cs="Times New Roman"/>
          <w:sz w:val="24"/>
          <w:szCs w:val="24"/>
        </w:rPr>
        <w:t xml:space="preserve"> asthma was medically disqualifying for worldwide duty, and h</w:t>
      </w:r>
      <w:r w:rsidRPr="00695AC9">
        <w:rPr>
          <w:rFonts w:eastAsia="Times New Roman" w:cs="Times New Roman"/>
          <w:sz w:val="24"/>
          <w:szCs w:val="24"/>
        </w:rPr>
        <w:t xml:space="preserve">e was issued a permanent profile and underwent a Medical Evaluation Board (MEB).  Asthma was forwarded to the Physical Evaluation Board (PEB) as medically unacceptable IAW AFI 48-123.  Two other conditions, as identified in the rating chart below, were forwarded on the MEB submission as medically acceptable conditions. The Informal PEB (IPEB) adjudicated the </w:t>
      </w:r>
      <w:r w:rsidR="001F2EA1" w:rsidRPr="00695AC9">
        <w:rPr>
          <w:rFonts w:eastAsia="Times New Roman" w:cs="Times New Roman"/>
          <w:sz w:val="24"/>
          <w:szCs w:val="24"/>
        </w:rPr>
        <w:t>a</w:t>
      </w:r>
      <w:r w:rsidRPr="00695AC9">
        <w:rPr>
          <w:rFonts w:eastAsia="Times New Roman" w:cs="Times New Roman"/>
          <w:sz w:val="24"/>
          <w:szCs w:val="24"/>
        </w:rPr>
        <w:t xml:space="preserve">sthma condition as unfitting, rated 10%, with application of DoDI 1332.39 and Veterans’ Administration Schedule for Rating Disabilities (VASRD).  </w:t>
      </w:r>
      <w:r w:rsidRPr="00695AC9">
        <w:rPr>
          <w:rFonts w:eastAsia="Times New Roman" w:cs="Times New Roman"/>
          <w:sz w:val="24"/>
          <w:szCs w:val="20"/>
        </w:rPr>
        <w:t>The CI appealed to FPEB for return to duty contending he was fit for his military duties.  The FPEB upheld the findings of the IPEB and he was medically separated with a 10% disability rating.</w:t>
      </w:r>
    </w:p>
    <w:p w:rsidR="0010672E" w:rsidRPr="00695AC9" w:rsidRDefault="0010672E" w:rsidP="0010672E">
      <w:pPr>
        <w:pBdr>
          <w:bottom w:val="single" w:sz="12" w:space="1" w:color="auto"/>
        </w:pBdr>
        <w:tabs>
          <w:tab w:val="left" w:pos="288"/>
          <w:tab w:val="left" w:pos="4752"/>
        </w:tabs>
        <w:spacing w:after="0" w:line="240" w:lineRule="exact"/>
        <w:jc w:val="both"/>
        <w:rPr>
          <w:rFonts w:eastAsia="Times New Roman" w:cs="Times New Roman"/>
          <w:sz w:val="24"/>
          <w:szCs w:val="20"/>
        </w:rPr>
      </w:pPr>
    </w:p>
    <w:p w:rsidR="00BE55BC" w:rsidRPr="00695AC9" w:rsidRDefault="00BE55BC" w:rsidP="0010672E">
      <w:pPr>
        <w:tabs>
          <w:tab w:val="left" w:pos="288"/>
          <w:tab w:val="left" w:pos="4752"/>
        </w:tabs>
        <w:spacing w:after="0" w:line="240" w:lineRule="exact"/>
        <w:jc w:val="both"/>
        <w:rPr>
          <w:rFonts w:eastAsia="Times New Roman" w:cs="Times New Roman"/>
          <w:sz w:val="24"/>
          <w:szCs w:val="20"/>
          <w:u w:val="single"/>
        </w:rPr>
      </w:pPr>
    </w:p>
    <w:p w:rsidR="0010672E" w:rsidRPr="00695AC9" w:rsidRDefault="0010672E" w:rsidP="0010672E">
      <w:pPr>
        <w:tabs>
          <w:tab w:val="left" w:pos="288"/>
          <w:tab w:val="left" w:pos="4752"/>
        </w:tabs>
        <w:spacing w:after="0" w:line="240" w:lineRule="exact"/>
        <w:jc w:val="both"/>
        <w:rPr>
          <w:rFonts w:ascii="Calibri" w:hAnsi="Calibri"/>
          <w:sz w:val="24"/>
          <w:szCs w:val="24"/>
        </w:rPr>
      </w:pPr>
      <w:r w:rsidRPr="00695AC9">
        <w:rPr>
          <w:rFonts w:eastAsia="Times New Roman" w:cs="Times New Roman"/>
          <w:sz w:val="24"/>
          <w:szCs w:val="20"/>
          <w:u w:val="single"/>
        </w:rPr>
        <w:t>CI CONTENTION</w:t>
      </w:r>
      <w:r w:rsidRPr="00695AC9">
        <w:rPr>
          <w:rFonts w:eastAsia="Times New Roman" w:cs="Times New Roman"/>
          <w:sz w:val="24"/>
          <w:szCs w:val="20"/>
        </w:rPr>
        <w:t xml:space="preserve">:  “I was discharged for asthma at 10%.  My rating from the VA is 30% effective 3 days after my discharge.  I also had multiple sinus surgeries which I was brought before a medical board for also, a year earlier.  My sinus rating is 50% now.  I have an overall 90% rating but was 70% within a year of my discharge”.  </w:t>
      </w:r>
      <w:r w:rsidR="001F2EA1" w:rsidRPr="00695AC9">
        <w:rPr>
          <w:rFonts w:eastAsia="Times New Roman" w:cs="Times New Roman"/>
          <w:sz w:val="24"/>
          <w:szCs w:val="20"/>
        </w:rPr>
        <w:t xml:space="preserve">  The CI also lists current service connected ratings for d</w:t>
      </w:r>
      <w:r w:rsidRPr="00695AC9">
        <w:rPr>
          <w:rFonts w:eastAsia="Times New Roman" w:cs="Times New Roman"/>
          <w:sz w:val="24"/>
          <w:szCs w:val="20"/>
        </w:rPr>
        <w:t>epression rated 50%</w:t>
      </w:r>
      <w:r w:rsidR="001F2EA1" w:rsidRPr="00695AC9">
        <w:rPr>
          <w:rFonts w:eastAsia="Times New Roman" w:cs="Times New Roman"/>
          <w:sz w:val="24"/>
          <w:szCs w:val="20"/>
        </w:rPr>
        <w:t>, k</w:t>
      </w:r>
      <w:r w:rsidRPr="00695AC9">
        <w:rPr>
          <w:rFonts w:eastAsia="Times New Roman" w:cs="Times New Roman"/>
          <w:sz w:val="24"/>
          <w:szCs w:val="20"/>
        </w:rPr>
        <w:t xml:space="preserve">nee </w:t>
      </w:r>
      <w:r w:rsidR="001F2EA1" w:rsidRPr="00695AC9">
        <w:rPr>
          <w:rFonts w:eastAsia="Times New Roman" w:cs="Times New Roman"/>
          <w:sz w:val="24"/>
          <w:szCs w:val="20"/>
        </w:rPr>
        <w:t xml:space="preserve">condition </w:t>
      </w:r>
      <w:r w:rsidRPr="00695AC9">
        <w:rPr>
          <w:rFonts w:eastAsia="Times New Roman" w:cs="Times New Roman"/>
          <w:sz w:val="24"/>
          <w:szCs w:val="20"/>
        </w:rPr>
        <w:t>rated 10%</w:t>
      </w:r>
      <w:r w:rsidR="001F2EA1" w:rsidRPr="00695AC9">
        <w:rPr>
          <w:rFonts w:eastAsia="Times New Roman" w:cs="Times New Roman"/>
          <w:sz w:val="24"/>
          <w:szCs w:val="20"/>
        </w:rPr>
        <w:t xml:space="preserve">.  </w:t>
      </w:r>
    </w:p>
    <w:p w:rsidR="0010672E" w:rsidRPr="00695AC9" w:rsidRDefault="0010672E" w:rsidP="0010672E">
      <w:pPr>
        <w:pBdr>
          <w:bottom w:val="single" w:sz="12" w:space="1" w:color="auto"/>
        </w:pBdr>
        <w:spacing w:after="0" w:line="240" w:lineRule="exact"/>
        <w:rPr>
          <w:rFonts w:eastAsia="Times New Roman" w:cs="Times New Roman"/>
          <w:sz w:val="24"/>
          <w:szCs w:val="20"/>
          <w:u w:val="single"/>
        </w:rPr>
      </w:pPr>
    </w:p>
    <w:p w:rsidR="0010672E" w:rsidRPr="00695AC9" w:rsidRDefault="0010672E" w:rsidP="0010672E">
      <w:pPr>
        <w:spacing w:after="0" w:line="240" w:lineRule="exact"/>
        <w:rPr>
          <w:rFonts w:eastAsia="Times New Roman" w:cs="Times New Roman"/>
          <w:sz w:val="24"/>
          <w:szCs w:val="20"/>
          <w:u w:val="single"/>
        </w:rPr>
      </w:pPr>
    </w:p>
    <w:p w:rsidR="0010672E" w:rsidRPr="00695AC9" w:rsidRDefault="0010672E" w:rsidP="0010672E">
      <w:pPr>
        <w:spacing w:after="0" w:line="240" w:lineRule="exact"/>
        <w:rPr>
          <w:rFonts w:eastAsia="Times New Roman" w:cs="Times New Roman"/>
          <w:sz w:val="24"/>
          <w:szCs w:val="20"/>
        </w:rPr>
      </w:pPr>
      <w:r w:rsidRPr="00695AC9">
        <w:rPr>
          <w:rFonts w:eastAsia="Times New Roman" w:cs="Times New Roman"/>
          <w:sz w:val="24"/>
          <w:szCs w:val="20"/>
          <w:u w:val="single"/>
        </w:rPr>
        <w:t>RATING COMPARISON</w:t>
      </w:r>
      <w:r w:rsidRPr="00695AC9">
        <w:rPr>
          <w:rFonts w:eastAsia="Times New Roman" w:cs="Times New Roman"/>
          <w:sz w:val="24"/>
          <w:szCs w:val="20"/>
        </w:rPr>
        <w:t>:</w:t>
      </w:r>
    </w:p>
    <w:p w:rsidR="0010672E" w:rsidRPr="00695AC9" w:rsidRDefault="0010672E" w:rsidP="0010672E">
      <w:pPr>
        <w:spacing w:after="0" w:line="240" w:lineRule="exact"/>
        <w:rPr>
          <w:rFonts w:eastAsia="Times New Roman" w:cs="Times New Roman"/>
          <w:sz w:val="24"/>
          <w:szCs w:val="20"/>
        </w:rPr>
      </w:pPr>
    </w:p>
    <w:tbl>
      <w:tblPr>
        <w:tblStyle w:val="TableGrid"/>
        <w:tblW w:w="9576" w:type="dxa"/>
        <w:jc w:val="center"/>
        <w:tblLayout w:type="fixed"/>
        <w:tblLook w:val="04A0"/>
      </w:tblPr>
      <w:tblGrid>
        <w:gridCol w:w="2196"/>
        <w:gridCol w:w="1062"/>
        <w:gridCol w:w="900"/>
        <w:gridCol w:w="2538"/>
        <w:gridCol w:w="1062"/>
        <w:gridCol w:w="828"/>
        <w:gridCol w:w="990"/>
      </w:tblGrid>
      <w:tr w:rsidR="0010672E" w:rsidRPr="00695AC9" w:rsidTr="008E1D3E">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Service FPEB – Dated 20021108</w:t>
            </w:r>
          </w:p>
        </w:tc>
        <w:tc>
          <w:tcPr>
            <w:tcW w:w="5418" w:type="dxa"/>
            <w:gridSpan w:val="4"/>
            <w:tcBorders>
              <w:left w:val="thinThickThinSmallGap" w:sz="24" w:space="0" w:color="auto"/>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VA (9 Mos. After Separation) – All Effective Date 20030207</w:t>
            </w:r>
          </w:p>
        </w:tc>
      </w:tr>
      <w:tr w:rsidR="0010672E" w:rsidRPr="00695AC9" w:rsidTr="008E1D3E">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Code</w:t>
            </w:r>
          </w:p>
        </w:tc>
        <w:tc>
          <w:tcPr>
            <w:tcW w:w="828" w:type="dxa"/>
            <w:tcBorders>
              <w:bottom w:val="single" w:sz="4" w:space="0" w:color="000000" w:themeColor="text1"/>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Rating</w:t>
            </w:r>
          </w:p>
        </w:tc>
        <w:tc>
          <w:tcPr>
            <w:tcW w:w="990" w:type="dxa"/>
            <w:tcBorders>
              <w:bottom w:val="single" w:sz="4" w:space="0" w:color="000000" w:themeColor="text1"/>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Exam</w:t>
            </w:r>
          </w:p>
        </w:tc>
      </w:tr>
      <w:tr w:rsidR="0010672E" w:rsidRPr="00695AC9" w:rsidTr="008E1D3E">
        <w:trPr>
          <w:trHeight w:val="287"/>
          <w:jc w:val="center"/>
        </w:trPr>
        <w:tc>
          <w:tcPr>
            <w:tcW w:w="2196" w:type="dxa"/>
            <w:tcBorders>
              <w:right w:val="single" w:sz="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Asthma</w:t>
            </w:r>
          </w:p>
        </w:tc>
        <w:tc>
          <w:tcPr>
            <w:tcW w:w="1062" w:type="dxa"/>
            <w:tcBorders>
              <w:left w:val="single" w:sz="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6602</w:t>
            </w:r>
          </w:p>
        </w:tc>
        <w:tc>
          <w:tcPr>
            <w:tcW w:w="900" w:type="dxa"/>
            <w:tcBorders>
              <w:right w:val="thinThickThinSmallGap" w:sz="2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10%</w:t>
            </w:r>
          </w:p>
        </w:tc>
        <w:tc>
          <w:tcPr>
            <w:tcW w:w="2538" w:type="dxa"/>
            <w:tcBorders>
              <w:left w:val="thinThickThinSmallGap" w:sz="2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Asthma</w:t>
            </w:r>
          </w:p>
        </w:tc>
        <w:tc>
          <w:tcPr>
            <w:tcW w:w="1062"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6602</w:t>
            </w:r>
          </w:p>
        </w:tc>
        <w:tc>
          <w:tcPr>
            <w:tcW w:w="828" w:type="dxa"/>
            <w:shd w:val="clear" w:color="auto" w:fill="FFFFFF" w:themeFill="background1"/>
            <w:vAlign w:val="center"/>
          </w:tcPr>
          <w:p w:rsidR="0010672E" w:rsidRPr="00695AC9" w:rsidRDefault="003B3993" w:rsidP="0010672E">
            <w:pPr>
              <w:spacing w:line="180" w:lineRule="exact"/>
              <w:contextualSpacing/>
              <w:jc w:val="center"/>
              <w:rPr>
                <w:sz w:val="18"/>
                <w:szCs w:val="18"/>
              </w:rPr>
            </w:pPr>
            <w:r w:rsidRPr="00695AC9">
              <w:rPr>
                <w:sz w:val="18"/>
                <w:szCs w:val="18"/>
              </w:rPr>
              <w:t>3</w:t>
            </w:r>
            <w:r w:rsidR="0010672E" w:rsidRPr="00695AC9">
              <w:rPr>
                <w:sz w:val="18"/>
                <w:szCs w:val="18"/>
              </w:rPr>
              <w:t>0%*</w:t>
            </w:r>
          </w:p>
        </w:tc>
        <w:tc>
          <w:tcPr>
            <w:tcW w:w="990"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20031104</w:t>
            </w:r>
          </w:p>
        </w:tc>
      </w:tr>
      <w:tr w:rsidR="0010672E" w:rsidRPr="00695AC9" w:rsidTr="008E1D3E">
        <w:trPr>
          <w:trHeight w:val="287"/>
          <w:jc w:val="center"/>
        </w:trPr>
        <w:tc>
          <w:tcPr>
            <w:tcW w:w="2196" w:type="dxa"/>
            <w:tcBorders>
              <w:right w:val="single" w:sz="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Chronic Pansinusitis</w:t>
            </w:r>
          </w:p>
        </w:tc>
        <w:tc>
          <w:tcPr>
            <w:tcW w:w="1062" w:type="dxa"/>
            <w:tcBorders>
              <w:left w:val="single" w:sz="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6510</w:t>
            </w:r>
          </w:p>
        </w:tc>
        <w:tc>
          <w:tcPr>
            <w:tcW w:w="900" w:type="dxa"/>
            <w:tcBorders>
              <w:right w:val="thinThickThinSmallGap" w:sz="2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Cat II</w:t>
            </w:r>
          </w:p>
        </w:tc>
        <w:tc>
          <w:tcPr>
            <w:tcW w:w="2538" w:type="dxa"/>
            <w:tcBorders>
              <w:left w:val="thinThickThinSmallGap" w:sz="2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Chronic Maxillary Sinusitis w/Headaches</w:t>
            </w:r>
          </w:p>
        </w:tc>
        <w:tc>
          <w:tcPr>
            <w:tcW w:w="1062"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6514</w:t>
            </w:r>
          </w:p>
        </w:tc>
        <w:tc>
          <w:tcPr>
            <w:tcW w:w="828" w:type="dxa"/>
            <w:shd w:val="clear" w:color="auto" w:fill="FFFFFF" w:themeFill="background1"/>
            <w:vAlign w:val="center"/>
          </w:tcPr>
          <w:p w:rsidR="0010672E" w:rsidRPr="00695AC9" w:rsidRDefault="004A288A" w:rsidP="004A288A">
            <w:pPr>
              <w:spacing w:line="180" w:lineRule="exact"/>
              <w:contextualSpacing/>
              <w:jc w:val="center"/>
              <w:rPr>
                <w:sz w:val="18"/>
                <w:szCs w:val="18"/>
              </w:rPr>
            </w:pPr>
            <w:r w:rsidRPr="00695AC9">
              <w:rPr>
                <w:sz w:val="18"/>
                <w:szCs w:val="18"/>
              </w:rPr>
              <w:t>3</w:t>
            </w:r>
            <w:r w:rsidR="0010672E" w:rsidRPr="00695AC9">
              <w:rPr>
                <w:sz w:val="18"/>
                <w:szCs w:val="18"/>
              </w:rPr>
              <w:t>0%*</w:t>
            </w:r>
          </w:p>
        </w:tc>
        <w:tc>
          <w:tcPr>
            <w:tcW w:w="990"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20031104</w:t>
            </w:r>
          </w:p>
        </w:tc>
      </w:tr>
      <w:tr w:rsidR="0010672E" w:rsidRPr="00695AC9" w:rsidTr="008E1D3E">
        <w:trPr>
          <w:trHeight w:val="287"/>
          <w:jc w:val="center"/>
        </w:trPr>
        <w:tc>
          <w:tcPr>
            <w:tcW w:w="2196" w:type="dxa"/>
            <w:tcBorders>
              <w:right w:val="single" w:sz="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Seasonal Allergic Rhinitis</w:t>
            </w:r>
          </w:p>
        </w:tc>
        <w:tc>
          <w:tcPr>
            <w:tcW w:w="1062" w:type="dxa"/>
            <w:tcBorders>
              <w:left w:val="single" w:sz="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6522</w:t>
            </w:r>
          </w:p>
        </w:tc>
        <w:tc>
          <w:tcPr>
            <w:tcW w:w="900" w:type="dxa"/>
            <w:tcBorders>
              <w:right w:val="thinThickThinSmallGap" w:sz="2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Cat II</w:t>
            </w:r>
          </w:p>
        </w:tc>
        <w:tc>
          <w:tcPr>
            <w:tcW w:w="2538" w:type="dxa"/>
            <w:tcBorders>
              <w:left w:val="thinThickThinSmallGap" w:sz="24" w:space="0" w:color="auto"/>
              <w:right w:val="single" w:sz="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Allergic Rhinitis</w:t>
            </w:r>
          </w:p>
        </w:tc>
        <w:tc>
          <w:tcPr>
            <w:tcW w:w="1062" w:type="dxa"/>
            <w:tcBorders>
              <w:left w:val="single" w:sz="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6522</w:t>
            </w:r>
          </w:p>
        </w:tc>
        <w:tc>
          <w:tcPr>
            <w:tcW w:w="828"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0%</w:t>
            </w:r>
          </w:p>
        </w:tc>
        <w:tc>
          <w:tcPr>
            <w:tcW w:w="990"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20031104</w:t>
            </w:r>
          </w:p>
        </w:tc>
      </w:tr>
      <w:tr w:rsidR="0010672E" w:rsidRPr="00695AC9" w:rsidTr="008E1D3E">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0672E" w:rsidRPr="00695AC9" w:rsidRDefault="00FF3673" w:rsidP="0010672E">
            <w:pPr>
              <w:spacing w:line="180" w:lineRule="exact"/>
              <w:contextualSpacing/>
              <w:jc w:val="center"/>
              <w:rPr>
                <w:sz w:val="18"/>
                <w:szCs w:val="18"/>
              </w:rPr>
            </w:pPr>
            <w:r>
              <w:rPr>
                <w:sz w:val="18"/>
                <w:szCs w:val="18"/>
              </w:rPr>
              <w:t xml:space="preserve">No Additional MEB/PEB </w:t>
            </w:r>
            <w:r w:rsidR="0087420E">
              <w:rPr>
                <w:sz w:val="18"/>
                <w:szCs w:val="18"/>
              </w:rPr>
              <w:t>Entries</w:t>
            </w:r>
          </w:p>
        </w:tc>
        <w:tc>
          <w:tcPr>
            <w:tcW w:w="2538" w:type="dxa"/>
            <w:tcBorders>
              <w:left w:val="thinThickThinSmallGap" w:sz="24" w:space="0" w:color="auto"/>
              <w:right w:val="single" w:sz="4" w:space="0" w:color="auto"/>
            </w:tcBorders>
            <w:shd w:val="clear" w:color="auto" w:fill="FFFFFF" w:themeFill="background1"/>
            <w:vAlign w:val="center"/>
          </w:tcPr>
          <w:p w:rsidR="0010672E" w:rsidRPr="00695AC9" w:rsidRDefault="0010672E" w:rsidP="0010672E">
            <w:pPr>
              <w:spacing w:line="180" w:lineRule="exact"/>
              <w:contextualSpacing/>
              <w:rPr>
                <w:sz w:val="18"/>
                <w:szCs w:val="18"/>
              </w:rPr>
            </w:pPr>
            <w:r w:rsidRPr="00695AC9">
              <w:rPr>
                <w:sz w:val="18"/>
                <w:szCs w:val="18"/>
              </w:rPr>
              <w:t>Adjustment Disorder w/Depressed Mood</w:t>
            </w:r>
          </w:p>
        </w:tc>
        <w:tc>
          <w:tcPr>
            <w:tcW w:w="1062" w:type="dxa"/>
            <w:tcBorders>
              <w:left w:val="single" w:sz="4" w:space="0" w:color="auto"/>
              <w:right w:val="single" w:sz="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9440</w:t>
            </w:r>
          </w:p>
        </w:tc>
        <w:tc>
          <w:tcPr>
            <w:tcW w:w="828" w:type="dxa"/>
            <w:tcBorders>
              <w:left w:val="single" w:sz="4" w:space="0" w:color="auto"/>
            </w:tcBorders>
            <w:shd w:val="clear" w:color="auto" w:fill="FFFFFF" w:themeFill="background1"/>
            <w:vAlign w:val="center"/>
          </w:tcPr>
          <w:p w:rsidR="0010672E" w:rsidRPr="00695AC9" w:rsidRDefault="004A288A" w:rsidP="004A288A">
            <w:pPr>
              <w:spacing w:line="180" w:lineRule="exact"/>
              <w:contextualSpacing/>
              <w:jc w:val="center"/>
              <w:rPr>
                <w:sz w:val="18"/>
                <w:szCs w:val="18"/>
              </w:rPr>
            </w:pPr>
            <w:r w:rsidRPr="00695AC9">
              <w:rPr>
                <w:sz w:val="18"/>
                <w:szCs w:val="18"/>
              </w:rPr>
              <w:t>30</w:t>
            </w:r>
            <w:r w:rsidR="0010672E" w:rsidRPr="00695AC9">
              <w:rPr>
                <w:sz w:val="18"/>
                <w:szCs w:val="18"/>
              </w:rPr>
              <w:t>%*</w:t>
            </w:r>
          </w:p>
        </w:tc>
        <w:tc>
          <w:tcPr>
            <w:tcW w:w="990"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20050603</w:t>
            </w:r>
          </w:p>
        </w:tc>
      </w:tr>
      <w:tr w:rsidR="0010672E" w:rsidRPr="00695AC9" w:rsidTr="008E1D3E">
        <w:trPr>
          <w:trHeight w:val="287"/>
          <w:jc w:val="center"/>
        </w:trPr>
        <w:tc>
          <w:tcPr>
            <w:tcW w:w="4158" w:type="dxa"/>
            <w:gridSpan w:val="3"/>
            <w:vMerge/>
            <w:tcBorders>
              <w:right w:val="thinThickThinSmallGap" w:sz="24" w:space="0" w:color="auto"/>
            </w:tcBorders>
            <w:shd w:val="clear" w:color="auto" w:fill="FFFFFF" w:themeFill="background1"/>
            <w:vAlign w:val="center"/>
          </w:tcPr>
          <w:p w:rsidR="0010672E" w:rsidRPr="00695AC9" w:rsidRDefault="0010672E" w:rsidP="0010672E">
            <w:pPr>
              <w:spacing w:line="180" w:lineRule="exact"/>
              <w:contextualSpacing/>
              <w:jc w:val="center"/>
              <w:rPr>
                <w:sz w:val="18"/>
                <w:szCs w:val="18"/>
              </w:rPr>
            </w:pPr>
          </w:p>
        </w:tc>
        <w:tc>
          <w:tcPr>
            <w:tcW w:w="4428" w:type="dxa"/>
            <w:gridSpan w:val="3"/>
            <w:tcBorders>
              <w:left w:val="thinThickThinSmallGap" w:sz="24" w:space="0" w:color="auto"/>
            </w:tcBorders>
            <w:shd w:val="clear" w:color="auto" w:fill="FFFFFF" w:themeFill="background1"/>
            <w:vAlign w:val="center"/>
          </w:tcPr>
          <w:p w:rsidR="0010672E" w:rsidRPr="00695AC9" w:rsidRDefault="000C49DF" w:rsidP="000C49DF">
            <w:pPr>
              <w:spacing w:line="180" w:lineRule="exact"/>
              <w:contextualSpacing/>
              <w:jc w:val="center"/>
              <w:rPr>
                <w:sz w:val="18"/>
                <w:szCs w:val="18"/>
              </w:rPr>
            </w:pPr>
            <w:r>
              <w:rPr>
                <w:rFonts w:cs="Times New Roman"/>
                <w:sz w:val="18"/>
                <w:szCs w:val="18"/>
              </w:rPr>
              <w:t>0% x 2/</w:t>
            </w:r>
            <w:r w:rsidR="0010672E" w:rsidRPr="00695AC9">
              <w:rPr>
                <w:rFonts w:cs="Times New Roman"/>
                <w:sz w:val="18"/>
                <w:szCs w:val="18"/>
              </w:rPr>
              <w:t>Not Service Connected x 5</w:t>
            </w:r>
          </w:p>
        </w:tc>
        <w:tc>
          <w:tcPr>
            <w:tcW w:w="990" w:type="dxa"/>
            <w:shd w:val="clear" w:color="auto" w:fill="FFFFFF" w:themeFill="background1"/>
            <w:vAlign w:val="center"/>
          </w:tcPr>
          <w:p w:rsidR="0010672E" w:rsidRPr="00695AC9" w:rsidRDefault="0010672E" w:rsidP="0010672E">
            <w:pPr>
              <w:spacing w:line="180" w:lineRule="exact"/>
              <w:contextualSpacing/>
              <w:jc w:val="center"/>
              <w:rPr>
                <w:sz w:val="18"/>
                <w:szCs w:val="18"/>
              </w:rPr>
            </w:pPr>
            <w:r w:rsidRPr="00695AC9">
              <w:rPr>
                <w:sz w:val="18"/>
                <w:szCs w:val="18"/>
              </w:rPr>
              <w:t>20031104</w:t>
            </w:r>
          </w:p>
        </w:tc>
      </w:tr>
      <w:tr w:rsidR="0010672E" w:rsidRPr="00695AC9" w:rsidTr="008E1D3E">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10672E" w:rsidRPr="00695AC9" w:rsidRDefault="0010672E" w:rsidP="0010672E">
            <w:pPr>
              <w:spacing w:line="200" w:lineRule="exact"/>
              <w:contextualSpacing/>
              <w:jc w:val="center"/>
              <w:rPr>
                <w:b/>
                <w:sz w:val="20"/>
                <w:szCs w:val="20"/>
              </w:rPr>
            </w:pPr>
            <w:r w:rsidRPr="00695AC9">
              <w:rPr>
                <w:b/>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10672E" w:rsidRPr="00695AC9" w:rsidRDefault="0010672E" w:rsidP="004A288A">
            <w:pPr>
              <w:spacing w:line="200" w:lineRule="exact"/>
              <w:contextualSpacing/>
              <w:jc w:val="center"/>
              <w:rPr>
                <w:b/>
                <w:sz w:val="20"/>
                <w:szCs w:val="20"/>
              </w:rPr>
            </w:pPr>
            <w:r w:rsidRPr="00695AC9">
              <w:rPr>
                <w:b/>
                <w:sz w:val="20"/>
                <w:szCs w:val="20"/>
              </w:rPr>
              <w:t xml:space="preserve">Combined:  </w:t>
            </w:r>
            <w:r w:rsidR="004A288A" w:rsidRPr="00695AC9">
              <w:rPr>
                <w:b/>
                <w:sz w:val="20"/>
                <w:szCs w:val="20"/>
              </w:rPr>
              <w:t>7</w:t>
            </w:r>
            <w:r w:rsidRPr="00695AC9">
              <w:rPr>
                <w:b/>
                <w:sz w:val="20"/>
                <w:szCs w:val="20"/>
              </w:rPr>
              <w:t>0%</w:t>
            </w:r>
          </w:p>
        </w:tc>
      </w:tr>
    </w:tbl>
    <w:p w:rsidR="00F765DB" w:rsidRPr="00695AC9" w:rsidRDefault="007D7BD2" w:rsidP="001C1BDD">
      <w:pPr>
        <w:tabs>
          <w:tab w:val="left" w:pos="288"/>
          <w:tab w:val="left" w:pos="4752"/>
        </w:tabs>
        <w:spacing w:after="0" w:line="240" w:lineRule="exact"/>
        <w:jc w:val="both"/>
        <w:rPr>
          <w:rFonts w:eastAsia="Times New Roman" w:cs="Times New Roman"/>
          <w:sz w:val="20"/>
          <w:szCs w:val="20"/>
        </w:rPr>
      </w:pPr>
      <w:r w:rsidRPr="00695AC9">
        <w:rPr>
          <w:rFonts w:eastAsia="Times New Roman" w:cs="Times New Roman"/>
          <w:sz w:val="20"/>
          <w:szCs w:val="20"/>
        </w:rPr>
        <w:t>*</w:t>
      </w:r>
      <w:r w:rsidR="00F765DB" w:rsidRPr="00695AC9">
        <w:rPr>
          <w:rFonts w:eastAsia="Times New Roman" w:cs="Times New Roman"/>
          <w:sz w:val="20"/>
          <w:szCs w:val="20"/>
        </w:rPr>
        <w:t xml:space="preserve">Initial VARD May 29, 2003 granted 10% for chronic sinusitis and 0% for asthma, allergic rhinitis, knee, and adjustment disorder based on service treatment records.  </w:t>
      </w:r>
      <w:r w:rsidR="006B05E8" w:rsidRPr="00695AC9">
        <w:rPr>
          <w:rFonts w:eastAsia="Times New Roman" w:cs="Times New Roman"/>
          <w:sz w:val="20"/>
          <w:szCs w:val="20"/>
        </w:rPr>
        <w:t>VARD May 2004</w:t>
      </w:r>
      <w:r w:rsidR="004A288A" w:rsidRPr="00695AC9">
        <w:rPr>
          <w:rFonts w:eastAsia="Times New Roman" w:cs="Times New Roman"/>
          <w:sz w:val="20"/>
          <w:szCs w:val="20"/>
        </w:rPr>
        <w:t xml:space="preserve"> increased ratings </w:t>
      </w:r>
      <w:r w:rsidR="00F765DB" w:rsidRPr="00695AC9">
        <w:rPr>
          <w:rFonts w:eastAsia="Times New Roman" w:cs="Times New Roman"/>
          <w:sz w:val="20"/>
          <w:szCs w:val="20"/>
        </w:rPr>
        <w:t xml:space="preserve">effective the day after separation </w:t>
      </w:r>
      <w:r w:rsidR="004A288A" w:rsidRPr="00695AC9">
        <w:rPr>
          <w:rFonts w:eastAsia="Times New Roman" w:cs="Times New Roman"/>
          <w:sz w:val="20"/>
          <w:szCs w:val="20"/>
        </w:rPr>
        <w:t>based on C&amp;P examinations November 4, 2003</w:t>
      </w:r>
      <w:r w:rsidR="00F765DB" w:rsidRPr="00695AC9">
        <w:rPr>
          <w:rFonts w:eastAsia="Times New Roman" w:cs="Times New Roman"/>
          <w:sz w:val="20"/>
          <w:szCs w:val="20"/>
        </w:rPr>
        <w:t xml:space="preserve"> as shown in chart.</w:t>
      </w:r>
    </w:p>
    <w:p w:rsidR="0010672E" w:rsidRPr="00695AC9" w:rsidRDefault="0010672E" w:rsidP="0010672E">
      <w:pPr>
        <w:pBdr>
          <w:bottom w:val="single" w:sz="12" w:space="1" w:color="auto"/>
        </w:pBdr>
        <w:tabs>
          <w:tab w:val="left" w:pos="288"/>
          <w:tab w:val="left" w:pos="4752"/>
        </w:tabs>
        <w:spacing w:after="0" w:line="240" w:lineRule="exact"/>
        <w:jc w:val="both"/>
        <w:rPr>
          <w:rFonts w:eastAsia="Times New Roman" w:cs="Times New Roman"/>
          <w:b/>
          <w:sz w:val="24"/>
          <w:szCs w:val="20"/>
          <w:u w:val="single"/>
        </w:rPr>
      </w:pPr>
    </w:p>
    <w:p w:rsidR="0010672E" w:rsidRPr="00695AC9" w:rsidRDefault="0010672E" w:rsidP="0010672E">
      <w:pPr>
        <w:spacing w:after="0" w:line="240" w:lineRule="auto"/>
        <w:rPr>
          <w:rFonts w:eastAsia="Times New Roman" w:cs="Times New Roman"/>
          <w:sz w:val="24"/>
          <w:szCs w:val="24"/>
          <w:u w:val="single"/>
        </w:rPr>
      </w:pPr>
    </w:p>
    <w:p w:rsidR="0010672E" w:rsidRPr="00695AC9" w:rsidRDefault="0010672E" w:rsidP="0010672E">
      <w:pPr>
        <w:spacing w:after="0" w:line="240" w:lineRule="exact"/>
        <w:jc w:val="both"/>
        <w:rPr>
          <w:rFonts w:ascii="Calibri" w:eastAsia="Times New Roman" w:hAnsi="Calibri" w:cs="Times New Roman"/>
          <w:sz w:val="24"/>
          <w:szCs w:val="20"/>
        </w:rPr>
      </w:pPr>
      <w:r w:rsidRPr="00695AC9">
        <w:rPr>
          <w:rFonts w:ascii="Calibri" w:eastAsia="Times New Roman" w:hAnsi="Calibri" w:cs="Times New Roman"/>
          <w:sz w:val="24"/>
          <w:szCs w:val="20"/>
          <w:u w:val="single"/>
        </w:rPr>
        <w:t>ANALYSIS SUMMARY</w:t>
      </w:r>
      <w:r w:rsidRPr="00695AC9">
        <w:rPr>
          <w:rFonts w:ascii="Calibri" w:eastAsia="Times New Roman" w:hAnsi="Calibri" w:cs="Times New Roman"/>
          <w:sz w:val="24"/>
          <w:szCs w:val="20"/>
        </w:rPr>
        <w:t>:  The Board acknowledges the sentiment expressed in the CI’s application regarding the significant impact that his service-incurred condition has had on his current quality of life.  However, the Disability Evaluation System</w:t>
      </w:r>
      <w:r w:rsidR="001C1BDD" w:rsidRPr="001C1BDD">
        <w:rPr>
          <w:rFonts w:ascii="Calibri" w:eastAsia="Times New Roman" w:hAnsi="Calibri" w:cs="Times New Roman"/>
          <w:sz w:val="24"/>
          <w:szCs w:val="20"/>
        </w:rPr>
        <w:t xml:space="preserve"> </w:t>
      </w:r>
      <w:r w:rsidR="001C1BDD">
        <w:rPr>
          <w:rFonts w:ascii="Calibri" w:eastAsia="Times New Roman" w:hAnsi="Calibri" w:cs="Times New Roman"/>
          <w:sz w:val="24"/>
          <w:szCs w:val="20"/>
        </w:rPr>
        <w:t>(</w:t>
      </w:r>
      <w:r w:rsidR="001C1BDD" w:rsidRPr="00695AC9">
        <w:rPr>
          <w:rFonts w:ascii="Calibri" w:eastAsia="Times New Roman" w:hAnsi="Calibri" w:cs="Times New Roman"/>
          <w:sz w:val="24"/>
          <w:szCs w:val="20"/>
        </w:rPr>
        <w:t>DES</w:t>
      </w:r>
      <w:r w:rsidRPr="00695AC9">
        <w:rPr>
          <w:rFonts w:ascii="Calibri" w:eastAsia="Times New Roman" w:hAnsi="Calibri" w:cs="Times New Roman"/>
          <w:sz w:val="24"/>
          <w:szCs w:val="20"/>
        </w:rPr>
        <w:t xml:space="preserve">) has neither the role nor the authority to compensate service members for anticipated future severity or potential complications of conditions resulting in medical separation.  This role and authority is granted by Congress to the Veterans Administration.  The Board’s role is confined to the review of medical records and all evidence at hand to assess the fairness of PEB rating determinations </w:t>
      </w:r>
      <w:r w:rsidRPr="00695AC9">
        <w:rPr>
          <w:rFonts w:ascii="Calibri" w:eastAsia="Times New Roman" w:hAnsi="Calibri" w:cs="Times New Roman"/>
          <w:sz w:val="24"/>
          <w:szCs w:val="20"/>
        </w:rPr>
        <w:lastRenderedPageBreak/>
        <w:t>compared to VASRD standards, as well as the fairness of PEB fitness adjudications.  The Board’s threshold for countering DES fitness determinations is higher than the VASRD §4.3 reasonable doubt standard used for its rating recommendations</w:t>
      </w:r>
      <w:r w:rsidR="001C1BDD">
        <w:rPr>
          <w:rFonts w:ascii="Calibri" w:eastAsia="Times New Roman" w:hAnsi="Calibri" w:cs="Times New Roman"/>
          <w:sz w:val="24"/>
          <w:szCs w:val="20"/>
        </w:rPr>
        <w:t>,</w:t>
      </w:r>
      <w:r w:rsidRPr="00695AC9">
        <w:rPr>
          <w:rFonts w:ascii="Calibri" w:eastAsia="Times New Roman" w:hAnsi="Calibri" w:cs="Times New Roman"/>
          <w:sz w:val="24"/>
          <w:szCs w:val="20"/>
        </w:rPr>
        <w:t xml:space="preserve"> but remains adherent to the DoDI 6040.44 “fair and equitable” standard.</w:t>
      </w:r>
    </w:p>
    <w:p w:rsidR="0010672E" w:rsidRPr="00695AC9" w:rsidRDefault="0010672E" w:rsidP="0010672E">
      <w:pPr>
        <w:spacing w:after="0" w:line="240" w:lineRule="exact"/>
        <w:jc w:val="both"/>
        <w:rPr>
          <w:rFonts w:ascii="Calibri" w:eastAsia="Times New Roman" w:hAnsi="Calibri" w:cs="Times New Roman"/>
          <w:sz w:val="24"/>
          <w:szCs w:val="20"/>
        </w:rPr>
      </w:pPr>
    </w:p>
    <w:p w:rsidR="0010672E" w:rsidRPr="00695AC9" w:rsidRDefault="0010672E" w:rsidP="00006351">
      <w:pPr>
        <w:spacing w:after="0" w:line="240" w:lineRule="exact"/>
        <w:jc w:val="both"/>
        <w:rPr>
          <w:rFonts w:eastAsia="Times New Roman" w:cs="Times New Roman"/>
          <w:sz w:val="24"/>
          <w:szCs w:val="24"/>
        </w:rPr>
      </w:pPr>
      <w:proofErr w:type="gramStart"/>
      <w:r w:rsidRPr="00695AC9">
        <w:rPr>
          <w:rFonts w:ascii="Calibri" w:eastAsia="Times New Roman" w:hAnsi="Calibri" w:cs="Times New Roman"/>
          <w:sz w:val="24"/>
          <w:szCs w:val="20"/>
          <w:u w:val="single"/>
        </w:rPr>
        <w:t>Asthma</w:t>
      </w:r>
      <w:r w:rsidR="001C1BDD">
        <w:rPr>
          <w:rFonts w:ascii="Calibri" w:eastAsia="Times New Roman" w:hAnsi="Calibri" w:cs="Times New Roman"/>
          <w:sz w:val="24"/>
          <w:szCs w:val="20"/>
          <w:u w:val="single"/>
        </w:rPr>
        <w:t>.</w:t>
      </w:r>
      <w:proofErr w:type="gramEnd"/>
      <w:r w:rsidRPr="00695AC9">
        <w:rPr>
          <w:rFonts w:ascii="Calibri" w:eastAsia="Times New Roman" w:hAnsi="Calibri" w:cs="Times New Roman"/>
          <w:sz w:val="24"/>
          <w:szCs w:val="20"/>
        </w:rPr>
        <w:t xml:space="preserve">  The VASRD provides rating guidance </w:t>
      </w:r>
      <w:r w:rsidR="001F2EA1" w:rsidRPr="00695AC9">
        <w:rPr>
          <w:rFonts w:ascii="Calibri" w:eastAsia="Times New Roman" w:hAnsi="Calibri" w:cs="Times New Roman"/>
          <w:sz w:val="24"/>
          <w:szCs w:val="20"/>
        </w:rPr>
        <w:t xml:space="preserve">for asthma </w:t>
      </w:r>
      <w:r w:rsidRPr="00695AC9">
        <w:rPr>
          <w:rFonts w:ascii="Calibri" w:eastAsia="Times New Roman" w:hAnsi="Calibri" w:cs="Times New Roman"/>
          <w:sz w:val="24"/>
          <w:szCs w:val="20"/>
        </w:rPr>
        <w:t xml:space="preserve">based on clinically significant exacerbations resulting in either respiratory failure or requirement for frequent visits to a physician for treatment, nature of medication treatment, and spirometry testing results (pulmonary function test).  </w:t>
      </w:r>
      <w:r w:rsidRPr="00695AC9">
        <w:rPr>
          <w:rFonts w:eastAsia="Times New Roman" w:cs="Times New Roman"/>
          <w:sz w:val="24"/>
          <w:szCs w:val="24"/>
        </w:rPr>
        <w:t xml:space="preserve">There were three spirometry test results in </w:t>
      </w:r>
      <w:r w:rsidRPr="00695AC9">
        <w:rPr>
          <w:rFonts w:ascii="Calibri" w:eastAsia="Times New Roman" w:hAnsi="Calibri" w:cs="Times New Roman"/>
          <w:sz w:val="24"/>
          <w:szCs w:val="24"/>
        </w:rPr>
        <w:t>evidence which the Board weighed in arriving at its rating recommendation.  These exams are summarized in the chart below:</w:t>
      </w:r>
    </w:p>
    <w:p w:rsidR="0010672E" w:rsidRPr="00695AC9" w:rsidRDefault="0010672E" w:rsidP="0010672E">
      <w:pPr>
        <w:spacing w:after="0" w:line="240" w:lineRule="exact"/>
        <w:jc w:val="both"/>
        <w:rPr>
          <w:rFonts w:eastAsia="Times New Roman" w:cs="Times New Roman"/>
          <w:sz w:val="24"/>
          <w:szCs w:val="24"/>
        </w:rPr>
      </w:pPr>
    </w:p>
    <w:tbl>
      <w:tblPr>
        <w:tblStyle w:val="TableGrid"/>
        <w:tblW w:w="0" w:type="auto"/>
        <w:jc w:val="center"/>
        <w:tblInd w:w="-400" w:type="dxa"/>
        <w:tblLook w:val="04A0"/>
      </w:tblPr>
      <w:tblGrid>
        <w:gridCol w:w="1714"/>
        <w:gridCol w:w="954"/>
        <w:gridCol w:w="1479"/>
        <w:gridCol w:w="1491"/>
        <w:gridCol w:w="1440"/>
      </w:tblGrid>
      <w:tr w:rsidR="0010672E" w:rsidRPr="00695AC9" w:rsidTr="00AC6DF7">
        <w:trPr>
          <w:jc w:val="center"/>
        </w:trPr>
        <w:tc>
          <w:tcPr>
            <w:tcW w:w="2668" w:type="dxa"/>
            <w:gridSpan w:val="2"/>
            <w:tcBorders>
              <w:bottom w:val="single" w:sz="4" w:space="0" w:color="000000" w:themeColor="text1"/>
            </w:tcBorders>
            <w:shd w:val="pct15" w:color="auto" w:fill="auto"/>
          </w:tcPr>
          <w:p w:rsidR="0010672E" w:rsidRPr="00695AC9" w:rsidRDefault="0010672E" w:rsidP="0010672E">
            <w:pPr>
              <w:spacing w:line="240" w:lineRule="exact"/>
              <w:jc w:val="both"/>
              <w:rPr>
                <w:sz w:val="18"/>
                <w:szCs w:val="18"/>
              </w:rPr>
            </w:pPr>
            <w:r w:rsidRPr="00695AC9">
              <w:rPr>
                <w:sz w:val="18"/>
                <w:szCs w:val="18"/>
              </w:rPr>
              <w:t>Spirometry</w:t>
            </w:r>
          </w:p>
        </w:tc>
        <w:tc>
          <w:tcPr>
            <w:tcW w:w="1479" w:type="dxa"/>
            <w:shd w:val="pct15" w:color="auto" w:fill="auto"/>
          </w:tcPr>
          <w:p w:rsidR="0010672E" w:rsidRPr="00695AC9" w:rsidRDefault="0010672E" w:rsidP="00AC6DF7">
            <w:pPr>
              <w:spacing w:line="240" w:lineRule="exact"/>
              <w:jc w:val="center"/>
              <w:rPr>
                <w:sz w:val="18"/>
                <w:szCs w:val="18"/>
              </w:rPr>
            </w:pPr>
            <w:r w:rsidRPr="00695AC9">
              <w:rPr>
                <w:sz w:val="18"/>
                <w:szCs w:val="18"/>
              </w:rPr>
              <w:t>~6 Mos Pre Sep</w:t>
            </w:r>
          </w:p>
        </w:tc>
        <w:tc>
          <w:tcPr>
            <w:tcW w:w="1491" w:type="dxa"/>
            <w:shd w:val="pct15" w:color="auto" w:fill="auto"/>
          </w:tcPr>
          <w:p w:rsidR="0010672E" w:rsidRPr="00695AC9" w:rsidRDefault="0010672E" w:rsidP="00AC6DF7">
            <w:pPr>
              <w:spacing w:line="240" w:lineRule="exact"/>
              <w:jc w:val="center"/>
              <w:rPr>
                <w:sz w:val="18"/>
                <w:szCs w:val="18"/>
              </w:rPr>
            </w:pPr>
            <w:r w:rsidRPr="00695AC9">
              <w:rPr>
                <w:sz w:val="18"/>
                <w:szCs w:val="18"/>
              </w:rPr>
              <w:t>~3 Mos Pre-Sep</w:t>
            </w:r>
          </w:p>
        </w:tc>
        <w:tc>
          <w:tcPr>
            <w:tcW w:w="1440" w:type="dxa"/>
            <w:shd w:val="pct15" w:color="auto" w:fill="auto"/>
          </w:tcPr>
          <w:p w:rsidR="0010672E" w:rsidRPr="00695AC9" w:rsidRDefault="0010672E" w:rsidP="00AC6DF7">
            <w:pPr>
              <w:spacing w:line="240" w:lineRule="exact"/>
              <w:jc w:val="center"/>
              <w:rPr>
                <w:sz w:val="18"/>
                <w:szCs w:val="18"/>
              </w:rPr>
            </w:pPr>
            <w:r w:rsidRPr="00695AC9">
              <w:rPr>
                <w:sz w:val="18"/>
                <w:szCs w:val="18"/>
              </w:rPr>
              <w:t>C&amp;P</w:t>
            </w:r>
          </w:p>
          <w:p w:rsidR="0010672E" w:rsidRPr="00695AC9" w:rsidRDefault="0010672E" w:rsidP="00AC6DF7">
            <w:pPr>
              <w:spacing w:line="240" w:lineRule="exact"/>
              <w:jc w:val="center"/>
              <w:rPr>
                <w:sz w:val="18"/>
                <w:szCs w:val="18"/>
              </w:rPr>
            </w:pPr>
            <w:r w:rsidRPr="00695AC9">
              <w:rPr>
                <w:sz w:val="18"/>
                <w:szCs w:val="18"/>
              </w:rPr>
              <w:t>~9 Mos Post Sep</w:t>
            </w:r>
          </w:p>
        </w:tc>
      </w:tr>
      <w:tr w:rsidR="0010672E" w:rsidRPr="00695AC9" w:rsidTr="00AC6DF7">
        <w:trPr>
          <w:jc w:val="center"/>
        </w:trPr>
        <w:tc>
          <w:tcPr>
            <w:tcW w:w="1714" w:type="dxa"/>
            <w:vMerge w:val="restart"/>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Pre-Bronchodilator</w:t>
            </w:r>
          </w:p>
        </w:tc>
        <w:tc>
          <w:tcPr>
            <w:tcW w:w="954" w:type="dxa"/>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FVC</w:t>
            </w:r>
          </w:p>
        </w:tc>
        <w:tc>
          <w:tcPr>
            <w:tcW w:w="1479" w:type="dxa"/>
          </w:tcPr>
          <w:p w:rsidR="0010672E" w:rsidRPr="00695AC9" w:rsidRDefault="0010672E" w:rsidP="00AC6DF7">
            <w:pPr>
              <w:spacing w:line="180" w:lineRule="exact"/>
              <w:jc w:val="center"/>
              <w:rPr>
                <w:sz w:val="18"/>
                <w:szCs w:val="18"/>
              </w:rPr>
            </w:pPr>
            <w:r w:rsidRPr="00695AC9">
              <w:rPr>
                <w:sz w:val="18"/>
                <w:szCs w:val="18"/>
              </w:rPr>
              <w:t>4.08 (74%)</w:t>
            </w:r>
          </w:p>
        </w:tc>
        <w:tc>
          <w:tcPr>
            <w:tcW w:w="1491" w:type="dxa"/>
          </w:tcPr>
          <w:p w:rsidR="0010672E" w:rsidRPr="00695AC9" w:rsidRDefault="0010672E" w:rsidP="00AC6DF7">
            <w:pPr>
              <w:spacing w:line="180" w:lineRule="exact"/>
              <w:jc w:val="center"/>
              <w:rPr>
                <w:sz w:val="18"/>
                <w:szCs w:val="18"/>
              </w:rPr>
            </w:pPr>
            <w:r w:rsidRPr="00695AC9">
              <w:rPr>
                <w:sz w:val="18"/>
                <w:szCs w:val="18"/>
              </w:rPr>
              <w:t>4.84 (104%)</w:t>
            </w:r>
          </w:p>
        </w:tc>
        <w:tc>
          <w:tcPr>
            <w:tcW w:w="1440" w:type="dxa"/>
          </w:tcPr>
          <w:p w:rsidR="0010672E" w:rsidRPr="00695AC9" w:rsidRDefault="0010672E" w:rsidP="00AC6DF7">
            <w:pPr>
              <w:spacing w:line="180" w:lineRule="exact"/>
              <w:jc w:val="center"/>
              <w:rPr>
                <w:sz w:val="18"/>
                <w:szCs w:val="18"/>
              </w:rPr>
            </w:pPr>
            <w:r w:rsidRPr="00695AC9">
              <w:rPr>
                <w:sz w:val="18"/>
                <w:szCs w:val="18"/>
              </w:rPr>
              <w:t>4.30 (101%)</w:t>
            </w:r>
          </w:p>
        </w:tc>
      </w:tr>
      <w:tr w:rsidR="0010672E" w:rsidRPr="00695AC9" w:rsidTr="00AC6DF7">
        <w:trPr>
          <w:jc w:val="center"/>
        </w:trPr>
        <w:tc>
          <w:tcPr>
            <w:tcW w:w="1714" w:type="dxa"/>
            <w:vMerge/>
            <w:shd w:val="clear" w:color="auto" w:fill="FFFFFF" w:themeFill="background1"/>
          </w:tcPr>
          <w:p w:rsidR="0010672E" w:rsidRPr="00695AC9" w:rsidRDefault="0010672E" w:rsidP="00AC6DF7">
            <w:pPr>
              <w:spacing w:line="180" w:lineRule="exact"/>
              <w:jc w:val="both"/>
              <w:rPr>
                <w:sz w:val="18"/>
                <w:szCs w:val="18"/>
              </w:rPr>
            </w:pPr>
          </w:p>
        </w:tc>
        <w:tc>
          <w:tcPr>
            <w:tcW w:w="954" w:type="dxa"/>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FEV1</w:t>
            </w:r>
          </w:p>
        </w:tc>
        <w:tc>
          <w:tcPr>
            <w:tcW w:w="1479" w:type="dxa"/>
          </w:tcPr>
          <w:p w:rsidR="0010672E" w:rsidRPr="00695AC9" w:rsidRDefault="0010672E" w:rsidP="00AC6DF7">
            <w:pPr>
              <w:spacing w:line="180" w:lineRule="exact"/>
              <w:jc w:val="center"/>
              <w:rPr>
                <w:sz w:val="18"/>
                <w:szCs w:val="18"/>
              </w:rPr>
            </w:pPr>
            <w:r w:rsidRPr="00695AC9">
              <w:rPr>
                <w:sz w:val="18"/>
                <w:szCs w:val="18"/>
              </w:rPr>
              <w:t>2.86 (66%)</w:t>
            </w:r>
          </w:p>
        </w:tc>
        <w:tc>
          <w:tcPr>
            <w:tcW w:w="1491" w:type="dxa"/>
          </w:tcPr>
          <w:p w:rsidR="0010672E" w:rsidRPr="00695AC9" w:rsidRDefault="0010672E" w:rsidP="00AC6DF7">
            <w:pPr>
              <w:spacing w:line="180" w:lineRule="exact"/>
              <w:jc w:val="center"/>
              <w:rPr>
                <w:sz w:val="18"/>
                <w:szCs w:val="18"/>
              </w:rPr>
            </w:pPr>
            <w:r w:rsidRPr="00695AC9">
              <w:rPr>
                <w:sz w:val="18"/>
                <w:szCs w:val="18"/>
              </w:rPr>
              <w:t>3.22 (82%)</w:t>
            </w:r>
          </w:p>
        </w:tc>
        <w:tc>
          <w:tcPr>
            <w:tcW w:w="1440" w:type="dxa"/>
          </w:tcPr>
          <w:p w:rsidR="0010672E" w:rsidRPr="00695AC9" w:rsidRDefault="0010672E" w:rsidP="00AC6DF7">
            <w:pPr>
              <w:spacing w:line="180" w:lineRule="exact"/>
              <w:jc w:val="center"/>
              <w:rPr>
                <w:sz w:val="18"/>
                <w:szCs w:val="18"/>
              </w:rPr>
            </w:pPr>
            <w:r w:rsidRPr="00695AC9">
              <w:rPr>
                <w:sz w:val="18"/>
                <w:szCs w:val="18"/>
              </w:rPr>
              <w:t>2.98 (83%)</w:t>
            </w:r>
          </w:p>
        </w:tc>
      </w:tr>
      <w:tr w:rsidR="0010672E" w:rsidRPr="00695AC9" w:rsidTr="00AC6DF7">
        <w:trPr>
          <w:jc w:val="center"/>
        </w:trPr>
        <w:tc>
          <w:tcPr>
            <w:tcW w:w="1714" w:type="dxa"/>
            <w:vMerge/>
            <w:tcBorders>
              <w:bottom w:val="single" w:sz="4" w:space="0" w:color="000000" w:themeColor="text1"/>
            </w:tcBorders>
            <w:shd w:val="clear" w:color="auto" w:fill="FFFFFF" w:themeFill="background1"/>
          </w:tcPr>
          <w:p w:rsidR="0010672E" w:rsidRPr="00695AC9" w:rsidRDefault="0010672E" w:rsidP="00AC6DF7">
            <w:pPr>
              <w:spacing w:line="180" w:lineRule="exact"/>
              <w:jc w:val="both"/>
              <w:rPr>
                <w:sz w:val="18"/>
                <w:szCs w:val="18"/>
              </w:rPr>
            </w:pPr>
          </w:p>
        </w:tc>
        <w:tc>
          <w:tcPr>
            <w:tcW w:w="954" w:type="dxa"/>
            <w:tcBorders>
              <w:bottom w:val="single" w:sz="4" w:space="0" w:color="000000" w:themeColor="text1"/>
            </w:tcBorders>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FEV1/FVC</w:t>
            </w:r>
          </w:p>
        </w:tc>
        <w:tc>
          <w:tcPr>
            <w:tcW w:w="1479" w:type="dxa"/>
            <w:tcBorders>
              <w:bottom w:val="single" w:sz="4" w:space="0" w:color="000000" w:themeColor="text1"/>
            </w:tcBorders>
          </w:tcPr>
          <w:p w:rsidR="0010672E" w:rsidRPr="00695AC9" w:rsidRDefault="0010672E" w:rsidP="00AC6DF7">
            <w:pPr>
              <w:spacing w:line="180" w:lineRule="exact"/>
              <w:jc w:val="center"/>
              <w:rPr>
                <w:sz w:val="18"/>
                <w:szCs w:val="18"/>
              </w:rPr>
            </w:pPr>
            <w:r w:rsidRPr="00695AC9">
              <w:rPr>
                <w:sz w:val="18"/>
                <w:szCs w:val="18"/>
              </w:rPr>
              <w:t>70%</w:t>
            </w:r>
          </w:p>
        </w:tc>
        <w:tc>
          <w:tcPr>
            <w:tcW w:w="1491" w:type="dxa"/>
            <w:tcBorders>
              <w:bottom w:val="single" w:sz="4" w:space="0" w:color="000000" w:themeColor="text1"/>
            </w:tcBorders>
          </w:tcPr>
          <w:p w:rsidR="0010672E" w:rsidRPr="00695AC9" w:rsidRDefault="0010672E" w:rsidP="00AC6DF7">
            <w:pPr>
              <w:spacing w:line="180" w:lineRule="exact"/>
              <w:jc w:val="center"/>
              <w:rPr>
                <w:sz w:val="18"/>
                <w:szCs w:val="18"/>
              </w:rPr>
            </w:pPr>
            <w:r w:rsidRPr="00695AC9">
              <w:rPr>
                <w:sz w:val="18"/>
                <w:szCs w:val="18"/>
              </w:rPr>
              <w:t>67%</w:t>
            </w:r>
          </w:p>
        </w:tc>
        <w:tc>
          <w:tcPr>
            <w:tcW w:w="1440" w:type="dxa"/>
            <w:tcBorders>
              <w:bottom w:val="single" w:sz="4" w:space="0" w:color="000000" w:themeColor="text1"/>
            </w:tcBorders>
          </w:tcPr>
          <w:p w:rsidR="0010672E" w:rsidRPr="00695AC9" w:rsidRDefault="0010672E" w:rsidP="00AC6DF7">
            <w:pPr>
              <w:spacing w:line="180" w:lineRule="exact"/>
              <w:jc w:val="center"/>
              <w:rPr>
                <w:sz w:val="18"/>
                <w:szCs w:val="18"/>
              </w:rPr>
            </w:pPr>
            <w:r w:rsidRPr="00695AC9">
              <w:rPr>
                <w:sz w:val="18"/>
                <w:szCs w:val="18"/>
              </w:rPr>
              <w:t>69%</w:t>
            </w:r>
          </w:p>
        </w:tc>
      </w:tr>
      <w:tr w:rsidR="0010672E" w:rsidRPr="00695AC9" w:rsidTr="00AC6DF7">
        <w:trPr>
          <w:jc w:val="center"/>
        </w:trPr>
        <w:tc>
          <w:tcPr>
            <w:tcW w:w="1714" w:type="dxa"/>
            <w:vMerge w:val="restart"/>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Post-Bronchodilator</w:t>
            </w:r>
          </w:p>
        </w:tc>
        <w:tc>
          <w:tcPr>
            <w:tcW w:w="954" w:type="dxa"/>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FVC</w:t>
            </w:r>
          </w:p>
        </w:tc>
        <w:tc>
          <w:tcPr>
            <w:tcW w:w="1479" w:type="dxa"/>
          </w:tcPr>
          <w:p w:rsidR="0010672E" w:rsidRPr="00695AC9" w:rsidRDefault="0010672E" w:rsidP="00AC6DF7">
            <w:pPr>
              <w:spacing w:line="180" w:lineRule="exact"/>
              <w:jc w:val="center"/>
              <w:rPr>
                <w:sz w:val="18"/>
                <w:szCs w:val="18"/>
              </w:rPr>
            </w:pPr>
            <w:r w:rsidRPr="00695AC9">
              <w:rPr>
                <w:sz w:val="18"/>
                <w:szCs w:val="18"/>
              </w:rPr>
              <w:t>4.42 (80%)</w:t>
            </w:r>
          </w:p>
        </w:tc>
        <w:tc>
          <w:tcPr>
            <w:tcW w:w="1491" w:type="dxa"/>
          </w:tcPr>
          <w:p w:rsidR="0010672E" w:rsidRPr="00695AC9" w:rsidRDefault="0010672E" w:rsidP="00AC6DF7">
            <w:pPr>
              <w:spacing w:line="180" w:lineRule="exact"/>
              <w:jc w:val="center"/>
              <w:rPr>
                <w:sz w:val="18"/>
                <w:szCs w:val="18"/>
              </w:rPr>
            </w:pPr>
            <w:r w:rsidRPr="00695AC9">
              <w:rPr>
                <w:sz w:val="18"/>
                <w:szCs w:val="18"/>
              </w:rPr>
              <w:t>4.60 (99%)</w:t>
            </w:r>
          </w:p>
        </w:tc>
        <w:tc>
          <w:tcPr>
            <w:tcW w:w="1440" w:type="dxa"/>
          </w:tcPr>
          <w:p w:rsidR="0010672E" w:rsidRPr="00695AC9" w:rsidRDefault="0010672E" w:rsidP="00AC6DF7">
            <w:pPr>
              <w:spacing w:line="180" w:lineRule="exact"/>
              <w:jc w:val="center"/>
              <w:rPr>
                <w:sz w:val="18"/>
                <w:szCs w:val="18"/>
              </w:rPr>
            </w:pPr>
            <w:r w:rsidRPr="00695AC9">
              <w:rPr>
                <w:sz w:val="18"/>
                <w:szCs w:val="18"/>
              </w:rPr>
              <w:t>4.46 (104%)</w:t>
            </w:r>
          </w:p>
        </w:tc>
      </w:tr>
      <w:tr w:rsidR="0010672E" w:rsidRPr="00695AC9" w:rsidTr="00AC6DF7">
        <w:trPr>
          <w:jc w:val="center"/>
        </w:trPr>
        <w:tc>
          <w:tcPr>
            <w:tcW w:w="1714" w:type="dxa"/>
            <w:vMerge/>
            <w:shd w:val="clear" w:color="auto" w:fill="FFFFFF" w:themeFill="background1"/>
          </w:tcPr>
          <w:p w:rsidR="0010672E" w:rsidRPr="00695AC9" w:rsidRDefault="0010672E" w:rsidP="00AC6DF7">
            <w:pPr>
              <w:spacing w:line="180" w:lineRule="exact"/>
              <w:jc w:val="both"/>
              <w:rPr>
                <w:sz w:val="18"/>
                <w:szCs w:val="18"/>
              </w:rPr>
            </w:pPr>
          </w:p>
        </w:tc>
        <w:tc>
          <w:tcPr>
            <w:tcW w:w="954" w:type="dxa"/>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FEV1</w:t>
            </w:r>
          </w:p>
        </w:tc>
        <w:tc>
          <w:tcPr>
            <w:tcW w:w="1479" w:type="dxa"/>
          </w:tcPr>
          <w:p w:rsidR="0010672E" w:rsidRPr="00695AC9" w:rsidRDefault="0010672E" w:rsidP="00AC6DF7">
            <w:pPr>
              <w:spacing w:line="180" w:lineRule="exact"/>
              <w:jc w:val="center"/>
              <w:rPr>
                <w:sz w:val="18"/>
                <w:szCs w:val="18"/>
              </w:rPr>
            </w:pPr>
            <w:r w:rsidRPr="00695AC9">
              <w:rPr>
                <w:sz w:val="18"/>
                <w:szCs w:val="18"/>
              </w:rPr>
              <w:t>2.81 (64%)</w:t>
            </w:r>
          </w:p>
        </w:tc>
        <w:tc>
          <w:tcPr>
            <w:tcW w:w="1491" w:type="dxa"/>
          </w:tcPr>
          <w:p w:rsidR="0010672E" w:rsidRPr="00695AC9" w:rsidRDefault="0010672E" w:rsidP="00AC6DF7">
            <w:pPr>
              <w:spacing w:line="180" w:lineRule="exact"/>
              <w:jc w:val="center"/>
              <w:rPr>
                <w:sz w:val="18"/>
                <w:szCs w:val="18"/>
              </w:rPr>
            </w:pPr>
            <w:r w:rsidRPr="00695AC9">
              <w:rPr>
                <w:sz w:val="18"/>
                <w:szCs w:val="18"/>
              </w:rPr>
              <w:t>3.44 (87%)</w:t>
            </w:r>
          </w:p>
        </w:tc>
        <w:tc>
          <w:tcPr>
            <w:tcW w:w="1440" w:type="dxa"/>
          </w:tcPr>
          <w:p w:rsidR="0010672E" w:rsidRPr="00695AC9" w:rsidRDefault="0010672E" w:rsidP="00AC6DF7">
            <w:pPr>
              <w:spacing w:line="180" w:lineRule="exact"/>
              <w:jc w:val="center"/>
              <w:rPr>
                <w:sz w:val="18"/>
                <w:szCs w:val="18"/>
              </w:rPr>
            </w:pPr>
            <w:r w:rsidRPr="00695AC9">
              <w:rPr>
                <w:sz w:val="18"/>
                <w:szCs w:val="18"/>
              </w:rPr>
              <w:t>3.28 (92%)</w:t>
            </w:r>
          </w:p>
        </w:tc>
      </w:tr>
      <w:tr w:rsidR="0010672E" w:rsidRPr="00695AC9" w:rsidTr="00AC6DF7">
        <w:trPr>
          <w:jc w:val="center"/>
        </w:trPr>
        <w:tc>
          <w:tcPr>
            <w:tcW w:w="1714" w:type="dxa"/>
            <w:vMerge/>
            <w:shd w:val="clear" w:color="auto" w:fill="FFFFFF" w:themeFill="background1"/>
          </w:tcPr>
          <w:p w:rsidR="0010672E" w:rsidRPr="00695AC9" w:rsidRDefault="0010672E" w:rsidP="00AC6DF7">
            <w:pPr>
              <w:spacing w:line="180" w:lineRule="exact"/>
              <w:jc w:val="both"/>
              <w:rPr>
                <w:sz w:val="18"/>
                <w:szCs w:val="18"/>
              </w:rPr>
            </w:pPr>
          </w:p>
        </w:tc>
        <w:tc>
          <w:tcPr>
            <w:tcW w:w="954" w:type="dxa"/>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FEV1/FVC</w:t>
            </w:r>
          </w:p>
        </w:tc>
        <w:tc>
          <w:tcPr>
            <w:tcW w:w="1479" w:type="dxa"/>
          </w:tcPr>
          <w:p w:rsidR="0010672E" w:rsidRPr="00695AC9" w:rsidRDefault="0010672E" w:rsidP="00AC6DF7">
            <w:pPr>
              <w:spacing w:line="180" w:lineRule="exact"/>
              <w:jc w:val="center"/>
              <w:rPr>
                <w:sz w:val="18"/>
                <w:szCs w:val="18"/>
              </w:rPr>
            </w:pPr>
            <w:r w:rsidRPr="00695AC9">
              <w:rPr>
                <w:sz w:val="18"/>
                <w:szCs w:val="18"/>
              </w:rPr>
              <w:t>64%</w:t>
            </w:r>
          </w:p>
        </w:tc>
        <w:tc>
          <w:tcPr>
            <w:tcW w:w="1491" w:type="dxa"/>
          </w:tcPr>
          <w:p w:rsidR="0010672E" w:rsidRPr="00695AC9" w:rsidRDefault="0010672E" w:rsidP="00AC6DF7">
            <w:pPr>
              <w:spacing w:line="180" w:lineRule="exact"/>
              <w:jc w:val="center"/>
              <w:rPr>
                <w:sz w:val="18"/>
                <w:szCs w:val="18"/>
              </w:rPr>
            </w:pPr>
            <w:r w:rsidRPr="00695AC9">
              <w:rPr>
                <w:sz w:val="18"/>
                <w:szCs w:val="18"/>
              </w:rPr>
              <w:t>75%</w:t>
            </w:r>
          </w:p>
        </w:tc>
        <w:tc>
          <w:tcPr>
            <w:tcW w:w="1440" w:type="dxa"/>
          </w:tcPr>
          <w:p w:rsidR="0010672E" w:rsidRPr="00695AC9" w:rsidRDefault="0010672E" w:rsidP="00AC6DF7">
            <w:pPr>
              <w:spacing w:line="180" w:lineRule="exact"/>
              <w:jc w:val="center"/>
              <w:rPr>
                <w:sz w:val="18"/>
                <w:szCs w:val="18"/>
              </w:rPr>
            </w:pPr>
            <w:r w:rsidRPr="00695AC9">
              <w:rPr>
                <w:sz w:val="18"/>
                <w:szCs w:val="18"/>
              </w:rPr>
              <w:t>74%</w:t>
            </w:r>
          </w:p>
        </w:tc>
      </w:tr>
      <w:tr w:rsidR="0010672E" w:rsidRPr="00695AC9" w:rsidTr="00AC6DF7">
        <w:trPr>
          <w:jc w:val="center"/>
        </w:trPr>
        <w:tc>
          <w:tcPr>
            <w:tcW w:w="2668" w:type="dxa"/>
            <w:gridSpan w:val="2"/>
            <w:shd w:val="clear" w:color="auto" w:fill="FFFFFF" w:themeFill="background1"/>
          </w:tcPr>
          <w:p w:rsidR="0010672E" w:rsidRPr="00695AC9" w:rsidRDefault="0010672E" w:rsidP="00AC6DF7">
            <w:pPr>
              <w:spacing w:line="180" w:lineRule="exact"/>
              <w:jc w:val="both"/>
              <w:rPr>
                <w:sz w:val="18"/>
                <w:szCs w:val="18"/>
              </w:rPr>
            </w:pPr>
            <w:r w:rsidRPr="00695AC9">
              <w:rPr>
                <w:sz w:val="18"/>
                <w:szCs w:val="18"/>
              </w:rPr>
              <w:t>Comments</w:t>
            </w:r>
          </w:p>
        </w:tc>
        <w:tc>
          <w:tcPr>
            <w:tcW w:w="1479" w:type="dxa"/>
          </w:tcPr>
          <w:p w:rsidR="0010672E" w:rsidRPr="00695AC9" w:rsidRDefault="00AC6DF7" w:rsidP="00AC6DF7">
            <w:pPr>
              <w:spacing w:line="180" w:lineRule="exact"/>
              <w:jc w:val="both"/>
              <w:rPr>
                <w:sz w:val="18"/>
                <w:szCs w:val="18"/>
              </w:rPr>
            </w:pPr>
            <w:r w:rsidRPr="00695AC9">
              <w:rPr>
                <w:sz w:val="18"/>
                <w:szCs w:val="18"/>
              </w:rPr>
              <w:t xml:space="preserve">Intermittent </w:t>
            </w:r>
            <w:r w:rsidR="0010672E" w:rsidRPr="00695AC9">
              <w:rPr>
                <w:sz w:val="18"/>
                <w:szCs w:val="18"/>
              </w:rPr>
              <w:t>therapy</w:t>
            </w:r>
            <w:r w:rsidRPr="00695AC9">
              <w:rPr>
                <w:sz w:val="18"/>
                <w:szCs w:val="18"/>
              </w:rPr>
              <w:t>?</w:t>
            </w:r>
          </w:p>
        </w:tc>
        <w:tc>
          <w:tcPr>
            <w:tcW w:w="1491" w:type="dxa"/>
          </w:tcPr>
          <w:p w:rsidR="0010672E" w:rsidRPr="00695AC9" w:rsidRDefault="0010672E" w:rsidP="00AC6DF7">
            <w:pPr>
              <w:spacing w:line="180" w:lineRule="exact"/>
              <w:jc w:val="both"/>
              <w:rPr>
                <w:sz w:val="18"/>
                <w:szCs w:val="18"/>
              </w:rPr>
            </w:pPr>
            <w:r w:rsidRPr="00695AC9">
              <w:rPr>
                <w:sz w:val="18"/>
                <w:szCs w:val="18"/>
              </w:rPr>
              <w:t>Intermittent therapy</w:t>
            </w:r>
            <w:r w:rsidR="00AC6DF7" w:rsidRPr="00695AC9">
              <w:rPr>
                <w:sz w:val="18"/>
                <w:szCs w:val="18"/>
              </w:rPr>
              <w:t>?</w:t>
            </w:r>
          </w:p>
        </w:tc>
        <w:tc>
          <w:tcPr>
            <w:tcW w:w="1440" w:type="dxa"/>
          </w:tcPr>
          <w:p w:rsidR="0010672E" w:rsidRPr="00695AC9" w:rsidRDefault="0010672E" w:rsidP="00AC6DF7">
            <w:pPr>
              <w:spacing w:line="180" w:lineRule="exact"/>
              <w:jc w:val="both"/>
              <w:rPr>
                <w:sz w:val="18"/>
                <w:szCs w:val="18"/>
              </w:rPr>
            </w:pPr>
            <w:r w:rsidRPr="00695AC9">
              <w:rPr>
                <w:sz w:val="18"/>
                <w:szCs w:val="18"/>
              </w:rPr>
              <w:t>Intermittent therapy</w:t>
            </w:r>
            <w:r w:rsidR="00AC6DF7" w:rsidRPr="00695AC9">
              <w:rPr>
                <w:sz w:val="18"/>
                <w:szCs w:val="18"/>
              </w:rPr>
              <w:t>?</w:t>
            </w:r>
          </w:p>
        </w:tc>
      </w:tr>
      <w:tr w:rsidR="0010672E" w:rsidRPr="00695AC9" w:rsidTr="00AC6DF7">
        <w:trPr>
          <w:jc w:val="center"/>
        </w:trPr>
        <w:tc>
          <w:tcPr>
            <w:tcW w:w="2668" w:type="dxa"/>
            <w:gridSpan w:val="2"/>
            <w:shd w:val="clear" w:color="auto" w:fill="FFFFFF" w:themeFill="background1"/>
          </w:tcPr>
          <w:p w:rsidR="0010672E" w:rsidRPr="00695AC9" w:rsidRDefault="001C6C34" w:rsidP="00AC6DF7">
            <w:pPr>
              <w:spacing w:line="180" w:lineRule="exact"/>
              <w:jc w:val="both"/>
              <w:rPr>
                <w:sz w:val="18"/>
                <w:szCs w:val="18"/>
              </w:rPr>
            </w:pPr>
            <w:r w:rsidRPr="00695AC9">
              <w:rPr>
                <w:sz w:val="18"/>
                <w:szCs w:val="18"/>
              </w:rPr>
              <w:t xml:space="preserve">§4.97 </w:t>
            </w:r>
            <w:r w:rsidR="0010672E" w:rsidRPr="00695AC9">
              <w:rPr>
                <w:sz w:val="18"/>
                <w:szCs w:val="18"/>
              </w:rPr>
              <w:t>Rating</w:t>
            </w:r>
          </w:p>
        </w:tc>
        <w:tc>
          <w:tcPr>
            <w:tcW w:w="1479" w:type="dxa"/>
          </w:tcPr>
          <w:p w:rsidR="0010672E" w:rsidRPr="00695AC9" w:rsidRDefault="0010672E" w:rsidP="00AC6DF7">
            <w:pPr>
              <w:spacing w:line="180" w:lineRule="exact"/>
              <w:jc w:val="center"/>
              <w:rPr>
                <w:sz w:val="18"/>
                <w:szCs w:val="18"/>
              </w:rPr>
            </w:pPr>
            <w:r w:rsidRPr="00695AC9">
              <w:rPr>
                <w:sz w:val="18"/>
                <w:szCs w:val="18"/>
              </w:rPr>
              <w:t>30%</w:t>
            </w:r>
          </w:p>
        </w:tc>
        <w:tc>
          <w:tcPr>
            <w:tcW w:w="1491" w:type="dxa"/>
          </w:tcPr>
          <w:p w:rsidR="0010672E" w:rsidRPr="00695AC9" w:rsidRDefault="0010672E" w:rsidP="00AC6DF7">
            <w:pPr>
              <w:spacing w:line="180" w:lineRule="exact"/>
              <w:jc w:val="center"/>
              <w:rPr>
                <w:sz w:val="18"/>
                <w:szCs w:val="18"/>
              </w:rPr>
            </w:pPr>
            <w:r w:rsidRPr="00695AC9">
              <w:rPr>
                <w:sz w:val="18"/>
                <w:szCs w:val="18"/>
              </w:rPr>
              <w:t>10% v 30%</w:t>
            </w:r>
          </w:p>
        </w:tc>
        <w:tc>
          <w:tcPr>
            <w:tcW w:w="1440" w:type="dxa"/>
          </w:tcPr>
          <w:p w:rsidR="00AC6DF7" w:rsidRPr="00695AC9" w:rsidRDefault="0010672E" w:rsidP="00AC6DF7">
            <w:pPr>
              <w:spacing w:line="180" w:lineRule="exact"/>
              <w:jc w:val="center"/>
              <w:rPr>
                <w:sz w:val="18"/>
                <w:szCs w:val="18"/>
              </w:rPr>
            </w:pPr>
            <w:r w:rsidRPr="00695AC9">
              <w:rPr>
                <w:sz w:val="18"/>
                <w:szCs w:val="18"/>
              </w:rPr>
              <w:t>10% v 30%</w:t>
            </w:r>
            <w:r w:rsidR="00AC6DF7" w:rsidRPr="00695AC9">
              <w:rPr>
                <w:sz w:val="18"/>
                <w:szCs w:val="18"/>
              </w:rPr>
              <w:t xml:space="preserve"> </w:t>
            </w:r>
          </w:p>
          <w:p w:rsidR="0010672E" w:rsidRPr="00695AC9" w:rsidRDefault="00AC6DF7" w:rsidP="00AC6DF7">
            <w:pPr>
              <w:spacing w:line="180" w:lineRule="exact"/>
              <w:jc w:val="center"/>
              <w:rPr>
                <w:sz w:val="18"/>
                <w:szCs w:val="18"/>
              </w:rPr>
            </w:pPr>
            <w:r w:rsidRPr="00695AC9">
              <w:rPr>
                <w:sz w:val="18"/>
                <w:szCs w:val="18"/>
              </w:rPr>
              <w:t>(VA 30%)</w:t>
            </w:r>
          </w:p>
        </w:tc>
      </w:tr>
    </w:tbl>
    <w:p w:rsidR="0010672E" w:rsidRPr="00695AC9" w:rsidRDefault="0010672E" w:rsidP="0010672E">
      <w:pPr>
        <w:spacing w:after="0" w:line="240" w:lineRule="exact"/>
        <w:jc w:val="both"/>
        <w:rPr>
          <w:rFonts w:eastAsia="Times New Roman" w:cs="Times New Roman"/>
          <w:sz w:val="24"/>
          <w:szCs w:val="24"/>
        </w:rPr>
      </w:pPr>
    </w:p>
    <w:p w:rsidR="0010672E" w:rsidRPr="00695AC9" w:rsidRDefault="0010672E" w:rsidP="0010672E">
      <w:pPr>
        <w:tabs>
          <w:tab w:val="left" w:pos="288"/>
          <w:tab w:val="left" w:pos="4752"/>
        </w:tabs>
        <w:spacing w:after="0" w:line="240" w:lineRule="exact"/>
        <w:jc w:val="both"/>
        <w:rPr>
          <w:rFonts w:eastAsia="Times New Roman" w:cs="Times New Roman"/>
          <w:sz w:val="24"/>
          <w:szCs w:val="24"/>
        </w:rPr>
      </w:pPr>
      <w:r w:rsidRPr="00695AC9">
        <w:rPr>
          <w:rFonts w:eastAsia="Times New Roman" w:cs="Times New Roman"/>
          <w:sz w:val="24"/>
          <w:szCs w:val="24"/>
        </w:rPr>
        <w:t xml:space="preserve">Review of service treatment records including the MEB </w:t>
      </w:r>
      <w:r w:rsidR="001C1BDD">
        <w:rPr>
          <w:rFonts w:eastAsia="Times New Roman" w:cs="Times New Roman"/>
          <w:sz w:val="24"/>
          <w:szCs w:val="24"/>
        </w:rPr>
        <w:t>narrative summary (</w:t>
      </w:r>
      <w:r w:rsidRPr="00695AC9">
        <w:rPr>
          <w:rFonts w:eastAsia="Times New Roman" w:cs="Times New Roman"/>
          <w:sz w:val="24"/>
          <w:szCs w:val="24"/>
        </w:rPr>
        <w:t>NARSUM</w:t>
      </w:r>
      <w:r w:rsidR="001C1BDD">
        <w:rPr>
          <w:rFonts w:eastAsia="Times New Roman" w:cs="Times New Roman"/>
          <w:sz w:val="24"/>
          <w:szCs w:val="24"/>
        </w:rPr>
        <w:t>)</w:t>
      </w:r>
      <w:r w:rsidRPr="00695AC9">
        <w:rPr>
          <w:rFonts w:eastAsia="Times New Roman" w:cs="Times New Roman"/>
          <w:sz w:val="24"/>
          <w:szCs w:val="24"/>
        </w:rPr>
        <w:t xml:space="preserve"> showed no evidence of exacerbations or attacks of asthma that would warrant ratings of 100% or 60%.  The Board made </w:t>
      </w:r>
      <w:r w:rsidR="00AC6DF7" w:rsidRPr="00695AC9">
        <w:rPr>
          <w:rFonts w:eastAsia="Times New Roman" w:cs="Times New Roman"/>
          <w:sz w:val="24"/>
          <w:szCs w:val="24"/>
        </w:rPr>
        <w:t>note of treatment with medications including chronic low dose oral corti</w:t>
      </w:r>
      <w:r w:rsidR="00695AC9" w:rsidRPr="00695AC9">
        <w:rPr>
          <w:rFonts w:eastAsia="Times New Roman" w:cs="Times New Roman"/>
          <w:sz w:val="24"/>
          <w:szCs w:val="24"/>
        </w:rPr>
        <w:t xml:space="preserve">costeroids and oral </w:t>
      </w:r>
      <w:r w:rsidR="00AC6DF7" w:rsidRPr="00695AC9">
        <w:rPr>
          <w:rFonts w:eastAsia="Times New Roman" w:cs="Times New Roman"/>
          <w:sz w:val="24"/>
          <w:szCs w:val="24"/>
        </w:rPr>
        <w:t xml:space="preserve">asthma-type medications </w:t>
      </w:r>
      <w:r w:rsidR="00B03BFA">
        <w:rPr>
          <w:rFonts w:eastAsia="Times New Roman" w:cs="Times New Roman"/>
          <w:sz w:val="24"/>
          <w:szCs w:val="24"/>
        </w:rPr>
        <w:t xml:space="preserve">(including </w:t>
      </w:r>
      <w:proofErr w:type="spellStart"/>
      <w:r w:rsidR="001C1BDD">
        <w:rPr>
          <w:rFonts w:eastAsia="Times New Roman" w:cs="Times New Roman"/>
          <w:sz w:val="24"/>
          <w:szCs w:val="24"/>
        </w:rPr>
        <w:t>l</w:t>
      </w:r>
      <w:r w:rsidR="001C1BDD" w:rsidRPr="00695AC9">
        <w:rPr>
          <w:rFonts w:eastAsia="Times New Roman" w:cs="Times New Roman"/>
          <w:sz w:val="24"/>
          <w:szCs w:val="24"/>
        </w:rPr>
        <w:t>eukotriene-singulair</w:t>
      </w:r>
      <w:proofErr w:type="spellEnd"/>
      <w:r w:rsidR="00695AC9" w:rsidRPr="00695AC9">
        <w:rPr>
          <w:rFonts w:eastAsia="Times New Roman" w:cs="Times New Roman"/>
          <w:sz w:val="24"/>
          <w:szCs w:val="24"/>
        </w:rPr>
        <w:t xml:space="preserve">) </w:t>
      </w:r>
      <w:r w:rsidR="00AC6DF7" w:rsidRPr="00695AC9">
        <w:rPr>
          <w:rFonts w:eastAsia="Times New Roman" w:cs="Times New Roman"/>
          <w:sz w:val="24"/>
          <w:szCs w:val="24"/>
        </w:rPr>
        <w:t xml:space="preserve">that were prescribed for the CI’s chronic allergic rhinitis and sinusitis (rather than for his asthma), but that also treat the underlying airway reactivity of asthma.  </w:t>
      </w:r>
      <w:r w:rsidRPr="00695AC9">
        <w:rPr>
          <w:rFonts w:eastAsia="Times New Roman" w:cs="Times New Roman"/>
          <w:sz w:val="24"/>
          <w:szCs w:val="24"/>
        </w:rPr>
        <w:t xml:space="preserve">He was prescribed </w:t>
      </w:r>
      <w:r w:rsidR="00AC6DF7" w:rsidRPr="00695AC9">
        <w:rPr>
          <w:rFonts w:eastAsia="Times New Roman" w:cs="Times New Roman"/>
          <w:sz w:val="24"/>
          <w:szCs w:val="24"/>
        </w:rPr>
        <w:t xml:space="preserve">inhaled </w:t>
      </w:r>
      <w:r w:rsidRPr="00695AC9">
        <w:rPr>
          <w:rFonts w:eastAsia="Times New Roman" w:cs="Times New Roman"/>
          <w:sz w:val="24"/>
          <w:szCs w:val="24"/>
        </w:rPr>
        <w:t>bronchodilator therapy that the NARSUM indicated he used intermittently.  The FPEB rationale, a November 2002 allergy clinic appointment</w:t>
      </w:r>
      <w:r w:rsidR="001C6C34" w:rsidRPr="00695AC9">
        <w:rPr>
          <w:rFonts w:eastAsia="Times New Roman" w:cs="Times New Roman"/>
          <w:sz w:val="24"/>
          <w:szCs w:val="24"/>
        </w:rPr>
        <w:t>,</w:t>
      </w:r>
      <w:r w:rsidRPr="00695AC9">
        <w:rPr>
          <w:rFonts w:eastAsia="Times New Roman" w:cs="Times New Roman"/>
          <w:sz w:val="24"/>
          <w:szCs w:val="24"/>
        </w:rPr>
        <w:t xml:space="preserve"> and the </w:t>
      </w:r>
      <w:r w:rsidR="00AC6DF7" w:rsidRPr="00695AC9">
        <w:rPr>
          <w:rFonts w:eastAsia="Times New Roman" w:cs="Times New Roman"/>
          <w:sz w:val="24"/>
          <w:szCs w:val="24"/>
        </w:rPr>
        <w:t>post-</w:t>
      </w:r>
      <w:r w:rsidR="001C6C34" w:rsidRPr="00695AC9">
        <w:rPr>
          <w:rFonts w:eastAsia="Times New Roman" w:cs="Times New Roman"/>
          <w:sz w:val="24"/>
          <w:szCs w:val="24"/>
        </w:rPr>
        <w:t xml:space="preserve">separation </w:t>
      </w:r>
      <w:r w:rsidR="001C1BDD">
        <w:rPr>
          <w:rFonts w:eastAsia="Times New Roman" w:cs="Times New Roman"/>
          <w:sz w:val="24"/>
          <w:szCs w:val="24"/>
        </w:rPr>
        <w:t>compensation and pension (</w:t>
      </w:r>
      <w:r w:rsidRPr="00695AC9">
        <w:rPr>
          <w:rFonts w:eastAsia="Times New Roman" w:cs="Times New Roman"/>
          <w:sz w:val="24"/>
          <w:szCs w:val="24"/>
        </w:rPr>
        <w:t>C&amp;P</w:t>
      </w:r>
      <w:r w:rsidR="001C1BDD">
        <w:rPr>
          <w:rFonts w:eastAsia="Times New Roman" w:cs="Times New Roman"/>
          <w:sz w:val="24"/>
          <w:szCs w:val="24"/>
        </w:rPr>
        <w:t>)</w:t>
      </w:r>
      <w:r w:rsidRPr="00695AC9">
        <w:rPr>
          <w:rFonts w:eastAsia="Times New Roman" w:cs="Times New Roman"/>
          <w:sz w:val="24"/>
          <w:szCs w:val="24"/>
        </w:rPr>
        <w:t xml:space="preserve"> examination indicated rare</w:t>
      </w:r>
      <w:r w:rsidR="001C1BDD">
        <w:rPr>
          <w:rFonts w:eastAsia="Times New Roman" w:cs="Times New Roman"/>
          <w:sz w:val="24"/>
          <w:szCs w:val="24"/>
        </w:rPr>
        <w:t>,</w:t>
      </w:r>
      <w:r w:rsidRPr="00695AC9">
        <w:rPr>
          <w:rFonts w:eastAsia="Times New Roman" w:cs="Times New Roman"/>
          <w:sz w:val="24"/>
          <w:szCs w:val="24"/>
        </w:rPr>
        <w:t xml:space="preserve"> if any</w:t>
      </w:r>
      <w:r w:rsidR="001C1BDD">
        <w:rPr>
          <w:rFonts w:eastAsia="Times New Roman" w:cs="Times New Roman"/>
          <w:sz w:val="24"/>
          <w:szCs w:val="24"/>
        </w:rPr>
        <w:t>,</w:t>
      </w:r>
      <w:r w:rsidRPr="00695AC9">
        <w:rPr>
          <w:rFonts w:eastAsia="Times New Roman" w:cs="Times New Roman"/>
          <w:sz w:val="24"/>
          <w:szCs w:val="24"/>
        </w:rPr>
        <w:t xml:space="preserve"> use of the inhaled bronchodilator.</w:t>
      </w:r>
      <w:r w:rsidR="001C2B80" w:rsidRPr="00695AC9">
        <w:rPr>
          <w:rFonts w:eastAsia="Times New Roman" w:cs="Times New Roman"/>
          <w:sz w:val="24"/>
          <w:szCs w:val="24"/>
        </w:rPr>
        <w:t xml:space="preserve">  </w:t>
      </w:r>
      <w:r w:rsidRPr="00695AC9">
        <w:rPr>
          <w:rFonts w:eastAsia="Times New Roman" w:cs="Times New Roman"/>
          <w:sz w:val="24"/>
          <w:szCs w:val="24"/>
        </w:rPr>
        <w:t xml:space="preserve">The Board discussed the spirometry results outlined in the above chart showing some results that support a 30% rating (particularly the results </w:t>
      </w:r>
      <w:r w:rsidR="001C1BDD">
        <w:rPr>
          <w:rFonts w:eastAsia="Times New Roman" w:cs="Times New Roman"/>
          <w:sz w:val="24"/>
          <w:szCs w:val="24"/>
        </w:rPr>
        <w:t>six</w:t>
      </w:r>
      <w:r w:rsidRPr="00695AC9">
        <w:rPr>
          <w:rFonts w:eastAsia="Times New Roman" w:cs="Times New Roman"/>
          <w:sz w:val="24"/>
          <w:szCs w:val="24"/>
        </w:rPr>
        <w:t xml:space="preserve"> months before separation), while </w:t>
      </w:r>
      <w:r w:rsidR="001C2B80" w:rsidRPr="00695AC9">
        <w:rPr>
          <w:rFonts w:eastAsia="Times New Roman" w:cs="Times New Roman"/>
          <w:sz w:val="24"/>
          <w:szCs w:val="24"/>
        </w:rPr>
        <w:t>the post bronchodilator results</w:t>
      </w:r>
      <w:r w:rsidR="001C1BDD">
        <w:rPr>
          <w:rFonts w:eastAsia="Times New Roman" w:cs="Times New Roman"/>
          <w:sz w:val="24"/>
          <w:szCs w:val="24"/>
        </w:rPr>
        <w:t xml:space="preserve"> three</w:t>
      </w:r>
      <w:r w:rsidR="001C2B80" w:rsidRPr="00695AC9">
        <w:rPr>
          <w:rFonts w:eastAsia="Times New Roman" w:cs="Times New Roman"/>
          <w:sz w:val="24"/>
          <w:szCs w:val="24"/>
        </w:rPr>
        <w:t xml:space="preserve"> months before separation and </w:t>
      </w:r>
      <w:r w:rsidR="001C1BDD">
        <w:rPr>
          <w:rFonts w:eastAsia="Times New Roman" w:cs="Times New Roman"/>
          <w:sz w:val="24"/>
          <w:szCs w:val="24"/>
        </w:rPr>
        <w:t>nine</w:t>
      </w:r>
      <w:r w:rsidR="001C2B80" w:rsidRPr="00695AC9">
        <w:rPr>
          <w:rFonts w:eastAsia="Times New Roman" w:cs="Times New Roman"/>
          <w:sz w:val="24"/>
          <w:szCs w:val="24"/>
        </w:rPr>
        <w:t xml:space="preserve"> months after separation support </w:t>
      </w:r>
      <w:r w:rsidRPr="00695AC9">
        <w:rPr>
          <w:rFonts w:eastAsia="Times New Roman" w:cs="Times New Roman"/>
          <w:sz w:val="24"/>
          <w:szCs w:val="24"/>
        </w:rPr>
        <w:t xml:space="preserve">a </w:t>
      </w:r>
      <w:r w:rsidR="001C6C34" w:rsidRPr="00695AC9">
        <w:rPr>
          <w:rFonts w:eastAsia="Times New Roman" w:cs="Times New Roman"/>
          <w:sz w:val="24"/>
          <w:szCs w:val="24"/>
        </w:rPr>
        <w:t>1</w:t>
      </w:r>
      <w:r w:rsidR="001C2B80" w:rsidRPr="00695AC9">
        <w:rPr>
          <w:rFonts w:eastAsia="Times New Roman" w:cs="Times New Roman"/>
          <w:sz w:val="24"/>
          <w:szCs w:val="24"/>
        </w:rPr>
        <w:t xml:space="preserve">0% rating.  </w:t>
      </w:r>
      <w:r w:rsidRPr="00695AC9">
        <w:rPr>
          <w:rFonts w:eastAsia="Times New Roman" w:cs="Times New Roman"/>
          <w:sz w:val="24"/>
          <w:szCs w:val="24"/>
        </w:rPr>
        <w:t>The Board noted that</w:t>
      </w:r>
      <w:r w:rsidR="001C1BDD">
        <w:rPr>
          <w:rFonts w:eastAsia="Times New Roman" w:cs="Times New Roman"/>
          <w:sz w:val="24"/>
          <w:szCs w:val="24"/>
        </w:rPr>
        <w:t>,</w:t>
      </w:r>
      <w:r w:rsidRPr="00695AC9">
        <w:rPr>
          <w:rFonts w:eastAsia="Times New Roman" w:cs="Times New Roman"/>
          <w:sz w:val="24"/>
          <w:szCs w:val="24"/>
        </w:rPr>
        <w:t xml:space="preserve"> although nearly all the medications the CI was prescribed were for the chronic allergic rhinitis and sinusitis, these </w:t>
      </w:r>
      <w:r w:rsidR="001C6C34" w:rsidRPr="00695AC9">
        <w:rPr>
          <w:rFonts w:eastAsia="Times New Roman" w:cs="Times New Roman"/>
          <w:sz w:val="24"/>
          <w:szCs w:val="24"/>
        </w:rPr>
        <w:t xml:space="preserve">oral </w:t>
      </w:r>
      <w:r w:rsidRPr="00695AC9">
        <w:rPr>
          <w:rFonts w:eastAsia="Times New Roman" w:cs="Times New Roman"/>
          <w:sz w:val="24"/>
          <w:szCs w:val="24"/>
        </w:rPr>
        <w:t>medications also served to treat the asthma</w:t>
      </w:r>
      <w:r w:rsidR="00AC6DF7" w:rsidRPr="00695AC9">
        <w:rPr>
          <w:rFonts w:eastAsia="Times New Roman" w:cs="Times New Roman"/>
          <w:sz w:val="24"/>
          <w:szCs w:val="24"/>
        </w:rPr>
        <w:t xml:space="preserve"> condition</w:t>
      </w:r>
      <w:r w:rsidRPr="00695AC9">
        <w:rPr>
          <w:rFonts w:eastAsia="Times New Roman" w:cs="Times New Roman"/>
          <w:sz w:val="24"/>
          <w:szCs w:val="24"/>
        </w:rPr>
        <w:t>.  Absent these medications it was speculated that it was just as likely as not that the CI would require daily inhalational therapy, particularly based on his earlier spirometry results and reported symptoms.</w:t>
      </w:r>
      <w:r w:rsidR="00006351" w:rsidRPr="00695AC9">
        <w:rPr>
          <w:rFonts w:eastAsia="Times New Roman" w:cs="Times New Roman"/>
          <w:sz w:val="24"/>
          <w:szCs w:val="24"/>
        </w:rPr>
        <w:t xml:space="preserve"> </w:t>
      </w:r>
      <w:r w:rsidR="001C6C34" w:rsidRPr="00695AC9">
        <w:rPr>
          <w:rFonts w:eastAsia="Times New Roman" w:cs="Times New Roman"/>
          <w:sz w:val="24"/>
          <w:szCs w:val="24"/>
        </w:rPr>
        <w:t xml:space="preserve"> </w:t>
      </w:r>
      <w:r w:rsidRPr="00695AC9">
        <w:rPr>
          <w:rFonts w:eastAsia="Times New Roman" w:cs="Times New Roman"/>
          <w:sz w:val="24"/>
          <w:szCs w:val="24"/>
        </w:rPr>
        <w:t xml:space="preserve">This </w:t>
      </w:r>
      <w:r w:rsidR="004E4D2A" w:rsidRPr="00695AC9">
        <w:rPr>
          <w:rFonts w:eastAsia="Times New Roman" w:cs="Times New Roman"/>
          <w:sz w:val="24"/>
          <w:szCs w:val="24"/>
        </w:rPr>
        <w:t xml:space="preserve">aspect </w:t>
      </w:r>
      <w:r w:rsidRPr="00695AC9">
        <w:rPr>
          <w:rFonts w:eastAsia="Times New Roman" w:cs="Times New Roman"/>
          <w:sz w:val="24"/>
          <w:szCs w:val="24"/>
        </w:rPr>
        <w:t xml:space="preserve">of his condition combined with the spirometry results that favored the higher rating </w:t>
      </w:r>
      <w:r w:rsidR="00695AC9" w:rsidRPr="00695AC9">
        <w:rPr>
          <w:rFonts w:eastAsia="Times New Roman" w:cs="Times New Roman"/>
          <w:sz w:val="24"/>
          <w:szCs w:val="24"/>
        </w:rPr>
        <w:t xml:space="preserve">IAW VASRD §4.7 </w:t>
      </w:r>
      <w:r w:rsidRPr="00695AC9">
        <w:rPr>
          <w:rFonts w:eastAsia="Times New Roman" w:cs="Times New Roman"/>
          <w:sz w:val="24"/>
          <w:szCs w:val="24"/>
        </w:rPr>
        <w:t xml:space="preserve">was discussed.  All evidence considered, and mindful of VASRD §4.3 (reasonable doubt), the </w:t>
      </w:r>
      <w:r w:rsidR="006E70E9" w:rsidRPr="00695AC9">
        <w:rPr>
          <w:rFonts w:eastAsia="Times New Roman" w:cs="Times New Roman"/>
          <w:sz w:val="24"/>
          <w:szCs w:val="24"/>
        </w:rPr>
        <w:t xml:space="preserve">majority of the </w:t>
      </w:r>
      <w:r w:rsidRPr="00695AC9">
        <w:rPr>
          <w:rFonts w:eastAsia="Times New Roman" w:cs="Times New Roman"/>
          <w:sz w:val="24"/>
          <w:szCs w:val="24"/>
        </w:rPr>
        <w:t xml:space="preserve">Board recommends a disability rating of 30% as the fair permanent separation rating for asthma (6602) in this case. </w:t>
      </w:r>
    </w:p>
    <w:p w:rsidR="008E7D70" w:rsidRPr="00695AC9" w:rsidRDefault="008E7D70" w:rsidP="0010672E">
      <w:pPr>
        <w:tabs>
          <w:tab w:val="left" w:pos="288"/>
          <w:tab w:val="left" w:pos="4752"/>
        </w:tabs>
        <w:spacing w:after="0" w:line="240" w:lineRule="exact"/>
        <w:jc w:val="both"/>
        <w:rPr>
          <w:rFonts w:eastAsia="Times New Roman" w:cs="Times New Roman"/>
          <w:sz w:val="24"/>
          <w:szCs w:val="24"/>
        </w:rPr>
      </w:pPr>
    </w:p>
    <w:p w:rsidR="00006351" w:rsidRPr="00695AC9" w:rsidRDefault="0010672E" w:rsidP="0010672E">
      <w:pPr>
        <w:spacing w:after="0" w:line="240" w:lineRule="exact"/>
        <w:jc w:val="both"/>
        <w:rPr>
          <w:rFonts w:eastAsia="Times New Roman" w:cs="Times New Roman"/>
          <w:sz w:val="24"/>
          <w:szCs w:val="24"/>
        </w:rPr>
      </w:pPr>
      <w:proofErr w:type="gramStart"/>
      <w:r w:rsidRPr="00695AC9">
        <w:rPr>
          <w:rFonts w:eastAsia="Times New Roman" w:cs="Times New Roman"/>
          <w:sz w:val="24"/>
          <w:szCs w:val="24"/>
          <w:u w:val="single"/>
        </w:rPr>
        <w:t>Contended Allergic Rhinitis with Chronic Sinusitis</w:t>
      </w:r>
      <w:r w:rsidR="001C1BDD">
        <w:rPr>
          <w:rFonts w:eastAsia="Times New Roman" w:cs="Times New Roman"/>
          <w:sz w:val="24"/>
          <w:szCs w:val="24"/>
          <w:u w:val="single"/>
        </w:rPr>
        <w:t>.</w:t>
      </w:r>
      <w:proofErr w:type="gramEnd"/>
      <w:r w:rsidRPr="00695AC9">
        <w:rPr>
          <w:rFonts w:eastAsia="Times New Roman" w:cs="Times New Roman"/>
          <w:sz w:val="24"/>
          <w:szCs w:val="24"/>
        </w:rPr>
        <w:t xml:space="preserve">  CI had </w:t>
      </w:r>
      <w:r w:rsidR="00866000" w:rsidRPr="00695AC9">
        <w:rPr>
          <w:rFonts w:eastAsia="Times New Roman" w:cs="Times New Roman"/>
          <w:sz w:val="24"/>
          <w:szCs w:val="24"/>
        </w:rPr>
        <w:t xml:space="preserve">a long history of chronic allergic rhinitis and sinusitis.  In the fall of 2000 he developed </w:t>
      </w:r>
      <w:r w:rsidRPr="00695AC9">
        <w:rPr>
          <w:rFonts w:eastAsia="Times New Roman" w:cs="Times New Roman"/>
          <w:sz w:val="24"/>
          <w:szCs w:val="24"/>
        </w:rPr>
        <w:t>a</w:t>
      </w:r>
      <w:r w:rsidRPr="00695AC9">
        <w:rPr>
          <w:rFonts w:eastAsia="HiddenHorzOCR" w:cs="Times New Roman"/>
          <w:sz w:val="24"/>
          <w:szCs w:val="24"/>
        </w:rPr>
        <w:t>llergic fungal sinusitis complicated by erosive fungal sinusitis</w:t>
      </w:r>
      <w:r w:rsidR="008E7D70" w:rsidRPr="00695AC9">
        <w:rPr>
          <w:rFonts w:eastAsia="HiddenHorzOCR" w:cs="Times New Roman"/>
          <w:sz w:val="24"/>
          <w:szCs w:val="24"/>
        </w:rPr>
        <w:t xml:space="preserve"> requiring surgery in November 2000</w:t>
      </w:r>
      <w:r w:rsidR="004E4D2A" w:rsidRPr="00695AC9">
        <w:rPr>
          <w:rFonts w:eastAsia="HiddenHorzOCR" w:cs="Times New Roman"/>
          <w:sz w:val="24"/>
          <w:szCs w:val="24"/>
        </w:rPr>
        <w:t>.</w:t>
      </w:r>
      <w:r w:rsidR="00006351" w:rsidRPr="00695AC9">
        <w:rPr>
          <w:rFonts w:eastAsia="HiddenHorzOCR" w:cs="Times New Roman"/>
          <w:sz w:val="24"/>
          <w:szCs w:val="24"/>
        </w:rPr>
        <w:t xml:space="preserve">  </w:t>
      </w:r>
      <w:r w:rsidRPr="00695AC9">
        <w:rPr>
          <w:rFonts w:eastAsia="HiddenHorzOCR" w:cs="Times New Roman"/>
          <w:sz w:val="24"/>
          <w:szCs w:val="24"/>
        </w:rPr>
        <w:t>Following recovery from surgery, the CI underwent an MEB for the condition and was returned to</w:t>
      </w:r>
      <w:r w:rsidR="008E7D70" w:rsidRPr="00695AC9">
        <w:rPr>
          <w:rFonts w:eastAsia="HiddenHorzOCR" w:cs="Times New Roman"/>
          <w:sz w:val="24"/>
          <w:szCs w:val="24"/>
        </w:rPr>
        <w:t xml:space="preserve"> full unrestricted </w:t>
      </w:r>
      <w:r w:rsidRPr="00695AC9">
        <w:rPr>
          <w:rFonts w:eastAsia="HiddenHorzOCR" w:cs="Times New Roman"/>
          <w:sz w:val="24"/>
          <w:szCs w:val="24"/>
        </w:rPr>
        <w:t>duty by the IPEB in February 2001.  Evidence of the military treatment record shows ongoing treatment for his sinus condition but no interference with performance of his military duties</w:t>
      </w:r>
      <w:r w:rsidR="00866000" w:rsidRPr="00695AC9">
        <w:rPr>
          <w:rFonts w:eastAsia="HiddenHorzOCR" w:cs="Times New Roman"/>
          <w:sz w:val="24"/>
          <w:szCs w:val="24"/>
        </w:rPr>
        <w:t xml:space="preserve"> (CI’s enlisted performance report closing March 2002 reflected superior duty performance)</w:t>
      </w:r>
      <w:r w:rsidRPr="00695AC9">
        <w:rPr>
          <w:rFonts w:eastAsia="HiddenHorzOCR" w:cs="Times New Roman"/>
          <w:sz w:val="24"/>
          <w:szCs w:val="24"/>
        </w:rPr>
        <w:t>.</w:t>
      </w:r>
      <w:r w:rsidR="006E70E9" w:rsidRPr="00695AC9">
        <w:rPr>
          <w:rFonts w:eastAsia="HiddenHorzOCR" w:cs="Times New Roman"/>
          <w:sz w:val="24"/>
          <w:szCs w:val="24"/>
        </w:rPr>
        <w:t xml:space="preserve">  </w:t>
      </w:r>
      <w:r w:rsidR="008E7D70" w:rsidRPr="00695AC9">
        <w:rPr>
          <w:rFonts w:eastAsia="HiddenHorzOCR" w:cs="Times New Roman"/>
          <w:sz w:val="24"/>
          <w:szCs w:val="24"/>
        </w:rPr>
        <w:t xml:space="preserve">Around the </w:t>
      </w:r>
      <w:r w:rsidRPr="00695AC9">
        <w:rPr>
          <w:rFonts w:eastAsia="HiddenHorzOCR" w:cs="Times New Roman"/>
          <w:sz w:val="24"/>
          <w:szCs w:val="24"/>
        </w:rPr>
        <w:t>time of the initiation of the MEB</w:t>
      </w:r>
      <w:r w:rsidR="008E7D70" w:rsidRPr="00695AC9">
        <w:rPr>
          <w:rFonts w:eastAsia="HiddenHorzOCR" w:cs="Times New Roman"/>
          <w:sz w:val="24"/>
          <w:szCs w:val="24"/>
        </w:rPr>
        <w:t xml:space="preserve"> for asthma</w:t>
      </w:r>
      <w:r w:rsidRPr="00695AC9">
        <w:rPr>
          <w:rFonts w:eastAsia="HiddenHorzOCR" w:cs="Times New Roman"/>
          <w:sz w:val="24"/>
          <w:szCs w:val="24"/>
        </w:rPr>
        <w:t>, the CI was evaluated by otolaryngology, June 2002.  The CI reported chronic symptoms</w:t>
      </w:r>
      <w:r w:rsidR="00F14CF9" w:rsidRPr="00695AC9">
        <w:rPr>
          <w:rFonts w:eastAsia="HiddenHorzOCR" w:cs="Times New Roman"/>
          <w:sz w:val="24"/>
          <w:szCs w:val="24"/>
        </w:rPr>
        <w:t>,</w:t>
      </w:r>
      <w:r w:rsidR="00866000" w:rsidRPr="00695AC9">
        <w:rPr>
          <w:rFonts w:eastAsia="HiddenHorzOCR" w:cs="Times New Roman"/>
          <w:sz w:val="24"/>
          <w:szCs w:val="24"/>
        </w:rPr>
        <w:t xml:space="preserve"> and a</w:t>
      </w:r>
      <w:r w:rsidRPr="00695AC9">
        <w:rPr>
          <w:rFonts w:eastAsia="HiddenHorzOCR" w:cs="Times New Roman"/>
          <w:sz w:val="24"/>
          <w:szCs w:val="24"/>
        </w:rPr>
        <w:t xml:space="preserve"> </w:t>
      </w:r>
      <w:r w:rsidR="001C1BDD">
        <w:rPr>
          <w:rFonts w:eastAsia="HiddenHorzOCR" w:cs="Times New Roman"/>
          <w:sz w:val="24"/>
          <w:szCs w:val="24"/>
        </w:rPr>
        <w:t>computed tomography (</w:t>
      </w:r>
      <w:r w:rsidRPr="00695AC9">
        <w:rPr>
          <w:rFonts w:eastAsia="HiddenHorzOCR" w:cs="Times New Roman"/>
          <w:sz w:val="24"/>
          <w:szCs w:val="24"/>
        </w:rPr>
        <w:t>CT</w:t>
      </w:r>
      <w:r w:rsidR="001C1BDD">
        <w:rPr>
          <w:rFonts w:eastAsia="HiddenHorzOCR" w:cs="Times New Roman"/>
          <w:sz w:val="24"/>
          <w:szCs w:val="24"/>
        </w:rPr>
        <w:t>)</w:t>
      </w:r>
      <w:r w:rsidRPr="00695AC9">
        <w:rPr>
          <w:rFonts w:eastAsia="HiddenHorzOCR" w:cs="Times New Roman"/>
          <w:sz w:val="24"/>
          <w:szCs w:val="24"/>
        </w:rPr>
        <w:t xml:space="preserve"> scan</w:t>
      </w:r>
      <w:r w:rsidR="001C1BDD">
        <w:rPr>
          <w:rFonts w:eastAsia="HiddenHorzOCR" w:cs="Times New Roman"/>
          <w:sz w:val="24"/>
          <w:szCs w:val="24"/>
        </w:rPr>
        <w:t xml:space="preserve"> in </w:t>
      </w:r>
      <w:r w:rsidR="00866000" w:rsidRPr="00695AC9">
        <w:rPr>
          <w:rFonts w:eastAsia="HiddenHorzOCR" w:cs="Times New Roman"/>
          <w:sz w:val="24"/>
          <w:szCs w:val="24"/>
        </w:rPr>
        <w:t xml:space="preserve">June 2002 </w:t>
      </w:r>
      <w:r w:rsidRPr="00695AC9">
        <w:rPr>
          <w:rFonts w:eastAsia="HiddenHorzOCR" w:cs="Times New Roman"/>
          <w:sz w:val="24"/>
          <w:szCs w:val="24"/>
        </w:rPr>
        <w:t xml:space="preserve">of the </w:t>
      </w:r>
      <w:r w:rsidRPr="00695AC9">
        <w:rPr>
          <w:rFonts w:eastAsia="HiddenHorzOCR" w:cs="Times New Roman"/>
          <w:sz w:val="24"/>
          <w:szCs w:val="24"/>
        </w:rPr>
        <w:lastRenderedPageBreak/>
        <w:t xml:space="preserve">sinuses was recorded as </w:t>
      </w:r>
      <w:r w:rsidR="008E7D70" w:rsidRPr="00695AC9">
        <w:rPr>
          <w:rFonts w:eastAsia="HiddenHorzOCR" w:cs="Times New Roman"/>
          <w:sz w:val="24"/>
          <w:szCs w:val="24"/>
        </w:rPr>
        <w:t xml:space="preserve">showing </w:t>
      </w:r>
      <w:r w:rsidRPr="00695AC9">
        <w:rPr>
          <w:rFonts w:eastAsia="HiddenHorzOCR" w:cs="Times New Roman"/>
          <w:sz w:val="24"/>
          <w:szCs w:val="24"/>
        </w:rPr>
        <w:t xml:space="preserve">all sinuses clear except for slight mucosal thickening of </w:t>
      </w:r>
      <w:r w:rsidR="004E4D2A" w:rsidRPr="00695AC9">
        <w:rPr>
          <w:rFonts w:eastAsia="HiddenHorzOCR" w:cs="Times New Roman"/>
          <w:sz w:val="24"/>
          <w:szCs w:val="24"/>
        </w:rPr>
        <w:t xml:space="preserve">the </w:t>
      </w:r>
      <w:r w:rsidRPr="00695AC9">
        <w:rPr>
          <w:rFonts w:eastAsia="HiddenHorzOCR" w:cs="Times New Roman"/>
          <w:sz w:val="24"/>
          <w:szCs w:val="24"/>
        </w:rPr>
        <w:t xml:space="preserve">left ethmoid sinus.  The </w:t>
      </w:r>
      <w:r w:rsidR="001C1BDD">
        <w:rPr>
          <w:rFonts w:eastAsia="HiddenHorzOCR" w:cs="Times New Roman"/>
          <w:sz w:val="24"/>
          <w:szCs w:val="24"/>
        </w:rPr>
        <w:t xml:space="preserve">8 </w:t>
      </w:r>
      <w:r w:rsidRPr="00695AC9">
        <w:rPr>
          <w:rFonts w:eastAsia="HiddenHorzOCR" w:cs="Times New Roman"/>
          <w:sz w:val="24"/>
          <w:szCs w:val="24"/>
        </w:rPr>
        <w:t>November</w:t>
      </w:r>
      <w:r w:rsidR="00866000" w:rsidRPr="00695AC9">
        <w:rPr>
          <w:rFonts w:eastAsia="HiddenHorzOCR" w:cs="Times New Roman"/>
          <w:sz w:val="24"/>
          <w:szCs w:val="24"/>
        </w:rPr>
        <w:t xml:space="preserve"> </w:t>
      </w:r>
      <w:r w:rsidRPr="00695AC9">
        <w:rPr>
          <w:rFonts w:eastAsia="HiddenHorzOCR" w:cs="Times New Roman"/>
          <w:sz w:val="24"/>
          <w:szCs w:val="24"/>
        </w:rPr>
        <w:t xml:space="preserve">2002 allergy clinic note also documented ongoing chronic symptoms that were “fairly well controlled” with treatment.  </w:t>
      </w:r>
      <w:r w:rsidR="00297863" w:rsidRPr="00695AC9">
        <w:rPr>
          <w:rFonts w:eastAsia="HiddenHorzOCR" w:cs="Times New Roman"/>
          <w:sz w:val="24"/>
          <w:szCs w:val="24"/>
        </w:rPr>
        <w:t xml:space="preserve">A repeat CT scan </w:t>
      </w:r>
      <w:r w:rsidR="001C1BDD">
        <w:rPr>
          <w:rFonts w:eastAsia="HiddenHorzOCR" w:cs="Times New Roman"/>
          <w:sz w:val="24"/>
          <w:szCs w:val="24"/>
        </w:rPr>
        <w:t xml:space="preserve">in </w:t>
      </w:r>
      <w:r w:rsidR="00297863" w:rsidRPr="00695AC9">
        <w:rPr>
          <w:rFonts w:eastAsia="HiddenHorzOCR" w:cs="Times New Roman"/>
          <w:sz w:val="24"/>
          <w:szCs w:val="24"/>
        </w:rPr>
        <w:t>November 2002 compared to a prior CT in December 2001 demonstrated s</w:t>
      </w:r>
      <w:r w:rsidR="00297863" w:rsidRPr="00695AC9">
        <w:rPr>
          <w:rFonts w:eastAsia="Times New Roman" w:cs="Times New Roman"/>
          <w:sz w:val="24"/>
          <w:szCs w:val="24"/>
        </w:rPr>
        <w:t>table post</w:t>
      </w:r>
      <w:r w:rsidR="001C1BDD">
        <w:rPr>
          <w:rFonts w:eastAsia="Times New Roman" w:cs="Times New Roman"/>
          <w:sz w:val="24"/>
          <w:szCs w:val="24"/>
        </w:rPr>
        <w:t>-</w:t>
      </w:r>
      <w:r w:rsidR="00297863" w:rsidRPr="00695AC9">
        <w:rPr>
          <w:rFonts w:eastAsia="Times New Roman" w:cs="Times New Roman"/>
          <w:sz w:val="24"/>
          <w:szCs w:val="24"/>
        </w:rPr>
        <w:t>operative changes</w:t>
      </w:r>
      <w:r w:rsidR="001C1BDD">
        <w:rPr>
          <w:rFonts w:eastAsia="Times New Roman" w:cs="Times New Roman"/>
          <w:sz w:val="24"/>
          <w:szCs w:val="24"/>
        </w:rPr>
        <w:t>,</w:t>
      </w:r>
      <w:r w:rsidR="00297863" w:rsidRPr="00695AC9">
        <w:rPr>
          <w:rFonts w:eastAsia="Times New Roman" w:cs="Times New Roman"/>
          <w:sz w:val="24"/>
          <w:szCs w:val="24"/>
        </w:rPr>
        <w:t xml:space="preserve"> with the majority of sinuses remaining aerated (indicating functional drainage and absence of blockage; the right maxillary sinus was improved).  There was new increased soft tissue thickening in region of right osteomeatal unit, later shown to be due recurrent growth </w:t>
      </w:r>
      <w:r w:rsidR="00866000" w:rsidRPr="00695AC9">
        <w:rPr>
          <w:rFonts w:eastAsia="Times New Roman" w:cs="Times New Roman"/>
          <w:sz w:val="24"/>
          <w:szCs w:val="24"/>
        </w:rPr>
        <w:t xml:space="preserve">of </w:t>
      </w:r>
      <w:r w:rsidR="00297863" w:rsidRPr="00695AC9">
        <w:rPr>
          <w:rFonts w:eastAsia="Times New Roman" w:cs="Times New Roman"/>
          <w:sz w:val="24"/>
          <w:szCs w:val="24"/>
        </w:rPr>
        <w:t>polyps which were surgically removed two months after separation.</w:t>
      </w:r>
      <w:r w:rsidR="006E70E9" w:rsidRPr="00695AC9">
        <w:rPr>
          <w:rFonts w:eastAsia="Times New Roman" w:cs="Times New Roman"/>
          <w:sz w:val="24"/>
          <w:szCs w:val="24"/>
        </w:rPr>
        <w:t xml:space="preserve">  In the few months prior to separation, the CI </w:t>
      </w:r>
      <w:r w:rsidR="002316CD" w:rsidRPr="00695AC9">
        <w:rPr>
          <w:rFonts w:eastAsia="Times New Roman" w:cs="Times New Roman"/>
          <w:sz w:val="24"/>
          <w:szCs w:val="24"/>
        </w:rPr>
        <w:t>requir</w:t>
      </w:r>
      <w:r w:rsidR="006E70E9" w:rsidRPr="00695AC9">
        <w:rPr>
          <w:rFonts w:eastAsia="Times New Roman" w:cs="Times New Roman"/>
          <w:sz w:val="24"/>
          <w:szCs w:val="24"/>
        </w:rPr>
        <w:t>ed</w:t>
      </w:r>
      <w:r w:rsidR="002316CD" w:rsidRPr="00695AC9">
        <w:rPr>
          <w:rFonts w:eastAsia="Times New Roman" w:cs="Times New Roman"/>
          <w:sz w:val="24"/>
          <w:szCs w:val="24"/>
        </w:rPr>
        <w:t xml:space="preserve"> treatment with antibiotics and follow up consultation with allergy and otolaryngology.</w:t>
      </w:r>
      <w:r w:rsidR="008E7D70" w:rsidRPr="00695AC9">
        <w:rPr>
          <w:rFonts w:eastAsia="Times New Roman" w:cs="Times New Roman"/>
          <w:sz w:val="24"/>
          <w:szCs w:val="24"/>
        </w:rPr>
        <w:t xml:space="preserve">  He was placed on quarters for 24 hours on </w:t>
      </w:r>
      <w:r w:rsidR="001C1BDD">
        <w:rPr>
          <w:rFonts w:eastAsia="Times New Roman" w:cs="Times New Roman"/>
          <w:sz w:val="24"/>
          <w:szCs w:val="24"/>
        </w:rPr>
        <w:t xml:space="preserve">18 </w:t>
      </w:r>
      <w:r w:rsidR="008E7D70" w:rsidRPr="00695AC9">
        <w:rPr>
          <w:rFonts w:eastAsia="Times New Roman" w:cs="Times New Roman"/>
          <w:sz w:val="24"/>
          <w:szCs w:val="24"/>
        </w:rPr>
        <w:t xml:space="preserve">September 2002.  A follow up clinic note </w:t>
      </w:r>
      <w:r w:rsidR="001C1BDD">
        <w:rPr>
          <w:rFonts w:eastAsia="Times New Roman" w:cs="Times New Roman"/>
          <w:sz w:val="24"/>
          <w:szCs w:val="24"/>
        </w:rPr>
        <w:t xml:space="preserve">on 27 </w:t>
      </w:r>
      <w:r w:rsidR="008E7D70" w:rsidRPr="00695AC9">
        <w:rPr>
          <w:rFonts w:eastAsia="Times New Roman" w:cs="Times New Roman"/>
          <w:sz w:val="24"/>
          <w:szCs w:val="24"/>
        </w:rPr>
        <w:t>September 2002 recorded he was feeling better.  He was placed on 72</w:t>
      </w:r>
      <w:r w:rsidR="001C1BDD">
        <w:rPr>
          <w:rFonts w:eastAsia="Times New Roman" w:cs="Times New Roman"/>
          <w:sz w:val="24"/>
          <w:szCs w:val="24"/>
        </w:rPr>
        <w:t>-</w:t>
      </w:r>
      <w:r w:rsidR="008E7D70" w:rsidRPr="00695AC9">
        <w:rPr>
          <w:rFonts w:eastAsia="Times New Roman" w:cs="Times New Roman"/>
          <w:sz w:val="24"/>
          <w:szCs w:val="24"/>
        </w:rPr>
        <w:t xml:space="preserve">hours quarters for increased symptoms </w:t>
      </w:r>
      <w:r w:rsidR="001C1BDD">
        <w:rPr>
          <w:rFonts w:eastAsia="Times New Roman" w:cs="Times New Roman"/>
          <w:sz w:val="24"/>
          <w:szCs w:val="24"/>
        </w:rPr>
        <w:t xml:space="preserve">on 3 </w:t>
      </w:r>
      <w:r w:rsidR="008E7D70" w:rsidRPr="00695AC9">
        <w:rPr>
          <w:rFonts w:eastAsia="Times New Roman" w:cs="Times New Roman"/>
          <w:sz w:val="24"/>
          <w:szCs w:val="24"/>
        </w:rPr>
        <w:t>January 2003</w:t>
      </w:r>
      <w:r w:rsidR="001C1BDD">
        <w:rPr>
          <w:rFonts w:eastAsia="Times New Roman" w:cs="Times New Roman"/>
          <w:sz w:val="24"/>
          <w:szCs w:val="24"/>
        </w:rPr>
        <w:t>,</w:t>
      </w:r>
      <w:r w:rsidR="006E70E9" w:rsidRPr="00695AC9">
        <w:rPr>
          <w:rFonts w:eastAsia="Times New Roman" w:cs="Times New Roman"/>
          <w:sz w:val="24"/>
          <w:szCs w:val="24"/>
        </w:rPr>
        <w:t xml:space="preserve"> and a</w:t>
      </w:r>
      <w:r w:rsidR="008E7D70" w:rsidRPr="00695AC9">
        <w:rPr>
          <w:rFonts w:eastAsia="Times New Roman" w:cs="Times New Roman"/>
          <w:sz w:val="24"/>
          <w:szCs w:val="24"/>
        </w:rPr>
        <w:t xml:space="preserve">n </w:t>
      </w:r>
      <w:r w:rsidR="001C1BDD">
        <w:rPr>
          <w:rFonts w:eastAsia="Times New Roman" w:cs="Times New Roman"/>
          <w:sz w:val="24"/>
          <w:szCs w:val="24"/>
        </w:rPr>
        <w:t>Ear Nose Throat (ENT)</w:t>
      </w:r>
      <w:r w:rsidR="008E7D70" w:rsidRPr="00695AC9">
        <w:rPr>
          <w:rFonts w:eastAsia="Times New Roman" w:cs="Times New Roman"/>
          <w:sz w:val="24"/>
          <w:szCs w:val="24"/>
        </w:rPr>
        <w:t xml:space="preserve"> follow up indicated a possible requirement for additional surgery.  The CI was seen two more times for sinus pain of </w:t>
      </w:r>
      <w:r w:rsidR="00F14CF9" w:rsidRPr="00695AC9">
        <w:rPr>
          <w:rFonts w:eastAsia="Times New Roman" w:cs="Times New Roman"/>
          <w:sz w:val="24"/>
          <w:szCs w:val="24"/>
        </w:rPr>
        <w:t xml:space="preserve">one </w:t>
      </w:r>
      <w:r w:rsidR="008E7D70" w:rsidRPr="00695AC9">
        <w:rPr>
          <w:rFonts w:eastAsia="Times New Roman" w:cs="Times New Roman"/>
          <w:sz w:val="24"/>
          <w:szCs w:val="24"/>
        </w:rPr>
        <w:t>day</w:t>
      </w:r>
      <w:r w:rsidR="004E4D2A" w:rsidRPr="00695AC9">
        <w:rPr>
          <w:rFonts w:eastAsia="Times New Roman" w:cs="Times New Roman"/>
          <w:sz w:val="24"/>
          <w:szCs w:val="24"/>
        </w:rPr>
        <w:t xml:space="preserve"> in </w:t>
      </w:r>
      <w:r w:rsidR="008E7D70" w:rsidRPr="00695AC9">
        <w:rPr>
          <w:rFonts w:eastAsia="Times New Roman" w:cs="Times New Roman"/>
          <w:sz w:val="24"/>
          <w:szCs w:val="24"/>
        </w:rPr>
        <w:t xml:space="preserve">duration prior to separation.  </w:t>
      </w:r>
      <w:r w:rsidR="006E70E9" w:rsidRPr="00695AC9">
        <w:rPr>
          <w:rFonts w:eastAsia="Times New Roman" w:cs="Times New Roman"/>
          <w:sz w:val="24"/>
          <w:szCs w:val="24"/>
        </w:rPr>
        <w:t xml:space="preserve">Two weeks after separation, the CI had an </w:t>
      </w:r>
      <w:r w:rsidR="008E7D70" w:rsidRPr="00695AC9">
        <w:rPr>
          <w:rFonts w:eastAsia="Times New Roman" w:cs="Times New Roman"/>
          <w:sz w:val="24"/>
          <w:szCs w:val="24"/>
        </w:rPr>
        <w:t>appointment with his family physician</w:t>
      </w:r>
      <w:r w:rsidR="006E70E9" w:rsidRPr="00695AC9">
        <w:rPr>
          <w:rFonts w:eastAsia="Times New Roman" w:cs="Times New Roman"/>
          <w:sz w:val="24"/>
          <w:szCs w:val="24"/>
        </w:rPr>
        <w:t xml:space="preserve">, at which time </w:t>
      </w:r>
      <w:r w:rsidR="008E7D70" w:rsidRPr="00695AC9">
        <w:rPr>
          <w:rFonts w:eastAsia="Times New Roman" w:cs="Times New Roman"/>
          <w:sz w:val="24"/>
          <w:szCs w:val="24"/>
        </w:rPr>
        <w:t xml:space="preserve">the CI was in no acute distress and reported on and off </w:t>
      </w:r>
      <w:r w:rsidR="004E4D2A" w:rsidRPr="00695AC9">
        <w:rPr>
          <w:rFonts w:eastAsia="Times New Roman" w:cs="Times New Roman"/>
          <w:sz w:val="24"/>
          <w:szCs w:val="24"/>
        </w:rPr>
        <w:t xml:space="preserve">sinus </w:t>
      </w:r>
      <w:r w:rsidR="008E7D70" w:rsidRPr="00695AC9">
        <w:rPr>
          <w:rFonts w:eastAsia="Times New Roman" w:cs="Times New Roman"/>
          <w:sz w:val="24"/>
          <w:szCs w:val="24"/>
        </w:rPr>
        <w:t>symptoms.  Two months after separation, he underwent sinus surgery to remove the polyps blocking the right sinus.  Although the CI’s chronic sinus condition worsened in the months prior to separation due to re</w:t>
      </w:r>
      <w:r w:rsidR="00CF5242" w:rsidRPr="00695AC9">
        <w:rPr>
          <w:rFonts w:eastAsia="Times New Roman" w:cs="Times New Roman"/>
          <w:sz w:val="24"/>
          <w:szCs w:val="24"/>
        </w:rPr>
        <w:t>-</w:t>
      </w:r>
      <w:r w:rsidR="008E7D70" w:rsidRPr="00695AC9">
        <w:rPr>
          <w:rFonts w:eastAsia="Times New Roman" w:cs="Times New Roman"/>
          <w:sz w:val="24"/>
          <w:szCs w:val="24"/>
        </w:rPr>
        <w:t xml:space="preserve">growth of polyps, and resulting in placement on quarters on two occasions, the condition </w:t>
      </w:r>
      <w:r w:rsidR="00853933" w:rsidRPr="00695AC9">
        <w:rPr>
          <w:rFonts w:eastAsia="Times New Roman" w:cs="Times New Roman"/>
          <w:sz w:val="24"/>
          <w:szCs w:val="24"/>
        </w:rPr>
        <w:t xml:space="preserve">was not </w:t>
      </w:r>
      <w:r w:rsidR="008E7D70" w:rsidRPr="00695AC9">
        <w:rPr>
          <w:rFonts w:eastAsia="Times New Roman" w:cs="Times New Roman"/>
          <w:sz w:val="24"/>
          <w:szCs w:val="24"/>
        </w:rPr>
        <w:t xml:space="preserve">otherwise </w:t>
      </w:r>
      <w:r w:rsidR="00853933" w:rsidRPr="00695AC9">
        <w:rPr>
          <w:rFonts w:eastAsia="Times New Roman" w:cs="Times New Roman"/>
          <w:sz w:val="24"/>
          <w:szCs w:val="24"/>
        </w:rPr>
        <w:t>cited as interfering with performance of duties.  At the time of the FPEB, the CI contended for return to duty</w:t>
      </w:r>
      <w:r w:rsidR="00A97EAF" w:rsidRPr="00695AC9">
        <w:rPr>
          <w:rFonts w:eastAsia="Times New Roman" w:cs="Times New Roman"/>
          <w:sz w:val="24"/>
          <w:szCs w:val="24"/>
        </w:rPr>
        <w:t>, and testified he had not missed work and was without limitations.  T</w:t>
      </w:r>
      <w:r w:rsidR="00853933" w:rsidRPr="00695AC9">
        <w:rPr>
          <w:rFonts w:eastAsia="Times New Roman" w:cs="Times New Roman"/>
          <w:sz w:val="24"/>
          <w:szCs w:val="24"/>
        </w:rPr>
        <w:t xml:space="preserve">he FPEB listed the CI’s allergic rhinitis and chronic sinusitis as category II conditions, concluding at that time they were not unfitting.  The Board discussed the requirement for surgery two months after separation but noted this surgery was relatively minor compared to the surgery of 2000 after which the CI was returned to duty.  The Board concluded that the CI’s allergic rhinitis and chronic sinusitis condition did not </w:t>
      </w:r>
      <w:r w:rsidRPr="00695AC9">
        <w:rPr>
          <w:rFonts w:eastAsia="Times New Roman" w:cs="Times New Roman"/>
          <w:sz w:val="24"/>
          <w:szCs w:val="24"/>
        </w:rPr>
        <w:t xml:space="preserve">interfere with duty performance to a degree that </w:t>
      </w:r>
      <w:r w:rsidR="00853933" w:rsidRPr="00695AC9">
        <w:rPr>
          <w:rFonts w:eastAsia="Times New Roman" w:cs="Times New Roman"/>
          <w:sz w:val="24"/>
          <w:szCs w:val="24"/>
        </w:rPr>
        <w:t xml:space="preserve">arose to the level for a Board recommendation </w:t>
      </w:r>
      <w:r w:rsidR="00536649" w:rsidRPr="00695AC9">
        <w:rPr>
          <w:rFonts w:eastAsia="Times New Roman" w:cs="Times New Roman"/>
          <w:sz w:val="24"/>
          <w:szCs w:val="24"/>
        </w:rPr>
        <w:t xml:space="preserve">as </w:t>
      </w:r>
      <w:r w:rsidR="00853933" w:rsidRPr="00695AC9">
        <w:rPr>
          <w:rFonts w:eastAsia="Times New Roman" w:cs="Times New Roman"/>
          <w:sz w:val="24"/>
          <w:szCs w:val="24"/>
        </w:rPr>
        <w:t>an unfitting condition for separation rating.</w:t>
      </w:r>
    </w:p>
    <w:p w:rsidR="001C6C34" w:rsidRPr="00695AC9" w:rsidRDefault="001C6C34" w:rsidP="0010672E">
      <w:pPr>
        <w:spacing w:after="0" w:line="240" w:lineRule="exact"/>
        <w:jc w:val="both"/>
        <w:rPr>
          <w:rFonts w:eastAsia="Times New Roman" w:cs="Times New Roman"/>
          <w:sz w:val="24"/>
          <w:szCs w:val="24"/>
        </w:rPr>
      </w:pPr>
    </w:p>
    <w:p w:rsidR="00536649" w:rsidRPr="00695AC9" w:rsidRDefault="00536649" w:rsidP="00536649">
      <w:pPr>
        <w:spacing w:after="0" w:line="240" w:lineRule="exact"/>
        <w:jc w:val="both"/>
        <w:rPr>
          <w:rFonts w:eastAsia="HiddenHorzOCR" w:cs="Times New Roman"/>
          <w:sz w:val="24"/>
          <w:szCs w:val="24"/>
        </w:rPr>
      </w:pPr>
      <w:proofErr w:type="gramStart"/>
      <w:r w:rsidRPr="00695AC9">
        <w:rPr>
          <w:rFonts w:eastAsia="HiddenHorzOCR" w:cs="Times New Roman"/>
          <w:sz w:val="24"/>
          <w:szCs w:val="24"/>
          <w:u w:val="single"/>
        </w:rPr>
        <w:t>Other Contended Conditions</w:t>
      </w:r>
      <w:r w:rsidR="00FF1AF9">
        <w:rPr>
          <w:rFonts w:eastAsia="HiddenHorzOCR" w:cs="Times New Roman"/>
          <w:sz w:val="24"/>
          <w:szCs w:val="24"/>
          <w:u w:val="single"/>
        </w:rPr>
        <w:t>.</w:t>
      </w:r>
      <w:proofErr w:type="gramEnd"/>
      <w:r w:rsidRPr="00695AC9">
        <w:rPr>
          <w:rFonts w:eastAsia="HiddenHorzOCR" w:cs="Times New Roman"/>
          <w:sz w:val="24"/>
          <w:szCs w:val="24"/>
        </w:rPr>
        <w:t xml:space="preserve">  The CI’s application asserts that compensable ratings should be considered for depression and knee problems.  </w:t>
      </w:r>
      <w:r w:rsidR="0010672E" w:rsidRPr="00695AC9">
        <w:rPr>
          <w:rFonts w:eastAsia="HiddenHorzOCR" w:cs="Times New Roman"/>
          <w:sz w:val="24"/>
          <w:szCs w:val="24"/>
        </w:rPr>
        <w:t xml:space="preserve">The CI was hospitalized </w:t>
      </w:r>
      <w:r w:rsidR="00A97EAF" w:rsidRPr="00695AC9">
        <w:rPr>
          <w:rFonts w:eastAsia="HiddenHorzOCR" w:cs="Times New Roman"/>
          <w:sz w:val="24"/>
          <w:szCs w:val="24"/>
        </w:rPr>
        <w:t xml:space="preserve">in </w:t>
      </w:r>
      <w:r w:rsidR="0010672E" w:rsidRPr="00695AC9">
        <w:rPr>
          <w:rFonts w:eastAsia="HiddenHorzOCR" w:cs="Times New Roman"/>
          <w:sz w:val="24"/>
          <w:szCs w:val="24"/>
        </w:rPr>
        <w:t xml:space="preserve">May 2001 for acute depression with suicide attempt by taking an overdose of </w:t>
      </w:r>
      <w:proofErr w:type="spellStart"/>
      <w:r w:rsidR="001C1BDD">
        <w:rPr>
          <w:rFonts w:eastAsia="HiddenHorzOCR" w:cs="Times New Roman"/>
          <w:sz w:val="24"/>
          <w:szCs w:val="24"/>
        </w:rPr>
        <w:t>p</w:t>
      </w:r>
      <w:r w:rsidR="0010672E" w:rsidRPr="00695AC9">
        <w:rPr>
          <w:rFonts w:eastAsia="HiddenHorzOCR" w:cs="Times New Roman"/>
          <w:sz w:val="24"/>
          <w:szCs w:val="24"/>
        </w:rPr>
        <w:t>ercocet</w:t>
      </w:r>
      <w:proofErr w:type="spellEnd"/>
      <w:r w:rsidR="0010672E" w:rsidRPr="00695AC9">
        <w:rPr>
          <w:rFonts w:eastAsia="HiddenHorzOCR" w:cs="Times New Roman"/>
          <w:sz w:val="24"/>
          <w:szCs w:val="24"/>
        </w:rPr>
        <w:t>.  He was released from the hospital to full employment.  The enlisted performance report for the year following this hospitalization reflected superior duty performance.</w:t>
      </w:r>
      <w:r w:rsidRPr="00695AC9">
        <w:rPr>
          <w:rFonts w:eastAsia="HiddenHorzOCR" w:cs="Times New Roman"/>
          <w:sz w:val="24"/>
          <w:szCs w:val="24"/>
        </w:rPr>
        <w:t xml:space="preserve">  </w:t>
      </w:r>
      <w:r w:rsidR="00EA2E85" w:rsidRPr="00695AC9">
        <w:rPr>
          <w:rFonts w:eastAsia="HiddenHorzOCR" w:cs="Times New Roman"/>
          <w:sz w:val="24"/>
          <w:szCs w:val="24"/>
        </w:rPr>
        <w:t xml:space="preserve">Recurrent symptoms of depressed mood </w:t>
      </w:r>
      <w:r w:rsidRPr="00695AC9">
        <w:rPr>
          <w:rFonts w:eastAsia="HiddenHorzOCR" w:cs="Times New Roman"/>
          <w:sz w:val="24"/>
          <w:szCs w:val="24"/>
        </w:rPr>
        <w:t xml:space="preserve">without suicidal ideation developed in </w:t>
      </w:r>
      <w:r w:rsidR="00EA2E85" w:rsidRPr="00695AC9">
        <w:rPr>
          <w:rFonts w:eastAsia="HiddenHorzOCR" w:cs="Times New Roman"/>
          <w:sz w:val="24"/>
          <w:szCs w:val="24"/>
        </w:rPr>
        <w:t xml:space="preserve">January 2003 in the setting of the stress of </w:t>
      </w:r>
      <w:r w:rsidRPr="00695AC9">
        <w:rPr>
          <w:rFonts w:eastAsia="HiddenHorzOCR" w:cs="Times New Roman"/>
          <w:sz w:val="24"/>
          <w:szCs w:val="24"/>
        </w:rPr>
        <w:t xml:space="preserve">the </w:t>
      </w:r>
      <w:r w:rsidR="00EA2E85" w:rsidRPr="00695AC9">
        <w:rPr>
          <w:rFonts w:eastAsia="HiddenHorzOCR" w:cs="Times New Roman"/>
          <w:sz w:val="24"/>
          <w:szCs w:val="24"/>
        </w:rPr>
        <w:t>MEB process, occupational stressors and family separation.</w:t>
      </w:r>
      <w:r w:rsidRPr="00695AC9">
        <w:rPr>
          <w:rFonts w:eastAsia="HiddenHorzOCR" w:cs="Times New Roman"/>
          <w:sz w:val="24"/>
          <w:szCs w:val="24"/>
        </w:rPr>
        <w:t xml:space="preserve">  He was diagnosed by psychiatry with adjustment disorder and provided supportive therapy without duty restriction.  At the time of an appointment with his family physician two weeks after separation, there was no complaint referable to symptoms of depression recorded.  At the time of the November 2003 C&amp;P examination, the CI reported chronic low grade depressive symptoms since 2001 with worsening at th</w:t>
      </w:r>
      <w:r w:rsidR="00A97EAF" w:rsidRPr="00695AC9">
        <w:rPr>
          <w:rFonts w:eastAsia="HiddenHorzOCR" w:cs="Times New Roman"/>
          <w:sz w:val="24"/>
          <w:szCs w:val="24"/>
        </w:rPr>
        <w:t xml:space="preserve">e time of the C&amp;P examination </w:t>
      </w:r>
      <w:r w:rsidRPr="00695AC9">
        <w:rPr>
          <w:rFonts w:eastAsia="HiddenHorzOCR" w:cs="Times New Roman"/>
          <w:sz w:val="24"/>
          <w:szCs w:val="24"/>
        </w:rPr>
        <w:t>related to a recent job loss.  All evidence considered</w:t>
      </w:r>
      <w:proofErr w:type="gramStart"/>
      <w:r w:rsidRPr="00695AC9">
        <w:rPr>
          <w:rFonts w:eastAsia="HiddenHorzOCR" w:cs="Times New Roman"/>
          <w:sz w:val="24"/>
          <w:szCs w:val="24"/>
        </w:rPr>
        <w:t>,</w:t>
      </w:r>
      <w:proofErr w:type="gramEnd"/>
      <w:r w:rsidRPr="00695AC9">
        <w:rPr>
          <w:rFonts w:eastAsia="HiddenHorzOCR" w:cs="Times New Roman"/>
          <w:sz w:val="24"/>
          <w:szCs w:val="24"/>
        </w:rPr>
        <w:t xml:space="preserve"> there is not reasonable doubt in the CI’s favor supporting addition of depression as an unfitting condition for separation rating</w:t>
      </w:r>
      <w:r w:rsidR="00085BA0" w:rsidRPr="00695AC9">
        <w:rPr>
          <w:rFonts w:eastAsia="HiddenHorzOCR" w:cs="Times New Roman"/>
          <w:sz w:val="24"/>
          <w:szCs w:val="24"/>
        </w:rPr>
        <w:t xml:space="preserve">.  </w:t>
      </w:r>
      <w:r w:rsidRPr="00695AC9">
        <w:rPr>
          <w:rFonts w:eastAsia="HiddenHorzOCR" w:cs="Times New Roman"/>
          <w:sz w:val="24"/>
          <w:szCs w:val="24"/>
        </w:rPr>
        <w:t xml:space="preserve">Service treatment records show surgery on both knees while on active duty for torn meniscus; right knee </w:t>
      </w:r>
      <w:r w:rsidR="00FF1AF9">
        <w:rPr>
          <w:rFonts w:eastAsia="HiddenHorzOCR" w:cs="Times New Roman"/>
          <w:sz w:val="24"/>
          <w:szCs w:val="24"/>
        </w:rPr>
        <w:t xml:space="preserve">in </w:t>
      </w:r>
      <w:r w:rsidRPr="00695AC9">
        <w:rPr>
          <w:rFonts w:eastAsia="HiddenHorzOCR" w:cs="Times New Roman"/>
          <w:sz w:val="24"/>
          <w:szCs w:val="24"/>
        </w:rPr>
        <w:t xml:space="preserve">May 2000 and left knee </w:t>
      </w:r>
      <w:r w:rsidR="00FF1AF9">
        <w:rPr>
          <w:rFonts w:eastAsia="HiddenHorzOCR" w:cs="Times New Roman"/>
          <w:sz w:val="24"/>
          <w:szCs w:val="24"/>
        </w:rPr>
        <w:t xml:space="preserve">in </w:t>
      </w:r>
      <w:r w:rsidRPr="00695AC9">
        <w:rPr>
          <w:rFonts w:eastAsia="HiddenHorzOCR" w:cs="Times New Roman"/>
          <w:sz w:val="24"/>
          <w:szCs w:val="24"/>
        </w:rPr>
        <w:t xml:space="preserve">November 2001.  </w:t>
      </w:r>
      <w:r w:rsidR="003C420C" w:rsidRPr="00695AC9">
        <w:rPr>
          <w:rFonts w:eastAsia="HiddenHorzOCR" w:cs="Times New Roman"/>
          <w:sz w:val="24"/>
          <w:szCs w:val="24"/>
        </w:rPr>
        <w:t xml:space="preserve">Following these surgeries the CI received periodic care </w:t>
      </w:r>
      <w:r w:rsidR="004E4D2A" w:rsidRPr="00695AC9">
        <w:rPr>
          <w:rFonts w:eastAsia="HiddenHorzOCR" w:cs="Times New Roman"/>
          <w:sz w:val="24"/>
          <w:szCs w:val="24"/>
        </w:rPr>
        <w:t xml:space="preserve">for </w:t>
      </w:r>
      <w:r w:rsidR="003C420C" w:rsidRPr="00695AC9">
        <w:rPr>
          <w:rFonts w:eastAsia="HiddenHorzOCR" w:cs="Times New Roman"/>
          <w:sz w:val="24"/>
          <w:szCs w:val="24"/>
        </w:rPr>
        <w:t xml:space="preserve">knee pain diagnosed as patellofemoral pain syndrome and was temporarily profiled in November 2000 for the right knee.  Knee examinations </w:t>
      </w:r>
      <w:r w:rsidR="00A97EAF" w:rsidRPr="00695AC9">
        <w:rPr>
          <w:rFonts w:eastAsia="HiddenHorzOCR" w:cs="Times New Roman"/>
          <w:sz w:val="24"/>
          <w:szCs w:val="24"/>
        </w:rPr>
        <w:t xml:space="preserve">on </w:t>
      </w:r>
      <w:r w:rsidR="00FF1AF9">
        <w:rPr>
          <w:rFonts w:eastAsia="HiddenHorzOCR" w:cs="Times New Roman"/>
          <w:sz w:val="24"/>
          <w:szCs w:val="24"/>
        </w:rPr>
        <w:t xml:space="preserve">16 </w:t>
      </w:r>
      <w:r w:rsidR="003C420C" w:rsidRPr="00695AC9">
        <w:rPr>
          <w:rFonts w:eastAsia="HiddenHorzOCR" w:cs="Times New Roman"/>
          <w:sz w:val="24"/>
          <w:szCs w:val="24"/>
        </w:rPr>
        <w:t xml:space="preserve">May 2002 and </w:t>
      </w:r>
      <w:r w:rsidR="00FF1AF9">
        <w:rPr>
          <w:rFonts w:eastAsia="HiddenHorzOCR" w:cs="Times New Roman"/>
          <w:sz w:val="24"/>
          <w:szCs w:val="24"/>
        </w:rPr>
        <w:t xml:space="preserve">13 </w:t>
      </w:r>
      <w:r w:rsidR="003C420C" w:rsidRPr="00695AC9">
        <w:rPr>
          <w:rFonts w:eastAsia="HiddenHorzOCR" w:cs="Times New Roman"/>
          <w:sz w:val="24"/>
          <w:szCs w:val="24"/>
        </w:rPr>
        <w:t xml:space="preserve">January 2003 were unremarkable with normal gait, normal </w:t>
      </w:r>
      <w:r w:rsidR="00FF1AF9">
        <w:rPr>
          <w:rFonts w:eastAsia="HiddenHorzOCR" w:cs="Times New Roman"/>
          <w:sz w:val="24"/>
          <w:szCs w:val="24"/>
        </w:rPr>
        <w:t>range of motion (ROM)</w:t>
      </w:r>
      <w:r w:rsidR="003C420C" w:rsidRPr="00695AC9">
        <w:rPr>
          <w:rFonts w:eastAsia="HiddenHorzOCR" w:cs="Times New Roman"/>
          <w:sz w:val="24"/>
          <w:szCs w:val="24"/>
        </w:rPr>
        <w:t>, and absence of instability.  At the time of the separation physical examination</w:t>
      </w:r>
      <w:r w:rsidR="00FF1AF9">
        <w:rPr>
          <w:rFonts w:eastAsia="HiddenHorzOCR" w:cs="Times New Roman"/>
          <w:sz w:val="24"/>
          <w:szCs w:val="24"/>
        </w:rPr>
        <w:t xml:space="preserve"> on 22</w:t>
      </w:r>
      <w:r w:rsidR="003C420C" w:rsidRPr="00695AC9">
        <w:rPr>
          <w:rFonts w:eastAsia="HiddenHorzOCR" w:cs="Times New Roman"/>
          <w:sz w:val="24"/>
          <w:szCs w:val="24"/>
        </w:rPr>
        <w:t xml:space="preserve"> January 2003, the CI reported </w:t>
      </w:r>
      <w:r w:rsidR="004E4D2A" w:rsidRPr="00695AC9">
        <w:rPr>
          <w:rFonts w:eastAsia="HiddenHorzOCR" w:cs="Times New Roman"/>
          <w:sz w:val="24"/>
          <w:szCs w:val="24"/>
        </w:rPr>
        <w:t xml:space="preserve">that </w:t>
      </w:r>
      <w:r w:rsidR="003C420C" w:rsidRPr="00695AC9">
        <w:rPr>
          <w:rFonts w:eastAsia="HiddenHorzOCR" w:cs="Times New Roman"/>
          <w:sz w:val="24"/>
          <w:szCs w:val="24"/>
        </w:rPr>
        <w:t>the left knee continued to bother him since the November 2001 surgery</w:t>
      </w:r>
      <w:r w:rsidR="008D778A">
        <w:rPr>
          <w:rFonts w:eastAsia="HiddenHorzOCR" w:cs="Times New Roman"/>
          <w:sz w:val="24"/>
          <w:szCs w:val="24"/>
        </w:rPr>
        <w:t>,</w:t>
      </w:r>
      <w:r w:rsidR="003C420C" w:rsidRPr="00695AC9">
        <w:rPr>
          <w:rFonts w:eastAsia="HiddenHorzOCR" w:cs="Times New Roman"/>
          <w:sz w:val="24"/>
          <w:szCs w:val="24"/>
        </w:rPr>
        <w:t xml:space="preserve"> but the right knee was not bothering him.  The examination was recorded as normal with normal gait and full </w:t>
      </w:r>
      <w:r w:rsidR="00FF1AF9">
        <w:rPr>
          <w:rFonts w:eastAsia="HiddenHorzOCR" w:cs="Times New Roman"/>
          <w:sz w:val="24"/>
          <w:szCs w:val="24"/>
        </w:rPr>
        <w:t>ROM</w:t>
      </w:r>
      <w:r w:rsidR="003C420C" w:rsidRPr="00695AC9">
        <w:rPr>
          <w:rFonts w:eastAsia="HiddenHorzOCR" w:cs="Times New Roman"/>
          <w:sz w:val="24"/>
          <w:szCs w:val="24"/>
        </w:rPr>
        <w:t xml:space="preserve">.  </w:t>
      </w:r>
      <w:r w:rsidRPr="00695AC9">
        <w:rPr>
          <w:rFonts w:eastAsia="HiddenHorzOCR" w:cs="Times New Roman"/>
          <w:sz w:val="24"/>
          <w:szCs w:val="24"/>
        </w:rPr>
        <w:t>All evidence considered</w:t>
      </w:r>
      <w:proofErr w:type="gramStart"/>
      <w:r w:rsidRPr="00695AC9">
        <w:rPr>
          <w:rFonts w:eastAsia="HiddenHorzOCR" w:cs="Times New Roman"/>
          <w:sz w:val="24"/>
          <w:szCs w:val="24"/>
        </w:rPr>
        <w:t>,</w:t>
      </w:r>
      <w:proofErr w:type="gramEnd"/>
      <w:r w:rsidRPr="00695AC9">
        <w:rPr>
          <w:rFonts w:eastAsia="HiddenHorzOCR" w:cs="Times New Roman"/>
          <w:sz w:val="24"/>
          <w:szCs w:val="24"/>
        </w:rPr>
        <w:t xml:space="preserve"> there is not reasonable doubt in the CI’s favor supporting addition of </w:t>
      </w:r>
      <w:r w:rsidR="003C420C" w:rsidRPr="00695AC9">
        <w:rPr>
          <w:rFonts w:eastAsia="HiddenHorzOCR" w:cs="Times New Roman"/>
          <w:sz w:val="24"/>
          <w:szCs w:val="24"/>
        </w:rPr>
        <w:t xml:space="preserve">the left knee condition </w:t>
      </w:r>
      <w:r w:rsidRPr="00695AC9">
        <w:rPr>
          <w:rFonts w:eastAsia="HiddenHorzOCR" w:cs="Times New Roman"/>
          <w:sz w:val="24"/>
          <w:szCs w:val="24"/>
        </w:rPr>
        <w:t>as an unfitting condition for separation rating.</w:t>
      </w:r>
    </w:p>
    <w:p w:rsidR="008E1D3E" w:rsidRPr="00695AC9" w:rsidRDefault="008E1D3E" w:rsidP="0010672E">
      <w:pPr>
        <w:spacing w:after="0" w:line="240" w:lineRule="exact"/>
        <w:jc w:val="both"/>
        <w:rPr>
          <w:rFonts w:eastAsia="HiddenHorzOCR" w:cs="Times New Roman"/>
          <w:sz w:val="24"/>
          <w:szCs w:val="24"/>
        </w:rPr>
      </w:pPr>
    </w:p>
    <w:p w:rsidR="0010672E" w:rsidRPr="00695AC9" w:rsidRDefault="00E42D28" w:rsidP="0010672E">
      <w:pPr>
        <w:spacing w:after="0" w:line="240" w:lineRule="exact"/>
        <w:jc w:val="both"/>
        <w:rPr>
          <w:rFonts w:eastAsia="Times New Roman" w:cs="Times New Roman"/>
          <w:sz w:val="24"/>
          <w:szCs w:val="24"/>
        </w:rPr>
      </w:pPr>
      <w:proofErr w:type="gramStart"/>
      <w:r w:rsidRPr="00695AC9">
        <w:rPr>
          <w:rFonts w:eastAsia="Times New Roman" w:cs="Times New Roman"/>
          <w:sz w:val="24"/>
          <w:szCs w:val="24"/>
          <w:u w:val="single"/>
        </w:rPr>
        <w:lastRenderedPageBreak/>
        <w:t>Remaining Conditions</w:t>
      </w:r>
      <w:r w:rsidR="00FF1AF9">
        <w:rPr>
          <w:rFonts w:eastAsia="Times New Roman" w:cs="Times New Roman"/>
          <w:sz w:val="24"/>
          <w:szCs w:val="24"/>
          <w:u w:val="single"/>
        </w:rPr>
        <w:t>.</w:t>
      </w:r>
      <w:proofErr w:type="gramEnd"/>
      <w:r w:rsidR="008A3B14" w:rsidRPr="00695AC9">
        <w:rPr>
          <w:rFonts w:eastAsia="Times New Roman" w:cs="Times New Roman"/>
          <w:sz w:val="24"/>
          <w:szCs w:val="24"/>
        </w:rPr>
        <w:t xml:space="preserve">  </w:t>
      </w:r>
      <w:r w:rsidRPr="00695AC9">
        <w:rPr>
          <w:rFonts w:eastAsia="Times New Roman" w:cs="Times New Roman"/>
          <w:sz w:val="24"/>
          <w:szCs w:val="24"/>
        </w:rPr>
        <w:t xml:space="preserve">Other conditions identified in the DES file were heart murmur (trivial mitral valve regurgitation), left shoulder pain; </w:t>
      </w:r>
      <w:r w:rsidR="00FF1AF9">
        <w:rPr>
          <w:rFonts w:eastAsia="Times New Roman" w:cs="Times New Roman"/>
          <w:sz w:val="24"/>
          <w:szCs w:val="24"/>
        </w:rPr>
        <w:t>g</w:t>
      </w:r>
      <w:r w:rsidR="00FF1AF9" w:rsidRPr="00FF1AF9">
        <w:rPr>
          <w:rFonts w:eastAsia="Times New Roman" w:cs="Times New Roman"/>
          <w:sz w:val="24"/>
          <w:szCs w:val="24"/>
        </w:rPr>
        <w:t>lucose-6-phosphate dehydrogenase deficiency</w:t>
      </w:r>
      <w:r w:rsidRPr="00695AC9">
        <w:rPr>
          <w:rFonts w:eastAsia="Times New Roman" w:cs="Times New Roman"/>
          <w:sz w:val="24"/>
          <w:szCs w:val="24"/>
        </w:rPr>
        <w:t>, conjunctivitis; and minor abdominal pain (NARSUM).  Several additional non-acute conditions or medical complaints were also documented.  None of these conditions were</w:t>
      </w:r>
      <w:r w:rsidR="002E5599" w:rsidRPr="00695AC9">
        <w:rPr>
          <w:rFonts w:eastAsia="Times New Roman" w:cs="Times New Roman"/>
          <w:sz w:val="24"/>
          <w:szCs w:val="24"/>
        </w:rPr>
        <w:t xml:space="preserve"> clinically or occupationally significant</w:t>
      </w:r>
      <w:r w:rsidRPr="00695AC9">
        <w:rPr>
          <w:rFonts w:eastAsia="Times New Roman" w:cs="Times New Roman"/>
          <w:sz w:val="24"/>
          <w:szCs w:val="24"/>
        </w:rPr>
        <w:t xml:space="preserve"> during the MEB period, and none</w:t>
      </w:r>
      <w:r w:rsidR="008A3B14" w:rsidRPr="00695AC9">
        <w:rPr>
          <w:rFonts w:eastAsia="Times New Roman" w:cs="Times New Roman"/>
          <w:sz w:val="24"/>
          <w:szCs w:val="24"/>
        </w:rPr>
        <w:t xml:space="preserve"> </w:t>
      </w:r>
      <w:r w:rsidRPr="00695AC9">
        <w:rPr>
          <w:rFonts w:eastAsia="Times New Roman" w:cs="Times New Roman"/>
          <w:sz w:val="24"/>
          <w:szCs w:val="24"/>
        </w:rPr>
        <w:t>were implicated in the commander’s statement.  These conditions were reviewed by the action officer and considered by the Board.  It was determined that none could be argued as unfitting and subject to separation rating.</w:t>
      </w:r>
      <w:r w:rsidR="008A3B14" w:rsidRPr="00695AC9">
        <w:rPr>
          <w:rFonts w:eastAsia="Times New Roman" w:cs="Times New Roman"/>
          <w:sz w:val="24"/>
          <w:szCs w:val="24"/>
        </w:rPr>
        <w:t xml:space="preserve">  </w:t>
      </w:r>
      <w:r w:rsidR="0010672E" w:rsidRPr="00695AC9">
        <w:rPr>
          <w:rFonts w:eastAsia="Times New Roman" w:cs="Times New Roman"/>
          <w:sz w:val="24"/>
          <w:szCs w:val="24"/>
        </w:rPr>
        <w:t xml:space="preserve">The Board determined therefore that none of the stated conditions were subject to </w:t>
      </w:r>
      <w:r w:rsidR="00FF1AF9">
        <w:rPr>
          <w:rFonts w:eastAsia="Times New Roman" w:cs="Times New Roman"/>
          <w:sz w:val="24"/>
          <w:szCs w:val="24"/>
        </w:rPr>
        <w:t>s</w:t>
      </w:r>
      <w:r w:rsidR="0010672E" w:rsidRPr="00695AC9">
        <w:rPr>
          <w:rFonts w:eastAsia="Times New Roman" w:cs="Times New Roman"/>
          <w:sz w:val="24"/>
          <w:szCs w:val="24"/>
        </w:rPr>
        <w:t>ervice disability rating.</w:t>
      </w:r>
    </w:p>
    <w:p w:rsidR="0010672E" w:rsidRPr="00695AC9" w:rsidRDefault="0010672E" w:rsidP="0010672E">
      <w:pPr>
        <w:pBdr>
          <w:bottom w:val="single" w:sz="12" w:space="1" w:color="auto"/>
        </w:pBdr>
        <w:tabs>
          <w:tab w:val="left" w:pos="288"/>
          <w:tab w:val="left" w:pos="4752"/>
        </w:tabs>
        <w:spacing w:after="0" w:line="240" w:lineRule="exact"/>
        <w:jc w:val="both"/>
        <w:rPr>
          <w:rFonts w:eastAsia="Times New Roman" w:cs="Times New Roman"/>
          <w:b/>
          <w:sz w:val="24"/>
          <w:szCs w:val="20"/>
          <w:u w:val="single"/>
        </w:rPr>
      </w:pPr>
    </w:p>
    <w:p w:rsidR="0010672E" w:rsidRPr="00695AC9" w:rsidRDefault="0010672E" w:rsidP="0010672E">
      <w:pPr>
        <w:spacing w:after="0" w:line="240" w:lineRule="exact"/>
        <w:rPr>
          <w:rFonts w:eastAsia="Times New Roman" w:cs="Times New Roman"/>
          <w:b/>
          <w:sz w:val="24"/>
          <w:szCs w:val="24"/>
          <w:u w:val="single"/>
        </w:rPr>
      </w:pPr>
    </w:p>
    <w:p w:rsidR="008A3B14" w:rsidRPr="00695AC9" w:rsidRDefault="0010672E" w:rsidP="0010672E">
      <w:pPr>
        <w:spacing w:after="0" w:line="240" w:lineRule="exact"/>
        <w:jc w:val="both"/>
        <w:rPr>
          <w:rFonts w:cs="Times New Roman"/>
          <w:sz w:val="24"/>
          <w:szCs w:val="24"/>
        </w:rPr>
      </w:pPr>
      <w:r w:rsidRPr="00695AC9">
        <w:rPr>
          <w:rFonts w:eastAsia="Times New Roman" w:cs="Times New Roman"/>
          <w:sz w:val="24"/>
          <w:szCs w:val="24"/>
          <w:u w:val="single"/>
        </w:rPr>
        <w:t>BOARD FINDINGS</w:t>
      </w:r>
      <w:r w:rsidRPr="00695AC9">
        <w:rPr>
          <w:rFonts w:eastAsia="Times New Roman" w:cs="Times New Roman"/>
          <w:sz w:val="24"/>
          <w:szCs w:val="24"/>
        </w:rPr>
        <w:t>:</w:t>
      </w:r>
      <w:r w:rsidRPr="00695AC9">
        <w:rPr>
          <w:rFonts w:cs="Times New Roman"/>
          <w:sz w:val="24"/>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85BA0" w:rsidRPr="00695AC9">
        <w:rPr>
          <w:rFonts w:cs="Times New Roman"/>
          <w:sz w:val="24"/>
          <w:szCs w:val="24"/>
        </w:rPr>
        <w:t xml:space="preserve">  </w:t>
      </w:r>
      <w:r w:rsidRPr="00695AC9">
        <w:rPr>
          <w:rFonts w:cs="Times New Roman"/>
          <w:sz w:val="24"/>
          <w:szCs w:val="24"/>
        </w:rPr>
        <w:t xml:space="preserve">In the matter of the </w:t>
      </w:r>
      <w:r w:rsidR="008A3B14" w:rsidRPr="00695AC9">
        <w:rPr>
          <w:rFonts w:cs="Times New Roman"/>
          <w:sz w:val="24"/>
          <w:szCs w:val="24"/>
        </w:rPr>
        <w:t>a</w:t>
      </w:r>
      <w:r w:rsidRPr="00695AC9">
        <w:rPr>
          <w:rFonts w:cs="Times New Roman"/>
          <w:sz w:val="24"/>
          <w:szCs w:val="24"/>
        </w:rPr>
        <w:t>sthma condition, the Board</w:t>
      </w:r>
      <w:r w:rsidR="00006351" w:rsidRPr="00695AC9">
        <w:rPr>
          <w:rFonts w:cs="Times New Roman"/>
          <w:sz w:val="24"/>
          <w:szCs w:val="24"/>
        </w:rPr>
        <w:t xml:space="preserve">, by a 2:1 vote, </w:t>
      </w:r>
      <w:r w:rsidRPr="00695AC9">
        <w:rPr>
          <w:rFonts w:cs="Times New Roman"/>
          <w:sz w:val="24"/>
          <w:szCs w:val="24"/>
        </w:rPr>
        <w:t>recommends a rating of 30% (coded 6602) IAW VASRD §4.97.</w:t>
      </w:r>
      <w:r w:rsidR="00085BA0" w:rsidRPr="00695AC9">
        <w:rPr>
          <w:rFonts w:cs="Times New Roman"/>
          <w:sz w:val="24"/>
          <w:szCs w:val="24"/>
        </w:rPr>
        <w:t xml:space="preserve">  The single voter for dissent (who recommended no modification of the PEB adjudication) did not elect to submit a minority opinion.  </w:t>
      </w:r>
      <w:r w:rsidR="008A3B14" w:rsidRPr="00695AC9">
        <w:rPr>
          <w:rFonts w:cs="Times New Roman"/>
          <w:sz w:val="24"/>
          <w:szCs w:val="24"/>
        </w:rPr>
        <w:t>In the matter of the allergic rhinitis, chronic sinusitis, depression, knee conditions</w:t>
      </w:r>
      <w:r w:rsidR="002079F5" w:rsidRPr="00695AC9">
        <w:rPr>
          <w:rFonts w:cs="Times New Roman"/>
          <w:sz w:val="24"/>
          <w:szCs w:val="24"/>
        </w:rPr>
        <w:t xml:space="preserve">, </w:t>
      </w:r>
      <w:r w:rsidR="008A3B14" w:rsidRPr="00695AC9">
        <w:rPr>
          <w:rFonts w:cs="Times New Roman"/>
          <w:sz w:val="24"/>
          <w:szCs w:val="24"/>
        </w:rPr>
        <w:t>or any other medical conditions eligible for Board consideration</w:t>
      </w:r>
      <w:r w:rsidR="00FF1AF9">
        <w:rPr>
          <w:rFonts w:cs="Times New Roman"/>
          <w:sz w:val="24"/>
          <w:szCs w:val="24"/>
        </w:rPr>
        <w:t>,</w:t>
      </w:r>
      <w:r w:rsidR="008A3B14" w:rsidRPr="00695AC9">
        <w:rPr>
          <w:rFonts w:cs="Times New Roman"/>
          <w:sz w:val="24"/>
          <w:szCs w:val="24"/>
        </w:rPr>
        <w:t xml:space="preserve"> the Board unanimously agrees that it cannot recommend any findings of unfit for additional rating at separation.</w:t>
      </w:r>
    </w:p>
    <w:p w:rsidR="0010672E" w:rsidRPr="00695AC9" w:rsidRDefault="0010672E" w:rsidP="0010672E">
      <w:pPr>
        <w:pBdr>
          <w:bottom w:val="single" w:sz="12" w:space="1" w:color="auto"/>
        </w:pBdr>
        <w:tabs>
          <w:tab w:val="left" w:pos="288"/>
          <w:tab w:val="left" w:pos="4752"/>
        </w:tabs>
        <w:spacing w:after="0" w:line="240" w:lineRule="exact"/>
        <w:jc w:val="both"/>
        <w:rPr>
          <w:rFonts w:eastAsia="Times New Roman" w:cs="Times New Roman"/>
          <w:b/>
          <w:sz w:val="24"/>
          <w:szCs w:val="20"/>
          <w:u w:val="single"/>
        </w:rPr>
      </w:pPr>
    </w:p>
    <w:p w:rsidR="0010672E" w:rsidRPr="00695AC9" w:rsidRDefault="0010672E" w:rsidP="0010672E">
      <w:pPr>
        <w:spacing w:after="0" w:line="240" w:lineRule="exact"/>
        <w:rPr>
          <w:rFonts w:eastAsia="Times New Roman" w:cs="Times New Roman"/>
          <w:b/>
          <w:sz w:val="24"/>
          <w:szCs w:val="24"/>
          <w:u w:val="single"/>
        </w:rPr>
      </w:pPr>
    </w:p>
    <w:p w:rsidR="00085BA0" w:rsidRPr="00695AC9" w:rsidRDefault="0010672E" w:rsidP="00B03BFA">
      <w:pPr>
        <w:spacing w:line="240" w:lineRule="exact"/>
        <w:jc w:val="both"/>
        <w:rPr>
          <w:sz w:val="24"/>
          <w:szCs w:val="24"/>
        </w:rPr>
      </w:pPr>
      <w:r w:rsidRPr="00695AC9">
        <w:rPr>
          <w:rFonts w:eastAsia="Times New Roman" w:cs="Times New Roman"/>
          <w:sz w:val="24"/>
          <w:szCs w:val="24"/>
          <w:u w:val="single"/>
        </w:rPr>
        <w:t>RECOMMENDATION</w:t>
      </w:r>
      <w:r w:rsidRPr="00695AC9">
        <w:rPr>
          <w:rFonts w:eastAsia="Times New Roman" w:cs="Times New Roman"/>
          <w:sz w:val="24"/>
          <w:szCs w:val="24"/>
        </w:rPr>
        <w:t>:</w:t>
      </w:r>
      <w:r w:rsidR="008A3B14" w:rsidRPr="00695AC9">
        <w:rPr>
          <w:rFonts w:eastAsia="Times New Roman" w:cs="Times New Roman"/>
          <w:sz w:val="24"/>
          <w:szCs w:val="24"/>
        </w:rPr>
        <w:t xml:space="preserve">  </w:t>
      </w:r>
      <w:r w:rsidR="00085BA0" w:rsidRPr="00695AC9">
        <w:rPr>
          <w:sz w:val="24"/>
          <w:szCs w:val="24"/>
        </w:rPr>
        <w:t>The Board recommends that the CI’s prior determination be modified as follows and that the discharge with severance pay be recharacterized to reflect permanent disability retirement, effective as of the date of his prior medical separation:</w:t>
      </w: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0672E" w:rsidRPr="00695AC9" w:rsidTr="008E1D3E">
        <w:trPr>
          <w:trHeight w:val="233"/>
          <w:jc w:val="center"/>
        </w:trPr>
        <w:tc>
          <w:tcPr>
            <w:tcW w:w="6480" w:type="dxa"/>
            <w:shd w:val="clear" w:color="auto" w:fill="D9D9D9"/>
            <w:vAlign w:val="center"/>
          </w:tcPr>
          <w:p w:rsidR="0010672E" w:rsidRPr="00695AC9" w:rsidRDefault="0010672E" w:rsidP="0010672E">
            <w:pPr>
              <w:tabs>
                <w:tab w:val="left" w:pos="288"/>
                <w:tab w:val="left" w:pos="4752"/>
              </w:tabs>
              <w:spacing w:after="0" w:line="240" w:lineRule="exact"/>
              <w:jc w:val="center"/>
              <w:rPr>
                <w:rFonts w:eastAsia="Times New Roman" w:cs="Times New Roman"/>
                <w:b/>
                <w:sz w:val="24"/>
                <w:szCs w:val="24"/>
              </w:rPr>
            </w:pPr>
            <w:r w:rsidRPr="00695AC9">
              <w:rPr>
                <w:rFonts w:eastAsia="Times New Roman" w:cs="Times New Roman"/>
                <w:b/>
                <w:sz w:val="24"/>
                <w:szCs w:val="24"/>
              </w:rPr>
              <w:t>UNFITTING CONDITION</w:t>
            </w:r>
          </w:p>
        </w:tc>
        <w:tc>
          <w:tcPr>
            <w:tcW w:w="1710" w:type="dxa"/>
            <w:shd w:val="clear" w:color="auto" w:fill="D9D9D9"/>
            <w:vAlign w:val="center"/>
          </w:tcPr>
          <w:p w:rsidR="0010672E" w:rsidRPr="00695AC9" w:rsidRDefault="0010672E" w:rsidP="0010672E">
            <w:pPr>
              <w:tabs>
                <w:tab w:val="left" w:pos="288"/>
                <w:tab w:val="left" w:pos="4752"/>
              </w:tabs>
              <w:spacing w:after="0" w:line="240" w:lineRule="exact"/>
              <w:jc w:val="center"/>
              <w:rPr>
                <w:rFonts w:eastAsia="Times New Roman" w:cs="Times New Roman"/>
                <w:b/>
                <w:sz w:val="24"/>
                <w:szCs w:val="24"/>
              </w:rPr>
            </w:pPr>
            <w:r w:rsidRPr="00695AC9">
              <w:rPr>
                <w:rFonts w:eastAsia="Times New Roman" w:cs="Times New Roman"/>
                <w:b/>
                <w:sz w:val="24"/>
                <w:szCs w:val="24"/>
              </w:rPr>
              <w:t>VASRD CODE</w:t>
            </w:r>
          </w:p>
        </w:tc>
        <w:tc>
          <w:tcPr>
            <w:tcW w:w="1170" w:type="dxa"/>
            <w:shd w:val="clear" w:color="auto" w:fill="D9D9D9"/>
            <w:vAlign w:val="center"/>
          </w:tcPr>
          <w:p w:rsidR="0010672E" w:rsidRPr="00695AC9" w:rsidRDefault="0010672E" w:rsidP="0010672E">
            <w:pPr>
              <w:tabs>
                <w:tab w:val="left" w:pos="288"/>
                <w:tab w:val="left" w:pos="4752"/>
              </w:tabs>
              <w:spacing w:after="0" w:line="240" w:lineRule="exact"/>
              <w:jc w:val="center"/>
              <w:rPr>
                <w:rFonts w:eastAsia="Times New Roman" w:cs="Times New Roman"/>
                <w:b/>
                <w:sz w:val="24"/>
                <w:szCs w:val="24"/>
              </w:rPr>
            </w:pPr>
            <w:r w:rsidRPr="00695AC9">
              <w:rPr>
                <w:rFonts w:eastAsia="Times New Roman" w:cs="Times New Roman"/>
                <w:b/>
                <w:sz w:val="24"/>
                <w:szCs w:val="24"/>
              </w:rPr>
              <w:t>RATING</w:t>
            </w:r>
          </w:p>
        </w:tc>
      </w:tr>
      <w:tr w:rsidR="0010672E" w:rsidRPr="00695AC9" w:rsidTr="008E1D3E">
        <w:trPr>
          <w:jc w:val="center"/>
        </w:trPr>
        <w:tc>
          <w:tcPr>
            <w:tcW w:w="6480" w:type="dxa"/>
            <w:vAlign w:val="center"/>
          </w:tcPr>
          <w:p w:rsidR="0010672E" w:rsidRPr="00695AC9" w:rsidRDefault="005C5312" w:rsidP="0010672E">
            <w:pPr>
              <w:tabs>
                <w:tab w:val="left" w:pos="288"/>
                <w:tab w:val="left" w:pos="4752"/>
              </w:tabs>
              <w:spacing w:after="0" w:line="240" w:lineRule="exact"/>
              <w:rPr>
                <w:rFonts w:eastAsia="Times New Roman" w:cs="Times New Roman"/>
                <w:sz w:val="24"/>
                <w:szCs w:val="24"/>
              </w:rPr>
            </w:pPr>
            <w:r w:rsidRPr="00695AC9">
              <w:rPr>
                <w:rFonts w:eastAsia="Times New Roman" w:cs="Times New Roman"/>
                <w:sz w:val="24"/>
                <w:szCs w:val="24"/>
              </w:rPr>
              <w:t>Asthma</w:t>
            </w:r>
          </w:p>
        </w:tc>
        <w:tc>
          <w:tcPr>
            <w:tcW w:w="1710" w:type="dxa"/>
            <w:vAlign w:val="center"/>
          </w:tcPr>
          <w:p w:rsidR="0010672E" w:rsidRPr="00695AC9" w:rsidRDefault="005C5312" w:rsidP="0010672E">
            <w:pPr>
              <w:tabs>
                <w:tab w:val="left" w:pos="288"/>
                <w:tab w:val="left" w:pos="4752"/>
              </w:tabs>
              <w:spacing w:after="0" w:line="240" w:lineRule="exact"/>
              <w:jc w:val="center"/>
              <w:rPr>
                <w:rFonts w:eastAsia="Times New Roman" w:cs="Times New Roman"/>
                <w:sz w:val="24"/>
                <w:szCs w:val="24"/>
              </w:rPr>
            </w:pPr>
            <w:r w:rsidRPr="00695AC9">
              <w:rPr>
                <w:rFonts w:eastAsia="Times New Roman" w:cs="Times New Roman"/>
                <w:sz w:val="24"/>
                <w:szCs w:val="24"/>
              </w:rPr>
              <w:t>6602</w:t>
            </w:r>
          </w:p>
        </w:tc>
        <w:tc>
          <w:tcPr>
            <w:tcW w:w="1170" w:type="dxa"/>
            <w:vAlign w:val="center"/>
          </w:tcPr>
          <w:p w:rsidR="0010672E" w:rsidRPr="00695AC9" w:rsidRDefault="00006351" w:rsidP="00006351">
            <w:pPr>
              <w:tabs>
                <w:tab w:val="left" w:pos="288"/>
                <w:tab w:val="left" w:pos="4752"/>
              </w:tabs>
              <w:spacing w:after="0" w:line="240" w:lineRule="exact"/>
              <w:jc w:val="center"/>
              <w:rPr>
                <w:rFonts w:eastAsia="Times New Roman" w:cs="Times New Roman"/>
                <w:sz w:val="24"/>
                <w:szCs w:val="24"/>
              </w:rPr>
            </w:pPr>
            <w:r w:rsidRPr="00695AC9">
              <w:rPr>
                <w:rFonts w:eastAsia="Times New Roman" w:cs="Times New Roman"/>
                <w:sz w:val="24"/>
                <w:szCs w:val="24"/>
              </w:rPr>
              <w:t>3</w:t>
            </w:r>
            <w:r w:rsidR="005C5312" w:rsidRPr="00695AC9">
              <w:rPr>
                <w:rFonts w:eastAsia="Times New Roman" w:cs="Times New Roman"/>
                <w:sz w:val="24"/>
                <w:szCs w:val="24"/>
              </w:rPr>
              <w:t>0</w:t>
            </w:r>
            <w:r w:rsidR="0010672E" w:rsidRPr="00695AC9">
              <w:rPr>
                <w:rFonts w:eastAsia="Times New Roman" w:cs="Times New Roman"/>
                <w:sz w:val="24"/>
                <w:szCs w:val="24"/>
              </w:rPr>
              <w:t>%</w:t>
            </w:r>
          </w:p>
        </w:tc>
      </w:tr>
      <w:tr w:rsidR="0010672E" w:rsidRPr="00695AC9" w:rsidTr="008E1D3E">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0672E" w:rsidRPr="00695AC9" w:rsidRDefault="0010672E" w:rsidP="0010672E">
            <w:pPr>
              <w:tabs>
                <w:tab w:val="left" w:pos="288"/>
                <w:tab w:val="left" w:pos="4752"/>
              </w:tabs>
              <w:spacing w:after="0" w:line="240" w:lineRule="exact"/>
              <w:jc w:val="center"/>
              <w:rPr>
                <w:rFonts w:eastAsia="Times New Roman" w:cs="Times New Roman"/>
                <w:b/>
                <w:sz w:val="24"/>
                <w:szCs w:val="24"/>
              </w:rPr>
            </w:pPr>
            <w:r w:rsidRPr="00695AC9">
              <w:rPr>
                <w:rFonts w:eastAsia="Times New Roman" w:cs="Times New Roman"/>
                <w:b/>
                <w:sz w:val="24"/>
                <w:szCs w:val="24"/>
              </w:rPr>
              <w:t>COMBINED</w:t>
            </w:r>
          </w:p>
        </w:tc>
        <w:tc>
          <w:tcPr>
            <w:tcW w:w="1170" w:type="dxa"/>
            <w:tcBorders>
              <w:bottom w:val="single" w:sz="4" w:space="0" w:color="000000"/>
            </w:tcBorders>
            <w:shd w:val="clear" w:color="auto" w:fill="D9D9D9" w:themeFill="background1" w:themeFillShade="D9"/>
            <w:vAlign w:val="center"/>
          </w:tcPr>
          <w:p w:rsidR="0010672E" w:rsidRPr="00695AC9" w:rsidRDefault="00006351" w:rsidP="00006351">
            <w:pPr>
              <w:tabs>
                <w:tab w:val="left" w:pos="288"/>
                <w:tab w:val="left" w:pos="4752"/>
              </w:tabs>
              <w:spacing w:after="0" w:line="240" w:lineRule="exact"/>
              <w:jc w:val="center"/>
              <w:rPr>
                <w:rFonts w:eastAsia="Times New Roman" w:cs="Times New Roman"/>
                <w:b/>
                <w:sz w:val="24"/>
                <w:szCs w:val="24"/>
              </w:rPr>
            </w:pPr>
            <w:r w:rsidRPr="00695AC9">
              <w:rPr>
                <w:rFonts w:eastAsia="Times New Roman" w:cs="Times New Roman"/>
                <w:b/>
                <w:sz w:val="24"/>
                <w:szCs w:val="24"/>
              </w:rPr>
              <w:t>3</w:t>
            </w:r>
            <w:r w:rsidR="005C5312" w:rsidRPr="00695AC9">
              <w:rPr>
                <w:rFonts w:eastAsia="Times New Roman" w:cs="Times New Roman"/>
                <w:b/>
                <w:sz w:val="24"/>
                <w:szCs w:val="24"/>
              </w:rPr>
              <w:t>0</w:t>
            </w:r>
            <w:r w:rsidR="0010672E" w:rsidRPr="00695AC9">
              <w:rPr>
                <w:rFonts w:eastAsia="Times New Roman" w:cs="Times New Roman"/>
                <w:b/>
                <w:sz w:val="24"/>
                <w:szCs w:val="24"/>
              </w:rPr>
              <w:t>%</w:t>
            </w:r>
          </w:p>
        </w:tc>
      </w:tr>
    </w:tbl>
    <w:p w:rsidR="0010672E" w:rsidRPr="00695AC9" w:rsidRDefault="0010672E" w:rsidP="0010672E">
      <w:pPr>
        <w:spacing w:after="0" w:line="240" w:lineRule="exact"/>
        <w:jc w:val="both"/>
        <w:rPr>
          <w:rFonts w:eastAsia="Times New Roman" w:cs="Times New Roman"/>
          <w:sz w:val="24"/>
          <w:szCs w:val="24"/>
        </w:rPr>
      </w:pPr>
    </w:p>
    <w:p w:rsidR="0010672E" w:rsidRPr="00695AC9" w:rsidRDefault="0010672E" w:rsidP="0010672E">
      <w:pPr>
        <w:tabs>
          <w:tab w:val="left" w:pos="288"/>
          <w:tab w:val="left" w:pos="1710"/>
        </w:tabs>
        <w:spacing w:after="0" w:line="240" w:lineRule="exact"/>
        <w:rPr>
          <w:rFonts w:eastAsia="Times New Roman" w:cs="Times New Roman"/>
          <w:b/>
          <w:caps/>
          <w:sz w:val="24"/>
          <w:szCs w:val="20"/>
          <w:u w:val="single"/>
        </w:rPr>
      </w:pPr>
      <w:r w:rsidRPr="00695AC9">
        <w:rPr>
          <w:rFonts w:eastAsia="Times New Roman" w:cs="Times New Roman"/>
          <w:b/>
          <w:sz w:val="24"/>
          <w:szCs w:val="20"/>
          <w:u w:val="single"/>
        </w:rPr>
        <w:t>______________________________________________________________________________</w:t>
      </w:r>
    </w:p>
    <w:p w:rsidR="0010672E" w:rsidRPr="00695AC9" w:rsidRDefault="0010672E" w:rsidP="0010672E">
      <w:pPr>
        <w:tabs>
          <w:tab w:val="left" w:pos="288"/>
          <w:tab w:val="left" w:pos="4752"/>
        </w:tabs>
        <w:spacing w:after="0" w:line="240" w:lineRule="exact"/>
        <w:rPr>
          <w:rFonts w:ascii="Calibri" w:eastAsia="Times New Roman" w:hAnsi="Calibri" w:cs="Times New Roman"/>
          <w:b/>
          <w:sz w:val="24"/>
          <w:szCs w:val="24"/>
        </w:rPr>
      </w:pP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r w:rsidRPr="00695AC9">
        <w:rPr>
          <w:rFonts w:eastAsia="Times New Roman" w:cs="Times New Roman"/>
          <w:sz w:val="24"/>
          <w:szCs w:val="20"/>
        </w:rPr>
        <w:t>The following documentary evidence was considered:</w:t>
      </w: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r w:rsidRPr="00695AC9">
        <w:rPr>
          <w:rFonts w:eastAsia="Times New Roman" w:cs="Times New Roman"/>
          <w:sz w:val="24"/>
          <w:szCs w:val="20"/>
        </w:rPr>
        <w:t xml:space="preserve">Exhibit A.  DD Form </w:t>
      </w:r>
      <w:proofErr w:type="gramStart"/>
      <w:r w:rsidRPr="00695AC9">
        <w:rPr>
          <w:rFonts w:eastAsia="Times New Roman" w:cs="Times New Roman"/>
          <w:sz w:val="24"/>
          <w:szCs w:val="20"/>
        </w:rPr>
        <w:t>294,</w:t>
      </w:r>
      <w:proofErr w:type="gramEnd"/>
      <w:r w:rsidRPr="00695AC9">
        <w:rPr>
          <w:rFonts w:eastAsia="Times New Roman" w:cs="Times New Roman"/>
          <w:sz w:val="24"/>
          <w:szCs w:val="20"/>
        </w:rPr>
        <w:t xml:space="preserve"> dated 20091229, w/atchs.</w:t>
      </w: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r w:rsidRPr="00695AC9">
        <w:rPr>
          <w:rFonts w:eastAsia="Times New Roman" w:cs="Times New Roman"/>
          <w:sz w:val="24"/>
          <w:szCs w:val="20"/>
        </w:rPr>
        <w:t xml:space="preserve">Exhibit B.  </w:t>
      </w:r>
      <w:proofErr w:type="gramStart"/>
      <w:r w:rsidRPr="00695AC9">
        <w:rPr>
          <w:rFonts w:eastAsia="Times New Roman" w:cs="Times New Roman"/>
          <w:sz w:val="24"/>
          <w:szCs w:val="20"/>
        </w:rPr>
        <w:t>Service Treatment Record.</w:t>
      </w:r>
      <w:proofErr w:type="gramEnd"/>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r w:rsidRPr="00695AC9">
        <w:rPr>
          <w:rFonts w:eastAsia="Times New Roman" w:cs="Times New Roman"/>
          <w:sz w:val="24"/>
          <w:szCs w:val="20"/>
        </w:rPr>
        <w:t xml:space="preserve">Exhibit C.  </w:t>
      </w:r>
      <w:proofErr w:type="gramStart"/>
      <w:r w:rsidRPr="00695AC9">
        <w:rPr>
          <w:rFonts w:eastAsia="Times New Roman" w:cs="Times New Roman"/>
          <w:sz w:val="24"/>
          <w:szCs w:val="20"/>
        </w:rPr>
        <w:t>Department of Veterans' Affairs Treatment Record.</w:t>
      </w:r>
      <w:proofErr w:type="gramEnd"/>
    </w:p>
    <w:p w:rsidR="00F46B41" w:rsidRDefault="00F46B41">
      <w:pPr>
        <w:rPr>
          <w:rFonts w:eastAsia="Times New Roman" w:cs="Times New Roman"/>
          <w:sz w:val="24"/>
          <w:szCs w:val="20"/>
        </w:rPr>
      </w:pPr>
      <w:r>
        <w:rPr>
          <w:rFonts w:eastAsia="Times New Roman" w:cs="Times New Roman"/>
          <w:sz w:val="24"/>
          <w:szCs w:val="20"/>
        </w:rPr>
        <w:br w:type="page"/>
      </w: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p>
    <w:p w:rsidR="0010672E" w:rsidRPr="00695AC9" w:rsidRDefault="0010672E" w:rsidP="0010672E">
      <w:pPr>
        <w:tabs>
          <w:tab w:val="left" w:pos="288"/>
          <w:tab w:val="left" w:pos="4752"/>
        </w:tabs>
        <w:spacing w:after="0" w:line="240" w:lineRule="exact"/>
        <w:jc w:val="both"/>
        <w:rPr>
          <w:rFonts w:eastAsia="Times New Roman" w:cs="Times New Roman"/>
          <w:sz w:val="24"/>
          <w:szCs w:val="20"/>
        </w:rPr>
      </w:pPr>
    </w:p>
    <w:p w:rsidR="00F46B41" w:rsidRDefault="00F46B41" w:rsidP="00F46B41">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PD-2010-00024</w:t>
      </w:r>
    </w:p>
    <w:p w:rsidR="00F46B41" w:rsidRDefault="00F46B41" w:rsidP="00F46B41">
      <w:pPr>
        <w:tabs>
          <w:tab w:val="left" w:pos="720"/>
        </w:tabs>
        <w:spacing w:line="240" w:lineRule="exact"/>
        <w:ind w:right="-360"/>
        <w:rPr>
          <w:rFonts w:ascii="Times New Roman" w:hAnsi="Times New Roman"/>
          <w:color w:val="000080"/>
        </w:rPr>
      </w:pPr>
    </w:p>
    <w:p w:rsidR="00F46B41" w:rsidRDefault="00F46B41" w:rsidP="00F46B41">
      <w:pPr>
        <w:tabs>
          <w:tab w:val="left" w:pos="720"/>
        </w:tabs>
        <w:spacing w:line="240" w:lineRule="exact"/>
        <w:ind w:right="-360"/>
        <w:rPr>
          <w:rFonts w:ascii="Times New Roman" w:hAnsi="Times New Roman"/>
          <w:color w:val="000080"/>
        </w:rPr>
      </w:pPr>
    </w:p>
    <w:p w:rsidR="00F46B41" w:rsidRDefault="00F46B41" w:rsidP="00F46B41">
      <w:pPr>
        <w:tabs>
          <w:tab w:val="left" w:pos="720"/>
        </w:tabs>
        <w:spacing w:line="240" w:lineRule="exact"/>
        <w:ind w:right="-360"/>
        <w:rPr>
          <w:rFonts w:ascii="Times New Roman" w:hAnsi="Times New Roman"/>
          <w:color w:val="000080"/>
        </w:rPr>
      </w:pPr>
    </w:p>
    <w:p w:rsidR="00F46B41" w:rsidRDefault="00F46B41" w:rsidP="00F46B41">
      <w:pPr>
        <w:tabs>
          <w:tab w:val="left" w:pos="720"/>
        </w:tabs>
        <w:spacing w:line="240" w:lineRule="exact"/>
        <w:ind w:right="-360"/>
        <w:rPr>
          <w:rFonts w:ascii="Times New Roman" w:hAnsi="Times New Roman"/>
          <w:color w:val="000080"/>
        </w:rPr>
      </w:pPr>
    </w:p>
    <w:p w:rsidR="00F46B41" w:rsidRDefault="00F46B41" w:rsidP="00F46B41">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F46B41" w:rsidRDefault="00F46B41" w:rsidP="00F46B41">
      <w:pPr>
        <w:tabs>
          <w:tab w:val="left" w:pos="720"/>
        </w:tabs>
        <w:spacing w:line="240" w:lineRule="exact"/>
        <w:ind w:right="-360"/>
        <w:rPr>
          <w:rFonts w:ascii="Times New Roman" w:hAnsi="Times New Roman"/>
          <w:color w:val="000080"/>
        </w:rPr>
      </w:pPr>
    </w:p>
    <w:p w:rsidR="00F46B41" w:rsidRDefault="00F46B41" w:rsidP="00F46B41">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F46B41" w:rsidRDefault="00F46B41" w:rsidP="00F46B41">
      <w:pPr>
        <w:tabs>
          <w:tab w:val="left" w:pos="720"/>
        </w:tabs>
        <w:spacing w:line="240" w:lineRule="exact"/>
        <w:ind w:right="-360"/>
        <w:rPr>
          <w:rFonts w:ascii="Times New Roman" w:hAnsi="Times New Roman"/>
          <w:color w:val="000080"/>
        </w:rPr>
      </w:pPr>
      <w:r>
        <w:rPr>
          <w:rFonts w:ascii="Times New Roman" w:hAnsi="Times New Roman"/>
          <w:color w:val="000080"/>
        </w:rPr>
        <w:tab/>
        <w:t>The pertinent military records of the Department of the Air Force relating to XXXXXXXXXXXX, be corrected to show that:</w:t>
      </w:r>
    </w:p>
    <w:p w:rsidR="00F46B41" w:rsidRDefault="00F46B41" w:rsidP="00F46B41">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The</w:t>
      </w:r>
      <w:proofErr w:type="gramEnd"/>
      <w:r>
        <w:rPr>
          <w:rFonts w:ascii="Times New Roman" w:hAnsi="Times New Roman"/>
          <w:color w:val="000080"/>
        </w:rPr>
        <w:t xml:space="preserve"> diagnosis in his finding of unfitness for Asthma, VASRD code 6602, was rated at 30% rather than 10%.</w:t>
      </w:r>
    </w:p>
    <w:p w:rsidR="00F46B41" w:rsidRDefault="00F46B41" w:rsidP="00F46B4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6 February 2003, he elected child only coverage under the Survivor Benefit Plan (SBP) based on full retired pay.</w:t>
      </w:r>
    </w:p>
    <w:p w:rsidR="00F46B41" w:rsidRDefault="00F46B41" w:rsidP="00F46B4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2060"/>
        </w:rPr>
        <w:tab/>
      </w:r>
      <w:r>
        <w:rPr>
          <w:rFonts w:ascii="Times New Roman" w:hAnsi="Times New Roman"/>
          <w:color w:val="002060"/>
        </w:rPr>
        <w:tab/>
        <w:t>c.</w:t>
      </w:r>
      <w:proofErr w:type="gramStart"/>
      <w:r>
        <w:rPr>
          <w:rFonts w:ascii="Times New Roman" w:hAnsi="Times New Roman"/>
          <w:color w:val="002060"/>
        </w:rPr>
        <w:t>  He</w:t>
      </w:r>
      <w:proofErr w:type="gramEnd"/>
      <w:r>
        <w:rPr>
          <w:rFonts w:ascii="Times New Roman" w:hAnsi="Times New Roman"/>
          <w:color w:val="002060"/>
        </w:rPr>
        <w:t xml:space="preserve"> was not discharged</w:t>
      </w:r>
      <w:r>
        <w:rPr>
          <w:rFonts w:ascii="Times New Roman" w:hAnsi="Times New Roman"/>
          <w:color w:val="000080"/>
        </w:rPr>
        <w:t xml:space="preserve"> on 6 February 2003; rather, on that date he was relieved from active duty and on 7 February 2003 his name was placed on the Permanent Disability Retired List.  </w:t>
      </w:r>
    </w:p>
    <w:p w:rsidR="00F46B41" w:rsidRDefault="00F46B41" w:rsidP="00F46B4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F46B41" w:rsidRDefault="00F46B41" w:rsidP="00F46B4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F46B41" w:rsidRDefault="00F46B41" w:rsidP="00F46B4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F46B41" w:rsidRDefault="00F46B41" w:rsidP="00F46B4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F46B41" w:rsidRDefault="00F46B41" w:rsidP="00F46B41">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69102E" w:rsidRPr="00695AC9" w:rsidRDefault="0069102E" w:rsidP="0069102E">
      <w:pPr>
        <w:rPr>
          <w:rFonts w:eastAsia="Times New Roman" w:cs="Times New Roman"/>
          <w:sz w:val="24"/>
          <w:szCs w:val="20"/>
        </w:rPr>
      </w:pPr>
    </w:p>
    <w:sectPr w:rsidR="0069102E" w:rsidRPr="00695AC9" w:rsidSect="008E1D3E">
      <w:footerReference w:type="default" r:id="rId6"/>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B3" w:rsidRDefault="00B858B3" w:rsidP="00D11227">
      <w:pPr>
        <w:spacing w:after="0" w:line="240" w:lineRule="auto"/>
      </w:pPr>
      <w:r>
        <w:separator/>
      </w:r>
    </w:p>
  </w:endnote>
  <w:endnote w:type="continuationSeparator" w:id="0">
    <w:p w:rsidR="00B858B3" w:rsidRDefault="00B858B3" w:rsidP="00D11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Times New Roman" w:hAnsi="Calibri" w:cs="Times New Roman"/>
        <w:sz w:val="24"/>
        <w:szCs w:val="20"/>
      </w:rPr>
      <w:id w:val="6984766"/>
      <w:docPartObj>
        <w:docPartGallery w:val="Page Numbers (Bottom of Page)"/>
        <w:docPartUnique/>
      </w:docPartObj>
    </w:sdtPr>
    <w:sdtContent>
      <w:p w:rsidR="000F2C80" w:rsidRPr="000F2C80" w:rsidRDefault="00B254C6" w:rsidP="000F2C80">
        <w:pPr>
          <w:tabs>
            <w:tab w:val="center" w:pos="4320"/>
            <w:tab w:val="right" w:pos="8640"/>
          </w:tabs>
          <w:spacing w:after="0" w:line="240" w:lineRule="auto"/>
          <w:jc w:val="right"/>
          <w:rPr>
            <w:rFonts w:ascii="Calibri" w:eastAsia="Times New Roman" w:hAnsi="Calibri" w:cs="Times New Roman"/>
            <w:sz w:val="24"/>
            <w:szCs w:val="20"/>
          </w:rPr>
        </w:pPr>
        <w:r w:rsidRPr="000F2C80">
          <w:rPr>
            <w:rFonts w:ascii="Calibri" w:eastAsia="Times New Roman" w:hAnsi="Calibri" w:cs="Times New Roman"/>
            <w:sz w:val="24"/>
            <w:szCs w:val="20"/>
          </w:rPr>
          <w:fldChar w:fldCharType="begin"/>
        </w:r>
        <w:r w:rsidR="000F2C80" w:rsidRPr="000F2C80">
          <w:rPr>
            <w:rFonts w:ascii="Calibri" w:eastAsia="Times New Roman" w:hAnsi="Calibri" w:cs="Times New Roman"/>
            <w:sz w:val="24"/>
            <w:szCs w:val="20"/>
          </w:rPr>
          <w:instrText xml:space="preserve"> PAGE   \* MERGEFORMAT </w:instrText>
        </w:r>
        <w:r w:rsidRPr="000F2C80">
          <w:rPr>
            <w:rFonts w:ascii="Calibri" w:eastAsia="Times New Roman" w:hAnsi="Calibri" w:cs="Times New Roman"/>
            <w:sz w:val="24"/>
            <w:szCs w:val="20"/>
          </w:rPr>
          <w:fldChar w:fldCharType="separate"/>
        </w:r>
        <w:r w:rsidR="00F46B41">
          <w:rPr>
            <w:rFonts w:ascii="Calibri" w:eastAsia="Times New Roman" w:hAnsi="Calibri" w:cs="Times New Roman"/>
            <w:noProof/>
            <w:sz w:val="24"/>
            <w:szCs w:val="20"/>
          </w:rPr>
          <w:t>5</w:t>
        </w:r>
        <w:r w:rsidRPr="000F2C80">
          <w:rPr>
            <w:rFonts w:ascii="Calibri" w:eastAsia="Times New Roman" w:hAnsi="Calibri" w:cs="Times New Roman"/>
            <w:sz w:val="24"/>
            <w:szCs w:val="20"/>
          </w:rPr>
          <w:fldChar w:fldCharType="end"/>
        </w:r>
        <w:r w:rsidR="000F2C80" w:rsidRPr="000F2C80">
          <w:rPr>
            <w:rFonts w:ascii="Calibri" w:eastAsia="Times New Roman" w:hAnsi="Calibri" w:cs="Times New Roman"/>
            <w:sz w:val="24"/>
            <w:szCs w:val="20"/>
          </w:rPr>
          <w:t xml:space="preserve">                                                                    PD1000024</w:t>
        </w:r>
      </w:p>
    </w:sdtContent>
  </w:sdt>
  <w:p w:rsidR="003C420C" w:rsidRPr="00684CE6" w:rsidRDefault="003C420C" w:rsidP="000F2C80">
    <w:pPr>
      <w:pStyle w:val="Footer"/>
      <w:jc w:val="center"/>
    </w:pPr>
  </w:p>
  <w:p w:rsidR="003C420C" w:rsidRPr="00684CE6" w:rsidRDefault="003C4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B3" w:rsidRDefault="00B858B3" w:rsidP="00D11227">
      <w:pPr>
        <w:spacing w:after="0" w:line="240" w:lineRule="auto"/>
      </w:pPr>
      <w:r>
        <w:separator/>
      </w:r>
    </w:p>
  </w:footnote>
  <w:footnote w:type="continuationSeparator" w:id="0">
    <w:p w:rsidR="00B858B3" w:rsidRDefault="00B858B3" w:rsidP="00D112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endnote w:id="-1"/>
    <w:endnote w:id="0"/>
  </w:endnotePr>
  <w:compat/>
  <w:rsids>
    <w:rsidRoot w:val="0010672E"/>
    <w:rsid w:val="00006351"/>
    <w:rsid w:val="00085BA0"/>
    <w:rsid w:val="000C49DF"/>
    <w:rsid w:val="000D48E0"/>
    <w:rsid w:val="000D6FB0"/>
    <w:rsid w:val="000F2C80"/>
    <w:rsid w:val="000F7B4B"/>
    <w:rsid w:val="0010672E"/>
    <w:rsid w:val="0015605C"/>
    <w:rsid w:val="001C1BDD"/>
    <w:rsid w:val="001C2B80"/>
    <w:rsid w:val="001C6C34"/>
    <w:rsid w:val="001E6E29"/>
    <w:rsid w:val="001F2EA1"/>
    <w:rsid w:val="002079F5"/>
    <w:rsid w:val="0022039F"/>
    <w:rsid w:val="002316CD"/>
    <w:rsid w:val="00232CB5"/>
    <w:rsid w:val="00297863"/>
    <w:rsid w:val="002B7A26"/>
    <w:rsid w:val="002E555F"/>
    <w:rsid w:val="002E5599"/>
    <w:rsid w:val="002F37C9"/>
    <w:rsid w:val="00380F91"/>
    <w:rsid w:val="003849C5"/>
    <w:rsid w:val="003A64DE"/>
    <w:rsid w:val="003B3993"/>
    <w:rsid w:val="003C420C"/>
    <w:rsid w:val="003D5E41"/>
    <w:rsid w:val="003D5E88"/>
    <w:rsid w:val="00465100"/>
    <w:rsid w:val="004A288A"/>
    <w:rsid w:val="004D0653"/>
    <w:rsid w:val="004E4D2A"/>
    <w:rsid w:val="00524B62"/>
    <w:rsid w:val="00536649"/>
    <w:rsid w:val="005C5312"/>
    <w:rsid w:val="00615064"/>
    <w:rsid w:val="00656682"/>
    <w:rsid w:val="0069102E"/>
    <w:rsid w:val="00695AC9"/>
    <w:rsid w:val="006B05E8"/>
    <w:rsid w:val="006E70E9"/>
    <w:rsid w:val="00715094"/>
    <w:rsid w:val="007D7BD2"/>
    <w:rsid w:val="00836FB6"/>
    <w:rsid w:val="00853933"/>
    <w:rsid w:val="00866000"/>
    <w:rsid w:val="00873679"/>
    <w:rsid w:val="0087420E"/>
    <w:rsid w:val="008A14AF"/>
    <w:rsid w:val="008A3B14"/>
    <w:rsid w:val="008D778A"/>
    <w:rsid w:val="008E1D3E"/>
    <w:rsid w:val="008E7D70"/>
    <w:rsid w:val="009A6BF1"/>
    <w:rsid w:val="00A16852"/>
    <w:rsid w:val="00A97EAF"/>
    <w:rsid w:val="00AC6DF7"/>
    <w:rsid w:val="00AC744A"/>
    <w:rsid w:val="00B03BFA"/>
    <w:rsid w:val="00B254C6"/>
    <w:rsid w:val="00B858B3"/>
    <w:rsid w:val="00BB56B6"/>
    <w:rsid w:val="00BE55BC"/>
    <w:rsid w:val="00C85BE1"/>
    <w:rsid w:val="00C952FA"/>
    <w:rsid w:val="00CF5242"/>
    <w:rsid w:val="00D11227"/>
    <w:rsid w:val="00D16176"/>
    <w:rsid w:val="00D90738"/>
    <w:rsid w:val="00DE1A37"/>
    <w:rsid w:val="00E37058"/>
    <w:rsid w:val="00E42D28"/>
    <w:rsid w:val="00EA2E85"/>
    <w:rsid w:val="00EA45C1"/>
    <w:rsid w:val="00EB25F5"/>
    <w:rsid w:val="00F14CF9"/>
    <w:rsid w:val="00F46B41"/>
    <w:rsid w:val="00F74309"/>
    <w:rsid w:val="00F765DB"/>
    <w:rsid w:val="00F81D28"/>
    <w:rsid w:val="00FC7089"/>
    <w:rsid w:val="00FD2158"/>
    <w:rsid w:val="00FE61EF"/>
    <w:rsid w:val="00FF1AF9"/>
    <w:rsid w:val="00FF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6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72E"/>
  </w:style>
  <w:style w:type="table" w:styleId="TableGrid">
    <w:name w:val="Table Grid"/>
    <w:basedOn w:val="TableNormal"/>
    <w:uiPriority w:val="59"/>
    <w:rsid w:val="00106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2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C80"/>
  </w:style>
  <w:style w:type="paragraph" w:styleId="BalloonText">
    <w:name w:val="Balloon Text"/>
    <w:basedOn w:val="Normal"/>
    <w:link w:val="BalloonTextChar"/>
    <w:uiPriority w:val="99"/>
    <w:semiHidden/>
    <w:unhideWhenUsed/>
    <w:rsid w:val="00FF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F9"/>
    <w:rPr>
      <w:rFonts w:ascii="Tahoma" w:hAnsi="Tahoma" w:cs="Tahoma"/>
      <w:sz w:val="16"/>
      <w:szCs w:val="16"/>
    </w:rPr>
  </w:style>
  <w:style w:type="paragraph" w:styleId="BodyText">
    <w:name w:val="Body Text"/>
    <w:basedOn w:val="Normal"/>
    <w:link w:val="BodyTextChar"/>
    <w:semiHidden/>
    <w:unhideWhenUsed/>
    <w:rsid w:val="00F46B41"/>
    <w:pPr>
      <w:tabs>
        <w:tab w:val="left" w:pos="720"/>
      </w:tabs>
      <w:spacing w:after="0" w:line="240" w:lineRule="exact"/>
      <w:ind w:right="-360"/>
    </w:pPr>
    <w:rPr>
      <w:rFonts w:ascii="Times New Roman" w:eastAsia="Times New Roman" w:hAnsi="Times New Roman" w:cs="Times New Roman"/>
      <w:color w:val="000080"/>
      <w:sz w:val="24"/>
      <w:szCs w:val="20"/>
    </w:rPr>
  </w:style>
  <w:style w:type="character" w:customStyle="1" w:styleId="BodyTextChar">
    <w:name w:val="Body Text Char"/>
    <w:basedOn w:val="DefaultParagraphFont"/>
    <w:link w:val="BodyText"/>
    <w:semiHidden/>
    <w:rsid w:val="00F46B41"/>
    <w:rPr>
      <w:rFonts w:ascii="Times New Roman" w:eastAsia="Times New Roman" w:hAnsi="Times New Roman" w:cs="Times New Roman"/>
      <w:color w:val="000080"/>
      <w:sz w:val="24"/>
      <w:szCs w:val="20"/>
    </w:rPr>
  </w:style>
</w:styles>
</file>

<file path=word/webSettings.xml><?xml version="1.0" encoding="utf-8"?>
<w:webSettings xmlns:r="http://schemas.openxmlformats.org/officeDocument/2006/relationships" xmlns:w="http://schemas.openxmlformats.org/wordprocessingml/2006/main">
  <w:divs>
    <w:div w:id="96020724">
      <w:bodyDiv w:val="1"/>
      <w:marLeft w:val="0"/>
      <w:marRight w:val="0"/>
      <w:marTop w:val="0"/>
      <w:marBottom w:val="0"/>
      <w:divBdr>
        <w:top w:val="none" w:sz="0" w:space="0" w:color="auto"/>
        <w:left w:val="none" w:sz="0" w:space="0" w:color="auto"/>
        <w:bottom w:val="none" w:sz="0" w:space="0" w:color="auto"/>
        <w:right w:val="none" w:sz="0" w:space="0" w:color="auto"/>
      </w:divBdr>
    </w:div>
    <w:div w:id="430391428">
      <w:bodyDiv w:val="1"/>
      <w:marLeft w:val="0"/>
      <w:marRight w:val="0"/>
      <w:marTop w:val="0"/>
      <w:marBottom w:val="0"/>
      <w:divBdr>
        <w:top w:val="none" w:sz="0" w:space="0" w:color="auto"/>
        <w:left w:val="none" w:sz="0" w:space="0" w:color="auto"/>
        <w:bottom w:val="none" w:sz="0" w:space="0" w:color="auto"/>
        <w:right w:val="none" w:sz="0" w:space="0" w:color="auto"/>
      </w:divBdr>
    </w:div>
    <w:div w:id="584804564">
      <w:bodyDiv w:val="1"/>
      <w:marLeft w:val="0"/>
      <w:marRight w:val="0"/>
      <w:marTop w:val="0"/>
      <w:marBottom w:val="0"/>
      <w:divBdr>
        <w:top w:val="none" w:sz="0" w:space="0" w:color="auto"/>
        <w:left w:val="none" w:sz="0" w:space="0" w:color="auto"/>
        <w:bottom w:val="none" w:sz="0" w:space="0" w:color="auto"/>
        <w:right w:val="none" w:sz="0" w:space="0" w:color="auto"/>
      </w:divBdr>
    </w:div>
    <w:div w:id="1112674120">
      <w:bodyDiv w:val="1"/>
      <w:marLeft w:val="0"/>
      <w:marRight w:val="0"/>
      <w:marTop w:val="0"/>
      <w:marBottom w:val="0"/>
      <w:divBdr>
        <w:top w:val="none" w:sz="0" w:space="0" w:color="auto"/>
        <w:left w:val="none" w:sz="0" w:space="0" w:color="auto"/>
        <w:bottom w:val="none" w:sz="0" w:space="0" w:color="auto"/>
        <w:right w:val="none" w:sz="0" w:space="0" w:color="auto"/>
      </w:divBdr>
    </w:div>
    <w:div w:id="20851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Gregory.Rehe</dc:creator>
  <cp:lastModifiedBy>GREGORY.JOHNSON1</cp:lastModifiedBy>
  <cp:revision>5</cp:revision>
  <cp:lastPrinted>2011-06-09T16:15:00Z</cp:lastPrinted>
  <dcterms:created xsi:type="dcterms:W3CDTF">2012-01-11T17:37:00Z</dcterms:created>
  <dcterms:modified xsi:type="dcterms:W3CDTF">2012-03-02T18:20:00Z</dcterms:modified>
</cp:coreProperties>
</file>